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22" w:rsidRPr="008B5BEE" w:rsidRDefault="008B5BEE" w:rsidP="008B5BEE">
      <w:pPr>
        <w:spacing w:after="0" w:line="240" w:lineRule="auto"/>
        <w:rPr>
          <w:rFonts w:ascii="Arial" w:eastAsia="Times New Roman" w:hAnsi="Arial" w:cs="Arial"/>
          <w:b/>
          <w:sz w:val="20"/>
          <w:szCs w:val="20"/>
        </w:rPr>
      </w:pPr>
      <w:r w:rsidRPr="008B5BEE">
        <w:rPr>
          <w:rFonts w:ascii="Arial" w:eastAsia="Times New Roman" w:hAnsi="Arial" w:cs="Arial"/>
          <w:b/>
          <w:sz w:val="20"/>
          <w:szCs w:val="20"/>
        </w:rPr>
        <w:t>Report of the Standing Committee on Appropriations on the Second Adjustments Appropriation (2022/23 Financial Year) Bill [B4 – 2023] (National Assembly – Section 77), Dated 17 March 2023</w:t>
      </w:r>
    </w:p>
    <w:p w:rsidR="002E0922" w:rsidRPr="008B5BEE" w:rsidRDefault="002E0922" w:rsidP="008B5BEE">
      <w:pPr>
        <w:spacing w:after="0" w:line="240" w:lineRule="auto"/>
        <w:rPr>
          <w:rFonts w:ascii="Arial" w:eastAsia="Times New Roman" w:hAnsi="Arial" w:cs="Arial"/>
          <w:sz w:val="20"/>
          <w:szCs w:val="20"/>
        </w:rPr>
      </w:pPr>
    </w:p>
    <w:p w:rsidR="002E0922" w:rsidRPr="008B5BEE" w:rsidRDefault="002E0922" w:rsidP="008B5BEE">
      <w:pPr>
        <w:spacing w:after="0" w:line="240" w:lineRule="auto"/>
        <w:rPr>
          <w:rFonts w:ascii="Arial" w:eastAsia="Times New Roman" w:hAnsi="Arial" w:cs="Arial"/>
          <w:sz w:val="20"/>
          <w:szCs w:val="20"/>
        </w:rPr>
      </w:pPr>
      <w:r w:rsidRPr="008B5BEE">
        <w:rPr>
          <w:rFonts w:ascii="Arial" w:eastAsia="Times New Roman" w:hAnsi="Arial" w:cs="Arial"/>
          <w:sz w:val="20"/>
          <w:szCs w:val="20"/>
        </w:rPr>
        <w:t>Having considered the Second Adjustments Appropriation Bill</w:t>
      </w:r>
      <w:r w:rsidR="001457E0" w:rsidRPr="008B5BEE">
        <w:rPr>
          <w:rFonts w:ascii="Arial" w:eastAsia="Times New Roman" w:hAnsi="Arial" w:cs="Arial"/>
          <w:sz w:val="20"/>
          <w:szCs w:val="20"/>
        </w:rPr>
        <w:t xml:space="preserve"> [B4 – 2023</w:t>
      </w:r>
      <w:r w:rsidRPr="008B5BEE">
        <w:rPr>
          <w:rFonts w:ascii="Arial" w:eastAsia="Times New Roman" w:hAnsi="Arial" w:cs="Arial"/>
          <w:sz w:val="20"/>
          <w:szCs w:val="20"/>
        </w:rPr>
        <w:t>], re</w:t>
      </w:r>
      <w:r w:rsidR="00AC421F" w:rsidRPr="008B5BEE">
        <w:rPr>
          <w:rFonts w:ascii="Arial" w:eastAsia="Times New Roman" w:hAnsi="Arial" w:cs="Arial"/>
          <w:sz w:val="20"/>
          <w:szCs w:val="20"/>
        </w:rPr>
        <w:t>ferred to in terms of Section 12</w:t>
      </w:r>
      <w:r w:rsidRPr="008B5BEE">
        <w:rPr>
          <w:rFonts w:ascii="Arial" w:eastAsia="Times New Roman" w:hAnsi="Arial" w:cs="Arial"/>
          <w:sz w:val="20"/>
          <w:szCs w:val="20"/>
        </w:rPr>
        <w:t xml:space="preserve"> of the Money Bills Amendment Procedure and Related Matters Act No. 9 of 2009 (as amended by the Money Bills Amendments Procedure and Related Matters Amendment Act, No 13 of 2018), the Standing Committee on Appropriations reports as follows:</w:t>
      </w:r>
    </w:p>
    <w:p w:rsidR="002E0922" w:rsidRPr="008B5BEE" w:rsidRDefault="002E0922" w:rsidP="008B5BEE">
      <w:pPr>
        <w:spacing w:after="0" w:line="240" w:lineRule="auto"/>
        <w:rPr>
          <w:rFonts w:ascii="Arial" w:eastAsia="Times New Roman" w:hAnsi="Arial" w:cs="Arial"/>
          <w:sz w:val="20"/>
          <w:szCs w:val="20"/>
        </w:rPr>
      </w:pPr>
    </w:p>
    <w:p w:rsidR="002E0922" w:rsidRPr="008B5BEE" w:rsidRDefault="002E0922" w:rsidP="008B5BEE">
      <w:pPr>
        <w:numPr>
          <w:ilvl w:val="0"/>
          <w:numId w:val="2"/>
        </w:numPr>
        <w:tabs>
          <w:tab w:val="left" w:pos="426"/>
        </w:tabs>
        <w:spacing w:after="0" w:line="240" w:lineRule="auto"/>
        <w:ind w:left="360"/>
        <w:contextualSpacing/>
        <w:rPr>
          <w:rFonts w:ascii="Arial" w:eastAsia="Times New Roman" w:hAnsi="Arial" w:cs="Arial"/>
          <w:b/>
          <w:sz w:val="20"/>
          <w:szCs w:val="20"/>
        </w:rPr>
      </w:pPr>
      <w:r w:rsidRPr="008B5BEE">
        <w:rPr>
          <w:rFonts w:ascii="Arial" w:eastAsia="Times New Roman" w:hAnsi="Arial" w:cs="Arial"/>
          <w:b/>
          <w:sz w:val="20"/>
          <w:szCs w:val="20"/>
        </w:rPr>
        <w:t>Introduction</w:t>
      </w:r>
    </w:p>
    <w:p w:rsidR="002E0922" w:rsidRPr="008B5BEE" w:rsidRDefault="002E0922" w:rsidP="008B5BEE">
      <w:pPr>
        <w:tabs>
          <w:tab w:val="left" w:pos="426"/>
        </w:tabs>
        <w:spacing w:after="0" w:line="240" w:lineRule="auto"/>
        <w:contextualSpacing/>
        <w:rPr>
          <w:rFonts w:ascii="Arial" w:eastAsia="Times New Roman" w:hAnsi="Arial" w:cs="Arial"/>
          <w:b/>
          <w:sz w:val="20"/>
          <w:szCs w:val="20"/>
        </w:rPr>
      </w:pPr>
    </w:p>
    <w:p w:rsidR="00550B0B" w:rsidRPr="008B5BEE" w:rsidRDefault="00E539CF" w:rsidP="008B5BEE">
      <w:pPr>
        <w:spacing w:after="0" w:line="240" w:lineRule="auto"/>
        <w:rPr>
          <w:rFonts w:ascii="Arial" w:eastAsia="Times New Roman" w:hAnsi="Arial" w:cs="Arial"/>
          <w:sz w:val="20"/>
          <w:szCs w:val="20"/>
        </w:rPr>
      </w:pPr>
      <w:r w:rsidRPr="008B5BEE">
        <w:rPr>
          <w:rFonts w:ascii="Arial" w:eastAsia="Times New Roman" w:hAnsi="Arial" w:cs="Arial"/>
          <w:sz w:val="20"/>
          <w:szCs w:val="20"/>
        </w:rPr>
        <w:t xml:space="preserve">Section 213(2) of the Constitution of the Republic of South Africa, provides that money may be withdrawn from the National Revenue Fund only (a) in terms of an appropriation by an Act of Parliament; or (b) as a direct charge against the National Revenue Fund. </w:t>
      </w:r>
      <w:r w:rsidR="00550B0B" w:rsidRPr="008B5BEE">
        <w:rPr>
          <w:rFonts w:ascii="Arial" w:eastAsia="Times New Roman" w:hAnsi="Arial" w:cs="Arial"/>
          <w:sz w:val="20"/>
          <w:szCs w:val="20"/>
        </w:rPr>
        <w:t>Section 30(1) of the Public Finance Management Act (PFMA), No 1 of 1999, states that the Minister of Finance may table an adjustment budget in the National Assembly as and when necessary</w:t>
      </w:r>
      <w:r w:rsidRPr="008B5BEE">
        <w:rPr>
          <w:rFonts w:ascii="Arial" w:eastAsia="Times New Roman" w:hAnsi="Arial" w:cs="Arial"/>
          <w:sz w:val="20"/>
          <w:szCs w:val="20"/>
        </w:rPr>
        <w:t>. Section 30(2) of the PFMA further states that the adjustments budget may provide for, amongst others, m</w:t>
      </w:r>
      <w:r w:rsidR="00550B0B" w:rsidRPr="008B5BEE">
        <w:rPr>
          <w:rFonts w:ascii="Arial" w:eastAsia="Times New Roman" w:hAnsi="Arial" w:cs="Arial"/>
          <w:sz w:val="20"/>
          <w:szCs w:val="20"/>
        </w:rPr>
        <w:t>oney to be appropriated for expenditure already announced by the Minister during the tabling of the annual budget</w:t>
      </w:r>
      <w:r w:rsidRPr="008B5BEE">
        <w:rPr>
          <w:rFonts w:ascii="Arial" w:eastAsia="Times New Roman" w:hAnsi="Arial" w:cs="Arial"/>
          <w:sz w:val="20"/>
          <w:szCs w:val="20"/>
        </w:rPr>
        <w:t>, as well as the t</w:t>
      </w:r>
      <w:r w:rsidR="00550B0B" w:rsidRPr="008B5BEE">
        <w:rPr>
          <w:rFonts w:ascii="Arial" w:eastAsia="Times New Roman" w:hAnsi="Arial" w:cs="Arial"/>
          <w:sz w:val="20"/>
          <w:szCs w:val="20"/>
        </w:rPr>
        <w:t>he shifting of funds between and within votes</w:t>
      </w:r>
      <w:r w:rsidRPr="008B5BEE">
        <w:rPr>
          <w:rFonts w:ascii="Arial" w:eastAsia="Times New Roman" w:hAnsi="Arial" w:cs="Arial"/>
          <w:sz w:val="20"/>
          <w:szCs w:val="20"/>
        </w:rPr>
        <w:t>.</w:t>
      </w:r>
    </w:p>
    <w:p w:rsidR="00550B0B" w:rsidRPr="008B5BEE" w:rsidRDefault="00550B0B" w:rsidP="008B5BEE">
      <w:pPr>
        <w:spacing w:after="0" w:line="240" w:lineRule="auto"/>
        <w:rPr>
          <w:rFonts w:ascii="Arial" w:eastAsia="Times New Roman" w:hAnsi="Arial" w:cs="Arial"/>
          <w:sz w:val="20"/>
          <w:szCs w:val="20"/>
        </w:rPr>
      </w:pPr>
    </w:p>
    <w:p w:rsidR="00E539CF" w:rsidRPr="008B5BEE" w:rsidRDefault="00E539CF" w:rsidP="008B5BEE">
      <w:pPr>
        <w:spacing w:after="0" w:line="240" w:lineRule="auto"/>
        <w:rPr>
          <w:rFonts w:ascii="Arial" w:eastAsia="Times New Roman" w:hAnsi="Arial" w:cs="Arial"/>
          <w:sz w:val="20"/>
          <w:szCs w:val="20"/>
        </w:rPr>
      </w:pPr>
      <w:r w:rsidRPr="008B5BEE">
        <w:rPr>
          <w:rFonts w:ascii="Arial" w:eastAsia="Times New Roman" w:hAnsi="Arial" w:cs="Arial"/>
          <w:sz w:val="20"/>
          <w:szCs w:val="20"/>
        </w:rPr>
        <w:t>The 2023 Second Adjustments Appropriation (2022/23 financial year) Bill (hereafter referred to as the Bill) proposes to appropriate additional funding allocations for expenditure approved in the 2022/23 financial year.</w:t>
      </w:r>
      <w:r w:rsidR="003B3BE1" w:rsidRPr="008B5BEE">
        <w:rPr>
          <w:rFonts w:ascii="Arial" w:eastAsia="Times New Roman" w:hAnsi="Arial" w:cs="Arial"/>
          <w:sz w:val="20"/>
          <w:szCs w:val="20"/>
        </w:rPr>
        <w:t xml:space="preserve"> T</w:t>
      </w:r>
      <w:r w:rsidRPr="008B5BEE">
        <w:rPr>
          <w:rFonts w:ascii="Arial" w:eastAsia="Times New Roman" w:hAnsi="Arial" w:cs="Arial"/>
          <w:sz w:val="20"/>
          <w:szCs w:val="20"/>
        </w:rPr>
        <w:t>he Standing Committee on Appropriations, hereinafter</w:t>
      </w:r>
      <w:r w:rsidR="003B3BE1" w:rsidRPr="008B5BEE">
        <w:rPr>
          <w:rFonts w:ascii="Arial" w:eastAsia="Times New Roman" w:hAnsi="Arial" w:cs="Arial"/>
          <w:sz w:val="20"/>
          <w:szCs w:val="20"/>
        </w:rPr>
        <w:t xml:space="preserve"> referred to as the Committee, </w:t>
      </w:r>
      <w:r w:rsidR="001B6FEA" w:rsidRPr="008B5BEE">
        <w:rPr>
          <w:rFonts w:ascii="Arial" w:eastAsia="Times New Roman" w:hAnsi="Arial" w:cs="Arial"/>
          <w:sz w:val="20"/>
          <w:szCs w:val="20"/>
        </w:rPr>
        <w:t>is</w:t>
      </w:r>
      <w:r w:rsidRPr="008B5BEE">
        <w:rPr>
          <w:rFonts w:ascii="Arial" w:eastAsia="Times New Roman" w:hAnsi="Arial" w:cs="Arial"/>
          <w:sz w:val="20"/>
          <w:szCs w:val="20"/>
        </w:rPr>
        <w:t xml:space="preserve"> established in terms of section 4(3) of the Money Bills Amendment Procedure and Related Matters Act, 2009 (as amended), and herein referred to as the Act. </w:t>
      </w:r>
    </w:p>
    <w:p w:rsidR="00E539CF" w:rsidRPr="008B5BEE" w:rsidRDefault="00E539CF" w:rsidP="008B5BEE">
      <w:pPr>
        <w:spacing w:after="0" w:line="240" w:lineRule="auto"/>
        <w:rPr>
          <w:rFonts w:ascii="Arial" w:eastAsia="Times New Roman" w:hAnsi="Arial" w:cs="Arial"/>
          <w:sz w:val="20"/>
          <w:szCs w:val="20"/>
        </w:rPr>
      </w:pPr>
    </w:p>
    <w:p w:rsidR="00E539CF" w:rsidRPr="008B5BEE" w:rsidRDefault="00E539CF" w:rsidP="008B5BEE">
      <w:pPr>
        <w:spacing w:after="0" w:line="240" w:lineRule="auto"/>
        <w:rPr>
          <w:rFonts w:ascii="Arial" w:eastAsia="Times New Roman" w:hAnsi="Arial" w:cs="Arial"/>
          <w:sz w:val="20"/>
          <w:szCs w:val="20"/>
        </w:rPr>
      </w:pPr>
      <w:r w:rsidRPr="008B5BEE">
        <w:rPr>
          <w:rFonts w:ascii="Arial" w:eastAsia="Times New Roman" w:hAnsi="Arial" w:cs="Arial"/>
          <w:sz w:val="20"/>
          <w:szCs w:val="20"/>
        </w:rPr>
        <w:t xml:space="preserve">The Bill was tabled in Parliament by the Minister of Finance on 22 February 2023 </w:t>
      </w:r>
      <w:r w:rsidR="00693142" w:rsidRPr="008B5BEE">
        <w:rPr>
          <w:rFonts w:ascii="Arial" w:eastAsia="Times New Roman" w:hAnsi="Arial" w:cs="Arial"/>
          <w:sz w:val="20"/>
          <w:szCs w:val="20"/>
        </w:rPr>
        <w:t xml:space="preserve">during the presentation of the 2023 budget </w:t>
      </w:r>
      <w:r w:rsidRPr="008B5BEE">
        <w:rPr>
          <w:rFonts w:ascii="Arial" w:eastAsia="Times New Roman" w:hAnsi="Arial" w:cs="Arial"/>
          <w:sz w:val="20"/>
          <w:szCs w:val="20"/>
        </w:rPr>
        <w:t xml:space="preserve">and was referred to the Committee for consideration and report to the National Assembly as prescribed in section 12 of the Act. In processing the Bill, section 4 (4) (c) of the Act also requires the Committees on Appropriations of both Houses to consult with the Financial and Fiscal Commission (FFC). In addition to consulting with the FFC, the Committee also invited the Parliamentary Budget Office to comment on the Bill. </w:t>
      </w:r>
    </w:p>
    <w:p w:rsidR="00E539CF" w:rsidRPr="008B5BEE" w:rsidRDefault="00E539CF" w:rsidP="008B5BEE">
      <w:pPr>
        <w:spacing w:after="0" w:line="240" w:lineRule="auto"/>
        <w:rPr>
          <w:rFonts w:ascii="Arial" w:eastAsia="Times New Roman" w:hAnsi="Arial" w:cs="Arial"/>
          <w:sz w:val="20"/>
          <w:szCs w:val="20"/>
        </w:rPr>
      </w:pPr>
    </w:p>
    <w:p w:rsidR="00E539CF" w:rsidRPr="008B5BEE" w:rsidRDefault="00E539CF" w:rsidP="008B5BEE">
      <w:pPr>
        <w:spacing w:after="0" w:line="240" w:lineRule="auto"/>
        <w:rPr>
          <w:rFonts w:ascii="Arial" w:eastAsia="Times New Roman" w:hAnsi="Arial" w:cs="Arial"/>
          <w:sz w:val="20"/>
          <w:szCs w:val="20"/>
        </w:rPr>
      </w:pPr>
      <w:r w:rsidRPr="008B5BEE">
        <w:rPr>
          <w:rFonts w:ascii="Arial" w:eastAsia="Times New Roman" w:hAnsi="Arial" w:cs="Arial"/>
          <w:sz w:val="20"/>
          <w:szCs w:val="20"/>
        </w:rPr>
        <w:t xml:space="preserve">The Act also requires the Committee on Appropriations to conduct public hearings on the Bill and for the Committee to report to the House on the comments and amendments to the Bill. In compliance with the requirements of the Act, advertisements were published on Parliaments website and social media platforms, inviting the general public and interested parties to comment on the Bill. The public hearings on the Bill were held on 14 March 2023 via the Zoom virtual meeting platform. In response, written and oral submissions were received by the Committee for consideration, and in line with the requirements of the Act from the Congress of South African Trade Unions. </w:t>
      </w:r>
    </w:p>
    <w:p w:rsidR="002E0922" w:rsidRPr="008B5BEE" w:rsidRDefault="002E0922" w:rsidP="008B5BEE">
      <w:pPr>
        <w:spacing w:after="0" w:line="240" w:lineRule="auto"/>
        <w:ind w:left="720"/>
        <w:contextualSpacing/>
        <w:rPr>
          <w:rFonts w:ascii="Arial" w:eastAsia="Times New Roman" w:hAnsi="Arial" w:cs="Arial"/>
          <w:sz w:val="20"/>
          <w:szCs w:val="20"/>
        </w:rPr>
      </w:pPr>
    </w:p>
    <w:p w:rsidR="002E0922" w:rsidRPr="008B5BEE" w:rsidRDefault="002E0922" w:rsidP="008B5BEE">
      <w:pPr>
        <w:numPr>
          <w:ilvl w:val="0"/>
          <w:numId w:val="2"/>
        </w:numPr>
        <w:spacing w:after="0" w:line="240" w:lineRule="auto"/>
        <w:ind w:left="360"/>
        <w:contextualSpacing/>
        <w:rPr>
          <w:rFonts w:ascii="Arial" w:eastAsia="Times New Roman" w:hAnsi="Arial" w:cs="Arial"/>
          <w:b/>
          <w:sz w:val="20"/>
          <w:szCs w:val="20"/>
        </w:rPr>
      </w:pPr>
      <w:r w:rsidRPr="008B5BEE">
        <w:rPr>
          <w:rFonts w:ascii="Arial" w:eastAsia="Times New Roman" w:hAnsi="Arial" w:cs="Arial"/>
          <w:b/>
          <w:sz w:val="20"/>
          <w:szCs w:val="20"/>
        </w:rPr>
        <w:t>Background</w:t>
      </w:r>
      <w:r w:rsidR="003340E1" w:rsidRPr="008B5BEE">
        <w:rPr>
          <w:rFonts w:ascii="Arial" w:eastAsia="Times New Roman" w:hAnsi="Arial" w:cs="Arial"/>
          <w:b/>
          <w:sz w:val="20"/>
          <w:szCs w:val="20"/>
        </w:rPr>
        <w:t xml:space="preserve"> to the Bill</w:t>
      </w:r>
    </w:p>
    <w:p w:rsidR="002E0922" w:rsidRPr="008B5BEE" w:rsidRDefault="002E0922" w:rsidP="008B5BEE">
      <w:pPr>
        <w:spacing w:after="0" w:line="240" w:lineRule="auto"/>
        <w:rPr>
          <w:rFonts w:ascii="Arial" w:eastAsia="Times New Roman" w:hAnsi="Arial" w:cs="Arial"/>
          <w:sz w:val="20"/>
          <w:szCs w:val="20"/>
        </w:rPr>
      </w:pPr>
    </w:p>
    <w:p w:rsidR="00C67981" w:rsidRPr="008B5BEE" w:rsidRDefault="00C67981" w:rsidP="008B5BEE">
      <w:pPr>
        <w:spacing w:after="0" w:line="240" w:lineRule="auto"/>
        <w:rPr>
          <w:rFonts w:ascii="Arial" w:eastAsia="Times New Roman" w:hAnsi="Arial" w:cs="Arial"/>
          <w:sz w:val="20"/>
          <w:szCs w:val="20"/>
        </w:rPr>
      </w:pPr>
      <w:r w:rsidRPr="008B5BEE">
        <w:rPr>
          <w:rFonts w:ascii="Arial" w:eastAsia="Times New Roman" w:hAnsi="Arial" w:cs="Arial"/>
          <w:sz w:val="20"/>
          <w:szCs w:val="20"/>
        </w:rPr>
        <w:t xml:space="preserve">The Bill gives effect to adjustments to the appropriation of money from the National Revenue Fund for </w:t>
      </w:r>
      <w:r w:rsidR="001457E0" w:rsidRPr="008B5BEE">
        <w:rPr>
          <w:rFonts w:ascii="Arial" w:eastAsia="Times New Roman" w:hAnsi="Arial" w:cs="Arial"/>
          <w:sz w:val="20"/>
          <w:szCs w:val="20"/>
        </w:rPr>
        <w:t>expenditure approved in the 2022</w:t>
      </w:r>
      <w:r w:rsidRPr="008B5BEE">
        <w:rPr>
          <w:rFonts w:ascii="Arial" w:eastAsia="Times New Roman" w:hAnsi="Arial" w:cs="Arial"/>
          <w:sz w:val="20"/>
          <w:szCs w:val="20"/>
        </w:rPr>
        <w:t xml:space="preserve">/22 financial year and provides for matters incidental thereto. </w:t>
      </w:r>
      <w:r w:rsidR="00580F82" w:rsidRPr="008B5BEE">
        <w:rPr>
          <w:rFonts w:ascii="Arial" w:eastAsia="Times New Roman" w:hAnsi="Arial" w:cs="Arial"/>
          <w:sz w:val="20"/>
          <w:szCs w:val="20"/>
        </w:rPr>
        <w:t>The Appropriation Act, 2022 (Act No. 7 of 2022</w:t>
      </w:r>
      <w:r w:rsidR="00A12BCE" w:rsidRPr="008B5BEE">
        <w:rPr>
          <w:rFonts w:ascii="Arial" w:eastAsia="Times New Roman" w:hAnsi="Arial" w:cs="Arial"/>
          <w:sz w:val="20"/>
          <w:szCs w:val="20"/>
        </w:rPr>
        <w:t>)</w:t>
      </w:r>
      <w:r w:rsidRPr="008B5BEE">
        <w:rPr>
          <w:rFonts w:ascii="Arial" w:eastAsia="Times New Roman" w:hAnsi="Arial" w:cs="Arial"/>
          <w:sz w:val="20"/>
          <w:szCs w:val="20"/>
        </w:rPr>
        <w:t>, provides for the appropriation of money from the National Revenue Fund to provide for the requirements of the State in respec</w:t>
      </w:r>
      <w:r w:rsidR="00580F82" w:rsidRPr="008B5BEE">
        <w:rPr>
          <w:rFonts w:ascii="Arial" w:eastAsia="Times New Roman" w:hAnsi="Arial" w:cs="Arial"/>
          <w:sz w:val="20"/>
          <w:szCs w:val="20"/>
        </w:rPr>
        <w:t>t of the 2022/23</w:t>
      </w:r>
      <w:r w:rsidR="00715F86" w:rsidRPr="008B5BEE">
        <w:rPr>
          <w:rFonts w:ascii="Arial" w:eastAsia="Times New Roman" w:hAnsi="Arial" w:cs="Arial"/>
          <w:sz w:val="20"/>
          <w:szCs w:val="20"/>
        </w:rPr>
        <w:t xml:space="preserve"> financial year. W</w:t>
      </w:r>
      <w:r w:rsidRPr="008B5BEE">
        <w:rPr>
          <w:rFonts w:ascii="Arial" w:eastAsia="Times New Roman" w:hAnsi="Arial" w:cs="Arial"/>
          <w:sz w:val="20"/>
          <w:szCs w:val="20"/>
        </w:rPr>
        <w:t>hereas</w:t>
      </w:r>
      <w:r w:rsidR="00715F86" w:rsidRPr="008B5BEE">
        <w:rPr>
          <w:rFonts w:ascii="Arial" w:eastAsia="Times New Roman" w:hAnsi="Arial" w:cs="Arial"/>
          <w:sz w:val="20"/>
          <w:szCs w:val="20"/>
        </w:rPr>
        <w:t xml:space="preserve"> t</w:t>
      </w:r>
      <w:r w:rsidRPr="008B5BEE">
        <w:rPr>
          <w:rFonts w:ascii="Arial" w:eastAsia="Times New Roman" w:hAnsi="Arial" w:cs="Arial"/>
          <w:sz w:val="20"/>
          <w:szCs w:val="20"/>
        </w:rPr>
        <w:t>he Adj</w:t>
      </w:r>
      <w:r w:rsidR="004A58AD" w:rsidRPr="008B5BEE">
        <w:rPr>
          <w:rFonts w:ascii="Arial" w:eastAsia="Times New Roman" w:hAnsi="Arial" w:cs="Arial"/>
          <w:sz w:val="20"/>
          <w:szCs w:val="20"/>
        </w:rPr>
        <w:t>ustments Appropriation Act, 2022 (Act No. 21 of 2022</w:t>
      </w:r>
      <w:r w:rsidR="00715F86" w:rsidRPr="008B5BEE">
        <w:rPr>
          <w:rFonts w:ascii="Arial" w:eastAsia="Times New Roman" w:hAnsi="Arial" w:cs="Arial"/>
          <w:sz w:val="20"/>
          <w:szCs w:val="20"/>
        </w:rPr>
        <w:t>)</w:t>
      </w:r>
      <w:r w:rsidRPr="008B5BEE">
        <w:rPr>
          <w:rFonts w:ascii="Arial" w:eastAsia="Times New Roman" w:hAnsi="Arial" w:cs="Arial"/>
          <w:sz w:val="20"/>
          <w:szCs w:val="20"/>
        </w:rPr>
        <w:t>, effected adjustments to the appropriation of money provided for in the Appropriation Act, 202</w:t>
      </w:r>
      <w:r w:rsidR="004A58AD" w:rsidRPr="008B5BEE">
        <w:rPr>
          <w:rFonts w:ascii="Arial" w:eastAsia="Times New Roman" w:hAnsi="Arial" w:cs="Arial"/>
          <w:sz w:val="20"/>
          <w:szCs w:val="20"/>
        </w:rPr>
        <w:t>2</w:t>
      </w:r>
      <w:r w:rsidRPr="008B5BEE">
        <w:rPr>
          <w:rFonts w:ascii="Arial" w:eastAsia="Times New Roman" w:hAnsi="Arial" w:cs="Arial"/>
          <w:sz w:val="20"/>
          <w:szCs w:val="20"/>
        </w:rPr>
        <w:t>, and wherea</w:t>
      </w:r>
      <w:r w:rsidR="00715F86" w:rsidRPr="008B5BEE">
        <w:rPr>
          <w:rFonts w:ascii="Arial" w:eastAsia="Times New Roman" w:hAnsi="Arial" w:cs="Arial"/>
          <w:sz w:val="20"/>
          <w:szCs w:val="20"/>
        </w:rPr>
        <w:t>s f</w:t>
      </w:r>
      <w:r w:rsidRPr="008B5BEE">
        <w:rPr>
          <w:rFonts w:ascii="Arial" w:eastAsia="Times New Roman" w:hAnsi="Arial" w:cs="Arial"/>
          <w:bCs/>
          <w:iCs/>
          <w:sz w:val="20"/>
          <w:szCs w:val="20"/>
        </w:rPr>
        <w:t xml:space="preserve">urther adjustments are required to authorise expenditure approved in terms of section </w:t>
      </w:r>
      <w:r w:rsidR="004A58AD" w:rsidRPr="008B5BEE">
        <w:rPr>
          <w:rFonts w:ascii="Arial" w:eastAsia="Times New Roman" w:hAnsi="Arial" w:cs="Arial"/>
          <w:bCs/>
          <w:iCs/>
          <w:sz w:val="20"/>
          <w:szCs w:val="20"/>
        </w:rPr>
        <w:t>6 of the Appropriation Act, 2022, and section 30</w:t>
      </w:r>
      <w:r w:rsidRPr="008B5BEE">
        <w:rPr>
          <w:rFonts w:ascii="Arial" w:eastAsia="Times New Roman" w:hAnsi="Arial" w:cs="Arial"/>
          <w:bCs/>
          <w:iCs/>
          <w:sz w:val="20"/>
          <w:szCs w:val="20"/>
        </w:rPr>
        <w:t xml:space="preserve"> of the Public Finance Management Act, 1999</w:t>
      </w:r>
      <w:r w:rsidR="0021122C" w:rsidRPr="008B5BEE">
        <w:rPr>
          <w:rFonts w:ascii="Arial" w:eastAsia="Times New Roman" w:hAnsi="Arial" w:cs="Arial"/>
          <w:bCs/>
          <w:iCs/>
          <w:sz w:val="20"/>
          <w:szCs w:val="20"/>
        </w:rPr>
        <w:t xml:space="preserve"> (Act No. 1 of 1999)</w:t>
      </w:r>
      <w:r w:rsidR="00017ECA" w:rsidRPr="008B5BEE">
        <w:rPr>
          <w:rFonts w:ascii="Arial" w:eastAsia="Times New Roman" w:hAnsi="Arial" w:cs="Arial"/>
          <w:bCs/>
          <w:iCs/>
          <w:sz w:val="20"/>
          <w:szCs w:val="20"/>
        </w:rPr>
        <w:t>.</w:t>
      </w:r>
    </w:p>
    <w:p w:rsidR="00C67981" w:rsidRPr="008B5BEE" w:rsidRDefault="00C67981" w:rsidP="008B5BEE">
      <w:pPr>
        <w:spacing w:after="0" w:line="240" w:lineRule="auto"/>
        <w:rPr>
          <w:rFonts w:ascii="Arial" w:eastAsia="Times New Roman" w:hAnsi="Arial" w:cs="Arial"/>
          <w:sz w:val="20"/>
          <w:szCs w:val="20"/>
        </w:rPr>
      </w:pPr>
    </w:p>
    <w:p w:rsidR="00E539CF" w:rsidRPr="008B5BEE" w:rsidRDefault="00AE6038" w:rsidP="008B5BEE">
      <w:pPr>
        <w:spacing w:after="0" w:line="240" w:lineRule="auto"/>
        <w:rPr>
          <w:rFonts w:ascii="Arial" w:eastAsia="Times New Roman" w:hAnsi="Arial" w:cs="Arial"/>
          <w:sz w:val="20"/>
          <w:szCs w:val="20"/>
        </w:rPr>
      </w:pPr>
      <w:r w:rsidRPr="008B5BEE">
        <w:rPr>
          <w:rFonts w:ascii="Arial" w:eastAsia="Times New Roman" w:hAnsi="Arial" w:cs="Arial"/>
          <w:sz w:val="20"/>
          <w:szCs w:val="20"/>
        </w:rPr>
        <w:t>The Bill proposes allocat</w:t>
      </w:r>
      <w:r w:rsidR="008462FE" w:rsidRPr="008B5BEE">
        <w:rPr>
          <w:rFonts w:ascii="Arial" w:eastAsia="Times New Roman" w:hAnsi="Arial" w:cs="Arial"/>
          <w:sz w:val="20"/>
          <w:szCs w:val="20"/>
        </w:rPr>
        <w:t>ion of additional funding to Vote allocation to fund the carry-through costs of the 202</w:t>
      </w:r>
      <w:r w:rsidR="00BD1B0D" w:rsidRPr="008B5BEE">
        <w:rPr>
          <w:rFonts w:ascii="Arial" w:eastAsia="Times New Roman" w:hAnsi="Arial" w:cs="Arial"/>
          <w:sz w:val="20"/>
          <w:szCs w:val="20"/>
        </w:rPr>
        <w:t>2 public services wage increase</w:t>
      </w:r>
      <w:r w:rsidR="008462FE" w:rsidRPr="008B5BEE">
        <w:rPr>
          <w:rFonts w:ascii="Arial" w:eastAsia="Times New Roman" w:hAnsi="Arial" w:cs="Arial"/>
          <w:sz w:val="20"/>
          <w:szCs w:val="20"/>
        </w:rPr>
        <w:t xml:space="preserve">, the South Africa Airways SOC Limited as a settlement agreement that was reached between the </w:t>
      </w:r>
      <w:r w:rsidR="008F6B7D" w:rsidRPr="008B5BEE">
        <w:rPr>
          <w:rFonts w:ascii="Arial" w:eastAsia="Times New Roman" w:hAnsi="Arial" w:cs="Arial"/>
          <w:sz w:val="20"/>
          <w:szCs w:val="20"/>
        </w:rPr>
        <w:t xml:space="preserve">SAA </w:t>
      </w:r>
      <w:r w:rsidR="008462FE" w:rsidRPr="008B5BEE">
        <w:rPr>
          <w:rFonts w:ascii="Arial" w:eastAsia="Times New Roman" w:hAnsi="Arial" w:cs="Arial"/>
          <w:sz w:val="20"/>
          <w:szCs w:val="20"/>
        </w:rPr>
        <w:t>business rescue practitioners and the airline’s creditors providing for a gradual payment of historical debts</w:t>
      </w:r>
      <w:r w:rsidR="008F6B7D" w:rsidRPr="008B5BEE">
        <w:rPr>
          <w:rFonts w:ascii="Arial" w:eastAsia="Times New Roman" w:hAnsi="Arial" w:cs="Arial"/>
          <w:sz w:val="20"/>
          <w:szCs w:val="20"/>
        </w:rPr>
        <w:t>, the South African Post Office (SAPO), the Land Agricultural Development Bank of South Africa, and additional allocation toward</w:t>
      </w:r>
      <w:r w:rsidR="00481AC9" w:rsidRPr="008B5BEE">
        <w:rPr>
          <w:rFonts w:ascii="Arial" w:eastAsia="Times New Roman" w:hAnsi="Arial" w:cs="Arial"/>
          <w:sz w:val="20"/>
          <w:szCs w:val="20"/>
        </w:rPr>
        <w:t>s</w:t>
      </w:r>
      <w:r w:rsidR="008F6B7D" w:rsidRPr="008B5BEE">
        <w:rPr>
          <w:rFonts w:ascii="Arial" w:eastAsia="Times New Roman" w:hAnsi="Arial" w:cs="Arial"/>
          <w:sz w:val="20"/>
          <w:szCs w:val="20"/>
        </w:rPr>
        <w:t xml:space="preserve"> political party funding. Table 1 below summarises the</w:t>
      </w:r>
      <w:r w:rsidR="00226991" w:rsidRPr="008B5BEE">
        <w:rPr>
          <w:rFonts w:ascii="Arial" w:eastAsia="Times New Roman" w:hAnsi="Arial" w:cs="Arial"/>
          <w:sz w:val="20"/>
          <w:szCs w:val="20"/>
        </w:rPr>
        <w:t xml:space="preserve"> </w:t>
      </w:r>
      <w:r w:rsidR="003B3BE1" w:rsidRPr="008B5BEE">
        <w:rPr>
          <w:rFonts w:ascii="Arial" w:eastAsia="Times New Roman" w:hAnsi="Arial" w:cs="Arial"/>
          <w:sz w:val="20"/>
          <w:szCs w:val="20"/>
        </w:rPr>
        <w:t>r</w:t>
      </w:r>
      <w:r w:rsidR="00226991" w:rsidRPr="008B5BEE">
        <w:rPr>
          <w:rFonts w:ascii="Arial" w:eastAsia="Times New Roman" w:hAnsi="Arial" w:cs="Arial"/>
          <w:sz w:val="20"/>
          <w:szCs w:val="20"/>
        </w:rPr>
        <w:t>evision to the 2022/23 non-interest expenditure since the 2022 budget</w:t>
      </w:r>
      <w:r w:rsidR="008F6B7D" w:rsidRPr="008B5BEE">
        <w:rPr>
          <w:rFonts w:ascii="Arial" w:eastAsia="Times New Roman" w:hAnsi="Arial" w:cs="Arial"/>
          <w:sz w:val="20"/>
          <w:szCs w:val="20"/>
        </w:rPr>
        <w:t>.</w:t>
      </w:r>
    </w:p>
    <w:p w:rsidR="00E539CF" w:rsidRPr="008B5BEE" w:rsidRDefault="00E539CF" w:rsidP="008B5BEE">
      <w:pPr>
        <w:spacing w:after="0" w:line="240" w:lineRule="auto"/>
        <w:rPr>
          <w:rFonts w:ascii="Arial" w:eastAsia="Times New Roman" w:hAnsi="Arial" w:cs="Arial"/>
          <w:sz w:val="20"/>
          <w:szCs w:val="20"/>
        </w:rPr>
      </w:pPr>
    </w:p>
    <w:p w:rsidR="003D725C" w:rsidRPr="008B5BEE" w:rsidRDefault="003D725C" w:rsidP="008B5BEE">
      <w:pPr>
        <w:spacing w:after="0" w:line="240" w:lineRule="auto"/>
        <w:rPr>
          <w:rFonts w:ascii="Arial" w:eastAsia="Times New Roman" w:hAnsi="Arial" w:cs="Arial"/>
          <w:sz w:val="20"/>
          <w:szCs w:val="20"/>
        </w:rPr>
      </w:pPr>
    </w:p>
    <w:p w:rsidR="003B3BE1" w:rsidRPr="008B5BEE" w:rsidRDefault="003B3BE1" w:rsidP="008B5BEE">
      <w:pPr>
        <w:spacing w:after="0" w:line="240" w:lineRule="auto"/>
        <w:rPr>
          <w:rFonts w:ascii="Arial" w:eastAsia="Times New Roman" w:hAnsi="Arial" w:cs="Arial"/>
          <w:sz w:val="20"/>
          <w:szCs w:val="20"/>
        </w:rPr>
      </w:pPr>
    </w:p>
    <w:p w:rsidR="008D265D" w:rsidRPr="008B5BEE" w:rsidRDefault="008D265D" w:rsidP="008B5BEE">
      <w:pPr>
        <w:spacing w:after="0" w:line="240" w:lineRule="auto"/>
        <w:rPr>
          <w:rFonts w:ascii="Arial" w:eastAsia="Times New Roman" w:hAnsi="Arial" w:cs="Arial"/>
          <w:sz w:val="20"/>
          <w:szCs w:val="20"/>
        </w:rPr>
      </w:pPr>
      <w:r w:rsidRPr="008B5BEE">
        <w:rPr>
          <w:rFonts w:ascii="Arial" w:eastAsia="Times New Roman" w:hAnsi="Arial" w:cs="Arial"/>
          <w:b/>
          <w:sz w:val="20"/>
          <w:szCs w:val="20"/>
        </w:rPr>
        <w:t>Table 1:</w:t>
      </w:r>
      <w:r w:rsidRPr="008B5BEE">
        <w:rPr>
          <w:rFonts w:ascii="Arial" w:eastAsia="Times New Roman" w:hAnsi="Arial" w:cs="Arial"/>
          <w:sz w:val="20"/>
          <w:szCs w:val="20"/>
        </w:rPr>
        <w:t xml:space="preserve"> Revision to the 2022/23 non-interest expenditure since the 2022 budget</w:t>
      </w:r>
    </w:p>
    <w:tbl>
      <w:tblPr>
        <w:tblW w:w="9864" w:type="dxa"/>
        <w:tblLook w:val="04A0"/>
      </w:tblPr>
      <w:tblGrid>
        <w:gridCol w:w="7308"/>
        <w:gridCol w:w="1234"/>
        <w:gridCol w:w="1322"/>
      </w:tblGrid>
      <w:tr w:rsidR="008D265D" w:rsidRPr="008B5BEE" w:rsidTr="003B3BE1">
        <w:trPr>
          <w:trHeight w:val="262"/>
        </w:trPr>
        <w:tc>
          <w:tcPr>
            <w:tcW w:w="7308" w:type="dxa"/>
            <w:tcBorders>
              <w:top w:val="single" w:sz="8" w:space="0" w:color="auto"/>
              <w:left w:val="single" w:sz="8" w:space="0" w:color="auto"/>
              <w:bottom w:val="single" w:sz="8" w:space="0" w:color="auto"/>
              <w:right w:val="nil"/>
            </w:tcBorders>
            <w:shd w:val="clear" w:color="auto" w:fill="auto"/>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R million</w:t>
            </w:r>
          </w:p>
        </w:tc>
        <w:tc>
          <w:tcPr>
            <w:tcW w:w="12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 </w:t>
            </w:r>
          </w:p>
        </w:tc>
        <w:tc>
          <w:tcPr>
            <w:tcW w:w="1322" w:type="dxa"/>
            <w:tcBorders>
              <w:top w:val="single" w:sz="8" w:space="0" w:color="auto"/>
              <w:left w:val="nil"/>
              <w:bottom w:val="single" w:sz="8" w:space="0" w:color="auto"/>
              <w:right w:val="single" w:sz="8" w:space="0" w:color="auto"/>
            </w:tcBorders>
            <w:shd w:val="clear" w:color="auto" w:fill="auto"/>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2022/23</w:t>
            </w:r>
          </w:p>
        </w:tc>
      </w:tr>
      <w:tr w:rsidR="008D265D" w:rsidRPr="008B5BEE" w:rsidTr="003B3BE1">
        <w:trPr>
          <w:trHeight w:val="262"/>
        </w:trPr>
        <w:tc>
          <w:tcPr>
            <w:tcW w:w="7308" w:type="dxa"/>
            <w:tcBorders>
              <w:top w:val="nil"/>
              <w:left w:val="single" w:sz="8" w:space="0" w:color="auto"/>
              <w:bottom w:val="single" w:sz="8" w:space="0" w:color="auto"/>
              <w:right w:val="nil"/>
            </w:tcBorders>
            <w:shd w:val="clear" w:color="auto" w:fill="auto"/>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 xml:space="preserve">Non-interest expenditure (2022/23 budget </w:t>
            </w:r>
          </w:p>
        </w:tc>
        <w:tc>
          <w:tcPr>
            <w:tcW w:w="1234" w:type="dxa"/>
            <w:tcBorders>
              <w:top w:val="nil"/>
              <w:left w:val="single" w:sz="8" w:space="0" w:color="auto"/>
              <w:bottom w:val="single" w:sz="8" w:space="0" w:color="auto"/>
              <w:right w:val="single" w:sz="8" w:space="0" w:color="auto"/>
            </w:tcBorders>
            <w:shd w:val="clear" w:color="auto" w:fill="auto"/>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w:t>
            </w:r>
          </w:p>
        </w:tc>
        <w:tc>
          <w:tcPr>
            <w:tcW w:w="1322" w:type="dxa"/>
            <w:tcBorders>
              <w:top w:val="nil"/>
              <w:left w:val="nil"/>
              <w:bottom w:val="single" w:sz="8" w:space="0" w:color="auto"/>
              <w:right w:val="single" w:sz="8" w:space="0" w:color="auto"/>
            </w:tcBorders>
            <w:shd w:val="clear" w:color="auto" w:fill="auto"/>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1,673,450</w:t>
            </w:r>
          </w:p>
        </w:tc>
      </w:tr>
      <w:tr w:rsidR="008D265D" w:rsidRPr="008B5BEE" w:rsidTr="003B3BE1">
        <w:trPr>
          <w:trHeight w:val="253"/>
        </w:trPr>
        <w:tc>
          <w:tcPr>
            <w:tcW w:w="7308" w:type="dxa"/>
            <w:tcBorders>
              <w:top w:val="nil"/>
              <w:left w:val="single" w:sz="8" w:space="0" w:color="auto"/>
              <w:bottom w:val="nil"/>
              <w:right w:val="nil"/>
            </w:tcBorders>
            <w:shd w:val="clear" w:color="auto" w:fill="auto"/>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Upward expenditure adjustments </w:t>
            </w:r>
          </w:p>
        </w:tc>
        <w:tc>
          <w:tcPr>
            <w:tcW w:w="1234" w:type="dxa"/>
            <w:tcBorders>
              <w:top w:val="nil"/>
              <w:left w:val="single" w:sz="8" w:space="0" w:color="auto"/>
              <w:bottom w:val="nil"/>
              <w:right w:val="single" w:sz="8" w:space="0" w:color="auto"/>
            </w:tcBorders>
            <w:shd w:val="clear" w:color="auto" w:fill="auto"/>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w:t>
            </w:r>
          </w:p>
        </w:tc>
        <w:tc>
          <w:tcPr>
            <w:tcW w:w="1322" w:type="dxa"/>
            <w:tcBorders>
              <w:top w:val="nil"/>
              <w:left w:val="nil"/>
              <w:bottom w:val="nil"/>
              <w:right w:val="single" w:sz="8" w:space="0" w:color="auto"/>
            </w:tcBorders>
            <w:shd w:val="clear" w:color="auto" w:fill="auto"/>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77,419</w:t>
            </w:r>
          </w:p>
        </w:tc>
      </w:tr>
      <w:tr w:rsidR="008D265D" w:rsidRPr="008B5BEE" w:rsidTr="003B3BE1">
        <w:trPr>
          <w:trHeight w:val="253"/>
        </w:trPr>
        <w:tc>
          <w:tcPr>
            <w:tcW w:w="7308" w:type="dxa"/>
            <w:tcBorders>
              <w:top w:val="nil"/>
              <w:left w:val="single" w:sz="8" w:space="0" w:color="auto"/>
              <w:bottom w:val="nil"/>
              <w:right w:val="nil"/>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 xml:space="preserve">2022 Medium Term Budget Policy Statement </w:t>
            </w:r>
          </w:p>
        </w:tc>
        <w:tc>
          <w:tcPr>
            <w:tcW w:w="1234" w:type="dxa"/>
            <w:tcBorders>
              <w:top w:val="nil"/>
              <w:left w:val="single" w:sz="8" w:space="0" w:color="auto"/>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54,117</w:t>
            </w:r>
          </w:p>
        </w:tc>
        <w:tc>
          <w:tcPr>
            <w:tcW w:w="1322" w:type="dxa"/>
            <w:tcBorders>
              <w:top w:val="nil"/>
              <w:left w:val="nil"/>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w:t>
            </w:r>
          </w:p>
        </w:tc>
      </w:tr>
      <w:tr w:rsidR="008D265D" w:rsidRPr="008B5BEE" w:rsidTr="003B3BE1">
        <w:trPr>
          <w:trHeight w:val="253"/>
        </w:trPr>
        <w:tc>
          <w:tcPr>
            <w:tcW w:w="7308" w:type="dxa"/>
            <w:tcBorders>
              <w:top w:val="nil"/>
              <w:left w:val="single" w:sz="8" w:space="0" w:color="auto"/>
              <w:bottom w:val="nil"/>
              <w:right w:val="nil"/>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Special Appropriation</w:t>
            </w:r>
          </w:p>
        </w:tc>
        <w:tc>
          <w:tcPr>
            <w:tcW w:w="1234" w:type="dxa"/>
            <w:tcBorders>
              <w:top w:val="nil"/>
              <w:left w:val="single" w:sz="8" w:space="0" w:color="auto"/>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30,014</w:t>
            </w:r>
          </w:p>
        </w:tc>
        <w:tc>
          <w:tcPr>
            <w:tcW w:w="1322" w:type="dxa"/>
            <w:tcBorders>
              <w:top w:val="nil"/>
              <w:left w:val="nil"/>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w:t>
            </w:r>
          </w:p>
        </w:tc>
      </w:tr>
      <w:tr w:rsidR="008D265D" w:rsidRPr="008B5BEE" w:rsidTr="003B3BE1">
        <w:trPr>
          <w:trHeight w:val="262"/>
        </w:trPr>
        <w:tc>
          <w:tcPr>
            <w:tcW w:w="7308" w:type="dxa"/>
            <w:tcBorders>
              <w:top w:val="nil"/>
              <w:left w:val="single" w:sz="8" w:space="0" w:color="auto"/>
              <w:bottom w:val="nil"/>
              <w:right w:val="nil"/>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Other allocation in the AENE</w:t>
            </w:r>
          </w:p>
        </w:tc>
        <w:tc>
          <w:tcPr>
            <w:tcW w:w="1234" w:type="dxa"/>
            <w:tcBorders>
              <w:top w:val="nil"/>
              <w:left w:val="single" w:sz="8" w:space="0" w:color="auto"/>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24,102</w:t>
            </w:r>
          </w:p>
        </w:tc>
        <w:tc>
          <w:tcPr>
            <w:tcW w:w="1322" w:type="dxa"/>
            <w:tcBorders>
              <w:top w:val="nil"/>
              <w:left w:val="nil"/>
              <w:bottom w:val="dashed" w:sz="8" w:space="0" w:color="auto"/>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w:t>
            </w:r>
          </w:p>
        </w:tc>
      </w:tr>
      <w:tr w:rsidR="008D265D" w:rsidRPr="008B5BEE" w:rsidTr="003B3BE1">
        <w:trPr>
          <w:trHeight w:val="262"/>
        </w:trPr>
        <w:tc>
          <w:tcPr>
            <w:tcW w:w="7308" w:type="dxa"/>
            <w:tcBorders>
              <w:top w:val="dashed" w:sz="8" w:space="0" w:color="auto"/>
              <w:left w:val="single" w:sz="8" w:space="0" w:color="auto"/>
              <w:bottom w:val="nil"/>
              <w:right w:val="nil"/>
            </w:tcBorders>
            <w:shd w:val="clear" w:color="auto" w:fill="auto"/>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Second adjustments appropriation</w:t>
            </w:r>
          </w:p>
        </w:tc>
        <w:tc>
          <w:tcPr>
            <w:tcW w:w="1234" w:type="dxa"/>
            <w:tcBorders>
              <w:top w:val="dashed" w:sz="8" w:space="0" w:color="auto"/>
              <w:left w:val="single" w:sz="8" w:space="0" w:color="auto"/>
              <w:bottom w:val="nil"/>
              <w:right w:val="single" w:sz="8" w:space="0" w:color="auto"/>
            </w:tcBorders>
            <w:shd w:val="clear" w:color="auto" w:fill="auto"/>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23,302</w:t>
            </w:r>
          </w:p>
        </w:tc>
        <w:tc>
          <w:tcPr>
            <w:tcW w:w="1322" w:type="dxa"/>
            <w:tcBorders>
              <w:top w:val="nil"/>
              <w:left w:val="nil"/>
              <w:bottom w:val="nil"/>
              <w:right w:val="single" w:sz="8" w:space="0" w:color="auto"/>
            </w:tcBorders>
            <w:shd w:val="clear" w:color="auto" w:fill="auto"/>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w:t>
            </w:r>
          </w:p>
        </w:tc>
      </w:tr>
      <w:tr w:rsidR="008D265D" w:rsidRPr="008B5BEE" w:rsidTr="003B3BE1">
        <w:trPr>
          <w:trHeight w:val="253"/>
        </w:trPr>
        <w:tc>
          <w:tcPr>
            <w:tcW w:w="7308" w:type="dxa"/>
            <w:tcBorders>
              <w:top w:val="nil"/>
              <w:left w:val="single" w:sz="8" w:space="0" w:color="auto"/>
              <w:bottom w:val="nil"/>
              <w:right w:val="nil"/>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South African Airways </w:t>
            </w:r>
          </w:p>
        </w:tc>
        <w:tc>
          <w:tcPr>
            <w:tcW w:w="1234" w:type="dxa"/>
            <w:tcBorders>
              <w:top w:val="nil"/>
              <w:left w:val="single" w:sz="8" w:space="0" w:color="auto"/>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1,000</w:t>
            </w:r>
          </w:p>
        </w:tc>
        <w:tc>
          <w:tcPr>
            <w:tcW w:w="1322" w:type="dxa"/>
            <w:tcBorders>
              <w:top w:val="nil"/>
              <w:left w:val="nil"/>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w:t>
            </w:r>
          </w:p>
        </w:tc>
      </w:tr>
      <w:tr w:rsidR="008D265D" w:rsidRPr="008B5BEE" w:rsidTr="003B3BE1">
        <w:trPr>
          <w:trHeight w:val="253"/>
        </w:trPr>
        <w:tc>
          <w:tcPr>
            <w:tcW w:w="7308" w:type="dxa"/>
            <w:tcBorders>
              <w:top w:val="nil"/>
              <w:left w:val="single" w:sz="8" w:space="0" w:color="auto"/>
              <w:bottom w:val="nil"/>
              <w:right w:val="nil"/>
            </w:tcBorders>
            <w:shd w:val="clear" w:color="000000" w:fill="FFFFFF"/>
            <w:noWrap/>
            <w:vAlign w:val="bottom"/>
            <w:hideMark/>
          </w:tcPr>
          <w:p w:rsidR="008D265D" w:rsidRPr="008B5BEE" w:rsidRDefault="00D94874"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South African Post Off</w:t>
            </w:r>
            <w:r w:rsidR="008D265D" w:rsidRPr="008B5BEE">
              <w:rPr>
                <w:rFonts w:ascii="Arial" w:eastAsia="Times New Roman" w:hAnsi="Arial" w:cs="Arial"/>
                <w:color w:val="000000"/>
                <w:sz w:val="20"/>
                <w:szCs w:val="20"/>
                <w:lang w:eastAsia="en-ZA"/>
              </w:rPr>
              <w:t xml:space="preserve">ice </w:t>
            </w:r>
          </w:p>
        </w:tc>
        <w:tc>
          <w:tcPr>
            <w:tcW w:w="1234" w:type="dxa"/>
            <w:tcBorders>
              <w:top w:val="nil"/>
              <w:left w:val="single" w:sz="8" w:space="0" w:color="auto"/>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2,400</w:t>
            </w:r>
          </w:p>
        </w:tc>
        <w:tc>
          <w:tcPr>
            <w:tcW w:w="1322" w:type="dxa"/>
            <w:tcBorders>
              <w:top w:val="nil"/>
              <w:left w:val="nil"/>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w:t>
            </w:r>
          </w:p>
        </w:tc>
      </w:tr>
      <w:tr w:rsidR="008D265D" w:rsidRPr="008B5BEE" w:rsidTr="003B3BE1">
        <w:trPr>
          <w:trHeight w:val="253"/>
        </w:trPr>
        <w:tc>
          <w:tcPr>
            <w:tcW w:w="7308" w:type="dxa"/>
            <w:tcBorders>
              <w:top w:val="nil"/>
              <w:left w:val="single" w:sz="8" w:space="0" w:color="auto"/>
              <w:bottom w:val="nil"/>
              <w:right w:val="nil"/>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2022/23 public-service wage increase</w:t>
            </w:r>
          </w:p>
        </w:tc>
        <w:tc>
          <w:tcPr>
            <w:tcW w:w="1234" w:type="dxa"/>
            <w:tcBorders>
              <w:top w:val="nil"/>
              <w:left w:val="single" w:sz="8" w:space="0" w:color="auto"/>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14,602</w:t>
            </w:r>
          </w:p>
        </w:tc>
        <w:tc>
          <w:tcPr>
            <w:tcW w:w="1322" w:type="dxa"/>
            <w:tcBorders>
              <w:top w:val="nil"/>
              <w:left w:val="nil"/>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w:t>
            </w:r>
          </w:p>
        </w:tc>
      </w:tr>
      <w:tr w:rsidR="008D265D" w:rsidRPr="008B5BEE" w:rsidTr="003B3BE1">
        <w:trPr>
          <w:trHeight w:val="253"/>
        </w:trPr>
        <w:tc>
          <w:tcPr>
            <w:tcW w:w="7308" w:type="dxa"/>
            <w:tcBorders>
              <w:top w:val="nil"/>
              <w:left w:val="single" w:sz="8" w:space="0" w:color="auto"/>
              <w:bottom w:val="nil"/>
              <w:right w:val="nil"/>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Political parties fund</w:t>
            </w:r>
          </w:p>
        </w:tc>
        <w:tc>
          <w:tcPr>
            <w:tcW w:w="1234" w:type="dxa"/>
            <w:tcBorders>
              <w:top w:val="nil"/>
              <w:left w:val="single" w:sz="8" w:space="0" w:color="auto"/>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300</w:t>
            </w:r>
          </w:p>
        </w:tc>
        <w:tc>
          <w:tcPr>
            <w:tcW w:w="1322" w:type="dxa"/>
            <w:tcBorders>
              <w:top w:val="nil"/>
              <w:left w:val="nil"/>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w:t>
            </w:r>
          </w:p>
        </w:tc>
      </w:tr>
      <w:tr w:rsidR="008D265D" w:rsidRPr="008B5BEE" w:rsidTr="003B3BE1">
        <w:trPr>
          <w:trHeight w:val="262"/>
        </w:trPr>
        <w:tc>
          <w:tcPr>
            <w:tcW w:w="7308" w:type="dxa"/>
            <w:tcBorders>
              <w:top w:val="nil"/>
              <w:left w:val="single" w:sz="8" w:space="0" w:color="auto"/>
              <w:bottom w:val="dashed" w:sz="8" w:space="0" w:color="auto"/>
              <w:right w:val="nil"/>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Land Bank section 6 provision</w:t>
            </w:r>
          </w:p>
        </w:tc>
        <w:tc>
          <w:tcPr>
            <w:tcW w:w="1234" w:type="dxa"/>
            <w:tcBorders>
              <w:top w:val="nil"/>
              <w:left w:val="single" w:sz="8" w:space="0" w:color="auto"/>
              <w:bottom w:val="dashed" w:sz="8" w:space="0" w:color="auto"/>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5,000</w:t>
            </w:r>
          </w:p>
        </w:tc>
        <w:tc>
          <w:tcPr>
            <w:tcW w:w="1322" w:type="dxa"/>
            <w:tcBorders>
              <w:top w:val="nil"/>
              <w:left w:val="nil"/>
              <w:bottom w:val="dashed" w:sz="8" w:space="0" w:color="auto"/>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w:t>
            </w:r>
          </w:p>
        </w:tc>
      </w:tr>
      <w:tr w:rsidR="008D265D" w:rsidRPr="008B5BEE" w:rsidTr="003B3BE1">
        <w:trPr>
          <w:trHeight w:val="262"/>
        </w:trPr>
        <w:tc>
          <w:tcPr>
            <w:tcW w:w="7308" w:type="dxa"/>
            <w:tcBorders>
              <w:top w:val="nil"/>
              <w:left w:val="single" w:sz="8" w:space="0" w:color="auto"/>
              <w:bottom w:val="nil"/>
              <w:right w:val="nil"/>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Downward expenditure adjustments</w:t>
            </w:r>
          </w:p>
        </w:tc>
        <w:tc>
          <w:tcPr>
            <w:tcW w:w="1234" w:type="dxa"/>
            <w:tcBorders>
              <w:top w:val="nil"/>
              <w:left w:val="single" w:sz="8" w:space="0" w:color="auto"/>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w:t>
            </w:r>
          </w:p>
        </w:tc>
        <w:tc>
          <w:tcPr>
            <w:tcW w:w="1322" w:type="dxa"/>
            <w:tcBorders>
              <w:top w:val="nil"/>
              <w:left w:val="nil"/>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-54,039</w:t>
            </w:r>
          </w:p>
        </w:tc>
      </w:tr>
      <w:tr w:rsidR="008D265D" w:rsidRPr="008B5BEE" w:rsidTr="003B3BE1">
        <w:trPr>
          <w:trHeight w:val="253"/>
        </w:trPr>
        <w:tc>
          <w:tcPr>
            <w:tcW w:w="7308" w:type="dxa"/>
            <w:tcBorders>
              <w:top w:val="nil"/>
              <w:left w:val="single" w:sz="8" w:space="0" w:color="auto"/>
              <w:bottom w:val="nil"/>
              <w:right w:val="nil"/>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Projected underspending </w:t>
            </w:r>
          </w:p>
        </w:tc>
        <w:tc>
          <w:tcPr>
            <w:tcW w:w="1234" w:type="dxa"/>
            <w:tcBorders>
              <w:top w:val="nil"/>
              <w:left w:val="single" w:sz="8" w:space="0" w:color="auto"/>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-19,427</w:t>
            </w:r>
          </w:p>
        </w:tc>
        <w:tc>
          <w:tcPr>
            <w:tcW w:w="1322" w:type="dxa"/>
            <w:tcBorders>
              <w:top w:val="nil"/>
              <w:left w:val="nil"/>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 </w:t>
            </w:r>
          </w:p>
        </w:tc>
      </w:tr>
      <w:tr w:rsidR="008D265D" w:rsidRPr="008B5BEE" w:rsidTr="003B3BE1">
        <w:trPr>
          <w:trHeight w:val="262"/>
        </w:trPr>
        <w:tc>
          <w:tcPr>
            <w:tcW w:w="7308" w:type="dxa"/>
            <w:tcBorders>
              <w:top w:val="nil"/>
              <w:left w:val="single" w:sz="8" w:space="0" w:color="auto"/>
              <w:bottom w:val="nil"/>
              <w:right w:val="nil"/>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Other downward adjustments</w:t>
            </w:r>
          </w:p>
        </w:tc>
        <w:tc>
          <w:tcPr>
            <w:tcW w:w="1234" w:type="dxa"/>
            <w:tcBorders>
              <w:top w:val="nil"/>
              <w:left w:val="single" w:sz="8" w:space="0" w:color="auto"/>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-34,613</w:t>
            </w:r>
          </w:p>
        </w:tc>
        <w:tc>
          <w:tcPr>
            <w:tcW w:w="1322" w:type="dxa"/>
            <w:tcBorders>
              <w:top w:val="nil"/>
              <w:left w:val="nil"/>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 </w:t>
            </w:r>
          </w:p>
        </w:tc>
      </w:tr>
      <w:tr w:rsidR="008D265D" w:rsidRPr="008B5BEE" w:rsidTr="003B3BE1">
        <w:trPr>
          <w:trHeight w:val="253"/>
        </w:trPr>
        <w:tc>
          <w:tcPr>
            <w:tcW w:w="7308" w:type="dxa"/>
            <w:tcBorders>
              <w:top w:val="single" w:sz="8" w:space="0" w:color="auto"/>
              <w:left w:val="single" w:sz="8" w:space="0" w:color="auto"/>
              <w:bottom w:val="nil"/>
              <w:right w:val="nil"/>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Revised non interest expenditure (2023 budget)</w:t>
            </w:r>
          </w:p>
        </w:tc>
        <w:tc>
          <w:tcPr>
            <w:tcW w:w="1234" w:type="dxa"/>
            <w:tcBorders>
              <w:top w:val="single" w:sz="8" w:space="0" w:color="auto"/>
              <w:left w:val="single" w:sz="8" w:space="0" w:color="auto"/>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w:t>
            </w:r>
          </w:p>
        </w:tc>
        <w:tc>
          <w:tcPr>
            <w:tcW w:w="1322" w:type="dxa"/>
            <w:tcBorders>
              <w:top w:val="single" w:sz="8" w:space="0" w:color="auto"/>
              <w:left w:val="nil"/>
              <w:bottom w:val="nil"/>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1,696,829</w:t>
            </w:r>
          </w:p>
        </w:tc>
      </w:tr>
      <w:tr w:rsidR="008D265D" w:rsidRPr="008B5BEE" w:rsidTr="003B3BE1">
        <w:trPr>
          <w:trHeight w:val="68"/>
        </w:trPr>
        <w:tc>
          <w:tcPr>
            <w:tcW w:w="7308" w:type="dxa"/>
            <w:tcBorders>
              <w:top w:val="nil"/>
              <w:left w:val="single" w:sz="8" w:space="0" w:color="auto"/>
              <w:bottom w:val="single" w:sz="8" w:space="0" w:color="auto"/>
              <w:right w:val="nil"/>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Change in non-interest expenditure from the 2022 budget </w:t>
            </w:r>
          </w:p>
        </w:tc>
        <w:tc>
          <w:tcPr>
            <w:tcW w:w="1234" w:type="dxa"/>
            <w:tcBorders>
              <w:top w:val="nil"/>
              <w:left w:val="single" w:sz="8" w:space="0" w:color="auto"/>
              <w:bottom w:val="single" w:sz="8" w:space="0" w:color="auto"/>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w:t>
            </w:r>
          </w:p>
        </w:tc>
        <w:tc>
          <w:tcPr>
            <w:tcW w:w="1322" w:type="dxa"/>
            <w:tcBorders>
              <w:top w:val="nil"/>
              <w:left w:val="nil"/>
              <w:bottom w:val="single" w:sz="8" w:space="0" w:color="auto"/>
              <w:right w:val="single" w:sz="8" w:space="0" w:color="auto"/>
            </w:tcBorders>
            <w:shd w:val="clear" w:color="000000" w:fill="FFFFFF"/>
            <w:noWrap/>
            <w:vAlign w:val="bottom"/>
            <w:hideMark/>
          </w:tcPr>
          <w:p w:rsidR="008D265D" w:rsidRPr="008B5BEE" w:rsidRDefault="008D265D"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23,379</w:t>
            </w:r>
          </w:p>
        </w:tc>
      </w:tr>
    </w:tbl>
    <w:p w:rsidR="00CB64A0" w:rsidRPr="008B5BEE" w:rsidRDefault="00CB64A0" w:rsidP="008B5BEE">
      <w:pPr>
        <w:spacing w:after="0" w:line="240" w:lineRule="auto"/>
        <w:rPr>
          <w:rFonts w:ascii="Arial" w:eastAsia="Times New Roman" w:hAnsi="Arial" w:cs="Arial"/>
          <w:i/>
          <w:sz w:val="20"/>
          <w:szCs w:val="20"/>
        </w:rPr>
      </w:pPr>
      <w:r w:rsidRPr="008B5BEE">
        <w:rPr>
          <w:rFonts w:ascii="Arial" w:eastAsia="Times New Roman" w:hAnsi="Arial" w:cs="Arial"/>
          <w:b/>
          <w:i/>
          <w:sz w:val="20"/>
          <w:szCs w:val="20"/>
        </w:rPr>
        <w:t>Source:</w:t>
      </w:r>
      <w:r w:rsidRPr="008B5BEE">
        <w:rPr>
          <w:rFonts w:ascii="Arial" w:eastAsia="Times New Roman" w:hAnsi="Arial" w:cs="Arial"/>
          <w:i/>
          <w:sz w:val="20"/>
          <w:szCs w:val="20"/>
        </w:rPr>
        <w:t xml:space="preserve"> Second Adjustments Appropriation (2022/23 Financial Year) Bill: National Treasury </w:t>
      </w:r>
    </w:p>
    <w:p w:rsidR="00226079" w:rsidRPr="008B5BEE" w:rsidRDefault="00226079" w:rsidP="008B5BEE">
      <w:pPr>
        <w:spacing w:after="0" w:line="240" w:lineRule="auto"/>
        <w:rPr>
          <w:rFonts w:ascii="Arial" w:eastAsia="Times New Roman" w:hAnsi="Arial" w:cs="Arial"/>
          <w:sz w:val="20"/>
          <w:szCs w:val="20"/>
        </w:rPr>
      </w:pPr>
    </w:p>
    <w:p w:rsidR="002E0922" w:rsidRPr="008B5BEE" w:rsidRDefault="002E0922" w:rsidP="008B5BEE">
      <w:pPr>
        <w:numPr>
          <w:ilvl w:val="0"/>
          <w:numId w:val="2"/>
        </w:numPr>
        <w:tabs>
          <w:tab w:val="left" w:pos="426"/>
        </w:tabs>
        <w:spacing w:after="0" w:line="240" w:lineRule="auto"/>
        <w:ind w:left="360"/>
        <w:contextualSpacing/>
        <w:rPr>
          <w:rFonts w:ascii="Arial" w:eastAsia="Times New Roman" w:hAnsi="Arial" w:cs="Arial"/>
          <w:b/>
          <w:sz w:val="20"/>
          <w:szCs w:val="20"/>
        </w:rPr>
      </w:pPr>
      <w:r w:rsidRPr="008B5BEE">
        <w:rPr>
          <w:rFonts w:ascii="Arial" w:eastAsia="Times New Roman" w:hAnsi="Arial" w:cs="Arial"/>
          <w:b/>
          <w:sz w:val="20"/>
          <w:szCs w:val="20"/>
        </w:rPr>
        <w:t>Provisions of the Bill</w:t>
      </w:r>
    </w:p>
    <w:p w:rsidR="002E0922" w:rsidRPr="008B5BEE" w:rsidRDefault="002E0922" w:rsidP="008B5BEE">
      <w:pPr>
        <w:tabs>
          <w:tab w:val="left" w:pos="426"/>
        </w:tabs>
        <w:spacing w:after="0" w:line="240" w:lineRule="auto"/>
        <w:ind w:left="360"/>
        <w:contextualSpacing/>
        <w:rPr>
          <w:rFonts w:ascii="Arial" w:eastAsia="Times New Roman" w:hAnsi="Arial" w:cs="Arial"/>
          <w:b/>
          <w:sz w:val="20"/>
          <w:szCs w:val="20"/>
        </w:rPr>
      </w:pPr>
    </w:p>
    <w:p w:rsidR="002E0922" w:rsidRPr="008B5BEE" w:rsidRDefault="002E0922" w:rsidP="008B5BEE">
      <w:pPr>
        <w:autoSpaceDE w:val="0"/>
        <w:autoSpaceDN w:val="0"/>
        <w:adjustRightInd w:val="0"/>
        <w:spacing w:after="0" w:line="240" w:lineRule="auto"/>
        <w:rPr>
          <w:rFonts w:ascii="Arial" w:eastAsia="Calibri" w:hAnsi="Arial" w:cs="Arial"/>
          <w:color w:val="000000"/>
          <w:sz w:val="20"/>
          <w:szCs w:val="20"/>
        </w:rPr>
      </w:pPr>
      <w:r w:rsidRPr="008B5BEE">
        <w:rPr>
          <w:rFonts w:ascii="Arial" w:eastAsia="Calibri" w:hAnsi="Arial" w:cs="Arial"/>
          <w:color w:val="000000"/>
          <w:sz w:val="20"/>
          <w:szCs w:val="20"/>
        </w:rPr>
        <w:t xml:space="preserve">The Bill proposes additional financial support to the following </w:t>
      </w:r>
      <w:r w:rsidR="00B468F7" w:rsidRPr="008B5BEE">
        <w:rPr>
          <w:rFonts w:ascii="Arial" w:eastAsia="Calibri" w:hAnsi="Arial" w:cs="Arial"/>
          <w:color w:val="000000"/>
          <w:sz w:val="20"/>
          <w:szCs w:val="20"/>
        </w:rPr>
        <w:t>Votes</w:t>
      </w:r>
      <w:r w:rsidRPr="008B5BEE">
        <w:rPr>
          <w:rFonts w:ascii="Arial" w:eastAsia="Calibri" w:hAnsi="Arial" w:cs="Arial"/>
          <w:color w:val="000000"/>
          <w:sz w:val="20"/>
          <w:szCs w:val="20"/>
        </w:rPr>
        <w:t>:</w:t>
      </w:r>
    </w:p>
    <w:p w:rsidR="003B3BE1" w:rsidRPr="008B5BEE" w:rsidRDefault="003B3BE1" w:rsidP="008B5BEE">
      <w:pPr>
        <w:autoSpaceDE w:val="0"/>
        <w:autoSpaceDN w:val="0"/>
        <w:adjustRightInd w:val="0"/>
        <w:spacing w:after="0" w:line="240" w:lineRule="auto"/>
        <w:rPr>
          <w:rFonts w:ascii="Arial" w:eastAsia="Calibri" w:hAnsi="Arial" w:cs="Arial"/>
          <w:color w:val="000000"/>
          <w:sz w:val="20"/>
          <w:szCs w:val="20"/>
        </w:rPr>
      </w:pPr>
    </w:p>
    <w:p w:rsidR="00226079" w:rsidRPr="008B5BEE" w:rsidRDefault="00C52EFD" w:rsidP="008B5BEE">
      <w:pPr>
        <w:pStyle w:val="ListParagraph"/>
        <w:numPr>
          <w:ilvl w:val="0"/>
          <w:numId w:val="12"/>
        </w:numPr>
        <w:autoSpaceDE w:val="0"/>
        <w:autoSpaceDN w:val="0"/>
        <w:adjustRightInd w:val="0"/>
        <w:spacing w:after="0" w:line="240" w:lineRule="auto"/>
        <w:rPr>
          <w:rFonts w:ascii="Arial" w:eastAsia="Calibri" w:hAnsi="Arial" w:cs="Arial"/>
          <w:color w:val="000000"/>
          <w:sz w:val="20"/>
          <w:szCs w:val="20"/>
        </w:rPr>
      </w:pPr>
      <w:r w:rsidRPr="008B5BEE">
        <w:rPr>
          <w:rFonts w:ascii="Arial" w:eastAsia="Calibri" w:hAnsi="Arial" w:cs="Arial"/>
          <w:color w:val="000000"/>
          <w:sz w:val="20"/>
          <w:szCs w:val="20"/>
        </w:rPr>
        <w:t xml:space="preserve">A proposed additional </w:t>
      </w:r>
      <w:r w:rsidR="004B3D8D" w:rsidRPr="008B5BEE">
        <w:rPr>
          <w:rFonts w:ascii="Arial" w:eastAsia="Calibri" w:hAnsi="Arial" w:cs="Arial"/>
          <w:color w:val="000000"/>
          <w:sz w:val="20"/>
          <w:szCs w:val="20"/>
        </w:rPr>
        <w:t>allocation</w:t>
      </w:r>
      <w:r w:rsidR="00481AC9" w:rsidRPr="008B5BEE">
        <w:rPr>
          <w:rFonts w:ascii="Arial" w:eastAsia="Calibri" w:hAnsi="Arial" w:cs="Arial"/>
          <w:color w:val="000000"/>
          <w:sz w:val="20"/>
          <w:szCs w:val="20"/>
        </w:rPr>
        <w:t xml:space="preserve"> of</w:t>
      </w:r>
      <w:r w:rsidR="004B3D8D" w:rsidRPr="008B5BEE">
        <w:rPr>
          <w:rFonts w:ascii="Arial" w:eastAsia="Calibri" w:hAnsi="Arial" w:cs="Arial"/>
          <w:color w:val="000000"/>
          <w:sz w:val="20"/>
          <w:szCs w:val="20"/>
        </w:rPr>
        <w:t xml:space="preserve"> </w:t>
      </w:r>
      <w:r w:rsidR="00F838ED" w:rsidRPr="008B5BEE">
        <w:rPr>
          <w:rFonts w:ascii="Arial" w:eastAsia="Calibri" w:hAnsi="Arial" w:cs="Arial"/>
          <w:color w:val="000000"/>
          <w:sz w:val="20"/>
          <w:szCs w:val="20"/>
        </w:rPr>
        <w:t>R1</w:t>
      </w:r>
      <w:r w:rsidR="002E0922" w:rsidRPr="008B5BEE">
        <w:rPr>
          <w:rFonts w:ascii="Arial" w:eastAsia="Calibri" w:hAnsi="Arial" w:cs="Arial"/>
          <w:color w:val="000000"/>
          <w:sz w:val="20"/>
          <w:szCs w:val="20"/>
        </w:rPr>
        <w:t xml:space="preserve"> billion to </w:t>
      </w:r>
      <w:r w:rsidR="00F838ED" w:rsidRPr="008B5BEE">
        <w:rPr>
          <w:rFonts w:ascii="Arial" w:eastAsia="Calibri" w:hAnsi="Arial" w:cs="Arial"/>
          <w:color w:val="000000"/>
          <w:sz w:val="20"/>
          <w:szCs w:val="20"/>
        </w:rPr>
        <w:t xml:space="preserve">the Department of Public Enterprises (Vote 10) for a settlement agreement that was reached between the SAA businesses rescue practitioners and the airline’s creditors providing for a gradual payment of historical debts. </w:t>
      </w:r>
    </w:p>
    <w:p w:rsidR="00F838ED" w:rsidRPr="008B5BEE" w:rsidRDefault="00F838ED" w:rsidP="008B5BEE">
      <w:pPr>
        <w:pStyle w:val="ListParagraph"/>
        <w:numPr>
          <w:ilvl w:val="0"/>
          <w:numId w:val="12"/>
        </w:numPr>
        <w:autoSpaceDE w:val="0"/>
        <w:autoSpaceDN w:val="0"/>
        <w:adjustRightInd w:val="0"/>
        <w:spacing w:after="0" w:line="240" w:lineRule="auto"/>
        <w:rPr>
          <w:rFonts w:ascii="Arial" w:eastAsia="Calibri" w:hAnsi="Arial" w:cs="Arial"/>
          <w:color w:val="000000"/>
          <w:sz w:val="20"/>
          <w:szCs w:val="20"/>
        </w:rPr>
      </w:pPr>
      <w:r w:rsidRPr="008B5BEE">
        <w:rPr>
          <w:rFonts w:ascii="Arial" w:eastAsia="Calibri" w:hAnsi="Arial" w:cs="Arial"/>
          <w:color w:val="000000"/>
          <w:sz w:val="20"/>
          <w:szCs w:val="20"/>
        </w:rPr>
        <w:t>A proposed additional allocation of R2.4 billion to the Department of Communications and Digital Technologies (Vote 30) for the recapitalisation of the South African Post Office SOC Limited</w:t>
      </w:r>
      <w:r w:rsidR="00B468F7" w:rsidRPr="008B5BEE">
        <w:rPr>
          <w:rFonts w:ascii="Arial" w:eastAsia="Calibri" w:hAnsi="Arial" w:cs="Arial"/>
          <w:color w:val="000000"/>
          <w:sz w:val="20"/>
          <w:szCs w:val="20"/>
        </w:rPr>
        <w:t>.</w:t>
      </w:r>
      <w:r w:rsidRPr="008B5BEE">
        <w:rPr>
          <w:rFonts w:ascii="Arial" w:eastAsia="Calibri" w:hAnsi="Arial" w:cs="Arial"/>
          <w:color w:val="000000"/>
          <w:sz w:val="20"/>
          <w:szCs w:val="20"/>
        </w:rPr>
        <w:t xml:space="preserve"> </w:t>
      </w:r>
    </w:p>
    <w:p w:rsidR="00F838ED" w:rsidRPr="008B5BEE" w:rsidRDefault="00F838ED" w:rsidP="008B5BEE">
      <w:pPr>
        <w:pStyle w:val="ListParagraph"/>
        <w:numPr>
          <w:ilvl w:val="0"/>
          <w:numId w:val="12"/>
        </w:numPr>
        <w:autoSpaceDE w:val="0"/>
        <w:autoSpaceDN w:val="0"/>
        <w:adjustRightInd w:val="0"/>
        <w:spacing w:after="0" w:line="240" w:lineRule="auto"/>
        <w:rPr>
          <w:rFonts w:ascii="Arial" w:eastAsia="Calibri" w:hAnsi="Arial" w:cs="Arial"/>
          <w:color w:val="000000"/>
          <w:sz w:val="20"/>
          <w:szCs w:val="20"/>
        </w:rPr>
      </w:pPr>
      <w:r w:rsidRPr="008B5BEE">
        <w:rPr>
          <w:rFonts w:ascii="Arial" w:eastAsia="Calibri" w:hAnsi="Arial" w:cs="Arial"/>
          <w:color w:val="000000"/>
          <w:sz w:val="20"/>
          <w:szCs w:val="20"/>
        </w:rPr>
        <w:t>A proposed additional</w:t>
      </w:r>
      <w:r w:rsidR="006F25DB" w:rsidRPr="008B5BEE">
        <w:rPr>
          <w:rFonts w:ascii="Arial" w:eastAsia="Calibri" w:hAnsi="Arial" w:cs="Arial"/>
          <w:color w:val="000000"/>
          <w:sz w:val="20"/>
          <w:szCs w:val="20"/>
        </w:rPr>
        <w:t xml:space="preserve"> allocation of R5 billion to</w:t>
      </w:r>
      <w:r w:rsidRPr="008B5BEE">
        <w:rPr>
          <w:rFonts w:ascii="Arial" w:eastAsia="Calibri" w:hAnsi="Arial" w:cs="Arial"/>
          <w:color w:val="000000"/>
          <w:sz w:val="20"/>
          <w:szCs w:val="20"/>
        </w:rPr>
        <w:t xml:space="preserve"> National Treasury (Vote 8) for the purchase of equity from the Land and Agricultural Development Bank of South Africa.  </w:t>
      </w:r>
    </w:p>
    <w:p w:rsidR="00F838ED" w:rsidRPr="008B5BEE" w:rsidRDefault="00481AC9" w:rsidP="008B5BEE">
      <w:pPr>
        <w:pStyle w:val="ListParagraph"/>
        <w:numPr>
          <w:ilvl w:val="0"/>
          <w:numId w:val="12"/>
        </w:numPr>
        <w:autoSpaceDE w:val="0"/>
        <w:autoSpaceDN w:val="0"/>
        <w:adjustRightInd w:val="0"/>
        <w:spacing w:after="0" w:line="240" w:lineRule="auto"/>
        <w:rPr>
          <w:rFonts w:ascii="Arial" w:eastAsia="Calibri" w:hAnsi="Arial" w:cs="Arial"/>
          <w:color w:val="000000"/>
          <w:sz w:val="20"/>
          <w:szCs w:val="20"/>
        </w:rPr>
      </w:pPr>
      <w:r w:rsidRPr="008B5BEE">
        <w:rPr>
          <w:rFonts w:ascii="Arial" w:eastAsia="Calibri" w:hAnsi="Arial" w:cs="Arial"/>
          <w:color w:val="000000"/>
          <w:sz w:val="20"/>
          <w:szCs w:val="20"/>
        </w:rPr>
        <w:t>A proposed</w:t>
      </w:r>
      <w:r w:rsidR="00F838ED" w:rsidRPr="008B5BEE">
        <w:rPr>
          <w:rFonts w:ascii="Arial" w:eastAsia="Calibri" w:hAnsi="Arial" w:cs="Arial"/>
          <w:color w:val="000000"/>
          <w:sz w:val="20"/>
          <w:szCs w:val="20"/>
        </w:rPr>
        <w:t xml:space="preserve"> additional allocation of R300 million to the Department of Home Affairs (Vote 5) </w:t>
      </w:r>
      <w:r w:rsidR="00A314F4" w:rsidRPr="008B5BEE">
        <w:rPr>
          <w:rFonts w:ascii="Arial" w:eastAsia="Calibri" w:hAnsi="Arial" w:cs="Arial"/>
          <w:color w:val="000000"/>
          <w:sz w:val="20"/>
          <w:szCs w:val="20"/>
        </w:rPr>
        <w:t xml:space="preserve">for addition support to the operation of political parties. </w:t>
      </w:r>
    </w:p>
    <w:p w:rsidR="003B3BE1" w:rsidRPr="008B5BEE" w:rsidRDefault="00A314F4" w:rsidP="008B5BEE">
      <w:pPr>
        <w:pStyle w:val="ListParagraph"/>
        <w:numPr>
          <w:ilvl w:val="0"/>
          <w:numId w:val="12"/>
        </w:numPr>
        <w:autoSpaceDE w:val="0"/>
        <w:autoSpaceDN w:val="0"/>
        <w:adjustRightInd w:val="0"/>
        <w:spacing w:after="0" w:line="240" w:lineRule="auto"/>
        <w:rPr>
          <w:rFonts w:ascii="Arial" w:eastAsia="Calibri" w:hAnsi="Arial" w:cs="Arial"/>
          <w:color w:val="000000"/>
          <w:sz w:val="20"/>
          <w:szCs w:val="20"/>
        </w:rPr>
      </w:pPr>
      <w:r w:rsidRPr="008B5BEE">
        <w:rPr>
          <w:rFonts w:ascii="Arial" w:eastAsia="Calibri" w:hAnsi="Arial" w:cs="Arial"/>
          <w:color w:val="000000"/>
          <w:sz w:val="20"/>
          <w:szCs w:val="20"/>
        </w:rPr>
        <w:t>A propose</w:t>
      </w:r>
      <w:r w:rsidR="006703FD" w:rsidRPr="008B5BEE">
        <w:rPr>
          <w:rFonts w:ascii="Arial" w:eastAsia="Calibri" w:hAnsi="Arial" w:cs="Arial"/>
          <w:color w:val="000000"/>
          <w:sz w:val="20"/>
          <w:szCs w:val="20"/>
        </w:rPr>
        <w:t xml:space="preserve">d addition of </w:t>
      </w:r>
      <w:r w:rsidR="00481AC9" w:rsidRPr="008B5BEE">
        <w:rPr>
          <w:rFonts w:ascii="Arial" w:eastAsia="Calibri" w:hAnsi="Arial" w:cs="Arial"/>
          <w:color w:val="000000"/>
          <w:sz w:val="20"/>
          <w:szCs w:val="20"/>
        </w:rPr>
        <w:t>R</w:t>
      </w:r>
      <w:r w:rsidR="006703FD" w:rsidRPr="008B5BEE">
        <w:rPr>
          <w:rFonts w:ascii="Arial" w:eastAsia="Calibri" w:hAnsi="Arial" w:cs="Arial"/>
          <w:color w:val="000000"/>
          <w:sz w:val="20"/>
          <w:szCs w:val="20"/>
        </w:rPr>
        <w:t xml:space="preserve">4.5 billion to </w:t>
      </w:r>
      <w:r w:rsidR="00481AC9" w:rsidRPr="008B5BEE">
        <w:rPr>
          <w:rFonts w:ascii="Arial" w:eastAsia="Calibri" w:hAnsi="Arial" w:cs="Arial"/>
          <w:color w:val="000000"/>
          <w:sz w:val="20"/>
          <w:szCs w:val="20"/>
        </w:rPr>
        <w:t xml:space="preserve">various </w:t>
      </w:r>
      <w:r w:rsidR="006703FD" w:rsidRPr="008B5BEE">
        <w:rPr>
          <w:rFonts w:ascii="Arial" w:eastAsia="Calibri" w:hAnsi="Arial" w:cs="Arial"/>
          <w:color w:val="000000"/>
          <w:sz w:val="20"/>
          <w:szCs w:val="20"/>
        </w:rPr>
        <w:t>V</w:t>
      </w:r>
      <w:r w:rsidRPr="008B5BEE">
        <w:rPr>
          <w:rFonts w:ascii="Arial" w:eastAsia="Calibri" w:hAnsi="Arial" w:cs="Arial"/>
          <w:color w:val="000000"/>
          <w:sz w:val="20"/>
          <w:szCs w:val="20"/>
        </w:rPr>
        <w:t>ote allocation</w:t>
      </w:r>
      <w:r w:rsidR="00481AC9" w:rsidRPr="008B5BEE">
        <w:rPr>
          <w:rFonts w:ascii="Arial" w:eastAsia="Calibri" w:hAnsi="Arial" w:cs="Arial"/>
          <w:color w:val="000000"/>
          <w:sz w:val="20"/>
          <w:szCs w:val="20"/>
        </w:rPr>
        <w:t>s</w:t>
      </w:r>
      <w:r w:rsidRPr="008B5BEE">
        <w:rPr>
          <w:rFonts w:ascii="Arial" w:eastAsia="Calibri" w:hAnsi="Arial" w:cs="Arial"/>
          <w:color w:val="000000"/>
          <w:sz w:val="20"/>
          <w:szCs w:val="20"/>
        </w:rPr>
        <w:t xml:space="preserve"> to provide for the carry-through costs of the 2022 public-ser</w:t>
      </w:r>
      <w:r w:rsidR="00BD1B0D" w:rsidRPr="008B5BEE">
        <w:rPr>
          <w:rFonts w:ascii="Arial" w:eastAsia="Calibri" w:hAnsi="Arial" w:cs="Arial"/>
          <w:color w:val="000000"/>
          <w:sz w:val="20"/>
          <w:szCs w:val="20"/>
        </w:rPr>
        <w:t>vice wage increases</w:t>
      </w:r>
      <w:r w:rsidRPr="008B5BEE">
        <w:rPr>
          <w:rFonts w:ascii="Arial" w:eastAsia="Calibri" w:hAnsi="Arial" w:cs="Arial"/>
          <w:color w:val="000000"/>
          <w:sz w:val="20"/>
          <w:szCs w:val="20"/>
        </w:rPr>
        <w:t xml:space="preserve">. </w:t>
      </w:r>
    </w:p>
    <w:p w:rsidR="003D725C" w:rsidRPr="008B5BEE" w:rsidRDefault="003D725C" w:rsidP="008B5BEE">
      <w:pPr>
        <w:autoSpaceDE w:val="0"/>
        <w:autoSpaceDN w:val="0"/>
        <w:adjustRightInd w:val="0"/>
        <w:spacing w:after="0" w:line="240" w:lineRule="auto"/>
        <w:rPr>
          <w:rFonts w:ascii="Arial" w:eastAsia="Calibri" w:hAnsi="Arial" w:cs="Arial"/>
          <w:color w:val="000000"/>
          <w:sz w:val="20"/>
          <w:szCs w:val="20"/>
        </w:rPr>
      </w:pPr>
    </w:p>
    <w:p w:rsidR="003D725C" w:rsidRPr="008B5BEE" w:rsidRDefault="003D725C" w:rsidP="008B5BEE">
      <w:pPr>
        <w:autoSpaceDE w:val="0"/>
        <w:autoSpaceDN w:val="0"/>
        <w:adjustRightInd w:val="0"/>
        <w:spacing w:after="0" w:line="240" w:lineRule="auto"/>
        <w:rPr>
          <w:rFonts w:ascii="Arial" w:eastAsia="Calibri" w:hAnsi="Arial" w:cs="Arial"/>
          <w:color w:val="000000"/>
          <w:sz w:val="20"/>
          <w:szCs w:val="20"/>
        </w:rPr>
      </w:pPr>
    </w:p>
    <w:p w:rsidR="004E7677" w:rsidRPr="008B5BEE" w:rsidRDefault="004E7677" w:rsidP="008B5BEE">
      <w:pPr>
        <w:numPr>
          <w:ilvl w:val="0"/>
          <w:numId w:val="2"/>
        </w:numPr>
        <w:tabs>
          <w:tab w:val="left" w:pos="426"/>
        </w:tabs>
        <w:spacing w:after="0" w:line="240" w:lineRule="auto"/>
        <w:ind w:left="360"/>
        <w:contextualSpacing/>
        <w:rPr>
          <w:rFonts w:ascii="Arial" w:eastAsia="Times New Roman" w:hAnsi="Arial" w:cs="Arial"/>
          <w:b/>
          <w:sz w:val="20"/>
          <w:szCs w:val="20"/>
        </w:rPr>
      </w:pPr>
      <w:r w:rsidRPr="008B5BEE">
        <w:rPr>
          <w:rFonts w:ascii="Arial" w:eastAsia="Times New Roman" w:hAnsi="Arial" w:cs="Arial"/>
          <w:b/>
          <w:sz w:val="20"/>
          <w:szCs w:val="20"/>
        </w:rPr>
        <w:t>Public sector wage increases</w:t>
      </w:r>
    </w:p>
    <w:p w:rsidR="004E7677" w:rsidRPr="008B5BEE" w:rsidRDefault="004E7677" w:rsidP="008B5BEE">
      <w:pPr>
        <w:tabs>
          <w:tab w:val="left" w:pos="426"/>
        </w:tabs>
        <w:spacing w:after="0" w:line="240" w:lineRule="auto"/>
        <w:contextualSpacing/>
        <w:rPr>
          <w:rFonts w:ascii="Arial" w:eastAsia="Times New Roman" w:hAnsi="Arial" w:cs="Arial"/>
          <w:b/>
          <w:sz w:val="20"/>
          <w:szCs w:val="20"/>
        </w:rPr>
      </w:pPr>
    </w:p>
    <w:p w:rsidR="00FE54D7" w:rsidRPr="008B5BEE" w:rsidRDefault="008810C3" w:rsidP="008B5BEE">
      <w:pPr>
        <w:tabs>
          <w:tab w:val="left" w:pos="426"/>
        </w:tabs>
        <w:spacing w:after="0" w:line="240" w:lineRule="auto"/>
        <w:contextualSpacing/>
        <w:rPr>
          <w:rFonts w:ascii="Arial" w:eastAsia="Times New Roman" w:hAnsi="Arial" w:cs="Arial"/>
          <w:sz w:val="20"/>
          <w:szCs w:val="20"/>
        </w:rPr>
      </w:pPr>
      <w:r w:rsidRPr="008B5BEE">
        <w:rPr>
          <w:rFonts w:ascii="Arial" w:eastAsia="Times New Roman" w:hAnsi="Arial" w:cs="Arial"/>
          <w:sz w:val="20"/>
          <w:szCs w:val="20"/>
        </w:rPr>
        <w:t>In order to provide for the 2022 public-service wage agreement between government and organised labour, the bill proposes additional allocation of R</w:t>
      </w:r>
      <w:r w:rsidR="00B468F7" w:rsidRPr="008B5BEE">
        <w:rPr>
          <w:rFonts w:ascii="Arial" w:eastAsia="Times New Roman" w:hAnsi="Arial" w:cs="Arial"/>
          <w:sz w:val="20"/>
          <w:szCs w:val="20"/>
        </w:rPr>
        <w:t>4.5</w:t>
      </w:r>
      <w:r w:rsidRPr="008B5BEE">
        <w:rPr>
          <w:rFonts w:ascii="Arial" w:eastAsia="Times New Roman" w:hAnsi="Arial" w:cs="Arial"/>
          <w:sz w:val="20"/>
          <w:szCs w:val="20"/>
        </w:rPr>
        <w:t xml:space="preserve">billion to </w:t>
      </w:r>
      <w:r w:rsidR="00B468F7" w:rsidRPr="008B5BEE">
        <w:rPr>
          <w:rFonts w:ascii="Arial" w:eastAsia="Times New Roman" w:hAnsi="Arial" w:cs="Arial"/>
          <w:sz w:val="20"/>
          <w:szCs w:val="20"/>
        </w:rPr>
        <w:t>V</w:t>
      </w:r>
      <w:r w:rsidRPr="008B5BEE">
        <w:rPr>
          <w:rFonts w:ascii="Arial" w:eastAsia="Times New Roman" w:hAnsi="Arial" w:cs="Arial"/>
          <w:sz w:val="20"/>
          <w:szCs w:val="20"/>
        </w:rPr>
        <w:t xml:space="preserve">ote allocation. </w:t>
      </w:r>
      <w:r w:rsidR="00943E91" w:rsidRPr="008B5BEE">
        <w:rPr>
          <w:rFonts w:ascii="Arial" w:eastAsia="Times New Roman" w:hAnsi="Arial" w:cs="Arial"/>
          <w:sz w:val="20"/>
          <w:szCs w:val="20"/>
        </w:rPr>
        <w:t>The total exclude the allocation to Parliament of the Republic of South Africa as the disaggregation of the vote per main division is determined in terms of the Financial Management Act of Parliament and Provincial Legislatures Act, 2009 (Act No. 10 of 2009).</w:t>
      </w:r>
      <w:r w:rsidR="00AC48C6" w:rsidRPr="008B5BEE">
        <w:rPr>
          <w:rFonts w:ascii="Arial" w:eastAsia="Times New Roman" w:hAnsi="Arial" w:cs="Arial"/>
          <w:sz w:val="20"/>
          <w:szCs w:val="20"/>
        </w:rPr>
        <w:t xml:space="preserve"> Table 2 below highlights the total proposed allocation per vote to cater for the 2022 public-service wage agreement</w:t>
      </w:r>
      <w:r w:rsidR="00C60A17" w:rsidRPr="008B5BEE">
        <w:rPr>
          <w:rFonts w:ascii="Arial" w:eastAsia="Times New Roman" w:hAnsi="Arial" w:cs="Arial"/>
          <w:sz w:val="20"/>
          <w:szCs w:val="20"/>
        </w:rPr>
        <w:t>, excluding Parliament</w:t>
      </w:r>
      <w:r w:rsidR="00AC48C6" w:rsidRPr="008B5BEE">
        <w:rPr>
          <w:rFonts w:ascii="Arial" w:eastAsia="Times New Roman" w:hAnsi="Arial" w:cs="Arial"/>
          <w:sz w:val="20"/>
          <w:szCs w:val="20"/>
        </w:rPr>
        <w:t>.</w:t>
      </w:r>
    </w:p>
    <w:p w:rsidR="00673602" w:rsidRPr="008B5BEE" w:rsidRDefault="00673602"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3D725C" w:rsidRPr="008B5BEE" w:rsidRDefault="003D725C" w:rsidP="008B5BEE">
      <w:pPr>
        <w:tabs>
          <w:tab w:val="left" w:pos="426"/>
        </w:tabs>
        <w:spacing w:after="0" w:line="240" w:lineRule="auto"/>
        <w:contextualSpacing/>
        <w:rPr>
          <w:rFonts w:ascii="Arial" w:eastAsia="Times New Roman" w:hAnsi="Arial" w:cs="Arial"/>
          <w:sz w:val="20"/>
          <w:szCs w:val="20"/>
        </w:rPr>
      </w:pPr>
    </w:p>
    <w:p w:rsidR="003D725C" w:rsidRPr="008B5BEE" w:rsidRDefault="003D725C" w:rsidP="008B5BEE">
      <w:pPr>
        <w:tabs>
          <w:tab w:val="left" w:pos="426"/>
        </w:tabs>
        <w:spacing w:after="0" w:line="240" w:lineRule="auto"/>
        <w:contextualSpacing/>
        <w:rPr>
          <w:rFonts w:ascii="Arial" w:eastAsia="Times New Roman" w:hAnsi="Arial" w:cs="Arial"/>
          <w:sz w:val="20"/>
          <w:szCs w:val="20"/>
        </w:rPr>
      </w:pPr>
    </w:p>
    <w:p w:rsidR="00F372DD" w:rsidRPr="008B5BEE" w:rsidRDefault="00F372DD" w:rsidP="008B5BEE">
      <w:pPr>
        <w:tabs>
          <w:tab w:val="left" w:pos="426"/>
        </w:tabs>
        <w:spacing w:after="0" w:line="240" w:lineRule="auto"/>
        <w:contextualSpacing/>
        <w:rPr>
          <w:rFonts w:ascii="Arial" w:eastAsia="Times New Roman" w:hAnsi="Arial" w:cs="Arial"/>
          <w:sz w:val="20"/>
          <w:szCs w:val="20"/>
        </w:rPr>
      </w:pPr>
      <w:r w:rsidRPr="008B5BEE">
        <w:rPr>
          <w:rFonts w:ascii="Arial" w:eastAsia="Times New Roman" w:hAnsi="Arial" w:cs="Arial"/>
          <w:b/>
          <w:sz w:val="20"/>
          <w:szCs w:val="20"/>
        </w:rPr>
        <w:t>Table 2:</w:t>
      </w:r>
      <w:r w:rsidRPr="008B5BEE">
        <w:rPr>
          <w:rFonts w:ascii="Arial" w:eastAsia="Times New Roman" w:hAnsi="Arial" w:cs="Arial"/>
          <w:sz w:val="20"/>
          <w:szCs w:val="20"/>
        </w:rPr>
        <w:t xml:space="preserve"> Public-service wage increase</w:t>
      </w:r>
    </w:p>
    <w:tbl>
      <w:tblPr>
        <w:tblW w:w="9520" w:type="dxa"/>
        <w:tblLook w:val="04A0"/>
      </w:tblPr>
      <w:tblGrid>
        <w:gridCol w:w="905"/>
        <w:gridCol w:w="6515"/>
        <w:gridCol w:w="2100"/>
      </w:tblGrid>
      <w:tr w:rsidR="00C60A17" w:rsidRPr="008B5BEE" w:rsidTr="00673602">
        <w:trPr>
          <w:trHeight w:val="345"/>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 xml:space="preserve">Vote </w:t>
            </w:r>
          </w:p>
        </w:tc>
        <w:tc>
          <w:tcPr>
            <w:tcW w:w="6515" w:type="dxa"/>
            <w:tcBorders>
              <w:top w:val="single" w:sz="8" w:space="0" w:color="auto"/>
              <w:left w:val="nil"/>
              <w:bottom w:val="single" w:sz="8" w:space="0" w:color="auto"/>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 xml:space="preserve">Department (R'000) </w:t>
            </w:r>
          </w:p>
        </w:tc>
        <w:tc>
          <w:tcPr>
            <w:tcW w:w="20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2022/23</w:t>
            </w:r>
          </w:p>
        </w:tc>
      </w:tr>
      <w:tr w:rsidR="00C60A17" w:rsidRPr="008B5BEE" w:rsidTr="00673602">
        <w:trPr>
          <w:trHeight w:val="377"/>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1</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The Presidency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11,400</w:t>
            </w:r>
          </w:p>
        </w:tc>
      </w:tr>
      <w:tr w:rsidR="00C60A17" w:rsidRPr="008B5BEE" w:rsidTr="00673602">
        <w:trPr>
          <w:trHeight w:val="271"/>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2</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Parliament*</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                   37,068                     </w:t>
            </w:r>
          </w:p>
        </w:tc>
      </w:tr>
      <w:tr w:rsidR="00C60A17" w:rsidRPr="008B5BEE" w:rsidTr="00673602">
        <w:trPr>
          <w:trHeight w:val="228"/>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3</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Cooperative Governance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12,523</w:t>
            </w:r>
          </w:p>
        </w:tc>
      </w:tr>
      <w:tr w:rsidR="00C60A17" w:rsidRPr="008B5BEE" w:rsidTr="00673602">
        <w:trPr>
          <w:trHeight w:val="271"/>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4</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Government Communications and Information Systems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8,753</w:t>
            </w:r>
          </w:p>
        </w:tc>
      </w:tr>
      <w:tr w:rsidR="00C60A17" w:rsidRPr="008B5BEE" w:rsidTr="00673602">
        <w:trPr>
          <w:trHeight w:val="206"/>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5</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Home Affairs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92,274</w:t>
            </w:r>
          </w:p>
        </w:tc>
      </w:tr>
      <w:tr w:rsidR="00C60A17" w:rsidRPr="008B5BEE" w:rsidTr="00673602">
        <w:trPr>
          <w:trHeight w:val="261"/>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6</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International Relations and Cooperation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81,810</w:t>
            </w:r>
          </w:p>
        </w:tc>
      </w:tr>
      <w:tr w:rsidR="00C60A17" w:rsidRPr="008B5BEE" w:rsidTr="00673602">
        <w:trPr>
          <w:trHeight w:val="195"/>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7</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National School of Government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3,028</w:t>
            </w:r>
          </w:p>
        </w:tc>
      </w:tr>
      <w:tr w:rsidR="00C60A17" w:rsidRPr="008B5BEE" w:rsidTr="00673602">
        <w:trPr>
          <w:trHeight w:val="141"/>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9</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Planning, Monitoring and Evaluation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10,544</w:t>
            </w:r>
          </w:p>
        </w:tc>
      </w:tr>
      <w:tr w:rsidR="00C60A17" w:rsidRPr="008B5BEE" w:rsidTr="00673602">
        <w:trPr>
          <w:trHeight w:val="184"/>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10</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Public Enterprises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5,280</w:t>
            </w:r>
          </w:p>
        </w:tc>
      </w:tr>
      <w:tr w:rsidR="00C60A17" w:rsidRPr="008B5BEE" w:rsidTr="00673602">
        <w:trPr>
          <w:trHeight w:val="119"/>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11</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Public Service and Administration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9,328</w:t>
            </w:r>
          </w:p>
        </w:tc>
      </w:tr>
      <w:tr w:rsidR="00C60A17" w:rsidRPr="008B5BEE" w:rsidTr="00673602">
        <w:trPr>
          <w:trHeight w:val="174"/>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12</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Public Service Commission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7,092</w:t>
            </w:r>
          </w:p>
        </w:tc>
      </w:tr>
      <w:tr w:rsidR="00C60A17" w:rsidRPr="008B5BEE" w:rsidTr="00673602">
        <w:trPr>
          <w:trHeight w:val="228"/>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13</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Public Works and Infrastructure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15,920</w:t>
            </w:r>
          </w:p>
        </w:tc>
      </w:tr>
      <w:tr w:rsidR="00C60A17" w:rsidRPr="008B5BEE" w:rsidTr="00673602">
        <w:trPr>
          <w:trHeight w:val="71"/>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14</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Statistics South Africa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46,909</w:t>
            </w:r>
          </w:p>
        </w:tc>
      </w:tr>
      <w:tr w:rsidR="00C60A17" w:rsidRPr="008B5BEE" w:rsidTr="00673602">
        <w:trPr>
          <w:trHeight w:val="108"/>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15</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Traditional Affairs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3,112</w:t>
            </w:r>
          </w:p>
        </w:tc>
      </w:tr>
      <w:tr w:rsidR="00C60A17" w:rsidRPr="008B5BEE" w:rsidTr="00673602">
        <w:trPr>
          <w:trHeight w:val="152"/>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16</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Basic Education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16,227</w:t>
            </w:r>
          </w:p>
        </w:tc>
      </w:tr>
      <w:tr w:rsidR="00C60A17" w:rsidRPr="008B5BEE" w:rsidTr="00673602">
        <w:trPr>
          <w:trHeight w:val="195"/>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17</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Higher Education and Training</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222,750</w:t>
            </w:r>
          </w:p>
        </w:tc>
      </w:tr>
      <w:tr w:rsidR="00C60A17" w:rsidRPr="008B5BEE" w:rsidTr="00673602">
        <w:trPr>
          <w:trHeight w:val="141"/>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18</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Health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24,754</w:t>
            </w:r>
          </w:p>
        </w:tc>
      </w:tr>
      <w:tr w:rsidR="00C60A17" w:rsidRPr="008B5BEE" w:rsidTr="00673602">
        <w:trPr>
          <w:trHeight w:val="184"/>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19</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Social Development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15,531</w:t>
            </w:r>
          </w:p>
        </w:tc>
      </w:tr>
      <w:tr w:rsidR="00C60A17" w:rsidRPr="008B5BEE" w:rsidTr="00673602">
        <w:trPr>
          <w:trHeight w:val="239"/>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20</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Women, Youth and Persons with Disabilities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4,460</w:t>
            </w:r>
          </w:p>
        </w:tc>
      </w:tr>
      <w:tr w:rsidR="00C60A17" w:rsidRPr="008B5BEE" w:rsidTr="00673602">
        <w:trPr>
          <w:trHeight w:val="174"/>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21</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Civilian Secretariat for the Police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3,609</w:t>
            </w:r>
          </w:p>
        </w:tc>
      </w:tr>
      <w:tr w:rsidR="00C60A17" w:rsidRPr="008B5BEE" w:rsidTr="00673602">
        <w:trPr>
          <w:trHeight w:val="217"/>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22</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Correctional Services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426,368</w:t>
            </w:r>
          </w:p>
        </w:tc>
      </w:tr>
      <w:tr w:rsidR="00C60A17" w:rsidRPr="008B5BEE" w:rsidTr="00673602">
        <w:trPr>
          <w:trHeight w:val="163"/>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23</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Defence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802,585</w:t>
            </w:r>
          </w:p>
        </w:tc>
      </w:tr>
      <w:tr w:rsidR="00C60A17" w:rsidRPr="008B5BEE" w:rsidTr="00673602">
        <w:trPr>
          <w:trHeight w:val="71"/>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24</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Independent Police Investigative Directorate</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6,302</w:t>
            </w:r>
          </w:p>
        </w:tc>
      </w:tr>
      <w:tr w:rsidR="00C60A17" w:rsidRPr="008B5BEE" w:rsidTr="00673602">
        <w:trPr>
          <w:trHeight w:val="152"/>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25</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Justice and Constitutional Development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370,476</w:t>
            </w:r>
          </w:p>
        </w:tc>
      </w:tr>
      <w:tr w:rsidR="00C60A17" w:rsidRPr="008B5BEE" w:rsidTr="00673602">
        <w:trPr>
          <w:trHeight w:val="97"/>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26</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Military Veterans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3,656</w:t>
            </w:r>
          </w:p>
        </w:tc>
      </w:tr>
      <w:tr w:rsidR="00C60A17" w:rsidRPr="008B5BEE" w:rsidTr="00673602">
        <w:trPr>
          <w:trHeight w:val="71"/>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27</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Office of the Chief Justice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70,565</w:t>
            </w:r>
          </w:p>
        </w:tc>
      </w:tr>
      <w:tr w:rsidR="00C60A17" w:rsidRPr="008B5BEE" w:rsidTr="00673602">
        <w:trPr>
          <w:trHeight w:val="184"/>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28</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Police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1,891,453</w:t>
            </w:r>
          </w:p>
        </w:tc>
      </w:tr>
      <w:tr w:rsidR="00C60A17" w:rsidRPr="008B5BEE" w:rsidTr="00673602">
        <w:trPr>
          <w:trHeight w:val="239"/>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29</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Agriculture, Land Reform and Rural Development</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104,548</w:t>
            </w:r>
          </w:p>
        </w:tc>
      </w:tr>
      <w:tr w:rsidR="00C60A17" w:rsidRPr="008B5BEE" w:rsidTr="00673602">
        <w:trPr>
          <w:trHeight w:val="282"/>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30</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Communications and Digital Technologies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10,595</w:t>
            </w:r>
          </w:p>
        </w:tc>
      </w:tr>
      <w:tr w:rsidR="00C60A17" w:rsidRPr="008B5BEE" w:rsidTr="00673602">
        <w:trPr>
          <w:trHeight w:val="217"/>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31</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Employment and Labour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33,587</w:t>
            </w:r>
          </w:p>
        </w:tc>
      </w:tr>
      <w:tr w:rsidR="00C60A17" w:rsidRPr="008B5BEE" w:rsidTr="00673602">
        <w:trPr>
          <w:trHeight w:val="261"/>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32</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Forestry, Fisheries and Environment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56,920</w:t>
            </w:r>
          </w:p>
        </w:tc>
      </w:tr>
      <w:tr w:rsidR="00C60A17" w:rsidRPr="008B5BEE" w:rsidTr="00673602">
        <w:trPr>
          <w:trHeight w:val="97"/>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33</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Human Settlements</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11,652</w:t>
            </w:r>
          </w:p>
        </w:tc>
      </w:tr>
      <w:tr w:rsidR="00C60A17" w:rsidRPr="008B5BEE" w:rsidTr="00673602">
        <w:trPr>
          <w:trHeight w:val="141"/>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34</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Mineral Resources and Energy</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29,001</w:t>
            </w:r>
          </w:p>
        </w:tc>
      </w:tr>
      <w:tr w:rsidR="00C60A17" w:rsidRPr="008B5BEE" w:rsidTr="00673602">
        <w:trPr>
          <w:trHeight w:val="71"/>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35</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Science and Innovation</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11,962</w:t>
            </w:r>
          </w:p>
        </w:tc>
      </w:tr>
      <w:tr w:rsidR="00C60A17" w:rsidRPr="008B5BEE" w:rsidTr="00673602">
        <w:trPr>
          <w:trHeight w:val="130"/>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36</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Small Business Development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4,780</w:t>
            </w:r>
          </w:p>
        </w:tc>
      </w:tr>
      <w:tr w:rsidR="00C60A17" w:rsidRPr="008B5BEE" w:rsidTr="00673602">
        <w:trPr>
          <w:trHeight w:val="174"/>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lastRenderedPageBreak/>
              <w:t>37</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Sports, Arts and Culture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10,325</w:t>
            </w:r>
          </w:p>
        </w:tc>
      </w:tr>
      <w:tr w:rsidR="00C60A17" w:rsidRPr="008B5BEE" w:rsidTr="00673602">
        <w:trPr>
          <w:trHeight w:val="71"/>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38</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 xml:space="preserve">Tourism </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10,777</w:t>
            </w:r>
          </w:p>
        </w:tc>
      </w:tr>
      <w:tr w:rsidR="00C60A17" w:rsidRPr="008B5BEE" w:rsidTr="00673602">
        <w:trPr>
          <w:trHeight w:val="174"/>
        </w:trPr>
        <w:tc>
          <w:tcPr>
            <w:tcW w:w="905"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39</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Trade, Industry and Competition</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34,379</w:t>
            </w:r>
          </w:p>
        </w:tc>
      </w:tr>
      <w:tr w:rsidR="00C60A17" w:rsidRPr="008B5BEE" w:rsidTr="00673602">
        <w:trPr>
          <w:trHeight w:val="217"/>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40</w:t>
            </w:r>
          </w:p>
        </w:tc>
        <w:tc>
          <w:tcPr>
            <w:tcW w:w="6515" w:type="dxa"/>
            <w:tcBorders>
              <w:top w:val="nil"/>
              <w:left w:val="nil"/>
              <w:bottom w:val="nil"/>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Transport</w:t>
            </w:r>
          </w:p>
        </w:tc>
        <w:tc>
          <w:tcPr>
            <w:tcW w:w="2099" w:type="dxa"/>
            <w:tcBorders>
              <w:top w:val="nil"/>
              <w:left w:val="single" w:sz="8" w:space="0" w:color="auto"/>
              <w:bottom w:val="nil"/>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15,833</w:t>
            </w:r>
          </w:p>
        </w:tc>
      </w:tr>
      <w:tr w:rsidR="00C60A17" w:rsidRPr="008B5BEE" w:rsidTr="00673602">
        <w:trPr>
          <w:trHeight w:val="247"/>
        </w:trPr>
        <w:tc>
          <w:tcPr>
            <w:tcW w:w="7420" w:type="dxa"/>
            <w:gridSpan w:val="2"/>
            <w:tcBorders>
              <w:top w:val="single" w:sz="8" w:space="0" w:color="auto"/>
              <w:left w:val="single" w:sz="8" w:space="0" w:color="auto"/>
              <w:bottom w:val="single" w:sz="8" w:space="0" w:color="auto"/>
              <w:right w:val="nil"/>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 xml:space="preserve">Total </w:t>
            </w:r>
          </w:p>
        </w:tc>
        <w:tc>
          <w:tcPr>
            <w:tcW w:w="20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0A17" w:rsidRPr="008B5BEE" w:rsidRDefault="00C60A17" w:rsidP="008B5BEE">
            <w:pPr>
              <w:spacing w:after="0" w:line="240" w:lineRule="auto"/>
              <w:rPr>
                <w:rFonts w:ascii="Arial" w:eastAsia="Times New Roman" w:hAnsi="Arial" w:cs="Arial"/>
                <w:b/>
                <w:bCs/>
                <w:color w:val="000000"/>
                <w:sz w:val="20"/>
                <w:szCs w:val="20"/>
                <w:lang w:eastAsia="en-ZA"/>
              </w:rPr>
            </w:pPr>
            <w:r w:rsidRPr="008B5BEE">
              <w:rPr>
                <w:rFonts w:ascii="Arial" w:eastAsia="Times New Roman" w:hAnsi="Arial" w:cs="Arial"/>
                <w:b/>
                <w:bCs/>
                <w:color w:val="000000"/>
                <w:sz w:val="20"/>
                <w:szCs w:val="20"/>
                <w:lang w:eastAsia="en-ZA"/>
              </w:rPr>
              <w:t>4,501,068</w:t>
            </w:r>
          </w:p>
        </w:tc>
      </w:tr>
      <w:tr w:rsidR="00C60A17" w:rsidRPr="008B5BEE" w:rsidTr="00673602">
        <w:trPr>
          <w:trHeight w:val="410"/>
        </w:trPr>
        <w:tc>
          <w:tcPr>
            <w:tcW w:w="9520" w:type="dxa"/>
            <w:gridSpan w:val="3"/>
            <w:tcBorders>
              <w:top w:val="single" w:sz="8" w:space="0" w:color="auto"/>
              <w:left w:val="single" w:sz="8" w:space="0" w:color="auto"/>
              <w:bottom w:val="single" w:sz="8" w:space="0" w:color="auto"/>
              <w:right w:val="single" w:sz="8" w:space="0" w:color="000000"/>
            </w:tcBorders>
            <w:shd w:val="clear" w:color="000000" w:fill="D9D9D9"/>
            <w:vAlign w:val="bottom"/>
            <w:hideMark/>
          </w:tcPr>
          <w:p w:rsidR="00C60A17" w:rsidRPr="008B5BEE" w:rsidRDefault="00C60A17" w:rsidP="008B5BEE">
            <w:pPr>
              <w:spacing w:after="0" w:line="240" w:lineRule="auto"/>
              <w:rPr>
                <w:rFonts w:ascii="Arial" w:eastAsia="Times New Roman" w:hAnsi="Arial" w:cs="Arial"/>
                <w:color w:val="000000"/>
                <w:sz w:val="20"/>
                <w:szCs w:val="20"/>
                <w:lang w:eastAsia="en-ZA"/>
              </w:rPr>
            </w:pPr>
            <w:r w:rsidRPr="008B5BEE">
              <w:rPr>
                <w:rFonts w:ascii="Arial" w:eastAsia="Times New Roman" w:hAnsi="Arial" w:cs="Arial"/>
                <w:color w:val="000000"/>
                <w:sz w:val="20"/>
                <w:szCs w:val="20"/>
                <w:lang w:eastAsia="en-ZA"/>
              </w:rPr>
              <w:t>*Parliament allocation is excluded from the total as the disaggregation of the vote per main division is determined in terms of the Financial Management of Parliament and Provincial Legislatures Act, 2009</w:t>
            </w:r>
          </w:p>
        </w:tc>
      </w:tr>
    </w:tbl>
    <w:p w:rsidR="00C23B9C" w:rsidRPr="008B5BEE" w:rsidRDefault="00C23B9C" w:rsidP="008B5BEE">
      <w:pPr>
        <w:tabs>
          <w:tab w:val="left" w:pos="426"/>
        </w:tabs>
        <w:spacing w:after="0" w:line="240" w:lineRule="auto"/>
        <w:contextualSpacing/>
        <w:rPr>
          <w:rFonts w:ascii="Arial" w:eastAsia="Times New Roman" w:hAnsi="Arial" w:cs="Arial"/>
          <w:i/>
          <w:sz w:val="20"/>
          <w:szCs w:val="20"/>
        </w:rPr>
      </w:pPr>
      <w:r w:rsidRPr="008B5BEE">
        <w:rPr>
          <w:rFonts w:ascii="Arial" w:eastAsia="Times New Roman" w:hAnsi="Arial" w:cs="Arial"/>
          <w:b/>
          <w:i/>
          <w:sz w:val="20"/>
          <w:szCs w:val="20"/>
        </w:rPr>
        <w:t>Source:</w:t>
      </w:r>
      <w:r w:rsidRPr="008B5BEE">
        <w:rPr>
          <w:rFonts w:ascii="Arial" w:eastAsia="Times New Roman" w:hAnsi="Arial" w:cs="Arial"/>
          <w:i/>
          <w:sz w:val="20"/>
          <w:szCs w:val="20"/>
        </w:rPr>
        <w:t xml:space="preserve"> Second Adjustments Appropriation (2022/23 Financial Year) Bill: National Treasury </w:t>
      </w:r>
    </w:p>
    <w:p w:rsidR="006F2494" w:rsidRPr="008B5BEE" w:rsidRDefault="006F2494"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B12A0" w:rsidRPr="008B5BEE" w:rsidRDefault="009B12A0" w:rsidP="008B5BEE">
      <w:pPr>
        <w:tabs>
          <w:tab w:val="left" w:pos="426"/>
        </w:tabs>
        <w:spacing w:after="0" w:line="240" w:lineRule="auto"/>
        <w:contextualSpacing/>
        <w:rPr>
          <w:rFonts w:ascii="Arial" w:eastAsia="Times New Roman" w:hAnsi="Arial" w:cs="Arial"/>
          <w:sz w:val="20"/>
          <w:szCs w:val="20"/>
        </w:rPr>
      </w:pPr>
    </w:p>
    <w:p w:rsidR="00956947" w:rsidRPr="008B5BEE" w:rsidRDefault="003F34ED" w:rsidP="008B5BEE">
      <w:pPr>
        <w:numPr>
          <w:ilvl w:val="0"/>
          <w:numId w:val="2"/>
        </w:numPr>
        <w:tabs>
          <w:tab w:val="left" w:pos="426"/>
        </w:tabs>
        <w:spacing w:after="0" w:line="240" w:lineRule="auto"/>
        <w:ind w:left="360"/>
        <w:contextualSpacing/>
        <w:rPr>
          <w:rFonts w:ascii="Arial" w:eastAsia="Times New Roman" w:hAnsi="Arial" w:cs="Arial"/>
          <w:b/>
          <w:sz w:val="20"/>
          <w:szCs w:val="20"/>
        </w:rPr>
      </w:pPr>
      <w:r w:rsidRPr="008B5BEE">
        <w:rPr>
          <w:rFonts w:ascii="Arial" w:eastAsia="Times New Roman" w:hAnsi="Arial" w:cs="Arial"/>
          <w:b/>
          <w:sz w:val="20"/>
          <w:szCs w:val="20"/>
        </w:rPr>
        <w:t>Proposed a</w:t>
      </w:r>
      <w:r w:rsidR="00956947" w:rsidRPr="008B5BEE">
        <w:rPr>
          <w:rFonts w:ascii="Arial" w:eastAsia="Times New Roman" w:hAnsi="Arial" w:cs="Arial"/>
          <w:b/>
          <w:sz w:val="20"/>
          <w:szCs w:val="20"/>
        </w:rPr>
        <w:t xml:space="preserve">dditional allocation </w:t>
      </w:r>
      <w:r w:rsidRPr="008B5BEE">
        <w:rPr>
          <w:rFonts w:ascii="Arial" w:eastAsia="Times New Roman" w:hAnsi="Arial" w:cs="Arial"/>
          <w:b/>
          <w:sz w:val="20"/>
          <w:szCs w:val="20"/>
        </w:rPr>
        <w:t>to State-owned Entities</w:t>
      </w:r>
    </w:p>
    <w:p w:rsidR="00C56E1E" w:rsidRPr="008B5BEE" w:rsidRDefault="00C56E1E" w:rsidP="008B5BEE">
      <w:pPr>
        <w:tabs>
          <w:tab w:val="left" w:pos="426"/>
        </w:tabs>
        <w:spacing w:after="0" w:line="240" w:lineRule="auto"/>
        <w:contextualSpacing/>
        <w:rPr>
          <w:rFonts w:ascii="Arial" w:eastAsia="Times New Roman" w:hAnsi="Arial" w:cs="Arial"/>
          <w:sz w:val="20"/>
          <w:szCs w:val="20"/>
        </w:rPr>
      </w:pPr>
    </w:p>
    <w:p w:rsidR="00673602" w:rsidRPr="008B5BEE" w:rsidRDefault="00E0773D" w:rsidP="008B5BEE">
      <w:pPr>
        <w:tabs>
          <w:tab w:val="left" w:pos="426"/>
        </w:tabs>
        <w:spacing w:after="0" w:line="240" w:lineRule="auto"/>
        <w:contextualSpacing/>
        <w:rPr>
          <w:rFonts w:ascii="Arial" w:eastAsia="Times New Roman" w:hAnsi="Arial" w:cs="Arial"/>
          <w:sz w:val="20"/>
          <w:szCs w:val="20"/>
        </w:rPr>
      </w:pPr>
      <w:r w:rsidRPr="008B5BEE">
        <w:rPr>
          <w:rFonts w:ascii="Arial" w:eastAsia="Times New Roman" w:hAnsi="Arial" w:cs="Arial"/>
          <w:sz w:val="20"/>
          <w:szCs w:val="20"/>
        </w:rPr>
        <w:t>In addition to the proposed additional allocation of R300 million for political party funding</w:t>
      </w:r>
      <w:r w:rsidR="00B142F7" w:rsidRPr="008B5BEE">
        <w:rPr>
          <w:rFonts w:ascii="Arial" w:eastAsia="Times New Roman" w:hAnsi="Arial" w:cs="Arial"/>
          <w:sz w:val="20"/>
          <w:szCs w:val="20"/>
        </w:rPr>
        <w:t xml:space="preserve"> through the Department of Home Affairs (Vote 5)</w:t>
      </w:r>
      <w:r w:rsidRPr="008B5BEE">
        <w:rPr>
          <w:rFonts w:ascii="Arial" w:eastAsia="Times New Roman" w:hAnsi="Arial" w:cs="Arial"/>
          <w:sz w:val="20"/>
          <w:szCs w:val="20"/>
        </w:rPr>
        <w:t>, government proposes additional allocation to the South African Airways SOC Limited, The South African Post Office SOC Limited, and the Land and Agricultural Development Bank of South Africa.</w:t>
      </w:r>
      <w:r w:rsidR="00E266BC" w:rsidRPr="008B5BEE">
        <w:rPr>
          <w:rFonts w:ascii="Arial" w:eastAsia="Times New Roman" w:hAnsi="Arial" w:cs="Arial"/>
          <w:sz w:val="20"/>
          <w:szCs w:val="20"/>
        </w:rPr>
        <w:t xml:space="preserve"> Table 3</w:t>
      </w:r>
      <w:r w:rsidR="00E266BC" w:rsidRPr="008B5BEE">
        <w:rPr>
          <w:rFonts w:ascii="Arial" w:eastAsia="Times New Roman" w:hAnsi="Arial" w:cs="Arial"/>
          <w:b/>
          <w:sz w:val="20"/>
          <w:szCs w:val="20"/>
        </w:rPr>
        <w:t xml:space="preserve"> </w:t>
      </w:r>
      <w:r w:rsidR="00E266BC" w:rsidRPr="008B5BEE">
        <w:rPr>
          <w:rFonts w:ascii="Arial" w:eastAsia="Times New Roman" w:hAnsi="Arial" w:cs="Arial"/>
          <w:sz w:val="20"/>
          <w:szCs w:val="20"/>
        </w:rPr>
        <w:t xml:space="preserve">below </w:t>
      </w:r>
      <w:r w:rsidR="00CA7FCE" w:rsidRPr="008B5BEE">
        <w:rPr>
          <w:rFonts w:ascii="Arial" w:eastAsia="Times New Roman" w:hAnsi="Arial" w:cs="Arial"/>
          <w:sz w:val="20"/>
          <w:szCs w:val="20"/>
        </w:rPr>
        <w:t>highlights the</w:t>
      </w:r>
      <w:r w:rsidR="00E266BC" w:rsidRPr="008B5BEE">
        <w:rPr>
          <w:rFonts w:ascii="Arial" w:eastAsia="Times New Roman" w:hAnsi="Arial" w:cs="Arial"/>
          <w:sz w:val="20"/>
          <w:szCs w:val="20"/>
        </w:rPr>
        <w:t xml:space="preserve"> summary of the Bill Schedule for </w:t>
      </w:r>
      <w:r w:rsidR="005552C4" w:rsidRPr="008B5BEE">
        <w:rPr>
          <w:rFonts w:ascii="Arial" w:eastAsia="Times New Roman" w:hAnsi="Arial" w:cs="Arial"/>
          <w:sz w:val="20"/>
          <w:szCs w:val="20"/>
        </w:rPr>
        <w:t>selected V</w:t>
      </w:r>
      <w:r w:rsidR="00E266BC" w:rsidRPr="008B5BEE">
        <w:rPr>
          <w:rFonts w:ascii="Arial" w:eastAsia="Times New Roman" w:hAnsi="Arial" w:cs="Arial"/>
          <w:sz w:val="20"/>
          <w:szCs w:val="20"/>
        </w:rPr>
        <w:t xml:space="preserve">ote allocation and reflect the proposed additional allocation to State-owned companies. </w:t>
      </w:r>
    </w:p>
    <w:p w:rsidR="003D725C" w:rsidRPr="008B5BEE" w:rsidRDefault="003D725C" w:rsidP="008B5BEE">
      <w:pPr>
        <w:tabs>
          <w:tab w:val="left" w:pos="426"/>
        </w:tabs>
        <w:spacing w:after="0" w:line="240" w:lineRule="auto"/>
        <w:contextualSpacing/>
        <w:rPr>
          <w:rFonts w:ascii="Arial" w:eastAsia="Times New Roman" w:hAnsi="Arial" w:cs="Arial"/>
          <w:sz w:val="20"/>
          <w:szCs w:val="20"/>
        </w:rPr>
      </w:pPr>
    </w:p>
    <w:p w:rsidR="0023152A" w:rsidRPr="008B5BEE" w:rsidRDefault="00C56E1E" w:rsidP="008B5BEE">
      <w:pPr>
        <w:tabs>
          <w:tab w:val="left" w:pos="426"/>
        </w:tabs>
        <w:spacing w:after="0" w:line="240" w:lineRule="auto"/>
        <w:contextualSpacing/>
        <w:rPr>
          <w:rFonts w:ascii="Arial" w:eastAsia="Times New Roman" w:hAnsi="Arial" w:cs="Arial"/>
          <w:sz w:val="20"/>
          <w:szCs w:val="20"/>
        </w:rPr>
      </w:pPr>
      <w:r w:rsidRPr="008B5BEE">
        <w:rPr>
          <w:rFonts w:ascii="Arial" w:eastAsia="Times New Roman" w:hAnsi="Arial" w:cs="Arial"/>
          <w:b/>
          <w:sz w:val="20"/>
          <w:szCs w:val="20"/>
        </w:rPr>
        <w:t xml:space="preserve">Table 3: </w:t>
      </w:r>
      <w:r w:rsidR="00673602" w:rsidRPr="008B5BEE">
        <w:rPr>
          <w:rFonts w:ascii="Arial" w:eastAsia="Times New Roman" w:hAnsi="Arial" w:cs="Arial"/>
          <w:sz w:val="20"/>
          <w:szCs w:val="20"/>
        </w:rPr>
        <w:t>Bill Schedu</w:t>
      </w:r>
      <w:r w:rsidRPr="008B5BEE">
        <w:rPr>
          <w:rFonts w:ascii="Arial" w:eastAsia="Times New Roman" w:hAnsi="Arial" w:cs="Arial"/>
          <w:sz w:val="20"/>
          <w:szCs w:val="20"/>
        </w:rPr>
        <w:t xml:space="preserve">le </w:t>
      </w:r>
    </w:p>
    <w:p w:rsidR="00C56E1E" w:rsidRPr="008B5BEE" w:rsidRDefault="00C56E1E" w:rsidP="008B5BEE">
      <w:pPr>
        <w:spacing w:after="0" w:line="240" w:lineRule="auto"/>
        <w:rPr>
          <w:rFonts w:ascii="Arial" w:eastAsia="Times New Roman" w:hAnsi="Arial" w:cs="Arial"/>
          <w:sz w:val="20"/>
          <w:szCs w:val="20"/>
        </w:rPr>
      </w:pPr>
    </w:p>
    <w:p w:rsidR="00AE2FCD" w:rsidRPr="008B5BEE" w:rsidRDefault="00C56E1E" w:rsidP="008B5BEE">
      <w:pPr>
        <w:tabs>
          <w:tab w:val="left" w:pos="426"/>
        </w:tabs>
        <w:spacing w:after="0" w:line="240" w:lineRule="auto"/>
        <w:contextualSpacing/>
        <w:rPr>
          <w:rFonts w:ascii="Arial" w:eastAsia="Times New Roman" w:hAnsi="Arial" w:cs="Arial"/>
          <w:b/>
          <w:sz w:val="20"/>
          <w:szCs w:val="20"/>
        </w:rPr>
      </w:pPr>
      <w:r w:rsidRPr="008B5BEE">
        <w:rPr>
          <w:rFonts w:ascii="Arial" w:hAnsi="Arial" w:cs="Arial"/>
          <w:noProof/>
          <w:sz w:val="20"/>
          <w:szCs w:val="20"/>
          <w:lang w:val="en-US"/>
        </w:rPr>
        <w:lastRenderedPageBreak/>
        <w:drawing>
          <wp:inline distT="0" distB="0" distL="0" distR="0">
            <wp:extent cx="6400165" cy="5608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65197" cy="5665306"/>
                    </a:xfrm>
                    <a:prstGeom prst="rect">
                      <a:avLst/>
                    </a:prstGeom>
                    <a:noFill/>
                    <a:ln>
                      <a:noFill/>
                    </a:ln>
                  </pic:spPr>
                </pic:pic>
              </a:graphicData>
            </a:graphic>
          </wp:inline>
        </w:drawing>
      </w:r>
    </w:p>
    <w:p w:rsidR="003B3BE1" w:rsidRPr="008B5BEE" w:rsidRDefault="00233ECA" w:rsidP="008B5BEE">
      <w:pPr>
        <w:autoSpaceDE w:val="0"/>
        <w:autoSpaceDN w:val="0"/>
        <w:adjustRightInd w:val="0"/>
        <w:spacing w:after="0" w:line="240" w:lineRule="auto"/>
        <w:rPr>
          <w:rFonts w:ascii="Arial" w:eastAsia="Calibri" w:hAnsi="Arial" w:cs="Arial"/>
          <w:i/>
          <w:color w:val="000000"/>
          <w:sz w:val="20"/>
          <w:szCs w:val="20"/>
        </w:rPr>
      </w:pPr>
      <w:r w:rsidRPr="008B5BEE">
        <w:rPr>
          <w:rFonts w:ascii="Arial" w:eastAsia="Calibri" w:hAnsi="Arial" w:cs="Arial"/>
          <w:b/>
          <w:i/>
          <w:color w:val="000000"/>
          <w:sz w:val="20"/>
          <w:szCs w:val="20"/>
        </w:rPr>
        <w:t>Source:</w:t>
      </w:r>
      <w:r w:rsidRPr="008B5BEE">
        <w:rPr>
          <w:rFonts w:ascii="Arial" w:eastAsia="Calibri" w:hAnsi="Arial" w:cs="Arial"/>
          <w:i/>
          <w:color w:val="000000"/>
          <w:sz w:val="20"/>
          <w:szCs w:val="20"/>
        </w:rPr>
        <w:t xml:space="preserve"> Second</w:t>
      </w:r>
      <w:r w:rsidR="004B5083" w:rsidRPr="008B5BEE">
        <w:rPr>
          <w:rFonts w:ascii="Arial" w:eastAsia="Calibri" w:hAnsi="Arial" w:cs="Arial"/>
          <w:i/>
          <w:color w:val="000000"/>
          <w:sz w:val="20"/>
          <w:szCs w:val="20"/>
        </w:rPr>
        <w:t xml:space="preserve"> Adjustments Appropriation (2022/23</w:t>
      </w:r>
      <w:r w:rsidRPr="008B5BEE">
        <w:rPr>
          <w:rFonts w:ascii="Arial" w:eastAsia="Calibri" w:hAnsi="Arial" w:cs="Arial"/>
          <w:i/>
          <w:color w:val="000000"/>
          <w:sz w:val="20"/>
          <w:szCs w:val="20"/>
        </w:rPr>
        <w:t xml:space="preserve"> Financial Year) Bill: National Treasury </w:t>
      </w:r>
    </w:p>
    <w:p w:rsidR="00A566FE" w:rsidRPr="008B5BEE" w:rsidRDefault="002E0922" w:rsidP="008B5BEE">
      <w:pPr>
        <w:numPr>
          <w:ilvl w:val="0"/>
          <w:numId w:val="2"/>
        </w:numPr>
        <w:tabs>
          <w:tab w:val="left" w:pos="426"/>
        </w:tabs>
        <w:spacing w:after="0" w:line="240" w:lineRule="auto"/>
        <w:ind w:left="142" w:hanging="142"/>
        <w:contextualSpacing/>
        <w:rPr>
          <w:rFonts w:ascii="Arial" w:eastAsia="Times New Roman" w:hAnsi="Arial" w:cs="Arial"/>
          <w:b/>
          <w:sz w:val="20"/>
          <w:szCs w:val="20"/>
        </w:rPr>
      </w:pPr>
      <w:r w:rsidRPr="008B5BEE">
        <w:rPr>
          <w:rFonts w:ascii="Arial" w:eastAsia="Times New Roman" w:hAnsi="Arial" w:cs="Arial"/>
          <w:b/>
          <w:sz w:val="20"/>
          <w:szCs w:val="20"/>
        </w:rPr>
        <w:t>C</w:t>
      </w:r>
      <w:r w:rsidR="002925C8" w:rsidRPr="008B5BEE">
        <w:rPr>
          <w:rFonts w:ascii="Arial" w:eastAsia="Times New Roman" w:hAnsi="Arial" w:cs="Arial"/>
          <w:b/>
          <w:sz w:val="20"/>
          <w:szCs w:val="20"/>
        </w:rPr>
        <w:t>omments</w:t>
      </w:r>
      <w:r w:rsidR="001E2C15" w:rsidRPr="008B5BEE">
        <w:rPr>
          <w:rFonts w:ascii="Arial" w:eastAsia="Times New Roman" w:hAnsi="Arial" w:cs="Arial"/>
          <w:b/>
          <w:sz w:val="20"/>
          <w:szCs w:val="20"/>
        </w:rPr>
        <w:t xml:space="preserve"> </w:t>
      </w:r>
      <w:r w:rsidR="002925C8" w:rsidRPr="008B5BEE">
        <w:rPr>
          <w:rFonts w:ascii="Arial" w:eastAsia="Times New Roman" w:hAnsi="Arial" w:cs="Arial"/>
          <w:b/>
          <w:sz w:val="20"/>
          <w:szCs w:val="20"/>
        </w:rPr>
        <w:t xml:space="preserve">and hearings </w:t>
      </w:r>
      <w:r w:rsidR="001E2C15" w:rsidRPr="008B5BEE">
        <w:rPr>
          <w:rFonts w:ascii="Arial" w:eastAsia="Times New Roman" w:hAnsi="Arial" w:cs="Arial"/>
          <w:b/>
          <w:sz w:val="20"/>
          <w:szCs w:val="20"/>
        </w:rPr>
        <w:t>on the 2022</w:t>
      </w:r>
      <w:r w:rsidRPr="008B5BEE">
        <w:rPr>
          <w:rFonts w:ascii="Arial" w:eastAsia="Times New Roman" w:hAnsi="Arial" w:cs="Arial"/>
          <w:b/>
          <w:sz w:val="20"/>
          <w:szCs w:val="20"/>
        </w:rPr>
        <w:t xml:space="preserve"> Second Adjustments Appropriation </w:t>
      </w:r>
      <w:r w:rsidR="001E2C15" w:rsidRPr="008B5BEE">
        <w:rPr>
          <w:rFonts w:ascii="Arial" w:eastAsia="Times New Roman" w:hAnsi="Arial" w:cs="Arial"/>
          <w:b/>
          <w:sz w:val="20"/>
          <w:szCs w:val="20"/>
        </w:rPr>
        <w:t>(2022/23</w:t>
      </w:r>
      <w:r w:rsidR="002925C8" w:rsidRPr="008B5BEE">
        <w:rPr>
          <w:rFonts w:ascii="Arial" w:eastAsia="Times New Roman" w:hAnsi="Arial" w:cs="Arial"/>
          <w:b/>
          <w:sz w:val="20"/>
          <w:szCs w:val="20"/>
        </w:rPr>
        <w:t xml:space="preserve"> financial </w:t>
      </w:r>
    </w:p>
    <w:p w:rsidR="002E0922" w:rsidRPr="008B5BEE" w:rsidRDefault="00A566FE" w:rsidP="008B5BEE">
      <w:pPr>
        <w:tabs>
          <w:tab w:val="left" w:pos="426"/>
        </w:tabs>
        <w:spacing w:after="0" w:line="240" w:lineRule="auto"/>
        <w:ind w:left="142"/>
        <w:contextualSpacing/>
        <w:rPr>
          <w:rFonts w:ascii="Arial" w:eastAsia="Times New Roman" w:hAnsi="Arial" w:cs="Arial"/>
          <w:b/>
          <w:sz w:val="20"/>
          <w:szCs w:val="20"/>
        </w:rPr>
      </w:pPr>
      <w:r w:rsidRPr="008B5BEE">
        <w:rPr>
          <w:rFonts w:ascii="Arial" w:eastAsia="Times New Roman" w:hAnsi="Arial" w:cs="Arial"/>
          <w:b/>
          <w:sz w:val="20"/>
          <w:szCs w:val="20"/>
        </w:rPr>
        <w:t xml:space="preserve">     </w:t>
      </w:r>
      <w:r w:rsidR="002E0922" w:rsidRPr="008B5BEE">
        <w:rPr>
          <w:rFonts w:ascii="Arial" w:eastAsia="Times New Roman" w:hAnsi="Arial" w:cs="Arial"/>
          <w:b/>
          <w:sz w:val="20"/>
          <w:szCs w:val="20"/>
        </w:rPr>
        <w:t>year) Bill with identified stakeholders</w:t>
      </w:r>
    </w:p>
    <w:p w:rsidR="002E0922" w:rsidRPr="008B5BEE" w:rsidRDefault="002E0922" w:rsidP="008B5BEE">
      <w:pPr>
        <w:spacing w:after="0" w:line="240" w:lineRule="auto"/>
        <w:rPr>
          <w:rFonts w:ascii="Arial" w:eastAsia="Times New Roman" w:hAnsi="Arial" w:cs="Arial"/>
          <w:b/>
          <w:sz w:val="20"/>
          <w:szCs w:val="20"/>
        </w:rPr>
      </w:pPr>
    </w:p>
    <w:p w:rsidR="00673602" w:rsidRPr="008B5BEE" w:rsidRDefault="002E0922" w:rsidP="008B5BEE">
      <w:pPr>
        <w:tabs>
          <w:tab w:val="left" w:pos="3206"/>
        </w:tabs>
        <w:spacing w:after="0" w:line="240" w:lineRule="auto"/>
        <w:rPr>
          <w:rFonts w:ascii="Arial" w:eastAsia="Times New Roman" w:hAnsi="Arial" w:cs="Arial"/>
          <w:sz w:val="20"/>
          <w:szCs w:val="20"/>
        </w:rPr>
      </w:pPr>
      <w:r w:rsidRPr="008B5BEE">
        <w:rPr>
          <w:rFonts w:ascii="Arial" w:eastAsia="Times New Roman" w:hAnsi="Arial" w:cs="Arial"/>
          <w:sz w:val="20"/>
          <w:szCs w:val="20"/>
        </w:rPr>
        <w:t>The sections below provide an overview of the submissions made by the id</w:t>
      </w:r>
      <w:r w:rsidR="001E2C15" w:rsidRPr="008B5BEE">
        <w:rPr>
          <w:rFonts w:ascii="Arial" w:eastAsia="Times New Roman" w:hAnsi="Arial" w:cs="Arial"/>
          <w:sz w:val="20"/>
          <w:szCs w:val="20"/>
        </w:rPr>
        <w:t xml:space="preserve">entified </w:t>
      </w:r>
      <w:r w:rsidR="002051A4" w:rsidRPr="008B5BEE">
        <w:rPr>
          <w:rFonts w:ascii="Arial" w:eastAsia="Times New Roman" w:hAnsi="Arial" w:cs="Arial"/>
          <w:sz w:val="20"/>
          <w:szCs w:val="20"/>
        </w:rPr>
        <w:t>stakeholders on</w:t>
      </w:r>
      <w:r w:rsidR="001E2C15" w:rsidRPr="008B5BEE">
        <w:rPr>
          <w:rFonts w:ascii="Arial" w:eastAsia="Times New Roman" w:hAnsi="Arial" w:cs="Arial"/>
          <w:sz w:val="20"/>
          <w:szCs w:val="20"/>
        </w:rPr>
        <w:t xml:space="preserve"> </w:t>
      </w:r>
      <w:r w:rsidRPr="008B5BEE">
        <w:rPr>
          <w:rFonts w:ascii="Arial" w:eastAsia="Times New Roman" w:hAnsi="Arial" w:cs="Arial"/>
          <w:sz w:val="20"/>
          <w:szCs w:val="20"/>
        </w:rPr>
        <w:t xml:space="preserve">the Bill. </w:t>
      </w:r>
    </w:p>
    <w:p w:rsidR="00825F36" w:rsidRPr="008B5BEE" w:rsidRDefault="00825F36" w:rsidP="008B5BEE">
      <w:pPr>
        <w:tabs>
          <w:tab w:val="left" w:pos="3206"/>
        </w:tabs>
        <w:spacing w:after="0" w:line="240" w:lineRule="auto"/>
        <w:rPr>
          <w:rFonts w:ascii="Arial" w:eastAsia="Times New Roman" w:hAnsi="Arial" w:cs="Arial"/>
          <w:sz w:val="20"/>
          <w:szCs w:val="20"/>
        </w:rPr>
      </w:pPr>
    </w:p>
    <w:p w:rsidR="002E0922" w:rsidRPr="008B5BEE" w:rsidRDefault="002E0922" w:rsidP="008B5BEE">
      <w:pPr>
        <w:pStyle w:val="ListParagraph"/>
        <w:numPr>
          <w:ilvl w:val="1"/>
          <w:numId w:val="31"/>
        </w:numPr>
        <w:tabs>
          <w:tab w:val="left" w:pos="3206"/>
        </w:tabs>
        <w:spacing w:after="0" w:line="240" w:lineRule="auto"/>
        <w:rPr>
          <w:rFonts w:ascii="Arial" w:eastAsia="Times New Roman" w:hAnsi="Arial" w:cs="Arial"/>
          <w:b/>
          <w:sz w:val="20"/>
          <w:szCs w:val="20"/>
        </w:rPr>
      </w:pPr>
      <w:r w:rsidRPr="008B5BEE">
        <w:rPr>
          <w:rFonts w:ascii="Arial" w:eastAsia="Times New Roman" w:hAnsi="Arial" w:cs="Arial"/>
          <w:b/>
          <w:sz w:val="20"/>
          <w:szCs w:val="20"/>
        </w:rPr>
        <w:t>Financial and Fiscal Commission</w:t>
      </w:r>
    </w:p>
    <w:p w:rsidR="002E0922" w:rsidRPr="008B5BEE" w:rsidRDefault="002E0922" w:rsidP="008B5BEE">
      <w:pPr>
        <w:tabs>
          <w:tab w:val="left" w:pos="3206"/>
        </w:tabs>
        <w:spacing w:after="0" w:line="240" w:lineRule="auto"/>
        <w:contextualSpacing/>
        <w:rPr>
          <w:rFonts w:ascii="Arial" w:eastAsia="Times New Roman" w:hAnsi="Arial" w:cs="Arial"/>
          <w:sz w:val="20"/>
          <w:szCs w:val="20"/>
        </w:rPr>
      </w:pPr>
    </w:p>
    <w:p w:rsidR="00AA79E8" w:rsidRPr="008B5BEE" w:rsidRDefault="00AA79E8" w:rsidP="008B5BEE">
      <w:pPr>
        <w:spacing w:after="0" w:line="240" w:lineRule="auto"/>
        <w:rPr>
          <w:rFonts w:ascii="Arial" w:hAnsi="Arial" w:cs="Arial"/>
          <w:sz w:val="20"/>
          <w:szCs w:val="20"/>
        </w:rPr>
      </w:pPr>
      <w:r w:rsidRPr="008B5BEE">
        <w:rPr>
          <w:rFonts w:ascii="Arial" w:hAnsi="Arial" w:cs="Arial"/>
          <w:sz w:val="20"/>
          <w:szCs w:val="20"/>
        </w:rPr>
        <w:t>The Financial and Fiscal Commission (FFC) noted the allocation of R4.5 billion to national departments to assist with the carry-through costs associated with the 2022/23 public service wage increase</w:t>
      </w:r>
      <w:r w:rsidR="00A562BF" w:rsidRPr="008B5BEE">
        <w:rPr>
          <w:rFonts w:ascii="Arial" w:hAnsi="Arial" w:cs="Arial"/>
          <w:sz w:val="20"/>
          <w:szCs w:val="20"/>
        </w:rPr>
        <w:t>. It however cautioned</w:t>
      </w:r>
      <w:r w:rsidRPr="008B5BEE">
        <w:rPr>
          <w:rFonts w:ascii="Arial" w:hAnsi="Arial" w:cs="Arial"/>
          <w:sz w:val="20"/>
          <w:szCs w:val="20"/>
        </w:rPr>
        <w:t xml:space="preserve"> that unaffordable wage bill settlements remained a key risk to the fiscus</w:t>
      </w:r>
      <w:r w:rsidR="00A562BF" w:rsidRPr="008B5BEE">
        <w:rPr>
          <w:rFonts w:ascii="Arial" w:hAnsi="Arial" w:cs="Arial"/>
          <w:sz w:val="20"/>
          <w:szCs w:val="20"/>
        </w:rPr>
        <w:t>. It</w:t>
      </w:r>
      <w:r w:rsidRPr="008B5BEE">
        <w:rPr>
          <w:rFonts w:ascii="Arial" w:hAnsi="Arial" w:cs="Arial"/>
          <w:sz w:val="20"/>
          <w:szCs w:val="20"/>
        </w:rPr>
        <w:t xml:space="preserve"> welcomed the work being spearheaded by the Department of Public Service and Administration and National Treasury to devise a single remuneration framework for the public sector. With regard to the R8.4 billion in bailouts for the South African Airways (SAA); the South African Post Office (SAPO); and the Land </w:t>
      </w:r>
      <w:r w:rsidR="00A562BF" w:rsidRPr="008B5BEE">
        <w:rPr>
          <w:rFonts w:ascii="Arial" w:hAnsi="Arial" w:cs="Arial"/>
          <w:sz w:val="20"/>
          <w:szCs w:val="20"/>
        </w:rPr>
        <w:t xml:space="preserve">and Agricultural Development </w:t>
      </w:r>
      <w:r w:rsidRPr="008B5BEE">
        <w:rPr>
          <w:rFonts w:ascii="Arial" w:hAnsi="Arial" w:cs="Arial"/>
          <w:sz w:val="20"/>
          <w:szCs w:val="20"/>
        </w:rPr>
        <w:t>Bank</w:t>
      </w:r>
      <w:r w:rsidR="00A562BF" w:rsidRPr="008B5BEE">
        <w:rPr>
          <w:rFonts w:ascii="Arial" w:hAnsi="Arial" w:cs="Arial"/>
          <w:sz w:val="20"/>
          <w:szCs w:val="20"/>
        </w:rPr>
        <w:t xml:space="preserve"> of South Africa (and Bank), the FFC cautioned </w:t>
      </w:r>
      <w:r w:rsidRPr="008B5BEE">
        <w:rPr>
          <w:rFonts w:ascii="Arial" w:hAnsi="Arial" w:cs="Arial"/>
          <w:sz w:val="20"/>
          <w:szCs w:val="20"/>
        </w:rPr>
        <w:t xml:space="preserve">that continued bailouts for under-performing state-owned entities (SOEs) created perverse incentives and were fiscally unsound. The FFC further noted the R3.8 billion of unspent </w:t>
      </w:r>
      <w:r w:rsidR="00A562BF" w:rsidRPr="008B5BEE">
        <w:rPr>
          <w:rFonts w:ascii="Arial" w:hAnsi="Arial" w:cs="Arial"/>
          <w:sz w:val="20"/>
          <w:szCs w:val="20"/>
        </w:rPr>
        <w:t>funds on the Social Relief of Distress (SRD) g</w:t>
      </w:r>
      <w:r w:rsidRPr="008B5BEE">
        <w:rPr>
          <w:rFonts w:ascii="Arial" w:hAnsi="Arial" w:cs="Arial"/>
          <w:sz w:val="20"/>
          <w:szCs w:val="20"/>
        </w:rPr>
        <w:t>rant within the De</w:t>
      </w:r>
      <w:r w:rsidR="00A562BF" w:rsidRPr="008B5BEE">
        <w:rPr>
          <w:rFonts w:ascii="Arial" w:hAnsi="Arial" w:cs="Arial"/>
          <w:sz w:val="20"/>
          <w:szCs w:val="20"/>
        </w:rPr>
        <w:t xml:space="preserve">partment of Social Development that was </w:t>
      </w:r>
      <w:r w:rsidRPr="008B5BEE">
        <w:rPr>
          <w:rFonts w:ascii="Arial" w:hAnsi="Arial" w:cs="Arial"/>
          <w:sz w:val="20"/>
          <w:szCs w:val="20"/>
        </w:rPr>
        <w:t xml:space="preserve">reportedly due to </w:t>
      </w:r>
      <w:r w:rsidR="00A562BF" w:rsidRPr="008B5BEE">
        <w:rPr>
          <w:rFonts w:ascii="Arial" w:hAnsi="Arial" w:cs="Arial"/>
          <w:sz w:val="20"/>
          <w:szCs w:val="20"/>
        </w:rPr>
        <w:t xml:space="preserve">an </w:t>
      </w:r>
      <w:r w:rsidRPr="008B5BEE">
        <w:rPr>
          <w:rFonts w:ascii="Arial" w:hAnsi="Arial" w:cs="Arial"/>
          <w:sz w:val="20"/>
          <w:szCs w:val="20"/>
        </w:rPr>
        <w:t xml:space="preserve">improved </w:t>
      </w:r>
      <w:r w:rsidRPr="008B5BEE">
        <w:rPr>
          <w:rFonts w:ascii="Arial" w:hAnsi="Arial" w:cs="Arial"/>
          <w:sz w:val="20"/>
          <w:szCs w:val="20"/>
        </w:rPr>
        <w:lastRenderedPageBreak/>
        <w:t>means testing</w:t>
      </w:r>
      <w:r w:rsidR="00A562BF" w:rsidRPr="008B5BEE">
        <w:rPr>
          <w:rFonts w:ascii="Arial" w:hAnsi="Arial" w:cs="Arial"/>
          <w:sz w:val="20"/>
          <w:szCs w:val="20"/>
        </w:rPr>
        <w:t xml:space="preserve"> system.  The FFC expressed</w:t>
      </w:r>
      <w:r w:rsidRPr="008B5BEE">
        <w:rPr>
          <w:rFonts w:ascii="Arial" w:hAnsi="Arial" w:cs="Arial"/>
          <w:sz w:val="20"/>
          <w:szCs w:val="20"/>
        </w:rPr>
        <w:t xml:space="preserve"> concern</w:t>
      </w:r>
      <w:r w:rsidR="00825F36" w:rsidRPr="008B5BEE">
        <w:rPr>
          <w:rFonts w:ascii="Arial" w:hAnsi="Arial" w:cs="Arial"/>
          <w:sz w:val="20"/>
          <w:szCs w:val="20"/>
        </w:rPr>
        <w:t>s</w:t>
      </w:r>
      <w:r w:rsidRPr="008B5BEE">
        <w:rPr>
          <w:rFonts w:ascii="Arial" w:hAnsi="Arial" w:cs="Arial"/>
          <w:sz w:val="20"/>
          <w:szCs w:val="20"/>
        </w:rPr>
        <w:t xml:space="preserve"> over the progressive erosion in the number of people accessing this </w:t>
      </w:r>
      <w:r w:rsidR="00A562BF" w:rsidRPr="008B5BEE">
        <w:rPr>
          <w:rFonts w:ascii="Arial" w:hAnsi="Arial" w:cs="Arial"/>
          <w:sz w:val="20"/>
          <w:szCs w:val="20"/>
        </w:rPr>
        <w:t>g</w:t>
      </w:r>
      <w:r w:rsidRPr="008B5BEE">
        <w:rPr>
          <w:rFonts w:ascii="Arial" w:hAnsi="Arial" w:cs="Arial"/>
          <w:sz w:val="20"/>
          <w:szCs w:val="20"/>
        </w:rPr>
        <w:t>rant, in light of persistent unemployment and worsening socio-economic conditions, disproportionately affecting poor households.</w:t>
      </w:r>
    </w:p>
    <w:p w:rsidR="00AA79E8" w:rsidRPr="008B5BEE" w:rsidRDefault="00AA79E8" w:rsidP="008B5BEE">
      <w:pPr>
        <w:spacing w:after="0" w:line="240" w:lineRule="auto"/>
        <w:rPr>
          <w:rFonts w:ascii="Arial" w:hAnsi="Arial" w:cs="Arial"/>
          <w:sz w:val="20"/>
          <w:szCs w:val="20"/>
        </w:rPr>
      </w:pPr>
      <w:r w:rsidRPr="008B5BEE">
        <w:rPr>
          <w:rFonts w:ascii="Arial" w:hAnsi="Arial" w:cs="Arial"/>
          <w:sz w:val="20"/>
          <w:szCs w:val="20"/>
        </w:rPr>
        <w:t>The FFC made the following recommendations:</w:t>
      </w:r>
    </w:p>
    <w:p w:rsidR="00AA79E8" w:rsidRPr="008B5BEE" w:rsidRDefault="00AA79E8" w:rsidP="008B5BEE">
      <w:pPr>
        <w:pStyle w:val="ListParagraph"/>
        <w:numPr>
          <w:ilvl w:val="0"/>
          <w:numId w:val="28"/>
        </w:numPr>
        <w:spacing w:after="0" w:line="240" w:lineRule="auto"/>
        <w:rPr>
          <w:rFonts w:ascii="Arial" w:hAnsi="Arial" w:cs="Arial"/>
          <w:sz w:val="20"/>
          <w:szCs w:val="20"/>
        </w:rPr>
      </w:pPr>
      <w:r w:rsidRPr="008B5BEE">
        <w:rPr>
          <w:rFonts w:ascii="Arial" w:hAnsi="Arial" w:cs="Arial"/>
          <w:sz w:val="20"/>
          <w:szCs w:val="20"/>
        </w:rPr>
        <w:t xml:space="preserve">As recommended previously, government must devise systems of accountability and measures of control to prevent SOEs from indulging in moral hazard behaviour. Pre-conditions and conditions required for bailouts, including financial and operational reporting have been implemented, however, positive outcomes have been limited. </w:t>
      </w:r>
    </w:p>
    <w:p w:rsidR="00AA79E8" w:rsidRPr="008B5BEE" w:rsidRDefault="00AA79E8" w:rsidP="008B5BEE">
      <w:pPr>
        <w:pStyle w:val="ListParagraph"/>
        <w:numPr>
          <w:ilvl w:val="0"/>
          <w:numId w:val="28"/>
        </w:numPr>
        <w:spacing w:after="0" w:line="240" w:lineRule="auto"/>
        <w:rPr>
          <w:rFonts w:ascii="Arial" w:hAnsi="Arial" w:cs="Arial"/>
          <w:sz w:val="20"/>
          <w:szCs w:val="20"/>
        </w:rPr>
      </w:pPr>
      <w:r w:rsidRPr="008B5BEE">
        <w:rPr>
          <w:rFonts w:ascii="Arial" w:hAnsi="Arial" w:cs="Arial"/>
          <w:sz w:val="20"/>
          <w:szCs w:val="20"/>
        </w:rPr>
        <w:t>In the spirit of greater transparency and accountability, future bills must be accompanied by more information and an explanation of the rationale for proposed adjustments.</w:t>
      </w:r>
    </w:p>
    <w:p w:rsidR="00A562BF" w:rsidRPr="008B5BEE" w:rsidRDefault="00A562BF" w:rsidP="008B5BEE">
      <w:pPr>
        <w:tabs>
          <w:tab w:val="left" w:pos="3206"/>
        </w:tabs>
        <w:spacing w:after="0" w:line="240" w:lineRule="auto"/>
        <w:rPr>
          <w:rFonts w:ascii="Arial" w:eastAsia="Times New Roman" w:hAnsi="Arial" w:cs="Arial"/>
          <w:sz w:val="20"/>
          <w:szCs w:val="20"/>
        </w:rPr>
      </w:pPr>
    </w:p>
    <w:p w:rsidR="003D725C" w:rsidRPr="008B5BEE" w:rsidRDefault="003D725C" w:rsidP="008B5BEE">
      <w:pPr>
        <w:tabs>
          <w:tab w:val="left" w:pos="3206"/>
        </w:tabs>
        <w:spacing w:after="0" w:line="240" w:lineRule="auto"/>
        <w:rPr>
          <w:rFonts w:ascii="Arial" w:eastAsia="Times New Roman" w:hAnsi="Arial" w:cs="Arial"/>
          <w:sz w:val="20"/>
          <w:szCs w:val="20"/>
        </w:rPr>
      </w:pPr>
    </w:p>
    <w:p w:rsidR="002E0922" w:rsidRPr="008B5BEE" w:rsidRDefault="00210D9C" w:rsidP="008B5BEE">
      <w:pPr>
        <w:pStyle w:val="ListParagraph"/>
        <w:numPr>
          <w:ilvl w:val="1"/>
          <w:numId w:val="31"/>
        </w:numPr>
        <w:tabs>
          <w:tab w:val="left" w:pos="3206"/>
        </w:tabs>
        <w:spacing w:after="0" w:line="240" w:lineRule="auto"/>
        <w:rPr>
          <w:rFonts w:ascii="Arial" w:eastAsia="Times New Roman" w:hAnsi="Arial" w:cs="Arial"/>
          <w:b/>
          <w:sz w:val="20"/>
          <w:szCs w:val="20"/>
        </w:rPr>
      </w:pPr>
      <w:r w:rsidRPr="008B5BEE">
        <w:rPr>
          <w:rFonts w:ascii="Arial" w:eastAsia="Times New Roman" w:hAnsi="Arial" w:cs="Arial"/>
          <w:b/>
          <w:sz w:val="20"/>
          <w:szCs w:val="20"/>
        </w:rPr>
        <w:t>Parliamentary Budget Office</w:t>
      </w:r>
    </w:p>
    <w:p w:rsidR="00D2293D" w:rsidRPr="008B5BEE" w:rsidRDefault="00D2293D" w:rsidP="008B5BEE">
      <w:pPr>
        <w:tabs>
          <w:tab w:val="left" w:pos="3206"/>
        </w:tabs>
        <w:spacing w:after="0" w:line="240" w:lineRule="auto"/>
        <w:rPr>
          <w:rFonts w:ascii="Arial" w:eastAsia="Times New Roman" w:hAnsi="Arial" w:cs="Arial"/>
          <w:sz w:val="20"/>
          <w:szCs w:val="20"/>
        </w:rPr>
      </w:pPr>
    </w:p>
    <w:p w:rsidR="00891882" w:rsidRPr="008B5BEE" w:rsidRDefault="00891882" w:rsidP="008B5BEE">
      <w:pPr>
        <w:pStyle w:val="Default"/>
        <w:rPr>
          <w:rFonts w:ascii="Arial" w:hAnsi="Arial" w:cs="Arial"/>
          <w:sz w:val="20"/>
          <w:szCs w:val="20"/>
        </w:rPr>
      </w:pPr>
      <w:r w:rsidRPr="008B5BEE">
        <w:rPr>
          <w:rFonts w:ascii="Arial" w:hAnsi="Arial" w:cs="Arial"/>
          <w:sz w:val="20"/>
          <w:szCs w:val="20"/>
        </w:rPr>
        <w:t xml:space="preserve">The Parliamentary Budget Office (PBO) commented </w:t>
      </w:r>
      <w:r w:rsidR="00481AC9" w:rsidRPr="008B5BEE">
        <w:rPr>
          <w:rFonts w:ascii="Arial" w:hAnsi="Arial" w:cs="Arial"/>
          <w:sz w:val="20"/>
          <w:szCs w:val="20"/>
        </w:rPr>
        <w:t xml:space="preserve">that the Bill was necessary </w:t>
      </w:r>
      <w:r w:rsidRPr="008B5BEE">
        <w:rPr>
          <w:rFonts w:ascii="Arial" w:hAnsi="Arial" w:cs="Arial"/>
          <w:sz w:val="20"/>
          <w:szCs w:val="20"/>
        </w:rPr>
        <w:t xml:space="preserve">to address some challenges in national government and in SOEs. The revenue contained in the Bill was raised through downward expenditure adjustments totalling R54 039 million (R19.4 billion was raised from under-expenditure within government and R43.6 billion from other downward adjustments) and </w:t>
      </w:r>
      <w:r w:rsidR="009B3045" w:rsidRPr="008B5BEE">
        <w:rPr>
          <w:rFonts w:ascii="Arial" w:hAnsi="Arial" w:cs="Arial"/>
          <w:sz w:val="20"/>
          <w:szCs w:val="20"/>
        </w:rPr>
        <w:t>seeks</w:t>
      </w:r>
      <w:r w:rsidRPr="008B5BEE">
        <w:rPr>
          <w:rFonts w:ascii="Arial" w:hAnsi="Arial" w:cs="Arial"/>
          <w:sz w:val="20"/>
          <w:szCs w:val="20"/>
        </w:rPr>
        <w:t xml:space="preserve"> to provide revisions to the non-interest expenditure due to the following:</w:t>
      </w:r>
    </w:p>
    <w:p w:rsidR="00891882" w:rsidRPr="008B5BEE" w:rsidRDefault="00891882" w:rsidP="008B5BEE">
      <w:pPr>
        <w:pStyle w:val="Default"/>
        <w:rPr>
          <w:rFonts w:ascii="Arial" w:hAnsi="Arial" w:cs="Arial"/>
          <w:sz w:val="20"/>
          <w:szCs w:val="20"/>
        </w:rPr>
      </w:pPr>
    </w:p>
    <w:p w:rsidR="00891882" w:rsidRPr="008B5BEE" w:rsidRDefault="00891882" w:rsidP="008B5BEE">
      <w:pPr>
        <w:pStyle w:val="ListParagraph"/>
        <w:numPr>
          <w:ilvl w:val="0"/>
          <w:numId w:val="28"/>
        </w:numPr>
        <w:spacing w:after="0" w:line="240" w:lineRule="auto"/>
        <w:rPr>
          <w:rFonts w:ascii="Arial" w:hAnsi="Arial" w:cs="Arial"/>
          <w:sz w:val="20"/>
          <w:szCs w:val="20"/>
        </w:rPr>
      </w:pPr>
      <w:r w:rsidRPr="008B5BEE">
        <w:rPr>
          <w:rFonts w:ascii="Arial" w:hAnsi="Arial" w:cs="Arial"/>
          <w:sz w:val="20"/>
          <w:szCs w:val="20"/>
        </w:rPr>
        <w:t>Public-Service wage bill which increased by R14.6 billion. Increases are between R3 million and R1.9 billion depending on the size of the national department.</w:t>
      </w:r>
    </w:p>
    <w:p w:rsidR="00891882" w:rsidRPr="008B5BEE" w:rsidRDefault="00891882" w:rsidP="008B5BEE">
      <w:pPr>
        <w:pStyle w:val="ListParagraph"/>
        <w:numPr>
          <w:ilvl w:val="0"/>
          <w:numId w:val="28"/>
        </w:numPr>
        <w:spacing w:after="0" w:line="240" w:lineRule="auto"/>
        <w:rPr>
          <w:rFonts w:ascii="Arial" w:hAnsi="Arial" w:cs="Arial"/>
          <w:sz w:val="20"/>
          <w:szCs w:val="20"/>
        </w:rPr>
      </w:pPr>
      <w:r w:rsidRPr="008B5BEE">
        <w:rPr>
          <w:rFonts w:ascii="Arial" w:hAnsi="Arial" w:cs="Arial"/>
          <w:sz w:val="20"/>
          <w:szCs w:val="20"/>
        </w:rPr>
        <w:t xml:space="preserve">Due to outstanding historical debt, SAA will receive R1 billion on condition that all government guarantees to SAA will be cancelled, and that proof of funds for the strategic equity partner transaction needs are to be provided. National Treasury will review the Strategic Equity Partner (SEP) agreement to prevent future fiscal obligations.  </w:t>
      </w:r>
    </w:p>
    <w:p w:rsidR="00891882" w:rsidRPr="008B5BEE" w:rsidRDefault="00891882" w:rsidP="008B5BEE">
      <w:pPr>
        <w:pStyle w:val="ListParagraph"/>
        <w:numPr>
          <w:ilvl w:val="0"/>
          <w:numId w:val="28"/>
        </w:numPr>
        <w:spacing w:after="0" w:line="240" w:lineRule="auto"/>
        <w:rPr>
          <w:rFonts w:ascii="Arial" w:hAnsi="Arial" w:cs="Arial"/>
          <w:sz w:val="20"/>
          <w:szCs w:val="20"/>
        </w:rPr>
      </w:pPr>
      <w:r w:rsidRPr="008B5BEE">
        <w:rPr>
          <w:rFonts w:ascii="Arial" w:hAnsi="Arial" w:cs="Arial"/>
          <w:sz w:val="20"/>
          <w:szCs w:val="20"/>
        </w:rPr>
        <w:t>SAPO will receive a R2.4 billion financial injections; but with several conditions, including the placement of the entity under administration;</w:t>
      </w:r>
    </w:p>
    <w:p w:rsidR="00891882" w:rsidRPr="008B5BEE" w:rsidRDefault="00891882" w:rsidP="008B5BEE">
      <w:pPr>
        <w:pStyle w:val="ListParagraph"/>
        <w:numPr>
          <w:ilvl w:val="0"/>
          <w:numId w:val="28"/>
        </w:numPr>
        <w:spacing w:after="0" w:line="240" w:lineRule="auto"/>
        <w:rPr>
          <w:rFonts w:ascii="Arial" w:hAnsi="Arial" w:cs="Arial"/>
          <w:sz w:val="20"/>
          <w:szCs w:val="20"/>
        </w:rPr>
      </w:pPr>
      <w:r w:rsidRPr="008B5BEE">
        <w:rPr>
          <w:rFonts w:ascii="Arial" w:hAnsi="Arial" w:cs="Arial"/>
          <w:sz w:val="20"/>
          <w:szCs w:val="20"/>
        </w:rPr>
        <w:t xml:space="preserve">The Land Bank will be allocated R5 billion (R3 billion for the blended finance programme and R2 billion to remedy its default position). </w:t>
      </w:r>
    </w:p>
    <w:p w:rsidR="00891882" w:rsidRPr="008B5BEE" w:rsidRDefault="00891882" w:rsidP="008B5BEE">
      <w:pPr>
        <w:pStyle w:val="ListParagraph"/>
        <w:numPr>
          <w:ilvl w:val="0"/>
          <w:numId w:val="28"/>
        </w:numPr>
        <w:spacing w:after="0" w:line="240" w:lineRule="auto"/>
        <w:rPr>
          <w:rFonts w:ascii="Arial" w:hAnsi="Arial" w:cs="Arial"/>
          <w:sz w:val="20"/>
          <w:szCs w:val="20"/>
        </w:rPr>
      </w:pPr>
      <w:r w:rsidRPr="008B5BEE">
        <w:rPr>
          <w:rFonts w:ascii="Arial" w:hAnsi="Arial" w:cs="Arial"/>
          <w:sz w:val="20"/>
          <w:szCs w:val="20"/>
        </w:rPr>
        <w:t xml:space="preserve">A sum of R300 million will be allocated to Political Parties Fund.  </w:t>
      </w:r>
    </w:p>
    <w:p w:rsidR="00891882" w:rsidRPr="008B5BEE" w:rsidRDefault="00891882" w:rsidP="008B5BEE">
      <w:pPr>
        <w:spacing w:after="0" w:line="240" w:lineRule="auto"/>
        <w:rPr>
          <w:rFonts w:ascii="Arial" w:hAnsi="Arial" w:cs="Arial"/>
          <w:sz w:val="20"/>
          <w:szCs w:val="20"/>
        </w:rPr>
      </w:pPr>
      <w:r w:rsidRPr="008B5BEE">
        <w:rPr>
          <w:rFonts w:ascii="Arial" w:hAnsi="Arial" w:cs="Arial"/>
          <w:sz w:val="20"/>
          <w:szCs w:val="20"/>
        </w:rPr>
        <w:t xml:space="preserve">  </w:t>
      </w:r>
    </w:p>
    <w:p w:rsidR="00891882" w:rsidRPr="008B5BEE" w:rsidRDefault="00891882" w:rsidP="008B5BEE">
      <w:pPr>
        <w:spacing w:after="0" w:line="240" w:lineRule="auto"/>
        <w:rPr>
          <w:rFonts w:ascii="Arial" w:hAnsi="Arial" w:cs="Arial"/>
          <w:sz w:val="20"/>
          <w:szCs w:val="20"/>
        </w:rPr>
      </w:pPr>
      <w:r w:rsidRPr="008B5BEE">
        <w:rPr>
          <w:rFonts w:ascii="Arial" w:hAnsi="Arial" w:cs="Arial"/>
          <w:sz w:val="20"/>
          <w:szCs w:val="20"/>
        </w:rPr>
        <w:t>The PBO submitted that all the financial allocations, as indicated above, will be accompanied by applicable relevant conditions.</w:t>
      </w:r>
    </w:p>
    <w:p w:rsidR="00073680" w:rsidRPr="008B5BEE" w:rsidRDefault="00073680" w:rsidP="008B5BEE">
      <w:pPr>
        <w:tabs>
          <w:tab w:val="left" w:pos="3206"/>
        </w:tabs>
        <w:spacing w:after="0" w:line="240" w:lineRule="auto"/>
        <w:rPr>
          <w:rFonts w:ascii="Arial" w:eastAsia="Times New Roman" w:hAnsi="Arial" w:cs="Arial"/>
          <w:sz w:val="20"/>
          <w:szCs w:val="20"/>
        </w:rPr>
      </w:pPr>
    </w:p>
    <w:p w:rsidR="002E0922" w:rsidRPr="008B5BEE" w:rsidRDefault="00A65E3F" w:rsidP="008B5BEE">
      <w:pPr>
        <w:numPr>
          <w:ilvl w:val="0"/>
          <w:numId w:val="31"/>
        </w:numPr>
        <w:spacing w:after="0" w:line="240" w:lineRule="auto"/>
        <w:contextualSpacing/>
        <w:rPr>
          <w:rFonts w:ascii="Arial" w:eastAsia="Times New Roman" w:hAnsi="Arial" w:cs="Arial"/>
          <w:b/>
          <w:sz w:val="20"/>
          <w:szCs w:val="20"/>
        </w:rPr>
      </w:pPr>
      <w:r w:rsidRPr="008B5BEE">
        <w:rPr>
          <w:rFonts w:ascii="Arial" w:eastAsia="Times New Roman" w:hAnsi="Arial" w:cs="Arial"/>
          <w:b/>
          <w:sz w:val="20"/>
          <w:szCs w:val="20"/>
        </w:rPr>
        <w:t>Public S</w:t>
      </w:r>
      <w:r w:rsidR="002E0922" w:rsidRPr="008B5BEE">
        <w:rPr>
          <w:rFonts w:ascii="Arial" w:eastAsia="Times New Roman" w:hAnsi="Arial" w:cs="Arial"/>
          <w:b/>
          <w:sz w:val="20"/>
          <w:szCs w:val="20"/>
        </w:rPr>
        <w:t xml:space="preserve">ubmission on the Bill </w:t>
      </w:r>
    </w:p>
    <w:p w:rsidR="002E0922" w:rsidRPr="008B5BEE" w:rsidRDefault="002E0922" w:rsidP="008B5BEE">
      <w:pPr>
        <w:tabs>
          <w:tab w:val="left" w:pos="3206"/>
        </w:tabs>
        <w:spacing w:after="0" w:line="240" w:lineRule="auto"/>
        <w:rPr>
          <w:rFonts w:ascii="Arial" w:eastAsia="Times New Roman" w:hAnsi="Arial" w:cs="Arial"/>
          <w:b/>
          <w:sz w:val="20"/>
          <w:szCs w:val="20"/>
        </w:rPr>
      </w:pPr>
    </w:p>
    <w:p w:rsidR="009B3045" w:rsidRPr="008B5BEE" w:rsidRDefault="002E0922" w:rsidP="008B5BEE">
      <w:pPr>
        <w:tabs>
          <w:tab w:val="left" w:pos="3206"/>
        </w:tabs>
        <w:spacing w:after="0" w:line="240" w:lineRule="auto"/>
        <w:rPr>
          <w:rFonts w:ascii="Arial" w:eastAsia="Times New Roman" w:hAnsi="Arial" w:cs="Arial"/>
          <w:sz w:val="20"/>
          <w:szCs w:val="20"/>
        </w:rPr>
      </w:pPr>
      <w:r w:rsidRPr="008B5BEE">
        <w:rPr>
          <w:rFonts w:ascii="Arial" w:eastAsia="Times New Roman" w:hAnsi="Arial" w:cs="Arial"/>
          <w:sz w:val="20"/>
          <w:szCs w:val="20"/>
        </w:rPr>
        <w:t>The section below provides an overview of the submission that was made in response of the advertisement t</w:t>
      </w:r>
      <w:r w:rsidR="009B3045" w:rsidRPr="008B5BEE">
        <w:rPr>
          <w:rFonts w:ascii="Arial" w:eastAsia="Times New Roman" w:hAnsi="Arial" w:cs="Arial"/>
          <w:sz w:val="20"/>
          <w:szCs w:val="20"/>
        </w:rPr>
        <w:t>hat was published on Parliament’s website and social media platforms</w:t>
      </w:r>
      <w:r w:rsidR="00AD4CB9" w:rsidRPr="008B5BEE">
        <w:rPr>
          <w:rFonts w:ascii="Arial" w:eastAsia="Times New Roman" w:hAnsi="Arial" w:cs="Arial"/>
          <w:sz w:val="20"/>
          <w:szCs w:val="20"/>
        </w:rPr>
        <w:t>.</w:t>
      </w:r>
    </w:p>
    <w:p w:rsidR="009B3045" w:rsidRPr="008B5BEE" w:rsidRDefault="009B3045" w:rsidP="008B5BEE">
      <w:pPr>
        <w:tabs>
          <w:tab w:val="left" w:pos="3206"/>
        </w:tabs>
        <w:spacing w:after="0" w:line="240" w:lineRule="auto"/>
        <w:rPr>
          <w:rFonts w:ascii="Arial" w:eastAsia="Times New Roman" w:hAnsi="Arial" w:cs="Arial"/>
          <w:sz w:val="20"/>
          <w:szCs w:val="20"/>
        </w:rPr>
      </w:pPr>
    </w:p>
    <w:p w:rsidR="002E0922" w:rsidRPr="008B5BEE" w:rsidRDefault="002E0922" w:rsidP="008B5BEE">
      <w:pPr>
        <w:numPr>
          <w:ilvl w:val="1"/>
          <w:numId w:val="31"/>
        </w:numPr>
        <w:tabs>
          <w:tab w:val="left" w:pos="3206"/>
        </w:tabs>
        <w:spacing w:after="0" w:line="240" w:lineRule="auto"/>
        <w:ind w:left="426" w:hanging="426"/>
        <w:contextualSpacing/>
        <w:rPr>
          <w:rFonts w:ascii="Arial" w:eastAsia="Times New Roman" w:hAnsi="Arial" w:cs="Arial"/>
          <w:b/>
          <w:sz w:val="20"/>
          <w:szCs w:val="20"/>
        </w:rPr>
      </w:pPr>
      <w:r w:rsidRPr="008B5BEE">
        <w:rPr>
          <w:rFonts w:ascii="Arial" w:eastAsia="Times New Roman" w:hAnsi="Arial" w:cs="Arial"/>
          <w:b/>
          <w:sz w:val="20"/>
          <w:szCs w:val="20"/>
        </w:rPr>
        <w:t>Congress of South African Trade Unions</w:t>
      </w:r>
    </w:p>
    <w:p w:rsidR="002E0922" w:rsidRPr="008B5BEE" w:rsidRDefault="002E0922" w:rsidP="008B5BEE">
      <w:pPr>
        <w:tabs>
          <w:tab w:val="left" w:pos="3206"/>
        </w:tabs>
        <w:spacing w:after="0" w:line="240" w:lineRule="auto"/>
        <w:contextualSpacing/>
        <w:rPr>
          <w:rFonts w:ascii="Arial" w:eastAsia="Times New Roman" w:hAnsi="Arial" w:cs="Arial"/>
          <w:b/>
          <w:sz w:val="20"/>
          <w:szCs w:val="20"/>
        </w:rPr>
      </w:pPr>
    </w:p>
    <w:p w:rsidR="009B3045" w:rsidRPr="008B5BEE" w:rsidRDefault="009B3045" w:rsidP="008B5BEE">
      <w:pPr>
        <w:spacing w:after="0" w:line="240" w:lineRule="auto"/>
        <w:rPr>
          <w:rFonts w:ascii="Arial" w:hAnsi="Arial" w:cs="Arial"/>
          <w:sz w:val="20"/>
          <w:szCs w:val="20"/>
        </w:rPr>
      </w:pPr>
      <w:r w:rsidRPr="008B5BEE">
        <w:rPr>
          <w:rFonts w:ascii="Arial" w:hAnsi="Arial" w:cs="Arial"/>
          <w:sz w:val="20"/>
          <w:szCs w:val="20"/>
        </w:rPr>
        <w:t xml:space="preserve">The Congress of South African Trade Unions (COSATU) submitted that considering that the South African economy had been stagnant for over a decade and experienced many challenges and crises, the 2023 national budget and the Bill were not bold enough. COSATU hoped that the Bill would protect workers from inflation, rebuild the state, decisively tackle corruption, provide relief to the unemployed and put measures to stimulate the economy.  It however acknowledged that there were positive interventions in the 2023 national budget and the Bill. </w:t>
      </w:r>
    </w:p>
    <w:p w:rsidR="009B3045" w:rsidRPr="008B5BEE" w:rsidRDefault="009B3045" w:rsidP="008B5BEE">
      <w:pPr>
        <w:spacing w:after="0" w:line="240" w:lineRule="auto"/>
        <w:rPr>
          <w:rFonts w:ascii="Arial" w:hAnsi="Arial" w:cs="Arial"/>
          <w:sz w:val="20"/>
          <w:szCs w:val="20"/>
        </w:rPr>
      </w:pPr>
      <w:r w:rsidRPr="008B5BEE">
        <w:rPr>
          <w:rFonts w:ascii="Arial" w:hAnsi="Arial" w:cs="Arial"/>
          <w:sz w:val="20"/>
          <w:szCs w:val="20"/>
        </w:rPr>
        <w:t>COSATU welcomed the additional allocations made to departments and State-owned entities. It made the following comments and proposals with regard certain identified proposed allocations in the Bill:</w:t>
      </w:r>
    </w:p>
    <w:p w:rsidR="009B3045" w:rsidRPr="008B5BEE" w:rsidRDefault="009B3045" w:rsidP="008B5BEE">
      <w:pPr>
        <w:spacing w:after="0" w:line="240" w:lineRule="auto"/>
        <w:rPr>
          <w:rFonts w:ascii="Arial" w:hAnsi="Arial" w:cs="Arial"/>
          <w:sz w:val="20"/>
          <w:szCs w:val="20"/>
        </w:rPr>
      </w:pPr>
    </w:p>
    <w:tbl>
      <w:tblPr>
        <w:tblStyle w:val="TableGrid"/>
        <w:tblW w:w="0" w:type="auto"/>
        <w:tblLook w:val="04A0"/>
      </w:tblPr>
      <w:tblGrid>
        <w:gridCol w:w="2547"/>
        <w:gridCol w:w="7513"/>
      </w:tblGrid>
      <w:tr w:rsidR="009B3045" w:rsidRPr="008B5BEE" w:rsidTr="009B3045">
        <w:tc>
          <w:tcPr>
            <w:tcW w:w="2547" w:type="dxa"/>
          </w:tcPr>
          <w:p w:rsidR="009B3045" w:rsidRPr="008B5BEE" w:rsidRDefault="009B3045" w:rsidP="008B5BEE">
            <w:pPr>
              <w:tabs>
                <w:tab w:val="left" w:pos="4632"/>
              </w:tabs>
              <w:rPr>
                <w:rFonts w:ascii="Arial" w:hAnsi="Arial" w:cs="Arial"/>
                <w:sz w:val="20"/>
                <w:szCs w:val="20"/>
              </w:rPr>
            </w:pPr>
            <w:r w:rsidRPr="008B5BEE">
              <w:rPr>
                <w:rFonts w:ascii="Arial" w:hAnsi="Arial" w:cs="Arial"/>
                <w:sz w:val="20"/>
                <w:szCs w:val="20"/>
              </w:rPr>
              <w:t xml:space="preserve">Parliament </w:t>
            </w:r>
          </w:p>
        </w:tc>
        <w:tc>
          <w:tcPr>
            <w:tcW w:w="7513" w:type="dxa"/>
          </w:tcPr>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 xml:space="preserve">COSATU welcomed the R37 million allocation for Parliament. </w:t>
            </w:r>
          </w:p>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 xml:space="preserve">It however expressed concerns about the delays in rebuilding Parliament which is a national key point and heritage site as well as the seat of the national legislature. </w:t>
            </w:r>
          </w:p>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lastRenderedPageBreak/>
              <w:t>COSATU emphasi</w:t>
            </w:r>
            <w:r w:rsidR="00B62A64" w:rsidRPr="008B5BEE">
              <w:rPr>
                <w:rFonts w:ascii="Arial" w:hAnsi="Arial" w:cs="Arial"/>
                <w:sz w:val="20"/>
                <w:szCs w:val="20"/>
              </w:rPr>
              <w:t>s</w:t>
            </w:r>
            <w:r w:rsidRPr="008B5BEE">
              <w:rPr>
                <w:rFonts w:ascii="Arial" w:hAnsi="Arial" w:cs="Arial"/>
                <w:sz w:val="20"/>
                <w:szCs w:val="20"/>
              </w:rPr>
              <w:t>ed that rebuilding project at Parliament should be prioritised.</w:t>
            </w:r>
          </w:p>
        </w:tc>
      </w:tr>
      <w:tr w:rsidR="009B3045" w:rsidRPr="008B5BEE" w:rsidTr="009B3045">
        <w:tc>
          <w:tcPr>
            <w:tcW w:w="2547" w:type="dxa"/>
          </w:tcPr>
          <w:p w:rsidR="009B3045" w:rsidRPr="008B5BEE" w:rsidRDefault="009B3045" w:rsidP="008B5BEE">
            <w:pPr>
              <w:tabs>
                <w:tab w:val="left" w:pos="4632"/>
              </w:tabs>
              <w:rPr>
                <w:rFonts w:ascii="Arial" w:hAnsi="Arial" w:cs="Arial"/>
                <w:sz w:val="20"/>
                <w:szCs w:val="20"/>
              </w:rPr>
            </w:pPr>
            <w:r w:rsidRPr="008B5BEE">
              <w:rPr>
                <w:rFonts w:ascii="Arial" w:hAnsi="Arial" w:cs="Arial"/>
                <w:sz w:val="20"/>
                <w:szCs w:val="20"/>
              </w:rPr>
              <w:lastRenderedPageBreak/>
              <w:t>Cooperative Governance and Traditional Affairs (COGTA)</w:t>
            </w:r>
          </w:p>
        </w:tc>
        <w:tc>
          <w:tcPr>
            <w:tcW w:w="7513" w:type="dxa"/>
          </w:tcPr>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COSATU noted the R12 million allocated to COGTA however it was concerned at the lack of greater interventions or sense of urgency by COGTA given the rapid deterioration in local government where 90 per cent of municipalities were in financial distress and 20 routinely failed to pay staff salaries.</w:t>
            </w:r>
          </w:p>
        </w:tc>
      </w:tr>
      <w:tr w:rsidR="009B3045" w:rsidRPr="008B5BEE" w:rsidTr="009B3045">
        <w:tc>
          <w:tcPr>
            <w:tcW w:w="2547" w:type="dxa"/>
          </w:tcPr>
          <w:p w:rsidR="009B3045" w:rsidRPr="008B5BEE" w:rsidRDefault="009B3045" w:rsidP="008B5BEE">
            <w:pPr>
              <w:tabs>
                <w:tab w:val="left" w:pos="4632"/>
              </w:tabs>
              <w:rPr>
                <w:rFonts w:ascii="Arial" w:hAnsi="Arial" w:cs="Arial"/>
                <w:sz w:val="20"/>
                <w:szCs w:val="20"/>
              </w:rPr>
            </w:pPr>
            <w:r w:rsidRPr="008B5BEE">
              <w:rPr>
                <w:rFonts w:ascii="Arial" w:hAnsi="Arial" w:cs="Arial"/>
                <w:sz w:val="20"/>
                <w:szCs w:val="20"/>
              </w:rPr>
              <w:t>Department of Home Affairs</w:t>
            </w:r>
          </w:p>
        </w:tc>
        <w:tc>
          <w:tcPr>
            <w:tcW w:w="7513" w:type="dxa"/>
          </w:tcPr>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The allocation of R92 million to invest in Home Affairs civic services was welcomed as more investment is needed to turn this key public service around and end the interminable queues members of the public were subjected to.</w:t>
            </w:r>
          </w:p>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It welcomed the allocation of R300 million to support political parties under the Political Party Funding.  However, it was not enough and needed to be increased substantially to R1 billion if South Africa is to wean political parties off an unhealthy dependency on private donors with dubious motivations.</w:t>
            </w:r>
          </w:p>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Political parties as part of the constitutional dispensation will be required to undertake expensive election campaigns over the next year.  COSATU stated that R300 million will not be sufficient for political parties to do so, and at the same time is taken advantage of by corrupt tender</w:t>
            </w:r>
            <w:r w:rsidR="0007327F" w:rsidRPr="008B5BEE">
              <w:rPr>
                <w:rFonts w:ascii="Arial" w:hAnsi="Arial" w:cs="Arial"/>
                <w:sz w:val="20"/>
                <w:szCs w:val="20"/>
              </w:rPr>
              <w:t>-</w:t>
            </w:r>
            <w:r w:rsidRPr="008B5BEE">
              <w:rPr>
                <w:rFonts w:ascii="Arial" w:hAnsi="Arial" w:cs="Arial"/>
                <w:sz w:val="20"/>
                <w:szCs w:val="20"/>
              </w:rPr>
              <w:t>preneurs seeking to buy favour.</w:t>
            </w:r>
          </w:p>
        </w:tc>
      </w:tr>
      <w:tr w:rsidR="009B3045" w:rsidRPr="008B5BEE" w:rsidTr="009B3045">
        <w:tc>
          <w:tcPr>
            <w:tcW w:w="2547" w:type="dxa"/>
          </w:tcPr>
          <w:p w:rsidR="009B3045" w:rsidRPr="008B5BEE" w:rsidRDefault="00550B0B" w:rsidP="008B5BEE">
            <w:pPr>
              <w:tabs>
                <w:tab w:val="left" w:pos="4632"/>
              </w:tabs>
              <w:rPr>
                <w:rFonts w:ascii="Arial" w:hAnsi="Arial" w:cs="Arial"/>
                <w:sz w:val="20"/>
                <w:szCs w:val="20"/>
              </w:rPr>
            </w:pPr>
            <w:r w:rsidRPr="008B5BEE">
              <w:rPr>
                <w:rFonts w:ascii="Arial" w:hAnsi="Arial" w:cs="Arial"/>
                <w:sz w:val="20"/>
                <w:szCs w:val="20"/>
              </w:rPr>
              <w:t>Land Bank</w:t>
            </w:r>
          </w:p>
        </w:tc>
        <w:tc>
          <w:tcPr>
            <w:tcW w:w="7513" w:type="dxa"/>
          </w:tcPr>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COSATU welcomed the R5 billion allocation to the Land Bank and submitted that this needed to be accompanied by the necessary management interventions to ensure that the entity is well run and can play the role the economy.</w:t>
            </w:r>
          </w:p>
        </w:tc>
      </w:tr>
      <w:tr w:rsidR="009B3045" w:rsidRPr="008B5BEE" w:rsidTr="009B3045">
        <w:tc>
          <w:tcPr>
            <w:tcW w:w="2547" w:type="dxa"/>
          </w:tcPr>
          <w:p w:rsidR="009B3045" w:rsidRPr="008B5BEE" w:rsidRDefault="00550B0B" w:rsidP="008B5BEE">
            <w:pPr>
              <w:tabs>
                <w:tab w:val="left" w:pos="4632"/>
              </w:tabs>
              <w:rPr>
                <w:rFonts w:ascii="Arial" w:hAnsi="Arial" w:cs="Arial"/>
                <w:sz w:val="20"/>
                <w:szCs w:val="20"/>
              </w:rPr>
            </w:pPr>
            <w:r w:rsidRPr="008B5BEE">
              <w:rPr>
                <w:rFonts w:ascii="Arial" w:hAnsi="Arial" w:cs="Arial"/>
                <w:sz w:val="20"/>
                <w:szCs w:val="20"/>
              </w:rPr>
              <w:t>SAA</w:t>
            </w:r>
          </w:p>
        </w:tc>
        <w:tc>
          <w:tcPr>
            <w:tcW w:w="7513" w:type="dxa"/>
          </w:tcPr>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 xml:space="preserve">COSATU welcomed the allocation of R1 billion to settle outstanding SAA debts and submitted that the beginning of SAA’s turnaround in a very difficult sector was welcomed.  </w:t>
            </w:r>
          </w:p>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As SAA rebuilds, it needed to prioritise the employment of its former employees, where possible.</w:t>
            </w:r>
          </w:p>
        </w:tc>
      </w:tr>
      <w:tr w:rsidR="009B3045" w:rsidRPr="008B5BEE" w:rsidTr="009B3045">
        <w:tc>
          <w:tcPr>
            <w:tcW w:w="2547" w:type="dxa"/>
          </w:tcPr>
          <w:p w:rsidR="009B3045" w:rsidRPr="008B5BEE" w:rsidRDefault="009B3045" w:rsidP="008B5BEE">
            <w:pPr>
              <w:tabs>
                <w:tab w:val="left" w:pos="4632"/>
              </w:tabs>
              <w:rPr>
                <w:rFonts w:ascii="Arial" w:hAnsi="Arial" w:cs="Arial"/>
                <w:sz w:val="20"/>
                <w:szCs w:val="20"/>
              </w:rPr>
            </w:pPr>
            <w:r w:rsidRPr="008B5BEE">
              <w:rPr>
                <w:rFonts w:ascii="Arial" w:hAnsi="Arial" w:cs="Arial"/>
                <w:sz w:val="20"/>
                <w:szCs w:val="20"/>
              </w:rPr>
              <w:t>Presidential Employment Initiative (PEI)</w:t>
            </w:r>
          </w:p>
        </w:tc>
        <w:tc>
          <w:tcPr>
            <w:tcW w:w="7513" w:type="dxa"/>
          </w:tcPr>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 xml:space="preserve">COSATU submitted that the PEI has done well to help hundreds of thousands of young people enter the labour market, gain experience, learn skills and earn a salary.  </w:t>
            </w:r>
          </w:p>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It expressed disappointment that in spite of an unemployment rate of well over 40 per cent and a youth unemployment in the range of 60 per cent, that the allocation to the PEI was not increased to accommodate at least one million participants.</w:t>
            </w:r>
          </w:p>
        </w:tc>
      </w:tr>
      <w:tr w:rsidR="009B3045" w:rsidRPr="008B5BEE" w:rsidTr="009B3045">
        <w:tc>
          <w:tcPr>
            <w:tcW w:w="2547" w:type="dxa"/>
          </w:tcPr>
          <w:p w:rsidR="009B3045" w:rsidRPr="008B5BEE" w:rsidRDefault="00550B0B" w:rsidP="008B5BEE">
            <w:pPr>
              <w:tabs>
                <w:tab w:val="left" w:pos="4632"/>
              </w:tabs>
              <w:rPr>
                <w:rFonts w:ascii="Arial" w:hAnsi="Arial" w:cs="Arial"/>
                <w:sz w:val="20"/>
                <w:szCs w:val="20"/>
              </w:rPr>
            </w:pPr>
            <w:r w:rsidRPr="008B5BEE">
              <w:rPr>
                <w:rFonts w:ascii="Arial" w:hAnsi="Arial" w:cs="Arial"/>
                <w:sz w:val="20"/>
                <w:szCs w:val="20"/>
              </w:rPr>
              <w:t>SRD grant</w:t>
            </w:r>
          </w:p>
        </w:tc>
        <w:tc>
          <w:tcPr>
            <w:tcW w:w="7513" w:type="dxa"/>
          </w:tcPr>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 xml:space="preserve">COSATU was pleased that the government has agreed to the demand for the extension of the SRDG that has provided relief to about 8 million people. </w:t>
            </w:r>
          </w:p>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 xml:space="preserve">It emphasized that this grant needed to be retained beyond 2024 and increased to the food poverty line of R624, and at the very least it needed to be adjusted for the significant inflationary erosion it has experience since its introduction in 2020. </w:t>
            </w:r>
          </w:p>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COSATU was concerned that National Treasury failed to pay attention to the SRDG’s administrative challenges including the underspending. This was important if this programme was to be used as a foundation for a Basic Income Grant.</w:t>
            </w:r>
          </w:p>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It recommended that the SRDG recipients needed to be paid their funds electronically and no longer made to stand in endless queues. These beneficiaries also needed to be included, where possible, in skills training and employment placement programmes.</w:t>
            </w:r>
          </w:p>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COSATU submitted that the R3.7 billion reduction for the SRD Grant and R81 million for SASSA administrative support was deeply disturbing and misguided.</w:t>
            </w:r>
          </w:p>
        </w:tc>
      </w:tr>
      <w:tr w:rsidR="009B3045" w:rsidRPr="008B5BEE" w:rsidTr="009B3045">
        <w:tc>
          <w:tcPr>
            <w:tcW w:w="2547" w:type="dxa"/>
          </w:tcPr>
          <w:p w:rsidR="009B3045" w:rsidRPr="008B5BEE" w:rsidRDefault="00550B0B" w:rsidP="008B5BEE">
            <w:pPr>
              <w:tabs>
                <w:tab w:val="left" w:pos="4632"/>
              </w:tabs>
              <w:rPr>
                <w:rFonts w:ascii="Arial" w:hAnsi="Arial" w:cs="Arial"/>
                <w:sz w:val="20"/>
                <w:szCs w:val="20"/>
              </w:rPr>
            </w:pPr>
            <w:r w:rsidRPr="008B5BEE">
              <w:rPr>
                <w:rFonts w:ascii="Arial" w:hAnsi="Arial" w:cs="Arial"/>
                <w:sz w:val="20"/>
                <w:szCs w:val="20"/>
              </w:rPr>
              <w:t>SAPO</w:t>
            </w:r>
          </w:p>
        </w:tc>
        <w:tc>
          <w:tcPr>
            <w:tcW w:w="7513" w:type="dxa"/>
          </w:tcPr>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COSATU welcomed the R2.4 billion for SAPO however this needed to be accompanied by a turnaround plan. This plan must not be based upon retrenching 4000 employees and slashing the wages of the remaining 9000 workers.</w:t>
            </w:r>
          </w:p>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lastRenderedPageBreak/>
              <w:t>COSATU continued that th</w:t>
            </w:r>
            <w:r w:rsidR="002E6A7C" w:rsidRPr="008B5BEE">
              <w:rPr>
                <w:rFonts w:ascii="Arial" w:hAnsi="Arial" w:cs="Arial"/>
                <w:sz w:val="20"/>
                <w:szCs w:val="20"/>
              </w:rPr>
              <w:t>is</w:t>
            </w:r>
            <w:r w:rsidRPr="008B5BEE">
              <w:rPr>
                <w:rFonts w:ascii="Arial" w:hAnsi="Arial" w:cs="Arial"/>
                <w:sz w:val="20"/>
                <w:szCs w:val="20"/>
              </w:rPr>
              <w:t xml:space="preserve"> plan needed to include support to re</w:t>
            </w:r>
            <w:r w:rsidR="00AD4CB9" w:rsidRPr="008B5BEE">
              <w:rPr>
                <w:rFonts w:ascii="Arial" w:hAnsi="Arial" w:cs="Arial"/>
                <w:sz w:val="20"/>
                <w:szCs w:val="20"/>
              </w:rPr>
              <w:t>-</w:t>
            </w:r>
            <w:r w:rsidRPr="008B5BEE">
              <w:rPr>
                <w:rFonts w:ascii="Arial" w:hAnsi="Arial" w:cs="Arial"/>
                <w:sz w:val="20"/>
                <w:szCs w:val="20"/>
              </w:rPr>
              <w:t xml:space="preserve">pivot SAPO to expand the services it offers, catch up with a rapidly evolving sector and becoming a service site for government services in rural and disadvantaged communities.  This also needed to include a fully-fledged Postbank. </w:t>
            </w:r>
          </w:p>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 xml:space="preserve">SAPO and the Postbank Amendment Bills need to be expedited by government and Parliament.   </w:t>
            </w:r>
          </w:p>
        </w:tc>
      </w:tr>
      <w:tr w:rsidR="009B3045" w:rsidRPr="008B5BEE" w:rsidTr="009B3045">
        <w:tc>
          <w:tcPr>
            <w:tcW w:w="2547" w:type="dxa"/>
          </w:tcPr>
          <w:p w:rsidR="009B3045" w:rsidRPr="008B5BEE" w:rsidRDefault="00550B0B" w:rsidP="008B5BEE">
            <w:pPr>
              <w:tabs>
                <w:tab w:val="left" w:pos="4632"/>
              </w:tabs>
              <w:rPr>
                <w:rFonts w:ascii="Arial" w:hAnsi="Arial" w:cs="Arial"/>
                <w:sz w:val="20"/>
                <w:szCs w:val="20"/>
              </w:rPr>
            </w:pPr>
            <w:r w:rsidRPr="008B5BEE">
              <w:rPr>
                <w:rFonts w:ascii="Arial" w:hAnsi="Arial" w:cs="Arial"/>
                <w:sz w:val="20"/>
                <w:szCs w:val="20"/>
              </w:rPr>
              <w:lastRenderedPageBreak/>
              <w:t>Commission for Conciliation, Mediation and Arbitration (</w:t>
            </w:r>
            <w:r w:rsidR="009B3045" w:rsidRPr="008B5BEE">
              <w:rPr>
                <w:rFonts w:ascii="Arial" w:hAnsi="Arial" w:cs="Arial"/>
                <w:sz w:val="20"/>
                <w:szCs w:val="20"/>
              </w:rPr>
              <w:t>CCMA</w:t>
            </w:r>
            <w:r w:rsidRPr="008B5BEE">
              <w:rPr>
                <w:rFonts w:ascii="Arial" w:hAnsi="Arial" w:cs="Arial"/>
                <w:sz w:val="20"/>
                <w:szCs w:val="20"/>
              </w:rPr>
              <w:t>)</w:t>
            </w:r>
          </w:p>
        </w:tc>
        <w:tc>
          <w:tcPr>
            <w:tcW w:w="7513" w:type="dxa"/>
          </w:tcPr>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COSATU noted with disappointed that a flood of workers lost their jobs and wages, were denied their deducted contributions, were abused and also forced to work in unhealthy conditions. In spite of this, no additional appropriations were allocated to the CCMA which has battled to cope with drastic cuts over the MTEF.</w:t>
            </w:r>
          </w:p>
        </w:tc>
      </w:tr>
      <w:tr w:rsidR="009B3045" w:rsidRPr="008B5BEE" w:rsidTr="009B3045">
        <w:tc>
          <w:tcPr>
            <w:tcW w:w="2547" w:type="dxa"/>
          </w:tcPr>
          <w:p w:rsidR="009B3045" w:rsidRPr="008B5BEE" w:rsidRDefault="009B3045" w:rsidP="008B5BEE">
            <w:pPr>
              <w:tabs>
                <w:tab w:val="left" w:pos="4632"/>
              </w:tabs>
              <w:rPr>
                <w:rFonts w:ascii="Arial" w:hAnsi="Arial" w:cs="Arial"/>
                <w:sz w:val="20"/>
                <w:szCs w:val="20"/>
              </w:rPr>
            </w:pPr>
            <w:r w:rsidRPr="008B5BEE">
              <w:rPr>
                <w:rFonts w:ascii="Arial" w:hAnsi="Arial" w:cs="Arial"/>
                <w:sz w:val="20"/>
                <w:szCs w:val="20"/>
              </w:rPr>
              <w:t>Department of Mineral Resources and Energy (DMRE)</w:t>
            </w:r>
          </w:p>
        </w:tc>
        <w:tc>
          <w:tcPr>
            <w:tcW w:w="7513" w:type="dxa"/>
          </w:tcPr>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 xml:space="preserve">COSATU welcomed the additional allocation of R129 million to boost the DMRE’s capacity and submitted that it hoped that this will assist with the mining rights backlogs. This can unlock billions of investments and create thousands of badly needed jobs.  </w:t>
            </w:r>
          </w:p>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 xml:space="preserve">It was of the view that it was equally critical that some of the appropriation be allocated to boosting the Mine Health Safety Inspectorate’s capacity and reduce the weekly lives lost to mining accidents.  </w:t>
            </w:r>
          </w:p>
          <w:p w:rsidR="009B3045" w:rsidRPr="008B5BEE" w:rsidRDefault="009B3045" w:rsidP="008B5BEE">
            <w:pPr>
              <w:pStyle w:val="ListParagraph"/>
              <w:numPr>
                <w:ilvl w:val="0"/>
                <w:numId w:val="30"/>
              </w:numPr>
              <w:tabs>
                <w:tab w:val="left" w:pos="4632"/>
              </w:tabs>
              <w:ind w:left="313" w:hanging="283"/>
              <w:rPr>
                <w:rFonts w:ascii="Arial" w:hAnsi="Arial" w:cs="Arial"/>
                <w:sz w:val="20"/>
                <w:szCs w:val="20"/>
              </w:rPr>
            </w:pPr>
            <w:r w:rsidRPr="008B5BEE">
              <w:rPr>
                <w:rFonts w:ascii="Arial" w:hAnsi="Arial" w:cs="Arial"/>
                <w:sz w:val="20"/>
                <w:szCs w:val="20"/>
              </w:rPr>
              <w:t>COSATU emphasized that DMRE needed to revive its RDP Housing Solar Panel programme which is intended to cover 150 000 households annually.</w:t>
            </w:r>
          </w:p>
        </w:tc>
      </w:tr>
    </w:tbl>
    <w:p w:rsidR="00465DFF" w:rsidRPr="008B5BEE" w:rsidRDefault="00465DFF" w:rsidP="008B5BEE">
      <w:pPr>
        <w:tabs>
          <w:tab w:val="left" w:pos="3206"/>
        </w:tabs>
        <w:spacing w:after="0" w:line="240" w:lineRule="auto"/>
        <w:rPr>
          <w:rFonts w:ascii="Arial" w:eastAsia="Times New Roman" w:hAnsi="Arial" w:cs="Arial"/>
          <w:sz w:val="20"/>
          <w:szCs w:val="20"/>
        </w:rPr>
      </w:pPr>
    </w:p>
    <w:p w:rsidR="003D725C" w:rsidRPr="008B5BEE" w:rsidRDefault="003D725C" w:rsidP="008B5BEE">
      <w:pPr>
        <w:tabs>
          <w:tab w:val="left" w:pos="3206"/>
        </w:tabs>
        <w:spacing w:after="0" w:line="240" w:lineRule="auto"/>
        <w:rPr>
          <w:rFonts w:ascii="Arial" w:eastAsia="Times New Roman" w:hAnsi="Arial" w:cs="Arial"/>
          <w:sz w:val="20"/>
          <w:szCs w:val="20"/>
        </w:rPr>
      </w:pPr>
    </w:p>
    <w:p w:rsidR="002E0922" w:rsidRPr="008B5BEE" w:rsidRDefault="002E0922" w:rsidP="008B5BEE">
      <w:pPr>
        <w:pStyle w:val="ListParagraph"/>
        <w:numPr>
          <w:ilvl w:val="0"/>
          <w:numId w:val="31"/>
        </w:numPr>
        <w:spacing w:after="0" w:line="240" w:lineRule="auto"/>
        <w:rPr>
          <w:rFonts w:ascii="Arial" w:eastAsia="Times New Roman" w:hAnsi="Arial" w:cs="Arial"/>
          <w:b/>
          <w:sz w:val="20"/>
          <w:szCs w:val="20"/>
        </w:rPr>
      </w:pPr>
      <w:r w:rsidRPr="008B5BEE">
        <w:rPr>
          <w:rFonts w:ascii="Arial" w:eastAsia="Times New Roman" w:hAnsi="Arial" w:cs="Arial"/>
          <w:b/>
          <w:sz w:val="20"/>
          <w:szCs w:val="20"/>
        </w:rPr>
        <w:t>Committee Findings and Observations</w:t>
      </w:r>
    </w:p>
    <w:p w:rsidR="002E0922" w:rsidRPr="008B5BEE" w:rsidRDefault="002E0922" w:rsidP="008B5BEE">
      <w:pPr>
        <w:spacing w:after="0" w:line="240" w:lineRule="auto"/>
        <w:ind w:left="426"/>
        <w:contextualSpacing/>
        <w:rPr>
          <w:rFonts w:ascii="Arial" w:eastAsia="Times New Roman" w:hAnsi="Arial" w:cs="Arial"/>
          <w:b/>
          <w:sz w:val="20"/>
          <w:szCs w:val="20"/>
        </w:rPr>
      </w:pPr>
    </w:p>
    <w:p w:rsidR="002E0922" w:rsidRPr="008B5BEE" w:rsidRDefault="002E0922" w:rsidP="008B5BEE">
      <w:pPr>
        <w:spacing w:after="0" w:line="240" w:lineRule="auto"/>
        <w:rPr>
          <w:rFonts w:ascii="Arial" w:eastAsia="Times New Roman" w:hAnsi="Arial" w:cs="Arial"/>
          <w:sz w:val="20"/>
          <w:szCs w:val="20"/>
        </w:rPr>
      </w:pPr>
      <w:r w:rsidRPr="008B5BEE">
        <w:rPr>
          <w:rFonts w:ascii="Arial" w:eastAsia="Times New Roman" w:hAnsi="Arial" w:cs="Arial"/>
          <w:sz w:val="20"/>
          <w:szCs w:val="20"/>
        </w:rPr>
        <w:t xml:space="preserve">Having considered all the submissions made by the above stakeholders on the Second </w:t>
      </w:r>
      <w:r w:rsidR="00C034C2" w:rsidRPr="008B5BEE">
        <w:rPr>
          <w:rFonts w:ascii="Arial" w:eastAsia="Times New Roman" w:hAnsi="Arial" w:cs="Arial"/>
          <w:sz w:val="20"/>
          <w:szCs w:val="20"/>
        </w:rPr>
        <w:t xml:space="preserve">Adjustments </w:t>
      </w:r>
      <w:r w:rsidRPr="008B5BEE">
        <w:rPr>
          <w:rFonts w:ascii="Arial" w:eastAsia="Times New Roman" w:hAnsi="Arial" w:cs="Arial"/>
          <w:sz w:val="20"/>
          <w:szCs w:val="20"/>
        </w:rPr>
        <w:t xml:space="preserve">Appropriation Bill </w:t>
      </w:r>
      <w:r w:rsidR="00C034C2" w:rsidRPr="008B5BEE">
        <w:rPr>
          <w:rFonts w:ascii="Arial" w:eastAsia="Times New Roman" w:hAnsi="Arial" w:cs="Arial"/>
          <w:sz w:val="20"/>
          <w:szCs w:val="20"/>
        </w:rPr>
        <w:t>[B</w:t>
      </w:r>
      <w:r w:rsidR="002E6A7C" w:rsidRPr="008B5BEE">
        <w:rPr>
          <w:rFonts w:ascii="Arial" w:eastAsia="Times New Roman" w:hAnsi="Arial" w:cs="Arial"/>
          <w:sz w:val="20"/>
          <w:szCs w:val="20"/>
        </w:rPr>
        <w:t>4</w:t>
      </w:r>
      <w:r w:rsidR="00C034C2" w:rsidRPr="008B5BEE">
        <w:rPr>
          <w:rFonts w:ascii="Arial" w:eastAsia="Times New Roman" w:hAnsi="Arial" w:cs="Arial"/>
          <w:sz w:val="20"/>
          <w:szCs w:val="20"/>
        </w:rPr>
        <w:t xml:space="preserve"> – 202</w:t>
      </w:r>
      <w:r w:rsidR="002E6A7C" w:rsidRPr="008B5BEE">
        <w:rPr>
          <w:rFonts w:ascii="Arial" w:eastAsia="Times New Roman" w:hAnsi="Arial" w:cs="Arial"/>
          <w:sz w:val="20"/>
          <w:szCs w:val="20"/>
        </w:rPr>
        <w:t>3</w:t>
      </w:r>
      <w:r w:rsidRPr="008B5BEE">
        <w:rPr>
          <w:rFonts w:ascii="Arial" w:eastAsia="Times New Roman" w:hAnsi="Arial" w:cs="Arial"/>
          <w:sz w:val="20"/>
          <w:szCs w:val="20"/>
        </w:rPr>
        <w:t xml:space="preserve">], the Standing Committee on Appropriations made the following findings and observations: </w:t>
      </w:r>
    </w:p>
    <w:p w:rsidR="00A43B77" w:rsidRPr="008B5BEE" w:rsidRDefault="00A43B77" w:rsidP="008B5BEE">
      <w:pPr>
        <w:spacing w:after="0" w:line="240" w:lineRule="auto"/>
        <w:rPr>
          <w:rFonts w:ascii="Arial" w:eastAsia="Times New Roman" w:hAnsi="Arial" w:cs="Arial"/>
          <w:sz w:val="20"/>
          <w:szCs w:val="20"/>
        </w:rPr>
      </w:pPr>
    </w:p>
    <w:p w:rsidR="00200691" w:rsidRPr="008B5BEE" w:rsidRDefault="00A43B77" w:rsidP="008B5BEE">
      <w:pPr>
        <w:pStyle w:val="ListParagraph"/>
        <w:numPr>
          <w:ilvl w:val="1"/>
          <w:numId w:val="31"/>
        </w:numPr>
        <w:spacing w:after="0" w:line="240" w:lineRule="auto"/>
        <w:ind w:left="567" w:hanging="567"/>
        <w:rPr>
          <w:rFonts w:ascii="Arial" w:eastAsia="Times New Roman" w:hAnsi="Arial" w:cs="Arial"/>
          <w:sz w:val="20"/>
          <w:szCs w:val="20"/>
        </w:rPr>
      </w:pPr>
      <w:r w:rsidRPr="008B5BEE">
        <w:rPr>
          <w:rFonts w:ascii="Arial" w:eastAsia="Times New Roman" w:hAnsi="Arial" w:cs="Arial"/>
          <w:sz w:val="20"/>
          <w:szCs w:val="20"/>
        </w:rPr>
        <w:t xml:space="preserve">The </w:t>
      </w:r>
      <w:r w:rsidR="007727B2" w:rsidRPr="008B5BEE">
        <w:rPr>
          <w:rFonts w:ascii="Arial" w:eastAsia="Times New Roman" w:hAnsi="Arial" w:cs="Arial"/>
          <w:sz w:val="20"/>
          <w:szCs w:val="20"/>
        </w:rPr>
        <w:t xml:space="preserve">Committee notes and welcomes the </w:t>
      </w:r>
      <w:r w:rsidR="001966CB" w:rsidRPr="008B5BEE">
        <w:rPr>
          <w:rFonts w:ascii="Arial" w:eastAsia="Times New Roman" w:hAnsi="Arial" w:cs="Arial"/>
          <w:sz w:val="20"/>
          <w:szCs w:val="20"/>
        </w:rPr>
        <w:t xml:space="preserve">Bill’s </w:t>
      </w:r>
      <w:r w:rsidR="007727B2" w:rsidRPr="008B5BEE">
        <w:rPr>
          <w:rFonts w:ascii="Arial" w:eastAsia="Times New Roman" w:hAnsi="Arial" w:cs="Arial"/>
          <w:sz w:val="20"/>
          <w:szCs w:val="20"/>
        </w:rPr>
        <w:t xml:space="preserve">proposed </w:t>
      </w:r>
      <w:r w:rsidR="00E2404A" w:rsidRPr="008B5BEE">
        <w:rPr>
          <w:rFonts w:ascii="Arial" w:eastAsia="Times New Roman" w:hAnsi="Arial" w:cs="Arial"/>
          <w:sz w:val="20"/>
          <w:szCs w:val="20"/>
        </w:rPr>
        <w:t xml:space="preserve">additional allocation of </w:t>
      </w:r>
      <w:r w:rsidR="00BB2E16" w:rsidRPr="008B5BEE">
        <w:rPr>
          <w:rFonts w:ascii="Arial" w:eastAsia="Times New Roman" w:hAnsi="Arial" w:cs="Arial"/>
          <w:sz w:val="20"/>
          <w:szCs w:val="20"/>
        </w:rPr>
        <w:t>R4.5 billion to Vote allocation for the carry-</w:t>
      </w:r>
      <w:r w:rsidR="007A1038" w:rsidRPr="008B5BEE">
        <w:rPr>
          <w:rFonts w:ascii="Arial" w:eastAsia="Times New Roman" w:hAnsi="Arial" w:cs="Arial"/>
          <w:sz w:val="20"/>
          <w:szCs w:val="20"/>
        </w:rPr>
        <w:t>through costs ass</w:t>
      </w:r>
      <w:r w:rsidR="00BB2E16" w:rsidRPr="008B5BEE">
        <w:rPr>
          <w:rFonts w:ascii="Arial" w:eastAsia="Times New Roman" w:hAnsi="Arial" w:cs="Arial"/>
          <w:sz w:val="20"/>
          <w:szCs w:val="20"/>
        </w:rPr>
        <w:t>ociated with the 2022/23 public-</w:t>
      </w:r>
      <w:r w:rsidR="007A1038" w:rsidRPr="008B5BEE">
        <w:rPr>
          <w:rFonts w:ascii="Arial" w:eastAsia="Times New Roman" w:hAnsi="Arial" w:cs="Arial"/>
          <w:sz w:val="20"/>
          <w:szCs w:val="20"/>
        </w:rPr>
        <w:t>service wage increase</w:t>
      </w:r>
      <w:r w:rsidR="00BB2E16" w:rsidRPr="008B5BEE">
        <w:rPr>
          <w:rFonts w:ascii="Arial" w:eastAsia="Times New Roman" w:hAnsi="Arial" w:cs="Arial"/>
          <w:sz w:val="20"/>
          <w:szCs w:val="20"/>
        </w:rPr>
        <w:t>s.</w:t>
      </w:r>
    </w:p>
    <w:p w:rsidR="00471ED5" w:rsidRPr="008B5BEE" w:rsidRDefault="00471ED5" w:rsidP="008B5BEE">
      <w:pPr>
        <w:pStyle w:val="ListParagraph"/>
        <w:spacing w:after="0" w:line="240" w:lineRule="auto"/>
        <w:ind w:left="567"/>
        <w:rPr>
          <w:rFonts w:ascii="Arial" w:eastAsia="Times New Roman" w:hAnsi="Arial" w:cs="Arial"/>
          <w:sz w:val="20"/>
          <w:szCs w:val="20"/>
        </w:rPr>
      </w:pPr>
    </w:p>
    <w:p w:rsidR="002247D1" w:rsidRPr="008B5BEE" w:rsidRDefault="00471ED5" w:rsidP="008B5BEE">
      <w:pPr>
        <w:pStyle w:val="ListParagraph"/>
        <w:numPr>
          <w:ilvl w:val="1"/>
          <w:numId w:val="31"/>
        </w:numPr>
        <w:spacing w:after="0" w:line="240" w:lineRule="auto"/>
        <w:ind w:left="567" w:hanging="567"/>
        <w:rPr>
          <w:rFonts w:ascii="Arial" w:eastAsia="Times New Roman" w:hAnsi="Arial" w:cs="Arial"/>
          <w:sz w:val="20"/>
          <w:szCs w:val="20"/>
        </w:rPr>
      </w:pPr>
      <w:r w:rsidRPr="008B5BEE">
        <w:rPr>
          <w:rFonts w:ascii="Arial" w:eastAsia="Times New Roman" w:hAnsi="Arial" w:cs="Arial"/>
          <w:sz w:val="20"/>
          <w:szCs w:val="20"/>
        </w:rPr>
        <w:t>The Committee notes and welcomes the proposed additional allocation of R5 billion for a purchase of equity/recapitalisation of the Land and Agricultural Development Bank of South Afric</w:t>
      </w:r>
      <w:r w:rsidR="00550B0B" w:rsidRPr="008B5BEE">
        <w:rPr>
          <w:rFonts w:ascii="Arial" w:eastAsia="Times New Roman" w:hAnsi="Arial" w:cs="Arial"/>
          <w:sz w:val="20"/>
          <w:szCs w:val="20"/>
        </w:rPr>
        <w:t>a (Land Bank). The Committee is of the view that the Land Bank</w:t>
      </w:r>
      <w:r w:rsidRPr="008B5BEE">
        <w:rPr>
          <w:rFonts w:ascii="Arial" w:eastAsia="Times New Roman" w:hAnsi="Arial" w:cs="Arial"/>
          <w:sz w:val="20"/>
          <w:szCs w:val="20"/>
        </w:rPr>
        <w:t xml:space="preserve"> has </w:t>
      </w:r>
      <w:r w:rsidR="00550B0B" w:rsidRPr="008B5BEE">
        <w:rPr>
          <w:rFonts w:ascii="Arial" w:eastAsia="Times New Roman" w:hAnsi="Arial" w:cs="Arial"/>
          <w:sz w:val="20"/>
          <w:szCs w:val="20"/>
        </w:rPr>
        <w:t>an</w:t>
      </w:r>
      <w:r w:rsidR="00817C9A" w:rsidRPr="008B5BEE">
        <w:rPr>
          <w:rFonts w:ascii="Arial" w:eastAsia="Times New Roman" w:hAnsi="Arial" w:cs="Arial"/>
          <w:sz w:val="20"/>
          <w:szCs w:val="20"/>
        </w:rPr>
        <w:t xml:space="preserve"> important developmental mandate that requires periodic government equity injections if this mandate </w:t>
      </w:r>
      <w:r w:rsidR="00550B0B" w:rsidRPr="008B5BEE">
        <w:rPr>
          <w:rFonts w:ascii="Arial" w:eastAsia="Times New Roman" w:hAnsi="Arial" w:cs="Arial"/>
          <w:sz w:val="20"/>
          <w:szCs w:val="20"/>
        </w:rPr>
        <w:t>is</w:t>
      </w:r>
      <w:r w:rsidR="00E10E41" w:rsidRPr="008B5BEE">
        <w:rPr>
          <w:rFonts w:ascii="Arial" w:eastAsia="Times New Roman" w:hAnsi="Arial" w:cs="Arial"/>
          <w:sz w:val="20"/>
          <w:szCs w:val="20"/>
        </w:rPr>
        <w:t xml:space="preserve"> to be realised withou</w:t>
      </w:r>
      <w:r w:rsidR="00550B0B" w:rsidRPr="008B5BEE">
        <w:rPr>
          <w:rFonts w:ascii="Arial" w:eastAsia="Times New Roman" w:hAnsi="Arial" w:cs="Arial"/>
          <w:sz w:val="20"/>
          <w:szCs w:val="20"/>
        </w:rPr>
        <w:t>t severely compromising its</w:t>
      </w:r>
      <w:r w:rsidR="00423EE5" w:rsidRPr="008B5BEE">
        <w:rPr>
          <w:rFonts w:ascii="Arial" w:eastAsia="Times New Roman" w:hAnsi="Arial" w:cs="Arial"/>
          <w:sz w:val="20"/>
          <w:szCs w:val="20"/>
        </w:rPr>
        <w:t xml:space="preserve"> balance sheet. Furtherm</w:t>
      </w:r>
      <w:r w:rsidR="00550B0B" w:rsidRPr="008B5BEE">
        <w:rPr>
          <w:rFonts w:ascii="Arial" w:eastAsia="Times New Roman" w:hAnsi="Arial" w:cs="Arial"/>
          <w:sz w:val="20"/>
          <w:szCs w:val="20"/>
        </w:rPr>
        <w:t xml:space="preserve">ore, the Committee welcomes </w:t>
      </w:r>
      <w:r w:rsidR="00423EE5" w:rsidRPr="008B5BEE">
        <w:rPr>
          <w:rFonts w:ascii="Arial" w:eastAsia="Times New Roman" w:hAnsi="Arial" w:cs="Arial"/>
          <w:sz w:val="20"/>
          <w:szCs w:val="20"/>
        </w:rPr>
        <w:t>National Treasury</w:t>
      </w:r>
      <w:r w:rsidR="00550B0B" w:rsidRPr="008B5BEE">
        <w:rPr>
          <w:rFonts w:ascii="Arial" w:eastAsia="Times New Roman" w:hAnsi="Arial" w:cs="Arial"/>
          <w:sz w:val="20"/>
          <w:szCs w:val="20"/>
        </w:rPr>
        <w:t>’s</w:t>
      </w:r>
      <w:r w:rsidR="00423EE5" w:rsidRPr="008B5BEE">
        <w:rPr>
          <w:rFonts w:ascii="Arial" w:eastAsia="Times New Roman" w:hAnsi="Arial" w:cs="Arial"/>
          <w:sz w:val="20"/>
          <w:szCs w:val="20"/>
        </w:rPr>
        <w:t xml:space="preserve"> proposed </w:t>
      </w:r>
      <w:r w:rsidR="00550B0B" w:rsidRPr="008B5BEE">
        <w:rPr>
          <w:rFonts w:ascii="Arial" w:eastAsia="Times New Roman" w:hAnsi="Arial" w:cs="Arial"/>
          <w:sz w:val="20"/>
          <w:szCs w:val="20"/>
        </w:rPr>
        <w:t>conditi</w:t>
      </w:r>
      <w:r w:rsidR="006F25DB" w:rsidRPr="008B5BEE">
        <w:rPr>
          <w:rFonts w:ascii="Arial" w:eastAsia="Times New Roman" w:hAnsi="Arial" w:cs="Arial"/>
          <w:sz w:val="20"/>
          <w:szCs w:val="20"/>
        </w:rPr>
        <w:t>ons for this allocation which are</w:t>
      </w:r>
      <w:r w:rsidR="00550B0B" w:rsidRPr="008B5BEE">
        <w:rPr>
          <w:rFonts w:ascii="Arial" w:eastAsia="Times New Roman" w:hAnsi="Arial" w:cs="Arial"/>
          <w:sz w:val="20"/>
          <w:szCs w:val="20"/>
        </w:rPr>
        <w:t xml:space="preserve"> </w:t>
      </w:r>
      <w:r w:rsidR="00423EE5" w:rsidRPr="008B5BEE">
        <w:rPr>
          <w:rFonts w:ascii="Arial" w:eastAsia="Times New Roman" w:hAnsi="Arial" w:cs="Arial"/>
          <w:sz w:val="20"/>
          <w:szCs w:val="20"/>
        </w:rPr>
        <w:t xml:space="preserve">in the interest transparent financial management and good governance on scarce public resources. </w:t>
      </w:r>
    </w:p>
    <w:p w:rsidR="00423EE5" w:rsidRPr="008B5BEE" w:rsidRDefault="00423EE5" w:rsidP="008B5BEE">
      <w:pPr>
        <w:pStyle w:val="ListParagraph"/>
        <w:spacing w:after="0" w:line="240" w:lineRule="auto"/>
        <w:rPr>
          <w:rFonts w:ascii="Arial" w:eastAsia="Times New Roman" w:hAnsi="Arial" w:cs="Arial"/>
          <w:sz w:val="20"/>
          <w:szCs w:val="20"/>
        </w:rPr>
      </w:pPr>
    </w:p>
    <w:p w:rsidR="00423EE5" w:rsidRPr="008B5BEE" w:rsidRDefault="00423EE5" w:rsidP="008B5BEE">
      <w:pPr>
        <w:pStyle w:val="ListParagraph"/>
        <w:numPr>
          <w:ilvl w:val="1"/>
          <w:numId w:val="31"/>
        </w:numPr>
        <w:spacing w:after="0" w:line="240" w:lineRule="auto"/>
        <w:ind w:left="567" w:hanging="567"/>
        <w:rPr>
          <w:rFonts w:ascii="Arial" w:eastAsia="Times New Roman" w:hAnsi="Arial" w:cs="Arial"/>
          <w:sz w:val="20"/>
          <w:szCs w:val="20"/>
        </w:rPr>
      </w:pPr>
      <w:r w:rsidRPr="008B5BEE">
        <w:rPr>
          <w:rFonts w:ascii="Arial" w:eastAsia="Times New Roman" w:hAnsi="Arial" w:cs="Arial"/>
          <w:sz w:val="20"/>
          <w:szCs w:val="20"/>
        </w:rPr>
        <w:t xml:space="preserve">The Committee notes and welcomes </w:t>
      </w:r>
      <w:r w:rsidR="00C603D4" w:rsidRPr="008B5BEE">
        <w:rPr>
          <w:rFonts w:ascii="Arial" w:eastAsia="Times New Roman" w:hAnsi="Arial" w:cs="Arial"/>
          <w:sz w:val="20"/>
          <w:szCs w:val="20"/>
        </w:rPr>
        <w:t>the proposed additional allocation of R2.4 billion for the recapitalisation of the South African Post Office</w:t>
      </w:r>
      <w:r w:rsidR="00550B0B" w:rsidRPr="008B5BEE">
        <w:rPr>
          <w:rFonts w:ascii="Arial" w:eastAsia="Times New Roman" w:hAnsi="Arial" w:cs="Arial"/>
          <w:sz w:val="20"/>
          <w:szCs w:val="20"/>
        </w:rPr>
        <w:t xml:space="preserve"> (SAPO), with </w:t>
      </w:r>
      <w:r w:rsidR="00C603D4" w:rsidRPr="008B5BEE">
        <w:rPr>
          <w:rFonts w:ascii="Arial" w:eastAsia="Times New Roman" w:hAnsi="Arial" w:cs="Arial"/>
          <w:sz w:val="20"/>
          <w:szCs w:val="20"/>
        </w:rPr>
        <w:t>National Treasury</w:t>
      </w:r>
      <w:r w:rsidR="00550B0B" w:rsidRPr="008B5BEE">
        <w:rPr>
          <w:rFonts w:ascii="Arial" w:eastAsia="Times New Roman" w:hAnsi="Arial" w:cs="Arial"/>
          <w:sz w:val="20"/>
          <w:szCs w:val="20"/>
        </w:rPr>
        <w:t>’s</w:t>
      </w:r>
      <w:r w:rsidR="00C603D4" w:rsidRPr="008B5BEE">
        <w:rPr>
          <w:rFonts w:ascii="Arial" w:eastAsia="Times New Roman" w:hAnsi="Arial" w:cs="Arial"/>
          <w:sz w:val="20"/>
          <w:szCs w:val="20"/>
        </w:rPr>
        <w:t xml:space="preserve"> pro</w:t>
      </w:r>
      <w:r w:rsidR="00550B0B" w:rsidRPr="008B5BEE">
        <w:rPr>
          <w:rFonts w:ascii="Arial" w:eastAsia="Times New Roman" w:hAnsi="Arial" w:cs="Arial"/>
          <w:sz w:val="20"/>
          <w:szCs w:val="20"/>
        </w:rPr>
        <w:t>posed conditions. However, the C</w:t>
      </w:r>
      <w:r w:rsidR="00C603D4" w:rsidRPr="008B5BEE">
        <w:rPr>
          <w:rFonts w:ascii="Arial" w:eastAsia="Times New Roman" w:hAnsi="Arial" w:cs="Arial"/>
          <w:sz w:val="20"/>
          <w:szCs w:val="20"/>
        </w:rPr>
        <w:t>ommittee is concerned about the consistent gover</w:t>
      </w:r>
      <w:r w:rsidR="00550B0B" w:rsidRPr="008B5BEE">
        <w:rPr>
          <w:rFonts w:ascii="Arial" w:eastAsia="Times New Roman" w:hAnsi="Arial" w:cs="Arial"/>
          <w:sz w:val="20"/>
          <w:szCs w:val="20"/>
        </w:rPr>
        <w:t>nment bailouts towards SAPO</w:t>
      </w:r>
      <w:r w:rsidR="00C603D4" w:rsidRPr="008B5BEE">
        <w:rPr>
          <w:rFonts w:ascii="Arial" w:eastAsia="Times New Roman" w:hAnsi="Arial" w:cs="Arial"/>
          <w:sz w:val="20"/>
          <w:szCs w:val="20"/>
        </w:rPr>
        <w:t xml:space="preserve">, without any tangible evidence of progress made to turn the </w:t>
      </w:r>
      <w:r w:rsidR="002F73F7" w:rsidRPr="008B5BEE">
        <w:rPr>
          <w:rFonts w:ascii="Arial" w:eastAsia="Times New Roman" w:hAnsi="Arial" w:cs="Arial"/>
          <w:sz w:val="20"/>
          <w:szCs w:val="20"/>
        </w:rPr>
        <w:t xml:space="preserve">entity into a sustainable path. </w:t>
      </w:r>
      <w:r w:rsidR="00550B0B" w:rsidRPr="008B5BEE">
        <w:rPr>
          <w:rFonts w:ascii="Arial" w:eastAsia="Times New Roman" w:hAnsi="Arial" w:cs="Arial"/>
          <w:sz w:val="20"/>
          <w:szCs w:val="20"/>
        </w:rPr>
        <w:t>The Committee holds the</w:t>
      </w:r>
      <w:r w:rsidR="002F73F7" w:rsidRPr="008B5BEE">
        <w:rPr>
          <w:rFonts w:ascii="Arial" w:eastAsia="Times New Roman" w:hAnsi="Arial" w:cs="Arial"/>
          <w:sz w:val="20"/>
          <w:szCs w:val="20"/>
        </w:rPr>
        <w:t xml:space="preserve"> firm view that the turnaround plan for this</w:t>
      </w:r>
      <w:r w:rsidR="00550B0B" w:rsidRPr="008B5BEE">
        <w:rPr>
          <w:rFonts w:ascii="Arial" w:eastAsia="Times New Roman" w:hAnsi="Arial" w:cs="Arial"/>
          <w:sz w:val="20"/>
          <w:szCs w:val="20"/>
        </w:rPr>
        <w:t xml:space="preserve"> entity </w:t>
      </w:r>
      <w:r w:rsidR="006F25DB" w:rsidRPr="008B5BEE">
        <w:rPr>
          <w:rFonts w:ascii="Arial" w:eastAsia="Times New Roman" w:hAnsi="Arial" w:cs="Arial"/>
          <w:sz w:val="20"/>
          <w:szCs w:val="20"/>
        </w:rPr>
        <w:t>is long overdue and</w:t>
      </w:r>
      <w:r w:rsidR="002F73F7" w:rsidRPr="008B5BEE">
        <w:rPr>
          <w:rFonts w:ascii="Arial" w:eastAsia="Times New Roman" w:hAnsi="Arial" w:cs="Arial"/>
          <w:sz w:val="20"/>
          <w:szCs w:val="20"/>
        </w:rPr>
        <w:t xml:space="preserve"> actions are urgently needed from the accounting authority and management of SAPO to deliver a credible turnaround plan for this entity. </w:t>
      </w:r>
    </w:p>
    <w:p w:rsidR="00FE2B8B" w:rsidRPr="008B5BEE" w:rsidRDefault="00FE2B8B" w:rsidP="008B5BEE">
      <w:pPr>
        <w:pStyle w:val="ListParagraph"/>
        <w:spacing w:after="0" w:line="240" w:lineRule="auto"/>
        <w:rPr>
          <w:rFonts w:ascii="Arial" w:eastAsia="Times New Roman" w:hAnsi="Arial" w:cs="Arial"/>
          <w:sz w:val="20"/>
          <w:szCs w:val="20"/>
        </w:rPr>
      </w:pPr>
    </w:p>
    <w:p w:rsidR="00FE2B8B" w:rsidRPr="008B5BEE" w:rsidRDefault="00FE2B8B" w:rsidP="008B5BEE">
      <w:pPr>
        <w:pStyle w:val="ListParagraph"/>
        <w:numPr>
          <w:ilvl w:val="1"/>
          <w:numId w:val="31"/>
        </w:numPr>
        <w:spacing w:after="0" w:line="240" w:lineRule="auto"/>
        <w:ind w:left="567" w:hanging="567"/>
        <w:rPr>
          <w:rFonts w:ascii="Arial" w:eastAsia="Times New Roman" w:hAnsi="Arial" w:cs="Arial"/>
          <w:sz w:val="20"/>
          <w:szCs w:val="20"/>
        </w:rPr>
      </w:pPr>
      <w:r w:rsidRPr="008B5BEE">
        <w:rPr>
          <w:rFonts w:ascii="Arial" w:eastAsia="Times New Roman" w:hAnsi="Arial" w:cs="Arial"/>
          <w:sz w:val="20"/>
          <w:szCs w:val="20"/>
        </w:rPr>
        <w:t>The Committee notes and welcomes the proposed additional al</w:t>
      </w:r>
      <w:r w:rsidR="00550B0B" w:rsidRPr="008B5BEE">
        <w:rPr>
          <w:rFonts w:ascii="Arial" w:eastAsia="Times New Roman" w:hAnsi="Arial" w:cs="Arial"/>
          <w:sz w:val="20"/>
          <w:szCs w:val="20"/>
        </w:rPr>
        <w:t>location of R1 billion to the South African</w:t>
      </w:r>
      <w:r w:rsidRPr="008B5BEE">
        <w:rPr>
          <w:rFonts w:ascii="Arial" w:eastAsia="Times New Roman" w:hAnsi="Arial" w:cs="Arial"/>
          <w:sz w:val="20"/>
          <w:szCs w:val="20"/>
        </w:rPr>
        <w:t xml:space="preserve"> Airways </w:t>
      </w:r>
      <w:r w:rsidR="00550B0B" w:rsidRPr="008B5BEE">
        <w:rPr>
          <w:rFonts w:ascii="Arial" w:eastAsia="Times New Roman" w:hAnsi="Arial" w:cs="Arial"/>
          <w:sz w:val="20"/>
          <w:szCs w:val="20"/>
        </w:rPr>
        <w:t xml:space="preserve">(SAA) </w:t>
      </w:r>
      <w:r w:rsidRPr="008B5BEE">
        <w:rPr>
          <w:rFonts w:ascii="Arial" w:eastAsia="Times New Roman" w:hAnsi="Arial" w:cs="Arial"/>
          <w:sz w:val="20"/>
          <w:szCs w:val="20"/>
        </w:rPr>
        <w:t xml:space="preserve">to fund the settlement agreement that was reached between the SAA business rescue practitioners and the airline’s creditors for a gradual payment of historical debts. Importantly, the Committee </w:t>
      </w:r>
      <w:r w:rsidR="00550B0B" w:rsidRPr="008B5BEE">
        <w:rPr>
          <w:rFonts w:ascii="Arial" w:eastAsia="Times New Roman" w:hAnsi="Arial" w:cs="Arial"/>
          <w:sz w:val="20"/>
          <w:szCs w:val="20"/>
        </w:rPr>
        <w:t xml:space="preserve">notes </w:t>
      </w:r>
      <w:r w:rsidRPr="008B5BEE">
        <w:rPr>
          <w:rFonts w:ascii="Arial" w:eastAsia="Times New Roman" w:hAnsi="Arial" w:cs="Arial"/>
          <w:sz w:val="20"/>
          <w:szCs w:val="20"/>
        </w:rPr>
        <w:t>and we</w:t>
      </w:r>
      <w:r w:rsidR="006F25DB" w:rsidRPr="008B5BEE">
        <w:rPr>
          <w:rFonts w:ascii="Arial" w:eastAsia="Times New Roman" w:hAnsi="Arial" w:cs="Arial"/>
          <w:sz w:val="20"/>
          <w:szCs w:val="20"/>
        </w:rPr>
        <w:t xml:space="preserve">lcomes the commitments from </w:t>
      </w:r>
      <w:r w:rsidRPr="008B5BEE">
        <w:rPr>
          <w:rFonts w:ascii="Arial" w:eastAsia="Times New Roman" w:hAnsi="Arial" w:cs="Arial"/>
          <w:sz w:val="20"/>
          <w:szCs w:val="20"/>
        </w:rPr>
        <w:t xml:space="preserve">National Treasury that this will be last payment that the tax payers will have to pay to the SAA, and on a condition that all of SAA government guaranteed debts </w:t>
      </w:r>
      <w:r w:rsidR="00550B0B" w:rsidRPr="008B5BEE">
        <w:rPr>
          <w:rFonts w:ascii="Arial" w:eastAsia="Times New Roman" w:hAnsi="Arial" w:cs="Arial"/>
          <w:sz w:val="20"/>
          <w:szCs w:val="20"/>
        </w:rPr>
        <w:t xml:space="preserve">will be cancelled. </w:t>
      </w:r>
      <w:r w:rsidR="00AD4CB9" w:rsidRPr="008B5BEE">
        <w:rPr>
          <w:rFonts w:ascii="Arial" w:eastAsia="Times New Roman" w:hAnsi="Arial" w:cs="Arial"/>
          <w:sz w:val="20"/>
          <w:szCs w:val="20"/>
        </w:rPr>
        <w:t>Also, National Treasury will</w:t>
      </w:r>
      <w:r w:rsidR="007A1038" w:rsidRPr="008B5BEE">
        <w:rPr>
          <w:rFonts w:ascii="Arial" w:eastAsia="Times New Roman" w:hAnsi="Arial" w:cs="Arial"/>
          <w:sz w:val="20"/>
          <w:szCs w:val="20"/>
        </w:rPr>
        <w:t xml:space="preserve"> </w:t>
      </w:r>
      <w:r w:rsidR="003D725C" w:rsidRPr="008B5BEE">
        <w:rPr>
          <w:rFonts w:ascii="Arial" w:eastAsia="Times New Roman" w:hAnsi="Arial" w:cs="Arial"/>
          <w:sz w:val="20"/>
          <w:szCs w:val="20"/>
        </w:rPr>
        <w:t>require the Strategic Equity Partner (SEP)</w:t>
      </w:r>
      <w:r w:rsidR="002E6A7C" w:rsidRPr="008B5BEE">
        <w:rPr>
          <w:rFonts w:ascii="Arial" w:eastAsia="Times New Roman" w:hAnsi="Arial" w:cs="Arial"/>
          <w:sz w:val="20"/>
          <w:szCs w:val="20"/>
        </w:rPr>
        <w:t xml:space="preserve"> to </w:t>
      </w:r>
      <w:r w:rsidR="007A1038" w:rsidRPr="008B5BEE">
        <w:rPr>
          <w:rFonts w:ascii="Arial" w:eastAsia="Times New Roman" w:hAnsi="Arial" w:cs="Arial"/>
          <w:sz w:val="20"/>
          <w:szCs w:val="20"/>
        </w:rPr>
        <w:t xml:space="preserve">provide proof of funds for the </w:t>
      </w:r>
      <w:r w:rsidR="003D725C" w:rsidRPr="008B5BEE">
        <w:rPr>
          <w:rFonts w:ascii="Arial" w:eastAsia="Times New Roman" w:hAnsi="Arial" w:cs="Arial"/>
          <w:sz w:val="20"/>
          <w:szCs w:val="20"/>
        </w:rPr>
        <w:t xml:space="preserve">SEP </w:t>
      </w:r>
      <w:r w:rsidR="007A1038" w:rsidRPr="008B5BEE">
        <w:rPr>
          <w:rFonts w:ascii="Arial" w:eastAsia="Times New Roman" w:hAnsi="Arial" w:cs="Arial"/>
          <w:sz w:val="20"/>
          <w:szCs w:val="20"/>
        </w:rPr>
        <w:t>transaction</w:t>
      </w:r>
      <w:r w:rsidR="00DC7D1A" w:rsidRPr="008B5BEE">
        <w:rPr>
          <w:rFonts w:ascii="Arial" w:eastAsia="Times New Roman" w:hAnsi="Arial" w:cs="Arial"/>
          <w:sz w:val="20"/>
          <w:szCs w:val="20"/>
        </w:rPr>
        <w:t xml:space="preserve">, while National Treasury will </w:t>
      </w:r>
      <w:r w:rsidR="002E6A7C" w:rsidRPr="008B5BEE">
        <w:rPr>
          <w:rFonts w:ascii="Arial" w:eastAsia="Times New Roman" w:hAnsi="Arial" w:cs="Arial"/>
          <w:sz w:val="20"/>
          <w:szCs w:val="20"/>
        </w:rPr>
        <w:t xml:space="preserve">also </w:t>
      </w:r>
      <w:r w:rsidR="007A1038" w:rsidRPr="008B5BEE">
        <w:rPr>
          <w:rFonts w:ascii="Arial" w:eastAsia="Times New Roman" w:hAnsi="Arial" w:cs="Arial"/>
          <w:sz w:val="20"/>
          <w:szCs w:val="20"/>
        </w:rPr>
        <w:t>review of the SEP agreement to ensure it does not give rise to future fiscal obligations</w:t>
      </w:r>
      <w:r w:rsidR="00DC7D1A" w:rsidRPr="008B5BEE">
        <w:rPr>
          <w:rFonts w:ascii="Arial" w:eastAsia="Times New Roman" w:hAnsi="Arial" w:cs="Arial"/>
          <w:sz w:val="20"/>
          <w:szCs w:val="20"/>
        </w:rPr>
        <w:t>.</w:t>
      </w:r>
    </w:p>
    <w:p w:rsidR="00DC7D1A" w:rsidRPr="008B5BEE" w:rsidRDefault="00DC7D1A" w:rsidP="008B5BEE">
      <w:pPr>
        <w:pStyle w:val="ListParagraph"/>
        <w:spacing w:after="0" w:line="240" w:lineRule="auto"/>
        <w:rPr>
          <w:rFonts w:ascii="Arial" w:eastAsia="Times New Roman" w:hAnsi="Arial" w:cs="Arial"/>
          <w:sz w:val="20"/>
          <w:szCs w:val="20"/>
        </w:rPr>
      </w:pPr>
    </w:p>
    <w:p w:rsidR="00DC7D1A" w:rsidRPr="008B5BEE" w:rsidRDefault="0005063F" w:rsidP="008B5BEE">
      <w:pPr>
        <w:pStyle w:val="ListParagraph"/>
        <w:numPr>
          <w:ilvl w:val="1"/>
          <w:numId w:val="31"/>
        </w:numPr>
        <w:spacing w:after="0" w:line="240" w:lineRule="auto"/>
        <w:ind w:left="567" w:hanging="567"/>
        <w:rPr>
          <w:rFonts w:ascii="Arial" w:eastAsia="Times New Roman" w:hAnsi="Arial" w:cs="Arial"/>
          <w:sz w:val="20"/>
          <w:szCs w:val="20"/>
        </w:rPr>
      </w:pPr>
      <w:r w:rsidRPr="008B5BEE">
        <w:rPr>
          <w:rFonts w:ascii="Arial" w:eastAsia="Times New Roman" w:hAnsi="Arial" w:cs="Arial"/>
          <w:sz w:val="20"/>
          <w:szCs w:val="20"/>
        </w:rPr>
        <w:lastRenderedPageBreak/>
        <w:t xml:space="preserve">The Committee notes with concerns on the reported R3.7 billion </w:t>
      </w:r>
      <w:r w:rsidR="00550B0B" w:rsidRPr="008B5BEE">
        <w:rPr>
          <w:rFonts w:ascii="Arial" w:eastAsia="Times New Roman" w:hAnsi="Arial" w:cs="Arial"/>
          <w:sz w:val="20"/>
          <w:szCs w:val="20"/>
        </w:rPr>
        <w:t>under expenditure on the Social</w:t>
      </w:r>
      <w:r w:rsidRPr="008B5BEE">
        <w:rPr>
          <w:rFonts w:ascii="Arial" w:eastAsia="Times New Roman" w:hAnsi="Arial" w:cs="Arial"/>
          <w:sz w:val="20"/>
          <w:szCs w:val="20"/>
        </w:rPr>
        <w:t xml:space="preserve"> Relief of Distress</w:t>
      </w:r>
      <w:r w:rsidR="00550B0B" w:rsidRPr="008B5BEE">
        <w:rPr>
          <w:rFonts w:ascii="Arial" w:eastAsia="Times New Roman" w:hAnsi="Arial" w:cs="Arial"/>
          <w:sz w:val="20"/>
          <w:szCs w:val="20"/>
        </w:rPr>
        <w:t>ed</w:t>
      </w:r>
      <w:r w:rsidRPr="008B5BEE">
        <w:rPr>
          <w:rFonts w:ascii="Arial" w:eastAsia="Times New Roman" w:hAnsi="Arial" w:cs="Arial"/>
          <w:sz w:val="20"/>
          <w:szCs w:val="20"/>
        </w:rPr>
        <w:t xml:space="preserve"> </w:t>
      </w:r>
      <w:r w:rsidR="00550B0B" w:rsidRPr="008B5BEE">
        <w:rPr>
          <w:rFonts w:ascii="Arial" w:eastAsia="Times New Roman" w:hAnsi="Arial" w:cs="Arial"/>
          <w:sz w:val="20"/>
          <w:szCs w:val="20"/>
        </w:rPr>
        <w:t>(SRD) g</w:t>
      </w:r>
      <w:r w:rsidRPr="008B5BEE">
        <w:rPr>
          <w:rFonts w:ascii="Arial" w:eastAsia="Times New Roman" w:hAnsi="Arial" w:cs="Arial"/>
          <w:sz w:val="20"/>
          <w:szCs w:val="20"/>
        </w:rPr>
        <w:t>rant. Given the high level of unemployment in South Africa</w:t>
      </w:r>
      <w:r w:rsidR="00AD3F41" w:rsidRPr="008B5BEE">
        <w:rPr>
          <w:rFonts w:ascii="Arial" w:eastAsia="Times New Roman" w:hAnsi="Arial" w:cs="Arial"/>
          <w:sz w:val="20"/>
          <w:szCs w:val="20"/>
        </w:rPr>
        <w:t>.</w:t>
      </w:r>
      <w:r w:rsidRPr="008B5BEE">
        <w:rPr>
          <w:rFonts w:ascii="Arial" w:eastAsia="Times New Roman" w:hAnsi="Arial" w:cs="Arial"/>
          <w:sz w:val="20"/>
          <w:szCs w:val="20"/>
        </w:rPr>
        <w:t xml:space="preserve"> </w:t>
      </w:r>
      <w:r w:rsidR="00AD3F41" w:rsidRPr="008B5BEE">
        <w:rPr>
          <w:rFonts w:ascii="Arial" w:eastAsia="Times New Roman" w:hAnsi="Arial" w:cs="Arial"/>
          <w:sz w:val="20"/>
          <w:szCs w:val="20"/>
        </w:rPr>
        <w:t>T</w:t>
      </w:r>
      <w:r w:rsidRPr="008B5BEE">
        <w:rPr>
          <w:rFonts w:ascii="Arial" w:eastAsia="Times New Roman" w:hAnsi="Arial" w:cs="Arial"/>
          <w:sz w:val="20"/>
          <w:szCs w:val="20"/>
        </w:rPr>
        <w:t>he C</w:t>
      </w:r>
      <w:r w:rsidR="006F25DB" w:rsidRPr="008B5BEE">
        <w:rPr>
          <w:rFonts w:ascii="Arial" w:eastAsia="Times New Roman" w:hAnsi="Arial" w:cs="Arial"/>
          <w:sz w:val="20"/>
          <w:szCs w:val="20"/>
        </w:rPr>
        <w:t>ommittee is of the view that</w:t>
      </w:r>
      <w:r w:rsidRPr="008B5BEE">
        <w:rPr>
          <w:rFonts w:ascii="Arial" w:eastAsia="Times New Roman" w:hAnsi="Arial" w:cs="Arial"/>
          <w:sz w:val="20"/>
          <w:szCs w:val="20"/>
        </w:rPr>
        <w:t xml:space="preserve"> </w:t>
      </w:r>
      <w:r w:rsidR="00C85E2F" w:rsidRPr="008B5BEE">
        <w:rPr>
          <w:rFonts w:ascii="Arial" w:eastAsia="Times New Roman" w:hAnsi="Arial" w:cs="Arial"/>
          <w:sz w:val="20"/>
          <w:szCs w:val="20"/>
        </w:rPr>
        <w:t xml:space="preserve">National Treasury, the </w:t>
      </w:r>
      <w:r w:rsidRPr="008B5BEE">
        <w:rPr>
          <w:rFonts w:ascii="Arial" w:eastAsia="Times New Roman" w:hAnsi="Arial" w:cs="Arial"/>
          <w:sz w:val="20"/>
          <w:szCs w:val="20"/>
        </w:rPr>
        <w:t xml:space="preserve">Department of Social Development and the South African Social Security Agency are not doing enough to ensure that all those who qualify for this grant, do access this grant. The Committee is of the view that there is a need for an urgent review of the qualification criteria and the registration processes in order to ensure that all qualifying individual are not unfairly excluded.  </w:t>
      </w:r>
    </w:p>
    <w:p w:rsidR="003755ED" w:rsidRPr="008B5BEE" w:rsidRDefault="003755ED" w:rsidP="008B5BEE">
      <w:pPr>
        <w:pStyle w:val="ListParagraph"/>
        <w:spacing w:after="0" w:line="240" w:lineRule="auto"/>
        <w:rPr>
          <w:rFonts w:ascii="Arial" w:eastAsia="Times New Roman" w:hAnsi="Arial" w:cs="Arial"/>
          <w:sz w:val="20"/>
          <w:szCs w:val="20"/>
        </w:rPr>
      </w:pPr>
    </w:p>
    <w:p w:rsidR="003755ED" w:rsidRPr="008B5BEE" w:rsidRDefault="003755ED" w:rsidP="008B5BEE">
      <w:pPr>
        <w:pStyle w:val="ListParagraph"/>
        <w:numPr>
          <w:ilvl w:val="1"/>
          <w:numId w:val="31"/>
        </w:numPr>
        <w:spacing w:after="0" w:line="240" w:lineRule="auto"/>
        <w:ind w:left="567" w:hanging="567"/>
        <w:rPr>
          <w:rFonts w:ascii="Arial" w:eastAsia="Times New Roman" w:hAnsi="Arial" w:cs="Arial"/>
          <w:sz w:val="20"/>
          <w:szCs w:val="20"/>
        </w:rPr>
      </w:pPr>
      <w:r w:rsidRPr="008B5BEE">
        <w:rPr>
          <w:rFonts w:ascii="Arial" w:eastAsia="Times New Roman" w:hAnsi="Arial" w:cs="Arial"/>
          <w:sz w:val="20"/>
          <w:szCs w:val="20"/>
        </w:rPr>
        <w:t>The Committee notes with conc</w:t>
      </w:r>
      <w:r w:rsidR="00AD4CB9" w:rsidRPr="008B5BEE">
        <w:rPr>
          <w:rFonts w:ascii="Arial" w:eastAsia="Times New Roman" w:hAnsi="Arial" w:cs="Arial"/>
          <w:sz w:val="20"/>
          <w:szCs w:val="20"/>
        </w:rPr>
        <w:t>erns on the submission by COSATU</w:t>
      </w:r>
      <w:r w:rsidRPr="008B5BEE">
        <w:rPr>
          <w:rFonts w:ascii="Arial" w:eastAsia="Times New Roman" w:hAnsi="Arial" w:cs="Arial"/>
          <w:sz w:val="20"/>
          <w:szCs w:val="20"/>
        </w:rPr>
        <w:t xml:space="preserve"> that</w:t>
      </w:r>
      <w:r w:rsidR="009F05A6" w:rsidRPr="008B5BEE">
        <w:rPr>
          <w:rFonts w:ascii="Arial" w:eastAsia="Times New Roman" w:hAnsi="Arial" w:cs="Arial"/>
          <w:sz w:val="20"/>
          <w:szCs w:val="20"/>
        </w:rPr>
        <w:t>,</w:t>
      </w:r>
      <w:r w:rsidRPr="008B5BEE">
        <w:rPr>
          <w:rFonts w:ascii="Arial" w:eastAsia="Times New Roman" w:hAnsi="Arial" w:cs="Arial"/>
          <w:sz w:val="20"/>
          <w:szCs w:val="20"/>
        </w:rPr>
        <w:t xml:space="preserve"> while it welcomed the extension </w:t>
      </w:r>
      <w:r w:rsidR="009F05A6" w:rsidRPr="008B5BEE">
        <w:rPr>
          <w:rFonts w:ascii="Arial" w:eastAsia="Times New Roman" w:hAnsi="Arial" w:cs="Arial"/>
          <w:sz w:val="20"/>
          <w:szCs w:val="20"/>
        </w:rPr>
        <w:t>of the SRD g</w:t>
      </w:r>
      <w:r w:rsidRPr="008B5BEE">
        <w:rPr>
          <w:rFonts w:ascii="Arial" w:eastAsia="Times New Roman" w:hAnsi="Arial" w:cs="Arial"/>
          <w:sz w:val="20"/>
          <w:szCs w:val="20"/>
        </w:rPr>
        <w:t xml:space="preserve">rant to March 2024, </w:t>
      </w:r>
      <w:r w:rsidR="009F05A6" w:rsidRPr="008B5BEE">
        <w:rPr>
          <w:rFonts w:ascii="Arial" w:eastAsia="Times New Roman" w:hAnsi="Arial" w:cs="Arial"/>
          <w:sz w:val="20"/>
          <w:szCs w:val="20"/>
        </w:rPr>
        <w:t>it expressed</w:t>
      </w:r>
      <w:r w:rsidRPr="008B5BEE">
        <w:rPr>
          <w:rFonts w:ascii="Arial" w:eastAsia="Times New Roman" w:hAnsi="Arial" w:cs="Arial"/>
          <w:sz w:val="20"/>
          <w:szCs w:val="20"/>
        </w:rPr>
        <w:t xml:space="preserve"> concerns that the Department of Social Development and National Treasury have not paid enough attention on the administrative challenges of the grant. The Committee </w:t>
      </w:r>
      <w:r w:rsidR="00B2719B" w:rsidRPr="008B5BEE">
        <w:rPr>
          <w:rFonts w:ascii="Arial" w:eastAsia="Times New Roman" w:hAnsi="Arial" w:cs="Arial"/>
          <w:sz w:val="20"/>
          <w:szCs w:val="20"/>
        </w:rPr>
        <w:t xml:space="preserve">has </w:t>
      </w:r>
      <w:r w:rsidR="009F05A6" w:rsidRPr="008B5BEE">
        <w:rPr>
          <w:rFonts w:ascii="Arial" w:eastAsia="Times New Roman" w:hAnsi="Arial" w:cs="Arial"/>
          <w:sz w:val="20"/>
          <w:szCs w:val="20"/>
        </w:rPr>
        <w:t>continuously</w:t>
      </w:r>
      <w:r w:rsidRPr="008B5BEE">
        <w:rPr>
          <w:rFonts w:ascii="Arial" w:eastAsia="Times New Roman" w:hAnsi="Arial" w:cs="Arial"/>
          <w:sz w:val="20"/>
          <w:szCs w:val="20"/>
        </w:rPr>
        <w:t xml:space="preserve"> raised its concerns on the administration of this grant, </w:t>
      </w:r>
      <w:r w:rsidR="009F05A6" w:rsidRPr="008B5BEE">
        <w:rPr>
          <w:rFonts w:ascii="Arial" w:eastAsia="Times New Roman" w:hAnsi="Arial" w:cs="Arial"/>
          <w:sz w:val="20"/>
          <w:szCs w:val="20"/>
        </w:rPr>
        <w:t>as is eviden</w:t>
      </w:r>
      <w:r w:rsidR="00AB3ADC" w:rsidRPr="008B5BEE">
        <w:rPr>
          <w:rFonts w:ascii="Arial" w:eastAsia="Times New Roman" w:hAnsi="Arial" w:cs="Arial"/>
          <w:sz w:val="20"/>
          <w:szCs w:val="20"/>
        </w:rPr>
        <w:t>c</w:t>
      </w:r>
      <w:r w:rsidR="00B2719B" w:rsidRPr="008B5BEE">
        <w:rPr>
          <w:rFonts w:ascii="Arial" w:eastAsia="Times New Roman" w:hAnsi="Arial" w:cs="Arial"/>
          <w:sz w:val="20"/>
          <w:szCs w:val="20"/>
        </w:rPr>
        <w:t>ed</w:t>
      </w:r>
      <w:r w:rsidRPr="008B5BEE">
        <w:rPr>
          <w:rFonts w:ascii="Arial" w:eastAsia="Times New Roman" w:hAnsi="Arial" w:cs="Arial"/>
          <w:sz w:val="20"/>
          <w:szCs w:val="20"/>
        </w:rPr>
        <w:t xml:space="preserve"> by consistent underspending</w:t>
      </w:r>
      <w:r w:rsidR="002925C8" w:rsidRPr="008B5BEE">
        <w:rPr>
          <w:rFonts w:ascii="Arial" w:eastAsia="Times New Roman" w:hAnsi="Arial" w:cs="Arial"/>
          <w:sz w:val="20"/>
          <w:szCs w:val="20"/>
        </w:rPr>
        <w:t>,</w:t>
      </w:r>
      <w:r w:rsidRPr="008B5BEE">
        <w:rPr>
          <w:rFonts w:ascii="Arial" w:eastAsia="Times New Roman" w:hAnsi="Arial" w:cs="Arial"/>
          <w:sz w:val="20"/>
          <w:szCs w:val="20"/>
        </w:rPr>
        <w:t xml:space="preserve"> yet many South Africans are faced with </w:t>
      </w:r>
      <w:r w:rsidR="002925C8" w:rsidRPr="008B5BEE">
        <w:rPr>
          <w:rFonts w:ascii="Arial" w:eastAsia="Times New Roman" w:hAnsi="Arial" w:cs="Arial"/>
          <w:sz w:val="20"/>
          <w:szCs w:val="20"/>
        </w:rPr>
        <w:t xml:space="preserve">persistent </w:t>
      </w:r>
      <w:r w:rsidR="002C3D15" w:rsidRPr="008B5BEE">
        <w:rPr>
          <w:rFonts w:ascii="Arial" w:eastAsia="Times New Roman" w:hAnsi="Arial" w:cs="Arial"/>
          <w:sz w:val="20"/>
          <w:szCs w:val="20"/>
        </w:rPr>
        <w:t xml:space="preserve">high levels of </w:t>
      </w:r>
      <w:r w:rsidR="002925C8" w:rsidRPr="008B5BEE">
        <w:rPr>
          <w:rFonts w:ascii="Arial" w:eastAsia="Times New Roman" w:hAnsi="Arial" w:cs="Arial"/>
          <w:sz w:val="20"/>
          <w:szCs w:val="20"/>
        </w:rPr>
        <w:t>unemployment, poverty and worsening socio-economic conditions</w:t>
      </w:r>
      <w:r w:rsidR="00B24D28" w:rsidRPr="008B5BEE">
        <w:rPr>
          <w:rFonts w:ascii="Arial" w:eastAsia="Times New Roman" w:hAnsi="Arial" w:cs="Arial"/>
          <w:sz w:val="20"/>
          <w:szCs w:val="20"/>
        </w:rPr>
        <w:t>.</w:t>
      </w:r>
      <w:r w:rsidR="009F05A6" w:rsidRPr="008B5BEE">
        <w:rPr>
          <w:rFonts w:ascii="Arial" w:eastAsia="Times New Roman" w:hAnsi="Arial" w:cs="Arial"/>
          <w:sz w:val="20"/>
          <w:szCs w:val="20"/>
        </w:rPr>
        <w:t xml:space="preserve"> These</w:t>
      </w:r>
      <w:r w:rsidR="00B24D28" w:rsidRPr="008B5BEE">
        <w:rPr>
          <w:rFonts w:ascii="Arial" w:eastAsia="Times New Roman" w:hAnsi="Arial" w:cs="Arial"/>
          <w:sz w:val="20"/>
          <w:szCs w:val="20"/>
        </w:rPr>
        <w:t xml:space="preserve"> concerns have also been raised by the FFC who submitted that </w:t>
      </w:r>
      <w:r w:rsidR="003D725C" w:rsidRPr="008B5BEE">
        <w:rPr>
          <w:rFonts w:ascii="Arial" w:eastAsia="Times New Roman" w:hAnsi="Arial" w:cs="Arial"/>
          <w:sz w:val="20"/>
          <w:szCs w:val="20"/>
        </w:rPr>
        <w:t>this consistent</w:t>
      </w:r>
      <w:r w:rsidR="00B24D28" w:rsidRPr="008B5BEE">
        <w:rPr>
          <w:rFonts w:ascii="Arial" w:eastAsia="Times New Roman" w:hAnsi="Arial" w:cs="Arial"/>
          <w:sz w:val="20"/>
          <w:szCs w:val="20"/>
        </w:rPr>
        <w:t xml:space="preserve"> under expenditure on the SRD grant </w:t>
      </w:r>
      <w:r w:rsidR="009F05A6" w:rsidRPr="008B5BEE">
        <w:rPr>
          <w:rFonts w:ascii="Arial" w:eastAsia="Times New Roman" w:hAnsi="Arial" w:cs="Arial"/>
          <w:sz w:val="20"/>
          <w:szCs w:val="20"/>
        </w:rPr>
        <w:t xml:space="preserve">was, to a larger extent, </w:t>
      </w:r>
      <w:r w:rsidR="00B24D28" w:rsidRPr="008B5BEE">
        <w:rPr>
          <w:rFonts w:ascii="Arial" w:eastAsia="Times New Roman" w:hAnsi="Arial" w:cs="Arial"/>
          <w:sz w:val="20"/>
          <w:szCs w:val="20"/>
        </w:rPr>
        <w:t>caused by more stringent grant eli</w:t>
      </w:r>
      <w:r w:rsidR="00E0636F" w:rsidRPr="008B5BEE">
        <w:rPr>
          <w:rFonts w:ascii="Arial" w:eastAsia="Times New Roman" w:hAnsi="Arial" w:cs="Arial"/>
          <w:sz w:val="20"/>
          <w:szCs w:val="20"/>
        </w:rPr>
        <w:t>gibility criteria being applied, and the FFC submitted its concerns on the progressive erosion in the number of people that are accessing this grant</w:t>
      </w:r>
      <w:r w:rsidR="00FC4279" w:rsidRPr="008B5BEE">
        <w:rPr>
          <w:rFonts w:ascii="Arial" w:eastAsia="Times New Roman" w:hAnsi="Arial" w:cs="Arial"/>
          <w:sz w:val="20"/>
          <w:szCs w:val="20"/>
        </w:rPr>
        <w:t>.</w:t>
      </w:r>
    </w:p>
    <w:p w:rsidR="004550B6" w:rsidRPr="008B5BEE" w:rsidRDefault="004550B6" w:rsidP="008B5BEE">
      <w:pPr>
        <w:pStyle w:val="ListParagraph"/>
        <w:spacing w:after="0" w:line="240" w:lineRule="auto"/>
        <w:rPr>
          <w:rFonts w:ascii="Arial" w:eastAsia="Times New Roman" w:hAnsi="Arial" w:cs="Arial"/>
          <w:sz w:val="20"/>
          <w:szCs w:val="20"/>
        </w:rPr>
      </w:pPr>
    </w:p>
    <w:p w:rsidR="003D725C" w:rsidRPr="008B5BEE" w:rsidRDefault="003D725C" w:rsidP="008B5BEE">
      <w:pPr>
        <w:pStyle w:val="ListParagraph"/>
        <w:spacing w:after="0" w:line="240" w:lineRule="auto"/>
        <w:rPr>
          <w:rFonts w:ascii="Arial" w:eastAsia="Times New Roman" w:hAnsi="Arial" w:cs="Arial"/>
          <w:sz w:val="20"/>
          <w:szCs w:val="20"/>
        </w:rPr>
      </w:pPr>
    </w:p>
    <w:p w:rsidR="003D725C" w:rsidRPr="008B5BEE" w:rsidRDefault="003D725C" w:rsidP="008B5BEE">
      <w:pPr>
        <w:pStyle w:val="ListParagraph"/>
        <w:spacing w:after="0" w:line="240" w:lineRule="auto"/>
        <w:rPr>
          <w:rFonts w:ascii="Arial" w:eastAsia="Times New Roman" w:hAnsi="Arial" w:cs="Arial"/>
          <w:sz w:val="20"/>
          <w:szCs w:val="20"/>
        </w:rPr>
      </w:pPr>
    </w:p>
    <w:p w:rsidR="004550B6" w:rsidRPr="008B5BEE" w:rsidRDefault="004550B6" w:rsidP="008B5BEE">
      <w:pPr>
        <w:pStyle w:val="ListParagraph"/>
        <w:numPr>
          <w:ilvl w:val="1"/>
          <w:numId w:val="31"/>
        </w:numPr>
        <w:spacing w:after="0" w:line="240" w:lineRule="auto"/>
        <w:ind w:left="567" w:hanging="567"/>
        <w:rPr>
          <w:rFonts w:ascii="Arial" w:eastAsia="Times New Roman" w:hAnsi="Arial" w:cs="Arial"/>
          <w:sz w:val="20"/>
          <w:szCs w:val="20"/>
        </w:rPr>
      </w:pPr>
      <w:r w:rsidRPr="008B5BEE">
        <w:rPr>
          <w:rFonts w:ascii="Arial" w:eastAsia="Times New Roman" w:hAnsi="Arial" w:cs="Arial"/>
          <w:sz w:val="20"/>
          <w:szCs w:val="20"/>
        </w:rPr>
        <w:t xml:space="preserve">The Committee notes the submission by </w:t>
      </w:r>
      <w:r w:rsidR="009F05A6" w:rsidRPr="008B5BEE">
        <w:rPr>
          <w:rFonts w:ascii="Arial" w:eastAsia="Times New Roman" w:hAnsi="Arial" w:cs="Arial"/>
          <w:sz w:val="20"/>
          <w:szCs w:val="20"/>
        </w:rPr>
        <w:t>COSATU</w:t>
      </w:r>
      <w:r w:rsidR="00FC49B0" w:rsidRPr="008B5BEE">
        <w:rPr>
          <w:rFonts w:ascii="Arial" w:eastAsia="Times New Roman" w:hAnsi="Arial" w:cs="Arial"/>
          <w:sz w:val="20"/>
          <w:szCs w:val="20"/>
        </w:rPr>
        <w:t xml:space="preserve">, who while welcoming the proposed additional allocation of </w:t>
      </w:r>
      <w:r w:rsidRPr="008B5BEE">
        <w:rPr>
          <w:rFonts w:ascii="Arial" w:eastAsia="Times New Roman" w:hAnsi="Arial" w:cs="Arial"/>
          <w:sz w:val="20"/>
          <w:szCs w:val="20"/>
        </w:rPr>
        <w:t xml:space="preserve">R37 million </w:t>
      </w:r>
      <w:r w:rsidR="00FC49B0" w:rsidRPr="008B5BEE">
        <w:rPr>
          <w:rFonts w:ascii="Arial" w:eastAsia="Times New Roman" w:hAnsi="Arial" w:cs="Arial"/>
          <w:sz w:val="20"/>
          <w:szCs w:val="20"/>
        </w:rPr>
        <w:t xml:space="preserve">towards the Vote of </w:t>
      </w:r>
      <w:r w:rsidRPr="008B5BEE">
        <w:rPr>
          <w:rFonts w:ascii="Arial" w:eastAsia="Times New Roman" w:hAnsi="Arial" w:cs="Arial"/>
          <w:sz w:val="20"/>
          <w:szCs w:val="20"/>
        </w:rPr>
        <w:t>Parliament</w:t>
      </w:r>
      <w:r w:rsidR="00FC49B0" w:rsidRPr="008B5BEE">
        <w:rPr>
          <w:rFonts w:ascii="Arial" w:eastAsia="Times New Roman" w:hAnsi="Arial" w:cs="Arial"/>
          <w:sz w:val="20"/>
          <w:szCs w:val="20"/>
        </w:rPr>
        <w:t xml:space="preserve">, </w:t>
      </w:r>
      <w:r w:rsidR="009F05A6" w:rsidRPr="008B5BEE">
        <w:rPr>
          <w:rFonts w:ascii="Arial" w:eastAsia="Times New Roman" w:hAnsi="Arial" w:cs="Arial"/>
          <w:sz w:val="20"/>
          <w:szCs w:val="20"/>
        </w:rPr>
        <w:t>it was</w:t>
      </w:r>
      <w:r w:rsidR="00FC49B0" w:rsidRPr="008B5BEE">
        <w:rPr>
          <w:rFonts w:ascii="Arial" w:eastAsia="Times New Roman" w:hAnsi="Arial" w:cs="Arial"/>
          <w:sz w:val="20"/>
          <w:szCs w:val="20"/>
        </w:rPr>
        <w:t xml:space="preserve"> </w:t>
      </w:r>
      <w:r w:rsidRPr="008B5BEE">
        <w:rPr>
          <w:rFonts w:ascii="Arial" w:eastAsia="Times New Roman" w:hAnsi="Arial" w:cs="Arial"/>
          <w:sz w:val="20"/>
          <w:szCs w:val="20"/>
        </w:rPr>
        <w:t xml:space="preserve">deeply concerned with </w:t>
      </w:r>
      <w:r w:rsidR="00BC676D" w:rsidRPr="008B5BEE">
        <w:rPr>
          <w:rFonts w:ascii="Arial" w:eastAsia="Times New Roman" w:hAnsi="Arial" w:cs="Arial"/>
          <w:sz w:val="20"/>
          <w:szCs w:val="20"/>
        </w:rPr>
        <w:t xml:space="preserve">the </w:t>
      </w:r>
      <w:r w:rsidRPr="008B5BEE">
        <w:rPr>
          <w:rFonts w:ascii="Arial" w:eastAsia="Times New Roman" w:hAnsi="Arial" w:cs="Arial"/>
          <w:sz w:val="20"/>
          <w:szCs w:val="20"/>
        </w:rPr>
        <w:t>delays in rebuilding Parliament, a nat</w:t>
      </w:r>
      <w:r w:rsidR="009F05A6" w:rsidRPr="008B5BEE">
        <w:rPr>
          <w:rFonts w:ascii="Arial" w:eastAsia="Times New Roman" w:hAnsi="Arial" w:cs="Arial"/>
          <w:sz w:val="20"/>
          <w:szCs w:val="20"/>
        </w:rPr>
        <w:t>ional key point, heritage site and</w:t>
      </w:r>
      <w:r w:rsidRPr="008B5BEE">
        <w:rPr>
          <w:rFonts w:ascii="Arial" w:eastAsia="Times New Roman" w:hAnsi="Arial" w:cs="Arial"/>
          <w:sz w:val="20"/>
          <w:szCs w:val="20"/>
        </w:rPr>
        <w:t xml:space="preserve"> the legislative seat.  </w:t>
      </w:r>
      <w:r w:rsidR="009F05A6" w:rsidRPr="008B5BEE">
        <w:rPr>
          <w:rFonts w:ascii="Arial" w:eastAsia="Times New Roman" w:hAnsi="Arial" w:cs="Arial"/>
          <w:sz w:val="20"/>
          <w:szCs w:val="20"/>
        </w:rPr>
        <w:t>COSATU</w:t>
      </w:r>
      <w:r w:rsidR="00FC49B0" w:rsidRPr="008B5BEE">
        <w:rPr>
          <w:rFonts w:ascii="Arial" w:eastAsia="Times New Roman" w:hAnsi="Arial" w:cs="Arial"/>
          <w:sz w:val="20"/>
          <w:szCs w:val="20"/>
        </w:rPr>
        <w:t xml:space="preserve"> like the Committee, is of the view that </w:t>
      </w:r>
      <w:r w:rsidRPr="008B5BEE">
        <w:rPr>
          <w:rFonts w:ascii="Arial" w:eastAsia="Times New Roman" w:hAnsi="Arial" w:cs="Arial"/>
          <w:sz w:val="20"/>
          <w:szCs w:val="20"/>
        </w:rPr>
        <w:t xml:space="preserve">rebuilding </w:t>
      </w:r>
      <w:r w:rsidR="00FC49B0" w:rsidRPr="008B5BEE">
        <w:rPr>
          <w:rFonts w:ascii="Arial" w:eastAsia="Times New Roman" w:hAnsi="Arial" w:cs="Arial"/>
          <w:sz w:val="20"/>
          <w:szCs w:val="20"/>
        </w:rPr>
        <w:t xml:space="preserve">of Parliament </w:t>
      </w:r>
      <w:r w:rsidRPr="008B5BEE">
        <w:rPr>
          <w:rFonts w:ascii="Arial" w:eastAsia="Times New Roman" w:hAnsi="Arial" w:cs="Arial"/>
          <w:sz w:val="20"/>
          <w:szCs w:val="20"/>
        </w:rPr>
        <w:t xml:space="preserve">should be </w:t>
      </w:r>
      <w:r w:rsidR="00FC49B0" w:rsidRPr="008B5BEE">
        <w:rPr>
          <w:rFonts w:ascii="Arial" w:eastAsia="Times New Roman" w:hAnsi="Arial" w:cs="Arial"/>
          <w:sz w:val="20"/>
          <w:szCs w:val="20"/>
        </w:rPr>
        <w:t>prioritised.</w:t>
      </w:r>
    </w:p>
    <w:p w:rsidR="007E0874" w:rsidRPr="008B5BEE" w:rsidRDefault="007E0874" w:rsidP="008B5BEE">
      <w:pPr>
        <w:pStyle w:val="ListParagraph"/>
        <w:spacing w:after="0" w:line="240" w:lineRule="auto"/>
        <w:rPr>
          <w:rFonts w:ascii="Arial" w:eastAsia="Times New Roman" w:hAnsi="Arial" w:cs="Arial"/>
          <w:sz w:val="20"/>
          <w:szCs w:val="20"/>
        </w:rPr>
      </w:pPr>
    </w:p>
    <w:p w:rsidR="007E0874" w:rsidRPr="008B5BEE" w:rsidRDefault="007E0874" w:rsidP="008B5BEE">
      <w:pPr>
        <w:pStyle w:val="ListParagraph"/>
        <w:numPr>
          <w:ilvl w:val="1"/>
          <w:numId w:val="31"/>
        </w:numPr>
        <w:spacing w:after="0" w:line="240" w:lineRule="auto"/>
        <w:ind w:left="567" w:hanging="567"/>
        <w:rPr>
          <w:rFonts w:ascii="Arial" w:eastAsia="Times New Roman" w:hAnsi="Arial" w:cs="Arial"/>
          <w:sz w:val="20"/>
          <w:szCs w:val="20"/>
        </w:rPr>
      </w:pPr>
      <w:r w:rsidRPr="008B5BEE">
        <w:rPr>
          <w:rFonts w:ascii="Arial" w:eastAsia="Times New Roman" w:hAnsi="Arial" w:cs="Arial"/>
          <w:sz w:val="20"/>
          <w:szCs w:val="20"/>
        </w:rPr>
        <w:t>The Committe</w:t>
      </w:r>
      <w:r w:rsidR="009F05A6" w:rsidRPr="008B5BEE">
        <w:rPr>
          <w:rFonts w:ascii="Arial" w:eastAsia="Times New Roman" w:hAnsi="Arial" w:cs="Arial"/>
          <w:sz w:val="20"/>
          <w:szCs w:val="20"/>
        </w:rPr>
        <w:t>e notes the submission by COSATU</w:t>
      </w:r>
      <w:r w:rsidRPr="008B5BEE">
        <w:rPr>
          <w:rFonts w:ascii="Arial" w:eastAsia="Times New Roman" w:hAnsi="Arial" w:cs="Arial"/>
          <w:sz w:val="20"/>
          <w:szCs w:val="20"/>
        </w:rPr>
        <w:t xml:space="preserve"> that while it supported the proposed additional allocation of R300 million to the Vote of Home Affairs for </w:t>
      </w:r>
      <w:r w:rsidR="009F05A6" w:rsidRPr="008B5BEE">
        <w:rPr>
          <w:rFonts w:ascii="Arial" w:eastAsia="Times New Roman" w:hAnsi="Arial" w:cs="Arial"/>
          <w:sz w:val="20"/>
          <w:szCs w:val="20"/>
        </w:rPr>
        <w:t>the Political Party Fund, this allocation was</w:t>
      </w:r>
      <w:r w:rsidRPr="008B5BEE">
        <w:rPr>
          <w:rFonts w:ascii="Arial" w:eastAsia="Times New Roman" w:hAnsi="Arial" w:cs="Arial"/>
          <w:sz w:val="20"/>
          <w:szCs w:val="20"/>
        </w:rPr>
        <w:t xml:space="preserve"> not enough and should be increased </w:t>
      </w:r>
      <w:r w:rsidRPr="008B5BEE">
        <w:rPr>
          <w:rFonts w:ascii="Arial" w:eastAsia="Times New Roman" w:hAnsi="Arial" w:cs="Arial"/>
          <w:sz w:val="20"/>
          <w:szCs w:val="20"/>
          <w:lang w:val="en-US"/>
        </w:rPr>
        <w:t>substantially to R1 billion to wean political parties off an unhealthy dependency on private donors with dubious motivations.</w:t>
      </w:r>
    </w:p>
    <w:p w:rsidR="00993333" w:rsidRPr="008B5BEE" w:rsidRDefault="00993333" w:rsidP="008B5BEE">
      <w:pPr>
        <w:pStyle w:val="ListParagraph"/>
        <w:spacing w:after="0" w:line="240" w:lineRule="auto"/>
        <w:rPr>
          <w:rFonts w:ascii="Arial" w:eastAsia="Times New Roman" w:hAnsi="Arial" w:cs="Arial"/>
          <w:sz w:val="20"/>
          <w:szCs w:val="20"/>
        </w:rPr>
      </w:pPr>
    </w:p>
    <w:p w:rsidR="00993333" w:rsidRPr="008B5BEE" w:rsidRDefault="00993333" w:rsidP="008B5BEE">
      <w:pPr>
        <w:pStyle w:val="ListParagraph"/>
        <w:numPr>
          <w:ilvl w:val="1"/>
          <w:numId w:val="31"/>
        </w:numPr>
        <w:spacing w:after="0" w:line="240" w:lineRule="auto"/>
        <w:ind w:left="567" w:hanging="567"/>
        <w:rPr>
          <w:rFonts w:ascii="Arial" w:eastAsia="Times New Roman" w:hAnsi="Arial" w:cs="Arial"/>
          <w:sz w:val="20"/>
          <w:szCs w:val="20"/>
        </w:rPr>
      </w:pPr>
      <w:r w:rsidRPr="008B5BEE">
        <w:rPr>
          <w:rFonts w:ascii="Arial" w:eastAsia="Times New Roman" w:hAnsi="Arial" w:cs="Arial"/>
          <w:sz w:val="20"/>
          <w:szCs w:val="20"/>
        </w:rPr>
        <w:t>The Committe</w:t>
      </w:r>
      <w:r w:rsidR="009F05A6" w:rsidRPr="008B5BEE">
        <w:rPr>
          <w:rFonts w:ascii="Arial" w:eastAsia="Times New Roman" w:hAnsi="Arial" w:cs="Arial"/>
          <w:sz w:val="20"/>
          <w:szCs w:val="20"/>
        </w:rPr>
        <w:t>e notes the submission by COSATU</w:t>
      </w:r>
      <w:r w:rsidRPr="008B5BEE">
        <w:rPr>
          <w:rFonts w:ascii="Arial" w:eastAsia="Times New Roman" w:hAnsi="Arial" w:cs="Arial"/>
          <w:sz w:val="20"/>
          <w:szCs w:val="20"/>
        </w:rPr>
        <w:t xml:space="preserve"> that while it </w:t>
      </w:r>
      <w:r w:rsidR="0047699C" w:rsidRPr="008B5BEE">
        <w:rPr>
          <w:rFonts w:ascii="Arial" w:eastAsia="Times New Roman" w:hAnsi="Arial" w:cs="Arial"/>
          <w:sz w:val="20"/>
          <w:szCs w:val="20"/>
        </w:rPr>
        <w:t xml:space="preserve">supported the proposed additional allocation of </w:t>
      </w:r>
      <w:r w:rsidR="007A1038" w:rsidRPr="008B5BEE">
        <w:rPr>
          <w:rFonts w:ascii="Arial" w:eastAsia="Times New Roman" w:hAnsi="Arial" w:cs="Arial"/>
          <w:sz w:val="20"/>
          <w:szCs w:val="20"/>
          <w:lang w:val="en-US"/>
        </w:rPr>
        <w:t>R2.4 billi</w:t>
      </w:r>
      <w:r w:rsidR="009F05A6" w:rsidRPr="008B5BEE">
        <w:rPr>
          <w:rFonts w:ascii="Arial" w:eastAsia="Times New Roman" w:hAnsi="Arial" w:cs="Arial"/>
          <w:sz w:val="20"/>
          <w:szCs w:val="20"/>
          <w:lang w:val="en-US"/>
        </w:rPr>
        <w:t>on for SAPO, the entity needed</w:t>
      </w:r>
      <w:r w:rsidR="0047699C" w:rsidRPr="008B5BEE">
        <w:rPr>
          <w:rFonts w:ascii="Arial" w:eastAsia="Times New Roman" w:hAnsi="Arial" w:cs="Arial"/>
          <w:sz w:val="20"/>
          <w:szCs w:val="20"/>
          <w:lang w:val="en-US"/>
        </w:rPr>
        <w:t xml:space="preserve"> a turn</w:t>
      </w:r>
      <w:r w:rsidR="007A1038" w:rsidRPr="008B5BEE">
        <w:rPr>
          <w:rFonts w:ascii="Arial" w:eastAsia="Times New Roman" w:hAnsi="Arial" w:cs="Arial"/>
          <w:sz w:val="20"/>
          <w:szCs w:val="20"/>
          <w:lang w:val="en-US"/>
        </w:rPr>
        <w:t xml:space="preserve">around plan </w:t>
      </w:r>
      <w:r w:rsidR="009F05A6" w:rsidRPr="008B5BEE">
        <w:rPr>
          <w:rFonts w:ascii="Arial" w:eastAsia="Times New Roman" w:hAnsi="Arial" w:cs="Arial"/>
          <w:sz w:val="20"/>
          <w:szCs w:val="20"/>
          <w:lang w:val="en-US"/>
        </w:rPr>
        <w:t>that was</w:t>
      </w:r>
      <w:r w:rsidR="0047699C" w:rsidRPr="008B5BEE">
        <w:rPr>
          <w:rFonts w:ascii="Arial" w:eastAsia="Times New Roman" w:hAnsi="Arial" w:cs="Arial"/>
          <w:sz w:val="20"/>
          <w:szCs w:val="20"/>
          <w:lang w:val="en-US"/>
        </w:rPr>
        <w:t xml:space="preserve"> </w:t>
      </w:r>
      <w:r w:rsidR="007A1038" w:rsidRPr="008B5BEE">
        <w:rPr>
          <w:rFonts w:ascii="Arial" w:eastAsia="Times New Roman" w:hAnsi="Arial" w:cs="Arial"/>
          <w:sz w:val="20"/>
          <w:szCs w:val="20"/>
          <w:lang w:val="en-US"/>
        </w:rPr>
        <w:t>not based u</w:t>
      </w:r>
      <w:r w:rsidR="009F05A6" w:rsidRPr="008B5BEE">
        <w:rPr>
          <w:rFonts w:ascii="Arial" w:eastAsia="Times New Roman" w:hAnsi="Arial" w:cs="Arial"/>
          <w:sz w:val="20"/>
          <w:szCs w:val="20"/>
          <w:lang w:val="en-US"/>
        </w:rPr>
        <w:t>pon retrenching 4000 employees and reducing wages by 40 per cent</w:t>
      </w:r>
      <w:r w:rsidR="007A1038" w:rsidRPr="008B5BEE">
        <w:rPr>
          <w:rFonts w:ascii="Arial" w:eastAsia="Times New Roman" w:hAnsi="Arial" w:cs="Arial"/>
          <w:sz w:val="20"/>
          <w:szCs w:val="20"/>
          <w:lang w:val="en-US"/>
        </w:rPr>
        <w:t xml:space="preserve"> of </w:t>
      </w:r>
      <w:r w:rsidR="009F05A6" w:rsidRPr="008B5BEE">
        <w:rPr>
          <w:rFonts w:ascii="Arial" w:eastAsia="Times New Roman" w:hAnsi="Arial" w:cs="Arial"/>
          <w:sz w:val="20"/>
          <w:szCs w:val="20"/>
          <w:lang w:val="en-US"/>
        </w:rPr>
        <w:t xml:space="preserve">the </w:t>
      </w:r>
      <w:r w:rsidR="007A1038" w:rsidRPr="008B5BEE">
        <w:rPr>
          <w:rFonts w:ascii="Arial" w:eastAsia="Times New Roman" w:hAnsi="Arial" w:cs="Arial"/>
          <w:sz w:val="20"/>
          <w:szCs w:val="20"/>
          <w:lang w:val="en-US"/>
        </w:rPr>
        <w:t>remaining 9000 workers.</w:t>
      </w:r>
      <w:r w:rsidR="009F05A6" w:rsidRPr="008B5BEE">
        <w:rPr>
          <w:rFonts w:ascii="Arial" w:eastAsia="Times New Roman" w:hAnsi="Arial" w:cs="Arial"/>
          <w:sz w:val="20"/>
          <w:szCs w:val="20"/>
          <w:lang w:val="en-US"/>
        </w:rPr>
        <w:t xml:space="preserve"> Furthermore, COSATU</w:t>
      </w:r>
      <w:r w:rsidR="0047699C" w:rsidRPr="008B5BEE">
        <w:rPr>
          <w:rFonts w:ascii="Arial" w:eastAsia="Times New Roman" w:hAnsi="Arial" w:cs="Arial"/>
          <w:sz w:val="20"/>
          <w:szCs w:val="20"/>
          <w:lang w:val="en-US"/>
        </w:rPr>
        <w:t xml:space="preserve"> submitted that government needed to </w:t>
      </w:r>
      <w:r w:rsidR="007A1038" w:rsidRPr="008B5BEE">
        <w:rPr>
          <w:rFonts w:ascii="Arial" w:eastAsia="Times New Roman" w:hAnsi="Arial" w:cs="Arial"/>
          <w:sz w:val="20"/>
          <w:szCs w:val="20"/>
          <w:lang w:val="en-US"/>
        </w:rPr>
        <w:t>re</w:t>
      </w:r>
      <w:r w:rsidR="0047699C" w:rsidRPr="008B5BEE">
        <w:rPr>
          <w:rFonts w:ascii="Arial" w:eastAsia="Times New Roman" w:hAnsi="Arial" w:cs="Arial"/>
          <w:sz w:val="20"/>
          <w:szCs w:val="20"/>
          <w:lang w:val="en-US"/>
        </w:rPr>
        <w:t>-</w:t>
      </w:r>
      <w:r w:rsidR="007A1038" w:rsidRPr="008B5BEE">
        <w:rPr>
          <w:rFonts w:ascii="Arial" w:eastAsia="Times New Roman" w:hAnsi="Arial" w:cs="Arial"/>
          <w:sz w:val="20"/>
          <w:szCs w:val="20"/>
          <w:lang w:val="en-US"/>
        </w:rPr>
        <w:t xml:space="preserve">pivot </w:t>
      </w:r>
      <w:r w:rsidR="009F05A6" w:rsidRPr="008B5BEE">
        <w:rPr>
          <w:rFonts w:ascii="Arial" w:eastAsia="Times New Roman" w:hAnsi="Arial" w:cs="Arial"/>
          <w:sz w:val="20"/>
          <w:szCs w:val="20"/>
          <w:lang w:val="en-US"/>
        </w:rPr>
        <w:t>SAPO in order</w:t>
      </w:r>
      <w:r w:rsidR="007A1038" w:rsidRPr="008B5BEE">
        <w:rPr>
          <w:rFonts w:ascii="Arial" w:eastAsia="Times New Roman" w:hAnsi="Arial" w:cs="Arial"/>
          <w:sz w:val="20"/>
          <w:szCs w:val="20"/>
          <w:lang w:val="en-US"/>
        </w:rPr>
        <w:t xml:space="preserve"> to expand </w:t>
      </w:r>
      <w:r w:rsidR="009F05A6" w:rsidRPr="008B5BEE">
        <w:rPr>
          <w:rFonts w:ascii="Arial" w:eastAsia="Times New Roman" w:hAnsi="Arial" w:cs="Arial"/>
          <w:sz w:val="20"/>
          <w:szCs w:val="20"/>
          <w:lang w:val="en-US"/>
        </w:rPr>
        <w:t xml:space="preserve">the </w:t>
      </w:r>
      <w:r w:rsidR="007A1038" w:rsidRPr="008B5BEE">
        <w:rPr>
          <w:rFonts w:ascii="Arial" w:eastAsia="Times New Roman" w:hAnsi="Arial" w:cs="Arial"/>
          <w:sz w:val="20"/>
          <w:szCs w:val="20"/>
          <w:lang w:val="en-US"/>
        </w:rPr>
        <w:t>services it offers,</w:t>
      </w:r>
      <w:r w:rsidR="009F05A6" w:rsidRPr="008B5BEE">
        <w:rPr>
          <w:rFonts w:ascii="Arial" w:eastAsia="Times New Roman" w:hAnsi="Arial" w:cs="Arial"/>
          <w:sz w:val="20"/>
          <w:szCs w:val="20"/>
          <w:lang w:val="en-US"/>
        </w:rPr>
        <w:t xml:space="preserve"> catch-</w:t>
      </w:r>
      <w:r w:rsidR="0047699C" w:rsidRPr="008B5BEE">
        <w:rPr>
          <w:rFonts w:ascii="Arial" w:eastAsia="Times New Roman" w:hAnsi="Arial" w:cs="Arial"/>
          <w:sz w:val="20"/>
          <w:szCs w:val="20"/>
          <w:lang w:val="en-US"/>
        </w:rPr>
        <w:t xml:space="preserve">up with </w:t>
      </w:r>
      <w:r w:rsidR="009F05A6" w:rsidRPr="008B5BEE">
        <w:rPr>
          <w:rFonts w:ascii="Arial" w:eastAsia="Times New Roman" w:hAnsi="Arial" w:cs="Arial"/>
          <w:sz w:val="20"/>
          <w:szCs w:val="20"/>
          <w:lang w:val="en-US"/>
        </w:rPr>
        <w:t xml:space="preserve">the </w:t>
      </w:r>
      <w:r w:rsidR="0047699C" w:rsidRPr="008B5BEE">
        <w:rPr>
          <w:rFonts w:ascii="Arial" w:eastAsia="Times New Roman" w:hAnsi="Arial" w:cs="Arial"/>
          <w:sz w:val="20"/>
          <w:szCs w:val="20"/>
          <w:lang w:val="en-US"/>
        </w:rPr>
        <w:t>evolving sector and</w:t>
      </w:r>
      <w:r w:rsidR="007A1038" w:rsidRPr="008B5BEE">
        <w:rPr>
          <w:rFonts w:ascii="Arial" w:eastAsia="Times New Roman" w:hAnsi="Arial" w:cs="Arial"/>
          <w:sz w:val="20"/>
          <w:szCs w:val="20"/>
          <w:lang w:val="en-US"/>
        </w:rPr>
        <w:t xml:space="preserve"> become </w:t>
      </w:r>
      <w:r w:rsidR="009F05A6" w:rsidRPr="008B5BEE">
        <w:rPr>
          <w:rFonts w:ascii="Arial" w:eastAsia="Times New Roman" w:hAnsi="Arial" w:cs="Arial"/>
          <w:sz w:val="20"/>
          <w:szCs w:val="20"/>
          <w:lang w:val="en-US"/>
        </w:rPr>
        <w:t xml:space="preserve">the </w:t>
      </w:r>
      <w:r w:rsidR="007A1038" w:rsidRPr="008B5BEE">
        <w:rPr>
          <w:rFonts w:ascii="Arial" w:eastAsia="Times New Roman" w:hAnsi="Arial" w:cs="Arial"/>
          <w:sz w:val="20"/>
          <w:szCs w:val="20"/>
          <w:lang w:val="en-US"/>
        </w:rPr>
        <w:t>governme</w:t>
      </w:r>
      <w:r w:rsidR="009F05A6" w:rsidRPr="008B5BEE">
        <w:rPr>
          <w:rFonts w:ascii="Arial" w:eastAsia="Times New Roman" w:hAnsi="Arial" w:cs="Arial"/>
          <w:sz w:val="20"/>
          <w:szCs w:val="20"/>
          <w:lang w:val="en-US"/>
        </w:rPr>
        <w:t>nt services site for rural and</w:t>
      </w:r>
      <w:r w:rsidR="007A1038" w:rsidRPr="008B5BEE">
        <w:rPr>
          <w:rFonts w:ascii="Arial" w:eastAsia="Times New Roman" w:hAnsi="Arial" w:cs="Arial"/>
          <w:sz w:val="20"/>
          <w:szCs w:val="20"/>
          <w:lang w:val="en-US"/>
        </w:rPr>
        <w:t xml:space="preserve"> disadvantag</w:t>
      </w:r>
      <w:r w:rsidR="009F05A6" w:rsidRPr="008B5BEE">
        <w:rPr>
          <w:rFonts w:ascii="Arial" w:eastAsia="Times New Roman" w:hAnsi="Arial" w:cs="Arial"/>
          <w:sz w:val="20"/>
          <w:szCs w:val="20"/>
          <w:lang w:val="en-US"/>
        </w:rPr>
        <w:t>ed communities. Furthermore, the Committee notes the submission by COSATU that</w:t>
      </w:r>
      <w:r w:rsidR="0047699C" w:rsidRPr="008B5BEE">
        <w:rPr>
          <w:rFonts w:ascii="Arial" w:eastAsia="Times New Roman" w:hAnsi="Arial" w:cs="Arial"/>
          <w:sz w:val="20"/>
          <w:szCs w:val="20"/>
          <w:lang w:val="en-US"/>
        </w:rPr>
        <w:t xml:space="preserve"> the SA Post Office and</w:t>
      </w:r>
      <w:r w:rsidR="007A1038" w:rsidRPr="008B5BEE">
        <w:rPr>
          <w:rFonts w:ascii="Arial" w:eastAsia="Times New Roman" w:hAnsi="Arial" w:cs="Arial"/>
          <w:sz w:val="20"/>
          <w:szCs w:val="20"/>
          <w:lang w:val="en-US"/>
        </w:rPr>
        <w:t xml:space="preserve"> Postbank Amend</w:t>
      </w:r>
      <w:r w:rsidR="00547595" w:rsidRPr="008B5BEE">
        <w:rPr>
          <w:rFonts w:ascii="Arial" w:eastAsia="Times New Roman" w:hAnsi="Arial" w:cs="Arial"/>
          <w:sz w:val="20"/>
          <w:szCs w:val="20"/>
          <w:lang w:val="en-US"/>
        </w:rPr>
        <w:t>ment Bills need</w:t>
      </w:r>
      <w:r w:rsidR="009F05A6" w:rsidRPr="008B5BEE">
        <w:rPr>
          <w:rFonts w:ascii="Arial" w:eastAsia="Times New Roman" w:hAnsi="Arial" w:cs="Arial"/>
          <w:sz w:val="20"/>
          <w:szCs w:val="20"/>
          <w:lang w:val="en-US"/>
        </w:rPr>
        <w:t>ed</w:t>
      </w:r>
      <w:r w:rsidR="00547595" w:rsidRPr="008B5BEE">
        <w:rPr>
          <w:rFonts w:ascii="Arial" w:eastAsia="Times New Roman" w:hAnsi="Arial" w:cs="Arial"/>
          <w:sz w:val="20"/>
          <w:szCs w:val="20"/>
          <w:lang w:val="en-US"/>
        </w:rPr>
        <w:t xml:space="preserve"> to be expedited. </w:t>
      </w:r>
    </w:p>
    <w:p w:rsidR="00547595" w:rsidRPr="008B5BEE" w:rsidRDefault="00547595" w:rsidP="008B5BEE">
      <w:pPr>
        <w:pStyle w:val="ListParagraph"/>
        <w:spacing w:after="0" w:line="240" w:lineRule="auto"/>
        <w:rPr>
          <w:rFonts w:ascii="Arial" w:eastAsia="Times New Roman" w:hAnsi="Arial" w:cs="Arial"/>
          <w:sz w:val="20"/>
          <w:szCs w:val="20"/>
        </w:rPr>
      </w:pPr>
    </w:p>
    <w:p w:rsidR="00200691" w:rsidRPr="008B5BEE" w:rsidRDefault="00547595" w:rsidP="008B5BEE">
      <w:pPr>
        <w:pStyle w:val="ListParagraph"/>
        <w:numPr>
          <w:ilvl w:val="1"/>
          <w:numId w:val="31"/>
        </w:numPr>
        <w:spacing w:after="0" w:line="240" w:lineRule="auto"/>
        <w:ind w:left="567" w:hanging="567"/>
        <w:rPr>
          <w:rFonts w:ascii="Arial" w:eastAsia="Times New Roman" w:hAnsi="Arial" w:cs="Arial"/>
          <w:sz w:val="20"/>
          <w:szCs w:val="20"/>
        </w:rPr>
      </w:pPr>
      <w:r w:rsidRPr="008B5BEE">
        <w:rPr>
          <w:rFonts w:ascii="Arial" w:eastAsia="Times New Roman" w:hAnsi="Arial" w:cs="Arial"/>
          <w:sz w:val="20"/>
          <w:szCs w:val="20"/>
        </w:rPr>
        <w:t xml:space="preserve">The Committee notes and welcomes the submission by the FFC that government </w:t>
      </w:r>
      <w:r w:rsidR="007A1038" w:rsidRPr="008B5BEE">
        <w:rPr>
          <w:rFonts w:ascii="Arial" w:eastAsia="Times New Roman" w:hAnsi="Arial" w:cs="Arial"/>
          <w:sz w:val="20"/>
          <w:szCs w:val="20"/>
        </w:rPr>
        <w:t>must devise systems of accountability and measures of control to mitigate SOEs from indul</w:t>
      </w:r>
      <w:r w:rsidRPr="008B5BEE">
        <w:rPr>
          <w:rFonts w:ascii="Arial" w:eastAsia="Times New Roman" w:hAnsi="Arial" w:cs="Arial"/>
          <w:sz w:val="20"/>
          <w:szCs w:val="20"/>
        </w:rPr>
        <w:t>ging in moral ha</w:t>
      </w:r>
      <w:r w:rsidR="009F05A6" w:rsidRPr="008B5BEE">
        <w:rPr>
          <w:rFonts w:ascii="Arial" w:eastAsia="Times New Roman" w:hAnsi="Arial" w:cs="Arial"/>
          <w:sz w:val="20"/>
          <w:szCs w:val="20"/>
        </w:rPr>
        <w:t>zard behaviour. The Committee notes the concern</w:t>
      </w:r>
      <w:r w:rsidRPr="008B5BEE">
        <w:rPr>
          <w:rFonts w:ascii="Arial" w:eastAsia="Times New Roman" w:hAnsi="Arial" w:cs="Arial"/>
          <w:sz w:val="20"/>
          <w:szCs w:val="20"/>
        </w:rPr>
        <w:t xml:space="preserve"> by the FFC that p</w:t>
      </w:r>
      <w:r w:rsidR="007A1038" w:rsidRPr="008B5BEE">
        <w:rPr>
          <w:rFonts w:ascii="Arial" w:eastAsia="Times New Roman" w:hAnsi="Arial" w:cs="Arial"/>
          <w:sz w:val="20"/>
          <w:szCs w:val="20"/>
        </w:rPr>
        <w:t>re-conditions and conditions required for bailouts, including financial and operational reporting have been implemented</w:t>
      </w:r>
      <w:r w:rsidRPr="008B5BEE">
        <w:rPr>
          <w:rFonts w:ascii="Arial" w:eastAsia="Times New Roman" w:hAnsi="Arial" w:cs="Arial"/>
          <w:sz w:val="20"/>
          <w:szCs w:val="20"/>
        </w:rPr>
        <w:t xml:space="preserve"> before, with limited outco</w:t>
      </w:r>
      <w:r w:rsidR="009F05A6" w:rsidRPr="008B5BEE">
        <w:rPr>
          <w:rFonts w:ascii="Arial" w:eastAsia="Times New Roman" w:hAnsi="Arial" w:cs="Arial"/>
          <w:sz w:val="20"/>
          <w:szCs w:val="20"/>
        </w:rPr>
        <w:t>mes. The Committee</w:t>
      </w:r>
      <w:r w:rsidRPr="008B5BEE">
        <w:rPr>
          <w:rFonts w:ascii="Arial" w:eastAsia="Times New Roman" w:hAnsi="Arial" w:cs="Arial"/>
          <w:sz w:val="20"/>
          <w:szCs w:val="20"/>
        </w:rPr>
        <w:t xml:space="preserve"> implore</w:t>
      </w:r>
      <w:r w:rsidR="009F05A6" w:rsidRPr="008B5BEE">
        <w:rPr>
          <w:rFonts w:ascii="Arial" w:eastAsia="Times New Roman" w:hAnsi="Arial" w:cs="Arial"/>
          <w:sz w:val="20"/>
          <w:szCs w:val="20"/>
        </w:rPr>
        <w:t>s on National Treasury, as the</w:t>
      </w:r>
      <w:r w:rsidRPr="008B5BEE">
        <w:rPr>
          <w:rFonts w:ascii="Arial" w:eastAsia="Times New Roman" w:hAnsi="Arial" w:cs="Arial"/>
          <w:sz w:val="20"/>
          <w:szCs w:val="20"/>
        </w:rPr>
        <w:t xml:space="preserve"> custodian of the public purse, </w:t>
      </w:r>
      <w:r w:rsidR="009F05A6" w:rsidRPr="008B5BEE">
        <w:rPr>
          <w:rFonts w:ascii="Arial" w:eastAsia="Times New Roman" w:hAnsi="Arial" w:cs="Arial"/>
          <w:sz w:val="20"/>
          <w:szCs w:val="20"/>
        </w:rPr>
        <w:t xml:space="preserve">to </w:t>
      </w:r>
      <w:r w:rsidRPr="008B5BEE">
        <w:rPr>
          <w:rFonts w:ascii="Arial" w:eastAsia="Times New Roman" w:hAnsi="Arial" w:cs="Arial"/>
          <w:sz w:val="20"/>
          <w:szCs w:val="20"/>
        </w:rPr>
        <w:t xml:space="preserve">ensure that all pre-agreed conditions are all met before the transfer of funds to government entities. </w:t>
      </w:r>
    </w:p>
    <w:p w:rsidR="00774581" w:rsidRPr="008B5BEE" w:rsidRDefault="00774581" w:rsidP="008B5BEE">
      <w:pPr>
        <w:spacing w:after="0" w:line="240" w:lineRule="auto"/>
        <w:rPr>
          <w:rFonts w:ascii="Arial" w:eastAsia="Times New Roman" w:hAnsi="Arial" w:cs="Arial"/>
          <w:sz w:val="20"/>
          <w:szCs w:val="20"/>
        </w:rPr>
      </w:pPr>
    </w:p>
    <w:p w:rsidR="00547595" w:rsidRPr="008B5BEE" w:rsidRDefault="005024C3" w:rsidP="008B5BEE">
      <w:pPr>
        <w:pStyle w:val="ListParagraph"/>
        <w:numPr>
          <w:ilvl w:val="1"/>
          <w:numId w:val="31"/>
        </w:numPr>
        <w:spacing w:after="0" w:line="240" w:lineRule="auto"/>
        <w:ind w:left="567" w:hanging="567"/>
        <w:rPr>
          <w:rFonts w:ascii="Arial" w:eastAsia="Times New Roman" w:hAnsi="Arial" w:cs="Arial"/>
          <w:sz w:val="20"/>
          <w:szCs w:val="20"/>
        </w:rPr>
      </w:pPr>
      <w:r w:rsidRPr="008B5BEE">
        <w:rPr>
          <w:rFonts w:ascii="Arial" w:eastAsia="Times New Roman" w:hAnsi="Arial" w:cs="Arial"/>
          <w:sz w:val="20"/>
          <w:szCs w:val="20"/>
        </w:rPr>
        <w:t>The Committee notes and welcomes the submission by the FFC that, in</w:t>
      </w:r>
      <w:r w:rsidR="00547595" w:rsidRPr="008B5BEE">
        <w:rPr>
          <w:rFonts w:ascii="Arial" w:eastAsia="Times New Roman" w:hAnsi="Arial" w:cs="Arial"/>
          <w:sz w:val="20"/>
          <w:szCs w:val="20"/>
        </w:rPr>
        <w:t xml:space="preserve"> the spirit of greater transparency and accountability, future bills must be accompanied by more information/explanation of the rationale for proposed adjustments</w:t>
      </w:r>
      <w:r w:rsidRPr="008B5BEE">
        <w:rPr>
          <w:rFonts w:ascii="Arial" w:eastAsia="Times New Roman" w:hAnsi="Arial" w:cs="Arial"/>
          <w:sz w:val="20"/>
          <w:szCs w:val="20"/>
        </w:rPr>
        <w:t xml:space="preserve">. </w:t>
      </w:r>
    </w:p>
    <w:p w:rsidR="00550B0B" w:rsidRPr="008B5BEE" w:rsidRDefault="00550B0B" w:rsidP="008B5BEE">
      <w:pPr>
        <w:spacing w:after="0" w:line="240" w:lineRule="auto"/>
        <w:rPr>
          <w:rFonts w:ascii="Arial" w:eastAsia="Times New Roman" w:hAnsi="Arial" w:cs="Arial"/>
          <w:sz w:val="20"/>
          <w:szCs w:val="20"/>
        </w:rPr>
      </w:pPr>
    </w:p>
    <w:p w:rsidR="003D725C" w:rsidRPr="008B5BEE" w:rsidRDefault="003D725C" w:rsidP="008B5BEE">
      <w:pPr>
        <w:spacing w:after="0" w:line="240" w:lineRule="auto"/>
        <w:rPr>
          <w:rFonts w:ascii="Arial" w:eastAsia="Times New Roman" w:hAnsi="Arial" w:cs="Arial"/>
          <w:sz w:val="20"/>
          <w:szCs w:val="20"/>
        </w:rPr>
      </w:pPr>
    </w:p>
    <w:p w:rsidR="003D725C" w:rsidRPr="008B5BEE" w:rsidRDefault="003D725C" w:rsidP="008B5BEE">
      <w:pPr>
        <w:spacing w:after="0" w:line="240" w:lineRule="auto"/>
        <w:rPr>
          <w:rFonts w:ascii="Arial" w:eastAsia="Times New Roman" w:hAnsi="Arial" w:cs="Arial"/>
          <w:sz w:val="20"/>
          <w:szCs w:val="20"/>
        </w:rPr>
      </w:pPr>
    </w:p>
    <w:p w:rsidR="002E0922" w:rsidRPr="008B5BEE" w:rsidRDefault="002E0922" w:rsidP="008B5BEE">
      <w:pPr>
        <w:pStyle w:val="ListParagraph"/>
        <w:numPr>
          <w:ilvl w:val="0"/>
          <w:numId w:val="31"/>
        </w:numPr>
        <w:spacing w:after="0" w:line="240" w:lineRule="auto"/>
        <w:rPr>
          <w:rFonts w:ascii="Arial" w:eastAsia="Times New Roman" w:hAnsi="Arial" w:cs="Arial"/>
          <w:sz w:val="20"/>
          <w:szCs w:val="20"/>
        </w:rPr>
      </w:pPr>
      <w:r w:rsidRPr="008B5BEE">
        <w:rPr>
          <w:rFonts w:ascii="Arial" w:eastAsia="Times New Roman" w:hAnsi="Arial" w:cs="Arial"/>
          <w:b/>
          <w:sz w:val="20"/>
          <w:szCs w:val="20"/>
        </w:rPr>
        <w:t xml:space="preserve">Recommendations </w:t>
      </w:r>
    </w:p>
    <w:p w:rsidR="002E0922" w:rsidRPr="008B5BEE" w:rsidRDefault="002E0922" w:rsidP="008B5BEE">
      <w:pPr>
        <w:spacing w:after="0" w:line="240" w:lineRule="auto"/>
        <w:rPr>
          <w:rFonts w:ascii="Arial" w:eastAsia="Times New Roman" w:hAnsi="Arial" w:cs="Arial"/>
          <w:sz w:val="20"/>
          <w:szCs w:val="20"/>
        </w:rPr>
      </w:pPr>
    </w:p>
    <w:p w:rsidR="00951200" w:rsidRPr="008B5BEE" w:rsidRDefault="002E0922" w:rsidP="008B5BEE">
      <w:pPr>
        <w:spacing w:after="0" w:line="240" w:lineRule="auto"/>
        <w:rPr>
          <w:rFonts w:ascii="Arial" w:eastAsia="Times New Roman" w:hAnsi="Arial" w:cs="Arial"/>
          <w:sz w:val="20"/>
          <w:szCs w:val="20"/>
        </w:rPr>
      </w:pPr>
      <w:r w:rsidRPr="008B5BEE">
        <w:rPr>
          <w:rFonts w:ascii="Arial" w:eastAsia="Times New Roman" w:hAnsi="Arial" w:cs="Arial"/>
          <w:sz w:val="20"/>
          <w:szCs w:val="20"/>
        </w:rPr>
        <w:t xml:space="preserve">The Standing Committee on Appropriations, having considered the briefings and comments by invited stakeholders on the </w:t>
      </w:r>
      <w:r w:rsidR="00E70CBF" w:rsidRPr="008B5BEE">
        <w:rPr>
          <w:rFonts w:ascii="Arial" w:eastAsia="Times New Roman" w:hAnsi="Arial" w:cs="Arial"/>
          <w:sz w:val="20"/>
          <w:szCs w:val="20"/>
        </w:rPr>
        <w:t>Second Adjustments</w:t>
      </w:r>
      <w:r w:rsidRPr="008B5BEE">
        <w:rPr>
          <w:rFonts w:ascii="Arial" w:eastAsia="Times New Roman" w:hAnsi="Arial" w:cs="Arial"/>
          <w:sz w:val="20"/>
          <w:szCs w:val="20"/>
        </w:rPr>
        <w:t xml:space="preserve"> Appropriation </w:t>
      </w:r>
      <w:r w:rsidR="00550B0B" w:rsidRPr="008B5BEE">
        <w:rPr>
          <w:rFonts w:ascii="Arial" w:eastAsia="Times New Roman" w:hAnsi="Arial" w:cs="Arial"/>
          <w:sz w:val="20"/>
          <w:szCs w:val="20"/>
        </w:rPr>
        <w:t>(2022/23</w:t>
      </w:r>
      <w:r w:rsidR="00E70CBF" w:rsidRPr="008B5BEE">
        <w:rPr>
          <w:rFonts w:ascii="Arial" w:eastAsia="Times New Roman" w:hAnsi="Arial" w:cs="Arial"/>
          <w:sz w:val="20"/>
          <w:szCs w:val="20"/>
        </w:rPr>
        <w:t xml:space="preserve"> financial year) </w:t>
      </w:r>
      <w:r w:rsidRPr="008B5BEE">
        <w:rPr>
          <w:rFonts w:ascii="Arial" w:eastAsia="Times New Roman" w:hAnsi="Arial" w:cs="Arial"/>
          <w:sz w:val="20"/>
          <w:szCs w:val="20"/>
        </w:rPr>
        <w:t>Bill</w:t>
      </w:r>
      <w:r w:rsidR="00550B0B" w:rsidRPr="008B5BEE">
        <w:rPr>
          <w:rFonts w:ascii="Arial" w:eastAsia="Times New Roman" w:hAnsi="Arial" w:cs="Arial"/>
          <w:sz w:val="20"/>
          <w:szCs w:val="20"/>
        </w:rPr>
        <w:t xml:space="preserve"> [B4</w:t>
      </w:r>
      <w:r w:rsidRPr="008B5BEE">
        <w:rPr>
          <w:rFonts w:ascii="Arial" w:eastAsia="Times New Roman" w:hAnsi="Arial" w:cs="Arial"/>
          <w:sz w:val="20"/>
          <w:szCs w:val="20"/>
        </w:rPr>
        <w:t>-</w:t>
      </w:r>
      <w:r w:rsidR="00550B0B" w:rsidRPr="008B5BEE">
        <w:rPr>
          <w:rFonts w:ascii="Arial" w:eastAsia="Times New Roman" w:hAnsi="Arial" w:cs="Arial"/>
          <w:sz w:val="20"/>
          <w:szCs w:val="20"/>
        </w:rPr>
        <w:t>2023</w:t>
      </w:r>
      <w:r w:rsidRPr="008B5BEE">
        <w:rPr>
          <w:rFonts w:ascii="Arial" w:eastAsia="Times New Roman" w:hAnsi="Arial" w:cs="Arial"/>
          <w:sz w:val="20"/>
          <w:szCs w:val="20"/>
        </w:rPr>
        <w:t>], recommends as follows:</w:t>
      </w:r>
    </w:p>
    <w:p w:rsidR="00256772" w:rsidRPr="008B5BEE" w:rsidRDefault="00256772" w:rsidP="008B5BEE">
      <w:pPr>
        <w:spacing w:after="0" w:line="240" w:lineRule="auto"/>
        <w:rPr>
          <w:rFonts w:ascii="Arial" w:eastAsia="Times New Roman" w:hAnsi="Arial" w:cs="Arial"/>
          <w:sz w:val="20"/>
          <w:szCs w:val="20"/>
        </w:rPr>
      </w:pPr>
    </w:p>
    <w:p w:rsidR="00256772" w:rsidRPr="008B5BEE" w:rsidRDefault="00951200" w:rsidP="008B5BEE">
      <w:pPr>
        <w:pStyle w:val="ListParagraph"/>
        <w:numPr>
          <w:ilvl w:val="1"/>
          <w:numId w:val="31"/>
        </w:numPr>
        <w:spacing w:after="0" w:line="240" w:lineRule="auto"/>
        <w:ind w:left="709" w:hanging="709"/>
        <w:rPr>
          <w:rFonts w:ascii="Arial" w:eastAsia="Times New Roman" w:hAnsi="Arial" w:cs="Arial"/>
          <w:sz w:val="20"/>
          <w:szCs w:val="20"/>
        </w:rPr>
      </w:pPr>
      <w:r w:rsidRPr="008B5BEE">
        <w:rPr>
          <w:rFonts w:ascii="Arial" w:eastAsia="Times New Roman" w:hAnsi="Arial" w:cs="Arial"/>
          <w:sz w:val="20"/>
          <w:szCs w:val="20"/>
        </w:rPr>
        <w:lastRenderedPageBreak/>
        <w:t>That the Minist</w:t>
      </w:r>
      <w:r w:rsidR="0041161B" w:rsidRPr="008B5BEE">
        <w:rPr>
          <w:rFonts w:ascii="Arial" w:eastAsia="Times New Roman" w:hAnsi="Arial" w:cs="Arial"/>
          <w:sz w:val="20"/>
          <w:szCs w:val="20"/>
        </w:rPr>
        <w:t>er of Finance ensure</w:t>
      </w:r>
      <w:r w:rsidR="007A1C72" w:rsidRPr="008B5BEE">
        <w:rPr>
          <w:rFonts w:ascii="Arial" w:eastAsia="Times New Roman" w:hAnsi="Arial" w:cs="Arial"/>
          <w:sz w:val="20"/>
          <w:szCs w:val="20"/>
        </w:rPr>
        <w:t>s</w:t>
      </w:r>
      <w:r w:rsidR="0041161B" w:rsidRPr="008B5BEE">
        <w:rPr>
          <w:rFonts w:ascii="Arial" w:eastAsia="Times New Roman" w:hAnsi="Arial" w:cs="Arial"/>
          <w:sz w:val="20"/>
          <w:szCs w:val="20"/>
        </w:rPr>
        <w:t xml:space="preserve"> </w:t>
      </w:r>
      <w:r w:rsidR="00FC4279" w:rsidRPr="008B5BEE">
        <w:rPr>
          <w:rFonts w:ascii="Arial" w:eastAsia="Times New Roman" w:hAnsi="Arial" w:cs="Arial"/>
          <w:sz w:val="20"/>
          <w:szCs w:val="20"/>
        </w:rPr>
        <w:t xml:space="preserve">that </w:t>
      </w:r>
      <w:r w:rsidR="0018704E" w:rsidRPr="008B5BEE">
        <w:rPr>
          <w:rFonts w:ascii="Arial" w:eastAsia="Times New Roman" w:hAnsi="Arial" w:cs="Arial"/>
          <w:sz w:val="20"/>
          <w:szCs w:val="20"/>
        </w:rPr>
        <w:t>the proposed additional allocation</w:t>
      </w:r>
      <w:r w:rsidR="00AD4CB9" w:rsidRPr="008B5BEE">
        <w:rPr>
          <w:rFonts w:ascii="Arial" w:eastAsia="Times New Roman" w:hAnsi="Arial" w:cs="Arial"/>
          <w:sz w:val="20"/>
          <w:szCs w:val="20"/>
        </w:rPr>
        <w:t xml:space="preserve"> of R1 billion to the South African Airways (SAA)</w:t>
      </w:r>
      <w:r w:rsidR="0018704E" w:rsidRPr="008B5BEE">
        <w:rPr>
          <w:rFonts w:ascii="Arial" w:eastAsia="Times New Roman" w:hAnsi="Arial" w:cs="Arial"/>
          <w:sz w:val="20"/>
          <w:szCs w:val="20"/>
        </w:rPr>
        <w:t xml:space="preserve"> is the last one from government to settle the agreement that was reached between the SAA business rescue practitioners and the airline’s creditors for a gradual payment of historical debts. Furthermore, the Minister of Finance must ensure that National Treasury reviews</w:t>
      </w:r>
      <w:r w:rsidR="00AD4CB9" w:rsidRPr="008B5BEE">
        <w:rPr>
          <w:rFonts w:ascii="Arial" w:eastAsia="Times New Roman" w:hAnsi="Arial" w:cs="Arial"/>
          <w:sz w:val="20"/>
          <w:szCs w:val="20"/>
        </w:rPr>
        <w:t xml:space="preserve"> the Strategic Equity Partner</w:t>
      </w:r>
      <w:r w:rsidR="0018704E" w:rsidRPr="008B5BEE">
        <w:rPr>
          <w:rFonts w:ascii="Arial" w:eastAsia="Times New Roman" w:hAnsi="Arial" w:cs="Arial"/>
          <w:sz w:val="20"/>
          <w:szCs w:val="20"/>
        </w:rPr>
        <w:t xml:space="preserve"> agreement to ensure it does not give rise to future fiscal obligations.</w:t>
      </w:r>
      <w:r w:rsidR="006F25DB" w:rsidRPr="008B5BEE">
        <w:rPr>
          <w:rFonts w:ascii="Arial" w:eastAsia="Times New Roman" w:hAnsi="Arial" w:cs="Arial"/>
          <w:sz w:val="20"/>
          <w:szCs w:val="20"/>
        </w:rPr>
        <w:t xml:space="preserve"> Furthermore, while the Committee recognises there may be confidentiality in the SEP agreement during negotiations, once finalised, the details must be sh</w:t>
      </w:r>
      <w:r w:rsidR="00FD5162" w:rsidRPr="008B5BEE">
        <w:rPr>
          <w:rFonts w:ascii="Arial" w:eastAsia="Times New Roman" w:hAnsi="Arial" w:cs="Arial"/>
          <w:sz w:val="20"/>
          <w:szCs w:val="20"/>
        </w:rPr>
        <w:t>ared and</w:t>
      </w:r>
      <w:r w:rsidR="006F25DB" w:rsidRPr="008B5BEE">
        <w:rPr>
          <w:rFonts w:ascii="Arial" w:eastAsia="Times New Roman" w:hAnsi="Arial" w:cs="Arial"/>
          <w:sz w:val="20"/>
          <w:szCs w:val="20"/>
        </w:rPr>
        <w:t>:</w:t>
      </w:r>
    </w:p>
    <w:p w:rsidR="006F25DB" w:rsidRPr="008B5BEE" w:rsidRDefault="006F25DB" w:rsidP="008B5BEE">
      <w:pPr>
        <w:pStyle w:val="ListParagraph"/>
        <w:numPr>
          <w:ilvl w:val="0"/>
          <w:numId w:val="33"/>
        </w:numPr>
        <w:spacing w:after="0" w:line="240" w:lineRule="auto"/>
        <w:ind w:left="1418" w:hanging="425"/>
        <w:rPr>
          <w:rFonts w:ascii="Arial" w:eastAsia="Times New Roman" w:hAnsi="Arial" w:cs="Arial"/>
          <w:sz w:val="20"/>
          <w:szCs w:val="20"/>
        </w:rPr>
      </w:pPr>
      <w:r w:rsidRPr="008B5BEE">
        <w:rPr>
          <w:rFonts w:ascii="Arial" w:eastAsia="Times New Roman" w:hAnsi="Arial" w:cs="Arial"/>
          <w:sz w:val="20"/>
          <w:szCs w:val="20"/>
        </w:rPr>
        <w:t xml:space="preserve">The Minister of Finance and National </w:t>
      </w:r>
      <w:r w:rsidR="00FD5162" w:rsidRPr="008B5BEE">
        <w:rPr>
          <w:rFonts w:ascii="Arial" w:eastAsia="Times New Roman" w:hAnsi="Arial" w:cs="Arial"/>
          <w:sz w:val="20"/>
          <w:szCs w:val="20"/>
        </w:rPr>
        <w:t>T</w:t>
      </w:r>
      <w:r w:rsidRPr="008B5BEE">
        <w:rPr>
          <w:rFonts w:ascii="Arial" w:eastAsia="Times New Roman" w:hAnsi="Arial" w:cs="Arial"/>
          <w:sz w:val="20"/>
          <w:szCs w:val="20"/>
        </w:rPr>
        <w:t>reasury must be satisfied that the deal will have a win-win outcome;</w:t>
      </w:r>
    </w:p>
    <w:p w:rsidR="006F25DB" w:rsidRPr="008B5BEE" w:rsidRDefault="006F25DB" w:rsidP="008B5BEE">
      <w:pPr>
        <w:pStyle w:val="ListParagraph"/>
        <w:numPr>
          <w:ilvl w:val="0"/>
          <w:numId w:val="33"/>
        </w:numPr>
        <w:spacing w:after="0" w:line="240" w:lineRule="auto"/>
        <w:ind w:left="1418" w:hanging="425"/>
        <w:rPr>
          <w:rFonts w:ascii="Arial" w:eastAsia="Times New Roman" w:hAnsi="Arial" w:cs="Arial"/>
          <w:sz w:val="20"/>
          <w:szCs w:val="20"/>
        </w:rPr>
      </w:pPr>
      <w:r w:rsidRPr="008B5BEE">
        <w:rPr>
          <w:rFonts w:ascii="Arial" w:eastAsia="Times New Roman" w:hAnsi="Arial" w:cs="Arial"/>
          <w:sz w:val="20"/>
          <w:szCs w:val="20"/>
        </w:rPr>
        <w:t>The value and price paid by the SEP must be market related and based on scientific evaluation which the Minister of Finance and National treasury should agree with;</w:t>
      </w:r>
    </w:p>
    <w:p w:rsidR="006F25DB" w:rsidRPr="008B5BEE" w:rsidRDefault="006F25DB" w:rsidP="008B5BEE">
      <w:pPr>
        <w:pStyle w:val="ListParagraph"/>
        <w:numPr>
          <w:ilvl w:val="0"/>
          <w:numId w:val="33"/>
        </w:numPr>
        <w:spacing w:after="0" w:line="240" w:lineRule="auto"/>
        <w:ind w:left="1418" w:hanging="425"/>
        <w:rPr>
          <w:rFonts w:ascii="Arial" w:eastAsia="Times New Roman" w:hAnsi="Arial" w:cs="Arial"/>
          <w:sz w:val="20"/>
          <w:szCs w:val="20"/>
        </w:rPr>
      </w:pPr>
      <w:r w:rsidRPr="008B5BEE">
        <w:rPr>
          <w:rFonts w:ascii="Arial" w:eastAsia="Times New Roman" w:hAnsi="Arial" w:cs="Arial"/>
          <w:sz w:val="20"/>
          <w:szCs w:val="20"/>
        </w:rPr>
        <w:t>The details of the deal must be shared with Parliament, and presented to the Portfolio Committee on Public Enterprises;</w:t>
      </w:r>
    </w:p>
    <w:p w:rsidR="006F25DB" w:rsidRPr="008B5BEE" w:rsidRDefault="00FD5162" w:rsidP="008B5BEE">
      <w:pPr>
        <w:pStyle w:val="ListParagraph"/>
        <w:numPr>
          <w:ilvl w:val="0"/>
          <w:numId w:val="33"/>
        </w:numPr>
        <w:spacing w:after="0" w:line="240" w:lineRule="auto"/>
        <w:ind w:left="1418" w:hanging="425"/>
        <w:rPr>
          <w:rFonts w:ascii="Arial" w:eastAsia="Times New Roman" w:hAnsi="Arial" w:cs="Arial"/>
          <w:sz w:val="20"/>
          <w:szCs w:val="20"/>
        </w:rPr>
      </w:pPr>
      <w:r w:rsidRPr="008B5BEE">
        <w:rPr>
          <w:rFonts w:ascii="Arial" w:eastAsia="Times New Roman" w:hAnsi="Arial" w:cs="Arial"/>
          <w:sz w:val="20"/>
          <w:szCs w:val="20"/>
        </w:rPr>
        <w:t>The employees of SAA should be shareholders, and the Department of Public Enterprises and National Treasury should assist with the funding of the employees’ portion. For this, the Public Investment Corporation should be considered;</w:t>
      </w:r>
    </w:p>
    <w:p w:rsidR="00FD5162" w:rsidRPr="008B5BEE" w:rsidRDefault="00FD5162" w:rsidP="008B5BEE">
      <w:pPr>
        <w:pStyle w:val="ListParagraph"/>
        <w:numPr>
          <w:ilvl w:val="0"/>
          <w:numId w:val="33"/>
        </w:numPr>
        <w:spacing w:after="0" w:line="240" w:lineRule="auto"/>
        <w:ind w:left="1418" w:hanging="425"/>
        <w:rPr>
          <w:rFonts w:ascii="Arial" w:eastAsia="Times New Roman" w:hAnsi="Arial" w:cs="Arial"/>
          <w:sz w:val="20"/>
          <w:szCs w:val="20"/>
        </w:rPr>
      </w:pPr>
      <w:r w:rsidRPr="008B5BEE">
        <w:rPr>
          <w:rFonts w:ascii="Arial" w:eastAsia="Times New Roman" w:hAnsi="Arial" w:cs="Arial"/>
          <w:sz w:val="20"/>
          <w:szCs w:val="20"/>
        </w:rPr>
        <w:t>Government and the SAA employees should hold at least 51 per cent of the equity.</w:t>
      </w:r>
    </w:p>
    <w:p w:rsidR="009F05A6" w:rsidRPr="008B5BEE" w:rsidRDefault="009F05A6" w:rsidP="008B5BEE">
      <w:pPr>
        <w:pStyle w:val="ListParagraph"/>
        <w:spacing w:after="0" w:line="240" w:lineRule="auto"/>
        <w:ind w:left="709"/>
        <w:rPr>
          <w:rFonts w:ascii="Arial" w:eastAsia="Times New Roman" w:hAnsi="Arial" w:cs="Arial"/>
          <w:sz w:val="20"/>
          <w:szCs w:val="20"/>
        </w:rPr>
      </w:pPr>
    </w:p>
    <w:p w:rsidR="0018704E" w:rsidRPr="008B5BEE" w:rsidRDefault="0018704E" w:rsidP="008B5BEE">
      <w:pPr>
        <w:pStyle w:val="ListParagraph"/>
        <w:numPr>
          <w:ilvl w:val="1"/>
          <w:numId w:val="31"/>
        </w:numPr>
        <w:spacing w:after="0" w:line="240" w:lineRule="auto"/>
        <w:ind w:left="709" w:hanging="709"/>
        <w:rPr>
          <w:rFonts w:ascii="Arial" w:eastAsia="Times New Roman" w:hAnsi="Arial" w:cs="Arial"/>
          <w:sz w:val="20"/>
          <w:szCs w:val="20"/>
        </w:rPr>
      </w:pPr>
      <w:r w:rsidRPr="008B5BEE">
        <w:rPr>
          <w:rFonts w:ascii="Arial" w:eastAsia="Times New Roman" w:hAnsi="Arial" w:cs="Arial"/>
          <w:sz w:val="20"/>
          <w:szCs w:val="20"/>
        </w:rPr>
        <w:t xml:space="preserve">That the Minister of Finance ensures that National Treasury </w:t>
      </w:r>
      <w:r w:rsidR="00AD4CB9" w:rsidRPr="008B5BEE">
        <w:rPr>
          <w:rFonts w:ascii="Arial" w:eastAsia="Times New Roman" w:hAnsi="Arial" w:cs="Arial"/>
          <w:sz w:val="20"/>
          <w:szCs w:val="20"/>
        </w:rPr>
        <w:t xml:space="preserve">effectively </w:t>
      </w:r>
      <w:r w:rsidRPr="008B5BEE">
        <w:rPr>
          <w:rFonts w:ascii="Arial" w:eastAsia="Times New Roman" w:hAnsi="Arial" w:cs="Arial"/>
          <w:sz w:val="20"/>
          <w:szCs w:val="20"/>
        </w:rPr>
        <w:t xml:space="preserve">enforces the pre-set conditions and all other conditions imposed on the proposed allocation </w:t>
      </w:r>
      <w:r w:rsidR="00AD4CB9" w:rsidRPr="008B5BEE">
        <w:rPr>
          <w:rFonts w:ascii="Arial" w:eastAsia="Times New Roman" w:hAnsi="Arial" w:cs="Arial"/>
          <w:sz w:val="20"/>
          <w:szCs w:val="20"/>
        </w:rPr>
        <w:t>to the South African Post Office, SAA</w:t>
      </w:r>
      <w:r w:rsidRPr="008B5BEE">
        <w:rPr>
          <w:rFonts w:ascii="Arial" w:eastAsia="Times New Roman" w:hAnsi="Arial" w:cs="Arial"/>
          <w:sz w:val="20"/>
          <w:szCs w:val="20"/>
        </w:rPr>
        <w:t xml:space="preserve">, and the Land and Agricultural Development Bank of South Africa. </w:t>
      </w:r>
    </w:p>
    <w:p w:rsidR="004273E1" w:rsidRPr="008B5BEE" w:rsidRDefault="004273E1" w:rsidP="008B5BEE">
      <w:pPr>
        <w:pStyle w:val="ListParagraph"/>
        <w:spacing w:after="0" w:line="240" w:lineRule="auto"/>
        <w:ind w:left="709"/>
        <w:rPr>
          <w:rFonts w:ascii="Arial" w:eastAsia="Times New Roman" w:hAnsi="Arial" w:cs="Arial"/>
          <w:sz w:val="20"/>
          <w:szCs w:val="20"/>
        </w:rPr>
      </w:pPr>
    </w:p>
    <w:p w:rsidR="00951200" w:rsidRPr="008B5BEE" w:rsidRDefault="00951200" w:rsidP="008B5BEE">
      <w:pPr>
        <w:pStyle w:val="ListParagraph"/>
        <w:numPr>
          <w:ilvl w:val="1"/>
          <w:numId w:val="31"/>
        </w:numPr>
        <w:spacing w:after="0" w:line="240" w:lineRule="auto"/>
        <w:ind w:left="709" w:hanging="709"/>
        <w:rPr>
          <w:rFonts w:ascii="Arial" w:eastAsia="Times New Roman" w:hAnsi="Arial" w:cs="Arial"/>
          <w:sz w:val="20"/>
          <w:szCs w:val="20"/>
        </w:rPr>
      </w:pPr>
      <w:r w:rsidRPr="008B5BEE">
        <w:rPr>
          <w:rFonts w:ascii="Arial" w:eastAsia="Times New Roman" w:hAnsi="Arial" w:cs="Arial"/>
          <w:sz w:val="20"/>
          <w:szCs w:val="20"/>
        </w:rPr>
        <w:t>T</w:t>
      </w:r>
      <w:r w:rsidR="0018704E" w:rsidRPr="008B5BEE">
        <w:rPr>
          <w:rFonts w:ascii="Arial" w:eastAsia="Times New Roman" w:hAnsi="Arial" w:cs="Arial"/>
          <w:sz w:val="20"/>
          <w:szCs w:val="20"/>
        </w:rPr>
        <w:t xml:space="preserve">hat the Minister of Finance and the Minister of Social Development ensures that National Treasury and the Department of Social Development </w:t>
      </w:r>
      <w:r w:rsidR="009C5C02" w:rsidRPr="008B5BEE">
        <w:rPr>
          <w:rFonts w:ascii="Arial" w:eastAsia="Times New Roman" w:hAnsi="Arial" w:cs="Arial"/>
          <w:sz w:val="20"/>
          <w:szCs w:val="20"/>
        </w:rPr>
        <w:t xml:space="preserve">urgently </w:t>
      </w:r>
      <w:r w:rsidR="00FD5162" w:rsidRPr="008B5BEE">
        <w:rPr>
          <w:rFonts w:ascii="Arial" w:eastAsia="Times New Roman" w:hAnsi="Arial" w:cs="Arial"/>
          <w:sz w:val="20"/>
          <w:szCs w:val="20"/>
        </w:rPr>
        <w:t>review</w:t>
      </w:r>
      <w:r w:rsidR="0018704E" w:rsidRPr="008B5BEE">
        <w:rPr>
          <w:rFonts w:ascii="Arial" w:eastAsia="Times New Roman" w:hAnsi="Arial" w:cs="Arial"/>
          <w:sz w:val="20"/>
          <w:szCs w:val="20"/>
        </w:rPr>
        <w:t xml:space="preserve"> the</w:t>
      </w:r>
      <w:r w:rsidR="00AD4CB9" w:rsidRPr="008B5BEE">
        <w:rPr>
          <w:rFonts w:ascii="Arial" w:eastAsia="Times New Roman" w:hAnsi="Arial" w:cs="Arial"/>
          <w:sz w:val="20"/>
          <w:szCs w:val="20"/>
        </w:rPr>
        <w:t xml:space="preserve"> eligibility criteria on the Social Relief of Distressed</w:t>
      </w:r>
      <w:r w:rsidR="0018704E" w:rsidRPr="008B5BEE">
        <w:rPr>
          <w:rFonts w:ascii="Arial" w:eastAsia="Times New Roman" w:hAnsi="Arial" w:cs="Arial"/>
          <w:sz w:val="20"/>
          <w:szCs w:val="20"/>
        </w:rPr>
        <w:t xml:space="preserve"> grant in order to stop the </w:t>
      </w:r>
      <w:r w:rsidR="007A1038" w:rsidRPr="008B5BEE">
        <w:rPr>
          <w:rFonts w:ascii="Arial" w:eastAsia="Times New Roman" w:hAnsi="Arial" w:cs="Arial"/>
          <w:sz w:val="20"/>
          <w:szCs w:val="20"/>
        </w:rPr>
        <w:t>progressive erosion in the number of people that are accessing this grant as a result of the tightening of the eligibility criteria</w:t>
      </w:r>
      <w:r w:rsidR="0018704E" w:rsidRPr="008B5BEE">
        <w:rPr>
          <w:rFonts w:ascii="Arial" w:eastAsia="Times New Roman" w:hAnsi="Arial" w:cs="Arial"/>
          <w:sz w:val="20"/>
          <w:szCs w:val="20"/>
        </w:rPr>
        <w:t xml:space="preserve">. </w:t>
      </w:r>
      <w:r w:rsidR="009C5C02" w:rsidRPr="008B5BEE">
        <w:rPr>
          <w:rFonts w:ascii="Arial" w:eastAsia="Times New Roman" w:hAnsi="Arial" w:cs="Arial"/>
          <w:sz w:val="20"/>
          <w:szCs w:val="20"/>
        </w:rPr>
        <w:t xml:space="preserve">This is more urgent given the persistent high levels of unemployment and worsening socioeconomic conditions, </w:t>
      </w:r>
      <w:r w:rsidR="00FD5162" w:rsidRPr="008B5BEE">
        <w:rPr>
          <w:rFonts w:ascii="Arial" w:eastAsia="Times New Roman" w:hAnsi="Arial" w:cs="Arial"/>
          <w:sz w:val="20"/>
          <w:szCs w:val="20"/>
        </w:rPr>
        <w:t>which disproportionately affect</w:t>
      </w:r>
      <w:r w:rsidR="009C5C02" w:rsidRPr="008B5BEE">
        <w:rPr>
          <w:rFonts w:ascii="Arial" w:eastAsia="Times New Roman" w:hAnsi="Arial" w:cs="Arial"/>
          <w:sz w:val="20"/>
          <w:szCs w:val="20"/>
        </w:rPr>
        <w:t xml:space="preserve"> poor households.</w:t>
      </w:r>
    </w:p>
    <w:p w:rsidR="006822BD" w:rsidRPr="008B5BEE" w:rsidRDefault="006822BD" w:rsidP="008B5BEE">
      <w:pPr>
        <w:pStyle w:val="ListParagraph"/>
        <w:spacing w:after="0" w:line="240" w:lineRule="auto"/>
        <w:rPr>
          <w:rFonts w:ascii="Arial" w:eastAsia="Times New Roman" w:hAnsi="Arial" w:cs="Arial"/>
          <w:sz w:val="20"/>
          <w:szCs w:val="20"/>
        </w:rPr>
      </w:pPr>
    </w:p>
    <w:p w:rsidR="006822BD" w:rsidRPr="008B5BEE" w:rsidRDefault="006822BD" w:rsidP="008B5BEE">
      <w:pPr>
        <w:pStyle w:val="ListParagraph"/>
        <w:numPr>
          <w:ilvl w:val="1"/>
          <w:numId w:val="31"/>
        </w:numPr>
        <w:spacing w:after="0" w:line="240" w:lineRule="auto"/>
        <w:ind w:left="709" w:hanging="709"/>
        <w:rPr>
          <w:rFonts w:ascii="Arial" w:eastAsia="Times New Roman" w:hAnsi="Arial" w:cs="Arial"/>
          <w:sz w:val="20"/>
          <w:szCs w:val="20"/>
        </w:rPr>
      </w:pPr>
      <w:r w:rsidRPr="008B5BEE">
        <w:rPr>
          <w:rFonts w:ascii="Arial" w:eastAsia="Times New Roman" w:hAnsi="Arial" w:cs="Arial"/>
          <w:sz w:val="20"/>
          <w:szCs w:val="20"/>
        </w:rPr>
        <w:t>That the Minister of Communications and Digital Technologies ensures that the accounting authority of the South African Post Office urgently finalise the business-turnaround plan of the entity in order to stop its reliant on government bailouts but return the entity on self-sustainable path</w:t>
      </w:r>
      <w:r w:rsidR="00D84E13" w:rsidRPr="008B5BEE">
        <w:rPr>
          <w:rFonts w:ascii="Arial" w:eastAsia="Times New Roman" w:hAnsi="Arial" w:cs="Arial"/>
          <w:sz w:val="20"/>
          <w:szCs w:val="20"/>
        </w:rPr>
        <w:t>, while also ensuring that SAPO meets all the conditions imposed on this allocation.</w:t>
      </w:r>
    </w:p>
    <w:p w:rsidR="006822BD" w:rsidRPr="008B5BEE" w:rsidRDefault="006822BD" w:rsidP="008B5BEE">
      <w:pPr>
        <w:pStyle w:val="ListParagraph"/>
        <w:spacing w:after="0" w:line="240" w:lineRule="auto"/>
        <w:rPr>
          <w:rFonts w:ascii="Arial" w:eastAsia="Times New Roman" w:hAnsi="Arial" w:cs="Arial"/>
          <w:sz w:val="20"/>
          <w:szCs w:val="20"/>
        </w:rPr>
      </w:pPr>
    </w:p>
    <w:p w:rsidR="00465DFF" w:rsidRPr="008B5BEE" w:rsidRDefault="006822BD" w:rsidP="008B5BEE">
      <w:pPr>
        <w:pStyle w:val="ListParagraph"/>
        <w:numPr>
          <w:ilvl w:val="1"/>
          <w:numId w:val="31"/>
        </w:numPr>
        <w:spacing w:after="0" w:line="240" w:lineRule="auto"/>
        <w:ind w:left="709" w:hanging="709"/>
        <w:rPr>
          <w:rFonts w:ascii="Arial" w:eastAsia="Times New Roman" w:hAnsi="Arial" w:cs="Arial"/>
          <w:sz w:val="20"/>
          <w:szCs w:val="20"/>
        </w:rPr>
      </w:pPr>
      <w:r w:rsidRPr="008B5BEE">
        <w:rPr>
          <w:rFonts w:ascii="Arial" w:eastAsia="Times New Roman" w:hAnsi="Arial" w:cs="Arial"/>
          <w:sz w:val="20"/>
          <w:szCs w:val="20"/>
        </w:rPr>
        <w:t xml:space="preserve">That </w:t>
      </w:r>
      <w:r w:rsidR="00605285" w:rsidRPr="008B5BEE">
        <w:rPr>
          <w:rFonts w:ascii="Arial" w:eastAsia="Times New Roman" w:hAnsi="Arial" w:cs="Arial"/>
          <w:sz w:val="20"/>
          <w:szCs w:val="20"/>
        </w:rPr>
        <w:t>the Minister of Finance ensure that National Treasury</w:t>
      </w:r>
      <w:r w:rsidR="00AD4CB9" w:rsidRPr="008B5BEE">
        <w:rPr>
          <w:rFonts w:ascii="Arial" w:eastAsia="Times New Roman" w:hAnsi="Arial" w:cs="Arial"/>
          <w:sz w:val="20"/>
          <w:szCs w:val="20"/>
        </w:rPr>
        <w:t>, in future,</w:t>
      </w:r>
      <w:r w:rsidR="00605285" w:rsidRPr="008B5BEE">
        <w:rPr>
          <w:rFonts w:ascii="Arial" w:eastAsia="Times New Roman" w:hAnsi="Arial" w:cs="Arial"/>
          <w:sz w:val="20"/>
          <w:szCs w:val="20"/>
        </w:rPr>
        <w:t xml:space="preserve"> provide more explanatory information on the rationales and justifications of</w:t>
      </w:r>
      <w:r w:rsidRPr="008B5BEE">
        <w:rPr>
          <w:rFonts w:ascii="Arial" w:eastAsia="Times New Roman" w:hAnsi="Arial" w:cs="Arial"/>
          <w:sz w:val="20"/>
          <w:szCs w:val="20"/>
        </w:rPr>
        <w:t xml:space="preserve"> </w:t>
      </w:r>
      <w:r w:rsidR="00605285" w:rsidRPr="008B5BEE">
        <w:rPr>
          <w:rFonts w:ascii="Arial" w:eastAsia="Times New Roman" w:hAnsi="Arial" w:cs="Arial"/>
          <w:sz w:val="20"/>
          <w:szCs w:val="20"/>
        </w:rPr>
        <w:t xml:space="preserve">these adjustments appropriation bills in the spirit of greater transparency and accountability on the </w:t>
      </w:r>
      <w:r w:rsidR="003D725C" w:rsidRPr="008B5BEE">
        <w:rPr>
          <w:rFonts w:ascii="Arial" w:eastAsia="Times New Roman" w:hAnsi="Arial" w:cs="Arial"/>
          <w:sz w:val="20"/>
          <w:szCs w:val="20"/>
        </w:rPr>
        <w:t>utilisation of public resources.</w:t>
      </w:r>
    </w:p>
    <w:p w:rsidR="002A3765" w:rsidRPr="008B5BEE" w:rsidRDefault="002A3765" w:rsidP="008B5BEE">
      <w:pPr>
        <w:pStyle w:val="ListParagraph"/>
        <w:spacing w:after="0" w:line="240" w:lineRule="auto"/>
        <w:rPr>
          <w:rFonts w:ascii="Arial" w:eastAsia="Times New Roman" w:hAnsi="Arial" w:cs="Arial"/>
          <w:sz w:val="20"/>
          <w:szCs w:val="20"/>
        </w:rPr>
      </w:pPr>
    </w:p>
    <w:p w:rsidR="002A3765" w:rsidRPr="008B5BEE" w:rsidRDefault="002A3765" w:rsidP="008B5BEE">
      <w:pPr>
        <w:pStyle w:val="ListParagraph"/>
        <w:spacing w:after="0" w:line="240" w:lineRule="auto"/>
        <w:ind w:left="709"/>
        <w:rPr>
          <w:rFonts w:ascii="Arial" w:eastAsia="Times New Roman" w:hAnsi="Arial" w:cs="Arial"/>
          <w:sz w:val="20"/>
          <w:szCs w:val="20"/>
        </w:rPr>
      </w:pPr>
    </w:p>
    <w:p w:rsidR="002E0922" w:rsidRPr="008B5BEE" w:rsidRDefault="002E0922" w:rsidP="008B5BEE">
      <w:pPr>
        <w:numPr>
          <w:ilvl w:val="0"/>
          <w:numId w:val="31"/>
        </w:numPr>
        <w:spacing w:after="0" w:line="240" w:lineRule="auto"/>
        <w:rPr>
          <w:rFonts w:ascii="Arial" w:eastAsia="Times New Roman" w:hAnsi="Arial" w:cs="Arial"/>
          <w:b/>
          <w:sz w:val="20"/>
          <w:szCs w:val="20"/>
        </w:rPr>
      </w:pPr>
      <w:r w:rsidRPr="008B5BEE">
        <w:rPr>
          <w:rFonts w:ascii="Arial" w:eastAsia="Times New Roman" w:hAnsi="Arial" w:cs="Arial"/>
          <w:b/>
          <w:sz w:val="20"/>
          <w:szCs w:val="20"/>
        </w:rPr>
        <w:t>Committee Recommendation on the Bill</w:t>
      </w:r>
    </w:p>
    <w:p w:rsidR="002E0922" w:rsidRPr="008B5BEE" w:rsidRDefault="002E0922" w:rsidP="008B5BEE">
      <w:pPr>
        <w:spacing w:after="0" w:line="240" w:lineRule="auto"/>
        <w:ind w:left="360"/>
        <w:rPr>
          <w:rFonts w:ascii="Arial" w:eastAsia="Times New Roman" w:hAnsi="Arial" w:cs="Arial"/>
          <w:sz w:val="20"/>
          <w:szCs w:val="20"/>
        </w:rPr>
      </w:pPr>
    </w:p>
    <w:p w:rsidR="00256772" w:rsidRPr="008B5BEE" w:rsidRDefault="002E0922" w:rsidP="008B5BEE">
      <w:pPr>
        <w:autoSpaceDE w:val="0"/>
        <w:autoSpaceDN w:val="0"/>
        <w:adjustRightInd w:val="0"/>
        <w:spacing w:after="0" w:line="240" w:lineRule="auto"/>
        <w:rPr>
          <w:rFonts w:ascii="Arial" w:eastAsia="Times New Roman" w:hAnsi="Arial" w:cs="Arial"/>
          <w:spacing w:val="6"/>
          <w:sz w:val="20"/>
          <w:szCs w:val="20"/>
          <w:lang w:eastAsia="en-GB"/>
        </w:rPr>
      </w:pPr>
      <w:r w:rsidRPr="008B5BEE">
        <w:rPr>
          <w:rFonts w:ascii="Arial" w:eastAsia="Times New Roman" w:hAnsi="Arial" w:cs="Arial"/>
          <w:spacing w:val="6"/>
          <w:sz w:val="20"/>
          <w:szCs w:val="20"/>
          <w:lang w:eastAsia="en-GB"/>
        </w:rPr>
        <w:t>The Standing Committee on Appropriations</w:t>
      </w:r>
      <w:r w:rsidR="00256772" w:rsidRPr="008B5BEE">
        <w:rPr>
          <w:rFonts w:ascii="Arial" w:eastAsia="Times New Roman" w:hAnsi="Arial" w:cs="Arial"/>
          <w:spacing w:val="6"/>
          <w:sz w:val="20"/>
          <w:szCs w:val="20"/>
          <w:lang w:eastAsia="en-GB"/>
        </w:rPr>
        <w:t xml:space="preserve">, having considered the </w:t>
      </w:r>
      <w:r w:rsidRPr="008B5BEE">
        <w:rPr>
          <w:rFonts w:ascii="Arial" w:eastAsia="Times New Roman" w:hAnsi="Arial" w:cs="Arial"/>
          <w:spacing w:val="6"/>
          <w:sz w:val="20"/>
          <w:szCs w:val="20"/>
          <w:lang w:eastAsia="en-GB"/>
        </w:rPr>
        <w:t xml:space="preserve">Second </w:t>
      </w:r>
      <w:r w:rsidR="00C034C2" w:rsidRPr="008B5BEE">
        <w:rPr>
          <w:rFonts w:ascii="Arial" w:eastAsia="Times New Roman" w:hAnsi="Arial" w:cs="Arial"/>
          <w:spacing w:val="6"/>
          <w:sz w:val="20"/>
          <w:szCs w:val="20"/>
          <w:lang w:eastAsia="en-GB"/>
        </w:rPr>
        <w:t xml:space="preserve">Adjustments </w:t>
      </w:r>
      <w:r w:rsidRPr="008B5BEE">
        <w:rPr>
          <w:rFonts w:ascii="Arial" w:eastAsia="Times New Roman" w:hAnsi="Arial" w:cs="Arial"/>
          <w:spacing w:val="6"/>
          <w:sz w:val="20"/>
          <w:szCs w:val="20"/>
          <w:lang w:eastAsia="en-GB"/>
        </w:rPr>
        <w:t xml:space="preserve">Appropriation </w:t>
      </w:r>
      <w:r w:rsidR="002328FC" w:rsidRPr="008B5BEE">
        <w:rPr>
          <w:rFonts w:ascii="Arial" w:eastAsia="Times New Roman" w:hAnsi="Arial" w:cs="Arial"/>
          <w:spacing w:val="6"/>
          <w:sz w:val="20"/>
          <w:szCs w:val="20"/>
          <w:lang w:eastAsia="en-GB"/>
        </w:rPr>
        <w:t>(2022/23</w:t>
      </w:r>
      <w:r w:rsidR="00C034C2" w:rsidRPr="008B5BEE">
        <w:rPr>
          <w:rFonts w:ascii="Arial" w:eastAsia="Times New Roman" w:hAnsi="Arial" w:cs="Arial"/>
          <w:spacing w:val="6"/>
          <w:sz w:val="20"/>
          <w:szCs w:val="20"/>
          <w:lang w:eastAsia="en-GB"/>
        </w:rPr>
        <w:t xml:space="preserve"> financial year) </w:t>
      </w:r>
      <w:r w:rsidRPr="008B5BEE">
        <w:rPr>
          <w:rFonts w:ascii="Arial" w:eastAsia="Times New Roman" w:hAnsi="Arial" w:cs="Arial"/>
          <w:spacing w:val="6"/>
          <w:sz w:val="20"/>
          <w:szCs w:val="20"/>
          <w:lang w:eastAsia="en-GB"/>
        </w:rPr>
        <w:t>Bill [B</w:t>
      </w:r>
      <w:r w:rsidR="002328FC" w:rsidRPr="008B5BEE">
        <w:rPr>
          <w:rFonts w:ascii="Arial" w:eastAsia="Times New Roman" w:hAnsi="Arial" w:cs="Arial"/>
          <w:spacing w:val="6"/>
          <w:sz w:val="20"/>
          <w:szCs w:val="20"/>
          <w:lang w:eastAsia="en-GB"/>
        </w:rPr>
        <w:t>4-2023</w:t>
      </w:r>
      <w:r w:rsidRPr="008B5BEE">
        <w:rPr>
          <w:rFonts w:ascii="Arial" w:eastAsia="Times New Roman" w:hAnsi="Arial" w:cs="Arial"/>
          <w:spacing w:val="6"/>
          <w:sz w:val="20"/>
          <w:szCs w:val="20"/>
          <w:lang w:eastAsia="en-GB"/>
        </w:rPr>
        <w:t>]</w:t>
      </w:r>
      <w:r w:rsidR="00256772" w:rsidRPr="008B5BEE">
        <w:rPr>
          <w:rFonts w:ascii="Arial" w:eastAsia="Times New Roman" w:hAnsi="Arial" w:cs="Arial"/>
          <w:spacing w:val="6"/>
          <w:sz w:val="20"/>
          <w:szCs w:val="20"/>
          <w:lang w:eastAsia="en-GB"/>
        </w:rPr>
        <w:t xml:space="preserve"> (National Assembly – Section 77);</w:t>
      </w:r>
      <w:r w:rsidR="00256772" w:rsidRPr="008B5BEE">
        <w:rPr>
          <w:rFonts w:ascii="Arial" w:hAnsi="Arial" w:cs="Arial"/>
          <w:sz w:val="20"/>
          <w:szCs w:val="20"/>
        </w:rPr>
        <w:t xml:space="preserve"> </w:t>
      </w:r>
      <w:r w:rsidR="00256772" w:rsidRPr="008B5BEE">
        <w:rPr>
          <w:rFonts w:ascii="Arial" w:eastAsia="Times New Roman" w:hAnsi="Arial" w:cs="Arial"/>
          <w:spacing w:val="6"/>
          <w:sz w:val="20"/>
          <w:szCs w:val="20"/>
          <w:lang w:eastAsia="en-GB"/>
        </w:rPr>
        <w:t xml:space="preserve">referred to it and classified by the Joint Tagging Mechanism; recommends that the Bill be adopted, without amendments. </w:t>
      </w:r>
    </w:p>
    <w:p w:rsidR="00891882" w:rsidRPr="008B5BEE" w:rsidRDefault="00891882" w:rsidP="008B5BEE">
      <w:pPr>
        <w:spacing w:after="0" w:line="240" w:lineRule="auto"/>
        <w:rPr>
          <w:rFonts w:ascii="Arial" w:eastAsia="Times New Roman" w:hAnsi="Arial" w:cs="Arial"/>
          <w:sz w:val="20"/>
          <w:szCs w:val="20"/>
        </w:rPr>
      </w:pPr>
    </w:p>
    <w:p w:rsidR="00465DFF" w:rsidRPr="008B5BEE" w:rsidRDefault="00465DFF" w:rsidP="008B5BEE">
      <w:pPr>
        <w:spacing w:after="0" w:line="240" w:lineRule="auto"/>
        <w:rPr>
          <w:rFonts w:ascii="Arial" w:eastAsia="Times New Roman" w:hAnsi="Arial" w:cs="Arial"/>
          <w:sz w:val="20"/>
          <w:szCs w:val="20"/>
        </w:rPr>
      </w:pPr>
    </w:p>
    <w:p w:rsidR="002E0922" w:rsidRPr="008B5BEE" w:rsidRDefault="002E0922" w:rsidP="008B5BEE">
      <w:pPr>
        <w:numPr>
          <w:ilvl w:val="0"/>
          <w:numId w:val="31"/>
        </w:numPr>
        <w:spacing w:after="0" w:line="240" w:lineRule="auto"/>
        <w:rPr>
          <w:rFonts w:ascii="Arial" w:eastAsia="Times New Roman" w:hAnsi="Arial" w:cs="Arial"/>
          <w:b/>
          <w:sz w:val="20"/>
          <w:szCs w:val="20"/>
        </w:rPr>
      </w:pPr>
      <w:r w:rsidRPr="008B5BEE">
        <w:rPr>
          <w:rFonts w:ascii="Arial" w:eastAsia="Times New Roman" w:hAnsi="Arial" w:cs="Arial"/>
          <w:b/>
          <w:sz w:val="20"/>
          <w:szCs w:val="20"/>
        </w:rPr>
        <w:t>Conclusion</w:t>
      </w:r>
    </w:p>
    <w:p w:rsidR="002E0922" w:rsidRPr="008B5BEE" w:rsidRDefault="002E0922" w:rsidP="008B5BEE">
      <w:pPr>
        <w:autoSpaceDE w:val="0"/>
        <w:autoSpaceDN w:val="0"/>
        <w:adjustRightInd w:val="0"/>
        <w:spacing w:after="0" w:line="240" w:lineRule="auto"/>
        <w:rPr>
          <w:rFonts w:ascii="Arial" w:eastAsia="Times New Roman" w:hAnsi="Arial" w:cs="Arial"/>
          <w:spacing w:val="6"/>
          <w:sz w:val="20"/>
          <w:szCs w:val="20"/>
          <w:lang w:eastAsia="en-GB"/>
        </w:rPr>
      </w:pPr>
    </w:p>
    <w:p w:rsidR="002E0922" w:rsidRPr="008B5BEE" w:rsidRDefault="002E0922" w:rsidP="008B5BEE">
      <w:pPr>
        <w:autoSpaceDE w:val="0"/>
        <w:autoSpaceDN w:val="0"/>
        <w:adjustRightInd w:val="0"/>
        <w:spacing w:after="0" w:line="240" w:lineRule="auto"/>
        <w:rPr>
          <w:rFonts w:ascii="Arial" w:eastAsia="Times New Roman" w:hAnsi="Arial" w:cs="Arial"/>
          <w:spacing w:val="6"/>
          <w:sz w:val="20"/>
          <w:szCs w:val="20"/>
          <w:lang w:eastAsia="en-GB"/>
        </w:rPr>
      </w:pPr>
      <w:r w:rsidRPr="008B5BEE">
        <w:rPr>
          <w:rFonts w:ascii="Arial" w:eastAsia="Times New Roman" w:hAnsi="Arial" w:cs="Arial"/>
          <w:spacing w:val="6"/>
          <w:sz w:val="20"/>
          <w:szCs w:val="20"/>
          <w:lang w:eastAsia="en-GB"/>
        </w:rPr>
        <w:t>The responses to the recomme</w:t>
      </w:r>
      <w:r w:rsidR="00C034C2" w:rsidRPr="008B5BEE">
        <w:rPr>
          <w:rFonts w:ascii="Arial" w:eastAsia="Times New Roman" w:hAnsi="Arial" w:cs="Arial"/>
          <w:spacing w:val="6"/>
          <w:sz w:val="20"/>
          <w:szCs w:val="20"/>
          <w:lang w:eastAsia="en-GB"/>
        </w:rPr>
        <w:t>ndations as set out in section 7</w:t>
      </w:r>
      <w:r w:rsidRPr="008B5BEE">
        <w:rPr>
          <w:rFonts w:ascii="Arial" w:eastAsia="Times New Roman" w:hAnsi="Arial" w:cs="Arial"/>
          <w:spacing w:val="6"/>
          <w:sz w:val="20"/>
          <w:szCs w:val="20"/>
          <w:lang w:eastAsia="en-GB"/>
        </w:rPr>
        <w:t xml:space="preserve"> above by the relevant Executive Authorities must be sent to Parliament as well as the Committee within 60 days of the adoption of this report by the National Assembly.</w:t>
      </w:r>
    </w:p>
    <w:p w:rsidR="002E0922" w:rsidRPr="008B5BEE" w:rsidRDefault="002E0922" w:rsidP="008B5BEE">
      <w:pPr>
        <w:spacing w:after="0" w:line="240" w:lineRule="auto"/>
        <w:rPr>
          <w:rFonts w:ascii="Arial" w:eastAsia="Times New Roman" w:hAnsi="Arial" w:cs="Arial"/>
          <w:b/>
          <w:sz w:val="20"/>
          <w:szCs w:val="20"/>
        </w:rPr>
      </w:pPr>
    </w:p>
    <w:p w:rsidR="002E0922" w:rsidRPr="008B5BEE" w:rsidRDefault="002E0922" w:rsidP="008B5BEE">
      <w:pPr>
        <w:spacing w:after="0" w:line="240" w:lineRule="auto"/>
        <w:rPr>
          <w:rFonts w:ascii="Arial" w:eastAsia="Times New Roman" w:hAnsi="Arial" w:cs="Arial"/>
          <w:b/>
          <w:sz w:val="20"/>
          <w:szCs w:val="20"/>
        </w:rPr>
      </w:pPr>
    </w:p>
    <w:p w:rsidR="002E0922" w:rsidRPr="008B5BEE" w:rsidRDefault="002E0922" w:rsidP="008B5BEE">
      <w:pPr>
        <w:spacing w:after="0" w:line="240" w:lineRule="auto"/>
        <w:rPr>
          <w:rFonts w:ascii="Arial" w:eastAsia="Times New Roman" w:hAnsi="Arial" w:cs="Arial"/>
          <w:b/>
          <w:sz w:val="20"/>
          <w:szCs w:val="20"/>
        </w:rPr>
      </w:pPr>
    </w:p>
    <w:p w:rsidR="002E0922" w:rsidRPr="008B5BEE" w:rsidRDefault="002E0922" w:rsidP="008B5BEE">
      <w:pPr>
        <w:spacing w:after="0" w:line="240" w:lineRule="auto"/>
        <w:rPr>
          <w:rFonts w:ascii="Arial" w:eastAsia="Times New Roman" w:hAnsi="Arial" w:cs="Arial"/>
          <w:sz w:val="20"/>
          <w:szCs w:val="20"/>
        </w:rPr>
      </w:pPr>
      <w:r w:rsidRPr="008B5BEE">
        <w:rPr>
          <w:rFonts w:ascii="Arial" w:eastAsia="Times New Roman" w:hAnsi="Arial" w:cs="Arial"/>
          <w:sz w:val="20"/>
          <w:szCs w:val="20"/>
        </w:rPr>
        <w:t xml:space="preserve">Report to be considered. </w:t>
      </w:r>
    </w:p>
    <w:p w:rsidR="00A7210A" w:rsidRPr="008B5BEE" w:rsidRDefault="00A7210A" w:rsidP="008B5BEE">
      <w:pPr>
        <w:spacing w:after="0" w:line="240" w:lineRule="auto"/>
        <w:rPr>
          <w:rFonts w:ascii="Arial" w:hAnsi="Arial" w:cs="Arial"/>
          <w:sz w:val="20"/>
          <w:szCs w:val="20"/>
        </w:rPr>
      </w:pPr>
    </w:p>
    <w:sectPr w:rsidR="00A7210A" w:rsidRPr="008B5BEE" w:rsidSect="003F34ED">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B1F" w:rsidRDefault="00FF4B1F" w:rsidP="002E0922">
      <w:pPr>
        <w:spacing w:after="0" w:line="240" w:lineRule="auto"/>
      </w:pPr>
      <w:r>
        <w:separator/>
      </w:r>
    </w:p>
  </w:endnote>
  <w:endnote w:type="continuationSeparator" w:id="0">
    <w:p w:rsidR="00FF4B1F" w:rsidRDefault="00FF4B1F" w:rsidP="002E0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0B" w:rsidRDefault="005F4271" w:rsidP="003F34ED">
    <w:pPr>
      <w:pStyle w:val="Footer"/>
      <w:framePr w:wrap="around" w:vAnchor="text" w:hAnchor="margin" w:xAlign="right" w:y="1"/>
      <w:rPr>
        <w:rStyle w:val="PageNumber"/>
      </w:rPr>
    </w:pPr>
    <w:r>
      <w:rPr>
        <w:rStyle w:val="PageNumber"/>
      </w:rPr>
      <w:fldChar w:fldCharType="begin"/>
    </w:r>
    <w:r w:rsidR="00550B0B">
      <w:rPr>
        <w:rStyle w:val="PageNumber"/>
      </w:rPr>
      <w:instrText xml:space="preserve">PAGE  </w:instrText>
    </w:r>
    <w:r>
      <w:rPr>
        <w:rStyle w:val="PageNumber"/>
      </w:rPr>
      <w:fldChar w:fldCharType="end"/>
    </w:r>
  </w:p>
  <w:p w:rsidR="00550B0B" w:rsidRDefault="00550B0B" w:rsidP="003F34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0B" w:rsidRDefault="005F4271" w:rsidP="003F34ED">
    <w:pPr>
      <w:pStyle w:val="Footer"/>
      <w:framePr w:wrap="around" w:vAnchor="text" w:hAnchor="margin" w:xAlign="right" w:y="1"/>
      <w:rPr>
        <w:rStyle w:val="PageNumber"/>
      </w:rPr>
    </w:pPr>
    <w:r>
      <w:rPr>
        <w:rStyle w:val="PageNumber"/>
      </w:rPr>
      <w:fldChar w:fldCharType="begin"/>
    </w:r>
    <w:r w:rsidR="00550B0B">
      <w:rPr>
        <w:rStyle w:val="PageNumber"/>
      </w:rPr>
      <w:instrText xml:space="preserve">PAGE  </w:instrText>
    </w:r>
    <w:r>
      <w:rPr>
        <w:rStyle w:val="PageNumber"/>
      </w:rPr>
      <w:fldChar w:fldCharType="separate"/>
    </w:r>
    <w:r w:rsidR="008B5BEE">
      <w:rPr>
        <w:rStyle w:val="PageNumber"/>
        <w:noProof/>
      </w:rPr>
      <w:t>1</w:t>
    </w:r>
    <w:r>
      <w:rPr>
        <w:rStyle w:val="PageNumber"/>
      </w:rPr>
      <w:fldChar w:fldCharType="end"/>
    </w:r>
  </w:p>
  <w:p w:rsidR="00550B0B" w:rsidRDefault="00550B0B" w:rsidP="003F34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B1F" w:rsidRDefault="00FF4B1F" w:rsidP="002E0922">
      <w:pPr>
        <w:spacing w:after="0" w:line="240" w:lineRule="auto"/>
      </w:pPr>
      <w:r>
        <w:separator/>
      </w:r>
    </w:p>
  </w:footnote>
  <w:footnote w:type="continuationSeparator" w:id="0">
    <w:p w:rsidR="00FF4B1F" w:rsidRDefault="00FF4B1F" w:rsidP="002E0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7EC"/>
    <w:multiLevelType w:val="hybridMultilevel"/>
    <w:tmpl w:val="F508D6E6"/>
    <w:lvl w:ilvl="0" w:tplc="BBCC0E7C">
      <w:start w:val="1"/>
      <w:numFmt w:val="bullet"/>
      <w:lvlText w:val="–"/>
      <w:lvlJc w:val="left"/>
      <w:pPr>
        <w:tabs>
          <w:tab w:val="num" w:pos="720"/>
        </w:tabs>
        <w:ind w:left="720" w:hanging="360"/>
      </w:pPr>
      <w:rPr>
        <w:rFonts w:ascii="Calibri" w:hAnsi="Calibri" w:hint="default"/>
      </w:rPr>
    </w:lvl>
    <w:lvl w:ilvl="1" w:tplc="EBE09BAE">
      <w:start w:val="1"/>
      <w:numFmt w:val="bullet"/>
      <w:lvlText w:val="–"/>
      <w:lvlJc w:val="left"/>
      <w:pPr>
        <w:tabs>
          <w:tab w:val="num" w:pos="1440"/>
        </w:tabs>
        <w:ind w:left="1440" w:hanging="360"/>
      </w:pPr>
      <w:rPr>
        <w:rFonts w:ascii="Calibri" w:hAnsi="Calibri" w:hint="default"/>
      </w:rPr>
    </w:lvl>
    <w:lvl w:ilvl="2" w:tplc="E99A5AA8" w:tentative="1">
      <w:start w:val="1"/>
      <w:numFmt w:val="bullet"/>
      <w:lvlText w:val="–"/>
      <w:lvlJc w:val="left"/>
      <w:pPr>
        <w:tabs>
          <w:tab w:val="num" w:pos="2160"/>
        </w:tabs>
        <w:ind w:left="2160" w:hanging="360"/>
      </w:pPr>
      <w:rPr>
        <w:rFonts w:ascii="Calibri" w:hAnsi="Calibri" w:hint="default"/>
      </w:rPr>
    </w:lvl>
    <w:lvl w:ilvl="3" w:tplc="4BAA20E4" w:tentative="1">
      <w:start w:val="1"/>
      <w:numFmt w:val="bullet"/>
      <w:lvlText w:val="–"/>
      <w:lvlJc w:val="left"/>
      <w:pPr>
        <w:tabs>
          <w:tab w:val="num" w:pos="2880"/>
        </w:tabs>
        <w:ind w:left="2880" w:hanging="360"/>
      </w:pPr>
      <w:rPr>
        <w:rFonts w:ascii="Calibri" w:hAnsi="Calibri" w:hint="default"/>
      </w:rPr>
    </w:lvl>
    <w:lvl w:ilvl="4" w:tplc="50B6E5E6" w:tentative="1">
      <w:start w:val="1"/>
      <w:numFmt w:val="bullet"/>
      <w:lvlText w:val="–"/>
      <w:lvlJc w:val="left"/>
      <w:pPr>
        <w:tabs>
          <w:tab w:val="num" w:pos="3600"/>
        </w:tabs>
        <w:ind w:left="3600" w:hanging="360"/>
      </w:pPr>
      <w:rPr>
        <w:rFonts w:ascii="Calibri" w:hAnsi="Calibri" w:hint="default"/>
      </w:rPr>
    </w:lvl>
    <w:lvl w:ilvl="5" w:tplc="504A9516" w:tentative="1">
      <w:start w:val="1"/>
      <w:numFmt w:val="bullet"/>
      <w:lvlText w:val="–"/>
      <w:lvlJc w:val="left"/>
      <w:pPr>
        <w:tabs>
          <w:tab w:val="num" w:pos="4320"/>
        </w:tabs>
        <w:ind w:left="4320" w:hanging="360"/>
      </w:pPr>
      <w:rPr>
        <w:rFonts w:ascii="Calibri" w:hAnsi="Calibri" w:hint="default"/>
      </w:rPr>
    </w:lvl>
    <w:lvl w:ilvl="6" w:tplc="02EEA10C" w:tentative="1">
      <w:start w:val="1"/>
      <w:numFmt w:val="bullet"/>
      <w:lvlText w:val="–"/>
      <w:lvlJc w:val="left"/>
      <w:pPr>
        <w:tabs>
          <w:tab w:val="num" w:pos="5040"/>
        </w:tabs>
        <w:ind w:left="5040" w:hanging="360"/>
      </w:pPr>
      <w:rPr>
        <w:rFonts w:ascii="Calibri" w:hAnsi="Calibri" w:hint="default"/>
      </w:rPr>
    </w:lvl>
    <w:lvl w:ilvl="7" w:tplc="E3C0E844" w:tentative="1">
      <w:start w:val="1"/>
      <w:numFmt w:val="bullet"/>
      <w:lvlText w:val="–"/>
      <w:lvlJc w:val="left"/>
      <w:pPr>
        <w:tabs>
          <w:tab w:val="num" w:pos="5760"/>
        </w:tabs>
        <w:ind w:left="5760" w:hanging="360"/>
      </w:pPr>
      <w:rPr>
        <w:rFonts w:ascii="Calibri" w:hAnsi="Calibri" w:hint="default"/>
      </w:rPr>
    </w:lvl>
    <w:lvl w:ilvl="8" w:tplc="3814D3A6" w:tentative="1">
      <w:start w:val="1"/>
      <w:numFmt w:val="bullet"/>
      <w:lvlText w:val="–"/>
      <w:lvlJc w:val="left"/>
      <w:pPr>
        <w:tabs>
          <w:tab w:val="num" w:pos="6480"/>
        </w:tabs>
        <w:ind w:left="6480" w:hanging="360"/>
      </w:pPr>
      <w:rPr>
        <w:rFonts w:ascii="Calibri" w:hAnsi="Calibri" w:hint="default"/>
      </w:rPr>
    </w:lvl>
  </w:abstractNum>
  <w:abstractNum w:abstractNumId="1">
    <w:nsid w:val="0CEE2BB1"/>
    <w:multiLevelType w:val="hybridMultilevel"/>
    <w:tmpl w:val="CF00F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E47F46"/>
    <w:multiLevelType w:val="hybridMultilevel"/>
    <w:tmpl w:val="BF06E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D44609"/>
    <w:multiLevelType w:val="multilevel"/>
    <w:tmpl w:val="617684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1C65B0"/>
    <w:multiLevelType w:val="multilevel"/>
    <w:tmpl w:val="D3CCC8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8B3A30"/>
    <w:multiLevelType w:val="hybridMultilevel"/>
    <w:tmpl w:val="0F4414D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6EB4D6B"/>
    <w:multiLevelType w:val="multilevel"/>
    <w:tmpl w:val="66D0D0D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1239B4"/>
    <w:multiLevelType w:val="multilevel"/>
    <w:tmpl w:val="0F94ED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7E03D8"/>
    <w:multiLevelType w:val="multilevel"/>
    <w:tmpl w:val="056AF2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F04EBF"/>
    <w:multiLevelType w:val="hybridMultilevel"/>
    <w:tmpl w:val="7A7C7882"/>
    <w:lvl w:ilvl="0" w:tplc="B4105046">
      <w:start w:val="1"/>
      <w:numFmt w:val="bullet"/>
      <w:lvlText w:val="•"/>
      <w:lvlJc w:val="left"/>
      <w:pPr>
        <w:tabs>
          <w:tab w:val="num" w:pos="720"/>
        </w:tabs>
        <w:ind w:left="720" w:hanging="360"/>
      </w:pPr>
      <w:rPr>
        <w:rFonts w:ascii="Arial" w:hAnsi="Arial" w:hint="default"/>
      </w:rPr>
    </w:lvl>
    <w:lvl w:ilvl="1" w:tplc="10CA7E46" w:tentative="1">
      <w:start w:val="1"/>
      <w:numFmt w:val="bullet"/>
      <w:lvlText w:val="•"/>
      <w:lvlJc w:val="left"/>
      <w:pPr>
        <w:tabs>
          <w:tab w:val="num" w:pos="1440"/>
        </w:tabs>
        <w:ind w:left="1440" w:hanging="360"/>
      </w:pPr>
      <w:rPr>
        <w:rFonts w:ascii="Arial" w:hAnsi="Arial" w:hint="default"/>
      </w:rPr>
    </w:lvl>
    <w:lvl w:ilvl="2" w:tplc="A7C2407A" w:tentative="1">
      <w:start w:val="1"/>
      <w:numFmt w:val="bullet"/>
      <w:lvlText w:val="•"/>
      <w:lvlJc w:val="left"/>
      <w:pPr>
        <w:tabs>
          <w:tab w:val="num" w:pos="2160"/>
        </w:tabs>
        <w:ind w:left="2160" w:hanging="360"/>
      </w:pPr>
      <w:rPr>
        <w:rFonts w:ascii="Arial" w:hAnsi="Arial" w:hint="default"/>
      </w:rPr>
    </w:lvl>
    <w:lvl w:ilvl="3" w:tplc="DE88C718" w:tentative="1">
      <w:start w:val="1"/>
      <w:numFmt w:val="bullet"/>
      <w:lvlText w:val="•"/>
      <w:lvlJc w:val="left"/>
      <w:pPr>
        <w:tabs>
          <w:tab w:val="num" w:pos="2880"/>
        </w:tabs>
        <w:ind w:left="2880" w:hanging="360"/>
      </w:pPr>
      <w:rPr>
        <w:rFonts w:ascii="Arial" w:hAnsi="Arial" w:hint="default"/>
      </w:rPr>
    </w:lvl>
    <w:lvl w:ilvl="4" w:tplc="9A786434" w:tentative="1">
      <w:start w:val="1"/>
      <w:numFmt w:val="bullet"/>
      <w:lvlText w:val="•"/>
      <w:lvlJc w:val="left"/>
      <w:pPr>
        <w:tabs>
          <w:tab w:val="num" w:pos="3600"/>
        </w:tabs>
        <w:ind w:left="3600" w:hanging="360"/>
      </w:pPr>
      <w:rPr>
        <w:rFonts w:ascii="Arial" w:hAnsi="Arial" w:hint="default"/>
      </w:rPr>
    </w:lvl>
    <w:lvl w:ilvl="5" w:tplc="8A72B99E" w:tentative="1">
      <w:start w:val="1"/>
      <w:numFmt w:val="bullet"/>
      <w:lvlText w:val="•"/>
      <w:lvlJc w:val="left"/>
      <w:pPr>
        <w:tabs>
          <w:tab w:val="num" w:pos="4320"/>
        </w:tabs>
        <w:ind w:left="4320" w:hanging="360"/>
      </w:pPr>
      <w:rPr>
        <w:rFonts w:ascii="Arial" w:hAnsi="Arial" w:hint="default"/>
      </w:rPr>
    </w:lvl>
    <w:lvl w:ilvl="6" w:tplc="5CD84F96" w:tentative="1">
      <w:start w:val="1"/>
      <w:numFmt w:val="bullet"/>
      <w:lvlText w:val="•"/>
      <w:lvlJc w:val="left"/>
      <w:pPr>
        <w:tabs>
          <w:tab w:val="num" w:pos="5040"/>
        </w:tabs>
        <w:ind w:left="5040" w:hanging="360"/>
      </w:pPr>
      <w:rPr>
        <w:rFonts w:ascii="Arial" w:hAnsi="Arial" w:hint="default"/>
      </w:rPr>
    </w:lvl>
    <w:lvl w:ilvl="7" w:tplc="A322D936" w:tentative="1">
      <w:start w:val="1"/>
      <w:numFmt w:val="bullet"/>
      <w:lvlText w:val="•"/>
      <w:lvlJc w:val="left"/>
      <w:pPr>
        <w:tabs>
          <w:tab w:val="num" w:pos="5760"/>
        </w:tabs>
        <w:ind w:left="5760" w:hanging="360"/>
      </w:pPr>
      <w:rPr>
        <w:rFonts w:ascii="Arial" w:hAnsi="Arial" w:hint="default"/>
      </w:rPr>
    </w:lvl>
    <w:lvl w:ilvl="8" w:tplc="6C44EABA" w:tentative="1">
      <w:start w:val="1"/>
      <w:numFmt w:val="bullet"/>
      <w:lvlText w:val="•"/>
      <w:lvlJc w:val="left"/>
      <w:pPr>
        <w:tabs>
          <w:tab w:val="num" w:pos="6480"/>
        </w:tabs>
        <w:ind w:left="6480" w:hanging="360"/>
      </w:pPr>
      <w:rPr>
        <w:rFonts w:ascii="Arial" w:hAnsi="Arial" w:hint="default"/>
      </w:rPr>
    </w:lvl>
  </w:abstractNum>
  <w:abstractNum w:abstractNumId="10">
    <w:nsid w:val="3B380081"/>
    <w:multiLevelType w:val="hybridMultilevel"/>
    <w:tmpl w:val="76202CBE"/>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B6549E9"/>
    <w:multiLevelType w:val="hybridMultilevel"/>
    <w:tmpl w:val="62E2D39A"/>
    <w:lvl w:ilvl="0" w:tplc="5A725F80">
      <w:start w:val="1"/>
      <w:numFmt w:val="bullet"/>
      <w:lvlText w:val=""/>
      <w:lvlJc w:val="left"/>
      <w:pPr>
        <w:tabs>
          <w:tab w:val="num" w:pos="720"/>
        </w:tabs>
        <w:ind w:left="720" w:hanging="360"/>
      </w:pPr>
      <w:rPr>
        <w:rFonts w:ascii="Wingdings" w:hAnsi="Wingdings" w:hint="default"/>
      </w:rPr>
    </w:lvl>
    <w:lvl w:ilvl="1" w:tplc="0E680300">
      <w:start w:val="1"/>
      <w:numFmt w:val="bullet"/>
      <w:lvlText w:val=""/>
      <w:lvlJc w:val="left"/>
      <w:pPr>
        <w:tabs>
          <w:tab w:val="num" w:pos="1440"/>
        </w:tabs>
        <w:ind w:left="1440" w:hanging="360"/>
      </w:pPr>
      <w:rPr>
        <w:rFonts w:ascii="Wingdings" w:hAnsi="Wingdings" w:hint="default"/>
      </w:rPr>
    </w:lvl>
    <w:lvl w:ilvl="2" w:tplc="54B4F298" w:tentative="1">
      <w:start w:val="1"/>
      <w:numFmt w:val="bullet"/>
      <w:lvlText w:val=""/>
      <w:lvlJc w:val="left"/>
      <w:pPr>
        <w:tabs>
          <w:tab w:val="num" w:pos="2160"/>
        </w:tabs>
        <w:ind w:left="2160" w:hanging="360"/>
      </w:pPr>
      <w:rPr>
        <w:rFonts w:ascii="Wingdings" w:hAnsi="Wingdings" w:hint="default"/>
      </w:rPr>
    </w:lvl>
    <w:lvl w:ilvl="3" w:tplc="7164A420" w:tentative="1">
      <w:start w:val="1"/>
      <w:numFmt w:val="bullet"/>
      <w:lvlText w:val=""/>
      <w:lvlJc w:val="left"/>
      <w:pPr>
        <w:tabs>
          <w:tab w:val="num" w:pos="2880"/>
        </w:tabs>
        <w:ind w:left="2880" w:hanging="360"/>
      </w:pPr>
      <w:rPr>
        <w:rFonts w:ascii="Wingdings" w:hAnsi="Wingdings" w:hint="default"/>
      </w:rPr>
    </w:lvl>
    <w:lvl w:ilvl="4" w:tplc="DA686E34" w:tentative="1">
      <w:start w:val="1"/>
      <w:numFmt w:val="bullet"/>
      <w:lvlText w:val=""/>
      <w:lvlJc w:val="left"/>
      <w:pPr>
        <w:tabs>
          <w:tab w:val="num" w:pos="3600"/>
        </w:tabs>
        <w:ind w:left="3600" w:hanging="360"/>
      </w:pPr>
      <w:rPr>
        <w:rFonts w:ascii="Wingdings" w:hAnsi="Wingdings" w:hint="default"/>
      </w:rPr>
    </w:lvl>
    <w:lvl w:ilvl="5" w:tplc="55D6434E" w:tentative="1">
      <w:start w:val="1"/>
      <w:numFmt w:val="bullet"/>
      <w:lvlText w:val=""/>
      <w:lvlJc w:val="left"/>
      <w:pPr>
        <w:tabs>
          <w:tab w:val="num" w:pos="4320"/>
        </w:tabs>
        <w:ind w:left="4320" w:hanging="360"/>
      </w:pPr>
      <w:rPr>
        <w:rFonts w:ascii="Wingdings" w:hAnsi="Wingdings" w:hint="default"/>
      </w:rPr>
    </w:lvl>
    <w:lvl w:ilvl="6" w:tplc="5EC4E4E0" w:tentative="1">
      <w:start w:val="1"/>
      <w:numFmt w:val="bullet"/>
      <w:lvlText w:val=""/>
      <w:lvlJc w:val="left"/>
      <w:pPr>
        <w:tabs>
          <w:tab w:val="num" w:pos="5040"/>
        </w:tabs>
        <w:ind w:left="5040" w:hanging="360"/>
      </w:pPr>
      <w:rPr>
        <w:rFonts w:ascii="Wingdings" w:hAnsi="Wingdings" w:hint="default"/>
      </w:rPr>
    </w:lvl>
    <w:lvl w:ilvl="7" w:tplc="01A20D40" w:tentative="1">
      <w:start w:val="1"/>
      <w:numFmt w:val="bullet"/>
      <w:lvlText w:val=""/>
      <w:lvlJc w:val="left"/>
      <w:pPr>
        <w:tabs>
          <w:tab w:val="num" w:pos="5760"/>
        </w:tabs>
        <w:ind w:left="5760" w:hanging="360"/>
      </w:pPr>
      <w:rPr>
        <w:rFonts w:ascii="Wingdings" w:hAnsi="Wingdings" w:hint="default"/>
      </w:rPr>
    </w:lvl>
    <w:lvl w:ilvl="8" w:tplc="C720AE30" w:tentative="1">
      <w:start w:val="1"/>
      <w:numFmt w:val="bullet"/>
      <w:lvlText w:val=""/>
      <w:lvlJc w:val="left"/>
      <w:pPr>
        <w:tabs>
          <w:tab w:val="num" w:pos="6480"/>
        </w:tabs>
        <w:ind w:left="6480" w:hanging="360"/>
      </w:pPr>
      <w:rPr>
        <w:rFonts w:ascii="Wingdings" w:hAnsi="Wingdings" w:hint="default"/>
      </w:rPr>
    </w:lvl>
  </w:abstractNum>
  <w:abstractNum w:abstractNumId="12">
    <w:nsid w:val="3B9F7879"/>
    <w:multiLevelType w:val="hybridMultilevel"/>
    <w:tmpl w:val="17849AC2"/>
    <w:lvl w:ilvl="0" w:tplc="A0F8C838">
      <w:start w:val="1"/>
      <w:numFmt w:val="bullet"/>
      <w:lvlText w:val=""/>
      <w:lvlJc w:val="left"/>
      <w:pPr>
        <w:tabs>
          <w:tab w:val="num" w:pos="720"/>
        </w:tabs>
        <w:ind w:left="720" w:hanging="360"/>
      </w:pPr>
      <w:rPr>
        <w:rFonts w:ascii="Symbol" w:hAnsi="Symbol" w:hint="default"/>
      </w:rPr>
    </w:lvl>
    <w:lvl w:ilvl="1" w:tplc="8D160680">
      <w:start w:val="1"/>
      <w:numFmt w:val="bullet"/>
      <w:lvlText w:val=""/>
      <w:lvlJc w:val="left"/>
      <w:pPr>
        <w:tabs>
          <w:tab w:val="num" w:pos="1440"/>
        </w:tabs>
        <w:ind w:left="1440" w:hanging="360"/>
      </w:pPr>
      <w:rPr>
        <w:rFonts w:ascii="Symbol" w:hAnsi="Symbol" w:hint="default"/>
      </w:rPr>
    </w:lvl>
    <w:lvl w:ilvl="2" w:tplc="AFEC91F6" w:tentative="1">
      <w:start w:val="1"/>
      <w:numFmt w:val="bullet"/>
      <w:lvlText w:val=""/>
      <w:lvlJc w:val="left"/>
      <w:pPr>
        <w:tabs>
          <w:tab w:val="num" w:pos="2160"/>
        </w:tabs>
        <w:ind w:left="2160" w:hanging="360"/>
      </w:pPr>
      <w:rPr>
        <w:rFonts w:ascii="Symbol" w:hAnsi="Symbol" w:hint="default"/>
      </w:rPr>
    </w:lvl>
    <w:lvl w:ilvl="3" w:tplc="06DC9734" w:tentative="1">
      <w:start w:val="1"/>
      <w:numFmt w:val="bullet"/>
      <w:lvlText w:val=""/>
      <w:lvlJc w:val="left"/>
      <w:pPr>
        <w:tabs>
          <w:tab w:val="num" w:pos="2880"/>
        </w:tabs>
        <w:ind w:left="2880" w:hanging="360"/>
      </w:pPr>
      <w:rPr>
        <w:rFonts w:ascii="Symbol" w:hAnsi="Symbol" w:hint="default"/>
      </w:rPr>
    </w:lvl>
    <w:lvl w:ilvl="4" w:tplc="1A6CE44A" w:tentative="1">
      <w:start w:val="1"/>
      <w:numFmt w:val="bullet"/>
      <w:lvlText w:val=""/>
      <w:lvlJc w:val="left"/>
      <w:pPr>
        <w:tabs>
          <w:tab w:val="num" w:pos="3600"/>
        </w:tabs>
        <w:ind w:left="3600" w:hanging="360"/>
      </w:pPr>
      <w:rPr>
        <w:rFonts w:ascii="Symbol" w:hAnsi="Symbol" w:hint="default"/>
      </w:rPr>
    </w:lvl>
    <w:lvl w:ilvl="5" w:tplc="8BD6F778" w:tentative="1">
      <w:start w:val="1"/>
      <w:numFmt w:val="bullet"/>
      <w:lvlText w:val=""/>
      <w:lvlJc w:val="left"/>
      <w:pPr>
        <w:tabs>
          <w:tab w:val="num" w:pos="4320"/>
        </w:tabs>
        <w:ind w:left="4320" w:hanging="360"/>
      </w:pPr>
      <w:rPr>
        <w:rFonts w:ascii="Symbol" w:hAnsi="Symbol" w:hint="default"/>
      </w:rPr>
    </w:lvl>
    <w:lvl w:ilvl="6" w:tplc="52D4E934" w:tentative="1">
      <w:start w:val="1"/>
      <w:numFmt w:val="bullet"/>
      <w:lvlText w:val=""/>
      <w:lvlJc w:val="left"/>
      <w:pPr>
        <w:tabs>
          <w:tab w:val="num" w:pos="5040"/>
        </w:tabs>
        <w:ind w:left="5040" w:hanging="360"/>
      </w:pPr>
      <w:rPr>
        <w:rFonts w:ascii="Symbol" w:hAnsi="Symbol" w:hint="default"/>
      </w:rPr>
    </w:lvl>
    <w:lvl w:ilvl="7" w:tplc="05109B14" w:tentative="1">
      <w:start w:val="1"/>
      <w:numFmt w:val="bullet"/>
      <w:lvlText w:val=""/>
      <w:lvlJc w:val="left"/>
      <w:pPr>
        <w:tabs>
          <w:tab w:val="num" w:pos="5760"/>
        </w:tabs>
        <w:ind w:left="5760" w:hanging="360"/>
      </w:pPr>
      <w:rPr>
        <w:rFonts w:ascii="Symbol" w:hAnsi="Symbol" w:hint="default"/>
      </w:rPr>
    </w:lvl>
    <w:lvl w:ilvl="8" w:tplc="D5E89E4A" w:tentative="1">
      <w:start w:val="1"/>
      <w:numFmt w:val="bullet"/>
      <w:lvlText w:val=""/>
      <w:lvlJc w:val="left"/>
      <w:pPr>
        <w:tabs>
          <w:tab w:val="num" w:pos="6480"/>
        </w:tabs>
        <w:ind w:left="6480" w:hanging="360"/>
      </w:pPr>
      <w:rPr>
        <w:rFonts w:ascii="Symbol" w:hAnsi="Symbol" w:hint="default"/>
      </w:rPr>
    </w:lvl>
  </w:abstractNum>
  <w:abstractNum w:abstractNumId="13">
    <w:nsid w:val="42046083"/>
    <w:multiLevelType w:val="multilevel"/>
    <w:tmpl w:val="2330495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815FE4"/>
    <w:multiLevelType w:val="hybridMultilevel"/>
    <w:tmpl w:val="CB8E8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A7B11E6"/>
    <w:multiLevelType w:val="hybridMultilevel"/>
    <w:tmpl w:val="B896E496"/>
    <w:lvl w:ilvl="0" w:tplc="6A62B94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4D2547B0"/>
    <w:multiLevelType w:val="multilevel"/>
    <w:tmpl w:val="C3BA6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127F55"/>
    <w:multiLevelType w:val="hybridMultilevel"/>
    <w:tmpl w:val="5226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45567"/>
    <w:multiLevelType w:val="hybridMultilevel"/>
    <w:tmpl w:val="27CC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766407"/>
    <w:multiLevelType w:val="hybridMultilevel"/>
    <w:tmpl w:val="5D5613E8"/>
    <w:lvl w:ilvl="0" w:tplc="FCEEC512">
      <w:start w:val="1"/>
      <w:numFmt w:val="bullet"/>
      <w:lvlText w:val="–"/>
      <w:lvlJc w:val="left"/>
      <w:pPr>
        <w:tabs>
          <w:tab w:val="num" w:pos="720"/>
        </w:tabs>
        <w:ind w:left="720" w:hanging="360"/>
      </w:pPr>
      <w:rPr>
        <w:rFonts w:ascii="Arial" w:hAnsi="Arial" w:hint="default"/>
      </w:rPr>
    </w:lvl>
    <w:lvl w:ilvl="1" w:tplc="00D6663C">
      <w:start w:val="1"/>
      <w:numFmt w:val="bullet"/>
      <w:lvlText w:val="–"/>
      <w:lvlJc w:val="left"/>
      <w:pPr>
        <w:tabs>
          <w:tab w:val="num" w:pos="1440"/>
        </w:tabs>
        <w:ind w:left="1440" w:hanging="360"/>
      </w:pPr>
      <w:rPr>
        <w:rFonts w:ascii="Arial" w:hAnsi="Arial" w:hint="default"/>
      </w:rPr>
    </w:lvl>
    <w:lvl w:ilvl="2" w:tplc="94C492FC" w:tentative="1">
      <w:start w:val="1"/>
      <w:numFmt w:val="bullet"/>
      <w:lvlText w:val="–"/>
      <w:lvlJc w:val="left"/>
      <w:pPr>
        <w:tabs>
          <w:tab w:val="num" w:pos="2160"/>
        </w:tabs>
        <w:ind w:left="2160" w:hanging="360"/>
      </w:pPr>
      <w:rPr>
        <w:rFonts w:ascii="Arial" w:hAnsi="Arial" w:hint="default"/>
      </w:rPr>
    </w:lvl>
    <w:lvl w:ilvl="3" w:tplc="4EAA596C" w:tentative="1">
      <w:start w:val="1"/>
      <w:numFmt w:val="bullet"/>
      <w:lvlText w:val="–"/>
      <w:lvlJc w:val="left"/>
      <w:pPr>
        <w:tabs>
          <w:tab w:val="num" w:pos="2880"/>
        </w:tabs>
        <w:ind w:left="2880" w:hanging="360"/>
      </w:pPr>
      <w:rPr>
        <w:rFonts w:ascii="Arial" w:hAnsi="Arial" w:hint="default"/>
      </w:rPr>
    </w:lvl>
    <w:lvl w:ilvl="4" w:tplc="D542EF02" w:tentative="1">
      <w:start w:val="1"/>
      <w:numFmt w:val="bullet"/>
      <w:lvlText w:val="–"/>
      <w:lvlJc w:val="left"/>
      <w:pPr>
        <w:tabs>
          <w:tab w:val="num" w:pos="3600"/>
        </w:tabs>
        <w:ind w:left="3600" w:hanging="360"/>
      </w:pPr>
      <w:rPr>
        <w:rFonts w:ascii="Arial" w:hAnsi="Arial" w:hint="default"/>
      </w:rPr>
    </w:lvl>
    <w:lvl w:ilvl="5" w:tplc="D0920B6C" w:tentative="1">
      <w:start w:val="1"/>
      <w:numFmt w:val="bullet"/>
      <w:lvlText w:val="–"/>
      <w:lvlJc w:val="left"/>
      <w:pPr>
        <w:tabs>
          <w:tab w:val="num" w:pos="4320"/>
        </w:tabs>
        <w:ind w:left="4320" w:hanging="360"/>
      </w:pPr>
      <w:rPr>
        <w:rFonts w:ascii="Arial" w:hAnsi="Arial" w:hint="default"/>
      </w:rPr>
    </w:lvl>
    <w:lvl w:ilvl="6" w:tplc="80BAE9EC" w:tentative="1">
      <w:start w:val="1"/>
      <w:numFmt w:val="bullet"/>
      <w:lvlText w:val="–"/>
      <w:lvlJc w:val="left"/>
      <w:pPr>
        <w:tabs>
          <w:tab w:val="num" w:pos="5040"/>
        </w:tabs>
        <w:ind w:left="5040" w:hanging="360"/>
      </w:pPr>
      <w:rPr>
        <w:rFonts w:ascii="Arial" w:hAnsi="Arial" w:hint="default"/>
      </w:rPr>
    </w:lvl>
    <w:lvl w:ilvl="7" w:tplc="8B584E6C" w:tentative="1">
      <w:start w:val="1"/>
      <w:numFmt w:val="bullet"/>
      <w:lvlText w:val="–"/>
      <w:lvlJc w:val="left"/>
      <w:pPr>
        <w:tabs>
          <w:tab w:val="num" w:pos="5760"/>
        </w:tabs>
        <w:ind w:left="5760" w:hanging="360"/>
      </w:pPr>
      <w:rPr>
        <w:rFonts w:ascii="Arial" w:hAnsi="Arial" w:hint="default"/>
      </w:rPr>
    </w:lvl>
    <w:lvl w:ilvl="8" w:tplc="D896949A" w:tentative="1">
      <w:start w:val="1"/>
      <w:numFmt w:val="bullet"/>
      <w:lvlText w:val="–"/>
      <w:lvlJc w:val="left"/>
      <w:pPr>
        <w:tabs>
          <w:tab w:val="num" w:pos="6480"/>
        </w:tabs>
        <w:ind w:left="6480" w:hanging="360"/>
      </w:pPr>
      <w:rPr>
        <w:rFonts w:ascii="Arial" w:hAnsi="Arial" w:hint="default"/>
      </w:rPr>
    </w:lvl>
  </w:abstractNum>
  <w:abstractNum w:abstractNumId="20">
    <w:nsid w:val="52D90C0C"/>
    <w:multiLevelType w:val="hybridMultilevel"/>
    <w:tmpl w:val="A41C4E90"/>
    <w:lvl w:ilvl="0" w:tplc="D10AF2BC">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80A37C0"/>
    <w:multiLevelType w:val="hybridMultilevel"/>
    <w:tmpl w:val="FD8685E4"/>
    <w:lvl w:ilvl="0" w:tplc="EA209492">
      <w:start w:val="1"/>
      <w:numFmt w:val="decimal"/>
      <w:lvlText w:val="%1."/>
      <w:lvlJc w:val="left"/>
      <w:pPr>
        <w:tabs>
          <w:tab w:val="num" w:pos="720"/>
        </w:tabs>
        <w:ind w:left="720" w:hanging="360"/>
      </w:pPr>
    </w:lvl>
    <w:lvl w:ilvl="1" w:tplc="4FC2417C" w:tentative="1">
      <w:start w:val="1"/>
      <w:numFmt w:val="decimal"/>
      <w:lvlText w:val="%2."/>
      <w:lvlJc w:val="left"/>
      <w:pPr>
        <w:tabs>
          <w:tab w:val="num" w:pos="1440"/>
        </w:tabs>
        <w:ind w:left="1440" w:hanging="360"/>
      </w:pPr>
    </w:lvl>
    <w:lvl w:ilvl="2" w:tplc="BD283382" w:tentative="1">
      <w:start w:val="1"/>
      <w:numFmt w:val="decimal"/>
      <w:lvlText w:val="%3."/>
      <w:lvlJc w:val="left"/>
      <w:pPr>
        <w:tabs>
          <w:tab w:val="num" w:pos="2160"/>
        </w:tabs>
        <w:ind w:left="2160" w:hanging="360"/>
      </w:pPr>
    </w:lvl>
    <w:lvl w:ilvl="3" w:tplc="7B866040" w:tentative="1">
      <w:start w:val="1"/>
      <w:numFmt w:val="decimal"/>
      <w:lvlText w:val="%4."/>
      <w:lvlJc w:val="left"/>
      <w:pPr>
        <w:tabs>
          <w:tab w:val="num" w:pos="2880"/>
        </w:tabs>
        <w:ind w:left="2880" w:hanging="360"/>
      </w:pPr>
    </w:lvl>
    <w:lvl w:ilvl="4" w:tplc="D5641482" w:tentative="1">
      <w:start w:val="1"/>
      <w:numFmt w:val="decimal"/>
      <w:lvlText w:val="%5."/>
      <w:lvlJc w:val="left"/>
      <w:pPr>
        <w:tabs>
          <w:tab w:val="num" w:pos="3600"/>
        </w:tabs>
        <w:ind w:left="3600" w:hanging="360"/>
      </w:pPr>
    </w:lvl>
    <w:lvl w:ilvl="5" w:tplc="07383414" w:tentative="1">
      <w:start w:val="1"/>
      <w:numFmt w:val="decimal"/>
      <w:lvlText w:val="%6."/>
      <w:lvlJc w:val="left"/>
      <w:pPr>
        <w:tabs>
          <w:tab w:val="num" w:pos="4320"/>
        </w:tabs>
        <w:ind w:left="4320" w:hanging="360"/>
      </w:pPr>
    </w:lvl>
    <w:lvl w:ilvl="6" w:tplc="533CB2E0" w:tentative="1">
      <w:start w:val="1"/>
      <w:numFmt w:val="decimal"/>
      <w:lvlText w:val="%7."/>
      <w:lvlJc w:val="left"/>
      <w:pPr>
        <w:tabs>
          <w:tab w:val="num" w:pos="5040"/>
        </w:tabs>
        <w:ind w:left="5040" w:hanging="360"/>
      </w:pPr>
    </w:lvl>
    <w:lvl w:ilvl="7" w:tplc="B950B02A" w:tentative="1">
      <w:start w:val="1"/>
      <w:numFmt w:val="decimal"/>
      <w:lvlText w:val="%8."/>
      <w:lvlJc w:val="left"/>
      <w:pPr>
        <w:tabs>
          <w:tab w:val="num" w:pos="5760"/>
        </w:tabs>
        <w:ind w:left="5760" w:hanging="360"/>
      </w:pPr>
    </w:lvl>
    <w:lvl w:ilvl="8" w:tplc="BB7AD0F8" w:tentative="1">
      <w:start w:val="1"/>
      <w:numFmt w:val="decimal"/>
      <w:lvlText w:val="%9."/>
      <w:lvlJc w:val="left"/>
      <w:pPr>
        <w:tabs>
          <w:tab w:val="num" w:pos="6480"/>
        </w:tabs>
        <w:ind w:left="6480" w:hanging="360"/>
      </w:pPr>
    </w:lvl>
  </w:abstractNum>
  <w:abstractNum w:abstractNumId="22">
    <w:nsid w:val="5C307447"/>
    <w:multiLevelType w:val="hybridMultilevel"/>
    <w:tmpl w:val="22C8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614E4"/>
    <w:multiLevelType w:val="hybridMultilevel"/>
    <w:tmpl w:val="58C05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3B739E4"/>
    <w:multiLevelType w:val="hybridMultilevel"/>
    <w:tmpl w:val="D4D6D0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649C0F1C"/>
    <w:multiLevelType w:val="multilevel"/>
    <w:tmpl w:val="0F94ED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B209B1"/>
    <w:multiLevelType w:val="hybridMultilevel"/>
    <w:tmpl w:val="DB7E31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6F235C69"/>
    <w:multiLevelType w:val="multilevel"/>
    <w:tmpl w:val="EDB278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553C54"/>
    <w:multiLevelType w:val="hybridMultilevel"/>
    <w:tmpl w:val="2618E0EE"/>
    <w:lvl w:ilvl="0" w:tplc="A6C68CF6">
      <w:start w:val="1"/>
      <w:numFmt w:val="bullet"/>
      <w:lvlText w:val="•"/>
      <w:lvlJc w:val="left"/>
      <w:pPr>
        <w:tabs>
          <w:tab w:val="num" w:pos="720"/>
        </w:tabs>
        <w:ind w:left="720" w:hanging="360"/>
      </w:pPr>
      <w:rPr>
        <w:rFonts w:ascii="Arial" w:hAnsi="Arial" w:hint="default"/>
      </w:rPr>
    </w:lvl>
    <w:lvl w:ilvl="1" w:tplc="1BA617A2" w:tentative="1">
      <w:start w:val="1"/>
      <w:numFmt w:val="bullet"/>
      <w:lvlText w:val="•"/>
      <w:lvlJc w:val="left"/>
      <w:pPr>
        <w:tabs>
          <w:tab w:val="num" w:pos="1440"/>
        </w:tabs>
        <w:ind w:left="1440" w:hanging="360"/>
      </w:pPr>
      <w:rPr>
        <w:rFonts w:ascii="Arial" w:hAnsi="Arial" w:hint="default"/>
      </w:rPr>
    </w:lvl>
    <w:lvl w:ilvl="2" w:tplc="F32434D4" w:tentative="1">
      <w:start w:val="1"/>
      <w:numFmt w:val="bullet"/>
      <w:lvlText w:val="•"/>
      <w:lvlJc w:val="left"/>
      <w:pPr>
        <w:tabs>
          <w:tab w:val="num" w:pos="2160"/>
        </w:tabs>
        <w:ind w:left="2160" w:hanging="360"/>
      </w:pPr>
      <w:rPr>
        <w:rFonts w:ascii="Arial" w:hAnsi="Arial" w:hint="default"/>
      </w:rPr>
    </w:lvl>
    <w:lvl w:ilvl="3" w:tplc="FEF000AA" w:tentative="1">
      <w:start w:val="1"/>
      <w:numFmt w:val="bullet"/>
      <w:lvlText w:val="•"/>
      <w:lvlJc w:val="left"/>
      <w:pPr>
        <w:tabs>
          <w:tab w:val="num" w:pos="2880"/>
        </w:tabs>
        <w:ind w:left="2880" w:hanging="360"/>
      </w:pPr>
      <w:rPr>
        <w:rFonts w:ascii="Arial" w:hAnsi="Arial" w:hint="default"/>
      </w:rPr>
    </w:lvl>
    <w:lvl w:ilvl="4" w:tplc="BF7A3012" w:tentative="1">
      <w:start w:val="1"/>
      <w:numFmt w:val="bullet"/>
      <w:lvlText w:val="•"/>
      <w:lvlJc w:val="left"/>
      <w:pPr>
        <w:tabs>
          <w:tab w:val="num" w:pos="3600"/>
        </w:tabs>
        <w:ind w:left="3600" w:hanging="360"/>
      </w:pPr>
      <w:rPr>
        <w:rFonts w:ascii="Arial" w:hAnsi="Arial" w:hint="default"/>
      </w:rPr>
    </w:lvl>
    <w:lvl w:ilvl="5" w:tplc="AB68517A" w:tentative="1">
      <w:start w:val="1"/>
      <w:numFmt w:val="bullet"/>
      <w:lvlText w:val="•"/>
      <w:lvlJc w:val="left"/>
      <w:pPr>
        <w:tabs>
          <w:tab w:val="num" w:pos="4320"/>
        </w:tabs>
        <w:ind w:left="4320" w:hanging="360"/>
      </w:pPr>
      <w:rPr>
        <w:rFonts w:ascii="Arial" w:hAnsi="Arial" w:hint="default"/>
      </w:rPr>
    </w:lvl>
    <w:lvl w:ilvl="6" w:tplc="07161462" w:tentative="1">
      <w:start w:val="1"/>
      <w:numFmt w:val="bullet"/>
      <w:lvlText w:val="•"/>
      <w:lvlJc w:val="left"/>
      <w:pPr>
        <w:tabs>
          <w:tab w:val="num" w:pos="5040"/>
        </w:tabs>
        <w:ind w:left="5040" w:hanging="360"/>
      </w:pPr>
      <w:rPr>
        <w:rFonts w:ascii="Arial" w:hAnsi="Arial" w:hint="default"/>
      </w:rPr>
    </w:lvl>
    <w:lvl w:ilvl="7" w:tplc="5F5CB678" w:tentative="1">
      <w:start w:val="1"/>
      <w:numFmt w:val="bullet"/>
      <w:lvlText w:val="•"/>
      <w:lvlJc w:val="left"/>
      <w:pPr>
        <w:tabs>
          <w:tab w:val="num" w:pos="5760"/>
        </w:tabs>
        <w:ind w:left="5760" w:hanging="360"/>
      </w:pPr>
      <w:rPr>
        <w:rFonts w:ascii="Arial" w:hAnsi="Arial" w:hint="default"/>
      </w:rPr>
    </w:lvl>
    <w:lvl w:ilvl="8" w:tplc="A0E4CF0E" w:tentative="1">
      <w:start w:val="1"/>
      <w:numFmt w:val="bullet"/>
      <w:lvlText w:val="•"/>
      <w:lvlJc w:val="left"/>
      <w:pPr>
        <w:tabs>
          <w:tab w:val="num" w:pos="6480"/>
        </w:tabs>
        <w:ind w:left="6480" w:hanging="360"/>
      </w:pPr>
      <w:rPr>
        <w:rFonts w:ascii="Arial" w:hAnsi="Arial" w:hint="default"/>
      </w:rPr>
    </w:lvl>
  </w:abstractNum>
  <w:abstractNum w:abstractNumId="29">
    <w:nsid w:val="7A79352A"/>
    <w:multiLevelType w:val="hybridMultilevel"/>
    <w:tmpl w:val="7A244278"/>
    <w:lvl w:ilvl="0" w:tplc="5F6C2C1A">
      <w:start w:val="1"/>
      <w:numFmt w:val="bullet"/>
      <w:lvlText w:val=""/>
      <w:lvlJc w:val="left"/>
      <w:pPr>
        <w:tabs>
          <w:tab w:val="num" w:pos="720"/>
        </w:tabs>
        <w:ind w:left="720" w:hanging="360"/>
      </w:pPr>
      <w:rPr>
        <w:rFonts w:ascii="Symbol" w:hAnsi="Symbol" w:hint="default"/>
      </w:rPr>
    </w:lvl>
    <w:lvl w:ilvl="1" w:tplc="3FB42998">
      <w:start w:val="1"/>
      <w:numFmt w:val="bullet"/>
      <w:lvlText w:val=""/>
      <w:lvlJc w:val="left"/>
      <w:pPr>
        <w:tabs>
          <w:tab w:val="num" w:pos="1440"/>
        </w:tabs>
        <w:ind w:left="1440" w:hanging="360"/>
      </w:pPr>
      <w:rPr>
        <w:rFonts w:ascii="Symbol" w:hAnsi="Symbol" w:hint="default"/>
      </w:rPr>
    </w:lvl>
    <w:lvl w:ilvl="2" w:tplc="06EE4020" w:tentative="1">
      <w:start w:val="1"/>
      <w:numFmt w:val="bullet"/>
      <w:lvlText w:val=""/>
      <w:lvlJc w:val="left"/>
      <w:pPr>
        <w:tabs>
          <w:tab w:val="num" w:pos="2160"/>
        </w:tabs>
        <w:ind w:left="2160" w:hanging="360"/>
      </w:pPr>
      <w:rPr>
        <w:rFonts w:ascii="Symbol" w:hAnsi="Symbol" w:hint="default"/>
      </w:rPr>
    </w:lvl>
    <w:lvl w:ilvl="3" w:tplc="A06010C4" w:tentative="1">
      <w:start w:val="1"/>
      <w:numFmt w:val="bullet"/>
      <w:lvlText w:val=""/>
      <w:lvlJc w:val="left"/>
      <w:pPr>
        <w:tabs>
          <w:tab w:val="num" w:pos="2880"/>
        </w:tabs>
        <w:ind w:left="2880" w:hanging="360"/>
      </w:pPr>
      <w:rPr>
        <w:rFonts w:ascii="Symbol" w:hAnsi="Symbol" w:hint="default"/>
      </w:rPr>
    </w:lvl>
    <w:lvl w:ilvl="4" w:tplc="9B5CC28C" w:tentative="1">
      <w:start w:val="1"/>
      <w:numFmt w:val="bullet"/>
      <w:lvlText w:val=""/>
      <w:lvlJc w:val="left"/>
      <w:pPr>
        <w:tabs>
          <w:tab w:val="num" w:pos="3600"/>
        </w:tabs>
        <w:ind w:left="3600" w:hanging="360"/>
      </w:pPr>
      <w:rPr>
        <w:rFonts w:ascii="Symbol" w:hAnsi="Symbol" w:hint="default"/>
      </w:rPr>
    </w:lvl>
    <w:lvl w:ilvl="5" w:tplc="FEAA83A8" w:tentative="1">
      <w:start w:val="1"/>
      <w:numFmt w:val="bullet"/>
      <w:lvlText w:val=""/>
      <w:lvlJc w:val="left"/>
      <w:pPr>
        <w:tabs>
          <w:tab w:val="num" w:pos="4320"/>
        </w:tabs>
        <w:ind w:left="4320" w:hanging="360"/>
      </w:pPr>
      <w:rPr>
        <w:rFonts w:ascii="Symbol" w:hAnsi="Symbol" w:hint="default"/>
      </w:rPr>
    </w:lvl>
    <w:lvl w:ilvl="6" w:tplc="4F3AC13A" w:tentative="1">
      <w:start w:val="1"/>
      <w:numFmt w:val="bullet"/>
      <w:lvlText w:val=""/>
      <w:lvlJc w:val="left"/>
      <w:pPr>
        <w:tabs>
          <w:tab w:val="num" w:pos="5040"/>
        </w:tabs>
        <w:ind w:left="5040" w:hanging="360"/>
      </w:pPr>
      <w:rPr>
        <w:rFonts w:ascii="Symbol" w:hAnsi="Symbol" w:hint="default"/>
      </w:rPr>
    </w:lvl>
    <w:lvl w:ilvl="7" w:tplc="8612C1FE" w:tentative="1">
      <w:start w:val="1"/>
      <w:numFmt w:val="bullet"/>
      <w:lvlText w:val=""/>
      <w:lvlJc w:val="left"/>
      <w:pPr>
        <w:tabs>
          <w:tab w:val="num" w:pos="5760"/>
        </w:tabs>
        <w:ind w:left="5760" w:hanging="360"/>
      </w:pPr>
      <w:rPr>
        <w:rFonts w:ascii="Symbol" w:hAnsi="Symbol" w:hint="default"/>
      </w:rPr>
    </w:lvl>
    <w:lvl w:ilvl="8" w:tplc="9DF2B2C0" w:tentative="1">
      <w:start w:val="1"/>
      <w:numFmt w:val="bullet"/>
      <w:lvlText w:val=""/>
      <w:lvlJc w:val="left"/>
      <w:pPr>
        <w:tabs>
          <w:tab w:val="num" w:pos="6480"/>
        </w:tabs>
        <w:ind w:left="6480" w:hanging="360"/>
      </w:pPr>
      <w:rPr>
        <w:rFonts w:ascii="Symbol" w:hAnsi="Symbol" w:hint="default"/>
      </w:rPr>
    </w:lvl>
  </w:abstractNum>
  <w:abstractNum w:abstractNumId="30">
    <w:nsid w:val="7D446E10"/>
    <w:multiLevelType w:val="hybridMultilevel"/>
    <w:tmpl w:val="BD261294"/>
    <w:lvl w:ilvl="0" w:tplc="355C6358">
      <w:start w:val="16"/>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nsid w:val="7D4F0929"/>
    <w:multiLevelType w:val="hybridMultilevel"/>
    <w:tmpl w:val="2F5E79B6"/>
    <w:lvl w:ilvl="0" w:tplc="1C090001">
      <w:start w:val="1"/>
      <w:numFmt w:val="bullet"/>
      <w:lvlText w:val=""/>
      <w:lvlJc w:val="left"/>
      <w:pPr>
        <w:ind w:left="1214" w:hanging="360"/>
      </w:pPr>
      <w:rPr>
        <w:rFonts w:ascii="Symbol" w:hAnsi="Symbol" w:hint="default"/>
      </w:rPr>
    </w:lvl>
    <w:lvl w:ilvl="1" w:tplc="1C090003" w:tentative="1">
      <w:start w:val="1"/>
      <w:numFmt w:val="bullet"/>
      <w:lvlText w:val="o"/>
      <w:lvlJc w:val="left"/>
      <w:pPr>
        <w:ind w:left="1934" w:hanging="360"/>
      </w:pPr>
      <w:rPr>
        <w:rFonts w:ascii="Courier New" w:hAnsi="Courier New" w:cs="Courier New" w:hint="default"/>
      </w:rPr>
    </w:lvl>
    <w:lvl w:ilvl="2" w:tplc="1C090005" w:tentative="1">
      <w:start w:val="1"/>
      <w:numFmt w:val="bullet"/>
      <w:lvlText w:val=""/>
      <w:lvlJc w:val="left"/>
      <w:pPr>
        <w:ind w:left="2654" w:hanging="360"/>
      </w:pPr>
      <w:rPr>
        <w:rFonts w:ascii="Wingdings" w:hAnsi="Wingdings" w:hint="default"/>
      </w:rPr>
    </w:lvl>
    <w:lvl w:ilvl="3" w:tplc="1C090001" w:tentative="1">
      <w:start w:val="1"/>
      <w:numFmt w:val="bullet"/>
      <w:lvlText w:val=""/>
      <w:lvlJc w:val="left"/>
      <w:pPr>
        <w:ind w:left="3374" w:hanging="360"/>
      </w:pPr>
      <w:rPr>
        <w:rFonts w:ascii="Symbol" w:hAnsi="Symbol" w:hint="default"/>
      </w:rPr>
    </w:lvl>
    <w:lvl w:ilvl="4" w:tplc="1C090003" w:tentative="1">
      <w:start w:val="1"/>
      <w:numFmt w:val="bullet"/>
      <w:lvlText w:val="o"/>
      <w:lvlJc w:val="left"/>
      <w:pPr>
        <w:ind w:left="4094" w:hanging="360"/>
      </w:pPr>
      <w:rPr>
        <w:rFonts w:ascii="Courier New" w:hAnsi="Courier New" w:cs="Courier New" w:hint="default"/>
      </w:rPr>
    </w:lvl>
    <w:lvl w:ilvl="5" w:tplc="1C090005" w:tentative="1">
      <w:start w:val="1"/>
      <w:numFmt w:val="bullet"/>
      <w:lvlText w:val=""/>
      <w:lvlJc w:val="left"/>
      <w:pPr>
        <w:ind w:left="4814" w:hanging="360"/>
      </w:pPr>
      <w:rPr>
        <w:rFonts w:ascii="Wingdings" w:hAnsi="Wingdings" w:hint="default"/>
      </w:rPr>
    </w:lvl>
    <w:lvl w:ilvl="6" w:tplc="1C090001" w:tentative="1">
      <w:start w:val="1"/>
      <w:numFmt w:val="bullet"/>
      <w:lvlText w:val=""/>
      <w:lvlJc w:val="left"/>
      <w:pPr>
        <w:ind w:left="5534" w:hanging="360"/>
      </w:pPr>
      <w:rPr>
        <w:rFonts w:ascii="Symbol" w:hAnsi="Symbol" w:hint="default"/>
      </w:rPr>
    </w:lvl>
    <w:lvl w:ilvl="7" w:tplc="1C090003" w:tentative="1">
      <w:start w:val="1"/>
      <w:numFmt w:val="bullet"/>
      <w:lvlText w:val="o"/>
      <w:lvlJc w:val="left"/>
      <w:pPr>
        <w:ind w:left="6254" w:hanging="360"/>
      </w:pPr>
      <w:rPr>
        <w:rFonts w:ascii="Courier New" w:hAnsi="Courier New" w:cs="Courier New" w:hint="default"/>
      </w:rPr>
    </w:lvl>
    <w:lvl w:ilvl="8" w:tplc="1C090005" w:tentative="1">
      <w:start w:val="1"/>
      <w:numFmt w:val="bullet"/>
      <w:lvlText w:val=""/>
      <w:lvlJc w:val="left"/>
      <w:pPr>
        <w:ind w:left="6974" w:hanging="360"/>
      </w:pPr>
      <w:rPr>
        <w:rFonts w:ascii="Wingdings" w:hAnsi="Wingdings" w:hint="default"/>
      </w:rPr>
    </w:lvl>
  </w:abstractNum>
  <w:abstractNum w:abstractNumId="32">
    <w:nsid w:val="7F651068"/>
    <w:multiLevelType w:val="hybridMultilevel"/>
    <w:tmpl w:val="80885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2"/>
  </w:num>
  <w:num w:numId="3">
    <w:abstractNumId w:val="22"/>
  </w:num>
  <w:num w:numId="4">
    <w:abstractNumId w:val="17"/>
  </w:num>
  <w:num w:numId="5">
    <w:abstractNumId w:val="13"/>
  </w:num>
  <w:num w:numId="6">
    <w:abstractNumId w:val="30"/>
  </w:num>
  <w:num w:numId="7">
    <w:abstractNumId w:val="23"/>
  </w:num>
  <w:num w:numId="8">
    <w:abstractNumId w:val="24"/>
  </w:num>
  <w:num w:numId="9">
    <w:abstractNumId w:val="1"/>
  </w:num>
  <w:num w:numId="10">
    <w:abstractNumId w:val="18"/>
  </w:num>
  <w:num w:numId="11">
    <w:abstractNumId w:val="27"/>
  </w:num>
  <w:num w:numId="12">
    <w:abstractNumId w:val="10"/>
  </w:num>
  <w:num w:numId="13">
    <w:abstractNumId w:val="16"/>
  </w:num>
  <w:num w:numId="14">
    <w:abstractNumId w:val="4"/>
  </w:num>
  <w:num w:numId="15">
    <w:abstractNumId w:val="3"/>
  </w:num>
  <w:num w:numId="16">
    <w:abstractNumId w:val="7"/>
  </w:num>
  <w:num w:numId="17">
    <w:abstractNumId w:val="25"/>
  </w:num>
  <w:num w:numId="18">
    <w:abstractNumId w:val="8"/>
  </w:num>
  <w:num w:numId="19">
    <w:abstractNumId w:val="26"/>
  </w:num>
  <w:num w:numId="20">
    <w:abstractNumId w:val="19"/>
  </w:num>
  <w:num w:numId="21">
    <w:abstractNumId w:val="21"/>
  </w:num>
  <w:num w:numId="22">
    <w:abstractNumId w:val="9"/>
  </w:num>
  <w:num w:numId="23">
    <w:abstractNumId w:val="12"/>
  </w:num>
  <w:num w:numId="24">
    <w:abstractNumId w:val="29"/>
  </w:num>
  <w:num w:numId="25">
    <w:abstractNumId w:val="11"/>
  </w:num>
  <w:num w:numId="26">
    <w:abstractNumId w:val="28"/>
  </w:num>
  <w:num w:numId="27">
    <w:abstractNumId w:val="0"/>
  </w:num>
  <w:num w:numId="28">
    <w:abstractNumId w:val="5"/>
  </w:num>
  <w:num w:numId="29">
    <w:abstractNumId w:val="31"/>
  </w:num>
  <w:num w:numId="30">
    <w:abstractNumId w:val="14"/>
  </w:num>
  <w:num w:numId="31">
    <w:abstractNumId w:val="6"/>
  </w:num>
  <w:num w:numId="32">
    <w:abstractNumId w:val="20"/>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2E0922"/>
    <w:rsid w:val="000075D8"/>
    <w:rsid w:val="00017ECA"/>
    <w:rsid w:val="00026A29"/>
    <w:rsid w:val="0005063F"/>
    <w:rsid w:val="0006190B"/>
    <w:rsid w:val="00063A63"/>
    <w:rsid w:val="0007327F"/>
    <w:rsid w:val="00073680"/>
    <w:rsid w:val="000B1B6C"/>
    <w:rsid w:val="000C09BC"/>
    <w:rsid w:val="000C68FB"/>
    <w:rsid w:val="001457E0"/>
    <w:rsid w:val="00145B84"/>
    <w:rsid w:val="00146EC2"/>
    <w:rsid w:val="0018375E"/>
    <w:rsid w:val="0018704E"/>
    <w:rsid w:val="00192800"/>
    <w:rsid w:val="001966CB"/>
    <w:rsid w:val="001A6B34"/>
    <w:rsid w:val="001B6FEA"/>
    <w:rsid w:val="001D5DB1"/>
    <w:rsid w:val="001E2C15"/>
    <w:rsid w:val="001F4125"/>
    <w:rsid w:val="00200691"/>
    <w:rsid w:val="002016A5"/>
    <w:rsid w:val="002051A4"/>
    <w:rsid w:val="00210D9C"/>
    <w:rsid w:val="0021122C"/>
    <w:rsid w:val="002247D1"/>
    <w:rsid w:val="00226079"/>
    <w:rsid w:val="00226991"/>
    <w:rsid w:val="0023152A"/>
    <w:rsid w:val="002322B8"/>
    <w:rsid w:val="002328FC"/>
    <w:rsid w:val="00233ECA"/>
    <w:rsid w:val="00247797"/>
    <w:rsid w:val="00256772"/>
    <w:rsid w:val="00261FBC"/>
    <w:rsid w:val="00284F1D"/>
    <w:rsid w:val="002925C8"/>
    <w:rsid w:val="002A3765"/>
    <w:rsid w:val="002A4C6E"/>
    <w:rsid w:val="002B5554"/>
    <w:rsid w:val="002C01ED"/>
    <w:rsid w:val="002C3D15"/>
    <w:rsid w:val="002E0922"/>
    <w:rsid w:val="002E6A7C"/>
    <w:rsid w:val="002F2FBD"/>
    <w:rsid w:val="002F73F7"/>
    <w:rsid w:val="00301A75"/>
    <w:rsid w:val="00315436"/>
    <w:rsid w:val="00325F18"/>
    <w:rsid w:val="003340E1"/>
    <w:rsid w:val="003358C5"/>
    <w:rsid w:val="00341BF1"/>
    <w:rsid w:val="00351D4F"/>
    <w:rsid w:val="0036387F"/>
    <w:rsid w:val="003662D2"/>
    <w:rsid w:val="003755ED"/>
    <w:rsid w:val="003825D0"/>
    <w:rsid w:val="003857E0"/>
    <w:rsid w:val="00393DFE"/>
    <w:rsid w:val="003A4863"/>
    <w:rsid w:val="003B3BE1"/>
    <w:rsid w:val="003C7227"/>
    <w:rsid w:val="003D3069"/>
    <w:rsid w:val="003D3E67"/>
    <w:rsid w:val="003D725C"/>
    <w:rsid w:val="003E02A5"/>
    <w:rsid w:val="003E15DF"/>
    <w:rsid w:val="003F34ED"/>
    <w:rsid w:val="00404D7C"/>
    <w:rsid w:val="0041161B"/>
    <w:rsid w:val="0041680B"/>
    <w:rsid w:val="00420A2A"/>
    <w:rsid w:val="00420B48"/>
    <w:rsid w:val="00423EE5"/>
    <w:rsid w:val="004273E1"/>
    <w:rsid w:val="00431CB2"/>
    <w:rsid w:val="00435497"/>
    <w:rsid w:val="004550B6"/>
    <w:rsid w:val="00465DFF"/>
    <w:rsid w:val="00467090"/>
    <w:rsid w:val="00471ED5"/>
    <w:rsid w:val="0047699C"/>
    <w:rsid w:val="00477F46"/>
    <w:rsid w:val="00481AC9"/>
    <w:rsid w:val="004834FA"/>
    <w:rsid w:val="004858B7"/>
    <w:rsid w:val="004A3C5E"/>
    <w:rsid w:val="004A58AD"/>
    <w:rsid w:val="004B3D8D"/>
    <w:rsid w:val="004B5083"/>
    <w:rsid w:val="004D3D01"/>
    <w:rsid w:val="004E7677"/>
    <w:rsid w:val="005024C3"/>
    <w:rsid w:val="005069C8"/>
    <w:rsid w:val="00515879"/>
    <w:rsid w:val="00525C25"/>
    <w:rsid w:val="00547595"/>
    <w:rsid w:val="00550B0B"/>
    <w:rsid w:val="005552C4"/>
    <w:rsid w:val="005637CF"/>
    <w:rsid w:val="00580F82"/>
    <w:rsid w:val="00585A81"/>
    <w:rsid w:val="005A0D46"/>
    <w:rsid w:val="005A31F2"/>
    <w:rsid w:val="005A6CA0"/>
    <w:rsid w:val="005F4271"/>
    <w:rsid w:val="00605285"/>
    <w:rsid w:val="006545D9"/>
    <w:rsid w:val="006703FD"/>
    <w:rsid w:val="00673602"/>
    <w:rsid w:val="006822BD"/>
    <w:rsid w:val="00693142"/>
    <w:rsid w:val="006A0D51"/>
    <w:rsid w:val="006C4A3A"/>
    <w:rsid w:val="006F2494"/>
    <w:rsid w:val="006F25DB"/>
    <w:rsid w:val="00711CA8"/>
    <w:rsid w:val="00715F86"/>
    <w:rsid w:val="00716AB8"/>
    <w:rsid w:val="00756062"/>
    <w:rsid w:val="00770C58"/>
    <w:rsid w:val="007727B2"/>
    <w:rsid w:val="00774581"/>
    <w:rsid w:val="007979F6"/>
    <w:rsid w:val="007A1038"/>
    <w:rsid w:val="007A1C72"/>
    <w:rsid w:val="007D4DE9"/>
    <w:rsid w:val="007E0874"/>
    <w:rsid w:val="00802EAC"/>
    <w:rsid w:val="00806AA2"/>
    <w:rsid w:val="008107D8"/>
    <w:rsid w:val="008110C9"/>
    <w:rsid w:val="00813895"/>
    <w:rsid w:val="00817C9A"/>
    <w:rsid w:val="00822588"/>
    <w:rsid w:val="00825F36"/>
    <w:rsid w:val="008462FE"/>
    <w:rsid w:val="00866B63"/>
    <w:rsid w:val="008810C3"/>
    <w:rsid w:val="008850C1"/>
    <w:rsid w:val="00891882"/>
    <w:rsid w:val="00894B16"/>
    <w:rsid w:val="00897A89"/>
    <w:rsid w:val="008B5BEE"/>
    <w:rsid w:val="008C0229"/>
    <w:rsid w:val="008D265D"/>
    <w:rsid w:val="008D31CF"/>
    <w:rsid w:val="008F1E49"/>
    <w:rsid w:val="008F29B7"/>
    <w:rsid w:val="008F6B7D"/>
    <w:rsid w:val="00915D25"/>
    <w:rsid w:val="0092713B"/>
    <w:rsid w:val="00931417"/>
    <w:rsid w:val="00943E91"/>
    <w:rsid w:val="00951200"/>
    <w:rsid w:val="00954A00"/>
    <w:rsid w:val="00956947"/>
    <w:rsid w:val="00993333"/>
    <w:rsid w:val="009B12A0"/>
    <w:rsid w:val="009B3045"/>
    <w:rsid w:val="009B7CF1"/>
    <w:rsid w:val="009C24CD"/>
    <w:rsid w:val="009C5C02"/>
    <w:rsid w:val="009D3DE9"/>
    <w:rsid w:val="009F05A6"/>
    <w:rsid w:val="00A075E2"/>
    <w:rsid w:val="00A12BCE"/>
    <w:rsid w:val="00A16159"/>
    <w:rsid w:val="00A20D32"/>
    <w:rsid w:val="00A314F4"/>
    <w:rsid w:val="00A43B77"/>
    <w:rsid w:val="00A562BF"/>
    <w:rsid w:val="00A566FE"/>
    <w:rsid w:val="00A65E3F"/>
    <w:rsid w:val="00A7210A"/>
    <w:rsid w:val="00A8184B"/>
    <w:rsid w:val="00A8634E"/>
    <w:rsid w:val="00AA79E8"/>
    <w:rsid w:val="00AB3ADC"/>
    <w:rsid w:val="00AC421F"/>
    <w:rsid w:val="00AC48C6"/>
    <w:rsid w:val="00AD3F41"/>
    <w:rsid w:val="00AD4CB9"/>
    <w:rsid w:val="00AE2FCD"/>
    <w:rsid w:val="00AE6038"/>
    <w:rsid w:val="00B13680"/>
    <w:rsid w:val="00B13ECE"/>
    <w:rsid w:val="00B142F7"/>
    <w:rsid w:val="00B24D28"/>
    <w:rsid w:val="00B26D6A"/>
    <w:rsid w:val="00B2719B"/>
    <w:rsid w:val="00B468F7"/>
    <w:rsid w:val="00B62A64"/>
    <w:rsid w:val="00B822F3"/>
    <w:rsid w:val="00BA41EA"/>
    <w:rsid w:val="00BB2E16"/>
    <w:rsid w:val="00BC676D"/>
    <w:rsid w:val="00BD1B0D"/>
    <w:rsid w:val="00BD59B1"/>
    <w:rsid w:val="00BE5BEB"/>
    <w:rsid w:val="00C034C2"/>
    <w:rsid w:val="00C0787F"/>
    <w:rsid w:val="00C20511"/>
    <w:rsid w:val="00C23B9C"/>
    <w:rsid w:val="00C33EAD"/>
    <w:rsid w:val="00C42FB3"/>
    <w:rsid w:val="00C46EEF"/>
    <w:rsid w:val="00C50E23"/>
    <w:rsid w:val="00C52EFD"/>
    <w:rsid w:val="00C56E1E"/>
    <w:rsid w:val="00C603D4"/>
    <w:rsid w:val="00C60A17"/>
    <w:rsid w:val="00C67981"/>
    <w:rsid w:val="00C85E2F"/>
    <w:rsid w:val="00C90488"/>
    <w:rsid w:val="00C94617"/>
    <w:rsid w:val="00CA7FCE"/>
    <w:rsid w:val="00CB64A0"/>
    <w:rsid w:val="00CC7CB6"/>
    <w:rsid w:val="00CF1B03"/>
    <w:rsid w:val="00D00929"/>
    <w:rsid w:val="00D177C4"/>
    <w:rsid w:val="00D2293D"/>
    <w:rsid w:val="00D84E13"/>
    <w:rsid w:val="00D94874"/>
    <w:rsid w:val="00DC7D1A"/>
    <w:rsid w:val="00DD3BB8"/>
    <w:rsid w:val="00DF6218"/>
    <w:rsid w:val="00E0636F"/>
    <w:rsid w:val="00E0773D"/>
    <w:rsid w:val="00E07773"/>
    <w:rsid w:val="00E10E41"/>
    <w:rsid w:val="00E15BE9"/>
    <w:rsid w:val="00E203B7"/>
    <w:rsid w:val="00E2404A"/>
    <w:rsid w:val="00E253C1"/>
    <w:rsid w:val="00E266BC"/>
    <w:rsid w:val="00E533B5"/>
    <w:rsid w:val="00E539CF"/>
    <w:rsid w:val="00E70CBF"/>
    <w:rsid w:val="00E94176"/>
    <w:rsid w:val="00EB0C2B"/>
    <w:rsid w:val="00EC0D49"/>
    <w:rsid w:val="00EE2B2D"/>
    <w:rsid w:val="00F3536D"/>
    <w:rsid w:val="00F372DD"/>
    <w:rsid w:val="00F41011"/>
    <w:rsid w:val="00F838ED"/>
    <w:rsid w:val="00FB7CC6"/>
    <w:rsid w:val="00FC4279"/>
    <w:rsid w:val="00FC49B0"/>
    <w:rsid w:val="00FD126C"/>
    <w:rsid w:val="00FD5162"/>
    <w:rsid w:val="00FE2192"/>
    <w:rsid w:val="00FE2B8B"/>
    <w:rsid w:val="00FE34B4"/>
    <w:rsid w:val="00FE54D7"/>
    <w:rsid w:val="00FF4B1F"/>
    <w:rsid w:val="00FF6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922"/>
  </w:style>
  <w:style w:type="character" w:styleId="PageNumber">
    <w:name w:val="page number"/>
    <w:basedOn w:val="DefaultParagraphFont"/>
    <w:uiPriority w:val="99"/>
    <w:rsid w:val="002E0922"/>
    <w:rPr>
      <w:rFonts w:cs="Times New Roman"/>
    </w:rPr>
  </w:style>
  <w:style w:type="paragraph" w:styleId="Header">
    <w:name w:val="header"/>
    <w:basedOn w:val="Normal"/>
    <w:link w:val="HeaderChar"/>
    <w:uiPriority w:val="99"/>
    <w:unhideWhenUsed/>
    <w:rsid w:val="002E0922"/>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2E0922"/>
    <w:rPr>
      <w:lang w:val="en-US"/>
    </w:rPr>
  </w:style>
  <w:style w:type="table" w:styleId="TableGrid">
    <w:name w:val="Table Grid"/>
    <w:basedOn w:val="TableNormal"/>
    <w:uiPriority w:val="39"/>
    <w:rsid w:val="002E0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2EFD"/>
    <w:pPr>
      <w:ind w:left="720"/>
      <w:contextualSpacing/>
    </w:pPr>
  </w:style>
  <w:style w:type="character" w:styleId="CommentReference">
    <w:name w:val="annotation reference"/>
    <w:basedOn w:val="DefaultParagraphFont"/>
    <w:uiPriority w:val="99"/>
    <w:semiHidden/>
    <w:unhideWhenUsed/>
    <w:rsid w:val="003825D0"/>
    <w:rPr>
      <w:sz w:val="16"/>
      <w:szCs w:val="16"/>
    </w:rPr>
  </w:style>
  <w:style w:type="paragraph" w:styleId="CommentText">
    <w:name w:val="annotation text"/>
    <w:basedOn w:val="Normal"/>
    <w:link w:val="CommentTextChar"/>
    <w:uiPriority w:val="99"/>
    <w:semiHidden/>
    <w:unhideWhenUsed/>
    <w:rsid w:val="003825D0"/>
    <w:pPr>
      <w:spacing w:line="240" w:lineRule="auto"/>
    </w:pPr>
    <w:rPr>
      <w:sz w:val="20"/>
      <w:szCs w:val="20"/>
    </w:rPr>
  </w:style>
  <w:style w:type="character" w:customStyle="1" w:styleId="CommentTextChar">
    <w:name w:val="Comment Text Char"/>
    <w:basedOn w:val="DefaultParagraphFont"/>
    <w:link w:val="CommentText"/>
    <w:uiPriority w:val="99"/>
    <w:semiHidden/>
    <w:rsid w:val="003825D0"/>
    <w:rPr>
      <w:sz w:val="20"/>
      <w:szCs w:val="20"/>
    </w:rPr>
  </w:style>
  <w:style w:type="paragraph" w:styleId="CommentSubject">
    <w:name w:val="annotation subject"/>
    <w:basedOn w:val="CommentText"/>
    <w:next w:val="CommentText"/>
    <w:link w:val="CommentSubjectChar"/>
    <w:uiPriority w:val="99"/>
    <w:semiHidden/>
    <w:unhideWhenUsed/>
    <w:rsid w:val="003825D0"/>
    <w:rPr>
      <w:b/>
      <w:bCs/>
    </w:rPr>
  </w:style>
  <w:style w:type="character" w:customStyle="1" w:styleId="CommentSubjectChar">
    <w:name w:val="Comment Subject Char"/>
    <w:basedOn w:val="CommentTextChar"/>
    <w:link w:val="CommentSubject"/>
    <w:uiPriority w:val="99"/>
    <w:semiHidden/>
    <w:rsid w:val="003825D0"/>
    <w:rPr>
      <w:b/>
      <w:bCs/>
      <w:sz w:val="20"/>
      <w:szCs w:val="20"/>
    </w:rPr>
  </w:style>
  <w:style w:type="paragraph" w:styleId="BalloonText">
    <w:name w:val="Balloon Text"/>
    <w:basedOn w:val="Normal"/>
    <w:link w:val="BalloonTextChar"/>
    <w:uiPriority w:val="99"/>
    <w:semiHidden/>
    <w:unhideWhenUsed/>
    <w:rsid w:val="00382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D0"/>
    <w:rPr>
      <w:rFonts w:ascii="Segoe UI" w:hAnsi="Segoe UI" w:cs="Segoe UI"/>
      <w:sz w:val="18"/>
      <w:szCs w:val="18"/>
    </w:rPr>
  </w:style>
  <w:style w:type="paragraph" w:customStyle="1" w:styleId="Default">
    <w:name w:val="Default"/>
    <w:rsid w:val="00891882"/>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9B304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64133">
      <w:bodyDiv w:val="1"/>
      <w:marLeft w:val="0"/>
      <w:marRight w:val="0"/>
      <w:marTop w:val="0"/>
      <w:marBottom w:val="0"/>
      <w:divBdr>
        <w:top w:val="none" w:sz="0" w:space="0" w:color="auto"/>
        <w:left w:val="none" w:sz="0" w:space="0" w:color="auto"/>
        <w:bottom w:val="none" w:sz="0" w:space="0" w:color="auto"/>
        <w:right w:val="none" w:sz="0" w:space="0" w:color="auto"/>
      </w:divBdr>
      <w:divsChild>
        <w:div w:id="1074820711">
          <w:marLeft w:val="547"/>
          <w:marRight w:val="0"/>
          <w:marTop w:val="0"/>
          <w:marBottom w:val="0"/>
          <w:divBdr>
            <w:top w:val="none" w:sz="0" w:space="0" w:color="auto"/>
            <w:left w:val="none" w:sz="0" w:space="0" w:color="auto"/>
            <w:bottom w:val="none" w:sz="0" w:space="0" w:color="auto"/>
            <w:right w:val="none" w:sz="0" w:space="0" w:color="auto"/>
          </w:divBdr>
        </w:div>
        <w:div w:id="205068143">
          <w:marLeft w:val="547"/>
          <w:marRight w:val="0"/>
          <w:marTop w:val="0"/>
          <w:marBottom w:val="0"/>
          <w:divBdr>
            <w:top w:val="none" w:sz="0" w:space="0" w:color="auto"/>
            <w:left w:val="none" w:sz="0" w:space="0" w:color="auto"/>
            <w:bottom w:val="none" w:sz="0" w:space="0" w:color="auto"/>
            <w:right w:val="none" w:sz="0" w:space="0" w:color="auto"/>
          </w:divBdr>
        </w:div>
      </w:divsChild>
    </w:div>
    <w:div w:id="35931280">
      <w:bodyDiv w:val="1"/>
      <w:marLeft w:val="0"/>
      <w:marRight w:val="0"/>
      <w:marTop w:val="0"/>
      <w:marBottom w:val="0"/>
      <w:divBdr>
        <w:top w:val="none" w:sz="0" w:space="0" w:color="auto"/>
        <w:left w:val="none" w:sz="0" w:space="0" w:color="auto"/>
        <w:bottom w:val="none" w:sz="0" w:space="0" w:color="auto"/>
        <w:right w:val="none" w:sz="0" w:space="0" w:color="auto"/>
      </w:divBdr>
      <w:divsChild>
        <w:div w:id="878712794">
          <w:marLeft w:val="1166"/>
          <w:marRight w:val="0"/>
          <w:marTop w:val="0"/>
          <w:marBottom w:val="120"/>
          <w:divBdr>
            <w:top w:val="none" w:sz="0" w:space="0" w:color="auto"/>
            <w:left w:val="none" w:sz="0" w:space="0" w:color="auto"/>
            <w:bottom w:val="none" w:sz="0" w:space="0" w:color="auto"/>
            <w:right w:val="none" w:sz="0" w:space="0" w:color="auto"/>
          </w:divBdr>
        </w:div>
      </w:divsChild>
    </w:div>
    <w:div w:id="250704734">
      <w:bodyDiv w:val="1"/>
      <w:marLeft w:val="0"/>
      <w:marRight w:val="0"/>
      <w:marTop w:val="0"/>
      <w:marBottom w:val="0"/>
      <w:divBdr>
        <w:top w:val="none" w:sz="0" w:space="0" w:color="auto"/>
        <w:left w:val="none" w:sz="0" w:space="0" w:color="auto"/>
        <w:bottom w:val="none" w:sz="0" w:space="0" w:color="auto"/>
        <w:right w:val="none" w:sz="0" w:space="0" w:color="auto"/>
      </w:divBdr>
      <w:divsChild>
        <w:div w:id="1464424681">
          <w:marLeft w:val="547"/>
          <w:marRight w:val="0"/>
          <w:marTop w:val="154"/>
          <w:marBottom w:val="0"/>
          <w:divBdr>
            <w:top w:val="none" w:sz="0" w:space="0" w:color="auto"/>
            <w:left w:val="none" w:sz="0" w:space="0" w:color="auto"/>
            <w:bottom w:val="none" w:sz="0" w:space="0" w:color="auto"/>
            <w:right w:val="none" w:sz="0" w:space="0" w:color="auto"/>
          </w:divBdr>
        </w:div>
        <w:div w:id="1781559873">
          <w:marLeft w:val="547"/>
          <w:marRight w:val="0"/>
          <w:marTop w:val="154"/>
          <w:marBottom w:val="0"/>
          <w:divBdr>
            <w:top w:val="none" w:sz="0" w:space="0" w:color="auto"/>
            <w:left w:val="none" w:sz="0" w:space="0" w:color="auto"/>
            <w:bottom w:val="none" w:sz="0" w:space="0" w:color="auto"/>
            <w:right w:val="none" w:sz="0" w:space="0" w:color="auto"/>
          </w:divBdr>
        </w:div>
        <w:div w:id="1996454110">
          <w:marLeft w:val="547"/>
          <w:marRight w:val="0"/>
          <w:marTop w:val="154"/>
          <w:marBottom w:val="0"/>
          <w:divBdr>
            <w:top w:val="none" w:sz="0" w:space="0" w:color="auto"/>
            <w:left w:val="none" w:sz="0" w:space="0" w:color="auto"/>
            <w:bottom w:val="none" w:sz="0" w:space="0" w:color="auto"/>
            <w:right w:val="none" w:sz="0" w:space="0" w:color="auto"/>
          </w:divBdr>
        </w:div>
      </w:divsChild>
    </w:div>
    <w:div w:id="587928814">
      <w:bodyDiv w:val="1"/>
      <w:marLeft w:val="0"/>
      <w:marRight w:val="0"/>
      <w:marTop w:val="0"/>
      <w:marBottom w:val="0"/>
      <w:divBdr>
        <w:top w:val="none" w:sz="0" w:space="0" w:color="auto"/>
        <w:left w:val="none" w:sz="0" w:space="0" w:color="auto"/>
        <w:bottom w:val="none" w:sz="0" w:space="0" w:color="auto"/>
        <w:right w:val="none" w:sz="0" w:space="0" w:color="auto"/>
      </w:divBdr>
      <w:divsChild>
        <w:div w:id="1217743768">
          <w:marLeft w:val="1166"/>
          <w:marRight w:val="0"/>
          <w:marTop w:val="77"/>
          <w:marBottom w:val="0"/>
          <w:divBdr>
            <w:top w:val="none" w:sz="0" w:space="0" w:color="auto"/>
            <w:left w:val="none" w:sz="0" w:space="0" w:color="auto"/>
            <w:bottom w:val="none" w:sz="0" w:space="0" w:color="auto"/>
            <w:right w:val="none" w:sz="0" w:space="0" w:color="auto"/>
          </w:divBdr>
        </w:div>
      </w:divsChild>
    </w:div>
    <w:div w:id="651132558">
      <w:bodyDiv w:val="1"/>
      <w:marLeft w:val="0"/>
      <w:marRight w:val="0"/>
      <w:marTop w:val="0"/>
      <w:marBottom w:val="0"/>
      <w:divBdr>
        <w:top w:val="none" w:sz="0" w:space="0" w:color="auto"/>
        <w:left w:val="none" w:sz="0" w:space="0" w:color="auto"/>
        <w:bottom w:val="none" w:sz="0" w:space="0" w:color="auto"/>
        <w:right w:val="none" w:sz="0" w:space="0" w:color="auto"/>
      </w:divBdr>
      <w:divsChild>
        <w:div w:id="1531333655">
          <w:marLeft w:val="547"/>
          <w:marRight w:val="0"/>
          <w:marTop w:val="154"/>
          <w:marBottom w:val="0"/>
          <w:divBdr>
            <w:top w:val="none" w:sz="0" w:space="0" w:color="auto"/>
            <w:left w:val="none" w:sz="0" w:space="0" w:color="auto"/>
            <w:bottom w:val="none" w:sz="0" w:space="0" w:color="auto"/>
            <w:right w:val="none" w:sz="0" w:space="0" w:color="auto"/>
          </w:divBdr>
        </w:div>
        <w:div w:id="1285775292">
          <w:marLeft w:val="547"/>
          <w:marRight w:val="0"/>
          <w:marTop w:val="154"/>
          <w:marBottom w:val="0"/>
          <w:divBdr>
            <w:top w:val="none" w:sz="0" w:space="0" w:color="auto"/>
            <w:left w:val="none" w:sz="0" w:space="0" w:color="auto"/>
            <w:bottom w:val="none" w:sz="0" w:space="0" w:color="auto"/>
            <w:right w:val="none" w:sz="0" w:space="0" w:color="auto"/>
          </w:divBdr>
        </w:div>
        <w:div w:id="1722483857">
          <w:marLeft w:val="547"/>
          <w:marRight w:val="0"/>
          <w:marTop w:val="154"/>
          <w:marBottom w:val="0"/>
          <w:divBdr>
            <w:top w:val="none" w:sz="0" w:space="0" w:color="auto"/>
            <w:left w:val="none" w:sz="0" w:space="0" w:color="auto"/>
            <w:bottom w:val="none" w:sz="0" w:space="0" w:color="auto"/>
            <w:right w:val="none" w:sz="0" w:space="0" w:color="auto"/>
          </w:divBdr>
        </w:div>
      </w:divsChild>
    </w:div>
    <w:div w:id="659383262">
      <w:bodyDiv w:val="1"/>
      <w:marLeft w:val="0"/>
      <w:marRight w:val="0"/>
      <w:marTop w:val="0"/>
      <w:marBottom w:val="0"/>
      <w:divBdr>
        <w:top w:val="none" w:sz="0" w:space="0" w:color="auto"/>
        <w:left w:val="none" w:sz="0" w:space="0" w:color="auto"/>
        <w:bottom w:val="none" w:sz="0" w:space="0" w:color="auto"/>
        <w:right w:val="none" w:sz="0" w:space="0" w:color="auto"/>
      </w:divBdr>
      <w:divsChild>
        <w:div w:id="485128772">
          <w:marLeft w:val="1166"/>
          <w:marRight w:val="0"/>
          <w:marTop w:val="0"/>
          <w:marBottom w:val="120"/>
          <w:divBdr>
            <w:top w:val="none" w:sz="0" w:space="0" w:color="auto"/>
            <w:left w:val="none" w:sz="0" w:space="0" w:color="auto"/>
            <w:bottom w:val="none" w:sz="0" w:space="0" w:color="auto"/>
            <w:right w:val="none" w:sz="0" w:space="0" w:color="auto"/>
          </w:divBdr>
        </w:div>
      </w:divsChild>
    </w:div>
    <w:div w:id="661082974">
      <w:bodyDiv w:val="1"/>
      <w:marLeft w:val="0"/>
      <w:marRight w:val="0"/>
      <w:marTop w:val="0"/>
      <w:marBottom w:val="0"/>
      <w:divBdr>
        <w:top w:val="none" w:sz="0" w:space="0" w:color="auto"/>
        <w:left w:val="none" w:sz="0" w:space="0" w:color="auto"/>
        <w:bottom w:val="none" w:sz="0" w:space="0" w:color="auto"/>
        <w:right w:val="none" w:sz="0" w:space="0" w:color="auto"/>
      </w:divBdr>
      <w:divsChild>
        <w:div w:id="89547133">
          <w:marLeft w:val="547"/>
          <w:marRight w:val="0"/>
          <w:marTop w:val="0"/>
          <w:marBottom w:val="120"/>
          <w:divBdr>
            <w:top w:val="none" w:sz="0" w:space="0" w:color="auto"/>
            <w:left w:val="none" w:sz="0" w:space="0" w:color="auto"/>
            <w:bottom w:val="none" w:sz="0" w:space="0" w:color="auto"/>
            <w:right w:val="none" w:sz="0" w:space="0" w:color="auto"/>
          </w:divBdr>
        </w:div>
      </w:divsChild>
    </w:div>
    <w:div w:id="701711570">
      <w:bodyDiv w:val="1"/>
      <w:marLeft w:val="0"/>
      <w:marRight w:val="0"/>
      <w:marTop w:val="0"/>
      <w:marBottom w:val="0"/>
      <w:divBdr>
        <w:top w:val="none" w:sz="0" w:space="0" w:color="auto"/>
        <w:left w:val="none" w:sz="0" w:space="0" w:color="auto"/>
        <w:bottom w:val="none" w:sz="0" w:space="0" w:color="auto"/>
        <w:right w:val="none" w:sz="0" w:space="0" w:color="auto"/>
      </w:divBdr>
    </w:div>
    <w:div w:id="725370434">
      <w:bodyDiv w:val="1"/>
      <w:marLeft w:val="0"/>
      <w:marRight w:val="0"/>
      <w:marTop w:val="0"/>
      <w:marBottom w:val="0"/>
      <w:divBdr>
        <w:top w:val="none" w:sz="0" w:space="0" w:color="auto"/>
        <w:left w:val="none" w:sz="0" w:space="0" w:color="auto"/>
        <w:bottom w:val="none" w:sz="0" w:space="0" w:color="auto"/>
        <w:right w:val="none" w:sz="0" w:space="0" w:color="auto"/>
      </w:divBdr>
    </w:div>
    <w:div w:id="771126229">
      <w:bodyDiv w:val="1"/>
      <w:marLeft w:val="0"/>
      <w:marRight w:val="0"/>
      <w:marTop w:val="0"/>
      <w:marBottom w:val="0"/>
      <w:divBdr>
        <w:top w:val="none" w:sz="0" w:space="0" w:color="auto"/>
        <w:left w:val="none" w:sz="0" w:space="0" w:color="auto"/>
        <w:bottom w:val="none" w:sz="0" w:space="0" w:color="auto"/>
        <w:right w:val="none" w:sz="0" w:space="0" w:color="auto"/>
      </w:divBdr>
    </w:div>
    <w:div w:id="1134373730">
      <w:bodyDiv w:val="1"/>
      <w:marLeft w:val="0"/>
      <w:marRight w:val="0"/>
      <w:marTop w:val="0"/>
      <w:marBottom w:val="0"/>
      <w:divBdr>
        <w:top w:val="none" w:sz="0" w:space="0" w:color="auto"/>
        <w:left w:val="none" w:sz="0" w:space="0" w:color="auto"/>
        <w:bottom w:val="none" w:sz="0" w:space="0" w:color="auto"/>
        <w:right w:val="none" w:sz="0" w:space="0" w:color="auto"/>
      </w:divBdr>
    </w:div>
    <w:div w:id="1410731966">
      <w:bodyDiv w:val="1"/>
      <w:marLeft w:val="0"/>
      <w:marRight w:val="0"/>
      <w:marTop w:val="0"/>
      <w:marBottom w:val="0"/>
      <w:divBdr>
        <w:top w:val="none" w:sz="0" w:space="0" w:color="auto"/>
        <w:left w:val="none" w:sz="0" w:space="0" w:color="auto"/>
        <w:bottom w:val="none" w:sz="0" w:space="0" w:color="auto"/>
        <w:right w:val="none" w:sz="0" w:space="0" w:color="auto"/>
      </w:divBdr>
    </w:div>
    <w:div w:id="1614441864">
      <w:bodyDiv w:val="1"/>
      <w:marLeft w:val="0"/>
      <w:marRight w:val="0"/>
      <w:marTop w:val="0"/>
      <w:marBottom w:val="0"/>
      <w:divBdr>
        <w:top w:val="none" w:sz="0" w:space="0" w:color="auto"/>
        <w:left w:val="none" w:sz="0" w:space="0" w:color="auto"/>
        <w:bottom w:val="none" w:sz="0" w:space="0" w:color="auto"/>
        <w:right w:val="none" w:sz="0" w:space="0" w:color="auto"/>
      </w:divBdr>
    </w:div>
    <w:div w:id="1647591040">
      <w:bodyDiv w:val="1"/>
      <w:marLeft w:val="0"/>
      <w:marRight w:val="0"/>
      <w:marTop w:val="0"/>
      <w:marBottom w:val="0"/>
      <w:divBdr>
        <w:top w:val="none" w:sz="0" w:space="0" w:color="auto"/>
        <w:left w:val="none" w:sz="0" w:space="0" w:color="auto"/>
        <w:bottom w:val="none" w:sz="0" w:space="0" w:color="auto"/>
        <w:right w:val="none" w:sz="0" w:space="0" w:color="auto"/>
      </w:divBdr>
      <w:divsChild>
        <w:div w:id="805780924">
          <w:marLeft w:val="1166"/>
          <w:marRight w:val="0"/>
          <w:marTop w:val="0"/>
          <w:marBottom w:val="0"/>
          <w:divBdr>
            <w:top w:val="none" w:sz="0" w:space="0" w:color="auto"/>
            <w:left w:val="none" w:sz="0" w:space="0" w:color="auto"/>
            <w:bottom w:val="none" w:sz="0" w:space="0" w:color="auto"/>
            <w:right w:val="none" w:sz="0" w:space="0" w:color="auto"/>
          </w:divBdr>
        </w:div>
      </w:divsChild>
    </w:div>
    <w:div w:id="1665937783">
      <w:bodyDiv w:val="1"/>
      <w:marLeft w:val="0"/>
      <w:marRight w:val="0"/>
      <w:marTop w:val="0"/>
      <w:marBottom w:val="0"/>
      <w:divBdr>
        <w:top w:val="none" w:sz="0" w:space="0" w:color="auto"/>
        <w:left w:val="none" w:sz="0" w:space="0" w:color="auto"/>
        <w:bottom w:val="none" w:sz="0" w:space="0" w:color="auto"/>
        <w:right w:val="none" w:sz="0" w:space="0" w:color="auto"/>
      </w:divBdr>
      <w:divsChild>
        <w:div w:id="710619573">
          <w:marLeft w:val="864"/>
          <w:marRight w:val="0"/>
          <w:marTop w:val="0"/>
          <w:marBottom w:val="120"/>
          <w:divBdr>
            <w:top w:val="none" w:sz="0" w:space="0" w:color="auto"/>
            <w:left w:val="none" w:sz="0" w:space="0" w:color="auto"/>
            <w:bottom w:val="none" w:sz="0" w:space="0" w:color="auto"/>
            <w:right w:val="none" w:sz="0" w:space="0" w:color="auto"/>
          </w:divBdr>
        </w:div>
        <w:div w:id="1096364665">
          <w:marLeft w:val="864"/>
          <w:marRight w:val="0"/>
          <w:marTop w:val="0"/>
          <w:marBottom w:val="120"/>
          <w:divBdr>
            <w:top w:val="none" w:sz="0" w:space="0" w:color="auto"/>
            <w:left w:val="none" w:sz="0" w:space="0" w:color="auto"/>
            <w:bottom w:val="none" w:sz="0" w:space="0" w:color="auto"/>
            <w:right w:val="none" w:sz="0" w:space="0" w:color="auto"/>
          </w:divBdr>
        </w:div>
      </w:divsChild>
    </w:div>
    <w:div w:id="19853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4341</Words>
  <Characters>24747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dcterms:created xsi:type="dcterms:W3CDTF">2023-03-18T10:26:00Z</dcterms:created>
  <dcterms:modified xsi:type="dcterms:W3CDTF">2023-03-18T10:26:00Z</dcterms:modified>
</cp:coreProperties>
</file>