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FF" w:rsidRPr="00542A5B" w:rsidRDefault="00B019D1" w:rsidP="00E600FF">
      <w:pPr>
        <w:spacing w:before="120" w:after="180"/>
        <w:contextualSpacing/>
        <w:jc w:val="center"/>
        <w:rPr>
          <w:rFonts w:cs="Arial"/>
          <w:b/>
          <w:bCs/>
          <w:sz w:val="20"/>
          <w:szCs w:val="20"/>
        </w:rPr>
      </w:pPr>
      <w:bookmarkStart w:id="0" w:name="_GoBack"/>
      <w:bookmarkEnd w:id="0"/>
      <w:r w:rsidRPr="00542A5B">
        <w:rPr>
          <w:rFonts w:cs="Arial"/>
          <w:b/>
          <w:bCs/>
          <w:sz w:val="20"/>
          <w:szCs w:val="20"/>
        </w:rPr>
        <w:t>ACCOUNTABILITY NOW REPRESENTATIONS TO THE SOUTH AFRICAN CONSTITUTIONAL REVIEW COMMITTEE AND JUSTICE PORTFOLIO COMMITTEE:</w:t>
      </w:r>
    </w:p>
    <w:p w:rsidR="00B019D1" w:rsidRPr="00542A5B" w:rsidRDefault="000405DD" w:rsidP="00E600FF">
      <w:pPr>
        <w:spacing w:before="120" w:after="180"/>
        <w:contextualSpacing/>
        <w:jc w:val="center"/>
        <w:rPr>
          <w:rFonts w:cs="Arial"/>
          <w:b/>
          <w:bCs/>
          <w:sz w:val="20"/>
          <w:szCs w:val="20"/>
        </w:rPr>
      </w:pPr>
      <w:r w:rsidRPr="00542A5B">
        <w:rPr>
          <w:rFonts w:cs="Arial"/>
          <w:b/>
          <w:bCs/>
          <w:sz w:val="20"/>
          <w:szCs w:val="20"/>
        </w:rPr>
        <w:t>NON-TRIAL RESOLUTIONS</w:t>
      </w:r>
      <w:r w:rsidR="000E773B" w:rsidRPr="00542A5B">
        <w:rPr>
          <w:rFonts w:cs="Arial"/>
          <w:b/>
          <w:bCs/>
          <w:sz w:val="20"/>
          <w:szCs w:val="20"/>
        </w:rPr>
        <w:t xml:space="preserve"> (NTRs)</w:t>
      </w:r>
    </w:p>
    <w:p w:rsidR="00BD1F81" w:rsidRPr="009F4635" w:rsidRDefault="00BD1F81" w:rsidP="00E600FF">
      <w:pPr>
        <w:spacing w:before="120" w:after="180"/>
        <w:contextualSpacing/>
        <w:jc w:val="center"/>
        <w:rPr>
          <w:rFonts w:cs="Arial"/>
          <w:b/>
          <w:bCs/>
          <w:sz w:val="20"/>
          <w:szCs w:val="20"/>
        </w:rPr>
      </w:pPr>
    </w:p>
    <w:p w:rsidR="002951C8" w:rsidRPr="00542A5B" w:rsidRDefault="002951C8" w:rsidP="00E600FF">
      <w:pPr>
        <w:spacing w:before="120" w:after="180"/>
        <w:contextualSpacing/>
        <w:jc w:val="center"/>
        <w:rPr>
          <w:rFonts w:cs="Arial"/>
          <w:b/>
          <w:bCs/>
          <w:sz w:val="20"/>
          <w:szCs w:val="20"/>
        </w:rPr>
      </w:pPr>
      <w:r w:rsidRPr="00542A5B">
        <w:rPr>
          <w:rFonts w:cs="Arial"/>
          <w:b/>
          <w:bCs/>
          <w:sz w:val="20"/>
          <w:szCs w:val="20"/>
        </w:rPr>
        <w:t>SPEAKING NOTE</w:t>
      </w:r>
      <w:r w:rsidR="00D77FC7" w:rsidRPr="00542A5B">
        <w:rPr>
          <w:rFonts w:cs="Arial"/>
          <w:b/>
          <w:bCs/>
          <w:sz w:val="20"/>
          <w:szCs w:val="20"/>
        </w:rPr>
        <w:t>S</w:t>
      </w:r>
    </w:p>
    <w:p w:rsidR="002951C8" w:rsidRPr="00542A5B" w:rsidRDefault="002951C8" w:rsidP="00E600FF">
      <w:pPr>
        <w:spacing w:before="120" w:after="180"/>
        <w:contextualSpacing/>
        <w:jc w:val="center"/>
        <w:rPr>
          <w:rFonts w:cs="Arial"/>
          <w:b/>
          <w:bCs/>
          <w:sz w:val="20"/>
          <w:szCs w:val="20"/>
        </w:rPr>
      </w:pPr>
    </w:p>
    <w:p w:rsidR="00396FED" w:rsidRPr="00542A5B" w:rsidRDefault="00396FED" w:rsidP="00E600FF">
      <w:pPr>
        <w:spacing w:before="120" w:after="180"/>
        <w:contextualSpacing/>
        <w:jc w:val="center"/>
        <w:rPr>
          <w:rFonts w:cs="Arial"/>
          <w:sz w:val="20"/>
          <w:szCs w:val="20"/>
        </w:rPr>
      </w:pPr>
      <w:r w:rsidRPr="00542A5B">
        <w:rPr>
          <w:rFonts w:cs="Arial"/>
          <w:b/>
          <w:bCs/>
          <w:sz w:val="20"/>
          <w:szCs w:val="20"/>
        </w:rPr>
        <w:t>John Oxenham</w:t>
      </w:r>
      <w:r w:rsidR="00BD1F81" w:rsidRPr="00542A5B">
        <w:rPr>
          <w:rFonts w:cs="Arial"/>
          <w:sz w:val="20"/>
          <w:szCs w:val="20"/>
        </w:rPr>
        <w:t xml:space="preserve"> (Director, Primerio)</w:t>
      </w:r>
      <w:r w:rsidR="00937B07">
        <w:rPr>
          <w:rFonts w:cs="Arial"/>
          <w:sz w:val="20"/>
          <w:szCs w:val="20"/>
        </w:rPr>
        <w:t xml:space="preserve">; </w:t>
      </w:r>
      <w:r w:rsidR="00937B07" w:rsidRPr="00937B07">
        <w:rPr>
          <w:rFonts w:cs="Arial"/>
          <w:b/>
          <w:bCs/>
          <w:sz w:val="20"/>
          <w:szCs w:val="20"/>
        </w:rPr>
        <w:t>Michael-James Currie</w:t>
      </w:r>
      <w:r w:rsidR="00937B07" w:rsidRPr="00937B07">
        <w:rPr>
          <w:rFonts w:cs="Arial"/>
          <w:sz w:val="20"/>
          <w:szCs w:val="20"/>
        </w:rPr>
        <w:t xml:space="preserve"> (Director, Primerio),</w:t>
      </w:r>
    </w:p>
    <w:p w:rsidR="00BD1F81" w:rsidRPr="00542A5B" w:rsidRDefault="00BD1F81" w:rsidP="00E600FF">
      <w:pPr>
        <w:spacing w:before="120" w:after="180"/>
        <w:contextualSpacing/>
        <w:jc w:val="center"/>
        <w:rPr>
          <w:rFonts w:cs="Arial"/>
          <w:b/>
          <w:bCs/>
          <w:i/>
          <w:iCs/>
          <w:sz w:val="20"/>
          <w:szCs w:val="20"/>
        </w:rPr>
      </w:pPr>
    </w:p>
    <w:p w:rsidR="00E917FD" w:rsidRPr="00542A5B" w:rsidRDefault="00E917FD" w:rsidP="007B3AFC">
      <w:pPr>
        <w:spacing w:before="120" w:after="180"/>
        <w:jc w:val="both"/>
        <w:rPr>
          <w:rFonts w:cs="Arial"/>
          <w:sz w:val="20"/>
          <w:szCs w:val="20"/>
        </w:rPr>
      </w:pPr>
      <w:r w:rsidRPr="00542A5B">
        <w:rPr>
          <w:rFonts w:cs="Arial"/>
          <w:b/>
          <w:bCs/>
          <w:sz w:val="20"/>
          <w:szCs w:val="20"/>
        </w:rPr>
        <w:t>I</w:t>
      </w:r>
      <w:r w:rsidR="000405DD" w:rsidRPr="00542A5B">
        <w:rPr>
          <w:rFonts w:cs="Arial"/>
          <w:b/>
          <w:bCs/>
          <w:sz w:val="20"/>
          <w:szCs w:val="20"/>
        </w:rPr>
        <w:t>ntroduction</w:t>
      </w:r>
    </w:p>
    <w:p w:rsidR="001A57BC" w:rsidRPr="00542A5B" w:rsidRDefault="0032527B" w:rsidP="007B3AFC">
      <w:pPr>
        <w:pStyle w:val="ListParagraph"/>
        <w:numPr>
          <w:ilvl w:val="0"/>
          <w:numId w:val="21"/>
        </w:numPr>
        <w:spacing w:before="120" w:after="180"/>
        <w:contextualSpacing w:val="0"/>
        <w:jc w:val="both"/>
        <w:rPr>
          <w:rFonts w:cs="Arial"/>
          <w:sz w:val="20"/>
          <w:szCs w:val="20"/>
        </w:rPr>
      </w:pPr>
      <w:r w:rsidRPr="0042756A">
        <w:rPr>
          <w:rFonts w:cs="Arial"/>
          <w:sz w:val="20"/>
          <w:szCs w:val="20"/>
        </w:rPr>
        <w:t>South Africa</w:t>
      </w:r>
      <w:r w:rsidR="002951C8" w:rsidRPr="0042756A">
        <w:rPr>
          <w:rFonts w:cs="Arial"/>
          <w:sz w:val="20"/>
          <w:szCs w:val="20"/>
        </w:rPr>
        <w:t xml:space="preserve"> </w:t>
      </w:r>
      <w:r w:rsidRPr="0042756A">
        <w:rPr>
          <w:rFonts w:cs="Arial"/>
          <w:sz w:val="20"/>
          <w:szCs w:val="20"/>
        </w:rPr>
        <w:t xml:space="preserve">has an </w:t>
      </w:r>
      <w:r w:rsidR="00FE1C0F">
        <w:rPr>
          <w:rFonts w:cs="Arial"/>
          <w:sz w:val="20"/>
          <w:szCs w:val="20"/>
        </w:rPr>
        <w:t xml:space="preserve">immediate </w:t>
      </w:r>
      <w:r w:rsidRPr="0042756A">
        <w:rPr>
          <w:rFonts w:cs="Arial"/>
          <w:sz w:val="20"/>
          <w:szCs w:val="20"/>
        </w:rPr>
        <w:t>opportunity to increas</w:t>
      </w:r>
      <w:r w:rsidR="00FE1C0F">
        <w:rPr>
          <w:rFonts w:cs="Arial"/>
          <w:sz w:val="20"/>
          <w:szCs w:val="20"/>
        </w:rPr>
        <w:t>e its rate of</w:t>
      </w:r>
      <w:r w:rsidRPr="0042756A">
        <w:rPr>
          <w:rFonts w:cs="Arial"/>
          <w:sz w:val="20"/>
          <w:szCs w:val="20"/>
        </w:rPr>
        <w:t xml:space="preserve"> anti-corruption enforcement </w:t>
      </w:r>
      <w:r w:rsidR="00FE1C0F">
        <w:rPr>
          <w:rFonts w:cs="Arial"/>
          <w:sz w:val="20"/>
          <w:szCs w:val="20"/>
        </w:rPr>
        <w:t>in line with global best practice</w:t>
      </w:r>
      <w:r w:rsidRPr="00542A5B">
        <w:rPr>
          <w:rFonts w:cs="Arial"/>
          <w:sz w:val="20"/>
          <w:szCs w:val="20"/>
        </w:rPr>
        <w:t xml:space="preserve">. </w:t>
      </w:r>
      <w:r w:rsidR="002951C8" w:rsidRPr="00542A5B">
        <w:rPr>
          <w:rFonts w:cs="Arial"/>
          <w:sz w:val="20"/>
          <w:szCs w:val="20"/>
        </w:rPr>
        <w:t xml:space="preserve">Cross border </w:t>
      </w:r>
      <w:r w:rsidR="007B3AFC" w:rsidRPr="00542A5B">
        <w:rPr>
          <w:rFonts w:cs="Arial"/>
          <w:sz w:val="20"/>
          <w:szCs w:val="20"/>
        </w:rPr>
        <w:t>corruption is a uniquely difficult crime to prosecute</w:t>
      </w:r>
      <w:r w:rsidR="00FE1C0F">
        <w:rPr>
          <w:rFonts w:cs="Arial"/>
          <w:sz w:val="20"/>
          <w:szCs w:val="20"/>
        </w:rPr>
        <w:t>.</w:t>
      </w:r>
      <w:r w:rsidR="007B3AFC" w:rsidRPr="00542A5B">
        <w:rPr>
          <w:rFonts w:cs="Arial"/>
          <w:sz w:val="20"/>
          <w:szCs w:val="20"/>
        </w:rPr>
        <w:t xml:space="preserve"> </w:t>
      </w:r>
      <w:r w:rsidRPr="0042756A">
        <w:rPr>
          <w:rFonts w:cs="Arial"/>
          <w:sz w:val="20"/>
          <w:szCs w:val="20"/>
        </w:rPr>
        <w:t>Innovative legal tools are required to address the</w:t>
      </w:r>
      <w:r w:rsidR="00FE1C0F">
        <w:rPr>
          <w:rFonts w:cs="Arial"/>
          <w:sz w:val="20"/>
          <w:szCs w:val="20"/>
        </w:rPr>
        <w:t xml:space="preserve"> manifest</w:t>
      </w:r>
      <w:r w:rsidRPr="0042756A">
        <w:rPr>
          <w:rFonts w:cs="Arial"/>
          <w:sz w:val="20"/>
          <w:szCs w:val="20"/>
        </w:rPr>
        <w:t xml:space="preserve"> challenges </w:t>
      </w:r>
      <w:r w:rsidR="00FE1C0F">
        <w:rPr>
          <w:rFonts w:cs="Arial"/>
          <w:sz w:val="20"/>
          <w:szCs w:val="20"/>
        </w:rPr>
        <w:t>in</w:t>
      </w:r>
      <w:r w:rsidRPr="0042756A">
        <w:rPr>
          <w:rFonts w:cs="Arial"/>
          <w:sz w:val="20"/>
          <w:szCs w:val="20"/>
        </w:rPr>
        <w:t xml:space="preserve"> prosecuting serious economic offences</w:t>
      </w:r>
      <w:r w:rsidR="00FE1C0F">
        <w:rPr>
          <w:rFonts w:cs="Arial"/>
          <w:sz w:val="20"/>
          <w:szCs w:val="20"/>
        </w:rPr>
        <w:t xml:space="preserve"> to </w:t>
      </w:r>
      <w:r w:rsidR="00937B07">
        <w:rPr>
          <w:rFonts w:cs="Arial"/>
          <w:sz w:val="20"/>
          <w:szCs w:val="20"/>
        </w:rPr>
        <w:t>ensure more</w:t>
      </w:r>
      <w:r w:rsidRPr="0042756A">
        <w:rPr>
          <w:rFonts w:cs="Arial"/>
          <w:sz w:val="20"/>
          <w:szCs w:val="20"/>
        </w:rPr>
        <w:t xml:space="preserve"> effective use of the NPA’s limited resources</w:t>
      </w:r>
      <w:r w:rsidR="00FE1C0F">
        <w:rPr>
          <w:rFonts w:cs="Arial"/>
          <w:sz w:val="20"/>
          <w:szCs w:val="20"/>
        </w:rPr>
        <w:t xml:space="preserve"> and ensure concomitant redress for South Africa</w:t>
      </w:r>
      <w:r w:rsidRPr="00542A5B">
        <w:rPr>
          <w:rFonts w:cs="Arial"/>
          <w:sz w:val="20"/>
          <w:szCs w:val="20"/>
        </w:rPr>
        <w:t>.</w:t>
      </w:r>
    </w:p>
    <w:p w:rsidR="000E773B" w:rsidRPr="00542A5B" w:rsidRDefault="00FE1C0F" w:rsidP="007B3AFC">
      <w:pPr>
        <w:pStyle w:val="ListParagraph"/>
        <w:numPr>
          <w:ilvl w:val="0"/>
          <w:numId w:val="21"/>
        </w:numPr>
        <w:spacing w:before="120" w:after="180"/>
        <w:contextualSpacing w:val="0"/>
        <w:jc w:val="both"/>
        <w:rPr>
          <w:rFonts w:cs="Arial"/>
          <w:sz w:val="20"/>
          <w:szCs w:val="20"/>
        </w:rPr>
      </w:pPr>
      <w:r>
        <w:rPr>
          <w:rFonts w:cs="Arial"/>
          <w:sz w:val="20"/>
          <w:szCs w:val="20"/>
        </w:rPr>
        <w:t>There is a</w:t>
      </w:r>
      <w:r w:rsidR="006A1597" w:rsidRPr="0042756A">
        <w:rPr>
          <w:rFonts w:cs="Arial"/>
          <w:sz w:val="20"/>
          <w:szCs w:val="20"/>
        </w:rPr>
        <w:t xml:space="preserve"> gap in South African law</w:t>
      </w:r>
      <w:r>
        <w:rPr>
          <w:rFonts w:cs="Arial"/>
          <w:sz w:val="20"/>
          <w:szCs w:val="20"/>
        </w:rPr>
        <w:t xml:space="preserve">.  Our submission addresses </w:t>
      </w:r>
      <w:r w:rsidR="006A1597" w:rsidRPr="0042756A">
        <w:rPr>
          <w:rFonts w:cs="Arial"/>
          <w:sz w:val="20"/>
          <w:szCs w:val="20"/>
        </w:rPr>
        <w:t>‘</w:t>
      </w:r>
      <w:r w:rsidR="006A1597" w:rsidRPr="00FE1C0F">
        <w:rPr>
          <w:rFonts w:cs="Arial"/>
          <w:i/>
          <w:iCs/>
          <w:sz w:val="20"/>
          <w:szCs w:val="20"/>
        </w:rPr>
        <w:t>the absence of a law, meaningfully enforced, which incentivises companies to enforce effective internal compliance measures at their own expense’</w:t>
      </w:r>
      <w:r w:rsidR="006A1597" w:rsidRPr="00542A5B">
        <w:rPr>
          <w:rStyle w:val="FootnoteReference"/>
          <w:rFonts w:cs="Arial"/>
          <w:sz w:val="20"/>
          <w:szCs w:val="20"/>
        </w:rPr>
        <w:footnoteReference w:id="2"/>
      </w:r>
      <w:r w:rsidR="006A1597" w:rsidRPr="00542A5B">
        <w:rPr>
          <w:rFonts w:cs="Arial"/>
          <w:sz w:val="20"/>
          <w:szCs w:val="20"/>
        </w:rPr>
        <w:t xml:space="preserve"> </w:t>
      </w:r>
      <w:r>
        <w:rPr>
          <w:rFonts w:cs="Arial"/>
          <w:sz w:val="20"/>
          <w:szCs w:val="20"/>
        </w:rPr>
        <w:t xml:space="preserve">to ensure alignment </w:t>
      </w:r>
      <w:r w:rsidR="006A1597" w:rsidRPr="00542A5B">
        <w:rPr>
          <w:rFonts w:cs="Arial"/>
          <w:sz w:val="20"/>
          <w:szCs w:val="20"/>
        </w:rPr>
        <w:t xml:space="preserve"> with international best practice and arguably </w:t>
      </w:r>
      <w:r>
        <w:rPr>
          <w:rFonts w:cs="Arial"/>
          <w:sz w:val="20"/>
          <w:szCs w:val="20"/>
        </w:rPr>
        <w:t xml:space="preserve">preclude </w:t>
      </w:r>
      <w:r w:rsidR="006A1597" w:rsidRPr="00542A5B">
        <w:rPr>
          <w:rFonts w:cs="Arial"/>
          <w:sz w:val="20"/>
          <w:szCs w:val="20"/>
        </w:rPr>
        <w:t>a corporate culture of non-compliance with anti-corruption rules and norms.</w:t>
      </w:r>
    </w:p>
    <w:p w:rsidR="00E04B68" w:rsidRPr="00542A5B" w:rsidRDefault="000E773B" w:rsidP="007B3AFC">
      <w:pPr>
        <w:pStyle w:val="ListParagraph"/>
        <w:numPr>
          <w:ilvl w:val="0"/>
          <w:numId w:val="21"/>
        </w:numPr>
        <w:spacing w:before="120" w:after="180"/>
        <w:contextualSpacing w:val="0"/>
        <w:jc w:val="both"/>
        <w:rPr>
          <w:rFonts w:cs="Arial"/>
          <w:sz w:val="20"/>
          <w:szCs w:val="20"/>
        </w:rPr>
      </w:pPr>
      <w:r w:rsidRPr="0042756A">
        <w:rPr>
          <w:rFonts w:cs="Arial"/>
          <w:sz w:val="20"/>
          <w:szCs w:val="20"/>
        </w:rPr>
        <w:t xml:space="preserve">Most notably, the implementation of a non-trial resolution (NTR) </w:t>
      </w:r>
      <w:r w:rsidR="003153C0" w:rsidRPr="0042756A">
        <w:rPr>
          <w:rFonts w:cs="Arial"/>
          <w:sz w:val="20"/>
          <w:szCs w:val="20"/>
        </w:rPr>
        <w:t>framework</w:t>
      </w:r>
      <w:r w:rsidRPr="0042756A">
        <w:rPr>
          <w:rFonts w:cs="Arial"/>
          <w:sz w:val="20"/>
          <w:szCs w:val="20"/>
        </w:rPr>
        <w:t xml:space="preserve"> is, together with other tools such as an enhance</w:t>
      </w:r>
      <w:r w:rsidR="003153C0" w:rsidRPr="0042756A">
        <w:rPr>
          <w:rFonts w:cs="Arial"/>
          <w:sz w:val="20"/>
          <w:szCs w:val="20"/>
        </w:rPr>
        <w:t>d</w:t>
      </w:r>
      <w:r w:rsidRPr="0042756A">
        <w:rPr>
          <w:rFonts w:cs="Arial"/>
          <w:sz w:val="20"/>
          <w:szCs w:val="20"/>
        </w:rPr>
        <w:t xml:space="preserve"> whistle-blower </w:t>
      </w:r>
      <w:r w:rsidR="003153C0" w:rsidRPr="0042756A">
        <w:rPr>
          <w:rFonts w:cs="Arial"/>
          <w:sz w:val="20"/>
          <w:szCs w:val="20"/>
        </w:rPr>
        <w:t>framework</w:t>
      </w:r>
      <w:r w:rsidR="00FE1C0F">
        <w:rPr>
          <w:rFonts w:cs="Arial"/>
          <w:sz w:val="20"/>
          <w:szCs w:val="20"/>
        </w:rPr>
        <w:t>,</w:t>
      </w:r>
      <w:r w:rsidR="00D77FC7" w:rsidRPr="0042756A">
        <w:rPr>
          <w:rFonts w:cs="Arial"/>
          <w:sz w:val="20"/>
          <w:szCs w:val="20"/>
        </w:rPr>
        <w:t xml:space="preserve"> </w:t>
      </w:r>
      <w:r w:rsidRPr="0042756A">
        <w:rPr>
          <w:rFonts w:cs="Arial"/>
          <w:sz w:val="20"/>
          <w:szCs w:val="20"/>
        </w:rPr>
        <w:t>essential if South Africa wishes to meaningfully combat corruption</w:t>
      </w:r>
      <w:r w:rsidRPr="00542A5B">
        <w:rPr>
          <w:rFonts w:cs="Arial"/>
          <w:sz w:val="20"/>
          <w:szCs w:val="20"/>
        </w:rPr>
        <w:t>.</w:t>
      </w:r>
    </w:p>
    <w:p w:rsidR="00542A5B" w:rsidRPr="00542A5B" w:rsidRDefault="00542A5B" w:rsidP="00542A5B">
      <w:pPr>
        <w:pStyle w:val="NormalWeb"/>
        <w:numPr>
          <w:ilvl w:val="0"/>
          <w:numId w:val="21"/>
        </w:numPr>
        <w:spacing w:before="120" w:beforeAutospacing="0" w:after="180" w:afterAutospacing="0" w:line="360" w:lineRule="auto"/>
        <w:jc w:val="both"/>
        <w:rPr>
          <w:rFonts w:ascii="Arial" w:hAnsi="Arial" w:cs="Arial"/>
          <w:sz w:val="20"/>
          <w:szCs w:val="20"/>
        </w:rPr>
      </w:pPr>
      <w:r w:rsidRPr="0042756A">
        <w:rPr>
          <w:rFonts w:ascii="Arial" w:hAnsi="Arial" w:cs="Arial"/>
          <w:sz w:val="20"/>
          <w:szCs w:val="20"/>
        </w:rPr>
        <w:t>The US Department of Justice innovated a method for enforcing corruption charges in terms of the Foreign Corrupt Practices Act. Since then, other countries, including the UK, the Netherlands, Brazil, Argentina, France, Israel, Japan, Chile, Canada and Australia, have also developed a legal framework to provide for NTRs. NTR-type instruments are also used to settle corruption cases out of court in countries including Malaysia, Norway and Germany</w:t>
      </w:r>
      <w:r w:rsidRPr="00542A5B">
        <w:rPr>
          <w:rFonts w:ascii="Arial" w:hAnsi="Arial" w:cs="Arial"/>
          <w:sz w:val="20"/>
          <w:szCs w:val="20"/>
        </w:rPr>
        <w:t>.</w:t>
      </w:r>
      <w:r w:rsidRPr="00542A5B">
        <w:rPr>
          <w:rStyle w:val="FootnoteReference"/>
          <w:rFonts w:ascii="Arial" w:hAnsi="Arial" w:cs="Arial"/>
          <w:sz w:val="20"/>
          <w:szCs w:val="20"/>
        </w:rPr>
        <w:footnoteReference w:id="3"/>
      </w:r>
      <w:r w:rsidRPr="00542A5B">
        <w:rPr>
          <w:rFonts w:ascii="Arial" w:hAnsi="Arial" w:cs="Arial"/>
          <w:sz w:val="20"/>
          <w:szCs w:val="20"/>
        </w:rPr>
        <w:t xml:space="preserve"> </w:t>
      </w:r>
    </w:p>
    <w:p w:rsidR="00542A5B" w:rsidRPr="00542A5B" w:rsidRDefault="00542A5B" w:rsidP="00542A5B">
      <w:pPr>
        <w:pStyle w:val="ListParagraph"/>
        <w:numPr>
          <w:ilvl w:val="0"/>
          <w:numId w:val="21"/>
        </w:numPr>
        <w:spacing w:before="120" w:after="180"/>
        <w:contextualSpacing w:val="0"/>
        <w:jc w:val="both"/>
        <w:rPr>
          <w:rFonts w:cs="Arial"/>
          <w:b/>
          <w:bCs/>
          <w:sz w:val="20"/>
          <w:szCs w:val="20"/>
        </w:rPr>
      </w:pPr>
      <w:r w:rsidRPr="00542A5B">
        <w:rPr>
          <w:rFonts w:cs="Arial"/>
          <w:sz w:val="20"/>
          <w:szCs w:val="20"/>
        </w:rPr>
        <w:t xml:space="preserve">Research by the </w:t>
      </w:r>
      <w:r w:rsidR="00FE1C0F">
        <w:rPr>
          <w:rFonts w:cs="Arial"/>
          <w:sz w:val="20"/>
          <w:szCs w:val="20"/>
        </w:rPr>
        <w:t xml:space="preserve">Organisation for Economic Co-operation and Development and </w:t>
      </w:r>
      <w:r w:rsidRPr="00542A5B">
        <w:rPr>
          <w:rStyle w:val="FootnoteReference"/>
          <w:rFonts w:cs="Arial"/>
          <w:sz w:val="20"/>
          <w:szCs w:val="20"/>
        </w:rPr>
        <w:footnoteReference w:id="4"/>
      </w:r>
      <w:r w:rsidRPr="00542A5B">
        <w:rPr>
          <w:rFonts w:cs="Arial"/>
          <w:sz w:val="20"/>
          <w:szCs w:val="20"/>
        </w:rPr>
        <w:t xml:space="preserve"> </w:t>
      </w:r>
      <w:r w:rsidR="00FE1C0F">
        <w:rPr>
          <w:rFonts w:cs="Arial"/>
          <w:sz w:val="20"/>
          <w:szCs w:val="20"/>
        </w:rPr>
        <w:t>the</w:t>
      </w:r>
      <w:r w:rsidRPr="00542A5B">
        <w:rPr>
          <w:rFonts w:cs="Arial"/>
          <w:sz w:val="20"/>
          <w:szCs w:val="20"/>
        </w:rPr>
        <w:t xml:space="preserve"> </w:t>
      </w:r>
      <w:r w:rsidR="00FE1C0F" w:rsidRPr="00FE1C0F">
        <w:rPr>
          <w:rFonts w:cs="Arial"/>
          <w:sz w:val="20"/>
          <w:szCs w:val="20"/>
        </w:rPr>
        <w:t>United Nations Office on Drugs and Crime</w:t>
      </w:r>
      <w:r w:rsidRPr="00542A5B">
        <w:rPr>
          <w:rStyle w:val="FootnoteReference"/>
          <w:rFonts w:cs="Arial"/>
          <w:sz w:val="20"/>
          <w:szCs w:val="20"/>
        </w:rPr>
        <w:footnoteReference w:id="5"/>
      </w:r>
      <w:r w:rsidRPr="00542A5B">
        <w:rPr>
          <w:rFonts w:cs="Arial"/>
          <w:sz w:val="20"/>
          <w:szCs w:val="20"/>
        </w:rPr>
        <w:t xml:space="preserve"> states that NTRs are increasingly important in resolving corruption cases. The use of non-conviction based NTRs </w:t>
      </w:r>
      <w:r w:rsidR="00FE1C0F">
        <w:rPr>
          <w:rFonts w:cs="Arial"/>
          <w:sz w:val="20"/>
          <w:szCs w:val="20"/>
        </w:rPr>
        <w:t>are</w:t>
      </w:r>
      <w:r w:rsidRPr="00542A5B">
        <w:rPr>
          <w:rFonts w:cs="Arial"/>
          <w:sz w:val="20"/>
          <w:szCs w:val="20"/>
        </w:rPr>
        <w:t xml:space="preserve"> a key driver of increased global anti-corruption enforcement. </w:t>
      </w:r>
    </w:p>
    <w:p w:rsidR="003D76A1" w:rsidRPr="00542A5B" w:rsidRDefault="00FE1C0F" w:rsidP="003D76A1">
      <w:pPr>
        <w:pStyle w:val="ListParagraph"/>
        <w:numPr>
          <w:ilvl w:val="0"/>
          <w:numId w:val="21"/>
        </w:numPr>
        <w:spacing w:before="120" w:after="180"/>
        <w:contextualSpacing w:val="0"/>
        <w:jc w:val="both"/>
        <w:rPr>
          <w:rFonts w:cs="Arial"/>
          <w:sz w:val="20"/>
          <w:szCs w:val="20"/>
        </w:rPr>
      </w:pPr>
      <w:r>
        <w:rPr>
          <w:rFonts w:cs="Arial"/>
          <w:sz w:val="20"/>
          <w:szCs w:val="20"/>
        </w:rPr>
        <w:t>Importantly, the</w:t>
      </w:r>
      <w:r w:rsidR="003D76A1" w:rsidRPr="0042756A">
        <w:rPr>
          <w:rFonts w:cs="Arial"/>
          <w:sz w:val="20"/>
          <w:szCs w:val="20"/>
        </w:rPr>
        <w:t xml:space="preserve"> use of NTRs is </w:t>
      </w:r>
      <w:r>
        <w:rPr>
          <w:rFonts w:cs="Arial"/>
          <w:sz w:val="20"/>
          <w:szCs w:val="20"/>
        </w:rPr>
        <w:t>one of the</w:t>
      </w:r>
      <w:r w:rsidR="003D76A1" w:rsidRPr="0042756A">
        <w:rPr>
          <w:rFonts w:cs="Arial"/>
          <w:sz w:val="20"/>
          <w:szCs w:val="20"/>
        </w:rPr>
        <w:t xml:space="preserve"> key recommendation contained in </w:t>
      </w:r>
      <w:r w:rsidR="00EB0303" w:rsidRPr="0042756A">
        <w:rPr>
          <w:rFonts w:cs="Arial"/>
          <w:sz w:val="20"/>
          <w:szCs w:val="20"/>
        </w:rPr>
        <w:t>the</w:t>
      </w:r>
      <w:r>
        <w:rPr>
          <w:rFonts w:cs="Arial"/>
          <w:sz w:val="20"/>
          <w:szCs w:val="20"/>
        </w:rPr>
        <w:t xml:space="preserve"> Report into </w:t>
      </w:r>
      <w:r w:rsidR="00EB0303" w:rsidRPr="0042756A">
        <w:rPr>
          <w:rFonts w:cs="Arial"/>
          <w:sz w:val="20"/>
          <w:szCs w:val="20"/>
        </w:rPr>
        <w:t>State Capture</w:t>
      </w:r>
      <w:r>
        <w:rPr>
          <w:rFonts w:cs="Arial"/>
          <w:sz w:val="20"/>
          <w:szCs w:val="20"/>
        </w:rPr>
        <w:t xml:space="preserve"> issued by Chief Justice Zondo</w:t>
      </w:r>
      <w:r w:rsidR="003D76A1" w:rsidRPr="00542A5B">
        <w:rPr>
          <w:rFonts w:cs="Arial"/>
          <w:sz w:val="20"/>
          <w:szCs w:val="20"/>
        </w:rPr>
        <w:t>.</w:t>
      </w:r>
      <w:r w:rsidR="003D76A1" w:rsidRPr="00542A5B">
        <w:rPr>
          <w:rStyle w:val="FootnoteReference"/>
          <w:rFonts w:cs="Arial"/>
          <w:sz w:val="20"/>
          <w:szCs w:val="20"/>
        </w:rPr>
        <w:footnoteReference w:id="6"/>
      </w:r>
      <w:r w:rsidR="003D76A1" w:rsidRPr="00542A5B">
        <w:rPr>
          <w:rFonts w:cs="Arial"/>
          <w:sz w:val="20"/>
          <w:szCs w:val="20"/>
        </w:rPr>
        <w:t xml:space="preserve"> </w:t>
      </w:r>
    </w:p>
    <w:p w:rsidR="00D77FC7" w:rsidRPr="00542A5B" w:rsidRDefault="003D76A1" w:rsidP="00D77FC7">
      <w:pPr>
        <w:pStyle w:val="ListParagraph"/>
        <w:numPr>
          <w:ilvl w:val="0"/>
          <w:numId w:val="21"/>
        </w:numPr>
        <w:spacing w:before="120" w:after="180"/>
        <w:contextualSpacing w:val="0"/>
        <w:jc w:val="both"/>
        <w:rPr>
          <w:rFonts w:cs="Arial"/>
          <w:b/>
          <w:bCs/>
          <w:sz w:val="20"/>
          <w:szCs w:val="20"/>
        </w:rPr>
      </w:pPr>
      <w:r w:rsidRPr="0042756A">
        <w:rPr>
          <w:rFonts w:cs="Arial"/>
          <w:sz w:val="20"/>
          <w:szCs w:val="20"/>
        </w:rPr>
        <w:lastRenderedPageBreak/>
        <w:t xml:space="preserve">NTRs are also a central feature of the recently published </w:t>
      </w:r>
      <w:r w:rsidR="00D77FC7" w:rsidRPr="0042756A">
        <w:rPr>
          <w:rFonts w:cs="Arial"/>
          <w:sz w:val="20"/>
          <w:szCs w:val="20"/>
        </w:rPr>
        <w:t xml:space="preserve">2021 </w:t>
      </w:r>
      <w:r w:rsidR="00EB0303" w:rsidRPr="0042756A">
        <w:rPr>
          <w:rFonts w:cs="Arial"/>
          <w:sz w:val="20"/>
          <w:szCs w:val="20"/>
        </w:rPr>
        <w:t xml:space="preserve">OECD </w:t>
      </w:r>
      <w:r w:rsidR="00D77FC7" w:rsidRPr="0042756A">
        <w:rPr>
          <w:rFonts w:cs="Arial"/>
          <w:sz w:val="20"/>
          <w:szCs w:val="20"/>
        </w:rPr>
        <w:t xml:space="preserve">Anti-Bribery </w:t>
      </w:r>
      <w:r w:rsidR="00EB0303" w:rsidRPr="0042756A">
        <w:rPr>
          <w:rFonts w:cs="Arial"/>
          <w:sz w:val="20"/>
          <w:szCs w:val="20"/>
        </w:rPr>
        <w:t>Recommendations</w:t>
      </w:r>
      <w:r w:rsidR="00EB0303" w:rsidRPr="00542A5B">
        <w:rPr>
          <w:rFonts w:cs="Arial"/>
          <w:sz w:val="20"/>
          <w:szCs w:val="20"/>
        </w:rPr>
        <w:t>.</w:t>
      </w:r>
      <w:r w:rsidRPr="00542A5B">
        <w:rPr>
          <w:rStyle w:val="FootnoteReference"/>
          <w:rFonts w:cs="Arial"/>
          <w:sz w:val="20"/>
          <w:szCs w:val="20"/>
        </w:rPr>
        <w:footnoteReference w:id="7"/>
      </w:r>
      <w:r w:rsidRPr="00542A5B">
        <w:rPr>
          <w:rFonts w:cs="Arial"/>
          <w:sz w:val="20"/>
          <w:szCs w:val="20"/>
        </w:rPr>
        <w:t xml:space="preserve"> </w:t>
      </w:r>
      <w:r w:rsidR="00D77FC7" w:rsidRPr="0042756A">
        <w:rPr>
          <w:rFonts w:cs="Arial"/>
          <w:sz w:val="20"/>
          <w:szCs w:val="20"/>
        </w:rPr>
        <w:t>Per the Recommendations, Member States should consider using a “</w:t>
      </w:r>
      <w:r w:rsidR="00D77FC7" w:rsidRPr="0042756A">
        <w:rPr>
          <w:rFonts w:cs="Arial"/>
          <w:i/>
          <w:iCs/>
          <w:sz w:val="20"/>
          <w:szCs w:val="20"/>
        </w:rPr>
        <w:t>variety of forms of resolutions</w:t>
      </w:r>
      <w:r w:rsidR="00D77FC7" w:rsidRPr="0042756A">
        <w:rPr>
          <w:rFonts w:cs="Arial"/>
          <w:sz w:val="20"/>
          <w:szCs w:val="20"/>
        </w:rPr>
        <w:t>” in the resolution of “</w:t>
      </w:r>
      <w:r w:rsidR="00D77FC7" w:rsidRPr="0042756A">
        <w:rPr>
          <w:rFonts w:cs="Arial"/>
          <w:i/>
          <w:iCs/>
          <w:sz w:val="20"/>
          <w:szCs w:val="20"/>
        </w:rPr>
        <w:t>criminal, administrative and civil cases with both legal and natural persons</w:t>
      </w:r>
      <w:r w:rsidR="00D77FC7" w:rsidRPr="00542A5B">
        <w:rPr>
          <w:rFonts w:cs="Arial"/>
          <w:i/>
          <w:iCs/>
          <w:sz w:val="20"/>
          <w:szCs w:val="20"/>
        </w:rPr>
        <w:t>.</w:t>
      </w:r>
      <w:r w:rsidR="00D77FC7" w:rsidRPr="00542A5B">
        <w:rPr>
          <w:rFonts w:cs="Arial"/>
          <w:sz w:val="20"/>
          <w:szCs w:val="20"/>
        </w:rPr>
        <w:t>”</w:t>
      </w:r>
      <w:r w:rsidR="00D77FC7" w:rsidRPr="00542A5B">
        <w:rPr>
          <w:rStyle w:val="FootnoteReference"/>
          <w:rFonts w:cs="Arial"/>
          <w:sz w:val="20"/>
          <w:szCs w:val="20"/>
        </w:rPr>
        <w:footnoteReference w:id="8"/>
      </w:r>
    </w:p>
    <w:p w:rsidR="003D76A1" w:rsidRPr="00542A5B" w:rsidRDefault="003D76A1" w:rsidP="003D76A1">
      <w:pPr>
        <w:pStyle w:val="ListParagraph"/>
        <w:numPr>
          <w:ilvl w:val="0"/>
          <w:numId w:val="21"/>
        </w:numPr>
        <w:spacing w:before="120" w:after="180"/>
        <w:contextualSpacing w:val="0"/>
        <w:jc w:val="both"/>
        <w:rPr>
          <w:rFonts w:cs="Arial"/>
          <w:sz w:val="20"/>
          <w:szCs w:val="20"/>
        </w:rPr>
      </w:pPr>
      <w:r w:rsidRPr="0042756A">
        <w:rPr>
          <w:rFonts w:cs="Arial"/>
          <w:sz w:val="20"/>
          <w:szCs w:val="20"/>
        </w:rPr>
        <w:t>The OECD Recommendations serve to “</w:t>
      </w:r>
      <w:r w:rsidRPr="0042756A">
        <w:rPr>
          <w:rFonts w:cs="Arial"/>
          <w:i/>
          <w:iCs/>
          <w:sz w:val="20"/>
          <w:szCs w:val="20"/>
        </w:rPr>
        <w:t>address challenges, good practices and cross-cutting issues that have emerged in the global anti-corruption landscape since 2009</w:t>
      </w:r>
      <w:r w:rsidRPr="00542A5B">
        <w:rPr>
          <w:rFonts w:cs="Arial"/>
          <w:i/>
          <w:iCs/>
          <w:sz w:val="20"/>
          <w:szCs w:val="20"/>
        </w:rPr>
        <w:t>.</w:t>
      </w:r>
      <w:r w:rsidRPr="00542A5B">
        <w:rPr>
          <w:rFonts w:cs="Arial"/>
          <w:sz w:val="20"/>
          <w:szCs w:val="20"/>
        </w:rPr>
        <w:t>”</w:t>
      </w:r>
      <w:r w:rsidRPr="00542A5B">
        <w:rPr>
          <w:rStyle w:val="FootnoteReference"/>
          <w:rFonts w:cs="Arial"/>
          <w:sz w:val="20"/>
          <w:szCs w:val="20"/>
        </w:rPr>
        <w:footnoteReference w:id="9"/>
      </w:r>
      <w:r w:rsidRPr="00542A5B">
        <w:rPr>
          <w:rFonts w:cs="Arial"/>
          <w:sz w:val="20"/>
          <w:szCs w:val="20"/>
        </w:rPr>
        <w:t xml:space="preserve"> As a Member State to the OECD Anti-Bribery Convention,</w:t>
      </w:r>
      <w:r w:rsidRPr="00542A5B">
        <w:rPr>
          <w:rStyle w:val="FootnoteReference"/>
          <w:rFonts w:cs="Arial"/>
          <w:sz w:val="20"/>
          <w:szCs w:val="20"/>
        </w:rPr>
        <w:footnoteReference w:id="10"/>
      </w:r>
      <w:r w:rsidRPr="00542A5B">
        <w:rPr>
          <w:rFonts w:cs="Arial"/>
          <w:sz w:val="20"/>
          <w:szCs w:val="20"/>
        </w:rPr>
        <w:t xml:space="preserve"> South Africa would be well advised to implement the OECD Recommendation</w:t>
      </w:r>
      <w:r w:rsidR="00D77FC7" w:rsidRPr="00542A5B">
        <w:rPr>
          <w:rFonts w:cs="Arial"/>
          <w:sz w:val="20"/>
          <w:szCs w:val="20"/>
        </w:rPr>
        <w:t>. T</w:t>
      </w:r>
      <w:r w:rsidRPr="00542A5B">
        <w:rPr>
          <w:rFonts w:cs="Arial"/>
          <w:sz w:val="20"/>
          <w:szCs w:val="20"/>
        </w:rPr>
        <w:t xml:space="preserve">he </w:t>
      </w:r>
      <w:r w:rsidR="00D77FC7" w:rsidRPr="00542A5B">
        <w:rPr>
          <w:rFonts w:cs="Arial"/>
          <w:sz w:val="20"/>
          <w:szCs w:val="20"/>
        </w:rPr>
        <w:t xml:space="preserve">OECD </w:t>
      </w:r>
      <w:r w:rsidRPr="00542A5B">
        <w:rPr>
          <w:rFonts w:cs="Arial"/>
          <w:sz w:val="20"/>
          <w:szCs w:val="20"/>
        </w:rPr>
        <w:t xml:space="preserve">Working Group </w:t>
      </w:r>
      <w:r w:rsidR="00D77FC7" w:rsidRPr="00542A5B">
        <w:rPr>
          <w:rFonts w:cs="Arial"/>
          <w:sz w:val="20"/>
          <w:szCs w:val="20"/>
        </w:rPr>
        <w:t xml:space="preserve">has </w:t>
      </w:r>
      <w:r w:rsidRPr="00542A5B">
        <w:rPr>
          <w:rFonts w:cs="Arial"/>
          <w:sz w:val="20"/>
          <w:szCs w:val="20"/>
        </w:rPr>
        <w:t>recommended that “</w:t>
      </w:r>
      <w:r w:rsidRPr="00542A5B">
        <w:rPr>
          <w:rFonts w:cs="Arial"/>
          <w:i/>
          <w:iCs/>
          <w:sz w:val="20"/>
          <w:szCs w:val="20"/>
        </w:rPr>
        <w:t>South Africa significantly step up efforts to detect, investigate and prosecute foreign bribery</w:t>
      </w:r>
      <w:r w:rsidRPr="00542A5B">
        <w:rPr>
          <w:rFonts w:cs="Arial"/>
          <w:sz w:val="20"/>
          <w:szCs w:val="20"/>
        </w:rPr>
        <w:t>”.</w:t>
      </w:r>
      <w:r w:rsidRPr="00542A5B">
        <w:rPr>
          <w:rStyle w:val="FootnoteReference"/>
          <w:rFonts w:cs="Arial"/>
          <w:sz w:val="20"/>
          <w:szCs w:val="20"/>
        </w:rPr>
        <w:t xml:space="preserve"> </w:t>
      </w:r>
      <w:r w:rsidRPr="00542A5B">
        <w:rPr>
          <w:rStyle w:val="FootnoteReference"/>
          <w:rFonts w:cs="Arial"/>
          <w:sz w:val="20"/>
          <w:szCs w:val="20"/>
        </w:rPr>
        <w:footnoteReference w:id="11"/>
      </w:r>
    </w:p>
    <w:p w:rsidR="009D4A05" w:rsidRPr="0042756A" w:rsidRDefault="000E773B" w:rsidP="007B3AFC">
      <w:pPr>
        <w:spacing w:before="120" w:after="180"/>
        <w:jc w:val="both"/>
        <w:rPr>
          <w:rFonts w:cs="Arial"/>
          <w:sz w:val="20"/>
          <w:szCs w:val="20"/>
        </w:rPr>
      </w:pPr>
      <w:r w:rsidRPr="00542A5B">
        <w:rPr>
          <w:rFonts w:cs="Arial"/>
          <w:b/>
          <w:bCs/>
          <w:sz w:val="20"/>
          <w:szCs w:val="20"/>
        </w:rPr>
        <w:t xml:space="preserve">What Are </w:t>
      </w:r>
      <w:r w:rsidR="009D4A05" w:rsidRPr="00542A5B">
        <w:rPr>
          <w:rFonts w:cs="Arial"/>
          <w:b/>
          <w:bCs/>
          <w:sz w:val="20"/>
          <w:szCs w:val="20"/>
        </w:rPr>
        <w:t>Non-Trial Resolutions</w:t>
      </w:r>
      <w:r w:rsidRPr="00542A5B">
        <w:rPr>
          <w:rFonts w:cs="Arial"/>
          <w:b/>
          <w:bCs/>
          <w:sz w:val="20"/>
          <w:szCs w:val="20"/>
        </w:rPr>
        <w:t>?</w:t>
      </w:r>
    </w:p>
    <w:p w:rsidR="001B2637" w:rsidRPr="00542A5B" w:rsidRDefault="001B2637" w:rsidP="007B3AFC">
      <w:pPr>
        <w:pStyle w:val="ListParagraph"/>
        <w:numPr>
          <w:ilvl w:val="0"/>
          <w:numId w:val="21"/>
        </w:numPr>
        <w:spacing w:before="120" w:after="180"/>
        <w:contextualSpacing w:val="0"/>
        <w:jc w:val="both"/>
        <w:rPr>
          <w:rFonts w:cs="Arial"/>
          <w:sz w:val="20"/>
          <w:szCs w:val="20"/>
        </w:rPr>
      </w:pPr>
      <w:r w:rsidRPr="00542A5B">
        <w:rPr>
          <w:rFonts w:cs="Arial"/>
          <w:sz w:val="20"/>
          <w:szCs w:val="20"/>
        </w:rPr>
        <w:t>NTRs are ‘any agreement between a legal or natural person and an enforcement authority to resolve bribery cases without a full trial on the merits of the allegations either before or after conviction (e.g. plea deals) or a non-conviction mechanism (e.g. non-prosecution or deferred-prosecution agreements)’.</w:t>
      </w:r>
      <w:r w:rsidRPr="00542A5B">
        <w:rPr>
          <w:rStyle w:val="FootnoteReference"/>
          <w:rFonts w:cs="Arial"/>
          <w:sz w:val="20"/>
          <w:szCs w:val="20"/>
        </w:rPr>
        <w:footnoteReference w:id="12"/>
      </w:r>
      <w:r w:rsidRPr="00542A5B">
        <w:rPr>
          <w:rFonts w:cs="Arial"/>
          <w:sz w:val="20"/>
          <w:szCs w:val="20"/>
        </w:rPr>
        <w:t xml:space="preserve"> Non-conviction-based NTRs are a system of structured, differential incentives for legal and natural persons implicated in corruption to voluntarily disclose corrupt conduct, disgorge and remediate.</w:t>
      </w:r>
      <w:r w:rsidRPr="00542A5B">
        <w:rPr>
          <w:rStyle w:val="FootnoteReference"/>
          <w:rFonts w:cs="Arial"/>
          <w:sz w:val="20"/>
          <w:szCs w:val="20"/>
        </w:rPr>
        <w:footnoteReference w:id="13"/>
      </w:r>
    </w:p>
    <w:p w:rsidR="001B2637" w:rsidRPr="00542A5B" w:rsidRDefault="001B2637" w:rsidP="007B3AFC">
      <w:pPr>
        <w:pStyle w:val="ListParagraph"/>
        <w:numPr>
          <w:ilvl w:val="0"/>
          <w:numId w:val="21"/>
        </w:numPr>
        <w:spacing w:before="120" w:after="180"/>
        <w:contextualSpacing w:val="0"/>
        <w:jc w:val="both"/>
        <w:rPr>
          <w:rFonts w:cs="Arial"/>
          <w:sz w:val="20"/>
          <w:szCs w:val="20"/>
        </w:rPr>
      </w:pPr>
      <w:r w:rsidRPr="0042756A">
        <w:rPr>
          <w:rFonts w:cs="Arial"/>
          <w:sz w:val="20"/>
          <w:szCs w:val="20"/>
        </w:rPr>
        <w:t>NTRs are defined by the OECD Recommendations as “</w:t>
      </w:r>
      <w:r w:rsidRPr="0042756A">
        <w:rPr>
          <w:rFonts w:cs="Arial"/>
          <w:i/>
          <w:iCs/>
          <w:sz w:val="20"/>
          <w:szCs w:val="20"/>
        </w:rPr>
        <w:t>mechanisms developed and used to resolve matters without a full court or administrative proceeding, based on a negotiated agreement with a natural or legal person and a prosecuting or other authority</w:t>
      </w:r>
      <w:r w:rsidRPr="0042756A">
        <w:rPr>
          <w:rFonts w:cs="Arial"/>
          <w:sz w:val="20"/>
          <w:szCs w:val="20"/>
        </w:rPr>
        <w:t>.</w:t>
      </w:r>
      <w:r w:rsidRPr="00542A5B">
        <w:rPr>
          <w:rFonts w:cs="Arial"/>
          <w:sz w:val="20"/>
          <w:szCs w:val="20"/>
        </w:rPr>
        <w:t>”</w:t>
      </w:r>
      <w:r w:rsidRPr="00542A5B">
        <w:rPr>
          <w:rStyle w:val="FootnoteReference"/>
          <w:rFonts w:cs="Arial"/>
          <w:sz w:val="20"/>
          <w:szCs w:val="20"/>
        </w:rPr>
        <w:footnoteReference w:id="14"/>
      </w:r>
    </w:p>
    <w:p w:rsidR="00FE1C0F" w:rsidRDefault="000E773B" w:rsidP="000E773B">
      <w:pPr>
        <w:pStyle w:val="ListParagraph"/>
        <w:numPr>
          <w:ilvl w:val="0"/>
          <w:numId w:val="21"/>
        </w:numPr>
        <w:spacing w:before="120" w:after="180"/>
        <w:contextualSpacing w:val="0"/>
        <w:jc w:val="both"/>
        <w:rPr>
          <w:rFonts w:cs="Arial"/>
          <w:sz w:val="20"/>
          <w:szCs w:val="20"/>
        </w:rPr>
      </w:pPr>
      <w:r w:rsidRPr="0042756A">
        <w:rPr>
          <w:rFonts w:cs="Arial"/>
          <w:sz w:val="20"/>
          <w:szCs w:val="20"/>
        </w:rPr>
        <w:t>NTRs</w:t>
      </w:r>
      <w:r w:rsidR="00FE1C0F">
        <w:rPr>
          <w:rFonts w:cs="Arial"/>
          <w:sz w:val="20"/>
          <w:szCs w:val="20"/>
        </w:rPr>
        <w:t>:</w:t>
      </w:r>
    </w:p>
    <w:p w:rsidR="000E773B" w:rsidRPr="0042756A" w:rsidRDefault="000E773B" w:rsidP="00FE1C0F">
      <w:pPr>
        <w:pStyle w:val="ListParagraph"/>
        <w:numPr>
          <w:ilvl w:val="1"/>
          <w:numId w:val="21"/>
        </w:numPr>
        <w:spacing w:before="120" w:after="180"/>
        <w:contextualSpacing w:val="0"/>
        <w:jc w:val="both"/>
        <w:rPr>
          <w:rFonts w:cs="Arial"/>
          <w:sz w:val="20"/>
          <w:szCs w:val="20"/>
        </w:rPr>
      </w:pPr>
      <w:r w:rsidRPr="0042756A">
        <w:rPr>
          <w:rFonts w:cs="Arial"/>
          <w:sz w:val="20"/>
          <w:szCs w:val="20"/>
        </w:rPr>
        <w:t xml:space="preserve">reduce government resources </w:t>
      </w:r>
      <w:r w:rsidR="00723A09">
        <w:rPr>
          <w:rFonts w:cs="Arial"/>
          <w:sz w:val="20"/>
          <w:szCs w:val="20"/>
        </w:rPr>
        <w:t xml:space="preserve">to be </w:t>
      </w:r>
      <w:r w:rsidRPr="0042756A">
        <w:rPr>
          <w:rFonts w:cs="Arial"/>
          <w:sz w:val="20"/>
          <w:szCs w:val="20"/>
        </w:rPr>
        <w:t>spent on lengthy investigations and prosecutions.</w:t>
      </w:r>
    </w:p>
    <w:p w:rsidR="00FE1C0F" w:rsidRDefault="000E773B" w:rsidP="00FE1C0F">
      <w:pPr>
        <w:pStyle w:val="ListParagraph"/>
        <w:numPr>
          <w:ilvl w:val="1"/>
          <w:numId w:val="21"/>
        </w:numPr>
        <w:spacing w:before="120" w:after="180"/>
        <w:contextualSpacing w:val="0"/>
        <w:jc w:val="both"/>
        <w:rPr>
          <w:rFonts w:cs="Arial"/>
          <w:sz w:val="20"/>
          <w:szCs w:val="20"/>
        </w:rPr>
      </w:pPr>
      <w:r w:rsidRPr="0042756A">
        <w:rPr>
          <w:rFonts w:cs="Arial"/>
          <w:sz w:val="20"/>
          <w:szCs w:val="20"/>
        </w:rPr>
        <w:t>allow for resolution to be concluded simultaneously in multiple jurisdictions, which multi-jurisdictional resolutions are impossible without them</w:t>
      </w:r>
      <w:r w:rsidRPr="00542A5B">
        <w:rPr>
          <w:rFonts w:cs="Arial"/>
          <w:sz w:val="20"/>
          <w:szCs w:val="20"/>
        </w:rPr>
        <w:t xml:space="preserve">. </w:t>
      </w:r>
    </w:p>
    <w:p w:rsidR="000E773B" w:rsidRPr="00542A5B" w:rsidRDefault="000E773B" w:rsidP="00FE1C0F">
      <w:pPr>
        <w:pStyle w:val="ListParagraph"/>
        <w:numPr>
          <w:ilvl w:val="0"/>
          <w:numId w:val="21"/>
        </w:numPr>
        <w:spacing w:before="120" w:after="180"/>
        <w:contextualSpacing w:val="0"/>
        <w:jc w:val="both"/>
        <w:rPr>
          <w:rFonts w:cs="Arial"/>
          <w:sz w:val="20"/>
          <w:szCs w:val="20"/>
        </w:rPr>
      </w:pPr>
      <w:r w:rsidRPr="0042756A">
        <w:rPr>
          <w:rFonts w:cs="Arial"/>
          <w:sz w:val="20"/>
          <w:szCs w:val="20"/>
        </w:rPr>
        <w:t xml:space="preserve">The use of NTRs would </w:t>
      </w:r>
      <w:r w:rsidR="00FE1C0F">
        <w:rPr>
          <w:rFonts w:cs="Arial"/>
          <w:sz w:val="20"/>
          <w:szCs w:val="20"/>
        </w:rPr>
        <w:t>provide</w:t>
      </w:r>
      <w:r w:rsidRPr="0042756A">
        <w:rPr>
          <w:rFonts w:cs="Arial"/>
          <w:sz w:val="20"/>
          <w:szCs w:val="20"/>
        </w:rPr>
        <w:t xml:space="preserve"> South Africa </w:t>
      </w:r>
      <w:r w:rsidR="00937B07">
        <w:rPr>
          <w:rFonts w:cs="Arial"/>
          <w:sz w:val="20"/>
          <w:szCs w:val="20"/>
        </w:rPr>
        <w:t xml:space="preserve">the opportunity to participate in negotiations on the </w:t>
      </w:r>
      <w:r w:rsidRPr="0042756A">
        <w:rPr>
          <w:rFonts w:cs="Arial"/>
          <w:sz w:val="20"/>
          <w:szCs w:val="20"/>
        </w:rPr>
        <w:t>division of global penalties, which regularly amount to billions of US dollars</w:t>
      </w:r>
      <w:r w:rsidRPr="00542A5B">
        <w:rPr>
          <w:rFonts w:cs="Arial"/>
          <w:sz w:val="20"/>
          <w:szCs w:val="20"/>
        </w:rPr>
        <w:t>.</w:t>
      </w:r>
    </w:p>
    <w:p w:rsidR="000E773B" w:rsidRPr="00542A5B" w:rsidRDefault="000E773B" w:rsidP="000E773B">
      <w:pPr>
        <w:pStyle w:val="ListParagraph"/>
        <w:numPr>
          <w:ilvl w:val="0"/>
          <w:numId w:val="21"/>
        </w:numPr>
        <w:spacing w:before="120" w:after="180"/>
        <w:contextualSpacing w:val="0"/>
        <w:jc w:val="both"/>
        <w:rPr>
          <w:rFonts w:cs="Arial"/>
          <w:sz w:val="20"/>
          <w:szCs w:val="20"/>
        </w:rPr>
      </w:pPr>
      <w:r w:rsidRPr="0042756A">
        <w:rPr>
          <w:rFonts w:cs="Arial"/>
          <w:sz w:val="20"/>
          <w:szCs w:val="20"/>
        </w:rPr>
        <w:t>Companies which receive NTRs typically disclose the results of their internal investigations to prosecutors. This information can be used to prosecute responsible individuals</w:t>
      </w:r>
      <w:r w:rsidRPr="00542A5B">
        <w:rPr>
          <w:rFonts w:cs="Arial"/>
          <w:sz w:val="20"/>
          <w:szCs w:val="20"/>
        </w:rPr>
        <w:t>.</w:t>
      </w:r>
    </w:p>
    <w:p w:rsidR="000E773B" w:rsidRPr="00542A5B" w:rsidRDefault="000E773B" w:rsidP="000E773B">
      <w:pPr>
        <w:pStyle w:val="ListParagraph"/>
        <w:numPr>
          <w:ilvl w:val="0"/>
          <w:numId w:val="21"/>
        </w:numPr>
        <w:spacing w:before="120" w:after="180"/>
        <w:jc w:val="both"/>
        <w:rPr>
          <w:rFonts w:cs="Arial"/>
          <w:sz w:val="20"/>
          <w:szCs w:val="20"/>
        </w:rPr>
      </w:pPr>
      <w:r w:rsidRPr="0042756A">
        <w:rPr>
          <w:rFonts w:cs="Arial"/>
          <w:sz w:val="20"/>
          <w:szCs w:val="20"/>
        </w:rPr>
        <w:t>NTRs improve anti-corruption enforcement rates, strengthening the rule of law.</w:t>
      </w:r>
    </w:p>
    <w:p w:rsidR="00D77FC7" w:rsidRPr="00542A5B" w:rsidRDefault="00D77FC7" w:rsidP="0042756A">
      <w:pPr>
        <w:pStyle w:val="ListParagraph"/>
        <w:spacing w:before="120" w:after="180"/>
        <w:ind w:left="567"/>
        <w:jc w:val="both"/>
        <w:rPr>
          <w:rFonts w:cs="Arial"/>
          <w:sz w:val="20"/>
          <w:szCs w:val="20"/>
        </w:rPr>
      </w:pPr>
    </w:p>
    <w:p w:rsidR="000E773B" w:rsidRPr="00542A5B" w:rsidRDefault="00D77FC7" w:rsidP="00D77FC7">
      <w:pPr>
        <w:pStyle w:val="ListParagraph"/>
        <w:numPr>
          <w:ilvl w:val="0"/>
          <w:numId w:val="21"/>
        </w:numPr>
        <w:spacing w:before="120" w:after="180"/>
        <w:contextualSpacing w:val="0"/>
        <w:jc w:val="both"/>
        <w:rPr>
          <w:rFonts w:cs="Arial"/>
          <w:sz w:val="20"/>
          <w:szCs w:val="20"/>
        </w:rPr>
      </w:pPr>
      <w:r w:rsidRPr="0042756A">
        <w:rPr>
          <w:rFonts w:cs="Arial"/>
          <w:sz w:val="20"/>
          <w:szCs w:val="20"/>
        </w:rPr>
        <w:t xml:space="preserve">It is important to also understand the benefits of NTR’s from a company’s perspective. </w:t>
      </w:r>
      <w:r w:rsidRPr="00542A5B">
        <w:rPr>
          <w:rFonts w:cs="Arial"/>
          <w:sz w:val="20"/>
          <w:szCs w:val="20"/>
        </w:rPr>
        <w:t>These include</w:t>
      </w:r>
      <w:r w:rsidR="000E773B" w:rsidRPr="00542A5B">
        <w:rPr>
          <w:rFonts w:eastAsia="Times New Roman" w:cs="Arial"/>
          <w:sz w:val="20"/>
          <w:szCs w:val="20"/>
        </w:rPr>
        <w:t>:</w:t>
      </w:r>
    </w:p>
    <w:p w:rsidR="000E773B" w:rsidRPr="00542A5B" w:rsidRDefault="000E773B" w:rsidP="000E773B">
      <w:pPr>
        <w:pStyle w:val="ListParagraph"/>
        <w:numPr>
          <w:ilvl w:val="1"/>
          <w:numId w:val="21"/>
        </w:numPr>
        <w:spacing w:before="120" w:after="180"/>
        <w:contextualSpacing w:val="0"/>
        <w:jc w:val="both"/>
        <w:rPr>
          <w:rFonts w:cs="Arial"/>
          <w:sz w:val="20"/>
          <w:szCs w:val="20"/>
        </w:rPr>
      </w:pPr>
      <w:r w:rsidRPr="00542A5B">
        <w:rPr>
          <w:rFonts w:cs="Arial"/>
          <w:sz w:val="20"/>
          <w:szCs w:val="20"/>
        </w:rPr>
        <w:t xml:space="preserve">providing corporations with certainty, allowing them to resolve cases of corporate crime timeously.  </w:t>
      </w:r>
    </w:p>
    <w:p w:rsidR="000E773B" w:rsidRPr="00542A5B" w:rsidRDefault="000E773B" w:rsidP="000E773B">
      <w:pPr>
        <w:pStyle w:val="ListParagraph"/>
        <w:numPr>
          <w:ilvl w:val="1"/>
          <w:numId w:val="21"/>
        </w:numPr>
        <w:spacing w:before="120" w:after="180"/>
        <w:contextualSpacing w:val="0"/>
        <w:jc w:val="both"/>
        <w:rPr>
          <w:rFonts w:cs="Arial"/>
          <w:sz w:val="20"/>
          <w:szCs w:val="20"/>
        </w:rPr>
      </w:pPr>
      <w:r w:rsidRPr="00542A5B">
        <w:rPr>
          <w:rFonts w:cs="Arial"/>
          <w:sz w:val="20"/>
          <w:szCs w:val="20"/>
        </w:rPr>
        <w:t>enabling companies to resolve matters across multiple jurisdictions at once, avoiding the problem of double jeopardy.</w:t>
      </w:r>
    </w:p>
    <w:p w:rsidR="000E773B" w:rsidRPr="00542A5B" w:rsidRDefault="000E773B" w:rsidP="000E773B">
      <w:pPr>
        <w:pStyle w:val="ListParagraph"/>
        <w:numPr>
          <w:ilvl w:val="1"/>
          <w:numId w:val="21"/>
        </w:numPr>
        <w:spacing w:before="120" w:after="180"/>
        <w:contextualSpacing w:val="0"/>
        <w:jc w:val="both"/>
        <w:rPr>
          <w:rFonts w:cs="Arial"/>
          <w:sz w:val="20"/>
          <w:szCs w:val="20"/>
        </w:rPr>
      </w:pPr>
      <w:r w:rsidRPr="00542A5B">
        <w:rPr>
          <w:rFonts w:cs="Arial"/>
          <w:sz w:val="20"/>
          <w:szCs w:val="20"/>
        </w:rPr>
        <w:t>providing a framework which allows a company to cooperate with enforcement agencies.</w:t>
      </w:r>
    </w:p>
    <w:p w:rsidR="000E773B" w:rsidRPr="00542A5B" w:rsidRDefault="000E773B" w:rsidP="000E773B">
      <w:pPr>
        <w:pStyle w:val="ListParagraph"/>
        <w:numPr>
          <w:ilvl w:val="1"/>
          <w:numId w:val="21"/>
        </w:numPr>
        <w:spacing w:before="120" w:after="180"/>
        <w:contextualSpacing w:val="0"/>
        <w:jc w:val="both"/>
        <w:rPr>
          <w:rFonts w:cs="Arial"/>
          <w:sz w:val="20"/>
          <w:szCs w:val="20"/>
        </w:rPr>
      </w:pPr>
      <w:r w:rsidRPr="00542A5B">
        <w:rPr>
          <w:rFonts w:cs="Arial"/>
          <w:sz w:val="20"/>
          <w:szCs w:val="20"/>
        </w:rPr>
        <w:t>reducing a company’s exposure to bad publicity and reputational harm.</w:t>
      </w:r>
    </w:p>
    <w:p w:rsidR="000E773B" w:rsidRPr="00542A5B" w:rsidRDefault="000E773B" w:rsidP="00BD1F81">
      <w:pPr>
        <w:pStyle w:val="ListParagraph"/>
        <w:numPr>
          <w:ilvl w:val="1"/>
          <w:numId w:val="21"/>
        </w:numPr>
        <w:spacing w:before="120" w:after="180"/>
        <w:contextualSpacing w:val="0"/>
        <w:jc w:val="both"/>
        <w:rPr>
          <w:rFonts w:cs="Arial"/>
          <w:sz w:val="20"/>
          <w:szCs w:val="20"/>
        </w:rPr>
      </w:pPr>
      <w:r w:rsidRPr="00542A5B">
        <w:rPr>
          <w:rFonts w:cs="Arial"/>
          <w:sz w:val="20"/>
          <w:szCs w:val="20"/>
        </w:rPr>
        <w:t xml:space="preserve">rewarding companies for investing in effective anti-corruption compliance systems. </w:t>
      </w:r>
    </w:p>
    <w:p w:rsidR="006A1597" w:rsidRPr="00542A5B" w:rsidRDefault="000E773B" w:rsidP="00E04B68">
      <w:pPr>
        <w:spacing w:before="120" w:after="180"/>
        <w:jc w:val="both"/>
        <w:rPr>
          <w:rFonts w:cs="Arial"/>
          <w:b/>
          <w:bCs/>
          <w:sz w:val="20"/>
          <w:szCs w:val="20"/>
        </w:rPr>
      </w:pPr>
      <w:bookmarkStart w:id="1" w:name="_Hlk112224510"/>
      <w:r w:rsidRPr="00542A5B">
        <w:rPr>
          <w:rFonts w:cs="Arial"/>
          <w:b/>
          <w:bCs/>
          <w:sz w:val="20"/>
          <w:szCs w:val="20"/>
        </w:rPr>
        <w:t xml:space="preserve">The Position in South Africa and </w:t>
      </w:r>
      <w:r w:rsidR="006F2EA5" w:rsidRPr="00542A5B">
        <w:rPr>
          <w:rFonts w:cs="Arial"/>
          <w:b/>
          <w:bCs/>
          <w:sz w:val="20"/>
          <w:szCs w:val="20"/>
        </w:rPr>
        <w:t xml:space="preserve">Way Forward </w:t>
      </w:r>
    </w:p>
    <w:bookmarkEnd w:id="1"/>
    <w:p w:rsidR="00C5658F" w:rsidRPr="0042756A" w:rsidRDefault="00C5658F" w:rsidP="00C5658F">
      <w:pPr>
        <w:pStyle w:val="ListParagraph"/>
        <w:numPr>
          <w:ilvl w:val="0"/>
          <w:numId w:val="21"/>
        </w:numPr>
        <w:spacing w:before="120" w:after="180"/>
        <w:contextualSpacing w:val="0"/>
        <w:jc w:val="both"/>
        <w:rPr>
          <w:rFonts w:cs="Arial"/>
          <w:sz w:val="20"/>
          <w:szCs w:val="20"/>
        </w:rPr>
      </w:pPr>
      <w:r w:rsidRPr="0042756A">
        <w:rPr>
          <w:rFonts w:cs="Arial"/>
          <w:sz w:val="20"/>
          <w:szCs w:val="20"/>
        </w:rPr>
        <w:t xml:space="preserve">Currently, South African law caters for </w:t>
      </w:r>
      <w:r w:rsidR="003153C0" w:rsidRPr="0042756A">
        <w:rPr>
          <w:rFonts w:cs="Arial"/>
          <w:sz w:val="20"/>
          <w:szCs w:val="20"/>
        </w:rPr>
        <w:t xml:space="preserve">one </w:t>
      </w:r>
      <w:r w:rsidRPr="0042756A">
        <w:rPr>
          <w:rFonts w:cs="Arial"/>
          <w:sz w:val="20"/>
          <w:szCs w:val="20"/>
        </w:rPr>
        <w:t xml:space="preserve">form of NTR, the guilty plea. Guilty pleas are governed under section 105A of the Criminal Procedure Act 51 of 1977. Non-conviction based NTRs would be a valuable addition to a prosecutor’s toolbox, suitable for companies that are capable of reform. </w:t>
      </w:r>
    </w:p>
    <w:p w:rsidR="00AE02CA" w:rsidRPr="0042756A" w:rsidRDefault="00C5658F" w:rsidP="00C5658F">
      <w:pPr>
        <w:pStyle w:val="ListParagraph"/>
        <w:numPr>
          <w:ilvl w:val="0"/>
          <w:numId w:val="21"/>
        </w:numPr>
        <w:spacing w:before="120" w:after="180"/>
        <w:contextualSpacing w:val="0"/>
        <w:jc w:val="both"/>
        <w:rPr>
          <w:rFonts w:cs="Arial"/>
          <w:sz w:val="20"/>
          <w:szCs w:val="20"/>
        </w:rPr>
      </w:pPr>
      <w:r w:rsidRPr="0042756A">
        <w:rPr>
          <w:rFonts w:cs="Arial"/>
          <w:sz w:val="20"/>
          <w:szCs w:val="20"/>
        </w:rPr>
        <w:t xml:space="preserve">The choice of appropriate model should be based on empirical research on what could work best in the South African context, given </w:t>
      </w:r>
      <w:r w:rsidR="00E6152E" w:rsidRPr="0042756A">
        <w:rPr>
          <w:rFonts w:cs="Arial"/>
          <w:sz w:val="20"/>
          <w:szCs w:val="20"/>
        </w:rPr>
        <w:t>the unique types of corruption prevalent in South Africa, our particular socio-economic context, political history and legal dispensation.</w:t>
      </w:r>
    </w:p>
    <w:p w:rsidR="000E773B" w:rsidRPr="0042756A" w:rsidRDefault="000E773B" w:rsidP="000E773B">
      <w:pPr>
        <w:pStyle w:val="ListParagraph"/>
        <w:numPr>
          <w:ilvl w:val="0"/>
          <w:numId w:val="21"/>
        </w:numPr>
        <w:spacing w:before="120" w:after="180"/>
        <w:contextualSpacing w:val="0"/>
        <w:jc w:val="both"/>
        <w:rPr>
          <w:rFonts w:cs="Arial"/>
          <w:sz w:val="20"/>
          <w:szCs w:val="20"/>
        </w:rPr>
      </w:pPr>
      <w:r w:rsidRPr="0042756A">
        <w:rPr>
          <w:rFonts w:cs="Arial"/>
          <w:sz w:val="20"/>
          <w:szCs w:val="20"/>
        </w:rPr>
        <w:t>The Recommendation 6 Network of experts from civil society, academia, business and the legal profession, developed a list of principles which should govern the use of NTRs, summarised below:</w:t>
      </w:r>
    </w:p>
    <w:p w:rsidR="000E773B" w:rsidRPr="0042756A" w:rsidRDefault="000E773B" w:rsidP="000E773B">
      <w:pPr>
        <w:pStyle w:val="ListParagraph"/>
        <w:numPr>
          <w:ilvl w:val="1"/>
          <w:numId w:val="21"/>
        </w:numPr>
        <w:spacing w:before="120" w:after="180"/>
        <w:contextualSpacing w:val="0"/>
        <w:jc w:val="both"/>
        <w:rPr>
          <w:rFonts w:cs="Arial"/>
          <w:sz w:val="20"/>
          <w:szCs w:val="20"/>
        </w:rPr>
      </w:pPr>
      <w:r w:rsidRPr="0042756A">
        <w:rPr>
          <w:rFonts w:cs="Arial"/>
          <w:sz w:val="20"/>
          <w:szCs w:val="20"/>
        </w:rPr>
        <w:t>NTRs should embody principles including transparency, fairness and accountability.</w:t>
      </w:r>
    </w:p>
    <w:p w:rsidR="000E773B" w:rsidRPr="0042756A" w:rsidRDefault="000E773B" w:rsidP="000E773B">
      <w:pPr>
        <w:pStyle w:val="ListParagraph"/>
        <w:numPr>
          <w:ilvl w:val="1"/>
          <w:numId w:val="21"/>
        </w:numPr>
        <w:spacing w:before="120" w:after="180"/>
        <w:contextualSpacing w:val="0"/>
        <w:jc w:val="both"/>
        <w:rPr>
          <w:rFonts w:cs="Arial"/>
          <w:sz w:val="20"/>
          <w:szCs w:val="20"/>
        </w:rPr>
      </w:pPr>
      <w:r w:rsidRPr="0042756A">
        <w:rPr>
          <w:rFonts w:cs="Arial"/>
          <w:sz w:val="20"/>
          <w:szCs w:val="20"/>
        </w:rPr>
        <w:t>Countries should develop a clear and transparent framework for NTRs.</w:t>
      </w:r>
    </w:p>
    <w:p w:rsidR="000E773B" w:rsidRPr="0042756A" w:rsidRDefault="000E773B" w:rsidP="00BD1F81">
      <w:pPr>
        <w:pStyle w:val="ListParagraph"/>
        <w:numPr>
          <w:ilvl w:val="1"/>
          <w:numId w:val="21"/>
        </w:numPr>
        <w:spacing w:before="120" w:after="180"/>
        <w:contextualSpacing w:val="0"/>
        <w:jc w:val="both"/>
        <w:rPr>
          <w:rFonts w:cs="Arial"/>
          <w:sz w:val="20"/>
          <w:szCs w:val="20"/>
        </w:rPr>
      </w:pPr>
      <w:r w:rsidRPr="0042756A">
        <w:rPr>
          <w:rFonts w:cs="Arial"/>
          <w:sz w:val="20"/>
          <w:szCs w:val="20"/>
        </w:rPr>
        <w:t xml:space="preserve">Information about the contents of NTRs entered into between authorities and legal/natural persons should be published. </w:t>
      </w:r>
    </w:p>
    <w:p w:rsidR="000E773B" w:rsidRPr="0042756A" w:rsidRDefault="000E773B" w:rsidP="00BD1F81">
      <w:pPr>
        <w:pStyle w:val="ListParagraph"/>
        <w:numPr>
          <w:ilvl w:val="1"/>
          <w:numId w:val="21"/>
        </w:numPr>
        <w:spacing w:before="120" w:after="180"/>
        <w:contextualSpacing w:val="0"/>
        <w:jc w:val="both"/>
        <w:rPr>
          <w:rFonts w:cs="Arial"/>
          <w:sz w:val="20"/>
          <w:szCs w:val="20"/>
        </w:rPr>
      </w:pPr>
      <w:r w:rsidRPr="0042756A">
        <w:rPr>
          <w:rFonts w:cs="Arial"/>
          <w:sz w:val="20"/>
          <w:szCs w:val="20"/>
        </w:rPr>
        <w:t xml:space="preserve"> Authorities should engage in public discussion and evaluation of NTRs.  </w:t>
      </w:r>
    </w:p>
    <w:p w:rsidR="000E773B" w:rsidRPr="00542A5B" w:rsidRDefault="000E773B" w:rsidP="00BD1F81">
      <w:pPr>
        <w:pStyle w:val="ListParagraph"/>
        <w:numPr>
          <w:ilvl w:val="1"/>
          <w:numId w:val="21"/>
        </w:numPr>
        <w:spacing w:before="120" w:after="180"/>
        <w:contextualSpacing w:val="0"/>
        <w:jc w:val="both"/>
        <w:rPr>
          <w:rFonts w:cs="Arial"/>
          <w:sz w:val="20"/>
          <w:szCs w:val="20"/>
        </w:rPr>
      </w:pPr>
      <w:r w:rsidRPr="0042756A">
        <w:rPr>
          <w:rFonts w:cs="Arial"/>
          <w:sz w:val="20"/>
          <w:szCs w:val="20"/>
        </w:rPr>
        <w:t xml:space="preserve"> Criteria for voluntary self-disclosure of misconduct; cooperation with authorities and remediation measures should be clear and published in advance to satisfy the principle of the rule of law</w:t>
      </w:r>
      <w:r w:rsidRPr="00542A5B">
        <w:rPr>
          <w:rFonts w:cs="Arial"/>
          <w:sz w:val="20"/>
          <w:szCs w:val="20"/>
        </w:rPr>
        <w:t xml:space="preserve">. </w:t>
      </w:r>
    </w:p>
    <w:p w:rsidR="000E773B" w:rsidRPr="0042756A" w:rsidRDefault="000E773B" w:rsidP="00BD1F81">
      <w:pPr>
        <w:pStyle w:val="ListParagraph"/>
        <w:numPr>
          <w:ilvl w:val="1"/>
          <w:numId w:val="21"/>
        </w:numPr>
        <w:spacing w:before="120" w:after="180"/>
        <w:contextualSpacing w:val="0"/>
        <w:jc w:val="both"/>
        <w:rPr>
          <w:rFonts w:cs="Arial"/>
          <w:sz w:val="20"/>
          <w:szCs w:val="20"/>
        </w:rPr>
      </w:pPr>
      <w:r w:rsidRPr="00542A5B">
        <w:rPr>
          <w:rFonts w:cs="Arial"/>
          <w:sz w:val="20"/>
          <w:szCs w:val="20"/>
        </w:rPr>
        <w:t xml:space="preserve"> </w:t>
      </w:r>
      <w:r w:rsidRPr="0042756A">
        <w:rPr>
          <w:rFonts w:cs="Arial"/>
          <w:sz w:val="20"/>
          <w:szCs w:val="20"/>
        </w:rPr>
        <w:t xml:space="preserve">Authorities should publish clear information regarding advantages that may be obtained by alleged offenders entering into NTRs, to serve as incentives for corporations to self-police and self-report. </w:t>
      </w:r>
    </w:p>
    <w:p w:rsidR="000E773B" w:rsidRPr="0042756A" w:rsidRDefault="000E773B" w:rsidP="00BD1F81">
      <w:pPr>
        <w:pStyle w:val="ListParagraph"/>
        <w:numPr>
          <w:ilvl w:val="1"/>
          <w:numId w:val="21"/>
        </w:numPr>
        <w:spacing w:before="120" w:after="180"/>
        <w:contextualSpacing w:val="0"/>
        <w:jc w:val="both"/>
        <w:rPr>
          <w:rFonts w:cs="Arial"/>
          <w:sz w:val="20"/>
          <w:szCs w:val="20"/>
        </w:rPr>
      </w:pPr>
      <w:r w:rsidRPr="0042756A">
        <w:rPr>
          <w:rFonts w:cs="Arial"/>
          <w:sz w:val="20"/>
          <w:szCs w:val="20"/>
        </w:rPr>
        <w:t xml:space="preserve"> Sanctions must be ‘effective, proportionate and dissuasive’ in line with Article 3 of the OECD Convention. </w:t>
      </w:r>
    </w:p>
    <w:p w:rsidR="000E773B" w:rsidRPr="0042756A" w:rsidRDefault="000E773B" w:rsidP="00BD1F81">
      <w:pPr>
        <w:pStyle w:val="ListParagraph"/>
        <w:numPr>
          <w:ilvl w:val="1"/>
          <w:numId w:val="21"/>
        </w:numPr>
        <w:spacing w:before="120" w:after="180"/>
        <w:contextualSpacing w:val="0"/>
        <w:jc w:val="both"/>
        <w:rPr>
          <w:rFonts w:cs="Arial"/>
          <w:sz w:val="20"/>
          <w:szCs w:val="20"/>
        </w:rPr>
      </w:pPr>
      <w:r w:rsidRPr="0042756A">
        <w:rPr>
          <w:rFonts w:cs="Arial"/>
          <w:sz w:val="20"/>
          <w:szCs w:val="20"/>
        </w:rPr>
        <w:t xml:space="preserve"> Countries should consider remediation for victims of corruption. </w:t>
      </w:r>
    </w:p>
    <w:p w:rsidR="000E773B" w:rsidRPr="00542A5B" w:rsidRDefault="000E773B" w:rsidP="00BD1F81">
      <w:pPr>
        <w:pStyle w:val="ListParagraph"/>
        <w:numPr>
          <w:ilvl w:val="1"/>
          <w:numId w:val="21"/>
        </w:numPr>
        <w:spacing w:before="120" w:after="180"/>
        <w:contextualSpacing w:val="0"/>
        <w:jc w:val="both"/>
        <w:rPr>
          <w:rFonts w:cs="Arial"/>
          <w:sz w:val="20"/>
          <w:szCs w:val="20"/>
        </w:rPr>
      </w:pPr>
      <w:r w:rsidRPr="0042756A">
        <w:rPr>
          <w:rFonts w:cs="Arial"/>
          <w:sz w:val="20"/>
          <w:szCs w:val="20"/>
        </w:rPr>
        <w:t xml:space="preserve"> NTRs must be subject to appropriate oversight and review</w:t>
      </w:r>
      <w:r w:rsidRPr="00542A5B">
        <w:rPr>
          <w:rFonts w:cs="Arial"/>
          <w:sz w:val="20"/>
          <w:szCs w:val="20"/>
        </w:rPr>
        <w:t>.</w:t>
      </w:r>
      <w:r w:rsidRPr="00542A5B">
        <w:rPr>
          <w:rStyle w:val="FootnoteReference"/>
          <w:rFonts w:cs="Arial"/>
          <w:sz w:val="20"/>
          <w:szCs w:val="20"/>
        </w:rPr>
        <w:footnoteReference w:id="15"/>
      </w:r>
    </w:p>
    <w:p w:rsidR="000E773B" w:rsidRPr="00542A5B" w:rsidRDefault="000E773B" w:rsidP="000E773B">
      <w:pPr>
        <w:pStyle w:val="ListParagraph"/>
        <w:numPr>
          <w:ilvl w:val="0"/>
          <w:numId w:val="21"/>
        </w:numPr>
        <w:spacing w:before="120" w:after="180"/>
        <w:contextualSpacing w:val="0"/>
        <w:jc w:val="both"/>
        <w:rPr>
          <w:rFonts w:cs="Arial"/>
          <w:sz w:val="20"/>
          <w:szCs w:val="20"/>
        </w:rPr>
      </w:pPr>
      <w:r w:rsidRPr="0042756A">
        <w:rPr>
          <w:rFonts w:cs="Arial"/>
          <w:sz w:val="20"/>
          <w:szCs w:val="20"/>
        </w:rPr>
        <w:t>Any NTR framework introduced in South Africa will have to comply with the strict precepts of our Constitution. NTRs should be underpinned by principles which promote legitimacy and should be premised on transparency, fairness and accountability.</w:t>
      </w:r>
      <w:r w:rsidRPr="0042756A">
        <w:rPr>
          <w:rStyle w:val="FootnoteReference"/>
          <w:rFonts w:cs="Arial"/>
          <w:sz w:val="20"/>
          <w:szCs w:val="20"/>
        </w:rPr>
        <w:footnoteReference w:id="16"/>
      </w:r>
      <w:r w:rsidRPr="0042756A">
        <w:rPr>
          <w:rFonts w:cs="Arial"/>
          <w:sz w:val="20"/>
          <w:szCs w:val="20"/>
        </w:rPr>
        <w:t xml:space="preserve"> These principles must encapsulate “individual accountability, due process, non-derogation from fundamental freedoms, transparency and access to information about the settlements reached.”</w:t>
      </w:r>
      <w:r w:rsidRPr="0042756A">
        <w:rPr>
          <w:rStyle w:val="FootnoteReference"/>
          <w:rFonts w:cs="Arial"/>
          <w:sz w:val="20"/>
          <w:szCs w:val="20"/>
        </w:rPr>
        <w:footnoteReference w:id="17"/>
      </w:r>
      <w:r w:rsidRPr="0042756A">
        <w:rPr>
          <w:rFonts w:cs="Arial"/>
          <w:sz w:val="20"/>
          <w:szCs w:val="20"/>
        </w:rPr>
        <w:t xml:space="preserve"> There should be clear criterion for the voluntary disclosure of misconduct, cooperation with authorities and the advanced publishing of remedial measures in order to satisfy the rule of law</w:t>
      </w:r>
      <w:r w:rsidRPr="00542A5B">
        <w:rPr>
          <w:rFonts w:cs="Arial"/>
          <w:sz w:val="20"/>
          <w:szCs w:val="20"/>
        </w:rPr>
        <w:t>.</w:t>
      </w:r>
      <w:r w:rsidRPr="00542A5B">
        <w:rPr>
          <w:rStyle w:val="FootnoteReference"/>
          <w:rFonts w:cs="Arial"/>
          <w:sz w:val="20"/>
          <w:szCs w:val="20"/>
        </w:rPr>
        <w:footnoteReference w:id="18"/>
      </w:r>
    </w:p>
    <w:p w:rsidR="000E773B" w:rsidRPr="0042756A" w:rsidRDefault="000E773B" w:rsidP="000E773B">
      <w:pPr>
        <w:pStyle w:val="ListParagraph"/>
        <w:numPr>
          <w:ilvl w:val="0"/>
          <w:numId w:val="21"/>
        </w:numPr>
        <w:spacing w:before="120" w:after="180"/>
        <w:contextualSpacing w:val="0"/>
        <w:jc w:val="both"/>
        <w:rPr>
          <w:rFonts w:cs="Arial"/>
          <w:sz w:val="20"/>
          <w:szCs w:val="20"/>
        </w:rPr>
      </w:pPr>
      <w:r w:rsidRPr="0042756A">
        <w:rPr>
          <w:rFonts w:cs="Arial"/>
          <w:sz w:val="20"/>
          <w:szCs w:val="20"/>
        </w:rPr>
        <w:t xml:space="preserve">Another important principle that underpins the efficacy of any NTR </w:t>
      </w:r>
      <w:r w:rsidR="003153C0" w:rsidRPr="0042756A">
        <w:rPr>
          <w:rFonts w:cs="Arial"/>
          <w:sz w:val="20"/>
          <w:szCs w:val="20"/>
        </w:rPr>
        <w:t>framework</w:t>
      </w:r>
      <w:r w:rsidRPr="0042756A">
        <w:rPr>
          <w:rFonts w:cs="Arial"/>
          <w:sz w:val="20"/>
          <w:szCs w:val="20"/>
        </w:rPr>
        <w:t xml:space="preserve"> is the oft quoted ‘carrot and stick’ analogy. NTR systems will only be effective in countries which have the capacity and ability to carry out enforcement actions and effectively prosecute wrongdoers. If a NTR </w:t>
      </w:r>
      <w:r w:rsidR="003153C0" w:rsidRPr="0042756A">
        <w:rPr>
          <w:rFonts w:cs="Arial"/>
          <w:sz w:val="20"/>
          <w:szCs w:val="20"/>
        </w:rPr>
        <w:t>framework</w:t>
      </w:r>
      <w:r w:rsidRPr="0042756A">
        <w:rPr>
          <w:rFonts w:cs="Arial"/>
          <w:sz w:val="20"/>
          <w:szCs w:val="20"/>
        </w:rPr>
        <w:t xml:space="preserve"> is implemented in South Africa, businesses must be alive to real risk of prosecution by the </w:t>
      </w:r>
      <w:r w:rsidR="00396FED" w:rsidRPr="0042756A">
        <w:rPr>
          <w:rFonts w:cs="Arial"/>
          <w:sz w:val="20"/>
          <w:szCs w:val="20"/>
        </w:rPr>
        <w:t>NPA</w:t>
      </w:r>
      <w:r w:rsidRPr="0042756A">
        <w:rPr>
          <w:rFonts w:cs="Arial"/>
          <w:sz w:val="20"/>
          <w:szCs w:val="20"/>
        </w:rPr>
        <w:t>. Business must have an incentive to enter into an NTR.</w:t>
      </w:r>
      <w:r w:rsidRPr="0042756A">
        <w:rPr>
          <w:rFonts w:cs="Arial"/>
          <w:b/>
          <w:bCs/>
          <w:sz w:val="20"/>
          <w:szCs w:val="20"/>
        </w:rPr>
        <w:t xml:space="preserve"> </w:t>
      </w:r>
      <w:r w:rsidRPr="0042756A">
        <w:rPr>
          <w:rFonts w:cs="Arial"/>
          <w:sz w:val="20"/>
          <w:szCs w:val="20"/>
        </w:rPr>
        <w:t xml:space="preserve">As such, an effective NTR </w:t>
      </w:r>
      <w:r w:rsidR="003153C0" w:rsidRPr="0042756A">
        <w:rPr>
          <w:rFonts w:cs="Arial"/>
          <w:sz w:val="20"/>
          <w:szCs w:val="20"/>
        </w:rPr>
        <w:t>framework</w:t>
      </w:r>
      <w:r w:rsidRPr="0042756A">
        <w:rPr>
          <w:rFonts w:cs="Arial"/>
          <w:sz w:val="20"/>
          <w:szCs w:val="20"/>
        </w:rPr>
        <w:t xml:space="preserve"> goes hand in hand with an effective prosecuting agency. If effective investigation and prosecution is compromised, businesses will have little incentive to settle matters and instead take their chances in fully defending a matter.</w:t>
      </w:r>
    </w:p>
    <w:p w:rsidR="000E773B" w:rsidRPr="0042756A" w:rsidRDefault="000E773B" w:rsidP="000E773B">
      <w:pPr>
        <w:pStyle w:val="ListParagraph"/>
        <w:numPr>
          <w:ilvl w:val="0"/>
          <w:numId w:val="21"/>
        </w:numPr>
        <w:spacing w:before="120" w:after="180"/>
        <w:contextualSpacing w:val="0"/>
        <w:jc w:val="both"/>
        <w:rPr>
          <w:rFonts w:cs="Arial"/>
          <w:sz w:val="20"/>
          <w:szCs w:val="20"/>
        </w:rPr>
      </w:pPr>
      <w:r w:rsidRPr="0042756A">
        <w:rPr>
          <w:rFonts w:cs="Arial"/>
          <w:sz w:val="20"/>
          <w:szCs w:val="20"/>
        </w:rPr>
        <w:t xml:space="preserve">An NTR </w:t>
      </w:r>
      <w:r w:rsidR="003153C0" w:rsidRPr="0042756A">
        <w:rPr>
          <w:rFonts w:cs="Arial"/>
          <w:sz w:val="20"/>
          <w:szCs w:val="20"/>
        </w:rPr>
        <w:t>framework</w:t>
      </w:r>
      <w:r w:rsidRPr="0042756A">
        <w:rPr>
          <w:rFonts w:cs="Arial"/>
          <w:sz w:val="20"/>
          <w:szCs w:val="20"/>
        </w:rPr>
        <w:t xml:space="preserve"> that is poorly structured has the inherent risk of undermining the deterrence of corporate crime and may erode the public’s already tainted perception of the criminal justice system and NTRs should meet a certain criterion to be legitimately recognised amongst the public.</w:t>
      </w:r>
    </w:p>
    <w:p w:rsidR="000E773B" w:rsidRPr="0042756A" w:rsidRDefault="000E773B" w:rsidP="000E773B">
      <w:pPr>
        <w:pStyle w:val="ListParagraph"/>
        <w:numPr>
          <w:ilvl w:val="0"/>
          <w:numId w:val="21"/>
        </w:numPr>
        <w:spacing w:before="120" w:after="180"/>
        <w:contextualSpacing w:val="0"/>
        <w:jc w:val="both"/>
        <w:rPr>
          <w:rFonts w:cs="Arial"/>
          <w:b/>
          <w:bCs/>
          <w:sz w:val="20"/>
          <w:szCs w:val="20"/>
        </w:rPr>
      </w:pPr>
      <w:r w:rsidRPr="0042756A">
        <w:rPr>
          <w:rFonts w:cs="Arial"/>
          <w:sz w:val="20"/>
          <w:szCs w:val="20"/>
        </w:rPr>
        <w:t xml:space="preserve">An effective system for NTRs should cater for judicial oversight in order to ensure complete transparency, accountability and separation of powers in enforcement agencies. </w:t>
      </w:r>
    </w:p>
    <w:p w:rsidR="00173760" w:rsidRPr="00542A5B" w:rsidRDefault="00173760" w:rsidP="007B3AFC">
      <w:pPr>
        <w:spacing w:before="120" w:after="180"/>
        <w:jc w:val="both"/>
        <w:rPr>
          <w:rFonts w:cs="Arial"/>
          <w:b/>
          <w:bCs/>
          <w:sz w:val="20"/>
          <w:szCs w:val="20"/>
        </w:rPr>
      </w:pPr>
      <w:r w:rsidRPr="00542A5B">
        <w:rPr>
          <w:rFonts w:cs="Arial"/>
          <w:b/>
          <w:bCs/>
          <w:sz w:val="20"/>
          <w:szCs w:val="20"/>
        </w:rPr>
        <w:t>Conclusion</w:t>
      </w:r>
    </w:p>
    <w:p w:rsidR="000E773B" w:rsidRPr="00542A5B" w:rsidRDefault="000E773B" w:rsidP="000E773B">
      <w:pPr>
        <w:pStyle w:val="ListParagraph"/>
        <w:numPr>
          <w:ilvl w:val="0"/>
          <w:numId w:val="21"/>
        </w:numPr>
        <w:spacing w:before="120" w:after="180"/>
        <w:contextualSpacing w:val="0"/>
        <w:jc w:val="both"/>
        <w:rPr>
          <w:rFonts w:cs="Arial"/>
          <w:b/>
          <w:bCs/>
          <w:sz w:val="20"/>
          <w:szCs w:val="20"/>
        </w:rPr>
      </w:pPr>
      <w:r w:rsidRPr="0042756A">
        <w:rPr>
          <w:rFonts w:cs="Arial"/>
          <w:sz w:val="20"/>
          <w:szCs w:val="20"/>
        </w:rPr>
        <w:t>NTRs may occur at any stage of an investigation or prosecution of an offence and may impose significant sanctions on parties, including financial penalties, disgorgement of profits, compliance and reporting obligations for a multi-year period, disbarment, and any other relevant sanctions. Importantly, NTRs do not rule out the possibility of prosecution and imprisonment entirely and enforcement authorities may still impose criminal sanctions on individuals. They are simply a mechanism to resolve a matter before trial</w:t>
      </w:r>
      <w:r w:rsidRPr="00542A5B">
        <w:rPr>
          <w:rFonts w:cs="Arial"/>
          <w:sz w:val="20"/>
          <w:szCs w:val="20"/>
        </w:rPr>
        <w:t xml:space="preserve">.  </w:t>
      </w:r>
      <w:r w:rsidRPr="0042756A">
        <w:rPr>
          <w:rFonts w:cs="Arial"/>
          <w:sz w:val="20"/>
          <w:szCs w:val="20"/>
        </w:rPr>
        <w:t>NTR often allows a country to significantly increase its anti-corruption enforcement efforts, particularly with respect to legal entities, and has the additional positive effect of encouraging companies to cooperate with law enforcement and turn over evidence that can be used to prosecute individuals who engage in the wrongdoing</w:t>
      </w:r>
      <w:r w:rsidRPr="00542A5B">
        <w:rPr>
          <w:rFonts w:cs="Arial"/>
          <w:sz w:val="20"/>
          <w:szCs w:val="20"/>
        </w:rPr>
        <w:t>.</w:t>
      </w:r>
    </w:p>
    <w:p w:rsidR="000E773B" w:rsidRPr="00542A5B" w:rsidRDefault="00542A5B" w:rsidP="000E773B">
      <w:pPr>
        <w:pStyle w:val="ListParagraph"/>
        <w:numPr>
          <w:ilvl w:val="0"/>
          <w:numId w:val="21"/>
        </w:numPr>
        <w:spacing w:before="120" w:after="180"/>
        <w:contextualSpacing w:val="0"/>
        <w:jc w:val="both"/>
        <w:rPr>
          <w:rFonts w:cs="Arial"/>
          <w:b/>
          <w:bCs/>
          <w:sz w:val="20"/>
          <w:szCs w:val="20"/>
        </w:rPr>
      </w:pPr>
      <w:r w:rsidRPr="0042756A">
        <w:rPr>
          <w:rFonts w:cs="Arial"/>
          <w:sz w:val="20"/>
          <w:szCs w:val="20"/>
        </w:rPr>
        <w:t>A</w:t>
      </w:r>
      <w:r w:rsidR="000E773B" w:rsidRPr="00542A5B">
        <w:rPr>
          <w:rFonts w:cs="Arial"/>
          <w:sz w:val="20"/>
          <w:szCs w:val="20"/>
        </w:rPr>
        <w:t xml:space="preserve">n </w:t>
      </w:r>
      <w:r w:rsidR="000E773B" w:rsidRPr="0042756A">
        <w:rPr>
          <w:rFonts w:cs="Arial"/>
          <w:sz w:val="20"/>
          <w:szCs w:val="20"/>
        </w:rPr>
        <w:t xml:space="preserve">effective NTR </w:t>
      </w:r>
      <w:r w:rsidR="003153C0" w:rsidRPr="0042756A">
        <w:rPr>
          <w:rFonts w:cs="Arial"/>
          <w:sz w:val="20"/>
          <w:szCs w:val="20"/>
        </w:rPr>
        <w:t>framework</w:t>
      </w:r>
      <w:r w:rsidR="000E773B" w:rsidRPr="0042756A">
        <w:rPr>
          <w:rFonts w:cs="Arial"/>
          <w:sz w:val="20"/>
          <w:szCs w:val="20"/>
        </w:rPr>
        <w:t xml:space="preserve"> will be dependent on an effective whistleblowing </w:t>
      </w:r>
      <w:r w:rsidR="003153C0" w:rsidRPr="0042756A">
        <w:rPr>
          <w:rFonts w:cs="Arial"/>
          <w:sz w:val="20"/>
          <w:szCs w:val="20"/>
        </w:rPr>
        <w:t>framework</w:t>
      </w:r>
      <w:r w:rsidR="000E773B" w:rsidRPr="0042756A">
        <w:rPr>
          <w:rFonts w:cs="Arial"/>
          <w:sz w:val="20"/>
          <w:szCs w:val="20"/>
        </w:rPr>
        <w:t xml:space="preserve"> and</w:t>
      </w:r>
      <w:r w:rsidR="00937B07">
        <w:rPr>
          <w:rFonts w:cs="Arial"/>
          <w:sz w:val="20"/>
          <w:szCs w:val="20"/>
        </w:rPr>
        <w:t>,</w:t>
      </w:r>
      <w:r w:rsidR="000E773B" w:rsidRPr="0042756A">
        <w:rPr>
          <w:rFonts w:cs="Arial"/>
          <w:sz w:val="20"/>
          <w:szCs w:val="20"/>
        </w:rPr>
        <w:t xml:space="preserve"> therefore</w:t>
      </w:r>
      <w:r w:rsidR="00937B07">
        <w:rPr>
          <w:rFonts w:cs="Arial"/>
          <w:sz w:val="20"/>
          <w:szCs w:val="20"/>
        </w:rPr>
        <w:t>,</w:t>
      </w:r>
      <w:r w:rsidR="000E773B" w:rsidRPr="0042756A">
        <w:rPr>
          <w:rFonts w:cs="Arial"/>
          <w:sz w:val="20"/>
          <w:szCs w:val="20"/>
        </w:rPr>
        <w:t xml:space="preserve"> consideration </w:t>
      </w:r>
      <w:r w:rsidR="00937B07">
        <w:rPr>
          <w:rFonts w:cs="Arial"/>
          <w:sz w:val="20"/>
          <w:szCs w:val="20"/>
        </w:rPr>
        <w:t xml:space="preserve">of the implementation of </w:t>
      </w:r>
      <w:r w:rsidR="000E773B" w:rsidRPr="0042756A">
        <w:rPr>
          <w:rFonts w:cs="Arial"/>
          <w:sz w:val="20"/>
          <w:szCs w:val="20"/>
        </w:rPr>
        <w:t xml:space="preserve">a whistle-blower </w:t>
      </w:r>
      <w:r w:rsidR="003153C0" w:rsidRPr="0042756A">
        <w:rPr>
          <w:rFonts w:cs="Arial"/>
          <w:sz w:val="20"/>
          <w:szCs w:val="20"/>
        </w:rPr>
        <w:t>framework</w:t>
      </w:r>
      <w:r w:rsidR="000E773B" w:rsidRPr="0042756A">
        <w:rPr>
          <w:rFonts w:cs="Arial"/>
          <w:sz w:val="20"/>
          <w:szCs w:val="20"/>
        </w:rPr>
        <w:t xml:space="preserve"> </w:t>
      </w:r>
      <w:r w:rsidR="00937B07">
        <w:rPr>
          <w:rFonts w:cs="Arial"/>
          <w:sz w:val="20"/>
          <w:szCs w:val="20"/>
        </w:rPr>
        <w:t xml:space="preserve">based on international best practice </w:t>
      </w:r>
      <w:r w:rsidR="000E773B" w:rsidRPr="0042756A">
        <w:rPr>
          <w:rFonts w:cs="Arial"/>
          <w:sz w:val="20"/>
          <w:szCs w:val="20"/>
        </w:rPr>
        <w:t xml:space="preserve">should be considered in conjunction with an NTR </w:t>
      </w:r>
      <w:r w:rsidR="003153C0" w:rsidRPr="0042756A">
        <w:rPr>
          <w:rFonts w:cs="Arial"/>
          <w:sz w:val="20"/>
          <w:szCs w:val="20"/>
        </w:rPr>
        <w:t>framework</w:t>
      </w:r>
      <w:r w:rsidR="000E773B" w:rsidRPr="00542A5B">
        <w:rPr>
          <w:rFonts w:cs="Arial"/>
          <w:sz w:val="20"/>
          <w:szCs w:val="20"/>
        </w:rPr>
        <w:t>.</w:t>
      </w:r>
    </w:p>
    <w:p w:rsidR="00542A5B" w:rsidRPr="00542A5B" w:rsidRDefault="00542A5B" w:rsidP="00937B07">
      <w:pPr>
        <w:pStyle w:val="NormalWeb"/>
        <w:numPr>
          <w:ilvl w:val="0"/>
          <w:numId w:val="21"/>
        </w:numPr>
        <w:spacing w:before="120" w:beforeAutospacing="0" w:after="180" w:afterAutospacing="0" w:line="360" w:lineRule="auto"/>
        <w:jc w:val="both"/>
        <w:rPr>
          <w:rFonts w:ascii="Arial" w:hAnsi="Arial" w:cs="Arial"/>
          <w:sz w:val="20"/>
          <w:szCs w:val="20"/>
        </w:rPr>
      </w:pPr>
      <w:r w:rsidRPr="0042756A">
        <w:rPr>
          <w:rFonts w:ascii="Arial" w:hAnsi="Arial" w:cs="Arial"/>
          <w:sz w:val="20"/>
          <w:szCs w:val="20"/>
        </w:rPr>
        <w:t>In concluding, it is important to note that public-private cooperation is the “invisible foot” method of combating corruption, which targets the weak points of corrupt networks.</w:t>
      </w:r>
      <w:r w:rsidRPr="0042756A">
        <w:rPr>
          <w:rStyle w:val="FootnoteReference"/>
          <w:rFonts w:ascii="Arial" w:hAnsi="Arial" w:cs="Arial"/>
          <w:sz w:val="20"/>
          <w:szCs w:val="20"/>
        </w:rPr>
        <w:footnoteReference w:id="19"/>
      </w:r>
      <w:r w:rsidRPr="0042756A">
        <w:rPr>
          <w:rFonts w:ascii="Arial" w:hAnsi="Arial" w:cs="Arial"/>
          <w:sz w:val="20"/>
          <w:szCs w:val="20"/>
        </w:rPr>
        <w:t xml:space="preserve"> Weak trust exists in these networks, partly because corrupt bargains cannot be enforced using the legal system, and partly because members of these networks are aware that their co-conspirators are inherently untrustworthy. Law enforcement authorities should exploit this weak trust by providing strong incentives for people to come forward with information. This is the rationale for the UN’s endorsement of public-private cooperation as a method to combat corruption</w:t>
      </w:r>
      <w:r w:rsidRPr="00542A5B">
        <w:rPr>
          <w:rFonts w:ascii="Arial" w:hAnsi="Arial" w:cs="Arial"/>
          <w:sz w:val="20"/>
          <w:szCs w:val="20"/>
        </w:rPr>
        <w:t>.</w:t>
      </w:r>
      <w:r w:rsidRPr="00542A5B">
        <w:rPr>
          <w:rStyle w:val="FootnoteReference"/>
          <w:rFonts w:ascii="Arial" w:hAnsi="Arial" w:cs="Arial"/>
          <w:sz w:val="20"/>
          <w:szCs w:val="20"/>
        </w:rPr>
        <w:footnoteReference w:id="20"/>
      </w:r>
    </w:p>
    <w:p w:rsidR="00CA1AB7" w:rsidRPr="00542A5B" w:rsidRDefault="00CA1AB7" w:rsidP="00CA1AB7">
      <w:pPr>
        <w:pStyle w:val="ListParagraph"/>
        <w:spacing w:before="120" w:after="180"/>
        <w:ind w:left="567"/>
        <w:contextualSpacing w:val="0"/>
        <w:jc w:val="both"/>
        <w:rPr>
          <w:rFonts w:cs="Arial"/>
          <w:b/>
          <w:bCs/>
          <w:sz w:val="20"/>
          <w:szCs w:val="20"/>
        </w:rPr>
      </w:pPr>
    </w:p>
    <w:p w:rsidR="002F53F5" w:rsidRPr="00BD1F81" w:rsidRDefault="00CA1AB7" w:rsidP="00CA1AB7">
      <w:pPr>
        <w:spacing w:before="120" w:after="180"/>
        <w:ind w:left="567"/>
        <w:jc w:val="center"/>
        <w:rPr>
          <w:rFonts w:cs="Arial"/>
          <w:sz w:val="20"/>
          <w:szCs w:val="20"/>
        </w:rPr>
      </w:pPr>
      <w:r w:rsidRPr="00542A5B">
        <w:rPr>
          <w:rFonts w:cs="Arial"/>
          <w:sz w:val="20"/>
          <w:szCs w:val="20"/>
        </w:rPr>
        <w:t>*****</w:t>
      </w:r>
    </w:p>
    <w:sectPr w:rsidR="002F53F5" w:rsidRPr="00BD1F81" w:rsidSect="00BD1F81">
      <w:headerReference w:type="even" r:id="rId11"/>
      <w:headerReference w:type="default" r:id="rId12"/>
      <w:headerReference w:type="first" r:id="rId13"/>
      <w:pgSz w:w="11900" w:h="16840"/>
      <w:pgMar w:top="1418" w:right="680" w:bottom="1135" w:left="1134" w:header="73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C2" w:rsidRDefault="000F2AC2" w:rsidP="000B3CFD">
      <w:r>
        <w:separator/>
      </w:r>
    </w:p>
  </w:endnote>
  <w:endnote w:type="continuationSeparator" w:id="0">
    <w:p w:rsidR="000F2AC2" w:rsidRDefault="000F2AC2" w:rsidP="000B3CFD">
      <w:r>
        <w:continuationSeparator/>
      </w:r>
    </w:p>
  </w:endnote>
  <w:endnote w:type="continuationNotice" w:id="1">
    <w:p w:rsidR="000F2AC2" w:rsidRDefault="000F2AC2">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C2" w:rsidRDefault="000F2AC2" w:rsidP="000B3CFD">
      <w:r>
        <w:separator/>
      </w:r>
    </w:p>
  </w:footnote>
  <w:footnote w:type="continuationSeparator" w:id="0">
    <w:p w:rsidR="000F2AC2" w:rsidRDefault="000F2AC2" w:rsidP="000B3CFD">
      <w:r>
        <w:continuationSeparator/>
      </w:r>
    </w:p>
  </w:footnote>
  <w:footnote w:type="continuationNotice" w:id="1">
    <w:p w:rsidR="000F2AC2" w:rsidRDefault="000F2AC2">
      <w:pPr>
        <w:spacing w:line="240" w:lineRule="auto"/>
      </w:pPr>
    </w:p>
  </w:footnote>
  <w:footnote w:id="2">
    <w:p w:rsidR="006A1597" w:rsidRPr="00BD1F81" w:rsidRDefault="006A1597" w:rsidP="006A1597">
      <w:pPr>
        <w:pStyle w:val="FootnoteText"/>
        <w:rPr>
          <w:rFonts w:cs="Arial"/>
          <w:sz w:val="16"/>
          <w:szCs w:val="16"/>
          <w:lang w:val="en-US"/>
        </w:rPr>
      </w:pPr>
      <w:r w:rsidRPr="00BD1F81">
        <w:rPr>
          <w:rStyle w:val="FootnoteReference"/>
          <w:rFonts w:cs="Arial"/>
          <w:sz w:val="16"/>
          <w:szCs w:val="16"/>
        </w:rPr>
        <w:footnoteRef/>
      </w:r>
      <w:r w:rsidRPr="00BD1F81">
        <w:rPr>
          <w:rFonts w:cs="Arial"/>
          <w:sz w:val="16"/>
          <w:szCs w:val="16"/>
        </w:rPr>
        <w:t xml:space="preserve"> Ashton, C.F. and Spalding, A. 2020. </w:t>
      </w:r>
      <w:r w:rsidRPr="00BD1F81">
        <w:rPr>
          <w:rFonts w:cs="Arial"/>
          <w:i/>
          <w:iCs/>
          <w:sz w:val="16"/>
          <w:szCs w:val="16"/>
        </w:rPr>
        <w:t xml:space="preserve">The use of Non-Trial Resolutions to prosecute corruption in South Africa. </w:t>
      </w:r>
      <w:r w:rsidRPr="00BD1F81">
        <w:rPr>
          <w:rFonts w:cs="Arial"/>
          <w:sz w:val="16"/>
          <w:szCs w:val="16"/>
        </w:rPr>
        <w:t>At p 3.</w:t>
      </w:r>
    </w:p>
  </w:footnote>
  <w:footnote w:id="3">
    <w:p w:rsidR="00542A5B" w:rsidRPr="00BD1F81" w:rsidRDefault="00542A5B" w:rsidP="00542A5B">
      <w:pPr>
        <w:pStyle w:val="FootnoteText"/>
        <w:rPr>
          <w:rFonts w:cs="Arial"/>
          <w:sz w:val="16"/>
          <w:szCs w:val="16"/>
        </w:rPr>
      </w:pPr>
      <w:r w:rsidRPr="00BD1F81">
        <w:rPr>
          <w:rStyle w:val="FootnoteReference"/>
          <w:rFonts w:cs="Arial"/>
          <w:sz w:val="16"/>
          <w:szCs w:val="16"/>
        </w:rPr>
        <w:footnoteRef/>
      </w:r>
      <w:r w:rsidRPr="00BD1F81">
        <w:rPr>
          <w:rFonts w:cs="Arial"/>
          <w:sz w:val="16"/>
          <w:szCs w:val="16"/>
        </w:rPr>
        <w:t xml:space="preserve"> </w:t>
      </w:r>
      <w:hyperlink r:id="rId1" w:history="1">
        <w:r w:rsidRPr="00BD1F81">
          <w:rPr>
            <w:rStyle w:val="Hyperlink"/>
            <w:rFonts w:cs="Arial"/>
            <w:sz w:val="16"/>
            <w:szCs w:val="16"/>
          </w:rPr>
          <w:t>https://www.dailymaverick.co.za/article/2022-07-06-corruption-amnesty-south-africa-must-look-to-non-trial-resolutions/</w:t>
        </w:r>
      </w:hyperlink>
      <w:r w:rsidRPr="00BD1F81">
        <w:rPr>
          <w:rFonts w:cs="Arial"/>
          <w:sz w:val="16"/>
          <w:szCs w:val="16"/>
        </w:rPr>
        <w:t xml:space="preserve"> </w:t>
      </w:r>
    </w:p>
  </w:footnote>
  <w:footnote w:id="4">
    <w:p w:rsidR="00542A5B" w:rsidRPr="00BD1F81" w:rsidRDefault="00542A5B" w:rsidP="00542A5B">
      <w:pPr>
        <w:pStyle w:val="Bibliography"/>
        <w:spacing w:line="240" w:lineRule="auto"/>
        <w:ind w:left="720" w:hanging="720"/>
        <w:rPr>
          <w:rFonts w:cs="Arial"/>
          <w:i/>
          <w:iCs/>
          <w:noProof/>
          <w:sz w:val="16"/>
          <w:szCs w:val="16"/>
          <w:lang w:val="en-US"/>
        </w:rPr>
      </w:pPr>
      <w:r w:rsidRPr="00BD1F81">
        <w:rPr>
          <w:rStyle w:val="FootnoteReference"/>
          <w:rFonts w:cs="Arial"/>
          <w:sz w:val="16"/>
          <w:szCs w:val="16"/>
        </w:rPr>
        <w:footnoteRef/>
      </w:r>
      <w:r w:rsidRPr="00BD1F81">
        <w:rPr>
          <w:rFonts w:cs="Arial"/>
          <w:sz w:val="16"/>
          <w:szCs w:val="16"/>
        </w:rPr>
        <w:t xml:space="preserve"> </w:t>
      </w:r>
      <w:r w:rsidRPr="00BD1F81">
        <w:rPr>
          <w:rFonts w:cs="Arial"/>
          <w:noProof/>
          <w:sz w:val="16"/>
          <w:szCs w:val="16"/>
          <w:lang w:val="en-US"/>
        </w:rPr>
        <w:t xml:space="preserve">OECD. (2019). </w:t>
      </w:r>
      <w:r w:rsidRPr="00BD1F81">
        <w:rPr>
          <w:rFonts w:cs="Arial"/>
          <w:i/>
          <w:iCs/>
          <w:noProof/>
          <w:sz w:val="16"/>
          <w:szCs w:val="16"/>
          <w:lang w:val="en-US"/>
        </w:rPr>
        <w:t>Resolving Foreign Bribery Cases with Non-Trial Resolutions: Settlements and NonTrial</w:t>
      </w:r>
    </w:p>
    <w:p w:rsidR="00542A5B" w:rsidRPr="00BD1F81" w:rsidRDefault="00542A5B" w:rsidP="00542A5B">
      <w:pPr>
        <w:pStyle w:val="Bibliography"/>
        <w:spacing w:line="240" w:lineRule="auto"/>
        <w:ind w:left="720" w:hanging="720"/>
        <w:rPr>
          <w:rFonts w:cs="Arial"/>
          <w:noProof/>
          <w:sz w:val="16"/>
          <w:szCs w:val="16"/>
          <w:lang w:val="en-US"/>
        </w:rPr>
      </w:pPr>
      <w:r w:rsidRPr="00BD1F81">
        <w:rPr>
          <w:rFonts w:cs="Arial"/>
          <w:i/>
          <w:iCs/>
          <w:noProof/>
          <w:sz w:val="16"/>
          <w:szCs w:val="16"/>
          <w:lang w:val="en-US"/>
        </w:rPr>
        <w:t>Agreements by Parties to the Anti-Bribery Convention.</w:t>
      </w:r>
      <w:r w:rsidRPr="00BD1F81">
        <w:rPr>
          <w:rFonts w:cs="Arial"/>
          <w:noProof/>
          <w:sz w:val="16"/>
          <w:szCs w:val="16"/>
          <w:lang w:val="en-US"/>
        </w:rPr>
        <w:t xml:space="preserve"> OECD. Available at:</w:t>
      </w:r>
    </w:p>
    <w:p w:rsidR="00542A5B" w:rsidRPr="00BD1F81" w:rsidRDefault="004D159D" w:rsidP="00542A5B">
      <w:pPr>
        <w:pStyle w:val="Bibliography"/>
        <w:spacing w:line="240" w:lineRule="auto"/>
        <w:ind w:left="720" w:hanging="720"/>
        <w:rPr>
          <w:rFonts w:cs="Arial"/>
          <w:noProof/>
          <w:sz w:val="16"/>
          <w:szCs w:val="16"/>
          <w:lang w:val="en-US"/>
        </w:rPr>
      </w:pPr>
      <w:hyperlink r:id="rId2" w:history="1">
        <w:r w:rsidR="00542A5B" w:rsidRPr="00BD1F81">
          <w:rPr>
            <w:rStyle w:val="Hyperlink"/>
            <w:rFonts w:cs="Arial"/>
            <w:noProof/>
            <w:sz w:val="16"/>
            <w:szCs w:val="16"/>
            <w:lang w:val="en-US"/>
          </w:rPr>
          <w:t>https://www.oecd.org/corruption/Resolving-Foreign-Bribery-Cases-with-Non-Trial-Resolutions.htm</w:t>
        </w:r>
      </w:hyperlink>
    </w:p>
  </w:footnote>
  <w:footnote w:id="5">
    <w:p w:rsidR="00542A5B" w:rsidRPr="00BD1F81" w:rsidRDefault="00542A5B" w:rsidP="00542A5B">
      <w:pPr>
        <w:pStyle w:val="FootnoteText"/>
        <w:rPr>
          <w:rFonts w:cs="Arial"/>
          <w:sz w:val="16"/>
          <w:szCs w:val="16"/>
          <w:lang w:val="en-US"/>
        </w:rPr>
      </w:pPr>
      <w:r w:rsidRPr="00BD1F81">
        <w:rPr>
          <w:rStyle w:val="FootnoteReference"/>
          <w:rFonts w:cs="Arial"/>
          <w:sz w:val="16"/>
          <w:szCs w:val="16"/>
        </w:rPr>
        <w:footnoteRef/>
      </w:r>
      <w:r w:rsidRPr="00BD1F81">
        <w:rPr>
          <w:rFonts w:cs="Arial"/>
          <w:sz w:val="16"/>
          <w:szCs w:val="16"/>
        </w:rPr>
        <w:t xml:space="preserve"> ‘</w:t>
      </w:r>
      <w:r w:rsidRPr="00BD1F81">
        <w:rPr>
          <w:rFonts w:cs="Arial"/>
          <w:sz w:val="16"/>
          <w:szCs w:val="16"/>
          <w:lang w:val="en-US"/>
        </w:rPr>
        <w:t xml:space="preserve">Alternative legal mechanisms and non-trial resolutions, including settlements, that have proceeds of crime for confiscation and return’ note prepared by the Secretariat. CAC/COSP/WG.2/2021/CRP.1 (August 2021) available at: </w:t>
      </w:r>
      <w:hyperlink r:id="rId3" w:history="1">
        <w:r w:rsidRPr="00BD1F81">
          <w:rPr>
            <w:rStyle w:val="Hyperlink"/>
            <w:rFonts w:cs="Arial"/>
            <w:sz w:val="16"/>
            <w:szCs w:val="16"/>
            <w:lang w:val="en-US"/>
          </w:rPr>
          <w:t>https://www.unodc.org/documents/treaties/UNCAC/WorkingGroups/workinggroup2/2021-September-6-10/CAC-COSP-WG.2-2021-CRP.1.pdf</w:t>
        </w:r>
      </w:hyperlink>
      <w:r w:rsidRPr="00BD1F81">
        <w:rPr>
          <w:rFonts w:cs="Arial"/>
          <w:sz w:val="16"/>
          <w:szCs w:val="16"/>
          <w:lang w:val="en-US"/>
        </w:rPr>
        <w:t xml:space="preserve"> </w:t>
      </w:r>
    </w:p>
  </w:footnote>
  <w:footnote w:id="6">
    <w:p w:rsidR="003D76A1" w:rsidRPr="00BD1F81" w:rsidRDefault="003D76A1" w:rsidP="003D76A1">
      <w:pPr>
        <w:pStyle w:val="FootnoteText"/>
        <w:rPr>
          <w:rFonts w:cs="Arial"/>
          <w:sz w:val="16"/>
          <w:szCs w:val="16"/>
          <w:lang w:val="en-US"/>
        </w:rPr>
      </w:pPr>
      <w:r w:rsidRPr="00BD1F81">
        <w:rPr>
          <w:rStyle w:val="FootnoteReference"/>
          <w:rFonts w:cs="Arial"/>
          <w:sz w:val="16"/>
          <w:szCs w:val="16"/>
        </w:rPr>
        <w:footnoteRef/>
      </w:r>
      <w:r w:rsidRPr="00BD1F81">
        <w:rPr>
          <w:rFonts w:cs="Arial"/>
          <w:sz w:val="16"/>
          <w:szCs w:val="16"/>
        </w:rPr>
        <w:t xml:space="preserve"> </w:t>
      </w:r>
      <w:r w:rsidRPr="00BD1F81">
        <w:rPr>
          <w:rFonts w:cs="Arial"/>
          <w:sz w:val="16"/>
          <w:szCs w:val="16"/>
          <w:lang w:val="en-US"/>
        </w:rPr>
        <w:t xml:space="preserve">Part VI Vol IV of the State Capture Commission Reports explicitly recommends that </w:t>
      </w:r>
      <w:r w:rsidRPr="00BD1F81">
        <w:rPr>
          <w:rFonts w:cs="Arial"/>
          <w:i/>
          <w:iCs/>
          <w:sz w:val="16"/>
          <w:szCs w:val="16"/>
          <w:lang w:val="en-US"/>
        </w:rPr>
        <w:t>“government introduce legislation for the introduction of deferred prosecution agreements…”</w:t>
      </w:r>
      <w:r w:rsidRPr="00BD1F81">
        <w:rPr>
          <w:rFonts w:cs="Arial"/>
          <w:sz w:val="16"/>
          <w:szCs w:val="16"/>
          <w:lang w:val="en-US"/>
        </w:rPr>
        <w:t xml:space="preserve">. Deferred prosecution agreements are the most common form of NTR </w:t>
      </w:r>
      <w:r w:rsidR="003153C0" w:rsidRPr="00BD1F81">
        <w:rPr>
          <w:rFonts w:cs="Arial"/>
          <w:sz w:val="16"/>
          <w:szCs w:val="16"/>
          <w:lang w:val="en-US"/>
        </w:rPr>
        <w:t>framework</w:t>
      </w:r>
      <w:r w:rsidRPr="00BD1F81">
        <w:rPr>
          <w:rFonts w:cs="Arial"/>
          <w:sz w:val="16"/>
          <w:szCs w:val="16"/>
          <w:lang w:val="en-US"/>
        </w:rPr>
        <w:t xml:space="preserve"> that the South African legislature may consider implementing in South Africa. </w:t>
      </w:r>
    </w:p>
  </w:footnote>
  <w:footnote w:id="7">
    <w:p w:rsidR="003D76A1" w:rsidRPr="00BD1F81" w:rsidRDefault="003D76A1" w:rsidP="003D76A1">
      <w:pPr>
        <w:pStyle w:val="FootnoteText"/>
        <w:rPr>
          <w:rFonts w:cs="Arial"/>
          <w:sz w:val="16"/>
          <w:szCs w:val="16"/>
          <w:lang w:val="en-US"/>
        </w:rPr>
      </w:pPr>
      <w:r w:rsidRPr="00BD1F81">
        <w:rPr>
          <w:rStyle w:val="FootnoteReference"/>
          <w:rFonts w:cs="Arial"/>
          <w:sz w:val="16"/>
          <w:szCs w:val="16"/>
        </w:rPr>
        <w:footnoteRef/>
      </w:r>
      <w:r w:rsidRPr="00BD1F81">
        <w:rPr>
          <w:rFonts w:cs="Arial"/>
          <w:sz w:val="16"/>
          <w:szCs w:val="16"/>
        </w:rPr>
        <w:t xml:space="preserve"> </w:t>
      </w:r>
      <w:r w:rsidRPr="00BD1F81">
        <w:rPr>
          <w:rFonts w:cs="Arial"/>
          <w:sz w:val="16"/>
          <w:szCs w:val="16"/>
          <w:lang w:val="en-US"/>
        </w:rPr>
        <w:t xml:space="preserve">OECD, </w:t>
      </w:r>
      <w:r w:rsidRPr="00BD1F81">
        <w:rPr>
          <w:rFonts w:cs="Arial"/>
          <w:i/>
          <w:iCs/>
          <w:sz w:val="16"/>
          <w:szCs w:val="16"/>
          <w:lang w:val="en-US"/>
        </w:rPr>
        <w:t xml:space="preserve">Recommendation of the Council for Further Combating Bribery of Foreign Public Officials in International Business Transactions, </w:t>
      </w:r>
      <w:r w:rsidRPr="00BD1F81">
        <w:rPr>
          <w:rFonts w:cs="Arial"/>
          <w:sz w:val="16"/>
          <w:szCs w:val="16"/>
          <w:lang w:val="en-US"/>
        </w:rPr>
        <w:t>OECD/LEGAL/0378.</w:t>
      </w:r>
    </w:p>
  </w:footnote>
  <w:footnote w:id="8">
    <w:p w:rsidR="00D77FC7" w:rsidRPr="00BD1F81" w:rsidRDefault="00D77FC7" w:rsidP="00D77FC7">
      <w:pPr>
        <w:pStyle w:val="FootnoteText"/>
        <w:rPr>
          <w:rFonts w:cs="Arial"/>
          <w:sz w:val="16"/>
          <w:szCs w:val="16"/>
        </w:rPr>
      </w:pPr>
      <w:r w:rsidRPr="00BD1F81">
        <w:rPr>
          <w:rStyle w:val="FootnoteReference"/>
          <w:rFonts w:cs="Arial"/>
          <w:sz w:val="16"/>
          <w:szCs w:val="16"/>
        </w:rPr>
        <w:footnoteRef/>
      </w:r>
      <w:r w:rsidRPr="00BD1F81">
        <w:rPr>
          <w:rFonts w:cs="Arial"/>
          <w:sz w:val="16"/>
          <w:szCs w:val="16"/>
        </w:rPr>
        <w:t xml:space="preserve"> The OECD Recommendations at XVII.</w:t>
      </w:r>
    </w:p>
  </w:footnote>
  <w:footnote w:id="9">
    <w:p w:rsidR="003D76A1" w:rsidRPr="00BD1F81" w:rsidRDefault="003D76A1" w:rsidP="003D76A1">
      <w:pPr>
        <w:pStyle w:val="FootnoteText"/>
        <w:rPr>
          <w:rFonts w:cs="Arial"/>
          <w:sz w:val="16"/>
          <w:szCs w:val="16"/>
          <w:lang w:val="en-US"/>
        </w:rPr>
      </w:pPr>
      <w:r w:rsidRPr="00BD1F81">
        <w:rPr>
          <w:rStyle w:val="FootnoteReference"/>
          <w:rFonts w:cs="Arial"/>
          <w:sz w:val="16"/>
          <w:szCs w:val="16"/>
        </w:rPr>
        <w:footnoteRef/>
      </w:r>
      <w:r w:rsidRPr="00BD1F81">
        <w:rPr>
          <w:rFonts w:cs="Arial"/>
          <w:sz w:val="16"/>
          <w:szCs w:val="16"/>
        </w:rPr>
        <w:t xml:space="preserve"> </w:t>
      </w:r>
      <w:r w:rsidRPr="00BD1F81">
        <w:rPr>
          <w:rFonts w:cs="Arial"/>
          <w:sz w:val="16"/>
          <w:szCs w:val="16"/>
          <w:lang w:val="en-US"/>
        </w:rPr>
        <w:t>Ibid at 3.</w:t>
      </w:r>
    </w:p>
  </w:footnote>
  <w:footnote w:id="10">
    <w:p w:rsidR="003D76A1" w:rsidRPr="00BD1F81" w:rsidRDefault="003D76A1" w:rsidP="003D76A1">
      <w:pPr>
        <w:pStyle w:val="FootnoteText"/>
        <w:rPr>
          <w:rFonts w:cs="Arial"/>
          <w:sz w:val="16"/>
          <w:szCs w:val="16"/>
        </w:rPr>
      </w:pPr>
      <w:r w:rsidRPr="00BD1F81">
        <w:rPr>
          <w:rStyle w:val="FootnoteReference"/>
          <w:rFonts w:cs="Arial"/>
          <w:sz w:val="16"/>
          <w:szCs w:val="16"/>
        </w:rPr>
        <w:footnoteRef/>
      </w:r>
      <w:r w:rsidRPr="00BD1F81">
        <w:rPr>
          <w:rFonts w:cs="Arial"/>
          <w:sz w:val="16"/>
          <w:szCs w:val="16"/>
        </w:rPr>
        <w:t xml:space="preserve"> By way of ratification as of August 2007 &lt;</w:t>
      </w:r>
      <w:hyperlink r:id="rId4" w:history="1">
        <w:r w:rsidRPr="00BD1F81">
          <w:rPr>
            <w:rStyle w:val="Hyperlink"/>
            <w:rFonts w:cs="Arial"/>
            <w:sz w:val="16"/>
            <w:szCs w:val="16"/>
          </w:rPr>
          <w:t>https://www.oecd.org/daf/anti-bribery/WGBRatificationStatus.pdf</w:t>
        </w:r>
      </w:hyperlink>
      <w:r w:rsidRPr="00BD1F81">
        <w:rPr>
          <w:rFonts w:cs="Arial"/>
          <w:sz w:val="16"/>
          <w:szCs w:val="16"/>
        </w:rPr>
        <w:t>&gt;</w:t>
      </w:r>
    </w:p>
  </w:footnote>
  <w:footnote w:id="11">
    <w:p w:rsidR="003D76A1" w:rsidRPr="00BD1F81" w:rsidRDefault="003D76A1" w:rsidP="003D76A1">
      <w:pPr>
        <w:pStyle w:val="FootnoteText"/>
        <w:rPr>
          <w:rFonts w:cs="Arial"/>
          <w:sz w:val="16"/>
          <w:szCs w:val="16"/>
        </w:rPr>
      </w:pPr>
      <w:r w:rsidRPr="00BD1F81">
        <w:rPr>
          <w:rStyle w:val="FootnoteReference"/>
          <w:rFonts w:cs="Arial"/>
          <w:sz w:val="16"/>
          <w:szCs w:val="16"/>
        </w:rPr>
        <w:footnoteRef/>
      </w:r>
      <w:r w:rsidRPr="00BD1F81">
        <w:rPr>
          <w:rFonts w:cs="Arial"/>
          <w:sz w:val="16"/>
          <w:szCs w:val="16"/>
        </w:rPr>
        <w:t xml:space="preserve"> https://one.oecd.org/document/DAF/WGB(2018)42/en/pdf</w:t>
      </w:r>
    </w:p>
  </w:footnote>
  <w:footnote w:id="12">
    <w:p w:rsidR="001B2637" w:rsidRPr="00BD1F81" w:rsidRDefault="001B2637" w:rsidP="001B2637">
      <w:pPr>
        <w:pStyle w:val="Bibliography"/>
        <w:spacing w:line="240" w:lineRule="auto"/>
        <w:ind w:left="720" w:hanging="720"/>
        <w:rPr>
          <w:rFonts w:cs="Arial"/>
          <w:i/>
          <w:iCs/>
          <w:noProof/>
          <w:sz w:val="16"/>
          <w:szCs w:val="16"/>
          <w:lang w:val="en-US"/>
        </w:rPr>
      </w:pPr>
      <w:r w:rsidRPr="00BD1F81">
        <w:rPr>
          <w:rStyle w:val="FootnoteReference"/>
          <w:rFonts w:cs="Arial"/>
          <w:sz w:val="16"/>
          <w:szCs w:val="16"/>
        </w:rPr>
        <w:footnoteRef/>
      </w:r>
      <w:r w:rsidRPr="00BD1F81">
        <w:rPr>
          <w:rFonts w:cs="Arial"/>
          <w:sz w:val="16"/>
          <w:szCs w:val="16"/>
        </w:rPr>
        <w:t xml:space="preserve"> </w:t>
      </w:r>
      <w:r w:rsidRPr="00BD1F81">
        <w:rPr>
          <w:rFonts w:cs="Arial"/>
          <w:noProof/>
          <w:sz w:val="16"/>
          <w:szCs w:val="16"/>
          <w:lang w:val="en-US"/>
        </w:rPr>
        <w:t xml:space="preserve">OECD. (2019). </w:t>
      </w:r>
      <w:r w:rsidRPr="00BD1F81">
        <w:rPr>
          <w:rFonts w:cs="Arial"/>
          <w:i/>
          <w:iCs/>
          <w:noProof/>
          <w:sz w:val="16"/>
          <w:szCs w:val="16"/>
          <w:lang w:val="en-US"/>
        </w:rPr>
        <w:t>Resolving Foreign Bribery Cases with Non-Trial Resolutions: Settlements and NonTrial</w:t>
      </w:r>
    </w:p>
    <w:p w:rsidR="001B2637" w:rsidRPr="00BD1F81" w:rsidRDefault="001B2637" w:rsidP="001B2637">
      <w:pPr>
        <w:pStyle w:val="Bibliography"/>
        <w:spacing w:line="240" w:lineRule="auto"/>
        <w:ind w:left="720" w:hanging="720"/>
        <w:rPr>
          <w:rFonts w:cs="Arial"/>
          <w:noProof/>
          <w:sz w:val="16"/>
          <w:szCs w:val="16"/>
          <w:lang w:val="en-US"/>
        </w:rPr>
      </w:pPr>
      <w:r w:rsidRPr="00BD1F81">
        <w:rPr>
          <w:rFonts w:cs="Arial"/>
          <w:i/>
          <w:iCs/>
          <w:noProof/>
          <w:sz w:val="16"/>
          <w:szCs w:val="16"/>
          <w:lang w:val="en-US"/>
        </w:rPr>
        <w:t>Agreements by Parties to the Anti-Bribery Convention.</w:t>
      </w:r>
      <w:r w:rsidRPr="00BD1F81">
        <w:rPr>
          <w:rFonts w:cs="Arial"/>
          <w:noProof/>
          <w:sz w:val="16"/>
          <w:szCs w:val="16"/>
          <w:lang w:val="en-US"/>
        </w:rPr>
        <w:t xml:space="preserve"> OECD. Available at:</w:t>
      </w:r>
    </w:p>
    <w:p w:rsidR="001B2637" w:rsidRPr="00BD1F81" w:rsidRDefault="004D159D" w:rsidP="001B2637">
      <w:pPr>
        <w:pStyle w:val="Bibliography"/>
        <w:spacing w:line="240" w:lineRule="auto"/>
        <w:ind w:left="720" w:hanging="720"/>
        <w:rPr>
          <w:rFonts w:cs="Arial"/>
          <w:noProof/>
          <w:sz w:val="16"/>
          <w:szCs w:val="16"/>
          <w:lang w:val="en-US"/>
        </w:rPr>
      </w:pPr>
      <w:hyperlink r:id="rId5" w:history="1">
        <w:r w:rsidR="001B2637" w:rsidRPr="00BD1F81">
          <w:rPr>
            <w:rStyle w:val="Hyperlink"/>
            <w:rFonts w:cs="Arial"/>
            <w:noProof/>
            <w:sz w:val="16"/>
            <w:szCs w:val="16"/>
            <w:lang w:val="en-US"/>
          </w:rPr>
          <w:t>https://www.oecd.org/corruption/Resolving-Foreign-Bribery-Cases-with-Non-Trial-Resolutions.htm</w:t>
        </w:r>
      </w:hyperlink>
    </w:p>
  </w:footnote>
  <w:footnote w:id="13">
    <w:p w:rsidR="001B2637" w:rsidRPr="00BD1F81" w:rsidRDefault="001B2637" w:rsidP="001B2637">
      <w:pPr>
        <w:pStyle w:val="FootnoteText"/>
        <w:rPr>
          <w:rFonts w:cs="Arial"/>
          <w:sz w:val="16"/>
          <w:szCs w:val="16"/>
          <w:lang w:val="en-US"/>
        </w:rPr>
      </w:pPr>
      <w:r w:rsidRPr="00BD1F81">
        <w:rPr>
          <w:rStyle w:val="FootnoteReference"/>
          <w:rFonts w:cs="Arial"/>
          <w:sz w:val="16"/>
          <w:szCs w:val="16"/>
        </w:rPr>
        <w:footnoteRef/>
      </w:r>
      <w:r w:rsidRPr="00BD1F81">
        <w:rPr>
          <w:rFonts w:cs="Arial"/>
          <w:sz w:val="16"/>
          <w:szCs w:val="16"/>
        </w:rPr>
        <w:t xml:space="preserve"> Ashton, C.F. 2021. Dismantling ‘the Machine: A Role for Non-Trial Resolutions in Anti-Corruption Enforcement in South Africa? Masters Thesis. International Anti-Corruption Academy. At p. 204.</w:t>
      </w:r>
    </w:p>
  </w:footnote>
  <w:footnote w:id="14">
    <w:p w:rsidR="001B2637" w:rsidRPr="00BD1F81" w:rsidRDefault="001B2637" w:rsidP="001B2637">
      <w:pPr>
        <w:pStyle w:val="FootnoteText"/>
        <w:rPr>
          <w:rFonts w:cs="Arial"/>
          <w:sz w:val="16"/>
          <w:szCs w:val="16"/>
          <w:lang w:val="en-US"/>
        </w:rPr>
      </w:pPr>
      <w:r w:rsidRPr="00BD1F81">
        <w:rPr>
          <w:rStyle w:val="FootnoteReference"/>
          <w:rFonts w:cs="Arial"/>
          <w:sz w:val="16"/>
          <w:szCs w:val="16"/>
        </w:rPr>
        <w:footnoteRef/>
      </w:r>
      <w:r w:rsidRPr="00BD1F81">
        <w:rPr>
          <w:rFonts w:cs="Arial"/>
          <w:sz w:val="16"/>
          <w:szCs w:val="16"/>
        </w:rPr>
        <w:t xml:space="preserve"> </w:t>
      </w:r>
      <w:r w:rsidRPr="00BD1F81">
        <w:rPr>
          <w:rFonts w:cs="Arial"/>
          <w:sz w:val="16"/>
          <w:szCs w:val="16"/>
          <w:lang w:val="en-US"/>
        </w:rPr>
        <w:t>Ibid at 9.</w:t>
      </w:r>
    </w:p>
  </w:footnote>
  <w:footnote w:id="15">
    <w:p w:rsidR="000E773B" w:rsidRPr="00BD1F81" w:rsidRDefault="000E773B" w:rsidP="00BD1F81">
      <w:pPr>
        <w:pStyle w:val="Bibliography"/>
        <w:spacing w:line="240" w:lineRule="auto"/>
        <w:rPr>
          <w:rFonts w:cs="Arial"/>
          <w:sz w:val="16"/>
          <w:szCs w:val="16"/>
          <w:lang w:val="en-US"/>
        </w:rPr>
      </w:pPr>
      <w:r w:rsidRPr="00BD1F81">
        <w:rPr>
          <w:rStyle w:val="FootnoteReference"/>
          <w:rFonts w:cs="Arial"/>
          <w:sz w:val="16"/>
          <w:szCs w:val="16"/>
        </w:rPr>
        <w:footnoteRef/>
      </w:r>
      <w:r w:rsidRPr="00BD1F81">
        <w:rPr>
          <w:rFonts w:cs="Arial"/>
          <w:sz w:val="16"/>
          <w:szCs w:val="16"/>
        </w:rPr>
        <w:t xml:space="preserve"> </w:t>
      </w:r>
      <w:r w:rsidRPr="00BD1F81">
        <w:rPr>
          <w:rFonts w:cs="Arial"/>
          <w:noProof/>
          <w:sz w:val="16"/>
          <w:szCs w:val="16"/>
          <w:lang w:val="en-US"/>
        </w:rPr>
        <w:t xml:space="preserve">Recommendation 6 Network. 2018. </w:t>
      </w:r>
      <w:r w:rsidRPr="00BD1F81">
        <w:rPr>
          <w:rFonts w:cs="Arial"/>
          <w:i/>
          <w:iCs/>
          <w:noProof/>
          <w:sz w:val="16"/>
          <w:szCs w:val="16"/>
          <w:lang w:val="en-US"/>
        </w:rPr>
        <w:t xml:space="preserve">Explanatory Notes Addressed to the Working Group on Bribery. </w:t>
      </w:r>
      <w:r w:rsidRPr="00BD1F81">
        <w:rPr>
          <w:rFonts w:cs="Arial"/>
          <w:noProof/>
          <w:sz w:val="16"/>
          <w:szCs w:val="16"/>
          <w:lang w:val="en-US"/>
        </w:rPr>
        <w:t xml:space="preserve">[Online] </w:t>
      </w:r>
      <w:r w:rsidRPr="00BD1F81">
        <w:rPr>
          <w:rFonts w:cs="Arial"/>
          <w:noProof/>
          <w:sz w:val="16"/>
          <w:szCs w:val="16"/>
          <w:lang w:val="en-US"/>
        </w:rPr>
        <w:br/>
        <w:t xml:space="preserve">Available at: </w:t>
      </w:r>
      <w:r w:rsidRPr="00BD1F81">
        <w:rPr>
          <w:rFonts w:cs="Arial"/>
          <w:noProof/>
          <w:sz w:val="16"/>
          <w:szCs w:val="16"/>
          <w:u w:val="single"/>
          <w:lang w:val="en-US"/>
        </w:rPr>
        <w:t>tps://www.nhh.no/globalassets/centres/cce/recommendation-draft-final.pdf</w:t>
      </w:r>
    </w:p>
  </w:footnote>
  <w:footnote w:id="16">
    <w:p w:rsidR="000E773B" w:rsidRPr="00BD1F81" w:rsidRDefault="000E773B" w:rsidP="000E773B">
      <w:pPr>
        <w:pStyle w:val="FootnoteText"/>
        <w:rPr>
          <w:rFonts w:cs="Arial"/>
          <w:sz w:val="16"/>
          <w:szCs w:val="16"/>
          <w:lang w:val="en-US"/>
        </w:rPr>
      </w:pPr>
      <w:r w:rsidRPr="00BD1F81">
        <w:rPr>
          <w:rStyle w:val="FootnoteReference"/>
          <w:rFonts w:cs="Arial"/>
          <w:sz w:val="16"/>
          <w:szCs w:val="16"/>
        </w:rPr>
        <w:footnoteRef/>
      </w:r>
      <w:r w:rsidRPr="00BD1F81">
        <w:rPr>
          <w:rFonts w:cs="Arial"/>
          <w:sz w:val="16"/>
          <w:szCs w:val="16"/>
        </w:rPr>
        <w:t xml:space="preserve"> Colette Ashton (2021) </w:t>
      </w:r>
      <w:r w:rsidRPr="00BD1F81">
        <w:rPr>
          <w:rFonts w:cs="Arial"/>
          <w:i/>
          <w:iCs/>
          <w:sz w:val="16"/>
          <w:szCs w:val="16"/>
        </w:rPr>
        <w:t>Dismantling ‘The Machine’: a Role for Non-Trial Resolutions in Anti-Corruption Enforcement in South Africa?</w:t>
      </w:r>
      <w:r w:rsidRPr="00BD1F81">
        <w:rPr>
          <w:rFonts w:cs="Arial"/>
          <w:sz w:val="16"/>
          <w:szCs w:val="16"/>
        </w:rPr>
        <w:t>’ International Anti-Corruption Academy, at 65.</w:t>
      </w:r>
    </w:p>
  </w:footnote>
  <w:footnote w:id="17">
    <w:p w:rsidR="000E773B" w:rsidRPr="00BD1F81" w:rsidRDefault="000E773B" w:rsidP="000E773B">
      <w:pPr>
        <w:pStyle w:val="FootnoteText"/>
        <w:rPr>
          <w:rFonts w:cs="Arial"/>
          <w:sz w:val="16"/>
          <w:szCs w:val="16"/>
          <w:lang w:val="en-US"/>
        </w:rPr>
      </w:pPr>
      <w:r w:rsidRPr="00BD1F81">
        <w:rPr>
          <w:rStyle w:val="FootnoteReference"/>
          <w:rFonts w:cs="Arial"/>
          <w:sz w:val="16"/>
          <w:szCs w:val="16"/>
        </w:rPr>
        <w:footnoteRef/>
      </w:r>
      <w:r w:rsidRPr="00BD1F81">
        <w:rPr>
          <w:rFonts w:cs="Arial"/>
          <w:sz w:val="16"/>
          <w:szCs w:val="16"/>
        </w:rPr>
        <w:t xml:space="preserve"> </w:t>
      </w:r>
      <w:r w:rsidRPr="00BD1F81">
        <w:rPr>
          <w:rFonts w:cs="Arial"/>
          <w:sz w:val="16"/>
          <w:szCs w:val="16"/>
          <w:lang w:val="en-US"/>
        </w:rPr>
        <w:t>Ibid.</w:t>
      </w:r>
    </w:p>
  </w:footnote>
  <w:footnote w:id="18">
    <w:p w:rsidR="000E773B" w:rsidRPr="00BD1F81" w:rsidRDefault="000E773B" w:rsidP="000E773B">
      <w:pPr>
        <w:pStyle w:val="FootnoteText"/>
        <w:rPr>
          <w:rFonts w:cs="Arial"/>
          <w:sz w:val="16"/>
          <w:szCs w:val="16"/>
          <w:lang w:val="en-US"/>
        </w:rPr>
      </w:pPr>
      <w:r w:rsidRPr="00BD1F81">
        <w:rPr>
          <w:rStyle w:val="FootnoteReference"/>
          <w:rFonts w:cs="Arial"/>
          <w:sz w:val="16"/>
          <w:szCs w:val="16"/>
        </w:rPr>
        <w:footnoteRef/>
      </w:r>
      <w:r w:rsidRPr="00BD1F81">
        <w:rPr>
          <w:rFonts w:cs="Arial"/>
          <w:sz w:val="16"/>
          <w:szCs w:val="16"/>
        </w:rPr>
        <w:t xml:space="preserve"> Ibid. </w:t>
      </w:r>
    </w:p>
  </w:footnote>
  <w:footnote w:id="19">
    <w:p w:rsidR="00542A5B" w:rsidRPr="00BD1F81" w:rsidRDefault="00542A5B" w:rsidP="00542A5B">
      <w:pPr>
        <w:pStyle w:val="Bibliography"/>
        <w:spacing w:line="240" w:lineRule="auto"/>
        <w:ind w:left="720" w:hanging="720"/>
        <w:rPr>
          <w:rFonts w:cs="Arial"/>
          <w:noProof/>
          <w:sz w:val="16"/>
          <w:szCs w:val="16"/>
          <w:lang w:val="en-US"/>
        </w:rPr>
      </w:pPr>
      <w:r w:rsidRPr="00BD1F81">
        <w:rPr>
          <w:rStyle w:val="FootnoteReference"/>
          <w:rFonts w:cs="Arial"/>
          <w:sz w:val="16"/>
          <w:szCs w:val="16"/>
        </w:rPr>
        <w:footnoteRef/>
      </w:r>
      <w:r w:rsidRPr="00BD1F81">
        <w:rPr>
          <w:rFonts w:cs="Arial"/>
          <w:sz w:val="16"/>
          <w:szCs w:val="16"/>
        </w:rPr>
        <w:t xml:space="preserve"> </w:t>
      </w:r>
      <w:r w:rsidRPr="00BD1F81">
        <w:rPr>
          <w:rFonts w:cs="Arial"/>
          <w:noProof/>
          <w:sz w:val="16"/>
          <w:szCs w:val="16"/>
          <w:lang w:val="en-US"/>
        </w:rPr>
        <w:t xml:space="preserve">Lambsdorff, J. G. 2015. Preventing Corruption by Promoting Trust - Insights from Behavioural Science. </w:t>
      </w:r>
      <w:r w:rsidRPr="00BD1F81">
        <w:rPr>
          <w:rFonts w:cs="Arial"/>
          <w:i/>
          <w:iCs/>
          <w:noProof/>
          <w:sz w:val="16"/>
          <w:szCs w:val="16"/>
          <w:lang w:val="en-US"/>
        </w:rPr>
        <w:t>Working Paper.</w:t>
      </w:r>
      <w:r w:rsidRPr="00BD1F81">
        <w:rPr>
          <w:rFonts w:cs="Arial"/>
          <w:noProof/>
          <w:sz w:val="16"/>
          <w:szCs w:val="16"/>
          <w:lang w:val="en-US"/>
        </w:rPr>
        <w:t xml:space="preserve"> Passau: Universitat</w:t>
      </w:r>
    </w:p>
    <w:p w:rsidR="00542A5B" w:rsidRPr="00BD1F81" w:rsidRDefault="00542A5B" w:rsidP="00542A5B">
      <w:pPr>
        <w:pStyle w:val="Bibliography"/>
        <w:spacing w:line="240" w:lineRule="auto"/>
        <w:ind w:left="720" w:hanging="720"/>
        <w:rPr>
          <w:rFonts w:cs="Arial"/>
          <w:noProof/>
          <w:sz w:val="16"/>
          <w:szCs w:val="16"/>
          <w:lang w:val="en-US"/>
        </w:rPr>
      </w:pPr>
      <w:r w:rsidRPr="00BD1F81">
        <w:rPr>
          <w:rFonts w:cs="Arial"/>
          <w:noProof/>
          <w:sz w:val="16"/>
          <w:szCs w:val="16"/>
          <w:lang w:val="en-US"/>
        </w:rPr>
        <w:t xml:space="preserve">Passau at pp. 1-16. See also Lambsdorff, J. G. (2007). </w:t>
      </w:r>
      <w:r w:rsidRPr="00BD1F81">
        <w:rPr>
          <w:rFonts w:cs="Arial"/>
          <w:i/>
          <w:iCs/>
          <w:noProof/>
          <w:sz w:val="16"/>
          <w:szCs w:val="16"/>
          <w:lang w:val="en-US"/>
        </w:rPr>
        <w:t>The Institutional Economics of Corruption and Reform: Theory, Evidence and Policy.</w:t>
      </w:r>
    </w:p>
    <w:p w:rsidR="00542A5B" w:rsidRPr="00BD1F81" w:rsidRDefault="00542A5B" w:rsidP="00542A5B">
      <w:pPr>
        <w:pStyle w:val="Bibliography"/>
        <w:spacing w:line="240" w:lineRule="auto"/>
        <w:ind w:left="720" w:hanging="720"/>
        <w:rPr>
          <w:rFonts w:cs="Arial"/>
          <w:noProof/>
          <w:sz w:val="16"/>
          <w:szCs w:val="16"/>
          <w:lang w:val="en-US"/>
        </w:rPr>
      </w:pPr>
      <w:r w:rsidRPr="00BD1F81">
        <w:rPr>
          <w:rFonts w:cs="Arial"/>
          <w:noProof/>
          <w:sz w:val="16"/>
          <w:szCs w:val="16"/>
          <w:lang w:val="en-US"/>
        </w:rPr>
        <w:t>Cambridge: Cambridge University Press.</w:t>
      </w:r>
    </w:p>
  </w:footnote>
  <w:footnote w:id="20">
    <w:p w:rsidR="00542A5B" w:rsidRPr="00BD1F81" w:rsidRDefault="00542A5B" w:rsidP="00542A5B">
      <w:pPr>
        <w:pStyle w:val="EndnoteText"/>
        <w:rPr>
          <w:rFonts w:ascii="Arial" w:hAnsi="Arial" w:cs="Arial"/>
          <w:sz w:val="16"/>
          <w:szCs w:val="16"/>
        </w:rPr>
      </w:pPr>
      <w:r w:rsidRPr="00BD1F81">
        <w:rPr>
          <w:rStyle w:val="FootnoteReference"/>
          <w:rFonts w:ascii="Arial" w:hAnsi="Arial" w:cs="Arial"/>
          <w:sz w:val="16"/>
          <w:szCs w:val="16"/>
        </w:rPr>
        <w:footnoteRef/>
      </w:r>
      <w:r w:rsidRPr="00BD1F81">
        <w:rPr>
          <w:rFonts w:ascii="Arial" w:hAnsi="Arial" w:cs="Arial"/>
          <w:sz w:val="16"/>
          <w:szCs w:val="16"/>
        </w:rPr>
        <w:t xml:space="preserve"> </w:t>
      </w:r>
      <w:r w:rsidRPr="00BD1F81">
        <w:rPr>
          <w:rFonts w:ascii="Arial" w:hAnsi="Arial" w:cs="Arial"/>
          <w:noProof/>
          <w:sz w:val="16"/>
          <w:szCs w:val="16"/>
          <w:lang w:val="en-US"/>
        </w:rPr>
        <w:t xml:space="preserve">UNODC; UNICRI, 2009. </w:t>
      </w:r>
      <w:r w:rsidRPr="00BD1F81">
        <w:rPr>
          <w:rFonts w:ascii="Arial" w:hAnsi="Arial" w:cs="Arial"/>
          <w:i/>
          <w:iCs/>
          <w:noProof/>
          <w:sz w:val="16"/>
          <w:szCs w:val="16"/>
          <w:lang w:val="en-US"/>
        </w:rPr>
        <w:t xml:space="preserve">Technical Guide to the United Nations Convention Against Corruption, </w:t>
      </w:r>
      <w:r w:rsidRPr="00BD1F81">
        <w:rPr>
          <w:rFonts w:ascii="Arial" w:hAnsi="Arial" w:cs="Arial"/>
          <w:noProof/>
          <w:sz w:val="16"/>
          <w:szCs w:val="16"/>
          <w:lang w:val="en-US"/>
        </w:rPr>
        <w:t xml:space="preserve">Vienna: United Nations at p. 118-119. Available at: </w:t>
      </w:r>
      <w:hyperlink r:id="rId6" w:history="1">
        <w:r w:rsidRPr="00BD1F81">
          <w:rPr>
            <w:rStyle w:val="Hyperlink"/>
            <w:rFonts w:ascii="Arial" w:hAnsi="Arial" w:cs="Arial"/>
            <w:noProof/>
            <w:sz w:val="16"/>
            <w:szCs w:val="16"/>
            <w:lang w:val="en-US"/>
          </w:rPr>
          <w:t>https://www.unodc.org/unodc/en/treaties/CAC/technical-guide.html</w:t>
        </w:r>
      </w:hyperlink>
      <w:r w:rsidRPr="00BD1F81">
        <w:rPr>
          <w:rFonts w:ascii="Arial" w:hAnsi="Arial" w:cs="Arial"/>
          <w:noProof/>
          <w:sz w:val="16"/>
          <w:szCs w:val="16"/>
          <w:lang w:val="en-US"/>
        </w:rPr>
        <w:t xml:space="preserve"> [Accesed 2 February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613354995"/>
      <w:docPartObj>
        <w:docPartGallery w:val="Page Numbers (Top of Page)"/>
        <w:docPartUnique/>
      </w:docPartObj>
    </w:sdtPr>
    <w:sdtContent>
      <w:p w:rsidR="003B02C6" w:rsidRDefault="004D159D" w:rsidP="008D44C7">
        <w:pPr>
          <w:pStyle w:val="Header"/>
          <w:framePr w:wrap="none" w:vAnchor="text" w:hAnchor="margin" w:y="1"/>
          <w:rPr>
            <w:rStyle w:val="PageNumber"/>
          </w:rPr>
        </w:pPr>
        <w:r>
          <w:rPr>
            <w:rStyle w:val="PageNumber"/>
          </w:rPr>
          <w:fldChar w:fldCharType="begin"/>
        </w:r>
        <w:r w:rsidR="003B02C6">
          <w:rPr>
            <w:rStyle w:val="PageNumber"/>
          </w:rPr>
          <w:instrText xml:space="preserve"> PAGE </w:instrText>
        </w:r>
        <w:r>
          <w:rPr>
            <w:rStyle w:val="PageNumber"/>
          </w:rPr>
          <w:fldChar w:fldCharType="separate"/>
        </w:r>
        <w:r w:rsidR="000E773B">
          <w:rPr>
            <w:rStyle w:val="PageNumber"/>
            <w:noProof/>
          </w:rPr>
          <w:t>1</w:t>
        </w:r>
        <w:r>
          <w:rPr>
            <w:rStyle w:val="PageNumber"/>
          </w:rPr>
          <w:fldChar w:fldCharType="end"/>
        </w:r>
      </w:p>
    </w:sdtContent>
  </w:sdt>
  <w:p w:rsidR="000B3CFD" w:rsidRDefault="000B3CFD" w:rsidP="003B02C6">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70023085"/>
      <w:docPartObj>
        <w:docPartGallery w:val="Page Numbers (Top of Page)"/>
        <w:docPartUnique/>
      </w:docPartObj>
    </w:sdtPr>
    <w:sdtEndPr>
      <w:rPr>
        <w:noProof/>
      </w:rPr>
    </w:sdtEndPr>
    <w:sdtContent>
      <w:p w:rsidR="000E773B" w:rsidRPr="00BD1F81" w:rsidRDefault="004D159D">
        <w:pPr>
          <w:pStyle w:val="Header"/>
          <w:jc w:val="right"/>
          <w:rPr>
            <w:sz w:val="20"/>
            <w:szCs w:val="20"/>
          </w:rPr>
        </w:pPr>
        <w:r w:rsidRPr="00BD1F81">
          <w:rPr>
            <w:sz w:val="20"/>
            <w:szCs w:val="20"/>
          </w:rPr>
          <w:fldChar w:fldCharType="begin"/>
        </w:r>
        <w:r w:rsidR="000E773B" w:rsidRPr="00BD1F81">
          <w:rPr>
            <w:sz w:val="20"/>
            <w:szCs w:val="20"/>
          </w:rPr>
          <w:instrText xml:space="preserve"> PAGE   \* MERGEFORMAT </w:instrText>
        </w:r>
        <w:r w:rsidRPr="00BD1F81">
          <w:rPr>
            <w:sz w:val="20"/>
            <w:szCs w:val="20"/>
          </w:rPr>
          <w:fldChar w:fldCharType="separate"/>
        </w:r>
        <w:r w:rsidR="00C339E0">
          <w:rPr>
            <w:noProof/>
            <w:sz w:val="20"/>
            <w:szCs w:val="20"/>
          </w:rPr>
          <w:t>5</w:t>
        </w:r>
        <w:r w:rsidRPr="00BD1F81">
          <w:rPr>
            <w:noProof/>
            <w:sz w:val="20"/>
            <w:szCs w:val="20"/>
          </w:rPr>
          <w:fldChar w:fldCharType="end"/>
        </w:r>
      </w:p>
    </w:sdtContent>
  </w:sdt>
  <w:p w:rsidR="000E773B" w:rsidRPr="00BD1F81" w:rsidRDefault="000E773B">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780800667"/>
      <w:docPartObj>
        <w:docPartGallery w:val="Page Numbers (Top of Page)"/>
        <w:docPartUnique/>
      </w:docPartObj>
    </w:sdtPr>
    <w:sdtEndPr>
      <w:rPr>
        <w:noProof/>
      </w:rPr>
    </w:sdtEndPr>
    <w:sdtContent>
      <w:p w:rsidR="000E773B" w:rsidRPr="00BD1F81" w:rsidRDefault="004D159D">
        <w:pPr>
          <w:pStyle w:val="Header"/>
          <w:jc w:val="right"/>
          <w:rPr>
            <w:sz w:val="20"/>
            <w:szCs w:val="20"/>
          </w:rPr>
        </w:pPr>
        <w:r w:rsidRPr="00BD1F81">
          <w:rPr>
            <w:sz w:val="20"/>
            <w:szCs w:val="20"/>
          </w:rPr>
          <w:fldChar w:fldCharType="begin"/>
        </w:r>
        <w:r w:rsidR="000E773B" w:rsidRPr="00BD1F81">
          <w:rPr>
            <w:sz w:val="20"/>
            <w:szCs w:val="20"/>
          </w:rPr>
          <w:instrText xml:space="preserve"> PAGE   \* MERGEFORMAT </w:instrText>
        </w:r>
        <w:r w:rsidRPr="00BD1F81">
          <w:rPr>
            <w:sz w:val="20"/>
            <w:szCs w:val="20"/>
          </w:rPr>
          <w:fldChar w:fldCharType="separate"/>
        </w:r>
        <w:r w:rsidR="000F2AC2">
          <w:rPr>
            <w:noProof/>
            <w:sz w:val="20"/>
            <w:szCs w:val="20"/>
          </w:rPr>
          <w:t>1</w:t>
        </w:r>
        <w:r w:rsidRPr="00BD1F81">
          <w:rPr>
            <w:noProof/>
            <w:sz w:val="20"/>
            <w:szCs w:val="20"/>
          </w:rPr>
          <w:fldChar w:fldCharType="end"/>
        </w:r>
      </w:p>
    </w:sdtContent>
  </w:sdt>
  <w:p w:rsidR="001802C0" w:rsidRPr="00BD1F81" w:rsidRDefault="001802C0" w:rsidP="001C224C">
    <w:pPr>
      <w:pStyle w:val="Header"/>
      <w:spacing w:after="280" w:line="240" w:lineRule="exact"/>
      <w:rPr>
        <w:rFonts w:cs="Arial"/>
        <w:b/>
        <w:color w:val="646363"/>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4334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F74E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702FD1"/>
    <w:multiLevelType w:val="multilevel"/>
    <w:tmpl w:val="16A627A8"/>
    <w:lvl w:ilvl="0">
      <w:start w:val="1"/>
      <w:numFmt w:val="decimal"/>
      <w:lvlText w:val="%1."/>
      <w:lvlJc w:val="left"/>
      <w:pPr>
        <w:ind w:left="454" w:hanging="454"/>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531" w:hanging="1531"/>
      </w:pPr>
      <w:rPr>
        <w:rFonts w:hint="default"/>
      </w:rPr>
    </w:lvl>
    <w:lvl w:ilvl="3">
      <w:start w:val="1"/>
      <w:numFmt w:val="decimal"/>
      <w:isLgl/>
      <w:lvlText w:val="%1.%2.%3.%4."/>
      <w:lvlJc w:val="left"/>
      <w:pPr>
        <w:ind w:left="1985" w:hanging="198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3D51DD"/>
    <w:multiLevelType w:val="multilevel"/>
    <w:tmpl w:val="818ECA2C"/>
    <w:lvl w:ilvl="0">
      <w:start w:val="34"/>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846E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25597B"/>
    <w:multiLevelType w:val="multilevel"/>
    <w:tmpl w:val="520E77EC"/>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1531"/>
      </w:pPr>
      <w:rPr>
        <w:rFonts w:hint="default"/>
      </w:rPr>
    </w:lvl>
    <w:lvl w:ilvl="3">
      <w:start w:val="1"/>
      <w:numFmt w:val="decimal"/>
      <w:isLgl/>
      <w:lvlText w:val="%1.%2.%3.%4."/>
      <w:lvlJc w:val="left"/>
      <w:pPr>
        <w:ind w:left="1985" w:hanging="198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806FA8"/>
    <w:multiLevelType w:val="multilevel"/>
    <w:tmpl w:val="21B2162A"/>
    <w:lvl w:ilvl="0">
      <w:start w:val="1"/>
      <w:numFmt w:val="decimal"/>
      <w:isLgl/>
      <w:lvlText w:val="%1."/>
      <w:lvlJc w:val="left"/>
      <w:pPr>
        <w:ind w:left="567" w:hanging="567"/>
      </w:pPr>
      <w:rPr>
        <w:rFonts w:hint="default"/>
        <w:b w:val="0"/>
        <w:bCs w:val="0"/>
      </w:rPr>
    </w:lvl>
    <w:lvl w:ilvl="1">
      <w:start w:val="1"/>
      <w:numFmt w:val="decimal"/>
      <w:lvlText w:val="%1.%2."/>
      <w:lvlJc w:val="left"/>
      <w:pPr>
        <w:ind w:left="851" w:hanging="851"/>
      </w:pPr>
      <w:rPr>
        <w:rFonts w:ascii="Arial" w:hAnsi="Arial" w:cs="Arial" w:hint="default"/>
        <w:b w:val="0"/>
        <w:bCs w:val="0"/>
        <w:sz w:val="20"/>
        <w:szCs w:val="20"/>
      </w:rPr>
    </w:lvl>
    <w:lvl w:ilvl="2">
      <w:start w:val="1"/>
      <w:numFmt w:val="decimal"/>
      <w:lvlText w:val="%1.%2.%3."/>
      <w:lvlJc w:val="left"/>
      <w:pPr>
        <w:ind w:left="1134" w:hanging="1134"/>
      </w:pPr>
      <w:rPr>
        <w:rFonts w:hint="default"/>
        <w:b w:val="0"/>
        <w:bCs w:val="0"/>
      </w:rPr>
    </w:lvl>
    <w:lvl w:ilvl="3">
      <w:start w:val="1"/>
      <w:numFmt w:val="decimal"/>
      <w:isLgl/>
      <w:lvlText w:val="%1.%2.%3.%4."/>
      <w:lvlJc w:val="left"/>
      <w:pPr>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810CD2"/>
    <w:multiLevelType w:val="multilevel"/>
    <w:tmpl w:val="520E77EC"/>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1531"/>
      </w:pPr>
      <w:rPr>
        <w:rFonts w:hint="default"/>
      </w:rPr>
    </w:lvl>
    <w:lvl w:ilvl="3">
      <w:start w:val="1"/>
      <w:numFmt w:val="decimal"/>
      <w:isLgl/>
      <w:lvlText w:val="%1.%2.%3.%4."/>
      <w:lvlJc w:val="left"/>
      <w:pPr>
        <w:ind w:left="1985" w:hanging="198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276E9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425AC0"/>
    <w:multiLevelType w:val="multilevel"/>
    <w:tmpl w:val="520E77EC"/>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1531"/>
      </w:pPr>
      <w:rPr>
        <w:rFonts w:hint="default"/>
      </w:rPr>
    </w:lvl>
    <w:lvl w:ilvl="3">
      <w:start w:val="1"/>
      <w:numFmt w:val="decimal"/>
      <w:isLgl/>
      <w:lvlText w:val="%1.%2.%3.%4."/>
      <w:lvlJc w:val="left"/>
      <w:pPr>
        <w:ind w:left="1985" w:hanging="198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470B85"/>
    <w:multiLevelType w:val="multilevel"/>
    <w:tmpl w:val="4364D6F2"/>
    <w:lvl w:ilvl="0">
      <w:start w:val="1"/>
      <w:numFmt w:val="decimal"/>
      <w:isLg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isLgl/>
      <w:lvlText w:val="%1.%2.%3.%4."/>
      <w:lvlJc w:val="left"/>
      <w:pPr>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5868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0147B1"/>
    <w:multiLevelType w:val="multilevel"/>
    <w:tmpl w:val="520E77EC"/>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1531"/>
      </w:pPr>
      <w:rPr>
        <w:rFonts w:hint="default"/>
      </w:rPr>
    </w:lvl>
    <w:lvl w:ilvl="3">
      <w:start w:val="1"/>
      <w:numFmt w:val="decimal"/>
      <w:isLgl/>
      <w:lvlText w:val="%1.%2.%3.%4."/>
      <w:lvlJc w:val="left"/>
      <w:pPr>
        <w:ind w:left="1985" w:hanging="198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7501779"/>
    <w:multiLevelType w:val="multilevel"/>
    <w:tmpl w:val="80FA90AC"/>
    <w:lvl w:ilvl="0">
      <w:start w:val="3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6437DC2"/>
    <w:multiLevelType w:val="multilevel"/>
    <w:tmpl w:val="0409001F"/>
    <w:lvl w:ilvl="0">
      <w:start w:val="1"/>
      <w:numFmt w:val="decimal"/>
      <w:lvlText w:val="%1."/>
      <w:lvlJc w:val="left"/>
      <w:pPr>
        <w:ind w:left="2487" w:hanging="360"/>
      </w:p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16">
    <w:nsid w:val="5A1224B0"/>
    <w:multiLevelType w:val="multilevel"/>
    <w:tmpl w:val="51F0EA2C"/>
    <w:lvl w:ilvl="0">
      <w:start w:val="34"/>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325487"/>
    <w:multiLevelType w:val="multilevel"/>
    <w:tmpl w:val="E14EF102"/>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1531"/>
      </w:pPr>
      <w:rPr>
        <w:rFonts w:hint="default"/>
      </w:rPr>
    </w:lvl>
    <w:lvl w:ilvl="3">
      <w:start w:val="1"/>
      <w:numFmt w:val="decimal"/>
      <w:isLgl/>
      <w:lvlText w:val="%1.%2.%3.%4."/>
      <w:lvlJc w:val="left"/>
      <w:pPr>
        <w:ind w:left="1985" w:hanging="198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C550535"/>
    <w:multiLevelType w:val="multilevel"/>
    <w:tmpl w:val="520E77EC"/>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531" w:hanging="1531"/>
      </w:pPr>
      <w:rPr>
        <w:rFonts w:hint="default"/>
      </w:rPr>
    </w:lvl>
    <w:lvl w:ilvl="3">
      <w:start w:val="1"/>
      <w:numFmt w:val="decimal"/>
      <w:isLgl/>
      <w:lvlText w:val="%1.%2.%3.%4."/>
      <w:lvlJc w:val="left"/>
      <w:pPr>
        <w:ind w:left="1985" w:hanging="198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DD73B8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119532D"/>
    <w:multiLevelType w:val="multilevel"/>
    <w:tmpl w:val="72F47054"/>
    <w:lvl w:ilvl="0">
      <w:start w:val="1"/>
      <w:numFmt w:val="decimal"/>
      <w:pStyle w:val="Heading1"/>
      <w:lvlText w:val="%1"/>
      <w:lvlJc w:val="left"/>
      <w:pPr>
        <w:ind w:left="432" w:hanging="432"/>
      </w:pPr>
      <w:rPr>
        <w:rFonts w:ascii="Arial" w:hAnsi="Arial" w:hint="default"/>
        <w:b w:val="0"/>
        <w:i w:val="0"/>
        <w:color w:val="auto"/>
        <w:sz w:val="2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B1716C8"/>
    <w:multiLevelType w:val="multilevel"/>
    <w:tmpl w:val="C8A6361E"/>
    <w:lvl w:ilvl="0">
      <w:start w:val="1"/>
      <w:numFmt w:val="decimal"/>
      <w:lvlText w:val="%1."/>
      <w:lvlJc w:val="left"/>
      <w:pPr>
        <w:ind w:left="454" w:hanging="454"/>
      </w:pPr>
      <w:rPr>
        <w:rFonts w:hint="default"/>
      </w:rPr>
    </w:lvl>
    <w:lvl w:ilvl="1">
      <w:start w:val="1"/>
      <w:numFmt w:val="decimal"/>
      <w:lvlText w:val="%1.%2."/>
      <w:lvlJc w:val="left"/>
      <w:pPr>
        <w:ind w:left="1247" w:hanging="1247"/>
      </w:pPr>
      <w:rPr>
        <w:rFonts w:hint="default"/>
      </w:rPr>
    </w:lvl>
    <w:lvl w:ilvl="2">
      <w:start w:val="1"/>
      <w:numFmt w:val="decimal"/>
      <w:lvlText w:val="%1.%2.%3."/>
      <w:lvlJc w:val="left"/>
      <w:pPr>
        <w:ind w:left="2155" w:hanging="143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F240171"/>
    <w:multiLevelType w:val="multilevel"/>
    <w:tmpl w:val="519E765A"/>
    <w:lvl w:ilvl="0">
      <w:start w:val="1"/>
      <w:numFmt w:val="decimal"/>
      <w:lvlText w:val="%1."/>
      <w:lvlJc w:val="left"/>
      <w:pPr>
        <w:ind w:left="454" w:hanging="454"/>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531" w:hanging="1531"/>
      </w:pPr>
      <w:rPr>
        <w:rFonts w:hint="default"/>
      </w:rPr>
    </w:lvl>
    <w:lvl w:ilvl="3">
      <w:start w:val="1"/>
      <w:numFmt w:val="decimal"/>
      <w:isLgl/>
      <w:lvlText w:val="%1.%2.%3.%4."/>
      <w:lvlJc w:val="left"/>
      <w:pPr>
        <w:ind w:left="1985" w:hanging="198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0D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0"/>
  </w:num>
  <w:num w:numId="3">
    <w:abstractNumId w:val="23"/>
  </w:num>
  <w:num w:numId="4">
    <w:abstractNumId w:val="0"/>
  </w:num>
  <w:num w:numId="5">
    <w:abstractNumId w:val="1"/>
  </w:num>
  <w:num w:numId="6">
    <w:abstractNumId w:val="5"/>
  </w:num>
  <w:num w:numId="7">
    <w:abstractNumId w:val="19"/>
  </w:num>
  <w:num w:numId="8">
    <w:abstractNumId w:val="6"/>
  </w:num>
  <w:num w:numId="9">
    <w:abstractNumId w:val="12"/>
  </w:num>
  <w:num w:numId="10">
    <w:abstractNumId w:val="21"/>
  </w:num>
  <w:num w:numId="11">
    <w:abstractNumId w:val="22"/>
  </w:num>
  <w:num w:numId="12">
    <w:abstractNumId w:val="3"/>
  </w:num>
  <w:num w:numId="13">
    <w:abstractNumId w:val="8"/>
  </w:num>
  <w:num w:numId="14">
    <w:abstractNumId w:val="13"/>
  </w:num>
  <w:num w:numId="15">
    <w:abstractNumId w:val="10"/>
  </w:num>
  <w:num w:numId="16">
    <w:abstractNumId w:val="18"/>
  </w:num>
  <w:num w:numId="17">
    <w:abstractNumId w:val="17"/>
  </w:num>
  <w:num w:numId="18">
    <w:abstractNumId w:val="11"/>
  </w:num>
  <w:num w:numId="19">
    <w:abstractNumId w:val="9"/>
  </w:num>
  <w:num w:numId="20">
    <w:abstractNumId w:val="2"/>
  </w:num>
  <w:num w:numId="21">
    <w:abstractNumId w:val="7"/>
  </w:num>
  <w:num w:numId="22">
    <w:abstractNumId w:val="14"/>
  </w:num>
  <w:num w:numId="23">
    <w:abstractNumId w:val="1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0B3CFD"/>
    <w:rsid w:val="00000A2C"/>
    <w:rsid w:val="00000EBB"/>
    <w:rsid w:val="00004F2E"/>
    <w:rsid w:val="00006F36"/>
    <w:rsid w:val="000123A1"/>
    <w:rsid w:val="000124D9"/>
    <w:rsid w:val="0001298A"/>
    <w:rsid w:val="00013501"/>
    <w:rsid w:val="00013B68"/>
    <w:rsid w:val="000149FE"/>
    <w:rsid w:val="00016A43"/>
    <w:rsid w:val="00016D87"/>
    <w:rsid w:val="00017C37"/>
    <w:rsid w:val="000246CC"/>
    <w:rsid w:val="00024C6D"/>
    <w:rsid w:val="0002519B"/>
    <w:rsid w:val="0003067D"/>
    <w:rsid w:val="00031E3E"/>
    <w:rsid w:val="00033546"/>
    <w:rsid w:val="0003383D"/>
    <w:rsid w:val="000405DD"/>
    <w:rsid w:val="0004100D"/>
    <w:rsid w:val="00046489"/>
    <w:rsid w:val="00051E6C"/>
    <w:rsid w:val="00052504"/>
    <w:rsid w:val="000529A0"/>
    <w:rsid w:val="0005329E"/>
    <w:rsid w:val="000541A6"/>
    <w:rsid w:val="00055E0A"/>
    <w:rsid w:val="00063741"/>
    <w:rsid w:val="00064E96"/>
    <w:rsid w:val="0006716F"/>
    <w:rsid w:val="000700DC"/>
    <w:rsid w:val="0007215F"/>
    <w:rsid w:val="00076E96"/>
    <w:rsid w:val="00077169"/>
    <w:rsid w:val="00080D37"/>
    <w:rsid w:val="000818EE"/>
    <w:rsid w:val="0008360C"/>
    <w:rsid w:val="00083EEC"/>
    <w:rsid w:val="00084FA9"/>
    <w:rsid w:val="000875C6"/>
    <w:rsid w:val="0009018D"/>
    <w:rsid w:val="0009176F"/>
    <w:rsid w:val="0009190E"/>
    <w:rsid w:val="00091D10"/>
    <w:rsid w:val="000925C2"/>
    <w:rsid w:val="00093156"/>
    <w:rsid w:val="0009448F"/>
    <w:rsid w:val="00097A14"/>
    <w:rsid w:val="000A09EA"/>
    <w:rsid w:val="000A0BED"/>
    <w:rsid w:val="000A24F3"/>
    <w:rsid w:val="000A2A93"/>
    <w:rsid w:val="000B1472"/>
    <w:rsid w:val="000B17F0"/>
    <w:rsid w:val="000B202C"/>
    <w:rsid w:val="000B3CFD"/>
    <w:rsid w:val="000B4F9E"/>
    <w:rsid w:val="000B7441"/>
    <w:rsid w:val="000B7EB2"/>
    <w:rsid w:val="000C1032"/>
    <w:rsid w:val="000C1B4E"/>
    <w:rsid w:val="000C1F0B"/>
    <w:rsid w:val="000C2AE5"/>
    <w:rsid w:val="000C3EF5"/>
    <w:rsid w:val="000C41B5"/>
    <w:rsid w:val="000C4722"/>
    <w:rsid w:val="000C5B35"/>
    <w:rsid w:val="000C77E2"/>
    <w:rsid w:val="000D18C1"/>
    <w:rsid w:val="000E0985"/>
    <w:rsid w:val="000E2F0F"/>
    <w:rsid w:val="000E773B"/>
    <w:rsid w:val="000F2861"/>
    <w:rsid w:val="000F2AC2"/>
    <w:rsid w:val="000F4D87"/>
    <w:rsid w:val="00103FA5"/>
    <w:rsid w:val="0010437F"/>
    <w:rsid w:val="00105F95"/>
    <w:rsid w:val="00112AA7"/>
    <w:rsid w:val="00112D96"/>
    <w:rsid w:val="00116912"/>
    <w:rsid w:val="00117730"/>
    <w:rsid w:val="00121FB8"/>
    <w:rsid w:val="00124F09"/>
    <w:rsid w:val="001311AF"/>
    <w:rsid w:val="00132985"/>
    <w:rsid w:val="00133358"/>
    <w:rsid w:val="00134300"/>
    <w:rsid w:val="00136DD8"/>
    <w:rsid w:val="00137A8A"/>
    <w:rsid w:val="0014337B"/>
    <w:rsid w:val="00143695"/>
    <w:rsid w:val="001436A3"/>
    <w:rsid w:val="001479F2"/>
    <w:rsid w:val="001514A5"/>
    <w:rsid w:val="00154737"/>
    <w:rsid w:val="00155F5B"/>
    <w:rsid w:val="00156D3C"/>
    <w:rsid w:val="00157E0A"/>
    <w:rsid w:val="00162773"/>
    <w:rsid w:val="00163BC9"/>
    <w:rsid w:val="00170F47"/>
    <w:rsid w:val="00173760"/>
    <w:rsid w:val="00174EA2"/>
    <w:rsid w:val="00174F9D"/>
    <w:rsid w:val="00176475"/>
    <w:rsid w:val="001767A6"/>
    <w:rsid w:val="00176EDA"/>
    <w:rsid w:val="00177BC5"/>
    <w:rsid w:val="001802C0"/>
    <w:rsid w:val="0018719C"/>
    <w:rsid w:val="00194513"/>
    <w:rsid w:val="00196694"/>
    <w:rsid w:val="001A0EF3"/>
    <w:rsid w:val="001A2949"/>
    <w:rsid w:val="001A3B44"/>
    <w:rsid w:val="001A3BF8"/>
    <w:rsid w:val="001A417D"/>
    <w:rsid w:val="001A57BC"/>
    <w:rsid w:val="001A5D3F"/>
    <w:rsid w:val="001A624A"/>
    <w:rsid w:val="001B222E"/>
    <w:rsid w:val="001B23B4"/>
    <w:rsid w:val="001B23EC"/>
    <w:rsid w:val="001B2637"/>
    <w:rsid w:val="001B54FF"/>
    <w:rsid w:val="001B7DCE"/>
    <w:rsid w:val="001C0D28"/>
    <w:rsid w:val="001C224C"/>
    <w:rsid w:val="001D0773"/>
    <w:rsid w:val="001D0EAB"/>
    <w:rsid w:val="001D154B"/>
    <w:rsid w:val="001D201B"/>
    <w:rsid w:val="001D2933"/>
    <w:rsid w:val="001D3697"/>
    <w:rsid w:val="001D3C1B"/>
    <w:rsid w:val="001D3E98"/>
    <w:rsid w:val="001D5EF7"/>
    <w:rsid w:val="001D6BA9"/>
    <w:rsid w:val="001E25A4"/>
    <w:rsid w:val="001F42E7"/>
    <w:rsid w:val="001F4529"/>
    <w:rsid w:val="001F4C05"/>
    <w:rsid w:val="001F5CB9"/>
    <w:rsid w:val="001F7C4D"/>
    <w:rsid w:val="0020195E"/>
    <w:rsid w:val="0021431F"/>
    <w:rsid w:val="00215399"/>
    <w:rsid w:val="00220298"/>
    <w:rsid w:val="00220300"/>
    <w:rsid w:val="00220479"/>
    <w:rsid w:val="00222D97"/>
    <w:rsid w:val="00223529"/>
    <w:rsid w:val="002245DA"/>
    <w:rsid w:val="00224F60"/>
    <w:rsid w:val="00225990"/>
    <w:rsid w:val="002267EA"/>
    <w:rsid w:val="00226CB9"/>
    <w:rsid w:val="00233CD6"/>
    <w:rsid w:val="00233DAB"/>
    <w:rsid w:val="00233FCF"/>
    <w:rsid w:val="0023556F"/>
    <w:rsid w:val="002359E8"/>
    <w:rsid w:val="00235CDC"/>
    <w:rsid w:val="0023613B"/>
    <w:rsid w:val="002372C6"/>
    <w:rsid w:val="002434A6"/>
    <w:rsid w:val="0024681C"/>
    <w:rsid w:val="00254755"/>
    <w:rsid w:val="00256F0D"/>
    <w:rsid w:val="00264E0D"/>
    <w:rsid w:val="00265043"/>
    <w:rsid w:val="00271ADE"/>
    <w:rsid w:val="00274089"/>
    <w:rsid w:val="00274E3B"/>
    <w:rsid w:val="002776CC"/>
    <w:rsid w:val="00280149"/>
    <w:rsid w:val="00281C05"/>
    <w:rsid w:val="00282E1D"/>
    <w:rsid w:val="00293CC2"/>
    <w:rsid w:val="002951C8"/>
    <w:rsid w:val="00295E99"/>
    <w:rsid w:val="002A17B3"/>
    <w:rsid w:val="002A324D"/>
    <w:rsid w:val="002B08B3"/>
    <w:rsid w:val="002B120D"/>
    <w:rsid w:val="002B2EC3"/>
    <w:rsid w:val="002B48F3"/>
    <w:rsid w:val="002C3FFD"/>
    <w:rsid w:val="002C6B6C"/>
    <w:rsid w:val="002D03C2"/>
    <w:rsid w:val="002D1E0E"/>
    <w:rsid w:val="002D4028"/>
    <w:rsid w:val="002D4E9E"/>
    <w:rsid w:val="002D6A14"/>
    <w:rsid w:val="002D6E5B"/>
    <w:rsid w:val="002E1ABE"/>
    <w:rsid w:val="002E240D"/>
    <w:rsid w:val="002E357B"/>
    <w:rsid w:val="002E7001"/>
    <w:rsid w:val="002F3354"/>
    <w:rsid w:val="002F5107"/>
    <w:rsid w:val="002F53F5"/>
    <w:rsid w:val="002F750F"/>
    <w:rsid w:val="00300138"/>
    <w:rsid w:val="00303C87"/>
    <w:rsid w:val="00304432"/>
    <w:rsid w:val="00305B74"/>
    <w:rsid w:val="00306D1B"/>
    <w:rsid w:val="00314315"/>
    <w:rsid w:val="003153C0"/>
    <w:rsid w:val="00315BA8"/>
    <w:rsid w:val="003201D0"/>
    <w:rsid w:val="00320325"/>
    <w:rsid w:val="003206A5"/>
    <w:rsid w:val="003225BA"/>
    <w:rsid w:val="00322DE4"/>
    <w:rsid w:val="00323411"/>
    <w:rsid w:val="0032527B"/>
    <w:rsid w:val="00325BCF"/>
    <w:rsid w:val="00331F1B"/>
    <w:rsid w:val="00332F5C"/>
    <w:rsid w:val="00333978"/>
    <w:rsid w:val="00336B41"/>
    <w:rsid w:val="00340594"/>
    <w:rsid w:val="0034145D"/>
    <w:rsid w:val="00342354"/>
    <w:rsid w:val="00346D77"/>
    <w:rsid w:val="003509C2"/>
    <w:rsid w:val="003516B7"/>
    <w:rsid w:val="0035765A"/>
    <w:rsid w:val="00364C21"/>
    <w:rsid w:val="00365E69"/>
    <w:rsid w:val="0036678D"/>
    <w:rsid w:val="00367862"/>
    <w:rsid w:val="00371B1A"/>
    <w:rsid w:val="0037360E"/>
    <w:rsid w:val="00374018"/>
    <w:rsid w:val="00374668"/>
    <w:rsid w:val="0038272A"/>
    <w:rsid w:val="0038672A"/>
    <w:rsid w:val="00391EB0"/>
    <w:rsid w:val="0039227A"/>
    <w:rsid w:val="00396FED"/>
    <w:rsid w:val="003A2B2A"/>
    <w:rsid w:val="003A4047"/>
    <w:rsid w:val="003A4A86"/>
    <w:rsid w:val="003B02C6"/>
    <w:rsid w:val="003B198C"/>
    <w:rsid w:val="003B219D"/>
    <w:rsid w:val="003B4156"/>
    <w:rsid w:val="003B604D"/>
    <w:rsid w:val="003B7DF5"/>
    <w:rsid w:val="003C16F8"/>
    <w:rsid w:val="003C1DB3"/>
    <w:rsid w:val="003C1F09"/>
    <w:rsid w:val="003C296F"/>
    <w:rsid w:val="003C2C85"/>
    <w:rsid w:val="003C33A9"/>
    <w:rsid w:val="003C57D1"/>
    <w:rsid w:val="003C60BB"/>
    <w:rsid w:val="003C75EF"/>
    <w:rsid w:val="003D04A1"/>
    <w:rsid w:val="003D76A1"/>
    <w:rsid w:val="003E272F"/>
    <w:rsid w:val="003E4839"/>
    <w:rsid w:val="003E4A4D"/>
    <w:rsid w:val="003F24E7"/>
    <w:rsid w:val="003F3B47"/>
    <w:rsid w:val="003F52EE"/>
    <w:rsid w:val="00401A39"/>
    <w:rsid w:val="0040474C"/>
    <w:rsid w:val="004075A1"/>
    <w:rsid w:val="00411659"/>
    <w:rsid w:val="004116C1"/>
    <w:rsid w:val="00411BFF"/>
    <w:rsid w:val="00412A73"/>
    <w:rsid w:val="00420E2A"/>
    <w:rsid w:val="00421B22"/>
    <w:rsid w:val="004229AE"/>
    <w:rsid w:val="0042756A"/>
    <w:rsid w:val="004277FE"/>
    <w:rsid w:val="00427D69"/>
    <w:rsid w:val="0043774E"/>
    <w:rsid w:val="0044064C"/>
    <w:rsid w:val="004439F0"/>
    <w:rsid w:val="00443EF1"/>
    <w:rsid w:val="0044447F"/>
    <w:rsid w:val="00447BBA"/>
    <w:rsid w:val="00454CCE"/>
    <w:rsid w:val="00461909"/>
    <w:rsid w:val="00464080"/>
    <w:rsid w:val="004659B8"/>
    <w:rsid w:val="00466528"/>
    <w:rsid w:val="004714B9"/>
    <w:rsid w:val="00472B78"/>
    <w:rsid w:val="00472E1E"/>
    <w:rsid w:val="004801D3"/>
    <w:rsid w:val="0048223D"/>
    <w:rsid w:val="00483409"/>
    <w:rsid w:val="004841F5"/>
    <w:rsid w:val="004847F3"/>
    <w:rsid w:val="00484B13"/>
    <w:rsid w:val="00485022"/>
    <w:rsid w:val="00490561"/>
    <w:rsid w:val="004A10BA"/>
    <w:rsid w:val="004A464C"/>
    <w:rsid w:val="004A7265"/>
    <w:rsid w:val="004B2C8F"/>
    <w:rsid w:val="004B50ED"/>
    <w:rsid w:val="004B5A77"/>
    <w:rsid w:val="004B7491"/>
    <w:rsid w:val="004C0054"/>
    <w:rsid w:val="004C3D24"/>
    <w:rsid w:val="004C4269"/>
    <w:rsid w:val="004C4CB4"/>
    <w:rsid w:val="004C4D83"/>
    <w:rsid w:val="004C4EA6"/>
    <w:rsid w:val="004D1229"/>
    <w:rsid w:val="004D159D"/>
    <w:rsid w:val="004D1AC6"/>
    <w:rsid w:val="004D2221"/>
    <w:rsid w:val="004D29C9"/>
    <w:rsid w:val="004D5E9C"/>
    <w:rsid w:val="004E240A"/>
    <w:rsid w:val="004E5EFD"/>
    <w:rsid w:val="004F1D5C"/>
    <w:rsid w:val="004F3CF2"/>
    <w:rsid w:val="004F62A7"/>
    <w:rsid w:val="00502D62"/>
    <w:rsid w:val="0050514C"/>
    <w:rsid w:val="005066A0"/>
    <w:rsid w:val="00506C94"/>
    <w:rsid w:val="00512884"/>
    <w:rsid w:val="00512C63"/>
    <w:rsid w:val="00516DB3"/>
    <w:rsid w:val="00524081"/>
    <w:rsid w:val="00526077"/>
    <w:rsid w:val="005261CE"/>
    <w:rsid w:val="005269D3"/>
    <w:rsid w:val="00526A5D"/>
    <w:rsid w:val="00526E47"/>
    <w:rsid w:val="00527762"/>
    <w:rsid w:val="00527CB5"/>
    <w:rsid w:val="00530BED"/>
    <w:rsid w:val="00532EE7"/>
    <w:rsid w:val="005336C4"/>
    <w:rsid w:val="00533E3D"/>
    <w:rsid w:val="00542A5B"/>
    <w:rsid w:val="0054467D"/>
    <w:rsid w:val="00545EC1"/>
    <w:rsid w:val="0054678A"/>
    <w:rsid w:val="005469D7"/>
    <w:rsid w:val="00547DE8"/>
    <w:rsid w:val="00550673"/>
    <w:rsid w:val="0055159C"/>
    <w:rsid w:val="0055207A"/>
    <w:rsid w:val="005526FE"/>
    <w:rsid w:val="0055320C"/>
    <w:rsid w:val="005549C6"/>
    <w:rsid w:val="00555095"/>
    <w:rsid w:val="00555CC3"/>
    <w:rsid w:val="005570E5"/>
    <w:rsid w:val="00557722"/>
    <w:rsid w:val="00560DB3"/>
    <w:rsid w:val="0056172E"/>
    <w:rsid w:val="00570233"/>
    <w:rsid w:val="0057748B"/>
    <w:rsid w:val="00584005"/>
    <w:rsid w:val="00584B1A"/>
    <w:rsid w:val="00584CFF"/>
    <w:rsid w:val="005903D2"/>
    <w:rsid w:val="005A11AC"/>
    <w:rsid w:val="005A28A8"/>
    <w:rsid w:val="005A7BF4"/>
    <w:rsid w:val="005B3089"/>
    <w:rsid w:val="005B3520"/>
    <w:rsid w:val="005B719C"/>
    <w:rsid w:val="005C0E53"/>
    <w:rsid w:val="005C5F08"/>
    <w:rsid w:val="005C6CB8"/>
    <w:rsid w:val="005D3FB8"/>
    <w:rsid w:val="005D5B05"/>
    <w:rsid w:val="005E05D5"/>
    <w:rsid w:val="005F0E86"/>
    <w:rsid w:val="005F33B2"/>
    <w:rsid w:val="005F7D47"/>
    <w:rsid w:val="00601760"/>
    <w:rsid w:val="006040CF"/>
    <w:rsid w:val="006040DA"/>
    <w:rsid w:val="00606E9E"/>
    <w:rsid w:val="00607F0A"/>
    <w:rsid w:val="00611C44"/>
    <w:rsid w:val="0061204C"/>
    <w:rsid w:val="006122CA"/>
    <w:rsid w:val="00612CF0"/>
    <w:rsid w:val="006175A2"/>
    <w:rsid w:val="00622537"/>
    <w:rsid w:val="00622AF9"/>
    <w:rsid w:val="0062455C"/>
    <w:rsid w:val="0063393B"/>
    <w:rsid w:val="00633D93"/>
    <w:rsid w:val="00634450"/>
    <w:rsid w:val="00637B9C"/>
    <w:rsid w:val="00640C86"/>
    <w:rsid w:val="006427E4"/>
    <w:rsid w:val="00642D37"/>
    <w:rsid w:val="00644C1C"/>
    <w:rsid w:val="0064545B"/>
    <w:rsid w:val="00646275"/>
    <w:rsid w:val="006549AE"/>
    <w:rsid w:val="00654C8A"/>
    <w:rsid w:val="006559FB"/>
    <w:rsid w:val="00656BFC"/>
    <w:rsid w:val="00661B90"/>
    <w:rsid w:val="00671424"/>
    <w:rsid w:val="006719A5"/>
    <w:rsid w:val="00671D11"/>
    <w:rsid w:val="00673D70"/>
    <w:rsid w:val="0067402A"/>
    <w:rsid w:val="0067550F"/>
    <w:rsid w:val="006778E8"/>
    <w:rsid w:val="00680481"/>
    <w:rsid w:val="0068109F"/>
    <w:rsid w:val="006840F9"/>
    <w:rsid w:val="0068469B"/>
    <w:rsid w:val="00687074"/>
    <w:rsid w:val="00690C20"/>
    <w:rsid w:val="00692912"/>
    <w:rsid w:val="0069524E"/>
    <w:rsid w:val="00695E28"/>
    <w:rsid w:val="006A1597"/>
    <w:rsid w:val="006A7138"/>
    <w:rsid w:val="006B1A3D"/>
    <w:rsid w:val="006B23F8"/>
    <w:rsid w:val="006B25F0"/>
    <w:rsid w:val="006B58C6"/>
    <w:rsid w:val="006B713D"/>
    <w:rsid w:val="006C275E"/>
    <w:rsid w:val="006D29A9"/>
    <w:rsid w:val="006D36A5"/>
    <w:rsid w:val="006D6B5E"/>
    <w:rsid w:val="006D71AF"/>
    <w:rsid w:val="006D7679"/>
    <w:rsid w:val="006E154B"/>
    <w:rsid w:val="006E4F0E"/>
    <w:rsid w:val="006E52E3"/>
    <w:rsid w:val="006E5439"/>
    <w:rsid w:val="006E6CD9"/>
    <w:rsid w:val="006E70E0"/>
    <w:rsid w:val="006E7266"/>
    <w:rsid w:val="006F2EA5"/>
    <w:rsid w:val="00705673"/>
    <w:rsid w:val="0071359B"/>
    <w:rsid w:val="00713700"/>
    <w:rsid w:val="007141F3"/>
    <w:rsid w:val="00717031"/>
    <w:rsid w:val="0071742B"/>
    <w:rsid w:val="00717C58"/>
    <w:rsid w:val="00723A09"/>
    <w:rsid w:val="0072429E"/>
    <w:rsid w:val="00724D5B"/>
    <w:rsid w:val="00726913"/>
    <w:rsid w:val="00726EC7"/>
    <w:rsid w:val="007275F7"/>
    <w:rsid w:val="0072778C"/>
    <w:rsid w:val="007348C8"/>
    <w:rsid w:val="00744BB4"/>
    <w:rsid w:val="00745080"/>
    <w:rsid w:val="0074593E"/>
    <w:rsid w:val="00745FB7"/>
    <w:rsid w:val="00752294"/>
    <w:rsid w:val="0075583C"/>
    <w:rsid w:val="0075689E"/>
    <w:rsid w:val="00761756"/>
    <w:rsid w:val="0076408E"/>
    <w:rsid w:val="007767B1"/>
    <w:rsid w:val="00777D74"/>
    <w:rsid w:val="00783848"/>
    <w:rsid w:val="00785455"/>
    <w:rsid w:val="00786B6E"/>
    <w:rsid w:val="00787C1E"/>
    <w:rsid w:val="00787C92"/>
    <w:rsid w:val="007906B1"/>
    <w:rsid w:val="00790A7D"/>
    <w:rsid w:val="00791100"/>
    <w:rsid w:val="00792C89"/>
    <w:rsid w:val="00793A41"/>
    <w:rsid w:val="007A1D5F"/>
    <w:rsid w:val="007A2EB2"/>
    <w:rsid w:val="007A3085"/>
    <w:rsid w:val="007A653B"/>
    <w:rsid w:val="007A7359"/>
    <w:rsid w:val="007A7D48"/>
    <w:rsid w:val="007B3AFC"/>
    <w:rsid w:val="007B72E5"/>
    <w:rsid w:val="007C38F9"/>
    <w:rsid w:val="007C5255"/>
    <w:rsid w:val="007C5A23"/>
    <w:rsid w:val="007D206E"/>
    <w:rsid w:val="007D2168"/>
    <w:rsid w:val="007D4D0E"/>
    <w:rsid w:val="007D51C1"/>
    <w:rsid w:val="007E4E63"/>
    <w:rsid w:val="007E65B0"/>
    <w:rsid w:val="007E76CF"/>
    <w:rsid w:val="007F2742"/>
    <w:rsid w:val="007F5409"/>
    <w:rsid w:val="007F5D8F"/>
    <w:rsid w:val="00802985"/>
    <w:rsid w:val="00803D0D"/>
    <w:rsid w:val="008041A1"/>
    <w:rsid w:val="00804867"/>
    <w:rsid w:val="008058CA"/>
    <w:rsid w:val="00806919"/>
    <w:rsid w:val="00807733"/>
    <w:rsid w:val="00814452"/>
    <w:rsid w:val="00820860"/>
    <w:rsid w:val="00821C2A"/>
    <w:rsid w:val="00821FC7"/>
    <w:rsid w:val="0082661E"/>
    <w:rsid w:val="00826893"/>
    <w:rsid w:val="00827253"/>
    <w:rsid w:val="00832E0E"/>
    <w:rsid w:val="00832E9E"/>
    <w:rsid w:val="00835004"/>
    <w:rsid w:val="00841BE2"/>
    <w:rsid w:val="008431B9"/>
    <w:rsid w:val="008522A6"/>
    <w:rsid w:val="008572ED"/>
    <w:rsid w:val="00857CB8"/>
    <w:rsid w:val="00863EF0"/>
    <w:rsid w:val="0086444B"/>
    <w:rsid w:val="0086483C"/>
    <w:rsid w:val="00865CB4"/>
    <w:rsid w:val="00870474"/>
    <w:rsid w:val="008730E1"/>
    <w:rsid w:val="008770C6"/>
    <w:rsid w:val="008839E3"/>
    <w:rsid w:val="00886CAE"/>
    <w:rsid w:val="008923FD"/>
    <w:rsid w:val="00894F6F"/>
    <w:rsid w:val="00895D53"/>
    <w:rsid w:val="00896F89"/>
    <w:rsid w:val="008977AC"/>
    <w:rsid w:val="008A0E8D"/>
    <w:rsid w:val="008A1187"/>
    <w:rsid w:val="008A19F2"/>
    <w:rsid w:val="008A2B9A"/>
    <w:rsid w:val="008A50CF"/>
    <w:rsid w:val="008B1339"/>
    <w:rsid w:val="008B43B4"/>
    <w:rsid w:val="008B4B28"/>
    <w:rsid w:val="008B6BA7"/>
    <w:rsid w:val="008C289B"/>
    <w:rsid w:val="008C3EF5"/>
    <w:rsid w:val="008C76C8"/>
    <w:rsid w:val="008D2884"/>
    <w:rsid w:val="008D44C7"/>
    <w:rsid w:val="008D5A73"/>
    <w:rsid w:val="008D7E48"/>
    <w:rsid w:val="008E1706"/>
    <w:rsid w:val="008E3546"/>
    <w:rsid w:val="008E5A7E"/>
    <w:rsid w:val="008E6A4E"/>
    <w:rsid w:val="008F248D"/>
    <w:rsid w:val="008F3EB0"/>
    <w:rsid w:val="008F6126"/>
    <w:rsid w:val="008F6F83"/>
    <w:rsid w:val="008F7706"/>
    <w:rsid w:val="0090168F"/>
    <w:rsid w:val="00901D59"/>
    <w:rsid w:val="0090216A"/>
    <w:rsid w:val="009022A9"/>
    <w:rsid w:val="00905DCF"/>
    <w:rsid w:val="00912703"/>
    <w:rsid w:val="00913C4E"/>
    <w:rsid w:val="0091645C"/>
    <w:rsid w:val="00922FE4"/>
    <w:rsid w:val="009317FB"/>
    <w:rsid w:val="0093453C"/>
    <w:rsid w:val="00937A42"/>
    <w:rsid w:val="00937B07"/>
    <w:rsid w:val="00940F83"/>
    <w:rsid w:val="0094255B"/>
    <w:rsid w:val="009440AE"/>
    <w:rsid w:val="009446EE"/>
    <w:rsid w:val="00945BC5"/>
    <w:rsid w:val="00947074"/>
    <w:rsid w:val="00950FAD"/>
    <w:rsid w:val="0096028D"/>
    <w:rsid w:val="00962B3B"/>
    <w:rsid w:val="009630CC"/>
    <w:rsid w:val="00966BF5"/>
    <w:rsid w:val="009674C7"/>
    <w:rsid w:val="00967D7B"/>
    <w:rsid w:val="0097240B"/>
    <w:rsid w:val="00973DA6"/>
    <w:rsid w:val="00980576"/>
    <w:rsid w:val="0098172D"/>
    <w:rsid w:val="00981844"/>
    <w:rsid w:val="0098226B"/>
    <w:rsid w:val="00991D0B"/>
    <w:rsid w:val="0099383D"/>
    <w:rsid w:val="00994373"/>
    <w:rsid w:val="00997B1E"/>
    <w:rsid w:val="009A262D"/>
    <w:rsid w:val="009A2F9E"/>
    <w:rsid w:val="009A68CE"/>
    <w:rsid w:val="009B3D12"/>
    <w:rsid w:val="009B6A92"/>
    <w:rsid w:val="009B73A0"/>
    <w:rsid w:val="009B7B15"/>
    <w:rsid w:val="009B7B62"/>
    <w:rsid w:val="009C25C3"/>
    <w:rsid w:val="009C4A99"/>
    <w:rsid w:val="009C6869"/>
    <w:rsid w:val="009C76FC"/>
    <w:rsid w:val="009D2D1E"/>
    <w:rsid w:val="009D46DE"/>
    <w:rsid w:val="009D4A05"/>
    <w:rsid w:val="009D52BF"/>
    <w:rsid w:val="009D7723"/>
    <w:rsid w:val="009D7FE6"/>
    <w:rsid w:val="009E179F"/>
    <w:rsid w:val="009E2C82"/>
    <w:rsid w:val="009E41AC"/>
    <w:rsid w:val="009E79D4"/>
    <w:rsid w:val="009F3518"/>
    <w:rsid w:val="009F4650"/>
    <w:rsid w:val="00A02ECE"/>
    <w:rsid w:val="00A0306E"/>
    <w:rsid w:val="00A030A5"/>
    <w:rsid w:val="00A063C9"/>
    <w:rsid w:val="00A11583"/>
    <w:rsid w:val="00A13299"/>
    <w:rsid w:val="00A132AA"/>
    <w:rsid w:val="00A14988"/>
    <w:rsid w:val="00A15CCD"/>
    <w:rsid w:val="00A16A75"/>
    <w:rsid w:val="00A1721A"/>
    <w:rsid w:val="00A17FCD"/>
    <w:rsid w:val="00A22F64"/>
    <w:rsid w:val="00A23C36"/>
    <w:rsid w:val="00A24E93"/>
    <w:rsid w:val="00A258A7"/>
    <w:rsid w:val="00A2736F"/>
    <w:rsid w:val="00A276C8"/>
    <w:rsid w:val="00A31EC7"/>
    <w:rsid w:val="00A33844"/>
    <w:rsid w:val="00A369AA"/>
    <w:rsid w:val="00A43F87"/>
    <w:rsid w:val="00A44D51"/>
    <w:rsid w:val="00A500E9"/>
    <w:rsid w:val="00A5093C"/>
    <w:rsid w:val="00A55015"/>
    <w:rsid w:val="00A60A79"/>
    <w:rsid w:val="00A6168A"/>
    <w:rsid w:val="00A621DA"/>
    <w:rsid w:val="00A70D8A"/>
    <w:rsid w:val="00A71293"/>
    <w:rsid w:val="00A71B23"/>
    <w:rsid w:val="00A75CC9"/>
    <w:rsid w:val="00A84505"/>
    <w:rsid w:val="00A8463F"/>
    <w:rsid w:val="00A85F05"/>
    <w:rsid w:val="00A86CFB"/>
    <w:rsid w:val="00A876DC"/>
    <w:rsid w:val="00A91199"/>
    <w:rsid w:val="00A91D9F"/>
    <w:rsid w:val="00A93335"/>
    <w:rsid w:val="00A9711C"/>
    <w:rsid w:val="00A97FD4"/>
    <w:rsid w:val="00AA0717"/>
    <w:rsid w:val="00AA20C5"/>
    <w:rsid w:val="00AA3476"/>
    <w:rsid w:val="00AA5121"/>
    <w:rsid w:val="00AA6FAD"/>
    <w:rsid w:val="00AB2674"/>
    <w:rsid w:val="00AB3E64"/>
    <w:rsid w:val="00AC4A63"/>
    <w:rsid w:val="00AC6D13"/>
    <w:rsid w:val="00AC7F6F"/>
    <w:rsid w:val="00AD1FD2"/>
    <w:rsid w:val="00AD431B"/>
    <w:rsid w:val="00AD54FD"/>
    <w:rsid w:val="00AE02CA"/>
    <w:rsid w:val="00AE2694"/>
    <w:rsid w:val="00AE455A"/>
    <w:rsid w:val="00AF0D7A"/>
    <w:rsid w:val="00AF17FF"/>
    <w:rsid w:val="00AF6981"/>
    <w:rsid w:val="00B019D1"/>
    <w:rsid w:val="00B02107"/>
    <w:rsid w:val="00B025B4"/>
    <w:rsid w:val="00B045F5"/>
    <w:rsid w:val="00B05F8E"/>
    <w:rsid w:val="00B1258B"/>
    <w:rsid w:val="00B14F60"/>
    <w:rsid w:val="00B1701D"/>
    <w:rsid w:val="00B17730"/>
    <w:rsid w:val="00B2183B"/>
    <w:rsid w:val="00B21AFA"/>
    <w:rsid w:val="00B24FE6"/>
    <w:rsid w:val="00B25848"/>
    <w:rsid w:val="00B30547"/>
    <w:rsid w:val="00B31D24"/>
    <w:rsid w:val="00B34008"/>
    <w:rsid w:val="00B37EA7"/>
    <w:rsid w:val="00B4012B"/>
    <w:rsid w:val="00B40A4D"/>
    <w:rsid w:val="00B40F05"/>
    <w:rsid w:val="00B415A8"/>
    <w:rsid w:val="00B532BA"/>
    <w:rsid w:val="00B53F7E"/>
    <w:rsid w:val="00B56408"/>
    <w:rsid w:val="00B635DB"/>
    <w:rsid w:val="00B656ED"/>
    <w:rsid w:val="00B66FF4"/>
    <w:rsid w:val="00B71341"/>
    <w:rsid w:val="00B7304A"/>
    <w:rsid w:val="00B73EFD"/>
    <w:rsid w:val="00B76CCC"/>
    <w:rsid w:val="00B77891"/>
    <w:rsid w:val="00B800B8"/>
    <w:rsid w:val="00B81235"/>
    <w:rsid w:val="00B8721D"/>
    <w:rsid w:val="00B91353"/>
    <w:rsid w:val="00B9677D"/>
    <w:rsid w:val="00BA58C1"/>
    <w:rsid w:val="00BA64DF"/>
    <w:rsid w:val="00BC1A0F"/>
    <w:rsid w:val="00BC3160"/>
    <w:rsid w:val="00BC5540"/>
    <w:rsid w:val="00BD1F28"/>
    <w:rsid w:val="00BD1F81"/>
    <w:rsid w:val="00BD5465"/>
    <w:rsid w:val="00BF321D"/>
    <w:rsid w:val="00C00F94"/>
    <w:rsid w:val="00C0239C"/>
    <w:rsid w:val="00C03F30"/>
    <w:rsid w:val="00C074A8"/>
    <w:rsid w:val="00C07576"/>
    <w:rsid w:val="00C126A9"/>
    <w:rsid w:val="00C127FA"/>
    <w:rsid w:val="00C15A68"/>
    <w:rsid w:val="00C15AE0"/>
    <w:rsid w:val="00C17679"/>
    <w:rsid w:val="00C17E6D"/>
    <w:rsid w:val="00C20A90"/>
    <w:rsid w:val="00C24184"/>
    <w:rsid w:val="00C242CB"/>
    <w:rsid w:val="00C260B5"/>
    <w:rsid w:val="00C26687"/>
    <w:rsid w:val="00C27257"/>
    <w:rsid w:val="00C31C31"/>
    <w:rsid w:val="00C339E0"/>
    <w:rsid w:val="00C35705"/>
    <w:rsid w:val="00C3572C"/>
    <w:rsid w:val="00C36741"/>
    <w:rsid w:val="00C41B97"/>
    <w:rsid w:val="00C44D4C"/>
    <w:rsid w:val="00C5658F"/>
    <w:rsid w:val="00C61409"/>
    <w:rsid w:val="00C673C3"/>
    <w:rsid w:val="00C71062"/>
    <w:rsid w:val="00C71A0E"/>
    <w:rsid w:val="00C7299D"/>
    <w:rsid w:val="00C729B0"/>
    <w:rsid w:val="00C74E8A"/>
    <w:rsid w:val="00C757A4"/>
    <w:rsid w:val="00C85E36"/>
    <w:rsid w:val="00C9318B"/>
    <w:rsid w:val="00CA1085"/>
    <w:rsid w:val="00CA1955"/>
    <w:rsid w:val="00CA1AB7"/>
    <w:rsid w:val="00CA1D90"/>
    <w:rsid w:val="00CA252D"/>
    <w:rsid w:val="00CA6A19"/>
    <w:rsid w:val="00CB053C"/>
    <w:rsid w:val="00CB0A9F"/>
    <w:rsid w:val="00CB0E0D"/>
    <w:rsid w:val="00CB12F3"/>
    <w:rsid w:val="00CB1AC9"/>
    <w:rsid w:val="00CB2A48"/>
    <w:rsid w:val="00CB4CA9"/>
    <w:rsid w:val="00CB4D5F"/>
    <w:rsid w:val="00CB5CA5"/>
    <w:rsid w:val="00CB6CDE"/>
    <w:rsid w:val="00CC289D"/>
    <w:rsid w:val="00CD0312"/>
    <w:rsid w:val="00CD42EA"/>
    <w:rsid w:val="00CD6BD9"/>
    <w:rsid w:val="00CE0F59"/>
    <w:rsid w:val="00CE2F86"/>
    <w:rsid w:val="00CE4919"/>
    <w:rsid w:val="00CE557F"/>
    <w:rsid w:val="00D03072"/>
    <w:rsid w:val="00D05F1A"/>
    <w:rsid w:val="00D07241"/>
    <w:rsid w:val="00D07BF1"/>
    <w:rsid w:val="00D11F46"/>
    <w:rsid w:val="00D14D12"/>
    <w:rsid w:val="00D26A55"/>
    <w:rsid w:val="00D27107"/>
    <w:rsid w:val="00D304F4"/>
    <w:rsid w:val="00D3167F"/>
    <w:rsid w:val="00D35055"/>
    <w:rsid w:val="00D36E76"/>
    <w:rsid w:val="00D37190"/>
    <w:rsid w:val="00D37A61"/>
    <w:rsid w:val="00D4037C"/>
    <w:rsid w:val="00D4082A"/>
    <w:rsid w:val="00D45900"/>
    <w:rsid w:val="00D45FE3"/>
    <w:rsid w:val="00D50D3B"/>
    <w:rsid w:val="00D5156C"/>
    <w:rsid w:val="00D51614"/>
    <w:rsid w:val="00D52AEA"/>
    <w:rsid w:val="00D55EA5"/>
    <w:rsid w:val="00D63993"/>
    <w:rsid w:val="00D63E2A"/>
    <w:rsid w:val="00D66277"/>
    <w:rsid w:val="00D66784"/>
    <w:rsid w:val="00D6690C"/>
    <w:rsid w:val="00D66E95"/>
    <w:rsid w:val="00D76908"/>
    <w:rsid w:val="00D771B5"/>
    <w:rsid w:val="00D77FC7"/>
    <w:rsid w:val="00D817D3"/>
    <w:rsid w:val="00D81CD0"/>
    <w:rsid w:val="00D83C30"/>
    <w:rsid w:val="00D85F0E"/>
    <w:rsid w:val="00D8782D"/>
    <w:rsid w:val="00D933BA"/>
    <w:rsid w:val="00D96A5B"/>
    <w:rsid w:val="00DA0ADA"/>
    <w:rsid w:val="00DA1B10"/>
    <w:rsid w:val="00DA404B"/>
    <w:rsid w:val="00DA4E25"/>
    <w:rsid w:val="00DA6D22"/>
    <w:rsid w:val="00DB0C99"/>
    <w:rsid w:val="00DB59CA"/>
    <w:rsid w:val="00DB711F"/>
    <w:rsid w:val="00DB7AF0"/>
    <w:rsid w:val="00DB7CA2"/>
    <w:rsid w:val="00DC0C1A"/>
    <w:rsid w:val="00DC1219"/>
    <w:rsid w:val="00DC3A75"/>
    <w:rsid w:val="00DC3D0A"/>
    <w:rsid w:val="00DC44AA"/>
    <w:rsid w:val="00DC5D24"/>
    <w:rsid w:val="00DD1193"/>
    <w:rsid w:val="00DD1562"/>
    <w:rsid w:val="00DD2BEC"/>
    <w:rsid w:val="00DD5E3B"/>
    <w:rsid w:val="00DE05F6"/>
    <w:rsid w:val="00DF37FC"/>
    <w:rsid w:val="00E04B68"/>
    <w:rsid w:val="00E07FA9"/>
    <w:rsid w:val="00E117D2"/>
    <w:rsid w:val="00E12EF1"/>
    <w:rsid w:val="00E145F9"/>
    <w:rsid w:val="00E15409"/>
    <w:rsid w:val="00E22249"/>
    <w:rsid w:val="00E239D5"/>
    <w:rsid w:val="00E24A32"/>
    <w:rsid w:val="00E24B01"/>
    <w:rsid w:val="00E342C0"/>
    <w:rsid w:val="00E37207"/>
    <w:rsid w:val="00E37AF7"/>
    <w:rsid w:val="00E40FC5"/>
    <w:rsid w:val="00E562D4"/>
    <w:rsid w:val="00E600FF"/>
    <w:rsid w:val="00E60914"/>
    <w:rsid w:val="00E6152E"/>
    <w:rsid w:val="00E635C5"/>
    <w:rsid w:val="00E6449E"/>
    <w:rsid w:val="00E64EE7"/>
    <w:rsid w:val="00E6514F"/>
    <w:rsid w:val="00E652DC"/>
    <w:rsid w:val="00E670D7"/>
    <w:rsid w:val="00E75F03"/>
    <w:rsid w:val="00E82D77"/>
    <w:rsid w:val="00E84CB4"/>
    <w:rsid w:val="00E84EB6"/>
    <w:rsid w:val="00E8797C"/>
    <w:rsid w:val="00E90D7B"/>
    <w:rsid w:val="00E91530"/>
    <w:rsid w:val="00E917FD"/>
    <w:rsid w:val="00E93782"/>
    <w:rsid w:val="00E93D2D"/>
    <w:rsid w:val="00E93D7B"/>
    <w:rsid w:val="00E947CE"/>
    <w:rsid w:val="00E97933"/>
    <w:rsid w:val="00EA1D2E"/>
    <w:rsid w:val="00EA27B8"/>
    <w:rsid w:val="00EB0303"/>
    <w:rsid w:val="00EB0FEA"/>
    <w:rsid w:val="00EB2C2A"/>
    <w:rsid w:val="00EB5EC4"/>
    <w:rsid w:val="00EB735F"/>
    <w:rsid w:val="00EC0531"/>
    <w:rsid w:val="00EC5A5B"/>
    <w:rsid w:val="00EC65B0"/>
    <w:rsid w:val="00EC6AB4"/>
    <w:rsid w:val="00ED1764"/>
    <w:rsid w:val="00ED49E7"/>
    <w:rsid w:val="00ED567E"/>
    <w:rsid w:val="00ED6289"/>
    <w:rsid w:val="00ED7225"/>
    <w:rsid w:val="00EE0FF9"/>
    <w:rsid w:val="00EE17B2"/>
    <w:rsid w:val="00EE1E0E"/>
    <w:rsid w:val="00EE53D4"/>
    <w:rsid w:val="00EE6DBE"/>
    <w:rsid w:val="00EE709B"/>
    <w:rsid w:val="00EE7F3A"/>
    <w:rsid w:val="00EF1433"/>
    <w:rsid w:val="00EF371A"/>
    <w:rsid w:val="00EF611A"/>
    <w:rsid w:val="00F10205"/>
    <w:rsid w:val="00F10553"/>
    <w:rsid w:val="00F12D91"/>
    <w:rsid w:val="00F2377A"/>
    <w:rsid w:val="00F25651"/>
    <w:rsid w:val="00F300EC"/>
    <w:rsid w:val="00F31ACE"/>
    <w:rsid w:val="00F328B7"/>
    <w:rsid w:val="00F33230"/>
    <w:rsid w:val="00F357C1"/>
    <w:rsid w:val="00F40545"/>
    <w:rsid w:val="00F4246C"/>
    <w:rsid w:val="00F436C7"/>
    <w:rsid w:val="00F4613B"/>
    <w:rsid w:val="00F461A9"/>
    <w:rsid w:val="00F46C6C"/>
    <w:rsid w:val="00F50222"/>
    <w:rsid w:val="00F50D43"/>
    <w:rsid w:val="00F515F8"/>
    <w:rsid w:val="00F52864"/>
    <w:rsid w:val="00F53EED"/>
    <w:rsid w:val="00F557EE"/>
    <w:rsid w:val="00F564AC"/>
    <w:rsid w:val="00F569D9"/>
    <w:rsid w:val="00F62DBB"/>
    <w:rsid w:val="00F63791"/>
    <w:rsid w:val="00F72B17"/>
    <w:rsid w:val="00F73DE8"/>
    <w:rsid w:val="00F758F9"/>
    <w:rsid w:val="00F81EBD"/>
    <w:rsid w:val="00F83ACD"/>
    <w:rsid w:val="00F8754C"/>
    <w:rsid w:val="00F87564"/>
    <w:rsid w:val="00F90330"/>
    <w:rsid w:val="00F90A0F"/>
    <w:rsid w:val="00F91130"/>
    <w:rsid w:val="00F947D4"/>
    <w:rsid w:val="00FB0108"/>
    <w:rsid w:val="00FB0277"/>
    <w:rsid w:val="00FB1B93"/>
    <w:rsid w:val="00FB336D"/>
    <w:rsid w:val="00FB55F6"/>
    <w:rsid w:val="00FC0C7F"/>
    <w:rsid w:val="00FC3AEB"/>
    <w:rsid w:val="00FC5CBD"/>
    <w:rsid w:val="00FC68CF"/>
    <w:rsid w:val="00FC7311"/>
    <w:rsid w:val="00FC7BBB"/>
    <w:rsid w:val="00FD19FB"/>
    <w:rsid w:val="00FD6E63"/>
    <w:rsid w:val="00FD7792"/>
    <w:rsid w:val="00FE1C0F"/>
    <w:rsid w:val="00FE4D4E"/>
    <w:rsid w:val="00FF0C57"/>
    <w:rsid w:val="00FF1846"/>
    <w:rsid w:val="00FF2CC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84"/>
    <w:pPr>
      <w:spacing w:line="360" w:lineRule="auto"/>
    </w:pPr>
    <w:rPr>
      <w:rFonts w:ascii="Arial" w:hAnsi="Arial" w:cs="Times New Roman (Body CS)"/>
    </w:rPr>
  </w:style>
  <w:style w:type="paragraph" w:styleId="Heading1">
    <w:name w:val="heading 1"/>
    <w:basedOn w:val="Normal"/>
    <w:next w:val="Normal"/>
    <w:link w:val="Heading1Char"/>
    <w:uiPriority w:val="9"/>
    <w:qFormat/>
    <w:rsid w:val="00AF17FF"/>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7FF"/>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17FF"/>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F17FF"/>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17FF"/>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7FF"/>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17FF"/>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17F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17F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CFD"/>
    <w:pPr>
      <w:tabs>
        <w:tab w:val="center" w:pos="4680"/>
        <w:tab w:val="right" w:pos="9360"/>
      </w:tabs>
    </w:pPr>
  </w:style>
  <w:style w:type="character" w:customStyle="1" w:styleId="HeaderChar">
    <w:name w:val="Header Char"/>
    <w:basedOn w:val="DefaultParagraphFont"/>
    <w:link w:val="Header"/>
    <w:uiPriority w:val="99"/>
    <w:rsid w:val="000B3CFD"/>
  </w:style>
  <w:style w:type="paragraph" w:styleId="Footer">
    <w:name w:val="footer"/>
    <w:basedOn w:val="Normal"/>
    <w:link w:val="FooterChar"/>
    <w:uiPriority w:val="99"/>
    <w:unhideWhenUsed/>
    <w:rsid w:val="000B3CFD"/>
    <w:pPr>
      <w:tabs>
        <w:tab w:val="center" w:pos="4680"/>
        <w:tab w:val="right" w:pos="9360"/>
      </w:tabs>
    </w:pPr>
  </w:style>
  <w:style w:type="character" w:customStyle="1" w:styleId="FooterChar">
    <w:name w:val="Footer Char"/>
    <w:basedOn w:val="DefaultParagraphFont"/>
    <w:link w:val="Footer"/>
    <w:uiPriority w:val="99"/>
    <w:rsid w:val="000B3CFD"/>
  </w:style>
  <w:style w:type="character" w:styleId="PageNumber">
    <w:name w:val="page number"/>
    <w:basedOn w:val="DefaultParagraphFont"/>
    <w:uiPriority w:val="99"/>
    <w:semiHidden/>
    <w:unhideWhenUsed/>
    <w:rsid w:val="003B02C6"/>
  </w:style>
  <w:style w:type="paragraph" w:styleId="ListParagraph">
    <w:name w:val="List Paragraph"/>
    <w:basedOn w:val="Normal"/>
    <w:uiPriority w:val="34"/>
    <w:qFormat/>
    <w:rsid w:val="00777D74"/>
    <w:pPr>
      <w:ind w:left="720"/>
      <w:contextualSpacing/>
    </w:pPr>
  </w:style>
  <w:style w:type="character" w:customStyle="1" w:styleId="Heading1Char">
    <w:name w:val="Heading 1 Char"/>
    <w:basedOn w:val="DefaultParagraphFont"/>
    <w:link w:val="Heading1"/>
    <w:uiPriority w:val="9"/>
    <w:rsid w:val="00AF17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17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17F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F17FF"/>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AF17FF"/>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AF17FF"/>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AF17FF"/>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AF17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17FF"/>
    <w:rPr>
      <w:rFonts w:asciiTheme="majorHAnsi" w:eastAsiaTheme="majorEastAsia" w:hAnsiTheme="majorHAnsi" w:cstheme="majorBidi"/>
      <w:i/>
      <w:iCs/>
      <w:color w:val="272727" w:themeColor="text1" w:themeTint="D8"/>
      <w:sz w:val="21"/>
      <w:szCs w:val="21"/>
    </w:rPr>
  </w:style>
  <w:style w:type="numbering" w:styleId="111111">
    <w:name w:val="Outline List 2"/>
    <w:basedOn w:val="NoList"/>
    <w:uiPriority w:val="99"/>
    <w:semiHidden/>
    <w:unhideWhenUsed/>
    <w:rsid w:val="009D7FE6"/>
    <w:pPr>
      <w:numPr>
        <w:numId w:val="19"/>
      </w:numPr>
    </w:pPr>
  </w:style>
  <w:style w:type="paragraph" w:styleId="BodyText">
    <w:name w:val="Body Text"/>
    <w:basedOn w:val="Normal"/>
    <w:link w:val="BodyTextChar"/>
    <w:uiPriority w:val="99"/>
    <w:semiHidden/>
    <w:unhideWhenUsed/>
    <w:rsid w:val="00777D74"/>
  </w:style>
  <w:style w:type="character" w:customStyle="1" w:styleId="BodyTextChar">
    <w:name w:val="Body Text Char"/>
    <w:basedOn w:val="DefaultParagraphFont"/>
    <w:link w:val="BodyText"/>
    <w:uiPriority w:val="99"/>
    <w:semiHidden/>
    <w:rsid w:val="00777D74"/>
    <w:rPr>
      <w:rFonts w:ascii="Times New Roman" w:hAnsi="Times New Roman" w:cs="Times New Roman (Body CS)"/>
    </w:rPr>
  </w:style>
  <w:style w:type="paragraph" w:styleId="FootnoteText">
    <w:name w:val="footnote text"/>
    <w:basedOn w:val="Normal"/>
    <w:link w:val="FootnoteTextChar"/>
    <w:uiPriority w:val="99"/>
    <w:semiHidden/>
    <w:unhideWhenUsed/>
    <w:rsid w:val="003F52EE"/>
    <w:pPr>
      <w:spacing w:line="240" w:lineRule="auto"/>
    </w:pPr>
    <w:rPr>
      <w:sz w:val="20"/>
      <w:szCs w:val="20"/>
    </w:rPr>
  </w:style>
  <w:style w:type="character" w:customStyle="1" w:styleId="FootnoteTextChar">
    <w:name w:val="Footnote Text Char"/>
    <w:basedOn w:val="DefaultParagraphFont"/>
    <w:link w:val="FootnoteText"/>
    <w:uiPriority w:val="99"/>
    <w:semiHidden/>
    <w:rsid w:val="003F52EE"/>
    <w:rPr>
      <w:rFonts w:ascii="Arial" w:hAnsi="Arial" w:cs="Times New Roman (Body CS)"/>
      <w:sz w:val="20"/>
      <w:szCs w:val="20"/>
    </w:rPr>
  </w:style>
  <w:style w:type="character" w:styleId="FootnoteReference">
    <w:name w:val="footnote reference"/>
    <w:basedOn w:val="DefaultParagraphFont"/>
    <w:uiPriority w:val="99"/>
    <w:semiHidden/>
    <w:unhideWhenUsed/>
    <w:rsid w:val="003F52EE"/>
    <w:rPr>
      <w:vertAlign w:val="superscript"/>
    </w:rPr>
  </w:style>
  <w:style w:type="character" w:styleId="Hyperlink">
    <w:name w:val="Hyperlink"/>
    <w:basedOn w:val="DefaultParagraphFont"/>
    <w:uiPriority w:val="99"/>
    <w:unhideWhenUsed/>
    <w:rsid w:val="00D45900"/>
    <w:rPr>
      <w:color w:val="0563C1" w:themeColor="hyperlink"/>
      <w:u w:val="single"/>
    </w:rPr>
  </w:style>
  <w:style w:type="character" w:customStyle="1" w:styleId="UnresolvedMention">
    <w:name w:val="Unresolved Mention"/>
    <w:basedOn w:val="DefaultParagraphFont"/>
    <w:uiPriority w:val="99"/>
    <w:semiHidden/>
    <w:unhideWhenUsed/>
    <w:rsid w:val="00D45900"/>
    <w:rPr>
      <w:color w:val="605E5C"/>
      <w:shd w:val="clear" w:color="auto" w:fill="E1DFDD"/>
    </w:rPr>
  </w:style>
  <w:style w:type="paragraph" w:styleId="Bibliography">
    <w:name w:val="Bibliography"/>
    <w:basedOn w:val="Normal"/>
    <w:next w:val="Normal"/>
    <w:uiPriority w:val="37"/>
    <w:unhideWhenUsed/>
    <w:rsid w:val="00A369AA"/>
  </w:style>
  <w:style w:type="paragraph" w:styleId="Revision">
    <w:name w:val="Revision"/>
    <w:hidden/>
    <w:uiPriority w:val="99"/>
    <w:semiHidden/>
    <w:rsid w:val="002A17B3"/>
    <w:rPr>
      <w:rFonts w:ascii="Arial" w:hAnsi="Arial" w:cs="Times New Roman (Body CS)"/>
    </w:rPr>
  </w:style>
  <w:style w:type="character" w:styleId="CommentReference">
    <w:name w:val="annotation reference"/>
    <w:basedOn w:val="DefaultParagraphFont"/>
    <w:uiPriority w:val="99"/>
    <w:semiHidden/>
    <w:unhideWhenUsed/>
    <w:rsid w:val="00D771B5"/>
    <w:rPr>
      <w:sz w:val="16"/>
      <w:szCs w:val="16"/>
    </w:rPr>
  </w:style>
  <w:style w:type="paragraph" w:styleId="CommentText">
    <w:name w:val="annotation text"/>
    <w:basedOn w:val="Normal"/>
    <w:link w:val="CommentTextChar"/>
    <w:uiPriority w:val="99"/>
    <w:unhideWhenUsed/>
    <w:rsid w:val="00D771B5"/>
    <w:pPr>
      <w:spacing w:line="240" w:lineRule="auto"/>
    </w:pPr>
    <w:rPr>
      <w:sz w:val="20"/>
      <w:szCs w:val="20"/>
    </w:rPr>
  </w:style>
  <w:style w:type="character" w:customStyle="1" w:styleId="CommentTextChar">
    <w:name w:val="Comment Text Char"/>
    <w:basedOn w:val="DefaultParagraphFont"/>
    <w:link w:val="CommentText"/>
    <w:uiPriority w:val="99"/>
    <w:rsid w:val="00D771B5"/>
    <w:rPr>
      <w:rFonts w:ascii="Arial" w:hAnsi="Arial" w:cs="Times New Roman (Body CS)"/>
      <w:sz w:val="20"/>
      <w:szCs w:val="20"/>
    </w:rPr>
  </w:style>
  <w:style w:type="paragraph" w:styleId="CommentSubject">
    <w:name w:val="annotation subject"/>
    <w:basedOn w:val="CommentText"/>
    <w:next w:val="CommentText"/>
    <w:link w:val="CommentSubjectChar"/>
    <w:uiPriority w:val="99"/>
    <w:semiHidden/>
    <w:unhideWhenUsed/>
    <w:rsid w:val="00D771B5"/>
    <w:rPr>
      <w:b/>
      <w:bCs/>
    </w:rPr>
  </w:style>
  <w:style w:type="character" w:customStyle="1" w:styleId="CommentSubjectChar">
    <w:name w:val="Comment Subject Char"/>
    <w:basedOn w:val="CommentTextChar"/>
    <w:link w:val="CommentSubject"/>
    <w:uiPriority w:val="99"/>
    <w:semiHidden/>
    <w:rsid w:val="00D771B5"/>
    <w:rPr>
      <w:rFonts w:ascii="Arial" w:hAnsi="Arial" w:cs="Times New Roman (Body CS)"/>
      <w:b/>
      <w:bCs/>
      <w:sz w:val="20"/>
      <w:szCs w:val="20"/>
    </w:rPr>
  </w:style>
  <w:style w:type="character" w:styleId="FollowedHyperlink">
    <w:name w:val="FollowedHyperlink"/>
    <w:basedOn w:val="DefaultParagraphFont"/>
    <w:uiPriority w:val="99"/>
    <w:semiHidden/>
    <w:unhideWhenUsed/>
    <w:rsid w:val="00133358"/>
    <w:rPr>
      <w:color w:val="954F72" w:themeColor="followedHyperlink"/>
      <w:u w:val="single"/>
    </w:rPr>
  </w:style>
  <w:style w:type="paragraph" w:styleId="NormalWeb">
    <w:name w:val="Normal (Web)"/>
    <w:basedOn w:val="Normal"/>
    <w:uiPriority w:val="99"/>
    <w:unhideWhenUsed/>
    <w:rsid w:val="00DB59CA"/>
    <w:pPr>
      <w:spacing w:before="100" w:beforeAutospacing="1" w:after="100" w:afterAutospacing="1" w:line="240" w:lineRule="auto"/>
    </w:pPr>
    <w:rPr>
      <w:rFonts w:ascii="Times New Roman" w:eastAsia="Times New Roman" w:hAnsi="Times New Roman" w:cs="Times New Roman"/>
      <w:lang w:eastAsia="en-ZA"/>
    </w:rPr>
  </w:style>
  <w:style w:type="paragraph" w:styleId="EndnoteText">
    <w:name w:val="endnote text"/>
    <w:basedOn w:val="Normal"/>
    <w:link w:val="EndnoteTextChar"/>
    <w:uiPriority w:val="99"/>
    <w:unhideWhenUsed/>
    <w:rsid w:val="00DA6D22"/>
    <w:pPr>
      <w:spacing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DA6D22"/>
    <w:rPr>
      <w:sz w:val="20"/>
      <w:szCs w:val="20"/>
    </w:rPr>
  </w:style>
  <w:style w:type="table" w:styleId="TableGrid">
    <w:name w:val="Table Grid"/>
    <w:basedOn w:val="TableNormal"/>
    <w:uiPriority w:val="39"/>
    <w:rsid w:val="00857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84332">
      <w:bodyDiv w:val="1"/>
      <w:marLeft w:val="0"/>
      <w:marRight w:val="0"/>
      <w:marTop w:val="0"/>
      <w:marBottom w:val="0"/>
      <w:divBdr>
        <w:top w:val="none" w:sz="0" w:space="0" w:color="auto"/>
        <w:left w:val="none" w:sz="0" w:space="0" w:color="auto"/>
        <w:bottom w:val="none" w:sz="0" w:space="0" w:color="auto"/>
        <w:right w:val="none" w:sz="0" w:space="0" w:color="auto"/>
      </w:divBdr>
    </w:div>
    <w:div w:id="16515233">
      <w:bodyDiv w:val="1"/>
      <w:marLeft w:val="0"/>
      <w:marRight w:val="0"/>
      <w:marTop w:val="0"/>
      <w:marBottom w:val="0"/>
      <w:divBdr>
        <w:top w:val="none" w:sz="0" w:space="0" w:color="auto"/>
        <w:left w:val="none" w:sz="0" w:space="0" w:color="auto"/>
        <w:bottom w:val="none" w:sz="0" w:space="0" w:color="auto"/>
        <w:right w:val="none" w:sz="0" w:space="0" w:color="auto"/>
      </w:divBdr>
    </w:div>
    <w:div w:id="153030721">
      <w:bodyDiv w:val="1"/>
      <w:marLeft w:val="0"/>
      <w:marRight w:val="0"/>
      <w:marTop w:val="0"/>
      <w:marBottom w:val="0"/>
      <w:divBdr>
        <w:top w:val="none" w:sz="0" w:space="0" w:color="auto"/>
        <w:left w:val="none" w:sz="0" w:space="0" w:color="auto"/>
        <w:bottom w:val="none" w:sz="0" w:space="0" w:color="auto"/>
        <w:right w:val="none" w:sz="0" w:space="0" w:color="auto"/>
      </w:divBdr>
    </w:div>
    <w:div w:id="608390729">
      <w:bodyDiv w:val="1"/>
      <w:marLeft w:val="0"/>
      <w:marRight w:val="0"/>
      <w:marTop w:val="0"/>
      <w:marBottom w:val="0"/>
      <w:divBdr>
        <w:top w:val="none" w:sz="0" w:space="0" w:color="auto"/>
        <w:left w:val="none" w:sz="0" w:space="0" w:color="auto"/>
        <w:bottom w:val="none" w:sz="0" w:space="0" w:color="auto"/>
        <w:right w:val="none" w:sz="0" w:space="0" w:color="auto"/>
      </w:divBdr>
    </w:div>
    <w:div w:id="769815757">
      <w:bodyDiv w:val="1"/>
      <w:marLeft w:val="0"/>
      <w:marRight w:val="0"/>
      <w:marTop w:val="0"/>
      <w:marBottom w:val="0"/>
      <w:divBdr>
        <w:top w:val="none" w:sz="0" w:space="0" w:color="auto"/>
        <w:left w:val="none" w:sz="0" w:space="0" w:color="auto"/>
        <w:bottom w:val="none" w:sz="0" w:space="0" w:color="auto"/>
        <w:right w:val="none" w:sz="0" w:space="0" w:color="auto"/>
      </w:divBdr>
    </w:div>
    <w:div w:id="1230968442">
      <w:bodyDiv w:val="1"/>
      <w:marLeft w:val="0"/>
      <w:marRight w:val="0"/>
      <w:marTop w:val="0"/>
      <w:marBottom w:val="0"/>
      <w:divBdr>
        <w:top w:val="none" w:sz="0" w:space="0" w:color="auto"/>
        <w:left w:val="none" w:sz="0" w:space="0" w:color="auto"/>
        <w:bottom w:val="none" w:sz="0" w:space="0" w:color="auto"/>
        <w:right w:val="none" w:sz="0" w:space="0" w:color="auto"/>
      </w:divBdr>
    </w:div>
    <w:div w:id="1249925126">
      <w:bodyDiv w:val="1"/>
      <w:marLeft w:val="0"/>
      <w:marRight w:val="0"/>
      <w:marTop w:val="0"/>
      <w:marBottom w:val="0"/>
      <w:divBdr>
        <w:top w:val="none" w:sz="0" w:space="0" w:color="auto"/>
        <w:left w:val="none" w:sz="0" w:space="0" w:color="auto"/>
        <w:bottom w:val="none" w:sz="0" w:space="0" w:color="auto"/>
        <w:right w:val="none" w:sz="0" w:space="0" w:color="auto"/>
      </w:divBdr>
    </w:div>
    <w:div w:id="18023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treaties/UNCAC/WorkingGroups/workinggroup2/2021-September-6-10/CAC-COSP-WG.2-2021-CRP.1.pdf" TargetMode="External"/><Relationship Id="rId2" Type="http://schemas.openxmlformats.org/officeDocument/2006/relationships/hyperlink" Target="https://www.oecd.org/corruption/Resolving-Foreign-Bribery-Cases-with-Non-Trial-Resolutions.htm" TargetMode="External"/><Relationship Id="rId1" Type="http://schemas.openxmlformats.org/officeDocument/2006/relationships/hyperlink" Target="https://www.dailymaverick.co.za/article/2022-07-06-corruption-amnesty-south-africa-must-look-to-non-trial-resolutions/" TargetMode="External"/><Relationship Id="rId6" Type="http://schemas.openxmlformats.org/officeDocument/2006/relationships/hyperlink" Target="https://www.unodc.org/unodc/en/treaties/CAC/technical-guide.html" TargetMode="External"/><Relationship Id="rId5" Type="http://schemas.openxmlformats.org/officeDocument/2006/relationships/hyperlink" Target="https://www.oecd.org/corruption/Resolving-Foreign-Bribery-Cases-with-Non-Trial-Resolutions.htm" TargetMode="External"/><Relationship Id="rId4" Type="http://schemas.openxmlformats.org/officeDocument/2006/relationships/hyperlink" Target="https://www.oecd.org/daf/anti-bribery/WGBRatificationStat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7b1794-7b2c-4e14-b36f-292af49cd089">
      <Terms xmlns="http://schemas.microsoft.com/office/infopath/2007/PartnerControls"/>
    </lcf76f155ced4ddcb4097134ff3c332f>
    <TaxCatchAll xmlns="d198df32-ca86-4b4b-81c3-23299ba9ca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60C49C596CF418E2925A8B0806DA8" ma:contentTypeVersion="15" ma:contentTypeDescription="Create a new document." ma:contentTypeScope="" ma:versionID="6e855adb6f1f3872603a3c2f71449c74">
  <xsd:schema xmlns:xsd="http://www.w3.org/2001/XMLSchema" xmlns:xs="http://www.w3.org/2001/XMLSchema" xmlns:p="http://schemas.microsoft.com/office/2006/metadata/properties" xmlns:ns2="167b1794-7b2c-4e14-b36f-292af49cd089" xmlns:ns3="d198df32-ca86-4b4b-81c3-23299ba9ca05" targetNamespace="http://schemas.microsoft.com/office/2006/metadata/properties" ma:root="true" ma:fieldsID="218d54f21101eb3babac5927f24c22f3" ns2:_="" ns3:_="">
    <xsd:import namespace="167b1794-7b2c-4e14-b36f-292af49cd089"/>
    <xsd:import namespace="d198df32-ca86-4b4b-81c3-23299ba9c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b1794-7b2c-4e14-b36f-292af49c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e6a34c-94b4-42f1-a95d-d96aeb9f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98df32-ca86-4b4b-81c3-23299ba9ca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d6150b-369d-48ce-9be2-2c179f2a3710}" ma:internalName="TaxCatchAll" ma:showField="CatchAllData" ma:web="d198df32-ca86-4b4b-81c3-23299ba9c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Rec181</b:Tag>
    <b:SourceType>DocumentFromInternetSite</b:SourceType>
    <b:Guid>{8866780A-A225-4E57-9AFD-9FD5A92B0195}</b:Guid>
    <b:Title>Explanatory Notes Addressed to the Working Group on Bribery</b:Title>
    <b:Year>2018</b:Year>
    <b:Author>
      <b:Author>
        <b:Corporate>Recommendation 6 Network</b:Corporate>
      </b:Author>
    </b:Author>
    <b:Month>October</b:Month>
    <b:Day>31</b:Day>
    <b:YearAccessed>2020</b:YearAccessed>
    <b:MonthAccessed>November</b:MonthAccessed>
    <b:DayAccessed>28</b:DayAccessed>
    <b:URL>tps://www.nhh.no/globalassets/centres/cce/recommendation-draft-final.pdf</b:URL>
    <b:RefOrder>88</b:RefOrder>
  </b:Source>
</b:Sources>
</file>

<file path=customXml/itemProps1.xml><?xml version="1.0" encoding="utf-8"?>
<ds:datastoreItem xmlns:ds="http://schemas.openxmlformats.org/officeDocument/2006/customXml" ds:itemID="{61B82BCD-8052-4BC2-912A-05216E4DA2C1}">
  <ds:schemaRefs>
    <ds:schemaRef ds:uri="http://schemas.microsoft.com/sharepoint/v3/contenttype/forms"/>
  </ds:schemaRefs>
</ds:datastoreItem>
</file>

<file path=customXml/itemProps2.xml><?xml version="1.0" encoding="utf-8"?>
<ds:datastoreItem xmlns:ds="http://schemas.openxmlformats.org/officeDocument/2006/customXml" ds:itemID="{65F25D1F-76BF-40DC-AB25-6B534DFFC541}">
  <ds:schemaRefs>
    <ds:schemaRef ds:uri="http://schemas.microsoft.com/office/2006/metadata/properties"/>
    <ds:schemaRef ds:uri="http://schemas.microsoft.com/office/infopath/2007/PartnerControls"/>
    <ds:schemaRef ds:uri="167b1794-7b2c-4e14-b36f-292af49cd089"/>
    <ds:schemaRef ds:uri="d198df32-ca86-4b4b-81c3-23299ba9ca05"/>
  </ds:schemaRefs>
</ds:datastoreItem>
</file>

<file path=customXml/itemProps3.xml><?xml version="1.0" encoding="utf-8"?>
<ds:datastoreItem xmlns:ds="http://schemas.openxmlformats.org/officeDocument/2006/customXml" ds:itemID="{9B26E4BD-32AA-4619-82A2-A03910733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b1794-7b2c-4e14-b36f-292af49cd089"/>
    <ds:schemaRef ds:uri="d198df32-ca86-4b4b-81c3-23299ba9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29908-0042-4892-8B4E-316E07FC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PRIMERIO</dc:creator>
  <cp:lastModifiedBy>USER</cp:lastModifiedBy>
  <cp:revision>2</cp:revision>
  <cp:lastPrinted>2023-03-16T10:39:00Z</cp:lastPrinted>
  <dcterms:created xsi:type="dcterms:W3CDTF">2023-03-17T10:37:00Z</dcterms:created>
  <dcterms:modified xsi:type="dcterms:W3CDTF">2023-03-17T10:37:00Z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0x0101006A460C49C596CF418E2925A8B0806DA8</vt:lpwstr>
  </property>
  <property fmtid="{D5CDD505-2E9C-101B-9397-08002B2CF9AE}" pid="3" name="MediaServiceImageTags">
    <vt:lpwstr/>
  </property>
</Properties>
</file>