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78" w:rsidRPr="003C1B18" w:rsidRDefault="00490854" w:rsidP="003C1B18">
      <w:pPr>
        <w:spacing w:after="0" w:line="240" w:lineRule="auto"/>
        <w:jc w:val="left"/>
        <w:rPr>
          <w:rFonts w:ascii="Arial" w:hAnsi="Arial" w:cs="Arial"/>
          <w:b/>
          <w:sz w:val="20"/>
          <w:szCs w:val="20"/>
        </w:rPr>
      </w:pPr>
      <w:r w:rsidRPr="003C1B18">
        <w:rPr>
          <w:rFonts w:ascii="Arial" w:hAnsi="Arial" w:cs="Arial"/>
          <w:b/>
          <w:sz w:val="20"/>
          <w:szCs w:val="20"/>
        </w:rPr>
        <w:t>ADDITIONAL REPORTING OF THE PORTFOLIO COMMITTEE ON COMMUNICATIONS AND DIGITAL TECHNOLOGIES TO THE BUDGETARY REVIEW AND RECOMMENDATIONS REPORT (BRRR): POSTBANK ANNUAL REPORTS FOR 2019/20</w:t>
      </w:r>
      <w:r w:rsidR="00BC649C" w:rsidRPr="003C1B18">
        <w:rPr>
          <w:rFonts w:ascii="Arial" w:hAnsi="Arial" w:cs="Arial"/>
          <w:b/>
          <w:sz w:val="20"/>
          <w:szCs w:val="20"/>
        </w:rPr>
        <w:t>,</w:t>
      </w:r>
      <w:r w:rsidRPr="003C1B18">
        <w:rPr>
          <w:rFonts w:ascii="Arial" w:hAnsi="Arial" w:cs="Arial"/>
          <w:b/>
          <w:sz w:val="20"/>
          <w:szCs w:val="20"/>
        </w:rPr>
        <w:t xml:space="preserve"> 2020/21; AND 2021/22 FINANCIAL YEARS </w:t>
      </w:r>
      <w:r w:rsidR="00746A1E" w:rsidRPr="003C1B18">
        <w:rPr>
          <w:rFonts w:ascii="Arial" w:hAnsi="Arial" w:cs="Arial"/>
          <w:b/>
          <w:sz w:val="20"/>
          <w:szCs w:val="20"/>
        </w:rPr>
        <w:t xml:space="preserve">AND BROADBAND INFRACO </w:t>
      </w:r>
      <w:r w:rsidRPr="003C1B18">
        <w:rPr>
          <w:rFonts w:ascii="Arial" w:hAnsi="Arial" w:cs="Arial"/>
          <w:b/>
          <w:sz w:val="20"/>
          <w:szCs w:val="20"/>
        </w:rPr>
        <w:t xml:space="preserve">DATED </w:t>
      </w:r>
      <w:r w:rsidR="0013570C" w:rsidRPr="003C1B18">
        <w:rPr>
          <w:rFonts w:ascii="Arial" w:hAnsi="Arial" w:cs="Arial"/>
          <w:b/>
          <w:sz w:val="20"/>
          <w:szCs w:val="20"/>
        </w:rPr>
        <w:t>7 MARCH</w:t>
      </w:r>
      <w:r w:rsidR="002422F0" w:rsidRPr="003C1B18">
        <w:rPr>
          <w:rFonts w:ascii="Arial" w:hAnsi="Arial" w:cs="Arial"/>
          <w:b/>
          <w:sz w:val="20"/>
          <w:szCs w:val="20"/>
        </w:rPr>
        <w:t xml:space="preserve"> 2023</w:t>
      </w:r>
      <w:r w:rsidR="00331689">
        <w:rPr>
          <w:rFonts w:ascii="Arial" w:hAnsi="Arial" w:cs="Arial"/>
          <w:b/>
          <w:sz w:val="20"/>
          <w:szCs w:val="20"/>
        </w:rPr>
        <w:br/>
      </w:r>
    </w:p>
    <w:p w:rsidR="00490854" w:rsidRPr="003C1B18" w:rsidRDefault="00490854" w:rsidP="003C1B18">
      <w:pPr>
        <w:spacing w:after="0" w:line="240" w:lineRule="auto"/>
        <w:jc w:val="left"/>
        <w:rPr>
          <w:rFonts w:ascii="Arial" w:hAnsi="Arial" w:cs="Arial"/>
          <w:sz w:val="20"/>
          <w:szCs w:val="20"/>
          <w:lang w:val="en-GB"/>
        </w:rPr>
      </w:pPr>
      <w:r w:rsidRPr="003C1B18">
        <w:rPr>
          <w:rFonts w:ascii="Arial" w:hAnsi="Arial" w:cs="Arial"/>
          <w:sz w:val="20"/>
          <w:szCs w:val="20"/>
          <w:lang w:val="en-GB"/>
        </w:rPr>
        <w:t>The Portfolio Committee on Communications (PCC), having considered the financial and non-financial performance for the year</w:t>
      </w:r>
      <w:r w:rsidR="00A312B0" w:rsidRPr="003C1B18">
        <w:rPr>
          <w:rFonts w:ascii="Arial" w:hAnsi="Arial" w:cs="Arial"/>
          <w:sz w:val="20"/>
          <w:szCs w:val="20"/>
          <w:lang w:val="en-GB"/>
        </w:rPr>
        <w:t>s</w:t>
      </w:r>
      <w:r w:rsidRPr="003C1B18">
        <w:rPr>
          <w:rFonts w:ascii="Arial" w:hAnsi="Arial" w:cs="Arial"/>
          <w:sz w:val="20"/>
          <w:szCs w:val="20"/>
          <w:lang w:val="en-GB"/>
        </w:rPr>
        <w:t xml:space="preserve"> </w:t>
      </w:r>
      <w:r w:rsidR="00A312B0" w:rsidRPr="003C1B18">
        <w:rPr>
          <w:rFonts w:ascii="Arial" w:hAnsi="Arial" w:cs="Arial"/>
          <w:sz w:val="20"/>
          <w:szCs w:val="20"/>
        </w:rPr>
        <w:t xml:space="preserve">2019/20, 2020/21 and </w:t>
      </w:r>
      <w:r w:rsidRPr="003C1B18">
        <w:rPr>
          <w:rFonts w:ascii="Arial" w:hAnsi="Arial" w:cs="Arial"/>
          <w:sz w:val="20"/>
          <w:szCs w:val="20"/>
          <w:lang w:val="en-GB"/>
        </w:rPr>
        <w:t xml:space="preserve">2021/22 of the Postbank on 15 November 2022 </w:t>
      </w:r>
      <w:r w:rsidR="00A312B0" w:rsidRPr="003C1B18">
        <w:rPr>
          <w:rFonts w:ascii="Arial" w:hAnsi="Arial" w:cs="Arial"/>
          <w:sz w:val="20"/>
          <w:szCs w:val="20"/>
          <w:lang w:val="en-GB"/>
        </w:rPr>
        <w:t xml:space="preserve">and of </w:t>
      </w:r>
      <w:r w:rsidR="00746A1E" w:rsidRPr="003C1B18">
        <w:rPr>
          <w:rFonts w:ascii="Arial" w:hAnsi="Arial" w:cs="Arial"/>
          <w:sz w:val="20"/>
          <w:szCs w:val="20"/>
          <w:lang w:val="en-GB"/>
        </w:rPr>
        <w:t xml:space="preserve">Broadband Infraco (BBI) </w:t>
      </w:r>
      <w:r w:rsidR="00A312B0" w:rsidRPr="003C1B18">
        <w:rPr>
          <w:rFonts w:ascii="Arial" w:hAnsi="Arial" w:cs="Arial"/>
          <w:sz w:val="20"/>
          <w:szCs w:val="20"/>
          <w:lang w:val="en-GB"/>
        </w:rPr>
        <w:t xml:space="preserve">for the year 2021/22 on </w:t>
      </w:r>
      <w:r w:rsidR="00E4094A" w:rsidRPr="003C1B18">
        <w:rPr>
          <w:rFonts w:ascii="Arial" w:hAnsi="Arial" w:cs="Arial"/>
          <w:sz w:val="20"/>
          <w:szCs w:val="20"/>
          <w:lang w:val="en-GB"/>
        </w:rPr>
        <w:t xml:space="preserve">17 February </w:t>
      </w:r>
      <w:r w:rsidR="00DA5602" w:rsidRPr="003C1B18">
        <w:rPr>
          <w:rFonts w:ascii="Arial" w:hAnsi="Arial" w:cs="Arial"/>
          <w:sz w:val="20"/>
          <w:szCs w:val="20"/>
          <w:lang w:val="en-GB"/>
        </w:rPr>
        <w:t>2023 reports</w:t>
      </w:r>
      <w:r w:rsidRPr="003C1B18">
        <w:rPr>
          <w:rFonts w:ascii="Arial" w:hAnsi="Arial" w:cs="Arial"/>
          <w:sz w:val="20"/>
          <w:szCs w:val="20"/>
          <w:lang w:val="en-GB"/>
        </w:rPr>
        <w:t xml:space="preserve"> as follows:</w:t>
      </w:r>
    </w:p>
    <w:p w:rsidR="00DE2778" w:rsidRPr="003C1B18" w:rsidRDefault="00E71C9F" w:rsidP="003C1B18">
      <w:pPr>
        <w:pStyle w:val="ListParagraph"/>
        <w:numPr>
          <w:ilvl w:val="0"/>
          <w:numId w:val="3"/>
        </w:numPr>
        <w:spacing w:after="0" w:line="240" w:lineRule="auto"/>
        <w:ind w:left="303"/>
        <w:jc w:val="left"/>
        <w:rPr>
          <w:rFonts w:ascii="Arial" w:hAnsi="Arial" w:cs="Arial"/>
          <w:b/>
          <w:sz w:val="20"/>
          <w:szCs w:val="20"/>
        </w:rPr>
      </w:pPr>
      <w:r w:rsidRPr="003C1B18">
        <w:rPr>
          <w:rFonts w:ascii="Arial" w:hAnsi="Arial" w:cs="Arial"/>
          <w:b/>
          <w:sz w:val="20"/>
          <w:szCs w:val="20"/>
        </w:rPr>
        <w:t>Introduction</w:t>
      </w:r>
    </w:p>
    <w:p w:rsidR="00DE2778" w:rsidRPr="003C1B18" w:rsidRDefault="00064DFC" w:rsidP="003C1B18">
      <w:pPr>
        <w:spacing w:after="0" w:line="240" w:lineRule="auto"/>
        <w:jc w:val="left"/>
        <w:rPr>
          <w:rFonts w:ascii="Arial" w:hAnsi="Arial" w:cs="Arial"/>
          <w:sz w:val="20"/>
          <w:szCs w:val="20"/>
        </w:rPr>
      </w:pPr>
      <w:r w:rsidRPr="003C1B18">
        <w:rPr>
          <w:rFonts w:ascii="Arial" w:hAnsi="Arial" w:cs="Arial"/>
          <w:sz w:val="20"/>
          <w:szCs w:val="20"/>
        </w:rPr>
        <w:t>For the period under review, the Committee, in exercising its oversight role, considered for Postbank 2019/20, 2020/21 and 2021/22 Annual Reports and Financial Statements of Postbank. For BBI, the Committee considered the 2021/22 Annual Report and Financial Statement</w:t>
      </w:r>
      <w:r w:rsidR="00653CAD" w:rsidRPr="003C1B18">
        <w:rPr>
          <w:rFonts w:ascii="Arial" w:hAnsi="Arial" w:cs="Arial"/>
          <w:sz w:val="20"/>
          <w:szCs w:val="20"/>
        </w:rPr>
        <w:t>s</w:t>
      </w:r>
      <w:r w:rsidRPr="003C1B18">
        <w:rPr>
          <w:rFonts w:ascii="Arial" w:hAnsi="Arial" w:cs="Arial"/>
          <w:sz w:val="20"/>
          <w:szCs w:val="20"/>
        </w:rPr>
        <w:t xml:space="preserve">. The Auditor-General of South Africa (AGSA) also presented the audit outcomes of the Entities for the above-mentioned Financial Years. </w:t>
      </w:r>
    </w:p>
    <w:p w:rsidR="00B06D3B"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rPr>
        <w:t xml:space="preserve">The annual reports of both entities were not available to be processed during the BBBR process in 2022, hence this addition reporting. </w:t>
      </w:r>
    </w:p>
    <w:p w:rsidR="00ED0AE1" w:rsidRPr="003C1B18" w:rsidRDefault="00ED0AE1" w:rsidP="003C1B18">
      <w:pPr>
        <w:pStyle w:val="ListParagraph"/>
        <w:numPr>
          <w:ilvl w:val="0"/>
          <w:numId w:val="3"/>
        </w:numPr>
        <w:spacing w:after="0" w:line="240" w:lineRule="auto"/>
        <w:ind w:left="303"/>
        <w:jc w:val="left"/>
        <w:rPr>
          <w:rFonts w:ascii="Arial" w:hAnsi="Arial" w:cs="Arial"/>
          <w:b/>
          <w:bCs/>
          <w:sz w:val="20"/>
          <w:szCs w:val="20"/>
          <w:lang w:val="en-GB"/>
        </w:rPr>
      </w:pPr>
      <w:r w:rsidRPr="003C1B18">
        <w:rPr>
          <w:rFonts w:ascii="Arial" w:hAnsi="Arial" w:cs="Arial"/>
          <w:b/>
          <w:bCs/>
          <w:sz w:val="20"/>
          <w:szCs w:val="20"/>
          <w:lang w:val="en-GB"/>
        </w:rPr>
        <w:t>Postbank</w:t>
      </w:r>
    </w:p>
    <w:p w:rsidR="00C34A73" w:rsidRPr="003C1B18" w:rsidRDefault="00C34A73" w:rsidP="003C1B18">
      <w:pPr>
        <w:spacing w:after="0" w:line="240" w:lineRule="auto"/>
        <w:jc w:val="left"/>
        <w:rPr>
          <w:rFonts w:ascii="Arial" w:hAnsi="Arial" w:cs="Arial"/>
          <w:sz w:val="20"/>
          <w:szCs w:val="20"/>
          <w:lang w:val="en-ZA"/>
        </w:rPr>
      </w:pPr>
      <w:r w:rsidRPr="003C1B18">
        <w:rPr>
          <w:rFonts w:ascii="Arial" w:hAnsi="Arial" w:cs="Arial"/>
          <w:b/>
          <w:bCs/>
          <w:sz w:val="20"/>
          <w:szCs w:val="20"/>
          <w:lang w:val="en-GB"/>
        </w:rPr>
        <w:t>History of Postbank</w:t>
      </w:r>
    </w:p>
    <w:p w:rsidR="00C34A73" w:rsidRPr="003C1B18" w:rsidRDefault="00C34A73" w:rsidP="003C1B18">
      <w:pPr>
        <w:pStyle w:val="ListParagraph"/>
        <w:numPr>
          <w:ilvl w:val="0"/>
          <w:numId w:val="11"/>
        </w:numPr>
        <w:spacing w:after="0" w:line="240" w:lineRule="auto"/>
        <w:jc w:val="left"/>
        <w:rPr>
          <w:rFonts w:ascii="Arial" w:hAnsi="Arial" w:cs="Arial"/>
          <w:sz w:val="20"/>
          <w:szCs w:val="20"/>
        </w:rPr>
      </w:pPr>
      <w:r w:rsidRPr="003C1B18">
        <w:rPr>
          <w:rFonts w:ascii="Arial" w:hAnsi="Arial" w:cs="Arial"/>
          <w:sz w:val="20"/>
          <w:szCs w:val="20"/>
          <w:lang w:val="en-ZA"/>
        </w:rPr>
        <w:t xml:space="preserve">First Savings bank </w:t>
      </w:r>
      <w:r w:rsidR="00BC649C" w:rsidRPr="003C1B18">
        <w:rPr>
          <w:rFonts w:ascii="Arial" w:hAnsi="Arial" w:cs="Arial"/>
          <w:sz w:val="20"/>
          <w:szCs w:val="20"/>
          <w:lang w:val="en-ZA"/>
        </w:rPr>
        <w:t xml:space="preserve">was </w:t>
      </w:r>
      <w:r w:rsidRPr="003C1B18">
        <w:rPr>
          <w:rFonts w:ascii="Arial" w:hAnsi="Arial" w:cs="Arial"/>
          <w:sz w:val="20"/>
          <w:szCs w:val="20"/>
          <w:lang w:val="en-ZA"/>
        </w:rPr>
        <w:t>established in 1822.</w:t>
      </w:r>
    </w:p>
    <w:p w:rsidR="00C34A73" w:rsidRPr="003C1B18" w:rsidRDefault="00C34A73" w:rsidP="003C1B18">
      <w:pPr>
        <w:pStyle w:val="ListParagraph"/>
        <w:numPr>
          <w:ilvl w:val="0"/>
          <w:numId w:val="11"/>
        </w:numPr>
        <w:spacing w:after="0" w:line="240" w:lineRule="auto"/>
        <w:jc w:val="left"/>
        <w:rPr>
          <w:rFonts w:ascii="Arial" w:hAnsi="Arial" w:cs="Arial"/>
          <w:sz w:val="20"/>
          <w:szCs w:val="20"/>
        </w:rPr>
      </w:pPr>
      <w:r w:rsidRPr="003C1B18">
        <w:rPr>
          <w:rFonts w:ascii="Arial" w:hAnsi="Arial" w:cs="Arial"/>
          <w:sz w:val="20"/>
          <w:szCs w:val="20"/>
          <w:lang w:val="en-ZA"/>
        </w:rPr>
        <w:t xml:space="preserve">Became a </w:t>
      </w:r>
      <w:r w:rsidR="00DA5602" w:rsidRPr="003C1B18">
        <w:rPr>
          <w:rFonts w:ascii="Arial" w:hAnsi="Arial" w:cs="Arial"/>
          <w:sz w:val="20"/>
          <w:szCs w:val="20"/>
          <w:lang w:val="en-ZA"/>
        </w:rPr>
        <w:t>State-owned</w:t>
      </w:r>
      <w:r w:rsidRPr="003C1B18">
        <w:rPr>
          <w:rFonts w:ascii="Arial" w:hAnsi="Arial" w:cs="Arial"/>
          <w:sz w:val="20"/>
          <w:szCs w:val="20"/>
          <w:lang w:val="en-ZA"/>
        </w:rPr>
        <w:t xml:space="preserve"> savings bank in 1875.</w:t>
      </w:r>
    </w:p>
    <w:p w:rsidR="00C34A73" w:rsidRPr="003C1B18" w:rsidRDefault="00C34A73" w:rsidP="003C1B18">
      <w:pPr>
        <w:pStyle w:val="ListParagraph"/>
        <w:numPr>
          <w:ilvl w:val="0"/>
          <w:numId w:val="11"/>
        </w:numPr>
        <w:spacing w:after="0" w:line="240" w:lineRule="auto"/>
        <w:jc w:val="left"/>
        <w:rPr>
          <w:rFonts w:ascii="Arial" w:hAnsi="Arial" w:cs="Arial"/>
          <w:sz w:val="20"/>
          <w:szCs w:val="20"/>
        </w:rPr>
      </w:pPr>
      <w:r w:rsidRPr="003C1B18">
        <w:rPr>
          <w:rFonts w:ascii="Arial" w:hAnsi="Arial" w:cs="Arial"/>
          <w:sz w:val="20"/>
          <w:szCs w:val="20"/>
          <w:lang w:val="en-ZA"/>
        </w:rPr>
        <w:t>Banking was first conducted in 100 SAPO branches initially.</w:t>
      </w:r>
    </w:p>
    <w:p w:rsidR="00C34A73" w:rsidRPr="003C1B18" w:rsidRDefault="00C34A73" w:rsidP="003C1B18">
      <w:pPr>
        <w:pStyle w:val="ListParagraph"/>
        <w:numPr>
          <w:ilvl w:val="0"/>
          <w:numId w:val="11"/>
        </w:numPr>
        <w:spacing w:after="0" w:line="240" w:lineRule="auto"/>
        <w:jc w:val="left"/>
        <w:rPr>
          <w:rFonts w:ascii="Arial" w:hAnsi="Arial" w:cs="Arial"/>
          <w:sz w:val="20"/>
          <w:szCs w:val="20"/>
        </w:rPr>
      </w:pPr>
      <w:r w:rsidRPr="003C1B18">
        <w:rPr>
          <w:rFonts w:ascii="Arial" w:hAnsi="Arial" w:cs="Arial"/>
          <w:sz w:val="20"/>
          <w:szCs w:val="20"/>
          <w:lang w:val="en-ZA"/>
        </w:rPr>
        <w:t>Eventually</w:t>
      </w:r>
      <w:r w:rsidR="00BC649C" w:rsidRPr="003C1B18">
        <w:rPr>
          <w:rFonts w:ascii="Arial" w:hAnsi="Arial" w:cs="Arial"/>
          <w:sz w:val="20"/>
          <w:szCs w:val="20"/>
          <w:lang w:val="en-ZA"/>
        </w:rPr>
        <w:t>,</w:t>
      </w:r>
      <w:r w:rsidRPr="003C1B18">
        <w:rPr>
          <w:rFonts w:ascii="Arial" w:hAnsi="Arial" w:cs="Arial"/>
          <w:sz w:val="20"/>
          <w:szCs w:val="20"/>
          <w:lang w:val="en-ZA"/>
        </w:rPr>
        <w:t xml:space="preserve"> the services were available at every Post Office.</w:t>
      </w:r>
    </w:p>
    <w:p w:rsidR="00C34A73" w:rsidRPr="003C1B18" w:rsidRDefault="00C34A73" w:rsidP="003C1B18">
      <w:pPr>
        <w:pStyle w:val="ListParagraph"/>
        <w:numPr>
          <w:ilvl w:val="0"/>
          <w:numId w:val="11"/>
        </w:numPr>
        <w:spacing w:after="0" w:line="240" w:lineRule="auto"/>
        <w:jc w:val="left"/>
        <w:rPr>
          <w:rFonts w:ascii="Arial" w:hAnsi="Arial" w:cs="Arial"/>
          <w:sz w:val="20"/>
          <w:szCs w:val="20"/>
        </w:rPr>
      </w:pPr>
      <w:r w:rsidRPr="003C1B18">
        <w:rPr>
          <w:rFonts w:ascii="Arial" w:hAnsi="Arial" w:cs="Arial"/>
          <w:sz w:val="20"/>
          <w:szCs w:val="20"/>
          <w:lang w:val="en-ZA"/>
        </w:rPr>
        <w:t>In 1910 Post Office Savings bank amalgamated to form the Post Office Bank of the Union of South Africa.</w:t>
      </w:r>
    </w:p>
    <w:p w:rsidR="00C34A73" w:rsidRPr="003C1B18" w:rsidRDefault="00C34A73" w:rsidP="003C1B18">
      <w:pPr>
        <w:spacing w:after="0" w:line="240" w:lineRule="auto"/>
        <w:jc w:val="left"/>
        <w:rPr>
          <w:rFonts w:ascii="Arial" w:hAnsi="Arial" w:cs="Arial"/>
          <w:sz w:val="20"/>
          <w:szCs w:val="20"/>
          <w:lang w:val="en-ZA"/>
        </w:rPr>
      </w:pPr>
      <w:r w:rsidRPr="003C1B18">
        <w:rPr>
          <w:rFonts w:ascii="Arial" w:hAnsi="Arial" w:cs="Arial"/>
          <w:sz w:val="20"/>
          <w:szCs w:val="20"/>
          <w:lang w:val="en-ZA"/>
        </w:rPr>
        <w:t>Product offerings:  Union loan certificate, national savings certificate, Saving Books, Banks Cards, Investments</w:t>
      </w:r>
    </w:p>
    <w:p w:rsidR="00B06D3B" w:rsidRPr="003C1B18" w:rsidRDefault="00B06D3B" w:rsidP="003C1B18">
      <w:pPr>
        <w:spacing w:after="0" w:line="240" w:lineRule="auto"/>
        <w:jc w:val="left"/>
        <w:rPr>
          <w:rFonts w:ascii="Arial" w:hAnsi="Arial" w:cs="Arial"/>
          <w:sz w:val="20"/>
          <w:szCs w:val="20"/>
          <w:lang w:val="en-ZA"/>
        </w:rPr>
      </w:pPr>
    </w:p>
    <w:p w:rsidR="007C206D"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The </w:t>
      </w:r>
      <w:r w:rsidR="00D34D41" w:rsidRPr="003C1B18">
        <w:rPr>
          <w:rFonts w:ascii="Arial" w:hAnsi="Arial" w:cs="Arial"/>
          <w:sz w:val="20"/>
          <w:szCs w:val="20"/>
          <w:lang w:val="en-ZA"/>
        </w:rPr>
        <w:t xml:space="preserve">Postbank Act </w:t>
      </w:r>
      <w:r w:rsidR="00DA5602" w:rsidRPr="003C1B18">
        <w:rPr>
          <w:rFonts w:ascii="Arial" w:hAnsi="Arial" w:cs="Arial"/>
          <w:sz w:val="20"/>
          <w:szCs w:val="20"/>
          <w:lang w:val="en-ZA"/>
        </w:rPr>
        <w:t xml:space="preserve">was </w:t>
      </w:r>
      <w:r w:rsidR="00D34D41" w:rsidRPr="003C1B18">
        <w:rPr>
          <w:rFonts w:ascii="Arial" w:hAnsi="Arial" w:cs="Arial"/>
          <w:sz w:val="20"/>
          <w:szCs w:val="20"/>
          <w:lang w:val="en-ZA"/>
        </w:rPr>
        <w:t xml:space="preserve">promulgated in 2010 to create Postbank as </w:t>
      </w:r>
      <w:r w:rsidR="00DA5602" w:rsidRPr="003C1B18">
        <w:rPr>
          <w:rFonts w:ascii="Arial" w:hAnsi="Arial" w:cs="Arial"/>
          <w:sz w:val="20"/>
          <w:szCs w:val="20"/>
          <w:lang w:val="en-ZA"/>
        </w:rPr>
        <w:t>a stand-alone</w:t>
      </w:r>
      <w:r w:rsidR="00D34D41" w:rsidRPr="003C1B18">
        <w:rPr>
          <w:rFonts w:ascii="Arial" w:hAnsi="Arial" w:cs="Arial"/>
          <w:sz w:val="20"/>
          <w:szCs w:val="20"/>
          <w:lang w:val="en-ZA"/>
        </w:rPr>
        <w:t xml:space="preserve"> </w:t>
      </w:r>
      <w:r w:rsidR="00DE2778" w:rsidRPr="003C1B18">
        <w:rPr>
          <w:rFonts w:ascii="Arial" w:hAnsi="Arial" w:cs="Arial"/>
          <w:sz w:val="20"/>
          <w:szCs w:val="20"/>
          <w:lang w:val="en-ZA"/>
        </w:rPr>
        <w:t>Entity</w:t>
      </w:r>
      <w:r w:rsidR="00D34D41" w:rsidRPr="003C1B18">
        <w:rPr>
          <w:rFonts w:ascii="Arial" w:hAnsi="Arial" w:cs="Arial"/>
          <w:sz w:val="20"/>
          <w:szCs w:val="20"/>
          <w:lang w:val="en-ZA"/>
        </w:rPr>
        <w:t>.</w:t>
      </w:r>
    </w:p>
    <w:p w:rsidR="005576C0" w:rsidRPr="003C1B18" w:rsidRDefault="00D34D41" w:rsidP="003C1B18">
      <w:p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On 1 April 2019, Postbank </w:t>
      </w:r>
      <w:r w:rsidR="00DA5602" w:rsidRPr="003C1B18">
        <w:rPr>
          <w:rFonts w:ascii="Arial" w:hAnsi="Arial" w:cs="Arial"/>
          <w:sz w:val="20"/>
          <w:szCs w:val="20"/>
          <w:lang w:val="en-ZA"/>
        </w:rPr>
        <w:t xml:space="preserve">was </w:t>
      </w:r>
      <w:r w:rsidRPr="003C1B18">
        <w:rPr>
          <w:rFonts w:ascii="Arial" w:hAnsi="Arial" w:cs="Arial"/>
          <w:sz w:val="20"/>
          <w:szCs w:val="20"/>
          <w:lang w:val="en-ZA"/>
        </w:rPr>
        <w:t>created as a separate legal entity and assets and liability split from SAPO.</w:t>
      </w:r>
      <w:r w:rsidR="00746A1E" w:rsidRPr="003C1B18">
        <w:rPr>
          <w:rFonts w:ascii="Arial" w:hAnsi="Arial" w:cs="Arial"/>
          <w:sz w:val="20"/>
          <w:szCs w:val="20"/>
          <w:lang w:val="en-ZA"/>
        </w:rPr>
        <w:t xml:space="preserve"> </w:t>
      </w:r>
      <w:r w:rsidRPr="003C1B18">
        <w:rPr>
          <w:rFonts w:ascii="Arial" w:hAnsi="Arial" w:cs="Arial"/>
          <w:sz w:val="20"/>
          <w:szCs w:val="20"/>
          <w:lang w:val="en-ZA"/>
        </w:rPr>
        <w:t xml:space="preserve">Postbank </w:t>
      </w:r>
      <w:r w:rsidR="00F266CA" w:rsidRPr="003C1B18">
        <w:rPr>
          <w:rFonts w:ascii="Arial" w:hAnsi="Arial" w:cs="Arial"/>
          <w:sz w:val="20"/>
          <w:szCs w:val="20"/>
          <w:lang w:val="en-ZA"/>
        </w:rPr>
        <w:t xml:space="preserve">is </w:t>
      </w:r>
      <w:r w:rsidR="00DA5602" w:rsidRPr="003C1B18">
        <w:rPr>
          <w:rFonts w:ascii="Arial" w:hAnsi="Arial" w:cs="Arial"/>
          <w:sz w:val="20"/>
          <w:szCs w:val="20"/>
          <w:lang w:val="en-ZA"/>
        </w:rPr>
        <w:t>in the process of</w:t>
      </w:r>
      <w:r w:rsidRPr="003C1B18">
        <w:rPr>
          <w:rFonts w:ascii="Arial" w:hAnsi="Arial" w:cs="Arial"/>
          <w:sz w:val="20"/>
          <w:szCs w:val="20"/>
          <w:lang w:val="en-ZA"/>
        </w:rPr>
        <w:t xml:space="preserve"> applying for a full banking license and currently has a Section 13 </w:t>
      </w:r>
      <w:r w:rsidRPr="003C1B18">
        <w:rPr>
          <w:rFonts w:ascii="Arial" w:hAnsi="Arial" w:cs="Arial"/>
          <w:sz w:val="20"/>
          <w:szCs w:val="20"/>
        </w:rPr>
        <w:t>approval to establish a bank</w:t>
      </w:r>
      <w:r w:rsidRPr="003C1B18">
        <w:rPr>
          <w:rFonts w:ascii="Arial" w:hAnsi="Arial" w:cs="Arial"/>
          <w:sz w:val="20"/>
          <w:szCs w:val="20"/>
          <w:lang w:val="en-ZA"/>
        </w:rPr>
        <w:t xml:space="preserve"> obtained in 2016.</w:t>
      </w:r>
      <w:r w:rsidR="00746A1E" w:rsidRPr="003C1B18">
        <w:rPr>
          <w:rFonts w:ascii="Arial" w:hAnsi="Arial" w:cs="Arial"/>
          <w:sz w:val="20"/>
          <w:szCs w:val="20"/>
          <w:lang w:val="en-ZA"/>
        </w:rPr>
        <w:t xml:space="preserve"> There is a n</w:t>
      </w:r>
      <w:r w:rsidRPr="003C1B18">
        <w:rPr>
          <w:rFonts w:ascii="Arial" w:hAnsi="Arial" w:cs="Arial"/>
          <w:sz w:val="20"/>
          <w:szCs w:val="20"/>
          <w:lang w:val="en-ZA"/>
        </w:rPr>
        <w:t>eed to establish a Bank Controlling Company once the Postbank amendment bill has been promulgated.</w:t>
      </w:r>
    </w:p>
    <w:p w:rsidR="007C206D"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The </w:t>
      </w:r>
      <w:r w:rsidR="00D34D41" w:rsidRPr="003C1B18">
        <w:rPr>
          <w:rFonts w:ascii="Arial" w:hAnsi="Arial" w:cs="Arial"/>
          <w:sz w:val="20"/>
          <w:szCs w:val="20"/>
          <w:lang w:val="en-ZA"/>
        </w:rPr>
        <w:t xml:space="preserve">Section 16 license will be updated and submitted to the SARB once the amendments to the Postbank’s Act </w:t>
      </w:r>
      <w:r w:rsidR="00DA5602" w:rsidRPr="003C1B18">
        <w:rPr>
          <w:rFonts w:ascii="Arial" w:hAnsi="Arial" w:cs="Arial"/>
          <w:sz w:val="20"/>
          <w:szCs w:val="20"/>
          <w:lang w:val="en-ZA"/>
        </w:rPr>
        <w:t>have</w:t>
      </w:r>
      <w:r w:rsidR="00D34D41" w:rsidRPr="003C1B18">
        <w:rPr>
          <w:rFonts w:ascii="Arial" w:hAnsi="Arial" w:cs="Arial"/>
          <w:sz w:val="20"/>
          <w:szCs w:val="20"/>
          <w:lang w:val="en-ZA"/>
        </w:rPr>
        <w:t xml:space="preserve"> been promulgated and the appointment of </w:t>
      </w:r>
      <w:r w:rsidR="00DA5602" w:rsidRPr="003C1B18">
        <w:rPr>
          <w:rFonts w:ascii="Arial" w:hAnsi="Arial" w:cs="Arial"/>
          <w:sz w:val="20"/>
          <w:szCs w:val="20"/>
          <w:lang w:val="en-ZA"/>
        </w:rPr>
        <w:t xml:space="preserve">the </w:t>
      </w:r>
      <w:r w:rsidR="00D34D41" w:rsidRPr="003C1B18">
        <w:rPr>
          <w:rFonts w:ascii="Arial" w:hAnsi="Arial" w:cs="Arial"/>
          <w:sz w:val="20"/>
          <w:szCs w:val="20"/>
          <w:lang w:val="en-ZA"/>
        </w:rPr>
        <w:t>key management staff is finalised.</w:t>
      </w:r>
    </w:p>
    <w:p w:rsidR="00DE2778"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lang w:val="en-ZA"/>
        </w:rPr>
        <w:t>The entity’s m</w:t>
      </w:r>
      <w:r w:rsidR="00DE2778" w:rsidRPr="003C1B18">
        <w:rPr>
          <w:rFonts w:ascii="Arial" w:hAnsi="Arial" w:cs="Arial"/>
          <w:sz w:val="20"/>
          <w:szCs w:val="20"/>
          <w:lang w:val="en-ZA"/>
        </w:rPr>
        <w:t xml:space="preserve">andate </w:t>
      </w:r>
      <w:r w:rsidRPr="003C1B18">
        <w:rPr>
          <w:rFonts w:ascii="Arial" w:hAnsi="Arial" w:cs="Arial"/>
          <w:sz w:val="20"/>
          <w:szCs w:val="20"/>
          <w:lang w:val="en-ZA"/>
        </w:rPr>
        <w:t xml:space="preserve">is </w:t>
      </w:r>
      <w:r w:rsidR="00DE2778" w:rsidRPr="003C1B18">
        <w:rPr>
          <w:rFonts w:ascii="Arial" w:hAnsi="Arial" w:cs="Arial"/>
          <w:sz w:val="20"/>
          <w:szCs w:val="20"/>
          <w:lang w:val="en-ZA"/>
        </w:rPr>
        <w:t xml:space="preserve">to drive financial inclusion on a </w:t>
      </w:r>
      <w:r w:rsidR="00DA5602" w:rsidRPr="003C1B18">
        <w:rPr>
          <w:rFonts w:ascii="Arial" w:hAnsi="Arial" w:cs="Arial"/>
          <w:sz w:val="20"/>
          <w:szCs w:val="20"/>
          <w:lang w:val="en-ZA"/>
        </w:rPr>
        <w:t>cost-effective</w:t>
      </w:r>
      <w:r w:rsidR="00DE2778" w:rsidRPr="003C1B18">
        <w:rPr>
          <w:rFonts w:ascii="Arial" w:hAnsi="Arial" w:cs="Arial"/>
          <w:sz w:val="20"/>
          <w:szCs w:val="20"/>
          <w:lang w:val="en-ZA"/>
        </w:rPr>
        <w:t xml:space="preserve"> basis.</w:t>
      </w:r>
    </w:p>
    <w:p w:rsidR="00DE2778" w:rsidRPr="003C1B18" w:rsidRDefault="00DE2778" w:rsidP="003C1B18">
      <w:pPr>
        <w:spacing w:after="0" w:line="240" w:lineRule="auto"/>
        <w:jc w:val="left"/>
        <w:rPr>
          <w:rFonts w:ascii="Arial" w:hAnsi="Arial" w:cs="Arial"/>
          <w:sz w:val="20"/>
          <w:szCs w:val="20"/>
        </w:rPr>
      </w:pPr>
      <w:r w:rsidRPr="003C1B18">
        <w:rPr>
          <w:rFonts w:ascii="Arial" w:hAnsi="Arial" w:cs="Arial"/>
          <w:sz w:val="20"/>
          <w:szCs w:val="20"/>
          <w:lang w:val="en-ZA"/>
        </w:rPr>
        <w:t>The transition milestone</w:t>
      </w:r>
      <w:r w:rsidR="00B06D3B" w:rsidRPr="003C1B18">
        <w:rPr>
          <w:rFonts w:ascii="Arial" w:hAnsi="Arial" w:cs="Arial"/>
          <w:sz w:val="20"/>
          <w:szCs w:val="20"/>
          <w:lang w:val="en-ZA"/>
        </w:rPr>
        <w:t>s</w:t>
      </w:r>
      <w:r w:rsidRPr="003C1B18">
        <w:rPr>
          <w:rFonts w:ascii="Arial" w:hAnsi="Arial" w:cs="Arial"/>
          <w:sz w:val="20"/>
          <w:szCs w:val="20"/>
          <w:lang w:val="en-ZA"/>
        </w:rPr>
        <w:t xml:space="preserve"> to a State bank</w:t>
      </w:r>
      <w:r w:rsidR="00B06D3B" w:rsidRPr="003C1B18">
        <w:rPr>
          <w:rFonts w:ascii="Arial" w:hAnsi="Arial" w:cs="Arial"/>
          <w:sz w:val="20"/>
          <w:szCs w:val="20"/>
          <w:lang w:val="en-ZA"/>
        </w:rPr>
        <w:t xml:space="preserve"> are composed of</w:t>
      </w:r>
      <w:r w:rsidRPr="003C1B18">
        <w:rPr>
          <w:rFonts w:ascii="Arial" w:hAnsi="Arial" w:cs="Arial"/>
          <w:sz w:val="20"/>
          <w:szCs w:val="20"/>
          <w:lang w:val="en-ZA"/>
        </w:rPr>
        <w:t>:</w:t>
      </w:r>
    </w:p>
    <w:p w:rsidR="007C206D" w:rsidRPr="003C1B18" w:rsidRDefault="00D34D41" w:rsidP="003C1B18">
      <w:pPr>
        <w:numPr>
          <w:ilvl w:val="0"/>
          <w:numId w:val="16"/>
        </w:numPr>
        <w:spacing w:after="0" w:line="240" w:lineRule="auto"/>
        <w:jc w:val="left"/>
        <w:rPr>
          <w:rFonts w:ascii="Arial" w:hAnsi="Arial" w:cs="Arial"/>
          <w:sz w:val="20"/>
          <w:szCs w:val="20"/>
        </w:rPr>
      </w:pPr>
      <w:r w:rsidRPr="003C1B18">
        <w:rPr>
          <w:rFonts w:ascii="Arial" w:hAnsi="Arial" w:cs="Arial"/>
          <w:sz w:val="20"/>
          <w:szCs w:val="20"/>
          <w:lang w:val="en-ZA"/>
        </w:rPr>
        <w:t>Finalisation of the amendment to the Postbank Act</w:t>
      </w:r>
    </w:p>
    <w:p w:rsidR="007C206D" w:rsidRPr="003C1B18" w:rsidRDefault="00D34D41" w:rsidP="003C1B18">
      <w:pPr>
        <w:numPr>
          <w:ilvl w:val="0"/>
          <w:numId w:val="16"/>
        </w:numPr>
        <w:spacing w:after="0" w:line="240" w:lineRule="auto"/>
        <w:jc w:val="left"/>
        <w:rPr>
          <w:rFonts w:ascii="Arial" w:hAnsi="Arial" w:cs="Arial"/>
          <w:sz w:val="20"/>
          <w:szCs w:val="20"/>
        </w:rPr>
      </w:pPr>
      <w:r w:rsidRPr="003C1B18">
        <w:rPr>
          <w:rFonts w:ascii="Arial" w:hAnsi="Arial" w:cs="Arial"/>
          <w:sz w:val="20"/>
          <w:szCs w:val="20"/>
          <w:lang w:val="en-ZA"/>
        </w:rPr>
        <w:t>Update and submission of the Section 16 license application envisaged for the fourth quarter of FY2023.</w:t>
      </w:r>
    </w:p>
    <w:p w:rsidR="007C206D" w:rsidRPr="003C1B18" w:rsidRDefault="00D34D41" w:rsidP="003C1B18">
      <w:pPr>
        <w:numPr>
          <w:ilvl w:val="0"/>
          <w:numId w:val="16"/>
        </w:numPr>
        <w:spacing w:after="0" w:line="240" w:lineRule="auto"/>
        <w:jc w:val="left"/>
        <w:rPr>
          <w:rFonts w:ascii="Arial" w:hAnsi="Arial" w:cs="Arial"/>
          <w:sz w:val="20"/>
          <w:szCs w:val="20"/>
        </w:rPr>
      </w:pPr>
      <w:r w:rsidRPr="003C1B18">
        <w:rPr>
          <w:rFonts w:ascii="Arial" w:hAnsi="Arial" w:cs="Arial"/>
          <w:sz w:val="20"/>
          <w:szCs w:val="20"/>
          <w:lang w:val="en-ZA"/>
        </w:rPr>
        <w:t xml:space="preserve">Finalisation of the </w:t>
      </w:r>
      <w:r w:rsidR="00DA5602" w:rsidRPr="003C1B18">
        <w:rPr>
          <w:rFonts w:ascii="Arial" w:hAnsi="Arial" w:cs="Arial"/>
          <w:sz w:val="20"/>
          <w:szCs w:val="20"/>
        </w:rPr>
        <w:t>modernisation</w:t>
      </w:r>
      <w:r w:rsidRPr="003C1B18">
        <w:rPr>
          <w:rFonts w:ascii="Arial" w:hAnsi="Arial" w:cs="Arial"/>
          <w:sz w:val="20"/>
          <w:szCs w:val="20"/>
        </w:rPr>
        <w:t xml:space="preserve"> of the Bank's IT platforms to comply with banking legislation and regulatory requirements.</w:t>
      </w:r>
    </w:p>
    <w:p w:rsidR="007C206D" w:rsidRPr="003C1B18" w:rsidRDefault="00D34D41" w:rsidP="003C1B18">
      <w:pPr>
        <w:numPr>
          <w:ilvl w:val="0"/>
          <w:numId w:val="16"/>
        </w:numPr>
        <w:spacing w:after="0" w:line="240" w:lineRule="auto"/>
        <w:jc w:val="left"/>
        <w:rPr>
          <w:rFonts w:ascii="Arial" w:hAnsi="Arial" w:cs="Arial"/>
          <w:sz w:val="20"/>
          <w:szCs w:val="20"/>
        </w:rPr>
      </w:pPr>
      <w:r w:rsidRPr="003C1B18">
        <w:rPr>
          <w:rFonts w:ascii="Arial" w:hAnsi="Arial" w:cs="Arial"/>
          <w:sz w:val="20"/>
          <w:szCs w:val="20"/>
          <w:lang w:val="en-ZA"/>
        </w:rPr>
        <w:t xml:space="preserve">Implementation of the channel strategy. </w:t>
      </w:r>
    </w:p>
    <w:p w:rsidR="007C206D" w:rsidRPr="003C1B18" w:rsidRDefault="00D34D41" w:rsidP="003C1B18">
      <w:pPr>
        <w:numPr>
          <w:ilvl w:val="0"/>
          <w:numId w:val="16"/>
        </w:numPr>
        <w:spacing w:after="0" w:line="240" w:lineRule="auto"/>
        <w:jc w:val="left"/>
        <w:rPr>
          <w:rFonts w:ascii="Arial" w:hAnsi="Arial" w:cs="Arial"/>
          <w:sz w:val="20"/>
          <w:szCs w:val="20"/>
        </w:rPr>
      </w:pPr>
      <w:r w:rsidRPr="003C1B18">
        <w:rPr>
          <w:rFonts w:ascii="Arial" w:hAnsi="Arial" w:cs="Arial"/>
          <w:sz w:val="20"/>
          <w:szCs w:val="20"/>
          <w:lang w:val="en-ZA"/>
        </w:rPr>
        <w:t xml:space="preserve">Provide expanded services on a </w:t>
      </w:r>
      <w:r w:rsidR="00DA5602" w:rsidRPr="003C1B18">
        <w:rPr>
          <w:rFonts w:ascii="Arial" w:hAnsi="Arial" w:cs="Arial"/>
          <w:sz w:val="20"/>
          <w:szCs w:val="20"/>
          <w:lang w:val="en-ZA"/>
        </w:rPr>
        <w:t>cost-effective</w:t>
      </w:r>
      <w:r w:rsidRPr="003C1B18">
        <w:rPr>
          <w:rFonts w:ascii="Arial" w:hAnsi="Arial" w:cs="Arial"/>
          <w:sz w:val="20"/>
          <w:szCs w:val="20"/>
          <w:lang w:val="en-ZA"/>
        </w:rPr>
        <w:t xml:space="preserve"> basis to benefit its customer base. </w:t>
      </w:r>
    </w:p>
    <w:p w:rsidR="00DE2778" w:rsidRPr="003C1B18" w:rsidRDefault="00C00045" w:rsidP="003C1B18">
      <w:pPr>
        <w:spacing w:after="0" w:line="240" w:lineRule="auto"/>
        <w:jc w:val="left"/>
        <w:rPr>
          <w:rFonts w:ascii="Arial" w:hAnsi="Arial" w:cs="Arial"/>
          <w:sz w:val="20"/>
          <w:szCs w:val="20"/>
        </w:rPr>
      </w:pPr>
      <w:r w:rsidRPr="003C1B18">
        <w:rPr>
          <w:rFonts w:ascii="Arial" w:hAnsi="Arial" w:cs="Arial"/>
          <w:b/>
          <w:bCs/>
          <w:sz w:val="20"/>
          <w:szCs w:val="20"/>
          <w:lang w:val="en-GB"/>
        </w:rPr>
        <w:t xml:space="preserve">Performance Summary as at </w:t>
      </w:r>
      <w:r w:rsidRPr="003C1B18">
        <w:rPr>
          <w:rFonts w:ascii="Arial" w:hAnsi="Arial" w:cs="Arial"/>
          <w:b/>
          <w:bCs/>
          <w:sz w:val="20"/>
          <w:szCs w:val="20"/>
          <w:lang w:val="en-ZA"/>
        </w:rPr>
        <w:t>31 March 2020</w:t>
      </w:r>
    </w:p>
    <w:p w:rsidR="00DE2778" w:rsidRPr="003C1B18" w:rsidRDefault="00DE2778" w:rsidP="003C1B18">
      <w:pPr>
        <w:spacing w:after="0" w:line="240" w:lineRule="auto"/>
        <w:jc w:val="left"/>
        <w:rPr>
          <w:rFonts w:ascii="Arial" w:hAnsi="Arial" w:cs="Arial"/>
          <w:sz w:val="20"/>
          <w:szCs w:val="20"/>
        </w:rPr>
      </w:pPr>
      <w:r w:rsidRPr="003C1B18">
        <w:rPr>
          <w:rFonts w:ascii="Arial" w:hAnsi="Arial" w:cs="Arial"/>
          <w:noProof/>
          <w:sz w:val="20"/>
          <w:szCs w:val="20"/>
        </w:rPr>
        <w:lastRenderedPageBreak/>
        <w:drawing>
          <wp:inline distT="0" distB="0" distL="0" distR="0">
            <wp:extent cx="4286250" cy="2096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7673" cy="2097540"/>
                    </a:xfrm>
                    <a:prstGeom prst="rect">
                      <a:avLst/>
                    </a:prstGeom>
                    <a:noFill/>
                  </pic:spPr>
                </pic:pic>
              </a:graphicData>
            </a:graphic>
          </wp:inline>
        </w:drawing>
      </w:r>
    </w:p>
    <w:p w:rsidR="00B06D3B" w:rsidRPr="003C1B18" w:rsidRDefault="00B06D3B" w:rsidP="003C1B18">
      <w:pPr>
        <w:spacing w:after="0" w:line="240" w:lineRule="auto"/>
        <w:jc w:val="left"/>
        <w:rPr>
          <w:rFonts w:ascii="Arial" w:hAnsi="Arial" w:cs="Arial"/>
          <w:sz w:val="20"/>
          <w:szCs w:val="20"/>
          <w:lang w:val="en-ZA"/>
        </w:rPr>
      </w:pPr>
    </w:p>
    <w:p w:rsidR="00176797"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lang w:val="en-ZA"/>
        </w:rPr>
        <w:t>There was a h</w:t>
      </w:r>
      <w:r w:rsidR="00176797" w:rsidRPr="003C1B18">
        <w:rPr>
          <w:rFonts w:ascii="Arial" w:hAnsi="Arial" w:cs="Arial"/>
          <w:sz w:val="20"/>
          <w:szCs w:val="20"/>
          <w:lang w:val="en-ZA"/>
        </w:rPr>
        <w:t xml:space="preserve">igh vacancies and instability </w:t>
      </w:r>
      <w:r w:rsidR="00DA5602" w:rsidRPr="003C1B18">
        <w:rPr>
          <w:rFonts w:ascii="Arial" w:hAnsi="Arial" w:cs="Arial"/>
          <w:sz w:val="20"/>
          <w:szCs w:val="20"/>
          <w:lang w:val="en-ZA"/>
        </w:rPr>
        <w:t>in</w:t>
      </w:r>
      <w:r w:rsidR="00176797" w:rsidRPr="003C1B18">
        <w:rPr>
          <w:rFonts w:ascii="Arial" w:hAnsi="Arial" w:cs="Arial"/>
          <w:sz w:val="20"/>
          <w:szCs w:val="20"/>
          <w:lang w:val="en-ZA"/>
        </w:rPr>
        <w:t xml:space="preserve"> the leadership position </w:t>
      </w:r>
      <w:r w:rsidRPr="003C1B18">
        <w:rPr>
          <w:rFonts w:ascii="Arial" w:hAnsi="Arial" w:cs="Arial"/>
          <w:sz w:val="20"/>
          <w:szCs w:val="20"/>
          <w:lang w:val="en-ZA"/>
        </w:rPr>
        <w:t xml:space="preserve">which </w:t>
      </w:r>
      <w:r w:rsidR="00176797" w:rsidRPr="003C1B18">
        <w:rPr>
          <w:rFonts w:ascii="Arial" w:hAnsi="Arial" w:cs="Arial"/>
          <w:sz w:val="20"/>
          <w:szCs w:val="20"/>
          <w:lang w:val="en-ZA"/>
        </w:rPr>
        <w:t>impacted the execution of the strategy.</w:t>
      </w:r>
    </w:p>
    <w:p w:rsidR="00F54A35" w:rsidRPr="003C1B18" w:rsidRDefault="00F54A35" w:rsidP="003C1B18">
      <w:pPr>
        <w:spacing w:after="0" w:line="240" w:lineRule="auto"/>
        <w:jc w:val="left"/>
        <w:rPr>
          <w:rFonts w:ascii="Arial" w:hAnsi="Arial" w:cs="Arial"/>
          <w:b/>
          <w:sz w:val="20"/>
          <w:szCs w:val="20"/>
        </w:rPr>
      </w:pPr>
      <w:r w:rsidRPr="003C1B18">
        <w:rPr>
          <w:rFonts w:ascii="Arial" w:hAnsi="Arial" w:cs="Arial"/>
          <w:b/>
          <w:sz w:val="20"/>
          <w:szCs w:val="20"/>
        </w:rPr>
        <w:t>Operational Highlights</w:t>
      </w:r>
      <w:r w:rsidR="00176797" w:rsidRPr="003C1B18">
        <w:rPr>
          <w:rFonts w:ascii="Arial" w:hAnsi="Arial" w:cs="Arial"/>
          <w:b/>
          <w:sz w:val="20"/>
          <w:szCs w:val="20"/>
        </w:rPr>
        <w:t>: 2019/20</w:t>
      </w:r>
    </w:p>
    <w:p w:rsidR="00F54A35" w:rsidRPr="003C1B18" w:rsidRDefault="00F54A35" w:rsidP="003C1B18">
      <w:pPr>
        <w:spacing w:after="0" w:line="240" w:lineRule="auto"/>
        <w:jc w:val="left"/>
        <w:rPr>
          <w:rFonts w:ascii="Arial" w:hAnsi="Arial" w:cs="Arial"/>
          <w:sz w:val="20"/>
          <w:szCs w:val="20"/>
        </w:rPr>
      </w:pPr>
      <w:r w:rsidRPr="003C1B18">
        <w:rPr>
          <w:rFonts w:ascii="Arial" w:hAnsi="Arial" w:cs="Arial"/>
          <w:sz w:val="20"/>
          <w:szCs w:val="20"/>
        </w:rPr>
        <w:t xml:space="preserve">As at the end of March 2020, the Postbank had </w:t>
      </w:r>
      <w:r w:rsidRPr="003C1B18">
        <w:rPr>
          <w:rFonts w:ascii="Arial" w:hAnsi="Arial" w:cs="Arial"/>
          <w:bCs/>
          <w:sz w:val="20"/>
          <w:szCs w:val="20"/>
        </w:rPr>
        <w:t>19.7 million</w:t>
      </w:r>
      <w:r w:rsidRPr="003C1B18">
        <w:rPr>
          <w:rFonts w:ascii="Arial" w:hAnsi="Arial" w:cs="Arial"/>
          <w:b/>
          <w:bCs/>
          <w:sz w:val="20"/>
          <w:szCs w:val="20"/>
        </w:rPr>
        <w:t xml:space="preserve"> </w:t>
      </w:r>
      <w:r w:rsidRPr="003C1B18">
        <w:rPr>
          <w:rFonts w:ascii="Arial" w:hAnsi="Arial" w:cs="Arial"/>
          <w:sz w:val="20"/>
          <w:szCs w:val="20"/>
        </w:rPr>
        <w:t>individual and group savings accounts that were predominantly for the bottom of the pyramid and previously financially excluded customers</w:t>
      </w:r>
      <w:r w:rsidR="00D378CD" w:rsidRPr="003C1B18">
        <w:rPr>
          <w:rFonts w:ascii="Arial" w:hAnsi="Arial" w:cs="Arial"/>
          <w:sz w:val="20"/>
          <w:szCs w:val="20"/>
        </w:rPr>
        <w:t xml:space="preserve"> and further awarded the Department of Environmental Affairs (DEA) Waste Bureau business.</w:t>
      </w:r>
    </w:p>
    <w:p w:rsidR="00DE2778" w:rsidRPr="003C1B18" w:rsidRDefault="00F54A35" w:rsidP="003C1B18">
      <w:pPr>
        <w:spacing w:after="0" w:line="240" w:lineRule="auto"/>
        <w:jc w:val="left"/>
        <w:rPr>
          <w:rFonts w:ascii="Arial" w:hAnsi="Arial" w:cs="Arial"/>
          <w:sz w:val="20"/>
          <w:szCs w:val="20"/>
        </w:rPr>
      </w:pPr>
      <w:r w:rsidRPr="003C1B18">
        <w:rPr>
          <w:rFonts w:ascii="Arial" w:hAnsi="Arial" w:cs="Arial"/>
          <w:sz w:val="20"/>
          <w:szCs w:val="20"/>
        </w:rPr>
        <w:t xml:space="preserve">A total of </w:t>
      </w:r>
      <w:r w:rsidRPr="003C1B18">
        <w:rPr>
          <w:rFonts w:ascii="Arial" w:hAnsi="Arial" w:cs="Arial"/>
          <w:bCs/>
          <w:sz w:val="20"/>
          <w:szCs w:val="20"/>
        </w:rPr>
        <w:t>8.4 million</w:t>
      </w:r>
      <w:r w:rsidRPr="003C1B18">
        <w:rPr>
          <w:rFonts w:ascii="Arial" w:hAnsi="Arial" w:cs="Arial"/>
          <w:b/>
          <w:bCs/>
          <w:sz w:val="20"/>
          <w:szCs w:val="20"/>
        </w:rPr>
        <w:t xml:space="preserve"> </w:t>
      </w:r>
      <w:r w:rsidRPr="003C1B18">
        <w:rPr>
          <w:rFonts w:ascii="Arial" w:hAnsi="Arial" w:cs="Arial"/>
          <w:sz w:val="20"/>
          <w:szCs w:val="20"/>
        </w:rPr>
        <w:t xml:space="preserve">SASSA beneficiaries were paid via Postbank accounts </w:t>
      </w:r>
      <w:r w:rsidR="00DA5602" w:rsidRPr="003C1B18">
        <w:rPr>
          <w:rFonts w:ascii="Arial" w:hAnsi="Arial" w:cs="Arial"/>
          <w:sz w:val="20"/>
          <w:szCs w:val="20"/>
        </w:rPr>
        <w:t xml:space="preserve">to </w:t>
      </w:r>
      <w:r w:rsidRPr="003C1B18">
        <w:rPr>
          <w:rFonts w:ascii="Arial" w:hAnsi="Arial" w:cs="Arial"/>
          <w:sz w:val="20"/>
          <w:szCs w:val="20"/>
        </w:rPr>
        <w:t xml:space="preserve">the amount of </w:t>
      </w:r>
      <w:r w:rsidRPr="003C1B18">
        <w:rPr>
          <w:rFonts w:ascii="Arial" w:hAnsi="Arial" w:cs="Arial"/>
          <w:bCs/>
          <w:sz w:val="20"/>
          <w:szCs w:val="20"/>
        </w:rPr>
        <w:t>R122.5 billion</w:t>
      </w:r>
      <w:r w:rsidRPr="003C1B18">
        <w:rPr>
          <w:rFonts w:ascii="Arial" w:hAnsi="Arial" w:cs="Arial"/>
          <w:b/>
          <w:bCs/>
          <w:sz w:val="20"/>
          <w:szCs w:val="20"/>
        </w:rPr>
        <w:t xml:space="preserve"> </w:t>
      </w:r>
      <w:r w:rsidRPr="003C1B18">
        <w:rPr>
          <w:rFonts w:ascii="Arial" w:hAnsi="Arial" w:cs="Arial"/>
          <w:sz w:val="20"/>
          <w:szCs w:val="20"/>
        </w:rPr>
        <w:t xml:space="preserve">during the 2019/20 financial year. Despite initial payment IT challenges, Postbank attained improved systems stability in </w:t>
      </w:r>
      <w:r w:rsidR="00DA5602" w:rsidRPr="003C1B18">
        <w:rPr>
          <w:rFonts w:ascii="Arial" w:hAnsi="Arial" w:cs="Arial"/>
          <w:sz w:val="20"/>
          <w:szCs w:val="20"/>
        </w:rPr>
        <w:t xml:space="preserve">the </w:t>
      </w:r>
      <w:r w:rsidRPr="003C1B18">
        <w:rPr>
          <w:rFonts w:ascii="Arial" w:hAnsi="Arial" w:cs="Arial"/>
          <w:sz w:val="20"/>
          <w:szCs w:val="20"/>
        </w:rPr>
        <w:t xml:space="preserve">2019/20 financial year, </w:t>
      </w:r>
      <w:r w:rsidR="00DA5602" w:rsidRPr="003C1B18">
        <w:rPr>
          <w:rFonts w:ascii="Arial" w:hAnsi="Arial" w:cs="Arial"/>
          <w:sz w:val="20"/>
          <w:szCs w:val="20"/>
        </w:rPr>
        <w:t>significantly improving</w:t>
      </w:r>
      <w:r w:rsidRPr="003C1B18">
        <w:rPr>
          <w:rFonts w:ascii="Arial" w:hAnsi="Arial" w:cs="Arial"/>
          <w:sz w:val="20"/>
          <w:szCs w:val="20"/>
        </w:rPr>
        <w:t xml:space="preserve"> its adherence to the industry SLA.</w:t>
      </w:r>
      <w:r w:rsidR="00D378CD" w:rsidRPr="003C1B18">
        <w:rPr>
          <w:rFonts w:ascii="Arial" w:hAnsi="Arial" w:cs="Arial"/>
          <w:sz w:val="20"/>
          <w:szCs w:val="20"/>
        </w:rPr>
        <w:t xml:space="preserve"> Postbank implemented grant payments and biometric systems.</w:t>
      </w:r>
    </w:p>
    <w:p w:rsidR="00D378CD" w:rsidRPr="003C1B18" w:rsidRDefault="00D378CD" w:rsidP="003C1B18">
      <w:pPr>
        <w:spacing w:after="0" w:line="240" w:lineRule="auto"/>
        <w:jc w:val="left"/>
        <w:rPr>
          <w:rFonts w:ascii="Arial" w:hAnsi="Arial" w:cs="Arial"/>
          <w:sz w:val="20"/>
          <w:szCs w:val="20"/>
        </w:rPr>
      </w:pPr>
      <w:r w:rsidRPr="003C1B18">
        <w:rPr>
          <w:rFonts w:ascii="Arial" w:hAnsi="Arial" w:cs="Arial"/>
          <w:sz w:val="20"/>
          <w:szCs w:val="20"/>
        </w:rPr>
        <w:t>Partnered with the Eastern Cape Department of Public Works and Department of Roads and Transport to provide banking accounts to over 23 000 workers.</w:t>
      </w:r>
    </w:p>
    <w:p w:rsidR="00D378CD" w:rsidRPr="003C1B18" w:rsidRDefault="00D378CD" w:rsidP="003C1B18">
      <w:pPr>
        <w:spacing w:after="0" w:line="240" w:lineRule="auto"/>
        <w:jc w:val="left"/>
        <w:rPr>
          <w:rFonts w:ascii="Arial" w:hAnsi="Arial" w:cs="Arial"/>
          <w:sz w:val="20"/>
          <w:szCs w:val="20"/>
        </w:rPr>
      </w:pPr>
      <w:r w:rsidRPr="003C1B18">
        <w:rPr>
          <w:rFonts w:ascii="Arial" w:hAnsi="Arial" w:cs="Arial"/>
          <w:sz w:val="20"/>
          <w:szCs w:val="20"/>
        </w:rPr>
        <w:t xml:space="preserve">The transfer of the operations of the Postbank division, including staff and assets &amp; liabilities, to Postbank was </w:t>
      </w:r>
      <w:r w:rsidR="00176797" w:rsidRPr="003C1B18">
        <w:rPr>
          <w:rFonts w:ascii="Arial" w:hAnsi="Arial" w:cs="Arial"/>
          <w:sz w:val="20"/>
          <w:szCs w:val="20"/>
        </w:rPr>
        <w:t>Gazetted</w:t>
      </w:r>
      <w:r w:rsidRPr="003C1B18">
        <w:rPr>
          <w:rFonts w:ascii="Arial" w:hAnsi="Arial" w:cs="Arial"/>
          <w:sz w:val="20"/>
          <w:szCs w:val="20"/>
        </w:rPr>
        <w:t xml:space="preserve"> with an effective date of 1 April 2019, in line with the provisions of the Postbank Amendment Act 44 of 2013.</w:t>
      </w:r>
    </w:p>
    <w:p w:rsidR="009D2896" w:rsidRPr="003C1B18" w:rsidRDefault="009D2896" w:rsidP="003C1B18">
      <w:pPr>
        <w:spacing w:after="0" w:line="240" w:lineRule="auto"/>
        <w:jc w:val="left"/>
        <w:rPr>
          <w:rFonts w:ascii="Arial" w:hAnsi="Arial" w:cs="Arial"/>
          <w:sz w:val="20"/>
          <w:szCs w:val="20"/>
        </w:rPr>
      </w:pPr>
      <w:r w:rsidRPr="003C1B18">
        <w:rPr>
          <w:rFonts w:ascii="Arial" w:hAnsi="Arial" w:cs="Arial"/>
          <w:sz w:val="20"/>
          <w:szCs w:val="20"/>
        </w:rPr>
        <w:t>Updates to Section 16</w:t>
      </w:r>
      <w:r w:rsidR="00DA5602" w:rsidRPr="003C1B18">
        <w:rPr>
          <w:rFonts w:ascii="Arial" w:hAnsi="Arial" w:cs="Arial"/>
          <w:sz w:val="20"/>
          <w:szCs w:val="20"/>
        </w:rPr>
        <w:t>,</w:t>
      </w:r>
      <w:r w:rsidRPr="003C1B18">
        <w:rPr>
          <w:rFonts w:ascii="Arial" w:hAnsi="Arial" w:cs="Arial"/>
          <w:sz w:val="20"/>
          <w:szCs w:val="20"/>
        </w:rPr>
        <w:t xml:space="preserve"> banking license application </w:t>
      </w:r>
      <w:r w:rsidR="00DA5602" w:rsidRPr="003C1B18">
        <w:rPr>
          <w:rFonts w:ascii="Arial" w:hAnsi="Arial" w:cs="Arial"/>
          <w:sz w:val="20"/>
          <w:szCs w:val="20"/>
        </w:rPr>
        <w:t>and Section 43 related to establishing</w:t>
      </w:r>
      <w:r w:rsidRPr="003C1B18">
        <w:rPr>
          <w:rFonts w:ascii="Arial" w:hAnsi="Arial" w:cs="Arial"/>
          <w:sz w:val="20"/>
          <w:szCs w:val="20"/>
        </w:rPr>
        <w:t xml:space="preserve"> a bank controlling company are in progress. In HR, Postbank Commenced HR capacity building in key areas of IT, Operations, Project Office, </w:t>
      </w:r>
      <w:r w:rsidR="00DA5602" w:rsidRPr="003C1B18">
        <w:rPr>
          <w:rFonts w:ascii="Arial" w:hAnsi="Arial" w:cs="Arial"/>
          <w:sz w:val="20"/>
          <w:szCs w:val="20"/>
        </w:rPr>
        <w:t xml:space="preserve">and </w:t>
      </w:r>
      <w:r w:rsidRPr="003C1B18">
        <w:rPr>
          <w:rFonts w:ascii="Arial" w:hAnsi="Arial" w:cs="Arial"/>
          <w:sz w:val="20"/>
          <w:szCs w:val="20"/>
        </w:rPr>
        <w:t>Product development.</w:t>
      </w:r>
    </w:p>
    <w:p w:rsidR="00C00045" w:rsidRPr="003C1B18" w:rsidRDefault="00C00045" w:rsidP="003C1B18">
      <w:pPr>
        <w:spacing w:after="0" w:line="240" w:lineRule="auto"/>
        <w:jc w:val="left"/>
        <w:rPr>
          <w:rFonts w:ascii="Arial" w:hAnsi="Arial" w:cs="Arial"/>
          <w:sz w:val="20"/>
          <w:szCs w:val="20"/>
        </w:rPr>
      </w:pPr>
    </w:p>
    <w:p w:rsidR="00176797" w:rsidRPr="003C1B18" w:rsidRDefault="00176797" w:rsidP="003C1B18">
      <w:pPr>
        <w:spacing w:after="0" w:line="240" w:lineRule="auto"/>
        <w:jc w:val="left"/>
        <w:rPr>
          <w:rFonts w:ascii="Arial" w:hAnsi="Arial" w:cs="Arial"/>
          <w:sz w:val="20"/>
          <w:szCs w:val="20"/>
        </w:rPr>
      </w:pPr>
      <w:r w:rsidRPr="003C1B18">
        <w:rPr>
          <w:rFonts w:ascii="Arial" w:hAnsi="Arial" w:cs="Arial"/>
          <w:noProof/>
          <w:sz w:val="20"/>
          <w:szCs w:val="20"/>
        </w:rPr>
        <w:drawing>
          <wp:inline distT="0" distB="0" distL="0" distR="0">
            <wp:extent cx="5535386" cy="28676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7713" cy="2910310"/>
                    </a:xfrm>
                    <a:prstGeom prst="rect">
                      <a:avLst/>
                    </a:prstGeom>
                    <a:noFill/>
                  </pic:spPr>
                </pic:pic>
              </a:graphicData>
            </a:graphic>
          </wp:inline>
        </w:drawing>
      </w:r>
    </w:p>
    <w:p w:rsidR="00176797" w:rsidRPr="003C1B18" w:rsidRDefault="00176797" w:rsidP="003C1B18">
      <w:pPr>
        <w:spacing w:after="0" w:line="240" w:lineRule="auto"/>
        <w:jc w:val="left"/>
        <w:rPr>
          <w:rFonts w:ascii="Arial" w:hAnsi="Arial" w:cs="Arial"/>
          <w:b/>
          <w:bCs/>
          <w:sz w:val="20"/>
          <w:szCs w:val="20"/>
          <w:lang w:val="en-ZA"/>
        </w:rPr>
      </w:pPr>
    </w:p>
    <w:p w:rsidR="00176797" w:rsidRPr="003C1B18" w:rsidRDefault="00176797" w:rsidP="003C1B18">
      <w:pPr>
        <w:spacing w:after="0" w:line="240" w:lineRule="auto"/>
        <w:jc w:val="left"/>
        <w:rPr>
          <w:rFonts w:ascii="Arial" w:hAnsi="Arial" w:cs="Arial"/>
          <w:b/>
          <w:bCs/>
          <w:sz w:val="20"/>
          <w:szCs w:val="20"/>
          <w:lang w:val="en-ZA"/>
        </w:rPr>
      </w:pPr>
      <w:r w:rsidRPr="003C1B18">
        <w:rPr>
          <w:rFonts w:ascii="Arial" w:hAnsi="Arial" w:cs="Arial"/>
          <w:b/>
          <w:bCs/>
          <w:sz w:val="20"/>
          <w:szCs w:val="20"/>
          <w:lang w:val="en-ZA"/>
        </w:rPr>
        <w:t>Key Financial Highlights:</w:t>
      </w:r>
      <w:r w:rsidRPr="003C1B18">
        <w:rPr>
          <w:rFonts w:ascii="Arial" w:hAnsi="Arial" w:cs="Arial"/>
          <w:b/>
          <w:sz w:val="20"/>
          <w:szCs w:val="20"/>
        </w:rPr>
        <w:t xml:space="preserve"> 2019/20</w:t>
      </w:r>
    </w:p>
    <w:p w:rsidR="00176797" w:rsidRPr="003C1B18" w:rsidRDefault="00A72C39" w:rsidP="003C1B18">
      <w:pPr>
        <w:spacing w:after="0" w:line="240" w:lineRule="auto"/>
        <w:jc w:val="left"/>
        <w:rPr>
          <w:rFonts w:ascii="Arial" w:hAnsi="Arial" w:cs="Arial"/>
          <w:sz w:val="20"/>
          <w:szCs w:val="20"/>
        </w:rPr>
      </w:pPr>
      <w:r w:rsidRPr="003C1B18">
        <w:rPr>
          <w:rFonts w:ascii="Arial" w:hAnsi="Arial" w:cs="Arial"/>
          <w:sz w:val="20"/>
          <w:szCs w:val="20"/>
        </w:rPr>
        <w:lastRenderedPageBreak/>
        <w:t xml:space="preserve">The profit after tax for the financial year ended 31 March 2020 amounted to R211 million. Net Cash from Operating Activities amounted to </w:t>
      </w:r>
      <w:r w:rsidR="00DA5602" w:rsidRPr="003C1B18">
        <w:rPr>
          <w:rFonts w:ascii="Arial" w:hAnsi="Arial" w:cs="Arial"/>
          <w:sz w:val="20"/>
          <w:szCs w:val="20"/>
        </w:rPr>
        <w:t xml:space="preserve">a </w:t>
      </w:r>
      <w:r w:rsidRPr="003C1B18">
        <w:rPr>
          <w:rFonts w:ascii="Arial" w:hAnsi="Arial" w:cs="Arial"/>
          <w:sz w:val="20"/>
          <w:szCs w:val="20"/>
        </w:rPr>
        <w:t>cash basis figure of R5.3 billion</w:t>
      </w:r>
      <w:r w:rsidR="00DA5602" w:rsidRPr="003C1B18">
        <w:rPr>
          <w:rFonts w:ascii="Arial" w:hAnsi="Arial" w:cs="Arial"/>
          <w:sz w:val="20"/>
          <w:szCs w:val="20"/>
        </w:rPr>
        <w:t>; this</w:t>
      </w:r>
      <w:r w:rsidRPr="003C1B18">
        <w:rPr>
          <w:rFonts w:ascii="Arial" w:hAnsi="Arial" w:cs="Arial"/>
          <w:sz w:val="20"/>
          <w:szCs w:val="20"/>
        </w:rPr>
        <w:t xml:space="preserve"> is the amount of cash generated by Postbank from the revenue that was generated. Total assets amount to R14.2 billion in 2020 financial year, which exceeds total liabilities by R3.7 billion. This means that Postbank has sufficient cash to pay its debts.</w:t>
      </w:r>
    </w:p>
    <w:p w:rsidR="00A070E6" w:rsidRPr="003C1B18" w:rsidRDefault="00A72C39" w:rsidP="003C1B18">
      <w:pPr>
        <w:spacing w:after="0" w:line="240" w:lineRule="auto"/>
        <w:jc w:val="left"/>
        <w:rPr>
          <w:rFonts w:ascii="Arial" w:hAnsi="Arial" w:cs="Arial"/>
          <w:sz w:val="20"/>
          <w:szCs w:val="20"/>
        </w:rPr>
      </w:pPr>
      <w:r w:rsidRPr="003C1B18">
        <w:rPr>
          <w:rFonts w:ascii="Arial" w:hAnsi="Arial" w:cs="Arial"/>
          <w:sz w:val="20"/>
          <w:szCs w:val="20"/>
        </w:rPr>
        <w:t>Postbank generated total revenue of R2.3 billion during the year ending 31 March 2020. Return on Assets amounted to 2.05 per cent during the 2019/20 financial year. This return shows the profitability of Postbank’s assets in generating revenue and earnings.</w:t>
      </w:r>
      <w:r w:rsidR="00B06D3B" w:rsidRPr="003C1B18">
        <w:rPr>
          <w:rFonts w:ascii="Arial" w:hAnsi="Arial" w:cs="Arial"/>
          <w:sz w:val="20"/>
          <w:szCs w:val="20"/>
        </w:rPr>
        <w:t xml:space="preserve"> </w:t>
      </w:r>
      <w:r w:rsidR="00B643C6" w:rsidRPr="003C1B18">
        <w:rPr>
          <w:rFonts w:ascii="Arial" w:hAnsi="Arial" w:cs="Arial"/>
          <w:sz w:val="20"/>
          <w:szCs w:val="20"/>
        </w:rPr>
        <w:t>Investments amounted to R7.065 billion in the 2019/20 financial year despite slow growth in deposits due to customers.</w:t>
      </w:r>
    </w:p>
    <w:p w:rsidR="00746A1E" w:rsidRPr="003C1B18" w:rsidRDefault="00746A1E" w:rsidP="003C1B18">
      <w:pPr>
        <w:spacing w:after="0" w:line="240" w:lineRule="auto"/>
        <w:jc w:val="left"/>
        <w:rPr>
          <w:rFonts w:ascii="Arial" w:hAnsi="Arial" w:cs="Arial"/>
          <w:sz w:val="20"/>
          <w:szCs w:val="20"/>
        </w:rPr>
      </w:pPr>
    </w:p>
    <w:p w:rsidR="00176797" w:rsidRPr="003C1B18" w:rsidRDefault="00176797" w:rsidP="003C1B18">
      <w:pPr>
        <w:spacing w:after="0" w:line="240" w:lineRule="auto"/>
        <w:jc w:val="left"/>
        <w:rPr>
          <w:rFonts w:ascii="Arial" w:hAnsi="Arial" w:cs="Arial"/>
          <w:b/>
          <w:sz w:val="20"/>
          <w:szCs w:val="20"/>
        </w:rPr>
      </w:pPr>
      <w:r w:rsidRPr="003C1B18">
        <w:rPr>
          <w:rFonts w:ascii="Arial" w:hAnsi="Arial" w:cs="Arial"/>
          <w:b/>
          <w:sz w:val="20"/>
          <w:szCs w:val="20"/>
        </w:rPr>
        <w:t>Auditor-General’s Report: 2019/20</w:t>
      </w:r>
    </w:p>
    <w:p w:rsidR="00D128D7" w:rsidRPr="003C1B18" w:rsidRDefault="00D128D7" w:rsidP="003C1B18">
      <w:pPr>
        <w:spacing w:after="0" w:line="240" w:lineRule="auto"/>
        <w:jc w:val="left"/>
        <w:rPr>
          <w:rFonts w:ascii="Arial" w:hAnsi="Arial" w:cs="Arial"/>
          <w:bCs/>
          <w:sz w:val="20"/>
          <w:szCs w:val="20"/>
          <w:lang w:val="en-ZA"/>
        </w:rPr>
      </w:pPr>
      <w:r w:rsidRPr="003C1B18">
        <w:rPr>
          <w:rFonts w:ascii="Arial" w:hAnsi="Arial" w:cs="Arial"/>
          <w:bCs/>
          <w:sz w:val="20"/>
          <w:szCs w:val="20"/>
        </w:rPr>
        <w:t xml:space="preserve">The Postbank received an </w:t>
      </w:r>
      <w:r w:rsidRPr="003C1B18">
        <w:rPr>
          <w:rFonts w:ascii="Arial" w:hAnsi="Arial" w:cs="Arial"/>
          <w:bCs/>
          <w:sz w:val="20"/>
          <w:szCs w:val="20"/>
          <w:lang w:val="en-ZA"/>
        </w:rPr>
        <w:t xml:space="preserve">outcome of a </w:t>
      </w:r>
      <w:r w:rsidRPr="003C1B18">
        <w:rPr>
          <w:rFonts w:ascii="Arial" w:hAnsi="Arial" w:cs="Arial"/>
          <w:b/>
          <w:bCs/>
          <w:sz w:val="20"/>
          <w:szCs w:val="20"/>
          <w:lang w:val="en-ZA"/>
        </w:rPr>
        <w:t>Qualified Opinion</w:t>
      </w:r>
      <w:r w:rsidRPr="003C1B18">
        <w:rPr>
          <w:rFonts w:ascii="Arial" w:hAnsi="Arial" w:cs="Arial"/>
          <w:bCs/>
          <w:sz w:val="20"/>
          <w:szCs w:val="20"/>
          <w:lang w:val="en-ZA"/>
        </w:rPr>
        <w:t xml:space="preserve"> for the year under review.</w:t>
      </w:r>
    </w:p>
    <w:p w:rsidR="00B06D3B" w:rsidRPr="003C1B18" w:rsidRDefault="00176797" w:rsidP="003C1B18">
      <w:pPr>
        <w:spacing w:after="0" w:line="240" w:lineRule="auto"/>
        <w:jc w:val="left"/>
        <w:rPr>
          <w:rFonts w:ascii="Arial" w:hAnsi="Arial" w:cs="Arial"/>
          <w:sz w:val="20"/>
          <w:szCs w:val="20"/>
          <w:lang w:val="en-ZA"/>
        </w:rPr>
      </w:pPr>
      <w:r w:rsidRPr="003C1B18">
        <w:rPr>
          <w:rFonts w:ascii="Arial" w:hAnsi="Arial" w:cs="Arial"/>
          <w:b/>
          <w:bCs/>
          <w:sz w:val="20"/>
          <w:szCs w:val="20"/>
          <w:lang w:val="en-ZA"/>
        </w:rPr>
        <w:t>Other Reserves and Other Deposits (grants)</w:t>
      </w:r>
      <w:r w:rsidRPr="003C1B18">
        <w:rPr>
          <w:rFonts w:ascii="Arial" w:hAnsi="Arial" w:cs="Arial"/>
          <w:sz w:val="20"/>
          <w:szCs w:val="20"/>
          <w:lang w:val="en-ZA"/>
        </w:rPr>
        <w:t xml:space="preserve">:  </w:t>
      </w:r>
      <w:r w:rsidR="00B06D3B" w:rsidRPr="003C1B18">
        <w:rPr>
          <w:rFonts w:ascii="Arial" w:hAnsi="Arial" w:cs="Arial"/>
          <w:sz w:val="20"/>
          <w:szCs w:val="20"/>
          <w:lang w:val="en-ZA"/>
        </w:rPr>
        <w:t xml:space="preserve">The </w:t>
      </w:r>
      <w:r w:rsidRPr="003C1B18">
        <w:rPr>
          <w:rFonts w:ascii="Arial" w:hAnsi="Arial" w:cs="Arial"/>
          <w:sz w:val="20"/>
          <w:szCs w:val="20"/>
          <w:lang w:val="en-ZA"/>
        </w:rPr>
        <w:t xml:space="preserve">AGSA </w:t>
      </w:r>
      <w:r w:rsidR="00DA5602" w:rsidRPr="003C1B18">
        <w:rPr>
          <w:rFonts w:ascii="Arial" w:hAnsi="Arial" w:cs="Arial"/>
          <w:sz w:val="20"/>
          <w:szCs w:val="20"/>
          <w:lang w:val="en-ZA"/>
        </w:rPr>
        <w:t>could not</w:t>
      </w:r>
      <w:r w:rsidRPr="003C1B18">
        <w:rPr>
          <w:rFonts w:ascii="Arial" w:hAnsi="Arial" w:cs="Arial"/>
          <w:sz w:val="20"/>
          <w:szCs w:val="20"/>
          <w:lang w:val="en-ZA"/>
        </w:rPr>
        <w:t xml:space="preserve"> obtain sufficient and appropriate audit evidence that the </w:t>
      </w:r>
      <w:r w:rsidR="004E2528" w:rsidRPr="003C1B18">
        <w:rPr>
          <w:rFonts w:ascii="Arial" w:hAnsi="Arial" w:cs="Arial"/>
          <w:sz w:val="20"/>
          <w:szCs w:val="20"/>
          <w:lang w:val="en-ZA"/>
        </w:rPr>
        <w:t xml:space="preserve">other </w:t>
      </w:r>
      <w:r w:rsidRPr="003C1B18">
        <w:rPr>
          <w:rFonts w:ascii="Arial" w:hAnsi="Arial" w:cs="Arial"/>
          <w:sz w:val="20"/>
          <w:szCs w:val="20"/>
          <w:lang w:val="en-ZA"/>
        </w:rPr>
        <w:t xml:space="preserve">reserves and </w:t>
      </w:r>
      <w:r w:rsidR="004E2528" w:rsidRPr="003C1B18">
        <w:rPr>
          <w:rFonts w:ascii="Arial" w:hAnsi="Arial" w:cs="Arial"/>
          <w:sz w:val="20"/>
          <w:szCs w:val="20"/>
          <w:lang w:val="en-ZA"/>
        </w:rPr>
        <w:t xml:space="preserve">other </w:t>
      </w:r>
      <w:r w:rsidRPr="003C1B18">
        <w:rPr>
          <w:rFonts w:ascii="Arial" w:hAnsi="Arial" w:cs="Arial"/>
          <w:sz w:val="20"/>
          <w:szCs w:val="20"/>
          <w:lang w:val="en-ZA"/>
        </w:rPr>
        <w:t xml:space="preserve">deposits had </w:t>
      </w:r>
      <w:r w:rsidR="00DA5602" w:rsidRPr="003C1B18">
        <w:rPr>
          <w:rFonts w:ascii="Arial" w:hAnsi="Arial" w:cs="Arial"/>
          <w:sz w:val="20"/>
          <w:szCs w:val="20"/>
          <w:lang w:val="en-ZA"/>
        </w:rPr>
        <w:t>been adequately</w:t>
      </w:r>
      <w:r w:rsidRPr="003C1B18">
        <w:rPr>
          <w:rFonts w:ascii="Arial" w:hAnsi="Arial" w:cs="Arial"/>
          <w:sz w:val="20"/>
          <w:szCs w:val="20"/>
          <w:lang w:val="en-ZA"/>
        </w:rPr>
        <w:t xml:space="preserve"> accounted for. This </w:t>
      </w:r>
      <w:r w:rsidR="00DA5602" w:rsidRPr="003C1B18">
        <w:rPr>
          <w:rFonts w:ascii="Arial" w:hAnsi="Arial" w:cs="Arial"/>
          <w:sz w:val="20"/>
          <w:szCs w:val="20"/>
          <w:lang w:val="en-ZA"/>
        </w:rPr>
        <w:t>resulted from Postbank's inability</w:t>
      </w:r>
      <w:r w:rsidRPr="003C1B18">
        <w:rPr>
          <w:rFonts w:ascii="Arial" w:hAnsi="Arial" w:cs="Arial"/>
          <w:sz w:val="20"/>
          <w:szCs w:val="20"/>
          <w:lang w:val="en-ZA"/>
        </w:rPr>
        <w:t xml:space="preserve"> to reconcile IGPS records to SAP (reporting </w:t>
      </w:r>
    </w:p>
    <w:p w:rsidR="00B06D3B" w:rsidRPr="003C1B18" w:rsidRDefault="00B06D3B" w:rsidP="003C1B18">
      <w:pPr>
        <w:spacing w:after="0" w:line="240" w:lineRule="auto"/>
        <w:jc w:val="left"/>
        <w:rPr>
          <w:rFonts w:ascii="Arial" w:hAnsi="Arial" w:cs="Arial"/>
          <w:sz w:val="20"/>
          <w:szCs w:val="20"/>
          <w:lang w:val="en-ZA"/>
        </w:rPr>
      </w:pPr>
    </w:p>
    <w:p w:rsidR="00176797" w:rsidRPr="003C1B18" w:rsidRDefault="00176797"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system). Other reserves were determined after deducting the liability of the </w:t>
      </w:r>
      <w:r w:rsidR="004E2528" w:rsidRPr="003C1B18">
        <w:rPr>
          <w:rFonts w:ascii="Arial" w:hAnsi="Arial" w:cs="Arial"/>
          <w:sz w:val="20"/>
          <w:szCs w:val="20"/>
          <w:lang w:val="en-ZA"/>
        </w:rPr>
        <w:t xml:space="preserve">other </w:t>
      </w:r>
      <w:r w:rsidRPr="003C1B18">
        <w:rPr>
          <w:rFonts w:ascii="Arial" w:hAnsi="Arial" w:cs="Arial"/>
          <w:sz w:val="20"/>
          <w:szCs w:val="20"/>
          <w:lang w:val="en-ZA"/>
        </w:rPr>
        <w:t>deposits (grants) transferred to Postbank from SAPO.</w:t>
      </w:r>
    </w:p>
    <w:p w:rsidR="00176797"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The </w:t>
      </w:r>
      <w:r w:rsidR="00176797" w:rsidRPr="003C1B18">
        <w:rPr>
          <w:rFonts w:ascii="Arial" w:hAnsi="Arial" w:cs="Arial"/>
          <w:sz w:val="20"/>
          <w:szCs w:val="20"/>
          <w:lang w:val="en-ZA"/>
        </w:rPr>
        <w:t xml:space="preserve">Postbank has developed an Integrated Audit Action Plan: </w:t>
      </w:r>
    </w:p>
    <w:p w:rsidR="006A4729" w:rsidRPr="003C1B18" w:rsidRDefault="00DA5602" w:rsidP="003C1B18">
      <w:pPr>
        <w:numPr>
          <w:ilvl w:val="0"/>
          <w:numId w:val="5"/>
        </w:numPr>
        <w:spacing w:after="0" w:line="240" w:lineRule="auto"/>
        <w:jc w:val="left"/>
        <w:rPr>
          <w:rFonts w:ascii="Arial" w:hAnsi="Arial" w:cs="Arial"/>
          <w:sz w:val="20"/>
          <w:szCs w:val="20"/>
        </w:rPr>
      </w:pPr>
      <w:r w:rsidRPr="003C1B18">
        <w:rPr>
          <w:rFonts w:ascii="Arial" w:hAnsi="Arial" w:cs="Arial"/>
          <w:b/>
          <w:bCs/>
          <w:sz w:val="20"/>
          <w:szCs w:val="20"/>
          <w:lang w:val="en-ZA"/>
        </w:rPr>
        <w:t>Short-term</w:t>
      </w:r>
      <w:r w:rsidR="0040176A" w:rsidRPr="003C1B18">
        <w:rPr>
          <w:rFonts w:ascii="Arial" w:hAnsi="Arial" w:cs="Arial"/>
          <w:b/>
          <w:bCs/>
          <w:sz w:val="20"/>
          <w:szCs w:val="20"/>
          <w:lang w:val="en-ZA"/>
        </w:rPr>
        <w:t xml:space="preserve"> measure</w:t>
      </w:r>
      <w:r w:rsidR="00A070E6" w:rsidRPr="003C1B18">
        <w:rPr>
          <w:rFonts w:ascii="Arial" w:hAnsi="Arial" w:cs="Arial"/>
          <w:b/>
          <w:bCs/>
          <w:sz w:val="20"/>
          <w:szCs w:val="20"/>
          <w:lang w:val="en-ZA"/>
        </w:rPr>
        <w:t>s to address the reconciliation</w:t>
      </w:r>
      <w:r w:rsidR="0040176A" w:rsidRPr="003C1B18">
        <w:rPr>
          <w:rFonts w:ascii="Arial" w:hAnsi="Arial" w:cs="Arial"/>
          <w:sz w:val="20"/>
          <w:szCs w:val="20"/>
          <w:lang w:val="en-ZA"/>
        </w:rPr>
        <w:t xml:space="preserve"> - Postbank is appointing a service provider through Supply Chain Management by </w:t>
      </w:r>
      <w:r w:rsidRPr="003C1B18">
        <w:rPr>
          <w:rFonts w:ascii="Arial" w:hAnsi="Arial" w:cs="Arial"/>
          <w:sz w:val="20"/>
          <w:szCs w:val="20"/>
          <w:lang w:val="en-ZA"/>
        </w:rPr>
        <w:t xml:space="preserve">the </w:t>
      </w:r>
      <w:r w:rsidR="0040176A" w:rsidRPr="003C1B18">
        <w:rPr>
          <w:rFonts w:ascii="Arial" w:hAnsi="Arial" w:cs="Arial"/>
          <w:sz w:val="20"/>
          <w:szCs w:val="20"/>
          <w:lang w:val="en-ZA"/>
        </w:rPr>
        <w:t>31</w:t>
      </w:r>
      <w:r w:rsidR="0040176A" w:rsidRPr="003C1B18">
        <w:rPr>
          <w:rFonts w:ascii="Arial" w:hAnsi="Arial" w:cs="Arial"/>
          <w:sz w:val="20"/>
          <w:szCs w:val="20"/>
          <w:vertAlign w:val="superscript"/>
          <w:lang w:val="en-ZA"/>
        </w:rPr>
        <w:t>st</w:t>
      </w:r>
      <w:r w:rsidR="0040176A" w:rsidRPr="003C1B18">
        <w:rPr>
          <w:rFonts w:ascii="Arial" w:hAnsi="Arial" w:cs="Arial"/>
          <w:sz w:val="20"/>
          <w:szCs w:val="20"/>
          <w:lang w:val="en-ZA"/>
        </w:rPr>
        <w:t xml:space="preserve"> of January</w:t>
      </w:r>
      <w:r w:rsidRPr="003C1B18">
        <w:rPr>
          <w:rFonts w:ascii="Arial" w:hAnsi="Arial" w:cs="Arial"/>
          <w:sz w:val="20"/>
          <w:szCs w:val="20"/>
          <w:lang w:val="en-ZA"/>
        </w:rPr>
        <w:t>,</w:t>
      </w:r>
      <w:r w:rsidR="0040176A" w:rsidRPr="003C1B18">
        <w:rPr>
          <w:rFonts w:ascii="Arial" w:hAnsi="Arial" w:cs="Arial"/>
          <w:sz w:val="20"/>
          <w:szCs w:val="20"/>
          <w:lang w:val="en-ZA"/>
        </w:rPr>
        <w:t xml:space="preserve"> 2023. The Service Provider will perform the reconciliation, present </w:t>
      </w:r>
      <w:r w:rsidRPr="003C1B18">
        <w:rPr>
          <w:rFonts w:ascii="Arial" w:hAnsi="Arial" w:cs="Arial"/>
          <w:sz w:val="20"/>
          <w:szCs w:val="20"/>
          <w:lang w:val="en-ZA"/>
        </w:rPr>
        <w:t xml:space="preserve">the </w:t>
      </w:r>
      <w:r w:rsidR="0040176A" w:rsidRPr="003C1B18">
        <w:rPr>
          <w:rFonts w:ascii="Arial" w:hAnsi="Arial" w:cs="Arial"/>
          <w:sz w:val="20"/>
          <w:szCs w:val="20"/>
          <w:lang w:val="en-ZA"/>
        </w:rPr>
        <w:t>result to Management and Management correct and report the Annual Financial Statements by the 15</w:t>
      </w:r>
      <w:r w:rsidR="0040176A" w:rsidRPr="003C1B18">
        <w:rPr>
          <w:rFonts w:ascii="Arial" w:hAnsi="Arial" w:cs="Arial"/>
          <w:sz w:val="20"/>
          <w:szCs w:val="20"/>
          <w:vertAlign w:val="superscript"/>
          <w:lang w:val="en-ZA"/>
        </w:rPr>
        <w:t>th</w:t>
      </w:r>
      <w:r w:rsidR="0040176A" w:rsidRPr="003C1B18">
        <w:rPr>
          <w:rFonts w:ascii="Arial" w:hAnsi="Arial" w:cs="Arial"/>
          <w:sz w:val="20"/>
          <w:szCs w:val="20"/>
          <w:lang w:val="en-ZA"/>
        </w:rPr>
        <w:t xml:space="preserve"> of May 2023.</w:t>
      </w:r>
    </w:p>
    <w:p w:rsidR="006A4729" w:rsidRPr="003C1B18" w:rsidRDefault="00DA5602" w:rsidP="003C1B18">
      <w:pPr>
        <w:numPr>
          <w:ilvl w:val="0"/>
          <w:numId w:val="5"/>
        </w:numPr>
        <w:spacing w:after="0" w:line="240" w:lineRule="auto"/>
        <w:jc w:val="left"/>
        <w:rPr>
          <w:rFonts w:ascii="Arial" w:hAnsi="Arial" w:cs="Arial"/>
          <w:sz w:val="20"/>
          <w:szCs w:val="20"/>
        </w:rPr>
      </w:pPr>
      <w:r w:rsidRPr="003C1B18">
        <w:rPr>
          <w:rFonts w:ascii="Arial" w:hAnsi="Arial" w:cs="Arial"/>
          <w:b/>
          <w:bCs/>
          <w:sz w:val="20"/>
          <w:szCs w:val="20"/>
          <w:lang w:val="en-ZA"/>
        </w:rPr>
        <w:t>Long-term</w:t>
      </w:r>
      <w:r w:rsidR="0040176A" w:rsidRPr="003C1B18">
        <w:rPr>
          <w:rFonts w:ascii="Arial" w:hAnsi="Arial" w:cs="Arial"/>
          <w:b/>
          <w:bCs/>
          <w:sz w:val="20"/>
          <w:szCs w:val="20"/>
          <w:lang w:val="en-ZA"/>
        </w:rPr>
        <w:t xml:space="preserve"> measures to address the reconciliation </w:t>
      </w:r>
      <w:r w:rsidR="0040176A" w:rsidRPr="003C1B18">
        <w:rPr>
          <w:rFonts w:ascii="Arial" w:hAnsi="Arial" w:cs="Arial"/>
          <w:sz w:val="20"/>
          <w:szCs w:val="20"/>
          <w:lang w:val="en-ZA"/>
        </w:rPr>
        <w:t>– Postbank will develop a Business Case; facilitate the procurement of a solution and implementation of the reconciliation solution/system by the 31</w:t>
      </w:r>
      <w:r w:rsidR="0040176A" w:rsidRPr="003C1B18">
        <w:rPr>
          <w:rFonts w:ascii="Arial" w:hAnsi="Arial" w:cs="Arial"/>
          <w:sz w:val="20"/>
          <w:szCs w:val="20"/>
          <w:vertAlign w:val="superscript"/>
          <w:lang w:val="en-ZA"/>
        </w:rPr>
        <w:t>st</w:t>
      </w:r>
      <w:r w:rsidR="0040176A" w:rsidRPr="003C1B18">
        <w:rPr>
          <w:rFonts w:ascii="Arial" w:hAnsi="Arial" w:cs="Arial"/>
          <w:sz w:val="20"/>
          <w:szCs w:val="20"/>
          <w:lang w:val="en-ZA"/>
        </w:rPr>
        <w:t xml:space="preserve"> of October 2023. Management will ensure the reconciliation solution/system is implemented by the 30</w:t>
      </w:r>
      <w:r w:rsidR="0040176A" w:rsidRPr="003C1B18">
        <w:rPr>
          <w:rFonts w:ascii="Arial" w:hAnsi="Arial" w:cs="Arial"/>
          <w:sz w:val="20"/>
          <w:szCs w:val="20"/>
          <w:vertAlign w:val="superscript"/>
          <w:lang w:val="en-ZA"/>
        </w:rPr>
        <w:t>th</w:t>
      </w:r>
      <w:r w:rsidR="0040176A" w:rsidRPr="003C1B18">
        <w:rPr>
          <w:rFonts w:ascii="Arial" w:hAnsi="Arial" w:cs="Arial"/>
          <w:sz w:val="20"/>
          <w:szCs w:val="20"/>
          <w:lang w:val="en-ZA"/>
        </w:rPr>
        <w:t xml:space="preserve"> </w:t>
      </w:r>
      <w:r w:rsidR="005576C0" w:rsidRPr="003C1B18">
        <w:rPr>
          <w:rFonts w:ascii="Arial" w:hAnsi="Arial" w:cs="Arial"/>
          <w:sz w:val="20"/>
          <w:szCs w:val="20"/>
          <w:lang w:val="en-ZA"/>
        </w:rPr>
        <w:t xml:space="preserve">of </w:t>
      </w:r>
      <w:r w:rsidR="0040176A" w:rsidRPr="003C1B18">
        <w:rPr>
          <w:rFonts w:ascii="Arial" w:hAnsi="Arial" w:cs="Arial"/>
          <w:sz w:val="20"/>
          <w:szCs w:val="20"/>
          <w:lang w:val="en-ZA"/>
        </w:rPr>
        <w:t>October</w:t>
      </w:r>
      <w:r w:rsidRPr="003C1B18">
        <w:rPr>
          <w:rFonts w:ascii="Arial" w:hAnsi="Arial" w:cs="Arial"/>
          <w:sz w:val="20"/>
          <w:szCs w:val="20"/>
          <w:lang w:val="en-ZA"/>
        </w:rPr>
        <w:t>,</w:t>
      </w:r>
      <w:r w:rsidR="0040176A" w:rsidRPr="003C1B18">
        <w:rPr>
          <w:rFonts w:ascii="Arial" w:hAnsi="Arial" w:cs="Arial"/>
          <w:sz w:val="20"/>
          <w:szCs w:val="20"/>
          <w:lang w:val="en-ZA"/>
        </w:rPr>
        <w:t xml:space="preserve"> 2023 and ensure credible reporting in the Annual Financial Statements going forward.</w:t>
      </w:r>
    </w:p>
    <w:p w:rsidR="00C00045" w:rsidRPr="003C1B18" w:rsidRDefault="00C00045" w:rsidP="003C1B18">
      <w:pPr>
        <w:spacing w:after="0" w:line="240" w:lineRule="auto"/>
        <w:jc w:val="left"/>
        <w:rPr>
          <w:rFonts w:ascii="Arial" w:hAnsi="Arial" w:cs="Arial"/>
          <w:sz w:val="20"/>
          <w:szCs w:val="20"/>
        </w:rPr>
      </w:pPr>
      <w:r w:rsidRPr="003C1B18">
        <w:rPr>
          <w:rFonts w:ascii="Arial" w:hAnsi="Arial" w:cs="Arial"/>
          <w:b/>
          <w:bCs/>
          <w:sz w:val="20"/>
          <w:szCs w:val="20"/>
          <w:lang w:val="en-GB"/>
        </w:rPr>
        <w:t xml:space="preserve">Performance Summary as at </w:t>
      </w:r>
      <w:r w:rsidRPr="003C1B18">
        <w:rPr>
          <w:rFonts w:ascii="Arial" w:hAnsi="Arial" w:cs="Arial"/>
          <w:b/>
          <w:bCs/>
          <w:sz w:val="20"/>
          <w:szCs w:val="20"/>
          <w:lang w:val="en-ZA"/>
        </w:rPr>
        <w:t>31 March 2021</w:t>
      </w:r>
    </w:p>
    <w:p w:rsidR="00C00045" w:rsidRPr="003C1B18" w:rsidRDefault="00176797" w:rsidP="003C1B18">
      <w:pPr>
        <w:spacing w:after="0" w:line="240" w:lineRule="auto"/>
        <w:jc w:val="left"/>
        <w:rPr>
          <w:rFonts w:ascii="Arial" w:hAnsi="Arial" w:cs="Arial"/>
          <w:sz w:val="20"/>
          <w:szCs w:val="20"/>
        </w:rPr>
      </w:pPr>
      <w:r w:rsidRPr="003C1B18">
        <w:rPr>
          <w:rFonts w:ascii="Arial" w:hAnsi="Arial" w:cs="Arial"/>
          <w:noProof/>
          <w:sz w:val="20"/>
          <w:szCs w:val="20"/>
        </w:rPr>
        <w:drawing>
          <wp:inline distT="0" distB="0" distL="0" distR="0">
            <wp:extent cx="4498975" cy="2200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8975" cy="2200910"/>
                    </a:xfrm>
                    <a:prstGeom prst="rect">
                      <a:avLst/>
                    </a:prstGeom>
                    <a:noFill/>
                  </pic:spPr>
                </pic:pic>
              </a:graphicData>
            </a:graphic>
          </wp:inline>
        </w:drawing>
      </w:r>
    </w:p>
    <w:p w:rsidR="00F33D23" w:rsidRPr="003C1B18" w:rsidRDefault="00F33D23" w:rsidP="003C1B18">
      <w:pPr>
        <w:spacing w:after="0" w:line="240" w:lineRule="auto"/>
        <w:jc w:val="left"/>
        <w:rPr>
          <w:rFonts w:ascii="Arial" w:hAnsi="Arial" w:cs="Arial"/>
          <w:sz w:val="20"/>
          <w:szCs w:val="20"/>
        </w:rPr>
      </w:pPr>
      <w:r w:rsidRPr="003C1B18">
        <w:rPr>
          <w:rFonts w:ascii="Arial" w:hAnsi="Arial" w:cs="Arial"/>
          <w:b/>
          <w:bCs/>
          <w:sz w:val="20"/>
          <w:szCs w:val="20"/>
          <w:lang w:val="en-ZA"/>
        </w:rPr>
        <w:t>Key Challenges:</w:t>
      </w:r>
    </w:p>
    <w:p w:rsidR="006A4729" w:rsidRPr="003C1B18" w:rsidRDefault="0040176A" w:rsidP="003C1B18">
      <w:pPr>
        <w:numPr>
          <w:ilvl w:val="0"/>
          <w:numId w:val="6"/>
        </w:numPr>
        <w:spacing w:after="0" w:line="240" w:lineRule="auto"/>
        <w:jc w:val="left"/>
        <w:rPr>
          <w:rFonts w:ascii="Arial" w:hAnsi="Arial" w:cs="Arial"/>
          <w:sz w:val="20"/>
          <w:szCs w:val="20"/>
        </w:rPr>
      </w:pPr>
      <w:r w:rsidRPr="003C1B18">
        <w:rPr>
          <w:rFonts w:ascii="Arial" w:hAnsi="Arial" w:cs="Arial"/>
          <w:sz w:val="20"/>
          <w:szCs w:val="20"/>
          <w:lang w:val="en-ZA"/>
        </w:rPr>
        <w:t xml:space="preserve">The 2020/21 financial year was a difficult trading period across the markets due Covid-19 pandemic. The restrictions and lockdown </w:t>
      </w:r>
      <w:r w:rsidR="00DA5602" w:rsidRPr="003C1B18">
        <w:rPr>
          <w:rFonts w:ascii="Arial" w:hAnsi="Arial" w:cs="Arial"/>
          <w:sz w:val="20"/>
          <w:szCs w:val="20"/>
          <w:lang w:val="en-ZA"/>
        </w:rPr>
        <w:t>significantly impacted</w:t>
      </w:r>
      <w:r w:rsidRPr="003C1B18">
        <w:rPr>
          <w:rFonts w:ascii="Arial" w:hAnsi="Arial" w:cs="Arial"/>
          <w:sz w:val="20"/>
          <w:szCs w:val="20"/>
          <w:lang w:val="en-ZA"/>
        </w:rPr>
        <w:t xml:space="preserve"> the bank’s overall performance and revenues.</w:t>
      </w:r>
    </w:p>
    <w:p w:rsidR="00F33D23" w:rsidRPr="003C1B18" w:rsidRDefault="00F33D23" w:rsidP="003C1B18">
      <w:pPr>
        <w:pStyle w:val="ListParagraph"/>
        <w:numPr>
          <w:ilvl w:val="0"/>
          <w:numId w:val="6"/>
        </w:numPr>
        <w:spacing w:after="0" w:line="240" w:lineRule="auto"/>
        <w:jc w:val="left"/>
        <w:rPr>
          <w:rFonts w:ascii="Arial" w:hAnsi="Arial" w:cs="Arial"/>
          <w:sz w:val="20"/>
          <w:szCs w:val="20"/>
        </w:rPr>
      </w:pPr>
      <w:r w:rsidRPr="003C1B18">
        <w:rPr>
          <w:rFonts w:ascii="Arial" w:hAnsi="Arial" w:cs="Arial"/>
          <w:sz w:val="20"/>
          <w:szCs w:val="20"/>
          <w:lang w:val="en-ZA"/>
        </w:rPr>
        <w:t>High vacancies and instability at the leadership position impacted the execution of the strategy.</w:t>
      </w:r>
    </w:p>
    <w:p w:rsidR="00746A1E" w:rsidRPr="003C1B18" w:rsidRDefault="00746A1E" w:rsidP="003C1B18">
      <w:pPr>
        <w:spacing w:after="0" w:line="240" w:lineRule="auto"/>
        <w:jc w:val="left"/>
        <w:rPr>
          <w:rFonts w:ascii="Arial" w:hAnsi="Arial" w:cs="Arial"/>
          <w:sz w:val="20"/>
          <w:szCs w:val="20"/>
        </w:rPr>
      </w:pPr>
    </w:p>
    <w:p w:rsidR="00F33D23" w:rsidRPr="003C1B18" w:rsidRDefault="00F33D23" w:rsidP="003C1B18">
      <w:pPr>
        <w:spacing w:after="0" w:line="240" w:lineRule="auto"/>
        <w:jc w:val="left"/>
        <w:rPr>
          <w:rFonts w:ascii="Arial" w:hAnsi="Arial" w:cs="Arial"/>
          <w:b/>
          <w:sz w:val="20"/>
          <w:szCs w:val="20"/>
        </w:rPr>
      </w:pPr>
      <w:r w:rsidRPr="003C1B18">
        <w:rPr>
          <w:rFonts w:ascii="Arial" w:hAnsi="Arial" w:cs="Arial"/>
          <w:b/>
          <w:sz w:val="20"/>
          <w:szCs w:val="20"/>
        </w:rPr>
        <w:t>Operational Highlights: 2020/21</w:t>
      </w:r>
    </w:p>
    <w:p w:rsidR="005576C0"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rPr>
        <w:t xml:space="preserve">The </w:t>
      </w:r>
      <w:r w:rsidR="00F33D23" w:rsidRPr="003C1B18">
        <w:rPr>
          <w:rFonts w:ascii="Arial" w:hAnsi="Arial" w:cs="Arial"/>
          <w:sz w:val="20"/>
          <w:szCs w:val="20"/>
        </w:rPr>
        <w:t xml:space="preserve">Postbank holds 19.8 million (2019/20: 19.7 million) individual and group savings accounts, </w:t>
      </w:r>
      <w:r w:rsidR="00DA5602" w:rsidRPr="003C1B18">
        <w:rPr>
          <w:rFonts w:ascii="Arial" w:hAnsi="Arial" w:cs="Arial"/>
          <w:sz w:val="20"/>
          <w:szCs w:val="20"/>
        </w:rPr>
        <w:t xml:space="preserve">with </w:t>
      </w:r>
      <w:r w:rsidR="00F33D23" w:rsidRPr="003C1B18">
        <w:rPr>
          <w:rFonts w:ascii="Arial" w:hAnsi="Arial" w:cs="Arial"/>
          <w:sz w:val="20"/>
          <w:szCs w:val="20"/>
        </w:rPr>
        <w:t>grant accounts making up a significant number.</w:t>
      </w:r>
      <w:r w:rsidRPr="003C1B18">
        <w:rPr>
          <w:rFonts w:ascii="Arial" w:hAnsi="Arial" w:cs="Arial"/>
          <w:sz w:val="20"/>
          <w:szCs w:val="20"/>
        </w:rPr>
        <w:t xml:space="preserve"> </w:t>
      </w:r>
      <w:r w:rsidR="005553F2" w:rsidRPr="003C1B18">
        <w:rPr>
          <w:rFonts w:ascii="Arial" w:hAnsi="Arial" w:cs="Arial"/>
          <w:sz w:val="20"/>
          <w:szCs w:val="20"/>
        </w:rPr>
        <w:t>The SARB designates Postbank</w:t>
      </w:r>
      <w:r w:rsidR="00F33D23" w:rsidRPr="003C1B18">
        <w:rPr>
          <w:rFonts w:ascii="Arial" w:hAnsi="Arial" w:cs="Arial"/>
          <w:sz w:val="20"/>
          <w:szCs w:val="20"/>
        </w:rPr>
        <w:t xml:space="preserve"> as a clearing system participant in terms of Section 6(3)(a) of the NPS Act.</w:t>
      </w:r>
      <w:r w:rsidRPr="003C1B18">
        <w:rPr>
          <w:rFonts w:ascii="Arial" w:hAnsi="Arial" w:cs="Arial"/>
          <w:sz w:val="20"/>
          <w:szCs w:val="20"/>
        </w:rPr>
        <w:t xml:space="preserve"> The </w:t>
      </w:r>
      <w:r w:rsidR="00F33D23" w:rsidRPr="003C1B18">
        <w:rPr>
          <w:rFonts w:ascii="Arial" w:hAnsi="Arial" w:cs="Arial"/>
          <w:sz w:val="20"/>
          <w:szCs w:val="20"/>
        </w:rPr>
        <w:t xml:space="preserve">Banks Act Amendments promulgated enabling Postbank to start the process of finalising the incorporation of </w:t>
      </w:r>
      <w:r w:rsidR="005553F2" w:rsidRPr="003C1B18">
        <w:rPr>
          <w:rFonts w:ascii="Arial" w:hAnsi="Arial" w:cs="Arial"/>
          <w:sz w:val="20"/>
          <w:szCs w:val="20"/>
        </w:rPr>
        <w:t xml:space="preserve">a </w:t>
      </w:r>
      <w:r w:rsidR="00F33D23" w:rsidRPr="003C1B18">
        <w:rPr>
          <w:rFonts w:ascii="Arial" w:hAnsi="Arial" w:cs="Arial"/>
          <w:sz w:val="20"/>
          <w:szCs w:val="20"/>
        </w:rPr>
        <w:t>Bank Controlling Company.</w:t>
      </w:r>
      <w:r w:rsidRPr="003C1B18">
        <w:rPr>
          <w:rFonts w:ascii="Arial" w:hAnsi="Arial" w:cs="Arial"/>
          <w:sz w:val="20"/>
          <w:szCs w:val="20"/>
        </w:rPr>
        <w:t xml:space="preserve"> The entity </w:t>
      </w:r>
      <w:r w:rsidRPr="003C1B18">
        <w:rPr>
          <w:rFonts w:ascii="Arial" w:hAnsi="Arial" w:cs="Arial"/>
          <w:sz w:val="20"/>
          <w:szCs w:val="20"/>
        </w:rPr>
        <w:lastRenderedPageBreak/>
        <w:t>a</w:t>
      </w:r>
      <w:r w:rsidR="00F33D23" w:rsidRPr="003C1B18">
        <w:rPr>
          <w:rFonts w:ascii="Arial" w:hAnsi="Arial" w:cs="Arial"/>
          <w:sz w:val="20"/>
          <w:szCs w:val="20"/>
        </w:rPr>
        <w:t>warded the SRD grants business and</w:t>
      </w:r>
      <w:r w:rsidR="005553F2" w:rsidRPr="003C1B18">
        <w:rPr>
          <w:rFonts w:ascii="Arial" w:hAnsi="Arial" w:cs="Arial"/>
          <w:sz w:val="20"/>
          <w:szCs w:val="20"/>
        </w:rPr>
        <w:t xml:space="preserve"> paid R13.33 billion to 5.2 million SRD grant beneficiaries for the period under review</w:t>
      </w:r>
      <w:r w:rsidR="00F33D23" w:rsidRPr="003C1B18">
        <w:rPr>
          <w:rFonts w:ascii="Arial" w:hAnsi="Arial" w:cs="Arial"/>
          <w:sz w:val="20"/>
          <w:szCs w:val="20"/>
        </w:rPr>
        <w:t>.</w:t>
      </w:r>
    </w:p>
    <w:p w:rsidR="00EB3EDE" w:rsidRPr="003C1B18" w:rsidRDefault="00EB3EDE" w:rsidP="003C1B18">
      <w:pPr>
        <w:spacing w:after="0" w:line="240" w:lineRule="auto"/>
        <w:jc w:val="left"/>
        <w:rPr>
          <w:rFonts w:ascii="Arial" w:hAnsi="Arial" w:cs="Arial"/>
          <w:sz w:val="20"/>
          <w:szCs w:val="20"/>
        </w:rPr>
      </w:pPr>
    </w:p>
    <w:p w:rsidR="00F33D23" w:rsidRPr="003C1B18" w:rsidRDefault="00F33D23" w:rsidP="003C1B18">
      <w:pPr>
        <w:spacing w:after="0" w:line="240" w:lineRule="auto"/>
        <w:jc w:val="left"/>
        <w:rPr>
          <w:rFonts w:ascii="Arial" w:hAnsi="Arial" w:cs="Arial"/>
          <w:b/>
          <w:bCs/>
          <w:sz w:val="20"/>
          <w:szCs w:val="20"/>
          <w:lang w:val="en-ZA"/>
        </w:rPr>
      </w:pPr>
      <w:r w:rsidRPr="003C1B18">
        <w:rPr>
          <w:rFonts w:ascii="Arial" w:hAnsi="Arial" w:cs="Arial"/>
          <w:b/>
          <w:bCs/>
          <w:sz w:val="20"/>
          <w:szCs w:val="20"/>
          <w:lang w:val="en-ZA"/>
        </w:rPr>
        <w:t>Key Financial Highlights:</w:t>
      </w:r>
      <w:r w:rsidRPr="003C1B18">
        <w:rPr>
          <w:rFonts w:ascii="Arial" w:hAnsi="Arial" w:cs="Arial"/>
          <w:b/>
          <w:sz w:val="20"/>
          <w:szCs w:val="20"/>
        </w:rPr>
        <w:t xml:space="preserve"> 2020/21</w:t>
      </w:r>
    </w:p>
    <w:p w:rsidR="00E624E3" w:rsidRPr="003C1B18" w:rsidRDefault="00B06D3B" w:rsidP="003C1B18">
      <w:pPr>
        <w:spacing w:after="0" w:line="240" w:lineRule="auto"/>
        <w:jc w:val="left"/>
        <w:rPr>
          <w:rFonts w:ascii="Arial" w:hAnsi="Arial" w:cs="Arial"/>
          <w:sz w:val="20"/>
          <w:szCs w:val="20"/>
        </w:rPr>
      </w:pPr>
      <w:r w:rsidRPr="003C1B18">
        <w:rPr>
          <w:rFonts w:ascii="Arial" w:hAnsi="Arial" w:cs="Arial"/>
          <w:sz w:val="20"/>
          <w:szCs w:val="20"/>
        </w:rPr>
        <w:t xml:space="preserve">The </w:t>
      </w:r>
      <w:r w:rsidR="00E624E3" w:rsidRPr="003C1B18">
        <w:rPr>
          <w:rFonts w:ascii="Arial" w:hAnsi="Arial" w:cs="Arial"/>
          <w:sz w:val="20"/>
          <w:szCs w:val="20"/>
        </w:rPr>
        <w:t>Postbank present</w:t>
      </w:r>
      <w:r w:rsidRPr="003C1B18">
        <w:rPr>
          <w:rFonts w:ascii="Arial" w:hAnsi="Arial" w:cs="Arial"/>
          <w:sz w:val="20"/>
          <w:szCs w:val="20"/>
        </w:rPr>
        <w:t>ed</w:t>
      </w:r>
      <w:r w:rsidR="00E624E3" w:rsidRPr="003C1B18">
        <w:rPr>
          <w:rFonts w:ascii="Arial" w:hAnsi="Arial" w:cs="Arial"/>
          <w:sz w:val="20"/>
          <w:szCs w:val="20"/>
        </w:rPr>
        <w:t xml:space="preserve"> </w:t>
      </w:r>
      <w:r w:rsidRPr="003C1B18">
        <w:rPr>
          <w:rFonts w:ascii="Arial" w:hAnsi="Arial" w:cs="Arial"/>
          <w:sz w:val="20"/>
          <w:szCs w:val="20"/>
        </w:rPr>
        <w:t xml:space="preserve">their </w:t>
      </w:r>
      <w:r w:rsidR="00E624E3" w:rsidRPr="003C1B18">
        <w:rPr>
          <w:rFonts w:ascii="Arial" w:hAnsi="Arial" w:cs="Arial"/>
          <w:sz w:val="20"/>
          <w:szCs w:val="20"/>
        </w:rPr>
        <w:t>financial results on the back of the Covid-19 pandemic, which left a distraction</w:t>
      </w:r>
      <w:r w:rsidR="00A070E6" w:rsidRPr="003C1B18">
        <w:rPr>
          <w:rFonts w:ascii="Arial" w:hAnsi="Arial" w:cs="Arial"/>
          <w:sz w:val="20"/>
          <w:szCs w:val="20"/>
        </w:rPr>
        <w:t xml:space="preserve"> </w:t>
      </w:r>
      <w:r w:rsidR="00E624E3" w:rsidRPr="003C1B18">
        <w:rPr>
          <w:rFonts w:ascii="Arial" w:hAnsi="Arial" w:cs="Arial"/>
          <w:sz w:val="20"/>
          <w:szCs w:val="20"/>
        </w:rPr>
        <w:t>and major onslaught on our economy and</w:t>
      </w:r>
      <w:r w:rsidR="005553F2" w:rsidRPr="003C1B18">
        <w:rPr>
          <w:rFonts w:ascii="Arial" w:hAnsi="Arial" w:cs="Arial"/>
          <w:sz w:val="20"/>
          <w:szCs w:val="20"/>
        </w:rPr>
        <w:t>,</w:t>
      </w:r>
      <w:r w:rsidR="00E624E3" w:rsidRPr="003C1B18">
        <w:rPr>
          <w:rFonts w:ascii="Arial" w:hAnsi="Arial" w:cs="Arial"/>
          <w:sz w:val="20"/>
          <w:szCs w:val="20"/>
        </w:rPr>
        <w:t xml:space="preserve"> most importantly</w:t>
      </w:r>
      <w:r w:rsidR="005553F2" w:rsidRPr="003C1B18">
        <w:rPr>
          <w:rFonts w:ascii="Arial" w:hAnsi="Arial" w:cs="Arial"/>
          <w:sz w:val="20"/>
          <w:szCs w:val="20"/>
        </w:rPr>
        <w:t>,</w:t>
      </w:r>
      <w:r w:rsidR="00E624E3" w:rsidRPr="003C1B18">
        <w:rPr>
          <w:rFonts w:ascii="Arial" w:hAnsi="Arial" w:cs="Arial"/>
          <w:sz w:val="20"/>
          <w:szCs w:val="20"/>
        </w:rPr>
        <w:t xml:space="preserve"> our customers. Besides its negative impacts on economic activities, </w:t>
      </w:r>
      <w:r w:rsidR="005553F2" w:rsidRPr="003C1B18">
        <w:rPr>
          <w:rFonts w:ascii="Arial" w:hAnsi="Arial" w:cs="Arial"/>
          <w:sz w:val="20"/>
          <w:szCs w:val="20"/>
        </w:rPr>
        <w:t xml:space="preserve">the </w:t>
      </w:r>
      <w:r w:rsidR="00E624E3" w:rsidRPr="003C1B18">
        <w:rPr>
          <w:rFonts w:ascii="Arial" w:hAnsi="Arial" w:cs="Arial"/>
          <w:sz w:val="20"/>
          <w:szCs w:val="20"/>
        </w:rPr>
        <w:t xml:space="preserve">Covid-19 pandemic caused harm to the South African </w:t>
      </w:r>
      <w:r w:rsidR="00A070E6" w:rsidRPr="003C1B18">
        <w:rPr>
          <w:rFonts w:ascii="Arial" w:hAnsi="Arial" w:cs="Arial"/>
          <w:sz w:val="20"/>
          <w:szCs w:val="20"/>
        </w:rPr>
        <w:t>economy</w:t>
      </w:r>
      <w:r w:rsidR="00E624E3" w:rsidRPr="003C1B18">
        <w:rPr>
          <w:rFonts w:ascii="Arial" w:hAnsi="Arial" w:cs="Arial"/>
          <w:sz w:val="20"/>
          <w:szCs w:val="20"/>
        </w:rPr>
        <w:t xml:space="preserve"> in various ways, closure of businesses, massive damage to tourism and the hospitality sector and a significant number of job losses.</w:t>
      </w:r>
    </w:p>
    <w:p w:rsidR="00A070E6" w:rsidRPr="003C1B18" w:rsidRDefault="00E624E3" w:rsidP="003C1B18">
      <w:pPr>
        <w:spacing w:after="0" w:line="240" w:lineRule="auto"/>
        <w:jc w:val="left"/>
        <w:rPr>
          <w:rFonts w:ascii="Arial" w:hAnsi="Arial" w:cs="Arial"/>
          <w:sz w:val="20"/>
          <w:szCs w:val="20"/>
        </w:rPr>
      </w:pPr>
      <w:r w:rsidRPr="003C1B18">
        <w:rPr>
          <w:rFonts w:ascii="Arial" w:hAnsi="Arial" w:cs="Arial"/>
          <w:sz w:val="20"/>
          <w:szCs w:val="20"/>
        </w:rPr>
        <w:t xml:space="preserve">The financial results as at 31 March 2021 are reflective of the challenging operating environment that Postbank has experienced. The </w:t>
      </w:r>
      <w:r w:rsidR="00B06D3B" w:rsidRPr="003C1B18">
        <w:rPr>
          <w:rFonts w:ascii="Arial" w:hAnsi="Arial" w:cs="Arial"/>
          <w:sz w:val="20"/>
          <w:szCs w:val="20"/>
        </w:rPr>
        <w:t>B</w:t>
      </w:r>
      <w:r w:rsidRPr="003C1B18">
        <w:rPr>
          <w:rFonts w:ascii="Arial" w:hAnsi="Arial" w:cs="Arial"/>
          <w:sz w:val="20"/>
          <w:szCs w:val="20"/>
        </w:rPr>
        <w:t xml:space="preserve">ank’s revenue declined from R2.2 billion as at 31 March 2020 to R2.09 billion in the period under review. This was mainly </w:t>
      </w:r>
      <w:r w:rsidR="005553F2" w:rsidRPr="003C1B18">
        <w:rPr>
          <w:rFonts w:ascii="Arial" w:hAnsi="Arial" w:cs="Arial"/>
          <w:sz w:val="20"/>
          <w:szCs w:val="20"/>
        </w:rPr>
        <w:t>due to</w:t>
      </w:r>
      <w:r w:rsidRPr="003C1B18">
        <w:rPr>
          <w:rFonts w:ascii="Arial" w:hAnsi="Arial" w:cs="Arial"/>
          <w:sz w:val="20"/>
          <w:szCs w:val="20"/>
        </w:rPr>
        <w:t xml:space="preserve"> expected credit losses which increased from R521 million to R798 million. </w:t>
      </w:r>
    </w:p>
    <w:p w:rsidR="00E624E3" w:rsidRPr="003C1B18" w:rsidRDefault="00E624E3" w:rsidP="003C1B18">
      <w:pPr>
        <w:spacing w:after="0" w:line="240" w:lineRule="auto"/>
        <w:jc w:val="left"/>
        <w:rPr>
          <w:rFonts w:ascii="Arial" w:hAnsi="Arial" w:cs="Arial"/>
          <w:sz w:val="20"/>
          <w:szCs w:val="20"/>
        </w:rPr>
      </w:pPr>
      <w:r w:rsidRPr="003C1B18">
        <w:rPr>
          <w:rFonts w:ascii="Arial" w:hAnsi="Arial" w:cs="Arial"/>
          <w:sz w:val="20"/>
          <w:szCs w:val="20"/>
        </w:rPr>
        <w:t>The impairment charge for the period under review was significantly high</w:t>
      </w:r>
      <w:r w:rsidR="005553F2" w:rsidRPr="003C1B18">
        <w:rPr>
          <w:rFonts w:ascii="Arial" w:hAnsi="Arial" w:cs="Arial"/>
          <w:sz w:val="20"/>
          <w:szCs w:val="20"/>
        </w:rPr>
        <w:t>,</w:t>
      </w:r>
      <w:r w:rsidRPr="003C1B18">
        <w:rPr>
          <w:rFonts w:ascii="Arial" w:hAnsi="Arial" w:cs="Arial"/>
          <w:sz w:val="20"/>
          <w:szCs w:val="20"/>
        </w:rPr>
        <w:t xml:space="preserve"> primarily due to the increase in credit risk on some of our investments </w:t>
      </w:r>
      <w:r w:rsidR="005553F2" w:rsidRPr="003C1B18">
        <w:rPr>
          <w:rFonts w:ascii="Arial" w:hAnsi="Arial" w:cs="Arial"/>
          <w:sz w:val="20"/>
          <w:szCs w:val="20"/>
        </w:rPr>
        <w:t>and</w:t>
      </w:r>
      <w:r w:rsidRPr="003C1B18">
        <w:rPr>
          <w:rFonts w:ascii="Arial" w:hAnsi="Arial" w:cs="Arial"/>
          <w:sz w:val="20"/>
          <w:szCs w:val="20"/>
        </w:rPr>
        <w:t xml:space="preserve"> the adjusted overlay for the Covid-19 pandemic impact. The </w:t>
      </w:r>
      <w:r w:rsidR="00721B01" w:rsidRPr="003C1B18">
        <w:rPr>
          <w:rFonts w:ascii="Arial" w:hAnsi="Arial" w:cs="Arial"/>
          <w:sz w:val="20"/>
          <w:szCs w:val="20"/>
        </w:rPr>
        <w:t>Net Interest Income (</w:t>
      </w:r>
      <w:r w:rsidRPr="003C1B18">
        <w:rPr>
          <w:rFonts w:ascii="Arial" w:hAnsi="Arial" w:cs="Arial"/>
          <w:sz w:val="20"/>
          <w:szCs w:val="20"/>
        </w:rPr>
        <w:t>NII</w:t>
      </w:r>
      <w:r w:rsidR="00721B01" w:rsidRPr="003C1B18">
        <w:rPr>
          <w:rFonts w:ascii="Arial" w:hAnsi="Arial" w:cs="Arial"/>
          <w:sz w:val="20"/>
          <w:szCs w:val="20"/>
        </w:rPr>
        <w:t>)</w:t>
      </w:r>
      <w:r w:rsidRPr="003C1B18">
        <w:rPr>
          <w:rFonts w:ascii="Arial" w:hAnsi="Arial" w:cs="Arial"/>
          <w:sz w:val="20"/>
          <w:szCs w:val="20"/>
        </w:rPr>
        <w:t xml:space="preserve"> declined from R555 million in the prior year to R406 million as at 31 March 2021 as a result of </w:t>
      </w:r>
      <w:r w:rsidR="005553F2" w:rsidRPr="003C1B18">
        <w:rPr>
          <w:rFonts w:ascii="Arial" w:hAnsi="Arial" w:cs="Arial"/>
          <w:sz w:val="20"/>
          <w:szCs w:val="20"/>
        </w:rPr>
        <w:t xml:space="preserve">the </w:t>
      </w:r>
      <w:r w:rsidRPr="003C1B18">
        <w:rPr>
          <w:rFonts w:ascii="Arial" w:hAnsi="Arial" w:cs="Arial"/>
          <w:sz w:val="20"/>
          <w:szCs w:val="20"/>
        </w:rPr>
        <w:t>decline in interest rates.</w:t>
      </w:r>
    </w:p>
    <w:p w:rsidR="00E624E3" w:rsidRPr="003C1B18" w:rsidRDefault="00E624E3" w:rsidP="003C1B18">
      <w:pPr>
        <w:spacing w:after="0" w:line="240" w:lineRule="auto"/>
        <w:jc w:val="left"/>
        <w:rPr>
          <w:rFonts w:ascii="Arial" w:hAnsi="Arial" w:cs="Arial"/>
          <w:sz w:val="20"/>
          <w:szCs w:val="20"/>
        </w:rPr>
      </w:pPr>
      <w:r w:rsidRPr="003C1B18">
        <w:rPr>
          <w:rFonts w:ascii="Arial" w:hAnsi="Arial" w:cs="Arial"/>
          <w:sz w:val="20"/>
          <w:szCs w:val="20"/>
        </w:rPr>
        <w:t xml:space="preserve">The bank generates its revenue mainly from two </w:t>
      </w:r>
      <w:r w:rsidR="005553F2" w:rsidRPr="003C1B18">
        <w:rPr>
          <w:rFonts w:ascii="Arial" w:hAnsi="Arial" w:cs="Arial"/>
          <w:sz w:val="20"/>
          <w:szCs w:val="20"/>
        </w:rPr>
        <w:t>income sources:</w:t>
      </w:r>
      <w:r w:rsidRPr="003C1B18">
        <w:rPr>
          <w:rFonts w:ascii="Arial" w:hAnsi="Arial" w:cs="Arial"/>
          <w:sz w:val="20"/>
          <w:szCs w:val="20"/>
        </w:rPr>
        <w:t xml:space="preserve"> the NII and </w:t>
      </w:r>
      <w:r w:rsidR="005553F2" w:rsidRPr="003C1B18">
        <w:rPr>
          <w:rFonts w:ascii="Arial" w:hAnsi="Arial" w:cs="Arial"/>
          <w:sz w:val="20"/>
          <w:szCs w:val="20"/>
        </w:rPr>
        <w:t>Non-Interest</w:t>
      </w:r>
      <w:r w:rsidRPr="003C1B18">
        <w:rPr>
          <w:rFonts w:ascii="Arial" w:hAnsi="Arial" w:cs="Arial"/>
          <w:sz w:val="20"/>
          <w:szCs w:val="20"/>
        </w:rPr>
        <w:t xml:space="preserve"> Revenue (NIR). During</w:t>
      </w:r>
      <w:r w:rsidR="00721B01" w:rsidRPr="003C1B18">
        <w:rPr>
          <w:rFonts w:ascii="Arial" w:hAnsi="Arial" w:cs="Arial"/>
          <w:sz w:val="20"/>
          <w:szCs w:val="20"/>
        </w:rPr>
        <w:t xml:space="preserve"> the year ending 31 March 2021, the </w:t>
      </w:r>
      <w:r w:rsidRPr="003C1B18">
        <w:rPr>
          <w:rFonts w:ascii="Arial" w:hAnsi="Arial" w:cs="Arial"/>
          <w:sz w:val="20"/>
          <w:szCs w:val="20"/>
        </w:rPr>
        <w:t>NIR contributed 80</w:t>
      </w:r>
      <w:r w:rsidR="005553F2" w:rsidRPr="003C1B18">
        <w:rPr>
          <w:rFonts w:ascii="Arial" w:hAnsi="Arial" w:cs="Arial"/>
          <w:sz w:val="20"/>
          <w:szCs w:val="20"/>
        </w:rPr>
        <w:t>%</w:t>
      </w:r>
      <w:r w:rsidRPr="003C1B18">
        <w:rPr>
          <w:rFonts w:ascii="Arial" w:hAnsi="Arial" w:cs="Arial"/>
          <w:sz w:val="20"/>
          <w:szCs w:val="20"/>
        </w:rPr>
        <w:t xml:space="preserve"> (70%: 31 March 2020) of total revenue whilst Net Interest Income</w:t>
      </w:r>
      <w:r w:rsidR="00A72C39" w:rsidRPr="003C1B18">
        <w:rPr>
          <w:rFonts w:ascii="Arial" w:hAnsi="Arial" w:cs="Arial"/>
          <w:sz w:val="20"/>
          <w:szCs w:val="20"/>
        </w:rPr>
        <w:t>.</w:t>
      </w:r>
    </w:p>
    <w:p w:rsidR="005576C0" w:rsidRPr="003C1B18" w:rsidRDefault="00721B01" w:rsidP="003C1B18">
      <w:pPr>
        <w:spacing w:after="0" w:line="240" w:lineRule="auto"/>
        <w:jc w:val="left"/>
        <w:rPr>
          <w:rFonts w:ascii="Arial" w:hAnsi="Arial" w:cs="Arial"/>
          <w:sz w:val="20"/>
          <w:szCs w:val="20"/>
        </w:rPr>
      </w:pPr>
      <w:r w:rsidRPr="003C1B18">
        <w:rPr>
          <w:rFonts w:ascii="Arial" w:hAnsi="Arial" w:cs="Arial"/>
          <w:sz w:val="20"/>
          <w:szCs w:val="20"/>
        </w:rPr>
        <w:t xml:space="preserve">The </w:t>
      </w:r>
      <w:r w:rsidR="00E624E3" w:rsidRPr="003C1B18">
        <w:rPr>
          <w:rFonts w:ascii="Arial" w:hAnsi="Arial" w:cs="Arial"/>
          <w:sz w:val="20"/>
          <w:szCs w:val="20"/>
        </w:rPr>
        <w:t xml:space="preserve">NII accounted </w:t>
      </w:r>
      <w:r w:rsidR="005553F2" w:rsidRPr="003C1B18">
        <w:rPr>
          <w:rFonts w:ascii="Arial" w:hAnsi="Arial" w:cs="Arial"/>
          <w:sz w:val="20"/>
          <w:szCs w:val="20"/>
        </w:rPr>
        <w:t xml:space="preserve">for </w:t>
      </w:r>
      <w:r w:rsidR="00E624E3" w:rsidRPr="003C1B18">
        <w:rPr>
          <w:rFonts w:ascii="Arial" w:hAnsi="Arial" w:cs="Arial"/>
          <w:sz w:val="20"/>
          <w:szCs w:val="20"/>
        </w:rPr>
        <w:t>only 20</w:t>
      </w:r>
      <w:r w:rsidR="00A070E6" w:rsidRPr="003C1B18">
        <w:rPr>
          <w:rFonts w:ascii="Arial" w:hAnsi="Arial" w:cs="Arial"/>
          <w:sz w:val="20"/>
          <w:szCs w:val="20"/>
        </w:rPr>
        <w:t xml:space="preserve"> </w:t>
      </w:r>
      <w:r w:rsidR="005553F2" w:rsidRPr="003C1B18">
        <w:rPr>
          <w:rFonts w:ascii="Arial" w:hAnsi="Arial" w:cs="Arial"/>
          <w:sz w:val="20"/>
          <w:szCs w:val="20"/>
        </w:rPr>
        <w:t>per cent</w:t>
      </w:r>
      <w:r w:rsidR="004E2528" w:rsidRPr="003C1B18">
        <w:rPr>
          <w:rFonts w:ascii="Arial" w:hAnsi="Arial" w:cs="Arial"/>
          <w:sz w:val="20"/>
          <w:szCs w:val="20"/>
        </w:rPr>
        <w:t xml:space="preserve"> (</w:t>
      </w:r>
      <w:r w:rsidR="00E624E3" w:rsidRPr="003C1B18">
        <w:rPr>
          <w:rFonts w:ascii="Arial" w:hAnsi="Arial" w:cs="Arial"/>
          <w:sz w:val="20"/>
          <w:szCs w:val="20"/>
        </w:rPr>
        <w:t>25%: 31 March 2020) of</w:t>
      </w:r>
      <w:r w:rsidR="00A070E6" w:rsidRPr="003C1B18">
        <w:rPr>
          <w:rFonts w:ascii="Arial" w:hAnsi="Arial" w:cs="Arial"/>
          <w:sz w:val="20"/>
          <w:szCs w:val="20"/>
        </w:rPr>
        <w:t xml:space="preserve"> </w:t>
      </w:r>
      <w:r w:rsidR="00E624E3" w:rsidRPr="003C1B18">
        <w:rPr>
          <w:rFonts w:ascii="Arial" w:hAnsi="Arial" w:cs="Arial"/>
          <w:sz w:val="20"/>
          <w:szCs w:val="20"/>
        </w:rPr>
        <w:t>total revenue. Diversifying the bank’s revenue sources</w:t>
      </w:r>
      <w:r w:rsidR="00A070E6" w:rsidRPr="003C1B18">
        <w:rPr>
          <w:rFonts w:ascii="Arial" w:hAnsi="Arial" w:cs="Arial"/>
          <w:sz w:val="20"/>
          <w:szCs w:val="20"/>
        </w:rPr>
        <w:t xml:space="preserve"> </w:t>
      </w:r>
      <w:r w:rsidR="00E624E3" w:rsidRPr="003C1B18">
        <w:rPr>
          <w:rFonts w:ascii="Arial" w:hAnsi="Arial" w:cs="Arial"/>
          <w:sz w:val="20"/>
          <w:szCs w:val="20"/>
        </w:rPr>
        <w:t xml:space="preserve">is part of </w:t>
      </w:r>
      <w:r w:rsidRPr="003C1B18">
        <w:rPr>
          <w:rFonts w:ascii="Arial" w:hAnsi="Arial" w:cs="Arial"/>
          <w:sz w:val="20"/>
          <w:szCs w:val="20"/>
        </w:rPr>
        <w:t xml:space="preserve">their </w:t>
      </w:r>
      <w:r w:rsidR="00E624E3" w:rsidRPr="003C1B18">
        <w:rPr>
          <w:rFonts w:ascii="Arial" w:hAnsi="Arial" w:cs="Arial"/>
          <w:sz w:val="20"/>
          <w:szCs w:val="20"/>
        </w:rPr>
        <w:t xml:space="preserve">management focus in the </w:t>
      </w:r>
      <w:r w:rsidR="005553F2" w:rsidRPr="003C1B18">
        <w:rPr>
          <w:rFonts w:ascii="Arial" w:hAnsi="Arial" w:cs="Arial"/>
          <w:sz w:val="20"/>
          <w:szCs w:val="20"/>
        </w:rPr>
        <w:t>short-to-medium</w:t>
      </w:r>
      <w:r w:rsidR="00A070E6" w:rsidRPr="003C1B18">
        <w:rPr>
          <w:rFonts w:ascii="Arial" w:hAnsi="Arial" w:cs="Arial"/>
          <w:sz w:val="20"/>
          <w:szCs w:val="20"/>
        </w:rPr>
        <w:t xml:space="preserve"> </w:t>
      </w:r>
      <w:r w:rsidR="00E624E3" w:rsidRPr="003C1B18">
        <w:rPr>
          <w:rFonts w:ascii="Arial" w:hAnsi="Arial" w:cs="Arial"/>
          <w:sz w:val="20"/>
          <w:szCs w:val="20"/>
        </w:rPr>
        <w:t>term.</w:t>
      </w:r>
    </w:p>
    <w:p w:rsidR="00A070E6" w:rsidRPr="003C1B18" w:rsidRDefault="00A070E6" w:rsidP="003C1B18">
      <w:pPr>
        <w:spacing w:after="0" w:line="240" w:lineRule="auto"/>
        <w:jc w:val="left"/>
        <w:rPr>
          <w:rFonts w:ascii="Arial" w:hAnsi="Arial" w:cs="Arial"/>
          <w:sz w:val="20"/>
          <w:szCs w:val="20"/>
        </w:rPr>
      </w:pPr>
    </w:p>
    <w:p w:rsidR="00F33D23" w:rsidRPr="003C1B18" w:rsidRDefault="00F33D23" w:rsidP="003C1B18">
      <w:pPr>
        <w:spacing w:after="0" w:line="240" w:lineRule="auto"/>
        <w:jc w:val="left"/>
        <w:rPr>
          <w:rFonts w:ascii="Arial" w:hAnsi="Arial" w:cs="Arial"/>
          <w:b/>
          <w:sz w:val="20"/>
          <w:szCs w:val="20"/>
        </w:rPr>
      </w:pPr>
      <w:r w:rsidRPr="003C1B18">
        <w:rPr>
          <w:rFonts w:ascii="Arial" w:hAnsi="Arial" w:cs="Arial"/>
          <w:b/>
          <w:sz w:val="20"/>
          <w:szCs w:val="20"/>
        </w:rPr>
        <w:t>Auditor-General’s Report: 2020</w:t>
      </w:r>
      <w:r w:rsidR="00D128D7" w:rsidRPr="003C1B18">
        <w:rPr>
          <w:rFonts w:ascii="Arial" w:hAnsi="Arial" w:cs="Arial"/>
          <w:b/>
          <w:sz w:val="20"/>
          <w:szCs w:val="20"/>
        </w:rPr>
        <w:t>/21</w:t>
      </w:r>
    </w:p>
    <w:p w:rsidR="00D128D7" w:rsidRPr="003C1B18" w:rsidRDefault="00D128D7" w:rsidP="003C1B18">
      <w:pPr>
        <w:spacing w:after="0" w:line="240" w:lineRule="auto"/>
        <w:jc w:val="left"/>
        <w:rPr>
          <w:rFonts w:ascii="Arial" w:hAnsi="Arial" w:cs="Arial"/>
          <w:sz w:val="20"/>
          <w:szCs w:val="20"/>
        </w:rPr>
      </w:pPr>
      <w:r w:rsidRPr="003C1B18">
        <w:rPr>
          <w:rFonts w:ascii="Arial" w:hAnsi="Arial" w:cs="Arial"/>
          <w:sz w:val="20"/>
          <w:szCs w:val="20"/>
        </w:rPr>
        <w:t>The Postbank received a</w:t>
      </w:r>
      <w:r w:rsidRPr="003C1B18">
        <w:rPr>
          <w:rFonts w:ascii="Arial" w:hAnsi="Arial" w:cs="Arial"/>
          <w:bCs/>
          <w:sz w:val="20"/>
          <w:szCs w:val="20"/>
          <w:lang w:val="en-ZA"/>
        </w:rPr>
        <w:t xml:space="preserve"> </w:t>
      </w:r>
      <w:r w:rsidRPr="003C1B18">
        <w:rPr>
          <w:rFonts w:ascii="Arial" w:hAnsi="Arial" w:cs="Arial"/>
          <w:b/>
          <w:bCs/>
          <w:sz w:val="20"/>
          <w:szCs w:val="20"/>
          <w:lang w:val="en-ZA"/>
        </w:rPr>
        <w:t>Disclaimer</w:t>
      </w:r>
      <w:r w:rsidRPr="003C1B18">
        <w:rPr>
          <w:rFonts w:ascii="Arial" w:hAnsi="Arial" w:cs="Arial"/>
          <w:bCs/>
          <w:sz w:val="20"/>
          <w:szCs w:val="20"/>
          <w:lang w:val="en-ZA"/>
        </w:rPr>
        <w:t xml:space="preserve"> </w:t>
      </w:r>
      <w:r w:rsidR="00746A1E" w:rsidRPr="003C1B18">
        <w:rPr>
          <w:rFonts w:ascii="Arial" w:hAnsi="Arial" w:cs="Arial"/>
          <w:bCs/>
          <w:sz w:val="20"/>
          <w:szCs w:val="20"/>
          <w:lang w:val="en-ZA"/>
        </w:rPr>
        <w:t xml:space="preserve">audit </w:t>
      </w:r>
      <w:r w:rsidRPr="003C1B18">
        <w:rPr>
          <w:rFonts w:ascii="Arial" w:hAnsi="Arial" w:cs="Arial"/>
          <w:bCs/>
          <w:sz w:val="20"/>
          <w:szCs w:val="20"/>
          <w:lang w:val="en-ZA"/>
        </w:rPr>
        <w:t>opinion</w:t>
      </w:r>
      <w:r w:rsidR="00746A1E" w:rsidRPr="003C1B18">
        <w:rPr>
          <w:rFonts w:ascii="Arial" w:hAnsi="Arial" w:cs="Arial"/>
          <w:bCs/>
          <w:sz w:val="20"/>
          <w:szCs w:val="20"/>
          <w:lang w:val="en-ZA"/>
        </w:rPr>
        <w:t xml:space="preserve"> for the reporting year</w:t>
      </w:r>
      <w:r w:rsidRPr="003C1B18">
        <w:rPr>
          <w:rFonts w:ascii="Arial" w:hAnsi="Arial" w:cs="Arial"/>
          <w:bCs/>
          <w:sz w:val="20"/>
          <w:szCs w:val="20"/>
          <w:lang w:val="en-ZA"/>
        </w:rPr>
        <w:t>.</w:t>
      </w:r>
    </w:p>
    <w:p w:rsidR="005576C0" w:rsidRPr="003C1B18" w:rsidRDefault="00D128D7" w:rsidP="003C1B18">
      <w:pPr>
        <w:spacing w:after="0" w:line="240" w:lineRule="auto"/>
        <w:jc w:val="left"/>
        <w:rPr>
          <w:rFonts w:ascii="Arial" w:hAnsi="Arial" w:cs="Arial"/>
          <w:sz w:val="20"/>
          <w:szCs w:val="20"/>
          <w:lang w:val="en-ZA"/>
        </w:rPr>
      </w:pPr>
      <w:r w:rsidRPr="003C1B18">
        <w:rPr>
          <w:rFonts w:ascii="Arial" w:hAnsi="Arial" w:cs="Arial"/>
          <w:b/>
          <w:bCs/>
          <w:sz w:val="20"/>
          <w:szCs w:val="20"/>
          <w:lang w:val="en-ZA"/>
        </w:rPr>
        <w:t>Other Reserves and Other Deposits (grants)</w:t>
      </w:r>
      <w:r w:rsidRPr="003C1B18">
        <w:rPr>
          <w:rFonts w:ascii="Arial" w:hAnsi="Arial" w:cs="Arial"/>
          <w:sz w:val="20"/>
          <w:szCs w:val="20"/>
          <w:lang w:val="en-ZA"/>
        </w:rPr>
        <w:t xml:space="preserve">:  </w:t>
      </w:r>
      <w:r w:rsidR="00721B01" w:rsidRPr="003C1B18">
        <w:rPr>
          <w:rFonts w:ascii="Arial" w:hAnsi="Arial" w:cs="Arial"/>
          <w:sz w:val="20"/>
          <w:szCs w:val="20"/>
          <w:lang w:val="en-ZA"/>
        </w:rPr>
        <w:t xml:space="preserve">The </w:t>
      </w:r>
      <w:r w:rsidRPr="003C1B18">
        <w:rPr>
          <w:rFonts w:ascii="Arial" w:hAnsi="Arial" w:cs="Arial"/>
          <w:sz w:val="20"/>
          <w:szCs w:val="20"/>
          <w:lang w:val="en-ZA"/>
        </w:rPr>
        <w:t xml:space="preserve">AGSA </w:t>
      </w:r>
      <w:r w:rsidR="005553F2" w:rsidRPr="003C1B18">
        <w:rPr>
          <w:rFonts w:ascii="Arial" w:hAnsi="Arial" w:cs="Arial"/>
          <w:sz w:val="20"/>
          <w:szCs w:val="20"/>
          <w:lang w:val="en-ZA"/>
        </w:rPr>
        <w:t>could not</w:t>
      </w:r>
      <w:r w:rsidRPr="003C1B18">
        <w:rPr>
          <w:rFonts w:ascii="Arial" w:hAnsi="Arial" w:cs="Arial"/>
          <w:sz w:val="20"/>
          <w:szCs w:val="20"/>
          <w:lang w:val="en-ZA"/>
        </w:rPr>
        <w:t xml:space="preserve"> obtain sufficient and appropriate audit evidence that the Other reserves and Other deposits had </w:t>
      </w:r>
      <w:r w:rsidR="005553F2" w:rsidRPr="003C1B18">
        <w:rPr>
          <w:rFonts w:ascii="Arial" w:hAnsi="Arial" w:cs="Arial"/>
          <w:sz w:val="20"/>
          <w:szCs w:val="20"/>
          <w:lang w:val="en-ZA"/>
        </w:rPr>
        <w:t>been adequately</w:t>
      </w:r>
      <w:r w:rsidRPr="003C1B18">
        <w:rPr>
          <w:rFonts w:ascii="Arial" w:hAnsi="Arial" w:cs="Arial"/>
          <w:sz w:val="20"/>
          <w:szCs w:val="20"/>
          <w:lang w:val="en-ZA"/>
        </w:rPr>
        <w:t xml:space="preserve"> accounted for. This </w:t>
      </w:r>
      <w:r w:rsidR="005553F2" w:rsidRPr="003C1B18">
        <w:rPr>
          <w:rFonts w:ascii="Arial" w:hAnsi="Arial" w:cs="Arial"/>
          <w:sz w:val="20"/>
          <w:szCs w:val="20"/>
          <w:lang w:val="en-ZA"/>
        </w:rPr>
        <w:t>resulted from Postbank's inability</w:t>
      </w:r>
      <w:r w:rsidRPr="003C1B18">
        <w:rPr>
          <w:rFonts w:ascii="Arial" w:hAnsi="Arial" w:cs="Arial"/>
          <w:sz w:val="20"/>
          <w:szCs w:val="20"/>
          <w:lang w:val="en-ZA"/>
        </w:rPr>
        <w:t xml:space="preserve"> to reconcile IGPS records to SAP (reporting system). Other reserves were determined after deducting the liability of the </w:t>
      </w:r>
      <w:r w:rsidR="004E2528" w:rsidRPr="003C1B18">
        <w:rPr>
          <w:rFonts w:ascii="Arial" w:hAnsi="Arial" w:cs="Arial"/>
          <w:sz w:val="20"/>
          <w:szCs w:val="20"/>
          <w:lang w:val="en-ZA"/>
        </w:rPr>
        <w:t xml:space="preserve">other </w:t>
      </w:r>
      <w:r w:rsidRPr="003C1B18">
        <w:rPr>
          <w:rFonts w:ascii="Arial" w:hAnsi="Arial" w:cs="Arial"/>
          <w:sz w:val="20"/>
          <w:szCs w:val="20"/>
          <w:lang w:val="en-ZA"/>
        </w:rPr>
        <w:t>deposits (grants) transferred to Postbank from SAPO.</w:t>
      </w:r>
    </w:p>
    <w:p w:rsidR="00D128D7" w:rsidRPr="003C1B18" w:rsidRDefault="00721B01"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The </w:t>
      </w:r>
      <w:r w:rsidR="00D128D7" w:rsidRPr="003C1B18">
        <w:rPr>
          <w:rFonts w:ascii="Arial" w:hAnsi="Arial" w:cs="Arial"/>
          <w:sz w:val="20"/>
          <w:szCs w:val="20"/>
          <w:lang w:val="en-ZA"/>
        </w:rPr>
        <w:t xml:space="preserve">Postbank has developed an Integrated Audit Action Plan: </w:t>
      </w:r>
    </w:p>
    <w:p w:rsidR="00D128D7" w:rsidRPr="003C1B18" w:rsidRDefault="005553F2" w:rsidP="003C1B18">
      <w:pPr>
        <w:numPr>
          <w:ilvl w:val="0"/>
          <w:numId w:val="19"/>
        </w:numPr>
        <w:spacing w:after="0" w:line="240" w:lineRule="auto"/>
        <w:jc w:val="left"/>
        <w:rPr>
          <w:rFonts w:ascii="Arial" w:hAnsi="Arial" w:cs="Arial"/>
          <w:sz w:val="20"/>
          <w:szCs w:val="20"/>
        </w:rPr>
      </w:pPr>
      <w:r w:rsidRPr="003C1B18">
        <w:rPr>
          <w:rFonts w:ascii="Arial" w:hAnsi="Arial" w:cs="Arial"/>
          <w:b/>
          <w:bCs/>
          <w:sz w:val="20"/>
          <w:szCs w:val="20"/>
          <w:lang w:val="en-ZA"/>
        </w:rPr>
        <w:t>Short-term</w:t>
      </w:r>
      <w:r w:rsidR="0040176A" w:rsidRPr="003C1B18">
        <w:rPr>
          <w:rFonts w:ascii="Arial" w:hAnsi="Arial" w:cs="Arial"/>
          <w:b/>
          <w:bCs/>
          <w:sz w:val="20"/>
          <w:szCs w:val="20"/>
          <w:lang w:val="en-ZA"/>
        </w:rPr>
        <w:t xml:space="preserve"> measure</w:t>
      </w:r>
      <w:r w:rsidR="00ED0AE1" w:rsidRPr="003C1B18">
        <w:rPr>
          <w:rFonts w:ascii="Arial" w:hAnsi="Arial" w:cs="Arial"/>
          <w:b/>
          <w:bCs/>
          <w:sz w:val="20"/>
          <w:szCs w:val="20"/>
          <w:lang w:val="en-ZA"/>
        </w:rPr>
        <w:t>s to address the reconciliation</w:t>
      </w:r>
      <w:r w:rsidR="0040176A" w:rsidRPr="003C1B18">
        <w:rPr>
          <w:rFonts w:ascii="Arial" w:hAnsi="Arial" w:cs="Arial"/>
          <w:sz w:val="20"/>
          <w:szCs w:val="20"/>
          <w:lang w:val="en-ZA"/>
        </w:rPr>
        <w:t xml:space="preserve"> - Postbank is appointing a service provider through Supply Chain Management by </w:t>
      </w:r>
      <w:r w:rsidRPr="003C1B18">
        <w:rPr>
          <w:rFonts w:ascii="Arial" w:hAnsi="Arial" w:cs="Arial"/>
          <w:sz w:val="20"/>
          <w:szCs w:val="20"/>
          <w:lang w:val="en-ZA"/>
        </w:rPr>
        <w:t xml:space="preserve">the </w:t>
      </w:r>
      <w:r w:rsidR="0040176A" w:rsidRPr="003C1B18">
        <w:rPr>
          <w:rFonts w:ascii="Arial" w:hAnsi="Arial" w:cs="Arial"/>
          <w:sz w:val="20"/>
          <w:szCs w:val="20"/>
          <w:lang w:val="en-ZA"/>
        </w:rPr>
        <w:t>31</w:t>
      </w:r>
      <w:r w:rsidR="0040176A" w:rsidRPr="003C1B18">
        <w:rPr>
          <w:rFonts w:ascii="Arial" w:hAnsi="Arial" w:cs="Arial"/>
          <w:sz w:val="20"/>
          <w:szCs w:val="20"/>
          <w:vertAlign w:val="superscript"/>
          <w:lang w:val="en-ZA"/>
        </w:rPr>
        <w:t>st</w:t>
      </w:r>
      <w:r w:rsidR="0040176A" w:rsidRPr="003C1B18">
        <w:rPr>
          <w:rFonts w:ascii="Arial" w:hAnsi="Arial" w:cs="Arial"/>
          <w:sz w:val="20"/>
          <w:szCs w:val="20"/>
          <w:lang w:val="en-ZA"/>
        </w:rPr>
        <w:t xml:space="preserve"> of January</w:t>
      </w:r>
      <w:r w:rsidRPr="003C1B18">
        <w:rPr>
          <w:rFonts w:ascii="Arial" w:hAnsi="Arial" w:cs="Arial"/>
          <w:sz w:val="20"/>
          <w:szCs w:val="20"/>
          <w:lang w:val="en-ZA"/>
        </w:rPr>
        <w:t>,</w:t>
      </w:r>
      <w:r w:rsidR="0040176A" w:rsidRPr="003C1B18">
        <w:rPr>
          <w:rFonts w:ascii="Arial" w:hAnsi="Arial" w:cs="Arial"/>
          <w:sz w:val="20"/>
          <w:szCs w:val="20"/>
          <w:lang w:val="en-ZA"/>
        </w:rPr>
        <w:t xml:space="preserve"> 2023. The Service Provider will perform the reconciliation, present </w:t>
      </w:r>
      <w:r w:rsidRPr="003C1B18">
        <w:rPr>
          <w:rFonts w:ascii="Arial" w:hAnsi="Arial" w:cs="Arial"/>
          <w:sz w:val="20"/>
          <w:szCs w:val="20"/>
          <w:lang w:val="en-ZA"/>
        </w:rPr>
        <w:t xml:space="preserve">the </w:t>
      </w:r>
      <w:r w:rsidR="0040176A" w:rsidRPr="003C1B18">
        <w:rPr>
          <w:rFonts w:ascii="Arial" w:hAnsi="Arial" w:cs="Arial"/>
          <w:sz w:val="20"/>
          <w:szCs w:val="20"/>
          <w:lang w:val="en-ZA"/>
        </w:rPr>
        <w:t>result to Management and Management correct and report the Annual Financial Statements by the 15</w:t>
      </w:r>
      <w:r w:rsidR="0040176A" w:rsidRPr="003C1B18">
        <w:rPr>
          <w:rFonts w:ascii="Arial" w:hAnsi="Arial" w:cs="Arial"/>
          <w:sz w:val="20"/>
          <w:szCs w:val="20"/>
          <w:vertAlign w:val="superscript"/>
          <w:lang w:val="en-ZA"/>
        </w:rPr>
        <w:t>th</w:t>
      </w:r>
      <w:r w:rsidR="0040176A" w:rsidRPr="003C1B18">
        <w:rPr>
          <w:rFonts w:ascii="Arial" w:hAnsi="Arial" w:cs="Arial"/>
          <w:sz w:val="20"/>
          <w:szCs w:val="20"/>
          <w:lang w:val="en-ZA"/>
        </w:rPr>
        <w:t xml:space="preserve"> of May 2023.</w:t>
      </w:r>
    </w:p>
    <w:p w:rsidR="005576C0" w:rsidRPr="003C1B18" w:rsidRDefault="005553F2" w:rsidP="003C1B18">
      <w:pPr>
        <w:numPr>
          <w:ilvl w:val="0"/>
          <w:numId w:val="19"/>
        </w:numPr>
        <w:spacing w:after="0" w:line="240" w:lineRule="auto"/>
        <w:jc w:val="left"/>
        <w:rPr>
          <w:rFonts w:ascii="Arial" w:hAnsi="Arial" w:cs="Arial"/>
          <w:sz w:val="20"/>
          <w:szCs w:val="20"/>
        </w:rPr>
      </w:pPr>
      <w:r w:rsidRPr="003C1B18">
        <w:rPr>
          <w:rFonts w:ascii="Arial" w:hAnsi="Arial" w:cs="Arial"/>
          <w:b/>
          <w:bCs/>
          <w:sz w:val="20"/>
          <w:szCs w:val="20"/>
          <w:lang w:val="en-ZA"/>
        </w:rPr>
        <w:t>Long-term</w:t>
      </w:r>
      <w:r w:rsidR="00D128D7" w:rsidRPr="003C1B18">
        <w:rPr>
          <w:rFonts w:ascii="Arial" w:hAnsi="Arial" w:cs="Arial"/>
          <w:b/>
          <w:bCs/>
          <w:sz w:val="20"/>
          <w:szCs w:val="20"/>
          <w:lang w:val="en-ZA"/>
        </w:rPr>
        <w:t xml:space="preserve"> measures to address the reconciliation </w:t>
      </w:r>
      <w:r w:rsidR="00D128D7" w:rsidRPr="003C1B18">
        <w:rPr>
          <w:rFonts w:ascii="Arial" w:hAnsi="Arial" w:cs="Arial"/>
          <w:sz w:val="20"/>
          <w:szCs w:val="20"/>
          <w:lang w:val="en-ZA"/>
        </w:rPr>
        <w:t>– Postbank will develop a Business Case; facilitate the procurement of a solution and implementation of the reconciliation solution/system by the 31</w:t>
      </w:r>
      <w:r w:rsidR="00D128D7" w:rsidRPr="003C1B18">
        <w:rPr>
          <w:rFonts w:ascii="Arial" w:hAnsi="Arial" w:cs="Arial"/>
          <w:sz w:val="20"/>
          <w:szCs w:val="20"/>
          <w:vertAlign w:val="superscript"/>
          <w:lang w:val="en-ZA"/>
        </w:rPr>
        <w:t>st</w:t>
      </w:r>
      <w:r w:rsidR="00D128D7" w:rsidRPr="003C1B18">
        <w:rPr>
          <w:rFonts w:ascii="Arial" w:hAnsi="Arial" w:cs="Arial"/>
          <w:sz w:val="20"/>
          <w:szCs w:val="20"/>
          <w:lang w:val="en-ZA"/>
        </w:rPr>
        <w:t xml:space="preserve"> of October 2023. Management will ensure the reconciliation solution/system is implemented by the 30</w:t>
      </w:r>
      <w:r w:rsidR="00D128D7" w:rsidRPr="003C1B18">
        <w:rPr>
          <w:rFonts w:ascii="Arial" w:hAnsi="Arial" w:cs="Arial"/>
          <w:sz w:val="20"/>
          <w:szCs w:val="20"/>
          <w:vertAlign w:val="superscript"/>
          <w:lang w:val="en-ZA"/>
        </w:rPr>
        <w:t>th</w:t>
      </w:r>
      <w:r w:rsidR="00D128D7" w:rsidRPr="003C1B18">
        <w:rPr>
          <w:rFonts w:ascii="Arial" w:hAnsi="Arial" w:cs="Arial"/>
          <w:sz w:val="20"/>
          <w:szCs w:val="20"/>
          <w:lang w:val="en-ZA"/>
        </w:rPr>
        <w:t xml:space="preserve"> </w:t>
      </w:r>
      <w:r w:rsidRPr="003C1B18">
        <w:rPr>
          <w:rFonts w:ascii="Arial" w:hAnsi="Arial" w:cs="Arial"/>
          <w:sz w:val="20"/>
          <w:szCs w:val="20"/>
          <w:lang w:val="en-ZA"/>
        </w:rPr>
        <w:t xml:space="preserve">of </w:t>
      </w:r>
      <w:r w:rsidR="00D128D7" w:rsidRPr="003C1B18">
        <w:rPr>
          <w:rFonts w:ascii="Arial" w:hAnsi="Arial" w:cs="Arial"/>
          <w:sz w:val="20"/>
          <w:szCs w:val="20"/>
          <w:lang w:val="en-ZA"/>
        </w:rPr>
        <w:t>October 2023 and ensure credible reporting in the Annual Financial Statements going forward</w:t>
      </w:r>
      <w:r w:rsidR="004E2528" w:rsidRPr="003C1B18">
        <w:rPr>
          <w:rFonts w:ascii="Arial" w:hAnsi="Arial" w:cs="Arial"/>
          <w:sz w:val="20"/>
          <w:szCs w:val="20"/>
          <w:lang w:val="en-ZA"/>
        </w:rPr>
        <w:t>.</w:t>
      </w:r>
    </w:p>
    <w:p w:rsidR="00097B13" w:rsidRPr="003C1B18" w:rsidRDefault="00097B13" w:rsidP="003C1B18">
      <w:pPr>
        <w:spacing w:after="0" w:line="240" w:lineRule="auto"/>
        <w:jc w:val="left"/>
        <w:rPr>
          <w:rFonts w:ascii="Arial" w:hAnsi="Arial" w:cs="Arial"/>
          <w:sz w:val="20"/>
          <w:szCs w:val="20"/>
        </w:rPr>
      </w:pPr>
      <w:r w:rsidRPr="003C1B18">
        <w:rPr>
          <w:rFonts w:ascii="Arial" w:hAnsi="Arial" w:cs="Arial"/>
          <w:b/>
          <w:bCs/>
          <w:sz w:val="20"/>
          <w:szCs w:val="20"/>
          <w:lang w:val="en-GB"/>
        </w:rPr>
        <w:t xml:space="preserve">Performance Summary as at </w:t>
      </w:r>
      <w:r w:rsidRPr="003C1B18">
        <w:rPr>
          <w:rFonts w:ascii="Arial" w:hAnsi="Arial" w:cs="Arial"/>
          <w:b/>
          <w:bCs/>
          <w:sz w:val="20"/>
          <w:szCs w:val="20"/>
          <w:lang w:val="en-ZA"/>
        </w:rPr>
        <w:t>31 March 22</w:t>
      </w:r>
    </w:p>
    <w:p w:rsidR="00F33D23" w:rsidRPr="003C1B18" w:rsidRDefault="00097B13" w:rsidP="003C1B18">
      <w:pPr>
        <w:spacing w:after="0" w:line="240" w:lineRule="auto"/>
        <w:jc w:val="left"/>
        <w:rPr>
          <w:rFonts w:ascii="Arial" w:hAnsi="Arial" w:cs="Arial"/>
          <w:sz w:val="20"/>
          <w:szCs w:val="20"/>
        </w:rPr>
      </w:pPr>
      <w:r w:rsidRPr="003C1B18">
        <w:rPr>
          <w:rFonts w:ascii="Arial" w:hAnsi="Arial" w:cs="Arial"/>
          <w:noProof/>
          <w:sz w:val="20"/>
          <w:szCs w:val="20"/>
        </w:rPr>
        <w:drawing>
          <wp:inline distT="0" distB="0" distL="0" distR="0">
            <wp:extent cx="4498975" cy="2200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98975" cy="2200910"/>
                    </a:xfrm>
                    <a:prstGeom prst="rect">
                      <a:avLst/>
                    </a:prstGeom>
                    <a:noFill/>
                  </pic:spPr>
                </pic:pic>
              </a:graphicData>
            </a:graphic>
          </wp:inline>
        </w:drawing>
      </w:r>
    </w:p>
    <w:p w:rsidR="00721B01" w:rsidRPr="003C1B18" w:rsidRDefault="00721B01" w:rsidP="003C1B18">
      <w:pPr>
        <w:spacing w:after="0" w:line="240" w:lineRule="auto"/>
        <w:jc w:val="left"/>
        <w:rPr>
          <w:rFonts w:ascii="Arial" w:hAnsi="Arial" w:cs="Arial"/>
          <w:b/>
          <w:bCs/>
          <w:sz w:val="20"/>
          <w:szCs w:val="20"/>
          <w:lang w:val="en-ZA"/>
        </w:rPr>
      </w:pPr>
    </w:p>
    <w:p w:rsidR="00721B01" w:rsidRPr="003C1B18" w:rsidRDefault="00721B01" w:rsidP="003C1B18">
      <w:pPr>
        <w:spacing w:after="0" w:line="240" w:lineRule="auto"/>
        <w:jc w:val="left"/>
        <w:rPr>
          <w:rFonts w:ascii="Arial" w:hAnsi="Arial" w:cs="Arial"/>
          <w:b/>
          <w:bCs/>
          <w:sz w:val="20"/>
          <w:szCs w:val="20"/>
          <w:lang w:val="en-ZA"/>
        </w:rPr>
      </w:pPr>
    </w:p>
    <w:p w:rsidR="00097B13" w:rsidRPr="003C1B18" w:rsidRDefault="00097B13" w:rsidP="003C1B18">
      <w:pPr>
        <w:spacing w:after="0" w:line="240" w:lineRule="auto"/>
        <w:jc w:val="left"/>
        <w:rPr>
          <w:rFonts w:ascii="Arial" w:hAnsi="Arial" w:cs="Arial"/>
          <w:sz w:val="20"/>
          <w:szCs w:val="20"/>
        </w:rPr>
      </w:pPr>
      <w:r w:rsidRPr="003C1B18">
        <w:rPr>
          <w:rFonts w:ascii="Arial" w:hAnsi="Arial" w:cs="Arial"/>
          <w:b/>
          <w:bCs/>
          <w:sz w:val="20"/>
          <w:szCs w:val="20"/>
          <w:lang w:val="en-ZA"/>
        </w:rPr>
        <w:t>Key Challenges:</w:t>
      </w:r>
    </w:p>
    <w:p w:rsidR="00721B01" w:rsidRPr="003C1B18" w:rsidRDefault="0040176A" w:rsidP="003C1B18">
      <w:pPr>
        <w:numPr>
          <w:ilvl w:val="0"/>
          <w:numId w:val="8"/>
        </w:numPr>
        <w:spacing w:after="0" w:line="240" w:lineRule="auto"/>
        <w:jc w:val="left"/>
        <w:rPr>
          <w:rFonts w:ascii="Arial" w:hAnsi="Arial" w:cs="Arial"/>
          <w:sz w:val="20"/>
          <w:szCs w:val="20"/>
        </w:rPr>
      </w:pPr>
      <w:r w:rsidRPr="003C1B18">
        <w:rPr>
          <w:rFonts w:ascii="Arial" w:hAnsi="Arial" w:cs="Arial"/>
          <w:sz w:val="20"/>
          <w:szCs w:val="20"/>
          <w:lang w:val="en-ZA"/>
        </w:rPr>
        <w:t>The South African Reserve Bank (“SARB”) variation notice prevented Postbank from issuing new bank cards and launching products that integrate into the National Payment System (NPS) until the bank complies with the conditions outlined in the variation notice.</w:t>
      </w:r>
    </w:p>
    <w:p w:rsidR="005576C0" w:rsidRPr="003C1B18" w:rsidRDefault="0040176A" w:rsidP="003C1B18">
      <w:pPr>
        <w:numPr>
          <w:ilvl w:val="0"/>
          <w:numId w:val="8"/>
        </w:numPr>
        <w:spacing w:after="0" w:line="240" w:lineRule="auto"/>
        <w:jc w:val="left"/>
        <w:rPr>
          <w:rFonts w:ascii="Arial" w:hAnsi="Arial" w:cs="Arial"/>
          <w:sz w:val="20"/>
          <w:szCs w:val="20"/>
        </w:rPr>
      </w:pPr>
      <w:r w:rsidRPr="003C1B18">
        <w:rPr>
          <w:rFonts w:ascii="Arial" w:hAnsi="Arial" w:cs="Arial"/>
          <w:sz w:val="20"/>
          <w:szCs w:val="20"/>
          <w:lang w:val="en-ZA"/>
        </w:rPr>
        <w:t xml:space="preserve">Ministerial Moratorium around Postbank entering into </w:t>
      </w:r>
      <w:r w:rsidR="005553F2" w:rsidRPr="003C1B18">
        <w:rPr>
          <w:rFonts w:ascii="Arial" w:hAnsi="Arial" w:cs="Arial"/>
          <w:sz w:val="20"/>
          <w:szCs w:val="20"/>
          <w:lang w:val="en-ZA"/>
        </w:rPr>
        <w:t>long-term</w:t>
      </w:r>
      <w:r w:rsidRPr="003C1B18">
        <w:rPr>
          <w:rFonts w:ascii="Arial" w:hAnsi="Arial" w:cs="Arial"/>
          <w:sz w:val="20"/>
          <w:szCs w:val="20"/>
          <w:lang w:val="en-ZA"/>
        </w:rPr>
        <w:t xml:space="preserve"> procurement contracts and the appointment of executives also impacted the activation of several strategic initiatives during FY2021/22.</w:t>
      </w:r>
    </w:p>
    <w:p w:rsidR="005576C0" w:rsidRPr="003C1B18" w:rsidRDefault="005576C0" w:rsidP="003C1B18">
      <w:pPr>
        <w:spacing w:after="0" w:line="240" w:lineRule="auto"/>
        <w:ind w:left="720"/>
        <w:jc w:val="left"/>
        <w:rPr>
          <w:rFonts w:ascii="Arial" w:hAnsi="Arial" w:cs="Arial"/>
          <w:sz w:val="20"/>
          <w:szCs w:val="20"/>
        </w:rPr>
      </w:pPr>
    </w:p>
    <w:p w:rsidR="00097B13" w:rsidRPr="003C1B18" w:rsidRDefault="00097B13" w:rsidP="003C1B18">
      <w:pPr>
        <w:spacing w:after="0" w:line="240" w:lineRule="auto"/>
        <w:jc w:val="left"/>
        <w:rPr>
          <w:rFonts w:ascii="Arial" w:hAnsi="Arial" w:cs="Arial"/>
          <w:b/>
          <w:sz w:val="20"/>
          <w:szCs w:val="20"/>
        </w:rPr>
      </w:pPr>
      <w:r w:rsidRPr="003C1B18">
        <w:rPr>
          <w:rFonts w:ascii="Arial" w:hAnsi="Arial" w:cs="Arial"/>
          <w:b/>
          <w:sz w:val="20"/>
          <w:szCs w:val="20"/>
        </w:rPr>
        <w:t>Operational Highlights 2021/22</w:t>
      </w:r>
    </w:p>
    <w:p w:rsidR="00097B13" w:rsidRPr="003C1B18" w:rsidRDefault="00721B01" w:rsidP="003C1B18">
      <w:pPr>
        <w:spacing w:after="0" w:line="240" w:lineRule="auto"/>
        <w:jc w:val="left"/>
        <w:rPr>
          <w:rFonts w:ascii="Arial" w:hAnsi="Arial" w:cs="Arial"/>
          <w:sz w:val="20"/>
          <w:szCs w:val="20"/>
        </w:rPr>
      </w:pPr>
      <w:r w:rsidRPr="003C1B18">
        <w:rPr>
          <w:rFonts w:ascii="Arial" w:hAnsi="Arial" w:cs="Arial"/>
          <w:sz w:val="20"/>
          <w:szCs w:val="20"/>
        </w:rPr>
        <w:t xml:space="preserve">The </w:t>
      </w:r>
      <w:r w:rsidR="00097B13" w:rsidRPr="003C1B18">
        <w:rPr>
          <w:rFonts w:ascii="Arial" w:hAnsi="Arial" w:cs="Arial"/>
          <w:sz w:val="20"/>
          <w:szCs w:val="20"/>
        </w:rPr>
        <w:t>Postbank holds 21 million (31 March 2021: 19.8 million) individual and group savings accounts, with most of the account holders from previously financially disadvantaged (underbanked) and excluded (unbanked) customers.</w:t>
      </w:r>
    </w:p>
    <w:p w:rsidR="00097B13" w:rsidRPr="003C1B18" w:rsidRDefault="00721B01" w:rsidP="003C1B18">
      <w:pPr>
        <w:spacing w:after="0" w:line="240" w:lineRule="auto"/>
        <w:jc w:val="left"/>
        <w:rPr>
          <w:rFonts w:ascii="Arial" w:hAnsi="Arial" w:cs="Arial"/>
          <w:sz w:val="20"/>
          <w:szCs w:val="20"/>
        </w:rPr>
      </w:pPr>
      <w:r w:rsidRPr="003C1B18">
        <w:rPr>
          <w:rFonts w:ascii="Arial" w:hAnsi="Arial" w:cs="Arial"/>
          <w:sz w:val="20"/>
          <w:szCs w:val="20"/>
        </w:rPr>
        <w:t xml:space="preserve">The entity </w:t>
      </w:r>
      <w:r w:rsidR="005553F2" w:rsidRPr="003C1B18">
        <w:rPr>
          <w:rFonts w:ascii="Arial" w:hAnsi="Arial" w:cs="Arial"/>
          <w:sz w:val="20"/>
          <w:szCs w:val="20"/>
        </w:rPr>
        <w:t>partnered with additional retail merchants to disburse SRD grants in the period under review</w:t>
      </w:r>
      <w:r w:rsidR="00097B13" w:rsidRPr="003C1B18">
        <w:rPr>
          <w:rFonts w:ascii="Arial" w:hAnsi="Arial" w:cs="Arial"/>
          <w:sz w:val="20"/>
          <w:szCs w:val="20"/>
        </w:rPr>
        <w:t>.</w:t>
      </w:r>
      <w:r w:rsidRPr="003C1B18">
        <w:rPr>
          <w:rFonts w:ascii="Arial" w:hAnsi="Arial" w:cs="Arial"/>
          <w:sz w:val="20"/>
          <w:szCs w:val="20"/>
        </w:rPr>
        <w:t xml:space="preserve"> </w:t>
      </w:r>
      <w:r w:rsidR="00097B13" w:rsidRPr="003C1B18">
        <w:rPr>
          <w:rFonts w:ascii="Arial" w:hAnsi="Arial" w:cs="Arial"/>
          <w:sz w:val="20"/>
          <w:szCs w:val="20"/>
        </w:rPr>
        <w:t xml:space="preserve">At least 7 million (31 March 2021: 5 million) SRD </w:t>
      </w:r>
      <w:r w:rsidR="005553F2" w:rsidRPr="003C1B18">
        <w:rPr>
          <w:rFonts w:ascii="Arial" w:hAnsi="Arial" w:cs="Arial"/>
          <w:sz w:val="20"/>
          <w:szCs w:val="20"/>
        </w:rPr>
        <w:t>grant</w:t>
      </w:r>
      <w:r w:rsidR="00097B13" w:rsidRPr="003C1B18">
        <w:rPr>
          <w:rFonts w:ascii="Arial" w:hAnsi="Arial" w:cs="Arial"/>
          <w:sz w:val="20"/>
          <w:szCs w:val="20"/>
        </w:rPr>
        <w:t xml:space="preserve"> recipients were paid via Postbank accounts to the value of R15 billion in the period under review (31 March 2021/2021: R13 billion).</w:t>
      </w:r>
    </w:p>
    <w:p w:rsidR="00097B13" w:rsidRPr="003C1B18" w:rsidRDefault="00097B13" w:rsidP="003C1B18">
      <w:pPr>
        <w:spacing w:after="0" w:line="240" w:lineRule="auto"/>
        <w:jc w:val="left"/>
        <w:rPr>
          <w:rFonts w:ascii="Arial" w:hAnsi="Arial" w:cs="Arial"/>
          <w:sz w:val="20"/>
          <w:szCs w:val="20"/>
        </w:rPr>
      </w:pPr>
      <w:r w:rsidRPr="003C1B18">
        <w:rPr>
          <w:rFonts w:ascii="Arial" w:hAnsi="Arial" w:cs="Arial"/>
          <w:sz w:val="20"/>
          <w:szCs w:val="20"/>
        </w:rPr>
        <w:t xml:space="preserve">More than 71 financial literacy campaigns were conducted in 2021/2022 compared to the previous </w:t>
      </w:r>
      <w:r w:rsidR="004E2528" w:rsidRPr="003C1B18">
        <w:rPr>
          <w:rFonts w:ascii="Arial" w:hAnsi="Arial" w:cs="Arial"/>
          <w:sz w:val="20"/>
          <w:szCs w:val="20"/>
        </w:rPr>
        <w:t>Financial Year</w:t>
      </w:r>
      <w:r w:rsidRPr="003C1B18">
        <w:rPr>
          <w:rFonts w:ascii="Arial" w:hAnsi="Arial" w:cs="Arial"/>
          <w:sz w:val="20"/>
          <w:szCs w:val="20"/>
        </w:rPr>
        <w:t>.</w:t>
      </w:r>
      <w:r w:rsidR="00721B01" w:rsidRPr="003C1B18">
        <w:rPr>
          <w:rFonts w:ascii="Arial" w:hAnsi="Arial" w:cs="Arial"/>
          <w:sz w:val="20"/>
          <w:szCs w:val="20"/>
        </w:rPr>
        <w:t xml:space="preserve"> </w:t>
      </w:r>
      <w:r w:rsidRPr="003C1B18">
        <w:rPr>
          <w:rFonts w:ascii="Arial" w:hAnsi="Arial" w:cs="Arial"/>
          <w:sz w:val="20"/>
          <w:szCs w:val="20"/>
        </w:rPr>
        <w:t>In F</w:t>
      </w:r>
      <w:r w:rsidR="00E21B79" w:rsidRPr="003C1B18">
        <w:rPr>
          <w:rFonts w:ascii="Arial" w:hAnsi="Arial" w:cs="Arial"/>
          <w:sz w:val="20"/>
          <w:szCs w:val="20"/>
        </w:rPr>
        <w:t xml:space="preserve">inancial </w:t>
      </w:r>
      <w:r w:rsidRPr="003C1B18">
        <w:rPr>
          <w:rFonts w:ascii="Arial" w:hAnsi="Arial" w:cs="Arial"/>
          <w:sz w:val="20"/>
          <w:szCs w:val="20"/>
        </w:rPr>
        <w:t>Y</w:t>
      </w:r>
      <w:r w:rsidR="00E21B79" w:rsidRPr="003C1B18">
        <w:rPr>
          <w:rFonts w:ascii="Arial" w:hAnsi="Arial" w:cs="Arial"/>
          <w:sz w:val="20"/>
          <w:szCs w:val="20"/>
        </w:rPr>
        <w:t xml:space="preserve">ear </w:t>
      </w:r>
      <w:r w:rsidR="004E2528" w:rsidRPr="003C1B18">
        <w:rPr>
          <w:rFonts w:ascii="Arial" w:hAnsi="Arial" w:cs="Arial"/>
          <w:sz w:val="20"/>
          <w:szCs w:val="20"/>
        </w:rPr>
        <w:t>2020/2021</w:t>
      </w:r>
      <w:r w:rsidRPr="003C1B18">
        <w:rPr>
          <w:rFonts w:ascii="Arial" w:hAnsi="Arial" w:cs="Arial"/>
          <w:sz w:val="20"/>
          <w:szCs w:val="20"/>
        </w:rPr>
        <w:t>, SARB designated Postbank as a clearing system participant in terms of section 6(3)(a) of the NPS Act.</w:t>
      </w:r>
    </w:p>
    <w:p w:rsidR="00097B13" w:rsidRPr="003C1B18" w:rsidRDefault="00097B13" w:rsidP="003C1B18">
      <w:pPr>
        <w:spacing w:after="0" w:line="240" w:lineRule="auto"/>
        <w:jc w:val="left"/>
        <w:rPr>
          <w:rFonts w:ascii="Arial" w:hAnsi="Arial" w:cs="Arial"/>
          <w:b/>
          <w:bCs/>
          <w:sz w:val="20"/>
          <w:szCs w:val="20"/>
          <w:lang w:val="en-ZA"/>
        </w:rPr>
      </w:pPr>
      <w:r w:rsidRPr="003C1B18">
        <w:rPr>
          <w:rFonts w:ascii="Arial" w:hAnsi="Arial" w:cs="Arial"/>
          <w:b/>
          <w:bCs/>
          <w:sz w:val="20"/>
          <w:szCs w:val="20"/>
          <w:lang w:val="en-ZA"/>
        </w:rPr>
        <w:t>Key Financial Highlights:</w:t>
      </w:r>
      <w:r w:rsidRPr="003C1B18">
        <w:rPr>
          <w:rFonts w:ascii="Arial" w:hAnsi="Arial" w:cs="Arial"/>
          <w:b/>
          <w:sz w:val="20"/>
          <w:szCs w:val="20"/>
        </w:rPr>
        <w:t xml:space="preserve"> 2021/22</w:t>
      </w:r>
    </w:p>
    <w:p w:rsidR="00E320F5" w:rsidRPr="003C1B18" w:rsidRDefault="00721B01" w:rsidP="003C1B18">
      <w:pPr>
        <w:spacing w:after="0" w:line="240" w:lineRule="auto"/>
        <w:jc w:val="left"/>
        <w:rPr>
          <w:rFonts w:ascii="Arial" w:hAnsi="Arial" w:cs="Arial"/>
          <w:sz w:val="20"/>
          <w:szCs w:val="20"/>
        </w:rPr>
      </w:pPr>
      <w:r w:rsidRPr="003C1B18">
        <w:rPr>
          <w:rFonts w:ascii="Arial" w:hAnsi="Arial" w:cs="Arial"/>
          <w:sz w:val="20"/>
          <w:szCs w:val="20"/>
        </w:rPr>
        <w:t xml:space="preserve">The </w:t>
      </w:r>
      <w:r w:rsidR="00E320F5" w:rsidRPr="003C1B18">
        <w:rPr>
          <w:rFonts w:ascii="Arial" w:hAnsi="Arial" w:cs="Arial"/>
          <w:sz w:val="20"/>
          <w:szCs w:val="20"/>
        </w:rPr>
        <w:t>Postbank’s net profit improved significantly to R324 million in the year under review,</w:t>
      </w:r>
      <w:r w:rsidR="004E2528" w:rsidRPr="003C1B18">
        <w:rPr>
          <w:rFonts w:ascii="Arial" w:hAnsi="Arial" w:cs="Arial"/>
          <w:sz w:val="20"/>
          <w:szCs w:val="20"/>
        </w:rPr>
        <w:t xml:space="preserve"> </w:t>
      </w:r>
      <w:r w:rsidR="00E320F5" w:rsidRPr="003C1B18">
        <w:rPr>
          <w:rFonts w:ascii="Arial" w:hAnsi="Arial" w:cs="Arial"/>
          <w:sz w:val="20"/>
          <w:szCs w:val="20"/>
        </w:rPr>
        <w:t xml:space="preserve">rising from a loss of R443 million in </w:t>
      </w:r>
      <w:r w:rsidR="005553F2" w:rsidRPr="003C1B18">
        <w:rPr>
          <w:rFonts w:ascii="Arial" w:hAnsi="Arial" w:cs="Arial"/>
          <w:sz w:val="20"/>
          <w:szCs w:val="20"/>
        </w:rPr>
        <w:t xml:space="preserve">the </w:t>
      </w:r>
      <w:r w:rsidR="00E320F5" w:rsidRPr="003C1B18">
        <w:rPr>
          <w:rFonts w:ascii="Arial" w:hAnsi="Arial" w:cs="Arial"/>
          <w:sz w:val="20"/>
          <w:szCs w:val="20"/>
        </w:rPr>
        <w:t xml:space="preserve">prior year. The improvement from </w:t>
      </w:r>
      <w:r w:rsidR="005553F2" w:rsidRPr="003C1B18">
        <w:rPr>
          <w:rFonts w:ascii="Arial" w:hAnsi="Arial" w:cs="Arial"/>
          <w:sz w:val="20"/>
          <w:szCs w:val="20"/>
        </w:rPr>
        <w:t>the preceding</w:t>
      </w:r>
      <w:r w:rsidR="00E320F5" w:rsidRPr="003C1B18">
        <w:rPr>
          <w:rFonts w:ascii="Arial" w:hAnsi="Arial" w:cs="Arial"/>
          <w:sz w:val="20"/>
          <w:szCs w:val="20"/>
        </w:rPr>
        <w:t xml:space="preserve"> year is mainly </w:t>
      </w:r>
      <w:r w:rsidR="005553F2" w:rsidRPr="003C1B18">
        <w:rPr>
          <w:rFonts w:ascii="Arial" w:hAnsi="Arial" w:cs="Arial"/>
          <w:sz w:val="20"/>
          <w:szCs w:val="20"/>
        </w:rPr>
        <w:t>due to</w:t>
      </w:r>
      <w:r w:rsidR="00E320F5" w:rsidRPr="003C1B18">
        <w:rPr>
          <w:rFonts w:ascii="Arial" w:hAnsi="Arial" w:cs="Arial"/>
          <w:sz w:val="20"/>
          <w:szCs w:val="20"/>
        </w:rPr>
        <w:t xml:space="preserve"> lower expected credit losses in the year under review</w:t>
      </w:r>
      <w:r w:rsidR="005553F2" w:rsidRPr="003C1B18">
        <w:rPr>
          <w:rFonts w:ascii="Arial" w:hAnsi="Arial" w:cs="Arial"/>
          <w:sz w:val="20"/>
          <w:szCs w:val="20"/>
        </w:rPr>
        <w:t>,</w:t>
      </w:r>
      <w:r w:rsidR="00E320F5" w:rsidRPr="003C1B18">
        <w:rPr>
          <w:rFonts w:ascii="Arial" w:hAnsi="Arial" w:cs="Arial"/>
          <w:sz w:val="20"/>
          <w:szCs w:val="20"/>
        </w:rPr>
        <w:t xml:space="preserve"> mainly due to reduced Covid-19 overlay adjustment. Although the Bank’s profitability has improved, the effects of Covid-19 still negatively impacted the overall performance of the Bank. This was evident in the flat revenue numbers reported in the year under review. The Bank reported revenue of R2 billion in the period under review. The revenue was impacted by a 16 per cent decline in NII from R405 million in </w:t>
      </w:r>
      <w:r w:rsidR="005553F2" w:rsidRPr="003C1B18">
        <w:rPr>
          <w:rFonts w:ascii="Arial" w:hAnsi="Arial" w:cs="Arial"/>
          <w:sz w:val="20"/>
          <w:szCs w:val="20"/>
        </w:rPr>
        <w:t xml:space="preserve">the </w:t>
      </w:r>
      <w:r w:rsidR="00E320F5" w:rsidRPr="003C1B18">
        <w:rPr>
          <w:rFonts w:ascii="Arial" w:hAnsi="Arial" w:cs="Arial"/>
          <w:sz w:val="20"/>
          <w:szCs w:val="20"/>
        </w:rPr>
        <w:t>prior year to R335 million during the year ending 31 March 2022.</w:t>
      </w:r>
    </w:p>
    <w:p w:rsidR="00721B01" w:rsidRPr="003C1B18" w:rsidRDefault="00721B01" w:rsidP="003C1B18">
      <w:pPr>
        <w:spacing w:after="0" w:line="240" w:lineRule="auto"/>
        <w:jc w:val="left"/>
        <w:rPr>
          <w:rFonts w:ascii="Arial" w:hAnsi="Arial" w:cs="Arial"/>
          <w:sz w:val="20"/>
          <w:szCs w:val="20"/>
        </w:rPr>
      </w:pPr>
    </w:p>
    <w:p w:rsidR="00721B01" w:rsidRPr="003C1B18" w:rsidRDefault="00721B01" w:rsidP="003C1B18">
      <w:pPr>
        <w:spacing w:after="0" w:line="240" w:lineRule="auto"/>
        <w:jc w:val="left"/>
        <w:rPr>
          <w:rFonts w:ascii="Arial" w:hAnsi="Arial" w:cs="Arial"/>
          <w:sz w:val="20"/>
          <w:szCs w:val="20"/>
        </w:rPr>
      </w:pPr>
    </w:p>
    <w:p w:rsidR="00E320F5" w:rsidRPr="003C1B18" w:rsidRDefault="00E320F5" w:rsidP="003C1B18">
      <w:pPr>
        <w:spacing w:after="0" w:line="240" w:lineRule="auto"/>
        <w:jc w:val="left"/>
        <w:rPr>
          <w:rFonts w:ascii="Arial" w:hAnsi="Arial" w:cs="Arial"/>
          <w:sz w:val="20"/>
          <w:szCs w:val="20"/>
        </w:rPr>
      </w:pPr>
      <w:r w:rsidRPr="003C1B18">
        <w:rPr>
          <w:rFonts w:ascii="Arial" w:hAnsi="Arial" w:cs="Arial"/>
          <w:sz w:val="20"/>
          <w:szCs w:val="20"/>
        </w:rPr>
        <w:t xml:space="preserve">The main driver of the decline in the NII was </w:t>
      </w:r>
      <w:r w:rsidR="005553F2" w:rsidRPr="003C1B18">
        <w:rPr>
          <w:rFonts w:ascii="Arial" w:hAnsi="Arial" w:cs="Arial"/>
          <w:sz w:val="20"/>
          <w:szCs w:val="20"/>
        </w:rPr>
        <w:t>the reduction in the Interest income from R436 million in the prior year to R367 million in the period under review as a result</w:t>
      </w:r>
      <w:r w:rsidRPr="003C1B18">
        <w:rPr>
          <w:rFonts w:ascii="Arial" w:hAnsi="Arial" w:cs="Arial"/>
          <w:sz w:val="20"/>
          <w:szCs w:val="20"/>
        </w:rPr>
        <w:t xml:space="preserve"> of the low interest rates.</w:t>
      </w:r>
    </w:p>
    <w:p w:rsidR="0016194D" w:rsidRPr="003C1B18" w:rsidRDefault="0016194D" w:rsidP="003C1B18">
      <w:pPr>
        <w:spacing w:after="0" w:line="240" w:lineRule="auto"/>
        <w:jc w:val="left"/>
        <w:rPr>
          <w:rFonts w:ascii="Arial" w:hAnsi="Arial" w:cs="Arial"/>
          <w:b/>
          <w:sz w:val="20"/>
          <w:szCs w:val="20"/>
        </w:rPr>
      </w:pPr>
      <w:r w:rsidRPr="003C1B18">
        <w:rPr>
          <w:rFonts w:ascii="Arial" w:hAnsi="Arial" w:cs="Arial"/>
          <w:b/>
          <w:sz w:val="20"/>
          <w:szCs w:val="20"/>
        </w:rPr>
        <w:t>Auditor-General’s Report: 20221/22</w:t>
      </w:r>
    </w:p>
    <w:p w:rsidR="0016194D" w:rsidRPr="003C1B18" w:rsidRDefault="0016194D" w:rsidP="003C1B18">
      <w:pPr>
        <w:spacing w:after="0" w:line="240" w:lineRule="auto"/>
        <w:jc w:val="left"/>
        <w:rPr>
          <w:rFonts w:ascii="Arial" w:hAnsi="Arial" w:cs="Arial"/>
          <w:sz w:val="20"/>
          <w:szCs w:val="20"/>
        </w:rPr>
      </w:pPr>
      <w:r w:rsidRPr="003C1B18">
        <w:rPr>
          <w:rFonts w:ascii="Arial" w:hAnsi="Arial" w:cs="Arial"/>
          <w:sz w:val="20"/>
          <w:szCs w:val="20"/>
        </w:rPr>
        <w:t xml:space="preserve">The Postbank received </w:t>
      </w:r>
      <w:r w:rsidRPr="003C1B18">
        <w:rPr>
          <w:rFonts w:ascii="Arial" w:hAnsi="Arial" w:cs="Arial"/>
          <w:bCs/>
          <w:sz w:val="20"/>
          <w:szCs w:val="20"/>
          <w:lang w:val="en-ZA"/>
        </w:rPr>
        <w:t xml:space="preserve">a </w:t>
      </w:r>
      <w:r w:rsidRPr="003C1B18">
        <w:rPr>
          <w:rFonts w:ascii="Arial" w:hAnsi="Arial" w:cs="Arial"/>
          <w:b/>
          <w:bCs/>
          <w:sz w:val="20"/>
          <w:szCs w:val="20"/>
          <w:lang w:val="en-ZA"/>
        </w:rPr>
        <w:t>Disclaimer</w:t>
      </w:r>
      <w:r w:rsidRPr="003C1B18">
        <w:rPr>
          <w:rFonts w:ascii="Arial" w:hAnsi="Arial" w:cs="Arial"/>
          <w:bCs/>
          <w:sz w:val="20"/>
          <w:szCs w:val="20"/>
          <w:lang w:val="en-ZA"/>
        </w:rPr>
        <w:t xml:space="preserve"> </w:t>
      </w:r>
      <w:r w:rsidR="00746A1E" w:rsidRPr="003C1B18">
        <w:rPr>
          <w:rFonts w:ascii="Arial" w:hAnsi="Arial" w:cs="Arial"/>
          <w:bCs/>
          <w:sz w:val="20"/>
          <w:szCs w:val="20"/>
          <w:lang w:val="en-ZA"/>
        </w:rPr>
        <w:t xml:space="preserve">audit </w:t>
      </w:r>
      <w:r w:rsidRPr="003C1B18">
        <w:rPr>
          <w:rFonts w:ascii="Arial" w:hAnsi="Arial" w:cs="Arial"/>
          <w:bCs/>
          <w:sz w:val="20"/>
          <w:szCs w:val="20"/>
          <w:lang w:val="en-ZA"/>
        </w:rPr>
        <w:t>opinion for the reporting year.</w:t>
      </w:r>
    </w:p>
    <w:p w:rsidR="0016194D" w:rsidRPr="003C1B18" w:rsidRDefault="0016194D" w:rsidP="003C1B18">
      <w:pPr>
        <w:spacing w:after="0" w:line="240" w:lineRule="auto"/>
        <w:jc w:val="left"/>
        <w:rPr>
          <w:rFonts w:ascii="Arial" w:hAnsi="Arial" w:cs="Arial"/>
          <w:sz w:val="20"/>
          <w:szCs w:val="20"/>
        </w:rPr>
      </w:pPr>
      <w:r w:rsidRPr="003C1B18">
        <w:rPr>
          <w:rFonts w:ascii="Arial" w:hAnsi="Arial" w:cs="Arial"/>
          <w:b/>
          <w:bCs/>
          <w:sz w:val="20"/>
          <w:szCs w:val="20"/>
          <w:lang w:val="en-ZA"/>
        </w:rPr>
        <w:t xml:space="preserve">Other Reserves: </w:t>
      </w:r>
      <w:r w:rsidRPr="003C1B18">
        <w:rPr>
          <w:rFonts w:ascii="Arial" w:hAnsi="Arial" w:cs="Arial"/>
          <w:sz w:val="20"/>
          <w:szCs w:val="20"/>
          <w:lang w:val="en-ZA"/>
        </w:rPr>
        <w:t xml:space="preserve">AGSA </w:t>
      </w:r>
      <w:r w:rsidR="005553F2" w:rsidRPr="003C1B18">
        <w:rPr>
          <w:rFonts w:ascii="Arial" w:hAnsi="Arial" w:cs="Arial"/>
          <w:sz w:val="20"/>
          <w:szCs w:val="20"/>
          <w:lang w:val="en-ZA"/>
        </w:rPr>
        <w:t>could not</w:t>
      </w:r>
      <w:r w:rsidRPr="003C1B18">
        <w:rPr>
          <w:rFonts w:ascii="Arial" w:hAnsi="Arial" w:cs="Arial"/>
          <w:sz w:val="20"/>
          <w:szCs w:val="20"/>
          <w:lang w:val="en-ZA"/>
        </w:rPr>
        <w:t xml:space="preserve"> obtain sufficient and appropriate audit evidence that the Other reserves had </w:t>
      </w:r>
      <w:r w:rsidR="005553F2" w:rsidRPr="003C1B18">
        <w:rPr>
          <w:rFonts w:ascii="Arial" w:hAnsi="Arial" w:cs="Arial"/>
          <w:sz w:val="20"/>
          <w:szCs w:val="20"/>
          <w:lang w:val="en-ZA"/>
        </w:rPr>
        <w:t>correctly been</w:t>
      </w:r>
      <w:r w:rsidRPr="003C1B18">
        <w:rPr>
          <w:rFonts w:ascii="Arial" w:hAnsi="Arial" w:cs="Arial"/>
          <w:sz w:val="20"/>
          <w:szCs w:val="20"/>
          <w:lang w:val="en-ZA"/>
        </w:rPr>
        <w:t xml:space="preserve"> transferred and accounted for.</w:t>
      </w:r>
    </w:p>
    <w:p w:rsidR="0016194D" w:rsidRPr="003C1B18" w:rsidRDefault="0016194D" w:rsidP="003C1B18">
      <w:pPr>
        <w:spacing w:after="0" w:line="240" w:lineRule="auto"/>
        <w:jc w:val="left"/>
        <w:rPr>
          <w:rFonts w:ascii="Arial" w:hAnsi="Arial" w:cs="Arial"/>
          <w:sz w:val="20"/>
          <w:szCs w:val="20"/>
        </w:rPr>
      </w:pPr>
      <w:r w:rsidRPr="003C1B18">
        <w:rPr>
          <w:rFonts w:ascii="Arial" w:hAnsi="Arial" w:cs="Arial"/>
          <w:b/>
          <w:bCs/>
          <w:sz w:val="20"/>
          <w:szCs w:val="20"/>
          <w:lang w:val="en-ZA"/>
        </w:rPr>
        <w:t xml:space="preserve">Other Deposits: </w:t>
      </w:r>
      <w:r w:rsidRPr="003C1B18">
        <w:rPr>
          <w:rFonts w:ascii="Arial" w:hAnsi="Arial" w:cs="Arial"/>
          <w:sz w:val="20"/>
          <w:szCs w:val="20"/>
          <w:lang w:val="en-ZA"/>
        </w:rPr>
        <w:t>AGSA was unable to obtain sufficient appropriate audit evidence for deposits due to customer due to the limitations imposed by the information systems to manage the related transactions.</w:t>
      </w:r>
    </w:p>
    <w:p w:rsidR="00097B13" w:rsidRPr="003C1B18" w:rsidRDefault="0016194D" w:rsidP="003C1B18">
      <w:pPr>
        <w:spacing w:after="0" w:line="240" w:lineRule="auto"/>
        <w:jc w:val="left"/>
        <w:rPr>
          <w:rFonts w:ascii="Arial" w:hAnsi="Arial" w:cs="Arial"/>
          <w:sz w:val="20"/>
          <w:szCs w:val="20"/>
        </w:rPr>
      </w:pPr>
      <w:r w:rsidRPr="003C1B18">
        <w:rPr>
          <w:rFonts w:ascii="Arial" w:hAnsi="Arial" w:cs="Arial"/>
          <w:b/>
          <w:bCs/>
          <w:sz w:val="20"/>
          <w:szCs w:val="20"/>
          <w:lang w:val="en-ZA"/>
        </w:rPr>
        <w:t>Fee and Transactional income</w:t>
      </w:r>
      <w:r w:rsidRPr="003C1B18">
        <w:rPr>
          <w:rFonts w:ascii="Arial" w:hAnsi="Arial" w:cs="Arial"/>
          <w:sz w:val="20"/>
          <w:szCs w:val="20"/>
          <w:lang w:val="en-ZA"/>
        </w:rPr>
        <w:t>: AGSA was unable to obtain sufficient and appropriate audit evidence for Fee and Transactional income due to the inadequate status of accounting records and lack of required reconciliations between supporting information systems not being conducted</w:t>
      </w:r>
    </w:p>
    <w:p w:rsidR="000975F0" w:rsidRPr="003C1B18" w:rsidRDefault="0016194D" w:rsidP="003C1B18">
      <w:pPr>
        <w:spacing w:after="0" w:line="240" w:lineRule="auto"/>
        <w:jc w:val="left"/>
        <w:rPr>
          <w:rFonts w:ascii="Arial" w:hAnsi="Arial" w:cs="Arial"/>
          <w:sz w:val="20"/>
          <w:szCs w:val="20"/>
          <w:lang w:val="en-ZA"/>
        </w:rPr>
      </w:pPr>
      <w:r w:rsidRPr="003C1B18">
        <w:rPr>
          <w:rFonts w:ascii="Arial" w:hAnsi="Arial" w:cs="Arial"/>
          <w:b/>
          <w:bCs/>
          <w:sz w:val="20"/>
          <w:szCs w:val="20"/>
          <w:lang w:val="en-ZA"/>
        </w:rPr>
        <w:t xml:space="preserve">Intercompany Receivables: </w:t>
      </w:r>
      <w:r w:rsidRPr="003C1B18">
        <w:rPr>
          <w:rFonts w:ascii="Arial" w:hAnsi="Arial" w:cs="Arial"/>
          <w:sz w:val="20"/>
          <w:szCs w:val="20"/>
          <w:lang w:val="en-ZA"/>
        </w:rPr>
        <w:t>The issues resulting from the carving out of Postbank’s Assets and liabilities from SAPO were resolved</w:t>
      </w:r>
      <w:r w:rsidR="005553F2" w:rsidRPr="003C1B18">
        <w:rPr>
          <w:rFonts w:ascii="Arial" w:hAnsi="Arial" w:cs="Arial"/>
          <w:sz w:val="20"/>
          <w:szCs w:val="20"/>
          <w:lang w:val="en-ZA"/>
        </w:rPr>
        <w:t>,</w:t>
      </w:r>
      <w:r w:rsidRPr="003C1B18">
        <w:rPr>
          <w:rFonts w:ascii="Arial" w:hAnsi="Arial" w:cs="Arial"/>
          <w:sz w:val="20"/>
          <w:szCs w:val="20"/>
          <w:lang w:val="en-ZA"/>
        </w:rPr>
        <w:t xml:space="preserve"> and Postbank </w:t>
      </w:r>
      <w:r w:rsidR="005553F2" w:rsidRPr="003C1B18">
        <w:rPr>
          <w:rFonts w:ascii="Arial" w:hAnsi="Arial" w:cs="Arial"/>
          <w:sz w:val="20"/>
          <w:szCs w:val="20"/>
          <w:lang w:val="en-ZA"/>
        </w:rPr>
        <w:t>successfully migrated to a new environment</w:t>
      </w:r>
      <w:r w:rsidRPr="003C1B18">
        <w:rPr>
          <w:rFonts w:ascii="Arial" w:hAnsi="Arial" w:cs="Arial"/>
          <w:sz w:val="20"/>
          <w:szCs w:val="20"/>
          <w:lang w:val="en-ZA"/>
        </w:rPr>
        <w:t xml:space="preserve">. </w:t>
      </w:r>
    </w:p>
    <w:p w:rsidR="0016194D" w:rsidRPr="003C1B18" w:rsidRDefault="00F519CE" w:rsidP="003C1B18">
      <w:pPr>
        <w:spacing w:after="0" w:line="240" w:lineRule="auto"/>
        <w:jc w:val="left"/>
        <w:rPr>
          <w:rFonts w:ascii="Arial" w:hAnsi="Arial" w:cs="Arial"/>
          <w:sz w:val="20"/>
          <w:szCs w:val="20"/>
          <w:lang w:val="en-ZA"/>
        </w:rPr>
      </w:pPr>
      <w:r w:rsidRPr="003C1B18">
        <w:rPr>
          <w:rFonts w:ascii="Arial" w:hAnsi="Arial" w:cs="Arial"/>
          <w:sz w:val="20"/>
          <w:szCs w:val="20"/>
          <w:lang w:val="en-ZA"/>
        </w:rPr>
        <w:t>However,</w:t>
      </w:r>
      <w:r w:rsidR="0016194D" w:rsidRPr="003C1B18">
        <w:rPr>
          <w:rFonts w:ascii="Arial" w:hAnsi="Arial" w:cs="Arial"/>
          <w:sz w:val="20"/>
          <w:szCs w:val="20"/>
          <w:lang w:val="en-ZA"/>
        </w:rPr>
        <w:t xml:space="preserve"> AGSA qualified this line item because the balance included </w:t>
      </w:r>
      <w:r w:rsidR="005553F2" w:rsidRPr="003C1B18">
        <w:rPr>
          <w:rFonts w:ascii="Arial" w:hAnsi="Arial" w:cs="Arial"/>
          <w:sz w:val="20"/>
          <w:szCs w:val="20"/>
          <w:lang w:val="en-ZA"/>
        </w:rPr>
        <w:t>SASSA-related</w:t>
      </w:r>
      <w:r w:rsidR="0016194D" w:rsidRPr="003C1B18">
        <w:rPr>
          <w:rFonts w:ascii="Arial" w:hAnsi="Arial" w:cs="Arial"/>
          <w:sz w:val="20"/>
          <w:szCs w:val="20"/>
          <w:lang w:val="en-ZA"/>
        </w:rPr>
        <w:t xml:space="preserve"> transactions where we normally settle transactions with SAPO.</w:t>
      </w:r>
    </w:p>
    <w:p w:rsidR="0016194D" w:rsidRPr="003C1B18" w:rsidRDefault="0016194D" w:rsidP="003C1B18">
      <w:pPr>
        <w:spacing w:after="0" w:line="240" w:lineRule="auto"/>
        <w:jc w:val="left"/>
        <w:rPr>
          <w:rFonts w:ascii="Arial" w:hAnsi="Arial" w:cs="Arial"/>
          <w:sz w:val="20"/>
          <w:szCs w:val="20"/>
        </w:rPr>
      </w:pPr>
      <w:r w:rsidRPr="003C1B18">
        <w:rPr>
          <w:rFonts w:ascii="Arial" w:hAnsi="Arial" w:cs="Arial"/>
          <w:b/>
          <w:bCs/>
          <w:sz w:val="20"/>
          <w:szCs w:val="20"/>
          <w:lang w:val="en-ZA"/>
        </w:rPr>
        <w:t xml:space="preserve">Material losses: </w:t>
      </w:r>
      <w:r w:rsidRPr="003C1B18">
        <w:rPr>
          <w:rFonts w:ascii="Arial" w:hAnsi="Arial" w:cs="Arial"/>
          <w:sz w:val="20"/>
          <w:szCs w:val="20"/>
        </w:rPr>
        <w:t>Material losses could not be verified for completeness due to the significance of internal control deficiencies identified on key systems and cyber security incidents resulting in a loss of R89 million.</w:t>
      </w:r>
    </w:p>
    <w:p w:rsidR="0016194D" w:rsidRPr="003C1B18" w:rsidRDefault="0016194D" w:rsidP="003C1B18">
      <w:pPr>
        <w:spacing w:after="0" w:line="240" w:lineRule="auto"/>
        <w:jc w:val="left"/>
        <w:rPr>
          <w:rFonts w:ascii="Arial" w:hAnsi="Arial" w:cs="Arial"/>
          <w:sz w:val="20"/>
          <w:szCs w:val="20"/>
        </w:rPr>
      </w:pPr>
      <w:r w:rsidRPr="003C1B18">
        <w:rPr>
          <w:rFonts w:ascii="Arial" w:hAnsi="Arial" w:cs="Arial"/>
          <w:sz w:val="20"/>
          <w:szCs w:val="20"/>
          <w:lang w:val="en-ZA"/>
        </w:rPr>
        <w:t xml:space="preserve">Postbank has developed an Integrated Audit Action Plan: </w:t>
      </w:r>
    </w:p>
    <w:p w:rsidR="006A4729" w:rsidRPr="003C1B18" w:rsidRDefault="005553F2" w:rsidP="003C1B18">
      <w:pPr>
        <w:numPr>
          <w:ilvl w:val="0"/>
          <w:numId w:val="18"/>
        </w:numPr>
        <w:spacing w:after="0" w:line="240" w:lineRule="auto"/>
        <w:jc w:val="left"/>
        <w:rPr>
          <w:rFonts w:ascii="Arial" w:hAnsi="Arial" w:cs="Arial"/>
          <w:sz w:val="20"/>
          <w:szCs w:val="20"/>
        </w:rPr>
      </w:pPr>
      <w:r w:rsidRPr="003C1B18">
        <w:rPr>
          <w:rFonts w:ascii="Arial" w:hAnsi="Arial" w:cs="Arial"/>
          <w:b/>
          <w:bCs/>
          <w:sz w:val="20"/>
          <w:szCs w:val="20"/>
          <w:lang w:val="en-ZA"/>
        </w:rPr>
        <w:t>Short-term</w:t>
      </w:r>
      <w:r w:rsidR="0040176A" w:rsidRPr="003C1B18">
        <w:rPr>
          <w:rFonts w:ascii="Arial" w:hAnsi="Arial" w:cs="Arial"/>
          <w:b/>
          <w:bCs/>
          <w:sz w:val="20"/>
          <w:szCs w:val="20"/>
          <w:lang w:val="en-ZA"/>
        </w:rPr>
        <w:t xml:space="preserve"> measure</w:t>
      </w:r>
      <w:r w:rsidR="00A91CB5" w:rsidRPr="003C1B18">
        <w:rPr>
          <w:rFonts w:ascii="Arial" w:hAnsi="Arial" w:cs="Arial"/>
          <w:b/>
          <w:bCs/>
          <w:sz w:val="20"/>
          <w:szCs w:val="20"/>
          <w:lang w:val="en-ZA"/>
        </w:rPr>
        <w:t>s to address the reconciliation—</w:t>
      </w:r>
      <w:r w:rsidR="0040176A" w:rsidRPr="003C1B18">
        <w:rPr>
          <w:rFonts w:ascii="Arial" w:hAnsi="Arial" w:cs="Arial"/>
          <w:sz w:val="20"/>
          <w:szCs w:val="20"/>
          <w:lang w:val="en-ZA"/>
        </w:rPr>
        <w:t>Postbank</w:t>
      </w:r>
      <w:r w:rsidR="00A91CB5" w:rsidRPr="003C1B18">
        <w:rPr>
          <w:rFonts w:ascii="Arial" w:hAnsi="Arial" w:cs="Arial"/>
          <w:sz w:val="20"/>
          <w:szCs w:val="20"/>
          <w:lang w:val="en-ZA"/>
        </w:rPr>
        <w:t xml:space="preserve"> </w:t>
      </w:r>
      <w:r w:rsidR="0040176A" w:rsidRPr="003C1B18">
        <w:rPr>
          <w:rFonts w:ascii="Arial" w:hAnsi="Arial" w:cs="Arial"/>
          <w:sz w:val="20"/>
          <w:szCs w:val="20"/>
          <w:lang w:val="en-ZA"/>
        </w:rPr>
        <w:t xml:space="preserve">is appointing a service provider through Supply Chain Management by </w:t>
      </w:r>
      <w:r w:rsidRPr="003C1B18">
        <w:rPr>
          <w:rFonts w:ascii="Arial" w:hAnsi="Arial" w:cs="Arial"/>
          <w:sz w:val="20"/>
          <w:szCs w:val="20"/>
          <w:lang w:val="en-ZA"/>
        </w:rPr>
        <w:t xml:space="preserve">the </w:t>
      </w:r>
      <w:r w:rsidR="0040176A" w:rsidRPr="003C1B18">
        <w:rPr>
          <w:rFonts w:ascii="Arial" w:hAnsi="Arial" w:cs="Arial"/>
          <w:sz w:val="20"/>
          <w:szCs w:val="20"/>
          <w:lang w:val="en-ZA"/>
        </w:rPr>
        <w:t>31</w:t>
      </w:r>
      <w:r w:rsidR="0040176A" w:rsidRPr="003C1B18">
        <w:rPr>
          <w:rFonts w:ascii="Arial" w:hAnsi="Arial" w:cs="Arial"/>
          <w:sz w:val="20"/>
          <w:szCs w:val="20"/>
          <w:vertAlign w:val="superscript"/>
          <w:lang w:val="en-ZA"/>
        </w:rPr>
        <w:t>st</w:t>
      </w:r>
      <w:r w:rsidR="0040176A" w:rsidRPr="003C1B18">
        <w:rPr>
          <w:rFonts w:ascii="Arial" w:hAnsi="Arial" w:cs="Arial"/>
          <w:sz w:val="20"/>
          <w:szCs w:val="20"/>
          <w:lang w:val="en-ZA"/>
        </w:rPr>
        <w:t xml:space="preserve"> of January 2023. The Service Provider will perform the reconciliation, present </w:t>
      </w:r>
      <w:r w:rsidRPr="003C1B18">
        <w:rPr>
          <w:rFonts w:ascii="Arial" w:hAnsi="Arial" w:cs="Arial"/>
          <w:sz w:val="20"/>
          <w:szCs w:val="20"/>
          <w:lang w:val="en-ZA"/>
        </w:rPr>
        <w:t xml:space="preserve">the </w:t>
      </w:r>
      <w:r w:rsidR="0040176A" w:rsidRPr="003C1B18">
        <w:rPr>
          <w:rFonts w:ascii="Arial" w:hAnsi="Arial" w:cs="Arial"/>
          <w:sz w:val="20"/>
          <w:szCs w:val="20"/>
          <w:lang w:val="en-ZA"/>
        </w:rPr>
        <w:t>result to Management and Management correct and report the Annual Financial Statements by the 15</w:t>
      </w:r>
      <w:r w:rsidR="0040176A" w:rsidRPr="003C1B18">
        <w:rPr>
          <w:rFonts w:ascii="Arial" w:hAnsi="Arial" w:cs="Arial"/>
          <w:sz w:val="20"/>
          <w:szCs w:val="20"/>
          <w:vertAlign w:val="superscript"/>
          <w:lang w:val="en-ZA"/>
        </w:rPr>
        <w:t>th</w:t>
      </w:r>
      <w:r w:rsidR="0040176A" w:rsidRPr="003C1B18">
        <w:rPr>
          <w:rFonts w:ascii="Arial" w:hAnsi="Arial" w:cs="Arial"/>
          <w:sz w:val="20"/>
          <w:szCs w:val="20"/>
          <w:lang w:val="en-ZA"/>
        </w:rPr>
        <w:t xml:space="preserve"> of May 2023.</w:t>
      </w:r>
    </w:p>
    <w:p w:rsidR="006A4729" w:rsidRPr="003C1B18" w:rsidRDefault="005553F2" w:rsidP="003C1B18">
      <w:pPr>
        <w:numPr>
          <w:ilvl w:val="0"/>
          <w:numId w:val="18"/>
        </w:numPr>
        <w:spacing w:after="0" w:line="240" w:lineRule="auto"/>
        <w:jc w:val="left"/>
        <w:rPr>
          <w:rFonts w:ascii="Arial" w:hAnsi="Arial" w:cs="Arial"/>
          <w:sz w:val="20"/>
          <w:szCs w:val="20"/>
        </w:rPr>
      </w:pPr>
      <w:r w:rsidRPr="003C1B18">
        <w:rPr>
          <w:rFonts w:ascii="Arial" w:hAnsi="Arial" w:cs="Arial"/>
          <w:b/>
          <w:bCs/>
          <w:sz w:val="20"/>
          <w:szCs w:val="20"/>
          <w:lang w:val="en-ZA"/>
        </w:rPr>
        <w:t>Long-term</w:t>
      </w:r>
      <w:r w:rsidR="0040176A" w:rsidRPr="003C1B18">
        <w:rPr>
          <w:rFonts w:ascii="Arial" w:hAnsi="Arial" w:cs="Arial"/>
          <w:b/>
          <w:bCs/>
          <w:sz w:val="20"/>
          <w:szCs w:val="20"/>
          <w:lang w:val="en-ZA"/>
        </w:rPr>
        <w:t xml:space="preserve"> measures to address the reconciliation </w:t>
      </w:r>
      <w:r w:rsidR="0040176A" w:rsidRPr="003C1B18">
        <w:rPr>
          <w:rFonts w:ascii="Arial" w:hAnsi="Arial" w:cs="Arial"/>
          <w:sz w:val="20"/>
          <w:szCs w:val="20"/>
          <w:lang w:val="en-ZA"/>
        </w:rPr>
        <w:t xml:space="preserve">– Postbank will develop a Business Case; facilitate the procurement of a solution and implementation of the reconciliation solution/system </w:t>
      </w:r>
      <w:r w:rsidR="0040176A" w:rsidRPr="003C1B18">
        <w:rPr>
          <w:rFonts w:ascii="Arial" w:hAnsi="Arial" w:cs="Arial"/>
          <w:sz w:val="20"/>
          <w:szCs w:val="20"/>
          <w:lang w:val="en-ZA"/>
        </w:rPr>
        <w:lastRenderedPageBreak/>
        <w:t>by the 31</w:t>
      </w:r>
      <w:r w:rsidR="0040176A" w:rsidRPr="003C1B18">
        <w:rPr>
          <w:rFonts w:ascii="Arial" w:hAnsi="Arial" w:cs="Arial"/>
          <w:sz w:val="20"/>
          <w:szCs w:val="20"/>
          <w:vertAlign w:val="superscript"/>
          <w:lang w:val="en-ZA"/>
        </w:rPr>
        <w:t>st</w:t>
      </w:r>
      <w:r w:rsidR="0040176A" w:rsidRPr="003C1B18">
        <w:rPr>
          <w:rFonts w:ascii="Arial" w:hAnsi="Arial" w:cs="Arial"/>
          <w:sz w:val="20"/>
          <w:szCs w:val="20"/>
          <w:lang w:val="en-ZA"/>
        </w:rPr>
        <w:t xml:space="preserve"> of October 2023. Management will ensure the reconciliation solution/system is implemented by the 30</w:t>
      </w:r>
      <w:r w:rsidR="0040176A" w:rsidRPr="003C1B18">
        <w:rPr>
          <w:rFonts w:ascii="Arial" w:hAnsi="Arial" w:cs="Arial"/>
          <w:sz w:val="20"/>
          <w:szCs w:val="20"/>
          <w:vertAlign w:val="superscript"/>
          <w:lang w:val="en-ZA"/>
        </w:rPr>
        <w:t>th</w:t>
      </w:r>
      <w:r w:rsidR="0040176A" w:rsidRPr="003C1B18">
        <w:rPr>
          <w:rFonts w:ascii="Arial" w:hAnsi="Arial" w:cs="Arial"/>
          <w:sz w:val="20"/>
          <w:szCs w:val="20"/>
          <w:lang w:val="en-ZA"/>
        </w:rPr>
        <w:t xml:space="preserve"> </w:t>
      </w:r>
      <w:r w:rsidR="005576C0" w:rsidRPr="003C1B18">
        <w:rPr>
          <w:rFonts w:ascii="Arial" w:hAnsi="Arial" w:cs="Arial"/>
          <w:sz w:val="20"/>
          <w:szCs w:val="20"/>
          <w:lang w:val="en-ZA"/>
        </w:rPr>
        <w:t xml:space="preserve">of </w:t>
      </w:r>
      <w:r w:rsidR="0040176A" w:rsidRPr="003C1B18">
        <w:rPr>
          <w:rFonts w:ascii="Arial" w:hAnsi="Arial" w:cs="Arial"/>
          <w:sz w:val="20"/>
          <w:szCs w:val="20"/>
          <w:lang w:val="en-ZA"/>
        </w:rPr>
        <w:t>October</w:t>
      </w:r>
      <w:r w:rsidRPr="003C1B18">
        <w:rPr>
          <w:rFonts w:ascii="Arial" w:hAnsi="Arial" w:cs="Arial"/>
          <w:sz w:val="20"/>
          <w:szCs w:val="20"/>
          <w:lang w:val="en-ZA"/>
        </w:rPr>
        <w:t>,</w:t>
      </w:r>
      <w:r w:rsidR="0040176A" w:rsidRPr="003C1B18">
        <w:rPr>
          <w:rFonts w:ascii="Arial" w:hAnsi="Arial" w:cs="Arial"/>
          <w:sz w:val="20"/>
          <w:szCs w:val="20"/>
          <w:lang w:val="en-ZA"/>
        </w:rPr>
        <w:t xml:space="preserve"> 2023 and ensure credible reporting in the Annual Financial Statements going forward.</w:t>
      </w:r>
    </w:p>
    <w:p w:rsidR="008B2EEF" w:rsidRPr="003C1B18" w:rsidRDefault="0016194D" w:rsidP="003C1B18">
      <w:pPr>
        <w:spacing w:after="0" w:line="240" w:lineRule="auto"/>
        <w:jc w:val="left"/>
        <w:rPr>
          <w:rFonts w:ascii="Arial" w:hAnsi="Arial" w:cs="Arial"/>
          <w:sz w:val="20"/>
          <w:szCs w:val="20"/>
        </w:rPr>
      </w:pPr>
      <w:r w:rsidRPr="003C1B18">
        <w:rPr>
          <w:rFonts w:ascii="Arial" w:hAnsi="Arial" w:cs="Arial"/>
          <w:sz w:val="20"/>
          <w:szCs w:val="20"/>
        </w:rPr>
        <w:t xml:space="preserve">The service provider, KPMG has been appointed to </w:t>
      </w:r>
      <w:r w:rsidR="005553F2" w:rsidRPr="003C1B18">
        <w:rPr>
          <w:rFonts w:ascii="Arial" w:hAnsi="Arial" w:cs="Arial"/>
          <w:sz w:val="20"/>
          <w:szCs w:val="20"/>
        </w:rPr>
        <w:t>investigate</w:t>
      </w:r>
      <w:r w:rsidRPr="003C1B18">
        <w:rPr>
          <w:rFonts w:ascii="Arial" w:hAnsi="Arial" w:cs="Arial"/>
          <w:sz w:val="20"/>
          <w:szCs w:val="20"/>
        </w:rPr>
        <w:t xml:space="preserve"> the root causes of material losses. The investigation will also assist in quantifying the total value of material losses incurred</w:t>
      </w:r>
      <w:r w:rsidR="005553F2" w:rsidRPr="003C1B18">
        <w:rPr>
          <w:rFonts w:ascii="Arial" w:hAnsi="Arial" w:cs="Arial"/>
          <w:sz w:val="20"/>
          <w:szCs w:val="20"/>
        </w:rPr>
        <w:t xml:space="preserve">, which will </w:t>
      </w:r>
      <w:r w:rsidRPr="003C1B18">
        <w:rPr>
          <w:rFonts w:ascii="Arial" w:hAnsi="Arial" w:cs="Arial"/>
          <w:sz w:val="20"/>
          <w:szCs w:val="20"/>
        </w:rPr>
        <w:t>be reported in the Annual Financial Statements.</w:t>
      </w:r>
    </w:p>
    <w:p w:rsidR="00F519CE" w:rsidRPr="003C1B18" w:rsidRDefault="00F519CE" w:rsidP="003C1B18">
      <w:pPr>
        <w:spacing w:after="0" w:line="240" w:lineRule="auto"/>
        <w:jc w:val="left"/>
        <w:rPr>
          <w:rFonts w:ascii="Arial" w:hAnsi="Arial" w:cs="Arial"/>
          <w:sz w:val="20"/>
          <w:szCs w:val="20"/>
        </w:rPr>
      </w:pPr>
    </w:p>
    <w:p w:rsidR="00F519CE" w:rsidRPr="003C1B18" w:rsidRDefault="00F519CE" w:rsidP="003C1B18">
      <w:pPr>
        <w:pStyle w:val="ListParagraph"/>
        <w:numPr>
          <w:ilvl w:val="0"/>
          <w:numId w:val="3"/>
        </w:numPr>
        <w:spacing w:after="0" w:line="240" w:lineRule="auto"/>
        <w:ind w:left="303"/>
        <w:jc w:val="left"/>
        <w:rPr>
          <w:rFonts w:ascii="Arial" w:hAnsi="Arial" w:cs="Arial"/>
          <w:b/>
          <w:bCs/>
          <w:sz w:val="20"/>
          <w:szCs w:val="20"/>
          <w:lang w:val="en-GB"/>
        </w:rPr>
      </w:pPr>
      <w:r w:rsidRPr="003C1B18">
        <w:rPr>
          <w:rFonts w:ascii="Arial" w:hAnsi="Arial" w:cs="Arial"/>
          <w:b/>
          <w:bCs/>
          <w:sz w:val="20"/>
          <w:szCs w:val="20"/>
          <w:lang w:val="en-GB"/>
        </w:rPr>
        <w:t>Broadband Infraco</w:t>
      </w:r>
      <w:r w:rsidR="000A47E7" w:rsidRPr="003C1B18">
        <w:rPr>
          <w:rFonts w:ascii="Arial" w:hAnsi="Arial" w:cs="Arial"/>
          <w:b/>
          <w:bCs/>
          <w:sz w:val="20"/>
          <w:szCs w:val="20"/>
          <w:lang w:val="en-GB"/>
        </w:rPr>
        <w:t xml:space="preserve"> (BBI)</w:t>
      </w:r>
    </w:p>
    <w:p w:rsidR="00F519CE" w:rsidRPr="003C1B18" w:rsidRDefault="00F519CE" w:rsidP="003C1B18">
      <w:pPr>
        <w:spacing w:after="0" w:line="240" w:lineRule="auto"/>
        <w:jc w:val="left"/>
        <w:rPr>
          <w:rFonts w:ascii="Arial" w:hAnsi="Arial" w:cs="Arial"/>
          <w:sz w:val="20"/>
          <w:szCs w:val="20"/>
        </w:rPr>
      </w:pPr>
      <w:r w:rsidRPr="003C1B18">
        <w:rPr>
          <w:rFonts w:ascii="Arial" w:hAnsi="Arial" w:cs="Arial"/>
          <w:sz w:val="20"/>
          <w:szCs w:val="20"/>
        </w:rPr>
        <w:t xml:space="preserve">BBI is a Schedule 2 </w:t>
      </w:r>
      <w:r w:rsidR="00E540D6" w:rsidRPr="003C1B18">
        <w:rPr>
          <w:rFonts w:ascii="Arial" w:hAnsi="Arial" w:cs="Arial"/>
          <w:sz w:val="20"/>
          <w:szCs w:val="20"/>
        </w:rPr>
        <w:t xml:space="preserve">Entity </w:t>
      </w:r>
      <w:r w:rsidRPr="003C1B18">
        <w:rPr>
          <w:rFonts w:ascii="Arial" w:hAnsi="Arial" w:cs="Arial"/>
          <w:sz w:val="20"/>
          <w:szCs w:val="20"/>
        </w:rPr>
        <w:t>in terms of the Public Finance Management Act No. 1 of 1999 (PFMA) (as amended) and is mandated through the Broadband Infraco Act, No. 33 of 2007 (the Act), amongst other key pieces of legislation.</w:t>
      </w:r>
    </w:p>
    <w:p w:rsidR="00F519CE" w:rsidRPr="003C1B18" w:rsidRDefault="00F519CE" w:rsidP="003C1B18">
      <w:pPr>
        <w:spacing w:after="0" w:line="240" w:lineRule="auto"/>
        <w:jc w:val="left"/>
        <w:rPr>
          <w:rFonts w:ascii="Arial" w:hAnsi="Arial" w:cs="Arial"/>
          <w:sz w:val="20"/>
          <w:szCs w:val="20"/>
        </w:rPr>
      </w:pPr>
      <w:r w:rsidRPr="003C1B18">
        <w:rPr>
          <w:rFonts w:ascii="Arial" w:hAnsi="Arial" w:cs="Arial"/>
          <w:sz w:val="20"/>
          <w:szCs w:val="20"/>
        </w:rPr>
        <w:t>The Company has two Shareholders - the Department of Communications and Digital Technologies (DCDT), representing the South African Government (owning 74 per cent of the shares), and the Industrial Development Corporation (IDC)</w:t>
      </w:r>
      <w:r w:rsidR="005553F2" w:rsidRPr="003C1B18">
        <w:rPr>
          <w:rFonts w:ascii="Arial" w:hAnsi="Arial" w:cs="Arial"/>
          <w:sz w:val="20"/>
          <w:szCs w:val="20"/>
        </w:rPr>
        <w:t>,</w:t>
      </w:r>
      <w:r w:rsidRPr="003C1B18">
        <w:rPr>
          <w:rFonts w:ascii="Arial" w:hAnsi="Arial" w:cs="Arial"/>
          <w:sz w:val="20"/>
          <w:szCs w:val="20"/>
        </w:rPr>
        <w:t xml:space="preserve"> which owns 26 per cent of the shares.</w:t>
      </w:r>
    </w:p>
    <w:p w:rsidR="00894577" w:rsidRPr="003C1B18" w:rsidRDefault="00975BE7" w:rsidP="003C1B18">
      <w:pPr>
        <w:spacing w:after="0" w:line="240" w:lineRule="auto"/>
        <w:jc w:val="left"/>
        <w:rPr>
          <w:rFonts w:ascii="Arial" w:hAnsi="Arial" w:cs="Arial"/>
          <w:sz w:val="20"/>
          <w:szCs w:val="20"/>
        </w:rPr>
      </w:pPr>
      <w:r w:rsidRPr="003C1B18">
        <w:rPr>
          <w:rFonts w:ascii="Arial" w:hAnsi="Arial" w:cs="Arial"/>
          <w:sz w:val="20"/>
          <w:szCs w:val="20"/>
        </w:rPr>
        <w:t>The legislative mandate is set out in the Broadband Infraco Act No. 33 of 2007 (the Act). Its objectives are to expand the availability and affordability of access to electronic communications</w:t>
      </w:r>
      <w:r w:rsidR="005553F2" w:rsidRPr="003C1B18">
        <w:rPr>
          <w:rFonts w:ascii="Arial" w:hAnsi="Arial" w:cs="Arial"/>
          <w:sz w:val="20"/>
          <w:szCs w:val="20"/>
        </w:rPr>
        <w:t>,</w:t>
      </w:r>
      <w:r w:rsidRPr="003C1B18">
        <w:rPr>
          <w:rFonts w:ascii="Arial" w:hAnsi="Arial" w:cs="Arial"/>
          <w:sz w:val="20"/>
          <w:szCs w:val="20"/>
        </w:rPr>
        <w:t xml:space="preserve"> including, but not limited to, under-developed and under-serviced areas. The objects of the Act are aligned with the Electronic Communications Act No. 36 of 2005 and commensurate with international best </w:t>
      </w:r>
      <w:r w:rsidR="005553F2" w:rsidRPr="003C1B18">
        <w:rPr>
          <w:rFonts w:ascii="Arial" w:hAnsi="Arial" w:cs="Arial"/>
          <w:sz w:val="20"/>
          <w:szCs w:val="20"/>
        </w:rPr>
        <w:t>practices</w:t>
      </w:r>
      <w:r w:rsidRPr="003C1B18">
        <w:rPr>
          <w:rFonts w:ascii="Arial" w:hAnsi="Arial" w:cs="Arial"/>
          <w:sz w:val="20"/>
          <w:szCs w:val="20"/>
        </w:rPr>
        <w:t xml:space="preserve"> and pricing through the provision of electronic communications network services and electronic communications services, expand the availability and affordability of access to electronic communications, including (but not limited) to </w:t>
      </w:r>
      <w:r w:rsidR="005553F2" w:rsidRPr="003C1B18">
        <w:rPr>
          <w:rFonts w:ascii="Arial" w:hAnsi="Arial" w:cs="Arial"/>
          <w:sz w:val="20"/>
          <w:szCs w:val="20"/>
        </w:rPr>
        <w:t>underdeveloped</w:t>
      </w:r>
      <w:r w:rsidRPr="003C1B18">
        <w:rPr>
          <w:rFonts w:ascii="Arial" w:hAnsi="Arial" w:cs="Arial"/>
          <w:sz w:val="20"/>
          <w:szCs w:val="20"/>
        </w:rPr>
        <w:t xml:space="preserve"> and underserviced areas.</w:t>
      </w:r>
    </w:p>
    <w:p w:rsidR="000731F9" w:rsidRPr="003C1B18" w:rsidRDefault="000731F9" w:rsidP="003C1B18">
      <w:pPr>
        <w:spacing w:after="0" w:line="240" w:lineRule="auto"/>
        <w:jc w:val="left"/>
        <w:rPr>
          <w:rFonts w:ascii="Arial" w:hAnsi="Arial" w:cs="Arial"/>
          <w:b/>
          <w:sz w:val="20"/>
          <w:szCs w:val="20"/>
        </w:rPr>
      </w:pPr>
      <w:r w:rsidRPr="003C1B18">
        <w:rPr>
          <w:rFonts w:ascii="Arial" w:hAnsi="Arial" w:cs="Arial"/>
          <w:b/>
          <w:sz w:val="20"/>
          <w:szCs w:val="20"/>
        </w:rPr>
        <w:t>Performance Summary as at March 2022</w:t>
      </w:r>
    </w:p>
    <w:p w:rsidR="000731F9" w:rsidRPr="003C1B18" w:rsidRDefault="00643BAF" w:rsidP="003C1B18">
      <w:pPr>
        <w:spacing w:after="0" w:line="240" w:lineRule="auto"/>
        <w:jc w:val="left"/>
        <w:rPr>
          <w:rFonts w:ascii="Arial" w:hAnsi="Arial" w:cs="Arial"/>
          <w:sz w:val="20"/>
          <w:szCs w:val="20"/>
        </w:rPr>
      </w:pPr>
      <w:r w:rsidRPr="003C1B18">
        <w:rPr>
          <w:rFonts w:ascii="Arial" w:hAnsi="Arial" w:cs="Arial"/>
          <w:sz w:val="20"/>
          <w:szCs w:val="20"/>
        </w:rPr>
        <w:t xml:space="preserve">The Company has achieved </w:t>
      </w:r>
      <w:r w:rsidR="001E65A7" w:rsidRPr="003C1B18">
        <w:rPr>
          <w:rFonts w:ascii="Arial" w:hAnsi="Arial" w:cs="Arial"/>
          <w:sz w:val="20"/>
          <w:szCs w:val="20"/>
        </w:rPr>
        <w:t xml:space="preserve">fourteen (14) out of nineteen (19) targets, which represents </w:t>
      </w:r>
      <w:r w:rsidRPr="003C1B18">
        <w:rPr>
          <w:rFonts w:ascii="Arial" w:hAnsi="Arial" w:cs="Arial"/>
          <w:sz w:val="20"/>
          <w:szCs w:val="20"/>
        </w:rPr>
        <w:t>74</w:t>
      </w:r>
      <w:r w:rsidR="009666D3" w:rsidRPr="003C1B18">
        <w:rPr>
          <w:rFonts w:ascii="Arial" w:hAnsi="Arial" w:cs="Arial"/>
          <w:sz w:val="20"/>
          <w:szCs w:val="20"/>
        </w:rPr>
        <w:t xml:space="preserve"> per cent</w:t>
      </w:r>
      <w:r w:rsidR="001E65A7" w:rsidRPr="003C1B18">
        <w:rPr>
          <w:rFonts w:ascii="Arial" w:hAnsi="Arial" w:cs="Arial"/>
          <w:sz w:val="20"/>
          <w:szCs w:val="20"/>
        </w:rPr>
        <w:t xml:space="preserve"> of its annual targets</w:t>
      </w:r>
      <w:r w:rsidRPr="003C1B18">
        <w:rPr>
          <w:rFonts w:ascii="Arial" w:hAnsi="Arial" w:cs="Arial"/>
          <w:sz w:val="20"/>
          <w:szCs w:val="20"/>
        </w:rPr>
        <w:t>. Fourteen of the nineteen targets were achieved. Four financial sustainability targets and one socio-economic</w:t>
      </w:r>
      <w:r w:rsidR="009666D3" w:rsidRPr="003C1B18">
        <w:rPr>
          <w:rFonts w:ascii="Arial" w:hAnsi="Arial" w:cs="Arial"/>
          <w:sz w:val="20"/>
          <w:szCs w:val="20"/>
        </w:rPr>
        <w:t xml:space="preserve"> </w:t>
      </w:r>
      <w:r w:rsidRPr="003C1B18">
        <w:rPr>
          <w:rFonts w:ascii="Arial" w:hAnsi="Arial" w:cs="Arial"/>
          <w:sz w:val="20"/>
          <w:szCs w:val="20"/>
        </w:rPr>
        <w:t xml:space="preserve">target </w:t>
      </w:r>
      <w:r w:rsidR="00370146" w:rsidRPr="003C1B18">
        <w:rPr>
          <w:rFonts w:ascii="Arial" w:hAnsi="Arial" w:cs="Arial"/>
          <w:sz w:val="20"/>
          <w:szCs w:val="20"/>
        </w:rPr>
        <w:t>were</w:t>
      </w:r>
      <w:r w:rsidRPr="003C1B18">
        <w:rPr>
          <w:rFonts w:ascii="Arial" w:hAnsi="Arial" w:cs="Arial"/>
          <w:sz w:val="20"/>
          <w:szCs w:val="20"/>
        </w:rPr>
        <w:t xml:space="preserve"> not achieved.</w:t>
      </w:r>
    </w:p>
    <w:p w:rsidR="000731F9" w:rsidRPr="003C1B18" w:rsidRDefault="009666D3" w:rsidP="003C1B18">
      <w:pPr>
        <w:spacing w:after="0" w:line="240" w:lineRule="auto"/>
        <w:jc w:val="left"/>
        <w:rPr>
          <w:rFonts w:ascii="Arial" w:hAnsi="Arial" w:cs="Arial"/>
          <w:sz w:val="20"/>
          <w:szCs w:val="20"/>
        </w:rPr>
      </w:pPr>
      <w:r w:rsidRPr="003C1B18">
        <w:rPr>
          <w:rFonts w:ascii="Arial" w:hAnsi="Arial" w:cs="Arial"/>
          <w:sz w:val="20"/>
          <w:szCs w:val="20"/>
        </w:rPr>
        <w:t xml:space="preserve">The Company </w:t>
      </w:r>
      <w:r w:rsidR="00370146" w:rsidRPr="003C1B18">
        <w:rPr>
          <w:rFonts w:ascii="Arial" w:hAnsi="Arial" w:cs="Arial"/>
          <w:sz w:val="20"/>
          <w:szCs w:val="20"/>
        </w:rPr>
        <w:t>could not</w:t>
      </w:r>
      <w:r w:rsidRPr="003C1B18">
        <w:rPr>
          <w:rFonts w:ascii="Arial" w:hAnsi="Arial" w:cs="Arial"/>
          <w:sz w:val="20"/>
          <w:szCs w:val="20"/>
        </w:rPr>
        <w:t xml:space="preserve"> commence the process of raising funds in the market due to the delay in the approval of the network investment plan. BBI also has low cash flow levels and </w:t>
      </w:r>
      <w:r w:rsidR="00370146" w:rsidRPr="003C1B18">
        <w:rPr>
          <w:rFonts w:ascii="Arial" w:hAnsi="Arial" w:cs="Arial"/>
          <w:sz w:val="20"/>
          <w:szCs w:val="20"/>
        </w:rPr>
        <w:t xml:space="preserve">a </w:t>
      </w:r>
      <w:r w:rsidRPr="003C1B18">
        <w:rPr>
          <w:rFonts w:ascii="Arial" w:hAnsi="Arial" w:cs="Arial"/>
          <w:sz w:val="20"/>
          <w:szCs w:val="20"/>
        </w:rPr>
        <w:t>lack of debt repayment history</w:t>
      </w:r>
      <w:r w:rsidR="00370146" w:rsidRPr="003C1B18">
        <w:rPr>
          <w:rFonts w:ascii="Arial" w:hAnsi="Arial" w:cs="Arial"/>
          <w:sz w:val="20"/>
          <w:szCs w:val="20"/>
        </w:rPr>
        <w:t>. These</w:t>
      </w:r>
      <w:r w:rsidRPr="003C1B18">
        <w:rPr>
          <w:rFonts w:ascii="Arial" w:hAnsi="Arial" w:cs="Arial"/>
          <w:sz w:val="20"/>
          <w:szCs w:val="20"/>
        </w:rPr>
        <w:t xml:space="preserve"> factors contributed significantly to the non-achievement of the financial sustainability targets of the Company. The revenue is impacted in the main by </w:t>
      </w:r>
      <w:r w:rsidR="00370146" w:rsidRPr="003C1B18">
        <w:rPr>
          <w:rFonts w:ascii="Arial" w:hAnsi="Arial" w:cs="Arial"/>
          <w:sz w:val="20"/>
          <w:szCs w:val="20"/>
        </w:rPr>
        <w:t xml:space="preserve">the </w:t>
      </w:r>
      <w:r w:rsidRPr="003C1B18">
        <w:rPr>
          <w:rFonts w:ascii="Arial" w:hAnsi="Arial" w:cs="Arial"/>
          <w:sz w:val="20"/>
          <w:szCs w:val="20"/>
        </w:rPr>
        <w:t xml:space="preserve">dropping of contracted links, price pressure due to fierce competition in the market, long outstanding debts, and self-provisioning by major customers. </w:t>
      </w:r>
      <w:r w:rsidR="00370146" w:rsidRPr="003C1B18">
        <w:rPr>
          <w:rFonts w:ascii="Arial" w:hAnsi="Arial" w:cs="Arial"/>
          <w:sz w:val="20"/>
          <w:szCs w:val="20"/>
        </w:rPr>
        <w:t>Due to some long outstanding debts, the debtors’ collection period has increased to 58 days compared to 28 days in the previous financial year</w:t>
      </w:r>
      <w:r w:rsidRPr="003C1B18">
        <w:rPr>
          <w:rFonts w:ascii="Arial" w:hAnsi="Arial" w:cs="Arial"/>
          <w:sz w:val="20"/>
          <w:szCs w:val="20"/>
        </w:rPr>
        <w:t xml:space="preserve">. Low </w:t>
      </w:r>
      <w:r w:rsidR="00370146" w:rsidRPr="003C1B18">
        <w:rPr>
          <w:rFonts w:ascii="Arial" w:hAnsi="Arial" w:cs="Arial"/>
          <w:sz w:val="20"/>
          <w:szCs w:val="20"/>
        </w:rPr>
        <w:t>procurement levels</w:t>
      </w:r>
      <w:r w:rsidRPr="003C1B18">
        <w:rPr>
          <w:rFonts w:ascii="Arial" w:hAnsi="Arial" w:cs="Arial"/>
          <w:sz w:val="20"/>
          <w:szCs w:val="20"/>
        </w:rPr>
        <w:t xml:space="preserve"> and low </w:t>
      </w:r>
      <w:r w:rsidR="00370146" w:rsidRPr="003C1B18">
        <w:rPr>
          <w:rFonts w:ascii="Arial" w:hAnsi="Arial" w:cs="Arial"/>
          <w:sz w:val="20"/>
          <w:szCs w:val="20"/>
        </w:rPr>
        <w:t>spending</w:t>
      </w:r>
      <w:r w:rsidRPr="003C1B18">
        <w:rPr>
          <w:rFonts w:ascii="Arial" w:hAnsi="Arial" w:cs="Arial"/>
          <w:sz w:val="20"/>
          <w:szCs w:val="20"/>
        </w:rPr>
        <w:t xml:space="preserve"> on training and development due to financial constraints contributed significantly to the regression of the B-BBEE Level.</w:t>
      </w:r>
    </w:p>
    <w:p w:rsidR="00B276CB" w:rsidRPr="003C1B18" w:rsidRDefault="007A5F25" w:rsidP="003C1B18">
      <w:pPr>
        <w:spacing w:after="0" w:line="240" w:lineRule="auto"/>
        <w:jc w:val="left"/>
        <w:rPr>
          <w:rFonts w:ascii="Arial" w:hAnsi="Arial" w:cs="Arial"/>
          <w:sz w:val="20"/>
          <w:szCs w:val="20"/>
        </w:rPr>
      </w:pPr>
      <w:r w:rsidRPr="003C1B18">
        <w:rPr>
          <w:rFonts w:ascii="Arial" w:hAnsi="Arial" w:cs="Arial"/>
          <w:sz w:val="20"/>
          <w:szCs w:val="20"/>
        </w:rPr>
        <w:t xml:space="preserve">The Company has survived by using </w:t>
      </w:r>
      <w:r w:rsidR="00370146" w:rsidRPr="003C1B18">
        <w:rPr>
          <w:rFonts w:ascii="Arial" w:hAnsi="Arial" w:cs="Arial"/>
          <w:sz w:val="20"/>
          <w:szCs w:val="20"/>
        </w:rPr>
        <w:t xml:space="preserve">the </w:t>
      </w:r>
      <w:r w:rsidRPr="003C1B18">
        <w:rPr>
          <w:rFonts w:ascii="Arial" w:hAnsi="Arial" w:cs="Arial"/>
          <w:sz w:val="20"/>
          <w:szCs w:val="20"/>
        </w:rPr>
        <w:t xml:space="preserve">cash generated from operations since 2012. This has resulted in very low levels of network investment and has </w:t>
      </w:r>
      <w:r w:rsidR="00370146" w:rsidRPr="003C1B18">
        <w:rPr>
          <w:rFonts w:ascii="Arial" w:hAnsi="Arial" w:cs="Arial"/>
          <w:sz w:val="20"/>
          <w:szCs w:val="20"/>
        </w:rPr>
        <w:t>impacted</w:t>
      </w:r>
      <w:r w:rsidRPr="003C1B18">
        <w:rPr>
          <w:rFonts w:ascii="Arial" w:hAnsi="Arial" w:cs="Arial"/>
          <w:sz w:val="20"/>
          <w:szCs w:val="20"/>
        </w:rPr>
        <w:t xml:space="preserve"> the ability to expand and upgrade the current infrastructure, including being unable to replace the obsolete ADLash fibre. This and </w:t>
      </w:r>
      <w:r w:rsidR="00370146" w:rsidRPr="003C1B18">
        <w:rPr>
          <w:rFonts w:ascii="Arial" w:hAnsi="Arial" w:cs="Arial"/>
          <w:sz w:val="20"/>
          <w:szCs w:val="20"/>
        </w:rPr>
        <w:t>load shedding</w:t>
      </w:r>
      <w:r w:rsidRPr="003C1B18">
        <w:rPr>
          <w:rFonts w:ascii="Arial" w:hAnsi="Arial" w:cs="Arial"/>
          <w:sz w:val="20"/>
          <w:szCs w:val="20"/>
        </w:rPr>
        <w:t xml:space="preserve"> </w:t>
      </w:r>
      <w:r w:rsidR="00370146" w:rsidRPr="003C1B18">
        <w:rPr>
          <w:rFonts w:ascii="Arial" w:hAnsi="Arial" w:cs="Arial"/>
          <w:sz w:val="20"/>
          <w:szCs w:val="20"/>
        </w:rPr>
        <w:t>has</w:t>
      </w:r>
      <w:r w:rsidRPr="003C1B18">
        <w:rPr>
          <w:rFonts w:ascii="Arial" w:hAnsi="Arial" w:cs="Arial"/>
          <w:sz w:val="20"/>
          <w:szCs w:val="20"/>
        </w:rPr>
        <w:t xml:space="preserve"> increased the </w:t>
      </w:r>
      <w:r w:rsidR="00370146" w:rsidRPr="003C1B18">
        <w:rPr>
          <w:rFonts w:ascii="Arial" w:hAnsi="Arial" w:cs="Arial"/>
          <w:sz w:val="20"/>
          <w:szCs w:val="20"/>
        </w:rPr>
        <w:t>network's instability, impacting</w:t>
      </w:r>
      <w:r w:rsidRPr="003C1B18">
        <w:rPr>
          <w:rFonts w:ascii="Arial" w:hAnsi="Arial" w:cs="Arial"/>
          <w:sz w:val="20"/>
          <w:szCs w:val="20"/>
        </w:rPr>
        <w:t xml:space="preserve"> customer satisfaction during the year under review. </w:t>
      </w:r>
    </w:p>
    <w:p w:rsidR="009666D3" w:rsidRPr="003C1B18" w:rsidRDefault="007A5F25" w:rsidP="003C1B18">
      <w:pPr>
        <w:spacing w:after="0" w:line="240" w:lineRule="auto"/>
        <w:jc w:val="left"/>
        <w:rPr>
          <w:rFonts w:ascii="Arial" w:hAnsi="Arial" w:cs="Arial"/>
          <w:sz w:val="20"/>
          <w:szCs w:val="20"/>
        </w:rPr>
      </w:pPr>
      <w:r w:rsidRPr="003C1B18">
        <w:rPr>
          <w:rFonts w:ascii="Arial" w:hAnsi="Arial" w:cs="Arial"/>
          <w:sz w:val="20"/>
          <w:szCs w:val="20"/>
        </w:rPr>
        <w:t xml:space="preserve">The new normal that was caused by the outbreak of the COVID-19 pandemic altered working from physical locations (offices) to home offices, with meetings held virtually and learning for school pupils conducted digitally. Many children in rural and underserviced areas were left out of the e-learning process due to the widening digital divide in our country. Broadband Infraco is poised to expand broadband connectivity to ensure </w:t>
      </w:r>
      <w:r w:rsidR="005576C0" w:rsidRPr="003C1B18">
        <w:rPr>
          <w:rFonts w:ascii="Arial" w:hAnsi="Arial" w:cs="Arial"/>
          <w:sz w:val="20"/>
          <w:szCs w:val="20"/>
        </w:rPr>
        <w:t xml:space="preserve">the </w:t>
      </w:r>
      <w:r w:rsidRPr="003C1B18">
        <w:rPr>
          <w:rFonts w:ascii="Arial" w:hAnsi="Arial" w:cs="Arial"/>
          <w:sz w:val="20"/>
          <w:szCs w:val="20"/>
        </w:rPr>
        <w:t xml:space="preserve">inclusivity of all citizens in e-government, e-health, e-commerce, digital </w:t>
      </w:r>
      <w:r w:rsidR="005576C0" w:rsidRPr="003C1B18">
        <w:rPr>
          <w:rFonts w:ascii="Arial" w:hAnsi="Arial" w:cs="Arial"/>
          <w:sz w:val="20"/>
          <w:szCs w:val="20"/>
        </w:rPr>
        <w:t>economy,</w:t>
      </w:r>
      <w:r w:rsidRPr="003C1B18">
        <w:rPr>
          <w:rFonts w:ascii="Arial" w:hAnsi="Arial" w:cs="Arial"/>
          <w:sz w:val="20"/>
          <w:szCs w:val="20"/>
        </w:rPr>
        <w:t xml:space="preserve"> and e-learning.</w:t>
      </w:r>
    </w:p>
    <w:p w:rsidR="007A5F25" w:rsidRPr="003C1B18" w:rsidRDefault="007A5F25" w:rsidP="003C1B18">
      <w:pPr>
        <w:spacing w:after="0" w:line="240" w:lineRule="auto"/>
        <w:jc w:val="left"/>
        <w:rPr>
          <w:rFonts w:ascii="Arial" w:hAnsi="Arial" w:cs="Arial"/>
          <w:sz w:val="20"/>
          <w:szCs w:val="20"/>
        </w:rPr>
      </w:pPr>
      <w:r w:rsidRPr="003C1B18">
        <w:rPr>
          <w:rFonts w:ascii="Arial" w:hAnsi="Arial" w:cs="Arial"/>
          <w:noProof/>
          <w:sz w:val="20"/>
          <w:szCs w:val="20"/>
        </w:rPr>
        <w:lastRenderedPageBreak/>
        <w:drawing>
          <wp:inline distT="0" distB="0" distL="0" distR="0">
            <wp:extent cx="3318098"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23694" cy="2633334"/>
                    </a:xfrm>
                    <a:prstGeom prst="rect">
                      <a:avLst/>
                    </a:prstGeom>
                    <a:noFill/>
                    <a:ln>
                      <a:noFill/>
                    </a:ln>
                  </pic:spPr>
                </pic:pic>
              </a:graphicData>
            </a:graphic>
          </wp:inline>
        </w:drawing>
      </w:r>
    </w:p>
    <w:p w:rsidR="007A5F25" w:rsidRPr="003C1B18" w:rsidRDefault="007A5F25" w:rsidP="003C1B18">
      <w:pPr>
        <w:spacing w:after="0" w:line="240" w:lineRule="auto"/>
        <w:jc w:val="left"/>
        <w:rPr>
          <w:rFonts w:ascii="Arial" w:hAnsi="Arial" w:cs="Arial"/>
          <w:b/>
          <w:sz w:val="20"/>
          <w:szCs w:val="20"/>
        </w:rPr>
      </w:pPr>
    </w:p>
    <w:p w:rsidR="00721B01" w:rsidRPr="003C1B18" w:rsidRDefault="00721B01" w:rsidP="003C1B18">
      <w:pPr>
        <w:spacing w:after="0" w:line="240" w:lineRule="auto"/>
        <w:jc w:val="left"/>
        <w:rPr>
          <w:rFonts w:ascii="Arial" w:hAnsi="Arial" w:cs="Arial"/>
          <w:b/>
          <w:sz w:val="20"/>
          <w:szCs w:val="20"/>
        </w:rPr>
      </w:pPr>
    </w:p>
    <w:p w:rsidR="000731F9" w:rsidRPr="003C1B18" w:rsidRDefault="000731F9" w:rsidP="003C1B18">
      <w:pPr>
        <w:spacing w:after="0" w:line="240" w:lineRule="auto"/>
        <w:jc w:val="left"/>
        <w:rPr>
          <w:rFonts w:ascii="Arial" w:hAnsi="Arial" w:cs="Arial"/>
          <w:b/>
          <w:sz w:val="20"/>
          <w:szCs w:val="20"/>
        </w:rPr>
      </w:pPr>
      <w:r w:rsidRPr="003C1B18">
        <w:rPr>
          <w:rFonts w:ascii="Arial" w:hAnsi="Arial" w:cs="Arial"/>
          <w:b/>
          <w:sz w:val="20"/>
          <w:szCs w:val="20"/>
        </w:rPr>
        <w:t xml:space="preserve">Operational </w:t>
      </w:r>
      <w:r w:rsidR="007A5F25" w:rsidRPr="003C1B18">
        <w:rPr>
          <w:rFonts w:ascii="Arial" w:hAnsi="Arial" w:cs="Arial"/>
          <w:b/>
          <w:sz w:val="20"/>
          <w:szCs w:val="20"/>
        </w:rPr>
        <w:t>Highlights 2021/22</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A total of five customers were acquired in the year under review.</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 xml:space="preserve">Strategic Partnerships – BBI recently signed a partnership agreement with a local Cloud and IT services company which has started to yield results with the one of BBI’s customers who are interested in the hosted cloud service. This will enable us to extend our offerings to include Cloud Services to exiting backhaul services – adding additional revenue. </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Channel Partner Training – BBI provided training to one of the strategic partners on its products and services</w:t>
      </w:r>
      <w:r w:rsidR="00370146" w:rsidRPr="003C1B18">
        <w:rPr>
          <w:rFonts w:ascii="Arial" w:hAnsi="Arial" w:cs="Arial"/>
          <w:sz w:val="20"/>
          <w:szCs w:val="20"/>
        </w:rPr>
        <w:t>. Additionally,</w:t>
      </w:r>
      <w:r w:rsidRPr="003C1B18">
        <w:rPr>
          <w:rFonts w:ascii="Arial" w:hAnsi="Arial" w:cs="Arial"/>
          <w:sz w:val="20"/>
          <w:szCs w:val="20"/>
        </w:rPr>
        <w:t xml:space="preserve"> the process training was conducted to ensure a seamless introduction to BBI’s internal processes.</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 xml:space="preserve">BBI concluded a letter of agreement with one of the provinces on the Intergovernmental Framework. This was for the continuation of services following the </w:t>
      </w:r>
      <w:r w:rsidR="00370146" w:rsidRPr="003C1B18">
        <w:rPr>
          <w:rFonts w:ascii="Arial" w:hAnsi="Arial" w:cs="Arial"/>
          <w:sz w:val="20"/>
          <w:szCs w:val="20"/>
        </w:rPr>
        <w:t>existing contract's expiration</w:t>
      </w:r>
      <w:r w:rsidRPr="003C1B18">
        <w:rPr>
          <w:rFonts w:ascii="Arial" w:hAnsi="Arial" w:cs="Arial"/>
          <w:sz w:val="20"/>
          <w:szCs w:val="20"/>
        </w:rPr>
        <w:t>. The opportunity is to replace a private contract with a government-to-government deal.</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BBI has been selected as one of the preferred Service Providers for IT Infrastructure at Dube Trade Port in KZN. Dube Trade Port has already sent requests for quotations on 1Gbps IP Transit and 10Gb Layer 2 connectivity from Teraco Durban to Dube Trade Port Offices.</w:t>
      </w:r>
    </w:p>
    <w:p w:rsidR="000731F9"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 xml:space="preserve">C4IR – BBI was selected by CSIR to partner with the Centre for the Fourth Industrial Revolution (C4IR) to accelerate the adoption of </w:t>
      </w:r>
      <w:r w:rsidR="00370146" w:rsidRPr="003C1B18">
        <w:rPr>
          <w:rFonts w:ascii="Arial" w:hAnsi="Arial" w:cs="Arial"/>
          <w:sz w:val="20"/>
          <w:szCs w:val="20"/>
        </w:rPr>
        <w:t xml:space="preserve">the </w:t>
      </w:r>
      <w:r w:rsidRPr="003C1B18">
        <w:rPr>
          <w:rFonts w:ascii="Arial" w:hAnsi="Arial" w:cs="Arial"/>
          <w:sz w:val="20"/>
          <w:szCs w:val="20"/>
        </w:rPr>
        <w:t>implementation of the Internet of Things (IoT) by the SMMEs Project. BBI’s role will be to provide Backhaul on its NLD Network from the region to Teraco Isando.</w:t>
      </w:r>
    </w:p>
    <w:p w:rsidR="007A5F25" w:rsidRPr="003C1B18" w:rsidRDefault="000731F9" w:rsidP="003C1B18">
      <w:pPr>
        <w:pStyle w:val="ListParagraph"/>
        <w:numPr>
          <w:ilvl w:val="0"/>
          <w:numId w:val="10"/>
        </w:numPr>
        <w:spacing w:after="0" w:line="240" w:lineRule="auto"/>
        <w:jc w:val="left"/>
        <w:rPr>
          <w:rFonts w:ascii="Arial" w:hAnsi="Arial" w:cs="Arial"/>
          <w:sz w:val="20"/>
          <w:szCs w:val="20"/>
        </w:rPr>
      </w:pPr>
      <w:r w:rsidRPr="003C1B18">
        <w:rPr>
          <w:rFonts w:ascii="Arial" w:hAnsi="Arial" w:cs="Arial"/>
          <w:sz w:val="20"/>
          <w:szCs w:val="20"/>
        </w:rPr>
        <w:t>KZN DoE – BBI has successfully deployed 10Mbps Internet to 36 of the 38 Schools in the KZN Region. We are currently in discussions to set up support processes with the selected contractors to address post-installation support services</w:t>
      </w:r>
      <w:r w:rsidR="00E540D6" w:rsidRPr="003C1B18">
        <w:rPr>
          <w:rFonts w:ascii="Arial" w:hAnsi="Arial" w:cs="Arial"/>
          <w:sz w:val="20"/>
          <w:szCs w:val="20"/>
        </w:rPr>
        <w:t>.</w:t>
      </w:r>
    </w:p>
    <w:p w:rsidR="007A5F25" w:rsidRPr="003C1B18" w:rsidRDefault="007A5F25" w:rsidP="003C1B18">
      <w:pPr>
        <w:spacing w:after="0" w:line="240" w:lineRule="auto"/>
        <w:jc w:val="left"/>
        <w:rPr>
          <w:rFonts w:ascii="Arial" w:hAnsi="Arial" w:cs="Arial"/>
          <w:b/>
          <w:sz w:val="20"/>
          <w:szCs w:val="20"/>
        </w:rPr>
      </w:pPr>
      <w:r w:rsidRPr="003C1B18">
        <w:rPr>
          <w:rFonts w:ascii="Arial" w:hAnsi="Arial" w:cs="Arial"/>
          <w:b/>
          <w:sz w:val="20"/>
          <w:szCs w:val="20"/>
        </w:rPr>
        <w:t>Key Financial Highlights 2021/22</w:t>
      </w:r>
    </w:p>
    <w:p w:rsidR="007A5F25" w:rsidRPr="003C1B18" w:rsidRDefault="007A5F25" w:rsidP="003C1B18">
      <w:pPr>
        <w:spacing w:after="0" w:line="240" w:lineRule="auto"/>
        <w:jc w:val="left"/>
        <w:rPr>
          <w:rFonts w:ascii="Arial" w:hAnsi="Arial" w:cs="Arial"/>
          <w:sz w:val="20"/>
          <w:szCs w:val="20"/>
        </w:rPr>
      </w:pPr>
      <w:r w:rsidRPr="003C1B18">
        <w:rPr>
          <w:rFonts w:ascii="Arial" w:hAnsi="Arial" w:cs="Arial"/>
          <w:sz w:val="20"/>
          <w:szCs w:val="20"/>
        </w:rPr>
        <w:t>Company revenue decreased by 5.47</w:t>
      </w:r>
      <w:r w:rsidR="00A463BD" w:rsidRPr="003C1B18">
        <w:rPr>
          <w:rFonts w:ascii="Arial" w:hAnsi="Arial" w:cs="Arial"/>
          <w:sz w:val="20"/>
          <w:szCs w:val="20"/>
        </w:rPr>
        <w:t xml:space="preserve"> per cent</w:t>
      </w:r>
      <w:r w:rsidR="00B276CB" w:rsidRPr="003C1B18">
        <w:rPr>
          <w:rFonts w:ascii="Arial" w:hAnsi="Arial" w:cs="Arial"/>
          <w:sz w:val="20"/>
          <w:szCs w:val="20"/>
        </w:rPr>
        <w:t xml:space="preserve"> </w:t>
      </w:r>
      <w:r w:rsidRPr="003C1B18">
        <w:rPr>
          <w:rFonts w:ascii="Arial" w:hAnsi="Arial" w:cs="Arial"/>
          <w:sz w:val="20"/>
          <w:szCs w:val="20"/>
        </w:rPr>
        <w:t>from R463 million in the prior year to R 437 million f</w:t>
      </w:r>
      <w:r w:rsidR="00B276CB" w:rsidRPr="003C1B18">
        <w:rPr>
          <w:rFonts w:ascii="Arial" w:hAnsi="Arial" w:cs="Arial"/>
          <w:sz w:val="20"/>
          <w:szCs w:val="20"/>
        </w:rPr>
        <w:t xml:space="preserve">or the year ended 31 March 2022 and against a target of </w:t>
      </w:r>
      <w:r w:rsidR="00370146" w:rsidRPr="003C1B18">
        <w:rPr>
          <w:rFonts w:ascii="Arial" w:hAnsi="Arial" w:cs="Arial"/>
          <w:sz w:val="20"/>
          <w:szCs w:val="20"/>
        </w:rPr>
        <w:t xml:space="preserve">a </w:t>
      </w:r>
      <w:r w:rsidR="00B276CB" w:rsidRPr="003C1B18">
        <w:rPr>
          <w:rFonts w:ascii="Arial" w:hAnsi="Arial" w:cs="Arial"/>
          <w:sz w:val="20"/>
          <w:szCs w:val="20"/>
        </w:rPr>
        <w:t>36 per cent increase.</w:t>
      </w:r>
    </w:p>
    <w:p w:rsidR="007A5F25" w:rsidRPr="003C1B18" w:rsidRDefault="007A5F25" w:rsidP="003C1B18">
      <w:pPr>
        <w:spacing w:after="0" w:line="240" w:lineRule="auto"/>
        <w:jc w:val="left"/>
        <w:rPr>
          <w:rFonts w:ascii="Arial" w:hAnsi="Arial" w:cs="Arial"/>
          <w:sz w:val="20"/>
          <w:szCs w:val="20"/>
        </w:rPr>
      </w:pPr>
      <w:r w:rsidRPr="003C1B18">
        <w:rPr>
          <w:rFonts w:ascii="Arial" w:hAnsi="Arial" w:cs="Arial"/>
          <w:sz w:val="20"/>
          <w:szCs w:val="20"/>
        </w:rPr>
        <w:t>Company cash generated from operations decreased from R45 million in the prior year</w:t>
      </w:r>
      <w:r w:rsidR="00A463BD" w:rsidRPr="003C1B18">
        <w:rPr>
          <w:rFonts w:ascii="Arial" w:hAnsi="Arial" w:cs="Arial"/>
          <w:sz w:val="20"/>
          <w:szCs w:val="20"/>
        </w:rPr>
        <w:t xml:space="preserve"> </w:t>
      </w:r>
      <w:r w:rsidRPr="003C1B18">
        <w:rPr>
          <w:rFonts w:ascii="Arial" w:hAnsi="Arial" w:cs="Arial"/>
          <w:sz w:val="20"/>
          <w:szCs w:val="20"/>
        </w:rPr>
        <w:t>to R7 million for the year ended 31 March 2022</w:t>
      </w:r>
      <w:r w:rsidR="00B276CB" w:rsidRPr="003C1B18">
        <w:rPr>
          <w:rFonts w:ascii="Arial" w:hAnsi="Arial" w:cs="Arial"/>
          <w:sz w:val="20"/>
          <w:szCs w:val="20"/>
        </w:rPr>
        <w:t xml:space="preserve">. A total </w:t>
      </w:r>
      <w:r w:rsidR="00370146" w:rsidRPr="003C1B18">
        <w:rPr>
          <w:rFonts w:ascii="Arial" w:hAnsi="Arial" w:cs="Arial"/>
          <w:sz w:val="20"/>
          <w:szCs w:val="20"/>
        </w:rPr>
        <w:t xml:space="preserve">of </w:t>
      </w:r>
      <w:r w:rsidR="00B276CB" w:rsidRPr="003C1B18">
        <w:rPr>
          <w:rFonts w:ascii="Arial" w:hAnsi="Arial" w:cs="Arial"/>
          <w:sz w:val="20"/>
          <w:szCs w:val="20"/>
        </w:rPr>
        <w:t>136 per cent Debt to Equity was achieved against a target of 107 per cent.</w:t>
      </w:r>
    </w:p>
    <w:p w:rsidR="00B276CB" w:rsidRPr="003C1B18" w:rsidRDefault="00B276CB" w:rsidP="003C1B18">
      <w:pPr>
        <w:spacing w:after="0" w:line="240" w:lineRule="auto"/>
        <w:jc w:val="left"/>
        <w:rPr>
          <w:rFonts w:ascii="Arial" w:hAnsi="Arial" w:cs="Arial"/>
          <w:sz w:val="20"/>
          <w:szCs w:val="20"/>
        </w:rPr>
      </w:pPr>
      <w:r w:rsidRPr="003C1B18">
        <w:rPr>
          <w:rFonts w:ascii="Arial" w:hAnsi="Arial" w:cs="Arial"/>
          <w:sz w:val="20"/>
          <w:szCs w:val="20"/>
        </w:rPr>
        <w:t xml:space="preserve">There was an </w:t>
      </w:r>
      <w:r w:rsidR="00370146" w:rsidRPr="003C1B18">
        <w:rPr>
          <w:rFonts w:ascii="Arial" w:hAnsi="Arial" w:cs="Arial"/>
          <w:sz w:val="20"/>
          <w:szCs w:val="20"/>
        </w:rPr>
        <w:t>R27 million</w:t>
      </w:r>
      <w:r w:rsidRPr="003C1B18">
        <w:rPr>
          <w:rFonts w:ascii="Arial" w:hAnsi="Arial" w:cs="Arial"/>
          <w:sz w:val="20"/>
          <w:szCs w:val="20"/>
        </w:rPr>
        <w:t xml:space="preserve"> positive cash balance maintained against a target of R15 million and a total of R323 million new sales contracts against a target of R400 million. There was a decline in operating profit by R69</w:t>
      </w:r>
      <w:r w:rsidR="00370146" w:rsidRPr="003C1B18">
        <w:rPr>
          <w:rFonts w:ascii="Arial" w:hAnsi="Arial" w:cs="Arial"/>
          <w:sz w:val="20"/>
          <w:szCs w:val="20"/>
        </w:rPr>
        <w:t xml:space="preserve"> </w:t>
      </w:r>
      <w:r w:rsidRPr="003C1B18">
        <w:rPr>
          <w:rFonts w:ascii="Arial" w:hAnsi="Arial" w:cs="Arial"/>
          <w:sz w:val="20"/>
          <w:szCs w:val="20"/>
        </w:rPr>
        <w:t>million against a target of R37 million.</w:t>
      </w:r>
      <w:r w:rsidR="00074D77" w:rsidRPr="003C1B18">
        <w:rPr>
          <w:rFonts w:ascii="Arial" w:hAnsi="Arial" w:cs="Arial"/>
          <w:sz w:val="20"/>
          <w:szCs w:val="20"/>
        </w:rPr>
        <w:t xml:space="preserve"> Non-current liabilities decreased by 2.3 per cent.</w:t>
      </w:r>
    </w:p>
    <w:p w:rsidR="00074D77" w:rsidRPr="003C1B18" w:rsidRDefault="00074D77" w:rsidP="003C1B18">
      <w:pPr>
        <w:spacing w:after="0" w:line="240" w:lineRule="auto"/>
        <w:jc w:val="left"/>
        <w:rPr>
          <w:rFonts w:ascii="Arial" w:hAnsi="Arial" w:cs="Arial"/>
          <w:sz w:val="20"/>
          <w:szCs w:val="20"/>
        </w:rPr>
      </w:pPr>
      <w:r w:rsidRPr="003C1B18">
        <w:rPr>
          <w:rFonts w:ascii="Arial" w:hAnsi="Arial" w:cs="Arial"/>
          <w:sz w:val="20"/>
          <w:szCs w:val="20"/>
        </w:rPr>
        <w:t>Other costs as a percentage of revenue increased to 26 per cent from 12 per cent in the prior year</w:t>
      </w:r>
      <w:r w:rsidR="00BA0467" w:rsidRPr="003C1B18">
        <w:rPr>
          <w:rFonts w:ascii="Arial" w:hAnsi="Arial" w:cs="Arial"/>
          <w:sz w:val="20"/>
          <w:szCs w:val="20"/>
        </w:rPr>
        <w:t xml:space="preserve">. The total capex as a percentage of revenue is 20 per cent at a rand value of R86 </w:t>
      </w:r>
      <w:r w:rsidR="00E540D6" w:rsidRPr="003C1B18">
        <w:rPr>
          <w:rFonts w:ascii="Arial" w:hAnsi="Arial" w:cs="Arial"/>
          <w:sz w:val="20"/>
          <w:szCs w:val="20"/>
        </w:rPr>
        <w:t>million</w:t>
      </w:r>
      <w:r w:rsidR="00BA0467" w:rsidRPr="003C1B18">
        <w:rPr>
          <w:rFonts w:ascii="Arial" w:hAnsi="Arial" w:cs="Arial"/>
          <w:sz w:val="20"/>
          <w:szCs w:val="20"/>
        </w:rPr>
        <w:t>.</w:t>
      </w:r>
    </w:p>
    <w:p w:rsidR="007A5F25" w:rsidRPr="003C1B18" w:rsidRDefault="007A5F25" w:rsidP="003C1B18">
      <w:pPr>
        <w:spacing w:after="0" w:line="240" w:lineRule="auto"/>
        <w:jc w:val="left"/>
        <w:rPr>
          <w:rFonts w:ascii="Arial" w:hAnsi="Arial" w:cs="Arial"/>
          <w:b/>
          <w:sz w:val="20"/>
          <w:szCs w:val="20"/>
        </w:rPr>
      </w:pPr>
      <w:r w:rsidRPr="003C1B18">
        <w:rPr>
          <w:rFonts w:ascii="Arial" w:hAnsi="Arial" w:cs="Arial"/>
          <w:b/>
          <w:sz w:val="20"/>
          <w:szCs w:val="20"/>
        </w:rPr>
        <w:t>Auditor-General’s Report: 20221/22</w:t>
      </w:r>
    </w:p>
    <w:p w:rsidR="007A5F25" w:rsidRPr="003C1B18" w:rsidRDefault="00A463BD" w:rsidP="003C1B18">
      <w:pPr>
        <w:spacing w:after="0" w:line="240" w:lineRule="auto"/>
        <w:jc w:val="left"/>
        <w:rPr>
          <w:rFonts w:ascii="Arial" w:hAnsi="Arial" w:cs="Arial"/>
          <w:sz w:val="20"/>
          <w:szCs w:val="20"/>
        </w:rPr>
      </w:pPr>
      <w:r w:rsidRPr="003C1B18">
        <w:rPr>
          <w:rFonts w:ascii="Arial" w:hAnsi="Arial" w:cs="Arial"/>
          <w:sz w:val="20"/>
          <w:szCs w:val="20"/>
        </w:rPr>
        <w:t xml:space="preserve">The statement of profit and loss </w:t>
      </w:r>
      <w:r w:rsidR="00412F78" w:rsidRPr="003C1B18">
        <w:rPr>
          <w:rFonts w:ascii="Arial" w:hAnsi="Arial" w:cs="Arial"/>
          <w:sz w:val="20"/>
          <w:szCs w:val="20"/>
        </w:rPr>
        <w:t xml:space="preserve">and other comprehensive income </w:t>
      </w:r>
      <w:r w:rsidRPr="003C1B18">
        <w:rPr>
          <w:rFonts w:ascii="Arial" w:hAnsi="Arial" w:cs="Arial"/>
          <w:sz w:val="20"/>
          <w:szCs w:val="20"/>
        </w:rPr>
        <w:t>indicates that the Comp</w:t>
      </w:r>
      <w:r w:rsidR="00412F78" w:rsidRPr="003C1B18">
        <w:rPr>
          <w:rFonts w:ascii="Arial" w:hAnsi="Arial" w:cs="Arial"/>
          <w:sz w:val="20"/>
          <w:szCs w:val="20"/>
        </w:rPr>
        <w:t>any incurred a net loss of R118.</w:t>
      </w:r>
      <w:r w:rsidRPr="003C1B18">
        <w:rPr>
          <w:rFonts w:ascii="Arial" w:hAnsi="Arial" w:cs="Arial"/>
          <w:sz w:val="20"/>
          <w:szCs w:val="20"/>
        </w:rPr>
        <w:t>561 during the year ended</w:t>
      </w:r>
      <w:r w:rsidR="00412F78" w:rsidRPr="003C1B18">
        <w:rPr>
          <w:rFonts w:ascii="Arial" w:hAnsi="Arial" w:cs="Arial"/>
          <w:sz w:val="20"/>
          <w:szCs w:val="20"/>
        </w:rPr>
        <w:t xml:space="preserve"> </w:t>
      </w:r>
      <w:r w:rsidRPr="003C1B18">
        <w:rPr>
          <w:rFonts w:ascii="Arial" w:hAnsi="Arial" w:cs="Arial"/>
          <w:sz w:val="20"/>
          <w:szCs w:val="20"/>
        </w:rPr>
        <w:t xml:space="preserve">31 March 2022 due to lower revenue raised against </w:t>
      </w:r>
      <w:r w:rsidR="00370146" w:rsidRPr="003C1B18">
        <w:rPr>
          <w:rFonts w:ascii="Arial" w:hAnsi="Arial" w:cs="Arial"/>
          <w:sz w:val="20"/>
          <w:szCs w:val="20"/>
        </w:rPr>
        <w:t xml:space="preserve">the </w:t>
      </w:r>
      <w:r w:rsidRPr="003C1B18">
        <w:rPr>
          <w:rFonts w:ascii="Arial" w:hAnsi="Arial" w:cs="Arial"/>
          <w:sz w:val="20"/>
          <w:szCs w:val="20"/>
        </w:rPr>
        <w:t xml:space="preserve">cost </w:t>
      </w:r>
      <w:r w:rsidRPr="003C1B18">
        <w:rPr>
          <w:rFonts w:ascii="Arial" w:hAnsi="Arial" w:cs="Arial"/>
          <w:sz w:val="20"/>
          <w:szCs w:val="20"/>
        </w:rPr>
        <w:lastRenderedPageBreak/>
        <w:t>to revenue and other operating expenses. The Company’s current liabilities exce</w:t>
      </w:r>
      <w:r w:rsidR="00412F78" w:rsidRPr="003C1B18">
        <w:rPr>
          <w:rFonts w:ascii="Arial" w:hAnsi="Arial" w:cs="Arial"/>
          <w:sz w:val="20"/>
          <w:szCs w:val="20"/>
        </w:rPr>
        <w:t>eded its current assets by R339.</w:t>
      </w:r>
      <w:r w:rsidRPr="003C1B18">
        <w:rPr>
          <w:rFonts w:ascii="Arial" w:hAnsi="Arial" w:cs="Arial"/>
          <w:sz w:val="20"/>
          <w:szCs w:val="20"/>
        </w:rPr>
        <w:t>535. The</w:t>
      </w:r>
      <w:r w:rsidR="00412F78" w:rsidRPr="003C1B18">
        <w:rPr>
          <w:rFonts w:ascii="Arial" w:hAnsi="Arial" w:cs="Arial"/>
          <w:sz w:val="20"/>
          <w:szCs w:val="20"/>
        </w:rPr>
        <w:t xml:space="preserve"> </w:t>
      </w:r>
      <w:r w:rsidRPr="003C1B18">
        <w:rPr>
          <w:rFonts w:ascii="Arial" w:hAnsi="Arial" w:cs="Arial"/>
          <w:sz w:val="20"/>
          <w:szCs w:val="20"/>
        </w:rPr>
        <w:t>Compa</w:t>
      </w:r>
      <w:r w:rsidR="00412F78" w:rsidRPr="003C1B18">
        <w:rPr>
          <w:rFonts w:ascii="Arial" w:hAnsi="Arial" w:cs="Arial"/>
          <w:sz w:val="20"/>
          <w:szCs w:val="20"/>
        </w:rPr>
        <w:t>ny had accumulated losses of R1.556.</w:t>
      </w:r>
      <w:r w:rsidRPr="003C1B18">
        <w:rPr>
          <w:rFonts w:ascii="Arial" w:hAnsi="Arial" w:cs="Arial"/>
          <w:sz w:val="20"/>
          <w:szCs w:val="20"/>
        </w:rPr>
        <w:t>687</w:t>
      </w:r>
      <w:r w:rsidR="00370146" w:rsidRPr="003C1B18">
        <w:rPr>
          <w:rFonts w:ascii="Arial" w:hAnsi="Arial" w:cs="Arial"/>
          <w:sz w:val="20"/>
          <w:szCs w:val="20"/>
        </w:rPr>
        <w:t>,</w:t>
      </w:r>
      <w:r w:rsidRPr="003C1B18">
        <w:rPr>
          <w:rFonts w:ascii="Arial" w:hAnsi="Arial" w:cs="Arial"/>
          <w:sz w:val="20"/>
          <w:szCs w:val="20"/>
        </w:rPr>
        <w:t xml:space="preserve"> and that the Company’s total assets</w:t>
      </w:r>
      <w:r w:rsidR="00412F78" w:rsidRPr="003C1B18">
        <w:rPr>
          <w:rFonts w:ascii="Arial" w:hAnsi="Arial" w:cs="Arial"/>
          <w:sz w:val="20"/>
          <w:szCs w:val="20"/>
        </w:rPr>
        <w:t xml:space="preserve"> </w:t>
      </w:r>
      <w:r w:rsidR="00370146" w:rsidRPr="003C1B18">
        <w:rPr>
          <w:rFonts w:ascii="Arial" w:hAnsi="Arial" w:cs="Arial"/>
          <w:sz w:val="20"/>
          <w:szCs w:val="20"/>
        </w:rPr>
        <w:t>exceeded</w:t>
      </w:r>
      <w:r w:rsidR="00412F78" w:rsidRPr="003C1B18">
        <w:rPr>
          <w:rFonts w:ascii="Arial" w:hAnsi="Arial" w:cs="Arial"/>
          <w:sz w:val="20"/>
          <w:szCs w:val="20"/>
        </w:rPr>
        <w:t xml:space="preserve"> its liabilities by R272.</w:t>
      </w:r>
      <w:r w:rsidRPr="003C1B18">
        <w:rPr>
          <w:rFonts w:ascii="Arial" w:hAnsi="Arial" w:cs="Arial"/>
          <w:sz w:val="20"/>
          <w:szCs w:val="20"/>
        </w:rPr>
        <w:t xml:space="preserve">843. This indicates a material uncertainty and </w:t>
      </w:r>
      <w:r w:rsidR="00370146" w:rsidRPr="003C1B18">
        <w:rPr>
          <w:rFonts w:ascii="Arial" w:hAnsi="Arial" w:cs="Arial"/>
          <w:sz w:val="20"/>
          <w:szCs w:val="20"/>
        </w:rPr>
        <w:t>casts</w:t>
      </w:r>
      <w:r w:rsidRPr="003C1B18">
        <w:rPr>
          <w:rFonts w:ascii="Arial" w:hAnsi="Arial" w:cs="Arial"/>
          <w:sz w:val="20"/>
          <w:szCs w:val="20"/>
        </w:rPr>
        <w:t xml:space="preserve"> significant doubt</w:t>
      </w:r>
      <w:r w:rsidR="00412F78" w:rsidRPr="003C1B18">
        <w:rPr>
          <w:rFonts w:ascii="Arial" w:hAnsi="Arial" w:cs="Arial"/>
          <w:sz w:val="20"/>
          <w:szCs w:val="20"/>
        </w:rPr>
        <w:t xml:space="preserve"> </w:t>
      </w:r>
      <w:r w:rsidRPr="003C1B18">
        <w:rPr>
          <w:rFonts w:ascii="Arial" w:hAnsi="Arial" w:cs="Arial"/>
          <w:sz w:val="20"/>
          <w:szCs w:val="20"/>
        </w:rPr>
        <w:t>on the ability of the company</w:t>
      </w:r>
      <w:r w:rsidR="00412F78" w:rsidRPr="003C1B18">
        <w:rPr>
          <w:rFonts w:ascii="Arial" w:hAnsi="Arial" w:cs="Arial"/>
          <w:sz w:val="20"/>
          <w:szCs w:val="20"/>
        </w:rPr>
        <w:t xml:space="preserve"> to continue as a </w:t>
      </w:r>
      <w:r w:rsidR="00412F78" w:rsidRPr="003C1B18">
        <w:rPr>
          <w:rFonts w:ascii="Arial" w:hAnsi="Arial" w:cs="Arial"/>
          <w:i/>
          <w:sz w:val="20"/>
          <w:szCs w:val="20"/>
        </w:rPr>
        <w:t>Going Concern.</w:t>
      </w:r>
    </w:p>
    <w:p w:rsidR="00E540D6" w:rsidRPr="003C1B18" w:rsidRDefault="00E540D6" w:rsidP="003C1B18">
      <w:pPr>
        <w:spacing w:after="0" w:line="240" w:lineRule="auto"/>
        <w:jc w:val="left"/>
        <w:rPr>
          <w:rFonts w:ascii="Arial" w:hAnsi="Arial" w:cs="Arial"/>
          <w:sz w:val="20"/>
          <w:szCs w:val="20"/>
        </w:rPr>
      </w:pPr>
    </w:p>
    <w:p w:rsidR="00E540D6" w:rsidRPr="003C1B18" w:rsidRDefault="00E540D6" w:rsidP="003C1B18">
      <w:pPr>
        <w:pStyle w:val="ListParagraph"/>
        <w:numPr>
          <w:ilvl w:val="0"/>
          <w:numId w:val="3"/>
        </w:numPr>
        <w:spacing w:after="0" w:line="240" w:lineRule="auto"/>
        <w:ind w:left="303"/>
        <w:jc w:val="left"/>
        <w:rPr>
          <w:rFonts w:ascii="Arial" w:hAnsi="Arial" w:cs="Arial"/>
          <w:b/>
          <w:bCs/>
          <w:sz w:val="20"/>
          <w:szCs w:val="20"/>
          <w:lang w:val="en-GB"/>
        </w:rPr>
      </w:pPr>
      <w:r w:rsidRPr="003C1B18">
        <w:rPr>
          <w:rFonts w:ascii="Arial" w:hAnsi="Arial" w:cs="Arial"/>
          <w:b/>
          <w:bCs/>
          <w:sz w:val="20"/>
          <w:szCs w:val="20"/>
          <w:lang w:val="en-GB"/>
        </w:rPr>
        <w:t>Observations and recommendations</w:t>
      </w:r>
    </w:p>
    <w:p w:rsidR="00E540D6" w:rsidRPr="003C1B18" w:rsidRDefault="00E540D6" w:rsidP="003C1B18">
      <w:pPr>
        <w:spacing w:after="0" w:line="240" w:lineRule="auto"/>
        <w:jc w:val="left"/>
        <w:rPr>
          <w:rFonts w:ascii="Arial" w:hAnsi="Arial" w:cs="Arial"/>
          <w:b/>
          <w:sz w:val="20"/>
          <w:szCs w:val="20"/>
          <w:lang w:val="en-ZA"/>
        </w:rPr>
      </w:pPr>
      <w:r w:rsidRPr="003C1B18">
        <w:rPr>
          <w:rFonts w:ascii="Arial" w:hAnsi="Arial" w:cs="Arial"/>
          <w:b/>
          <w:sz w:val="20"/>
          <w:szCs w:val="20"/>
          <w:lang w:val="en-ZA"/>
        </w:rPr>
        <w:t>4.1</w:t>
      </w:r>
      <w:r w:rsidRPr="003C1B18">
        <w:rPr>
          <w:rFonts w:ascii="Arial" w:hAnsi="Arial" w:cs="Arial"/>
          <w:b/>
          <w:sz w:val="20"/>
          <w:szCs w:val="20"/>
          <w:lang w:val="en-ZA"/>
        </w:rPr>
        <w:tab/>
        <w:t>Observations for the Postbank</w:t>
      </w:r>
    </w:p>
    <w:p w:rsidR="00E540D6" w:rsidRPr="003C1B18" w:rsidRDefault="00E540D6" w:rsidP="003C1B18">
      <w:pPr>
        <w:spacing w:after="0" w:line="240" w:lineRule="auto"/>
        <w:jc w:val="left"/>
        <w:rPr>
          <w:rFonts w:ascii="Arial" w:hAnsi="Arial" w:cs="Arial"/>
          <w:sz w:val="20"/>
          <w:szCs w:val="20"/>
          <w:lang w:val="en-GB"/>
        </w:rPr>
      </w:pPr>
      <w:r w:rsidRPr="003C1B18">
        <w:rPr>
          <w:rFonts w:ascii="Arial" w:hAnsi="Arial" w:cs="Arial"/>
          <w:sz w:val="20"/>
          <w:szCs w:val="20"/>
          <w:lang w:val="en-GB"/>
        </w:rPr>
        <w:t>In relation to Postbank, the Committee noted:</w:t>
      </w:r>
    </w:p>
    <w:p w:rsidR="00E540D6" w:rsidRPr="003C1B18" w:rsidRDefault="00746A1E"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and </w:t>
      </w:r>
      <w:r w:rsidR="00E540D6" w:rsidRPr="003C1B18">
        <w:rPr>
          <w:rFonts w:ascii="Arial" w:hAnsi="Arial" w:cs="Arial"/>
          <w:sz w:val="20"/>
          <w:szCs w:val="20"/>
          <w:lang w:val="en-ZA"/>
        </w:rPr>
        <w:t xml:space="preserve">thanked the Postbank for </w:t>
      </w:r>
      <w:r w:rsidRPr="003C1B18">
        <w:rPr>
          <w:rFonts w:ascii="Arial" w:hAnsi="Arial" w:cs="Arial"/>
          <w:sz w:val="20"/>
          <w:szCs w:val="20"/>
          <w:lang w:val="en-ZA"/>
        </w:rPr>
        <w:t xml:space="preserve">the </w:t>
      </w:r>
      <w:r w:rsidR="00E540D6" w:rsidRPr="003C1B18">
        <w:rPr>
          <w:rFonts w:ascii="Arial" w:hAnsi="Arial" w:cs="Arial"/>
          <w:sz w:val="20"/>
          <w:szCs w:val="20"/>
          <w:lang w:val="en-ZA"/>
        </w:rPr>
        <w:t>presentation made;</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it required clarity from the AGSA on steps to be taken by AGSA when entities ignore the recommendations of the Committee. AGSA responded that the Public Protector and Hawks could be approached in such cases. AGSA noted that an element of collusion was identified in this matter, and it was referred to the Hawks for investigation regarding the SASSA grant. AGSA meets regularly with the Hawks, and a Steering Committee has been set up to deal with these issues. AGSA had met with the </w:t>
      </w:r>
      <w:r w:rsidR="004F37E2" w:rsidRPr="003C1B18">
        <w:rPr>
          <w:rFonts w:ascii="Arial" w:hAnsi="Arial" w:cs="Arial"/>
          <w:sz w:val="20"/>
          <w:szCs w:val="20"/>
          <w:lang w:val="en-ZA"/>
        </w:rPr>
        <w:t>B</w:t>
      </w:r>
      <w:r w:rsidRPr="003C1B18">
        <w:rPr>
          <w:rFonts w:ascii="Arial" w:hAnsi="Arial" w:cs="Arial"/>
          <w:sz w:val="20"/>
          <w:szCs w:val="20"/>
          <w:lang w:val="en-ZA"/>
        </w:rPr>
        <w:t>oard to discuss a forensic investigation and would avail their findings to ensure an efficient investigation. Regular meetings with the Reserve Bank have also been undertaken.;</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its concern that the Postbank has received two disclaimers in a row and that this is the worst possible </w:t>
      </w:r>
      <w:r w:rsidR="004F37E2" w:rsidRPr="003C1B18">
        <w:rPr>
          <w:rFonts w:ascii="Arial" w:hAnsi="Arial" w:cs="Arial"/>
          <w:sz w:val="20"/>
          <w:szCs w:val="20"/>
          <w:lang w:val="en-ZA"/>
        </w:rPr>
        <w:t xml:space="preserve">audit </w:t>
      </w:r>
      <w:r w:rsidRPr="003C1B18">
        <w:rPr>
          <w:rFonts w:ascii="Arial" w:hAnsi="Arial" w:cs="Arial"/>
          <w:sz w:val="20"/>
          <w:szCs w:val="20"/>
          <w:lang w:val="en-ZA"/>
        </w:rPr>
        <w:t>outcome an entity can receive;</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its concern in respect of irregular expenditure of the Postbank;</w:t>
      </w:r>
    </w:p>
    <w:p w:rsidR="00E540D6" w:rsidRPr="003C1B18" w:rsidRDefault="00E540D6" w:rsidP="003C1B18">
      <w:pPr>
        <w:numPr>
          <w:ilvl w:val="0"/>
          <w:numId w:val="12"/>
        </w:numPr>
        <w:spacing w:after="0" w:line="240" w:lineRule="auto"/>
        <w:jc w:val="left"/>
        <w:rPr>
          <w:rFonts w:ascii="Arial" w:hAnsi="Arial" w:cs="Arial"/>
          <w:b/>
          <w:sz w:val="20"/>
          <w:szCs w:val="20"/>
          <w:lang w:val="en-ZA"/>
        </w:rPr>
      </w:pPr>
      <w:r w:rsidRPr="003C1B18">
        <w:rPr>
          <w:rFonts w:ascii="Arial" w:hAnsi="Arial" w:cs="Arial"/>
          <w:sz w:val="20"/>
          <w:szCs w:val="20"/>
          <w:lang w:val="en-ZA"/>
        </w:rPr>
        <w:t>its concern that the Board is to be appointed by the Cabinet and not the Committee. The Deputy Minister responded that the Board was appointed by the Minister in consultation with Cabinet as was required by legislation;</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its concern with respect to record-keeping and Information Technology (IT) capabilities which were inadequate;</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that the failure to maintain internal control issues was identified by AGSA and needed to be addressed;</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its concern in respect of the internal controls and internal audits of the Postbank;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its concern as to how the Postbank will finance itself </w:t>
      </w:r>
      <w:r w:rsidR="004F37E2" w:rsidRPr="003C1B18">
        <w:rPr>
          <w:rFonts w:ascii="Arial" w:hAnsi="Arial" w:cs="Arial"/>
          <w:sz w:val="20"/>
          <w:szCs w:val="20"/>
          <w:lang w:val="en-ZA"/>
        </w:rPr>
        <w:t>with?</w:t>
      </w:r>
      <w:r w:rsidRPr="003C1B18">
        <w:rPr>
          <w:rFonts w:ascii="Arial" w:hAnsi="Arial" w:cs="Arial"/>
          <w:sz w:val="20"/>
          <w:szCs w:val="20"/>
          <w:lang w:val="en-ZA"/>
        </w:rPr>
        <w:t xml:space="preserve"> the establishment of the State 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its concern in respect of the IT systems required and whether these updated systems can be afforded;</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concern in respect of the sustainability of the Postbank;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that it required clarity to determine if the current revenue available could sustain the Postbank;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the unfavourable </w:t>
      </w:r>
      <w:r w:rsidR="004F37E2" w:rsidRPr="003C1B18">
        <w:rPr>
          <w:rFonts w:ascii="Arial" w:hAnsi="Arial" w:cs="Arial"/>
          <w:sz w:val="20"/>
          <w:szCs w:val="20"/>
          <w:lang w:val="en-ZA"/>
        </w:rPr>
        <w:t xml:space="preserve">(more likely adverse that unfavourable?) </w:t>
      </w:r>
      <w:r w:rsidRPr="003C1B18">
        <w:rPr>
          <w:rFonts w:ascii="Arial" w:hAnsi="Arial" w:cs="Arial"/>
          <w:sz w:val="20"/>
          <w:szCs w:val="20"/>
          <w:lang w:val="en-ZA"/>
        </w:rPr>
        <w:t>audit outcome speaks to the lack of proper systems within Postbank;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that it recognised that the Postbank is in a transition process, which is not expected to be with</w:t>
      </w:r>
      <w:r w:rsidR="004F37E2" w:rsidRPr="003C1B18">
        <w:rPr>
          <w:rFonts w:ascii="Arial" w:hAnsi="Arial" w:cs="Arial"/>
          <w:sz w:val="20"/>
          <w:szCs w:val="20"/>
          <w:lang w:val="en-ZA"/>
        </w:rPr>
        <w:t>out</w:t>
      </w:r>
      <w:r w:rsidRPr="003C1B18">
        <w:rPr>
          <w:rFonts w:ascii="Arial" w:hAnsi="Arial" w:cs="Arial"/>
          <w:sz w:val="20"/>
          <w:szCs w:val="20"/>
          <w:lang w:val="en-ZA"/>
        </w:rPr>
        <w:t xml:space="preserve"> challenges;</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the </w:t>
      </w:r>
      <w:r w:rsidR="004F37E2" w:rsidRPr="003C1B18">
        <w:rPr>
          <w:rFonts w:ascii="Arial" w:hAnsi="Arial" w:cs="Arial"/>
          <w:sz w:val="20"/>
          <w:szCs w:val="20"/>
          <w:lang w:val="en-ZA"/>
        </w:rPr>
        <w:t>B</w:t>
      </w:r>
      <w:r w:rsidRPr="003C1B18">
        <w:rPr>
          <w:rFonts w:ascii="Arial" w:hAnsi="Arial" w:cs="Arial"/>
          <w:sz w:val="20"/>
          <w:szCs w:val="20"/>
          <w:lang w:val="en-ZA"/>
        </w:rPr>
        <w:t xml:space="preserve">ank has enough capital and is above </w:t>
      </w:r>
      <w:r w:rsidR="004F37E2" w:rsidRPr="003C1B18">
        <w:rPr>
          <w:rFonts w:ascii="Arial" w:hAnsi="Arial" w:cs="Arial"/>
          <w:sz w:val="20"/>
          <w:szCs w:val="20"/>
          <w:lang w:val="en-ZA"/>
        </w:rPr>
        <w:t>R</w:t>
      </w:r>
      <w:r w:rsidRPr="003C1B18">
        <w:rPr>
          <w:rFonts w:ascii="Arial" w:hAnsi="Arial" w:cs="Arial"/>
          <w:sz w:val="20"/>
          <w:szCs w:val="20"/>
          <w:lang w:val="en-ZA"/>
        </w:rPr>
        <w:t xml:space="preserve">eserve </w:t>
      </w:r>
      <w:r w:rsidR="004F37E2" w:rsidRPr="003C1B18">
        <w:rPr>
          <w:rFonts w:ascii="Arial" w:hAnsi="Arial" w:cs="Arial"/>
          <w:sz w:val="20"/>
          <w:szCs w:val="20"/>
          <w:lang w:val="en-ZA"/>
        </w:rPr>
        <w:t>B</w:t>
      </w:r>
      <w:r w:rsidRPr="003C1B18">
        <w:rPr>
          <w:rFonts w:ascii="Arial" w:hAnsi="Arial" w:cs="Arial"/>
          <w:sz w:val="20"/>
          <w:szCs w:val="20"/>
          <w:lang w:val="en-ZA"/>
        </w:rPr>
        <w:t>ank requirements, which is a positive sign;</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it required clarity in the </w:t>
      </w:r>
      <w:r w:rsidR="004F37E2" w:rsidRPr="003C1B18">
        <w:rPr>
          <w:rFonts w:ascii="Arial" w:hAnsi="Arial" w:cs="Arial"/>
          <w:sz w:val="20"/>
          <w:szCs w:val="20"/>
          <w:lang w:val="en-ZA"/>
        </w:rPr>
        <w:t xml:space="preserve">case the </w:t>
      </w:r>
      <w:r w:rsidRPr="003C1B18">
        <w:rPr>
          <w:rFonts w:ascii="Arial" w:hAnsi="Arial" w:cs="Arial"/>
          <w:sz w:val="20"/>
          <w:szCs w:val="20"/>
          <w:lang w:val="en-ZA"/>
        </w:rPr>
        <w:t xml:space="preserve">Postbank does not get the licence and what would be the consequence of this. The AGSA responded that Postbank was allowed to participate in the national payment system, almost like a bank. In the absence of </w:t>
      </w:r>
      <w:r w:rsidR="004F37E2" w:rsidRPr="003C1B18">
        <w:rPr>
          <w:rFonts w:ascii="Arial" w:hAnsi="Arial" w:cs="Arial"/>
          <w:sz w:val="20"/>
          <w:szCs w:val="20"/>
          <w:lang w:val="en-ZA"/>
        </w:rPr>
        <w:t xml:space="preserve">the </w:t>
      </w:r>
      <w:r w:rsidRPr="003C1B18">
        <w:rPr>
          <w:rFonts w:ascii="Arial" w:hAnsi="Arial" w:cs="Arial"/>
          <w:sz w:val="20"/>
          <w:szCs w:val="20"/>
          <w:lang w:val="en-ZA"/>
        </w:rPr>
        <w:t xml:space="preserve">Postbank complying with the variation order by the Reserve Bank, the </w:t>
      </w:r>
      <w:r w:rsidR="004F37E2" w:rsidRPr="003C1B18">
        <w:rPr>
          <w:rFonts w:ascii="Arial" w:hAnsi="Arial" w:cs="Arial"/>
          <w:sz w:val="20"/>
          <w:szCs w:val="20"/>
          <w:lang w:val="en-ZA"/>
        </w:rPr>
        <w:t>B</w:t>
      </w:r>
      <w:r w:rsidRPr="003C1B18">
        <w:rPr>
          <w:rFonts w:ascii="Arial" w:hAnsi="Arial" w:cs="Arial"/>
          <w:sz w:val="20"/>
          <w:szCs w:val="20"/>
          <w:lang w:val="en-ZA"/>
        </w:rPr>
        <w:t>ank would be exposed and not be able to conduct its work;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its concern that Board members and several Executives are yet to be appointed, which is likely to cause instability in leadership. AGSA responded that this might have been the cause of unfavourable </w:t>
      </w:r>
      <w:r w:rsidR="004F37E2" w:rsidRPr="003C1B18">
        <w:rPr>
          <w:rFonts w:ascii="Arial" w:hAnsi="Arial" w:cs="Arial"/>
          <w:sz w:val="20"/>
          <w:szCs w:val="20"/>
          <w:lang w:val="en-ZA"/>
        </w:rPr>
        <w:t xml:space="preserve">(adverse?) </w:t>
      </w:r>
      <w:r w:rsidRPr="003C1B18">
        <w:rPr>
          <w:rFonts w:ascii="Arial" w:hAnsi="Arial" w:cs="Arial"/>
          <w:sz w:val="20"/>
          <w:szCs w:val="20"/>
          <w:lang w:val="en-ZA"/>
        </w:rPr>
        <w:t xml:space="preserve">audit outcomes. The situation was exacerbated in that there were governance challenges at </w:t>
      </w:r>
      <w:r w:rsidR="004F37E2" w:rsidRPr="003C1B18">
        <w:rPr>
          <w:rFonts w:ascii="Arial" w:hAnsi="Arial" w:cs="Arial"/>
          <w:sz w:val="20"/>
          <w:szCs w:val="20"/>
          <w:lang w:val="en-ZA"/>
        </w:rPr>
        <w:t xml:space="preserve">both </w:t>
      </w:r>
      <w:r w:rsidRPr="003C1B18">
        <w:rPr>
          <w:rFonts w:ascii="Arial" w:hAnsi="Arial" w:cs="Arial"/>
          <w:sz w:val="20"/>
          <w:szCs w:val="20"/>
          <w:lang w:val="en-ZA"/>
        </w:rPr>
        <w:t>the Executive and Board level</w:t>
      </w:r>
      <w:r w:rsidR="004F37E2" w:rsidRPr="003C1B18">
        <w:rPr>
          <w:rFonts w:ascii="Arial" w:hAnsi="Arial" w:cs="Arial"/>
          <w:sz w:val="20"/>
          <w:szCs w:val="20"/>
          <w:lang w:val="en-ZA"/>
        </w:rPr>
        <w:t>s</w:t>
      </w:r>
      <w:r w:rsidRPr="003C1B18">
        <w:rPr>
          <w:rFonts w:ascii="Arial" w:hAnsi="Arial" w:cs="Arial"/>
          <w:sz w:val="20"/>
          <w:szCs w:val="20"/>
          <w:lang w:val="en-ZA"/>
        </w:rPr>
        <w:t>;</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AGSA noted that it met with the Minister, the Entity’s Executive and the Board frequently to address the audit queries; </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 that AGSA noted the importance of established governance structures in supporting the Board;</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that it was evident that the initial spin-off stage from SAPO to Postbank was not managed correctly;</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concern that there were vacancies at the Board and Executive level that impacted the functioning of the Postbank;</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that the Postbank indicated that it was well capitalised and had sufficient reserves to function; </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lastRenderedPageBreak/>
        <w:t>that Postbank can sustain itself without requesting assistance from the fiscus to function;</w:t>
      </w:r>
    </w:p>
    <w:p w:rsidR="00E540D6" w:rsidRPr="003C1B18" w:rsidRDefault="004F37E2"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they</w:t>
      </w:r>
      <w:r w:rsidR="00E540D6" w:rsidRPr="003C1B18">
        <w:rPr>
          <w:rFonts w:ascii="Arial" w:hAnsi="Arial" w:cs="Arial"/>
          <w:sz w:val="20"/>
          <w:szCs w:val="20"/>
          <w:lang w:val="en-ZA"/>
        </w:rPr>
        <w:t xml:space="preserve"> indicated that the </w:t>
      </w:r>
      <w:r w:rsidRPr="003C1B18">
        <w:rPr>
          <w:rFonts w:ascii="Arial" w:hAnsi="Arial" w:cs="Arial"/>
          <w:sz w:val="20"/>
          <w:szCs w:val="20"/>
          <w:lang w:val="en-ZA"/>
        </w:rPr>
        <w:t xml:space="preserve">Card Management System </w:t>
      </w:r>
      <w:r w:rsidR="00E540D6" w:rsidRPr="003C1B18">
        <w:rPr>
          <w:rFonts w:ascii="Arial" w:hAnsi="Arial" w:cs="Arial"/>
          <w:sz w:val="20"/>
          <w:szCs w:val="20"/>
          <w:lang w:val="en-ZA"/>
        </w:rPr>
        <w:t xml:space="preserve">was part of </w:t>
      </w:r>
      <w:r w:rsidRPr="003C1B18">
        <w:rPr>
          <w:rFonts w:ascii="Arial" w:hAnsi="Arial" w:cs="Arial"/>
          <w:sz w:val="20"/>
          <w:szCs w:val="20"/>
          <w:lang w:val="en-ZA"/>
        </w:rPr>
        <w:t xml:space="preserve">the </w:t>
      </w:r>
      <w:r w:rsidR="00E540D6" w:rsidRPr="003C1B18">
        <w:rPr>
          <w:rFonts w:ascii="Arial" w:hAnsi="Arial" w:cs="Arial"/>
          <w:sz w:val="20"/>
          <w:szCs w:val="20"/>
          <w:lang w:val="en-ZA"/>
        </w:rPr>
        <w:t xml:space="preserve">legacy issues and that </w:t>
      </w:r>
      <w:r w:rsidRPr="003C1B18">
        <w:rPr>
          <w:rFonts w:ascii="Arial" w:hAnsi="Arial" w:cs="Arial"/>
          <w:sz w:val="20"/>
          <w:szCs w:val="20"/>
          <w:lang w:val="en-ZA"/>
        </w:rPr>
        <w:t>they</w:t>
      </w:r>
      <w:r w:rsidR="00E540D6" w:rsidRPr="003C1B18">
        <w:rPr>
          <w:rFonts w:ascii="Arial" w:hAnsi="Arial" w:cs="Arial"/>
          <w:sz w:val="20"/>
          <w:szCs w:val="20"/>
          <w:lang w:val="en-ZA"/>
        </w:rPr>
        <w:t xml:space="preserve"> will undertake </w:t>
      </w:r>
      <w:r w:rsidRPr="003C1B18">
        <w:rPr>
          <w:rFonts w:ascii="Arial" w:hAnsi="Arial" w:cs="Arial"/>
          <w:sz w:val="20"/>
          <w:szCs w:val="20"/>
          <w:lang w:val="en-ZA"/>
        </w:rPr>
        <w:t xml:space="preserve">a </w:t>
      </w:r>
      <w:r w:rsidR="00E540D6" w:rsidRPr="003C1B18">
        <w:rPr>
          <w:rFonts w:ascii="Arial" w:hAnsi="Arial" w:cs="Arial"/>
          <w:sz w:val="20"/>
          <w:szCs w:val="20"/>
          <w:lang w:val="en-ZA"/>
        </w:rPr>
        <w:t xml:space="preserve">complete card replacement </w:t>
      </w:r>
      <w:r w:rsidRPr="003C1B18">
        <w:rPr>
          <w:rFonts w:ascii="Arial" w:hAnsi="Arial" w:cs="Arial"/>
          <w:sz w:val="20"/>
          <w:szCs w:val="20"/>
          <w:lang w:val="en-ZA"/>
        </w:rPr>
        <w:t xml:space="preserve">process </w:t>
      </w:r>
      <w:r w:rsidR="00E540D6" w:rsidRPr="003C1B18">
        <w:rPr>
          <w:rFonts w:ascii="Arial" w:hAnsi="Arial" w:cs="Arial"/>
          <w:sz w:val="20"/>
          <w:szCs w:val="20"/>
          <w:lang w:val="en-ZA"/>
        </w:rPr>
        <w:t>in a secure environment; and</w:t>
      </w:r>
    </w:p>
    <w:p w:rsidR="00E540D6" w:rsidRPr="003C1B18" w:rsidRDefault="00E540D6" w:rsidP="003C1B18">
      <w:pPr>
        <w:numPr>
          <w:ilvl w:val="0"/>
          <w:numId w:val="12"/>
        </w:numPr>
        <w:spacing w:after="0" w:line="240" w:lineRule="auto"/>
        <w:jc w:val="left"/>
        <w:rPr>
          <w:rFonts w:ascii="Arial" w:hAnsi="Arial" w:cs="Arial"/>
          <w:sz w:val="20"/>
          <w:szCs w:val="20"/>
          <w:lang w:val="en-ZA"/>
        </w:rPr>
      </w:pPr>
      <w:r w:rsidRPr="003C1B18">
        <w:rPr>
          <w:rFonts w:ascii="Arial" w:hAnsi="Arial" w:cs="Arial"/>
          <w:sz w:val="20"/>
          <w:szCs w:val="20"/>
          <w:lang w:val="en-ZA"/>
        </w:rPr>
        <w:t>that the current Board appointees were competent and were appointed with the involvement of the Auditor General and Reserve Bank;</w:t>
      </w:r>
    </w:p>
    <w:p w:rsidR="00E540D6" w:rsidRPr="003C1B18" w:rsidRDefault="00E540D6" w:rsidP="003C1B18">
      <w:pPr>
        <w:spacing w:after="0" w:line="240" w:lineRule="auto"/>
        <w:jc w:val="left"/>
        <w:rPr>
          <w:rFonts w:ascii="Arial" w:hAnsi="Arial" w:cs="Arial"/>
          <w:sz w:val="20"/>
          <w:szCs w:val="20"/>
          <w:lang w:val="en-ZA"/>
        </w:rPr>
      </w:pPr>
    </w:p>
    <w:p w:rsidR="00E540D6" w:rsidRPr="003C1B18" w:rsidRDefault="00E540D6" w:rsidP="003C1B18">
      <w:pPr>
        <w:spacing w:after="0" w:line="240" w:lineRule="auto"/>
        <w:jc w:val="left"/>
        <w:rPr>
          <w:rFonts w:ascii="Arial" w:hAnsi="Arial" w:cs="Arial"/>
          <w:b/>
          <w:sz w:val="20"/>
          <w:szCs w:val="20"/>
          <w:lang w:val="en-GB"/>
        </w:rPr>
      </w:pPr>
      <w:r w:rsidRPr="003C1B18">
        <w:rPr>
          <w:rFonts w:ascii="Arial" w:hAnsi="Arial" w:cs="Arial"/>
          <w:b/>
          <w:sz w:val="20"/>
          <w:szCs w:val="20"/>
          <w:lang w:val="en-GB"/>
        </w:rPr>
        <w:t>4.2</w:t>
      </w:r>
      <w:r w:rsidRPr="003C1B18">
        <w:rPr>
          <w:rFonts w:ascii="Arial" w:hAnsi="Arial" w:cs="Arial"/>
          <w:b/>
          <w:sz w:val="20"/>
          <w:szCs w:val="20"/>
          <w:lang w:val="en-GB"/>
        </w:rPr>
        <w:tab/>
        <w:t>Recommendations for the Postbank</w:t>
      </w:r>
    </w:p>
    <w:p w:rsidR="00E540D6" w:rsidRPr="003C1B18" w:rsidRDefault="00E540D6" w:rsidP="003C1B18">
      <w:pPr>
        <w:spacing w:after="0" w:line="240" w:lineRule="auto"/>
        <w:jc w:val="left"/>
        <w:rPr>
          <w:rFonts w:ascii="Arial" w:hAnsi="Arial" w:cs="Arial"/>
          <w:sz w:val="20"/>
          <w:szCs w:val="20"/>
          <w:lang w:val="en-GB"/>
        </w:rPr>
      </w:pPr>
      <w:r w:rsidRPr="003C1B18">
        <w:rPr>
          <w:rFonts w:ascii="Arial" w:hAnsi="Arial" w:cs="Arial"/>
          <w:sz w:val="20"/>
          <w:szCs w:val="20"/>
          <w:lang w:val="en-GB"/>
        </w:rPr>
        <w:t>In relation to</w:t>
      </w:r>
      <w:r w:rsidR="00370146" w:rsidRPr="003C1B18">
        <w:rPr>
          <w:rFonts w:ascii="Arial" w:hAnsi="Arial" w:cs="Arial"/>
          <w:sz w:val="20"/>
          <w:szCs w:val="20"/>
          <w:lang w:val="en-GB"/>
        </w:rPr>
        <w:t xml:space="preserve"> </w:t>
      </w:r>
      <w:r w:rsidRPr="003C1B18">
        <w:rPr>
          <w:rFonts w:ascii="Arial" w:hAnsi="Arial" w:cs="Arial"/>
          <w:sz w:val="20"/>
          <w:szCs w:val="20"/>
          <w:lang w:val="en-GB"/>
        </w:rPr>
        <w:t xml:space="preserve">the Postbank, the Committee resolved that the Minister should: </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ensure that processes are in place to address all issues raised by AGSA; </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that the Postbank submits regular reports and updated quarterly reports to update the Committee on its capacity and service providers, amongst others;</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ensure that the oversight function of the </w:t>
      </w:r>
      <w:r w:rsidR="00746A1E" w:rsidRPr="003C1B18">
        <w:rPr>
          <w:rFonts w:ascii="Arial" w:hAnsi="Arial" w:cs="Arial"/>
          <w:sz w:val="20"/>
          <w:szCs w:val="20"/>
          <w:lang w:val="en-ZA"/>
        </w:rPr>
        <w:t xml:space="preserve">Department </w:t>
      </w:r>
      <w:r w:rsidRPr="003C1B18">
        <w:rPr>
          <w:rFonts w:ascii="Arial" w:hAnsi="Arial" w:cs="Arial"/>
          <w:sz w:val="20"/>
          <w:szCs w:val="20"/>
          <w:lang w:val="en-ZA"/>
        </w:rPr>
        <w:t>on the Postbank is improved;</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ensure </w:t>
      </w:r>
      <w:r w:rsidR="00DC6003" w:rsidRPr="003C1B18">
        <w:rPr>
          <w:rFonts w:ascii="Arial" w:hAnsi="Arial" w:cs="Arial"/>
          <w:sz w:val="20"/>
          <w:szCs w:val="20"/>
          <w:lang w:val="en-ZA"/>
        </w:rPr>
        <w:t>that the</w:t>
      </w:r>
      <w:r w:rsidR="004F37E2" w:rsidRPr="003C1B18">
        <w:rPr>
          <w:rFonts w:ascii="Arial" w:hAnsi="Arial" w:cs="Arial"/>
          <w:sz w:val="20"/>
          <w:szCs w:val="20"/>
          <w:lang w:val="en-ZA"/>
        </w:rPr>
        <w:t xml:space="preserve"> Committee</w:t>
      </w:r>
      <w:r w:rsidR="00746A1E" w:rsidRPr="003C1B18">
        <w:rPr>
          <w:rFonts w:ascii="Arial" w:hAnsi="Arial" w:cs="Arial"/>
          <w:sz w:val="20"/>
          <w:szCs w:val="20"/>
          <w:lang w:val="en-ZA"/>
        </w:rPr>
        <w:t xml:space="preserve"> </w:t>
      </w:r>
      <w:r w:rsidRPr="003C1B18">
        <w:rPr>
          <w:rFonts w:ascii="Arial" w:hAnsi="Arial" w:cs="Arial"/>
          <w:sz w:val="20"/>
          <w:szCs w:val="20"/>
          <w:lang w:val="en-ZA"/>
        </w:rPr>
        <w:t>receive further information on the sustainability of the Postbank;</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that the issue of the banking licence be finalised;</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that the high risk of cyber security, capacity issues, project management and card management needs</w:t>
      </w:r>
      <w:r w:rsidR="005A6A78" w:rsidRPr="003C1B18">
        <w:rPr>
          <w:rFonts w:ascii="Arial" w:hAnsi="Arial" w:cs="Arial"/>
          <w:sz w:val="20"/>
          <w:szCs w:val="20"/>
          <w:lang w:val="en-ZA"/>
        </w:rPr>
        <w:t>,</w:t>
      </w:r>
      <w:r w:rsidRPr="003C1B18">
        <w:rPr>
          <w:rFonts w:ascii="Arial" w:hAnsi="Arial" w:cs="Arial"/>
          <w:sz w:val="20"/>
          <w:szCs w:val="20"/>
          <w:lang w:val="en-ZA"/>
        </w:rPr>
        <w:t xml:space="preserve"> are addressed;</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that all vacancies on Board and Executive levels are filled urgently;</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the Committee arranges a joint committee meeting with Standing Committee on Finance;</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 xml:space="preserve">ensure that the AGSA provide pointers that the Committee look at when doing oversight over entities; </w:t>
      </w:r>
    </w:p>
    <w:p w:rsidR="00E540D6" w:rsidRPr="003C1B18" w:rsidRDefault="00E540D6" w:rsidP="003C1B18">
      <w:pPr>
        <w:numPr>
          <w:ilvl w:val="0"/>
          <w:numId w:val="21"/>
        </w:numPr>
        <w:spacing w:after="0" w:line="240" w:lineRule="auto"/>
        <w:jc w:val="left"/>
        <w:rPr>
          <w:rFonts w:ascii="Arial" w:hAnsi="Arial" w:cs="Arial"/>
          <w:sz w:val="20"/>
          <w:szCs w:val="20"/>
          <w:lang w:val="en-ZA"/>
        </w:rPr>
      </w:pPr>
      <w:r w:rsidRPr="003C1B18">
        <w:rPr>
          <w:rFonts w:ascii="Arial" w:hAnsi="Arial" w:cs="Arial"/>
          <w:sz w:val="20"/>
          <w:szCs w:val="20"/>
          <w:lang w:val="en-ZA"/>
        </w:rPr>
        <w:t>ensure that processes are in place to strengthen internal controls measures; and</w:t>
      </w:r>
    </w:p>
    <w:p w:rsidR="00E540D6" w:rsidRPr="003C1B18" w:rsidRDefault="00E540D6" w:rsidP="003C1B18">
      <w:pPr>
        <w:numPr>
          <w:ilvl w:val="0"/>
          <w:numId w:val="21"/>
        </w:numPr>
        <w:spacing w:after="0" w:line="240" w:lineRule="auto"/>
        <w:jc w:val="left"/>
        <w:rPr>
          <w:rFonts w:ascii="Arial" w:hAnsi="Arial" w:cs="Arial"/>
          <w:b/>
          <w:sz w:val="20"/>
          <w:szCs w:val="20"/>
          <w:lang w:val="en-GB"/>
        </w:rPr>
      </w:pPr>
      <w:r w:rsidRPr="003C1B18">
        <w:rPr>
          <w:rFonts w:ascii="Arial" w:hAnsi="Arial" w:cs="Arial"/>
          <w:sz w:val="20"/>
          <w:szCs w:val="20"/>
          <w:lang w:val="en-ZA"/>
        </w:rPr>
        <w:t>ensure that processes are in place to fill all vital vacancies.</w:t>
      </w:r>
    </w:p>
    <w:p w:rsidR="00721B01" w:rsidRPr="003C1B18" w:rsidRDefault="00721B01" w:rsidP="003C1B18">
      <w:pPr>
        <w:spacing w:after="0" w:line="240" w:lineRule="auto"/>
        <w:jc w:val="left"/>
        <w:rPr>
          <w:rFonts w:ascii="Arial" w:hAnsi="Arial" w:cs="Arial"/>
          <w:b/>
          <w:bCs/>
          <w:sz w:val="20"/>
          <w:szCs w:val="20"/>
          <w:lang w:val="en-ZA"/>
        </w:rPr>
      </w:pPr>
    </w:p>
    <w:p w:rsidR="00E540D6" w:rsidRPr="003C1B18" w:rsidRDefault="00E540D6" w:rsidP="003C1B18">
      <w:pPr>
        <w:spacing w:after="0" w:line="240" w:lineRule="auto"/>
        <w:jc w:val="left"/>
        <w:rPr>
          <w:rFonts w:ascii="Arial" w:hAnsi="Arial" w:cs="Arial"/>
          <w:b/>
          <w:bCs/>
          <w:sz w:val="20"/>
          <w:szCs w:val="20"/>
          <w:lang w:val="en-ZA"/>
        </w:rPr>
      </w:pPr>
      <w:r w:rsidRPr="003C1B18">
        <w:rPr>
          <w:rFonts w:ascii="Arial" w:hAnsi="Arial" w:cs="Arial"/>
          <w:b/>
          <w:bCs/>
          <w:sz w:val="20"/>
          <w:szCs w:val="20"/>
          <w:lang w:val="en-ZA"/>
        </w:rPr>
        <w:t>4.3</w:t>
      </w:r>
      <w:r w:rsidRPr="003C1B18">
        <w:rPr>
          <w:rFonts w:ascii="Arial" w:hAnsi="Arial" w:cs="Arial"/>
          <w:b/>
          <w:bCs/>
          <w:sz w:val="20"/>
          <w:szCs w:val="20"/>
          <w:lang w:val="en-ZA"/>
        </w:rPr>
        <w:tab/>
        <w:t>Observations for BBI</w:t>
      </w:r>
    </w:p>
    <w:p w:rsidR="00E540D6" w:rsidRPr="003C1B18" w:rsidRDefault="00E540D6" w:rsidP="003C1B18">
      <w:pPr>
        <w:spacing w:after="0" w:line="240" w:lineRule="auto"/>
        <w:jc w:val="left"/>
        <w:rPr>
          <w:rFonts w:ascii="Arial" w:hAnsi="Arial" w:cs="Arial"/>
          <w:sz w:val="20"/>
          <w:szCs w:val="20"/>
          <w:lang w:val="en-GB"/>
        </w:rPr>
      </w:pPr>
      <w:r w:rsidRPr="003C1B18">
        <w:rPr>
          <w:rFonts w:ascii="Arial" w:hAnsi="Arial" w:cs="Arial"/>
          <w:sz w:val="20"/>
          <w:szCs w:val="20"/>
          <w:lang w:val="en-GB"/>
        </w:rPr>
        <w:t>In relation to Broadband Infraco (BBI), the Committee noted:</w:t>
      </w:r>
    </w:p>
    <w:p w:rsidR="00E540D6" w:rsidRPr="003C1B18" w:rsidRDefault="00746A1E"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 xml:space="preserve">and </w:t>
      </w:r>
      <w:r w:rsidR="00E540D6" w:rsidRPr="003C1B18">
        <w:rPr>
          <w:rFonts w:ascii="Arial" w:hAnsi="Arial" w:cs="Arial"/>
          <w:sz w:val="20"/>
          <w:szCs w:val="20"/>
          <w:lang w:val="en-ZA"/>
        </w:rPr>
        <w:t xml:space="preserve">thanked the BBI for </w:t>
      </w:r>
      <w:r w:rsidRPr="003C1B18">
        <w:rPr>
          <w:rFonts w:ascii="Arial" w:hAnsi="Arial" w:cs="Arial"/>
          <w:sz w:val="20"/>
          <w:szCs w:val="20"/>
          <w:lang w:val="en-ZA"/>
        </w:rPr>
        <w:t xml:space="preserve">the </w:t>
      </w:r>
      <w:r w:rsidR="00E540D6" w:rsidRPr="003C1B18">
        <w:rPr>
          <w:rFonts w:ascii="Arial" w:hAnsi="Arial" w:cs="Arial"/>
          <w:sz w:val="20"/>
          <w:szCs w:val="20"/>
          <w:lang w:val="en-ZA"/>
        </w:rPr>
        <w:t>presentation made;</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BBI achieved fourteen (14) out of nineteen (19) targets, which represents a 74 per cent achievement rate;</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of the five targets not met, four (4) are for financial sustainability, and one (1) for socio-economic transformation;</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an unqualified audit outcome, with findings, was achieved by the entity;</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the going concern status of BBI remains an ongoing challenge;</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access to funding by the entity was a challenge and needed to be addressed;</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network expansion to create redundancy and capacity in the network was a challenge;</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BBI would, in the future, deal with the expansion of service offering through partnerships and collaborations;</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ZA"/>
        </w:rPr>
        <w:t>that BBI would have to fill critical vacancies;</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that it required clarity on the process of conclusion of the merger between BBI and Sentech;</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that it required the need to understand the rationale to have the BBI incorporated with Sentech. The Department responded that the rationale for the merger was proclaimed in the 2013 Presidential Review on state entities and SOE reforms;</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that it required clarity as to how the merger would improve the entity's results. The Deputy Minister responded that the issue of SA Connect had a phase 1, a pilot which connected 1000 sites. The implementation of phase 2 would be more detailed and would include the connectivity of the entire country, including schools, clinics, and traditional authorities, amongst others;</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 xml:space="preserve">that the Deputy Minister indicated that the merger between BBI and Sentech would impact legislation the Companies Act and that, therefore, there would be a need to amend legislation governing these entities; </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concern and requested clarity about why the Gauteng and Western Cape provinces did not receive connectivity. BBI responded that there was a concentration in areas that were not as effectively connected, however in the future, all provinces will be catered for;</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concern and required clarity on the entity’s debt to Telkom. BBI responded that R150 million was owed to Telkom;</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 xml:space="preserve">that it needed clarity as to the challenges experienced in reaching the deadline date for the merger. Sentech indicated that the process would be concluded at the end of the financial year; </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that it also required clarity on the impact of the merger on the market;</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lastRenderedPageBreak/>
        <w:t>concern on how load shedding has impacted the infrastructure of BBI and wanted to know if it was mitigating the damage caused;</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concern that the merger may result in job losses. The Deputy Minister indicated that this merger would not result in job losses, although positions at top management would have to be managed;</w:t>
      </w:r>
    </w:p>
    <w:p w:rsidR="00E540D6" w:rsidRPr="003C1B18" w:rsidRDefault="00E540D6" w:rsidP="003C1B18">
      <w:pPr>
        <w:numPr>
          <w:ilvl w:val="0"/>
          <w:numId w:val="14"/>
        </w:numPr>
        <w:spacing w:after="0" w:line="240" w:lineRule="auto"/>
        <w:jc w:val="left"/>
        <w:rPr>
          <w:rFonts w:ascii="Arial" w:hAnsi="Arial" w:cs="Arial"/>
          <w:sz w:val="20"/>
          <w:szCs w:val="20"/>
          <w:lang w:val="en-GB"/>
        </w:rPr>
      </w:pPr>
      <w:r w:rsidRPr="003C1B18">
        <w:rPr>
          <w:rFonts w:ascii="Arial" w:hAnsi="Arial" w:cs="Arial"/>
          <w:sz w:val="20"/>
          <w:szCs w:val="20"/>
          <w:lang w:val="en-GB"/>
        </w:rPr>
        <w:t>that the Deputy Minister noted that the ultimate idea is to have one entity with one functioning role as one digital state company. The Department indicated that the creation of one company was in the long term, but at the end of this year, Sentech will take over 74% of the government, and BBI will control the rest. The integration of the two companies would still need to be confirmed by the Companies Act; and</w:t>
      </w:r>
    </w:p>
    <w:p w:rsidR="00E540D6" w:rsidRPr="003C1B18" w:rsidRDefault="00E540D6" w:rsidP="003C1B18">
      <w:pPr>
        <w:numPr>
          <w:ilvl w:val="0"/>
          <w:numId w:val="14"/>
        </w:numPr>
        <w:spacing w:after="0" w:line="240" w:lineRule="auto"/>
        <w:jc w:val="left"/>
        <w:rPr>
          <w:rFonts w:ascii="Arial" w:hAnsi="Arial" w:cs="Arial"/>
          <w:b/>
          <w:sz w:val="20"/>
          <w:szCs w:val="20"/>
          <w:lang w:val="en-GB"/>
        </w:rPr>
      </w:pPr>
      <w:r w:rsidRPr="003C1B18">
        <w:rPr>
          <w:rFonts w:ascii="Arial" w:hAnsi="Arial" w:cs="Arial"/>
          <w:sz w:val="20"/>
          <w:szCs w:val="20"/>
          <w:lang w:val="en-GB"/>
        </w:rPr>
        <w:t xml:space="preserve">that the Deputy Minister noted that Sentech and SABC (one of its biggest clients) had taken the matter for rates for signal distribution to the Competition Commission. The matter was ongoing, but Committee </w:t>
      </w:r>
      <w:r w:rsidR="005A6A78" w:rsidRPr="003C1B18">
        <w:rPr>
          <w:rFonts w:ascii="Arial" w:hAnsi="Arial" w:cs="Arial"/>
          <w:sz w:val="20"/>
          <w:szCs w:val="20"/>
          <w:lang w:val="en-GB"/>
        </w:rPr>
        <w:t xml:space="preserve">was assured </w:t>
      </w:r>
      <w:r w:rsidRPr="003C1B18">
        <w:rPr>
          <w:rFonts w:ascii="Arial" w:hAnsi="Arial" w:cs="Arial"/>
          <w:sz w:val="20"/>
          <w:szCs w:val="20"/>
          <w:lang w:val="en-GB"/>
        </w:rPr>
        <w:t xml:space="preserve">that Sentech was not a going concern </w:t>
      </w:r>
      <w:r w:rsidR="00007266" w:rsidRPr="003C1B18">
        <w:rPr>
          <w:rFonts w:ascii="Arial" w:hAnsi="Arial" w:cs="Arial"/>
          <w:sz w:val="20"/>
          <w:szCs w:val="20"/>
          <w:lang w:val="en-GB"/>
        </w:rPr>
        <w:t xml:space="preserve">as a functioning Entity </w:t>
      </w:r>
      <w:r w:rsidRPr="003C1B18">
        <w:rPr>
          <w:rFonts w:ascii="Arial" w:hAnsi="Arial" w:cs="Arial"/>
          <w:sz w:val="20"/>
          <w:szCs w:val="20"/>
          <w:lang w:val="en-GB"/>
        </w:rPr>
        <w:t>and therefore not threatened.</w:t>
      </w:r>
    </w:p>
    <w:p w:rsidR="00007266" w:rsidRPr="003C1B18" w:rsidRDefault="00007266" w:rsidP="003C1B18">
      <w:pPr>
        <w:spacing w:after="0" w:line="240" w:lineRule="auto"/>
        <w:jc w:val="left"/>
        <w:rPr>
          <w:rFonts w:ascii="Arial" w:hAnsi="Arial" w:cs="Arial"/>
          <w:b/>
          <w:sz w:val="20"/>
          <w:szCs w:val="20"/>
          <w:lang w:val="en-GB"/>
        </w:rPr>
      </w:pPr>
    </w:p>
    <w:p w:rsidR="00E540D6" w:rsidRPr="003C1B18" w:rsidRDefault="00E540D6" w:rsidP="003C1B18">
      <w:pPr>
        <w:spacing w:after="0" w:line="240" w:lineRule="auto"/>
        <w:jc w:val="left"/>
        <w:rPr>
          <w:rFonts w:ascii="Arial" w:hAnsi="Arial" w:cs="Arial"/>
          <w:b/>
          <w:sz w:val="20"/>
          <w:szCs w:val="20"/>
          <w:lang w:val="en-GB"/>
        </w:rPr>
      </w:pPr>
      <w:r w:rsidRPr="003C1B18">
        <w:rPr>
          <w:rFonts w:ascii="Arial" w:hAnsi="Arial" w:cs="Arial"/>
          <w:b/>
          <w:sz w:val="20"/>
          <w:szCs w:val="20"/>
          <w:lang w:val="en-GB"/>
        </w:rPr>
        <w:t>4.4</w:t>
      </w:r>
      <w:r w:rsidRPr="003C1B18">
        <w:rPr>
          <w:rFonts w:ascii="Arial" w:hAnsi="Arial" w:cs="Arial"/>
          <w:b/>
          <w:sz w:val="20"/>
          <w:szCs w:val="20"/>
          <w:lang w:val="en-GB"/>
        </w:rPr>
        <w:tab/>
        <w:t xml:space="preserve"> Recommendations for BB1</w:t>
      </w:r>
    </w:p>
    <w:p w:rsidR="00E540D6" w:rsidRPr="003C1B18" w:rsidRDefault="00E540D6" w:rsidP="003C1B18">
      <w:pPr>
        <w:spacing w:after="0" w:line="240" w:lineRule="auto"/>
        <w:jc w:val="left"/>
        <w:rPr>
          <w:rFonts w:ascii="Arial" w:hAnsi="Arial" w:cs="Arial"/>
          <w:sz w:val="20"/>
          <w:szCs w:val="20"/>
          <w:lang w:val="en-GB"/>
        </w:rPr>
      </w:pPr>
      <w:r w:rsidRPr="003C1B18">
        <w:rPr>
          <w:rFonts w:ascii="Arial" w:hAnsi="Arial" w:cs="Arial"/>
          <w:sz w:val="20"/>
          <w:szCs w:val="20"/>
          <w:lang w:val="en-GB"/>
        </w:rPr>
        <w:t xml:space="preserve">In relation to the BBI, the Committee resolved that the Minister should: </w:t>
      </w:r>
    </w:p>
    <w:p w:rsidR="00E540D6" w:rsidRPr="003C1B18" w:rsidRDefault="00E540D6" w:rsidP="003C1B18">
      <w:pPr>
        <w:numPr>
          <w:ilvl w:val="0"/>
          <w:numId w:val="15"/>
        </w:numPr>
        <w:spacing w:after="0" w:line="240" w:lineRule="auto"/>
        <w:jc w:val="left"/>
        <w:rPr>
          <w:rFonts w:ascii="Arial" w:hAnsi="Arial" w:cs="Arial"/>
          <w:sz w:val="20"/>
          <w:szCs w:val="20"/>
          <w:lang w:val="en-GB"/>
        </w:rPr>
      </w:pPr>
      <w:r w:rsidRPr="003C1B18">
        <w:rPr>
          <w:rFonts w:ascii="Arial" w:hAnsi="Arial" w:cs="Arial"/>
          <w:sz w:val="20"/>
          <w:szCs w:val="20"/>
          <w:lang w:val="en-ZA"/>
        </w:rPr>
        <w:t>ensure that processes are in place to address all issues indicated by the Auditor General;</w:t>
      </w:r>
    </w:p>
    <w:p w:rsidR="00E540D6" w:rsidRPr="003C1B18" w:rsidRDefault="00E540D6" w:rsidP="003C1B18">
      <w:pPr>
        <w:numPr>
          <w:ilvl w:val="0"/>
          <w:numId w:val="15"/>
        </w:numPr>
        <w:spacing w:after="0" w:line="240" w:lineRule="auto"/>
        <w:jc w:val="left"/>
        <w:rPr>
          <w:rFonts w:ascii="Arial" w:hAnsi="Arial" w:cs="Arial"/>
          <w:sz w:val="20"/>
          <w:szCs w:val="20"/>
          <w:lang w:val="en-GB"/>
        </w:rPr>
      </w:pPr>
      <w:r w:rsidRPr="003C1B18">
        <w:rPr>
          <w:rFonts w:ascii="Arial" w:hAnsi="Arial" w:cs="Arial"/>
          <w:sz w:val="20"/>
          <w:szCs w:val="20"/>
          <w:lang w:val="en-ZA"/>
        </w:rPr>
        <w:t>that processes are in place to address the going concern challenges of the entity;</w:t>
      </w:r>
    </w:p>
    <w:p w:rsidR="00E540D6" w:rsidRPr="003C1B18" w:rsidRDefault="00E540D6" w:rsidP="003C1B18">
      <w:pPr>
        <w:numPr>
          <w:ilvl w:val="0"/>
          <w:numId w:val="15"/>
        </w:numPr>
        <w:spacing w:after="0" w:line="240" w:lineRule="auto"/>
        <w:jc w:val="left"/>
        <w:rPr>
          <w:rFonts w:ascii="Arial" w:hAnsi="Arial" w:cs="Arial"/>
          <w:sz w:val="20"/>
          <w:szCs w:val="20"/>
          <w:lang w:val="en-GB"/>
        </w:rPr>
      </w:pPr>
      <w:r w:rsidRPr="003C1B18">
        <w:rPr>
          <w:rFonts w:ascii="Arial" w:hAnsi="Arial" w:cs="Arial"/>
          <w:sz w:val="20"/>
          <w:szCs w:val="20"/>
          <w:lang w:val="en-ZA"/>
        </w:rPr>
        <w:t>that processes are in place to deal with the challenge of access to funding by the entity;</w:t>
      </w:r>
    </w:p>
    <w:p w:rsidR="00E540D6" w:rsidRPr="003C1B18" w:rsidRDefault="00E540D6" w:rsidP="003C1B18">
      <w:pPr>
        <w:numPr>
          <w:ilvl w:val="0"/>
          <w:numId w:val="15"/>
        </w:numPr>
        <w:spacing w:after="0" w:line="240" w:lineRule="auto"/>
        <w:jc w:val="left"/>
        <w:rPr>
          <w:rFonts w:ascii="Arial" w:hAnsi="Arial" w:cs="Arial"/>
          <w:sz w:val="20"/>
          <w:szCs w:val="20"/>
          <w:lang w:val="en-GB"/>
        </w:rPr>
      </w:pPr>
      <w:r w:rsidRPr="003C1B18">
        <w:rPr>
          <w:rFonts w:ascii="Arial" w:hAnsi="Arial" w:cs="Arial"/>
          <w:sz w:val="20"/>
          <w:szCs w:val="20"/>
          <w:lang w:val="en-ZA"/>
        </w:rPr>
        <w:t>that network expansion challenges be addressed; and</w:t>
      </w:r>
    </w:p>
    <w:p w:rsidR="00E540D6" w:rsidRPr="003C1B18" w:rsidRDefault="00E540D6" w:rsidP="003C1B18">
      <w:pPr>
        <w:numPr>
          <w:ilvl w:val="0"/>
          <w:numId w:val="15"/>
        </w:numPr>
        <w:spacing w:after="0" w:line="240" w:lineRule="auto"/>
        <w:jc w:val="left"/>
        <w:rPr>
          <w:rFonts w:ascii="Arial" w:hAnsi="Arial" w:cs="Arial"/>
          <w:b/>
          <w:sz w:val="20"/>
          <w:szCs w:val="20"/>
          <w:lang w:val="en-GB"/>
        </w:rPr>
      </w:pPr>
      <w:r w:rsidRPr="003C1B18">
        <w:rPr>
          <w:rFonts w:ascii="Arial" w:hAnsi="Arial" w:cs="Arial"/>
          <w:sz w:val="20"/>
          <w:szCs w:val="20"/>
          <w:lang w:val="en-ZA"/>
        </w:rPr>
        <w:t>that critical vacancies be filled.</w:t>
      </w:r>
    </w:p>
    <w:p w:rsidR="00E540D6" w:rsidRPr="003C1B18" w:rsidRDefault="00721B01" w:rsidP="003C1B18">
      <w:pPr>
        <w:spacing w:after="0" w:line="240" w:lineRule="auto"/>
        <w:jc w:val="left"/>
        <w:rPr>
          <w:rFonts w:ascii="Arial" w:hAnsi="Arial" w:cs="Arial"/>
          <w:b/>
          <w:i/>
          <w:sz w:val="20"/>
          <w:szCs w:val="20"/>
        </w:rPr>
      </w:pPr>
      <w:r w:rsidRPr="003C1B18">
        <w:rPr>
          <w:rFonts w:ascii="Arial" w:hAnsi="Arial" w:cs="Arial"/>
          <w:b/>
          <w:i/>
          <w:sz w:val="20"/>
          <w:szCs w:val="20"/>
        </w:rPr>
        <w:br/>
      </w:r>
      <w:r w:rsidR="00370146" w:rsidRPr="003C1B18">
        <w:rPr>
          <w:rFonts w:ascii="Arial" w:hAnsi="Arial" w:cs="Arial"/>
          <w:b/>
          <w:i/>
          <w:sz w:val="20"/>
          <w:szCs w:val="20"/>
        </w:rPr>
        <w:t xml:space="preserve">Report to be </w:t>
      </w:r>
      <w:r w:rsidR="005576C0" w:rsidRPr="003C1B18">
        <w:rPr>
          <w:rFonts w:ascii="Arial" w:hAnsi="Arial" w:cs="Arial"/>
          <w:b/>
          <w:i/>
          <w:sz w:val="20"/>
          <w:szCs w:val="20"/>
        </w:rPr>
        <w:t>considered.</w:t>
      </w:r>
    </w:p>
    <w:sectPr w:rsidR="00E540D6" w:rsidRPr="003C1B18" w:rsidSect="000A277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48" w:rsidRDefault="00F46948" w:rsidP="00DE2778">
      <w:pPr>
        <w:spacing w:after="0" w:line="240" w:lineRule="auto"/>
      </w:pPr>
      <w:r>
        <w:separator/>
      </w:r>
    </w:p>
  </w:endnote>
  <w:endnote w:type="continuationSeparator" w:id="0">
    <w:p w:rsidR="00F46948" w:rsidRDefault="00F46948" w:rsidP="00DE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42668"/>
      <w:docPartObj>
        <w:docPartGallery w:val="Page Numbers (Bottom of Page)"/>
        <w:docPartUnique/>
      </w:docPartObj>
    </w:sdtPr>
    <w:sdtEndPr>
      <w:rPr>
        <w:noProof/>
      </w:rPr>
    </w:sdtEndPr>
    <w:sdtContent>
      <w:p w:rsidR="00D938F3" w:rsidRDefault="000A2775">
        <w:pPr>
          <w:pStyle w:val="Footer"/>
          <w:jc w:val="center"/>
        </w:pPr>
        <w:r>
          <w:fldChar w:fldCharType="begin"/>
        </w:r>
        <w:r w:rsidR="00D938F3">
          <w:instrText xml:space="preserve"> PAGE   \* MERGEFORMAT </w:instrText>
        </w:r>
        <w:r>
          <w:fldChar w:fldCharType="separate"/>
        </w:r>
        <w:r w:rsidR="00331689">
          <w:rPr>
            <w:noProof/>
          </w:rPr>
          <w:t>1</w:t>
        </w:r>
        <w:r>
          <w:rPr>
            <w:noProof/>
          </w:rPr>
          <w:fldChar w:fldCharType="end"/>
        </w:r>
      </w:p>
    </w:sdtContent>
  </w:sdt>
  <w:p w:rsidR="00D938F3" w:rsidRDefault="00D93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48" w:rsidRDefault="00F46948" w:rsidP="00DE2778">
      <w:pPr>
        <w:spacing w:after="0" w:line="240" w:lineRule="auto"/>
      </w:pPr>
      <w:r>
        <w:separator/>
      </w:r>
    </w:p>
  </w:footnote>
  <w:footnote w:type="continuationSeparator" w:id="0">
    <w:p w:rsidR="00F46948" w:rsidRDefault="00F46948" w:rsidP="00DE2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C63"/>
    <w:multiLevelType w:val="hybridMultilevel"/>
    <w:tmpl w:val="A79A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F02F7"/>
    <w:multiLevelType w:val="hybridMultilevel"/>
    <w:tmpl w:val="57ACC69A"/>
    <w:lvl w:ilvl="0" w:tplc="08090011">
      <w:start w:val="1"/>
      <w:numFmt w:val="decimal"/>
      <w:lvlText w:val="%1)"/>
      <w:lvlJc w:val="left"/>
      <w:pPr>
        <w:ind w:left="720" w:hanging="360"/>
      </w:pPr>
    </w:lvl>
    <w:lvl w:ilvl="1" w:tplc="1916E0FA" w:tentative="1">
      <w:start w:val="1"/>
      <w:numFmt w:val="decimal"/>
      <w:lvlText w:val="%2."/>
      <w:lvlJc w:val="left"/>
      <w:pPr>
        <w:tabs>
          <w:tab w:val="num" w:pos="1440"/>
        </w:tabs>
        <w:ind w:left="1440" w:hanging="360"/>
      </w:pPr>
    </w:lvl>
    <w:lvl w:ilvl="2" w:tplc="921CC8E0" w:tentative="1">
      <w:start w:val="1"/>
      <w:numFmt w:val="decimal"/>
      <w:lvlText w:val="%3."/>
      <w:lvlJc w:val="left"/>
      <w:pPr>
        <w:tabs>
          <w:tab w:val="num" w:pos="2160"/>
        </w:tabs>
        <w:ind w:left="2160" w:hanging="360"/>
      </w:pPr>
    </w:lvl>
    <w:lvl w:ilvl="3" w:tplc="F75E98D6" w:tentative="1">
      <w:start w:val="1"/>
      <w:numFmt w:val="decimal"/>
      <w:lvlText w:val="%4."/>
      <w:lvlJc w:val="left"/>
      <w:pPr>
        <w:tabs>
          <w:tab w:val="num" w:pos="2880"/>
        </w:tabs>
        <w:ind w:left="2880" w:hanging="360"/>
      </w:pPr>
    </w:lvl>
    <w:lvl w:ilvl="4" w:tplc="CC92B6A8" w:tentative="1">
      <w:start w:val="1"/>
      <w:numFmt w:val="decimal"/>
      <w:lvlText w:val="%5."/>
      <w:lvlJc w:val="left"/>
      <w:pPr>
        <w:tabs>
          <w:tab w:val="num" w:pos="3600"/>
        </w:tabs>
        <w:ind w:left="3600" w:hanging="360"/>
      </w:pPr>
    </w:lvl>
    <w:lvl w:ilvl="5" w:tplc="C680C760" w:tentative="1">
      <w:start w:val="1"/>
      <w:numFmt w:val="decimal"/>
      <w:lvlText w:val="%6."/>
      <w:lvlJc w:val="left"/>
      <w:pPr>
        <w:tabs>
          <w:tab w:val="num" w:pos="4320"/>
        </w:tabs>
        <w:ind w:left="4320" w:hanging="360"/>
      </w:pPr>
    </w:lvl>
    <w:lvl w:ilvl="6" w:tplc="26FE29BA" w:tentative="1">
      <w:start w:val="1"/>
      <w:numFmt w:val="decimal"/>
      <w:lvlText w:val="%7."/>
      <w:lvlJc w:val="left"/>
      <w:pPr>
        <w:tabs>
          <w:tab w:val="num" w:pos="5040"/>
        </w:tabs>
        <w:ind w:left="5040" w:hanging="360"/>
      </w:pPr>
    </w:lvl>
    <w:lvl w:ilvl="7" w:tplc="114846E2" w:tentative="1">
      <w:start w:val="1"/>
      <w:numFmt w:val="decimal"/>
      <w:lvlText w:val="%8."/>
      <w:lvlJc w:val="left"/>
      <w:pPr>
        <w:tabs>
          <w:tab w:val="num" w:pos="5760"/>
        </w:tabs>
        <w:ind w:left="5760" w:hanging="360"/>
      </w:pPr>
    </w:lvl>
    <w:lvl w:ilvl="8" w:tplc="A9026296" w:tentative="1">
      <w:start w:val="1"/>
      <w:numFmt w:val="decimal"/>
      <w:lvlText w:val="%9."/>
      <w:lvlJc w:val="left"/>
      <w:pPr>
        <w:tabs>
          <w:tab w:val="num" w:pos="6480"/>
        </w:tabs>
        <w:ind w:left="6480" w:hanging="360"/>
      </w:pPr>
    </w:lvl>
  </w:abstractNum>
  <w:abstractNum w:abstractNumId="2">
    <w:nsid w:val="076F62B9"/>
    <w:multiLevelType w:val="hybridMultilevel"/>
    <w:tmpl w:val="4336EEAE"/>
    <w:lvl w:ilvl="0" w:tplc="1C090019">
      <w:start w:val="1"/>
      <w:numFmt w:val="lowerLetter"/>
      <w:lvlText w:val="%1."/>
      <w:lvlJc w:val="left"/>
      <w:pPr>
        <w:ind w:left="720" w:hanging="360"/>
      </w:pPr>
      <w:rPr>
        <w:rFonts w:hint="default"/>
      </w:rPr>
    </w:lvl>
    <w:lvl w:ilvl="1" w:tplc="89B68C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157EE"/>
    <w:multiLevelType w:val="hybridMultilevel"/>
    <w:tmpl w:val="7B7003F6"/>
    <w:lvl w:ilvl="0" w:tplc="08090017">
      <w:start w:val="1"/>
      <w:numFmt w:val="lowerLetter"/>
      <w:lvlText w:val="%1)"/>
      <w:lvlJc w:val="left"/>
      <w:pPr>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
    <w:nsid w:val="11E6468B"/>
    <w:multiLevelType w:val="hybridMultilevel"/>
    <w:tmpl w:val="F20C4372"/>
    <w:lvl w:ilvl="0" w:tplc="02CC891E">
      <w:start w:val="1"/>
      <w:numFmt w:val="bullet"/>
      <w:lvlText w:val="•"/>
      <w:lvlJc w:val="left"/>
      <w:pPr>
        <w:tabs>
          <w:tab w:val="num" w:pos="720"/>
        </w:tabs>
        <w:ind w:left="720" w:hanging="360"/>
      </w:pPr>
      <w:rPr>
        <w:rFonts w:ascii="Arial" w:hAnsi="Arial" w:hint="default"/>
      </w:rPr>
    </w:lvl>
    <w:lvl w:ilvl="1" w:tplc="DD0CA9CE" w:tentative="1">
      <w:start w:val="1"/>
      <w:numFmt w:val="bullet"/>
      <w:lvlText w:val="•"/>
      <w:lvlJc w:val="left"/>
      <w:pPr>
        <w:tabs>
          <w:tab w:val="num" w:pos="1440"/>
        </w:tabs>
        <w:ind w:left="1440" w:hanging="360"/>
      </w:pPr>
      <w:rPr>
        <w:rFonts w:ascii="Arial" w:hAnsi="Arial" w:hint="default"/>
      </w:rPr>
    </w:lvl>
    <w:lvl w:ilvl="2" w:tplc="CF9ABBB0" w:tentative="1">
      <w:start w:val="1"/>
      <w:numFmt w:val="bullet"/>
      <w:lvlText w:val="•"/>
      <w:lvlJc w:val="left"/>
      <w:pPr>
        <w:tabs>
          <w:tab w:val="num" w:pos="2160"/>
        </w:tabs>
        <w:ind w:left="2160" w:hanging="360"/>
      </w:pPr>
      <w:rPr>
        <w:rFonts w:ascii="Arial" w:hAnsi="Arial" w:hint="default"/>
      </w:rPr>
    </w:lvl>
    <w:lvl w:ilvl="3" w:tplc="F196B1DA" w:tentative="1">
      <w:start w:val="1"/>
      <w:numFmt w:val="bullet"/>
      <w:lvlText w:val="•"/>
      <w:lvlJc w:val="left"/>
      <w:pPr>
        <w:tabs>
          <w:tab w:val="num" w:pos="2880"/>
        </w:tabs>
        <w:ind w:left="2880" w:hanging="360"/>
      </w:pPr>
      <w:rPr>
        <w:rFonts w:ascii="Arial" w:hAnsi="Arial" w:hint="default"/>
      </w:rPr>
    </w:lvl>
    <w:lvl w:ilvl="4" w:tplc="A2CACECE" w:tentative="1">
      <w:start w:val="1"/>
      <w:numFmt w:val="bullet"/>
      <w:lvlText w:val="•"/>
      <w:lvlJc w:val="left"/>
      <w:pPr>
        <w:tabs>
          <w:tab w:val="num" w:pos="3600"/>
        </w:tabs>
        <w:ind w:left="3600" w:hanging="360"/>
      </w:pPr>
      <w:rPr>
        <w:rFonts w:ascii="Arial" w:hAnsi="Arial" w:hint="default"/>
      </w:rPr>
    </w:lvl>
    <w:lvl w:ilvl="5" w:tplc="633088D8" w:tentative="1">
      <w:start w:val="1"/>
      <w:numFmt w:val="bullet"/>
      <w:lvlText w:val="•"/>
      <w:lvlJc w:val="left"/>
      <w:pPr>
        <w:tabs>
          <w:tab w:val="num" w:pos="4320"/>
        </w:tabs>
        <w:ind w:left="4320" w:hanging="360"/>
      </w:pPr>
      <w:rPr>
        <w:rFonts w:ascii="Arial" w:hAnsi="Arial" w:hint="default"/>
      </w:rPr>
    </w:lvl>
    <w:lvl w:ilvl="6" w:tplc="40F0C836" w:tentative="1">
      <w:start w:val="1"/>
      <w:numFmt w:val="bullet"/>
      <w:lvlText w:val="•"/>
      <w:lvlJc w:val="left"/>
      <w:pPr>
        <w:tabs>
          <w:tab w:val="num" w:pos="5040"/>
        </w:tabs>
        <w:ind w:left="5040" w:hanging="360"/>
      </w:pPr>
      <w:rPr>
        <w:rFonts w:ascii="Arial" w:hAnsi="Arial" w:hint="default"/>
      </w:rPr>
    </w:lvl>
    <w:lvl w:ilvl="7" w:tplc="396A2094" w:tentative="1">
      <w:start w:val="1"/>
      <w:numFmt w:val="bullet"/>
      <w:lvlText w:val="•"/>
      <w:lvlJc w:val="left"/>
      <w:pPr>
        <w:tabs>
          <w:tab w:val="num" w:pos="5760"/>
        </w:tabs>
        <w:ind w:left="5760" w:hanging="360"/>
      </w:pPr>
      <w:rPr>
        <w:rFonts w:ascii="Arial" w:hAnsi="Arial" w:hint="default"/>
      </w:rPr>
    </w:lvl>
    <w:lvl w:ilvl="8" w:tplc="16D0ABB6" w:tentative="1">
      <w:start w:val="1"/>
      <w:numFmt w:val="bullet"/>
      <w:lvlText w:val="•"/>
      <w:lvlJc w:val="left"/>
      <w:pPr>
        <w:tabs>
          <w:tab w:val="num" w:pos="6480"/>
        </w:tabs>
        <w:ind w:left="6480" w:hanging="360"/>
      </w:pPr>
      <w:rPr>
        <w:rFonts w:ascii="Arial" w:hAnsi="Arial" w:hint="default"/>
      </w:rPr>
    </w:lvl>
  </w:abstractNum>
  <w:abstractNum w:abstractNumId="5">
    <w:nsid w:val="13B539F8"/>
    <w:multiLevelType w:val="hybridMultilevel"/>
    <w:tmpl w:val="7FCE6E64"/>
    <w:lvl w:ilvl="0" w:tplc="97868068">
      <w:start w:val="1"/>
      <w:numFmt w:val="lowerRoman"/>
      <w:lvlText w:val="(%1)"/>
      <w:lvlJc w:val="left"/>
      <w:pPr>
        <w:ind w:left="360" w:hanging="360"/>
      </w:pPr>
      <w:rPr>
        <w:rFonts w:hint="default"/>
      </w:rPr>
    </w:lvl>
    <w:lvl w:ilvl="1" w:tplc="89B68CF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52B8A"/>
    <w:multiLevelType w:val="hybridMultilevel"/>
    <w:tmpl w:val="EC0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479BB"/>
    <w:multiLevelType w:val="hybridMultilevel"/>
    <w:tmpl w:val="5A12BCA8"/>
    <w:lvl w:ilvl="0" w:tplc="CCB4B646">
      <w:start w:val="1"/>
      <w:numFmt w:val="lowerLetter"/>
      <w:lvlText w:val="%1."/>
      <w:lvlJc w:val="left"/>
      <w:pPr>
        <w:ind w:left="780" w:hanging="360"/>
      </w:pPr>
      <w:rPr>
        <w:rFonts w:hint="default"/>
        <w:b w:val="0"/>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nsid w:val="1C23107D"/>
    <w:multiLevelType w:val="hybridMultilevel"/>
    <w:tmpl w:val="5A18A40E"/>
    <w:lvl w:ilvl="0" w:tplc="4FE694B4">
      <w:start w:val="1"/>
      <w:numFmt w:val="decimal"/>
      <w:lvlText w:val="%1."/>
      <w:lvlJc w:val="left"/>
      <w:pPr>
        <w:tabs>
          <w:tab w:val="num" w:pos="720"/>
        </w:tabs>
        <w:ind w:left="720" w:hanging="360"/>
      </w:pPr>
    </w:lvl>
    <w:lvl w:ilvl="1" w:tplc="20EC5AF6" w:tentative="1">
      <w:start w:val="1"/>
      <w:numFmt w:val="decimal"/>
      <w:lvlText w:val="%2."/>
      <w:lvlJc w:val="left"/>
      <w:pPr>
        <w:tabs>
          <w:tab w:val="num" w:pos="1440"/>
        </w:tabs>
        <w:ind w:left="1440" w:hanging="360"/>
      </w:pPr>
    </w:lvl>
    <w:lvl w:ilvl="2" w:tplc="2122996A" w:tentative="1">
      <w:start w:val="1"/>
      <w:numFmt w:val="decimal"/>
      <w:lvlText w:val="%3."/>
      <w:lvlJc w:val="left"/>
      <w:pPr>
        <w:tabs>
          <w:tab w:val="num" w:pos="2160"/>
        </w:tabs>
        <w:ind w:left="2160" w:hanging="360"/>
      </w:pPr>
    </w:lvl>
    <w:lvl w:ilvl="3" w:tplc="DE02B432" w:tentative="1">
      <w:start w:val="1"/>
      <w:numFmt w:val="decimal"/>
      <w:lvlText w:val="%4."/>
      <w:lvlJc w:val="left"/>
      <w:pPr>
        <w:tabs>
          <w:tab w:val="num" w:pos="2880"/>
        </w:tabs>
        <w:ind w:left="2880" w:hanging="360"/>
      </w:pPr>
    </w:lvl>
    <w:lvl w:ilvl="4" w:tplc="9012698E" w:tentative="1">
      <w:start w:val="1"/>
      <w:numFmt w:val="decimal"/>
      <w:lvlText w:val="%5."/>
      <w:lvlJc w:val="left"/>
      <w:pPr>
        <w:tabs>
          <w:tab w:val="num" w:pos="3600"/>
        </w:tabs>
        <w:ind w:left="3600" w:hanging="360"/>
      </w:pPr>
    </w:lvl>
    <w:lvl w:ilvl="5" w:tplc="D294F708" w:tentative="1">
      <w:start w:val="1"/>
      <w:numFmt w:val="decimal"/>
      <w:lvlText w:val="%6."/>
      <w:lvlJc w:val="left"/>
      <w:pPr>
        <w:tabs>
          <w:tab w:val="num" w:pos="4320"/>
        </w:tabs>
        <w:ind w:left="4320" w:hanging="360"/>
      </w:pPr>
    </w:lvl>
    <w:lvl w:ilvl="6" w:tplc="9FF2B05C" w:tentative="1">
      <w:start w:val="1"/>
      <w:numFmt w:val="decimal"/>
      <w:lvlText w:val="%7."/>
      <w:lvlJc w:val="left"/>
      <w:pPr>
        <w:tabs>
          <w:tab w:val="num" w:pos="5040"/>
        </w:tabs>
        <w:ind w:left="5040" w:hanging="360"/>
      </w:pPr>
    </w:lvl>
    <w:lvl w:ilvl="7" w:tplc="68A26EA6" w:tentative="1">
      <w:start w:val="1"/>
      <w:numFmt w:val="decimal"/>
      <w:lvlText w:val="%8."/>
      <w:lvlJc w:val="left"/>
      <w:pPr>
        <w:tabs>
          <w:tab w:val="num" w:pos="5760"/>
        </w:tabs>
        <w:ind w:left="5760" w:hanging="360"/>
      </w:pPr>
    </w:lvl>
    <w:lvl w:ilvl="8" w:tplc="66320B9A" w:tentative="1">
      <w:start w:val="1"/>
      <w:numFmt w:val="decimal"/>
      <w:lvlText w:val="%9."/>
      <w:lvlJc w:val="left"/>
      <w:pPr>
        <w:tabs>
          <w:tab w:val="num" w:pos="6480"/>
        </w:tabs>
        <w:ind w:left="6480" w:hanging="360"/>
      </w:pPr>
    </w:lvl>
  </w:abstractNum>
  <w:abstractNum w:abstractNumId="9">
    <w:nsid w:val="25A608EE"/>
    <w:multiLevelType w:val="hybridMultilevel"/>
    <w:tmpl w:val="2B0828F8"/>
    <w:lvl w:ilvl="0" w:tplc="08090011">
      <w:start w:val="1"/>
      <w:numFmt w:val="decimal"/>
      <w:lvlText w:val="%1)"/>
      <w:lvlJc w:val="left"/>
      <w:pPr>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nsid w:val="37C84132"/>
    <w:multiLevelType w:val="hybridMultilevel"/>
    <w:tmpl w:val="A47A715C"/>
    <w:lvl w:ilvl="0" w:tplc="196A3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B4482"/>
    <w:multiLevelType w:val="hybridMultilevel"/>
    <w:tmpl w:val="D898BD34"/>
    <w:lvl w:ilvl="0" w:tplc="F124B860">
      <w:start w:val="1"/>
      <w:numFmt w:val="decimal"/>
      <w:lvlText w:val="%1."/>
      <w:lvlJc w:val="left"/>
      <w:pPr>
        <w:tabs>
          <w:tab w:val="num" w:pos="720"/>
        </w:tabs>
        <w:ind w:left="720" w:hanging="360"/>
      </w:pPr>
    </w:lvl>
    <w:lvl w:ilvl="1" w:tplc="BC22EEF4" w:tentative="1">
      <w:start w:val="1"/>
      <w:numFmt w:val="decimal"/>
      <w:lvlText w:val="%2."/>
      <w:lvlJc w:val="left"/>
      <w:pPr>
        <w:tabs>
          <w:tab w:val="num" w:pos="1440"/>
        </w:tabs>
        <w:ind w:left="1440" w:hanging="360"/>
      </w:pPr>
    </w:lvl>
    <w:lvl w:ilvl="2" w:tplc="BA526240" w:tentative="1">
      <w:start w:val="1"/>
      <w:numFmt w:val="decimal"/>
      <w:lvlText w:val="%3."/>
      <w:lvlJc w:val="left"/>
      <w:pPr>
        <w:tabs>
          <w:tab w:val="num" w:pos="2160"/>
        </w:tabs>
        <w:ind w:left="2160" w:hanging="360"/>
      </w:pPr>
    </w:lvl>
    <w:lvl w:ilvl="3" w:tplc="ACE8ACE0" w:tentative="1">
      <w:start w:val="1"/>
      <w:numFmt w:val="decimal"/>
      <w:lvlText w:val="%4."/>
      <w:lvlJc w:val="left"/>
      <w:pPr>
        <w:tabs>
          <w:tab w:val="num" w:pos="2880"/>
        </w:tabs>
        <w:ind w:left="2880" w:hanging="360"/>
      </w:pPr>
    </w:lvl>
    <w:lvl w:ilvl="4" w:tplc="7B26C092" w:tentative="1">
      <w:start w:val="1"/>
      <w:numFmt w:val="decimal"/>
      <w:lvlText w:val="%5."/>
      <w:lvlJc w:val="left"/>
      <w:pPr>
        <w:tabs>
          <w:tab w:val="num" w:pos="3600"/>
        </w:tabs>
        <w:ind w:left="3600" w:hanging="360"/>
      </w:pPr>
    </w:lvl>
    <w:lvl w:ilvl="5" w:tplc="18F6D6E8" w:tentative="1">
      <w:start w:val="1"/>
      <w:numFmt w:val="decimal"/>
      <w:lvlText w:val="%6."/>
      <w:lvlJc w:val="left"/>
      <w:pPr>
        <w:tabs>
          <w:tab w:val="num" w:pos="4320"/>
        </w:tabs>
        <w:ind w:left="4320" w:hanging="360"/>
      </w:pPr>
    </w:lvl>
    <w:lvl w:ilvl="6" w:tplc="15FA5972" w:tentative="1">
      <w:start w:val="1"/>
      <w:numFmt w:val="decimal"/>
      <w:lvlText w:val="%7."/>
      <w:lvlJc w:val="left"/>
      <w:pPr>
        <w:tabs>
          <w:tab w:val="num" w:pos="5040"/>
        </w:tabs>
        <w:ind w:left="5040" w:hanging="360"/>
      </w:pPr>
    </w:lvl>
    <w:lvl w:ilvl="7" w:tplc="F1780778" w:tentative="1">
      <w:start w:val="1"/>
      <w:numFmt w:val="decimal"/>
      <w:lvlText w:val="%8."/>
      <w:lvlJc w:val="left"/>
      <w:pPr>
        <w:tabs>
          <w:tab w:val="num" w:pos="5760"/>
        </w:tabs>
        <w:ind w:left="5760" w:hanging="360"/>
      </w:pPr>
    </w:lvl>
    <w:lvl w:ilvl="8" w:tplc="FCEC8168" w:tentative="1">
      <w:start w:val="1"/>
      <w:numFmt w:val="decimal"/>
      <w:lvlText w:val="%9."/>
      <w:lvlJc w:val="left"/>
      <w:pPr>
        <w:tabs>
          <w:tab w:val="num" w:pos="6480"/>
        </w:tabs>
        <w:ind w:left="6480" w:hanging="360"/>
      </w:pPr>
    </w:lvl>
  </w:abstractNum>
  <w:abstractNum w:abstractNumId="12">
    <w:nsid w:val="3C570BD0"/>
    <w:multiLevelType w:val="hybridMultilevel"/>
    <w:tmpl w:val="AE486C4E"/>
    <w:lvl w:ilvl="0" w:tplc="196A3674">
      <w:start w:val="1"/>
      <w:numFmt w:val="bullet"/>
      <w:lvlText w:val="•"/>
      <w:lvlJc w:val="left"/>
      <w:pPr>
        <w:tabs>
          <w:tab w:val="num" w:pos="720"/>
        </w:tabs>
        <w:ind w:left="720" w:hanging="360"/>
      </w:pPr>
      <w:rPr>
        <w:rFonts w:ascii="Arial" w:hAnsi="Arial" w:hint="default"/>
      </w:rPr>
    </w:lvl>
    <w:lvl w:ilvl="1" w:tplc="7124F1E8" w:tentative="1">
      <w:start w:val="1"/>
      <w:numFmt w:val="bullet"/>
      <w:lvlText w:val="•"/>
      <w:lvlJc w:val="left"/>
      <w:pPr>
        <w:tabs>
          <w:tab w:val="num" w:pos="1440"/>
        </w:tabs>
        <w:ind w:left="1440" w:hanging="360"/>
      </w:pPr>
      <w:rPr>
        <w:rFonts w:ascii="Arial" w:hAnsi="Arial" w:hint="default"/>
      </w:rPr>
    </w:lvl>
    <w:lvl w:ilvl="2" w:tplc="1184544C" w:tentative="1">
      <w:start w:val="1"/>
      <w:numFmt w:val="bullet"/>
      <w:lvlText w:val="•"/>
      <w:lvlJc w:val="left"/>
      <w:pPr>
        <w:tabs>
          <w:tab w:val="num" w:pos="2160"/>
        </w:tabs>
        <w:ind w:left="2160" w:hanging="360"/>
      </w:pPr>
      <w:rPr>
        <w:rFonts w:ascii="Arial" w:hAnsi="Arial" w:hint="default"/>
      </w:rPr>
    </w:lvl>
    <w:lvl w:ilvl="3" w:tplc="7C985222" w:tentative="1">
      <w:start w:val="1"/>
      <w:numFmt w:val="bullet"/>
      <w:lvlText w:val="•"/>
      <w:lvlJc w:val="left"/>
      <w:pPr>
        <w:tabs>
          <w:tab w:val="num" w:pos="2880"/>
        </w:tabs>
        <w:ind w:left="2880" w:hanging="360"/>
      </w:pPr>
      <w:rPr>
        <w:rFonts w:ascii="Arial" w:hAnsi="Arial" w:hint="default"/>
      </w:rPr>
    </w:lvl>
    <w:lvl w:ilvl="4" w:tplc="3620BFDE" w:tentative="1">
      <w:start w:val="1"/>
      <w:numFmt w:val="bullet"/>
      <w:lvlText w:val="•"/>
      <w:lvlJc w:val="left"/>
      <w:pPr>
        <w:tabs>
          <w:tab w:val="num" w:pos="3600"/>
        </w:tabs>
        <w:ind w:left="3600" w:hanging="360"/>
      </w:pPr>
      <w:rPr>
        <w:rFonts w:ascii="Arial" w:hAnsi="Arial" w:hint="default"/>
      </w:rPr>
    </w:lvl>
    <w:lvl w:ilvl="5" w:tplc="2572F674" w:tentative="1">
      <w:start w:val="1"/>
      <w:numFmt w:val="bullet"/>
      <w:lvlText w:val="•"/>
      <w:lvlJc w:val="left"/>
      <w:pPr>
        <w:tabs>
          <w:tab w:val="num" w:pos="4320"/>
        </w:tabs>
        <w:ind w:left="4320" w:hanging="360"/>
      </w:pPr>
      <w:rPr>
        <w:rFonts w:ascii="Arial" w:hAnsi="Arial" w:hint="default"/>
      </w:rPr>
    </w:lvl>
    <w:lvl w:ilvl="6" w:tplc="4112E18E" w:tentative="1">
      <w:start w:val="1"/>
      <w:numFmt w:val="bullet"/>
      <w:lvlText w:val="•"/>
      <w:lvlJc w:val="left"/>
      <w:pPr>
        <w:tabs>
          <w:tab w:val="num" w:pos="5040"/>
        </w:tabs>
        <w:ind w:left="5040" w:hanging="360"/>
      </w:pPr>
      <w:rPr>
        <w:rFonts w:ascii="Arial" w:hAnsi="Arial" w:hint="default"/>
      </w:rPr>
    </w:lvl>
    <w:lvl w:ilvl="7" w:tplc="C79C36C2" w:tentative="1">
      <w:start w:val="1"/>
      <w:numFmt w:val="bullet"/>
      <w:lvlText w:val="•"/>
      <w:lvlJc w:val="left"/>
      <w:pPr>
        <w:tabs>
          <w:tab w:val="num" w:pos="5760"/>
        </w:tabs>
        <w:ind w:left="5760" w:hanging="360"/>
      </w:pPr>
      <w:rPr>
        <w:rFonts w:ascii="Arial" w:hAnsi="Arial" w:hint="default"/>
      </w:rPr>
    </w:lvl>
    <w:lvl w:ilvl="8" w:tplc="25BA9EDA" w:tentative="1">
      <w:start w:val="1"/>
      <w:numFmt w:val="bullet"/>
      <w:lvlText w:val="•"/>
      <w:lvlJc w:val="left"/>
      <w:pPr>
        <w:tabs>
          <w:tab w:val="num" w:pos="6480"/>
        </w:tabs>
        <w:ind w:left="6480" w:hanging="360"/>
      </w:pPr>
      <w:rPr>
        <w:rFonts w:ascii="Arial" w:hAnsi="Arial" w:hint="default"/>
      </w:rPr>
    </w:lvl>
  </w:abstractNum>
  <w:abstractNum w:abstractNumId="13">
    <w:nsid w:val="41675162"/>
    <w:multiLevelType w:val="hybridMultilevel"/>
    <w:tmpl w:val="2B26B8E8"/>
    <w:lvl w:ilvl="0" w:tplc="08090011">
      <w:start w:val="1"/>
      <w:numFmt w:val="decimal"/>
      <w:lvlText w:val="%1)"/>
      <w:lvlJc w:val="left"/>
      <w:pPr>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nsid w:val="4B3F7D32"/>
    <w:multiLevelType w:val="hybridMultilevel"/>
    <w:tmpl w:val="70D05FD4"/>
    <w:lvl w:ilvl="0" w:tplc="DDC8BB16">
      <w:start w:val="1"/>
      <w:numFmt w:val="bullet"/>
      <w:lvlText w:val="•"/>
      <w:lvlJc w:val="left"/>
      <w:pPr>
        <w:tabs>
          <w:tab w:val="num" w:pos="720"/>
        </w:tabs>
        <w:ind w:left="720" w:hanging="360"/>
      </w:pPr>
      <w:rPr>
        <w:rFonts w:ascii="Arial" w:hAnsi="Arial" w:hint="default"/>
      </w:rPr>
    </w:lvl>
    <w:lvl w:ilvl="1" w:tplc="B6F2F150" w:tentative="1">
      <w:start w:val="1"/>
      <w:numFmt w:val="bullet"/>
      <w:lvlText w:val="•"/>
      <w:lvlJc w:val="left"/>
      <w:pPr>
        <w:tabs>
          <w:tab w:val="num" w:pos="1440"/>
        </w:tabs>
        <w:ind w:left="1440" w:hanging="360"/>
      </w:pPr>
      <w:rPr>
        <w:rFonts w:ascii="Arial" w:hAnsi="Arial" w:hint="default"/>
      </w:rPr>
    </w:lvl>
    <w:lvl w:ilvl="2" w:tplc="44E09850" w:tentative="1">
      <w:start w:val="1"/>
      <w:numFmt w:val="bullet"/>
      <w:lvlText w:val="•"/>
      <w:lvlJc w:val="left"/>
      <w:pPr>
        <w:tabs>
          <w:tab w:val="num" w:pos="2160"/>
        </w:tabs>
        <w:ind w:left="2160" w:hanging="360"/>
      </w:pPr>
      <w:rPr>
        <w:rFonts w:ascii="Arial" w:hAnsi="Arial" w:hint="default"/>
      </w:rPr>
    </w:lvl>
    <w:lvl w:ilvl="3" w:tplc="DCDA12DA" w:tentative="1">
      <w:start w:val="1"/>
      <w:numFmt w:val="bullet"/>
      <w:lvlText w:val="•"/>
      <w:lvlJc w:val="left"/>
      <w:pPr>
        <w:tabs>
          <w:tab w:val="num" w:pos="2880"/>
        </w:tabs>
        <w:ind w:left="2880" w:hanging="360"/>
      </w:pPr>
      <w:rPr>
        <w:rFonts w:ascii="Arial" w:hAnsi="Arial" w:hint="default"/>
      </w:rPr>
    </w:lvl>
    <w:lvl w:ilvl="4" w:tplc="90D4BCD8" w:tentative="1">
      <w:start w:val="1"/>
      <w:numFmt w:val="bullet"/>
      <w:lvlText w:val="•"/>
      <w:lvlJc w:val="left"/>
      <w:pPr>
        <w:tabs>
          <w:tab w:val="num" w:pos="3600"/>
        </w:tabs>
        <w:ind w:left="3600" w:hanging="360"/>
      </w:pPr>
      <w:rPr>
        <w:rFonts w:ascii="Arial" w:hAnsi="Arial" w:hint="default"/>
      </w:rPr>
    </w:lvl>
    <w:lvl w:ilvl="5" w:tplc="36B89F68" w:tentative="1">
      <w:start w:val="1"/>
      <w:numFmt w:val="bullet"/>
      <w:lvlText w:val="•"/>
      <w:lvlJc w:val="left"/>
      <w:pPr>
        <w:tabs>
          <w:tab w:val="num" w:pos="4320"/>
        </w:tabs>
        <w:ind w:left="4320" w:hanging="360"/>
      </w:pPr>
      <w:rPr>
        <w:rFonts w:ascii="Arial" w:hAnsi="Arial" w:hint="default"/>
      </w:rPr>
    </w:lvl>
    <w:lvl w:ilvl="6" w:tplc="F2043F02" w:tentative="1">
      <w:start w:val="1"/>
      <w:numFmt w:val="bullet"/>
      <w:lvlText w:val="•"/>
      <w:lvlJc w:val="left"/>
      <w:pPr>
        <w:tabs>
          <w:tab w:val="num" w:pos="5040"/>
        </w:tabs>
        <w:ind w:left="5040" w:hanging="360"/>
      </w:pPr>
      <w:rPr>
        <w:rFonts w:ascii="Arial" w:hAnsi="Arial" w:hint="default"/>
      </w:rPr>
    </w:lvl>
    <w:lvl w:ilvl="7" w:tplc="9C0020CC" w:tentative="1">
      <w:start w:val="1"/>
      <w:numFmt w:val="bullet"/>
      <w:lvlText w:val="•"/>
      <w:lvlJc w:val="left"/>
      <w:pPr>
        <w:tabs>
          <w:tab w:val="num" w:pos="5760"/>
        </w:tabs>
        <w:ind w:left="5760" w:hanging="360"/>
      </w:pPr>
      <w:rPr>
        <w:rFonts w:ascii="Arial" w:hAnsi="Arial" w:hint="default"/>
      </w:rPr>
    </w:lvl>
    <w:lvl w:ilvl="8" w:tplc="73CA84D6" w:tentative="1">
      <w:start w:val="1"/>
      <w:numFmt w:val="bullet"/>
      <w:lvlText w:val="•"/>
      <w:lvlJc w:val="left"/>
      <w:pPr>
        <w:tabs>
          <w:tab w:val="num" w:pos="6480"/>
        </w:tabs>
        <w:ind w:left="6480" w:hanging="360"/>
      </w:pPr>
      <w:rPr>
        <w:rFonts w:ascii="Arial" w:hAnsi="Arial" w:hint="default"/>
      </w:rPr>
    </w:lvl>
  </w:abstractNum>
  <w:abstractNum w:abstractNumId="15">
    <w:nsid w:val="611E0B5F"/>
    <w:multiLevelType w:val="hybridMultilevel"/>
    <w:tmpl w:val="846A7B8E"/>
    <w:lvl w:ilvl="0" w:tplc="08090013">
      <w:start w:val="1"/>
      <w:numFmt w:val="upperRoman"/>
      <w:lvlText w:val="%1."/>
      <w:lvlJc w:val="right"/>
      <w:pPr>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6">
    <w:nsid w:val="64AD0BA5"/>
    <w:multiLevelType w:val="hybridMultilevel"/>
    <w:tmpl w:val="DFEE3AE8"/>
    <w:lvl w:ilvl="0" w:tplc="08090017">
      <w:start w:val="1"/>
      <w:numFmt w:val="lowerLetter"/>
      <w:lvlText w:val="%1)"/>
      <w:lvlJc w:val="left"/>
      <w:pPr>
        <w:ind w:left="360" w:hanging="360"/>
      </w:pPr>
      <w:rPr>
        <w:rFonts w:hint="default"/>
      </w:rPr>
    </w:lvl>
    <w:lvl w:ilvl="1" w:tplc="89B68CF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1C1508"/>
    <w:multiLevelType w:val="hybridMultilevel"/>
    <w:tmpl w:val="3A32DC1E"/>
    <w:lvl w:ilvl="0" w:tplc="CCB4B646">
      <w:start w:val="1"/>
      <w:numFmt w:val="lowerLetter"/>
      <w:lvlText w:val="%1."/>
      <w:lvlJc w:val="left"/>
      <w:pPr>
        <w:ind w:left="780" w:hanging="360"/>
      </w:pPr>
      <w:rPr>
        <w:b w:val="0"/>
      </w:rPr>
    </w:lvl>
    <w:lvl w:ilvl="1" w:tplc="FFFFFFFF" w:tentative="1">
      <w:start w:val="1"/>
      <w:numFmt w:val="lowerLetter"/>
      <w:lvlText w:val="%2."/>
      <w:lvlJc w:val="left"/>
      <w:pPr>
        <w:ind w:left="2048" w:hanging="360"/>
      </w:pPr>
    </w:lvl>
    <w:lvl w:ilvl="2" w:tplc="FFFFFFFF" w:tentative="1">
      <w:start w:val="1"/>
      <w:numFmt w:val="lowerRoman"/>
      <w:lvlText w:val="%3."/>
      <w:lvlJc w:val="right"/>
      <w:pPr>
        <w:ind w:left="2768" w:hanging="180"/>
      </w:pPr>
    </w:lvl>
    <w:lvl w:ilvl="3" w:tplc="FFFFFFFF" w:tentative="1">
      <w:start w:val="1"/>
      <w:numFmt w:val="decimal"/>
      <w:lvlText w:val="%4."/>
      <w:lvlJc w:val="left"/>
      <w:pPr>
        <w:ind w:left="3488" w:hanging="360"/>
      </w:pPr>
    </w:lvl>
    <w:lvl w:ilvl="4" w:tplc="FFFFFFFF" w:tentative="1">
      <w:start w:val="1"/>
      <w:numFmt w:val="lowerLetter"/>
      <w:lvlText w:val="%5."/>
      <w:lvlJc w:val="left"/>
      <w:pPr>
        <w:ind w:left="4208" w:hanging="360"/>
      </w:pPr>
    </w:lvl>
    <w:lvl w:ilvl="5" w:tplc="FFFFFFFF" w:tentative="1">
      <w:start w:val="1"/>
      <w:numFmt w:val="lowerRoman"/>
      <w:lvlText w:val="%6."/>
      <w:lvlJc w:val="right"/>
      <w:pPr>
        <w:ind w:left="4928" w:hanging="180"/>
      </w:pPr>
    </w:lvl>
    <w:lvl w:ilvl="6" w:tplc="FFFFFFFF" w:tentative="1">
      <w:start w:val="1"/>
      <w:numFmt w:val="decimal"/>
      <w:lvlText w:val="%7."/>
      <w:lvlJc w:val="left"/>
      <w:pPr>
        <w:ind w:left="5648" w:hanging="360"/>
      </w:pPr>
    </w:lvl>
    <w:lvl w:ilvl="7" w:tplc="FFFFFFFF" w:tentative="1">
      <w:start w:val="1"/>
      <w:numFmt w:val="lowerLetter"/>
      <w:lvlText w:val="%8."/>
      <w:lvlJc w:val="left"/>
      <w:pPr>
        <w:ind w:left="6368" w:hanging="360"/>
      </w:pPr>
    </w:lvl>
    <w:lvl w:ilvl="8" w:tplc="FFFFFFFF" w:tentative="1">
      <w:start w:val="1"/>
      <w:numFmt w:val="lowerRoman"/>
      <w:lvlText w:val="%9."/>
      <w:lvlJc w:val="right"/>
      <w:pPr>
        <w:ind w:left="7088" w:hanging="180"/>
      </w:pPr>
    </w:lvl>
  </w:abstractNum>
  <w:abstractNum w:abstractNumId="18">
    <w:nsid w:val="6DCB5F76"/>
    <w:multiLevelType w:val="hybridMultilevel"/>
    <w:tmpl w:val="581A6598"/>
    <w:lvl w:ilvl="0" w:tplc="CCB4B6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D30E4"/>
    <w:multiLevelType w:val="hybridMultilevel"/>
    <w:tmpl w:val="07D6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3639F"/>
    <w:multiLevelType w:val="hybridMultilevel"/>
    <w:tmpl w:val="4E8825CE"/>
    <w:lvl w:ilvl="0" w:tplc="D7EE64BE">
      <w:start w:val="1"/>
      <w:numFmt w:val="decimal"/>
      <w:lvlText w:val="%1."/>
      <w:lvlJc w:val="left"/>
      <w:pPr>
        <w:tabs>
          <w:tab w:val="num" w:pos="720"/>
        </w:tabs>
        <w:ind w:left="720" w:hanging="360"/>
      </w:pPr>
    </w:lvl>
    <w:lvl w:ilvl="1" w:tplc="5D56FFC2" w:tentative="1">
      <w:start w:val="1"/>
      <w:numFmt w:val="decimal"/>
      <w:lvlText w:val="%2."/>
      <w:lvlJc w:val="left"/>
      <w:pPr>
        <w:tabs>
          <w:tab w:val="num" w:pos="1440"/>
        </w:tabs>
        <w:ind w:left="1440" w:hanging="360"/>
      </w:pPr>
    </w:lvl>
    <w:lvl w:ilvl="2" w:tplc="7C0C3DAE" w:tentative="1">
      <w:start w:val="1"/>
      <w:numFmt w:val="decimal"/>
      <w:lvlText w:val="%3."/>
      <w:lvlJc w:val="left"/>
      <w:pPr>
        <w:tabs>
          <w:tab w:val="num" w:pos="2160"/>
        </w:tabs>
        <w:ind w:left="2160" w:hanging="360"/>
      </w:pPr>
    </w:lvl>
    <w:lvl w:ilvl="3" w:tplc="CE06361A" w:tentative="1">
      <w:start w:val="1"/>
      <w:numFmt w:val="decimal"/>
      <w:lvlText w:val="%4."/>
      <w:lvlJc w:val="left"/>
      <w:pPr>
        <w:tabs>
          <w:tab w:val="num" w:pos="2880"/>
        </w:tabs>
        <w:ind w:left="2880" w:hanging="360"/>
      </w:pPr>
    </w:lvl>
    <w:lvl w:ilvl="4" w:tplc="E02464FE" w:tentative="1">
      <w:start w:val="1"/>
      <w:numFmt w:val="decimal"/>
      <w:lvlText w:val="%5."/>
      <w:lvlJc w:val="left"/>
      <w:pPr>
        <w:tabs>
          <w:tab w:val="num" w:pos="3600"/>
        </w:tabs>
        <w:ind w:left="3600" w:hanging="360"/>
      </w:pPr>
    </w:lvl>
    <w:lvl w:ilvl="5" w:tplc="BC2C9E34" w:tentative="1">
      <w:start w:val="1"/>
      <w:numFmt w:val="decimal"/>
      <w:lvlText w:val="%6."/>
      <w:lvlJc w:val="left"/>
      <w:pPr>
        <w:tabs>
          <w:tab w:val="num" w:pos="4320"/>
        </w:tabs>
        <w:ind w:left="4320" w:hanging="360"/>
      </w:pPr>
    </w:lvl>
    <w:lvl w:ilvl="6" w:tplc="C5BC43EE" w:tentative="1">
      <w:start w:val="1"/>
      <w:numFmt w:val="decimal"/>
      <w:lvlText w:val="%7."/>
      <w:lvlJc w:val="left"/>
      <w:pPr>
        <w:tabs>
          <w:tab w:val="num" w:pos="5040"/>
        </w:tabs>
        <w:ind w:left="5040" w:hanging="360"/>
      </w:pPr>
    </w:lvl>
    <w:lvl w:ilvl="7" w:tplc="69E4AFCE" w:tentative="1">
      <w:start w:val="1"/>
      <w:numFmt w:val="decimal"/>
      <w:lvlText w:val="%8."/>
      <w:lvlJc w:val="left"/>
      <w:pPr>
        <w:tabs>
          <w:tab w:val="num" w:pos="5760"/>
        </w:tabs>
        <w:ind w:left="5760" w:hanging="360"/>
      </w:pPr>
    </w:lvl>
    <w:lvl w:ilvl="8" w:tplc="1F88245A" w:tentative="1">
      <w:start w:val="1"/>
      <w:numFmt w:val="decimal"/>
      <w:lvlText w:val="%9."/>
      <w:lvlJc w:val="left"/>
      <w:pPr>
        <w:tabs>
          <w:tab w:val="num" w:pos="6480"/>
        </w:tabs>
        <w:ind w:left="6480" w:hanging="360"/>
      </w:pPr>
    </w:lvl>
  </w:abstractNum>
  <w:num w:numId="1">
    <w:abstractNumId w:val="14"/>
  </w:num>
  <w:num w:numId="2">
    <w:abstractNumId w:val="20"/>
  </w:num>
  <w:num w:numId="3">
    <w:abstractNumId w:val="19"/>
  </w:num>
  <w:num w:numId="4">
    <w:abstractNumId w:val="6"/>
  </w:num>
  <w:num w:numId="5">
    <w:abstractNumId w:val="1"/>
  </w:num>
  <w:num w:numId="6">
    <w:abstractNumId w:val="12"/>
  </w:num>
  <w:num w:numId="7">
    <w:abstractNumId w:val="11"/>
  </w:num>
  <w:num w:numId="8">
    <w:abstractNumId w:val="4"/>
  </w:num>
  <w:num w:numId="9">
    <w:abstractNumId w:val="8"/>
  </w:num>
  <w:num w:numId="10">
    <w:abstractNumId w:val="10"/>
  </w:num>
  <w:num w:numId="11">
    <w:abstractNumId w:val="0"/>
  </w:num>
  <w:num w:numId="12">
    <w:abstractNumId w:val="18"/>
  </w:num>
  <w:num w:numId="13">
    <w:abstractNumId w:val="5"/>
  </w:num>
  <w:num w:numId="14">
    <w:abstractNumId w:val="7"/>
  </w:num>
  <w:num w:numId="15">
    <w:abstractNumId w:val="17"/>
  </w:num>
  <w:num w:numId="16">
    <w:abstractNumId w:val="3"/>
  </w:num>
  <w:num w:numId="17">
    <w:abstractNumId w:val="15"/>
  </w:num>
  <w:num w:numId="18">
    <w:abstractNumId w:val="13"/>
  </w:num>
  <w:num w:numId="19">
    <w:abstractNumId w:val="9"/>
  </w:num>
  <w:num w:numId="20">
    <w:abstractNumId w:val="1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rsids>
    <w:rsidRoot w:val="00DE2778"/>
    <w:rsid w:val="00007266"/>
    <w:rsid w:val="000417D6"/>
    <w:rsid w:val="00064DFC"/>
    <w:rsid w:val="000731F9"/>
    <w:rsid w:val="00074D77"/>
    <w:rsid w:val="0008727E"/>
    <w:rsid w:val="000975F0"/>
    <w:rsid w:val="00097B13"/>
    <w:rsid w:val="000A2775"/>
    <w:rsid w:val="000A47E7"/>
    <w:rsid w:val="000F093E"/>
    <w:rsid w:val="001337BF"/>
    <w:rsid w:val="0013570C"/>
    <w:rsid w:val="0016194D"/>
    <w:rsid w:val="00176797"/>
    <w:rsid w:val="001C0419"/>
    <w:rsid w:val="001E65A7"/>
    <w:rsid w:val="002422F0"/>
    <w:rsid w:val="002B301D"/>
    <w:rsid w:val="00331689"/>
    <w:rsid w:val="00370146"/>
    <w:rsid w:val="00385050"/>
    <w:rsid w:val="00395016"/>
    <w:rsid w:val="003C1B18"/>
    <w:rsid w:val="003D4960"/>
    <w:rsid w:val="0040176A"/>
    <w:rsid w:val="00412F78"/>
    <w:rsid w:val="00490854"/>
    <w:rsid w:val="004A2D55"/>
    <w:rsid w:val="004A74DE"/>
    <w:rsid w:val="004B6E3E"/>
    <w:rsid w:val="004E2528"/>
    <w:rsid w:val="004F2088"/>
    <w:rsid w:val="004F37E2"/>
    <w:rsid w:val="00533F13"/>
    <w:rsid w:val="00544F5C"/>
    <w:rsid w:val="00550A5B"/>
    <w:rsid w:val="005553F2"/>
    <w:rsid w:val="005576C0"/>
    <w:rsid w:val="00596845"/>
    <w:rsid w:val="005A24B2"/>
    <w:rsid w:val="005A6A78"/>
    <w:rsid w:val="005E112F"/>
    <w:rsid w:val="00643BAF"/>
    <w:rsid w:val="006467F8"/>
    <w:rsid w:val="00653CAD"/>
    <w:rsid w:val="00657BA3"/>
    <w:rsid w:val="006A15F4"/>
    <w:rsid w:val="006A4729"/>
    <w:rsid w:val="0070432C"/>
    <w:rsid w:val="007207CD"/>
    <w:rsid w:val="00721B01"/>
    <w:rsid w:val="00746A1E"/>
    <w:rsid w:val="00754F68"/>
    <w:rsid w:val="00761782"/>
    <w:rsid w:val="007773A8"/>
    <w:rsid w:val="007805A7"/>
    <w:rsid w:val="007A5F25"/>
    <w:rsid w:val="007C206D"/>
    <w:rsid w:val="00865943"/>
    <w:rsid w:val="00894577"/>
    <w:rsid w:val="008B2EEF"/>
    <w:rsid w:val="008F4346"/>
    <w:rsid w:val="00906759"/>
    <w:rsid w:val="0096306C"/>
    <w:rsid w:val="009666D3"/>
    <w:rsid w:val="00975BE7"/>
    <w:rsid w:val="009D2896"/>
    <w:rsid w:val="00A038B7"/>
    <w:rsid w:val="00A070E6"/>
    <w:rsid w:val="00A12FEA"/>
    <w:rsid w:val="00A27407"/>
    <w:rsid w:val="00A312B0"/>
    <w:rsid w:val="00A463BD"/>
    <w:rsid w:val="00A72C39"/>
    <w:rsid w:val="00A91CB5"/>
    <w:rsid w:val="00B06D3B"/>
    <w:rsid w:val="00B276CB"/>
    <w:rsid w:val="00B643C6"/>
    <w:rsid w:val="00B86CF1"/>
    <w:rsid w:val="00BA0467"/>
    <w:rsid w:val="00BC007D"/>
    <w:rsid w:val="00BC649C"/>
    <w:rsid w:val="00C00045"/>
    <w:rsid w:val="00C1630C"/>
    <w:rsid w:val="00C34A73"/>
    <w:rsid w:val="00C60D37"/>
    <w:rsid w:val="00CD407F"/>
    <w:rsid w:val="00D128D7"/>
    <w:rsid w:val="00D34D41"/>
    <w:rsid w:val="00D378CD"/>
    <w:rsid w:val="00D938F3"/>
    <w:rsid w:val="00DA5602"/>
    <w:rsid w:val="00DC6003"/>
    <w:rsid w:val="00DE2778"/>
    <w:rsid w:val="00E21B79"/>
    <w:rsid w:val="00E320F5"/>
    <w:rsid w:val="00E4094A"/>
    <w:rsid w:val="00E540D6"/>
    <w:rsid w:val="00E624E3"/>
    <w:rsid w:val="00E71C9F"/>
    <w:rsid w:val="00EA6A03"/>
    <w:rsid w:val="00EB3EDE"/>
    <w:rsid w:val="00ED0AE1"/>
    <w:rsid w:val="00F1637F"/>
    <w:rsid w:val="00F263EE"/>
    <w:rsid w:val="00F266CA"/>
    <w:rsid w:val="00F33D23"/>
    <w:rsid w:val="00F46948"/>
    <w:rsid w:val="00F519CE"/>
    <w:rsid w:val="00F5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B2"/>
    <w:pPr>
      <w:spacing w:after="12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78"/>
    <w:rPr>
      <w:rFonts w:ascii="Times New Roman" w:hAnsi="Times New Roman" w:cs="Times New Roman"/>
      <w:sz w:val="24"/>
      <w:szCs w:val="24"/>
    </w:rPr>
  </w:style>
  <w:style w:type="paragraph" w:styleId="Footer">
    <w:name w:val="footer"/>
    <w:basedOn w:val="Normal"/>
    <w:link w:val="FooterChar"/>
    <w:uiPriority w:val="99"/>
    <w:unhideWhenUsed/>
    <w:rsid w:val="00DE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78"/>
    <w:rPr>
      <w:rFonts w:ascii="Times New Roman" w:hAnsi="Times New Roman" w:cs="Times New Roman"/>
      <w:sz w:val="24"/>
      <w:szCs w:val="24"/>
    </w:rPr>
  </w:style>
  <w:style w:type="paragraph" w:styleId="ListParagraph">
    <w:name w:val="List Paragraph"/>
    <w:basedOn w:val="Normal"/>
    <w:uiPriority w:val="34"/>
    <w:qFormat/>
    <w:rsid w:val="00A038B7"/>
    <w:pPr>
      <w:ind w:left="720"/>
      <w:contextualSpacing/>
    </w:pPr>
  </w:style>
  <w:style w:type="paragraph" w:styleId="NormalWeb">
    <w:name w:val="Normal (Web)"/>
    <w:basedOn w:val="Normal"/>
    <w:uiPriority w:val="99"/>
    <w:semiHidden/>
    <w:unhideWhenUsed/>
    <w:rsid w:val="00176797"/>
  </w:style>
  <w:style w:type="paragraph" w:styleId="Revision">
    <w:name w:val="Revision"/>
    <w:hidden/>
    <w:uiPriority w:val="99"/>
    <w:semiHidden/>
    <w:rsid w:val="00BC649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55"/>
    <w:rPr>
      <w:rFonts w:ascii="Segoe UI" w:hAnsi="Segoe UI" w:cs="Segoe UI"/>
      <w:sz w:val="18"/>
      <w:szCs w:val="18"/>
    </w:rPr>
  </w:style>
  <w:style w:type="character" w:styleId="CommentReference">
    <w:name w:val="annotation reference"/>
    <w:basedOn w:val="DefaultParagraphFont"/>
    <w:uiPriority w:val="99"/>
    <w:semiHidden/>
    <w:unhideWhenUsed/>
    <w:rsid w:val="000A47E7"/>
    <w:rPr>
      <w:sz w:val="16"/>
      <w:szCs w:val="16"/>
    </w:rPr>
  </w:style>
  <w:style w:type="paragraph" w:styleId="CommentText">
    <w:name w:val="annotation text"/>
    <w:basedOn w:val="Normal"/>
    <w:link w:val="CommentTextChar"/>
    <w:uiPriority w:val="99"/>
    <w:semiHidden/>
    <w:unhideWhenUsed/>
    <w:rsid w:val="000A47E7"/>
    <w:pPr>
      <w:spacing w:line="240" w:lineRule="auto"/>
    </w:pPr>
    <w:rPr>
      <w:sz w:val="20"/>
      <w:szCs w:val="20"/>
    </w:rPr>
  </w:style>
  <w:style w:type="character" w:customStyle="1" w:styleId="CommentTextChar">
    <w:name w:val="Comment Text Char"/>
    <w:basedOn w:val="DefaultParagraphFont"/>
    <w:link w:val="CommentText"/>
    <w:uiPriority w:val="99"/>
    <w:semiHidden/>
    <w:rsid w:val="000A47E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7E7"/>
    <w:rPr>
      <w:b/>
      <w:bCs/>
    </w:rPr>
  </w:style>
  <w:style w:type="character" w:customStyle="1" w:styleId="CommentSubjectChar">
    <w:name w:val="Comment Subject Char"/>
    <w:basedOn w:val="CommentTextChar"/>
    <w:link w:val="CommentSubject"/>
    <w:uiPriority w:val="99"/>
    <w:semiHidden/>
    <w:rsid w:val="000A47E7"/>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758556">
      <w:bodyDiv w:val="1"/>
      <w:marLeft w:val="0"/>
      <w:marRight w:val="0"/>
      <w:marTop w:val="0"/>
      <w:marBottom w:val="0"/>
      <w:divBdr>
        <w:top w:val="none" w:sz="0" w:space="0" w:color="auto"/>
        <w:left w:val="none" w:sz="0" w:space="0" w:color="auto"/>
        <w:bottom w:val="none" w:sz="0" w:space="0" w:color="auto"/>
        <w:right w:val="none" w:sz="0" w:space="0" w:color="auto"/>
      </w:divBdr>
      <w:divsChild>
        <w:div w:id="1732458002">
          <w:marLeft w:val="547"/>
          <w:marRight w:val="0"/>
          <w:marTop w:val="0"/>
          <w:marBottom w:val="0"/>
          <w:divBdr>
            <w:top w:val="none" w:sz="0" w:space="0" w:color="auto"/>
            <w:left w:val="none" w:sz="0" w:space="0" w:color="auto"/>
            <w:bottom w:val="none" w:sz="0" w:space="0" w:color="auto"/>
            <w:right w:val="none" w:sz="0" w:space="0" w:color="auto"/>
          </w:divBdr>
        </w:div>
        <w:div w:id="467473689">
          <w:marLeft w:val="547"/>
          <w:marRight w:val="0"/>
          <w:marTop w:val="0"/>
          <w:marBottom w:val="0"/>
          <w:divBdr>
            <w:top w:val="none" w:sz="0" w:space="0" w:color="auto"/>
            <w:left w:val="none" w:sz="0" w:space="0" w:color="auto"/>
            <w:bottom w:val="none" w:sz="0" w:space="0" w:color="auto"/>
            <w:right w:val="none" w:sz="0" w:space="0" w:color="auto"/>
          </w:divBdr>
        </w:div>
      </w:divsChild>
    </w:div>
    <w:div w:id="135801736">
      <w:bodyDiv w:val="1"/>
      <w:marLeft w:val="0"/>
      <w:marRight w:val="0"/>
      <w:marTop w:val="0"/>
      <w:marBottom w:val="0"/>
      <w:divBdr>
        <w:top w:val="none" w:sz="0" w:space="0" w:color="auto"/>
        <w:left w:val="none" w:sz="0" w:space="0" w:color="auto"/>
        <w:bottom w:val="none" w:sz="0" w:space="0" w:color="auto"/>
        <w:right w:val="none" w:sz="0" w:space="0" w:color="auto"/>
      </w:divBdr>
    </w:div>
    <w:div w:id="170878296">
      <w:bodyDiv w:val="1"/>
      <w:marLeft w:val="0"/>
      <w:marRight w:val="0"/>
      <w:marTop w:val="0"/>
      <w:marBottom w:val="0"/>
      <w:divBdr>
        <w:top w:val="none" w:sz="0" w:space="0" w:color="auto"/>
        <w:left w:val="none" w:sz="0" w:space="0" w:color="auto"/>
        <w:bottom w:val="none" w:sz="0" w:space="0" w:color="auto"/>
        <w:right w:val="none" w:sz="0" w:space="0" w:color="auto"/>
      </w:divBdr>
    </w:div>
    <w:div w:id="192236236">
      <w:bodyDiv w:val="1"/>
      <w:marLeft w:val="0"/>
      <w:marRight w:val="0"/>
      <w:marTop w:val="0"/>
      <w:marBottom w:val="0"/>
      <w:divBdr>
        <w:top w:val="none" w:sz="0" w:space="0" w:color="auto"/>
        <w:left w:val="none" w:sz="0" w:space="0" w:color="auto"/>
        <w:bottom w:val="none" w:sz="0" w:space="0" w:color="auto"/>
        <w:right w:val="none" w:sz="0" w:space="0" w:color="auto"/>
      </w:divBdr>
    </w:div>
    <w:div w:id="230624365">
      <w:bodyDiv w:val="1"/>
      <w:marLeft w:val="0"/>
      <w:marRight w:val="0"/>
      <w:marTop w:val="0"/>
      <w:marBottom w:val="0"/>
      <w:divBdr>
        <w:top w:val="none" w:sz="0" w:space="0" w:color="auto"/>
        <w:left w:val="none" w:sz="0" w:space="0" w:color="auto"/>
        <w:bottom w:val="none" w:sz="0" w:space="0" w:color="auto"/>
        <w:right w:val="none" w:sz="0" w:space="0" w:color="auto"/>
      </w:divBdr>
    </w:div>
    <w:div w:id="374624129">
      <w:bodyDiv w:val="1"/>
      <w:marLeft w:val="0"/>
      <w:marRight w:val="0"/>
      <w:marTop w:val="0"/>
      <w:marBottom w:val="0"/>
      <w:divBdr>
        <w:top w:val="none" w:sz="0" w:space="0" w:color="auto"/>
        <w:left w:val="none" w:sz="0" w:space="0" w:color="auto"/>
        <w:bottom w:val="none" w:sz="0" w:space="0" w:color="auto"/>
        <w:right w:val="none" w:sz="0" w:space="0" w:color="auto"/>
      </w:divBdr>
    </w:div>
    <w:div w:id="490676634">
      <w:bodyDiv w:val="1"/>
      <w:marLeft w:val="0"/>
      <w:marRight w:val="0"/>
      <w:marTop w:val="0"/>
      <w:marBottom w:val="0"/>
      <w:divBdr>
        <w:top w:val="none" w:sz="0" w:space="0" w:color="auto"/>
        <w:left w:val="none" w:sz="0" w:space="0" w:color="auto"/>
        <w:bottom w:val="none" w:sz="0" w:space="0" w:color="auto"/>
        <w:right w:val="none" w:sz="0" w:space="0" w:color="auto"/>
      </w:divBdr>
    </w:div>
    <w:div w:id="547231204">
      <w:bodyDiv w:val="1"/>
      <w:marLeft w:val="0"/>
      <w:marRight w:val="0"/>
      <w:marTop w:val="0"/>
      <w:marBottom w:val="0"/>
      <w:divBdr>
        <w:top w:val="none" w:sz="0" w:space="0" w:color="auto"/>
        <w:left w:val="none" w:sz="0" w:space="0" w:color="auto"/>
        <w:bottom w:val="none" w:sz="0" w:space="0" w:color="auto"/>
        <w:right w:val="none" w:sz="0" w:space="0" w:color="auto"/>
      </w:divBdr>
      <w:divsChild>
        <w:div w:id="361705705">
          <w:marLeft w:val="547"/>
          <w:marRight w:val="0"/>
          <w:marTop w:val="0"/>
          <w:marBottom w:val="0"/>
          <w:divBdr>
            <w:top w:val="none" w:sz="0" w:space="0" w:color="auto"/>
            <w:left w:val="none" w:sz="0" w:space="0" w:color="auto"/>
            <w:bottom w:val="none" w:sz="0" w:space="0" w:color="auto"/>
            <w:right w:val="none" w:sz="0" w:space="0" w:color="auto"/>
          </w:divBdr>
        </w:div>
        <w:div w:id="1292245752">
          <w:marLeft w:val="547"/>
          <w:marRight w:val="0"/>
          <w:marTop w:val="0"/>
          <w:marBottom w:val="0"/>
          <w:divBdr>
            <w:top w:val="none" w:sz="0" w:space="0" w:color="auto"/>
            <w:left w:val="none" w:sz="0" w:space="0" w:color="auto"/>
            <w:bottom w:val="none" w:sz="0" w:space="0" w:color="auto"/>
            <w:right w:val="none" w:sz="0" w:space="0" w:color="auto"/>
          </w:divBdr>
        </w:div>
      </w:divsChild>
    </w:div>
    <w:div w:id="564726676">
      <w:bodyDiv w:val="1"/>
      <w:marLeft w:val="0"/>
      <w:marRight w:val="0"/>
      <w:marTop w:val="0"/>
      <w:marBottom w:val="0"/>
      <w:divBdr>
        <w:top w:val="none" w:sz="0" w:space="0" w:color="auto"/>
        <w:left w:val="none" w:sz="0" w:space="0" w:color="auto"/>
        <w:bottom w:val="none" w:sz="0" w:space="0" w:color="auto"/>
        <w:right w:val="none" w:sz="0" w:space="0" w:color="auto"/>
      </w:divBdr>
      <w:divsChild>
        <w:div w:id="1494100866">
          <w:marLeft w:val="446"/>
          <w:marRight w:val="0"/>
          <w:marTop w:val="0"/>
          <w:marBottom w:val="0"/>
          <w:divBdr>
            <w:top w:val="none" w:sz="0" w:space="0" w:color="auto"/>
            <w:left w:val="none" w:sz="0" w:space="0" w:color="auto"/>
            <w:bottom w:val="none" w:sz="0" w:space="0" w:color="auto"/>
            <w:right w:val="none" w:sz="0" w:space="0" w:color="auto"/>
          </w:divBdr>
        </w:div>
      </w:divsChild>
    </w:div>
    <w:div w:id="569510198">
      <w:bodyDiv w:val="1"/>
      <w:marLeft w:val="0"/>
      <w:marRight w:val="0"/>
      <w:marTop w:val="0"/>
      <w:marBottom w:val="0"/>
      <w:divBdr>
        <w:top w:val="none" w:sz="0" w:space="0" w:color="auto"/>
        <w:left w:val="none" w:sz="0" w:space="0" w:color="auto"/>
        <w:bottom w:val="none" w:sz="0" w:space="0" w:color="auto"/>
        <w:right w:val="none" w:sz="0" w:space="0" w:color="auto"/>
      </w:divBdr>
    </w:div>
    <w:div w:id="601957375">
      <w:bodyDiv w:val="1"/>
      <w:marLeft w:val="0"/>
      <w:marRight w:val="0"/>
      <w:marTop w:val="0"/>
      <w:marBottom w:val="0"/>
      <w:divBdr>
        <w:top w:val="none" w:sz="0" w:space="0" w:color="auto"/>
        <w:left w:val="none" w:sz="0" w:space="0" w:color="auto"/>
        <w:bottom w:val="none" w:sz="0" w:space="0" w:color="auto"/>
        <w:right w:val="none" w:sz="0" w:space="0" w:color="auto"/>
      </w:divBdr>
    </w:div>
    <w:div w:id="645933373">
      <w:bodyDiv w:val="1"/>
      <w:marLeft w:val="0"/>
      <w:marRight w:val="0"/>
      <w:marTop w:val="0"/>
      <w:marBottom w:val="0"/>
      <w:divBdr>
        <w:top w:val="none" w:sz="0" w:space="0" w:color="auto"/>
        <w:left w:val="none" w:sz="0" w:space="0" w:color="auto"/>
        <w:bottom w:val="none" w:sz="0" w:space="0" w:color="auto"/>
        <w:right w:val="none" w:sz="0" w:space="0" w:color="auto"/>
      </w:divBdr>
      <w:divsChild>
        <w:div w:id="1080786824">
          <w:marLeft w:val="547"/>
          <w:marRight w:val="0"/>
          <w:marTop w:val="0"/>
          <w:marBottom w:val="0"/>
          <w:divBdr>
            <w:top w:val="none" w:sz="0" w:space="0" w:color="auto"/>
            <w:left w:val="none" w:sz="0" w:space="0" w:color="auto"/>
            <w:bottom w:val="none" w:sz="0" w:space="0" w:color="auto"/>
            <w:right w:val="none" w:sz="0" w:space="0" w:color="auto"/>
          </w:divBdr>
        </w:div>
      </w:divsChild>
    </w:div>
    <w:div w:id="845360317">
      <w:bodyDiv w:val="1"/>
      <w:marLeft w:val="0"/>
      <w:marRight w:val="0"/>
      <w:marTop w:val="0"/>
      <w:marBottom w:val="0"/>
      <w:divBdr>
        <w:top w:val="none" w:sz="0" w:space="0" w:color="auto"/>
        <w:left w:val="none" w:sz="0" w:space="0" w:color="auto"/>
        <w:bottom w:val="none" w:sz="0" w:space="0" w:color="auto"/>
        <w:right w:val="none" w:sz="0" w:space="0" w:color="auto"/>
      </w:divBdr>
    </w:div>
    <w:div w:id="878051984">
      <w:bodyDiv w:val="1"/>
      <w:marLeft w:val="0"/>
      <w:marRight w:val="0"/>
      <w:marTop w:val="0"/>
      <w:marBottom w:val="0"/>
      <w:divBdr>
        <w:top w:val="none" w:sz="0" w:space="0" w:color="auto"/>
        <w:left w:val="none" w:sz="0" w:space="0" w:color="auto"/>
        <w:bottom w:val="none" w:sz="0" w:space="0" w:color="auto"/>
        <w:right w:val="none" w:sz="0" w:space="0" w:color="auto"/>
      </w:divBdr>
    </w:div>
    <w:div w:id="1016804307">
      <w:bodyDiv w:val="1"/>
      <w:marLeft w:val="0"/>
      <w:marRight w:val="0"/>
      <w:marTop w:val="0"/>
      <w:marBottom w:val="0"/>
      <w:divBdr>
        <w:top w:val="none" w:sz="0" w:space="0" w:color="auto"/>
        <w:left w:val="none" w:sz="0" w:space="0" w:color="auto"/>
        <w:bottom w:val="none" w:sz="0" w:space="0" w:color="auto"/>
        <w:right w:val="none" w:sz="0" w:space="0" w:color="auto"/>
      </w:divBdr>
    </w:div>
    <w:div w:id="1033308802">
      <w:bodyDiv w:val="1"/>
      <w:marLeft w:val="0"/>
      <w:marRight w:val="0"/>
      <w:marTop w:val="0"/>
      <w:marBottom w:val="0"/>
      <w:divBdr>
        <w:top w:val="none" w:sz="0" w:space="0" w:color="auto"/>
        <w:left w:val="none" w:sz="0" w:space="0" w:color="auto"/>
        <w:bottom w:val="none" w:sz="0" w:space="0" w:color="auto"/>
        <w:right w:val="none" w:sz="0" w:space="0" w:color="auto"/>
      </w:divBdr>
      <w:divsChild>
        <w:div w:id="125009134">
          <w:marLeft w:val="446"/>
          <w:marRight w:val="0"/>
          <w:marTop w:val="0"/>
          <w:marBottom w:val="0"/>
          <w:divBdr>
            <w:top w:val="none" w:sz="0" w:space="0" w:color="auto"/>
            <w:left w:val="none" w:sz="0" w:space="0" w:color="auto"/>
            <w:bottom w:val="none" w:sz="0" w:space="0" w:color="auto"/>
            <w:right w:val="none" w:sz="0" w:space="0" w:color="auto"/>
          </w:divBdr>
        </w:div>
        <w:div w:id="353309155">
          <w:marLeft w:val="446"/>
          <w:marRight w:val="0"/>
          <w:marTop w:val="0"/>
          <w:marBottom w:val="0"/>
          <w:divBdr>
            <w:top w:val="none" w:sz="0" w:space="0" w:color="auto"/>
            <w:left w:val="none" w:sz="0" w:space="0" w:color="auto"/>
            <w:bottom w:val="none" w:sz="0" w:space="0" w:color="auto"/>
            <w:right w:val="none" w:sz="0" w:space="0" w:color="auto"/>
          </w:divBdr>
        </w:div>
      </w:divsChild>
    </w:div>
    <w:div w:id="1144196616">
      <w:bodyDiv w:val="1"/>
      <w:marLeft w:val="0"/>
      <w:marRight w:val="0"/>
      <w:marTop w:val="0"/>
      <w:marBottom w:val="0"/>
      <w:divBdr>
        <w:top w:val="none" w:sz="0" w:space="0" w:color="auto"/>
        <w:left w:val="none" w:sz="0" w:space="0" w:color="auto"/>
        <w:bottom w:val="none" w:sz="0" w:space="0" w:color="auto"/>
        <w:right w:val="none" w:sz="0" w:space="0" w:color="auto"/>
      </w:divBdr>
    </w:div>
    <w:div w:id="1171409134">
      <w:bodyDiv w:val="1"/>
      <w:marLeft w:val="0"/>
      <w:marRight w:val="0"/>
      <w:marTop w:val="0"/>
      <w:marBottom w:val="0"/>
      <w:divBdr>
        <w:top w:val="none" w:sz="0" w:space="0" w:color="auto"/>
        <w:left w:val="none" w:sz="0" w:space="0" w:color="auto"/>
        <w:bottom w:val="none" w:sz="0" w:space="0" w:color="auto"/>
        <w:right w:val="none" w:sz="0" w:space="0" w:color="auto"/>
      </w:divBdr>
    </w:div>
    <w:div w:id="1528446294">
      <w:bodyDiv w:val="1"/>
      <w:marLeft w:val="0"/>
      <w:marRight w:val="0"/>
      <w:marTop w:val="0"/>
      <w:marBottom w:val="0"/>
      <w:divBdr>
        <w:top w:val="none" w:sz="0" w:space="0" w:color="auto"/>
        <w:left w:val="none" w:sz="0" w:space="0" w:color="auto"/>
        <w:bottom w:val="none" w:sz="0" w:space="0" w:color="auto"/>
        <w:right w:val="none" w:sz="0" w:space="0" w:color="auto"/>
      </w:divBdr>
    </w:div>
    <w:div w:id="1771268987">
      <w:bodyDiv w:val="1"/>
      <w:marLeft w:val="0"/>
      <w:marRight w:val="0"/>
      <w:marTop w:val="0"/>
      <w:marBottom w:val="0"/>
      <w:divBdr>
        <w:top w:val="none" w:sz="0" w:space="0" w:color="auto"/>
        <w:left w:val="none" w:sz="0" w:space="0" w:color="auto"/>
        <w:bottom w:val="none" w:sz="0" w:space="0" w:color="auto"/>
        <w:right w:val="none" w:sz="0" w:space="0" w:color="auto"/>
      </w:divBdr>
    </w:div>
    <w:div w:id="1843229944">
      <w:bodyDiv w:val="1"/>
      <w:marLeft w:val="0"/>
      <w:marRight w:val="0"/>
      <w:marTop w:val="0"/>
      <w:marBottom w:val="0"/>
      <w:divBdr>
        <w:top w:val="none" w:sz="0" w:space="0" w:color="auto"/>
        <w:left w:val="none" w:sz="0" w:space="0" w:color="auto"/>
        <w:bottom w:val="none" w:sz="0" w:space="0" w:color="auto"/>
        <w:right w:val="none" w:sz="0" w:space="0" w:color="auto"/>
      </w:divBdr>
      <w:divsChild>
        <w:div w:id="997541591">
          <w:marLeft w:val="806"/>
          <w:marRight w:val="0"/>
          <w:marTop w:val="200"/>
          <w:marBottom w:val="0"/>
          <w:divBdr>
            <w:top w:val="none" w:sz="0" w:space="0" w:color="auto"/>
            <w:left w:val="none" w:sz="0" w:space="0" w:color="auto"/>
            <w:bottom w:val="none" w:sz="0" w:space="0" w:color="auto"/>
            <w:right w:val="none" w:sz="0" w:space="0" w:color="auto"/>
          </w:divBdr>
        </w:div>
        <w:div w:id="585378794">
          <w:marLeft w:val="806"/>
          <w:marRight w:val="0"/>
          <w:marTop w:val="200"/>
          <w:marBottom w:val="0"/>
          <w:divBdr>
            <w:top w:val="none" w:sz="0" w:space="0" w:color="auto"/>
            <w:left w:val="none" w:sz="0" w:space="0" w:color="auto"/>
            <w:bottom w:val="none" w:sz="0" w:space="0" w:color="auto"/>
            <w:right w:val="none" w:sz="0" w:space="0" w:color="auto"/>
          </w:divBdr>
        </w:div>
        <w:div w:id="351150306">
          <w:marLeft w:val="806"/>
          <w:marRight w:val="0"/>
          <w:marTop w:val="200"/>
          <w:marBottom w:val="0"/>
          <w:divBdr>
            <w:top w:val="none" w:sz="0" w:space="0" w:color="auto"/>
            <w:left w:val="none" w:sz="0" w:space="0" w:color="auto"/>
            <w:bottom w:val="none" w:sz="0" w:space="0" w:color="auto"/>
            <w:right w:val="none" w:sz="0" w:space="0" w:color="auto"/>
          </w:divBdr>
        </w:div>
        <w:div w:id="1767726144">
          <w:marLeft w:val="806"/>
          <w:marRight w:val="0"/>
          <w:marTop w:val="200"/>
          <w:marBottom w:val="0"/>
          <w:divBdr>
            <w:top w:val="none" w:sz="0" w:space="0" w:color="auto"/>
            <w:left w:val="none" w:sz="0" w:space="0" w:color="auto"/>
            <w:bottom w:val="none" w:sz="0" w:space="0" w:color="auto"/>
            <w:right w:val="none" w:sz="0" w:space="0" w:color="auto"/>
          </w:divBdr>
        </w:div>
        <w:div w:id="1086267300">
          <w:marLeft w:val="806"/>
          <w:marRight w:val="0"/>
          <w:marTop w:val="200"/>
          <w:marBottom w:val="0"/>
          <w:divBdr>
            <w:top w:val="none" w:sz="0" w:space="0" w:color="auto"/>
            <w:left w:val="none" w:sz="0" w:space="0" w:color="auto"/>
            <w:bottom w:val="none" w:sz="0" w:space="0" w:color="auto"/>
            <w:right w:val="none" w:sz="0" w:space="0" w:color="auto"/>
          </w:divBdr>
        </w:div>
      </w:divsChild>
    </w:div>
    <w:div w:id="1880168657">
      <w:bodyDiv w:val="1"/>
      <w:marLeft w:val="0"/>
      <w:marRight w:val="0"/>
      <w:marTop w:val="0"/>
      <w:marBottom w:val="0"/>
      <w:divBdr>
        <w:top w:val="none" w:sz="0" w:space="0" w:color="auto"/>
        <w:left w:val="none" w:sz="0" w:space="0" w:color="auto"/>
        <w:bottom w:val="none" w:sz="0" w:space="0" w:color="auto"/>
        <w:right w:val="none" w:sz="0" w:space="0" w:color="auto"/>
      </w:divBdr>
    </w:div>
    <w:div w:id="1944611064">
      <w:bodyDiv w:val="1"/>
      <w:marLeft w:val="0"/>
      <w:marRight w:val="0"/>
      <w:marTop w:val="0"/>
      <w:marBottom w:val="0"/>
      <w:divBdr>
        <w:top w:val="none" w:sz="0" w:space="0" w:color="auto"/>
        <w:left w:val="none" w:sz="0" w:space="0" w:color="auto"/>
        <w:bottom w:val="none" w:sz="0" w:space="0" w:color="auto"/>
        <w:right w:val="none" w:sz="0" w:space="0" w:color="auto"/>
      </w:divBdr>
    </w:div>
    <w:div w:id="2016417979">
      <w:bodyDiv w:val="1"/>
      <w:marLeft w:val="0"/>
      <w:marRight w:val="0"/>
      <w:marTop w:val="0"/>
      <w:marBottom w:val="0"/>
      <w:divBdr>
        <w:top w:val="none" w:sz="0" w:space="0" w:color="auto"/>
        <w:left w:val="none" w:sz="0" w:space="0" w:color="auto"/>
        <w:bottom w:val="none" w:sz="0" w:space="0" w:color="auto"/>
        <w:right w:val="none" w:sz="0" w:space="0" w:color="auto"/>
      </w:divBdr>
      <w:divsChild>
        <w:div w:id="1267739475">
          <w:marLeft w:val="360"/>
          <w:marRight w:val="0"/>
          <w:marTop w:val="200"/>
          <w:marBottom w:val="0"/>
          <w:divBdr>
            <w:top w:val="none" w:sz="0" w:space="0" w:color="auto"/>
            <w:left w:val="none" w:sz="0" w:space="0" w:color="auto"/>
            <w:bottom w:val="none" w:sz="0" w:space="0" w:color="auto"/>
            <w:right w:val="none" w:sz="0" w:space="0" w:color="auto"/>
          </w:divBdr>
        </w:div>
        <w:div w:id="121390826">
          <w:marLeft w:val="360"/>
          <w:marRight w:val="0"/>
          <w:marTop w:val="200"/>
          <w:marBottom w:val="0"/>
          <w:divBdr>
            <w:top w:val="none" w:sz="0" w:space="0" w:color="auto"/>
            <w:left w:val="none" w:sz="0" w:space="0" w:color="auto"/>
            <w:bottom w:val="none" w:sz="0" w:space="0" w:color="auto"/>
            <w:right w:val="none" w:sz="0" w:space="0" w:color="auto"/>
          </w:divBdr>
        </w:div>
        <w:div w:id="1377504239">
          <w:marLeft w:val="360"/>
          <w:marRight w:val="0"/>
          <w:marTop w:val="200"/>
          <w:marBottom w:val="0"/>
          <w:divBdr>
            <w:top w:val="none" w:sz="0" w:space="0" w:color="auto"/>
            <w:left w:val="none" w:sz="0" w:space="0" w:color="auto"/>
            <w:bottom w:val="none" w:sz="0" w:space="0" w:color="auto"/>
            <w:right w:val="none" w:sz="0" w:space="0" w:color="auto"/>
          </w:divBdr>
        </w:div>
        <w:div w:id="992878542">
          <w:marLeft w:val="360"/>
          <w:marRight w:val="0"/>
          <w:marTop w:val="200"/>
          <w:marBottom w:val="0"/>
          <w:divBdr>
            <w:top w:val="none" w:sz="0" w:space="0" w:color="auto"/>
            <w:left w:val="none" w:sz="0" w:space="0" w:color="auto"/>
            <w:bottom w:val="none" w:sz="0" w:space="0" w:color="auto"/>
            <w:right w:val="none" w:sz="0" w:space="0" w:color="auto"/>
          </w:divBdr>
        </w:div>
        <w:div w:id="13528030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5B40-64A1-4909-857E-F2E3C208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4525</Words>
  <Characters>25796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Mbombo Maleka</dc:creator>
  <cp:lastModifiedBy>User</cp:lastModifiedBy>
  <cp:revision>3</cp:revision>
  <dcterms:created xsi:type="dcterms:W3CDTF">2023-03-09T20:13:00Z</dcterms:created>
  <dcterms:modified xsi:type="dcterms:W3CDTF">2023-03-09T20:13:00Z</dcterms:modified>
</cp:coreProperties>
</file>