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b/>
          <w:bCs/>
          <w:sz w:val="20"/>
          <w:szCs w:val="20"/>
        </w:rPr>
        <w:t>Report of the Portfolio Committee on Agriculture, Land Reform and Rural Development 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264A">
        <w:rPr>
          <w:rFonts w:ascii="Arial" w:hAnsi="Arial" w:cs="Arial"/>
          <w:b/>
          <w:bCs/>
          <w:sz w:val="20"/>
          <w:szCs w:val="20"/>
        </w:rPr>
        <w:t>the Agricultural Product Standards Amendment Bill [B15 – 2021] (National Assembly–Section 76), dated 22 November 2022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The Portfolio Committee on Agriculture, Land Reform and Rural Development (“the Portfolio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Committee”), having considered the Agricultural Product Standards Amendment Bill (National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Assembly – section 76), referred to it and classified by the Joint Tagging Mechanism as a section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76 Bill, reports the Bill with amendments [B15A – 2021]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The Agricultural Product Standards Amendment Bill [B15 – 2021] (“the Bill”) was introduced in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the National Assembly and referred to the Portfolio Committee on 05 August 2021. The Bill seeks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to amend the Agricultural Product Standards Act, 1990 (Act No. 119 of 1990), so as to –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 insert definitions and substitute others;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 provide for auditing of a product for management control systems;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 make provision for the setting of tariffs by assignees on a cost-recovery basis;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 make further provisions for the Minister to make regulations pertaining to audit and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sz w:val="20"/>
          <w:szCs w:val="20"/>
        </w:rPr>
        <w:t>management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control systems; and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 provide for matters connected therewith.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Having called for public submissions on the Bill and considered the public submissions received, and further having determined a need for the amendments during the deliberation of the Motion of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Desirability (MOD) of the Bill, the Committee identified the need for some of the clauses to be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amended in order to align the content of the Bill with the plain language approach to legislation.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Consequently, the following amendments were agreed to: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b/>
          <w:bCs/>
          <w:sz w:val="20"/>
          <w:szCs w:val="20"/>
        </w:rPr>
        <w:t>CLAUSE 1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1.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264A">
        <w:rPr>
          <w:rFonts w:ascii="Arial" w:hAnsi="Arial" w:cs="Arial"/>
          <w:sz w:val="20"/>
          <w:szCs w:val="20"/>
        </w:rPr>
        <w:t>On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page 2, from line 7, to omit paragraph </w:t>
      </w:r>
      <w:r w:rsidRPr="002C264A">
        <w:rPr>
          <w:rFonts w:ascii="Arial" w:hAnsi="Arial" w:cs="Arial"/>
          <w:i/>
          <w:iCs/>
          <w:sz w:val="20"/>
          <w:szCs w:val="20"/>
        </w:rPr>
        <w:t>(a)</w:t>
      </w:r>
      <w:r w:rsidRPr="002C264A">
        <w:rPr>
          <w:rFonts w:ascii="Arial" w:hAnsi="Arial" w:cs="Arial"/>
          <w:sz w:val="20"/>
          <w:szCs w:val="20"/>
        </w:rPr>
        <w:t>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2. On page 2, in line 12, to omit ‘‘a systematic and functionally independent’’ and to substitute: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sz w:val="20"/>
          <w:szCs w:val="20"/>
        </w:rPr>
        <w:t>‘‘an’’.</w:t>
      </w:r>
      <w:proofErr w:type="gramEnd"/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3. On page 3, in line 1, to omit ‘‘manner or’’ and to substitute: ‘‘prescribed’’.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4. On page 3, from line 4, to omit ‘‘in respect of the sale or export of a product’’.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5. On page 3, in line 12, after ‘‘for’’ to insert ‘‘</w:t>
      </w:r>
      <w:r w:rsidRPr="002C264A">
        <w:rPr>
          <w:rFonts w:ascii="Arial" w:hAnsi="Arial" w:cs="Arial"/>
          <w:b/>
          <w:bCs/>
          <w:sz w:val="20"/>
          <w:szCs w:val="20"/>
        </w:rPr>
        <w:t>[any]</w:t>
      </w:r>
      <w:r w:rsidRPr="002C264A">
        <w:rPr>
          <w:rFonts w:ascii="Arial" w:hAnsi="Arial" w:cs="Arial"/>
          <w:sz w:val="20"/>
          <w:szCs w:val="20"/>
        </w:rPr>
        <w:t>’’ and to omit ‘‘or otherwise’’.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b/>
          <w:bCs/>
          <w:sz w:val="20"/>
          <w:szCs w:val="20"/>
        </w:rPr>
        <w:t>CLAUSE 2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1. Clause rejected.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2C264A">
        <w:rPr>
          <w:rFonts w:ascii="Arial" w:hAnsi="Arial" w:cs="Arial"/>
          <w:b/>
          <w:bCs/>
          <w:sz w:val="20"/>
          <w:szCs w:val="20"/>
        </w:rPr>
        <w:t>NEW CLAUSE</w:t>
      </w:r>
    </w:p>
    <w:p w:rsid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1. That the following be a new Clause:</w:t>
      </w:r>
      <w:r>
        <w:rPr>
          <w:rFonts w:ascii="Arial" w:hAnsi="Arial" w:cs="Arial"/>
          <w:sz w:val="20"/>
          <w:szCs w:val="20"/>
        </w:rPr>
        <w:br/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b/>
          <w:bCs/>
          <w:sz w:val="20"/>
          <w:szCs w:val="20"/>
        </w:rPr>
        <w:t>Amendment of section 2 of Act 119 of 1990, as amended by section 2 of Act 63 of 1998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C264A">
        <w:rPr>
          <w:rFonts w:ascii="Arial" w:hAnsi="Arial" w:cs="Arial"/>
          <w:b/>
          <w:bCs/>
          <w:sz w:val="20"/>
          <w:szCs w:val="20"/>
        </w:rPr>
        <w:t>2.</w:t>
      </w:r>
      <w:proofErr w:type="gramEnd"/>
      <w:r w:rsidRPr="002C2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Section 2 of the principal Act is hereby amended by the substitution in subsection (3) for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sz w:val="20"/>
          <w:szCs w:val="20"/>
        </w:rPr>
        <w:t>paragraph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(a) </w:t>
      </w:r>
      <w:r w:rsidRPr="002C264A">
        <w:rPr>
          <w:rFonts w:ascii="Arial" w:hAnsi="Arial" w:cs="Arial"/>
          <w:sz w:val="20"/>
          <w:szCs w:val="20"/>
        </w:rPr>
        <w:t>of the following paragraph: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‘‘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(a) </w:t>
      </w:r>
      <w:r w:rsidRPr="002C264A">
        <w:rPr>
          <w:rFonts w:ascii="Arial" w:hAnsi="Arial" w:cs="Arial"/>
          <w:sz w:val="20"/>
          <w:szCs w:val="20"/>
        </w:rPr>
        <w:t>The Minister may, for the purposes of the application of this Act or certain provisions thereof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b/>
          <w:bCs/>
          <w:sz w:val="20"/>
          <w:szCs w:val="20"/>
        </w:rPr>
        <w:t>[, with regard to a particular product, designate any person, undertaking, body, institution, association or board having particular knowledge in respect of the product concerned, as 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264A">
        <w:rPr>
          <w:rFonts w:ascii="Arial" w:hAnsi="Arial" w:cs="Arial"/>
          <w:b/>
          <w:bCs/>
          <w:sz w:val="20"/>
          <w:szCs w:val="20"/>
        </w:rPr>
        <w:t xml:space="preserve">assignee in respect of that product] </w:t>
      </w:r>
      <w:r w:rsidRPr="002C264A">
        <w:rPr>
          <w:rFonts w:ascii="Arial" w:hAnsi="Arial" w:cs="Arial"/>
          <w:sz w:val="20"/>
          <w:szCs w:val="20"/>
        </w:rPr>
        <w:t>designate as assignee a person, undertaking, body, institution, association, or board - (</w:t>
      </w:r>
      <w:proofErr w:type="spellStart"/>
      <w:r w:rsidRPr="002C264A">
        <w:rPr>
          <w:rFonts w:ascii="Arial" w:hAnsi="Arial" w:cs="Arial"/>
          <w:sz w:val="20"/>
          <w:szCs w:val="20"/>
        </w:rPr>
        <w:t>i</w:t>
      </w:r>
      <w:proofErr w:type="spellEnd"/>
      <w:r w:rsidRPr="002C264A">
        <w:rPr>
          <w:rFonts w:ascii="Arial" w:hAnsi="Arial" w:cs="Arial"/>
          <w:sz w:val="20"/>
          <w:szCs w:val="20"/>
        </w:rPr>
        <w:t>) having a particular knowledge of the product concerned; or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(ii) having a particular knowledge of the relevant management control systems, with no direct or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indirect personal or financial interest.’’.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2C264A">
        <w:rPr>
          <w:rFonts w:ascii="Arial" w:hAnsi="Arial" w:cs="Arial"/>
          <w:b/>
          <w:bCs/>
          <w:sz w:val="20"/>
          <w:szCs w:val="20"/>
        </w:rPr>
        <w:t>CLAUSE 3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1.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On page 3, in line 35, after ‘‘concerned’’ to insert ‘‘, within a specified period,’’.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2. On page 3, from line 41, to omit ‘‘, in the opinion of the executive officer,’’.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3. On page 3, in line 45, after ‘‘period’’ to insert ‘‘, not exceeding 12 months,’’.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264A">
        <w:rPr>
          <w:rFonts w:ascii="Arial" w:hAnsi="Arial" w:cs="Arial"/>
          <w:b/>
          <w:bCs/>
          <w:sz w:val="20"/>
          <w:szCs w:val="20"/>
        </w:rPr>
        <w:lastRenderedPageBreak/>
        <w:t>CLAUSE 4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1.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264A">
        <w:rPr>
          <w:rFonts w:ascii="Arial" w:hAnsi="Arial" w:cs="Arial"/>
          <w:sz w:val="20"/>
          <w:szCs w:val="20"/>
        </w:rPr>
        <w:t>On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page 3, from line 52, to omit paragraph </w:t>
      </w:r>
      <w:r w:rsidRPr="002C264A">
        <w:rPr>
          <w:rFonts w:ascii="Arial" w:hAnsi="Arial" w:cs="Arial"/>
          <w:i/>
          <w:iCs/>
          <w:sz w:val="20"/>
          <w:szCs w:val="20"/>
        </w:rPr>
        <w:t>(b)</w:t>
      </w:r>
      <w:r w:rsidRPr="002C264A">
        <w:rPr>
          <w:rFonts w:ascii="Arial" w:hAnsi="Arial" w:cs="Arial"/>
          <w:sz w:val="20"/>
          <w:szCs w:val="20"/>
        </w:rPr>
        <w:t>.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 xml:space="preserve">2. On page 4, from line 4, to omit paragraph 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(c) </w:t>
      </w:r>
      <w:r w:rsidRPr="002C264A">
        <w:rPr>
          <w:rFonts w:ascii="Arial" w:hAnsi="Arial" w:cs="Arial"/>
          <w:sz w:val="20"/>
          <w:szCs w:val="20"/>
        </w:rPr>
        <w:t>and to substitute: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>‘‘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(c) </w:t>
      </w:r>
      <w:r w:rsidRPr="002C264A">
        <w:rPr>
          <w:rFonts w:ascii="Arial" w:hAnsi="Arial" w:cs="Arial"/>
          <w:b/>
          <w:bCs/>
          <w:sz w:val="20"/>
          <w:szCs w:val="20"/>
        </w:rPr>
        <w:t>[In the case of action under subsection (1)</w:t>
      </w:r>
      <w:r w:rsidRPr="002C264A">
        <w:rPr>
          <w:rFonts w:ascii="Arial" w:hAnsi="Arial" w:cs="Arial"/>
          <w:b/>
          <w:bCs/>
          <w:i/>
          <w:iCs/>
          <w:sz w:val="20"/>
          <w:szCs w:val="20"/>
        </w:rPr>
        <w:t>(d)</w:t>
      </w:r>
      <w:r w:rsidRPr="002C264A">
        <w:rPr>
          <w:rFonts w:ascii="Arial" w:hAnsi="Arial" w:cs="Arial"/>
          <w:b/>
          <w:bCs/>
          <w:sz w:val="20"/>
          <w:szCs w:val="20"/>
        </w:rPr>
        <w:t xml:space="preserve">, the] </w:t>
      </w:r>
      <w:r w:rsidRPr="002C264A">
        <w:rPr>
          <w:rFonts w:ascii="Arial" w:hAnsi="Arial" w:cs="Arial"/>
          <w:sz w:val="20"/>
          <w:szCs w:val="20"/>
        </w:rPr>
        <w:t>The relevant person referred to in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 xml:space="preserve">subsection (1) may </w:t>
      </w:r>
      <w:r w:rsidRPr="002C264A">
        <w:rPr>
          <w:rFonts w:ascii="Arial" w:hAnsi="Arial" w:cs="Arial"/>
          <w:b/>
          <w:bCs/>
          <w:sz w:val="20"/>
          <w:szCs w:val="20"/>
        </w:rPr>
        <w:t xml:space="preserve">[inspect] </w:t>
      </w:r>
      <w:r w:rsidRPr="002C264A">
        <w:rPr>
          <w:rFonts w:ascii="Arial" w:hAnsi="Arial" w:cs="Arial"/>
          <w:sz w:val="20"/>
          <w:szCs w:val="20"/>
        </w:rPr>
        <w:t xml:space="preserve">audit the management control system </w:t>
      </w:r>
      <w:r w:rsidRPr="002C264A">
        <w:rPr>
          <w:rFonts w:ascii="Arial" w:hAnsi="Arial" w:cs="Arial"/>
          <w:b/>
          <w:bCs/>
          <w:sz w:val="20"/>
          <w:szCs w:val="20"/>
        </w:rPr>
        <w:t>[in connection with any action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264A">
        <w:rPr>
          <w:rFonts w:ascii="Arial" w:hAnsi="Arial" w:cs="Arial"/>
          <w:b/>
          <w:bCs/>
          <w:sz w:val="20"/>
          <w:szCs w:val="20"/>
        </w:rPr>
        <w:t>referred to in subsection (1)</w:t>
      </w:r>
      <w:r w:rsidRPr="002C264A">
        <w:rPr>
          <w:rFonts w:ascii="Arial" w:hAnsi="Arial" w:cs="Arial"/>
          <w:b/>
          <w:bCs/>
          <w:i/>
          <w:iCs/>
          <w:sz w:val="20"/>
          <w:szCs w:val="20"/>
        </w:rPr>
        <w:t>(d)</w:t>
      </w:r>
      <w:r w:rsidRPr="002C264A">
        <w:rPr>
          <w:rFonts w:ascii="Arial" w:hAnsi="Arial" w:cs="Arial"/>
          <w:b/>
          <w:bCs/>
          <w:sz w:val="20"/>
          <w:szCs w:val="20"/>
        </w:rPr>
        <w:t xml:space="preserve">,] </w:t>
      </w:r>
      <w:r w:rsidRPr="002C264A">
        <w:rPr>
          <w:rFonts w:ascii="Arial" w:hAnsi="Arial" w:cs="Arial"/>
          <w:sz w:val="20"/>
          <w:szCs w:val="20"/>
        </w:rPr>
        <w:t>and demand from the owner or custodian of the product, material, substance or other article in question, or from the person supervising such management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control system, any formation or an explanation regarding the management control system, product, material, substance or other article in question.’’;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C264A">
        <w:rPr>
          <w:rFonts w:ascii="Arial" w:hAnsi="Arial" w:cs="Arial"/>
          <w:sz w:val="20"/>
          <w:szCs w:val="20"/>
        </w:rPr>
        <w:t>On</w:t>
      </w:r>
      <w:proofErr w:type="gramEnd"/>
      <w:r w:rsidRPr="002C264A">
        <w:rPr>
          <w:rFonts w:ascii="Arial" w:hAnsi="Arial" w:cs="Arial"/>
          <w:sz w:val="20"/>
          <w:szCs w:val="20"/>
        </w:rPr>
        <w:t xml:space="preserve"> page 4, after line 12, to insert the following paragraph: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‘‘</w:t>
      </w:r>
      <w:r w:rsidRPr="002C264A">
        <w:rPr>
          <w:rFonts w:ascii="Arial" w:hAnsi="Arial" w:cs="Arial"/>
          <w:i/>
          <w:iCs/>
          <w:sz w:val="20"/>
          <w:szCs w:val="20"/>
        </w:rPr>
        <w:t>(c)</w:t>
      </w:r>
      <w:r w:rsidRPr="002C264A">
        <w:rPr>
          <w:rFonts w:ascii="Arial" w:hAnsi="Arial" w:cs="Arial"/>
          <w:sz w:val="20"/>
          <w:szCs w:val="20"/>
        </w:rPr>
        <w:t>by the substitution in subsection (4) for the following subsection: ‘(4) In the case of action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under subsection (1)</w:t>
      </w:r>
      <w:r w:rsidRPr="002C264A">
        <w:rPr>
          <w:rFonts w:ascii="Arial" w:hAnsi="Arial" w:cs="Arial"/>
          <w:i/>
          <w:iCs/>
          <w:sz w:val="20"/>
          <w:szCs w:val="20"/>
        </w:rPr>
        <w:t>(b)</w:t>
      </w:r>
      <w:r w:rsidRPr="002C264A">
        <w:rPr>
          <w:rFonts w:ascii="Arial" w:hAnsi="Arial" w:cs="Arial"/>
          <w:sz w:val="20"/>
          <w:szCs w:val="20"/>
        </w:rPr>
        <w:t xml:space="preserve">, </w:t>
      </w:r>
      <w:r w:rsidRPr="002C264A">
        <w:rPr>
          <w:rFonts w:ascii="Arial" w:hAnsi="Arial" w:cs="Arial"/>
          <w:i/>
          <w:iCs/>
          <w:sz w:val="20"/>
          <w:szCs w:val="20"/>
        </w:rPr>
        <w:t>(c)</w:t>
      </w:r>
      <w:r w:rsidRPr="002C264A">
        <w:rPr>
          <w:rFonts w:ascii="Arial" w:hAnsi="Arial" w:cs="Arial"/>
          <w:sz w:val="20"/>
          <w:szCs w:val="20"/>
        </w:rPr>
        <w:t xml:space="preserve">, 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(d) </w:t>
      </w:r>
      <w:r w:rsidRPr="002C264A">
        <w:rPr>
          <w:rFonts w:ascii="Arial" w:hAnsi="Arial" w:cs="Arial"/>
          <w:sz w:val="20"/>
          <w:szCs w:val="20"/>
        </w:rPr>
        <w:t xml:space="preserve">or </w:t>
      </w:r>
      <w:r w:rsidRPr="002C264A">
        <w:rPr>
          <w:rFonts w:ascii="Arial" w:hAnsi="Arial" w:cs="Arial"/>
          <w:i/>
          <w:iCs/>
          <w:sz w:val="20"/>
          <w:szCs w:val="20"/>
        </w:rPr>
        <w:t>(e)</w:t>
      </w:r>
      <w:r w:rsidRPr="002C264A">
        <w:rPr>
          <w:rFonts w:ascii="Arial" w:hAnsi="Arial" w:cs="Arial"/>
          <w:sz w:val="20"/>
          <w:szCs w:val="20"/>
        </w:rPr>
        <w:t>, or subsection (2)</w:t>
      </w:r>
      <w:r w:rsidRPr="002C264A">
        <w:rPr>
          <w:rFonts w:ascii="Arial" w:hAnsi="Arial" w:cs="Arial"/>
          <w:i/>
          <w:iCs/>
          <w:sz w:val="20"/>
          <w:szCs w:val="20"/>
        </w:rPr>
        <w:t xml:space="preserve">(c) </w:t>
      </w:r>
      <w:r w:rsidRPr="002C264A">
        <w:rPr>
          <w:rFonts w:ascii="Arial" w:hAnsi="Arial" w:cs="Arial"/>
          <w:sz w:val="20"/>
          <w:szCs w:val="20"/>
        </w:rPr>
        <w:t>by the relevant person referred to in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subsection (1), the owner of the product in question shall pay the prescribed fees or the amount</w:t>
      </w:r>
      <w:r>
        <w:rPr>
          <w:rFonts w:ascii="Arial" w:hAnsi="Arial" w:cs="Arial"/>
          <w:sz w:val="20"/>
          <w:szCs w:val="20"/>
        </w:rPr>
        <w:t xml:space="preserve"> </w:t>
      </w:r>
      <w:r w:rsidRPr="002C264A">
        <w:rPr>
          <w:rFonts w:ascii="Arial" w:hAnsi="Arial" w:cs="Arial"/>
          <w:sz w:val="20"/>
          <w:szCs w:val="20"/>
        </w:rPr>
        <w:t>determined by the assignee, as the case may be, for such action.’.’’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C264A">
        <w:rPr>
          <w:rFonts w:ascii="Arial" w:hAnsi="Arial" w:cs="Arial"/>
          <w:b/>
          <w:bCs/>
          <w:sz w:val="20"/>
          <w:szCs w:val="20"/>
        </w:rPr>
        <w:t>CLAUSE 5</w:t>
      </w:r>
    </w:p>
    <w:p w:rsidR="002C264A" w:rsidRPr="002C264A" w:rsidRDefault="002C264A" w:rsidP="002C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64A">
        <w:rPr>
          <w:rFonts w:ascii="Arial" w:hAnsi="Arial" w:cs="Arial"/>
          <w:sz w:val="20"/>
          <w:szCs w:val="20"/>
        </w:rPr>
        <w:t>1. On page 4, in line 18, after ‘‘management control systems’’ to insert ‘‘;’’.</w:t>
      </w:r>
    </w:p>
    <w:p w:rsidR="007049EB" w:rsidRPr="002C264A" w:rsidRDefault="002C264A" w:rsidP="002C26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2C264A">
        <w:rPr>
          <w:rFonts w:ascii="Arial" w:hAnsi="Arial" w:cs="Arial"/>
          <w:i/>
          <w:iCs/>
          <w:sz w:val="20"/>
          <w:szCs w:val="20"/>
        </w:rPr>
        <w:t>Report to be considered</w:t>
      </w:r>
    </w:p>
    <w:sectPr w:rsidR="007049EB" w:rsidRPr="002C264A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264A"/>
    <w:rsid w:val="002C264A"/>
    <w:rsid w:val="007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2023-02-01T08:15:00Z</dcterms:created>
  <dcterms:modified xsi:type="dcterms:W3CDTF">2023-02-01T08:19:00Z</dcterms:modified>
</cp:coreProperties>
</file>