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F3" w:rsidRPr="0087455D" w:rsidRDefault="00DC54F3" w:rsidP="0087455D">
      <w:pPr>
        <w:spacing w:after="0" w:line="240" w:lineRule="auto"/>
        <w:rPr>
          <w:rFonts w:ascii="Arial" w:hAnsi="Arial" w:cs="Arial"/>
          <w:b/>
          <w:sz w:val="20"/>
          <w:szCs w:val="20"/>
          <w:lang w:val="en-ZA"/>
        </w:rPr>
      </w:pPr>
      <w:r w:rsidRPr="0087455D">
        <w:rPr>
          <w:rFonts w:ascii="Arial" w:hAnsi="Arial" w:cs="Arial"/>
          <w:b/>
          <w:sz w:val="20"/>
          <w:szCs w:val="20"/>
          <w:lang w:val="en-ZA"/>
        </w:rPr>
        <w:t>Report of the Joint Standing Committee on the Financial Management of Parliam</w:t>
      </w:r>
      <w:bookmarkStart w:id="0" w:name="_GoBack"/>
      <w:bookmarkEnd w:id="0"/>
      <w:r w:rsidRPr="0087455D">
        <w:rPr>
          <w:rFonts w:ascii="Arial" w:hAnsi="Arial" w:cs="Arial"/>
          <w:b/>
          <w:sz w:val="20"/>
          <w:szCs w:val="20"/>
          <w:lang w:val="en-ZA"/>
        </w:rPr>
        <w:t xml:space="preserve">ent on the Parliament </w:t>
      </w:r>
      <w:r w:rsidR="00681E77" w:rsidRPr="0087455D">
        <w:rPr>
          <w:rFonts w:ascii="Arial" w:hAnsi="Arial" w:cs="Arial"/>
          <w:b/>
          <w:sz w:val="20"/>
          <w:szCs w:val="20"/>
          <w:lang w:val="en-ZA"/>
        </w:rPr>
        <w:t xml:space="preserve">of </w:t>
      </w:r>
      <w:r w:rsidRPr="0087455D">
        <w:rPr>
          <w:rFonts w:ascii="Arial" w:hAnsi="Arial" w:cs="Arial"/>
          <w:b/>
          <w:sz w:val="20"/>
          <w:szCs w:val="20"/>
          <w:lang w:val="en-ZA"/>
        </w:rPr>
        <w:t xml:space="preserve">the Republic of South Africa’s </w:t>
      </w:r>
      <w:r w:rsidR="003D0948" w:rsidRPr="0087455D">
        <w:rPr>
          <w:rFonts w:ascii="Arial" w:hAnsi="Arial" w:cs="Arial"/>
          <w:b/>
          <w:sz w:val="20"/>
          <w:szCs w:val="20"/>
          <w:lang w:val="en-ZA"/>
        </w:rPr>
        <w:t>2020/21</w:t>
      </w:r>
      <w:r w:rsidRPr="0087455D">
        <w:rPr>
          <w:rFonts w:ascii="Arial" w:hAnsi="Arial" w:cs="Arial"/>
          <w:b/>
          <w:sz w:val="20"/>
          <w:szCs w:val="20"/>
          <w:lang w:val="en-ZA"/>
        </w:rPr>
        <w:t xml:space="preserve"> Annual Report, dated</w:t>
      </w:r>
      <w:r w:rsidR="00673B87" w:rsidRPr="0087455D">
        <w:rPr>
          <w:rFonts w:ascii="Arial" w:hAnsi="Arial" w:cs="Arial"/>
          <w:b/>
          <w:sz w:val="20"/>
          <w:szCs w:val="20"/>
          <w:lang w:val="en-ZA"/>
        </w:rPr>
        <w:t xml:space="preserve"> </w:t>
      </w:r>
      <w:r w:rsidR="008E5F2D" w:rsidRPr="0087455D">
        <w:rPr>
          <w:rFonts w:ascii="Arial" w:hAnsi="Arial" w:cs="Arial"/>
          <w:b/>
          <w:sz w:val="20"/>
          <w:szCs w:val="20"/>
          <w:lang w:val="en-ZA"/>
        </w:rPr>
        <w:t>2 December</w:t>
      </w:r>
      <w:r w:rsidR="00D45F1C" w:rsidRPr="0087455D">
        <w:rPr>
          <w:rFonts w:ascii="Arial" w:hAnsi="Arial" w:cs="Arial"/>
          <w:b/>
          <w:sz w:val="20"/>
          <w:szCs w:val="20"/>
          <w:lang w:val="en-ZA"/>
        </w:rPr>
        <w:t xml:space="preserve"> 2022</w:t>
      </w:r>
    </w:p>
    <w:p w:rsidR="00DC54F3" w:rsidRPr="0087455D" w:rsidRDefault="00DC54F3" w:rsidP="0087455D">
      <w:pPr>
        <w:spacing w:after="0" w:line="240" w:lineRule="auto"/>
        <w:rPr>
          <w:rFonts w:ascii="Arial" w:hAnsi="Arial" w:cs="Arial"/>
          <w:sz w:val="20"/>
          <w:szCs w:val="20"/>
          <w:lang w:val="en-ZA"/>
        </w:rPr>
      </w:pPr>
      <w:r w:rsidRPr="0087455D">
        <w:rPr>
          <w:rFonts w:ascii="Arial" w:hAnsi="Arial" w:cs="Arial"/>
          <w:sz w:val="20"/>
          <w:szCs w:val="20"/>
          <w:lang w:val="en-ZA"/>
        </w:rPr>
        <w:t>The Joint Standing Committee on the Financial Management of Parliament, having considered the Parliament of the Republic of South Africa’s 20</w:t>
      </w:r>
      <w:r w:rsidR="00D45F1C" w:rsidRPr="0087455D">
        <w:rPr>
          <w:rFonts w:ascii="Arial" w:hAnsi="Arial" w:cs="Arial"/>
          <w:sz w:val="20"/>
          <w:szCs w:val="20"/>
          <w:lang w:val="en-ZA"/>
        </w:rPr>
        <w:t>21/22</w:t>
      </w:r>
      <w:r w:rsidR="00FB02F7" w:rsidRPr="0087455D">
        <w:rPr>
          <w:rFonts w:ascii="Arial" w:hAnsi="Arial" w:cs="Arial"/>
          <w:sz w:val="20"/>
          <w:szCs w:val="20"/>
          <w:lang w:val="en-ZA"/>
        </w:rPr>
        <w:t xml:space="preserve"> </w:t>
      </w:r>
      <w:r w:rsidRPr="0087455D">
        <w:rPr>
          <w:rFonts w:ascii="Arial" w:hAnsi="Arial" w:cs="Arial"/>
          <w:sz w:val="20"/>
          <w:szCs w:val="20"/>
          <w:lang w:val="en-ZA"/>
        </w:rPr>
        <w:t>Annual Report, reports as follows:</w:t>
      </w:r>
    </w:p>
    <w:p w:rsidR="00DC54F3" w:rsidRPr="0087455D" w:rsidRDefault="00DC54F3" w:rsidP="0087455D">
      <w:pPr>
        <w:spacing w:after="0" w:line="240" w:lineRule="auto"/>
        <w:rPr>
          <w:rFonts w:ascii="Arial" w:hAnsi="Arial" w:cs="Arial"/>
          <w:b/>
          <w:sz w:val="20"/>
          <w:szCs w:val="20"/>
          <w:lang w:val="en-ZA"/>
        </w:rPr>
      </w:pPr>
    </w:p>
    <w:p w:rsidR="00DC54F3" w:rsidRPr="0087455D" w:rsidRDefault="00C1654A" w:rsidP="0087455D">
      <w:pPr>
        <w:spacing w:after="0" w:line="240" w:lineRule="auto"/>
        <w:rPr>
          <w:rFonts w:ascii="Arial" w:hAnsi="Arial" w:cs="Arial"/>
          <w:b/>
          <w:sz w:val="20"/>
          <w:szCs w:val="20"/>
          <w:lang w:val="en-ZA"/>
        </w:rPr>
      </w:pPr>
      <w:r w:rsidRPr="0087455D">
        <w:rPr>
          <w:rFonts w:ascii="Arial" w:hAnsi="Arial" w:cs="Arial"/>
          <w:b/>
          <w:sz w:val="20"/>
          <w:szCs w:val="20"/>
          <w:lang w:val="en-ZA"/>
        </w:rPr>
        <w:t>1.</w:t>
      </w:r>
      <w:r w:rsidRPr="0087455D">
        <w:rPr>
          <w:rFonts w:ascii="Arial" w:hAnsi="Arial" w:cs="Arial"/>
          <w:b/>
          <w:sz w:val="20"/>
          <w:szCs w:val="20"/>
          <w:lang w:val="en-ZA"/>
        </w:rPr>
        <w:tab/>
        <w:t>Introduction</w:t>
      </w:r>
    </w:p>
    <w:p w:rsidR="00B6761A" w:rsidRPr="0087455D" w:rsidRDefault="00DC54F3"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1.1</w:t>
      </w:r>
      <w:r w:rsidRPr="0087455D">
        <w:rPr>
          <w:rFonts w:ascii="Arial" w:hAnsi="Arial" w:cs="Arial"/>
          <w:sz w:val="20"/>
          <w:szCs w:val="20"/>
          <w:lang w:val="en-ZA"/>
        </w:rPr>
        <w:tab/>
        <w:t>Section 4 of the Financial Management of Parliament and Provincial Legislatures Act, No</w:t>
      </w:r>
      <w:r w:rsidR="009A19FF" w:rsidRPr="0087455D">
        <w:rPr>
          <w:rFonts w:ascii="Arial" w:hAnsi="Arial" w:cs="Arial"/>
          <w:sz w:val="20"/>
          <w:szCs w:val="20"/>
          <w:lang w:val="en-ZA"/>
        </w:rPr>
        <w:t>.</w:t>
      </w:r>
      <w:r w:rsidRPr="0087455D">
        <w:rPr>
          <w:rFonts w:ascii="Arial" w:hAnsi="Arial" w:cs="Arial"/>
          <w:sz w:val="20"/>
          <w:szCs w:val="20"/>
          <w:lang w:val="en-ZA"/>
        </w:rPr>
        <w:t xml:space="preserve"> 10 of 2009 (FMPPLA) provides for the establishment of an oversight mechanism to maintain oversight of the financial management of Parliament. The Joint Standing Committee on the Financial Management of Parliament (the Committee) was established in terms of the Joint Rules of Parliament. The Committee has the powers afforded to parliamentary committees under sections 56 and 69 of the Constitution</w:t>
      </w:r>
      <w:r w:rsidR="00B26C00" w:rsidRPr="0087455D">
        <w:rPr>
          <w:rFonts w:ascii="Arial" w:hAnsi="Arial" w:cs="Arial"/>
          <w:sz w:val="20"/>
          <w:szCs w:val="20"/>
          <w:lang w:val="en-ZA"/>
        </w:rPr>
        <w:t xml:space="preserve"> of the Republic of South Africa, No</w:t>
      </w:r>
      <w:r w:rsidR="009A19FF" w:rsidRPr="0087455D">
        <w:rPr>
          <w:rFonts w:ascii="Arial" w:hAnsi="Arial" w:cs="Arial"/>
          <w:sz w:val="20"/>
          <w:szCs w:val="20"/>
          <w:lang w:val="en-ZA"/>
        </w:rPr>
        <w:t xml:space="preserve"> 108 of 1996 (the Constitution)</w:t>
      </w:r>
      <w:r w:rsidRPr="0087455D">
        <w:rPr>
          <w:rFonts w:ascii="Arial" w:hAnsi="Arial" w:cs="Arial"/>
          <w:sz w:val="20"/>
          <w:szCs w:val="20"/>
          <w:lang w:val="en-ZA"/>
        </w:rPr>
        <w:t>. In addition, section 4 of the FMPPLA mandates the Committee to, amongst others, consider Parliament’s Annual Report.</w:t>
      </w:r>
    </w:p>
    <w:p w:rsidR="00B6761A" w:rsidRPr="0087455D" w:rsidRDefault="003D0948"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1.2</w:t>
      </w:r>
      <w:r w:rsidRPr="0087455D">
        <w:rPr>
          <w:rFonts w:ascii="Arial" w:hAnsi="Arial" w:cs="Arial"/>
          <w:sz w:val="20"/>
          <w:szCs w:val="20"/>
          <w:lang w:val="en-ZA"/>
        </w:rPr>
        <w:tab/>
        <w:t>Parliament’s 2020</w:t>
      </w:r>
      <w:r w:rsidR="0053199B" w:rsidRPr="0087455D">
        <w:rPr>
          <w:rFonts w:ascii="Arial" w:hAnsi="Arial" w:cs="Arial"/>
          <w:sz w:val="20"/>
          <w:szCs w:val="20"/>
          <w:lang w:val="en-ZA"/>
        </w:rPr>
        <w:t>/</w:t>
      </w:r>
      <w:r w:rsidRPr="0087455D">
        <w:rPr>
          <w:rFonts w:ascii="Arial" w:hAnsi="Arial" w:cs="Arial"/>
          <w:sz w:val="20"/>
          <w:szCs w:val="20"/>
          <w:lang w:val="en-ZA"/>
        </w:rPr>
        <w:t>2</w:t>
      </w:r>
      <w:r w:rsidR="009A19FF" w:rsidRPr="0087455D">
        <w:rPr>
          <w:rFonts w:ascii="Arial" w:hAnsi="Arial" w:cs="Arial"/>
          <w:sz w:val="20"/>
          <w:szCs w:val="20"/>
          <w:lang w:val="en-ZA"/>
        </w:rPr>
        <w:t xml:space="preserve">1 Annual Report was tabled on </w:t>
      </w:r>
      <w:r w:rsidR="00E77D9A" w:rsidRPr="0087455D">
        <w:rPr>
          <w:rFonts w:ascii="Arial" w:hAnsi="Arial" w:cs="Arial"/>
          <w:sz w:val="20"/>
          <w:szCs w:val="20"/>
          <w:lang w:val="en-ZA"/>
        </w:rPr>
        <w:t>31 August</w:t>
      </w:r>
      <w:r w:rsidR="008E5F2D" w:rsidRPr="0087455D">
        <w:rPr>
          <w:rFonts w:ascii="Arial" w:hAnsi="Arial" w:cs="Arial"/>
          <w:sz w:val="20"/>
          <w:szCs w:val="20"/>
          <w:lang w:val="en-ZA"/>
        </w:rPr>
        <w:t xml:space="preserve"> 2022, and referred to the Committee on 1 September 2022.</w:t>
      </w:r>
      <w:r w:rsidR="00DC54F3" w:rsidRPr="0087455D">
        <w:rPr>
          <w:rFonts w:ascii="Arial" w:hAnsi="Arial" w:cs="Arial"/>
          <w:sz w:val="20"/>
          <w:szCs w:val="20"/>
          <w:lang w:val="en-ZA"/>
        </w:rPr>
        <w:t xml:space="preserve"> </w:t>
      </w:r>
      <w:r w:rsidRPr="0087455D">
        <w:rPr>
          <w:rFonts w:ascii="Arial" w:hAnsi="Arial" w:cs="Arial"/>
          <w:sz w:val="20"/>
          <w:szCs w:val="20"/>
          <w:lang w:val="en-ZA"/>
        </w:rPr>
        <w:t xml:space="preserve">The Speaker of the National Assembly presented the Annual Report to the Committee on </w:t>
      </w:r>
      <w:r w:rsidR="009A19FF" w:rsidRPr="0087455D">
        <w:rPr>
          <w:rFonts w:ascii="Arial" w:hAnsi="Arial" w:cs="Arial"/>
          <w:sz w:val="20"/>
          <w:szCs w:val="20"/>
          <w:lang w:val="en-ZA"/>
        </w:rPr>
        <w:t>21 October 2022</w:t>
      </w:r>
      <w:r w:rsidRPr="0087455D">
        <w:rPr>
          <w:rFonts w:ascii="Arial" w:hAnsi="Arial" w:cs="Arial"/>
          <w:sz w:val="20"/>
          <w:szCs w:val="20"/>
          <w:lang w:val="en-ZA"/>
        </w:rPr>
        <w:t>. On the same day, the Committee received briefings from the Auditor-</w:t>
      </w:r>
      <w:r w:rsidR="00DC54F3" w:rsidRPr="0087455D">
        <w:rPr>
          <w:rFonts w:ascii="Arial" w:hAnsi="Arial" w:cs="Arial"/>
          <w:sz w:val="20"/>
          <w:szCs w:val="20"/>
          <w:lang w:val="en-ZA"/>
        </w:rPr>
        <w:t>General of South Africa (AGSA)</w:t>
      </w:r>
      <w:r w:rsidR="009A19FF" w:rsidRPr="0087455D">
        <w:rPr>
          <w:rFonts w:ascii="Arial" w:hAnsi="Arial" w:cs="Arial"/>
          <w:sz w:val="20"/>
          <w:szCs w:val="20"/>
          <w:lang w:val="en-ZA"/>
        </w:rPr>
        <w:t xml:space="preserve"> and the </w:t>
      </w:r>
      <w:r w:rsidRPr="0087455D">
        <w:rPr>
          <w:rFonts w:ascii="Arial" w:hAnsi="Arial" w:cs="Arial"/>
          <w:sz w:val="20"/>
          <w:szCs w:val="20"/>
          <w:lang w:val="en-ZA"/>
        </w:rPr>
        <w:t>Secretary to Parliament</w:t>
      </w:r>
      <w:r w:rsidR="00DC54F3" w:rsidRPr="0087455D">
        <w:rPr>
          <w:rFonts w:ascii="Arial" w:hAnsi="Arial" w:cs="Arial"/>
          <w:sz w:val="20"/>
          <w:szCs w:val="20"/>
          <w:lang w:val="en-ZA"/>
        </w:rPr>
        <w:t xml:space="preserve">—the </w:t>
      </w:r>
      <w:r w:rsidR="004579A5" w:rsidRPr="0087455D">
        <w:rPr>
          <w:rFonts w:ascii="Arial" w:hAnsi="Arial" w:cs="Arial"/>
          <w:sz w:val="20"/>
          <w:szCs w:val="20"/>
          <w:lang w:val="en-ZA"/>
        </w:rPr>
        <w:t>a</w:t>
      </w:r>
      <w:r w:rsidR="00DC54F3" w:rsidRPr="0087455D">
        <w:rPr>
          <w:rFonts w:ascii="Arial" w:hAnsi="Arial" w:cs="Arial"/>
          <w:sz w:val="20"/>
          <w:szCs w:val="20"/>
          <w:lang w:val="en-ZA"/>
        </w:rPr>
        <w:t xml:space="preserve">ccounting </w:t>
      </w:r>
      <w:r w:rsidR="004579A5" w:rsidRPr="0087455D">
        <w:rPr>
          <w:rFonts w:ascii="Arial" w:hAnsi="Arial" w:cs="Arial"/>
          <w:sz w:val="20"/>
          <w:szCs w:val="20"/>
          <w:lang w:val="en-ZA"/>
        </w:rPr>
        <w:t>o</w:t>
      </w:r>
      <w:r w:rsidR="009A19FF" w:rsidRPr="0087455D">
        <w:rPr>
          <w:rFonts w:ascii="Arial" w:hAnsi="Arial" w:cs="Arial"/>
          <w:sz w:val="20"/>
          <w:szCs w:val="20"/>
          <w:lang w:val="en-ZA"/>
        </w:rPr>
        <w:t>fficer—and the institution’s</w:t>
      </w:r>
      <w:r w:rsidR="00DC54F3" w:rsidRPr="0087455D">
        <w:rPr>
          <w:rFonts w:ascii="Arial" w:hAnsi="Arial" w:cs="Arial"/>
          <w:sz w:val="20"/>
          <w:szCs w:val="20"/>
          <w:lang w:val="en-ZA"/>
        </w:rPr>
        <w:t xml:space="preserve"> senior management team</w:t>
      </w:r>
      <w:r w:rsidRPr="0087455D">
        <w:rPr>
          <w:rFonts w:ascii="Arial" w:hAnsi="Arial" w:cs="Arial"/>
          <w:sz w:val="20"/>
          <w:szCs w:val="20"/>
          <w:lang w:val="en-ZA"/>
        </w:rPr>
        <w:t xml:space="preserve">. </w:t>
      </w:r>
    </w:p>
    <w:p w:rsidR="00B6761A" w:rsidRPr="0087455D" w:rsidRDefault="00DC54F3"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1.3</w:t>
      </w:r>
      <w:r w:rsidRPr="0087455D">
        <w:rPr>
          <w:rFonts w:ascii="Arial" w:hAnsi="Arial" w:cs="Arial"/>
          <w:sz w:val="20"/>
          <w:szCs w:val="20"/>
          <w:lang w:val="en-ZA"/>
        </w:rPr>
        <w:tab/>
        <w:t>This report should be read along with Parliament’s 20</w:t>
      </w:r>
      <w:r w:rsidR="003D0948" w:rsidRPr="0087455D">
        <w:rPr>
          <w:rFonts w:ascii="Arial" w:hAnsi="Arial" w:cs="Arial"/>
          <w:sz w:val="20"/>
          <w:szCs w:val="20"/>
          <w:lang w:val="en-ZA"/>
        </w:rPr>
        <w:t>19-2024</w:t>
      </w:r>
      <w:r w:rsidR="00B469DF" w:rsidRPr="0087455D">
        <w:rPr>
          <w:rFonts w:ascii="Arial" w:hAnsi="Arial" w:cs="Arial"/>
          <w:sz w:val="20"/>
          <w:szCs w:val="20"/>
          <w:lang w:val="en-ZA"/>
        </w:rPr>
        <w:t xml:space="preserve"> Strategic Plan, the </w:t>
      </w:r>
      <w:r w:rsidR="009A19FF" w:rsidRPr="0087455D">
        <w:rPr>
          <w:rFonts w:ascii="Arial" w:hAnsi="Arial" w:cs="Arial"/>
          <w:sz w:val="20"/>
          <w:szCs w:val="20"/>
          <w:lang w:val="en-ZA"/>
        </w:rPr>
        <w:t>2021/22</w:t>
      </w:r>
      <w:r w:rsidRPr="0087455D">
        <w:rPr>
          <w:rFonts w:ascii="Arial" w:hAnsi="Arial" w:cs="Arial"/>
          <w:sz w:val="20"/>
          <w:szCs w:val="20"/>
          <w:lang w:val="en-ZA"/>
        </w:rPr>
        <w:t xml:space="preserve"> Annua</w:t>
      </w:r>
      <w:r w:rsidR="00D40F44" w:rsidRPr="0087455D">
        <w:rPr>
          <w:rFonts w:ascii="Arial" w:hAnsi="Arial" w:cs="Arial"/>
          <w:sz w:val="20"/>
          <w:szCs w:val="20"/>
          <w:lang w:val="en-ZA"/>
        </w:rPr>
        <w:t>l Performance Plan an</w:t>
      </w:r>
      <w:r w:rsidR="009A19FF" w:rsidRPr="0087455D">
        <w:rPr>
          <w:rFonts w:ascii="Arial" w:hAnsi="Arial" w:cs="Arial"/>
          <w:sz w:val="20"/>
          <w:szCs w:val="20"/>
          <w:lang w:val="en-ZA"/>
        </w:rPr>
        <w:t>d budget, the institution’s 2021/22</w:t>
      </w:r>
      <w:r w:rsidR="00D40F44" w:rsidRPr="0087455D">
        <w:rPr>
          <w:rFonts w:ascii="Arial" w:hAnsi="Arial" w:cs="Arial"/>
          <w:sz w:val="20"/>
          <w:szCs w:val="20"/>
          <w:lang w:val="en-ZA"/>
        </w:rPr>
        <w:t xml:space="preserve"> Annual Report, as well as the Committee’s </w:t>
      </w:r>
      <w:r w:rsidR="00C0315E" w:rsidRPr="0087455D">
        <w:rPr>
          <w:rFonts w:ascii="Arial" w:hAnsi="Arial" w:cs="Arial"/>
          <w:sz w:val="20"/>
          <w:szCs w:val="20"/>
          <w:lang w:val="en-ZA"/>
        </w:rPr>
        <w:t xml:space="preserve">quarterly </w:t>
      </w:r>
      <w:r w:rsidR="00D40F44" w:rsidRPr="0087455D">
        <w:rPr>
          <w:rFonts w:ascii="Arial" w:hAnsi="Arial" w:cs="Arial"/>
          <w:sz w:val="20"/>
          <w:szCs w:val="20"/>
          <w:lang w:val="en-ZA"/>
        </w:rPr>
        <w:t xml:space="preserve">reports on the institution’s performance </w:t>
      </w:r>
      <w:r w:rsidR="004579A5" w:rsidRPr="0087455D">
        <w:rPr>
          <w:rFonts w:ascii="Arial" w:hAnsi="Arial" w:cs="Arial"/>
          <w:sz w:val="20"/>
          <w:szCs w:val="20"/>
          <w:lang w:val="en-ZA"/>
        </w:rPr>
        <w:t>in the</w:t>
      </w:r>
      <w:r w:rsidR="00C0315E" w:rsidRPr="0087455D">
        <w:rPr>
          <w:rFonts w:ascii="Arial" w:hAnsi="Arial" w:cs="Arial"/>
          <w:sz w:val="20"/>
          <w:szCs w:val="20"/>
          <w:lang w:val="en-ZA"/>
        </w:rPr>
        <w:t xml:space="preserve"> financial year</w:t>
      </w:r>
      <w:r w:rsidR="003D0948" w:rsidRPr="0087455D">
        <w:rPr>
          <w:rFonts w:ascii="Arial" w:hAnsi="Arial" w:cs="Arial"/>
          <w:sz w:val="20"/>
          <w:szCs w:val="20"/>
          <w:lang w:val="en-ZA"/>
        </w:rPr>
        <w:t xml:space="preserve"> under review.</w:t>
      </w:r>
    </w:p>
    <w:p w:rsidR="00C1654A"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1.4</w:t>
      </w:r>
      <w:r w:rsidRPr="0087455D">
        <w:rPr>
          <w:rFonts w:ascii="Arial" w:hAnsi="Arial" w:cs="Arial"/>
          <w:sz w:val="20"/>
          <w:szCs w:val="20"/>
          <w:lang w:val="en-ZA"/>
        </w:rPr>
        <w:tab/>
        <w:t>This report comprises five</w:t>
      </w:r>
      <w:r w:rsidR="00DC54F3" w:rsidRPr="0087455D">
        <w:rPr>
          <w:rFonts w:ascii="Arial" w:hAnsi="Arial" w:cs="Arial"/>
          <w:sz w:val="20"/>
          <w:szCs w:val="20"/>
          <w:lang w:val="en-ZA"/>
        </w:rPr>
        <w:t xml:space="preserve"> parts: Part A</w:t>
      </w:r>
      <w:r w:rsidR="00B204D2" w:rsidRPr="0087455D">
        <w:rPr>
          <w:rFonts w:ascii="Arial" w:hAnsi="Arial" w:cs="Arial"/>
          <w:sz w:val="20"/>
          <w:szCs w:val="20"/>
          <w:lang w:val="en-ZA"/>
        </w:rPr>
        <w:t>, containing</w:t>
      </w:r>
      <w:r w:rsidR="00DC54F3" w:rsidRPr="0087455D">
        <w:rPr>
          <w:rFonts w:ascii="Arial" w:hAnsi="Arial" w:cs="Arial"/>
          <w:sz w:val="20"/>
          <w:szCs w:val="20"/>
          <w:lang w:val="en-ZA"/>
        </w:rPr>
        <w:t xml:space="preserve"> a summary of the institution’s financial and performance information for the period under review; Part B</w:t>
      </w:r>
      <w:r w:rsidR="00B204D2" w:rsidRPr="0087455D">
        <w:rPr>
          <w:rFonts w:ascii="Arial" w:hAnsi="Arial" w:cs="Arial"/>
          <w:sz w:val="20"/>
          <w:szCs w:val="20"/>
          <w:lang w:val="en-ZA"/>
        </w:rPr>
        <w:t>,</w:t>
      </w:r>
      <w:r w:rsidR="00DC54F3" w:rsidRPr="0087455D">
        <w:rPr>
          <w:rFonts w:ascii="Arial" w:hAnsi="Arial" w:cs="Arial"/>
          <w:sz w:val="20"/>
          <w:szCs w:val="20"/>
          <w:lang w:val="en-ZA"/>
        </w:rPr>
        <w:t xml:space="preserve"> </w:t>
      </w:r>
      <w:r w:rsidR="00B204D2" w:rsidRPr="0087455D">
        <w:rPr>
          <w:rFonts w:ascii="Arial" w:hAnsi="Arial" w:cs="Arial"/>
          <w:sz w:val="20"/>
          <w:szCs w:val="20"/>
          <w:lang w:val="en-ZA"/>
        </w:rPr>
        <w:t>containing</w:t>
      </w:r>
      <w:r w:rsidR="00DC54F3" w:rsidRPr="0087455D">
        <w:rPr>
          <w:rFonts w:ascii="Arial" w:hAnsi="Arial" w:cs="Arial"/>
          <w:sz w:val="20"/>
          <w:szCs w:val="20"/>
          <w:lang w:val="en-ZA"/>
        </w:rPr>
        <w:t xml:space="preserve"> the </w:t>
      </w:r>
      <w:r w:rsidR="003D0948" w:rsidRPr="0087455D">
        <w:rPr>
          <w:rFonts w:ascii="Arial" w:hAnsi="Arial" w:cs="Arial"/>
          <w:sz w:val="20"/>
          <w:szCs w:val="20"/>
          <w:lang w:val="en-ZA"/>
        </w:rPr>
        <w:t>AGSA’</w:t>
      </w:r>
      <w:r w:rsidR="00B204D2" w:rsidRPr="0087455D">
        <w:rPr>
          <w:rFonts w:ascii="Arial" w:hAnsi="Arial" w:cs="Arial"/>
          <w:sz w:val="20"/>
          <w:szCs w:val="20"/>
          <w:lang w:val="en-ZA"/>
        </w:rPr>
        <w:t xml:space="preserve">s key findings; </w:t>
      </w:r>
      <w:r w:rsidR="00DC54F3" w:rsidRPr="0087455D">
        <w:rPr>
          <w:rFonts w:ascii="Arial" w:hAnsi="Arial" w:cs="Arial"/>
          <w:sz w:val="20"/>
          <w:szCs w:val="20"/>
          <w:lang w:val="en-ZA"/>
        </w:rPr>
        <w:t>Part C</w:t>
      </w:r>
      <w:r w:rsidR="00B204D2" w:rsidRPr="0087455D">
        <w:rPr>
          <w:rFonts w:ascii="Arial" w:hAnsi="Arial" w:cs="Arial"/>
          <w:sz w:val="20"/>
          <w:szCs w:val="20"/>
          <w:lang w:val="en-ZA"/>
        </w:rPr>
        <w:t>, containing</w:t>
      </w:r>
      <w:r w:rsidR="00DC54F3" w:rsidRPr="0087455D">
        <w:rPr>
          <w:rFonts w:ascii="Arial" w:hAnsi="Arial" w:cs="Arial"/>
          <w:sz w:val="20"/>
          <w:szCs w:val="20"/>
          <w:lang w:val="en-ZA"/>
        </w:rPr>
        <w:t xml:space="preserve"> the </w:t>
      </w:r>
      <w:r w:rsidR="00C1654A" w:rsidRPr="0087455D">
        <w:rPr>
          <w:rFonts w:ascii="Arial" w:hAnsi="Arial" w:cs="Arial"/>
          <w:sz w:val="20"/>
          <w:szCs w:val="20"/>
          <w:lang w:val="en-ZA"/>
        </w:rPr>
        <w:t>Audit Committee’s recommendations;</w:t>
      </w:r>
      <w:r w:rsidR="00B204D2" w:rsidRPr="0087455D">
        <w:rPr>
          <w:rFonts w:ascii="Arial" w:hAnsi="Arial" w:cs="Arial"/>
          <w:sz w:val="20"/>
          <w:szCs w:val="20"/>
          <w:lang w:val="en-ZA"/>
        </w:rPr>
        <w:t xml:space="preserve"> Part D, containing the Committee’s </w:t>
      </w:r>
      <w:r w:rsidR="00C1654A" w:rsidRPr="0087455D">
        <w:rPr>
          <w:rFonts w:ascii="Arial" w:hAnsi="Arial" w:cs="Arial"/>
          <w:sz w:val="20"/>
          <w:szCs w:val="20"/>
          <w:lang w:val="en-ZA"/>
        </w:rPr>
        <w:t>observations; and Part E, containing the Committee’s recommendations</w:t>
      </w:r>
      <w:r w:rsidR="00DC54F3" w:rsidRPr="0087455D">
        <w:rPr>
          <w:rFonts w:ascii="Arial" w:hAnsi="Arial" w:cs="Arial"/>
          <w:sz w:val="20"/>
          <w:szCs w:val="20"/>
          <w:lang w:val="en-ZA"/>
        </w:rPr>
        <w:t>.</w:t>
      </w:r>
    </w:p>
    <w:p w:rsidR="009A19FF" w:rsidRPr="0087455D" w:rsidRDefault="009A19FF" w:rsidP="0087455D">
      <w:pPr>
        <w:spacing w:after="0" w:line="240" w:lineRule="auto"/>
        <w:rPr>
          <w:rFonts w:ascii="Arial" w:hAnsi="Arial" w:cs="Arial"/>
          <w:b/>
          <w:bCs/>
          <w:sz w:val="20"/>
          <w:szCs w:val="20"/>
          <w:lang w:val="en-ZA"/>
        </w:rPr>
      </w:pPr>
    </w:p>
    <w:p w:rsidR="009A19FF" w:rsidRPr="0087455D" w:rsidRDefault="009A19FF" w:rsidP="0087455D">
      <w:pPr>
        <w:spacing w:after="0" w:line="240" w:lineRule="auto"/>
        <w:rPr>
          <w:rFonts w:ascii="Arial" w:hAnsi="Arial" w:cs="Arial"/>
          <w:b/>
          <w:bCs/>
          <w:sz w:val="20"/>
          <w:szCs w:val="20"/>
          <w:lang w:val="en-ZA"/>
        </w:rPr>
      </w:pPr>
    </w:p>
    <w:p w:rsidR="009A19FF" w:rsidRPr="0087455D" w:rsidRDefault="009A19FF" w:rsidP="0087455D">
      <w:pPr>
        <w:spacing w:after="0" w:line="240" w:lineRule="auto"/>
        <w:rPr>
          <w:rFonts w:ascii="Arial" w:hAnsi="Arial" w:cs="Arial"/>
          <w:b/>
          <w:bCs/>
          <w:sz w:val="20"/>
          <w:szCs w:val="20"/>
          <w:lang w:val="en-ZA"/>
        </w:rPr>
      </w:pPr>
    </w:p>
    <w:p w:rsidR="00DC54F3" w:rsidRPr="0087455D" w:rsidRDefault="00C1654A" w:rsidP="0087455D">
      <w:pPr>
        <w:spacing w:after="0" w:line="240" w:lineRule="auto"/>
        <w:rPr>
          <w:rFonts w:ascii="Arial" w:hAnsi="Arial" w:cs="Arial"/>
          <w:b/>
          <w:bCs/>
          <w:sz w:val="20"/>
          <w:szCs w:val="20"/>
          <w:lang w:val="en-ZA"/>
        </w:rPr>
      </w:pPr>
      <w:r w:rsidRPr="0087455D">
        <w:rPr>
          <w:rFonts w:ascii="Arial" w:hAnsi="Arial" w:cs="Arial"/>
          <w:b/>
          <w:bCs/>
          <w:sz w:val="20"/>
          <w:szCs w:val="20"/>
          <w:lang w:val="en-ZA"/>
        </w:rPr>
        <w:t>Part</w:t>
      </w:r>
      <w:r w:rsidR="00B469DF" w:rsidRPr="0087455D">
        <w:rPr>
          <w:rFonts w:ascii="Arial" w:hAnsi="Arial" w:cs="Arial"/>
          <w:b/>
          <w:bCs/>
          <w:sz w:val="20"/>
          <w:szCs w:val="20"/>
          <w:lang w:val="en-ZA"/>
        </w:rPr>
        <w:t xml:space="preserve"> A:</w:t>
      </w:r>
      <w:r w:rsidR="00B469DF" w:rsidRPr="0087455D">
        <w:rPr>
          <w:rFonts w:ascii="Arial" w:hAnsi="Arial" w:cs="Arial"/>
          <w:b/>
          <w:bCs/>
          <w:sz w:val="20"/>
          <w:szCs w:val="20"/>
          <w:lang w:val="en-ZA"/>
        </w:rPr>
        <w:tab/>
      </w:r>
      <w:r w:rsidR="003D0948" w:rsidRPr="0087455D">
        <w:rPr>
          <w:rFonts w:ascii="Arial" w:hAnsi="Arial" w:cs="Arial"/>
          <w:b/>
          <w:bCs/>
          <w:sz w:val="20"/>
          <w:szCs w:val="20"/>
          <w:lang w:val="en-ZA"/>
        </w:rPr>
        <w:t>Performance in the 2020/21</w:t>
      </w:r>
      <w:r w:rsidR="007A5414" w:rsidRPr="0087455D">
        <w:rPr>
          <w:rFonts w:ascii="Arial" w:hAnsi="Arial" w:cs="Arial"/>
          <w:b/>
          <w:bCs/>
          <w:sz w:val="20"/>
          <w:szCs w:val="20"/>
          <w:lang w:val="en-ZA"/>
        </w:rPr>
        <w:t xml:space="preserve"> Financial Year</w:t>
      </w:r>
    </w:p>
    <w:p w:rsidR="00DC54F3" w:rsidRPr="0087455D" w:rsidRDefault="00DC54F3" w:rsidP="0087455D">
      <w:pPr>
        <w:spacing w:after="0" w:line="240" w:lineRule="auto"/>
        <w:rPr>
          <w:rFonts w:ascii="Arial" w:hAnsi="Arial" w:cs="Arial"/>
          <w:sz w:val="20"/>
          <w:szCs w:val="20"/>
          <w:lang w:val="en-ZA"/>
        </w:rPr>
      </w:pPr>
    </w:p>
    <w:p w:rsidR="00DC54F3" w:rsidRPr="0087455D" w:rsidRDefault="00DC54F3" w:rsidP="0087455D">
      <w:pPr>
        <w:spacing w:after="0" w:line="240" w:lineRule="auto"/>
        <w:rPr>
          <w:rFonts w:ascii="Arial" w:hAnsi="Arial" w:cs="Arial"/>
          <w:b/>
          <w:sz w:val="20"/>
          <w:szCs w:val="20"/>
          <w:lang w:val="en-ZA"/>
        </w:rPr>
      </w:pPr>
      <w:r w:rsidRPr="0087455D">
        <w:rPr>
          <w:rFonts w:ascii="Arial" w:hAnsi="Arial" w:cs="Arial"/>
          <w:b/>
          <w:sz w:val="20"/>
          <w:szCs w:val="20"/>
          <w:lang w:val="en-ZA"/>
        </w:rPr>
        <w:t>2.</w:t>
      </w:r>
      <w:r w:rsidRPr="0087455D">
        <w:rPr>
          <w:rFonts w:ascii="Arial" w:hAnsi="Arial" w:cs="Arial"/>
          <w:b/>
          <w:sz w:val="20"/>
          <w:szCs w:val="20"/>
          <w:lang w:val="en-ZA"/>
        </w:rPr>
        <w:tab/>
        <w:t>Mandate</w:t>
      </w:r>
    </w:p>
    <w:p w:rsidR="00DC54F3" w:rsidRPr="0087455D" w:rsidRDefault="00DC54F3" w:rsidP="0087455D">
      <w:pPr>
        <w:spacing w:after="0" w:line="240" w:lineRule="auto"/>
        <w:rPr>
          <w:rFonts w:ascii="Arial" w:hAnsi="Arial" w:cs="Arial"/>
          <w:sz w:val="20"/>
          <w:szCs w:val="20"/>
          <w:lang w:val="en-ZA"/>
        </w:rPr>
      </w:pPr>
      <w:r w:rsidRPr="0087455D">
        <w:rPr>
          <w:rFonts w:ascii="Arial" w:hAnsi="Arial" w:cs="Arial"/>
          <w:sz w:val="20"/>
          <w:szCs w:val="20"/>
          <w:lang w:val="en-ZA"/>
        </w:rPr>
        <w:t>2.1</w:t>
      </w:r>
      <w:r w:rsidRPr="0087455D">
        <w:rPr>
          <w:rFonts w:ascii="Arial" w:hAnsi="Arial" w:cs="Arial"/>
          <w:sz w:val="20"/>
          <w:szCs w:val="20"/>
          <w:lang w:val="en-ZA"/>
        </w:rPr>
        <w:tab/>
        <w:t>Parliament derives its mandate from:</w:t>
      </w:r>
    </w:p>
    <w:p w:rsidR="00DC54F3" w:rsidRPr="0087455D" w:rsidRDefault="00DC54F3" w:rsidP="0087455D">
      <w:pPr>
        <w:spacing w:after="0" w:line="240" w:lineRule="auto"/>
        <w:ind w:left="144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chapter 4 of the Constitution, which sets out its composition, powers and functions;</w:t>
      </w:r>
    </w:p>
    <w:p w:rsidR="00DC54F3" w:rsidRPr="0087455D" w:rsidRDefault="00DC54F3" w:rsidP="0087455D">
      <w:pPr>
        <w:spacing w:after="0" w:line="240" w:lineRule="auto"/>
        <w:ind w:firstLine="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the FMPPLA which regulates the institution’s financial management;</w:t>
      </w:r>
    </w:p>
    <w:p w:rsidR="00DC54F3" w:rsidRPr="0087455D" w:rsidRDefault="00DC54F3" w:rsidP="0087455D">
      <w:pPr>
        <w:spacing w:after="0" w:line="240" w:lineRule="auto"/>
        <w:ind w:left="144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the Money Bills Amendment Procedur</w:t>
      </w:r>
      <w:r w:rsidR="00B204D2" w:rsidRPr="0087455D">
        <w:rPr>
          <w:rFonts w:ascii="Arial" w:hAnsi="Arial" w:cs="Arial"/>
          <w:sz w:val="20"/>
          <w:szCs w:val="20"/>
          <w:lang w:val="en-ZA"/>
        </w:rPr>
        <w:t xml:space="preserve">e and Related Matters Act, </w:t>
      </w:r>
      <w:r w:rsidRPr="0087455D">
        <w:rPr>
          <w:rFonts w:ascii="Arial" w:hAnsi="Arial" w:cs="Arial"/>
          <w:sz w:val="20"/>
          <w:szCs w:val="20"/>
          <w:lang w:val="en-ZA"/>
        </w:rPr>
        <w:t>No</w:t>
      </w:r>
      <w:r w:rsidR="009A19FF" w:rsidRPr="0087455D">
        <w:rPr>
          <w:rFonts w:ascii="Arial" w:hAnsi="Arial" w:cs="Arial"/>
          <w:sz w:val="20"/>
          <w:szCs w:val="20"/>
          <w:lang w:val="en-ZA"/>
        </w:rPr>
        <w:t>.</w:t>
      </w:r>
      <w:r w:rsidRPr="0087455D">
        <w:rPr>
          <w:rFonts w:ascii="Arial" w:hAnsi="Arial" w:cs="Arial"/>
          <w:sz w:val="20"/>
          <w:szCs w:val="20"/>
          <w:lang w:val="en-ZA"/>
        </w:rPr>
        <w:t xml:space="preserve"> 9 of 2009 which provides procedures to amend money bills; and </w:t>
      </w:r>
    </w:p>
    <w:p w:rsidR="00DC54F3" w:rsidRPr="0087455D" w:rsidRDefault="00DC54F3" w:rsidP="0087455D">
      <w:pPr>
        <w:spacing w:after="0" w:line="240" w:lineRule="auto"/>
        <w:ind w:left="144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the Powers, Privileges and Immunities of Parliament and Provincial Legislatures Act</w:t>
      </w:r>
      <w:r w:rsidR="00B204D2" w:rsidRPr="0087455D">
        <w:rPr>
          <w:rFonts w:ascii="Arial" w:hAnsi="Arial" w:cs="Arial"/>
          <w:sz w:val="20"/>
          <w:szCs w:val="20"/>
          <w:lang w:val="en-ZA"/>
        </w:rPr>
        <w:t>,</w:t>
      </w:r>
      <w:r w:rsidRPr="0087455D">
        <w:rPr>
          <w:rFonts w:ascii="Arial" w:hAnsi="Arial" w:cs="Arial"/>
          <w:sz w:val="20"/>
          <w:szCs w:val="20"/>
          <w:lang w:val="en-ZA"/>
        </w:rPr>
        <w:t xml:space="preserve"> No</w:t>
      </w:r>
      <w:r w:rsidR="009A19FF" w:rsidRPr="0087455D">
        <w:rPr>
          <w:rFonts w:ascii="Arial" w:hAnsi="Arial" w:cs="Arial"/>
          <w:sz w:val="20"/>
          <w:szCs w:val="20"/>
          <w:lang w:val="en-ZA"/>
        </w:rPr>
        <w:t>.</w:t>
      </w:r>
      <w:r w:rsidRPr="0087455D">
        <w:rPr>
          <w:rFonts w:ascii="Arial" w:hAnsi="Arial" w:cs="Arial"/>
          <w:sz w:val="20"/>
          <w:szCs w:val="20"/>
          <w:lang w:val="en-ZA"/>
        </w:rPr>
        <w:t xml:space="preserve"> 4 of 2004 which defines and declares the national and provincial legislatures’ powers, privileges and immunities.</w:t>
      </w:r>
    </w:p>
    <w:p w:rsidR="00DC54F3" w:rsidRPr="0087455D" w:rsidRDefault="00DC54F3" w:rsidP="0087455D">
      <w:pPr>
        <w:spacing w:after="0" w:line="240" w:lineRule="auto"/>
        <w:rPr>
          <w:rFonts w:ascii="Arial" w:hAnsi="Arial" w:cs="Arial"/>
          <w:sz w:val="20"/>
          <w:szCs w:val="20"/>
          <w:lang w:val="en-ZA"/>
        </w:rPr>
      </w:pPr>
    </w:p>
    <w:p w:rsidR="00DC54F3" w:rsidRPr="0087455D" w:rsidRDefault="005318EB" w:rsidP="0087455D">
      <w:pPr>
        <w:spacing w:after="0" w:line="240" w:lineRule="auto"/>
        <w:rPr>
          <w:rFonts w:ascii="Arial" w:hAnsi="Arial" w:cs="Arial"/>
          <w:b/>
          <w:sz w:val="20"/>
          <w:szCs w:val="20"/>
          <w:lang w:val="en-ZA"/>
        </w:rPr>
      </w:pPr>
      <w:r w:rsidRPr="0087455D">
        <w:rPr>
          <w:rFonts w:ascii="Arial" w:hAnsi="Arial" w:cs="Arial"/>
          <w:b/>
          <w:sz w:val="20"/>
          <w:szCs w:val="20"/>
          <w:lang w:val="en-ZA"/>
        </w:rPr>
        <w:t>2.2</w:t>
      </w:r>
      <w:r w:rsidRPr="0087455D">
        <w:rPr>
          <w:rFonts w:ascii="Arial" w:hAnsi="Arial" w:cs="Arial"/>
          <w:b/>
          <w:sz w:val="20"/>
          <w:szCs w:val="20"/>
          <w:lang w:val="en-ZA"/>
        </w:rPr>
        <w:tab/>
        <w:t>Mission and V</w:t>
      </w:r>
      <w:r w:rsidR="00DC54F3" w:rsidRPr="0087455D">
        <w:rPr>
          <w:rFonts w:ascii="Arial" w:hAnsi="Arial" w:cs="Arial"/>
          <w:b/>
          <w:sz w:val="20"/>
          <w:szCs w:val="20"/>
          <w:lang w:val="en-ZA"/>
        </w:rPr>
        <w:t>ision</w:t>
      </w:r>
    </w:p>
    <w:p w:rsidR="00B6761A" w:rsidRPr="0087455D" w:rsidRDefault="00DC54F3"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2.2.1</w:t>
      </w:r>
      <w:r w:rsidRPr="0087455D">
        <w:rPr>
          <w:rFonts w:ascii="Arial" w:hAnsi="Arial" w:cs="Arial"/>
          <w:sz w:val="20"/>
          <w:szCs w:val="20"/>
          <w:lang w:val="en-ZA"/>
        </w:rPr>
        <w:tab/>
        <w:t>The institution has identified six values according to</w:t>
      </w:r>
      <w:r w:rsidR="00B26C00" w:rsidRPr="0087455D">
        <w:rPr>
          <w:rFonts w:ascii="Arial" w:hAnsi="Arial" w:cs="Arial"/>
          <w:sz w:val="20"/>
          <w:szCs w:val="20"/>
          <w:lang w:val="en-ZA"/>
        </w:rPr>
        <w:t xml:space="preserve"> which it conducts its business i.e.</w:t>
      </w:r>
      <w:r w:rsidRPr="0087455D">
        <w:rPr>
          <w:rFonts w:ascii="Arial" w:hAnsi="Arial" w:cs="Arial"/>
          <w:sz w:val="20"/>
          <w:szCs w:val="20"/>
          <w:lang w:val="en-ZA"/>
        </w:rPr>
        <w:t xml:space="preserve"> openness; responsiveness; accountability; teamwork; professionalism; and integrity.</w:t>
      </w:r>
    </w:p>
    <w:p w:rsidR="00B469DF" w:rsidRPr="0087455D" w:rsidRDefault="00DC54F3"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2.2.2</w:t>
      </w:r>
      <w:r w:rsidRPr="0087455D">
        <w:rPr>
          <w:rFonts w:ascii="Arial" w:hAnsi="Arial" w:cs="Arial"/>
          <w:sz w:val="20"/>
          <w:szCs w:val="20"/>
          <w:lang w:val="en-ZA"/>
        </w:rPr>
        <w:tab/>
        <w:t>In pursuit of its vision to be “activist and responsive” so as to improve the quality of life in South Africa and to ensure enduring equality, the institution has, as its mission, to provide</w:t>
      </w:r>
      <w:r w:rsidR="00B469DF" w:rsidRPr="0087455D">
        <w:rPr>
          <w:rFonts w:ascii="Arial" w:hAnsi="Arial" w:cs="Arial"/>
          <w:sz w:val="20"/>
          <w:szCs w:val="20"/>
          <w:lang w:val="en-ZA"/>
        </w:rPr>
        <w:t>:</w:t>
      </w:r>
    </w:p>
    <w:p w:rsidR="00B469DF" w:rsidRPr="0087455D" w:rsidRDefault="00B469DF" w:rsidP="0087455D">
      <w:pPr>
        <w:spacing w:after="0" w:line="240" w:lineRule="auto"/>
        <w:rPr>
          <w:rFonts w:ascii="Arial" w:hAnsi="Arial" w:cs="Arial"/>
          <w:sz w:val="20"/>
          <w:szCs w:val="20"/>
          <w:lang w:val="en-ZA"/>
        </w:rPr>
      </w:pPr>
      <w:r w:rsidRPr="0087455D">
        <w:rPr>
          <w:rFonts w:ascii="Arial" w:hAnsi="Arial" w:cs="Arial"/>
          <w:sz w:val="20"/>
          <w:szCs w:val="20"/>
          <w:lang w:val="en-ZA"/>
        </w:rPr>
        <w:tab/>
      </w:r>
      <w:r w:rsidRPr="0087455D">
        <w:rPr>
          <w:rFonts w:ascii="Arial" w:hAnsi="Arial" w:cs="Arial"/>
          <w:sz w:val="20"/>
          <w:szCs w:val="20"/>
          <w:lang w:val="en-ZA"/>
        </w:rPr>
        <w:tab/>
        <w:t>-</w:t>
      </w:r>
      <w:r w:rsidRPr="0087455D">
        <w:rPr>
          <w:rFonts w:ascii="Arial" w:hAnsi="Arial" w:cs="Arial"/>
          <w:sz w:val="20"/>
          <w:szCs w:val="20"/>
          <w:lang w:val="en-ZA"/>
        </w:rPr>
        <w:tab/>
        <w:t xml:space="preserve">a vibrant people’s assembly that </w:t>
      </w:r>
      <w:r w:rsidR="006E0123" w:rsidRPr="0087455D">
        <w:rPr>
          <w:rFonts w:ascii="Arial" w:hAnsi="Arial" w:cs="Arial"/>
          <w:sz w:val="20"/>
          <w:szCs w:val="20"/>
          <w:lang w:val="en-ZA"/>
        </w:rPr>
        <w:t>intervenes</w:t>
      </w:r>
      <w:r w:rsidRPr="0087455D">
        <w:rPr>
          <w:rFonts w:ascii="Arial" w:hAnsi="Arial" w:cs="Arial"/>
          <w:sz w:val="20"/>
          <w:szCs w:val="20"/>
          <w:lang w:val="en-ZA"/>
        </w:rPr>
        <w:t xml:space="preserve"> and transforms society and </w:t>
      </w:r>
      <w:r w:rsidRPr="0087455D">
        <w:rPr>
          <w:rFonts w:ascii="Arial" w:hAnsi="Arial" w:cs="Arial"/>
          <w:sz w:val="20"/>
          <w:szCs w:val="20"/>
          <w:lang w:val="en-ZA"/>
        </w:rPr>
        <w:tab/>
      </w:r>
      <w:r w:rsidRPr="0087455D">
        <w:rPr>
          <w:rFonts w:ascii="Arial" w:hAnsi="Arial" w:cs="Arial"/>
          <w:sz w:val="20"/>
          <w:szCs w:val="20"/>
          <w:lang w:val="en-ZA"/>
        </w:rPr>
        <w:tab/>
      </w:r>
      <w:r w:rsidRPr="0087455D">
        <w:rPr>
          <w:rFonts w:ascii="Arial" w:hAnsi="Arial" w:cs="Arial"/>
          <w:sz w:val="20"/>
          <w:szCs w:val="20"/>
          <w:lang w:val="en-ZA"/>
        </w:rPr>
        <w:tab/>
      </w:r>
      <w:r w:rsidR="007A5414" w:rsidRPr="0087455D">
        <w:rPr>
          <w:rFonts w:ascii="Arial" w:hAnsi="Arial" w:cs="Arial"/>
          <w:sz w:val="20"/>
          <w:szCs w:val="20"/>
          <w:lang w:val="en-ZA"/>
        </w:rPr>
        <w:tab/>
      </w:r>
      <w:r w:rsidRPr="0087455D">
        <w:rPr>
          <w:rFonts w:ascii="Arial" w:hAnsi="Arial" w:cs="Arial"/>
          <w:sz w:val="20"/>
          <w:szCs w:val="20"/>
          <w:lang w:val="en-ZA"/>
        </w:rPr>
        <w:t>addresses the developmental challenges of the people;</w:t>
      </w:r>
    </w:p>
    <w:p w:rsidR="00B469DF" w:rsidRPr="0087455D" w:rsidRDefault="00B469DF" w:rsidP="0087455D">
      <w:pPr>
        <w:spacing w:after="0" w:line="240" w:lineRule="auto"/>
        <w:rPr>
          <w:rFonts w:ascii="Arial" w:hAnsi="Arial" w:cs="Arial"/>
          <w:sz w:val="20"/>
          <w:szCs w:val="20"/>
          <w:lang w:val="en-ZA"/>
        </w:rPr>
      </w:pPr>
      <w:r w:rsidRPr="0087455D">
        <w:rPr>
          <w:rFonts w:ascii="Arial" w:hAnsi="Arial" w:cs="Arial"/>
          <w:sz w:val="20"/>
          <w:szCs w:val="20"/>
          <w:lang w:val="en-ZA"/>
        </w:rPr>
        <w:tab/>
      </w:r>
      <w:r w:rsidRPr="0087455D">
        <w:rPr>
          <w:rFonts w:ascii="Arial" w:hAnsi="Arial" w:cs="Arial"/>
          <w:sz w:val="20"/>
          <w:szCs w:val="20"/>
          <w:lang w:val="en-ZA"/>
        </w:rPr>
        <w:tab/>
        <w:t>-</w:t>
      </w:r>
      <w:r w:rsidRPr="0087455D">
        <w:rPr>
          <w:rFonts w:ascii="Arial" w:hAnsi="Arial" w:cs="Arial"/>
          <w:sz w:val="20"/>
          <w:szCs w:val="20"/>
          <w:lang w:val="en-ZA"/>
        </w:rPr>
        <w:tab/>
        <w:t xml:space="preserve">effective oversight over the Executive by strengthening its scrutiny of actions </w:t>
      </w:r>
      <w:r w:rsidRPr="0087455D">
        <w:rPr>
          <w:rFonts w:ascii="Arial" w:hAnsi="Arial" w:cs="Arial"/>
          <w:sz w:val="20"/>
          <w:szCs w:val="20"/>
          <w:lang w:val="en-ZA"/>
        </w:rPr>
        <w:tab/>
      </w:r>
      <w:r w:rsidRPr="0087455D">
        <w:rPr>
          <w:rFonts w:ascii="Arial" w:hAnsi="Arial" w:cs="Arial"/>
          <w:sz w:val="20"/>
          <w:szCs w:val="20"/>
          <w:lang w:val="en-ZA"/>
        </w:rPr>
        <w:tab/>
      </w:r>
      <w:r w:rsidR="007A5414" w:rsidRPr="0087455D">
        <w:rPr>
          <w:rFonts w:ascii="Arial" w:hAnsi="Arial" w:cs="Arial"/>
          <w:sz w:val="20"/>
          <w:szCs w:val="20"/>
          <w:lang w:val="en-ZA"/>
        </w:rPr>
        <w:tab/>
      </w:r>
      <w:r w:rsidRPr="0087455D">
        <w:rPr>
          <w:rFonts w:ascii="Arial" w:hAnsi="Arial" w:cs="Arial"/>
          <w:sz w:val="20"/>
          <w:szCs w:val="20"/>
          <w:lang w:val="en-ZA"/>
        </w:rPr>
        <w:t xml:space="preserve">against South </w:t>
      </w:r>
      <w:r w:rsidR="006E0123" w:rsidRPr="0087455D">
        <w:rPr>
          <w:rFonts w:ascii="Arial" w:hAnsi="Arial" w:cs="Arial"/>
          <w:sz w:val="20"/>
          <w:szCs w:val="20"/>
          <w:lang w:val="en-ZA"/>
        </w:rPr>
        <w:t>Africans’</w:t>
      </w:r>
      <w:r w:rsidR="0074133D" w:rsidRPr="0087455D">
        <w:rPr>
          <w:rFonts w:ascii="Arial" w:hAnsi="Arial" w:cs="Arial"/>
          <w:sz w:val="20"/>
          <w:szCs w:val="20"/>
          <w:lang w:val="en-ZA"/>
        </w:rPr>
        <w:t xml:space="preserve"> </w:t>
      </w:r>
      <w:r w:rsidRPr="0087455D">
        <w:rPr>
          <w:rFonts w:ascii="Arial" w:hAnsi="Arial" w:cs="Arial"/>
          <w:sz w:val="20"/>
          <w:szCs w:val="20"/>
          <w:lang w:val="en-ZA"/>
        </w:rPr>
        <w:t>the needs;</w:t>
      </w:r>
    </w:p>
    <w:p w:rsidR="00B469DF" w:rsidRPr="0087455D" w:rsidRDefault="00B26C0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the</w:t>
      </w:r>
      <w:r w:rsidR="00B469DF" w:rsidRPr="0087455D">
        <w:rPr>
          <w:rFonts w:ascii="Arial" w:hAnsi="Arial" w:cs="Arial"/>
          <w:sz w:val="20"/>
          <w:szCs w:val="20"/>
          <w:lang w:val="en-ZA"/>
        </w:rPr>
        <w:t xml:space="preserve"> participation</w:t>
      </w:r>
      <w:r w:rsidRPr="0087455D">
        <w:rPr>
          <w:rFonts w:ascii="Arial" w:hAnsi="Arial" w:cs="Arial"/>
          <w:sz w:val="20"/>
          <w:szCs w:val="20"/>
          <w:lang w:val="en-ZA"/>
        </w:rPr>
        <w:t xml:space="preserve"> of all citizens</w:t>
      </w:r>
      <w:r w:rsidR="00B469DF" w:rsidRPr="0087455D">
        <w:rPr>
          <w:rFonts w:ascii="Arial" w:hAnsi="Arial" w:cs="Arial"/>
          <w:sz w:val="20"/>
          <w:szCs w:val="20"/>
          <w:lang w:val="en-ZA"/>
        </w:rPr>
        <w:t xml:space="preserve"> in the decision-making processes that </w:t>
      </w:r>
      <w:r w:rsidR="00C95523" w:rsidRPr="0087455D">
        <w:rPr>
          <w:rFonts w:ascii="Arial" w:hAnsi="Arial" w:cs="Arial"/>
          <w:sz w:val="20"/>
          <w:szCs w:val="20"/>
          <w:lang w:val="en-ZA"/>
        </w:rPr>
        <w:t>a</w:t>
      </w:r>
      <w:r w:rsidR="00B469DF" w:rsidRPr="0087455D">
        <w:rPr>
          <w:rFonts w:ascii="Arial" w:hAnsi="Arial" w:cs="Arial"/>
          <w:sz w:val="20"/>
          <w:szCs w:val="20"/>
          <w:lang w:val="en-ZA"/>
        </w:rPr>
        <w:t xml:space="preserve">ffect South </w:t>
      </w:r>
      <w:r w:rsidRPr="0087455D">
        <w:rPr>
          <w:rFonts w:ascii="Arial" w:hAnsi="Arial" w:cs="Arial"/>
          <w:sz w:val="20"/>
          <w:szCs w:val="20"/>
          <w:lang w:val="en-ZA"/>
        </w:rPr>
        <w:t xml:space="preserve">Africans’ </w:t>
      </w:r>
      <w:r w:rsidR="00B469DF" w:rsidRPr="0087455D">
        <w:rPr>
          <w:rFonts w:ascii="Arial" w:hAnsi="Arial" w:cs="Arial"/>
          <w:sz w:val="20"/>
          <w:szCs w:val="20"/>
          <w:lang w:val="en-ZA"/>
        </w:rPr>
        <w:t>lives;</w:t>
      </w:r>
    </w:p>
    <w:p w:rsidR="00B469DF" w:rsidRPr="0087455D" w:rsidRDefault="005318EB" w:rsidP="0087455D">
      <w:pPr>
        <w:spacing w:after="0" w:line="240" w:lineRule="auto"/>
        <w:rPr>
          <w:rFonts w:ascii="Arial" w:hAnsi="Arial" w:cs="Arial"/>
          <w:sz w:val="20"/>
          <w:szCs w:val="20"/>
          <w:lang w:val="en-ZA"/>
        </w:rPr>
      </w:pPr>
      <w:r w:rsidRPr="0087455D">
        <w:rPr>
          <w:rFonts w:ascii="Arial" w:hAnsi="Arial" w:cs="Arial"/>
          <w:sz w:val="20"/>
          <w:szCs w:val="20"/>
          <w:lang w:val="en-ZA"/>
        </w:rPr>
        <w:tab/>
      </w:r>
      <w:r w:rsidRPr="0087455D">
        <w:rPr>
          <w:rFonts w:ascii="Arial" w:hAnsi="Arial" w:cs="Arial"/>
          <w:sz w:val="20"/>
          <w:szCs w:val="20"/>
          <w:lang w:val="en-ZA"/>
        </w:rPr>
        <w:tab/>
        <w:t>-</w:t>
      </w:r>
      <w:r w:rsidRPr="0087455D">
        <w:rPr>
          <w:rFonts w:ascii="Arial" w:hAnsi="Arial" w:cs="Arial"/>
          <w:sz w:val="20"/>
          <w:szCs w:val="20"/>
          <w:lang w:val="en-ZA"/>
        </w:rPr>
        <w:tab/>
      </w:r>
      <w:r w:rsidR="007A5414" w:rsidRPr="0087455D">
        <w:rPr>
          <w:rFonts w:ascii="Arial" w:hAnsi="Arial" w:cs="Arial"/>
          <w:sz w:val="20"/>
          <w:szCs w:val="20"/>
          <w:lang w:val="en-ZA"/>
        </w:rPr>
        <w:t>a he</w:t>
      </w:r>
      <w:r w:rsidR="00B469DF" w:rsidRPr="0087455D">
        <w:rPr>
          <w:rFonts w:ascii="Arial" w:hAnsi="Arial" w:cs="Arial"/>
          <w:sz w:val="20"/>
          <w:szCs w:val="20"/>
          <w:lang w:val="en-ZA"/>
        </w:rPr>
        <w:t>a</w:t>
      </w:r>
      <w:r w:rsidR="007A5414" w:rsidRPr="0087455D">
        <w:rPr>
          <w:rFonts w:ascii="Arial" w:hAnsi="Arial" w:cs="Arial"/>
          <w:sz w:val="20"/>
          <w:szCs w:val="20"/>
          <w:lang w:val="en-ZA"/>
        </w:rPr>
        <w:t>l</w:t>
      </w:r>
      <w:r w:rsidR="00B469DF" w:rsidRPr="0087455D">
        <w:rPr>
          <w:rFonts w:ascii="Arial" w:hAnsi="Arial" w:cs="Arial"/>
          <w:sz w:val="20"/>
          <w:szCs w:val="20"/>
          <w:lang w:val="en-ZA"/>
        </w:rPr>
        <w:t xml:space="preserve">thy relationship between the three </w:t>
      </w:r>
      <w:r w:rsidR="006E0123" w:rsidRPr="0087455D">
        <w:rPr>
          <w:rFonts w:ascii="Arial" w:hAnsi="Arial" w:cs="Arial"/>
          <w:sz w:val="20"/>
          <w:szCs w:val="20"/>
          <w:lang w:val="en-ZA"/>
        </w:rPr>
        <w:t>arms</w:t>
      </w:r>
      <w:r w:rsidR="00B469DF" w:rsidRPr="0087455D">
        <w:rPr>
          <w:rFonts w:ascii="Arial" w:hAnsi="Arial" w:cs="Arial"/>
          <w:sz w:val="20"/>
          <w:szCs w:val="20"/>
          <w:lang w:val="en-ZA"/>
        </w:rPr>
        <w:t xml:space="preserve"> of the State in order to promote </w:t>
      </w:r>
      <w:r w:rsidR="00B469DF" w:rsidRPr="0087455D">
        <w:rPr>
          <w:rFonts w:ascii="Arial" w:hAnsi="Arial" w:cs="Arial"/>
          <w:sz w:val="20"/>
          <w:szCs w:val="20"/>
          <w:lang w:val="en-ZA"/>
        </w:rPr>
        <w:tab/>
      </w:r>
      <w:r w:rsidR="00B469DF" w:rsidRPr="0087455D">
        <w:rPr>
          <w:rFonts w:ascii="Arial" w:hAnsi="Arial" w:cs="Arial"/>
          <w:sz w:val="20"/>
          <w:szCs w:val="20"/>
          <w:lang w:val="en-ZA"/>
        </w:rPr>
        <w:tab/>
      </w:r>
      <w:r w:rsidR="007A5414" w:rsidRPr="0087455D">
        <w:rPr>
          <w:rFonts w:ascii="Arial" w:hAnsi="Arial" w:cs="Arial"/>
          <w:sz w:val="20"/>
          <w:szCs w:val="20"/>
          <w:lang w:val="en-ZA"/>
        </w:rPr>
        <w:tab/>
      </w:r>
      <w:r w:rsidR="00B469DF" w:rsidRPr="0087455D">
        <w:rPr>
          <w:rFonts w:ascii="Arial" w:hAnsi="Arial" w:cs="Arial"/>
          <w:sz w:val="20"/>
          <w:szCs w:val="20"/>
          <w:lang w:val="en-ZA"/>
        </w:rPr>
        <w:t>efficient</w:t>
      </w:r>
      <w:r w:rsidR="00B26C00" w:rsidRPr="0087455D">
        <w:rPr>
          <w:rFonts w:ascii="Arial" w:hAnsi="Arial" w:cs="Arial"/>
          <w:sz w:val="20"/>
          <w:szCs w:val="20"/>
          <w:lang w:val="en-ZA"/>
        </w:rPr>
        <w:t xml:space="preserve"> </w:t>
      </w:r>
      <w:r w:rsidR="00B469DF" w:rsidRPr="0087455D">
        <w:rPr>
          <w:rFonts w:ascii="Arial" w:hAnsi="Arial" w:cs="Arial"/>
          <w:sz w:val="20"/>
          <w:szCs w:val="20"/>
          <w:lang w:val="en-ZA"/>
        </w:rPr>
        <w:t xml:space="preserve">cooperative governance, and </w:t>
      </w:r>
      <w:r w:rsidR="00B26C00" w:rsidRPr="0087455D">
        <w:rPr>
          <w:rFonts w:ascii="Arial" w:hAnsi="Arial" w:cs="Arial"/>
          <w:sz w:val="20"/>
          <w:szCs w:val="20"/>
          <w:lang w:val="en-ZA"/>
        </w:rPr>
        <w:t>to ensure</w:t>
      </w:r>
      <w:r w:rsidR="00B469DF" w:rsidRPr="0087455D">
        <w:rPr>
          <w:rFonts w:ascii="Arial" w:hAnsi="Arial" w:cs="Arial"/>
          <w:sz w:val="20"/>
          <w:szCs w:val="20"/>
          <w:lang w:val="en-ZA"/>
        </w:rPr>
        <w:t xml:space="preserve"> appropriate links within the </w:t>
      </w:r>
      <w:r w:rsidR="00B469DF" w:rsidRPr="0087455D">
        <w:rPr>
          <w:rFonts w:ascii="Arial" w:hAnsi="Arial" w:cs="Arial"/>
          <w:sz w:val="20"/>
          <w:szCs w:val="20"/>
          <w:lang w:val="en-ZA"/>
        </w:rPr>
        <w:tab/>
      </w:r>
      <w:r w:rsidR="00B469DF" w:rsidRPr="0087455D">
        <w:rPr>
          <w:rFonts w:ascii="Arial" w:hAnsi="Arial" w:cs="Arial"/>
          <w:sz w:val="20"/>
          <w:szCs w:val="20"/>
          <w:lang w:val="en-ZA"/>
        </w:rPr>
        <w:tab/>
      </w:r>
      <w:r w:rsidR="00B469DF" w:rsidRPr="0087455D">
        <w:rPr>
          <w:rFonts w:ascii="Arial" w:hAnsi="Arial" w:cs="Arial"/>
          <w:sz w:val="20"/>
          <w:szCs w:val="20"/>
          <w:lang w:val="en-ZA"/>
        </w:rPr>
        <w:tab/>
        <w:t>region and the world;</w:t>
      </w:r>
      <w:r w:rsidR="007A5414" w:rsidRPr="0087455D">
        <w:rPr>
          <w:rFonts w:ascii="Arial" w:hAnsi="Arial" w:cs="Arial"/>
          <w:sz w:val="20"/>
          <w:szCs w:val="20"/>
          <w:lang w:val="en-ZA"/>
        </w:rPr>
        <w:t xml:space="preserve"> and</w:t>
      </w:r>
    </w:p>
    <w:p w:rsidR="00DC54F3" w:rsidRPr="0087455D" w:rsidRDefault="00B469DF" w:rsidP="0087455D">
      <w:pPr>
        <w:spacing w:after="0" w:line="240" w:lineRule="auto"/>
        <w:rPr>
          <w:rFonts w:ascii="Arial" w:hAnsi="Arial" w:cs="Arial"/>
          <w:sz w:val="20"/>
          <w:szCs w:val="20"/>
          <w:lang w:val="en-ZA"/>
        </w:rPr>
      </w:pPr>
      <w:r w:rsidRPr="0087455D">
        <w:rPr>
          <w:rFonts w:ascii="Arial" w:hAnsi="Arial" w:cs="Arial"/>
          <w:sz w:val="20"/>
          <w:szCs w:val="20"/>
          <w:lang w:val="en-ZA"/>
        </w:rPr>
        <w:tab/>
      </w:r>
      <w:r w:rsidRPr="0087455D">
        <w:rPr>
          <w:rFonts w:ascii="Arial" w:hAnsi="Arial" w:cs="Arial"/>
          <w:sz w:val="20"/>
          <w:szCs w:val="20"/>
          <w:lang w:val="en-ZA"/>
        </w:rPr>
        <w:tab/>
        <w:t>-</w:t>
      </w:r>
      <w:r w:rsidRPr="0087455D">
        <w:rPr>
          <w:rFonts w:ascii="Arial" w:hAnsi="Arial" w:cs="Arial"/>
          <w:sz w:val="20"/>
          <w:szCs w:val="20"/>
          <w:lang w:val="en-ZA"/>
        </w:rPr>
        <w:tab/>
      </w:r>
      <w:r w:rsidR="00DC54F3" w:rsidRPr="0087455D">
        <w:rPr>
          <w:rFonts w:ascii="Arial" w:hAnsi="Arial" w:cs="Arial"/>
          <w:sz w:val="20"/>
          <w:szCs w:val="20"/>
          <w:lang w:val="en-ZA"/>
        </w:rPr>
        <w:t xml:space="preserve">an innovative, transformative, effective and efficient parliamentary service and </w:t>
      </w:r>
      <w:r w:rsidR="00471761" w:rsidRPr="0087455D">
        <w:rPr>
          <w:rFonts w:ascii="Arial" w:hAnsi="Arial" w:cs="Arial"/>
          <w:sz w:val="20"/>
          <w:szCs w:val="20"/>
          <w:lang w:val="en-ZA"/>
        </w:rPr>
        <w:tab/>
      </w:r>
      <w:r w:rsidR="00471761" w:rsidRPr="0087455D">
        <w:rPr>
          <w:rFonts w:ascii="Arial" w:hAnsi="Arial" w:cs="Arial"/>
          <w:sz w:val="20"/>
          <w:szCs w:val="20"/>
          <w:lang w:val="en-ZA"/>
        </w:rPr>
        <w:tab/>
      </w:r>
      <w:r w:rsidR="007A5414" w:rsidRPr="0087455D">
        <w:rPr>
          <w:rFonts w:ascii="Arial" w:hAnsi="Arial" w:cs="Arial"/>
          <w:sz w:val="20"/>
          <w:szCs w:val="20"/>
          <w:lang w:val="en-ZA"/>
        </w:rPr>
        <w:tab/>
      </w:r>
      <w:r w:rsidR="00DC54F3" w:rsidRPr="0087455D">
        <w:rPr>
          <w:rFonts w:ascii="Arial" w:hAnsi="Arial" w:cs="Arial"/>
          <w:sz w:val="20"/>
          <w:szCs w:val="20"/>
          <w:lang w:val="en-ZA"/>
        </w:rPr>
        <w:t xml:space="preserve">administration that enables Members of Parliament to fulfil their constitutional </w:t>
      </w:r>
      <w:r w:rsidR="00471761" w:rsidRPr="0087455D">
        <w:rPr>
          <w:rFonts w:ascii="Arial" w:hAnsi="Arial" w:cs="Arial"/>
          <w:sz w:val="20"/>
          <w:szCs w:val="20"/>
          <w:lang w:val="en-ZA"/>
        </w:rPr>
        <w:tab/>
      </w:r>
      <w:r w:rsidR="00471761" w:rsidRPr="0087455D">
        <w:rPr>
          <w:rFonts w:ascii="Arial" w:hAnsi="Arial" w:cs="Arial"/>
          <w:sz w:val="20"/>
          <w:szCs w:val="20"/>
          <w:lang w:val="en-ZA"/>
        </w:rPr>
        <w:tab/>
      </w:r>
      <w:r w:rsidR="007A5414" w:rsidRPr="0087455D">
        <w:rPr>
          <w:rFonts w:ascii="Arial" w:hAnsi="Arial" w:cs="Arial"/>
          <w:sz w:val="20"/>
          <w:szCs w:val="20"/>
          <w:lang w:val="en-ZA"/>
        </w:rPr>
        <w:tab/>
      </w:r>
      <w:r w:rsidR="00471761" w:rsidRPr="0087455D">
        <w:rPr>
          <w:rFonts w:ascii="Arial" w:hAnsi="Arial" w:cs="Arial"/>
          <w:sz w:val="20"/>
          <w:szCs w:val="20"/>
          <w:lang w:val="en-ZA"/>
        </w:rPr>
        <w:t>responsibilities</w:t>
      </w:r>
      <w:r w:rsidR="00DC54F3" w:rsidRPr="0087455D">
        <w:rPr>
          <w:rFonts w:ascii="Arial" w:hAnsi="Arial" w:cs="Arial"/>
          <w:sz w:val="20"/>
          <w:szCs w:val="20"/>
          <w:lang w:val="en-ZA"/>
        </w:rPr>
        <w:t>.</w:t>
      </w:r>
    </w:p>
    <w:p w:rsidR="006E0123" w:rsidRPr="0087455D" w:rsidRDefault="006E0123" w:rsidP="0087455D">
      <w:pPr>
        <w:spacing w:after="0" w:line="240" w:lineRule="auto"/>
        <w:rPr>
          <w:rFonts w:ascii="Arial" w:hAnsi="Arial" w:cs="Arial"/>
          <w:sz w:val="20"/>
          <w:szCs w:val="20"/>
          <w:lang w:val="en-ZA"/>
        </w:rPr>
      </w:pPr>
    </w:p>
    <w:p w:rsidR="003D0948" w:rsidRPr="0087455D" w:rsidRDefault="003D0948" w:rsidP="0087455D">
      <w:pPr>
        <w:spacing w:after="0" w:line="240" w:lineRule="auto"/>
        <w:rPr>
          <w:rFonts w:ascii="Arial" w:hAnsi="Arial" w:cs="Arial"/>
          <w:b/>
          <w:sz w:val="20"/>
          <w:szCs w:val="20"/>
          <w:lang w:val="en-ZA"/>
        </w:rPr>
      </w:pPr>
      <w:r w:rsidRPr="0087455D">
        <w:rPr>
          <w:rFonts w:ascii="Arial" w:hAnsi="Arial" w:cs="Arial"/>
          <w:b/>
          <w:sz w:val="20"/>
          <w:szCs w:val="20"/>
          <w:lang w:val="en-ZA"/>
        </w:rPr>
        <w:t>2.3</w:t>
      </w:r>
      <w:r w:rsidRPr="0087455D">
        <w:rPr>
          <w:rFonts w:ascii="Arial" w:hAnsi="Arial" w:cs="Arial"/>
          <w:b/>
          <w:sz w:val="20"/>
          <w:szCs w:val="20"/>
          <w:lang w:val="en-ZA"/>
        </w:rPr>
        <w:tab/>
        <w:t>Strategic Priorities: 2019-2024</w:t>
      </w:r>
    </w:p>
    <w:p w:rsidR="003D0948" w:rsidRPr="0087455D" w:rsidRDefault="003D0948"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2.3.1</w:t>
      </w:r>
      <w:r w:rsidRPr="0087455D">
        <w:rPr>
          <w:rFonts w:ascii="Arial" w:hAnsi="Arial" w:cs="Arial"/>
          <w:sz w:val="20"/>
          <w:szCs w:val="20"/>
          <w:lang w:val="en-ZA"/>
        </w:rPr>
        <w:tab/>
        <w:t>Having taken into account</w:t>
      </w:r>
      <w:r w:rsidR="003D57DE" w:rsidRPr="0087455D">
        <w:rPr>
          <w:rFonts w:ascii="Arial" w:hAnsi="Arial" w:cs="Arial"/>
          <w:sz w:val="20"/>
          <w:szCs w:val="20"/>
          <w:lang w:val="en-ZA"/>
        </w:rPr>
        <w:t xml:space="preserve"> Parliament’s budgetary constraints in the face of</w:t>
      </w:r>
      <w:r w:rsidRPr="0087455D">
        <w:rPr>
          <w:rFonts w:ascii="Arial" w:hAnsi="Arial" w:cs="Arial"/>
          <w:sz w:val="20"/>
          <w:szCs w:val="20"/>
          <w:lang w:val="en-ZA"/>
        </w:rPr>
        <w:t xml:space="preserve"> South Africa’s poor economic performance and the low growth forecast, </w:t>
      </w:r>
      <w:r w:rsidR="003D57DE" w:rsidRPr="0087455D">
        <w:rPr>
          <w:rFonts w:ascii="Arial" w:hAnsi="Arial" w:cs="Arial"/>
          <w:sz w:val="20"/>
          <w:szCs w:val="20"/>
          <w:lang w:val="en-ZA"/>
        </w:rPr>
        <w:t>Parliament identified</w:t>
      </w:r>
      <w:r w:rsidRPr="0087455D">
        <w:rPr>
          <w:rFonts w:ascii="Arial" w:hAnsi="Arial" w:cs="Arial"/>
          <w:sz w:val="20"/>
          <w:szCs w:val="20"/>
          <w:lang w:val="en-ZA"/>
        </w:rPr>
        <w:t xml:space="preserve"> only two strategic priorities</w:t>
      </w:r>
      <w:r w:rsidR="003D57DE" w:rsidRPr="0087455D">
        <w:rPr>
          <w:rFonts w:ascii="Arial" w:hAnsi="Arial" w:cs="Arial"/>
          <w:sz w:val="20"/>
          <w:szCs w:val="20"/>
          <w:lang w:val="en-ZA"/>
        </w:rPr>
        <w:t xml:space="preserve"> </w:t>
      </w:r>
      <w:r w:rsidR="003D57DE" w:rsidRPr="0087455D">
        <w:rPr>
          <w:rFonts w:ascii="Arial" w:hAnsi="Arial" w:cs="Arial"/>
          <w:sz w:val="20"/>
          <w:szCs w:val="20"/>
          <w:lang w:val="en-ZA"/>
        </w:rPr>
        <w:lastRenderedPageBreak/>
        <w:t xml:space="preserve">for the Sixth </w:t>
      </w:r>
      <w:r w:rsidR="008C3E43" w:rsidRPr="0087455D">
        <w:rPr>
          <w:rFonts w:ascii="Arial" w:hAnsi="Arial" w:cs="Arial"/>
          <w:sz w:val="20"/>
          <w:szCs w:val="20"/>
          <w:lang w:val="en-ZA"/>
        </w:rPr>
        <w:t>Parliament</w:t>
      </w:r>
      <w:r w:rsidRPr="0087455D">
        <w:rPr>
          <w:rFonts w:ascii="Arial" w:hAnsi="Arial" w:cs="Arial"/>
          <w:sz w:val="20"/>
          <w:szCs w:val="20"/>
          <w:lang w:val="en-ZA"/>
        </w:rPr>
        <w:t>: to strengthen oversight; and to enhance public involvement in Parliament’s activities.</w:t>
      </w:r>
    </w:p>
    <w:p w:rsidR="003D0948" w:rsidRPr="0087455D" w:rsidRDefault="003D57DE" w:rsidP="0087455D">
      <w:pPr>
        <w:spacing w:after="0" w:line="240" w:lineRule="auto"/>
        <w:rPr>
          <w:rFonts w:ascii="Arial" w:hAnsi="Arial" w:cs="Arial"/>
          <w:sz w:val="20"/>
          <w:szCs w:val="20"/>
          <w:lang w:val="en-ZA"/>
        </w:rPr>
      </w:pPr>
      <w:r w:rsidRPr="0087455D">
        <w:rPr>
          <w:rFonts w:ascii="Arial" w:hAnsi="Arial" w:cs="Arial"/>
          <w:sz w:val="20"/>
          <w:szCs w:val="20"/>
          <w:lang w:val="en-ZA"/>
        </w:rPr>
        <w:t>2.3</w:t>
      </w:r>
      <w:r w:rsidR="003D0948" w:rsidRPr="0087455D">
        <w:rPr>
          <w:rFonts w:ascii="Arial" w:hAnsi="Arial" w:cs="Arial"/>
          <w:sz w:val="20"/>
          <w:szCs w:val="20"/>
          <w:lang w:val="en-ZA"/>
        </w:rPr>
        <w:t>.2</w:t>
      </w:r>
      <w:r w:rsidR="003D0948" w:rsidRPr="0087455D">
        <w:rPr>
          <w:rFonts w:ascii="Arial" w:hAnsi="Arial" w:cs="Arial"/>
          <w:sz w:val="20"/>
          <w:szCs w:val="20"/>
          <w:lang w:val="en-ZA"/>
        </w:rPr>
        <w:tab/>
        <w:t>In order to achieve the above outcome, the Sixth Parliament will:</w:t>
      </w:r>
    </w:p>
    <w:p w:rsidR="003D0948" w:rsidRPr="0087455D" w:rsidRDefault="003D0948" w:rsidP="0087455D">
      <w:pPr>
        <w:spacing w:after="0" w:line="240" w:lineRule="auto"/>
        <w:ind w:left="144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r>
      <w:r w:rsidRPr="0087455D">
        <w:rPr>
          <w:rFonts w:ascii="Arial" w:hAnsi="Arial" w:cs="Arial"/>
          <w:i/>
          <w:sz w:val="20"/>
          <w:szCs w:val="20"/>
          <w:lang w:val="en-ZA"/>
        </w:rPr>
        <w:t>improve committee oversight work</w:t>
      </w:r>
      <w:r w:rsidRPr="0087455D">
        <w:rPr>
          <w:rFonts w:ascii="Arial" w:hAnsi="Arial" w:cs="Arial"/>
          <w:sz w:val="20"/>
          <w:szCs w:val="20"/>
          <w:lang w:val="en-ZA"/>
        </w:rPr>
        <w:t xml:space="preserve"> in relation to the budget cycle in particular, through allowing more time in the parliamentary programme for oversight activities and encouraging committees to undertake joint oversight activities</w:t>
      </w:r>
      <w:r w:rsidR="00B26C00" w:rsidRPr="0087455D">
        <w:rPr>
          <w:rFonts w:ascii="Arial" w:hAnsi="Arial" w:cs="Arial"/>
          <w:sz w:val="20"/>
          <w:szCs w:val="20"/>
          <w:lang w:val="en-ZA"/>
        </w:rPr>
        <w:t>;</w:t>
      </w:r>
      <w:r w:rsidRPr="0087455D">
        <w:rPr>
          <w:rFonts w:ascii="Arial" w:hAnsi="Arial" w:cs="Arial"/>
          <w:sz w:val="20"/>
          <w:szCs w:val="20"/>
          <w:lang w:val="en-ZA"/>
        </w:rPr>
        <w:t xml:space="preserve"> and</w:t>
      </w:r>
    </w:p>
    <w:p w:rsidR="003D0948" w:rsidRPr="0087455D" w:rsidRDefault="003D0948" w:rsidP="0087455D">
      <w:pPr>
        <w:spacing w:after="0" w:line="240" w:lineRule="auto"/>
        <w:ind w:left="144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r>
      <w:r w:rsidRPr="0087455D">
        <w:rPr>
          <w:rFonts w:ascii="Arial" w:hAnsi="Arial" w:cs="Arial"/>
          <w:i/>
          <w:sz w:val="20"/>
          <w:szCs w:val="20"/>
          <w:lang w:val="en-ZA"/>
        </w:rPr>
        <w:t>improving the effectiveness of public hearings</w:t>
      </w:r>
      <w:r w:rsidRPr="0087455D">
        <w:rPr>
          <w:rFonts w:ascii="Arial" w:hAnsi="Arial" w:cs="Arial"/>
          <w:sz w:val="20"/>
          <w:szCs w:val="20"/>
          <w:lang w:val="en-ZA"/>
        </w:rPr>
        <w:t xml:space="preserve"> through greater public participation by expanding public education, better dissemination of information, effective use of broadcasting, technology and social media, the use of more official languages, and encouraging committees to undertake joint public hearings.</w:t>
      </w:r>
    </w:p>
    <w:p w:rsidR="003D0948" w:rsidRPr="0087455D" w:rsidRDefault="003D57DE" w:rsidP="0087455D">
      <w:pPr>
        <w:spacing w:after="0" w:line="240" w:lineRule="auto"/>
        <w:rPr>
          <w:rFonts w:ascii="Arial" w:hAnsi="Arial" w:cs="Arial"/>
          <w:sz w:val="20"/>
          <w:szCs w:val="20"/>
          <w:lang w:val="en-ZA"/>
        </w:rPr>
      </w:pPr>
      <w:r w:rsidRPr="0087455D">
        <w:rPr>
          <w:rFonts w:ascii="Arial" w:hAnsi="Arial" w:cs="Arial"/>
          <w:sz w:val="20"/>
          <w:szCs w:val="20"/>
          <w:lang w:val="en-ZA"/>
        </w:rPr>
        <w:t>2.3</w:t>
      </w:r>
      <w:r w:rsidR="003D0948" w:rsidRPr="0087455D">
        <w:rPr>
          <w:rFonts w:ascii="Arial" w:hAnsi="Arial" w:cs="Arial"/>
          <w:sz w:val="20"/>
          <w:szCs w:val="20"/>
          <w:lang w:val="en-ZA"/>
        </w:rPr>
        <w:t>.3</w:t>
      </w:r>
      <w:r w:rsidR="003D0948" w:rsidRPr="0087455D">
        <w:rPr>
          <w:rFonts w:ascii="Arial" w:hAnsi="Arial" w:cs="Arial"/>
          <w:sz w:val="20"/>
          <w:szCs w:val="20"/>
          <w:lang w:val="en-ZA"/>
        </w:rPr>
        <w:tab/>
        <w:t>To aid the above activities, the institution will:</w:t>
      </w:r>
    </w:p>
    <w:p w:rsidR="003D0948" w:rsidRPr="0087455D" w:rsidRDefault="003D0948" w:rsidP="0087455D">
      <w:pPr>
        <w:spacing w:after="0" w:line="240" w:lineRule="auto"/>
        <w:ind w:firstLine="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enhance research and legal support in respect of oversight activities;</w:t>
      </w:r>
    </w:p>
    <w:p w:rsidR="003D0948" w:rsidRPr="0087455D" w:rsidRDefault="003D0948" w:rsidP="0087455D">
      <w:pPr>
        <w:spacing w:after="0" w:line="240" w:lineRule="auto"/>
        <w:ind w:left="144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improve members’ capacity through capacity-building programmes that will empower parliamentarians to be effective and efficient in executing their oversight responsibilities;</w:t>
      </w:r>
    </w:p>
    <w:p w:rsidR="003D0948" w:rsidRPr="0087455D" w:rsidRDefault="003D0948" w:rsidP="0087455D">
      <w:pPr>
        <w:spacing w:after="0" w:line="240" w:lineRule="auto"/>
        <w:ind w:left="144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improve oversight and accountability through better monitoring, tracking and evaluation in respect of Parliament’s own work, as well as the work of the Executive;</w:t>
      </w:r>
    </w:p>
    <w:p w:rsidR="003D0948" w:rsidRPr="0087455D" w:rsidRDefault="003D0948" w:rsidP="0087455D">
      <w:pPr>
        <w:spacing w:after="0" w:line="240" w:lineRule="auto"/>
        <w:ind w:left="144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ensure openness and accessibility through the use of modern technology in respect of social media, tools-of-trade, workflows and automation; and</w:t>
      </w:r>
    </w:p>
    <w:p w:rsidR="003D0948" w:rsidRPr="0087455D" w:rsidRDefault="003D0948" w:rsidP="0087455D">
      <w:pPr>
        <w:spacing w:after="0" w:line="240" w:lineRule="auto"/>
        <w:ind w:firstLine="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cut costs to allow for operational sustainability.</w:t>
      </w:r>
    </w:p>
    <w:p w:rsidR="007A5414" w:rsidRPr="0087455D" w:rsidRDefault="007A5414" w:rsidP="0087455D">
      <w:pPr>
        <w:spacing w:after="0" w:line="240" w:lineRule="auto"/>
        <w:rPr>
          <w:rFonts w:ascii="Arial" w:hAnsi="Arial" w:cs="Arial"/>
          <w:sz w:val="20"/>
          <w:szCs w:val="20"/>
          <w:lang w:val="en-ZA"/>
        </w:rPr>
      </w:pP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3.</w:t>
      </w:r>
      <w:r w:rsidRPr="0087455D">
        <w:rPr>
          <w:rFonts w:ascii="Arial" w:hAnsi="Arial" w:cs="Arial"/>
          <w:b/>
          <w:sz w:val="20"/>
          <w:szCs w:val="20"/>
          <w:lang w:val="en-ZA"/>
        </w:rPr>
        <w:tab/>
        <w:t>Financial performance</w:t>
      </w: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3.1</w:t>
      </w:r>
      <w:r w:rsidRPr="0087455D">
        <w:rPr>
          <w:rFonts w:ascii="Arial" w:hAnsi="Arial" w:cs="Arial"/>
          <w:b/>
          <w:sz w:val="20"/>
          <w:szCs w:val="20"/>
          <w:lang w:val="en-ZA"/>
        </w:rPr>
        <w:tab/>
        <w:t>Overview</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3.1.1</w:t>
      </w:r>
      <w:r w:rsidRPr="0087455D">
        <w:rPr>
          <w:rFonts w:ascii="Arial" w:hAnsi="Arial" w:cs="Arial"/>
          <w:sz w:val="20"/>
          <w:szCs w:val="20"/>
          <w:lang w:val="en-ZA"/>
        </w:rPr>
        <w:tab/>
        <w:t xml:space="preserve">Parliament received an unqualified audit report with no material findings on performance information and compliance with laws and regulations. </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3.1.2</w:t>
      </w:r>
      <w:r w:rsidRPr="0087455D">
        <w:rPr>
          <w:rFonts w:ascii="Arial" w:hAnsi="Arial" w:cs="Arial"/>
          <w:sz w:val="20"/>
          <w:szCs w:val="20"/>
          <w:lang w:val="en-ZA"/>
        </w:rPr>
        <w:tab/>
        <w:t>In 202</w:t>
      </w:r>
      <w:r w:rsidR="00F121EE" w:rsidRPr="0087455D">
        <w:rPr>
          <w:rFonts w:ascii="Arial" w:hAnsi="Arial" w:cs="Arial"/>
          <w:sz w:val="20"/>
          <w:szCs w:val="20"/>
          <w:lang w:val="en-ZA"/>
        </w:rPr>
        <w:t>1/22</w:t>
      </w:r>
      <w:r w:rsidRPr="0087455D">
        <w:rPr>
          <w:rFonts w:ascii="Arial" w:hAnsi="Arial" w:cs="Arial"/>
          <w:sz w:val="20"/>
          <w:szCs w:val="20"/>
          <w:lang w:val="en-ZA"/>
        </w:rPr>
        <w:t xml:space="preserve"> Parliament received an appropriated budget amounting to </w:t>
      </w:r>
      <w:r w:rsidR="00F121EE" w:rsidRPr="0087455D">
        <w:rPr>
          <w:rFonts w:ascii="Arial" w:hAnsi="Arial" w:cs="Arial"/>
          <w:sz w:val="20"/>
          <w:szCs w:val="20"/>
          <w:lang w:val="en-ZA"/>
        </w:rPr>
        <w:t>R2,144 billion i.e.</w:t>
      </w:r>
      <w:r w:rsidRPr="0087455D">
        <w:rPr>
          <w:rFonts w:ascii="Arial" w:hAnsi="Arial" w:cs="Arial"/>
          <w:sz w:val="20"/>
          <w:szCs w:val="20"/>
        </w:rPr>
        <w:t xml:space="preserve"> </w:t>
      </w:r>
      <w:r w:rsidR="00F121EE" w:rsidRPr="0087455D">
        <w:rPr>
          <w:rFonts w:ascii="Arial" w:hAnsi="Arial" w:cs="Arial"/>
          <w:sz w:val="20"/>
          <w:szCs w:val="20"/>
          <w:lang w:val="en-ZA"/>
        </w:rPr>
        <w:t xml:space="preserve">R187,377 million </w:t>
      </w:r>
      <w:r w:rsidRPr="0087455D">
        <w:rPr>
          <w:rFonts w:ascii="Arial" w:hAnsi="Arial" w:cs="Arial"/>
          <w:sz w:val="20"/>
          <w:szCs w:val="20"/>
          <w:lang w:val="en-ZA"/>
        </w:rPr>
        <w:t xml:space="preserve">less than in the previous financial year. The statutory appropriation amounted to </w:t>
      </w:r>
      <w:r w:rsidR="00F121EE" w:rsidRPr="0087455D">
        <w:rPr>
          <w:rFonts w:ascii="Arial" w:hAnsi="Arial" w:cs="Arial"/>
          <w:sz w:val="20"/>
          <w:szCs w:val="20"/>
          <w:lang w:val="en-ZA"/>
        </w:rPr>
        <w:t>R471,710</w:t>
      </w:r>
      <w:r w:rsidRPr="0087455D">
        <w:rPr>
          <w:rFonts w:ascii="Arial" w:hAnsi="Arial" w:cs="Arial"/>
          <w:sz w:val="20"/>
          <w:szCs w:val="20"/>
          <w:lang w:val="en-ZA"/>
        </w:rPr>
        <w:t xml:space="preserve"> million, </w:t>
      </w:r>
      <w:r w:rsidR="00F121EE" w:rsidRPr="0087455D">
        <w:rPr>
          <w:rFonts w:ascii="Arial" w:hAnsi="Arial" w:cs="Arial"/>
          <w:sz w:val="20"/>
          <w:szCs w:val="20"/>
          <w:lang w:val="en-ZA"/>
        </w:rPr>
        <w:t xml:space="preserve">by R69,338 </w:t>
      </w:r>
      <w:r w:rsidRPr="0087455D">
        <w:rPr>
          <w:rFonts w:ascii="Arial" w:hAnsi="Arial" w:cs="Arial"/>
          <w:sz w:val="20"/>
          <w:szCs w:val="20"/>
          <w:lang w:val="en-ZA"/>
        </w:rPr>
        <w:t>million less than the previous year.</w:t>
      </w:r>
      <w:r w:rsidR="00F121EE" w:rsidRPr="0087455D">
        <w:rPr>
          <w:rFonts w:ascii="Arial" w:hAnsi="Arial" w:cs="Arial"/>
          <w:sz w:val="20"/>
          <w:szCs w:val="20"/>
          <w:lang w:val="en-ZA"/>
        </w:rPr>
        <w:t xml:space="preserve"> The overall reduction of the budget</w:t>
      </w:r>
      <w:r w:rsidR="008E5F2D" w:rsidRPr="0087455D">
        <w:rPr>
          <w:rFonts w:ascii="Arial" w:hAnsi="Arial" w:cs="Arial"/>
          <w:sz w:val="20"/>
          <w:szCs w:val="20"/>
          <w:lang w:val="en-ZA"/>
        </w:rPr>
        <w:t>,</w:t>
      </w:r>
      <w:r w:rsidR="00F121EE" w:rsidRPr="0087455D">
        <w:rPr>
          <w:rFonts w:ascii="Arial" w:hAnsi="Arial" w:cs="Arial"/>
          <w:sz w:val="20"/>
          <w:szCs w:val="20"/>
          <w:lang w:val="en-ZA"/>
        </w:rPr>
        <w:t xml:space="preserve"> therefore</w:t>
      </w:r>
      <w:r w:rsidR="008E5F2D" w:rsidRPr="0087455D">
        <w:rPr>
          <w:rFonts w:ascii="Arial" w:hAnsi="Arial" w:cs="Arial"/>
          <w:sz w:val="20"/>
          <w:szCs w:val="20"/>
          <w:lang w:val="en-ZA"/>
        </w:rPr>
        <w:t>,</w:t>
      </w:r>
      <w:r w:rsidR="00F121EE" w:rsidRPr="0087455D">
        <w:rPr>
          <w:rFonts w:ascii="Arial" w:hAnsi="Arial" w:cs="Arial"/>
          <w:sz w:val="20"/>
          <w:szCs w:val="20"/>
          <w:lang w:val="en-ZA"/>
        </w:rPr>
        <w:t xml:space="preserve"> amounted to R256,715 million.</w:t>
      </w:r>
    </w:p>
    <w:p w:rsidR="00B26C00" w:rsidRPr="0087455D" w:rsidRDefault="00B26C00" w:rsidP="0087455D">
      <w:pPr>
        <w:spacing w:after="0" w:line="240" w:lineRule="auto"/>
        <w:ind w:left="720" w:hanging="720"/>
        <w:rPr>
          <w:rFonts w:ascii="Arial" w:eastAsiaTheme="minorEastAsia" w:hAnsi="Arial" w:cs="Arial"/>
          <w:kern w:val="24"/>
          <w:sz w:val="20"/>
          <w:szCs w:val="20"/>
        </w:rPr>
      </w:pPr>
      <w:r w:rsidRPr="0087455D">
        <w:rPr>
          <w:rFonts w:ascii="Arial" w:hAnsi="Arial" w:cs="Arial"/>
          <w:sz w:val="20"/>
          <w:szCs w:val="20"/>
          <w:lang w:val="en-ZA"/>
        </w:rPr>
        <w:t>3.1.3</w:t>
      </w:r>
      <w:r w:rsidRPr="0087455D">
        <w:rPr>
          <w:rFonts w:ascii="Arial" w:hAnsi="Arial" w:cs="Arial"/>
          <w:sz w:val="20"/>
          <w:szCs w:val="20"/>
          <w:lang w:val="en-ZA"/>
        </w:rPr>
        <w:tab/>
      </w:r>
      <w:r w:rsidR="00F121EE" w:rsidRPr="0087455D">
        <w:rPr>
          <w:rFonts w:ascii="Arial" w:eastAsiaTheme="minorEastAsia" w:hAnsi="Arial" w:cs="Arial"/>
          <w:kern w:val="24"/>
          <w:sz w:val="20"/>
          <w:szCs w:val="20"/>
        </w:rPr>
        <w:t>In 2020/21</w:t>
      </w:r>
      <w:r w:rsidRPr="0087455D">
        <w:rPr>
          <w:rFonts w:ascii="Arial" w:eastAsiaTheme="minorEastAsia" w:hAnsi="Arial" w:cs="Arial"/>
          <w:kern w:val="24"/>
          <w:sz w:val="20"/>
          <w:szCs w:val="20"/>
        </w:rPr>
        <w:t xml:space="preserve"> Parliament received </w:t>
      </w:r>
      <w:r w:rsidR="00F121EE" w:rsidRPr="0087455D">
        <w:rPr>
          <w:rFonts w:ascii="Arial" w:eastAsiaTheme="minorEastAsia" w:hAnsi="Arial" w:cs="Arial"/>
          <w:kern w:val="24"/>
          <w:sz w:val="20"/>
          <w:szCs w:val="20"/>
        </w:rPr>
        <w:t>R26,</w:t>
      </w:r>
      <w:r w:rsidRPr="0087455D">
        <w:rPr>
          <w:rFonts w:ascii="Arial" w:eastAsiaTheme="minorEastAsia" w:hAnsi="Arial" w:cs="Arial"/>
          <w:kern w:val="24"/>
          <w:sz w:val="20"/>
          <w:szCs w:val="20"/>
        </w:rPr>
        <w:t>117 million in donor</w:t>
      </w:r>
      <w:r w:rsidR="008E5F2D" w:rsidRPr="0087455D">
        <w:rPr>
          <w:rFonts w:ascii="Arial" w:eastAsiaTheme="minorEastAsia" w:hAnsi="Arial" w:cs="Arial"/>
          <w:kern w:val="24"/>
          <w:sz w:val="20"/>
          <w:szCs w:val="20"/>
        </w:rPr>
        <w:t xml:space="preserve"> funds from the European Union for the purpose</w:t>
      </w:r>
      <w:r w:rsidRPr="0087455D">
        <w:rPr>
          <w:rFonts w:ascii="Arial" w:eastAsiaTheme="minorEastAsia" w:hAnsi="Arial" w:cs="Arial"/>
          <w:kern w:val="24"/>
          <w:sz w:val="20"/>
          <w:szCs w:val="20"/>
        </w:rPr>
        <w:t xml:space="preserve"> of strengthening public participation and representation, strengthening capacity in law making and oversight, building an efficient and effective legislative sector and to strengthen the sector's capacity to engage, participate in, and oversee international relations. The donation may not be used for any other business.</w:t>
      </w:r>
      <w:r w:rsidR="00F121EE" w:rsidRPr="0087455D">
        <w:rPr>
          <w:rFonts w:ascii="Arial" w:eastAsiaTheme="minorEastAsia" w:hAnsi="Arial" w:cs="Arial"/>
          <w:kern w:val="24"/>
          <w:sz w:val="20"/>
          <w:szCs w:val="20"/>
        </w:rPr>
        <w:t xml:space="preserve"> In 2021/22, however, no donor funds or public contributions were received. </w:t>
      </w:r>
    </w:p>
    <w:p w:rsidR="00B26C00" w:rsidRPr="0087455D" w:rsidRDefault="00F121EE"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3.1.4</w:t>
      </w:r>
      <w:r w:rsidRPr="0087455D">
        <w:rPr>
          <w:rFonts w:ascii="Arial" w:hAnsi="Arial" w:cs="Arial"/>
          <w:sz w:val="20"/>
          <w:szCs w:val="20"/>
          <w:lang w:val="en-ZA"/>
        </w:rPr>
        <w:tab/>
        <w:t>Parliament</w:t>
      </w:r>
      <w:r w:rsidR="00B26C00" w:rsidRPr="0087455D">
        <w:rPr>
          <w:rFonts w:ascii="Arial" w:hAnsi="Arial" w:cs="Arial"/>
          <w:sz w:val="20"/>
          <w:szCs w:val="20"/>
          <w:lang w:val="en-ZA"/>
        </w:rPr>
        <w:t xml:space="preserve"> generate</w:t>
      </w:r>
      <w:r w:rsidRPr="0087455D">
        <w:rPr>
          <w:rFonts w:ascii="Arial" w:hAnsi="Arial" w:cs="Arial"/>
          <w:sz w:val="20"/>
          <w:szCs w:val="20"/>
          <w:lang w:val="en-ZA"/>
        </w:rPr>
        <w:t>d</w:t>
      </w:r>
      <w:r w:rsidR="00B26C00" w:rsidRPr="0087455D">
        <w:rPr>
          <w:rFonts w:ascii="Arial" w:hAnsi="Arial" w:cs="Arial"/>
          <w:sz w:val="20"/>
          <w:szCs w:val="20"/>
          <w:lang w:val="en-ZA"/>
        </w:rPr>
        <w:t xml:space="preserve"> revenue</w:t>
      </w:r>
      <w:r w:rsidRPr="0087455D">
        <w:rPr>
          <w:rFonts w:ascii="Arial" w:hAnsi="Arial" w:cs="Arial"/>
          <w:sz w:val="20"/>
          <w:szCs w:val="20"/>
          <w:lang w:val="en-ZA"/>
        </w:rPr>
        <w:t xml:space="preserve"> to the amount of R4,787 million, an increase of R2,466 million on the previous year’s revenue. The increase is ascribed to increased demand for catering services following the easing of the national lockdown re</w:t>
      </w:r>
      <w:r w:rsidR="008E5F2D" w:rsidRPr="0087455D">
        <w:rPr>
          <w:rFonts w:ascii="Arial" w:hAnsi="Arial" w:cs="Arial"/>
          <w:sz w:val="20"/>
          <w:szCs w:val="20"/>
          <w:lang w:val="en-ZA"/>
        </w:rPr>
        <w:t xml:space="preserve">strictions which resulted in </w:t>
      </w:r>
      <w:r w:rsidRPr="0087455D">
        <w:rPr>
          <w:rFonts w:ascii="Arial" w:hAnsi="Arial" w:cs="Arial"/>
          <w:sz w:val="20"/>
          <w:szCs w:val="20"/>
          <w:lang w:val="en-ZA"/>
        </w:rPr>
        <w:t xml:space="preserve">more physical committee meetings, and more employees and departmental officials working from the precinct. </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3.1.5</w:t>
      </w:r>
      <w:r w:rsidRPr="0087455D">
        <w:rPr>
          <w:rFonts w:ascii="Arial" w:hAnsi="Arial" w:cs="Arial"/>
          <w:sz w:val="20"/>
          <w:szCs w:val="20"/>
          <w:lang w:val="en-ZA"/>
        </w:rPr>
        <w:tab/>
      </w:r>
      <w:r w:rsidR="00622850" w:rsidRPr="0087455D">
        <w:rPr>
          <w:rFonts w:ascii="Arial" w:hAnsi="Arial" w:cs="Arial"/>
          <w:sz w:val="20"/>
          <w:szCs w:val="20"/>
          <w:lang w:val="en-ZA"/>
        </w:rPr>
        <w:t>The institution’s interest income increased from R13, 906 million in 2020/2</w:t>
      </w:r>
      <w:r w:rsidR="005E09CA" w:rsidRPr="0087455D">
        <w:rPr>
          <w:rFonts w:ascii="Arial" w:hAnsi="Arial" w:cs="Arial"/>
          <w:sz w:val="20"/>
          <w:szCs w:val="20"/>
          <w:lang w:val="en-ZA"/>
        </w:rPr>
        <w:t>02</w:t>
      </w:r>
      <w:r w:rsidR="00622850" w:rsidRPr="0087455D">
        <w:rPr>
          <w:rFonts w:ascii="Arial" w:hAnsi="Arial" w:cs="Arial"/>
          <w:sz w:val="20"/>
          <w:szCs w:val="20"/>
          <w:lang w:val="en-ZA"/>
        </w:rPr>
        <w:t>1 to R15,311 million in 2021/</w:t>
      </w:r>
      <w:r w:rsidR="008E5F2D" w:rsidRPr="0087455D">
        <w:rPr>
          <w:rFonts w:ascii="Arial" w:hAnsi="Arial" w:cs="Arial"/>
          <w:sz w:val="20"/>
          <w:szCs w:val="20"/>
          <w:lang w:val="en-ZA"/>
        </w:rPr>
        <w:t xml:space="preserve">22. The increase was due to an </w:t>
      </w:r>
      <w:r w:rsidR="00622850" w:rsidRPr="0087455D">
        <w:rPr>
          <w:rFonts w:ascii="Arial" w:hAnsi="Arial" w:cs="Arial"/>
          <w:sz w:val="20"/>
          <w:szCs w:val="20"/>
          <w:lang w:val="en-ZA"/>
        </w:rPr>
        <w:t>increase in the institution’s bank balances as a result of more monies than in the previous year being invested.</w:t>
      </w:r>
    </w:p>
    <w:p w:rsidR="00C64E40" w:rsidRPr="0087455D" w:rsidRDefault="00C64E40" w:rsidP="0087455D">
      <w:pPr>
        <w:spacing w:after="0" w:line="240" w:lineRule="auto"/>
        <w:rPr>
          <w:rFonts w:ascii="Arial" w:hAnsi="Arial" w:cs="Arial"/>
          <w:b/>
          <w:sz w:val="20"/>
          <w:szCs w:val="20"/>
          <w:lang w:val="en-ZA"/>
        </w:rPr>
      </w:pPr>
      <w:r w:rsidRPr="0087455D">
        <w:rPr>
          <w:rFonts w:ascii="Arial" w:hAnsi="Arial" w:cs="Arial"/>
          <w:b/>
          <w:sz w:val="20"/>
          <w:szCs w:val="20"/>
          <w:lang w:val="en-ZA"/>
        </w:rPr>
        <w:t>3.2</w:t>
      </w:r>
      <w:r w:rsidRPr="0087455D">
        <w:rPr>
          <w:rFonts w:ascii="Arial" w:hAnsi="Arial" w:cs="Arial"/>
          <w:b/>
          <w:sz w:val="20"/>
          <w:szCs w:val="20"/>
          <w:lang w:val="en-ZA"/>
        </w:rPr>
        <w:tab/>
        <w:t>Budget vs Expenditure</w:t>
      </w:r>
    </w:p>
    <w:p w:rsidR="00673B87" w:rsidRPr="0087455D" w:rsidRDefault="00C64E40" w:rsidP="0087455D">
      <w:pPr>
        <w:spacing w:after="0" w:line="240" w:lineRule="auto"/>
        <w:ind w:left="720" w:hanging="720"/>
        <w:rPr>
          <w:rFonts w:ascii="Arial" w:hAnsi="Arial" w:cs="Arial"/>
          <w:sz w:val="20"/>
          <w:szCs w:val="20"/>
          <w:lang w:val="en-ZA"/>
        </w:rPr>
      </w:pPr>
      <w:r w:rsidRPr="0087455D">
        <w:rPr>
          <w:rFonts w:ascii="Arial" w:eastAsia="Times New Roman" w:hAnsi="Arial" w:cs="Arial"/>
          <w:sz w:val="20"/>
          <w:szCs w:val="20"/>
          <w:lang w:val="en-ZA" w:eastAsia="en-ZA"/>
        </w:rPr>
        <w:t>3.2.1</w:t>
      </w:r>
      <w:r w:rsidRPr="0087455D">
        <w:rPr>
          <w:rFonts w:ascii="Arial" w:eastAsia="Times New Roman" w:hAnsi="Arial" w:cs="Arial"/>
          <w:sz w:val="20"/>
          <w:szCs w:val="20"/>
          <w:lang w:val="en-ZA" w:eastAsia="en-ZA"/>
        </w:rPr>
        <w:tab/>
      </w:r>
      <w:r w:rsidR="008763C6" w:rsidRPr="0087455D">
        <w:rPr>
          <w:rFonts w:ascii="Arial" w:hAnsi="Arial" w:cs="Arial"/>
          <w:sz w:val="20"/>
          <w:szCs w:val="20"/>
          <w:lang w:val="en-ZA"/>
        </w:rPr>
        <w:t>Table 1</w:t>
      </w:r>
      <w:r w:rsidRPr="0087455D">
        <w:rPr>
          <w:rFonts w:ascii="Arial" w:hAnsi="Arial" w:cs="Arial"/>
          <w:sz w:val="20"/>
          <w:szCs w:val="20"/>
          <w:lang w:val="en-ZA"/>
        </w:rPr>
        <w:t xml:space="preserve"> below illustrates the institution’s budget versus its actual expenditure. The variances are clarified in paragraphs </w:t>
      </w:r>
      <w:r w:rsidR="00587F59" w:rsidRPr="0087455D">
        <w:rPr>
          <w:rFonts w:ascii="Arial" w:hAnsi="Arial" w:cs="Arial"/>
          <w:sz w:val="20"/>
          <w:szCs w:val="20"/>
          <w:lang w:val="en-ZA"/>
        </w:rPr>
        <w:t>3.2.2</w:t>
      </w:r>
      <w:r w:rsidR="005318EB" w:rsidRPr="0087455D">
        <w:rPr>
          <w:rFonts w:ascii="Arial" w:hAnsi="Arial" w:cs="Arial"/>
          <w:sz w:val="20"/>
          <w:szCs w:val="20"/>
          <w:lang w:val="en-ZA"/>
        </w:rPr>
        <w:t xml:space="preserve"> to 3.2.6</w:t>
      </w:r>
      <w:r w:rsidRPr="0087455D">
        <w:rPr>
          <w:rFonts w:ascii="Arial" w:hAnsi="Arial" w:cs="Arial"/>
          <w:sz w:val="20"/>
          <w:szCs w:val="20"/>
          <w:lang w:val="en-ZA"/>
        </w:rPr>
        <w:t xml:space="preserve"> below.</w:t>
      </w:r>
    </w:p>
    <w:p w:rsidR="005E09CA" w:rsidRPr="0087455D" w:rsidRDefault="005E09CA" w:rsidP="0087455D">
      <w:pPr>
        <w:spacing w:after="0" w:line="240" w:lineRule="auto"/>
        <w:ind w:left="720" w:hanging="720"/>
        <w:rPr>
          <w:rFonts w:ascii="Arial" w:hAnsi="Arial" w:cs="Arial"/>
          <w:sz w:val="20"/>
          <w:szCs w:val="20"/>
          <w:lang w:val="en-ZA"/>
        </w:rPr>
      </w:pPr>
    </w:p>
    <w:tbl>
      <w:tblPr>
        <w:tblW w:w="8473" w:type="dxa"/>
        <w:tblInd w:w="576" w:type="dxa"/>
        <w:tblCellMar>
          <w:left w:w="0" w:type="dxa"/>
          <w:right w:w="0" w:type="dxa"/>
        </w:tblCellMar>
        <w:tblLook w:val="0420"/>
      </w:tblPr>
      <w:tblGrid>
        <w:gridCol w:w="2441"/>
        <w:gridCol w:w="1418"/>
        <w:gridCol w:w="1804"/>
        <w:gridCol w:w="1454"/>
        <w:gridCol w:w="1356"/>
      </w:tblGrid>
      <w:tr w:rsidR="00E77D9A" w:rsidRPr="0087455D" w:rsidTr="00E77D9A">
        <w:trPr>
          <w:trHeight w:val="759"/>
        </w:trPr>
        <w:tc>
          <w:tcPr>
            <w:tcW w:w="2493" w:type="dxa"/>
            <w:tcBorders>
              <w:top w:val="single" w:sz="8" w:space="0" w:color="FFFFFF"/>
              <w:left w:val="single" w:sz="8" w:space="0" w:color="FFFFFF"/>
              <w:bottom w:val="single" w:sz="24"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val="en-ZA" w:eastAsia="en-ZA"/>
              </w:rPr>
              <w:t>Line Item</w:t>
            </w:r>
          </w:p>
        </w:tc>
        <w:tc>
          <w:tcPr>
            <w:tcW w:w="1444" w:type="dxa"/>
            <w:tcBorders>
              <w:top w:val="single" w:sz="8" w:space="0" w:color="FFFFFF"/>
              <w:left w:val="single" w:sz="8" w:space="0" w:color="FFFFFF"/>
              <w:bottom w:val="single" w:sz="24"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val="en-ZA" w:eastAsia="en-ZA"/>
              </w:rPr>
              <w:t>Final Budget</w:t>
            </w:r>
          </w:p>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val="en-ZA" w:eastAsia="en-ZA"/>
              </w:rPr>
              <w:t>R‘000</w:t>
            </w:r>
          </w:p>
        </w:tc>
        <w:tc>
          <w:tcPr>
            <w:tcW w:w="1843" w:type="dxa"/>
            <w:tcBorders>
              <w:top w:val="single" w:sz="8" w:space="0" w:color="FFFFFF"/>
              <w:left w:val="single" w:sz="8" w:space="0" w:color="FFFFFF"/>
              <w:bottom w:val="single" w:sz="24"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val="en-ZA" w:eastAsia="en-ZA"/>
              </w:rPr>
              <w:t>Actual Amounts</w:t>
            </w:r>
          </w:p>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val="en-ZA" w:eastAsia="en-ZA"/>
              </w:rPr>
              <w:t>R‘000</w:t>
            </w:r>
          </w:p>
        </w:tc>
        <w:tc>
          <w:tcPr>
            <w:tcW w:w="1472" w:type="dxa"/>
            <w:tcBorders>
              <w:top w:val="single" w:sz="8" w:space="0" w:color="FFFFFF"/>
              <w:left w:val="single" w:sz="8" w:space="0" w:color="FFFFFF"/>
              <w:bottom w:val="single" w:sz="24"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val="en-ZA" w:eastAsia="en-ZA"/>
              </w:rPr>
              <w:t>Variance in Amounts</w:t>
            </w:r>
          </w:p>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val="en-ZA" w:eastAsia="en-ZA"/>
              </w:rPr>
              <w:t>R’000</w:t>
            </w:r>
          </w:p>
        </w:tc>
        <w:tc>
          <w:tcPr>
            <w:tcW w:w="1221" w:type="dxa"/>
            <w:tcBorders>
              <w:top w:val="single" w:sz="8" w:space="0" w:color="FFFFFF"/>
              <w:left w:val="single" w:sz="8" w:space="0" w:color="FFFFFF"/>
              <w:bottom w:val="single" w:sz="24"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val="en-ZA" w:eastAsia="en-ZA"/>
              </w:rPr>
              <w:t>Variance in percentage</w:t>
            </w:r>
          </w:p>
        </w:tc>
      </w:tr>
      <w:tr w:rsidR="00E77D9A" w:rsidRPr="0087455D" w:rsidTr="00E77D9A">
        <w:trPr>
          <w:trHeight w:val="222"/>
        </w:trPr>
        <w:tc>
          <w:tcPr>
            <w:tcW w:w="2493" w:type="dxa"/>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Compensation of employees</w:t>
            </w:r>
          </w:p>
        </w:tc>
        <w:tc>
          <w:tcPr>
            <w:tcW w:w="1444"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1 235 240</w:t>
            </w:r>
          </w:p>
        </w:tc>
        <w:tc>
          <w:tcPr>
            <w:tcW w:w="1843"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heme="minorEastAsia" w:hAnsi="Arial" w:cs="Arial"/>
                <w:kern w:val="24"/>
                <w:sz w:val="20"/>
                <w:szCs w:val="20"/>
                <w:lang w:val="en-ZA" w:eastAsia="en-ZA"/>
              </w:rPr>
              <w:t>1 151 775</w:t>
            </w:r>
          </w:p>
        </w:tc>
        <w:tc>
          <w:tcPr>
            <w:tcW w:w="1472" w:type="dxa"/>
            <w:tcBorders>
              <w:top w:val="single" w:sz="24"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heme="minorEastAsia" w:hAnsi="Arial" w:cs="Arial"/>
                <w:kern w:val="24"/>
                <w:sz w:val="20"/>
                <w:szCs w:val="20"/>
                <w:lang w:val="en-ZA" w:eastAsia="en-ZA"/>
              </w:rPr>
              <w:t>83 465</w:t>
            </w:r>
          </w:p>
        </w:tc>
        <w:tc>
          <w:tcPr>
            <w:tcW w:w="1221" w:type="dxa"/>
            <w:tcBorders>
              <w:top w:val="single" w:sz="24"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6,75%</w:t>
            </w:r>
          </w:p>
        </w:tc>
      </w:tr>
      <w:tr w:rsidR="00E77D9A" w:rsidRPr="0087455D" w:rsidTr="00E77D9A">
        <w:trPr>
          <w:trHeight w:val="112"/>
        </w:trPr>
        <w:tc>
          <w:tcPr>
            <w:tcW w:w="2493"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Compensation of Members</w:t>
            </w:r>
          </w:p>
        </w:tc>
        <w:tc>
          <w:tcPr>
            <w:tcW w:w="14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471 710</w:t>
            </w:r>
          </w:p>
        </w:tc>
        <w:tc>
          <w:tcPr>
            <w:tcW w:w="18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501 880</w:t>
            </w:r>
          </w:p>
        </w:tc>
        <w:tc>
          <w:tcPr>
            <w:tcW w:w="147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-30 170</w:t>
            </w:r>
          </w:p>
        </w:tc>
        <w:tc>
          <w:tcPr>
            <w:tcW w:w="122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-6,39%</w:t>
            </w:r>
          </w:p>
        </w:tc>
      </w:tr>
      <w:tr w:rsidR="00E77D9A" w:rsidRPr="0087455D" w:rsidTr="00E77D9A">
        <w:trPr>
          <w:trHeight w:val="287"/>
        </w:trPr>
        <w:tc>
          <w:tcPr>
            <w:tcW w:w="2493"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Goods and services</w:t>
            </w:r>
          </w:p>
        </w:tc>
        <w:tc>
          <w:tcPr>
            <w:tcW w:w="14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399 178</w:t>
            </w:r>
          </w:p>
        </w:tc>
        <w:tc>
          <w:tcPr>
            <w:tcW w:w="18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heme="minorEastAsia" w:hAnsi="Arial" w:cs="Arial"/>
                <w:kern w:val="24"/>
                <w:sz w:val="20"/>
                <w:szCs w:val="20"/>
                <w:lang w:val="en-ZA" w:eastAsia="en-ZA"/>
              </w:rPr>
              <w:t>312 677</w:t>
            </w:r>
          </w:p>
        </w:tc>
        <w:tc>
          <w:tcPr>
            <w:tcW w:w="147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heme="minorEastAsia" w:hAnsi="Arial" w:cs="Arial"/>
                <w:kern w:val="24"/>
                <w:sz w:val="20"/>
                <w:szCs w:val="20"/>
                <w:lang w:val="en-ZA" w:eastAsia="en-ZA"/>
              </w:rPr>
              <w:t>86 501</w:t>
            </w:r>
          </w:p>
        </w:tc>
        <w:tc>
          <w:tcPr>
            <w:tcW w:w="122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21,67%</w:t>
            </w:r>
          </w:p>
        </w:tc>
      </w:tr>
      <w:tr w:rsidR="00E77D9A" w:rsidRPr="0087455D" w:rsidTr="00E77D9A">
        <w:trPr>
          <w:trHeight w:val="19"/>
        </w:trPr>
        <w:tc>
          <w:tcPr>
            <w:tcW w:w="2493"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 xml:space="preserve">Transfer to non-profit organisations </w:t>
            </w:r>
          </w:p>
        </w:tc>
        <w:tc>
          <w:tcPr>
            <w:tcW w:w="14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513 031</w:t>
            </w:r>
          </w:p>
        </w:tc>
        <w:tc>
          <w:tcPr>
            <w:tcW w:w="18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heme="minorEastAsia" w:hAnsi="Arial" w:cs="Arial"/>
                <w:kern w:val="24"/>
                <w:sz w:val="20"/>
                <w:szCs w:val="20"/>
                <w:lang w:val="en-ZA" w:eastAsia="en-ZA"/>
              </w:rPr>
              <w:t>516 819</w:t>
            </w:r>
          </w:p>
        </w:tc>
        <w:tc>
          <w:tcPr>
            <w:tcW w:w="147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-3 788</w:t>
            </w:r>
          </w:p>
        </w:tc>
        <w:tc>
          <w:tcPr>
            <w:tcW w:w="122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-0,74%</w:t>
            </w:r>
          </w:p>
        </w:tc>
      </w:tr>
      <w:tr w:rsidR="00E77D9A" w:rsidRPr="0087455D" w:rsidTr="00E77D9A">
        <w:trPr>
          <w:trHeight w:val="237"/>
        </w:trPr>
        <w:tc>
          <w:tcPr>
            <w:tcW w:w="2493"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Acquisition of Property, plant and equipment</w:t>
            </w:r>
          </w:p>
        </w:tc>
        <w:tc>
          <w:tcPr>
            <w:tcW w:w="144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val="en-ZA" w:eastAsia="en-ZA"/>
              </w:rPr>
              <w:t>37 551</w:t>
            </w:r>
          </w:p>
        </w:tc>
        <w:tc>
          <w:tcPr>
            <w:tcW w:w="184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21 871</w:t>
            </w:r>
          </w:p>
        </w:tc>
        <w:tc>
          <w:tcPr>
            <w:tcW w:w="147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15 680</w:t>
            </w:r>
          </w:p>
        </w:tc>
        <w:tc>
          <w:tcPr>
            <w:tcW w:w="1221"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41,75%</w:t>
            </w:r>
          </w:p>
        </w:tc>
      </w:tr>
      <w:tr w:rsidR="00E77D9A" w:rsidRPr="0087455D" w:rsidTr="00E77D9A">
        <w:trPr>
          <w:trHeight w:val="25"/>
        </w:trPr>
        <w:tc>
          <w:tcPr>
            <w:tcW w:w="2493"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textAlignment w:val="bottom"/>
              <w:rPr>
                <w:rFonts w:ascii="Arial" w:eastAsia="Times New Roman" w:hAnsi="Arial" w:cs="Arial"/>
                <w:sz w:val="20"/>
                <w:szCs w:val="20"/>
                <w:lang w:val="en-ZA" w:eastAsia="en-ZA"/>
              </w:rPr>
            </w:pPr>
            <w:r w:rsidRPr="0087455D">
              <w:rPr>
                <w:rFonts w:ascii="Arial" w:eastAsiaTheme="minorEastAsia" w:hAnsi="Arial" w:cs="Arial"/>
                <w:b/>
                <w:bCs/>
                <w:kern w:val="24"/>
                <w:sz w:val="20"/>
                <w:szCs w:val="20"/>
                <w:lang w:val="en-ZA" w:eastAsia="en-ZA"/>
              </w:rPr>
              <w:t>Total</w:t>
            </w:r>
          </w:p>
        </w:tc>
        <w:tc>
          <w:tcPr>
            <w:tcW w:w="144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textAlignment w:val="bottom"/>
              <w:rPr>
                <w:rFonts w:ascii="Arial" w:eastAsia="Times New Roman" w:hAnsi="Arial" w:cs="Arial"/>
                <w:sz w:val="20"/>
                <w:szCs w:val="20"/>
                <w:lang w:val="en-ZA" w:eastAsia="en-ZA"/>
              </w:rPr>
            </w:pPr>
            <w:r w:rsidRPr="0087455D">
              <w:rPr>
                <w:rFonts w:ascii="Arial" w:eastAsiaTheme="minorEastAsia" w:hAnsi="Arial" w:cs="Arial"/>
                <w:b/>
                <w:bCs/>
                <w:kern w:val="24"/>
                <w:sz w:val="20"/>
                <w:szCs w:val="20"/>
                <w:lang w:val="en-ZA" w:eastAsia="en-ZA"/>
              </w:rPr>
              <w:t>2 656 710</w:t>
            </w:r>
          </w:p>
        </w:tc>
        <w:tc>
          <w:tcPr>
            <w:tcW w:w="1843"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eastAsia="en-ZA"/>
              </w:rPr>
              <w:t>2 505 022</w:t>
            </w:r>
          </w:p>
        </w:tc>
        <w:tc>
          <w:tcPr>
            <w:tcW w:w="1472"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b/>
                <w:bCs/>
                <w:kern w:val="24"/>
                <w:sz w:val="20"/>
                <w:szCs w:val="20"/>
                <w:lang w:eastAsia="en-ZA"/>
              </w:rPr>
              <w:t>151 688</w:t>
            </w:r>
          </w:p>
        </w:tc>
        <w:tc>
          <w:tcPr>
            <w:tcW w:w="1221"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hideMark/>
          </w:tcPr>
          <w:p w:rsidR="005E09CA" w:rsidRPr="0087455D" w:rsidRDefault="005E09CA" w:rsidP="0087455D">
            <w:pPr>
              <w:spacing w:after="0" w:line="240" w:lineRule="auto"/>
              <w:rPr>
                <w:rFonts w:ascii="Arial" w:eastAsia="Times New Roman" w:hAnsi="Arial" w:cs="Arial"/>
                <w:sz w:val="20"/>
                <w:szCs w:val="20"/>
                <w:lang w:val="en-ZA" w:eastAsia="en-ZA"/>
              </w:rPr>
            </w:pPr>
            <w:r w:rsidRPr="0087455D">
              <w:rPr>
                <w:rFonts w:ascii="Arial" w:eastAsia="Times New Roman" w:hAnsi="Arial" w:cs="Arial"/>
                <w:kern w:val="24"/>
                <w:sz w:val="20"/>
                <w:szCs w:val="20"/>
                <w:lang w:eastAsia="en-ZA"/>
              </w:rPr>
              <w:t>5,71%</w:t>
            </w:r>
          </w:p>
        </w:tc>
      </w:tr>
    </w:tbl>
    <w:p w:rsidR="008763C6" w:rsidRPr="0087455D" w:rsidRDefault="005318EB" w:rsidP="0087455D">
      <w:pPr>
        <w:spacing w:after="0" w:line="240" w:lineRule="auto"/>
        <w:ind w:left="720"/>
        <w:rPr>
          <w:rFonts w:ascii="Arial" w:hAnsi="Arial" w:cs="Arial"/>
          <w:b/>
          <w:sz w:val="20"/>
          <w:szCs w:val="20"/>
          <w:lang w:val="en-ZA"/>
        </w:rPr>
      </w:pPr>
      <w:r w:rsidRPr="0087455D">
        <w:rPr>
          <w:rFonts w:ascii="Arial" w:hAnsi="Arial" w:cs="Arial"/>
          <w:b/>
          <w:sz w:val="20"/>
          <w:szCs w:val="20"/>
          <w:lang w:val="en-ZA"/>
        </w:rPr>
        <w:t xml:space="preserve">Table 1: Budget vs Expenditure </w:t>
      </w:r>
      <w:r w:rsidR="00DC54F3" w:rsidRPr="0087455D">
        <w:rPr>
          <w:rFonts w:ascii="Arial" w:hAnsi="Arial" w:cs="Arial"/>
          <w:b/>
          <w:sz w:val="20"/>
          <w:szCs w:val="20"/>
          <w:lang w:val="en-ZA"/>
        </w:rPr>
        <w:t>(Source: Parliament of the Re</w:t>
      </w:r>
      <w:r w:rsidR="00C64E40" w:rsidRPr="0087455D">
        <w:rPr>
          <w:rFonts w:ascii="Arial" w:hAnsi="Arial" w:cs="Arial"/>
          <w:b/>
          <w:sz w:val="20"/>
          <w:szCs w:val="20"/>
          <w:lang w:val="en-ZA"/>
        </w:rPr>
        <w:t xml:space="preserve">public of South Africa presentation to the </w:t>
      </w:r>
      <w:r w:rsidR="005E09CA" w:rsidRPr="0087455D">
        <w:rPr>
          <w:rFonts w:ascii="Arial" w:hAnsi="Arial" w:cs="Arial"/>
          <w:b/>
          <w:sz w:val="20"/>
          <w:szCs w:val="20"/>
          <w:lang w:val="en-ZA"/>
        </w:rPr>
        <w:t>JSCFMP, 2022</w:t>
      </w:r>
      <w:r w:rsidR="00DC54F3" w:rsidRPr="0087455D">
        <w:rPr>
          <w:rFonts w:ascii="Arial" w:hAnsi="Arial" w:cs="Arial"/>
          <w:b/>
          <w:sz w:val="20"/>
          <w:szCs w:val="20"/>
          <w:lang w:val="en-ZA"/>
        </w:rPr>
        <w:t>)</w:t>
      </w:r>
    </w:p>
    <w:p w:rsidR="004579A5" w:rsidRPr="0087455D" w:rsidRDefault="004579A5" w:rsidP="0087455D">
      <w:pPr>
        <w:spacing w:after="0" w:line="240" w:lineRule="auto"/>
        <w:rPr>
          <w:rFonts w:ascii="Arial" w:hAnsi="Arial" w:cs="Arial"/>
          <w:sz w:val="20"/>
          <w:szCs w:val="20"/>
          <w:lang w:val="en-ZA"/>
        </w:rPr>
      </w:pPr>
    </w:p>
    <w:p w:rsidR="00B26C00" w:rsidRPr="0087455D" w:rsidRDefault="00BE109E" w:rsidP="0087455D">
      <w:pPr>
        <w:spacing w:after="0" w:line="240" w:lineRule="auto"/>
        <w:rPr>
          <w:rFonts w:ascii="Arial" w:hAnsi="Arial" w:cs="Arial"/>
          <w:i/>
          <w:sz w:val="20"/>
          <w:szCs w:val="20"/>
          <w:lang w:val="en-ZA"/>
        </w:rPr>
      </w:pPr>
      <w:r w:rsidRPr="0087455D">
        <w:rPr>
          <w:rFonts w:ascii="Arial" w:hAnsi="Arial" w:cs="Arial"/>
          <w:sz w:val="20"/>
          <w:szCs w:val="20"/>
          <w:lang w:val="en-ZA"/>
        </w:rPr>
        <w:tab/>
      </w:r>
      <w:r w:rsidR="00B26C00" w:rsidRPr="0087455D">
        <w:rPr>
          <w:rFonts w:ascii="Arial" w:hAnsi="Arial" w:cs="Arial"/>
          <w:i/>
          <w:sz w:val="20"/>
          <w:szCs w:val="20"/>
          <w:lang w:val="en-ZA"/>
        </w:rPr>
        <w:t>Compensation of employees</w:t>
      </w:r>
    </w:p>
    <w:p w:rsidR="00B26C00" w:rsidRPr="0087455D" w:rsidRDefault="004229E4"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3.2.2</w:t>
      </w:r>
      <w:r w:rsidRPr="0087455D">
        <w:rPr>
          <w:rFonts w:ascii="Arial" w:hAnsi="Arial" w:cs="Arial"/>
          <w:sz w:val="20"/>
          <w:szCs w:val="20"/>
          <w:lang w:val="en-ZA"/>
        </w:rPr>
        <w:tab/>
        <w:t>The 6,75</w:t>
      </w:r>
      <w:r w:rsidR="00B26C00" w:rsidRPr="0087455D">
        <w:rPr>
          <w:rFonts w:ascii="Arial" w:hAnsi="Arial" w:cs="Arial"/>
          <w:sz w:val="20"/>
          <w:szCs w:val="20"/>
          <w:lang w:val="en-ZA"/>
        </w:rPr>
        <w:t xml:space="preserve"> per cent underspending on compensation of employees is ascribed to terminations during the year, and delays i</w:t>
      </w:r>
      <w:r w:rsidRPr="0087455D">
        <w:rPr>
          <w:rFonts w:ascii="Arial" w:hAnsi="Arial" w:cs="Arial"/>
          <w:sz w:val="20"/>
          <w:szCs w:val="20"/>
          <w:lang w:val="en-ZA"/>
        </w:rPr>
        <w:t>n filling critical vacant positi</w:t>
      </w:r>
      <w:r w:rsidR="00B26C00" w:rsidRPr="0087455D">
        <w:rPr>
          <w:rFonts w:ascii="Arial" w:hAnsi="Arial" w:cs="Arial"/>
          <w:sz w:val="20"/>
          <w:szCs w:val="20"/>
          <w:lang w:val="en-ZA"/>
        </w:rPr>
        <w:t>ons</w:t>
      </w:r>
      <w:r w:rsidRPr="0087455D">
        <w:rPr>
          <w:rFonts w:ascii="Arial" w:hAnsi="Arial" w:cs="Arial"/>
          <w:sz w:val="20"/>
          <w:szCs w:val="20"/>
          <w:lang w:val="en-ZA"/>
        </w:rPr>
        <w:t xml:space="preserve">. In terms of section 23(1) of the FMPPLA, Parliament is not required to return to the National Revenue </w:t>
      </w:r>
      <w:r w:rsidR="005970AF" w:rsidRPr="0087455D">
        <w:rPr>
          <w:rFonts w:ascii="Arial" w:hAnsi="Arial" w:cs="Arial"/>
          <w:sz w:val="20"/>
          <w:szCs w:val="20"/>
          <w:lang w:val="en-ZA"/>
        </w:rPr>
        <w:t>(NRF)</w:t>
      </w:r>
      <w:r w:rsidRPr="0087455D">
        <w:rPr>
          <w:rFonts w:ascii="Arial" w:hAnsi="Arial" w:cs="Arial"/>
          <w:sz w:val="20"/>
          <w:szCs w:val="20"/>
          <w:lang w:val="en-ZA"/>
        </w:rPr>
        <w:t xml:space="preserve"> any monies contemplated in section 16 (2(b)(i) appropriated for a particular financial year but not spent in that year. The unspent 6,75 per cent will therefore become part of the retained earnings and will be available for spending in 2022/23. </w:t>
      </w:r>
    </w:p>
    <w:p w:rsidR="00B26C00" w:rsidRPr="0087455D" w:rsidRDefault="00B26C00" w:rsidP="0087455D">
      <w:pPr>
        <w:spacing w:after="0" w:line="240" w:lineRule="auto"/>
        <w:rPr>
          <w:rFonts w:ascii="Arial" w:hAnsi="Arial" w:cs="Arial"/>
          <w:i/>
          <w:sz w:val="20"/>
          <w:szCs w:val="20"/>
          <w:lang w:val="en-ZA"/>
        </w:rPr>
      </w:pPr>
    </w:p>
    <w:p w:rsidR="00B26C00" w:rsidRPr="0087455D" w:rsidRDefault="00B26C00" w:rsidP="0087455D">
      <w:pPr>
        <w:spacing w:after="0" w:line="240" w:lineRule="auto"/>
        <w:ind w:firstLine="720"/>
        <w:rPr>
          <w:rFonts w:ascii="Arial" w:hAnsi="Arial" w:cs="Arial"/>
          <w:sz w:val="20"/>
          <w:szCs w:val="20"/>
          <w:lang w:val="en-ZA"/>
        </w:rPr>
      </w:pPr>
      <w:r w:rsidRPr="0087455D">
        <w:rPr>
          <w:rFonts w:ascii="Arial" w:hAnsi="Arial" w:cs="Arial"/>
          <w:i/>
          <w:sz w:val="20"/>
          <w:szCs w:val="20"/>
          <w:lang w:val="en-ZA"/>
        </w:rPr>
        <w:t>Compensation of members</w:t>
      </w:r>
    </w:p>
    <w:p w:rsidR="00B26C00" w:rsidRPr="0087455D" w:rsidRDefault="00215BA4"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3.2.3</w:t>
      </w:r>
      <w:r w:rsidRPr="0087455D">
        <w:rPr>
          <w:rFonts w:ascii="Arial" w:hAnsi="Arial" w:cs="Arial"/>
          <w:sz w:val="20"/>
          <w:szCs w:val="20"/>
          <w:lang w:val="en-ZA"/>
        </w:rPr>
        <w:tab/>
        <w:t xml:space="preserve">The 6,39 per cent overspend on compensation of members </w:t>
      </w:r>
      <w:r w:rsidR="00B26C00" w:rsidRPr="0087455D">
        <w:rPr>
          <w:rFonts w:ascii="Arial" w:hAnsi="Arial" w:cs="Arial"/>
          <w:sz w:val="20"/>
          <w:szCs w:val="20"/>
          <w:lang w:val="en-ZA"/>
        </w:rPr>
        <w:t>is</w:t>
      </w:r>
      <w:r w:rsidRPr="0087455D">
        <w:rPr>
          <w:rFonts w:ascii="Arial" w:hAnsi="Arial" w:cs="Arial"/>
          <w:sz w:val="20"/>
          <w:szCs w:val="20"/>
          <w:lang w:val="en-ZA"/>
        </w:rPr>
        <w:t xml:space="preserve"> ascribed to the payment of loss of office and exit gratuities to retired/resigned/deceased members, over and above the payment of the salaries and benefits to Members of Parliament. In addition, the National Treasury reduced the initial allocation for Direct Charges by R69, 338 million. Parliament claimed the overspent amount from the NRF and</w:t>
      </w:r>
      <w:r w:rsidR="008E5F2D" w:rsidRPr="0087455D">
        <w:rPr>
          <w:rFonts w:ascii="Arial" w:hAnsi="Arial" w:cs="Arial"/>
          <w:sz w:val="20"/>
          <w:szCs w:val="20"/>
          <w:lang w:val="en-ZA"/>
        </w:rPr>
        <w:t>,</w:t>
      </w:r>
      <w:r w:rsidRPr="0087455D">
        <w:rPr>
          <w:rFonts w:ascii="Arial" w:hAnsi="Arial" w:cs="Arial"/>
          <w:sz w:val="20"/>
          <w:szCs w:val="20"/>
          <w:lang w:val="en-ZA"/>
        </w:rPr>
        <w:t xml:space="preserve"> at the time of reporting</w:t>
      </w:r>
      <w:r w:rsidR="008E5F2D" w:rsidRPr="0087455D">
        <w:rPr>
          <w:rFonts w:ascii="Arial" w:hAnsi="Arial" w:cs="Arial"/>
          <w:sz w:val="20"/>
          <w:szCs w:val="20"/>
          <w:lang w:val="en-ZA"/>
        </w:rPr>
        <w:t>,</w:t>
      </w:r>
      <w:r w:rsidRPr="0087455D">
        <w:rPr>
          <w:rFonts w:ascii="Arial" w:hAnsi="Arial" w:cs="Arial"/>
          <w:sz w:val="20"/>
          <w:szCs w:val="20"/>
          <w:lang w:val="en-ZA"/>
        </w:rPr>
        <w:t xml:space="preserve"> was awaiting the refund. </w:t>
      </w:r>
    </w:p>
    <w:p w:rsidR="00997339" w:rsidRPr="0087455D" w:rsidRDefault="00997339" w:rsidP="0087455D">
      <w:pPr>
        <w:spacing w:after="0" w:line="240" w:lineRule="auto"/>
        <w:rPr>
          <w:rFonts w:ascii="Arial" w:hAnsi="Arial" w:cs="Arial"/>
          <w:i/>
          <w:sz w:val="20"/>
          <w:szCs w:val="20"/>
          <w:lang w:val="en-ZA"/>
        </w:rPr>
      </w:pPr>
    </w:p>
    <w:p w:rsidR="00B26C00" w:rsidRPr="0087455D" w:rsidRDefault="00B26C00" w:rsidP="0087455D">
      <w:pPr>
        <w:spacing w:after="0" w:line="240" w:lineRule="auto"/>
        <w:rPr>
          <w:rFonts w:ascii="Arial" w:hAnsi="Arial" w:cs="Arial"/>
          <w:i/>
          <w:sz w:val="20"/>
          <w:szCs w:val="20"/>
          <w:lang w:val="en-ZA"/>
        </w:rPr>
      </w:pPr>
      <w:r w:rsidRPr="0087455D">
        <w:rPr>
          <w:rFonts w:ascii="Arial" w:hAnsi="Arial" w:cs="Arial"/>
          <w:i/>
          <w:sz w:val="20"/>
          <w:szCs w:val="20"/>
          <w:lang w:val="en-ZA"/>
        </w:rPr>
        <w:tab/>
        <w:t>Goods and services</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3.2.4</w:t>
      </w:r>
      <w:r w:rsidRPr="0087455D">
        <w:rPr>
          <w:rFonts w:ascii="Arial" w:hAnsi="Arial" w:cs="Arial"/>
          <w:sz w:val="20"/>
          <w:szCs w:val="20"/>
          <w:lang w:val="en-ZA"/>
        </w:rPr>
        <w:tab/>
      </w:r>
      <w:r w:rsidR="00070C3C" w:rsidRPr="0087455D">
        <w:rPr>
          <w:rFonts w:ascii="Arial" w:hAnsi="Arial" w:cs="Arial"/>
          <w:sz w:val="20"/>
          <w:szCs w:val="20"/>
          <w:lang w:val="en-ZA"/>
        </w:rPr>
        <w:t>The 21,67</w:t>
      </w:r>
      <w:r w:rsidR="008E5F2D" w:rsidRPr="0087455D">
        <w:rPr>
          <w:rFonts w:ascii="Arial" w:hAnsi="Arial" w:cs="Arial"/>
          <w:sz w:val="20"/>
          <w:szCs w:val="20"/>
          <w:lang w:val="en-ZA"/>
        </w:rPr>
        <w:t xml:space="preserve"> per cent underspent</w:t>
      </w:r>
      <w:r w:rsidRPr="0087455D">
        <w:rPr>
          <w:rFonts w:ascii="Arial" w:hAnsi="Arial" w:cs="Arial"/>
          <w:sz w:val="20"/>
          <w:szCs w:val="20"/>
          <w:lang w:val="en-ZA"/>
        </w:rPr>
        <w:t xml:space="preserve"> on Goods and Services is ascribed to </w:t>
      </w:r>
      <w:r w:rsidR="00070C3C" w:rsidRPr="0087455D">
        <w:rPr>
          <w:rFonts w:ascii="Arial" w:hAnsi="Arial" w:cs="Arial"/>
          <w:sz w:val="20"/>
          <w:szCs w:val="20"/>
          <w:lang w:val="en-ZA"/>
        </w:rPr>
        <w:t xml:space="preserve">planned physical meetings that had to be held virtually or in a hybrid fashion. </w:t>
      </w:r>
      <w:r w:rsidRPr="0087455D">
        <w:rPr>
          <w:rFonts w:ascii="Arial" w:hAnsi="Arial" w:cs="Arial"/>
          <w:sz w:val="20"/>
          <w:szCs w:val="20"/>
          <w:lang w:val="en-ZA"/>
        </w:rPr>
        <w:t>T</w:t>
      </w:r>
      <w:r w:rsidR="00070C3C" w:rsidRPr="0087455D">
        <w:rPr>
          <w:rFonts w:ascii="Arial" w:hAnsi="Arial" w:cs="Arial"/>
          <w:sz w:val="20"/>
          <w:szCs w:val="20"/>
          <w:lang w:val="en-ZA"/>
        </w:rPr>
        <w:t>he monies not spent was made available for spending 2022/23</w:t>
      </w:r>
      <w:r w:rsidRPr="0087455D">
        <w:rPr>
          <w:rFonts w:ascii="Arial" w:hAnsi="Arial" w:cs="Arial"/>
          <w:sz w:val="20"/>
          <w:szCs w:val="20"/>
          <w:lang w:val="en-ZA"/>
        </w:rPr>
        <w:t>.</w:t>
      </w:r>
    </w:p>
    <w:p w:rsidR="00B26C00" w:rsidRPr="0087455D" w:rsidRDefault="00B26C00" w:rsidP="0087455D">
      <w:pPr>
        <w:spacing w:after="0" w:line="240" w:lineRule="auto"/>
        <w:ind w:left="720" w:hanging="720"/>
        <w:rPr>
          <w:rFonts w:ascii="Arial" w:hAnsi="Arial" w:cs="Arial"/>
          <w:sz w:val="20"/>
          <w:szCs w:val="20"/>
          <w:lang w:val="en-ZA"/>
        </w:rPr>
      </w:pPr>
    </w:p>
    <w:p w:rsidR="00B26C00" w:rsidRPr="0087455D" w:rsidRDefault="00B26C00" w:rsidP="0087455D">
      <w:pPr>
        <w:spacing w:after="0" w:line="240" w:lineRule="auto"/>
        <w:rPr>
          <w:rFonts w:ascii="Arial" w:hAnsi="Arial" w:cs="Arial"/>
          <w:i/>
          <w:sz w:val="20"/>
          <w:szCs w:val="20"/>
          <w:lang w:val="en-ZA"/>
        </w:rPr>
      </w:pPr>
      <w:r w:rsidRPr="0087455D">
        <w:rPr>
          <w:rFonts w:ascii="Arial" w:hAnsi="Arial" w:cs="Arial"/>
          <w:sz w:val="20"/>
          <w:szCs w:val="20"/>
          <w:lang w:val="en-ZA"/>
        </w:rPr>
        <w:tab/>
      </w:r>
      <w:r w:rsidRPr="0087455D">
        <w:rPr>
          <w:rFonts w:ascii="Arial" w:hAnsi="Arial" w:cs="Arial"/>
          <w:i/>
          <w:sz w:val="20"/>
          <w:szCs w:val="20"/>
          <w:lang w:val="en-ZA"/>
        </w:rPr>
        <w:t>Transfers to non-profit organisations</w:t>
      </w:r>
    </w:p>
    <w:p w:rsidR="00B26C00" w:rsidRPr="0087455D" w:rsidRDefault="00070C3C"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3.2.5</w:t>
      </w:r>
      <w:r w:rsidRPr="0087455D">
        <w:rPr>
          <w:rFonts w:ascii="Arial" w:hAnsi="Arial" w:cs="Arial"/>
          <w:sz w:val="20"/>
          <w:szCs w:val="20"/>
          <w:lang w:val="en-ZA"/>
        </w:rPr>
        <w:tab/>
        <w:t>The 0,74 per cent overspend was ascribed to monies queried in the previous year and which were therefore withheld from political parties in line with the</w:t>
      </w:r>
      <w:r w:rsidR="008E5F2D" w:rsidRPr="0087455D">
        <w:rPr>
          <w:rFonts w:ascii="Arial" w:hAnsi="Arial" w:cs="Arial"/>
          <w:sz w:val="20"/>
          <w:szCs w:val="20"/>
          <w:lang w:val="en-ZA"/>
        </w:rPr>
        <w:t xml:space="preserve"> applicable</w:t>
      </w:r>
      <w:r w:rsidRPr="0087455D">
        <w:rPr>
          <w:rFonts w:ascii="Arial" w:hAnsi="Arial" w:cs="Arial"/>
          <w:sz w:val="20"/>
          <w:szCs w:val="20"/>
          <w:lang w:val="en-ZA"/>
        </w:rPr>
        <w:t xml:space="preserve"> policy. Once the political parties had responded satisfactorily to the queries raised, the funds were transferred. Political parties have been encouraged to respond to queries timeously, and within t</w:t>
      </w:r>
      <w:r w:rsidR="006E5788" w:rsidRPr="0087455D">
        <w:rPr>
          <w:rFonts w:ascii="Arial" w:hAnsi="Arial" w:cs="Arial"/>
          <w:sz w:val="20"/>
          <w:szCs w:val="20"/>
          <w:lang w:val="en-ZA"/>
        </w:rPr>
        <w:t>he same year the</w:t>
      </w:r>
      <w:r w:rsidRPr="0087455D">
        <w:rPr>
          <w:rFonts w:ascii="Arial" w:hAnsi="Arial" w:cs="Arial"/>
          <w:sz w:val="20"/>
          <w:szCs w:val="20"/>
          <w:lang w:val="en-ZA"/>
        </w:rPr>
        <w:t xml:space="preserve"> query was raised.</w:t>
      </w:r>
    </w:p>
    <w:p w:rsidR="00B26C00" w:rsidRPr="0087455D" w:rsidRDefault="00B26C00" w:rsidP="0087455D">
      <w:pPr>
        <w:spacing w:after="0" w:line="240" w:lineRule="auto"/>
        <w:ind w:left="720" w:hanging="720"/>
        <w:rPr>
          <w:rFonts w:ascii="Arial" w:hAnsi="Arial" w:cs="Arial"/>
          <w:sz w:val="20"/>
          <w:szCs w:val="20"/>
          <w:lang w:val="en-ZA"/>
        </w:rPr>
      </w:pPr>
    </w:p>
    <w:p w:rsidR="00E05CE4" w:rsidRPr="0087455D" w:rsidRDefault="00E05CE4" w:rsidP="0087455D">
      <w:pPr>
        <w:spacing w:after="0" w:line="240" w:lineRule="auto"/>
        <w:ind w:left="720" w:hanging="720"/>
        <w:rPr>
          <w:rFonts w:ascii="Arial" w:hAnsi="Arial" w:cs="Arial"/>
          <w:sz w:val="20"/>
          <w:szCs w:val="20"/>
          <w:lang w:val="en-ZA"/>
        </w:rPr>
      </w:pPr>
    </w:p>
    <w:p w:rsidR="00E05CE4" w:rsidRPr="0087455D" w:rsidRDefault="00E05CE4" w:rsidP="0087455D">
      <w:pPr>
        <w:spacing w:after="0" w:line="240" w:lineRule="auto"/>
        <w:ind w:left="720" w:hanging="720"/>
        <w:rPr>
          <w:rFonts w:ascii="Arial" w:hAnsi="Arial" w:cs="Arial"/>
          <w:sz w:val="20"/>
          <w:szCs w:val="20"/>
          <w:lang w:val="en-ZA"/>
        </w:rPr>
      </w:pPr>
    </w:p>
    <w:p w:rsidR="00E05CE4" w:rsidRPr="0087455D" w:rsidRDefault="00E05CE4" w:rsidP="0087455D">
      <w:pPr>
        <w:spacing w:after="0" w:line="240" w:lineRule="auto"/>
        <w:ind w:left="720" w:hanging="720"/>
        <w:rPr>
          <w:rFonts w:ascii="Arial" w:hAnsi="Arial" w:cs="Arial"/>
          <w:sz w:val="20"/>
          <w:szCs w:val="20"/>
          <w:lang w:val="en-ZA"/>
        </w:rPr>
      </w:pPr>
    </w:p>
    <w:p w:rsidR="00B26C00" w:rsidRPr="0087455D" w:rsidRDefault="00B26C00" w:rsidP="0087455D">
      <w:pPr>
        <w:spacing w:after="0" w:line="240" w:lineRule="auto"/>
        <w:ind w:firstLine="720"/>
        <w:rPr>
          <w:rFonts w:ascii="Arial" w:hAnsi="Arial" w:cs="Arial"/>
          <w:i/>
          <w:sz w:val="20"/>
          <w:szCs w:val="20"/>
          <w:lang w:val="en-ZA"/>
        </w:rPr>
      </w:pPr>
      <w:r w:rsidRPr="0087455D">
        <w:rPr>
          <w:rFonts w:ascii="Arial" w:hAnsi="Arial" w:cs="Arial"/>
          <w:i/>
          <w:sz w:val="20"/>
          <w:szCs w:val="20"/>
          <w:lang w:val="en-ZA"/>
        </w:rPr>
        <w:t>Acquisition of property, plant and equipment, purchase of intangible and heritage assets</w:t>
      </w:r>
    </w:p>
    <w:p w:rsidR="00B26C00" w:rsidRPr="0087455D" w:rsidRDefault="006E5788"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3.2.6</w:t>
      </w:r>
      <w:r w:rsidRPr="0087455D">
        <w:rPr>
          <w:rFonts w:ascii="Arial" w:hAnsi="Arial" w:cs="Arial"/>
          <w:sz w:val="20"/>
          <w:szCs w:val="20"/>
          <w:lang w:val="en-ZA"/>
        </w:rPr>
        <w:tab/>
        <w:t>The 41,75</w:t>
      </w:r>
      <w:r w:rsidR="008E5F2D" w:rsidRPr="0087455D">
        <w:rPr>
          <w:rFonts w:ascii="Arial" w:hAnsi="Arial" w:cs="Arial"/>
          <w:sz w:val="20"/>
          <w:szCs w:val="20"/>
          <w:lang w:val="en-ZA"/>
        </w:rPr>
        <w:t xml:space="preserve"> per cent underspent </w:t>
      </w:r>
      <w:r w:rsidRPr="0087455D">
        <w:rPr>
          <w:rFonts w:ascii="Arial" w:hAnsi="Arial" w:cs="Arial"/>
          <w:sz w:val="20"/>
          <w:szCs w:val="20"/>
          <w:lang w:val="en-ZA"/>
        </w:rPr>
        <w:t xml:space="preserve">was due to assets delivered close to year-end only having been paid in the new financial year. </w:t>
      </w:r>
      <w:r w:rsidR="00B26C00" w:rsidRPr="0087455D">
        <w:rPr>
          <w:rFonts w:ascii="Arial" w:hAnsi="Arial" w:cs="Arial"/>
          <w:sz w:val="20"/>
          <w:szCs w:val="20"/>
          <w:lang w:val="en-ZA"/>
        </w:rPr>
        <w:t>The monies that were not spent will be used to make outstanding payments.</w:t>
      </w:r>
      <w:r w:rsidRPr="0087455D">
        <w:rPr>
          <w:rFonts w:ascii="Arial" w:hAnsi="Arial" w:cs="Arial"/>
          <w:sz w:val="20"/>
          <w:szCs w:val="20"/>
        </w:rPr>
        <w:t xml:space="preserve"> </w:t>
      </w:r>
      <w:r w:rsidRPr="0087455D">
        <w:rPr>
          <w:rFonts w:ascii="Arial" w:hAnsi="Arial" w:cs="Arial"/>
          <w:sz w:val="20"/>
          <w:szCs w:val="20"/>
          <w:lang w:val="en-ZA"/>
        </w:rPr>
        <w:t>The amount owed for these assets is accounted for as part of payables from exchange transactions and the underspending will be used to pay for them.</w:t>
      </w:r>
    </w:p>
    <w:p w:rsidR="004B6463" w:rsidRPr="0087455D" w:rsidRDefault="004B6463" w:rsidP="0087455D">
      <w:pPr>
        <w:spacing w:after="0" w:line="240" w:lineRule="auto"/>
        <w:rPr>
          <w:rFonts w:ascii="Arial" w:hAnsi="Arial" w:cs="Arial"/>
          <w:sz w:val="20"/>
          <w:szCs w:val="20"/>
          <w:lang w:val="en-ZA"/>
        </w:rPr>
      </w:pPr>
    </w:p>
    <w:p w:rsidR="0071600A"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3.3</w:t>
      </w:r>
      <w:r w:rsidRPr="0087455D">
        <w:rPr>
          <w:rFonts w:ascii="Arial" w:hAnsi="Arial" w:cs="Arial"/>
          <w:b/>
          <w:sz w:val="20"/>
          <w:szCs w:val="20"/>
          <w:lang w:val="en-ZA"/>
        </w:rPr>
        <w:tab/>
        <w:t>Financial position</w:t>
      </w:r>
    </w:p>
    <w:p w:rsidR="007D68B1" w:rsidRPr="0087455D" w:rsidRDefault="007D68B1" w:rsidP="0087455D">
      <w:pPr>
        <w:spacing w:after="0" w:line="240" w:lineRule="auto"/>
        <w:ind w:firstLine="720"/>
        <w:rPr>
          <w:rFonts w:ascii="Arial" w:hAnsi="Arial" w:cs="Arial"/>
          <w:b/>
          <w:sz w:val="20"/>
          <w:szCs w:val="20"/>
          <w:lang w:val="en-ZA"/>
        </w:rPr>
      </w:pPr>
      <w:r w:rsidRPr="0087455D">
        <w:rPr>
          <w:rFonts w:ascii="Arial" w:hAnsi="Arial" w:cs="Arial"/>
          <w:b/>
          <w:sz w:val="20"/>
          <w:szCs w:val="20"/>
          <w:lang w:val="en-ZA"/>
        </w:rPr>
        <w:t xml:space="preserve">Net liability </w:t>
      </w:r>
    </w:p>
    <w:p w:rsidR="005F4AC7" w:rsidRPr="0087455D" w:rsidRDefault="005F4AC7"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3.3.1</w:t>
      </w:r>
      <w:r w:rsidR="007D68B1" w:rsidRPr="0087455D">
        <w:rPr>
          <w:rFonts w:ascii="Arial" w:hAnsi="Arial" w:cs="Arial"/>
          <w:sz w:val="20"/>
          <w:szCs w:val="20"/>
          <w:lang w:val="en-ZA"/>
        </w:rPr>
        <w:tab/>
      </w:r>
      <w:r w:rsidR="0071600A" w:rsidRPr="0087455D">
        <w:rPr>
          <w:rFonts w:ascii="Arial" w:hAnsi="Arial" w:cs="Arial"/>
          <w:sz w:val="20"/>
          <w:szCs w:val="20"/>
          <w:lang w:val="en-ZA"/>
        </w:rPr>
        <w:t xml:space="preserve">Parliament reported a net liability amounting to R1,293,987 billion, due to the post retirement medical provision for former members of Parliament and provincial legislatures. </w:t>
      </w:r>
      <w:r w:rsidR="007D68B1" w:rsidRPr="0087455D">
        <w:rPr>
          <w:rFonts w:ascii="Arial" w:hAnsi="Arial" w:cs="Arial"/>
          <w:sz w:val="20"/>
          <w:szCs w:val="20"/>
          <w:lang w:val="en-ZA"/>
        </w:rPr>
        <w:t xml:space="preserve">In 1999 Parliament agreed that </w:t>
      </w:r>
      <w:r w:rsidR="0071600A" w:rsidRPr="0087455D">
        <w:rPr>
          <w:rFonts w:ascii="Arial" w:hAnsi="Arial" w:cs="Arial"/>
          <w:sz w:val="20"/>
          <w:szCs w:val="20"/>
          <w:lang w:val="en-ZA"/>
        </w:rPr>
        <w:t>the medic</w:t>
      </w:r>
      <w:r w:rsidR="007D68B1" w:rsidRPr="0087455D">
        <w:rPr>
          <w:rFonts w:ascii="Arial" w:hAnsi="Arial" w:cs="Arial"/>
          <w:sz w:val="20"/>
          <w:szCs w:val="20"/>
          <w:lang w:val="en-ZA"/>
        </w:rPr>
        <w:t>al aid contribution for former m</w:t>
      </w:r>
      <w:r w:rsidR="0071600A" w:rsidRPr="0087455D">
        <w:rPr>
          <w:rFonts w:ascii="Arial" w:hAnsi="Arial" w:cs="Arial"/>
          <w:sz w:val="20"/>
          <w:szCs w:val="20"/>
          <w:lang w:val="en-ZA"/>
        </w:rPr>
        <w:t>embers of Parlia</w:t>
      </w:r>
      <w:r w:rsidR="007D68B1" w:rsidRPr="0087455D">
        <w:rPr>
          <w:rFonts w:ascii="Arial" w:hAnsi="Arial" w:cs="Arial"/>
          <w:sz w:val="20"/>
          <w:szCs w:val="20"/>
          <w:lang w:val="en-ZA"/>
        </w:rPr>
        <w:t>ment and p</w:t>
      </w:r>
      <w:r w:rsidR="0071600A" w:rsidRPr="0087455D">
        <w:rPr>
          <w:rFonts w:ascii="Arial" w:hAnsi="Arial" w:cs="Arial"/>
          <w:sz w:val="20"/>
          <w:szCs w:val="20"/>
          <w:lang w:val="en-ZA"/>
        </w:rPr>
        <w:t>rovincial legislatures</w:t>
      </w:r>
      <w:r w:rsidR="007D68B1" w:rsidRPr="0087455D">
        <w:rPr>
          <w:rFonts w:ascii="Arial" w:hAnsi="Arial" w:cs="Arial"/>
          <w:sz w:val="20"/>
          <w:szCs w:val="20"/>
          <w:lang w:val="en-ZA"/>
        </w:rPr>
        <w:t xml:space="preserve"> would be</w:t>
      </w:r>
      <w:r w:rsidR="0071600A" w:rsidRPr="0087455D">
        <w:rPr>
          <w:rFonts w:ascii="Arial" w:hAnsi="Arial" w:cs="Arial"/>
          <w:sz w:val="20"/>
          <w:szCs w:val="20"/>
          <w:lang w:val="en-ZA"/>
        </w:rPr>
        <w:t xml:space="preserve"> paid by Parliament. </w:t>
      </w:r>
      <w:r w:rsidR="007D68B1" w:rsidRPr="0087455D">
        <w:rPr>
          <w:rFonts w:ascii="Arial" w:hAnsi="Arial" w:cs="Arial"/>
          <w:sz w:val="20"/>
          <w:szCs w:val="20"/>
          <w:lang w:val="en-ZA"/>
        </w:rPr>
        <w:t xml:space="preserve">By the end of period under review, 1 055 former members received this subsidy. </w:t>
      </w:r>
      <w:r w:rsidR="0071600A" w:rsidRPr="0087455D">
        <w:rPr>
          <w:rFonts w:ascii="Arial" w:hAnsi="Arial" w:cs="Arial"/>
          <w:sz w:val="20"/>
          <w:szCs w:val="20"/>
          <w:lang w:val="en-ZA"/>
        </w:rPr>
        <w:t>The actual con</w:t>
      </w:r>
      <w:r w:rsidR="007D68B1" w:rsidRPr="0087455D">
        <w:rPr>
          <w:rFonts w:ascii="Arial" w:hAnsi="Arial" w:cs="Arial"/>
          <w:sz w:val="20"/>
          <w:szCs w:val="20"/>
          <w:lang w:val="en-ZA"/>
        </w:rPr>
        <w:t>tribution made by Parliament was</w:t>
      </w:r>
      <w:r w:rsidR="0071600A" w:rsidRPr="0087455D">
        <w:rPr>
          <w:rFonts w:ascii="Arial" w:hAnsi="Arial" w:cs="Arial"/>
          <w:sz w:val="20"/>
          <w:szCs w:val="20"/>
          <w:lang w:val="en-ZA"/>
        </w:rPr>
        <w:t xml:space="preserve"> R80,936</w:t>
      </w:r>
      <w:r w:rsidR="007D68B1" w:rsidRPr="0087455D">
        <w:rPr>
          <w:rFonts w:ascii="Arial" w:hAnsi="Arial" w:cs="Arial"/>
          <w:sz w:val="20"/>
          <w:szCs w:val="20"/>
          <w:lang w:val="en-ZA"/>
        </w:rPr>
        <w:t xml:space="preserve"> </w:t>
      </w:r>
      <w:r w:rsidR="0071600A" w:rsidRPr="0087455D">
        <w:rPr>
          <w:rFonts w:ascii="Arial" w:hAnsi="Arial" w:cs="Arial"/>
          <w:sz w:val="20"/>
          <w:szCs w:val="20"/>
          <w:lang w:val="en-ZA"/>
        </w:rPr>
        <w:t>m</w:t>
      </w:r>
      <w:r w:rsidR="007D68B1" w:rsidRPr="0087455D">
        <w:rPr>
          <w:rFonts w:ascii="Arial" w:hAnsi="Arial" w:cs="Arial"/>
          <w:sz w:val="20"/>
          <w:szCs w:val="20"/>
          <w:lang w:val="en-ZA"/>
        </w:rPr>
        <w:t>illion, R3,436 million less than in the previous financial year.</w:t>
      </w:r>
      <w:r w:rsidRPr="0087455D">
        <w:rPr>
          <w:rFonts w:ascii="Arial" w:hAnsi="Arial" w:cs="Arial"/>
          <w:sz w:val="20"/>
          <w:szCs w:val="20"/>
          <w:lang w:val="en-ZA"/>
        </w:rPr>
        <w:t xml:space="preserve"> Without this post-retirement medical aid liability </w:t>
      </w:r>
      <w:r w:rsidR="0071600A" w:rsidRPr="0087455D">
        <w:rPr>
          <w:rFonts w:ascii="Arial" w:hAnsi="Arial" w:cs="Arial"/>
          <w:sz w:val="20"/>
          <w:szCs w:val="20"/>
          <w:lang w:val="en-ZA"/>
        </w:rPr>
        <w:t xml:space="preserve">Parliament’s financial position </w:t>
      </w:r>
      <w:r w:rsidRPr="0087455D">
        <w:rPr>
          <w:rFonts w:ascii="Arial" w:hAnsi="Arial" w:cs="Arial"/>
          <w:sz w:val="20"/>
          <w:szCs w:val="20"/>
          <w:lang w:val="en-ZA"/>
        </w:rPr>
        <w:t xml:space="preserve">would improve to </w:t>
      </w:r>
      <w:r w:rsidR="0071600A" w:rsidRPr="0087455D">
        <w:rPr>
          <w:rFonts w:ascii="Arial" w:hAnsi="Arial" w:cs="Arial"/>
          <w:sz w:val="20"/>
          <w:szCs w:val="20"/>
          <w:lang w:val="en-ZA"/>
        </w:rPr>
        <w:t>R57,014</w:t>
      </w:r>
      <w:r w:rsidRPr="0087455D">
        <w:rPr>
          <w:rFonts w:ascii="Arial" w:hAnsi="Arial" w:cs="Arial"/>
          <w:sz w:val="20"/>
          <w:szCs w:val="20"/>
          <w:lang w:val="en-ZA"/>
        </w:rPr>
        <w:t xml:space="preserve"> </w:t>
      </w:r>
      <w:r w:rsidR="0071600A" w:rsidRPr="0087455D">
        <w:rPr>
          <w:rFonts w:ascii="Arial" w:hAnsi="Arial" w:cs="Arial"/>
          <w:sz w:val="20"/>
          <w:szCs w:val="20"/>
          <w:lang w:val="en-ZA"/>
        </w:rPr>
        <w:t>m</w:t>
      </w:r>
      <w:r w:rsidRPr="0087455D">
        <w:rPr>
          <w:rFonts w:ascii="Arial" w:hAnsi="Arial" w:cs="Arial"/>
          <w:sz w:val="20"/>
          <w:szCs w:val="20"/>
          <w:lang w:val="en-ZA"/>
        </w:rPr>
        <w:t>illion net asset</w:t>
      </w:r>
      <w:r w:rsidR="0071600A" w:rsidRPr="0087455D">
        <w:rPr>
          <w:rFonts w:ascii="Arial" w:hAnsi="Arial" w:cs="Arial"/>
          <w:sz w:val="20"/>
          <w:szCs w:val="20"/>
          <w:lang w:val="en-ZA"/>
        </w:rPr>
        <w:t>.</w:t>
      </w:r>
    </w:p>
    <w:p w:rsidR="005F4AC7" w:rsidRPr="0087455D" w:rsidRDefault="005F4AC7"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3.3.2</w:t>
      </w:r>
      <w:r w:rsidRPr="0087455D">
        <w:rPr>
          <w:rFonts w:ascii="Arial" w:hAnsi="Arial" w:cs="Arial"/>
          <w:sz w:val="20"/>
          <w:szCs w:val="20"/>
          <w:lang w:val="en-ZA"/>
        </w:rPr>
        <w:tab/>
      </w:r>
      <w:r w:rsidR="0071600A" w:rsidRPr="0087455D">
        <w:rPr>
          <w:rFonts w:ascii="Arial" w:hAnsi="Arial" w:cs="Arial"/>
          <w:sz w:val="20"/>
          <w:szCs w:val="20"/>
          <w:lang w:val="en-ZA"/>
        </w:rPr>
        <w:t xml:space="preserve">Included </w:t>
      </w:r>
      <w:r w:rsidRPr="0087455D">
        <w:rPr>
          <w:rFonts w:ascii="Arial" w:hAnsi="Arial" w:cs="Arial"/>
          <w:sz w:val="20"/>
          <w:szCs w:val="20"/>
          <w:lang w:val="en-ZA"/>
        </w:rPr>
        <w:t>under liabilities are the provision</w:t>
      </w:r>
      <w:r w:rsidR="0071600A" w:rsidRPr="0087455D">
        <w:rPr>
          <w:rFonts w:ascii="Arial" w:hAnsi="Arial" w:cs="Arial"/>
          <w:sz w:val="20"/>
          <w:szCs w:val="20"/>
          <w:lang w:val="en-ZA"/>
        </w:rPr>
        <w:t xml:space="preserve"> of R161,520</w:t>
      </w:r>
      <w:r w:rsidRPr="0087455D">
        <w:rPr>
          <w:rFonts w:ascii="Arial" w:hAnsi="Arial" w:cs="Arial"/>
          <w:sz w:val="20"/>
          <w:szCs w:val="20"/>
          <w:lang w:val="en-ZA"/>
        </w:rPr>
        <w:t xml:space="preserve"> </w:t>
      </w:r>
      <w:r w:rsidR="0071600A" w:rsidRPr="0087455D">
        <w:rPr>
          <w:rFonts w:ascii="Arial" w:hAnsi="Arial" w:cs="Arial"/>
          <w:sz w:val="20"/>
          <w:szCs w:val="20"/>
          <w:lang w:val="en-ZA"/>
        </w:rPr>
        <w:t>m</w:t>
      </w:r>
      <w:r w:rsidRPr="0087455D">
        <w:rPr>
          <w:rFonts w:ascii="Arial" w:hAnsi="Arial" w:cs="Arial"/>
          <w:sz w:val="20"/>
          <w:szCs w:val="20"/>
          <w:lang w:val="en-ZA"/>
        </w:rPr>
        <w:t>illion</w:t>
      </w:r>
      <w:r w:rsidR="0071600A" w:rsidRPr="0087455D">
        <w:rPr>
          <w:rFonts w:ascii="Arial" w:hAnsi="Arial" w:cs="Arial"/>
          <w:sz w:val="20"/>
          <w:szCs w:val="20"/>
          <w:lang w:val="en-ZA"/>
        </w:rPr>
        <w:t>, and R159,702</w:t>
      </w:r>
      <w:r w:rsidRPr="0087455D">
        <w:rPr>
          <w:rFonts w:ascii="Arial" w:hAnsi="Arial" w:cs="Arial"/>
          <w:sz w:val="20"/>
          <w:szCs w:val="20"/>
          <w:lang w:val="en-ZA"/>
        </w:rPr>
        <w:t xml:space="preserve"> </w:t>
      </w:r>
      <w:r w:rsidR="0071600A" w:rsidRPr="0087455D">
        <w:rPr>
          <w:rFonts w:ascii="Arial" w:hAnsi="Arial" w:cs="Arial"/>
          <w:sz w:val="20"/>
          <w:szCs w:val="20"/>
          <w:lang w:val="en-ZA"/>
        </w:rPr>
        <w:t>m</w:t>
      </w:r>
      <w:r w:rsidRPr="0087455D">
        <w:rPr>
          <w:rFonts w:ascii="Arial" w:hAnsi="Arial" w:cs="Arial"/>
          <w:sz w:val="20"/>
          <w:szCs w:val="20"/>
          <w:lang w:val="en-ZA"/>
        </w:rPr>
        <w:t>illion for members’ loss of office and m</w:t>
      </w:r>
      <w:r w:rsidR="0071600A" w:rsidRPr="0087455D">
        <w:rPr>
          <w:rFonts w:ascii="Arial" w:hAnsi="Arial" w:cs="Arial"/>
          <w:sz w:val="20"/>
          <w:szCs w:val="20"/>
          <w:lang w:val="en-ZA"/>
        </w:rPr>
        <w:t>embers</w:t>
      </w:r>
      <w:r w:rsidRPr="0087455D">
        <w:rPr>
          <w:rFonts w:ascii="Arial" w:hAnsi="Arial" w:cs="Arial"/>
          <w:sz w:val="20"/>
          <w:szCs w:val="20"/>
          <w:lang w:val="en-ZA"/>
        </w:rPr>
        <w:t>’</w:t>
      </w:r>
      <w:r w:rsidR="0071600A" w:rsidRPr="0087455D">
        <w:rPr>
          <w:rFonts w:ascii="Arial" w:hAnsi="Arial" w:cs="Arial"/>
          <w:sz w:val="20"/>
          <w:szCs w:val="20"/>
          <w:lang w:val="en-ZA"/>
        </w:rPr>
        <w:t xml:space="preserve"> exit gratuities respectively</w:t>
      </w:r>
      <w:r w:rsidRPr="0087455D">
        <w:rPr>
          <w:rFonts w:ascii="Arial" w:hAnsi="Arial" w:cs="Arial"/>
          <w:sz w:val="20"/>
          <w:szCs w:val="20"/>
          <w:lang w:val="en-ZA"/>
        </w:rPr>
        <w:t>. These were paid from direct charges.</w:t>
      </w:r>
    </w:p>
    <w:p w:rsidR="00B26C00" w:rsidRPr="0087455D" w:rsidRDefault="005F4AC7"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3.3.3</w:t>
      </w:r>
      <w:r w:rsidRPr="0087455D">
        <w:rPr>
          <w:rFonts w:ascii="Arial" w:hAnsi="Arial" w:cs="Arial"/>
          <w:sz w:val="20"/>
          <w:szCs w:val="20"/>
          <w:lang w:val="en-ZA"/>
        </w:rPr>
        <w:tab/>
        <w:t xml:space="preserve">Lastly, the liabilities include </w:t>
      </w:r>
      <w:r w:rsidR="0071600A" w:rsidRPr="0087455D">
        <w:rPr>
          <w:rFonts w:ascii="Arial" w:hAnsi="Arial" w:cs="Arial"/>
          <w:sz w:val="20"/>
          <w:szCs w:val="20"/>
          <w:lang w:val="en-ZA"/>
        </w:rPr>
        <w:t>R58,263</w:t>
      </w:r>
      <w:r w:rsidRPr="0087455D">
        <w:rPr>
          <w:rFonts w:ascii="Arial" w:hAnsi="Arial" w:cs="Arial"/>
          <w:sz w:val="20"/>
          <w:szCs w:val="20"/>
          <w:lang w:val="en-ZA"/>
        </w:rPr>
        <w:t xml:space="preserve"> </w:t>
      </w:r>
      <w:r w:rsidR="0071600A" w:rsidRPr="0087455D">
        <w:rPr>
          <w:rFonts w:ascii="Arial" w:hAnsi="Arial" w:cs="Arial"/>
          <w:sz w:val="20"/>
          <w:szCs w:val="20"/>
          <w:lang w:val="en-ZA"/>
        </w:rPr>
        <w:t>m</w:t>
      </w:r>
      <w:r w:rsidRPr="0087455D">
        <w:rPr>
          <w:rFonts w:ascii="Arial" w:hAnsi="Arial" w:cs="Arial"/>
          <w:sz w:val="20"/>
          <w:szCs w:val="20"/>
          <w:lang w:val="en-ZA"/>
        </w:rPr>
        <w:t>illion</w:t>
      </w:r>
      <w:r w:rsidR="0071600A" w:rsidRPr="0087455D">
        <w:rPr>
          <w:rFonts w:ascii="Arial" w:hAnsi="Arial" w:cs="Arial"/>
          <w:sz w:val="20"/>
          <w:szCs w:val="20"/>
          <w:lang w:val="en-ZA"/>
        </w:rPr>
        <w:t xml:space="preserve"> for </w:t>
      </w:r>
      <w:r w:rsidRPr="0087455D">
        <w:rPr>
          <w:rFonts w:ascii="Arial" w:hAnsi="Arial" w:cs="Arial"/>
          <w:sz w:val="20"/>
          <w:szCs w:val="20"/>
          <w:lang w:val="en-ZA"/>
        </w:rPr>
        <w:t>the post retirement travel benefits of former m</w:t>
      </w:r>
      <w:r w:rsidR="0071600A" w:rsidRPr="0087455D">
        <w:rPr>
          <w:rFonts w:ascii="Arial" w:hAnsi="Arial" w:cs="Arial"/>
          <w:sz w:val="20"/>
          <w:szCs w:val="20"/>
          <w:lang w:val="en-ZA"/>
        </w:rPr>
        <w:t>embers</w:t>
      </w:r>
      <w:r w:rsidRPr="0087455D">
        <w:rPr>
          <w:rFonts w:ascii="Arial" w:hAnsi="Arial" w:cs="Arial"/>
          <w:sz w:val="20"/>
          <w:szCs w:val="20"/>
          <w:lang w:val="en-ZA"/>
        </w:rPr>
        <w:t xml:space="preserve"> and ministers. </w:t>
      </w:r>
      <w:r w:rsidR="0071600A" w:rsidRPr="0087455D">
        <w:rPr>
          <w:rFonts w:ascii="Arial" w:hAnsi="Arial" w:cs="Arial"/>
          <w:sz w:val="20"/>
          <w:szCs w:val="20"/>
          <w:lang w:val="en-ZA"/>
        </w:rPr>
        <w:t>An amount of R3,352</w:t>
      </w:r>
      <w:r w:rsidRPr="0087455D">
        <w:rPr>
          <w:rFonts w:ascii="Arial" w:hAnsi="Arial" w:cs="Arial"/>
          <w:sz w:val="20"/>
          <w:szCs w:val="20"/>
          <w:lang w:val="en-ZA"/>
        </w:rPr>
        <w:t xml:space="preserve"> </w:t>
      </w:r>
      <w:r w:rsidR="0071600A" w:rsidRPr="0087455D">
        <w:rPr>
          <w:rFonts w:ascii="Arial" w:hAnsi="Arial" w:cs="Arial"/>
          <w:sz w:val="20"/>
          <w:szCs w:val="20"/>
          <w:lang w:val="en-ZA"/>
        </w:rPr>
        <w:t>m</w:t>
      </w:r>
      <w:r w:rsidRPr="0087455D">
        <w:rPr>
          <w:rFonts w:ascii="Arial" w:hAnsi="Arial" w:cs="Arial"/>
          <w:sz w:val="20"/>
          <w:szCs w:val="20"/>
          <w:lang w:val="en-ZA"/>
        </w:rPr>
        <w:t xml:space="preserve">illion—R1,844 </w:t>
      </w:r>
      <w:r w:rsidR="0071600A" w:rsidRPr="0087455D">
        <w:rPr>
          <w:rFonts w:ascii="Arial" w:hAnsi="Arial" w:cs="Arial"/>
          <w:sz w:val="20"/>
          <w:szCs w:val="20"/>
          <w:lang w:val="en-ZA"/>
        </w:rPr>
        <w:t>m</w:t>
      </w:r>
      <w:r w:rsidRPr="0087455D">
        <w:rPr>
          <w:rFonts w:ascii="Arial" w:hAnsi="Arial" w:cs="Arial"/>
          <w:sz w:val="20"/>
          <w:szCs w:val="20"/>
          <w:lang w:val="en-ZA"/>
        </w:rPr>
        <w:t xml:space="preserve">illion more than in the previous financial year—was paid in the period under review, and was funded </w:t>
      </w:r>
      <w:r w:rsidR="0071600A" w:rsidRPr="0087455D">
        <w:rPr>
          <w:rFonts w:ascii="Arial" w:hAnsi="Arial" w:cs="Arial"/>
          <w:sz w:val="20"/>
          <w:szCs w:val="20"/>
          <w:lang w:val="en-ZA"/>
        </w:rPr>
        <w:t>from the annual appropriation.</w:t>
      </w:r>
    </w:p>
    <w:p w:rsidR="005F4AC7" w:rsidRPr="0087455D" w:rsidRDefault="005F4AC7" w:rsidP="0087455D">
      <w:pPr>
        <w:spacing w:after="0" w:line="240" w:lineRule="auto"/>
        <w:ind w:firstLine="720"/>
        <w:rPr>
          <w:rFonts w:ascii="Arial" w:hAnsi="Arial" w:cs="Arial"/>
          <w:i/>
          <w:sz w:val="20"/>
          <w:szCs w:val="20"/>
          <w:lang w:val="en-ZA"/>
        </w:rPr>
      </w:pPr>
    </w:p>
    <w:p w:rsidR="00B26C00" w:rsidRPr="0087455D" w:rsidRDefault="00033DF1" w:rsidP="0087455D">
      <w:pPr>
        <w:spacing w:after="0" w:line="240" w:lineRule="auto"/>
        <w:ind w:firstLine="720"/>
        <w:rPr>
          <w:rFonts w:ascii="Arial" w:hAnsi="Arial" w:cs="Arial"/>
          <w:b/>
          <w:sz w:val="20"/>
          <w:szCs w:val="20"/>
          <w:lang w:val="en-ZA"/>
        </w:rPr>
      </w:pPr>
      <w:r w:rsidRPr="0087455D">
        <w:rPr>
          <w:rFonts w:ascii="Arial" w:hAnsi="Arial" w:cs="Arial"/>
          <w:b/>
          <w:sz w:val="20"/>
          <w:szCs w:val="20"/>
          <w:lang w:val="en-ZA"/>
        </w:rPr>
        <w:t>Non-current liabilities</w:t>
      </w:r>
    </w:p>
    <w:p w:rsidR="00033DF1" w:rsidRPr="0087455D" w:rsidRDefault="00033DF1" w:rsidP="0087455D">
      <w:pPr>
        <w:spacing w:after="0" w:line="240" w:lineRule="auto"/>
        <w:ind w:firstLine="720"/>
        <w:rPr>
          <w:rFonts w:ascii="Arial" w:hAnsi="Arial" w:cs="Arial"/>
          <w:i/>
          <w:sz w:val="20"/>
          <w:szCs w:val="20"/>
          <w:lang w:val="en-ZA"/>
        </w:rPr>
      </w:pPr>
      <w:r w:rsidRPr="0087455D">
        <w:rPr>
          <w:rFonts w:ascii="Arial" w:hAnsi="Arial" w:cs="Arial"/>
          <w:i/>
          <w:sz w:val="20"/>
          <w:szCs w:val="20"/>
          <w:lang w:val="en-ZA"/>
        </w:rPr>
        <w:t>Post-retirement medical-aid plan</w:t>
      </w:r>
    </w:p>
    <w:p w:rsidR="00033DF1" w:rsidRPr="0087455D" w:rsidRDefault="00033DF1"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3.3.4</w:t>
      </w:r>
      <w:r w:rsidRPr="0087455D">
        <w:rPr>
          <w:rFonts w:ascii="Arial" w:hAnsi="Arial" w:cs="Arial"/>
          <w:sz w:val="20"/>
          <w:szCs w:val="20"/>
          <w:lang w:val="en-ZA"/>
        </w:rPr>
        <w:tab/>
        <w:t>The employee benefits relate to the post-retirement medical aid plan for all members and pen</w:t>
      </w:r>
      <w:r w:rsidR="008E5F2D" w:rsidRPr="0087455D">
        <w:rPr>
          <w:rFonts w:ascii="Arial" w:hAnsi="Arial" w:cs="Arial"/>
          <w:sz w:val="20"/>
          <w:szCs w:val="20"/>
          <w:lang w:val="en-ZA"/>
        </w:rPr>
        <w:t>sioners who belong to the Parmed Medical Aid S</w:t>
      </w:r>
      <w:r w:rsidRPr="0087455D">
        <w:rPr>
          <w:rFonts w:ascii="Arial" w:hAnsi="Arial" w:cs="Arial"/>
          <w:sz w:val="20"/>
          <w:szCs w:val="20"/>
          <w:lang w:val="en-ZA"/>
        </w:rPr>
        <w:t>cheme. In 2021/22 the liability stood at R1,26</w:t>
      </w:r>
      <w:r w:rsidR="008E5F2D" w:rsidRPr="0087455D">
        <w:rPr>
          <w:rFonts w:ascii="Arial" w:hAnsi="Arial" w:cs="Arial"/>
          <w:sz w:val="20"/>
          <w:szCs w:val="20"/>
          <w:lang w:val="en-ZA"/>
        </w:rPr>
        <w:t>2,843 million representing a 5,</w:t>
      </w:r>
      <w:r w:rsidRPr="0087455D">
        <w:rPr>
          <w:rFonts w:ascii="Arial" w:hAnsi="Arial" w:cs="Arial"/>
          <w:sz w:val="20"/>
          <w:szCs w:val="20"/>
          <w:lang w:val="en-ZA"/>
        </w:rPr>
        <w:t>39 per cent decrease per the actuarial valuation assumptions.</w:t>
      </w:r>
    </w:p>
    <w:p w:rsidR="00033DF1" w:rsidRPr="0087455D" w:rsidRDefault="00033DF1"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ab/>
      </w:r>
    </w:p>
    <w:p w:rsidR="00E05CE4" w:rsidRPr="0087455D" w:rsidRDefault="00E05CE4" w:rsidP="0087455D">
      <w:pPr>
        <w:spacing w:after="0" w:line="240" w:lineRule="auto"/>
        <w:ind w:left="720" w:hanging="720"/>
        <w:rPr>
          <w:rFonts w:ascii="Arial" w:hAnsi="Arial" w:cs="Arial"/>
          <w:sz w:val="20"/>
          <w:szCs w:val="20"/>
          <w:lang w:val="en-ZA"/>
        </w:rPr>
      </w:pPr>
    </w:p>
    <w:p w:rsidR="00033DF1" w:rsidRPr="0087455D" w:rsidRDefault="00033DF1" w:rsidP="0087455D">
      <w:pPr>
        <w:spacing w:after="0" w:line="240" w:lineRule="auto"/>
        <w:ind w:left="720"/>
        <w:rPr>
          <w:rFonts w:ascii="Arial" w:hAnsi="Arial" w:cs="Arial"/>
          <w:i/>
          <w:sz w:val="20"/>
          <w:szCs w:val="20"/>
          <w:lang w:val="en-ZA"/>
        </w:rPr>
      </w:pPr>
      <w:r w:rsidRPr="0087455D">
        <w:rPr>
          <w:rFonts w:ascii="Arial" w:hAnsi="Arial" w:cs="Arial"/>
          <w:i/>
          <w:sz w:val="20"/>
          <w:szCs w:val="20"/>
          <w:lang w:val="en-ZA"/>
        </w:rPr>
        <w:t>Members loss-of-office gratuity</w:t>
      </w:r>
    </w:p>
    <w:p w:rsidR="00033DF1" w:rsidRPr="0087455D" w:rsidRDefault="00033DF1"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3.3.5</w:t>
      </w:r>
      <w:r w:rsidRPr="0087455D">
        <w:rPr>
          <w:rFonts w:ascii="Arial" w:hAnsi="Arial" w:cs="Arial"/>
          <w:sz w:val="20"/>
          <w:szCs w:val="20"/>
          <w:lang w:val="en-ZA"/>
        </w:rPr>
        <w:tab/>
        <w:t>This provision for loss-of-office gratuity is calculated for all current members of Parliament who have served f</w:t>
      </w:r>
      <w:r w:rsidR="002A7C6A" w:rsidRPr="0087455D">
        <w:rPr>
          <w:rFonts w:ascii="Arial" w:hAnsi="Arial" w:cs="Arial"/>
          <w:sz w:val="20"/>
          <w:szCs w:val="20"/>
          <w:lang w:val="en-ZA"/>
        </w:rPr>
        <w:t>o</w:t>
      </w:r>
      <w:r w:rsidR="008E5F2D" w:rsidRPr="0087455D">
        <w:rPr>
          <w:rFonts w:ascii="Arial" w:hAnsi="Arial" w:cs="Arial"/>
          <w:sz w:val="20"/>
          <w:szCs w:val="20"/>
          <w:lang w:val="en-ZA"/>
        </w:rPr>
        <w:t>r</w:t>
      </w:r>
      <w:r w:rsidRPr="0087455D">
        <w:rPr>
          <w:rFonts w:ascii="Arial" w:hAnsi="Arial" w:cs="Arial"/>
          <w:sz w:val="20"/>
          <w:szCs w:val="20"/>
          <w:lang w:val="en-ZA"/>
        </w:rPr>
        <w:t xml:space="preserve"> five years or longer. It is calculated as four months’ pensionable salary for every five years in service or pro rata share of the five-year period. The pensionable salary is 60 per cent of their total gazetted remuneration </w:t>
      </w:r>
      <w:r w:rsidR="007454C2" w:rsidRPr="0087455D">
        <w:rPr>
          <w:rFonts w:ascii="Arial" w:hAnsi="Arial" w:cs="Arial"/>
          <w:sz w:val="20"/>
          <w:szCs w:val="20"/>
          <w:lang w:val="en-ZA"/>
        </w:rPr>
        <w:t>package. In 2021/22 the liability</w:t>
      </w:r>
      <w:r w:rsidRPr="0087455D">
        <w:rPr>
          <w:rFonts w:ascii="Arial" w:hAnsi="Arial" w:cs="Arial"/>
          <w:sz w:val="20"/>
          <w:szCs w:val="20"/>
          <w:lang w:val="en-ZA"/>
        </w:rPr>
        <w:t xml:space="preserve"> stood at R1</w:t>
      </w:r>
      <w:r w:rsidR="007454C2" w:rsidRPr="0087455D">
        <w:rPr>
          <w:rFonts w:ascii="Arial" w:hAnsi="Arial" w:cs="Arial"/>
          <w:sz w:val="20"/>
          <w:szCs w:val="20"/>
          <w:lang w:val="en-ZA"/>
        </w:rPr>
        <w:t>55,415 million, 16 per cent greater</w:t>
      </w:r>
      <w:r w:rsidRPr="0087455D">
        <w:rPr>
          <w:rFonts w:ascii="Arial" w:hAnsi="Arial" w:cs="Arial"/>
          <w:sz w:val="20"/>
          <w:szCs w:val="20"/>
          <w:lang w:val="en-ZA"/>
        </w:rPr>
        <w:t xml:space="preserve"> than in the previous financial year. The increase is ascribed to the increase in years of service of members and changes to the discount rates.</w:t>
      </w:r>
    </w:p>
    <w:p w:rsidR="00033DF1" w:rsidRPr="0087455D" w:rsidRDefault="00033DF1"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ab/>
      </w:r>
    </w:p>
    <w:p w:rsidR="00033DF1" w:rsidRPr="0087455D" w:rsidRDefault="00033DF1" w:rsidP="0087455D">
      <w:pPr>
        <w:spacing w:after="0" w:line="240" w:lineRule="auto"/>
        <w:ind w:left="720" w:hanging="720"/>
        <w:rPr>
          <w:rFonts w:ascii="Arial" w:hAnsi="Arial" w:cs="Arial"/>
          <w:i/>
          <w:sz w:val="20"/>
          <w:szCs w:val="20"/>
          <w:lang w:val="en-ZA"/>
        </w:rPr>
      </w:pPr>
      <w:r w:rsidRPr="0087455D">
        <w:rPr>
          <w:rFonts w:ascii="Arial" w:hAnsi="Arial" w:cs="Arial"/>
          <w:sz w:val="20"/>
          <w:szCs w:val="20"/>
          <w:lang w:val="en-ZA"/>
        </w:rPr>
        <w:lastRenderedPageBreak/>
        <w:tab/>
      </w:r>
      <w:r w:rsidRPr="0087455D">
        <w:rPr>
          <w:rFonts w:ascii="Arial" w:hAnsi="Arial" w:cs="Arial"/>
          <w:i/>
          <w:sz w:val="20"/>
          <w:szCs w:val="20"/>
          <w:lang w:val="en-ZA"/>
        </w:rPr>
        <w:t>Exit gratuity</w:t>
      </w:r>
    </w:p>
    <w:p w:rsidR="00B26C00" w:rsidRPr="0087455D" w:rsidRDefault="00033DF1"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3.3.6</w:t>
      </w:r>
      <w:r w:rsidR="00B26C00" w:rsidRPr="0087455D">
        <w:rPr>
          <w:rFonts w:ascii="Arial" w:hAnsi="Arial" w:cs="Arial"/>
          <w:sz w:val="20"/>
          <w:szCs w:val="20"/>
          <w:lang w:val="en-ZA"/>
        </w:rPr>
        <w:tab/>
      </w:r>
      <w:r w:rsidRPr="0087455D">
        <w:rPr>
          <w:rFonts w:ascii="Arial" w:hAnsi="Arial" w:cs="Arial"/>
          <w:sz w:val="20"/>
          <w:szCs w:val="20"/>
          <w:lang w:val="en-ZA"/>
        </w:rPr>
        <w:t xml:space="preserve">The exit </w:t>
      </w:r>
      <w:r w:rsidR="00DB7A66" w:rsidRPr="0087455D">
        <w:rPr>
          <w:rFonts w:ascii="Arial" w:hAnsi="Arial" w:cs="Arial"/>
          <w:sz w:val="20"/>
          <w:szCs w:val="20"/>
          <w:lang w:val="en-ZA"/>
        </w:rPr>
        <w:t>gratuity is payable to eligible members of Parliament who are m</w:t>
      </w:r>
      <w:r w:rsidRPr="0087455D">
        <w:rPr>
          <w:rFonts w:ascii="Arial" w:hAnsi="Arial" w:cs="Arial"/>
          <w:sz w:val="20"/>
          <w:szCs w:val="20"/>
          <w:lang w:val="en-ZA"/>
        </w:rPr>
        <w:t>embers of</w:t>
      </w:r>
      <w:r w:rsidR="00DB7A66" w:rsidRPr="0087455D">
        <w:rPr>
          <w:rFonts w:ascii="Arial" w:hAnsi="Arial" w:cs="Arial"/>
          <w:sz w:val="20"/>
          <w:szCs w:val="20"/>
          <w:lang w:val="en-ZA"/>
        </w:rPr>
        <w:t xml:space="preserve"> the</w:t>
      </w:r>
      <w:r w:rsidRPr="0087455D">
        <w:rPr>
          <w:rFonts w:ascii="Arial" w:hAnsi="Arial" w:cs="Arial"/>
          <w:sz w:val="20"/>
          <w:szCs w:val="20"/>
          <w:lang w:val="en-ZA"/>
        </w:rPr>
        <w:t xml:space="preserve"> Political Office Bearers Pension Fund and who</w:t>
      </w:r>
      <w:r w:rsidR="00DB7A66" w:rsidRPr="0087455D">
        <w:rPr>
          <w:rFonts w:ascii="Arial" w:hAnsi="Arial" w:cs="Arial"/>
          <w:sz w:val="20"/>
          <w:szCs w:val="20"/>
          <w:lang w:val="en-ZA"/>
        </w:rPr>
        <w:t xml:space="preserve"> had exited</w:t>
      </w:r>
      <w:r w:rsidRPr="0087455D">
        <w:rPr>
          <w:rFonts w:ascii="Arial" w:hAnsi="Arial" w:cs="Arial"/>
          <w:sz w:val="20"/>
          <w:szCs w:val="20"/>
          <w:lang w:val="en-ZA"/>
        </w:rPr>
        <w:t xml:space="preserve"> the fund before or as a consequence of the 2019 general elections. Proclamation 48 of 21 July 2016</w:t>
      </w:r>
      <w:r w:rsidR="00DB7A66" w:rsidRPr="0087455D">
        <w:rPr>
          <w:rFonts w:ascii="Arial" w:hAnsi="Arial" w:cs="Arial"/>
          <w:sz w:val="20"/>
          <w:szCs w:val="20"/>
          <w:lang w:val="en-ZA"/>
        </w:rPr>
        <w:t xml:space="preserve"> proclaimed </w:t>
      </w:r>
      <w:r w:rsidR="00DB7A66" w:rsidRPr="0087455D">
        <w:rPr>
          <w:rFonts w:ascii="Arial" w:hAnsi="Arial" w:cs="Arial"/>
          <w:sz w:val="20"/>
          <w:szCs w:val="20"/>
        </w:rPr>
        <w:t>that a relevant politica</w:t>
      </w:r>
      <w:r w:rsidR="008E5F2D" w:rsidRPr="0087455D">
        <w:rPr>
          <w:rFonts w:ascii="Arial" w:hAnsi="Arial" w:cs="Arial"/>
          <w:sz w:val="20"/>
          <w:szCs w:val="20"/>
        </w:rPr>
        <w:t>l office bearer who exited the f</w:t>
      </w:r>
      <w:r w:rsidR="00DB7A66" w:rsidRPr="0087455D">
        <w:rPr>
          <w:rFonts w:ascii="Arial" w:hAnsi="Arial" w:cs="Arial"/>
          <w:sz w:val="20"/>
          <w:szCs w:val="20"/>
        </w:rPr>
        <w:t xml:space="preserve">und at or as a consequence of the 2019 election or at any date in the period 1 March 2016 to the 2019 election date would, subject to certain conditions, be entitled to a gratuity equal to the amount, if any, by which their Old Rules Benefit exceeded the benefit payable from the fund on exiting the fund. </w:t>
      </w:r>
      <w:r w:rsidR="00DB7A66" w:rsidRPr="0087455D">
        <w:rPr>
          <w:rFonts w:ascii="Arial" w:hAnsi="Arial" w:cs="Arial"/>
          <w:sz w:val="20"/>
          <w:szCs w:val="20"/>
          <w:lang w:val="en-ZA"/>
        </w:rPr>
        <w:t>This amount was increased each year in line with the consumer price index</w:t>
      </w:r>
      <w:r w:rsidRPr="0087455D">
        <w:rPr>
          <w:rFonts w:ascii="Arial" w:hAnsi="Arial" w:cs="Arial"/>
          <w:sz w:val="20"/>
          <w:szCs w:val="20"/>
          <w:lang w:val="en-ZA"/>
        </w:rPr>
        <w:t xml:space="preserve"> </w:t>
      </w:r>
      <w:r w:rsidR="00DB7A66" w:rsidRPr="0087455D">
        <w:rPr>
          <w:rFonts w:ascii="Arial" w:hAnsi="Arial" w:cs="Arial"/>
          <w:sz w:val="20"/>
          <w:szCs w:val="20"/>
          <w:lang w:val="en-ZA"/>
        </w:rPr>
        <w:t>up until it is paid to the member when they exit the f</w:t>
      </w:r>
      <w:r w:rsidRPr="0087455D">
        <w:rPr>
          <w:rFonts w:ascii="Arial" w:hAnsi="Arial" w:cs="Arial"/>
          <w:sz w:val="20"/>
          <w:szCs w:val="20"/>
          <w:lang w:val="en-ZA"/>
        </w:rPr>
        <w:t>und.</w:t>
      </w:r>
      <w:r w:rsidR="00DB7A66" w:rsidRPr="0087455D">
        <w:rPr>
          <w:rFonts w:ascii="Arial" w:hAnsi="Arial" w:cs="Arial"/>
          <w:sz w:val="20"/>
          <w:szCs w:val="20"/>
          <w:lang w:val="en-ZA"/>
        </w:rPr>
        <w:t xml:space="preserve"> In 2021/22 </w:t>
      </w:r>
      <w:r w:rsidR="007454C2" w:rsidRPr="0087455D">
        <w:rPr>
          <w:rFonts w:ascii="Arial" w:hAnsi="Arial" w:cs="Arial"/>
          <w:sz w:val="20"/>
          <w:szCs w:val="20"/>
          <w:lang w:val="en-ZA"/>
        </w:rPr>
        <w:t xml:space="preserve">the liability stood at </w:t>
      </w:r>
      <w:r w:rsidR="00DB7A66" w:rsidRPr="0087455D">
        <w:rPr>
          <w:rFonts w:ascii="Arial" w:hAnsi="Arial" w:cs="Arial"/>
          <w:sz w:val="20"/>
          <w:szCs w:val="20"/>
          <w:lang w:val="en-ZA"/>
        </w:rPr>
        <w:t>R</w:t>
      </w:r>
      <w:r w:rsidR="007454C2" w:rsidRPr="0087455D">
        <w:rPr>
          <w:rFonts w:ascii="Arial" w:hAnsi="Arial" w:cs="Arial"/>
          <w:sz w:val="20"/>
          <w:szCs w:val="20"/>
          <w:lang w:val="en-ZA"/>
        </w:rPr>
        <w:t>159</w:t>
      </w:r>
      <w:r w:rsidR="00DB7A66" w:rsidRPr="0087455D">
        <w:rPr>
          <w:rFonts w:ascii="Arial" w:hAnsi="Arial" w:cs="Arial"/>
          <w:sz w:val="20"/>
          <w:szCs w:val="20"/>
          <w:lang w:val="en-ZA"/>
        </w:rPr>
        <w:t>,702 million</w:t>
      </w:r>
      <w:r w:rsidR="007454C2" w:rsidRPr="0087455D">
        <w:rPr>
          <w:rFonts w:ascii="Arial" w:hAnsi="Arial" w:cs="Arial"/>
          <w:sz w:val="20"/>
          <w:szCs w:val="20"/>
          <w:lang w:val="en-ZA"/>
        </w:rPr>
        <w:t xml:space="preserve"> compared to the R160,293 million of 2020/21. The decrease is ascribed to </w:t>
      </w:r>
      <w:r w:rsidRPr="0087455D">
        <w:rPr>
          <w:rFonts w:ascii="Arial" w:hAnsi="Arial" w:cs="Arial"/>
          <w:sz w:val="20"/>
          <w:szCs w:val="20"/>
          <w:lang w:val="en-ZA"/>
        </w:rPr>
        <w:t>payments</w:t>
      </w:r>
      <w:r w:rsidR="008E5F2D" w:rsidRPr="0087455D">
        <w:rPr>
          <w:rFonts w:ascii="Arial" w:hAnsi="Arial" w:cs="Arial"/>
          <w:sz w:val="20"/>
          <w:szCs w:val="20"/>
          <w:lang w:val="en-ZA"/>
        </w:rPr>
        <w:t xml:space="preserve"> made</w:t>
      </w:r>
      <w:r w:rsidRPr="0087455D">
        <w:rPr>
          <w:rFonts w:ascii="Arial" w:hAnsi="Arial" w:cs="Arial"/>
          <w:sz w:val="20"/>
          <w:szCs w:val="20"/>
          <w:lang w:val="en-ZA"/>
        </w:rPr>
        <w:t xml:space="preserve"> during the </w:t>
      </w:r>
      <w:r w:rsidR="007454C2" w:rsidRPr="0087455D">
        <w:rPr>
          <w:rFonts w:ascii="Arial" w:hAnsi="Arial" w:cs="Arial"/>
          <w:sz w:val="20"/>
          <w:szCs w:val="20"/>
          <w:lang w:val="en-ZA"/>
        </w:rPr>
        <w:t xml:space="preserve">year: the liability </w:t>
      </w:r>
      <w:r w:rsidRPr="0087455D">
        <w:rPr>
          <w:rFonts w:ascii="Arial" w:hAnsi="Arial" w:cs="Arial"/>
          <w:sz w:val="20"/>
          <w:szCs w:val="20"/>
          <w:lang w:val="en-ZA"/>
        </w:rPr>
        <w:t>decreas</w:t>
      </w:r>
      <w:r w:rsidR="007454C2" w:rsidRPr="0087455D">
        <w:rPr>
          <w:rFonts w:ascii="Arial" w:hAnsi="Arial" w:cs="Arial"/>
          <w:sz w:val="20"/>
          <w:szCs w:val="20"/>
          <w:lang w:val="en-ZA"/>
        </w:rPr>
        <w:t>es as m</w:t>
      </w:r>
      <w:r w:rsidRPr="0087455D">
        <w:rPr>
          <w:rFonts w:ascii="Arial" w:hAnsi="Arial" w:cs="Arial"/>
          <w:sz w:val="20"/>
          <w:szCs w:val="20"/>
          <w:lang w:val="en-ZA"/>
        </w:rPr>
        <w:t>embers exit</w:t>
      </w:r>
      <w:r w:rsidR="007454C2" w:rsidRPr="0087455D">
        <w:rPr>
          <w:rFonts w:ascii="Arial" w:hAnsi="Arial" w:cs="Arial"/>
          <w:sz w:val="20"/>
          <w:szCs w:val="20"/>
          <w:lang w:val="en-ZA"/>
        </w:rPr>
        <w:t>ed</w:t>
      </w:r>
      <w:r w:rsidRPr="0087455D">
        <w:rPr>
          <w:rFonts w:ascii="Arial" w:hAnsi="Arial" w:cs="Arial"/>
          <w:sz w:val="20"/>
          <w:szCs w:val="20"/>
          <w:lang w:val="en-ZA"/>
        </w:rPr>
        <w:t xml:space="preserve"> office</w:t>
      </w:r>
      <w:r w:rsidR="007454C2" w:rsidRPr="0087455D">
        <w:rPr>
          <w:rFonts w:ascii="Arial" w:hAnsi="Arial" w:cs="Arial"/>
          <w:sz w:val="20"/>
          <w:szCs w:val="20"/>
          <w:lang w:val="en-ZA"/>
        </w:rPr>
        <w:t>.</w:t>
      </w:r>
    </w:p>
    <w:p w:rsidR="007454C2" w:rsidRPr="0087455D" w:rsidRDefault="007454C2" w:rsidP="0087455D">
      <w:pPr>
        <w:spacing w:after="0" w:line="240" w:lineRule="auto"/>
        <w:ind w:left="720" w:hanging="720"/>
        <w:rPr>
          <w:rFonts w:ascii="Arial" w:hAnsi="Arial" w:cs="Arial"/>
          <w:sz w:val="20"/>
          <w:szCs w:val="20"/>
          <w:lang w:val="en-ZA"/>
        </w:rPr>
      </w:pPr>
    </w:p>
    <w:p w:rsidR="007454C2" w:rsidRPr="0087455D" w:rsidRDefault="007454C2" w:rsidP="0087455D">
      <w:pPr>
        <w:spacing w:after="0" w:line="240" w:lineRule="auto"/>
        <w:ind w:left="720" w:hanging="720"/>
        <w:rPr>
          <w:rFonts w:ascii="Arial" w:hAnsi="Arial" w:cs="Arial"/>
          <w:i/>
          <w:sz w:val="20"/>
          <w:szCs w:val="20"/>
          <w:lang w:val="en-ZA"/>
        </w:rPr>
      </w:pPr>
      <w:r w:rsidRPr="0087455D">
        <w:rPr>
          <w:rFonts w:ascii="Arial" w:hAnsi="Arial" w:cs="Arial"/>
          <w:sz w:val="20"/>
          <w:szCs w:val="20"/>
          <w:lang w:val="en-ZA"/>
        </w:rPr>
        <w:tab/>
      </w:r>
      <w:r w:rsidRPr="0087455D">
        <w:rPr>
          <w:rFonts w:ascii="Arial" w:hAnsi="Arial" w:cs="Arial"/>
          <w:i/>
          <w:sz w:val="20"/>
          <w:szCs w:val="20"/>
          <w:lang w:val="en-ZA"/>
        </w:rPr>
        <w:t>Post-employment travel benefit</w:t>
      </w:r>
    </w:p>
    <w:p w:rsidR="007454C2" w:rsidRPr="0087455D" w:rsidRDefault="007454C2"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3.3.7</w:t>
      </w:r>
      <w:r w:rsidRPr="0087455D">
        <w:rPr>
          <w:rFonts w:ascii="Arial" w:hAnsi="Arial" w:cs="Arial"/>
          <w:sz w:val="20"/>
          <w:szCs w:val="20"/>
          <w:lang w:val="en-ZA"/>
        </w:rPr>
        <w:tab/>
        <w:t>Parliament provides domestic travel benefits to former members and former executives (ministers and deputy ministers), and their spouses. The travel privileges come into effect on the first day following the date on which they relinquish their office, and exclude journeys made when vacating state-owned residences for their private residences. Beneficiaries receive a set travel allocation each calendar year. Unused allocations do not carry over to the following year. The decrease of 56 percent—from R112,763 million in 2020/21 to R49,178 millio</w:t>
      </w:r>
      <w:r w:rsidR="00D04539" w:rsidRPr="0087455D">
        <w:rPr>
          <w:rFonts w:ascii="Arial" w:hAnsi="Arial" w:cs="Arial"/>
          <w:sz w:val="20"/>
          <w:szCs w:val="20"/>
          <w:lang w:val="en-ZA"/>
        </w:rPr>
        <w:t>n in 2021/22—</w:t>
      </w:r>
      <w:r w:rsidRPr="0087455D">
        <w:rPr>
          <w:rFonts w:ascii="Arial" w:hAnsi="Arial" w:cs="Arial"/>
          <w:sz w:val="20"/>
          <w:szCs w:val="20"/>
          <w:lang w:val="en-ZA"/>
        </w:rPr>
        <w:t xml:space="preserve">is due to </w:t>
      </w:r>
      <w:r w:rsidR="00D04539" w:rsidRPr="0087455D">
        <w:rPr>
          <w:rFonts w:ascii="Arial" w:hAnsi="Arial" w:cs="Arial"/>
          <w:sz w:val="20"/>
          <w:szCs w:val="20"/>
          <w:lang w:val="en-ZA"/>
        </w:rPr>
        <w:t xml:space="preserve">the reduction in benefits following </w:t>
      </w:r>
      <w:r w:rsidRPr="0087455D">
        <w:rPr>
          <w:rFonts w:ascii="Arial" w:hAnsi="Arial" w:cs="Arial"/>
          <w:sz w:val="20"/>
          <w:szCs w:val="20"/>
          <w:lang w:val="en-ZA"/>
        </w:rPr>
        <w:t>changes to the policy</w:t>
      </w:r>
      <w:r w:rsidR="00D04539" w:rsidRPr="0087455D">
        <w:rPr>
          <w:rFonts w:ascii="Arial" w:hAnsi="Arial" w:cs="Arial"/>
          <w:sz w:val="20"/>
          <w:szCs w:val="20"/>
          <w:lang w:val="en-ZA"/>
        </w:rPr>
        <w:t xml:space="preserve"> on travel facilities for former members of parliament and the executive</w:t>
      </w:r>
      <w:r w:rsidR="00844229" w:rsidRPr="0087455D">
        <w:rPr>
          <w:rFonts w:ascii="Arial" w:hAnsi="Arial" w:cs="Arial"/>
          <w:sz w:val="20"/>
          <w:szCs w:val="20"/>
          <w:lang w:val="en-ZA"/>
        </w:rPr>
        <w:t>.</w:t>
      </w:r>
    </w:p>
    <w:p w:rsidR="00945197" w:rsidRPr="0087455D" w:rsidRDefault="00945197" w:rsidP="0087455D">
      <w:pPr>
        <w:spacing w:after="0" w:line="240" w:lineRule="auto"/>
        <w:ind w:left="720" w:hanging="720"/>
        <w:rPr>
          <w:rFonts w:ascii="Arial" w:hAnsi="Arial" w:cs="Arial"/>
          <w:sz w:val="20"/>
          <w:szCs w:val="20"/>
          <w:lang w:val="en-ZA"/>
        </w:rPr>
      </w:pPr>
    </w:p>
    <w:p w:rsidR="00E05CE4" w:rsidRPr="0087455D" w:rsidRDefault="00E05CE4" w:rsidP="0087455D">
      <w:pPr>
        <w:spacing w:after="0" w:line="240" w:lineRule="auto"/>
        <w:ind w:left="720" w:hanging="720"/>
        <w:rPr>
          <w:rFonts w:ascii="Arial" w:hAnsi="Arial" w:cs="Arial"/>
          <w:sz w:val="20"/>
          <w:szCs w:val="20"/>
          <w:lang w:val="en-ZA"/>
        </w:rPr>
      </w:pPr>
    </w:p>
    <w:p w:rsidR="00E05CE4" w:rsidRPr="0087455D" w:rsidRDefault="00E05CE4" w:rsidP="0087455D">
      <w:pPr>
        <w:spacing w:after="0" w:line="240" w:lineRule="auto"/>
        <w:ind w:left="720" w:hanging="720"/>
        <w:rPr>
          <w:rFonts w:ascii="Arial" w:hAnsi="Arial" w:cs="Arial"/>
          <w:sz w:val="20"/>
          <w:szCs w:val="20"/>
          <w:lang w:val="en-ZA"/>
        </w:rPr>
      </w:pPr>
    </w:p>
    <w:p w:rsidR="00945197" w:rsidRPr="0087455D" w:rsidRDefault="00945197" w:rsidP="0087455D">
      <w:pPr>
        <w:spacing w:after="0" w:line="240" w:lineRule="auto"/>
        <w:ind w:left="720" w:hanging="720"/>
        <w:rPr>
          <w:rFonts w:ascii="Arial" w:hAnsi="Arial" w:cs="Arial"/>
          <w:i/>
          <w:sz w:val="20"/>
          <w:szCs w:val="20"/>
          <w:lang w:val="en-ZA"/>
        </w:rPr>
      </w:pPr>
      <w:r w:rsidRPr="0087455D">
        <w:rPr>
          <w:rFonts w:ascii="Arial" w:hAnsi="Arial" w:cs="Arial"/>
          <w:sz w:val="20"/>
          <w:szCs w:val="20"/>
          <w:lang w:val="en-ZA"/>
        </w:rPr>
        <w:tab/>
      </w:r>
      <w:r w:rsidRPr="0087455D">
        <w:rPr>
          <w:rFonts w:ascii="Arial" w:hAnsi="Arial" w:cs="Arial"/>
          <w:i/>
          <w:sz w:val="20"/>
          <w:szCs w:val="20"/>
          <w:lang w:val="en-ZA"/>
        </w:rPr>
        <w:t>Long Service Awards</w:t>
      </w:r>
    </w:p>
    <w:p w:rsidR="00945197" w:rsidRPr="0087455D" w:rsidRDefault="00945197"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3.3.8</w:t>
      </w:r>
      <w:r w:rsidRPr="0087455D">
        <w:rPr>
          <w:rFonts w:ascii="Arial" w:hAnsi="Arial" w:cs="Arial"/>
          <w:sz w:val="20"/>
          <w:szCs w:val="20"/>
          <w:lang w:val="en-ZA"/>
        </w:rPr>
        <w:tab/>
        <w:t>The long service awards are paid to employees in recognition of their years of service to Parliament. As of 1 April 2019 such awards are monetary. The 5 per cent decrease in the liability from R10 907 million in 2020/21 to R10 357 million in 2021/22 is ascribed to the increase in discount and assumed withdrawal rates of employees before reaching the qualifying period.</w:t>
      </w:r>
    </w:p>
    <w:p w:rsidR="00B26C00" w:rsidRPr="0087455D" w:rsidRDefault="00B26C00" w:rsidP="0087455D">
      <w:pPr>
        <w:spacing w:after="0" w:line="240" w:lineRule="auto"/>
        <w:rPr>
          <w:rFonts w:ascii="Arial" w:eastAsiaTheme="minorEastAsia" w:hAnsi="Arial" w:cs="Arial"/>
          <w:i/>
          <w:kern w:val="24"/>
          <w:sz w:val="20"/>
          <w:szCs w:val="20"/>
          <w:lang w:eastAsia="en-ZA"/>
        </w:rPr>
      </w:pPr>
    </w:p>
    <w:p w:rsidR="00E77D9A" w:rsidRPr="0087455D" w:rsidRDefault="00844229" w:rsidP="0087455D">
      <w:pPr>
        <w:spacing w:after="0" w:line="240" w:lineRule="auto"/>
        <w:ind w:firstLine="720"/>
        <w:rPr>
          <w:rFonts w:ascii="Arial" w:eastAsiaTheme="minorEastAsia" w:hAnsi="Arial" w:cs="Arial"/>
          <w:b/>
          <w:kern w:val="24"/>
          <w:sz w:val="20"/>
          <w:szCs w:val="20"/>
          <w:lang w:eastAsia="en-ZA"/>
        </w:rPr>
      </w:pPr>
      <w:r w:rsidRPr="0087455D">
        <w:rPr>
          <w:rFonts w:ascii="Arial" w:eastAsiaTheme="minorEastAsia" w:hAnsi="Arial" w:cs="Arial"/>
          <w:b/>
          <w:kern w:val="24"/>
          <w:sz w:val="20"/>
          <w:szCs w:val="20"/>
          <w:lang w:eastAsia="en-ZA"/>
        </w:rPr>
        <w:t>Current liabilities</w:t>
      </w:r>
    </w:p>
    <w:p w:rsidR="00844229" w:rsidRPr="0087455D" w:rsidRDefault="00844229" w:rsidP="0087455D">
      <w:pPr>
        <w:spacing w:after="0" w:line="240" w:lineRule="auto"/>
        <w:ind w:firstLine="720"/>
        <w:rPr>
          <w:rFonts w:ascii="Arial" w:eastAsiaTheme="minorEastAsia" w:hAnsi="Arial" w:cs="Arial"/>
          <w:b/>
          <w:kern w:val="24"/>
          <w:sz w:val="20"/>
          <w:szCs w:val="20"/>
          <w:lang w:eastAsia="en-ZA"/>
        </w:rPr>
      </w:pPr>
    </w:p>
    <w:p w:rsidR="00945197" w:rsidRPr="0087455D" w:rsidRDefault="00945197" w:rsidP="0087455D">
      <w:pPr>
        <w:spacing w:after="0" w:line="240" w:lineRule="auto"/>
        <w:ind w:firstLine="720"/>
        <w:rPr>
          <w:rFonts w:ascii="Arial" w:eastAsiaTheme="minorEastAsia" w:hAnsi="Arial" w:cs="Arial"/>
          <w:i/>
          <w:kern w:val="24"/>
          <w:sz w:val="20"/>
          <w:szCs w:val="20"/>
          <w:lang w:eastAsia="en-ZA"/>
        </w:rPr>
      </w:pPr>
      <w:r w:rsidRPr="0087455D">
        <w:rPr>
          <w:rFonts w:ascii="Arial" w:eastAsiaTheme="minorEastAsia" w:hAnsi="Arial" w:cs="Arial"/>
          <w:i/>
          <w:kern w:val="24"/>
          <w:sz w:val="20"/>
          <w:szCs w:val="20"/>
          <w:lang w:eastAsia="en-ZA"/>
        </w:rPr>
        <w:t>Finance lease obligations</w:t>
      </w:r>
    </w:p>
    <w:p w:rsidR="00945197" w:rsidRPr="0087455D" w:rsidRDefault="00790A4C"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3.3.9</w:t>
      </w:r>
      <w:r w:rsidRPr="0087455D">
        <w:rPr>
          <w:rFonts w:ascii="Arial" w:eastAsiaTheme="minorEastAsia" w:hAnsi="Arial" w:cs="Arial"/>
          <w:kern w:val="24"/>
          <w:sz w:val="20"/>
          <w:szCs w:val="20"/>
          <w:lang w:eastAsia="en-ZA"/>
        </w:rPr>
        <w:tab/>
      </w:r>
      <w:r w:rsidR="00945197" w:rsidRPr="0087455D">
        <w:rPr>
          <w:rFonts w:ascii="Arial" w:eastAsiaTheme="minorEastAsia" w:hAnsi="Arial" w:cs="Arial"/>
          <w:kern w:val="24"/>
          <w:sz w:val="20"/>
          <w:szCs w:val="20"/>
          <w:lang w:eastAsia="en-ZA"/>
        </w:rPr>
        <w:t>The finance lease liability comprises</w:t>
      </w:r>
      <w:r w:rsidRPr="0087455D">
        <w:rPr>
          <w:rFonts w:ascii="Arial" w:eastAsiaTheme="minorEastAsia" w:hAnsi="Arial" w:cs="Arial"/>
          <w:kern w:val="24"/>
          <w:sz w:val="20"/>
          <w:szCs w:val="20"/>
          <w:lang w:eastAsia="en-ZA"/>
        </w:rPr>
        <w:t xml:space="preserve"> the cell</w:t>
      </w:r>
      <w:r w:rsidR="00945197" w:rsidRPr="0087455D">
        <w:rPr>
          <w:rFonts w:ascii="Arial" w:eastAsiaTheme="minorEastAsia" w:hAnsi="Arial" w:cs="Arial"/>
          <w:kern w:val="24"/>
          <w:sz w:val="20"/>
          <w:szCs w:val="20"/>
          <w:lang w:eastAsia="en-ZA"/>
        </w:rPr>
        <w:t>phone, tablet and modem contracts</w:t>
      </w:r>
      <w:r w:rsidR="00844229" w:rsidRPr="0087455D">
        <w:rPr>
          <w:rFonts w:ascii="Arial" w:eastAsiaTheme="minorEastAsia" w:hAnsi="Arial" w:cs="Arial"/>
          <w:kern w:val="24"/>
          <w:sz w:val="20"/>
          <w:szCs w:val="20"/>
          <w:lang w:eastAsia="en-ZA"/>
        </w:rPr>
        <w:t>,</w:t>
      </w:r>
      <w:r w:rsidR="00945197" w:rsidRPr="0087455D">
        <w:rPr>
          <w:rFonts w:ascii="Arial" w:eastAsiaTheme="minorEastAsia" w:hAnsi="Arial" w:cs="Arial"/>
          <w:kern w:val="24"/>
          <w:sz w:val="20"/>
          <w:szCs w:val="20"/>
          <w:lang w:eastAsia="en-ZA"/>
        </w:rPr>
        <w:t xml:space="preserve"> and laptops for parliamentarians and employees. The average lease term was two years. The increase of 24,40 per cent, from R5,898 million in 2020/21 to R</w:t>
      </w:r>
      <w:r w:rsidRPr="0087455D">
        <w:rPr>
          <w:rFonts w:ascii="Arial" w:eastAsiaTheme="minorEastAsia" w:hAnsi="Arial" w:cs="Arial"/>
          <w:kern w:val="24"/>
          <w:sz w:val="20"/>
          <w:szCs w:val="20"/>
          <w:lang w:eastAsia="en-ZA"/>
        </w:rPr>
        <w:t xml:space="preserve">7,337 million in 2021/22, </w:t>
      </w:r>
      <w:r w:rsidR="00945197" w:rsidRPr="0087455D">
        <w:rPr>
          <w:rFonts w:ascii="Arial" w:eastAsiaTheme="minorEastAsia" w:hAnsi="Arial" w:cs="Arial"/>
          <w:kern w:val="24"/>
          <w:sz w:val="20"/>
          <w:szCs w:val="20"/>
          <w:lang w:eastAsia="en-ZA"/>
        </w:rPr>
        <w:t>is due</w:t>
      </w:r>
      <w:r w:rsidR="00844229" w:rsidRPr="0087455D">
        <w:rPr>
          <w:rFonts w:ascii="Arial" w:eastAsiaTheme="minorEastAsia" w:hAnsi="Arial" w:cs="Arial"/>
          <w:kern w:val="24"/>
          <w:sz w:val="20"/>
          <w:szCs w:val="20"/>
          <w:lang w:eastAsia="en-ZA"/>
        </w:rPr>
        <w:t xml:space="preserve"> to</w:t>
      </w:r>
      <w:r w:rsidR="00945197" w:rsidRPr="0087455D">
        <w:rPr>
          <w:rFonts w:ascii="Arial" w:eastAsiaTheme="minorEastAsia" w:hAnsi="Arial" w:cs="Arial"/>
          <w:kern w:val="24"/>
          <w:sz w:val="20"/>
          <w:szCs w:val="20"/>
          <w:lang w:eastAsia="en-ZA"/>
        </w:rPr>
        <w:t xml:space="preserve"> the increase and renewal of the lease con</w:t>
      </w:r>
      <w:r w:rsidRPr="0087455D">
        <w:rPr>
          <w:rFonts w:ascii="Arial" w:eastAsiaTheme="minorEastAsia" w:hAnsi="Arial" w:cs="Arial"/>
          <w:kern w:val="24"/>
          <w:sz w:val="20"/>
          <w:szCs w:val="20"/>
          <w:lang w:eastAsia="en-ZA"/>
        </w:rPr>
        <w:t>tracts for cell</w:t>
      </w:r>
      <w:r w:rsidR="00945197" w:rsidRPr="0087455D">
        <w:rPr>
          <w:rFonts w:ascii="Arial" w:eastAsiaTheme="minorEastAsia" w:hAnsi="Arial" w:cs="Arial"/>
          <w:kern w:val="24"/>
          <w:sz w:val="20"/>
          <w:szCs w:val="20"/>
          <w:lang w:eastAsia="en-ZA"/>
        </w:rPr>
        <w:t>phones and laptops/tablets.</w:t>
      </w:r>
    </w:p>
    <w:p w:rsidR="00790A4C" w:rsidRPr="0087455D" w:rsidRDefault="00790A4C" w:rsidP="0087455D">
      <w:pPr>
        <w:spacing w:after="0" w:line="240" w:lineRule="auto"/>
        <w:ind w:left="720" w:hanging="720"/>
        <w:rPr>
          <w:rFonts w:ascii="Arial" w:eastAsiaTheme="minorEastAsia" w:hAnsi="Arial" w:cs="Arial"/>
          <w:kern w:val="24"/>
          <w:sz w:val="20"/>
          <w:szCs w:val="20"/>
          <w:lang w:eastAsia="en-ZA"/>
        </w:rPr>
      </w:pPr>
    </w:p>
    <w:p w:rsidR="00790A4C" w:rsidRPr="0087455D" w:rsidRDefault="00790A4C" w:rsidP="0087455D">
      <w:pPr>
        <w:spacing w:after="0" w:line="240" w:lineRule="auto"/>
        <w:ind w:left="720" w:hanging="720"/>
        <w:rPr>
          <w:rFonts w:ascii="Arial" w:eastAsiaTheme="minorEastAsia" w:hAnsi="Arial" w:cs="Arial"/>
          <w:i/>
          <w:kern w:val="24"/>
          <w:sz w:val="20"/>
          <w:szCs w:val="20"/>
          <w:lang w:eastAsia="en-ZA"/>
        </w:rPr>
      </w:pPr>
      <w:r w:rsidRPr="0087455D">
        <w:rPr>
          <w:rFonts w:ascii="Arial" w:eastAsiaTheme="minorEastAsia" w:hAnsi="Arial" w:cs="Arial"/>
          <w:kern w:val="24"/>
          <w:sz w:val="20"/>
          <w:szCs w:val="20"/>
          <w:lang w:eastAsia="en-ZA"/>
        </w:rPr>
        <w:tab/>
      </w:r>
      <w:r w:rsidRPr="0087455D">
        <w:rPr>
          <w:rFonts w:ascii="Arial" w:eastAsiaTheme="minorEastAsia" w:hAnsi="Arial" w:cs="Arial"/>
          <w:i/>
          <w:kern w:val="24"/>
          <w:sz w:val="20"/>
          <w:szCs w:val="20"/>
          <w:lang w:eastAsia="en-ZA"/>
        </w:rPr>
        <w:t>Payables from Exchange Transactions</w:t>
      </w:r>
    </w:p>
    <w:p w:rsidR="00790A4C" w:rsidRPr="0087455D" w:rsidRDefault="00790A4C"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3.3.10</w:t>
      </w:r>
      <w:r w:rsidRPr="0087455D">
        <w:rPr>
          <w:rFonts w:ascii="Arial" w:eastAsiaTheme="minorEastAsia" w:hAnsi="Arial" w:cs="Arial"/>
          <w:kern w:val="24"/>
          <w:sz w:val="20"/>
          <w:szCs w:val="20"/>
          <w:lang w:eastAsia="en-ZA"/>
        </w:rPr>
        <w:tab/>
        <w:t>These are all monies owed to service providers for goods and services provided. The 17 per ce</w:t>
      </w:r>
      <w:r w:rsidR="00844229" w:rsidRPr="0087455D">
        <w:rPr>
          <w:rFonts w:ascii="Arial" w:eastAsiaTheme="minorEastAsia" w:hAnsi="Arial" w:cs="Arial"/>
          <w:kern w:val="24"/>
          <w:sz w:val="20"/>
          <w:szCs w:val="20"/>
          <w:lang w:eastAsia="en-ZA"/>
        </w:rPr>
        <w:t>nt increase from R44,</w:t>
      </w:r>
      <w:r w:rsidRPr="0087455D">
        <w:rPr>
          <w:rFonts w:ascii="Arial" w:eastAsiaTheme="minorEastAsia" w:hAnsi="Arial" w:cs="Arial"/>
          <w:kern w:val="24"/>
          <w:sz w:val="20"/>
          <w:szCs w:val="20"/>
          <w:lang w:eastAsia="en-ZA"/>
        </w:rPr>
        <w:t>043 million in 2020/21 to R51,477 million in 2021/22 was due to services rendered close to the end of the year for which some service providers did not provide invoices and could therefore not be paid.</w:t>
      </w:r>
    </w:p>
    <w:p w:rsidR="00790A4C" w:rsidRPr="0087455D" w:rsidRDefault="00790A4C" w:rsidP="0087455D">
      <w:pPr>
        <w:spacing w:after="0" w:line="240" w:lineRule="auto"/>
        <w:ind w:left="720" w:hanging="720"/>
        <w:rPr>
          <w:rFonts w:ascii="Arial" w:eastAsiaTheme="minorEastAsia" w:hAnsi="Arial" w:cs="Arial"/>
          <w:kern w:val="24"/>
          <w:sz w:val="20"/>
          <w:szCs w:val="20"/>
          <w:lang w:eastAsia="en-ZA"/>
        </w:rPr>
      </w:pPr>
    </w:p>
    <w:p w:rsidR="00790A4C" w:rsidRPr="0087455D" w:rsidRDefault="00790A4C" w:rsidP="0087455D">
      <w:pPr>
        <w:spacing w:after="0" w:line="240" w:lineRule="auto"/>
        <w:ind w:left="720"/>
        <w:rPr>
          <w:rFonts w:ascii="Arial" w:eastAsiaTheme="minorEastAsia" w:hAnsi="Arial" w:cs="Arial"/>
          <w:i/>
          <w:kern w:val="24"/>
          <w:sz w:val="20"/>
          <w:szCs w:val="20"/>
          <w:lang w:eastAsia="en-ZA"/>
        </w:rPr>
      </w:pPr>
      <w:r w:rsidRPr="0087455D">
        <w:rPr>
          <w:rFonts w:ascii="Arial" w:eastAsiaTheme="minorEastAsia" w:hAnsi="Arial" w:cs="Arial"/>
          <w:i/>
          <w:kern w:val="24"/>
          <w:sz w:val="20"/>
          <w:szCs w:val="20"/>
          <w:lang w:eastAsia="en-ZA"/>
        </w:rPr>
        <w:t>Payables from non-exchange transactions</w:t>
      </w:r>
    </w:p>
    <w:p w:rsidR="00790A4C" w:rsidRPr="0087455D" w:rsidRDefault="00790A4C"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3.3.11</w:t>
      </w:r>
      <w:r w:rsidRPr="0087455D">
        <w:rPr>
          <w:rFonts w:ascii="Arial" w:eastAsiaTheme="minorEastAsia" w:hAnsi="Arial" w:cs="Arial"/>
          <w:kern w:val="24"/>
          <w:sz w:val="20"/>
          <w:szCs w:val="20"/>
          <w:lang w:eastAsia="en-ZA"/>
        </w:rPr>
        <w:tab/>
        <w:t>Payables from non</w:t>
      </w:r>
      <w:r w:rsidR="00844229" w:rsidRPr="0087455D">
        <w:rPr>
          <w:rFonts w:ascii="Arial" w:eastAsiaTheme="minorEastAsia" w:hAnsi="Arial" w:cs="Arial"/>
          <w:kern w:val="24"/>
          <w:sz w:val="20"/>
          <w:szCs w:val="20"/>
          <w:lang w:eastAsia="en-ZA"/>
        </w:rPr>
        <w:t>-exchange transactions comprise</w:t>
      </w:r>
      <w:r w:rsidRPr="0087455D">
        <w:rPr>
          <w:rFonts w:ascii="Arial" w:eastAsiaTheme="minorEastAsia" w:hAnsi="Arial" w:cs="Arial"/>
          <w:kern w:val="24"/>
          <w:sz w:val="20"/>
          <w:szCs w:val="20"/>
          <w:lang w:eastAsia="en-ZA"/>
        </w:rPr>
        <w:t xml:space="preserve"> disability support an</w:t>
      </w:r>
      <w:r w:rsidR="00844229" w:rsidRPr="0087455D">
        <w:rPr>
          <w:rFonts w:ascii="Arial" w:eastAsiaTheme="minorEastAsia" w:hAnsi="Arial" w:cs="Arial"/>
          <w:kern w:val="24"/>
          <w:sz w:val="20"/>
          <w:szCs w:val="20"/>
          <w:lang w:eastAsia="en-ZA"/>
        </w:rPr>
        <w:t>d political party transfers</w:t>
      </w:r>
      <w:r w:rsidRPr="0087455D">
        <w:rPr>
          <w:rFonts w:ascii="Arial" w:eastAsiaTheme="minorEastAsia" w:hAnsi="Arial" w:cs="Arial"/>
          <w:kern w:val="24"/>
          <w:sz w:val="20"/>
          <w:szCs w:val="20"/>
          <w:lang w:eastAsia="en-ZA"/>
        </w:rPr>
        <w:t xml:space="preserve"> provided to political parties represented in Parliament. The 49 per cent decrease from R5,654 million in 2020/21 to R2,894 million in 2021/22 was due to a decrease in the demand for disability support, and one party not receiving its transfer before the end of the financial year.</w:t>
      </w:r>
    </w:p>
    <w:p w:rsidR="00790A4C" w:rsidRPr="0087455D" w:rsidRDefault="00790A4C" w:rsidP="0087455D">
      <w:pPr>
        <w:spacing w:after="0" w:line="240" w:lineRule="auto"/>
        <w:ind w:left="720" w:hanging="720"/>
        <w:rPr>
          <w:rFonts w:ascii="Arial" w:eastAsiaTheme="minorEastAsia" w:hAnsi="Arial" w:cs="Arial"/>
          <w:kern w:val="24"/>
          <w:sz w:val="20"/>
          <w:szCs w:val="20"/>
          <w:lang w:eastAsia="en-ZA"/>
        </w:rPr>
      </w:pPr>
    </w:p>
    <w:p w:rsidR="00E05CE4" w:rsidRPr="0087455D" w:rsidRDefault="00E05CE4" w:rsidP="0087455D">
      <w:pPr>
        <w:spacing w:after="0" w:line="240" w:lineRule="auto"/>
        <w:ind w:left="720" w:hanging="720"/>
        <w:rPr>
          <w:rFonts w:ascii="Arial" w:eastAsiaTheme="minorEastAsia" w:hAnsi="Arial" w:cs="Arial"/>
          <w:kern w:val="24"/>
          <w:sz w:val="20"/>
          <w:szCs w:val="20"/>
          <w:lang w:eastAsia="en-ZA"/>
        </w:rPr>
      </w:pPr>
    </w:p>
    <w:p w:rsidR="00E05CE4" w:rsidRPr="0087455D" w:rsidRDefault="00E05CE4" w:rsidP="0087455D">
      <w:pPr>
        <w:spacing w:after="0" w:line="240" w:lineRule="auto"/>
        <w:ind w:left="720" w:hanging="720"/>
        <w:rPr>
          <w:rFonts w:ascii="Arial" w:eastAsiaTheme="minorEastAsia" w:hAnsi="Arial" w:cs="Arial"/>
          <w:kern w:val="24"/>
          <w:sz w:val="20"/>
          <w:szCs w:val="20"/>
          <w:lang w:eastAsia="en-ZA"/>
        </w:rPr>
      </w:pPr>
    </w:p>
    <w:p w:rsidR="00E05CE4" w:rsidRPr="0087455D" w:rsidRDefault="00E05CE4" w:rsidP="0087455D">
      <w:pPr>
        <w:spacing w:after="0" w:line="240" w:lineRule="auto"/>
        <w:ind w:left="720" w:hanging="720"/>
        <w:rPr>
          <w:rFonts w:ascii="Arial" w:eastAsiaTheme="minorEastAsia" w:hAnsi="Arial" w:cs="Arial"/>
          <w:kern w:val="24"/>
          <w:sz w:val="20"/>
          <w:szCs w:val="20"/>
          <w:lang w:eastAsia="en-ZA"/>
        </w:rPr>
      </w:pPr>
    </w:p>
    <w:p w:rsidR="00790A4C" w:rsidRPr="0087455D" w:rsidRDefault="00790A4C" w:rsidP="0087455D">
      <w:pPr>
        <w:spacing w:after="0" w:line="240" w:lineRule="auto"/>
        <w:ind w:left="720" w:hanging="720"/>
        <w:rPr>
          <w:rFonts w:ascii="Arial" w:eastAsiaTheme="minorEastAsia" w:hAnsi="Arial" w:cs="Arial"/>
          <w:i/>
          <w:kern w:val="24"/>
          <w:sz w:val="20"/>
          <w:szCs w:val="20"/>
          <w:lang w:eastAsia="en-ZA"/>
        </w:rPr>
      </w:pPr>
      <w:r w:rsidRPr="0087455D">
        <w:rPr>
          <w:rFonts w:ascii="Arial" w:eastAsiaTheme="minorEastAsia" w:hAnsi="Arial" w:cs="Arial"/>
          <w:kern w:val="24"/>
          <w:sz w:val="20"/>
          <w:szCs w:val="20"/>
          <w:lang w:eastAsia="en-ZA"/>
        </w:rPr>
        <w:tab/>
      </w:r>
      <w:r w:rsidRPr="0087455D">
        <w:rPr>
          <w:rFonts w:ascii="Arial" w:eastAsiaTheme="minorEastAsia" w:hAnsi="Arial" w:cs="Arial"/>
          <w:i/>
          <w:kern w:val="24"/>
          <w:sz w:val="20"/>
          <w:szCs w:val="20"/>
          <w:lang w:eastAsia="en-ZA"/>
        </w:rPr>
        <w:t>Current employee benefits</w:t>
      </w:r>
    </w:p>
    <w:p w:rsidR="00790A4C" w:rsidRPr="0087455D" w:rsidRDefault="00790A4C"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3.3.12</w:t>
      </w:r>
      <w:r w:rsidRPr="0087455D">
        <w:rPr>
          <w:rFonts w:ascii="Arial" w:eastAsiaTheme="minorEastAsia" w:hAnsi="Arial" w:cs="Arial"/>
          <w:kern w:val="24"/>
          <w:sz w:val="20"/>
          <w:szCs w:val="20"/>
          <w:lang w:eastAsia="en-ZA"/>
        </w:rPr>
        <w:tab/>
        <w:t>C</w:t>
      </w:r>
      <w:r w:rsidR="00E944C8" w:rsidRPr="0087455D">
        <w:rPr>
          <w:rFonts w:ascii="Arial" w:eastAsiaTheme="minorEastAsia" w:hAnsi="Arial" w:cs="Arial"/>
          <w:kern w:val="24"/>
          <w:sz w:val="20"/>
          <w:szCs w:val="20"/>
          <w:lang w:eastAsia="en-ZA"/>
        </w:rPr>
        <w:t>urrent employee benefits are the</w:t>
      </w:r>
      <w:r w:rsidRPr="0087455D">
        <w:rPr>
          <w:rFonts w:ascii="Arial" w:eastAsiaTheme="minorEastAsia" w:hAnsi="Arial" w:cs="Arial"/>
          <w:kern w:val="24"/>
          <w:sz w:val="20"/>
          <w:szCs w:val="20"/>
          <w:lang w:eastAsia="en-ZA"/>
        </w:rPr>
        <w:t xml:space="preserve"> short term benefits owed to staff for the services rendered</w:t>
      </w:r>
      <w:r w:rsidR="00E944C8" w:rsidRPr="0087455D">
        <w:rPr>
          <w:rFonts w:ascii="Arial" w:eastAsiaTheme="minorEastAsia" w:hAnsi="Arial" w:cs="Arial"/>
          <w:kern w:val="24"/>
          <w:sz w:val="20"/>
          <w:szCs w:val="20"/>
          <w:lang w:eastAsia="en-ZA"/>
        </w:rPr>
        <w:t xml:space="preserve"> and include</w:t>
      </w:r>
      <w:r w:rsidRPr="0087455D">
        <w:rPr>
          <w:rFonts w:ascii="Arial" w:eastAsiaTheme="minorEastAsia" w:hAnsi="Arial" w:cs="Arial"/>
          <w:kern w:val="24"/>
          <w:sz w:val="20"/>
          <w:szCs w:val="20"/>
          <w:lang w:eastAsia="en-ZA"/>
        </w:rPr>
        <w:t xml:space="preserve"> </w:t>
      </w:r>
      <w:r w:rsidR="00E944C8" w:rsidRPr="0087455D">
        <w:rPr>
          <w:rFonts w:ascii="Arial" w:eastAsiaTheme="minorEastAsia" w:hAnsi="Arial" w:cs="Arial"/>
          <w:kern w:val="24"/>
          <w:sz w:val="20"/>
          <w:szCs w:val="20"/>
          <w:lang w:eastAsia="en-ZA"/>
        </w:rPr>
        <w:t xml:space="preserve">provisions for leave liability, </w:t>
      </w:r>
      <w:r w:rsidRPr="0087455D">
        <w:rPr>
          <w:rFonts w:ascii="Arial" w:eastAsiaTheme="minorEastAsia" w:hAnsi="Arial" w:cs="Arial"/>
          <w:kern w:val="24"/>
          <w:sz w:val="20"/>
          <w:szCs w:val="20"/>
          <w:lang w:eastAsia="en-ZA"/>
        </w:rPr>
        <w:t>performance bonus</w:t>
      </w:r>
      <w:r w:rsidR="00E944C8" w:rsidRPr="0087455D">
        <w:rPr>
          <w:rFonts w:ascii="Arial" w:eastAsiaTheme="minorEastAsia" w:hAnsi="Arial" w:cs="Arial"/>
          <w:kern w:val="24"/>
          <w:sz w:val="20"/>
          <w:szCs w:val="20"/>
          <w:lang w:eastAsia="en-ZA"/>
        </w:rPr>
        <w:t xml:space="preserve">es, </w:t>
      </w:r>
      <w:r w:rsidRPr="0087455D">
        <w:rPr>
          <w:rFonts w:ascii="Arial" w:eastAsiaTheme="minorEastAsia" w:hAnsi="Arial" w:cs="Arial"/>
          <w:kern w:val="24"/>
          <w:sz w:val="20"/>
          <w:szCs w:val="20"/>
          <w:lang w:eastAsia="en-ZA"/>
        </w:rPr>
        <w:t>salary savings, long service awards and overtime worked</w:t>
      </w:r>
      <w:r w:rsidR="00E944C8" w:rsidRPr="0087455D">
        <w:rPr>
          <w:rFonts w:ascii="Arial" w:eastAsiaTheme="minorEastAsia" w:hAnsi="Arial" w:cs="Arial"/>
          <w:kern w:val="24"/>
          <w:sz w:val="20"/>
          <w:szCs w:val="20"/>
          <w:lang w:eastAsia="en-ZA"/>
        </w:rPr>
        <w:t xml:space="preserve">, and will be </w:t>
      </w:r>
      <w:r w:rsidRPr="0087455D">
        <w:rPr>
          <w:rFonts w:ascii="Arial" w:eastAsiaTheme="minorEastAsia" w:hAnsi="Arial" w:cs="Arial"/>
          <w:kern w:val="24"/>
          <w:sz w:val="20"/>
          <w:szCs w:val="20"/>
          <w:lang w:eastAsia="en-ZA"/>
        </w:rPr>
        <w:t>paid during the following year</w:t>
      </w:r>
      <w:r w:rsidR="00E944C8" w:rsidRPr="0087455D">
        <w:rPr>
          <w:rFonts w:ascii="Arial" w:eastAsiaTheme="minorEastAsia" w:hAnsi="Arial" w:cs="Arial"/>
          <w:kern w:val="24"/>
          <w:sz w:val="20"/>
          <w:szCs w:val="20"/>
          <w:lang w:eastAsia="en-ZA"/>
        </w:rPr>
        <w:t>,</w:t>
      </w:r>
      <w:r w:rsidRPr="0087455D">
        <w:rPr>
          <w:rFonts w:ascii="Arial" w:eastAsiaTheme="minorEastAsia" w:hAnsi="Arial" w:cs="Arial"/>
          <w:kern w:val="24"/>
          <w:sz w:val="20"/>
          <w:szCs w:val="20"/>
          <w:lang w:eastAsia="en-ZA"/>
        </w:rPr>
        <w:t xml:space="preserve"> and any other monies owed to staff for services rendered. This also includes Members’ benefits for gratuities</w:t>
      </w:r>
      <w:r w:rsidR="00844229" w:rsidRPr="0087455D">
        <w:rPr>
          <w:rFonts w:ascii="Arial" w:eastAsiaTheme="minorEastAsia" w:hAnsi="Arial" w:cs="Arial"/>
          <w:kern w:val="24"/>
          <w:sz w:val="20"/>
          <w:szCs w:val="20"/>
          <w:lang w:eastAsia="en-ZA"/>
        </w:rPr>
        <w:t xml:space="preserve">, current post </w:t>
      </w:r>
      <w:r w:rsidR="00E944C8" w:rsidRPr="0087455D">
        <w:rPr>
          <w:rFonts w:ascii="Arial" w:eastAsiaTheme="minorEastAsia" w:hAnsi="Arial" w:cs="Arial"/>
          <w:kern w:val="24"/>
          <w:sz w:val="20"/>
          <w:szCs w:val="20"/>
          <w:lang w:eastAsia="en-ZA"/>
        </w:rPr>
        <w:t xml:space="preserve">medical benefits </w:t>
      </w:r>
      <w:r w:rsidRPr="0087455D">
        <w:rPr>
          <w:rFonts w:ascii="Arial" w:eastAsiaTheme="minorEastAsia" w:hAnsi="Arial" w:cs="Arial"/>
          <w:kern w:val="24"/>
          <w:sz w:val="20"/>
          <w:szCs w:val="20"/>
          <w:lang w:eastAsia="en-ZA"/>
        </w:rPr>
        <w:t>and curren</w:t>
      </w:r>
      <w:r w:rsidR="00E944C8" w:rsidRPr="0087455D">
        <w:rPr>
          <w:rFonts w:ascii="Arial" w:eastAsiaTheme="minorEastAsia" w:hAnsi="Arial" w:cs="Arial"/>
          <w:kern w:val="24"/>
          <w:sz w:val="20"/>
          <w:szCs w:val="20"/>
          <w:lang w:eastAsia="en-ZA"/>
        </w:rPr>
        <w:t xml:space="preserve">t travel benefits. </w:t>
      </w:r>
    </w:p>
    <w:p w:rsidR="00790A4C" w:rsidRPr="0087455D" w:rsidRDefault="00790A4C"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3.3.13</w:t>
      </w:r>
      <w:r w:rsidRPr="0087455D">
        <w:rPr>
          <w:rFonts w:ascii="Arial" w:eastAsiaTheme="minorEastAsia" w:hAnsi="Arial" w:cs="Arial"/>
          <w:kern w:val="24"/>
          <w:sz w:val="20"/>
          <w:szCs w:val="20"/>
          <w:lang w:eastAsia="en-ZA"/>
        </w:rPr>
        <w:tab/>
      </w:r>
      <w:r w:rsidR="00E944C8" w:rsidRPr="0087455D">
        <w:rPr>
          <w:rFonts w:ascii="Arial" w:eastAsiaTheme="minorEastAsia" w:hAnsi="Arial" w:cs="Arial"/>
          <w:kern w:val="24"/>
          <w:sz w:val="20"/>
          <w:szCs w:val="20"/>
          <w:lang w:eastAsia="en-ZA"/>
        </w:rPr>
        <w:t xml:space="preserve">There was an increase of 5 per cent in the employee benefit liability i.e. from R97,147 million in 2020/21 to R101,857 million in 2021/22. </w:t>
      </w:r>
      <w:r w:rsidR="00395F98" w:rsidRPr="0087455D">
        <w:rPr>
          <w:rFonts w:ascii="Arial" w:eastAsiaTheme="minorEastAsia" w:hAnsi="Arial" w:cs="Arial"/>
          <w:kern w:val="24"/>
          <w:sz w:val="20"/>
          <w:szCs w:val="20"/>
          <w:lang w:eastAsia="en-ZA"/>
        </w:rPr>
        <w:t xml:space="preserve">The increase was due </w:t>
      </w:r>
      <w:r w:rsidRPr="0087455D">
        <w:rPr>
          <w:rFonts w:ascii="Arial" w:eastAsiaTheme="minorEastAsia" w:hAnsi="Arial" w:cs="Arial"/>
          <w:kern w:val="24"/>
          <w:sz w:val="20"/>
          <w:szCs w:val="20"/>
          <w:lang w:eastAsia="en-ZA"/>
        </w:rPr>
        <w:t>to provision made for performance bonus</w:t>
      </w:r>
      <w:r w:rsidR="00395F98" w:rsidRPr="0087455D">
        <w:rPr>
          <w:rFonts w:ascii="Arial" w:eastAsiaTheme="minorEastAsia" w:hAnsi="Arial" w:cs="Arial"/>
          <w:kern w:val="24"/>
          <w:sz w:val="20"/>
          <w:szCs w:val="20"/>
          <w:lang w:eastAsia="en-ZA"/>
        </w:rPr>
        <w:t xml:space="preserve">es not paid in the </w:t>
      </w:r>
      <w:r w:rsidRPr="0087455D">
        <w:rPr>
          <w:rFonts w:ascii="Arial" w:eastAsiaTheme="minorEastAsia" w:hAnsi="Arial" w:cs="Arial"/>
          <w:kern w:val="24"/>
          <w:sz w:val="20"/>
          <w:szCs w:val="20"/>
          <w:lang w:eastAsia="en-ZA"/>
        </w:rPr>
        <w:t xml:space="preserve">prior year, </w:t>
      </w:r>
      <w:r w:rsidR="00395F98" w:rsidRPr="0087455D">
        <w:rPr>
          <w:rFonts w:ascii="Arial" w:eastAsiaTheme="minorEastAsia" w:hAnsi="Arial" w:cs="Arial"/>
          <w:kern w:val="24"/>
          <w:sz w:val="20"/>
          <w:szCs w:val="20"/>
          <w:lang w:eastAsia="en-ZA"/>
        </w:rPr>
        <w:t xml:space="preserve">an </w:t>
      </w:r>
      <w:r w:rsidRPr="0087455D">
        <w:rPr>
          <w:rFonts w:ascii="Arial" w:eastAsiaTheme="minorEastAsia" w:hAnsi="Arial" w:cs="Arial"/>
          <w:kern w:val="24"/>
          <w:sz w:val="20"/>
          <w:szCs w:val="20"/>
          <w:lang w:eastAsia="en-ZA"/>
        </w:rPr>
        <w:t>inc</w:t>
      </w:r>
      <w:r w:rsidR="00395F98" w:rsidRPr="0087455D">
        <w:rPr>
          <w:rFonts w:ascii="Arial" w:eastAsiaTheme="minorEastAsia" w:hAnsi="Arial" w:cs="Arial"/>
          <w:kern w:val="24"/>
          <w:sz w:val="20"/>
          <w:szCs w:val="20"/>
          <w:lang w:eastAsia="en-ZA"/>
        </w:rPr>
        <w:t>rease in overtime not paid by</w:t>
      </w:r>
      <w:r w:rsidR="00844229" w:rsidRPr="0087455D">
        <w:rPr>
          <w:rFonts w:ascii="Arial" w:eastAsiaTheme="minorEastAsia" w:hAnsi="Arial" w:cs="Arial"/>
          <w:kern w:val="24"/>
          <w:sz w:val="20"/>
          <w:szCs w:val="20"/>
          <w:lang w:eastAsia="en-ZA"/>
        </w:rPr>
        <w:t xml:space="preserve"> year-</w:t>
      </w:r>
      <w:r w:rsidRPr="0087455D">
        <w:rPr>
          <w:rFonts w:ascii="Arial" w:eastAsiaTheme="minorEastAsia" w:hAnsi="Arial" w:cs="Arial"/>
          <w:kern w:val="24"/>
          <w:sz w:val="20"/>
          <w:szCs w:val="20"/>
          <w:lang w:eastAsia="en-ZA"/>
        </w:rPr>
        <w:t>end and</w:t>
      </w:r>
      <w:r w:rsidR="00395F98" w:rsidRPr="0087455D">
        <w:rPr>
          <w:rFonts w:ascii="Arial" w:eastAsiaTheme="minorEastAsia" w:hAnsi="Arial" w:cs="Arial"/>
          <w:kern w:val="24"/>
          <w:sz w:val="20"/>
          <w:szCs w:val="20"/>
          <w:lang w:eastAsia="en-ZA"/>
        </w:rPr>
        <w:t xml:space="preserve"> an</w:t>
      </w:r>
      <w:r w:rsidRPr="0087455D">
        <w:rPr>
          <w:rFonts w:ascii="Arial" w:eastAsiaTheme="minorEastAsia" w:hAnsi="Arial" w:cs="Arial"/>
          <w:kern w:val="24"/>
          <w:sz w:val="20"/>
          <w:szCs w:val="20"/>
          <w:lang w:eastAsia="en-ZA"/>
        </w:rPr>
        <w:t xml:space="preserve"> increase in long service awards </w:t>
      </w:r>
      <w:r w:rsidR="00395F98" w:rsidRPr="0087455D">
        <w:rPr>
          <w:rFonts w:ascii="Arial" w:eastAsiaTheme="minorEastAsia" w:hAnsi="Arial" w:cs="Arial"/>
          <w:kern w:val="24"/>
          <w:sz w:val="20"/>
          <w:szCs w:val="20"/>
          <w:lang w:eastAsia="en-ZA"/>
        </w:rPr>
        <w:t>to qualifying employees</w:t>
      </w:r>
      <w:r w:rsidRPr="0087455D">
        <w:rPr>
          <w:rFonts w:ascii="Arial" w:eastAsiaTheme="minorEastAsia" w:hAnsi="Arial" w:cs="Arial"/>
          <w:kern w:val="24"/>
          <w:sz w:val="20"/>
          <w:szCs w:val="20"/>
          <w:lang w:eastAsia="en-ZA"/>
        </w:rPr>
        <w:t>.</w:t>
      </w:r>
    </w:p>
    <w:p w:rsidR="00790A4C" w:rsidRPr="0087455D" w:rsidRDefault="00E944C8"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3.3.14</w:t>
      </w:r>
      <w:r w:rsidRPr="0087455D">
        <w:rPr>
          <w:rFonts w:ascii="Arial" w:eastAsiaTheme="minorEastAsia" w:hAnsi="Arial" w:cs="Arial"/>
          <w:kern w:val="24"/>
          <w:sz w:val="20"/>
          <w:szCs w:val="20"/>
          <w:lang w:eastAsia="en-ZA"/>
        </w:rPr>
        <w:tab/>
      </w:r>
      <w:r w:rsidR="00395F98" w:rsidRPr="0087455D">
        <w:rPr>
          <w:rFonts w:ascii="Arial" w:eastAsiaTheme="minorEastAsia" w:hAnsi="Arial" w:cs="Arial"/>
          <w:kern w:val="24"/>
          <w:sz w:val="20"/>
          <w:szCs w:val="20"/>
          <w:lang w:eastAsia="en-ZA"/>
        </w:rPr>
        <w:t>Members current benefits increased by 40 per cent from R98,847 million in 2020/21 to R138,391 million in 2021/22. The increase is mostly ascribed to payments expected to be made in the following year in relation to post-retirement</w:t>
      </w:r>
      <w:r w:rsidRPr="0087455D">
        <w:rPr>
          <w:rFonts w:ascii="Arial" w:eastAsiaTheme="minorEastAsia" w:hAnsi="Arial" w:cs="Arial"/>
          <w:kern w:val="24"/>
          <w:sz w:val="20"/>
          <w:szCs w:val="20"/>
          <w:lang w:eastAsia="en-ZA"/>
        </w:rPr>
        <w:t xml:space="preserve"> medical</w:t>
      </w:r>
      <w:r w:rsidR="00395F98" w:rsidRPr="0087455D">
        <w:rPr>
          <w:rFonts w:ascii="Arial" w:eastAsiaTheme="minorEastAsia" w:hAnsi="Arial" w:cs="Arial"/>
          <w:kern w:val="24"/>
          <w:sz w:val="20"/>
          <w:szCs w:val="20"/>
          <w:lang w:eastAsia="en-ZA"/>
        </w:rPr>
        <w:t xml:space="preserve"> aid and</w:t>
      </w:r>
      <w:r w:rsidRPr="0087455D">
        <w:rPr>
          <w:rFonts w:ascii="Arial" w:eastAsiaTheme="minorEastAsia" w:hAnsi="Arial" w:cs="Arial"/>
          <w:kern w:val="24"/>
          <w:sz w:val="20"/>
          <w:szCs w:val="20"/>
          <w:lang w:eastAsia="en-ZA"/>
        </w:rPr>
        <w:t xml:space="preserve"> travel benefits</w:t>
      </w:r>
      <w:r w:rsidR="00844229" w:rsidRPr="0087455D">
        <w:rPr>
          <w:rFonts w:ascii="Arial" w:eastAsiaTheme="minorEastAsia" w:hAnsi="Arial" w:cs="Arial"/>
          <w:kern w:val="24"/>
          <w:sz w:val="20"/>
          <w:szCs w:val="20"/>
          <w:lang w:eastAsia="en-ZA"/>
        </w:rPr>
        <w:t xml:space="preserve">; and </w:t>
      </w:r>
      <w:r w:rsidR="00395F98" w:rsidRPr="0087455D">
        <w:rPr>
          <w:rFonts w:ascii="Arial" w:eastAsiaTheme="minorEastAsia" w:hAnsi="Arial" w:cs="Arial"/>
          <w:kern w:val="24"/>
          <w:sz w:val="20"/>
          <w:szCs w:val="20"/>
          <w:lang w:eastAsia="en-ZA"/>
        </w:rPr>
        <w:t>l</w:t>
      </w:r>
      <w:r w:rsidRPr="0087455D">
        <w:rPr>
          <w:rFonts w:ascii="Arial" w:eastAsiaTheme="minorEastAsia" w:hAnsi="Arial" w:cs="Arial"/>
          <w:kern w:val="24"/>
          <w:sz w:val="20"/>
          <w:szCs w:val="20"/>
          <w:lang w:eastAsia="en-ZA"/>
        </w:rPr>
        <w:t>oss of office gratuity</w:t>
      </w:r>
      <w:r w:rsidR="00395F98" w:rsidRPr="0087455D">
        <w:rPr>
          <w:rFonts w:ascii="Arial" w:eastAsiaTheme="minorEastAsia" w:hAnsi="Arial" w:cs="Arial"/>
          <w:kern w:val="24"/>
          <w:sz w:val="20"/>
          <w:szCs w:val="20"/>
          <w:lang w:eastAsia="en-ZA"/>
        </w:rPr>
        <w:t xml:space="preserve"> benefits.</w:t>
      </w:r>
    </w:p>
    <w:p w:rsidR="00E05CE4" w:rsidRPr="0087455D" w:rsidRDefault="00E05CE4" w:rsidP="0087455D">
      <w:pPr>
        <w:spacing w:after="0" w:line="240" w:lineRule="auto"/>
        <w:ind w:left="720"/>
        <w:rPr>
          <w:rFonts w:ascii="Arial" w:eastAsiaTheme="minorEastAsia" w:hAnsi="Arial" w:cs="Arial"/>
          <w:i/>
          <w:kern w:val="24"/>
          <w:sz w:val="20"/>
          <w:szCs w:val="20"/>
          <w:lang w:eastAsia="en-ZA"/>
        </w:rPr>
      </w:pPr>
    </w:p>
    <w:p w:rsidR="00395F98" w:rsidRPr="0087455D" w:rsidRDefault="00395F98" w:rsidP="0087455D">
      <w:pPr>
        <w:spacing w:after="0" w:line="240" w:lineRule="auto"/>
        <w:ind w:left="720"/>
        <w:rPr>
          <w:rFonts w:ascii="Arial" w:eastAsiaTheme="minorEastAsia" w:hAnsi="Arial" w:cs="Arial"/>
          <w:i/>
          <w:kern w:val="24"/>
          <w:sz w:val="20"/>
          <w:szCs w:val="20"/>
          <w:lang w:eastAsia="en-ZA"/>
        </w:rPr>
      </w:pPr>
      <w:r w:rsidRPr="0087455D">
        <w:rPr>
          <w:rFonts w:ascii="Arial" w:eastAsiaTheme="minorEastAsia" w:hAnsi="Arial" w:cs="Arial"/>
          <w:i/>
          <w:kern w:val="24"/>
          <w:sz w:val="20"/>
          <w:szCs w:val="20"/>
          <w:lang w:eastAsia="en-ZA"/>
        </w:rPr>
        <w:t>Provisions</w:t>
      </w:r>
    </w:p>
    <w:p w:rsidR="00395F98" w:rsidRPr="0087455D" w:rsidRDefault="00395F98"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3.3.15</w:t>
      </w:r>
      <w:r w:rsidRPr="0087455D">
        <w:rPr>
          <w:rFonts w:ascii="Arial" w:eastAsiaTheme="minorEastAsia" w:hAnsi="Arial" w:cs="Arial"/>
          <w:kern w:val="24"/>
          <w:sz w:val="20"/>
          <w:szCs w:val="20"/>
          <w:lang w:eastAsia="en-ZA"/>
        </w:rPr>
        <w:tab/>
        <w:t>Provision</w:t>
      </w:r>
      <w:r w:rsidR="00844229" w:rsidRPr="0087455D">
        <w:rPr>
          <w:rFonts w:ascii="Arial" w:eastAsiaTheme="minorEastAsia" w:hAnsi="Arial" w:cs="Arial"/>
          <w:kern w:val="24"/>
          <w:sz w:val="20"/>
          <w:szCs w:val="20"/>
          <w:lang w:eastAsia="en-ZA"/>
        </w:rPr>
        <w:t>s</w:t>
      </w:r>
      <w:r w:rsidRPr="0087455D">
        <w:rPr>
          <w:rFonts w:ascii="Arial" w:eastAsiaTheme="minorEastAsia" w:hAnsi="Arial" w:cs="Arial"/>
          <w:kern w:val="24"/>
          <w:sz w:val="20"/>
          <w:szCs w:val="20"/>
          <w:lang w:eastAsia="en-ZA"/>
        </w:rPr>
        <w:t xml:space="preserve"> relate to the legal cases where Parliament is liable to pay costs but for which the the bill of costs has not yet been received from Department of Justice and Constitutional Development. The amount is an estimate based on past experience. The 27 per cent decrease from R11,9 million in 2020/21 to R8,646 million in 2021/22 is due to the payment/reversal of provisions and no additional provision made by for year under review.</w:t>
      </w:r>
    </w:p>
    <w:p w:rsidR="00B26C00" w:rsidRPr="0087455D" w:rsidRDefault="00B26C00" w:rsidP="0087455D">
      <w:pPr>
        <w:spacing w:after="0" w:line="240" w:lineRule="auto"/>
        <w:rPr>
          <w:rFonts w:ascii="Arial" w:eastAsiaTheme="minorEastAsia" w:hAnsi="Arial" w:cs="Arial"/>
          <w:kern w:val="24"/>
          <w:sz w:val="20"/>
          <w:szCs w:val="20"/>
          <w:lang w:eastAsia="en-ZA"/>
        </w:rPr>
      </w:pPr>
    </w:p>
    <w:p w:rsidR="00B26C00" w:rsidRPr="0087455D" w:rsidRDefault="00B26C00" w:rsidP="0087455D">
      <w:pPr>
        <w:spacing w:after="0" w:line="240" w:lineRule="auto"/>
        <w:ind w:firstLine="720"/>
        <w:rPr>
          <w:rFonts w:ascii="Arial" w:eastAsiaTheme="minorEastAsia" w:hAnsi="Arial" w:cs="Arial"/>
          <w:b/>
          <w:kern w:val="24"/>
          <w:sz w:val="20"/>
          <w:szCs w:val="20"/>
          <w:lang w:eastAsia="en-ZA"/>
        </w:rPr>
      </w:pPr>
      <w:r w:rsidRPr="0087455D">
        <w:rPr>
          <w:rFonts w:ascii="Arial" w:eastAsiaTheme="minorEastAsia" w:hAnsi="Arial" w:cs="Arial"/>
          <w:b/>
          <w:kern w:val="24"/>
          <w:sz w:val="20"/>
          <w:szCs w:val="20"/>
          <w:lang w:eastAsia="en-ZA"/>
        </w:rPr>
        <w:t>Non-current assets</w:t>
      </w:r>
    </w:p>
    <w:p w:rsidR="00B26C00" w:rsidRPr="0087455D" w:rsidRDefault="0024459C" w:rsidP="0087455D">
      <w:pPr>
        <w:spacing w:after="0" w:line="240" w:lineRule="auto"/>
        <w:ind w:firstLine="720"/>
        <w:rPr>
          <w:rFonts w:ascii="Arial" w:eastAsiaTheme="minorEastAsia" w:hAnsi="Arial" w:cs="Arial"/>
          <w:i/>
          <w:kern w:val="24"/>
          <w:sz w:val="20"/>
          <w:szCs w:val="20"/>
          <w:lang w:eastAsia="en-ZA"/>
        </w:rPr>
      </w:pPr>
      <w:r w:rsidRPr="0087455D">
        <w:rPr>
          <w:rFonts w:ascii="Arial" w:eastAsiaTheme="minorEastAsia" w:hAnsi="Arial" w:cs="Arial"/>
          <w:i/>
          <w:kern w:val="24"/>
          <w:sz w:val="20"/>
          <w:szCs w:val="20"/>
          <w:lang w:eastAsia="en-ZA"/>
        </w:rPr>
        <w:t>Cash and cash equivalents</w:t>
      </w:r>
    </w:p>
    <w:p w:rsidR="00AE1CB8" w:rsidRPr="0087455D" w:rsidRDefault="0024459C"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3.3.16</w:t>
      </w:r>
      <w:r w:rsidRPr="0087455D">
        <w:rPr>
          <w:rFonts w:ascii="Arial" w:eastAsiaTheme="minorEastAsia" w:hAnsi="Arial" w:cs="Arial"/>
          <w:kern w:val="24"/>
          <w:sz w:val="20"/>
          <w:szCs w:val="20"/>
          <w:lang w:eastAsia="en-ZA"/>
        </w:rPr>
        <w:tab/>
        <w:t>The main purpose of the cash is to fund Parliament’s business and</w:t>
      </w:r>
      <w:r w:rsidR="00844229" w:rsidRPr="0087455D">
        <w:rPr>
          <w:rFonts w:ascii="Arial" w:eastAsiaTheme="minorEastAsia" w:hAnsi="Arial" w:cs="Arial"/>
          <w:kern w:val="24"/>
          <w:sz w:val="20"/>
          <w:szCs w:val="20"/>
          <w:lang w:eastAsia="en-ZA"/>
        </w:rPr>
        <w:t xml:space="preserve"> is</w:t>
      </w:r>
      <w:r w:rsidRPr="0087455D">
        <w:rPr>
          <w:rFonts w:ascii="Arial" w:eastAsiaTheme="minorEastAsia" w:hAnsi="Arial" w:cs="Arial"/>
          <w:kern w:val="24"/>
          <w:sz w:val="20"/>
          <w:szCs w:val="20"/>
          <w:lang w:eastAsia="en-ZA"/>
        </w:rPr>
        <w:t xml:space="preserve"> not for investment. The cash is requested from the National Treasury each month. Parliament submits, on a monthly basis, requisitions to the National Treasury based on the annual budget and cash flow projections. The 48,18 per cent increase cash and cash equivalents from R326,140 million in 2020/21 to </w:t>
      </w:r>
      <w:r w:rsidR="00844229" w:rsidRPr="0087455D">
        <w:rPr>
          <w:rFonts w:ascii="Arial" w:eastAsiaTheme="minorEastAsia" w:hAnsi="Arial" w:cs="Arial"/>
          <w:kern w:val="24"/>
          <w:sz w:val="20"/>
          <w:szCs w:val="20"/>
          <w:lang w:eastAsia="en-ZA"/>
        </w:rPr>
        <w:t xml:space="preserve">R483,286 million in 2021/22 is </w:t>
      </w:r>
      <w:r w:rsidRPr="0087455D">
        <w:rPr>
          <w:rFonts w:ascii="Arial" w:eastAsiaTheme="minorEastAsia" w:hAnsi="Arial" w:cs="Arial"/>
          <w:kern w:val="24"/>
          <w:sz w:val="20"/>
          <w:szCs w:val="20"/>
          <w:lang w:eastAsia="en-ZA"/>
        </w:rPr>
        <w:t>attributed to the increase in the investment of funds not used during the lockdown period.</w:t>
      </w:r>
    </w:p>
    <w:p w:rsidR="0024459C" w:rsidRPr="0087455D" w:rsidRDefault="0024459C" w:rsidP="0087455D">
      <w:pPr>
        <w:spacing w:after="0" w:line="240" w:lineRule="auto"/>
        <w:ind w:left="720" w:hanging="720"/>
        <w:rPr>
          <w:rFonts w:ascii="Arial" w:eastAsiaTheme="minorEastAsia" w:hAnsi="Arial" w:cs="Arial"/>
          <w:kern w:val="24"/>
          <w:sz w:val="20"/>
          <w:szCs w:val="20"/>
          <w:lang w:eastAsia="en-ZA"/>
        </w:rPr>
      </w:pPr>
    </w:p>
    <w:p w:rsidR="00610FE0" w:rsidRPr="0087455D" w:rsidRDefault="00610FE0" w:rsidP="0087455D">
      <w:pPr>
        <w:spacing w:after="0" w:line="240" w:lineRule="auto"/>
        <w:ind w:left="720" w:hanging="720"/>
        <w:rPr>
          <w:rFonts w:ascii="Arial" w:eastAsiaTheme="minorEastAsia" w:hAnsi="Arial" w:cs="Arial"/>
          <w:kern w:val="24"/>
          <w:sz w:val="20"/>
          <w:szCs w:val="20"/>
          <w:lang w:eastAsia="en-ZA"/>
        </w:rPr>
      </w:pPr>
    </w:p>
    <w:p w:rsidR="0024459C" w:rsidRPr="0087455D" w:rsidRDefault="0024459C" w:rsidP="0087455D">
      <w:pPr>
        <w:spacing w:after="0" w:line="240" w:lineRule="auto"/>
        <w:ind w:left="720" w:hanging="720"/>
        <w:rPr>
          <w:rFonts w:ascii="Arial" w:eastAsiaTheme="minorEastAsia" w:hAnsi="Arial" w:cs="Arial"/>
          <w:i/>
          <w:kern w:val="24"/>
          <w:sz w:val="20"/>
          <w:szCs w:val="20"/>
          <w:lang w:eastAsia="en-ZA"/>
        </w:rPr>
      </w:pPr>
      <w:r w:rsidRPr="0087455D">
        <w:rPr>
          <w:rFonts w:ascii="Arial" w:eastAsiaTheme="minorEastAsia" w:hAnsi="Arial" w:cs="Arial"/>
          <w:kern w:val="24"/>
          <w:sz w:val="20"/>
          <w:szCs w:val="20"/>
          <w:lang w:eastAsia="en-ZA"/>
        </w:rPr>
        <w:tab/>
      </w:r>
      <w:r w:rsidRPr="0087455D">
        <w:rPr>
          <w:rFonts w:ascii="Arial" w:eastAsiaTheme="minorEastAsia" w:hAnsi="Arial" w:cs="Arial"/>
          <w:i/>
          <w:kern w:val="24"/>
          <w:sz w:val="20"/>
          <w:szCs w:val="20"/>
          <w:lang w:eastAsia="en-ZA"/>
        </w:rPr>
        <w:t>Receivables from exchange transactions</w:t>
      </w:r>
    </w:p>
    <w:p w:rsidR="0024459C" w:rsidRPr="0087455D" w:rsidRDefault="0024459C"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3.3.17</w:t>
      </w:r>
      <w:r w:rsidRPr="0087455D">
        <w:rPr>
          <w:rFonts w:ascii="Arial" w:eastAsiaTheme="minorEastAsia" w:hAnsi="Arial" w:cs="Arial"/>
          <w:kern w:val="24"/>
          <w:sz w:val="20"/>
          <w:szCs w:val="20"/>
          <w:lang w:eastAsia="en-ZA"/>
        </w:rPr>
        <w:tab/>
        <w:t>The significant increase under this item, from R1,589 million in 2020/21 to R8,058 million in 2021/22, is due to the increase in catering sales as the l</w:t>
      </w:r>
      <w:r w:rsidR="00844229" w:rsidRPr="0087455D">
        <w:rPr>
          <w:rFonts w:ascii="Arial" w:eastAsiaTheme="minorEastAsia" w:hAnsi="Arial" w:cs="Arial"/>
          <w:kern w:val="24"/>
          <w:sz w:val="20"/>
          <w:szCs w:val="20"/>
          <w:lang w:eastAsia="en-ZA"/>
        </w:rPr>
        <w:t xml:space="preserve">ockdown restrictions were eased, </w:t>
      </w:r>
      <w:r w:rsidRPr="0087455D">
        <w:rPr>
          <w:rFonts w:ascii="Arial" w:eastAsiaTheme="minorEastAsia" w:hAnsi="Arial" w:cs="Arial"/>
          <w:kern w:val="24"/>
          <w:sz w:val="20"/>
          <w:szCs w:val="20"/>
          <w:lang w:eastAsia="en-ZA"/>
        </w:rPr>
        <w:t>and the accrued interest earned on the increased</w:t>
      </w:r>
      <w:r w:rsidR="00844229" w:rsidRPr="0087455D">
        <w:rPr>
          <w:rFonts w:ascii="Arial" w:eastAsiaTheme="minorEastAsia" w:hAnsi="Arial" w:cs="Arial"/>
          <w:kern w:val="24"/>
          <w:sz w:val="20"/>
          <w:szCs w:val="20"/>
          <w:lang w:eastAsia="en-ZA"/>
        </w:rPr>
        <w:t xml:space="preserve"> cash balance.</w:t>
      </w:r>
    </w:p>
    <w:p w:rsidR="0024459C" w:rsidRPr="0087455D" w:rsidRDefault="0024459C" w:rsidP="0087455D">
      <w:pPr>
        <w:spacing w:after="0" w:line="240" w:lineRule="auto"/>
        <w:ind w:left="720" w:hanging="720"/>
        <w:rPr>
          <w:rFonts w:ascii="Arial" w:eastAsiaTheme="minorEastAsia" w:hAnsi="Arial" w:cs="Arial"/>
          <w:kern w:val="24"/>
          <w:sz w:val="20"/>
          <w:szCs w:val="20"/>
          <w:lang w:eastAsia="en-ZA"/>
        </w:rPr>
      </w:pPr>
    </w:p>
    <w:p w:rsidR="0024459C" w:rsidRPr="0087455D" w:rsidRDefault="00715806" w:rsidP="0087455D">
      <w:pPr>
        <w:spacing w:after="0" w:line="240" w:lineRule="auto"/>
        <w:ind w:left="720"/>
        <w:rPr>
          <w:rFonts w:ascii="Arial" w:eastAsiaTheme="minorEastAsia" w:hAnsi="Arial" w:cs="Arial"/>
          <w:i/>
          <w:kern w:val="24"/>
          <w:sz w:val="20"/>
          <w:szCs w:val="20"/>
          <w:lang w:eastAsia="en-ZA"/>
        </w:rPr>
      </w:pPr>
      <w:r w:rsidRPr="0087455D">
        <w:rPr>
          <w:rFonts w:ascii="Arial" w:eastAsiaTheme="minorEastAsia" w:hAnsi="Arial" w:cs="Arial"/>
          <w:i/>
          <w:kern w:val="24"/>
          <w:sz w:val="20"/>
          <w:szCs w:val="20"/>
          <w:lang w:eastAsia="en-ZA"/>
        </w:rPr>
        <w:t>Property, Plant and Equipment</w:t>
      </w:r>
    </w:p>
    <w:p w:rsidR="00CF3D53" w:rsidRPr="0087455D" w:rsidRDefault="00715806"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3.3.18</w:t>
      </w:r>
      <w:r w:rsidRPr="0087455D">
        <w:rPr>
          <w:rFonts w:ascii="Arial" w:eastAsiaTheme="minorEastAsia" w:hAnsi="Arial" w:cs="Arial"/>
          <w:kern w:val="24"/>
          <w:sz w:val="20"/>
          <w:szCs w:val="20"/>
          <w:lang w:eastAsia="en-ZA"/>
        </w:rPr>
        <w:tab/>
        <w:t>This item relates to furniture, equipment, motor vehicles, computer equipment and library books. There ha</w:t>
      </w:r>
      <w:r w:rsidR="008F5F72" w:rsidRPr="0087455D">
        <w:rPr>
          <w:rFonts w:ascii="Arial" w:eastAsiaTheme="minorEastAsia" w:hAnsi="Arial" w:cs="Arial"/>
          <w:kern w:val="24"/>
          <w:sz w:val="20"/>
          <w:szCs w:val="20"/>
          <w:lang w:eastAsia="en-ZA"/>
        </w:rPr>
        <w:t>s been no significant change. D</w:t>
      </w:r>
      <w:r w:rsidRPr="0087455D">
        <w:rPr>
          <w:rFonts w:ascii="Arial" w:eastAsiaTheme="minorEastAsia" w:hAnsi="Arial" w:cs="Arial"/>
          <w:kern w:val="24"/>
          <w:sz w:val="20"/>
          <w:szCs w:val="20"/>
          <w:lang w:eastAsia="en-ZA"/>
        </w:rPr>
        <w:t>isposals, impairment loss and depreciation</w:t>
      </w:r>
      <w:r w:rsidR="00CF3D53" w:rsidRPr="0087455D">
        <w:rPr>
          <w:rFonts w:ascii="Arial" w:eastAsiaTheme="minorEastAsia" w:hAnsi="Arial" w:cs="Arial"/>
          <w:kern w:val="24"/>
          <w:sz w:val="20"/>
          <w:szCs w:val="20"/>
          <w:lang w:eastAsia="en-ZA"/>
        </w:rPr>
        <w:t xml:space="preserve"> and additions</w:t>
      </w:r>
      <w:r w:rsidRPr="0087455D">
        <w:rPr>
          <w:rFonts w:ascii="Arial" w:eastAsiaTheme="minorEastAsia" w:hAnsi="Arial" w:cs="Arial"/>
          <w:kern w:val="24"/>
          <w:sz w:val="20"/>
          <w:szCs w:val="20"/>
          <w:lang w:eastAsia="en-ZA"/>
        </w:rPr>
        <w:t xml:space="preserve"> amounted to R36,419</w:t>
      </w:r>
      <w:r w:rsidR="00CF3D53" w:rsidRPr="0087455D">
        <w:rPr>
          <w:rFonts w:ascii="Arial" w:eastAsiaTheme="minorEastAsia" w:hAnsi="Arial" w:cs="Arial"/>
          <w:kern w:val="24"/>
          <w:sz w:val="20"/>
          <w:szCs w:val="20"/>
          <w:lang w:eastAsia="en-ZA"/>
        </w:rPr>
        <w:t xml:space="preserve"> </w:t>
      </w:r>
      <w:r w:rsidRPr="0087455D">
        <w:rPr>
          <w:rFonts w:ascii="Arial" w:eastAsiaTheme="minorEastAsia" w:hAnsi="Arial" w:cs="Arial"/>
          <w:kern w:val="24"/>
          <w:sz w:val="20"/>
          <w:szCs w:val="20"/>
          <w:lang w:eastAsia="en-ZA"/>
        </w:rPr>
        <w:t>m</w:t>
      </w:r>
      <w:r w:rsidR="00CF3D53" w:rsidRPr="0087455D">
        <w:rPr>
          <w:rFonts w:ascii="Arial" w:eastAsiaTheme="minorEastAsia" w:hAnsi="Arial" w:cs="Arial"/>
          <w:kern w:val="24"/>
          <w:sz w:val="20"/>
          <w:szCs w:val="20"/>
          <w:lang w:eastAsia="en-ZA"/>
        </w:rPr>
        <w:t xml:space="preserve">illion and </w:t>
      </w:r>
      <w:r w:rsidRPr="0087455D">
        <w:rPr>
          <w:rFonts w:ascii="Arial" w:eastAsiaTheme="minorEastAsia" w:hAnsi="Arial" w:cs="Arial"/>
          <w:kern w:val="24"/>
          <w:sz w:val="20"/>
          <w:szCs w:val="20"/>
          <w:lang w:eastAsia="en-ZA"/>
        </w:rPr>
        <w:t>R35,</w:t>
      </w:r>
      <w:r w:rsidR="00CF3D53" w:rsidRPr="0087455D">
        <w:rPr>
          <w:rFonts w:ascii="Arial" w:eastAsiaTheme="minorEastAsia" w:hAnsi="Arial" w:cs="Arial"/>
          <w:kern w:val="24"/>
          <w:sz w:val="20"/>
          <w:szCs w:val="20"/>
          <w:lang w:eastAsia="en-ZA"/>
        </w:rPr>
        <w:t xml:space="preserve"> </w:t>
      </w:r>
      <w:r w:rsidRPr="0087455D">
        <w:rPr>
          <w:rFonts w:ascii="Arial" w:eastAsiaTheme="minorEastAsia" w:hAnsi="Arial" w:cs="Arial"/>
          <w:kern w:val="24"/>
          <w:sz w:val="20"/>
          <w:szCs w:val="20"/>
          <w:lang w:eastAsia="en-ZA"/>
        </w:rPr>
        <w:t>465</w:t>
      </w:r>
      <w:r w:rsidR="00CF3D53" w:rsidRPr="0087455D">
        <w:rPr>
          <w:rFonts w:ascii="Arial" w:eastAsiaTheme="minorEastAsia" w:hAnsi="Arial" w:cs="Arial"/>
          <w:kern w:val="24"/>
          <w:sz w:val="20"/>
          <w:szCs w:val="20"/>
          <w:lang w:eastAsia="en-ZA"/>
        </w:rPr>
        <w:t xml:space="preserve"> </w:t>
      </w:r>
      <w:r w:rsidRPr="0087455D">
        <w:rPr>
          <w:rFonts w:ascii="Arial" w:eastAsiaTheme="minorEastAsia" w:hAnsi="Arial" w:cs="Arial"/>
          <w:kern w:val="24"/>
          <w:sz w:val="20"/>
          <w:szCs w:val="20"/>
          <w:lang w:eastAsia="en-ZA"/>
        </w:rPr>
        <w:t>m</w:t>
      </w:r>
      <w:r w:rsidR="00CF3D53" w:rsidRPr="0087455D">
        <w:rPr>
          <w:rFonts w:ascii="Arial" w:eastAsiaTheme="minorEastAsia" w:hAnsi="Arial" w:cs="Arial"/>
          <w:kern w:val="24"/>
          <w:sz w:val="20"/>
          <w:szCs w:val="20"/>
          <w:lang w:eastAsia="en-ZA"/>
        </w:rPr>
        <w:t>illion,</w:t>
      </w:r>
      <w:r w:rsidRPr="0087455D">
        <w:rPr>
          <w:rFonts w:ascii="Arial" w:eastAsiaTheme="minorEastAsia" w:hAnsi="Arial" w:cs="Arial"/>
          <w:kern w:val="24"/>
          <w:sz w:val="20"/>
          <w:szCs w:val="20"/>
          <w:lang w:eastAsia="en-ZA"/>
        </w:rPr>
        <w:t xml:space="preserve"> respectively. The increase in additions </w:t>
      </w:r>
      <w:r w:rsidR="00CF3D53" w:rsidRPr="0087455D">
        <w:rPr>
          <w:rFonts w:ascii="Arial" w:eastAsiaTheme="minorEastAsia" w:hAnsi="Arial" w:cs="Arial"/>
          <w:kern w:val="24"/>
          <w:sz w:val="20"/>
          <w:szCs w:val="20"/>
          <w:lang w:eastAsia="en-ZA"/>
        </w:rPr>
        <w:t>was</w:t>
      </w:r>
      <w:r w:rsidRPr="0087455D">
        <w:rPr>
          <w:rFonts w:ascii="Arial" w:eastAsiaTheme="minorEastAsia" w:hAnsi="Arial" w:cs="Arial"/>
          <w:kern w:val="24"/>
          <w:sz w:val="20"/>
          <w:szCs w:val="20"/>
          <w:lang w:eastAsia="en-ZA"/>
        </w:rPr>
        <w:t xml:space="preserve"> due to </w:t>
      </w:r>
      <w:r w:rsidR="00CF3D53" w:rsidRPr="0087455D">
        <w:rPr>
          <w:rFonts w:ascii="Arial" w:eastAsiaTheme="minorEastAsia" w:hAnsi="Arial" w:cs="Arial"/>
          <w:kern w:val="24"/>
          <w:sz w:val="20"/>
          <w:szCs w:val="20"/>
          <w:lang w:eastAsia="en-ZA"/>
        </w:rPr>
        <w:t xml:space="preserve">the </w:t>
      </w:r>
      <w:r w:rsidRPr="0087455D">
        <w:rPr>
          <w:rFonts w:ascii="Arial" w:eastAsiaTheme="minorEastAsia" w:hAnsi="Arial" w:cs="Arial"/>
          <w:kern w:val="24"/>
          <w:sz w:val="20"/>
          <w:szCs w:val="20"/>
          <w:lang w:eastAsia="en-ZA"/>
        </w:rPr>
        <w:t>replacement</w:t>
      </w:r>
      <w:r w:rsidR="008F5F72" w:rsidRPr="0087455D">
        <w:rPr>
          <w:rFonts w:ascii="Arial" w:eastAsiaTheme="minorEastAsia" w:hAnsi="Arial" w:cs="Arial"/>
          <w:kern w:val="24"/>
          <w:sz w:val="20"/>
          <w:szCs w:val="20"/>
          <w:lang w:eastAsia="en-ZA"/>
        </w:rPr>
        <w:t xml:space="preserve"> of equipment and ICT equipment</w:t>
      </w:r>
      <w:r w:rsidRPr="0087455D">
        <w:rPr>
          <w:rFonts w:ascii="Arial" w:eastAsiaTheme="minorEastAsia" w:hAnsi="Arial" w:cs="Arial"/>
          <w:kern w:val="24"/>
          <w:sz w:val="20"/>
          <w:szCs w:val="20"/>
          <w:lang w:eastAsia="en-ZA"/>
        </w:rPr>
        <w:t xml:space="preserve"> destroyed in the</w:t>
      </w:r>
      <w:r w:rsidR="00CF3D53" w:rsidRPr="0087455D">
        <w:rPr>
          <w:rFonts w:ascii="Arial" w:eastAsiaTheme="minorEastAsia" w:hAnsi="Arial" w:cs="Arial"/>
          <w:kern w:val="24"/>
          <w:sz w:val="20"/>
          <w:szCs w:val="20"/>
          <w:lang w:eastAsia="en-ZA"/>
        </w:rPr>
        <w:t xml:space="preserve"> 2 January 2022</w:t>
      </w:r>
      <w:r w:rsidRPr="0087455D">
        <w:rPr>
          <w:rFonts w:ascii="Arial" w:eastAsiaTheme="minorEastAsia" w:hAnsi="Arial" w:cs="Arial"/>
          <w:kern w:val="24"/>
          <w:sz w:val="20"/>
          <w:szCs w:val="20"/>
          <w:lang w:eastAsia="en-ZA"/>
        </w:rPr>
        <w:t xml:space="preserve"> fire </w:t>
      </w:r>
      <w:r w:rsidR="00CF3D53" w:rsidRPr="0087455D">
        <w:rPr>
          <w:rFonts w:ascii="Arial" w:eastAsiaTheme="minorEastAsia" w:hAnsi="Arial" w:cs="Arial"/>
          <w:kern w:val="24"/>
          <w:sz w:val="20"/>
          <w:szCs w:val="20"/>
          <w:lang w:eastAsia="en-ZA"/>
        </w:rPr>
        <w:t>on the precinct.</w:t>
      </w:r>
    </w:p>
    <w:p w:rsidR="00715806" w:rsidRPr="0087455D" w:rsidRDefault="00CF3D53"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3.3.19</w:t>
      </w:r>
      <w:r w:rsidRPr="0087455D">
        <w:rPr>
          <w:rFonts w:ascii="Arial" w:eastAsiaTheme="minorEastAsia" w:hAnsi="Arial" w:cs="Arial"/>
          <w:kern w:val="24"/>
          <w:sz w:val="20"/>
          <w:szCs w:val="20"/>
          <w:lang w:eastAsia="en-ZA"/>
        </w:rPr>
        <w:tab/>
        <w:t>The 100 per cent</w:t>
      </w:r>
      <w:r w:rsidR="00715806" w:rsidRPr="0087455D">
        <w:rPr>
          <w:rFonts w:ascii="Arial" w:eastAsiaTheme="minorEastAsia" w:hAnsi="Arial" w:cs="Arial"/>
          <w:kern w:val="24"/>
          <w:sz w:val="20"/>
          <w:szCs w:val="20"/>
          <w:lang w:eastAsia="en-ZA"/>
        </w:rPr>
        <w:t xml:space="preserve"> in</w:t>
      </w:r>
      <w:r w:rsidRPr="0087455D">
        <w:rPr>
          <w:rFonts w:ascii="Arial" w:eastAsiaTheme="minorEastAsia" w:hAnsi="Arial" w:cs="Arial"/>
          <w:kern w:val="24"/>
          <w:sz w:val="20"/>
          <w:szCs w:val="20"/>
          <w:lang w:eastAsia="en-ZA"/>
        </w:rPr>
        <w:t>crease in impairment loss is also as a result of</w:t>
      </w:r>
      <w:r w:rsidR="00715806" w:rsidRPr="0087455D">
        <w:rPr>
          <w:rFonts w:ascii="Arial" w:eastAsiaTheme="minorEastAsia" w:hAnsi="Arial" w:cs="Arial"/>
          <w:kern w:val="24"/>
          <w:sz w:val="20"/>
          <w:szCs w:val="20"/>
          <w:lang w:eastAsia="en-ZA"/>
        </w:rPr>
        <w:t xml:space="preserve"> assets that were destroyed </w:t>
      </w:r>
      <w:r w:rsidRPr="0087455D">
        <w:rPr>
          <w:rFonts w:ascii="Arial" w:eastAsiaTheme="minorEastAsia" w:hAnsi="Arial" w:cs="Arial"/>
          <w:kern w:val="24"/>
          <w:sz w:val="20"/>
          <w:szCs w:val="20"/>
          <w:lang w:eastAsia="en-ZA"/>
        </w:rPr>
        <w:t xml:space="preserve">in the fire. As the buildings affected by the fire could not be accessed before the end of the financial year, </w:t>
      </w:r>
      <w:r w:rsidR="00715806" w:rsidRPr="0087455D">
        <w:rPr>
          <w:rFonts w:ascii="Arial" w:eastAsiaTheme="minorEastAsia" w:hAnsi="Arial" w:cs="Arial"/>
          <w:kern w:val="24"/>
          <w:sz w:val="20"/>
          <w:szCs w:val="20"/>
          <w:lang w:eastAsia="en-ZA"/>
        </w:rPr>
        <w:t xml:space="preserve">the </w:t>
      </w:r>
      <w:r w:rsidRPr="0087455D">
        <w:rPr>
          <w:rFonts w:ascii="Arial" w:eastAsiaTheme="minorEastAsia" w:hAnsi="Arial" w:cs="Arial"/>
          <w:kern w:val="24"/>
          <w:sz w:val="20"/>
          <w:szCs w:val="20"/>
          <w:lang w:eastAsia="en-ZA"/>
        </w:rPr>
        <w:t>conditions of assets affected could not be assessed. All assets were therefore assumed to have been damaged, and were therefore impaired. Once it is safe to access the buildings an assessme</w:t>
      </w:r>
      <w:r w:rsidR="008F5F72" w:rsidRPr="0087455D">
        <w:rPr>
          <w:rFonts w:ascii="Arial" w:eastAsiaTheme="minorEastAsia" w:hAnsi="Arial" w:cs="Arial"/>
          <w:kern w:val="24"/>
          <w:sz w:val="20"/>
          <w:szCs w:val="20"/>
          <w:lang w:eastAsia="en-ZA"/>
        </w:rPr>
        <w:t>nt of the damage will be made. As</w:t>
      </w:r>
      <w:r w:rsidRPr="0087455D">
        <w:rPr>
          <w:rFonts w:ascii="Arial" w:eastAsiaTheme="minorEastAsia" w:hAnsi="Arial" w:cs="Arial"/>
          <w:kern w:val="24"/>
          <w:sz w:val="20"/>
          <w:szCs w:val="20"/>
          <w:lang w:eastAsia="en-ZA"/>
        </w:rPr>
        <w:t>sets that can</w:t>
      </w:r>
      <w:r w:rsidR="00715806" w:rsidRPr="0087455D">
        <w:rPr>
          <w:rFonts w:ascii="Arial" w:eastAsiaTheme="minorEastAsia" w:hAnsi="Arial" w:cs="Arial"/>
          <w:kern w:val="24"/>
          <w:sz w:val="20"/>
          <w:szCs w:val="20"/>
          <w:lang w:eastAsia="en-ZA"/>
        </w:rPr>
        <w:t xml:space="preserve"> still be used will be re-instated and</w:t>
      </w:r>
      <w:r w:rsidRPr="0087455D">
        <w:rPr>
          <w:rFonts w:ascii="Arial" w:eastAsiaTheme="minorEastAsia" w:hAnsi="Arial" w:cs="Arial"/>
          <w:kern w:val="24"/>
          <w:sz w:val="20"/>
          <w:szCs w:val="20"/>
          <w:lang w:eastAsia="en-ZA"/>
        </w:rPr>
        <w:t xml:space="preserve"> the</w:t>
      </w:r>
      <w:r w:rsidR="00715806" w:rsidRPr="0087455D">
        <w:rPr>
          <w:rFonts w:ascii="Arial" w:eastAsiaTheme="minorEastAsia" w:hAnsi="Arial" w:cs="Arial"/>
          <w:kern w:val="24"/>
          <w:sz w:val="20"/>
          <w:szCs w:val="20"/>
          <w:lang w:eastAsia="en-ZA"/>
        </w:rPr>
        <w:t xml:space="preserve"> impairment loss reversed.</w:t>
      </w:r>
    </w:p>
    <w:p w:rsidR="00CF3D53" w:rsidRPr="0087455D" w:rsidRDefault="00CF3D53" w:rsidP="0087455D">
      <w:pPr>
        <w:spacing w:after="0" w:line="240" w:lineRule="auto"/>
        <w:ind w:left="720" w:hanging="720"/>
        <w:rPr>
          <w:rFonts w:ascii="Arial" w:eastAsiaTheme="minorEastAsia" w:hAnsi="Arial" w:cs="Arial"/>
          <w:kern w:val="24"/>
          <w:sz w:val="20"/>
          <w:szCs w:val="20"/>
          <w:lang w:eastAsia="en-ZA"/>
        </w:rPr>
      </w:pPr>
    </w:p>
    <w:p w:rsidR="00CF3D53" w:rsidRPr="0087455D" w:rsidRDefault="00CF3D53" w:rsidP="0087455D">
      <w:pPr>
        <w:spacing w:after="0" w:line="240" w:lineRule="auto"/>
        <w:ind w:left="720"/>
        <w:rPr>
          <w:rFonts w:ascii="Arial" w:eastAsiaTheme="minorEastAsia" w:hAnsi="Arial" w:cs="Arial"/>
          <w:i/>
          <w:kern w:val="24"/>
          <w:sz w:val="20"/>
          <w:szCs w:val="20"/>
          <w:lang w:eastAsia="en-ZA"/>
        </w:rPr>
      </w:pPr>
      <w:r w:rsidRPr="0087455D">
        <w:rPr>
          <w:rFonts w:ascii="Arial" w:eastAsiaTheme="minorEastAsia" w:hAnsi="Arial" w:cs="Arial"/>
          <w:i/>
          <w:kern w:val="24"/>
          <w:sz w:val="20"/>
          <w:szCs w:val="20"/>
          <w:lang w:eastAsia="en-ZA"/>
        </w:rPr>
        <w:t>Intangible assets</w:t>
      </w:r>
    </w:p>
    <w:p w:rsidR="00CF3D53" w:rsidRPr="0087455D" w:rsidRDefault="00CF3D53"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3.3.20</w:t>
      </w:r>
      <w:r w:rsidRPr="0087455D">
        <w:rPr>
          <w:rFonts w:ascii="Arial" w:eastAsiaTheme="minorEastAsia" w:hAnsi="Arial" w:cs="Arial"/>
          <w:kern w:val="24"/>
          <w:sz w:val="20"/>
          <w:szCs w:val="20"/>
          <w:lang w:eastAsia="en-ZA"/>
        </w:rPr>
        <w:tab/>
        <w:t>This item decreased from R6,965 million in 2020/21 to R4,821 million in 2021/22. The 31 per cent decrease was due to a reduction in the software purchased.</w:t>
      </w:r>
    </w:p>
    <w:p w:rsidR="00CF3D53" w:rsidRPr="0087455D" w:rsidRDefault="00CF3D53" w:rsidP="0087455D">
      <w:pPr>
        <w:spacing w:after="0" w:line="240" w:lineRule="auto"/>
        <w:ind w:left="720" w:hanging="720"/>
        <w:rPr>
          <w:rFonts w:ascii="Arial" w:eastAsiaTheme="minorEastAsia" w:hAnsi="Arial" w:cs="Arial"/>
          <w:kern w:val="24"/>
          <w:sz w:val="20"/>
          <w:szCs w:val="20"/>
          <w:lang w:eastAsia="en-ZA"/>
        </w:rPr>
      </w:pPr>
    </w:p>
    <w:p w:rsidR="00CF3D53" w:rsidRPr="0087455D" w:rsidRDefault="00CF3D53" w:rsidP="0087455D">
      <w:pPr>
        <w:spacing w:after="0" w:line="240" w:lineRule="auto"/>
        <w:ind w:left="720"/>
        <w:rPr>
          <w:rFonts w:ascii="Arial" w:eastAsiaTheme="minorEastAsia" w:hAnsi="Arial" w:cs="Arial"/>
          <w:i/>
          <w:kern w:val="24"/>
          <w:sz w:val="20"/>
          <w:szCs w:val="20"/>
          <w:lang w:eastAsia="en-ZA"/>
        </w:rPr>
      </w:pPr>
      <w:r w:rsidRPr="0087455D">
        <w:rPr>
          <w:rFonts w:ascii="Arial" w:eastAsiaTheme="minorEastAsia" w:hAnsi="Arial" w:cs="Arial"/>
          <w:i/>
          <w:kern w:val="24"/>
          <w:sz w:val="20"/>
          <w:szCs w:val="20"/>
          <w:lang w:eastAsia="en-ZA"/>
        </w:rPr>
        <w:t>Heritage Assets</w:t>
      </w:r>
    </w:p>
    <w:p w:rsidR="00CF3D53" w:rsidRPr="0087455D" w:rsidRDefault="00CF3D53" w:rsidP="0087455D">
      <w:pPr>
        <w:spacing w:after="0" w:line="240" w:lineRule="auto"/>
        <w:ind w:left="720" w:hanging="720"/>
        <w:rPr>
          <w:rFonts w:ascii="Arial" w:eastAsiaTheme="minorEastAsia" w:hAnsi="Arial" w:cs="Arial"/>
          <w:kern w:val="24"/>
          <w:sz w:val="20"/>
          <w:szCs w:val="20"/>
          <w:lang w:eastAsia="en-ZA"/>
        </w:rPr>
      </w:pPr>
      <w:r w:rsidRPr="0087455D">
        <w:rPr>
          <w:rFonts w:ascii="Arial" w:eastAsiaTheme="minorEastAsia" w:hAnsi="Arial" w:cs="Arial"/>
          <w:kern w:val="24"/>
          <w:sz w:val="20"/>
          <w:szCs w:val="20"/>
          <w:lang w:eastAsia="en-ZA"/>
        </w:rPr>
        <w:t>3.3.21</w:t>
      </w:r>
      <w:r w:rsidRPr="0087455D">
        <w:rPr>
          <w:rFonts w:ascii="Arial" w:eastAsiaTheme="minorEastAsia" w:hAnsi="Arial" w:cs="Arial"/>
          <w:kern w:val="24"/>
          <w:sz w:val="20"/>
          <w:szCs w:val="20"/>
          <w:lang w:eastAsia="en-ZA"/>
        </w:rPr>
        <w:tab/>
        <w:t>A heritage asset is defined as an asset that has a cultural, environmental, historical, natural, scientific, technological or artistic significance, and is held and preserved indefinitely for the benefit of present and future generations. The heritag</w:t>
      </w:r>
      <w:r w:rsidR="006B7B33" w:rsidRPr="0087455D">
        <w:rPr>
          <w:rFonts w:ascii="Arial" w:eastAsiaTheme="minorEastAsia" w:hAnsi="Arial" w:cs="Arial"/>
          <w:kern w:val="24"/>
          <w:sz w:val="20"/>
          <w:szCs w:val="20"/>
          <w:lang w:eastAsia="en-ZA"/>
        </w:rPr>
        <w:t xml:space="preserve">e assets are not depreciated because </w:t>
      </w:r>
      <w:r w:rsidRPr="0087455D">
        <w:rPr>
          <w:rFonts w:ascii="Arial" w:eastAsiaTheme="minorEastAsia" w:hAnsi="Arial" w:cs="Arial"/>
          <w:kern w:val="24"/>
          <w:sz w:val="20"/>
          <w:szCs w:val="20"/>
          <w:lang w:eastAsia="en-ZA"/>
        </w:rPr>
        <w:t>they have</w:t>
      </w:r>
      <w:r w:rsidR="006B7B33" w:rsidRPr="0087455D">
        <w:rPr>
          <w:rFonts w:ascii="Arial" w:eastAsiaTheme="minorEastAsia" w:hAnsi="Arial" w:cs="Arial"/>
          <w:kern w:val="24"/>
          <w:sz w:val="20"/>
          <w:szCs w:val="20"/>
          <w:lang w:eastAsia="en-ZA"/>
        </w:rPr>
        <w:t xml:space="preserve"> a long economic life. The 9 per cent</w:t>
      </w:r>
      <w:r w:rsidRPr="0087455D">
        <w:rPr>
          <w:rFonts w:ascii="Arial" w:eastAsiaTheme="minorEastAsia" w:hAnsi="Arial" w:cs="Arial"/>
          <w:kern w:val="24"/>
          <w:sz w:val="20"/>
          <w:szCs w:val="20"/>
          <w:lang w:eastAsia="en-ZA"/>
        </w:rPr>
        <w:t xml:space="preserve"> decrease</w:t>
      </w:r>
      <w:r w:rsidR="006B7B33" w:rsidRPr="0087455D">
        <w:rPr>
          <w:rFonts w:ascii="Arial" w:eastAsiaTheme="minorEastAsia" w:hAnsi="Arial" w:cs="Arial"/>
          <w:kern w:val="24"/>
          <w:sz w:val="20"/>
          <w:szCs w:val="20"/>
          <w:lang w:eastAsia="en-ZA"/>
        </w:rPr>
        <w:t xml:space="preserve"> from R55,520 million in 2020/21 to R50,280 million in 2021/22</w:t>
      </w:r>
      <w:r w:rsidRPr="0087455D">
        <w:rPr>
          <w:rFonts w:ascii="Arial" w:eastAsiaTheme="minorEastAsia" w:hAnsi="Arial" w:cs="Arial"/>
          <w:kern w:val="24"/>
          <w:sz w:val="20"/>
          <w:szCs w:val="20"/>
          <w:lang w:eastAsia="en-ZA"/>
        </w:rPr>
        <w:t xml:space="preserve"> is due to the impairment of assets that were destroyed in fire incident.</w:t>
      </w:r>
    </w:p>
    <w:p w:rsidR="0024459C" w:rsidRPr="0087455D" w:rsidRDefault="0024459C" w:rsidP="0087455D">
      <w:pPr>
        <w:spacing w:after="0" w:line="240" w:lineRule="auto"/>
        <w:ind w:left="720" w:hanging="720"/>
        <w:rPr>
          <w:rFonts w:ascii="Arial" w:eastAsiaTheme="minorEastAsia" w:hAnsi="Arial" w:cs="Arial"/>
          <w:b/>
          <w:kern w:val="24"/>
          <w:sz w:val="20"/>
          <w:szCs w:val="20"/>
          <w:lang w:eastAsia="en-ZA"/>
        </w:rPr>
      </w:pPr>
    </w:p>
    <w:p w:rsidR="00610FE0" w:rsidRPr="0087455D" w:rsidRDefault="00610FE0" w:rsidP="0087455D">
      <w:pPr>
        <w:spacing w:after="0" w:line="240" w:lineRule="auto"/>
        <w:ind w:left="720" w:hanging="720"/>
        <w:rPr>
          <w:rFonts w:ascii="Arial" w:eastAsiaTheme="minorEastAsia" w:hAnsi="Arial" w:cs="Arial"/>
          <w:b/>
          <w:kern w:val="24"/>
          <w:sz w:val="20"/>
          <w:szCs w:val="20"/>
          <w:lang w:eastAsia="en-ZA"/>
        </w:rPr>
      </w:pPr>
    </w:p>
    <w:p w:rsidR="00B26C00" w:rsidRPr="0087455D" w:rsidRDefault="00B26C00" w:rsidP="0087455D">
      <w:pPr>
        <w:spacing w:after="0" w:line="240" w:lineRule="auto"/>
        <w:ind w:firstLine="720"/>
        <w:rPr>
          <w:rFonts w:ascii="Arial" w:eastAsiaTheme="minorEastAsia" w:hAnsi="Arial" w:cs="Arial"/>
          <w:b/>
          <w:kern w:val="24"/>
          <w:sz w:val="20"/>
          <w:szCs w:val="20"/>
          <w:lang w:eastAsia="en-ZA"/>
        </w:rPr>
      </w:pPr>
      <w:r w:rsidRPr="0087455D">
        <w:rPr>
          <w:rFonts w:ascii="Arial" w:eastAsiaTheme="minorEastAsia" w:hAnsi="Arial" w:cs="Arial"/>
          <w:b/>
          <w:kern w:val="24"/>
          <w:sz w:val="20"/>
          <w:szCs w:val="20"/>
          <w:lang w:eastAsia="en-ZA"/>
        </w:rPr>
        <w:t>Current Assets</w:t>
      </w:r>
    </w:p>
    <w:p w:rsidR="0074133D" w:rsidRPr="0087455D" w:rsidRDefault="006B7B33" w:rsidP="0087455D">
      <w:pPr>
        <w:spacing w:after="0" w:line="240" w:lineRule="auto"/>
        <w:ind w:firstLine="720"/>
        <w:rPr>
          <w:rFonts w:ascii="Arial" w:eastAsia="Times New Roman" w:hAnsi="Arial" w:cs="Arial"/>
          <w:i/>
          <w:spacing w:val="6"/>
          <w:sz w:val="20"/>
          <w:szCs w:val="20"/>
          <w:lang w:val="en-GB" w:eastAsia="en-GB"/>
        </w:rPr>
      </w:pPr>
      <w:r w:rsidRPr="0087455D">
        <w:rPr>
          <w:rFonts w:ascii="Arial" w:eastAsia="Times New Roman" w:hAnsi="Arial" w:cs="Arial"/>
          <w:i/>
          <w:spacing w:val="6"/>
          <w:sz w:val="20"/>
          <w:szCs w:val="20"/>
          <w:lang w:val="en-GB" w:eastAsia="en-GB"/>
        </w:rPr>
        <w:t>Statutory receivables</w:t>
      </w:r>
    </w:p>
    <w:p w:rsidR="006B7B33" w:rsidRPr="0087455D" w:rsidRDefault="006B7B33"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3.3.22</w:t>
      </w:r>
      <w:r w:rsidRPr="0087455D">
        <w:rPr>
          <w:rFonts w:ascii="Arial" w:eastAsia="Times New Roman" w:hAnsi="Arial" w:cs="Arial"/>
          <w:spacing w:val="6"/>
          <w:sz w:val="20"/>
          <w:szCs w:val="20"/>
          <w:lang w:val="en-GB" w:eastAsia="en-GB"/>
        </w:rPr>
        <w:tab/>
        <w:t xml:space="preserve">The 11,63 per cent decrease from R34,139 million in 2020/21 to R30,170 million in 2021/22 is ascribed to less paid in respect of office and exit gratuities over </w:t>
      </w:r>
      <w:r w:rsidR="008F5F72" w:rsidRPr="0087455D">
        <w:rPr>
          <w:rFonts w:ascii="Arial" w:eastAsia="Times New Roman" w:hAnsi="Arial" w:cs="Arial"/>
          <w:spacing w:val="6"/>
          <w:sz w:val="20"/>
          <w:szCs w:val="20"/>
          <w:lang w:val="en-GB" w:eastAsia="en-GB"/>
        </w:rPr>
        <w:t>and above members’ remuneration</w:t>
      </w:r>
      <w:r w:rsidRPr="0087455D">
        <w:rPr>
          <w:rFonts w:ascii="Arial" w:eastAsia="Times New Roman" w:hAnsi="Arial" w:cs="Arial"/>
          <w:spacing w:val="6"/>
          <w:sz w:val="20"/>
          <w:szCs w:val="20"/>
          <w:lang w:val="en-GB" w:eastAsia="en-GB"/>
        </w:rPr>
        <w:t>.</w:t>
      </w:r>
    </w:p>
    <w:p w:rsidR="006B7B33" w:rsidRPr="0087455D" w:rsidRDefault="006B7B33" w:rsidP="0087455D">
      <w:pPr>
        <w:spacing w:after="0" w:line="240" w:lineRule="auto"/>
        <w:ind w:left="720" w:hanging="720"/>
        <w:rPr>
          <w:rFonts w:ascii="Arial" w:eastAsia="Times New Roman" w:hAnsi="Arial" w:cs="Arial"/>
          <w:spacing w:val="6"/>
          <w:sz w:val="20"/>
          <w:szCs w:val="20"/>
          <w:lang w:val="en-GB" w:eastAsia="en-GB"/>
        </w:rPr>
      </w:pPr>
    </w:p>
    <w:p w:rsidR="006B7B33" w:rsidRPr="0087455D" w:rsidRDefault="006B7B33" w:rsidP="0087455D">
      <w:pPr>
        <w:spacing w:after="0" w:line="240" w:lineRule="auto"/>
        <w:ind w:left="720" w:hanging="720"/>
        <w:rPr>
          <w:rFonts w:ascii="Arial" w:eastAsia="Times New Roman" w:hAnsi="Arial" w:cs="Arial"/>
          <w:i/>
          <w:spacing w:val="6"/>
          <w:sz w:val="20"/>
          <w:szCs w:val="20"/>
          <w:lang w:val="en-GB" w:eastAsia="en-GB"/>
        </w:rPr>
      </w:pPr>
      <w:r w:rsidRPr="0087455D">
        <w:rPr>
          <w:rFonts w:ascii="Arial" w:eastAsia="Times New Roman" w:hAnsi="Arial" w:cs="Arial"/>
          <w:spacing w:val="6"/>
          <w:sz w:val="20"/>
          <w:szCs w:val="20"/>
          <w:lang w:val="en-GB" w:eastAsia="en-GB"/>
        </w:rPr>
        <w:tab/>
      </w:r>
      <w:r w:rsidRPr="0087455D">
        <w:rPr>
          <w:rFonts w:ascii="Arial" w:eastAsia="Times New Roman" w:hAnsi="Arial" w:cs="Arial"/>
          <w:i/>
          <w:spacing w:val="6"/>
          <w:sz w:val="20"/>
          <w:szCs w:val="20"/>
          <w:lang w:val="en-GB" w:eastAsia="en-GB"/>
        </w:rPr>
        <w:t>Pre-payments</w:t>
      </w:r>
    </w:p>
    <w:p w:rsidR="006B7B33" w:rsidRPr="0087455D" w:rsidRDefault="006B7B33"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3.3.23</w:t>
      </w:r>
      <w:r w:rsidRPr="0087455D">
        <w:rPr>
          <w:rFonts w:ascii="Arial" w:eastAsia="Times New Roman" w:hAnsi="Arial" w:cs="Arial"/>
          <w:spacing w:val="6"/>
          <w:sz w:val="20"/>
          <w:szCs w:val="20"/>
          <w:lang w:val="en-GB" w:eastAsia="en-GB"/>
        </w:rPr>
        <w:tab/>
        <w:t xml:space="preserve">Pre-payments include payments in advance for contingencies, subsistence and travel advances, petty cash advances, internal travelling and other pre-payments for subscriptions to professional bodies. Pre-paid expenses relate to the portion of the payments made relating to periods in the next financial year e.g. annual subscriptions and membership fees. The increase of 13 per cent from </w:t>
      </w:r>
      <w:r w:rsidR="00B47C15" w:rsidRPr="0087455D">
        <w:rPr>
          <w:rFonts w:ascii="Arial" w:eastAsia="Times New Roman" w:hAnsi="Arial" w:cs="Arial"/>
          <w:spacing w:val="6"/>
          <w:sz w:val="20"/>
          <w:szCs w:val="20"/>
          <w:lang w:val="en-GB" w:eastAsia="en-GB"/>
        </w:rPr>
        <w:t xml:space="preserve">R10,494 million in 2020/21 to R11,828 million in 2021/22 is ascribed </w:t>
      </w:r>
      <w:r w:rsidRPr="0087455D">
        <w:rPr>
          <w:rFonts w:ascii="Arial" w:eastAsia="Times New Roman" w:hAnsi="Arial" w:cs="Arial"/>
          <w:spacing w:val="6"/>
          <w:sz w:val="20"/>
          <w:szCs w:val="20"/>
          <w:lang w:val="en-GB" w:eastAsia="en-GB"/>
        </w:rPr>
        <w:t>to pre</w:t>
      </w:r>
      <w:r w:rsidR="00B47C15" w:rsidRPr="0087455D">
        <w:rPr>
          <w:rFonts w:ascii="Arial" w:eastAsia="Times New Roman" w:hAnsi="Arial" w:cs="Arial"/>
          <w:spacing w:val="6"/>
          <w:sz w:val="20"/>
          <w:szCs w:val="20"/>
          <w:lang w:val="en-GB" w:eastAsia="en-GB"/>
        </w:rPr>
        <w:t>-</w:t>
      </w:r>
      <w:r w:rsidRPr="0087455D">
        <w:rPr>
          <w:rFonts w:ascii="Arial" w:eastAsia="Times New Roman" w:hAnsi="Arial" w:cs="Arial"/>
          <w:spacing w:val="6"/>
          <w:sz w:val="20"/>
          <w:szCs w:val="20"/>
          <w:lang w:val="en-GB" w:eastAsia="en-GB"/>
        </w:rPr>
        <w:t>payments made to</w:t>
      </w:r>
      <w:r w:rsidR="00B47C15" w:rsidRPr="0087455D">
        <w:rPr>
          <w:rFonts w:ascii="Arial" w:eastAsia="Times New Roman" w:hAnsi="Arial" w:cs="Arial"/>
          <w:spacing w:val="6"/>
          <w:sz w:val="20"/>
          <w:szCs w:val="20"/>
          <w:lang w:val="en-GB" w:eastAsia="en-GB"/>
        </w:rPr>
        <w:t xml:space="preserve"> the Department of International Relations and Cooperation (DIRCO) for arranging international travel for staff </w:t>
      </w:r>
      <w:r w:rsidRPr="0087455D">
        <w:rPr>
          <w:rFonts w:ascii="Arial" w:eastAsia="Times New Roman" w:hAnsi="Arial" w:cs="Arial"/>
          <w:spacing w:val="6"/>
          <w:sz w:val="20"/>
          <w:szCs w:val="20"/>
          <w:lang w:val="en-GB" w:eastAsia="en-GB"/>
        </w:rPr>
        <w:t>a</w:t>
      </w:r>
      <w:r w:rsidR="00B47C15" w:rsidRPr="0087455D">
        <w:rPr>
          <w:rFonts w:ascii="Arial" w:eastAsia="Times New Roman" w:hAnsi="Arial" w:cs="Arial"/>
          <w:spacing w:val="6"/>
          <w:sz w:val="20"/>
          <w:szCs w:val="20"/>
          <w:lang w:val="en-GB" w:eastAsia="en-GB"/>
        </w:rPr>
        <w:t>nd parliamentarians. No such pre-payments were made in the previous year as no international travel was possible at the height of the Covid-19 pandemic.</w:t>
      </w:r>
    </w:p>
    <w:p w:rsidR="006B7B33" w:rsidRPr="0087455D" w:rsidRDefault="006B7B33" w:rsidP="0087455D">
      <w:pPr>
        <w:spacing w:after="0" w:line="240" w:lineRule="auto"/>
        <w:ind w:left="720" w:hanging="720"/>
        <w:rPr>
          <w:rFonts w:ascii="Arial" w:eastAsia="Times New Roman" w:hAnsi="Arial" w:cs="Arial"/>
          <w:spacing w:val="6"/>
          <w:sz w:val="20"/>
          <w:szCs w:val="20"/>
          <w:lang w:val="en-GB" w:eastAsia="en-GB"/>
        </w:rPr>
      </w:pPr>
    </w:p>
    <w:p w:rsidR="00E1397D" w:rsidRPr="0087455D" w:rsidRDefault="00485EC5" w:rsidP="0087455D">
      <w:pPr>
        <w:spacing w:after="0" w:line="240" w:lineRule="auto"/>
        <w:rPr>
          <w:rFonts w:ascii="Arial" w:eastAsia="Times New Roman" w:hAnsi="Arial" w:cs="Arial"/>
          <w:b/>
          <w:spacing w:val="6"/>
          <w:sz w:val="20"/>
          <w:szCs w:val="20"/>
          <w:lang w:val="en-GB" w:eastAsia="en-GB"/>
        </w:rPr>
      </w:pPr>
      <w:r w:rsidRPr="0087455D">
        <w:rPr>
          <w:rFonts w:ascii="Arial" w:eastAsia="Times New Roman" w:hAnsi="Arial" w:cs="Arial"/>
          <w:b/>
          <w:spacing w:val="6"/>
          <w:sz w:val="20"/>
          <w:szCs w:val="20"/>
          <w:lang w:val="en-GB" w:eastAsia="en-GB"/>
        </w:rPr>
        <w:t>3.4</w:t>
      </w:r>
      <w:r w:rsidRPr="0087455D">
        <w:rPr>
          <w:rFonts w:ascii="Arial" w:eastAsia="Times New Roman" w:hAnsi="Arial" w:cs="Arial"/>
          <w:b/>
          <w:spacing w:val="6"/>
          <w:sz w:val="20"/>
          <w:szCs w:val="20"/>
          <w:lang w:val="en-GB" w:eastAsia="en-GB"/>
        </w:rPr>
        <w:tab/>
        <w:t>Irregular, and Fruitless and Wasteful Expenditure</w:t>
      </w:r>
    </w:p>
    <w:p w:rsidR="00FD174B" w:rsidRPr="0087455D" w:rsidRDefault="00485EC5" w:rsidP="0087455D">
      <w:pPr>
        <w:spacing w:after="0" w:line="240" w:lineRule="auto"/>
        <w:ind w:left="720" w:hanging="720"/>
        <w:rPr>
          <w:rFonts w:ascii="Arial" w:hAnsi="Arial" w:cs="Arial"/>
          <w:sz w:val="20"/>
          <w:szCs w:val="20"/>
          <w:lang w:val="en-GB"/>
        </w:rPr>
      </w:pPr>
      <w:r w:rsidRPr="0087455D">
        <w:rPr>
          <w:rFonts w:ascii="Arial" w:eastAsia="Times New Roman" w:hAnsi="Arial" w:cs="Arial"/>
          <w:spacing w:val="6"/>
          <w:sz w:val="20"/>
          <w:szCs w:val="20"/>
          <w:lang w:val="en-GB" w:eastAsia="en-GB"/>
        </w:rPr>
        <w:lastRenderedPageBreak/>
        <w:t>3.4.1</w:t>
      </w:r>
      <w:r w:rsidRPr="0087455D">
        <w:rPr>
          <w:rFonts w:ascii="Arial" w:eastAsia="Times New Roman" w:hAnsi="Arial" w:cs="Arial"/>
          <w:spacing w:val="6"/>
          <w:sz w:val="20"/>
          <w:szCs w:val="20"/>
          <w:lang w:val="en-GB" w:eastAsia="en-GB"/>
        </w:rPr>
        <w:tab/>
      </w:r>
      <w:r w:rsidR="004F3D1D" w:rsidRPr="0087455D">
        <w:rPr>
          <w:rFonts w:ascii="Arial" w:eastAsia="Times New Roman" w:hAnsi="Arial" w:cs="Arial"/>
          <w:spacing w:val="6"/>
          <w:sz w:val="20"/>
          <w:szCs w:val="20"/>
          <w:lang w:val="en-GB" w:eastAsia="en-GB"/>
        </w:rPr>
        <w:t xml:space="preserve">Table two </w:t>
      </w:r>
      <w:r w:rsidR="008F5F72" w:rsidRPr="0087455D">
        <w:rPr>
          <w:rFonts w:ascii="Arial" w:eastAsia="Times New Roman" w:hAnsi="Arial" w:cs="Arial"/>
          <w:spacing w:val="6"/>
          <w:sz w:val="20"/>
          <w:szCs w:val="20"/>
          <w:lang w:val="en-GB" w:eastAsia="en-GB"/>
        </w:rPr>
        <w:t>below illustrates the irregular,</w:t>
      </w:r>
      <w:r w:rsidR="004F3D1D" w:rsidRPr="0087455D">
        <w:rPr>
          <w:rFonts w:ascii="Arial" w:eastAsia="Times New Roman" w:hAnsi="Arial" w:cs="Arial"/>
          <w:spacing w:val="6"/>
          <w:sz w:val="20"/>
          <w:szCs w:val="20"/>
          <w:lang w:val="en-GB" w:eastAsia="en-GB"/>
        </w:rPr>
        <w:t xml:space="preserve"> </w:t>
      </w:r>
      <w:r w:rsidR="008F5F72" w:rsidRPr="0087455D">
        <w:rPr>
          <w:rFonts w:ascii="Arial" w:eastAsia="Times New Roman" w:hAnsi="Arial" w:cs="Arial"/>
          <w:spacing w:val="6"/>
          <w:sz w:val="20"/>
          <w:szCs w:val="20"/>
          <w:lang w:val="en-GB" w:eastAsia="en-GB"/>
        </w:rPr>
        <w:t>f</w:t>
      </w:r>
      <w:r w:rsidR="004F3D1D" w:rsidRPr="0087455D">
        <w:rPr>
          <w:rFonts w:ascii="Arial" w:eastAsia="Times New Roman" w:hAnsi="Arial" w:cs="Arial"/>
          <w:spacing w:val="6"/>
          <w:sz w:val="20"/>
          <w:szCs w:val="20"/>
          <w:lang w:val="en-GB" w:eastAsia="en-GB"/>
        </w:rPr>
        <w:t>ruitless and wasteful expenditure incurred in 2022 as compared to the previous year.</w:t>
      </w:r>
    </w:p>
    <w:tbl>
      <w:tblPr>
        <w:tblStyle w:val="TableGrid"/>
        <w:tblW w:w="0" w:type="auto"/>
        <w:tblInd w:w="720" w:type="dxa"/>
        <w:tblLook w:val="04A0"/>
      </w:tblPr>
      <w:tblGrid>
        <w:gridCol w:w="6079"/>
        <w:gridCol w:w="1418"/>
        <w:gridCol w:w="1411"/>
      </w:tblGrid>
      <w:tr w:rsidR="00D45F1C" w:rsidRPr="0087455D" w:rsidTr="00FD174B">
        <w:tc>
          <w:tcPr>
            <w:tcW w:w="6079" w:type="dxa"/>
          </w:tcPr>
          <w:p w:rsidR="00FD174B" w:rsidRPr="0087455D" w:rsidRDefault="00FD174B" w:rsidP="0087455D">
            <w:pPr>
              <w:rPr>
                <w:rFonts w:ascii="Arial" w:hAnsi="Arial" w:cs="Arial"/>
                <w:b/>
                <w:sz w:val="20"/>
                <w:szCs w:val="20"/>
                <w:lang w:val="en-GB"/>
              </w:rPr>
            </w:pPr>
            <w:r w:rsidRPr="0087455D">
              <w:rPr>
                <w:rFonts w:ascii="Arial" w:hAnsi="Arial" w:cs="Arial"/>
                <w:b/>
                <w:sz w:val="20"/>
                <w:szCs w:val="20"/>
                <w:lang w:val="en-GB"/>
              </w:rPr>
              <w:t>Details</w:t>
            </w:r>
          </w:p>
        </w:tc>
        <w:tc>
          <w:tcPr>
            <w:tcW w:w="1418" w:type="dxa"/>
          </w:tcPr>
          <w:p w:rsidR="00FD174B" w:rsidRPr="0087455D" w:rsidRDefault="0073498D" w:rsidP="0087455D">
            <w:pPr>
              <w:rPr>
                <w:rFonts w:ascii="Arial" w:hAnsi="Arial" w:cs="Arial"/>
                <w:b/>
                <w:sz w:val="20"/>
                <w:szCs w:val="20"/>
                <w:lang w:val="en-GB"/>
              </w:rPr>
            </w:pPr>
            <w:r w:rsidRPr="0087455D">
              <w:rPr>
                <w:rFonts w:ascii="Arial" w:hAnsi="Arial" w:cs="Arial"/>
                <w:b/>
                <w:sz w:val="20"/>
                <w:szCs w:val="20"/>
                <w:lang w:val="en-GB"/>
              </w:rPr>
              <w:t>2022</w:t>
            </w:r>
          </w:p>
        </w:tc>
        <w:tc>
          <w:tcPr>
            <w:tcW w:w="1411" w:type="dxa"/>
          </w:tcPr>
          <w:p w:rsidR="00FD174B" w:rsidRPr="0087455D" w:rsidRDefault="0073498D" w:rsidP="0087455D">
            <w:pPr>
              <w:rPr>
                <w:rFonts w:ascii="Arial" w:hAnsi="Arial" w:cs="Arial"/>
                <w:b/>
                <w:sz w:val="20"/>
                <w:szCs w:val="20"/>
                <w:lang w:val="en-GB"/>
              </w:rPr>
            </w:pPr>
            <w:r w:rsidRPr="0087455D">
              <w:rPr>
                <w:rFonts w:ascii="Arial" w:hAnsi="Arial" w:cs="Arial"/>
                <w:b/>
                <w:sz w:val="20"/>
                <w:szCs w:val="20"/>
                <w:lang w:val="en-GB"/>
              </w:rPr>
              <w:t>2021</w:t>
            </w:r>
          </w:p>
        </w:tc>
      </w:tr>
      <w:tr w:rsidR="00D45F1C" w:rsidRPr="0087455D" w:rsidTr="00FD174B">
        <w:tc>
          <w:tcPr>
            <w:tcW w:w="6079" w:type="dxa"/>
          </w:tcPr>
          <w:p w:rsidR="00FD174B" w:rsidRPr="0087455D" w:rsidRDefault="00FD174B" w:rsidP="0087455D">
            <w:pPr>
              <w:rPr>
                <w:rFonts w:ascii="Arial" w:hAnsi="Arial" w:cs="Arial"/>
                <w:b/>
                <w:sz w:val="20"/>
                <w:szCs w:val="20"/>
                <w:lang w:val="en-GB"/>
              </w:rPr>
            </w:pPr>
            <w:r w:rsidRPr="0087455D">
              <w:rPr>
                <w:rFonts w:ascii="Arial" w:hAnsi="Arial" w:cs="Arial"/>
                <w:b/>
                <w:sz w:val="20"/>
                <w:szCs w:val="20"/>
                <w:lang w:val="en-GB"/>
              </w:rPr>
              <w:t>Irregular Expenditure</w:t>
            </w:r>
          </w:p>
          <w:p w:rsidR="00FD174B" w:rsidRPr="0087455D" w:rsidRDefault="00FD174B" w:rsidP="0087455D">
            <w:pPr>
              <w:rPr>
                <w:rFonts w:ascii="Arial" w:hAnsi="Arial" w:cs="Arial"/>
                <w:sz w:val="20"/>
                <w:szCs w:val="20"/>
                <w:lang w:val="en-GB"/>
              </w:rPr>
            </w:pPr>
            <w:r w:rsidRPr="0087455D">
              <w:rPr>
                <w:rFonts w:ascii="Arial" w:hAnsi="Arial" w:cs="Arial"/>
                <w:sz w:val="20"/>
                <w:szCs w:val="20"/>
                <w:lang w:val="en-GB"/>
              </w:rPr>
              <w:t>Opening balance</w:t>
            </w:r>
          </w:p>
          <w:p w:rsidR="00FD174B" w:rsidRPr="0087455D" w:rsidRDefault="00FD174B" w:rsidP="0087455D">
            <w:pPr>
              <w:rPr>
                <w:rFonts w:ascii="Arial" w:hAnsi="Arial" w:cs="Arial"/>
                <w:sz w:val="20"/>
                <w:szCs w:val="20"/>
                <w:lang w:val="en-GB"/>
              </w:rPr>
            </w:pPr>
            <w:r w:rsidRPr="0087455D">
              <w:rPr>
                <w:rFonts w:ascii="Arial" w:hAnsi="Arial" w:cs="Arial"/>
                <w:sz w:val="20"/>
                <w:szCs w:val="20"/>
                <w:lang w:val="en-GB"/>
              </w:rPr>
              <w:t>Add: Irregular Expenditure - current year</w:t>
            </w:r>
          </w:p>
          <w:p w:rsidR="00FD174B" w:rsidRPr="0087455D" w:rsidRDefault="00FD174B" w:rsidP="0087455D">
            <w:pPr>
              <w:rPr>
                <w:rFonts w:ascii="Arial" w:hAnsi="Arial" w:cs="Arial"/>
                <w:sz w:val="20"/>
                <w:szCs w:val="20"/>
                <w:lang w:val="en-GB"/>
              </w:rPr>
            </w:pPr>
            <w:r w:rsidRPr="0087455D">
              <w:rPr>
                <w:rFonts w:ascii="Arial" w:hAnsi="Arial" w:cs="Arial"/>
                <w:sz w:val="20"/>
                <w:szCs w:val="20"/>
                <w:lang w:val="en-GB"/>
              </w:rPr>
              <w:t>Less: Condoned</w:t>
            </w:r>
          </w:p>
        </w:tc>
        <w:tc>
          <w:tcPr>
            <w:tcW w:w="1418" w:type="dxa"/>
          </w:tcPr>
          <w:p w:rsidR="00FD174B" w:rsidRPr="0087455D" w:rsidRDefault="00FD174B" w:rsidP="0087455D">
            <w:pPr>
              <w:rPr>
                <w:rFonts w:ascii="Arial" w:hAnsi="Arial" w:cs="Arial"/>
                <w:sz w:val="20"/>
                <w:szCs w:val="20"/>
                <w:lang w:val="en-GB"/>
              </w:rPr>
            </w:pPr>
          </w:p>
          <w:p w:rsidR="00FD174B" w:rsidRPr="0087455D" w:rsidRDefault="00FD174B" w:rsidP="0087455D">
            <w:pPr>
              <w:rPr>
                <w:rFonts w:ascii="Arial" w:hAnsi="Arial" w:cs="Arial"/>
                <w:sz w:val="20"/>
                <w:szCs w:val="20"/>
                <w:lang w:val="en-GB"/>
              </w:rPr>
            </w:pPr>
            <w:r w:rsidRPr="0087455D">
              <w:rPr>
                <w:rFonts w:ascii="Arial" w:hAnsi="Arial" w:cs="Arial"/>
                <w:sz w:val="20"/>
                <w:szCs w:val="20"/>
                <w:lang w:val="en-GB"/>
              </w:rPr>
              <w:t>0</w:t>
            </w: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2,132</w:t>
            </w:r>
          </w:p>
          <w:p w:rsidR="00FD174B" w:rsidRPr="0087455D" w:rsidRDefault="00FD174B" w:rsidP="0087455D">
            <w:pPr>
              <w:rPr>
                <w:rFonts w:ascii="Arial" w:hAnsi="Arial" w:cs="Arial"/>
                <w:sz w:val="20"/>
                <w:szCs w:val="20"/>
                <w:lang w:val="en-GB"/>
              </w:rPr>
            </w:pPr>
            <w:r w:rsidRPr="0087455D">
              <w:rPr>
                <w:rFonts w:ascii="Arial" w:hAnsi="Arial" w:cs="Arial"/>
                <w:sz w:val="20"/>
                <w:szCs w:val="20"/>
                <w:lang w:val="en-GB"/>
              </w:rPr>
              <w:t>0</w:t>
            </w:r>
          </w:p>
        </w:tc>
        <w:tc>
          <w:tcPr>
            <w:tcW w:w="1411" w:type="dxa"/>
          </w:tcPr>
          <w:p w:rsidR="00FD174B" w:rsidRPr="0087455D" w:rsidRDefault="00FD174B" w:rsidP="0087455D">
            <w:pPr>
              <w:rPr>
                <w:rFonts w:ascii="Arial" w:hAnsi="Arial" w:cs="Arial"/>
                <w:sz w:val="20"/>
                <w:szCs w:val="20"/>
                <w:lang w:val="en-GB"/>
              </w:rPr>
            </w:pP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R0</w:t>
            </w:r>
          </w:p>
          <w:p w:rsidR="00FD174B" w:rsidRPr="0087455D" w:rsidRDefault="00FD174B" w:rsidP="0087455D">
            <w:pPr>
              <w:rPr>
                <w:rFonts w:ascii="Arial" w:hAnsi="Arial" w:cs="Arial"/>
                <w:sz w:val="20"/>
                <w:szCs w:val="20"/>
                <w:lang w:val="en-GB"/>
              </w:rPr>
            </w:pPr>
            <w:r w:rsidRPr="0087455D">
              <w:rPr>
                <w:rFonts w:ascii="Arial" w:hAnsi="Arial" w:cs="Arial"/>
                <w:sz w:val="20"/>
                <w:szCs w:val="20"/>
                <w:lang w:val="en-GB"/>
              </w:rPr>
              <w:t>R0</w:t>
            </w: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R0</w:t>
            </w:r>
          </w:p>
        </w:tc>
      </w:tr>
      <w:tr w:rsidR="00D45F1C" w:rsidRPr="0087455D" w:rsidTr="00FD174B">
        <w:tc>
          <w:tcPr>
            <w:tcW w:w="6079" w:type="dxa"/>
          </w:tcPr>
          <w:p w:rsidR="00FD174B" w:rsidRPr="0087455D" w:rsidRDefault="00FD174B" w:rsidP="0087455D">
            <w:pPr>
              <w:rPr>
                <w:rFonts w:ascii="Arial" w:hAnsi="Arial" w:cs="Arial"/>
                <w:b/>
                <w:sz w:val="20"/>
                <w:szCs w:val="20"/>
                <w:lang w:val="en-GB"/>
              </w:rPr>
            </w:pPr>
            <w:r w:rsidRPr="0087455D">
              <w:rPr>
                <w:rFonts w:ascii="Arial" w:hAnsi="Arial" w:cs="Arial"/>
                <w:b/>
                <w:sz w:val="20"/>
                <w:szCs w:val="20"/>
                <w:lang w:val="en-GB"/>
              </w:rPr>
              <w:t>TOTAL</w:t>
            </w:r>
          </w:p>
        </w:tc>
        <w:tc>
          <w:tcPr>
            <w:tcW w:w="1418" w:type="dxa"/>
          </w:tcPr>
          <w:p w:rsidR="00FD174B" w:rsidRPr="0087455D" w:rsidRDefault="0073498D" w:rsidP="0087455D">
            <w:pPr>
              <w:rPr>
                <w:rFonts w:ascii="Arial" w:hAnsi="Arial" w:cs="Arial"/>
                <w:b/>
                <w:sz w:val="20"/>
                <w:szCs w:val="20"/>
                <w:lang w:val="en-GB"/>
              </w:rPr>
            </w:pPr>
            <w:r w:rsidRPr="0087455D">
              <w:rPr>
                <w:rFonts w:ascii="Arial" w:hAnsi="Arial" w:cs="Arial"/>
                <w:b/>
                <w:sz w:val="20"/>
                <w:szCs w:val="20"/>
                <w:lang w:val="en-GB"/>
              </w:rPr>
              <w:t xml:space="preserve">2,132 </w:t>
            </w:r>
          </w:p>
        </w:tc>
        <w:tc>
          <w:tcPr>
            <w:tcW w:w="1411" w:type="dxa"/>
          </w:tcPr>
          <w:p w:rsidR="00FD174B" w:rsidRPr="0087455D" w:rsidRDefault="0073498D" w:rsidP="0087455D">
            <w:pPr>
              <w:rPr>
                <w:rFonts w:ascii="Arial" w:hAnsi="Arial" w:cs="Arial"/>
                <w:b/>
                <w:sz w:val="20"/>
                <w:szCs w:val="20"/>
                <w:lang w:val="en-GB"/>
              </w:rPr>
            </w:pPr>
            <w:r w:rsidRPr="0087455D">
              <w:rPr>
                <w:rFonts w:ascii="Arial" w:hAnsi="Arial" w:cs="Arial"/>
                <w:b/>
                <w:sz w:val="20"/>
                <w:szCs w:val="20"/>
                <w:lang w:val="en-GB"/>
              </w:rPr>
              <w:t>R0</w:t>
            </w:r>
          </w:p>
        </w:tc>
      </w:tr>
      <w:tr w:rsidR="00D45F1C" w:rsidRPr="0087455D" w:rsidTr="00FD174B">
        <w:tc>
          <w:tcPr>
            <w:tcW w:w="6079" w:type="dxa"/>
          </w:tcPr>
          <w:p w:rsidR="00FD174B" w:rsidRPr="0087455D" w:rsidRDefault="00FD174B" w:rsidP="0087455D">
            <w:pPr>
              <w:rPr>
                <w:rFonts w:ascii="Arial" w:hAnsi="Arial" w:cs="Arial"/>
                <w:b/>
                <w:sz w:val="20"/>
                <w:szCs w:val="20"/>
                <w:lang w:val="en-GB"/>
              </w:rPr>
            </w:pPr>
            <w:r w:rsidRPr="0087455D">
              <w:rPr>
                <w:rFonts w:ascii="Arial" w:hAnsi="Arial" w:cs="Arial"/>
                <w:b/>
                <w:sz w:val="20"/>
                <w:szCs w:val="20"/>
                <w:lang w:val="en-GB"/>
              </w:rPr>
              <w:t>Fruitless and Wasteful Expenditure</w:t>
            </w:r>
          </w:p>
          <w:p w:rsidR="00FD174B" w:rsidRPr="0087455D" w:rsidRDefault="00FD174B" w:rsidP="0087455D">
            <w:pPr>
              <w:rPr>
                <w:rFonts w:ascii="Arial" w:hAnsi="Arial" w:cs="Arial"/>
                <w:sz w:val="20"/>
                <w:szCs w:val="20"/>
                <w:lang w:val="en-GB"/>
              </w:rPr>
            </w:pPr>
            <w:r w:rsidRPr="0087455D">
              <w:rPr>
                <w:rFonts w:ascii="Arial" w:hAnsi="Arial" w:cs="Arial"/>
                <w:sz w:val="20"/>
                <w:szCs w:val="20"/>
                <w:lang w:val="en-GB"/>
              </w:rPr>
              <w:t>Opening Balance</w:t>
            </w:r>
          </w:p>
          <w:p w:rsidR="00FD174B" w:rsidRPr="0087455D" w:rsidRDefault="00FD174B" w:rsidP="0087455D">
            <w:pPr>
              <w:rPr>
                <w:rFonts w:ascii="Arial" w:hAnsi="Arial" w:cs="Arial"/>
                <w:sz w:val="20"/>
                <w:szCs w:val="20"/>
                <w:lang w:val="en-GB"/>
              </w:rPr>
            </w:pPr>
            <w:r w:rsidRPr="0087455D">
              <w:rPr>
                <w:rFonts w:ascii="Arial" w:hAnsi="Arial" w:cs="Arial"/>
                <w:sz w:val="20"/>
                <w:szCs w:val="20"/>
                <w:lang w:val="en-GB"/>
              </w:rPr>
              <w:t xml:space="preserve">Add: Fruitless and Wasteful expenditure – current </w:t>
            </w:r>
            <w:r w:rsidR="008C3E43" w:rsidRPr="0087455D">
              <w:rPr>
                <w:rFonts w:ascii="Arial" w:hAnsi="Arial" w:cs="Arial"/>
                <w:sz w:val="20"/>
                <w:szCs w:val="20"/>
                <w:lang w:val="en-GB"/>
              </w:rPr>
              <w:t>year</w:t>
            </w: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Add: Expenditure identified - prior period</w:t>
            </w: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Less: Amounts condoned</w:t>
            </w:r>
          </w:p>
        </w:tc>
        <w:tc>
          <w:tcPr>
            <w:tcW w:w="1418" w:type="dxa"/>
          </w:tcPr>
          <w:p w:rsidR="00FD174B" w:rsidRPr="0087455D" w:rsidRDefault="00FD174B" w:rsidP="0087455D">
            <w:pPr>
              <w:rPr>
                <w:rFonts w:ascii="Arial" w:hAnsi="Arial" w:cs="Arial"/>
                <w:sz w:val="20"/>
                <w:szCs w:val="20"/>
                <w:lang w:val="en-GB"/>
              </w:rPr>
            </w:pP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103</w:t>
            </w: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0</w:t>
            </w: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0</w:t>
            </w:r>
          </w:p>
          <w:p w:rsidR="00FD174B" w:rsidRPr="0087455D" w:rsidRDefault="0073498D" w:rsidP="0087455D">
            <w:pPr>
              <w:rPr>
                <w:rFonts w:ascii="Arial" w:hAnsi="Arial" w:cs="Arial"/>
                <w:sz w:val="20"/>
                <w:szCs w:val="20"/>
                <w:lang w:val="en-GB"/>
              </w:rPr>
            </w:pPr>
            <w:r w:rsidRPr="0087455D">
              <w:rPr>
                <w:rFonts w:ascii="Arial" w:hAnsi="Arial" w:cs="Arial"/>
                <w:sz w:val="20"/>
                <w:szCs w:val="20"/>
                <w:lang w:val="en-GB"/>
              </w:rPr>
              <w:t>-51</w:t>
            </w:r>
          </w:p>
        </w:tc>
        <w:tc>
          <w:tcPr>
            <w:tcW w:w="1411" w:type="dxa"/>
          </w:tcPr>
          <w:p w:rsidR="00FD174B" w:rsidRPr="0087455D" w:rsidRDefault="00FD174B" w:rsidP="0087455D">
            <w:pPr>
              <w:rPr>
                <w:rFonts w:ascii="Arial" w:hAnsi="Arial" w:cs="Arial"/>
                <w:sz w:val="20"/>
                <w:szCs w:val="20"/>
                <w:lang w:val="en-GB"/>
              </w:rPr>
            </w:pPr>
          </w:p>
          <w:p w:rsidR="00FA1A1F" w:rsidRPr="0087455D" w:rsidRDefault="0073498D" w:rsidP="0087455D">
            <w:pPr>
              <w:rPr>
                <w:rFonts w:ascii="Arial" w:hAnsi="Arial" w:cs="Arial"/>
                <w:sz w:val="20"/>
                <w:szCs w:val="20"/>
                <w:lang w:val="en-GB"/>
              </w:rPr>
            </w:pPr>
            <w:r w:rsidRPr="0087455D">
              <w:rPr>
                <w:rFonts w:ascii="Arial" w:hAnsi="Arial" w:cs="Arial"/>
                <w:sz w:val="20"/>
                <w:szCs w:val="20"/>
                <w:lang w:val="en-GB"/>
              </w:rPr>
              <w:t>40</w:t>
            </w:r>
          </w:p>
          <w:p w:rsidR="00FA1A1F" w:rsidRPr="0087455D" w:rsidRDefault="0073498D" w:rsidP="0087455D">
            <w:pPr>
              <w:rPr>
                <w:rFonts w:ascii="Arial" w:hAnsi="Arial" w:cs="Arial"/>
                <w:sz w:val="20"/>
                <w:szCs w:val="20"/>
                <w:lang w:val="en-GB"/>
              </w:rPr>
            </w:pPr>
            <w:r w:rsidRPr="0087455D">
              <w:rPr>
                <w:rFonts w:ascii="Arial" w:hAnsi="Arial" w:cs="Arial"/>
                <w:sz w:val="20"/>
                <w:szCs w:val="20"/>
                <w:lang w:val="en-GB"/>
              </w:rPr>
              <w:t>23</w:t>
            </w:r>
          </w:p>
          <w:p w:rsidR="0073498D" w:rsidRPr="0087455D" w:rsidRDefault="0073498D" w:rsidP="0087455D">
            <w:pPr>
              <w:rPr>
                <w:rFonts w:ascii="Arial" w:hAnsi="Arial" w:cs="Arial"/>
                <w:sz w:val="20"/>
                <w:szCs w:val="20"/>
                <w:lang w:val="en-GB"/>
              </w:rPr>
            </w:pPr>
            <w:r w:rsidRPr="0087455D">
              <w:rPr>
                <w:rFonts w:ascii="Arial" w:hAnsi="Arial" w:cs="Arial"/>
                <w:sz w:val="20"/>
                <w:szCs w:val="20"/>
                <w:lang w:val="en-GB"/>
              </w:rPr>
              <w:t>52</w:t>
            </w:r>
          </w:p>
          <w:p w:rsidR="00FA1A1F" w:rsidRPr="0087455D" w:rsidRDefault="0073498D" w:rsidP="0087455D">
            <w:pPr>
              <w:rPr>
                <w:rFonts w:ascii="Arial" w:hAnsi="Arial" w:cs="Arial"/>
                <w:sz w:val="20"/>
                <w:szCs w:val="20"/>
                <w:lang w:val="en-GB"/>
              </w:rPr>
            </w:pPr>
            <w:r w:rsidRPr="0087455D">
              <w:rPr>
                <w:rFonts w:ascii="Arial" w:hAnsi="Arial" w:cs="Arial"/>
                <w:sz w:val="20"/>
                <w:szCs w:val="20"/>
                <w:lang w:val="en-GB"/>
              </w:rPr>
              <w:t>-12</w:t>
            </w:r>
          </w:p>
        </w:tc>
      </w:tr>
      <w:tr w:rsidR="00D45F1C" w:rsidRPr="0087455D" w:rsidTr="00FD174B">
        <w:tc>
          <w:tcPr>
            <w:tcW w:w="6079" w:type="dxa"/>
          </w:tcPr>
          <w:p w:rsidR="00FD174B" w:rsidRPr="0087455D" w:rsidRDefault="00FD174B" w:rsidP="0087455D">
            <w:pPr>
              <w:rPr>
                <w:rFonts w:ascii="Arial" w:hAnsi="Arial" w:cs="Arial"/>
                <w:b/>
                <w:sz w:val="20"/>
                <w:szCs w:val="20"/>
                <w:lang w:val="en-GB"/>
              </w:rPr>
            </w:pPr>
            <w:r w:rsidRPr="0087455D">
              <w:rPr>
                <w:rFonts w:ascii="Arial" w:hAnsi="Arial" w:cs="Arial"/>
                <w:b/>
                <w:sz w:val="20"/>
                <w:szCs w:val="20"/>
                <w:lang w:val="en-GB"/>
              </w:rPr>
              <w:t>TOTAL</w:t>
            </w:r>
          </w:p>
        </w:tc>
        <w:tc>
          <w:tcPr>
            <w:tcW w:w="1418" w:type="dxa"/>
          </w:tcPr>
          <w:p w:rsidR="00FD174B" w:rsidRPr="0087455D" w:rsidRDefault="0073498D" w:rsidP="0087455D">
            <w:pPr>
              <w:rPr>
                <w:rFonts w:ascii="Arial" w:hAnsi="Arial" w:cs="Arial"/>
                <w:b/>
                <w:sz w:val="20"/>
                <w:szCs w:val="20"/>
                <w:lang w:val="en-GB"/>
              </w:rPr>
            </w:pPr>
            <w:r w:rsidRPr="0087455D">
              <w:rPr>
                <w:rFonts w:ascii="Arial" w:hAnsi="Arial" w:cs="Arial"/>
                <w:b/>
                <w:sz w:val="20"/>
                <w:szCs w:val="20"/>
                <w:lang w:val="en-GB"/>
              </w:rPr>
              <w:t>52</w:t>
            </w:r>
          </w:p>
        </w:tc>
        <w:tc>
          <w:tcPr>
            <w:tcW w:w="1411" w:type="dxa"/>
          </w:tcPr>
          <w:p w:rsidR="00FD174B" w:rsidRPr="0087455D" w:rsidRDefault="0073498D" w:rsidP="0087455D">
            <w:pPr>
              <w:rPr>
                <w:rFonts w:ascii="Arial" w:hAnsi="Arial" w:cs="Arial"/>
                <w:b/>
                <w:sz w:val="20"/>
                <w:szCs w:val="20"/>
                <w:lang w:val="en-GB"/>
              </w:rPr>
            </w:pPr>
            <w:r w:rsidRPr="0087455D">
              <w:rPr>
                <w:rFonts w:ascii="Arial" w:hAnsi="Arial" w:cs="Arial"/>
                <w:b/>
                <w:sz w:val="20"/>
                <w:szCs w:val="20"/>
                <w:lang w:val="en-GB"/>
              </w:rPr>
              <w:t>103</w:t>
            </w:r>
          </w:p>
        </w:tc>
      </w:tr>
      <w:tr w:rsidR="00D45F1C" w:rsidRPr="0087455D" w:rsidTr="00FD174B">
        <w:tc>
          <w:tcPr>
            <w:tcW w:w="6079" w:type="dxa"/>
          </w:tcPr>
          <w:p w:rsidR="00FD174B" w:rsidRPr="0087455D" w:rsidRDefault="00FA1A1F" w:rsidP="0087455D">
            <w:pPr>
              <w:rPr>
                <w:rFonts w:ascii="Arial" w:hAnsi="Arial" w:cs="Arial"/>
                <w:b/>
                <w:sz w:val="20"/>
                <w:szCs w:val="20"/>
                <w:lang w:val="en-GB"/>
              </w:rPr>
            </w:pPr>
            <w:r w:rsidRPr="0087455D">
              <w:rPr>
                <w:rFonts w:ascii="Arial" w:hAnsi="Arial" w:cs="Arial"/>
                <w:b/>
                <w:sz w:val="20"/>
                <w:szCs w:val="20"/>
                <w:lang w:val="en-GB"/>
              </w:rPr>
              <w:t xml:space="preserve">Details of </w:t>
            </w:r>
            <w:r w:rsidR="008C3E43" w:rsidRPr="0087455D">
              <w:rPr>
                <w:rFonts w:ascii="Arial" w:hAnsi="Arial" w:cs="Arial"/>
                <w:b/>
                <w:sz w:val="20"/>
                <w:szCs w:val="20"/>
                <w:lang w:val="en-GB"/>
              </w:rPr>
              <w:t>Fruitless</w:t>
            </w:r>
            <w:r w:rsidRPr="0087455D">
              <w:rPr>
                <w:rFonts w:ascii="Arial" w:hAnsi="Arial" w:cs="Arial"/>
                <w:b/>
                <w:sz w:val="20"/>
                <w:szCs w:val="20"/>
                <w:lang w:val="en-GB"/>
              </w:rPr>
              <w:t xml:space="preserve"> and Wasteful Expenditure</w:t>
            </w:r>
          </w:p>
          <w:p w:rsidR="00FA1A1F" w:rsidRPr="0087455D" w:rsidRDefault="00FA1A1F" w:rsidP="0087455D">
            <w:pPr>
              <w:rPr>
                <w:rFonts w:ascii="Arial" w:hAnsi="Arial" w:cs="Arial"/>
                <w:sz w:val="20"/>
                <w:szCs w:val="20"/>
                <w:lang w:val="en-GB"/>
              </w:rPr>
            </w:pPr>
            <w:r w:rsidRPr="0087455D">
              <w:rPr>
                <w:rFonts w:ascii="Arial" w:hAnsi="Arial" w:cs="Arial"/>
                <w:sz w:val="20"/>
                <w:szCs w:val="20"/>
                <w:lang w:val="en-GB"/>
              </w:rPr>
              <w:t>Interest on Late Payments</w:t>
            </w:r>
          </w:p>
        </w:tc>
        <w:tc>
          <w:tcPr>
            <w:tcW w:w="1418" w:type="dxa"/>
          </w:tcPr>
          <w:p w:rsidR="00FD174B" w:rsidRPr="0087455D" w:rsidRDefault="00FD174B" w:rsidP="0087455D">
            <w:pPr>
              <w:rPr>
                <w:rFonts w:ascii="Arial" w:hAnsi="Arial" w:cs="Arial"/>
                <w:sz w:val="20"/>
                <w:szCs w:val="20"/>
                <w:lang w:val="en-GB"/>
              </w:rPr>
            </w:pPr>
          </w:p>
          <w:p w:rsidR="00FA1A1F" w:rsidRPr="0087455D" w:rsidRDefault="0073498D" w:rsidP="0087455D">
            <w:pPr>
              <w:rPr>
                <w:rFonts w:ascii="Arial" w:hAnsi="Arial" w:cs="Arial"/>
                <w:sz w:val="20"/>
                <w:szCs w:val="20"/>
                <w:lang w:val="en-GB"/>
              </w:rPr>
            </w:pPr>
            <w:r w:rsidRPr="0087455D">
              <w:rPr>
                <w:rFonts w:ascii="Arial" w:hAnsi="Arial" w:cs="Arial"/>
                <w:sz w:val="20"/>
                <w:szCs w:val="20"/>
                <w:lang w:val="en-GB"/>
              </w:rPr>
              <w:t>52</w:t>
            </w:r>
          </w:p>
        </w:tc>
        <w:tc>
          <w:tcPr>
            <w:tcW w:w="1411" w:type="dxa"/>
          </w:tcPr>
          <w:p w:rsidR="00FD174B" w:rsidRPr="0087455D" w:rsidRDefault="00FD174B" w:rsidP="0087455D">
            <w:pPr>
              <w:rPr>
                <w:rFonts w:ascii="Arial" w:hAnsi="Arial" w:cs="Arial"/>
                <w:sz w:val="20"/>
                <w:szCs w:val="20"/>
                <w:lang w:val="en-GB"/>
              </w:rPr>
            </w:pPr>
          </w:p>
          <w:p w:rsidR="00FA1A1F" w:rsidRPr="0087455D" w:rsidRDefault="0073498D" w:rsidP="0087455D">
            <w:pPr>
              <w:rPr>
                <w:rFonts w:ascii="Arial" w:hAnsi="Arial" w:cs="Arial"/>
                <w:sz w:val="20"/>
                <w:szCs w:val="20"/>
                <w:lang w:val="en-GB"/>
              </w:rPr>
            </w:pPr>
            <w:r w:rsidRPr="0087455D">
              <w:rPr>
                <w:rFonts w:ascii="Arial" w:hAnsi="Arial" w:cs="Arial"/>
                <w:sz w:val="20"/>
                <w:szCs w:val="20"/>
                <w:lang w:val="en-GB"/>
              </w:rPr>
              <w:t>103</w:t>
            </w:r>
          </w:p>
        </w:tc>
      </w:tr>
    </w:tbl>
    <w:p w:rsidR="00FD174B" w:rsidRPr="0087455D" w:rsidRDefault="00FA1A1F" w:rsidP="0087455D">
      <w:pPr>
        <w:spacing w:after="0" w:line="240" w:lineRule="auto"/>
        <w:ind w:left="720"/>
        <w:rPr>
          <w:rFonts w:ascii="Arial" w:hAnsi="Arial" w:cs="Arial"/>
          <w:b/>
          <w:sz w:val="20"/>
          <w:szCs w:val="20"/>
          <w:lang w:val="en-GB"/>
        </w:rPr>
      </w:pPr>
      <w:r w:rsidRPr="0087455D">
        <w:rPr>
          <w:rFonts w:ascii="Arial" w:hAnsi="Arial" w:cs="Arial"/>
          <w:b/>
          <w:sz w:val="20"/>
          <w:szCs w:val="20"/>
          <w:lang w:val="en-GB"/>
        </w:rPr>
        <w:t>Table 2: Irregular, and Fruitless and Wasteful Expenditure (Source: Parliament of the RSA)</w:t>
      </w:r>
    </w:p>
    <w:p w:rsidR="00E1397D" w:rsidRPr="0087455D" w:rsidRDefault="0073498D"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3.4.2</w:t>
      </w:r>
      <w:r w:rsidRPr="0087455D">
        <w:rPr>
          <w:rFonts w:ascii="Arial" w:eastAsia="Times New Roman" w:hAnsi="Arial" w:cs="Arial"/>
          <w:spacing w:val="6"/>
          <w:sz w:val="20"/>
          <w:szCs w:val="20"/>
          <w:lang w:val="en-GB" w:eastAsia="en-GB"/>
        </w:rPr>
        <w:tab/>
        <w:t xml:space="preserve">The cases of fruitful and wasteful expenditure totalling R51 000 that were disclosed in the prior year were condoned. One case amounting to R52 000 relates to the prior year, but was only discovered and disclosed in the current year. Parliament engaged the South African Revenue Service (SARS) on the latter, </w:t>
      </w:r>
      <w:r w:rsidR="004F3D1D" w:rsidRPr="0087455D">
        <w:rPr>
          <w:rFonts w:ascii="Arial" w:eastAsia="Times New Roman" w:hAnsi="Arial" w:cs="Arial"/>
          <w:spacing w:val="6"/>
          <w:sz w:val="20"/>
          <w:szCs w:val="20"/>
          <w:lang w:val="en-GB" w:eastAsia="en-GB"/>
        </w:rPr>
        <w:t xml:space="preserve">and </w:t>
      </w:r>
      <w:r w:rsidRPr="0087455D">
        <w:rPr>
          <w:rFonts w:ascii="Arial" w:eastAsia="Times New Roman" w:hAnsi="Arial" w:cs="Arial"/>
          <w:spacing w:val="6"/>
          <w:sz w:val="20"/>
          <w:szCs w:val="20"/>
          <w:lang w:val="en-GB" w:eastAsia="en-GB"/>
        </w:rPr>
        <w:t xml:space="preserve">SARS </w:t>
      </w:r>
      <w:r w:rsidR="004F3D1D" w:rsidRPr="0087455D">
        <w:rPr>
          <w:rFonts w:ascii="Arial" w:eastAsia="Times New Roman" w:hAnsi="Arial" w:cs="Arial"/>
          <w:spacing w:val="6"/>
          <w:sz w:val="20"/>
          <w:szCs w:val="20"/>
          <w:lang w:val="en-GB" w:eastAsia="en-GB"/>
        </w:rPr>
        <w:t>committed to assist</w:t>
      </w:r>
      <w:r w:rsidR="008F5F72" w:rsidRPr="0087455D">
        <w:rPr>
          <w:rFonts w:ascii="Arial" w:eastAsia="Times New Roman" w:hAnsi="Arial" w:cs="Arial"/>
          <w:spacing w:val="6"/>
          <w:sz w:val="20"/>
          <w:szCs w:val="20"/>
          <w:lang w:val="en-GB" w:eastAsia="en-GB"/>
        </w:rPr>
        <w:t>ing</w:t>
      </w:r>
      <w:r w:rsidR="004F3D1D" w:rsidRPr="0087455D">
        <w:rPr>
          <w:rFonts w:ascii="Arial" w:eastAsia="Times New Roman" w:hAnsi="Arial" w:cs="Arial"/>
          <w:spacing w:val="6"/>
          <w:sz w:val="20"/>
          <w:szCs w:val="20"/>
          <w:lang w:val="en-GB" w:eastAsia="en-GB"/>
        </w:rPr>
        <w:t xml:space="preserve"> with filing which </w:t>
      </w:r>
      <w:r w:rsidRPr="0087455D">
        <w:rPr>
          <w:rFonts w:ascii="Arial" w:eastAsia="Times New Roman" w:hAnsi="Arial" w:cs="Arial"/>
          <w:spacing w:val="6"/>
          <w:sz w:val="20"/>
          <w:szCs w:val="20"/>
          <w:lang w:val="en-GB" w:eastAsia="en-GB"/>
        </w:rPr>
        <w:t>should be done when the payment is made</w:t>
      </w:r>
      <w:r w:rsidR="004F3D1D" w:rsidRPr="0087455D">
        <w:rPr>
          <w:rFonts w:ascii="Arial" w:eastAsia="Times New Roman" w:hAnsi="Arial" w:cs="Arial"/>
          <w:spacing w:val="6"/>
          <w:sz w:val="20"/>
          <w:szCs w:val="20"/>
          <w:lang w:val="en-GB" w:eastAsia="en-GB"/>
        </w:rPr>
        <w:t>.</w:t>
      </w:r>
    </w:p>
    <w:p w:rsidR="004F3D1D" w:rsidRPr="0087455D" w:rsidRDefault="004F3D1D"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3.4.3</w:t>
      </w:r>
      <w:r w:rsidRPr="0087455D">
        <w:rPr>
          <w:rFonts w:ascii="Arial" w:eastAsia="Times New Roman" w:hAnsi="Arial" w:cs="Arial"/>
          <w:spacing w:val="6"/>
          <w:sz w:val="20"/>
          <w:szCs w:val="20"/>
          <w:lang w:val="en-GB" w:eastAsia="en-GB"/>
        </w:rPr>
        <w:tab/>
        <w:t>The R2,132 million in irregular expenditure relates to transfers made to political parties represented in Parliament that were in excess to what was provided for in the policy on transfers to political parties.</w:t>
      </w:r>
    </w:p>
    <w:p w:rsidR="004F3D1D" w:rsidRPr="0087455D" w:rsidRDefault="004F3D1D" w:rsidP="0087455D">
      <w:pPr>
        <w:spacing w:after="0" w:line="240" w:lineRule="auto"/>
        <w:ind w:left="720" w:hanging="720"/>
        <w:rPr>
          <w:rFonts w:ascii="Arial" w:eastAsia="Times New Roman" w:hAnsi="Arial" w:cs="Arial"/>
          <w:spacing w:val="6"/>
          <w:sz w:val="20"/>
          <w:szCs w:val="20"/>
          <w:lang w:val="en-GB" w:eastAsia="en-GB"/>
        </w:rPr>
      </w:pPr>
    </w:p>
    <w:p w:rsidR="00B26C00" w:rsidRPr="0087455D" w:rsidRDefault="00B26C00" w:rsidP="0087455D">
      <w:pPr>
        <w:spacing w:after="0" w:line="240" w:lineRule="auto"/>
        <w:rPr>
          <w:rFonts w:ascii="Arial" w:eastAsia="Times New Roman" w:hAnsi="Arial" w:cs="Arial"/>
          <w:b/>
          <w:spacing w:val="6"/>
          <w:sz w:val="20"/>
          <w:szCs w:val="20"/>
          <w:lang w:val="en-GB" w:eastAsia="en-GB"/>
        </w:rPr>
      </w:pPr>
      <w:r w:rsidRPr="0087455D">
        <w:rPr>
          <w:rFonts w:ascii="Arial" w:eastAsia="Times New Roman" w:hAnsi="Arial" w:cs="Arial"/>
          <w:b/>
          <w:spacing w:val="6"/>
          <w:sz w:val="20"/>
          <w:szCs w:val="20"/>
          <w:lang w:val="en-GB" w:eastAsia="en-GB"/>
        </w:rPr>
        <w:t>4.</w:t>
      </w:r>
      <w:r w:rsidRPr="0087455D">
        <w:rPr>
          <w:rFonts w:ascii="Arial" w:eastAsia="Times New Roman" w:hAnsi="Arial" w:cs="Arial"/>
          <w:b/>
          <w:spacing w:val="6"/>
          <w:sz w:val="20"/>
          <w:szCs w:val="20"/>
          <w:lang w:val="en-GB" w:eastAsia="en-GB"/>
        </w:rPr>
        <w:tab/>
        <w:t>Performance across programmes</w:t>
      </w:r>
    </w:p>
    <w:p w:rsidR="00B26C00" w:rsidRPr="0087455D" w:rsidRDefault="004F3D1D" w:rsidP="0087455D">
      <w:pPr>
        <w:spacing w:after="0" w:line="240" w:lineRule="auto"/>
        <w:ind w:left="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In 2021/22 Parliament measured</w:t>
      </w:r>
      <w:r w:rsidR="00B26C00" w:rsidRPr="0087455D">
        <w:rPr>
          <w:rFonts w:ascii="Arial" w:eastAsia="Times New Roman" w:hAnsi="Arial" w:cs="Arial"/>
          <w:spacing w:val="6"/>
          <w:sz w:val="20"/>
          <w:szCs w:val="20"/>
          <w:lang w:val="en-GB" w:eastAsia="en-GB"/>
        </w:rPr>
        <w:t xml:space="preserve"> </w:t>
      </w:r>
      <w:r w:rsidR="0036278B" w:rsidRPr="0087455D">
        <w:rPr>
          <w:rFonts w:ascii="Arial" w:eastAsia="Times New Roman" w:hAnsi="Arial" w:cs="Arial"/>
          <w:spacing w:val="6"/>
          <w:sz w:val="20"/>
          <w:szCs w:val="20"/>
          <w:lang w:val="en-GB" w:eastAsia="en-GB"/>
        </w:rPr>
        <w:t>12</w:t>
      </w:r>
      <w:r w:rsidR="00B26C00" w:rsidRPr="0087455D">
        <w:rPr>
          <w:rFonts w:ascii="Arial" w:eastAsia="Times New Roman" w:hAnsi="Arial" w:cs="Arial"/>
          <w:spacing w:val="6"/>
          <w:sz w:val="20"/>
          <w:szCs w:val="20"/>
          <w:lang w:val="en-GB" w:eastAsia="en-GB"/>
        </w:rPr>
        <w:t xml:space="preserve"> </w:t>
      </w:r>
      <w:r w:rsidR="0036278B" w:rsidRPr="0087455D">
        <w:rPr>
          <w:rFonts w:ascii="Arial" w:eastAsia="Times New Roman" w:hAnsi="Arial" w:cs="Arial"/>
          <w:spacing w:val="6"/>
          <w:sz w:val="20"/>
          <w:szCs w:val="20"/>
          <w:lang w:val="en-GB" w:eastAsia="en-GB"/>
        </w:rPr>
        <w:t xml:space="preserve">performance indicators all of which were met or exceeded. </w:t>
      </w:r>
      <w:r w:rsidR="00B26C00" w:rsidRPr="0087455D">
        <w:rPr>
          <w:rFonts w:ascii="Arial" w:eastAsia="Times New Roman" w:hAnsi="Arial" w:cs="Arial"/>
          <w:spacing w:val="6"/>
          <w:sz w:val="20"/>
          <w:szCs w:val="20"/>
          <w:lang w:val="en-GB" w:eastAsia="en-GB"/>
        </w:rPr>
        <w:t xml:space="preserve">This section summarises the purpose of each of the </w:t>
      </w:r>
      <w:r w:rsidR="0036278B" w:rsidRPr="0087455D">
        <w:rPr>
          <w:rFonts w:ascii="Arial" w:eastAsia="Times New Roman" w:hAnsi="Arial" w:cs="Arial"/>
          <w:spacing w:val="6"/>
          <w:sz w:val="20"/>
          <w:szCs w:val="20"/>
          <w:lang w:val="en-GB" w:eastAsia="en-GB"/>
        </w:rPr>
        <w:t>three</w:t>
      </w:r>
      <w:r w:rsidR="00B26C00" w:rsidRPr="0087455D">
        <w:rPr>
          <w:rFonts w:ascii="Arial" w:eastAsia="Times New Roman" w:hAnsi="Arial" w:cs="Arial"/>
          <w:spacing w:val="6"/>
          <w:sz w:val="20"/>
          <w:szCs w:val="20"/>
          <w:lang w:val="en-GB" w:eastAsia="en-GB"/>
        </w:rPr>
        <w:t xml:space="preserve"> programmes, and the reported performance against targets.</w:t>
      </w:r>
    </w:p>
    <w:p w:rsidR="0036278B" w:rsidRPr="0087455D" w:rsidRDefault="0036278B" w:rsidP="0087455D">
      <w:pPr>
        <w:spacing w:after="0" w:line="240" w:lineRule="auto"/>
        <w:ind w:left="720"/>
        <w:rPr>
          <w:rFonts w:ascii="Arial" w:eastAsia="Times New Roman" w:hAnsi="Arial" w:cs="Arial"/>
          <w:spacing w:val="6"/>
          <w:sz w:val="20"/>
          <w:szCs w:val="20"/>
          <w:lang w:val="en-GB" w:eastAsia="en-GB"/>
        </w:rPr>
      </w:pPr>
    </w:p>
    <w:p w:rsidR="00B26C00" w:rsidRPr="0087455D" w:rsidRDefault="004F3D1D" w:rsidP="0087455D">
      <w:pPr>
        <w:spacing w:after="0" w:line="240" w:lineRule="auto"/>
        <w:rPr>
          <w:rFonts w:ascii="Arial" w:eastAsia="Times New Roman" w:hAnsi="Arial" w:cs="Arial"/>
          <w:b/>
          <w:spacing w:val="6"/>
          <w:sz w:val="20"/>
          <w:szCs w:val="20"/>
          <w:lang w:val="en-GB" w:eastAsia="en-GB"/>
        </w:rPr>
      </w:pPr>
      <w:r w:rsidRPr="0087455D">
        <w:rPr>
          <w:rFonts w:ascii="Arial" w:eastAsia="Times New Roman" w:hAnsi="Arial" w:cs="Arial"/>
          <w:b/>
          <w:spacing w:val="6"/>
          <w:sz w:val="20"/>
          <w:szCs w:val="20"/>
          <w:lang w:val="en-GB" w:eastAsia="en-GB"/>
        </w:rPr>
        <w:t>4.1</w:t>
      </w:r>
      <w:r w:rsidRPr="0087455D">
        <w:rPr>
          <w:rFonts w:ascii="Arial" w:eastAsia="Times New Roman" w:hAnsi="Arial" w:cs="Arial"/>
          <w:b/>
          <w:spacing w:val="6"/>
          <w:sz w:val="20"/>
          <w:szCs w:val="20"/>
          <w:lang w:val="en-GB" w:eastAsia="en-GB"/>
        </w:rPr>
        <w:tab/>
        <w:t>Annual Performance Plan Indicators</w:t>
      </w:r>
    </w:p>
    <w:p w:rsidR="004F3D1D" w:rsidRPr="0087455D" w:rsidRDefault="004F3D1D"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4.1.1</w:t>
      </w:r>
      <w:r w:rsidRPr="0087455D">
        <w:rPr>
          <w:rFonts w:ascii="Arial" w:eastAsia="Times New Roman" w:hAnsi="Arial" w:cs="Arial"/>
          <w:spacing w:val="6"/>
          <w:sz w:val="20"/>
          <w:szCs w:val="20"/>
          <w:lang w:val="en-GB" w:eastAsia="en-GB"/>
        </w:rPr>
        <w:tab/>
        <w:t>As stated above the Annual Report is based on the tabled 2021/22 APP which was aligned to the Sixth Parliament’s Strategic Plan.</w:t>
      </w:r>
    </w:p>
    <w:p w:rsidR="004F3D1D" w:rsidRPr="0087455D" w:rsidRDefault="004F3D1D"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4.1.2</w:t>
      </w:r>
      <w:r w:rsidRPr="0087455D">
        <w:rPr>
          <w:rFonts w:ascii="Arial" w:eastAsia="Times New Roman" w:hAnsi="Arial" w:cs="Arial"/>
          <w:spacing w:val="6"/>
          <w:sz w:val="20"/>
          <w:szCs w:val="20"/>
          <w:lang w:val="en-GB" w:eastAsia="en-GB"/>
        </w:rPr>
        <w:tab/>
        <w:t>The Parliamentary Service provides the support services required by Parliament and its members to effectively fulfil their constitutional functions and obligations. The Parliamentary Service must provide these key inputs in order for the institution to become effective and efficient, and to achieve its stated outcome</w:t>
      </w:r>
      <w:r w:rsidR="008F5F72" w:rsidRPr="0087455D">
        <w:rPr>
          <w:rFonts w:ascii="Arial" w:eastAsia="Times New Roman" w:hAnsi="Arial" w:cs="Arial"/>
          <w:spacing w:val="6"/>
          <w:sz w:val="20"/>
          <w:szCs w:val="20"/>
          <w:lang w:val="en-GB" w:eastAsia="en-GB"/>
        </w:rPr>
        <w:t>s</w:t>
      </w:r>
      <w:r w:rsidRPr="0087455D">
        <w:rPr>
          <w:rFonts w:ascii="Arial" w:eastAsia="Times New Roman" w:hAnsi="Arial" w:cs="Arial"/>
          <w:spacing w:val="6"/>
          <w:sz w:val="20"/>
          <w:szCs w:val="20"/>
          <w:lang w:val="en-GB" w:eastAsia="en-GB"/>
        </w:rPr>
        <w:t>.</w:t>
      </w:r>
    </w:p>
    <w:p w:rsidR="004F3D1D" w:rsidRPr="0087455D" w:rsidRDefault="004F3D1D"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4.1.3</w:t>
      </w:r>
      <w:r w:rsidRPr="0087455D">
        <w:rPr>
          <w:rFonts w:ascii="Arial" w:eastAsia="Times New Roman" w:hAnsi="Arial" w:cs="Arial"/>
          <w:spacing w:val="6"/>
          <w:sz w:val="20"/>
          <w:szCs w:val="20"/>
          <w:lang w:val="en-GB" w:eastAsia="en-GB"/>
        </w:rPr>
        <w:tab/>
        <w:t>The above-mentioned inputs relate to members’ capacity-building, advisory and information services, and related facilities and support services used in the activities of Parliament.</w:t>
      </w:r>
    </w:p>
    <w:p w:rsidR="00610FE0" w:rsidRPr="0087455D" w:rsidRDefault="004F3D1D"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4.1.4</w:t>
      </w:r>
      <w:r w:rsidRPr="0087455D">
        <w:rPr>
          <w:rFonts w:ascii="Arial" w:eastAsia="Times New Roman" w:hAnsi="Arial" w:cs="Arial"/>
          <w:spacing w:val="6"/>
          <w:sz w:val="20"/>
          <w:szCs w:val="20"/>
          <w:lang w:val="en-GB" w:eastAsia="en-GB"/>
        </w:rPr>
        <w:tab/>
      </w:r>
      <w:r w:rsidR="0036278B" w:rsidRPr="0087455D">
        <w:rPr>
          <w:rFonts w:ascii="Arial" w:eastAsia="Times New Roman" w:hAnsi="Arial" w:cs="Arial"/>
          <w:spacing w:val="6"/>
          <w:sz w:val="20"/>
          <w:szCs w:val="20"/>
          <w:lang w:val="en-GB" w:eastAsia="en-GB"/>
        </w:rPr>
        <w:t>Client s</w:t>
      </w:r>
      <w:r w:rsidRPr="0087455D">
        <w:rPr>
          <w:rFonts w:ascii="Arial" w:eastAsia="Times New Roman" w:hAnsi="Arial" w:cs="Arial"/>
          <w:spacing w:val="6"/>
          <w:sz w:val="20"/>
          <w:szCs w:val="20"/>
          <w:lang w:val="en-GB" w:eastAsia="en-GB"/>
        </w:rPr>
        <w:t>atisfaction with services is me</w:t>
      </w:r>
      <w:r w:rsidR="008F5F72" w:rsidRPr="0087455D">
        <w:rPr>
          <w:rFonts w:ascii="Arial" w:eastAsia="Times New Roman" w:hAnsi="Arial" w:cs="Arial"/>
          <w:spacing w:val="6"/>
          <w:sz w:val="20"/>
          <w:szCs w:val="20"/>
          <w:lang w:val="en-GB" w:eastAsia="en-GB"/>
        </w:rPr>
        <w:t xml:space="preserve">asured through a survey </w:t>
      </w:r>
      <w:r w:rsidRPr="0087455D">
        <w:rPr>
          <w:rFonts w:ascii="Arial" w:eastAsia="Times New Roman" w:hAnsi="Arial" w:cs="Arial"/>
          <w:spacing w:val="6"/>
          <w:sz w:val="20"/>
          <w:szCs w:val="20"/>
          <w:lang w:val="en-GB" w:eastAsia="en-GB"/>
        </w:rPr>
        <w:t>conducted quarterly with al</w:t>
      </w:r>
      <w:r w:rsidR="0036278B" w:rsidRPr="0087455D">
        <w:rPr>
          <w:rFonts w:ascii="Arial" w:eastAsia="Times New Roman" w:hAnsi="Arial" w:cs="Arial"/>
          <w:spacing w:val="6"/>
          <w:sz w:val="20"/>
          <w:szCs w:val="20"/>
          <w:lang w:val="en-GB" w:eastAsia="en-GB"/>
        </w:rPr>
        <w:t>l parliamentarians. The survey methodology gives direct feedback on where services can be improved. Services are rated along five</w:t>
      </w:r>
      <w:r w:rsidRPr="0087455D">
        <w:rPr>
          <w:rFonts w:ascii="Arial" w:eastAsia="Times New Roman" w:hAnsi="Arial" w:cs="Arial"/>
          <w:spacing w:val="6"/>
          <w:sz w:val="20"/>
          <w:szCs w:val="20"/>
          <w:lang w:val="en-GB" w:eastAsia="en-GB"/>
        </w:rPr>
        <w:t xml:space="preserve"> dimensions most statistically cor</w:t>
      </w:r>
      <w:r w:rsidR="0036278B" w:rsidRPr="0087455D">
        <w:rPr>
          <w:rFonts w:ascii="Arial" w:eastAsia="Times New Roman" w:hAnsi="Arial" w:cs="Arial"/>
          <w:spacing w:val="6"/>
          <w:sz w:val="20"/>
          <w:szCs w:val="20"/>
          <w:lang w:val="en-GB" w:eastAsia="en-GB"/>
        </w:rPr>
        <w:t xml:space="preserve">related </w:t>
      </w:r>
    </w:p>
    <w:p w:rsidR="00610FE0" w:rsidRPr="0087455D" w:rsidRDefault="00610FE0" w:rsidP="0087455D">
      <w:pPr>
        <w:spacing w:after="0" w:line="240" w:lineRule="auto"/>
        <w:ind w:left="720" w:hanging="720"/>
        <w:rPr>
          <w:rFonts w:ascii="Arial" w:eastAsia="Times New Roman" w:hAnsi="Arial" w:cs="Arial"/>
          <w:spacing w:val="6"/>
          <w:sz w:val="20"/>
          <w:szCs w:val="20"/>
          <w:lang w:val="en-GB" w:eastAsia="en-GB"/>
        </w:rPr>
      </w:pPr>
    </w:p>
    <w:p w:rsidR="0036278B" w:rsidRPr="0087455D" w:rsidRDefault="00610FE0" w:rsidP="0087455D">
      <w:pPr>
        <w:spacing w:after="0" w:line="240" w:lineRule="auto"/>
        <w:ind w:left="720" w:hanging="720"/>
        <w:rPr>
          <w:rFonts w:ascii="Arial" w:eastAsia="Times New Roman" w:hAnsi="Arial" w:cs="Arial"/>
          <w:spacing w:val="6"/>
          <w:sz w:val="20"/>
          <w:szCs w:val="20"/>
          <w:lang w:val="en-GB" w:eastAsia="en-GB"/>
        </w:rPr>
      </w:pPr>
      <w:r w:rsidRPr="0087455D">
        <w:rPr>
          <w:rFonts w:ascii="Arial" w:eastAsia="Times New Roman" w:hAnsi="Arial" w:cs="Arial"/>
          <w:spacing w:val="6"/>
          <w:sz w:val="20"/>
          <w:szCs w:val="20"/>
          <w:lang w:val="en-GB" w:eastAsia="en-GB"/>
        </w:rPr>
        <w:tab/>
      </w:r>
      <w:r w:rsidR="0036278B" w:rsidRPr="0087455D">
        <w:rPr>
          <w:rFonts w:ascii="Arial" w:eastAsia="Times New Roman" w:hAnsi="Arial" w:cs="Arial"/>
          <w:spacing w:val="6"/>
          <w:sz w:val="20"/>
          <w:szCs w:val="20"/>
          <w:lang w:val="en-GB" w:eastAsia="en-GB"/>
        </w:rPr>
        <w:t xml:space="preserve">to client satisfaction. Each indicator is measured along the dimensions of usefulness, reliability, timeliness, ease of access, and for core business services, </w:t>
      </w:r>
      <w:r w:rsidR="008F5F72" w:rsidRPr="0087455D">
        <w:rPr>
          <w:rFonts w:ascii="Arial" w:eastAsia="Times New Roman" w:hAnsi="Arial" w:cs="Arial"/>
          <w:spacing w:val="6"/>
          <w:sz w:val="20"/>
          <w:szCs w:val="20"/>
          <w:lang w:val="en-GB" w:eastAsia="en-GB"/>
        </w:rPr>
        <w:t>fairness</w:t>
      </w:r>
      <w:r w:rsidR="0036278B" w:rsidRPr="0087455D">
        <w:rPr>
          <w:rFonts w:ascii="Arial" w:eastAsia="Times New Roman" w:hAnsi="Arial" w:cs="Arial"/>
          <w:spacing w:val="6"/>
          <w:sz w:val="20"/>
          <w:szCs w:val="20"/>
          <w:lang w:val="en-GB" w:eastAsia="en-GB"/>
        </w:rPr>
        <w:t xml:space="preserve">. The final results are an average of the responses received. </w:t>
      </w:r>
    </w:p>
    <w:p w:rsidR="0036278B" w:rsidRPr="0087455D" w:rsidRDefault="0036278B" w:rsidP="0087455D">
      <w:pPr>
        <w:spacing w:after="0" w:line="240" w:lineRule="auto"/>
        <w:ind w:left="720" w:hanging="720"/>
        <w:rPr>
          <w:rFonts w:ascii="Arial" w:eastAsia="Times New Roman" w:hAnsi="Arial" w:cs="Arial"/>
          <w:spacing w:val="6"/>
          <w:sz w:val="20"/>
          <w:szCs w:val="20"/>
          <w:lang w:val="en-GB" w:eastAsia="en-GB"/>
        </w:rPr>
      </w:pPr>
    </w:p>
    <w:p w:rsidR="00B26C00" w:rsidRPr="0087455D" w:rsidRDefault="0036278B" w:rsidP="0087455D">
      <w:pPr>
        <w:spacing w:after="0" w:line="240" w:lineRule="auto"/>
        <w:rPr>
          <w:rFonts w:ascii="Arial" w:hAnsi="Arial" w:cs="Arial"/>
          <w:sz w:val="20"/>
          <w:szCs w:val="20"/>
          <w:lang w:val="en-ZA"/>
        </w:rPr>
      </w:pPr>
      <w:r w:rsidRPr="0087455D">
        <w:rPr>
          <w:rFonts w:ascii="Arial" w:eastAsia="Times New Roman" w:hAnsi="Arial" w:cs="Arial"/>
          <w:spacing w:val="6"/>
          <w:sz w:val="20"/>
          <w:szCs w:val="20"/>
          <w:lang w:val="en-GB" w:eastAsia="en-GB"/>
        </w:rPr>
        <w:t>4.2</w:t>
      </w:r>
      <w:r w:rsidR="00B26C00" w:rsidRPr="0087455D">
        <w:rPr>
          <w:rFonts w:ascii="Arial" w:eastAsia="Times New Roman" w:hAnsi="Arial" w:cs="Arial"/>
          <w:spacing w:val="6"/>
          <w:sz w:val="20"/>
          <w:szCs w:val="20"/>
          <w:lang w:val="en-GB" w:eastAsia="en-GB"/>
        </w:rPr>
        <w:tab/>
      </w:r>
      <w:r w:rsidR="00B26C00" w:rsidRPr="0087455D">
        <w:rPr>
          <w:rFonts w:ascii="Arial" w:hAnsi="Arial" w:cs="Arial"/>
          <w:i/>
          <w:sz w:val="20"/>
          <w:szCs w:val="20"/>
          <w:lang w:val="en-ZA"/>
        </w:rPr>
        <w:t xml:space="preserve">Programme 1: </w:t>
      </w:r>
      <w:r w:rsidRPr="0087455D">
        <w:rPr>
          <w:rFonts w:ascii="Arial" w:hAnsi="Arial" w:cs="Arial"/>
          <w:i/>
          <w:sz w:val="20"/>
          <w:szCs w:val="20"/>
          <w:lang w:val="en-ZA"/>
        </w:rPr>
        <w:t>Administration</w:t>
      </w:r>
    </w:p>
    <w:p w:rsidR="00B26C00" w:rsidRPr="0087455D" w:rsidRDefault="0036278B"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4.2</w:t>
      </w:r>
      <w:r w:rsidR="00B26C00" w:rsidRPr="0087455D">
        <w:rPr>
          <w:rFonts w:ascii="Arial" w:hAnsi="Arial" w:cs="Arial"/>
          <w:sz w:val="20"/>
          <w:szCs w:val="20"/>
          <w:lang w:val="en-ZA"/>
        </w:rPr>
        <w:t>.1</w:t>
      </w:r>
      <w:r w:rsidR="00B26C00" w:rsidRPr="0087455D">
        <w:rPr>
          <w:rFonts w:ascii="Arial" w:hAnsi="Arial" w:cs="Arial"/>
          <w:sz w:val="20"/>
          <w:szCs w:val="20"/>
          <w:lang w:val="en-ZA"/>
        </w:rPr>
        <w:tab/>
      </w:r>
      <w:r w:rsidRPr="0087455D">
        <w:rPr>
          <w:rFonts w:ascii="Arial" w:hAnsi="Arial" w:cs="Arial"/>
          <w:sz w:val="20"/>
          <w:szCs w:val="20"/>
          <w:lang w:val="en-ZA"/>
        </w:rPr>
        <w:t>Programme 1 provides strategic leadership, governance, management, corporate and support services to Parliament. It consolidates three former programmes namely Strategic Leadership and Governance, Administration and Support Services. Programme 1 comprises the following sub-programmes: Executive Authority, Office of the Secretary, and Corporate and Support Services.</w:t>
      </w:r>
    </w:p>
    <w:p w:rsidR="00806F64" w:rsidRPr="0087455D" w:rsidRDefault="00806F64"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4.2.2</w:t>
      </w:r>
      <w:r w:rsidRPr="0087455D">
        <w:rPr>
          <w:rFonts w:ascii="Arial" w:hAnsi="Arial" w:cs="Arial"/>
          <w:sz w:val="20"/>
          <w:szCs w:val="20"/>
          <w:lang w:val="en-ZA"/>
        </w:rPr>
        <w:tab/>
        <w:t>The administration has identified the following key focus areas for 2021/22:</w:t>
      </w:r>
    </w:p>
    <w:p w:rsidR="00806F64" w:rsidRPr="0087455D" w:rsidRDefault="00806F64"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addressing the future way of work through the development of a new business model for the Parliamentary Service;</w:t>
      </w:r>
    </w:p>
    <w:p w:rsidR="00806F64" w:rsidRPr="0087455D" w:rsidRDefault="00806F64"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redesigning and optimising core and support business processes through technology;</w:t>
      </w:r>
    </w:p>
    <w:p w:rsidR="00806F64" w:rsidRPr="0087455D" w:rsidRDefault="00806F64"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upskilling and re-skilling programmes especially in relation to the effective use of technology;</w:t>
      </w:r>
    </w:p>
    <w:p w:rsidR="00806F64" w:rsidRPr="0087455D" w:rsidRDefault="00806F64" w:rsidP="0087455D">
      <w:pPr>
        <w:spacing w:after="0" w:line="240" w:lineRule="auto"/>
        <w:ind w:left="720" w:firstLine="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specialised skills programmes for expertise and specialisation;</w:t>
      </w:r>
    </w:p>
    <w:p w:rsidR="00806F64" w:rsidRPr="0087455D" w:rsidRDefault="00806F64"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continuous innovation and improving of processes and skills, allowing for co-creation and value adding;</w:t>
      </w:r>
    </w:p>
    <w:p w:rsidR="00806F64" w:rsidRPr="0087455D" w:rsidRDefault="00806F64"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integrating service offerings through a collaborative approach where service recipients are offered a holistic response;</w:t>
      </w:r>
    </w:p>
    <w:p w:rsidR="00806F64" w:rsidRPr="0087455D" w:rsidRDefault="00806F64" w:rsidP="0087455D">
      <w:pPr>
        <w:spacing w:after="0" w:line="240" w:lineRule="auto"/>
        <w:ind w:left="720" w:firstLine="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providing policy, tools and facilities for remote conditions; and</w:t>
      </w:r>
    </w:p>
    <w:p w:rsidR="00806F64" w:rsidRPr="0087455D" w:rsidRDefault="00806F64" w:rsidP="0087455D">
      <w:pPr>
        <w:spacing w:after="0" w:line="240" w:lineRule="auto"/>
        <w:ind w:left="720" w:firstLine="720"/>
        <w:rPr>
          <w:rFonts w:ascii="Arial" w:hAnsi="Arial" w:cs="Arial"/>
          <w:sz w:val="20"/>
          <w:szCs w:val="20"/>
          <w:lang w:val="en-ZA"/>
        </w:rPr>
      </w:pPr>
      <w:r w:rsidRPr="0087455D">
        <w:rPr>
          <w:rFonts w:ascii="Arial" w:hAnsi="Arial" w:cs="Arial"/>
          <w:sz w:val="20"/>
          <w:szCs w:val="20"/>
          <w:lang w:val="en-ZA"/>
        </w:rPr>
        <w:lastRenderedPageBreak/>
        <w:t>-</w:t>
      </w:r>
      <w:r w:rsidRPr="0087455D">
        <w:rPr>
          <w:rFonts w:ascii="Arial" w:hAnsi="Arial" w:cs="Arial"/>
          <w:sz w:val="20"/>
          <w:szCs w:val="20"/>
          <w:lang w:val="en-ZA"/>
        </w:rPr>
        <w:tab/>
        <w:t>implementing virtual meetings and collaboration platforms.</w:t>
      </w:r>
    </w:p>
    <w:p w:rsidR="00806F64" w:rsidRPr="0087455D" w:rsidRDefault="00806F64"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4.2</w:t>
      </w:r>
      <w:r w:rsidR="00B26C00" w:rsidRPr="0087455D">
        <w:rPr>
          <w:rFonts w:ascii="Arial" w:hAnsi="Arial" w:cs="Arial"/>
          <w:sz w:val="20"/>
          <w:szCs w:val="20"/>
          <w:lang w:val="en-ZA"/>
        </w:rPr>
        <w:t>.2</w:t>
      </w:r>
      <w:r w:rsidR="00B26C00" w:rsidRPr="0087455D">
        <w:rPr>
          <w:rFonts w:ascii="Arial" w:hAnsi="Arial" w:cs="Arial"/>
          <w:sz w:val="20"/>
          <w:szCs w:val="20"/>
          <w:lang w:val="en-ZA"/>
        </w:rPr>
        <w:tab/>
      </w:r>
      <w:r w:rsidRPr="0087455D">
        <w:rPr>
          <w:rFonts w:ascii="Arial" w:hAnsi="Arial" w:cs="Arial"/>
          <w:sz w:val="20"/>
          <w:szCs w:val="20"/>
          <w:lang w:val="en-ZA"/>
        </w:rPr>
        <w:t>As this programme, in the main, reflects inputs for operations, the related performance information is accommodated in operational plans. As illustrated in the table below, both indicators in this programme exceeded their targets.</w:t>
      </w:r>
    </w:p>
    <w:tbl>
      <w:tblPr>
        <w:tblW w:w="8849" w:type="dxa"/>
        <w:tblInd w:w="699" w:type="dxa"/>
        <w:tblCellMar>
          <w:left w:w="0" w:type="dxa"/>
          <w:right w:w="0" w:type="dxa"/>
        </w:tblCellMar>
        <w:tblLook w:val="04A0"/>
      </w:tblPr>
      <w:tblGrid>
        <w:gridCol w:w="1539"/>
        <w:gridCol w:w="1233"/>
        <w:gridCol w:w="1090"/>
        <w:gridCol w:w="1635"/>
        <w:gridCol w:w="1085"/>
        <w:gridCol w:w="1106"/>
        <w:gridCol w:w="1161"/>
      </w:tblGrid>
      <w:tr w:rsidR="001350AD" w:rsidRPr="0087455D" w:rsidTr="001350AD">
        <w:trPr>
          <w:trHeight w:val="391"/>
        </w:trPr>
        <w:tc>
          <w:tcPr>
            <w:tcW w:w="1461"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Parliamentary Service</w:t>
            </w:r>
          </w:p>
        </w:tc>
        <w:tc>
          <w:tcPr>
            <w:tcW w:w="1239"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Indicator</w:t>
            </w:r>
          </w:p>
        </w:tc>
        <w:tc>
          <w:tcPr>
            <w:tcW w:w="1170"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Annual target</w:t>
            </w:r>
          </w:p>
        </w:tc>
        <w:tc>
          <w:tcPr>
            <w:tcW w:w="1715"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Annual Performance</w:t>
            </w:r>
          </w:p>
        </w:tc>
        <w:tc>
          <w:tcPr>
            <w:tcW w:w="1100"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Variance</w:t>
            </w:r>
          </w:p>
        </w:tc>
        <w:tc>
          <w:tcPr>
            <w:tcW w:w="1053"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Status</w:t>
            </w:r>
          </w:p>
        </w:tc>
        <w:tc>
          <w:tcPr>
            <w:tcW w:w="1111"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Reasons for Variance/ Mitigation</w:t>
            </w:r>
          </w:p>
        </w:tc>
      </w:tr>
      <w:tr w:rsidR="001350AD" w:rsidRPr="0087455D" w:rsidTr="001350AD">
        <w:trPr>
          <w:trHeight w:val="394"/>
        </w:trPr>
        <w:tc>
          <w:tcPr>
            <w:tcW w:w="1461"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Digital service</w:t>
            </w:r>
          </w:p>
        </w:tc>
        <w:tc>
          <w:tcPr>
            <w:tcW w:w="123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Member satisfaction</w:t>
            </w:r>
          </w:p>
        </w:tc>
        <w:tc>
          <w:tcPr>
            <w:tcW w:w="117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74%</w:t>
            </w:r>
          </w:p>
        </w:tc>
        <w:tc>
          <w:tcPr>
            <w:tcW w:w="171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85,18%</w:t>
            </w:r>
          </w:p>
        </w:tc>
        <w:tc>
          <w:tcPr>
            <w:tcW w:w="110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+11,18</w:t>
            </w:r>
          </w:p>
        </w:tc>
        <w:tc>
          <w:tcPr>
            <w:tcW w:w="105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xml:space="preserve">Exceeded </w:t>
            </w:r>
          </w:p>
        </w:tc>
        <w:tc>
          <w:tcPr>
            <w:tcW w:w="111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w:t>
            </w:r>
          </w:p>
        </w:tc>
      </w:tr>
      <w:tr w:rsidR="001350AD" w:rsidRPr="0087455D" w:rsidTr="001350AD">
        <w:trPr>
          <w:trHeight w:val="149"/>
        </w:trPr>
        <w:tc>
          <w:tcPr>
            <w:tcW w:w="1461"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b/>
                <w:bCs/>
                <w:sz w:val="20"/>
                <w:szCs w:val="20"/>
                <w:lang w:val="en-ZA"/>
              </w:rPr>
              <w:t>Facilities management service</w:t>
            </w:r>
          </w:p>
        </w:tc>
        <w:tc>
          <w:tcPr>
            <w:tcW w:w="123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Member satisfaction</w:t>
            </w:r>
          </w:p>
        </w:tc>
        <w:tc>
          <w:tcPr>
            <w:tcW w:w="117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60%</w:t>
            </w:r>
          </w:p>
        </w:tc>
        <w:tc>
          <w:tcPr>
            <w:tcW w:w="171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75,63%</w:t>
            </w:r>
          </w:p>
        </w:tc>
        <w:tc>
          <w:tcPr>
            <w:tcW w:w="110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+15,63</w:t>
            </w:r>
          </w:p>
        </w:tc>
        <w:tc>
          <w:tcPr>
            <w:tcW w:w="105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Exceeded</w:t>
            </w:r>
          </w:p>
        </w:tc>
        <w:tc>
          <w:tcPr>
            <w:tcW w:w="111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806F64" w:rsidRPr="0087455D" w:rsidRDefault="00806F64" w:rsidP="0087455D">
            <w:pPr>
              <w:spacing w:after="0" w:line="240" w:lineRule="auto"/>
              <w:rPr>
                <w:rFonts w:ascii="Arial" w:hAnsi="Arial" w:cs="Arial"/>
                <w:sz w:val="20"/>
                <w:szCs w:val="20"/>
                <w:lang w:val="en-ZA"/>
              </w:rPr>
            </w:pPr>
            <w:r w:rsidRPr="0087455D">
              <w:rPr>
                <w:rFonts w:ascii="Arial" w:hAnsi="Arial" w:cs="Arial"/>
                <w:sz w:val="20"/>
                <w:szCs w:val="20"/>
                <w:lang w:val="en-ZA"/>
              </w:rPr>
              <w:t> </w:t>
            </w:r>
          </w:p>
        </w:tc>
      </w:tr>
    </w:tbl>
    <w:p w:rsidR="00806F64" w:rsidRPr="0087455D" w:rsidRDefault="00806F64" w:rsidP="0087455D">
      <w:pPr>
        <w:spacing w:after="0" w:line="240" w:lineRule="auto"/>
        <w:ind w:left="720" w:hanging="720"/>
        <w:rPr>
          <w:rFonts w:ascii="Arial" w:hAnsi="Arial" w:cs="Arial"/>
          <w:b/>
          <w:sz w:val="20"/>
          <w:szCs w:val="20"/>
          <w:lang w:val="en-ZA"/>
        </w:rPr>
      </w:pPr>
      <w:r w:rsidRPr="0087455D">
        <w:rPr>
          <w:rFonts w:ascii="Arial" w:hAnsi="Arial" w:cs="Arial"/>
          <w:sz w:val="20"/>
          <w:szCs w:val="20"/>
          <w:lang w:val="en-ZA"/>
        </w:rPr>
        <w:tab/>
      </w:r>
      <w:r w:rsidRPr="0087455D">
        <w:rPr>
          <w:rFonts w:ascii="Arial" w:hAnsi="Arial" w:cs="Arial"/>
          <w:b/>
          <w:sz w:val="20"/>
          <w:szCs w:val="20"/>
          <w:lang w:val="en-ZA"/>
        </w:rPr>
        <w:t xml:space="preserve">Table 3: Programme 1 performance </w:t>
      </w:r>
    </w:p>
    <w:p w:rsidR="00806F64" w:rsidRPr="0087455D" w:rsidRDefault="00806F64"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4.2.2</w:t>
      </w:r>
      <w:r w:rsidRPr="0087455D">
        <w:rPr>
          <w:rFonts w:ascii="Arial" w:hAnsi="Arial" w:cs="Arial"/>
          <w:sz w:val="20"/>
          <w:szCs w:val="20"/>
          <w:lang w:val="en-ZA"/>
        </w:rPr>
        <w:tab/>
        <w:t>Both the Digital Service and the Facilities Management Service performed well</w:t>
      </w:r>
      <w:r w:rsidR="008F5F72" w:rsidRPr="0087455D">
        <w:rPr>
          <w:rFonts w:ascii="Arial" w:hAnsi="Arial" w:cs="Arial"/>
          <w:sz w:val="20"/>
          <w:szCs w:val="20"/>
          <w:lang w:val="en-ZA"/>
        </w:rPr>
        <w:t>,</w:t>
      </w:r>
      <w:r w:rsidRPr="0087455D">
        <w:rPr>
          <w:rFonts w:ascii="Arial" w:hAnsi="Arial" w:cs="Arial"/>
          <w:sz w:val="20"/>
          <w:szCs w:val="20"/>
          <w:lang w:val="en-ZA"/>
        </w:rPr>
        <w:t xml:space="preserve"> with Digital Services and Facilities scoring highest for reliability and usefulness, respectively.</w:t>
      </w:r>
    </w:p>
    <w:p w:rsidR="00806F64" w:rsidRPr="0087455D" w:rsidRDefault="00806F64"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4.2.3</w:t>
      </w:r>
      <w:r w:rsidRPr="0087455D">
        <w:rPr>
          <w:rFonts w:ascii="Arial" w:hAnsi="Arial" w:cs="Arial"/>
          <w:sz w:val="20"/>
          <w:szCs w:val="20"/>
          <w:lang w:val="en-ZA"/>
        </w:rPr>
        <w:tab/>
        <w:t xml:space="preserve">In terms of performance trends, digital technology continued to fundamentally transform the work of Parliament, simultaneously creating innovative opportunities and posing new challenges. Parliament’s response to the </w:t>
      </w:r>
      <w:r w:rsidR="008F5F72" w:rsidRPr="0087455D">
        <w:rPr>
          <w:rFonts w:ascii="Arial" w:hAnsi="Arial" w:cs="Arial"/>
          <w:sz w:val="20"/>
          <w:szCs w:val="20"/>
          <w:lang w:val="en-ZA"/>
        </w:rPr>
        <w:t xml:space="preserve">Covid-19 </w:t>
      </w:r>
      <w:r w:rsidRPr="0087455D">
        <w:rPr>
          <w:rFonts w:ascii="Arial" w:hAnsi="Arial" w:cs="Arial"/>
          <w:sz w:val="20"/>
          <w:szCs w:val="20"/>
          <w:lang w:val="en-ZA"/>
        </w:rPr>
        <w:t xml:space="preserve">pandemic resulted in an accelerated digitalisation. The 2 January 2022 fire had minimal impact on the availability of critical systems and the network. The back-end broadcasting and </w:t>
      </w:r>
      <w:r w:rsidR="008F5F72" w:rsidRPr="0087455D">
        <w:rPr>
          <w:rFonts w:ascii="Arial" w:hAnsi="Arial" w:cs="Arial"/>
          <w:sz w:val="20"/>
          <w:szCs w:val="20"/>
          <w:lang w:val="en-ZA"/>
        </w:rPr>
        <w:t xml:space="preserve">related ICT infrastructure were </w:t>
      </w:r>
      <w:r w:rsidRPr="0087455D">
        <w:rPr>
          <w:rFonts w:ascii="Arial" w:hAnsi="Arial" w:cs="Arial"/>
          <w:sz w:val="20"/>
          <w:szCs w:val="20"/>
          <w:lang w:val="en-ZA"/>
        </w:rPr>
        <w:t>damaged</w:t>
      </w:r>
      <w:r w:rsidR="008F5F72" w:rsidRPr="0087455D">
        <w:rPr>
          <w:rFonts w:ascii="Arial" w:hAnsi="Arial" w:cs="Arial"/>
          <w:sz w:val="20"/>
          <w:szCs w:val="20"/>
          <w:lang w:val="en-ZA"/>
        </w:rPr>
        <w:t>, however</w:t>
      </w:r>
      <w:r w:rsidRPr="0087455D">
        <w:rPr>
          <w:rFonts w:ascii="Arial" w:hAnsi="Arial" w:cs="Arial"/>
          <w:sz w:val="20"/>
          <w:szCs w:val="20"/>
          <w:lang w:val="en-ZA"/>
        </w:rPr>
        <w:t>.</w:t>
      </w:r>
    </w:p>
    <w:p w:rsidR="00806F64" w:rsidRPr="0087455D" w:rsidRDefault="00806F64" w:rsidP="0087455D">
      <w:pPr>
        <w:spacing w:after="0" w:line="240" w:lineRule="auto"/>
        <w:ind w:left="720" w:hanging="720"/>
        <w:rPr>
          <w:rFonts w:ascii="Arial" w:hAnsi="Arial" w:cs="Arial"/>
          <w:sz w:val="20"/>
          <w:szCs w:val="20"/>
          <w:lang w:val="en-ZA"/>
        </w:rPr>
      </w:pPr>
    </w:p>
    <w:p w:rsidR="00B26C00" w:rsidRPr="0087455D" w:rsidRDefault="00BC1020" w:rsidP="0087455D">
      <w:pPr>
        <w:spacing w:after="0" w:line="240" w:lineRule="auto"/>
        <w:rPr>
          <w:rFonts w:ascii="Arial" w:hAnsi="Arial" w:cs="Arial"/>
          <w:i/>
          <w:sz w:val="20"/>
          <w:szCs w:val="20"/>
          <w:lang w:val="en-ZA"/>
        </w:rPr>
      </w:pPr>
      <w:r w:rsidRPr="0087455D">
        <w:rPr>
          <w:rFonts w:ascii="Arial" w:hAnsi="Arial" w:cs="Arial"/>
          <w:sz w:val="20"/>
          <w:szCs w:val="20"/>
          <w:lang w:val="en-ZA"/>
        </w:rPr>
        <w:t>4.3</w:t>
      </w:r>
      <w:r w:rsidR="00B26C00" w:rsidRPr="0087455D">
        <w:rPr>
          <w:rFonts w:ascii="Arial" w:hAnsi="Arial" w:cs="Arial"/>
          <w:sz w:val="20"/>
          <w:szCs w:val="20"/>
          <w:lang w:val="en-ZA"/>
        </w:rPr>
        <w:tab/>
      </w:r>
      <w:r w:rsidR="00B26C00" w:rsidRPr="0087455D">
        <w:rPr>
          <w:rFonts w:ascii="Arial" w:hAnsi="Arial" w:cs="Arial"/>
          <w:i/>
          <w:sz w:val="20"/>
          <w:szCs w:val="20"/>
          <w:lang w:val="en-ZA"/>
        </w:rPr>
        <w:t>Programme 2:</w:t>
      </w:r>
      <w:r w:rsidR="00B26C00" w:rsidRPr="0087455D">
        <w:rPr>
          <w:rFonts w:ascii="Arial" w:hAnsi="Arial" w:cs="Arial"/>
          <w:i/>
          <w:sz w:val="20"/>
          <w:szCs w:val="20"/>
          <w:lang w:val="en-ZA"/>
        </w:rPr>
        <w:tab/>
      </w:r>
      <w:r w:rsidR="00806F64" w:rsidRPr="0087455D">
        <w:rPr>
          <w:rFonts w:ascii="Arial" w:hAnsi="Arial" w:cs="Arial"/>
          <w:i/>
          <w:sz w:val="20"/>
          <w:szCs w:val="20"/>
          <w:lang w:val="en-ZA"/>
        </w:rPr>
        <w:t>Legislation and Oversight</w:t>
      </w:r>
    </w:p>
    <w:p w:rsidR="00BC1020" w:rsidRPr="0087455D" w:rsidRDefault="00BC102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4.3</w:t>
      </w:r>
      <w:r w:rsidR="00B26C00" w:rsidRPr="0087455D">
        <w:rPr>
          <w:rFonts w:ascii="Arial" w:hAnsi="Arial" w:cs="Arial"/>
          <w:sz w:val="20"/>
          <w:szCs w:val="20"/>
          <w:lang w:val="en-ZA"/>
        </w:rPr>
        <w:t>.1</w:t>
      </w:r>
      <w:r w:rsidR="00B26C00" w:rsidRPr="0087455D">
        <w:rPr>
          <w:rFonts w:ascii="Arial" w:hAnsi="Arial" w:cs="Arial"/>
          <w:sz w:val="20"/>
          <w:szCs w:val="20"/>
          <w:lang w:val="en-ZA"/>
        </w:rPr>
        <w:tab/>
      </w:r>
      <w:r w:rsidRPr="0087455D">
        <w:rPr>
          <w:rFonts w:ascii="Arial" w:hAnsi="Arial" w:cs="Arial"/>
          <w:sz w:val="20"/>
          <w:szCs w:val="20"/>
          <w:lang w:val="en-ZA"/>
        </w:rPr>
        <w:t xml:space="preserve">Programme 2 provides for support services for the effective functioning of the National Assembly (NA) and the National Council of Provinces (NCOP) including procedural, legal and content advice; information services and record keeping; and secretarial and support services for the houses and their committees. The programme covers the core business of Parliament and focusses on the outputs, activities and inputs related to legislation and oversight functions. </w:t>
      </w:r>
    </w:p>
    <w:p w:rsidR="00BC1020" w:rsidRPr="0087455D" w:rsidRDefault="00BC102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4.3.2</w:t>
      </w:r>
      <w:r w:rsidRPr="0087455D">
        <w:rPr>
          <w:rFonts w:ascii="Arial" w:hAnsi="Arial" w:cs="Arial"/>
          <w:sz w:val="20"/>
          <w:szCs w:val="20"/>
          <w:lang w:val="en-ZA"/>
        </w:rPr>
        <w:tab/>
        <w:t>The programme comprises the following sub-programmes: NA (House; Committees); NCOP (House; Committees); Public Participation and External Relations; Shared Services; Sectoral Parliaments and Joint Business.</w:t>
      </w:r>
    </w:p>
    <w:p w:rsidR="00BC1020" w:rsidRPr="0087455D" w:rsidRDefault="00BC102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4.3.3</w:t>
      </w:r>
      <w:r w:rsidRPr="0087455D">
        <w:rPr>
          <w:rFonts w:ascii="Arial" w:hAnsi="Arial" w:cs="Arial"/>
          <w:sz w:val="20"/>
          <w:szCs w:val="20"/>
          <w:lang w:val="en-ZA"/>
        </w:rPr>
        <w:tab/>
        <w:t xml:space="preserve">As of 2021/22 Parliament implemented a new programming framework with a shift towards dedicated constituency, committee and plenary weeks. The new framework was also intended to allow for the scheduling of joint committee and joint inter-sectoral work. </w:t>
      </w:r>
    </w:p>
    <w:p w:rsidR="00BC1020" w:rsidRPr="0087455D" w:rsidRDefault="00BC102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4.3.4</w:t>
      </w:r>
      <w:r w:rsidRPr="0087455D">
        <w:rPr>
          <w:rFonts w:ascii="Arial" w:hAnsi="Arial" w:cs="Arial"/>
          <w:sz w:val="20"/>
          <w:szCs w:val="20"/>
          <w:lang w:val="en-ZA"/>
        </w:rPr>
        <w:tab/>
        <w:t>In respect of members’ capacity building, the institution intended to do continuous needs assessments; improve co-ordination and co-operation between role-players; integrate individual capacity building programmes; and initiate processes to measure the usefulness of the programmes.</w:t>
      </w:r>
    </w:p>
    <w:p w:rsidR="00BC1020" w:rsidRPr="0087455D" w:rsidRDefault="00BC102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4.3.5</w:t>
      </w:r>
      <w:r w:rsidRPr="0087455D">
        <w:rPr>
          <w:rFonts w:ascii="Arial" w:hAnsi="Arial" w:cs="Arial"/>
          <w:sz w:val="20"/>
          <w:szCs w:val="20"/>
          <w:lang w:val="en-ZA"/>
        </w:rPr>
        <w:tab/>
        <w:t>In respect of Knowledge and Information Services (KIS), the institution identified the following objectives for 2022/3:</w:t>
      </w:r>
    </w:p>
    <w:p w:rsidR="00BC1020" w:rsidRPr="0087455D" w:rsidRDefault="00BC102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ab/>
      </w:r>
      <w:r w:rsidRPr="0087455D">
        <w:rPr>
          <w:rFonts w:ascii="Arial" w:hAnsi="Arial" w:cs="Arial"/>
          <w:sz w:val="20"/>
          <w:szCs w:val="20"/>
          <w:lang w:val="en-ZA"/>
        </w:rPr>
        <w:tab/>
        <w:t>-</w:t>
      </w:r>
      <w:r w:rsidRPr="0087455D">
        <w:rPr>
          <w:rFonts w:ascii="Arial" w:hAnsi="Arial" w:cs="Arial"/>
          <w:sz w:val="20"/>
          <w:szCs w:val="20"/>
          <w:lang w:val="en-ZA"/>
        </w:rPr>
        <w:tab/>
        <w:t>to develop a 3-year research plan in support of the oversight plan;</w:t>
      </w:r>
    </w:p>
    <w:p w:rsidR="00BC1020" w:rsidRPr="0087455D" w:rsidRDefault="00BC102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to coordinate the various information providers into an integrated and seamless delivery model;</w:t>
      </w:r>
    </w:p>
    <w:p w:rsidR="00BC1020" w:rsidRPr="0087455D" w:rsidRDefault="00BC1020" w:rsidP="0087455D">
      <w:pPr>
        <w:spacing w:after="0" w:line="240" w:lineRule="auto"/>
        <w:ind w:left="720" w:firstLine="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to ensure equal access to information services;</w:t>
      </w:r>
    </w:p>
    <w:p w:rsidR="00BC1020" w:rsidRPr="0087455D" w:rsidRDefault="00BC1020" w:rsidP="0087455D">
      <w:pPr>
        <w:spacing w:after="0" w:line="240" w:lineRule="auto"/>
        <w:ind w:left="720" w:firstLine="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to forge improved collaboration with partners;</w:t>
      </w:r>
    </w:p>
    <w:p w:rsidR="00BC1020" w:rsidRPr="0087455D" w:rsidRDefault="00BC102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to augment the information dissemination process, ensuring improved packaging, information simplicity, and ease of use of information products;</w:t>
      </w:r>
    </w:p>
    <w:p w:rsidR="00BC1020" w:rsidRPr="0087455D" w:rsidRDefault="00BC102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 xml:space="preserve">to introduce institutional standards and quality management processes to ensure quality and objectivity; </w:t>
      </w:r>
    </w:p>
    <w:p w:rsidR="00BC1020" w:rsidRPr="0087455D" w:rsidRDefault="00BC102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to establish a Research Advisory Panel to guide and advise information services; and</w:t>
      </w:r>
    </w:p>
    <w:p w:rsidR="00BC1020" w:rsidRPr="0087455D" w:rsidRDefault="00BC102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to implement an institutional knowledge management strategy, ensuring institutional data and information management processes.</w:t>
      </w:r>
    </w:p>
    <w:p w:rsidR="00BC1020" w:rsidRPr="0087455D" w:rsidRDefault="00BC102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4.3.6</w:t>
      </w:r>
      <w:r w:rsidRPr="0087455D">
        <w:rPr>
          <w:rFonts w:ascii="Arial" w:hAnsi="Arial" w:cs="Arial"/>
          <w:sz w:val="20"/>
          <w:szCs w:val="20"/>
          <w:lang w:val="en-ZA"/>
        </w:rPr>
        <w:tab/>
        <w:t>To expand public participation the institution intended to:</w:t>
      </w:r>
    </w:p>
    <w:p w:rsidR="00BC1020" w:rsidRPr="0087455D" w:rsidRDefault="00BC102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implement interventions focussing on public education and information, mobilising public stakeholders, and the use of digital and preferred platforms, with virtual public meetings, e-hearings and e-petitions;</w:t>
      </w:r>
    </w:p>
    <w:p w:rsidR="00BC1020" w:rsidRPr="0087455D" w:rsidRDefault="00BC102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broaden cooperation with partners and stakeholders in the legislative sector, government, community organisations, constituencies; and</w:t>
      </w:r>
    </w:p>
    <w:p w:rsidR="00B26C00" w:rsidRPr="0087455D" w:rsidRDefault="00BC1020" w:rsidP="0087455D">
      <w:pPr>
        <w:spacing w:after="0" w:line="240" w:lineRule="auto"/>
        <w:ind w:left="2160" w:hanging="720"/>
        <w:rPr>
          <w:rFonts w:ascii="Arial" w:hAnsi="Arial" w:cs="Arial"/>
          <w:sz w:val="20"/>
          <w:szCs w:val="20"/>
          <w:lang w:val="en-ZA"/>
        </w:rPr>
      </w:pPr>
      <w:r w:rsidRPr="0087455D">
        <w:rPr>
          <w:rFonts w:ascii="Arial" w:hAnsi="Arial" w:cs="Arial"/>
          <w:sz w:val="20"/>
          <w:szCs w:val="20"/>
          <w:lang w:val="en-ZA"/>
        </w:rPr>
        <w:t>-</w:t>
      </w:r>
      <w:r w:rsidRPr="0087455D">
        <w:rPr>
          <w:rFonts w:ascii="Arial" w:hAnsi="Arial" w:cs="Arial"/>
          <w:sz w:val="20"/>
          <w:szCs w:val="20"/>
          <w:lang w:val="en-ZA"/>
        </w:rPr>
        <w:tab/>
        <w:t>consolidate current programmes, capacities and resources into a single service to support public participation activities.</w:t>
      </w:r>
    </w:p>
    <w:p w:rsidR="00B26C00" w:rsidRPr="0087455D" w:rsidRDefault="00BC1020" w:rsidP="0087455D">
      <w:pPr>
        <w:spacing w:after="0" w:line="240" w:lineRule="auto"/>
        <w:rPr>
          <w:rFonts w:ascii="Arial" w:hAnsi="Arial" w:cs="Arial"/>
          <w:kern w:val="24"/>
          <w:sz w:val="20"/>
          <w:szCs w:val="20"/>
          <w:lang w:val="en-ZA"/>
        </w:rPr>
      </w:pPr>
      <w:r w:rsidRPr="0087455D">
        <w:rPr>
          <w:rFonts w:ascii="Arial" w:hAnsi="Arial" w:cs="Arial"/>
          <w:kern w:val="24"/>
          <w:sz w:val="20"/>
          <w:szCs w:val="20"/>
          <w:lang w:val="en-ZA"/>
        </w:rPr>
        <w:t>4.3.7</w:t>
      </w:r>
      <w:r w:rsidRPr="0087455D">
        <w:rPr>
          <w:rFonts w:ascii="Arial" w:hAnsi="Arial" w:cs="Arial"/>
          <w:kern w:val="24"/>
          <w:sz w:val="20"/>
          <w:szCs w:val="20"/>
          <w:lang w:val="en-ZA"/>
        </w:rPr>
        <w:tab/>
        <w:t xml:space="preserve">Table 4 below illustrates performance across this programme. </w:t>
      </w:r>
    </w:p>
    <w:tbl>
      <w:tblPr>
        <w:tblW w:w="8777" w:type="dxa"/>
        <w:tblInd w:w="841" w:type="dxa"/>
        <w:tblCellMar>
          <w:left w:w="0" w:type="dxa"/>
          <w:right w:w="0" w:type="dxa"/>
        </w:tblCellMar>
        <w:tblLook w:val="04A0"/>
      </w:tblPr>
      <w:tblGrid>
        <w:gridCol w:w="1539"/>
        <w:gridCol w:w="1588"/>
        <w:gridCol w:w="894"/>
        <w:gridCol w:w="1439"/>
        <w:gridCol w:w="1050"/>
        <w:gridCol w:w="1106"/>
        <w:gridCol w:w="1161"/>
      </w:tblGrid>
      <w:tr w:rsidR="00E77D9A" w:rsidRPr="0087455D" w:rsidTr="001350AD">
        <w:trPr>
          <w:trHeight w:val="958"/>
        </w:trPr>
        <w:tc>
          <w:tcPr>
            <w:tcW w:w="142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b/>
                <w:bCs/>
                <w:sz w:val="20"/>
                <w:szCs w:val="20"/>
                <w:lang w:val="en-ZA"/>
              </w:rPr>
              <w:t>Parliamentary Service</w:t>
            </w:r>
          </w:p>
        </w:tc>
        <w:tc>
          <w:tcPr>
            <w:tcW w:w="2189"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b/>
                <w:bCs/>
                <w:sz w:val="20"/>
                <w:szCs w:val="20"/>
                <w:lang w:val="en-ZA"/>
              </w:rPr>
              <w:t>Indicator</w:t>
            </w:r>
          </w:p>
        </w:tc>
        <w:tc>
          <w:tcPr>
            <w:tcW w:w="832"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b/>
                <w:bCs/>
                <w:sz w:val="20"/>
                <w:szCs w:val="20"/>
                <w:lang w:val="en-ZA"/>
              </w:rPr>
              <w:t>Annual target</w:t>
            </w:r>
          </w:p>
        </w:tc>
        <w:tc>
          <w:tcPr>
            <w:tcW w:w="1295"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b/>
                <w:bCs/>
                <w:sz w:val="20"/>
                <w:szCs w:val="20"/>
                <w:lang w:val="en-ZA"/>
              </w:rPr>
              <w:t>Annual Performance</w:t>
            </w:r>
          </w:p>
        </w:tc>
        <w:tc>
          <w:tcPr>
            <w:tcW w:w="972"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b/>
                <w:bCs/>
                <w:sz w:val="20"/>
                <w:szCs w:val="20"/>
                <w:lang w:val="en-ZA"/>
              </w:rPr>
              <w:t>Variance</w:t>
            </w:r>
          </w:p>
        </w:tc>
        <w:tc>
          <w:tcPr>
            <w:tcW w:w="1081"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b/>
                <w:bCs/>
                <w:sz w:val="20"/>
                <w:szCs w:val="20"/>
                <w:lang w:val="en-ZA"/>
              </w:rPr>
              <w:t>Status</w:t>
            </w:r>
          </w:p>
        </w:tc>
        <w:tc>
          <w:tcPr>
            <w:tcW w:w="981"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b/>
                <w:bCs/>
                <w:sz w:val="20"/>
                <w:szCs w:val="20"/>
                <w:lang w:val="en-ZA"/>
              </w:rPr>
              <w:t>Reasons for Variance/ Mitigation</w:t>
            </w:r>
          </w:p>
        </w:tc>
      </w:tr>
      <w:tr w:rsidR="00E77D9A" w:rsidRPr="0087455D" w:rsidTr="001350AD">
        <w:trPr>
          <w:trHeight w:val="609"/>
        </w:trPr>
        <w:tc>
          <w:tcPr>
            <w:tcW w:w="1427" w:type="dxa"/>
            <w:vMerge w:val="restart"/>
            <w:tcBorders>
              <w:top w:val="single" w:sz="8" w:space="0" w:color="BF9000"/>
              <w:left w:val="single" w:sz="8" w:space="0" w:color="BF9000"/>
              <w:bottom w:val="single" w:sz="8" w:space="0" w:color="BF9000"/>
              <w:right w:val="single" w:sz="8" w:space="0" w:color="BF9000"/>
            </w:tcBorders>
            <w:shd w:val="clear" w:color="auto" w:fill="D0CECE" w:themeFill="background2" w:themeFillShade="E6"/>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b/>
                <w:bCs/>
                <w:sz w:val="20"/>
                <w:szCs w:val="20"/>
                <w:lang w:val="en-ZA"/>
              </w:rPr>
              <w:lastRenderedPageBreak/>
              <w:t>Programming Service</w:t>
            </w: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Number of annual parliamentary frameworks adopted</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1</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1</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0</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Met</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 </w:t>
            </w:r>
          </w:p>
        </w:tc>
      </w:tr>
      <w:tr w:rsidR="00E77D9A" w:rsidRPr="0087455D" w:rsidTr="001350AD">
        <w:trPr>
          <w:trHeight w:val="665"/>
        </w:trPr>
        <w:tc>
          <w:tcPr>
            <w:tcW w:w="1427" w:type="dxa"/>
            <w:vMerge/>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hideMark/>
          </w:tcPr>
          <w:p w:rsidR="00BC1020" w:rsidRPr="0087455D" w:rsidRDefault="00BC1020" w:rsidP="0087455D">
            <w:pPr>
              <w:spacing w:after="0" w:line="240" w:lineRule="auto"/>
              <w:rPr>
                <w:rFonts w:ascii="Arial" w:hAnsi="Arial" w:cs="Arial"/>
                <w:sz w:val="20"/>
                <w:szCs w:val="20"/>
                <w:lang w:val="en-ZA"/>
              </w:rPr>
            </w:pP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Number of NA programmes adopted</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4</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4</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0</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Met</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 </w:t>
            </w:r>
          </w:p>
        </w:tc>
      </w:tr>
      <w:tr w:rsidR="00E77D9A" w:rsidRPr="0087455D" w:rsidTr="001350AD">
        <w:trPr>
          <w:trHeight w:val="322"/>
        </w:trPr>
        <w:tc>
          <w:tcPr>
            <w:tcW w:w="1427" w:type="dxa"/>
            <w:vMerge/>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hideMark/>
          </w:tcPr>
          <w:p w:rsidR="00BC1020" w:rsidRPr="0087455D" w:rsidRDefault="00BC1020" w:rsidP="0087455D">
            <w:pPr>
              <w:spacing w:after="0" w:line="240" w:lineRule="auto"/>
              <w:rPr>
                <w:rFonts w:ascii="Arial" w:hAnsi="Arial" w:cs="Arial"/>
                <w:sz w:val="20"/>
                <w:szCs w:val="20"/>
                <w:lang w:val="en-ZA"/>
              </w:rPr>
            </w:pP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Number of NCOP programmes adopted</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4</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4</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0</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Met</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C1020" w:rsidRPr="0087455D" w:rsidRDefault="00BC1020" w:rsidP="0087455D">
            <w:pPr>
              <w:spacing w:after="0" w:line="240" w:lineRule="auto"/>
              <w:rPr>
                <w:rFonts w:ascii="Arial" w:hAnsi="Arial" w:cs="Arial"/>
                <w:sz w:val="20"/>
                <w:szCs w:val="20"/>
                <w:lang w:val="en-ZA"/>
              </w:rPr>
            </w:pPr>
          </w:p>
        </w:tc>
      </w:tr>
      <w:tr w:rsidR="00E77D9A" w:rsidRPr="0087455D" w:rsidTr="001350AD">
        <w:trPr>
          <w:trHeight w:val="322"/>
        </w:trPr>
        <w:tc>
          <w:tcPr>
            <w:tcW w:w="142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BC1020" w:rsidRPr="0087455D" w:rsidRDefault="00BC1020" w:rsidP="0087455D">
            <w:pPr>
              <w:spacing w:after="0" w:line="240" w:lineRule="auto"/>
              <w:rPr>
                <w:rFonts w:ascii="Arial" w:hAnsi="Arial" w:cs="Arial"/>
                <w:b/>
                <w:sz w:val="20"/>
                <w:szCs w:val="20"/>
                <w:lang w:val="en-ZA"/>
              </w:rPr>
            </w:pPr>
            <w:r w:rsidRPr="0087455D">
              <w:rPr>
                <w:rFonts w:ascii="Arial" w:hAnsi="Arial" w:cs="Arial"/>
                <w:b/>
                <w:sz w:val="20"/>
                <w:szCs w:val="20"/>
                <w:lang w:val="en-ZA"/>
              </w:rPr>
              <w:t>Capacity Building Service</w:t>
            </w: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Percentage members satisfaction</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65%</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71,18%</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+6,18%</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Exceeded</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p>
        </w:tc>
      </w:tr>
      <w:tr w:rsidR="00E77D9A" w:rsidRPr="0087455D" w:rsidTr="001350AD">
        <w:trPr>
          <w:trHeight w:val="322"/>
        </w:trPr>
        <w:tc>
          <w:tcPr>
            <w:tcW w:w="142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BC1020" w:rsidRPr="0087455D" w:rsidRDefault="00BC1020" w:rsidP="0087455D">
            <w:pPr>
              <w:spacing w:after="0" w:line="240" w:lineRule="auto"/>
              <w:rPr>
                <w:rFonts w:ascii="Arial" w:hAnsi="Arial" w:cs="Arial"/>
                <w:b/>
                <w:sz w:val="20"/>
                <w:szCs w:val="20"/>
                <w:lang w:val="en-ZA"/>
              </w:rPr>
            </w:pPr>
            <w:r w:rsidRPr="0087455D">
              <w:rPr>
                <w:rFonts w:ascii="Arial" w:eastAsia="Calibri" w:hAnsi="Arial" w:cs="Arial"/>
                <w:b/>
                <w:bCs/>
                <w:kern w:val="24"/>
                <w:sz w:val="20"/>
                <w:szCs w:val="20"/>
              </w:rPr>
              <w:t>Research service</w:t>
            </w: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rPr>
              <w:t>% Member satisfaction</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70</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81,62%</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11,62%</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Exceeded</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p>
        </w:tc>
      </w:tr>
      <w:tr w:rsidR="00E77D9A" w:rsidRPr="0087455D" w:rsidTr="001350AD">
        <w:trPr>
          <w:trHeight w:val="322"/>
        </w:trPr>
        <w:tc>
          <w:tcPr>
            <w:tcW w:w="142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BC1020" w:rsidRPr="0087455D" w:rsidRDefault="00BC1020" w:rsidP="0087455D">
            <w:pPr>
              <w:spacing w:after="0" w:line="240" w:lineRule="auto"/>
              <w:rPr>
                <w:rFonts w:ascii="Arial" w:hAnsi="Arial" w:cs="Arial"/>
                <w:b/>
                <w:sz w:val="20"/>
                <w:szCs w:val="20"/>
                <w:lang w:val="en-ZA"/>
              </w:rPr>
            </w:pPr>
            <w:r w:rsidRPr="0087455D">
              <w:rPr>
                <w:rFonts w:ascii="Arial" w:eastAsia="Calibri" w:hAnsi="Arial" w:cs="Arial"/>
                <w:b/>
                <w:bCs/>
                <w:kern w:val="24"/>
                <w:sz w:val="20"/>
                <w:szCs w:val="20"/>
              </w:rPr>
              <w:t>Content advice service</w:t>
            </w: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eastAsiaTheme="minorEastAsia" w:hAnsi="Arial" w:cs="Arial"/>
                <w:kern w:val="24"/>
                <w:sz w:val="20"/>
                <w:szCs w:val="20"/>
              </w:rPr>
              <w:t>% Member satisfaction</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70</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81,05%</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11,05%</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Exceeded</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p>
        </w:tc>
      </w:tr>
      <w:tr w:rsidR="00E77D9A" w:rsidRPr="0087455D" w:rsidTr="001350AD">
        <w:trPr>
          <w:trHeight w:val="322"/>
        </w:trPr>
        <w:tc>
          <w:tcPr>
            <w:tcW w:w="142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BC1020" w:rsidRPr="0087455D" w:rsidRDefault="00BC1020" w:rsidP="0087455D">
            <w:pPr>
              <w:spacing w:after="0" w:line="240" w:lineRule="auto"/>
              <w:rPr>
                <w:rFonts w:ascii="Arial" w:hAnsi="Arial" w:cs="Arial"/>
                <w:b/>
                <w:sz w:val="20"/>
                <w:szCs w:val="20"/>
                <w:lang w:val="en-ZA"/>
              </w:rPr>
            </w:pPr>
            <w:r w:rsidRPr="0087455D">
              <w:rPr>
                <w:rFonts w:ascii="Arial" w:eastAsia="Calibri" w:hAnsi="Arial" w:cs="Arial"/>
                <w:b/>
                <w:bCs/>
                <w:kern w:val="24"/>
                <w:sz w:val="20"/>
                <w:szCs w:val="20"/>
              </w:rPr>
              <w:t>Procedural advice service</w:t>
            </w: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eastAsiaTheme="minorEastAsia" w:hAnsi="Arial" w:cs="Arial"/>
                <w:kern w:val="24"/>
                <w:sz w:val="20"/>
                <w:szCs w:val="20"/>
              </w:rPr>
              <w:t>% Member satisfaction</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70</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77,43%</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7,43%</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exceeded</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p>
        </w:tc>
      </w:tr>
      <w:tr w:rsidR="00E77D9A" w:rsidRPr="0087455D" w:rsidTr="001350AD">
        <w:trPr>
          <w:trHeight w:val="322"/>
        </w:trPr>
        <w:tc>
          <w:tcPr>
            <w:tcW w:w="142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BC1020" w:rsidRPr="0087455D" w:rsidRDefault="00BC1020" w:rsidP="0087455D">
            <w:pPr>
              <w:spacing w:after="0" w:line="240" w:lineRule="auto"/>
              <w:rPr>
                <w:rFonts w:ascii="Arial" w:hAnsi="Arial" w:cs="Arial"/>
                <w:b/>
                <w:sz w:val="20"/>
                <w:szCs w:val="20"/>
                <w:lang w:val="en-ZA"/>
              </w:rPr>
            </w:pPr>
            <w:r w:rsidRPr="0087455D">
              <w:rPr>
                <w:rFonts w:ascii="Arial" w:eastAsia="Calibri" w:hAnsi="Arial" w:cs="Arial"/>
                <w:b/>
                <w:bCs/>
                <w:kern w:val="24"/>
                <w:sz w:val="20"/>
                <w:szCs w:val="20"/>
              </w:rPr>
              <w:t>Legal advice service</w:t>
            </w: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eastAsiaTheme="minorEastAsia" w:hAnsi="Arial" w:cs="Arial"/>
                <w:kern w:val="24"/>
                <w:sz w:val="20"/>
                <w:szCs w:val="20"/>
              </w:rPr>
              <w:t>% Member satisfaction</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65</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77,85%</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+12,85%</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Exceeded</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p>
        </w:tc>
      </w:tr>
      <w:tr w:rsidR="00E77D9A" w:rsidRPr="0087455D" w:rsidTr="001350AD">
        <w:trPr>
          <w:trHeight w:val="322"/>
        </w:trPr>
        <w:tc>
          <w:tcPr>
            <w:tcW w:w="142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BC1020" w:rsidRPr="0087455D" w:rsidRDefault="00BC1020" w:rsidP="0087455D">
            <w:pPr>
              <w:spacing w:after="0" w:line="240" w:lineRule="auto"/>
              <w:rPr>
                <w:rFonts w:ascii="Arial" w:hAnsi="Arial" w:cs="Arial"/>
                <w:b/>
                <w:sz w:val="20"/>
                <w:szCs w:val="20"/>
                <w:lang w:val="en-ZA"/>
              </w:rPr>
            </w:pPr>
            <w:r w:rsidRPr="0087455D">
              <w:rPr>
                <w:rFonts w:ascii="Arial" w:eastAsia="Calibri" w:hAnsi="Arial" w:cs="Arial"/>
                <w:b/>
                <w:bCs/>
                <w:kern w:val="24"/>
                <w:sz w:val="20"/>
                <w:szCs w:val="20"/>
              </w:rPr>
              <w:t>Committee support service</w:t>
            </w: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eastAsiaTheme="minorEastAsia" w:hAnsi="Arial" w:cs="Arial"/>
                <w:kern w:val="24"/>
                <w:sz w:val="20"/>
                <w:szCs w:val="20"/>
              </w:rPr>
              <w:t>% Member satisfaction</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70</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83,52%</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+13,52%</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Exceeded</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p>
        </w:tc>
      </w:tr>
      <w:tr w:rsidR="001350AD" w:rsidRPr="0087455D" w:rsidTr="001350AD">
        <w:trPr>
          <w:trHeight w:val="322"/>
        </w:trPr>
        <w:tc>
          <w:tcPr>
            <w:tcW w:w="1427" w:type="dxa"/>
            <w:tcBorders>
              <w:top w:val="single" w:sz="8" w:space="0" w:color="BF9000"/>
              <w:left w:val="single" w:sz="8" w:space="0" w:color="BF9000"/>
              <w:bottom w:val="single" w:sz="8" w:space="0" w:color="BF9000"/>
              <w:right w:val="single" w:sz="8" w:space="0" w:color="BF9000"/>
            </w:tcBorders>
            <w:shd w:val="clear" w:color="auto" w:fill="D0CECE" w:themeFill="background2" w:themeFillShade="E6"/>
            <w:vAlign w:val="center"/>
          </w:tcPr>
          <w:p w:rsidR="00BC1020" w:rsidRPr="0087455D" w:rsidRDefault="00BC1020" w:rsidP="0087455D">
            <w:pPr>
              <w:spacing w:after="0" w:line="240" w:lineRule="auto"/>
              <w:rPr>
                <w:rFonts w:ascii="Arial" w:eastAsia="Calibri" w:hAnsi="Arial" w:cs="Arial"/>
                <w:b/>
                <w:bCs/>
                <w:kern w:val="24"/>
                <w:sz w:val="20"/>
                <w:szCs w:val="20"/>
              </w:rPr>
            </w:pPr>
            <w:r w:rsidRPr="0087455D">
              <w:rPr>
                <w:rFonts w:ascii="Arial" w:eastAsia="Calibri" w:hAnsi="Arial" w:cs="Arial"/>
                <w:b/>
                <w:bCs/>
                <w:kern w:val="24"/>
                <w:sz w:val="20"/>
                <w:szCs w:val="20"/>
              </w:rPr>
              <w:t>Public Participation Service</w:t>
            </w:r>
          </w:p>
        </w:tc>
        <w:tc>
          <w:tcPr>
            <w:tcW w:w="218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eastAsiaTheme="minorEastAsia" w:hAnsi="Arial" w:cs="Arial"/>
                <w:kern w:val="24"/>
                <w:sz w:val="20"/>
                <w:szCs w:val="20"/>
              </w:rPr>
            </w:pPr>
            <w:r w:rsidRPr="0087455D">
              <w:rPr>
                <w:rFonts w:ascii="Arial" w:eastAsiaTheme="minorEastAsia" w:hAnsi="Arial" w:cs="Arial"/>
                <w:kern w:val="24"/>
                <w:sz w:val="20"/>
                <w:szCs w:val="20"/>
              </w:rPr>
              <w:t>% members satisfaction</w:t>
            </w:r>
          </w:p>
        </w:tc>
        <w:tc>
          <w:tcPr>
            <w:tcW w:w="83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60</w:t>
            </w:r>
          </w:p>
        </w:tc>
        <w:tc>
          <w:tcPr>
            <w:tcW w:w="129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74,85</w:t>
            </w:r>
          </w:p>
        </w:tc>
        <w:tc>
          <w:tcPr>
            <w:tcW w:w="97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14,85</w:t>
            </w:r>
          </w:p>
        </w:tc>
        <w:tc>
          <w:tcPr>
            <w:tcW w:w="10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r w:rsidRPr="0087455D">
              <w:rPr>
                <w:rFonts w:ascii="Arial" w:hAnsi="Arial" w:cs="Arial"/>
                <w:sz w:val="20"/>
                <w:szCs w:val="20"/>
                <w:lang w:val="en-ZA"/>
              </w:rPr>
              <w:t>Exceeded</w:t>
            </w:r>
          </w:p>
        </w:tc>
        <w:tc>
          <w:tcPr>
            <w:tcW w:w="98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BC1020" w:rsidRPr="0087455D" w:rsidRDefault="00BC1020" w:rsidP="0087455D">
            <w:pPr>
              <w:spacing w:after="0" w:line="240" w:lineRule="auto"/>
              <w:rPr>
                <w:rFonts w:ascii="Arial" w:hAnsi="Arial" w:cs="Arial"/>
                <w:sz w:val="20"/>
                <w:szCs w:val="20"/>
                <w:lang w:val="en-ZA"/>
              </w:rPr>
            </w:pPr>
          </w:p>
        </w:tc>
      </w:tr>
    </w:tbl>
    <w:p w:rsidR="00BC1020" w:rsidRPr="0087455D" w:rsidRDefault="00BC1020" w:rsidP="0087455D">
      <w:pPr>
        <w:spacing w:after="0" w:line="240" w:lineRule="auto"/>
        <w:rPr>
          <w:rFonts w:ascii="Arial" w:hAnsi="Arial" w:cs="Arial"/>
          <w:b/>
          <w:kern w:val="24"/>
          <w:sz w:val="20"/>
          <w:szCs w:val="20"/>
          <w:lang w:val="en-ZA"/>
        </w:rPr>
      </w:pPr>
      <w:r w:rsidRPr="0087455D">
        <w:rPr>
          <w:rFonts w:ascii="Arial" w:hAnsi="Arial" w:cs="Arial"/>
          <w:kern w:val="24"/>
          <w:sz w:val="20"/>
          <w:szCs w:val="20"/>
          <w:lang w:val="en-ZA"/>
        </w:rPr>
        <w:tab/>
        <w:t xml:space="preserve">  </w:t>
      </w:r>
      <w:r w:rsidRPr="0087455D">
        <w:rPr>
          <w:rFonts w:ascii="Arial" w:hAnsi="Arial" w:cs="Arial"/>
          <w:b/>
          <w:kern w:val="24"/>
          <w:sz w:val="20"/>
          <w:szCs w:val="20"/>
          <w:lang w:val="en-ZA"/>
        </w:rPr>
        <w:t>Table 4: Programme 2 performance</w:t>
      </w:r>
    </w:p>
    <w:p w:rsidR="00B0028D" w:rsidRPr="0087455D" w:rsidRDefault="00BC1020" w:rsidP="0087455D">
      <w:pPr>
        <w:spacing w:after="0" w:line="240" w:lineRule="auto"/>
        <w:ind w:left="720" w:hanging="720"/>
        <w:rPr>
          <w:rFonts w:ascii="Arial" w:hAnsi="Arial" w:cs="Arial"/>
          <w:kern w:val="24"/>
          <w:sz w:val="20"/>
          <w:szCs w:val="20"/>
          <w:lang w:val="en-ZA"/>
        </w:rPr>
      </w:pPr>
      <w:r w:rsidRPr="0087455D">
        <w:rPr>
          <w:rFonts w:ascii="Arial" w:hAnsi="Arial" w:cs="Arial"/>
          <w:kern w:val="24"/>
          <w:sz w:val="20"/>
          <w:szCs w:val="20"/>
          <w:lang w:val="en-ZA"/>
        </w:rPr>
        <w:t>4.3.8</w:t>
      </w:r>
      <w:r w:rsidRPr="0087455D">
        <w:rPr>
          <w:rFonts w:ascii="Arial" w:hAnsi="Arial" w:cs="Arial"/>
          <w:kern w:val="24"/>
          <w:sz w:val="20"/>
          <w:szCs w:val="20"/>
          <w:lang w:val="en-ZA"/>
        </w:rPr>
        <w:tab/>
      </w:r>
      <w:r w:rsidR="00B0028D" w:rsidRPr="0087455D">
        <w:rPr>
          <w:rFonts w:ascii="Arial" w:hAnsi="Arial" w:cs="Arial"/>
          <w:kern w:val="24"/>
          <w:sz w:val="20"/>
          <w:szCs w:val="20"/>
          <w:lang w:val="en-ZA"/>
        </w:rPr>
        <w:t>The South African Parliamentary Institute (SAPI) was launched on 9 December 2021 by the South African Legislative Sector to provide accelerated development of the requisite human capital. For capacity building services, usefulness scored the highest in the survey.</w:t>
      </w:r>
    </w:p>
    <w:p w:rsidR="00B26C00" w:rsidRPr="0087455D" w:rsidRDefault="00B0028D" w:rsidP="0087455D">
      <w:pPr>
        <w:spacing w:after="0" w:line="240" w:lineRule="auto"/>
        <w:ind w:left="720" w:hanging="720"/>
        <w:rPr>
          <w:rFonts w:ascii="Arial" w:hAnsi="Arial" w:cs="Arial"/>
          <w:kern w:val="24"/>
          <w:sz w:val="20"/>
          <w:szCs w:val="20"/>
          <w:lang w:val="en-ZA"/>
        </w:rPr>
      </w:pPr>
      <w:r w:rsidRPr="0087455D">
        <w:rPr>
          <w:rFonts w:ascii="Arial" w:hAnsi="Arial" w:cs="Arial"/>
          <w:kern w:val="24"/>
          <w:sz w:val="20"/>
          <w:szCs w:val="20"/>
          <w:lang w:val="en-ZA"/>
        </w:rPr>
        <w:t>4.3.9</w:t>
      </w:r>
      <w:r w:rsidRPr="0087455D">
        <w:rPr>
          <w:rFonts w:ascii="Arial" w:hAnsi="Arial" w:cs="Arial"/>
          <w:kern w:val="24"/>
          <w:sz w:val="20"/>
          <w:szCs w:val="20"/>
          <w:lang w:val="en-ZA"/>
        </w:rPr>
        <w:tab/>
        <w:t xml:space="preserve">One hundred and eighty members of Parliament and provincial legislatures participated in capacity building programmes during the 2021/22 financial year. They participated in the following three programmes: Advanced Certificate in Governance and Public Leadership (University of Witwatersrand); Masters programme in Governance and Leadership (University of Witwatersrand); and </w:t>
      </w:r>
      <w:r w:rsidR="00471D64" w:rsidRPr="0087455D">
        <w:rPr>
          <w:rFonts w:ascii="Arial" w:hAnsi="Arial" w:cs="Arial"/>
          <w:kern w:val="24"/>
          <w:sz w:val="20"/>
          <w:szCs w:val="20"/>
          <w:lang w:val="en-ZA"/>
        </w:rPr>
        <w:t xml:space="preserve">a </w:t>
      </w:r>
      <w:r w:rsidRPr="0087455D">
        <w:rPr>
          <w:rFonts w:ascii="Arial" w:hAnsi="Arial" w:cs="Arial"/>
          <w:kern w:val="24"/>
          <w:sz w:val="20"/>
          <w:szCs w:val="20"/>
          <w:lang w:val="en-ZA"/>
        </w:rPr>
        <w:t>postgraduate diploma in Public Policy and African Studies (University of Johannesburg).</w:t>
      </w:r>
    </w:p>
    <w:p w:rsidR="00B0028D" w:rsidRPr="0087455D" w:rsidRDefault="00B0028D" w:rsidP="0087455D">
      <w:pPr>
        <w:spacing w:after="0" w:line="240" w:lineRule="auto"/>
        <w:ind w:left="720" w:hanging="720"/>
        <w:rPr>
          <w:rFonts w:ascii="Arial" w:hAnsi="Arial" w:cs="Arial"/>
          <w:kern w:val="24"/>
          <w:sz w:val="20"/>
          <w:szCs w:val="20"/>
          <w:lang w:val="en-ZA"/>
        </w:rPr>
      </w:pPr>
      <w:r w:rsidRPr="0087455D">
        <w:rPr>
          <w:rFonts w:ascii="Arial" w:hAnsi="Arial" w:cs="Arial"/>
          <w:kern w:val="24"/>
          <w:sz w:val="20"/>
          <w:szCs w:val="20"/>
          <w:lang w:val="en-ZA"/>
        </w:rPr>
        <w:t>4.3.10</w:t>
      </w:r>
      <w:r w:rsidRPr="0087455D">
        <w:rPr>
          <w:rFonts w:ascii="Arial" w:hAnsi="Arial" w:cs="Arial"/>
          <w:kern w:val="24"/>
          <w:sz w:val="20"/>
          <w:szCs w:val="20"/>
          <w:lang w:val="en-ZA"/>
        </w:rPr>
        <w:tab/>
        <w:t>Despite the fire in January 2022, Committees continued to adapt to the new technology-based way of working. Committee Support scored the highest in the survey in the category “Ease of access”. Committee support services included the provision of content and logistical support to 1 217 committee meetings; 60 Committee reports for programming meetings NA (46) and NCOP (14); 1 054 committee minutes; and 330 committee reports.</w:t>
      </w:r>
    </w:p>
    <w:p w:rsidR="00B0028D" w:rsidRPr="0087455D" w:rsidRDefault="00B0028D" w:rsidP="0087455D">
      <w:pPr>
        <w:spacing w:after="0" w:line="240" w:lineRule="auto"/>
        <w:ind w:left="720" w:hanging="720"/>
        <w:rPr>
          <w:rFonts w:ascii="Arial" w:hAnsi="Arial" w:cs="Arial"/>
          <w:kern w:val="24"/>
          <w:sz w:val="20"/>
          <w:szCs w:val="20"/>
          <w:lang w:val="en-ZA"/>
        </w:rPr>
      </w:pPr>
      <w:r w:rsidRPr="0087455D">
        <w:rPr>
          <w:rFonts w:ascii="Arial" w:hAnsi="Arial" w:cs="Arial"/>
          <w:kern w:val="24"/>
          <w:sz w:val="20"/>
          <w:szCs w:val="20"/>
          <w:lang w:val="en-ZA"/>
        </w:rPr>
        <w:t>4.3.11</w:t>
      </w:r>
      <w:r w:rsidRPr="0087455D">
        <w:rPr>
          <w:rFonts w:ascii="Arial" w:hAnsi="Arial" w:cs="Arial"/>
          <w:kern w:val="24"/>
          <w:sz w:val="20"/>
          <w:szCs w:val="20"/>
          <w:lang w:val="en-ZA"/>
        </w:rPr>
        <w:tab/>
        <w:t>Legal advice scored highest on reliability with 32 written legal opinions provided to committees; 40 written legal opinions to the administration and 57 legal contracts drafted.</w:t>
      </w:r>
    </w:p>
    <w:p w:rsidR="00B0028D" w:rsidRPr="0087455D" w:rsidRDefault="00B0028D" w:rsidP="0087455D">
      <w:pPr>
        <w:spacing w:after="0" w:line="240" w:lineRule="auto"/>
        <w:ind w:left="720" w:hanging="720"/>
        <w:rPr>
          <w:rFonts w:ascii="Arial" w:hAnsi="Arial" w:cs="Arial"/>
          <w:kern w:val="24"/>
          <w:sz w:val="20"/>
          <w:szCs w:val="20"/>
          <w:lang w:val="en-ZA"/>
        </w:rPr>
      </w:pPr>
      <w:r w:rsidRPr="0087455D">
        <w:rPr>
          <w:rFonts w:ascii="Arial" w:hAnsi="Arial" w:cs="Arial"/>
          <w:kern w:val="24"/>
          <w:sz w:val="20"/>
          <w:szCs w:val="20"/>
          <w:lang w:val="en-ZA"/>
        </w:rPr>
        <w:t>4.3.12</w:t>
      </w:r>
      <w:r w:rsidRPr="0087455D">
        <w:rPr>
          <w:rFonts w:ascii="Arial" w:hAnsi="Arial" w:cs="Arial"/>
          <w:kern w:val="24"/>
          <w:sz w:val="20"/>
          <w:szCs w:val="20"/>
          <w:lang w:val="en-ZA"/>
        </w:rPr>
        <w:tab/>
        <w:t>Research Services scored highest on “usefulness”, content advice scored highest on timeliness and procedural advice scored highest on reliability. The following services were provided: 84 sets of order papers, guides, and house minutes (National Assembly); 332 House resolutions adopted and communicated to Executive (National Assembly); 46 sets of Order Papers, Guides, and House minutes (National Council of Provinces); 36 House resolutions adopted and communicated to the Executive (National Council of Provinces); and 158 ATCs (Announcements, Tablings and Committee Reports as part of the House Papers).</w:t>
      </w:r>
    </w:p>
    <w:p w:rsidR="00B0028D" w:rsidRPr="0087455D" w:rsidRDefault="00B0028D" w:rsidP="0087455D">
      <w:pPr>
        <w:spacing w:after="0" w:line="240" w:lineRule="auto"/>
        <w:ind w:left="720" w:hanging="720"/>
        <w:rPr>
          <w:rFonts w:ascii="Arial" w:hAnsi="Arial" w:cs="Arial"/>
          <w:kern w:val="24"/>
          <w:sz w:val="20"/>
          <w:szCs w:val="20"/>
          <w:lang w:val="en-ZA"/>
        </w:rPr>
      </w:pPr>
      <w:r w:rsidRPr="0087455D">
        <w:rPr>
          <w:rFonts w:ascii="Arial" w:hAnsi="Arial" w:cs="Arial"/>
          <w:kern w:val="24"/>
          <w:sz w:val="20"/>
          <w:szCs w:val="20"/>
          <w:lang w:val="en-ZA"/>
        </w:rPr>
        <w:t>4.3.13</w:t>
      </w:r>
      <w:r w:rsidRPr="0087455D">
        <w:rPr>
          <w:rFonts w:ascii="Arial" w:hAnsi="Arial" w:cs="Arial"/>
          <w:kern w:val="24"/>
          <w:sz w:val="20"/>
          <w:szCs w:val="20"/>
          <w:lang w:val="en-ZA"/>
        </w:rPr>
        <w:tab/>
        <w:t xml:space="preserve">Physical oversight visits, public hearings, committee meetings and certain ad hoc </w:t>
      </w:r>
      <w:r w:rsidR="000F6E69" w:rsidRPr="0087455D">
        <w:rPr>
          <w:rFonts w:ascii="Arial" w:hAnsi="Arial" w:cs="Arial"/>
          <w:kern w:val="24"/>
          <w:sz w:val="20"/>
          <w:szCs w:val="20"/>
          <w:lang w:val="en-ZA"/>
        </w:rPr>
        <w:t xml:space="preserve">committee </w:t>
      </w:r>
      <w:r w:rsidRPr="0087455D">
        <w:rPr>
          <w:rFonts w:ascii="Arial" w:hAnsi="Arial" w:cs="Arial"/>
          <w:kern w:val="24"/>
          <w:sz w:val="20"/>
          <w:szCs w:val="20"/>
          <w:lang w:val="en-ZA"/>
        </w:rPr>
        <w:t>meetings o</w:t>
      </w:r>
      <w:r w:rsidR="000F6E69" w:rsidRPr="0087455D">
        <w:rPr>
          <w:rFonts w:ascii="Arial" w:hAnsi="Arial" w:cs="Arial"/>
          <w:kern w:val="24"/>
          <w:sz w:val="20"/>
          <w:szCs w:val="20"/>
          <w:lang w:val="en-ZA"/>
        </w:rPr>
        <w:t>f Parliament increased in the period under review</w:t>
      </w:r>
      <w:r w:rsidRPr="0087455D">
        <w:rPr>
          <w:rFonts w:ascii="Arial" w:hAnsi="Arial" w:cs="Arial"/>
          <w:kern w:val="24"/>
          <w:sz w:val="20"/>
          <w:szCs w:val="20"/>
          <w:lang w:val="en-ZA"/>
        </w:rPr>
        <w:t xml:space="preserve"> compared to the previous year. Parliament’s swift adoption of technology during the Covid-19 lockdowns has provided the public with greater access to information and live streaming of proceedings of committees and the Houses.</w:t>
      </w:r>
    </w:p>
    <w:p w:rsidR="000F6E69" w:rsidRPr="0087455D" w:rsidRDefault="000F6E69" w:rsidP="0087455D">
      <w:pPr>
        <w:spacing w:after="0" w:line="240" w:lineRule="auto"/>
        <w:rPr>
          <w:rFonts w:ascii="Arial" w:hAnsi="Arial" w:cs="Arial"/>
          <w:kern w:val="24"/>
          <w:sz w:val="20"/>
          <w:szCs w:val="20"/>
          <w:lang w:val="en-ZA"/>
        </w:rPr>
      </w:pPr>
    </w:p>
    <w:p w:rsidR="00B26C00" w:rsidRPr="0087455D" w:rsidRDefault="00B26C00" w:rsidP="0087455D">
      <w:pPr>
        <w:spacing w:after="0" w:line="240" w:lineRule="auto"/>
        <w:rPr>
          <w:rFonts w:ascii="Arial" w:hAnsi="Arial" w:cs="Arial"/>
          <w:b/>
          <w:kern w:val="24"/>
          <w:sz w:val="20"/>
          <w:szCs w:val="20"/>
          <w:lang w:val="en-ZA"/>
        </w:rPr>
      </w:pPr>
      <w:r w:rsidRPr="0087455D">
        <w:rPr>
          <w:rFonts w:ascii="Arial" w:hAnsi="Arial" w:cs="Arial"/>
          <w:b/>
          <w:kern w:val="24"/>
          <w:sz w:val="20"/>
          <w:szCs w:val="20"/>
          <w:lang w:val="en-ZA"/>
        </w:rPr>
        <w:t>Part B:</w:t>
      </w:r>
      <w:r w:rsidRPr="0087455D">
        <w:rPr>
          <w:rFonts w:ascii="Arial" w:hAnsi="Arial" w:cs="Arial"/>
          <w:b/>
          <w:kern w:val="24"/>
          <w:sz w:val="20"/>
          <w:szCs w:val="20"/>
          <w:lang w:val="en-ZA"/>
        </w:rPr>
        <w:tab/>
      </w:r>
      <w:r w:rsidRPr="0087455D">
        <w:rPr>
          <w:rFonts w:ascii="Arial" w:hAnsi="Arial" w:cs="Arial"/>
          <w:b/>
          <w:kern w:val="24"/>
          <w:sz w:val="20"/>
          <w:szCs w:val="20"/>
          <w:lang w:val="en-ZA"/>
        </w:rPr>
        <w:tab/>
        <w:t>Report of the Auditor General of South Africa</w:t>
      </w:r>
    </w:p>
    <w:p w:rsidR="00E77D9A" w:rsidRPr="0087455D" w:rsidRDefault="00B26C00" w:rsidP="0087455D">
      <w:pPr>
        <w:spacing w:after="0" w:line="240" w:lineRule="auto"/>
        <w:rPr>
          <w:rFonts w:ascii="Arial" w:hAnsi="Arial" w:cs="Arial"/>
          <w:b/>
          <w:kern w:val="24"/>
          <w:sz w:val="20"/>
          <w:szCs w:val="20"/>
          <w:lang w:val="en-ZA"/>
        </w:rPr>
      </w:pPr>
      <w:r w:rsidRPr="0087455D">
        <w:rPr>
          <w:rFonts w:ascii="Arial" w:hAnsi="Arial" w:cs="Arial"/>
          <w:b/>
          <w:kern w:val="24"/>
          <w:sz w:val="20"/>
          <w:szCs w:val="20"/>
          <w:lang w:val="en-ZA"/>
        </w:rPr>
        <w:t>5.</w:t>
      </w:r>
      <w:r w:rsidRPr="0087455D">
        <w:rPr>
          <w:rFonts w:ascii="Arial" w:hAnsi="Arial" w:cs="Arial"/>
          <w:b/>
          <w:kern w:val="24"/>
          <w:sz w:val="20"/>
          <w:szCs w:val="20"/>
          <w:lang w:val="en-ZA"/>
        </w:rPr>
        <w:tab/>
        <w:t>Audit Outcome</w:t>
      </w:r>
    </w:p>
    <w:p w:rsidR="008B1466" w:rsidRPr="0087455D" w:rsidRDefault="00E77D9A" w:rsidP="0087455D">
      <w:pPr>
        <w:spacing w:after="0" w:line="240" w:lineRule="auto"/>
        <w:ind w:left="360" w:hanging="360"/>
        <w:rPr>
          <w:rFonts w:ascii="Arial" w:hAnsi="Arial" w:cs="Arial"/>
          <w:b/>
          <w:kern w:val="24"/>
          <w:sz w:val="20"/>
          <w:szCs w:val="20"/>
          <w:lang w:val="en-ZA"/>
        </w:rPr>
      </w:pPr>
      <w:r w:rsidRPr="0087455D">
        <w:rPr>
          <w:rFonts w:ascii="Arial" w:hAnsi="Arial" w:cs="Arial"/>
          <w:kern w:val="24"/>
          <w:sz w:val="20"/>
          <w:szCs w:val="20"/>
          <w:lang w:val="en-ZA"/>
        </w:rPr>
        <w:t>5.1</w:t>
      </w:r>
      <w:r w:rsidRPr="0087455D">
        <w:rPr>
          <w:rFonts w:ascii="Arial" w:hAnsi="Arial" w:cs="Arial"/>
          <w:kern w:val="24"/>
          <w:sz w:val="20"/>
          <w:szCs w:val="20"/>
          <w:lang w:val="en-ZA"/>
        </w:rPr>
        <w:tab/>
      </w:r>
      <w:r w:rsidR="00471D64" w:rsidRPr="0087455D">
        <w:rPr>
          <w:rFonts w:ascii="Arial" w:hAnsi="Arial" w:cs="Arial"/>
          <w:kern w:val="24"/>
          <w:sz w:val="20"/>
          <w:szCs w:val="20"/>
          <w:lang w:val="en-ZA"/>
        </w:rPr>
        <w:t xml:space="preserve">The AGSA confirmed </w:t>
      </w:r>
      <w:r w:rsidR="00D1146E" w:rsidRPr="0087455D">
        <w:rPr>
          <w:rFonts w:ascii="Arial" w:hAnsi="Arial" w:cs="Arial"/>
          <w:kern w:val="24"/>
          <w:sz w:val="20"/>
          <w:szCs w:val="20"/>
          <w:lang w:val="en-ZA"/>
        </w:rPr>
        <w:t>the audited financial statements of Parliament as set out in the A</w:t>
      </w:r>
      <w:r w:rsidRPr="0087455D">
        <w:rPr>
          <w:rFonts w:ascii="Arial" w:hAnsi="Arial" w:cs="Arial"/>
          <w:kern w:val="24"/>
          <w:sz w:val="20"/>
          <w:szCs w:val="20"/>
          <w:lang w:val="en-ZA"/>
        </w:rPr>
        <w:t xml:space="preserve">nnual </w:t>
      </w:r>
      <w:r w:rsidR="00D1146E" w:rsidRPr="0087455D">
        <w:rPr>
          <w:rFonts w:ascii="Arial" w:hAnsi="Arial" w:cs="Arial"/>
          <w:kern w:val="24"/>
          <w:sz w:val="20"/>
          <w:szCs w:val="20"/>
          <w:lang w:val="en-ZA"/>
        </w:rPr>
        <w:t>Report.</w:t>
      </w:r>
      <w:r w:rsidR="00D1146E" w:rsidRPr="0087455D">
        <w:rPr>
          <w:rFonts w:ascii="Arial" w:hAnsi="Arial" w:cs="Arial"/>
          <w:sz w:val="20"/>
          <w:szCs w:val="20"/>
        </w:rPr>
        <w:t xml:space="preserve"> They confirmed that the audited financial statements of Parliament present fairly, in all material aspects. </w:t>
      </w:r>
      <w:r w:rsidR="00D1146E" w:rsidRPr="0087455D">
        <w:rPr>
          <w:rFonts w:ascii="Arial" w:hAnsi="Arial" w:cs="Arial"/>
          <w:kern w:val="24"/>
          <w:sz w:val="20"/>
          <w:szCs w:val="20"/>
          <w:lang w:val="en-ZA"/>
        </w:rPr>
        <w:t xml:space="preserve">The AGSA further found that </w:t>
      </w:r>
      <w:r w:rsidR="00D1146E" w:rsidRPr="0087455D">
        <w:rPr>
          <w:rFonts w:ascii="Arial" w:hAnsi="Arial" w:cs="Arial"/>
          <w:sz w:val="20"/>
          <w:szCs w:val="20"/>
        </w:rPr>
        <w:t>Parliament complied with FMPPLA.</w:t>
      </w:r>
      <w:r w:rsidR="008B1466" w:rsidRPr="0087455D">
        <w:rPr>
          <w:rFonts w:ascii="Arial" w:hAnsi="Arial" w:cs="Arial"/>
          <w:sz w:val="20"/>
          <w:szCs w:val="20"/>
        </w:rPr>
        <w:t xml:space="preserve"> Audit evidence obtained by the auditors was sufficient and appropriate to provide a basis for the audit opinion.</w:t>
      </w:r>
    </w:p>
    <w:p w:rsidR="00D1146E" w:rsidRPr="0087455D" w:rsidRDefault="00D1146E" w:rsidP="0087455D">
      <w:pPr>
        <w:pStyle w:val="ListParagraph"/>
        <w:numPr>
          <w:ilvl w:val="1"/>
          <w:numId w:val="15"/>
        </w:numPr>
        <w:spacing w:after="0" w:line="240" w:lineRule="auto"/>
        <w:rPr>
          <w:rFonts w:ascii="Arial" w:hAnsi="Arial" w:cs="Arial"/>
          <w:sz w:val="20"/>
          <w:szCs w:val="20"/>
        </w:rPr>
      </w:pPr>
      <w:r w:rsidRPr="0087455D">
        <w:rPr>
          <w:rFonts w:ascii="Arial" w:hAnsi="Arial" w:cs="Arial"/>
          <w:sz w:val="20"/>
          <w:szCs w:val="20"/>
        </w:rPr>
        <w:t xml:space="preserve">Parliament obtained </w:t>
      </w:r>
      <w:r w:rsidR="008B1466" w:rsidRPr="0087455D">
        <w:rPr>
          <w:rFonts w:ascii="Arial" w:hAnsi="Arial" w:cs="Arial"/>
          <w:sz w:val="20"/>
          <w:szCs w:val="20"/>
        </w:rPr>
        <w:t xml:space="preserve">an </w:t>
      </w:r>
      <w:r w:rsidRPr="0087455D">
        <w:rPr>
          <w:rFonts w:ascii="Arial" w:hAnsi="Arial" w:cs="Arial"/>
          <w:sz w:val="20"/>
          <w:szCs w:val="20"/>
        </w:rPr>
        <w:t>unqualified audit opinion with emphasis of matters on irregular expenditure, of R2,1 million due to over</w:t>
      </w:r>
      <w:r w:rsidR="008B1466" w:rsidRPr="0087455D">
        <w:rPr>
          <w:rFonts w:ascii="Arial" w:hAnsi="Arial" w:cs="Arial"/>
          <w:sz w:val="20"/>
          <w:szCs w:val="20"/>
        </w:rPr>
        <w:t>-</w:t>
      </w:r>
      <w:r w:rsidRPr="0087455D">
        <w:rPr>
          <w:rFonts w:ascii="Arial" w:hAnsi="Arial" w:cs="Arial"/>
          <w:sz w:val="20"/>
          <w:szCs w:val="20"/>
        </w:rPr>
        <w:t>payments when transferring funds to political parties.</w:t>
      </w:r>
      <w:r w:rsidR="008B1466" w:rsidRPr="0087455D">
        <w:rPr>
          <w:rFonts w:ascii="Arial" w:hAnsi="Arial" w:cs="Arial"/>
          <w:sz w:val="20"/>
          <w:szCs w:val="20"/>
        </w:rPr>
        <w:t xml:space="preserve"> The </w:t>
      </w:r>
      <w:r w:rsidR="008E5F2D" w:rsidRPr="0087455D">
        <w:rPr>
          <w:rFonts w:ascii="Arial" w:hAnsi="Arial" w:cs="Arial"/>
          <w:sz w:val="20"/>
          <w:szCs w:val="20"/>
        </w:rPr>
        <w:t>Auditor</w:t>
      </w:r>
      <w:r w:rsidR="008B1466" w:rsidRPr="0087455D">
        <w:rPr>
          <w:rFonts w:ascii="Arial" w:hAnsi="Arial" w:cs="Arial"/>
          <w:sz w:val="20"/>
          <w:szCs w:val="20"/>
        </w:rPr>
        <w:t xml:space="preserve">-General also </w:t>
      </w:r>
      <w:r w:rsidRPr="0087455D">
        <w:rPr>
          <w:rFonts w:ascii="Arial" w:hAnsi="Arial" w:cs="Arial"/>
          <w:sz w:val="20"/>
          <w:szCs w:val="20"/>
        </w:rPr>
        <w:lastRenderedPageBreak/>
        <w:t>expressed emphasis of matters on material impairments of Property, Plant and Equipment of R12,3 million</w:t>
      </w:r>
      <w:r w:rsidR="008B1466" w:rsidRPr="0087455D">
        <w:rPr>
          <w:rFonts w:ascii="Arial" w:hAnsi="Arial" w:cs="Arial"/>
          <w:sz w:val="20"/>
          <w:szCs w:val="20"/>
        </w:rPr>
        <w:t>, and heritage assets of R5,2 million due to damage caused by the 2</w:t>
      </w:r>
      <w:r w:rsidRPr="0087455D">
        <w:rPr>
          <w:rFonts w:ascii="Arial" w:hAnsi="Arial" w:cs="Arial"/>
          <w:sz w:val="20"/>
          <w:szCs w:val="20"/>
        </w:rPr>
        <w:t xml:space="preserve"> January 2022</w:t>
      </w:r>
      <w:r w:rsidR="008B1466" w:rsidRPr="0087455D">
        <w:rPr>
          <w:rFonts w:ascii="Arial" w:hAnsi="Arial" w:cs="Arial"/>
          <w:sz w:val="20"/>
          <w:szCs w:val="20"/>
        </w:rPr>
        <w:t xml:space="preserve"> fire</w:t>
      </w:r>
      <w:r w:rsidRPr="0087455D">
        <w:rPr>
          <w:rFonts w:ascii="Arial" w:hAnsi="Arial" w:cs="Arial"/>
          <w:sz w:val="20"/>
          <w:szCs w:val="20"/>
        </w:rPr>
        <w:t>.</w:t>
      </w:r>
    </w:p>
    <w:p w:rsidR="008B1466" w:rsidRPr="0087455D" w:rsidRDefault="008B1466" w:rsidP="0087455D">
      <w:pPr>
        <w:pStyle w:val="ListParagraph"/>
        <w:numPr>
          <w:ilvl w:val="1"/>
          <w:numId w:val="15"/>
        </w:numPr>
        <w:spacing w:after="0" w:line="240" w:lineRule="auto"/>
        <w:rPr>
          <w:rFonts w:ascii="Arial" w:hAnsi="Arial" w:cs="Arial"/>
          <w:sz w:val="20"/>
          <w:szCs w:val="20"/>
        </w:rPr>
      </w:pPr>
      <w:r w:rsidRPr="0087455D">
        <w:rPr>
          <w:rFonts w:ascii="Arial" w:hAnsi="Arial" w:cs="Arial"/>
          <w:sz w:val="20"/>
          <w:szCs w:val="20"/>
        </w:rPr>
        <w:t xml:space="preserve">The AGSA did not </w:t>
      </w:r>
      <w:r w:rsidR="00D1146E" w:rsidRPr="0087455D">
        <w:rPr>
          <w:rFonts w:ascii="Arial" w:hAnsi="Arial" w:cs="Arial"/>
          <w:sz w:val="20"/>
          <w:szCs w:val="20"/>
        </w:rPr>
        <w:t xml:space="preserve">identify any significant deficiency in internal controls, </w:t>
      </w:r>
      <w:r w:rsidRPr="0087455D">
        <w:rPr>
          <w:rFonts w:ascii="Arial" w:hAnsi="Arial" w:cs="Arial"/>
          <w:sz w:val="20"/>
          <w:szCs w:val="20"/>
        </w:rPr>
        <w:t xml:space="preserve">or any material finding in respect of </w:t>
      </w:r>
      <w:r w:rsidR="00D1146E" w:rsidRPr="0087455D">
        <w:rPr>
          <w:rFonts w:ascii="Arial" w:hAnsi="Arial" w:cs="Arial"/>
          <w:sz w:val="20"/>
          <w:szCs w:val="20"/>
        </w:rPr>
        <w:t xml:space="preserve">compliance </w:t>
      </w:r>
      <w:r w:rsidRPr="0087455D">
        <w:rPr>
          <w:rFonts w:ascii="Arial" w:hAnsi="Arial" w:cs="Arial"/>
          <w:sz w:val="20"/>
          <w:szCs w:val="20"/>
        </w:rPr>
        <w:t>to relevant legislation.</w:t>
      </w:r>
    </w:p>
    <w:p w:rsidR="00AC19F1" w:rsidRPr="0087455D" w:rsidRDefault="00AC19F1" w:rsidP="0087455D">
      <w:pPr>
        <w:pStyle w:val="ListParagraph"/>
        <w:spacing w:after="0" w:line="240" w:lineRule="auto"/>
        <w:ind w:left="360"/>
        <w:rPr>
          <w:rFonts w:ascii="Arial" w:hAnsi="Arial" w:cs="Arial"/>
          <w:sz w:val="20"/>
          <w:szCs w:val="20"/>
        </w:rPr>
      </w:pPr>
    </w:p>
    <w:p w:rsidR="00D1146E" w:rsidRPr="0087455D" w:rsidRDefault="008B1466" w:rsidP="0087455D">
      <w:pPr>
        <w:pStyle w:val="ListParagraph"/>
        <w:numPr>
          <w:ilvl w:val="1"/>
          <w:numId w:val="15"/>
        </w:numPr>
        <w:spacing w:after="0" w:line="240" w:lineRule="auto"/>
        <w:rPr>
          <w:rFonts w:ascii="Arial" w:hAnsi="Arial" w:cs="Arial"/>
          <w:sz w:val="20"/>
          <w:szCs w:val="20"/>
        </w:rPr>
      </w:pPr>
      <w:r w:rsidRPr="0087455D">
        <w:rPr>
          <w:rFonts w:ascii="Arial" w:hAnsi="Arial" w:cs="Arial"/>
          <w:sz w:val="20"/>
          <w:szCs w:val="20"/>
        </w:rPr>
        <w:t xml:space="preserve">No material findings were made in relation to </w:t>
      </w:r>
      <w:r w:rsidR="00D1146E" w:rsidRPr="0087455D">
        <w:rPr>
          <w:rFonts w:ascii="Arial" w:hAnsi="Arial" w:cs="Arial"/>
          <w:sz w:val="20"/>
          <w:szCs w:val="20"/>
        </w:rPr>
        <w:t>the usefulness and reliability of inf</w:t>
      </w:r>
      <w:r w:rsidRPr="0087455D">
        <w:rPr>
          <w:rFonts w:ascii="Arial" w:hAnsi="Arial" w:cs="Arial"/>
          <w:sz w:val="20"/>
          <w:szCs w:val="20"/>
        </w:rPr>
        <w:t>ormation to determine, whether</w:t>
      </w:r>
      <w:r w:rsidR="00D1146E" w:rsidRPr="0087455D">
        <w:rPr>
          <w:rFonts w:ascii="Arial" w:hAnsi="Arial" w:cs="Arial"/>
          <w:sz w:val="20"/>
          <w:szCs w:val="20"/>
        </w:rPr>
        <w:t xml:space="preserve"> it is valid, accurate and complete.</w:t>
      </w:r>
    </w:p>
    <w:p w:rsidR="00B26C00" w:rsidRPr="0087455D" w:rsidRDefault="00B26C00" w:rsidP="0087455D">
      <w:pPr>
        <w:spacing w:after="0" w:line="240" w:lineRule="auto"/>
        <w:rPr>
          <w:rFonts w:ascii="Arial" w:hAnsi="Arial" w:cs="Arial"/>
          <w:b/>
          <w:sz w:val="20"/>
          <w:szCs w:val="20"/>
          <w:lang w:val="en-ZA"/>
        </w:rPr>
      </w:pP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Part C:</w:t>
      </w:r>
      <w:r w:rsidRPr="0087455D">
        <w:rPr>
          <w:rFonts w:ascii="Arial" w:hAnsi="Arial" w:cs="Arial"/>
          <w:b/>
          <w:sz w:val="20"/>
          <w:szCs w:val="20"/>
          <w:lang w:val="en-ZA"/>
        </w:rPr>
        <w:tab/>
      </w:r>
      <w:r w:rsidRPr="0087455D">
        <w:rPr>
          <w:rFonts w:ascii="Arial" w:hAnsi="Arial" w:cs="Arial"/>
          <w:b/>
          <w:sz w:val="20"/>
          <w:szCs w:val="20"/>
          <w:lang w:val="en-ZA"/>
        </w:rPr>
        <w:tab/>
        <w:t>Report of the Audit Committee</w:t>
      </w:r>
    </w:p>
    <w:p w:rsidR="008B1466" w:rsidRPr="0087455D" w:rsidRDefault="008B1466" w:rsidP="0087455D">
      <w:pPr>
        <w:spacing w:after="0" w:line="240" w:lineRule="auto"/>
        <w:rPr>
          <w:rFonts w:ascii="Arial" w:hAnsi="Arial" w:cs="Arial"/>
          <w:sz w:val="20"/>
          <w:szCs w:val="20"/>
          <w:lang w:val="en-ZA"/>
        </w:rPr>
      </w:pPr>
      <w:r w:rsidRPr="0087455D">
        <w:rPr>
          <w:rFonts w:ascii="Arial" w:hAnsi="Arial" w:cs="Arial"/>
          <w:sz w:val="20"/>
          <w:szCs w:val="20"/>
          <w:lang w:val="en-ZA"/>
        </w:rPr>
        <w:t xml:space="preserve">The Audit Committee </w:t>
      </w:r>
      <w:r w:rsidR="00C53C90" w:rsidRPr="0087455D">
        <w:rPr>
          <w:rFonts w:ascii="Arial" w:hAnsi="Arial" w:cs="Arial"/>
          <w:sz w:val="20"/>
          <w:szCs w:val="20"/>
          <w:lang w:val="en-ZA"/>
        </w:rPr>
        <w:t xml:space="preserve">is </w:t>
      </w:r>
      <w:r w:rsidRPr="0087455D">
        <w:rPr>
          <w:rFonts w:ascii="Arial" w:hAnsi="Arial" w:cs="Arial"/>
          <w:sz w:val="20"/>
          <w:szCs w:val="20"/>
          <w:lang w:val="en-ZA"/>
        </w:rPr>
        <w:t xml:space="preserve">an independent statutory committee </w:t>
      </w:r>
      <w:r w:rsidR="00C53C90" w:rsidRPr="0087455D">
        <w:rPr>
          <w:rFonts w:ascii="Arial" w:hAnsi="Arial" w:cs="Arial"/>
          <w:sz w:val="20"/>
          <w:szCs w:val="20"/>
          <w:lang w:val="en-ZA"/>
        </w:rPr>
        <w:t xml:space="preserve">established </w:t>
      </w:r>
      <w:r w:rsidRPr="0087455D">
        <w:rPr>
          <w:rFonts w:ascii="Arial" w:hAnsi="Arial" w:cs="Arial"/>
          <w:sz w:val="20"/>
          <w:szCs w:val="20"/>
          <w:lang w:val="en-ZA"/>
        </w:rPr>
        <w:t xml:space="preserve">in terms of section 47 of the </w:t>
      </w:r>
      <w:r w:rsidR="00C53C90" w:rsidRPr="0087455D">
        <w:rPr>
          <w:rFonts w:ascii="Arial" w:hAnsi="Arial" w:cs="Arial"/>
          <w:sz w:val="20"/>
          <w:szCs w:val="20"/>
          <w:lang w:val="en-ZA"/>
        </w:rPr>
        <w:t xml:space="preserve">FMPPLA. </w:t>
      </w:r>
      <w:r w:rsidRPr="0087455D">
        <w:rPr>
          <w:rFonts w:ascii="Arial" w:hAnsi="Arial" w:cs="Arial"/>
          <w:sz w:val="20"/>
          <w:szCs w:val="20"/>
          <w:lang w:val="en-ZA"/>
        </w:rPr>
        <w:t xml:space="preserve">The Committee’s terms of reference are formalised in the Audit Committee Charter </w:t>
      </w:r>
      <w:r w:rsidR="00C53C90" w:rsidRPr="0087455D">
        <w:rPr>
          <w:rFonts w:ascii="Arial" w:hAnsi="Arial" w:cs="Arial"/>
          <w:sz w:val="20"/>
          <w:szCs w:val="20"/>
          <w:lang w:val="en-ZA"/>
        </w:rPr>
        <w:t>as</w:t>
      </w:r>
      <w:r w:rsidRPr="0087455D">
        <w:rPr>
          <w:rFonts w:ascii="Arial" w:hAnsi="Arial" w:cs="Arial"/>
          <w:sz w:val="20"/>
          <w:szCs w:val="20"/>
          <w:lang w:val="en-ZA"/>
        </w:rPr>
        <w:t xml:space="preserve"> approved</w:t>
      </w:r>
      <w:r w:rsidR="00C53C90" w:rsidRPr="0087455D">
        <w:rPr>
          <w:rFonts w:ascii="Arial" w:hAnsi="Arial" w:cs="Arial"/>
          <w:sz w:val="20"/>
          <w:szCs w:val="20"/>
          <w:lang w:val="en-ZA"/>
        </w:rPr>
        <w:t xml:space="preserve"> by the Executive Authority</w:t>
      </w:r>
      <w:r w:rsidRPr="0087455D">
        <w:rPr>
          <w:rFonts w:ascii="Arial" w:hAnsi="Arial" w:cs="Arial"/>
          <w:sz w:val="20"/>
          <w:szCs w:val="20"/>
          <w:lang w:val="en-ZA"/>
        </w:rPr>
        <w:t>. Overall,</w:t>
      </w:r>
      <w:r w:rsidR="00C53C90" w:rsidRPr="0087455D">
        <w:rPr>
          <w:rFonts w:ascii="Arial" w:hAnsi="Arial" w:cs="Arial"/>
          <w:sz w:val="20"/>
          <w:szCs w:val="20"/>
          <w:lang w:val="en-ZA"/>
        </w:rPr>
        <w:t xml:space="preserve"> in the period under review,</w:t>
      </w:r>
      <w:r w:rsidRPr="0087455D">
        <w:rPr>
          <w:rFonts w:ascii="Arial" w:hAnsi="Arial" w:cs="Arial"/>
          <w:sz w:val="20"/>
          <w:szCs w:val="20"/>
          <w:lang w:val="en-ZA"/>
        </w:rPr>
        <w:t xml:space="preserve"> the Committee operated in terms of its mandate as set out in the FMPPLA and the Charter.</w:t>
      </w:r>
    </w:p>
    <w:p w:rsidR="00E77D9A" w:rsidRPr="0087455D" w:rsidRDefault="00E77D9A" w:rsidP="0087455D">
      <w:pPr>
        <w:spacing w:after="0" w:line="240" w:lineRule="auto"/>
        <w:rPr>
          <w:rFonts w:ascii="Arial" w:hAnsi="Arial" w:cs="Arial"/>
          <w:b/>
          <w:sz w:val="20"/>
          <w:szCs w:val="20"/>
          <w:lang w:val="en-ZA"/>
        </w:rPr>
      </w:pP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7.</w:t>
      </w:r>
      <w:r w:rsidRPr="0087455D">
        <w:rPr>
          <w:rFonts w:ascii="Arial" w:hAnsi="Arial" w:cs="Arial"/>
          <w:b/>
          <w:sz w:val="20"/>
          <w:szCs w:val="20"/>
          <w:lang w:val="en-ZA"/>
        </w:rPr>
        <w:tab/>
        <w:t xml:space="preserve">Audit Committee </w:t>
      </w:r>
      <w:r w:rsidR="00C53C90" w:rsidRPr="0087455D">
        <w:rPr>
          <w:rFonts w:ascii="Arial" w:hAnsi="Arial" w:cs="Arial"/>
          <w:b/>
          <w:sz w:val="20"/>
          <w:szCs w:val="20"/>
          <w:lang w:val="en-ZA"/>
        </w:rPr>
        <w:t>concerns and recommendations</w:t>
      </w:r>
    </w:p>
    <w:p w:rsidR="00C53C90" w:rsidRPr="0087455D" w:rsidRDefault="00C53C9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7.1</w:t>
      </w:r>
      <w:r w:rsidRPr="0087455D">
        <w:rPr>
          <w:rFonts w:ascii="Arial" w:hAnsi="Arial" w:cs="Arial"/>
          <w:sz w:val="20"/>
          <w:szCs w:val="20"/>
          <w:lang w:val="en-ZA"/>
        </w:rPr>
        <w:tab/>
        <w:t>In respect of risk governance, the audit committee raised concern about the lack of capacity to ensure implementation of a robust risk management programme, and recommends further improvement of the risk management practices. In particular, the management was advised to improve its risk governance processes, including the functioning of the Risk Management Committee and use of the organisational redesign process that is underway to determine the most suitable resourcing model for Parliament’s governance, risk management and compliance functions.</w:t>
      </w:r>
    </w:p>
    <w:p w:rsidR="00C53C90" w:rsidRPr="0087455D" w:rsidRDefault="00C53C9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7.2</w:t>
      </w:r>
      <w:r w:rsidRPr="0087455D">
        <w:rPr>
          <w:rFonts w:ascii="Arial" w:hAnsi="Arial" w:cs="Arial"/>
          <w:sz w:val="20"/>
          <w:szCs w:val="20"/>
          <w:lang w:val="en-ZA"/>
        </w:rPr>
        <w:tab/>
        <w:t>In respect of the Internal Audit</w:t>
      </w:r>
      <w:r w:rsidR="00DC31B5" w:rsidRPr="0087455D">
        <w:rPr>
          <w:rFonts w:ascii="Arial" w:hAnsi="Arial" w:cs="Arial"/>
          <w:sz w:val="20"/>
          <w:szCs w:val="20"/>
          <w:lang w:val="en-ZA"/>
        </w:rPr>
        <w:t xml:space="preserve"> Unit</w:t>
      </w:r>
      <w:r w:rsidRPr="0087455D">
        <w:rPr>
          <w:rFonts w:ascii="Arial" w:hAnsi="Arial" w:cs="Arial"/>
          <w:sz w:val="20"/>
          <w:szCs w:val="20"/>
          <w:lang w:val="en-ZA"/>
        </w:rPr>
        <w:t xml:space="preserve"> the Audit Committee was satisfied that it operated effectively and addressed pertinent risks in its audits. However, the Committee remained concerned about the structure and resourcing of the unit as the frozen positions impacted negatively on its ability to cover the institution’s audit universe and fully deliver on its mandate.</w:t>
      </w:r>
    </w:p>
    <w:p w:rsidR="00C53C90" w:rsidRPr="0087455D" w:rsidRDefault="00C53C9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7.3</w:t>
      </w:r>
      <w:r w:rsidRPr="0087455D">
        <w:rPr>
          <w:rFonts w:ascii="Arial" w:hAnsi="Arial" w:cs="Arial"/>
          <w:sz w:val="20"/>
          <w:szCs w:val="20"/>
          <w:lang w:val="en-ZA"/>
        </w:rPr>
        <w:tab/>
        <w:t>The audit committee reported that combined assurance was still</w:t>
      </w:r>
      <w:r w:rsidR="006C3038" w:rsidRPr="0087455D">
        <w:rPr>
          <w:rFonts w:ascii="Arial" w:hAnsi="Arial" w:cs="Arial"/>
          <w:sz w:val="20"/>
          <w:szCs w:val="20"/>
          <w:lang w:val="en-ZA"/>
        </w:rPr>
        <w:t xml:space="preserve"> at infancy in the institution. I</w:t>
      </w:r>
      <w:r w:rsidRPr="0087455D">
        <w:rPr>
          <w:rFonts w:ascii="Arial" w:hAnsi="Arial" w:cs="Arial"/>
          <w:sz w:val="20"/>
          <w:szCs w:val="20"/>
          <w:lang w:val="en-ZA"/>
        </w:rPr>
        <w:t>t was committed to work with the management to further improve in this area to eventually attain fully integrated and streamlined assurance provision across all lines of assurance. A draft Combined Assurance and Implementation Plan has been developed for consideration.</w:t>
      </w:r>
    </w:p>
    <w:p w:rsidR="0072117B" w:rsidRPr="0087455D" w:rsidRDefault="0072117B" w:rsidP="0087455D">
      <w:pPr>
        <w:spacing w:after="0" w:line="240" w:lineRule="auto"/>
        <w:rPr>
          <w:rFonts w:ascii="Arial" w:hAnsi="Arial" w:cs="Arial"/>
          <w:sz w:val="20"/>
          <w:szCs w:val="20"/>
          <w:lang w:val="en-ZA"/>
        </w:rPr>
      </w:pP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Part D:</w:t>
      </w:r>
      <w:r w:rsidRPr="0087455D">
        <w:rPr>
          <w:rFonts w:ascii="Arial" w:hAnsi="Arial" w:cs="Arial"/>
          <w:b/>
          <w:sz w:val="20"/>
          <w:szCs w:val="20"/>
          <w:lang w:val="en-ZA"/>
        </w:rPr>
        <w:tab/>
      </w:r>
      <w:r w:rsidRPr="0087455D">
        <w:rPr>
          <w:rFonts w:ascii="Arial" w:hAnsi="Arial" w:cs="Arial"/>
          <w:b/>
          <w:sz w:val="20"/>
          <w:szCs w:val="20"/>
          <w:lang w:val="en-ZA"/>
        </w:rPr>
        <w:tab/>
        <w:t xml:space="preserve">Observations </w:t>
      </w:r>
    </w:p>
    <w:p w:rsidR="006C3038" w:rsidRPr="0087455D" w:rsidRDefault="006C3038" w:rsidP="0087455D">
      <w:pPr>
        <w:spacing w:after="0" w:line="240" w:lineRule="auto"/>
        <w:rPr>
          <w:rFonts w:ascii="Arial" w:hAnsi="Arial" w:cs="Arial"/>
          <w:b/>
          <w:sz w:val="20"/>
          <w:szCs w:val="20"/>
          <w:lang w:val="en-ZA"/>
        </w:rPr>
      </w:pP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8.</w:t>
      </w:r>
      <w:r w:rsidRPr="0087455D">
        <w:rPr>
          <w:rFonts w:ascii="Arial" w:hAnsi="Arial" w:cs="Arial"/>
          <w:b/>
          <w:sz w:val="20"/>
          <w:szCs w:val="20"/>
          <w:lang w:val="en-ZA"/>
        </w:rPr>
        <w:tab/>
        <w:t>Observations</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8.1</w:t>
      </w:r>
      <w:r w:rsidRPr="0087455D">
        <w:rPr>
          <w:rFonts w:ascii="Arial" w:hAnsi="Arial" w:cs="Arial"/>
          <w:sz w:val="20"/>
          <w:szCs w:val="20"/>
          <w:lang w:val="en-ZA"/>
        </w:rPr>
        <w:tab/>
        <w:t>The Committee welcomes the unqualified outcome with no material findings, which the institution ha</w:t>
      </w:r>
      <w:r w:rsidR="00DC31B5" w:rsidRPr="0087455D">
        <w:rPr>
          <w:rFonts w:ascii="Arial" w:hAnsi="Arial" w:cs="Arial"/>
          <w:sz w:val="20"/>
          <w:szCs w:val="20"/>
          <w:lang w:val="en-ZA"/>
        </w:rPr>
        <w:t>s sustained for the past eight</w:t>
      </w:r>
      <w:r w:rsidRPr="0087455D">
        <w:rPr>
          <w:rFonts w:ascii="Arial" w:hAnsi="Arial" w:cs="Arial"/>
          <w:sz w:val="20"/>
          <w:szCs w:val="20"/>
          <w:lang w:val="en-ZA"/>
        </w:rPr>
        <w:t xml:space="preserve"> financial years. </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8.2</w:t>
      </w:r>
      <w:r w:rsidRPr="0087455D">
        <w:rPr>
          <w:rFonts w:ascii="Arial" w:hAnsi="Arial" w:cs="Arial"/>
          <w:sz w:val="20"/>
          <w:szCs w:val="20"/>
          <w:lang w:val="en-ZA"/>
        </w:rPr>
        <w:tab/>
        <w:t xml:space="preserve">The </w:t>
      </w:r>
      <w:r w:rsidR="00DC31B5" w:rsidRPr="0087455D">
        <w:rPr>
          <w:rFonts w:ascii="Arial" w:hAnsi="Arial" w:cs="Arial"/>
          <w:sz w:val="20"/>
          <w:szCs w:val="20"/>
          <w:lang w:val="en-ZA"/>
        </w:rPr>
        <w:t xml:space="preserve">Committee shares the Audit Committee’s concerns about the functioning of the Internal Audit Unit which is a critical component of the institutions compliance infrastructure. </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8.3</w:t>
      </w:r>
      <w:r w:rsidRPr="0087455D">
        <w:rPr>
          <w:rFonts w:ascii="Arial" w:hAnsi="Arial" w:cs="Arial"/>
          <w:sz w:val="20"/>
          <w:szCs w:val="20"/>
          <w:lang w:val="en-ZA"/>
        </w:rPr>
        <w:tab/>
      </w:r>
      <w:r w:rsidR="00DC31B5" w:rsidRPr="0087455D">
        <w:rPr>
          <w:rFonts w:ascii="Arial" w:hAnsi="Arial" w:cs="Arial"/>
          <w:sz w:val="20"/>
          <w:szCs w:val="20"/>
          <w:lang w:val="en-ZA"/>
        </w:rPr>
        <w:t>As noted on previous years, the Committee is concerned about the liability posed by Parliament’s obligations in respect of the contributions to Parmed Medical Aid Scheme for former members of Parliament and provincial legislatures.</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8.4</w:t>
      </w:r>
      <w:r w:rsidRPr="0087455D">
        <w:rPr>
          <w:rFonts w:ascii="Arial" w:hAnsi="Arial" w:cs="Arial"/>
          <w:sz w:val="20"/>
          <w:szCs w:val="20"/>
          <w:lang w:val="en-ZA"/>
        </w:rPr>
        <w:tab/>
      </w:r>
      <w:r w:rsidR="00DC31B5" w:rsidRPr="0087455D">
        <w:rPr>
          <w:rFonts w:ascii="Arial" w:hAnsi="Arial" w:cs="Arial"/>
          <w:sz w:val="20"/>
          <w:szCs w:val="20"/>
          <w:lang w:val="en-ZA"/>
        </w:rPr>
        <w:t xml:space="preserve">The Committee notes that progress was being made as far as negotiations for a sustainable budget for Parliament which recognises its status as an independent arm of state. </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8.5</w:t>
      </w:r>
      <w:r w:rsidRPr="0087455D">
        <w:rPr>
          <w:rFonts w:ascii="Arial" w:hAnsi="Arial" w:cs="Arial"/>
          <w:sz w:val="20"/>
          <w:szCs w:val="20"/>
          <w:lang w:val="en-ZA"/>
        </w:rPr>
        <w:tab/>
      </w:r>
      <w:r w:rsidR="00DC31B5" w:rsidRPr="0087455D">
        <w:rPr>
          <w:rFonts w:ascii="Arial" w:hAnsi="Arial" w:cs="Arial"/>
          <w:sz w:val="20"/>
          <w:szCs w:val="20"/>
          <w:lang w:val="en-ZA"/>
        </w:rPr>
        <w:t>The Committee remains concerned about the lack of progress as far as the appointment of a chief financial officer, and a head of the Parliamentary Protection Service.</w:t>
      </w:r>
    </w:p>
    <w:p w:rsidR="00B26C00" w:rsidRPr="0087455D" w:rsidRDefault="00B26C00" w:rsidP="0087455D">
      <w:pPr>
        <w:tabs>
          <w:tab w:val="left" w:pos="6916"/>
        </w:tabs>
        <w:spacing w:after="0" w:line="240" w:lineRule="auto"/>
        <w:rPr>
          <w:rFonts w:ascii="Arial" w:hAnsi="Arial" w:cs="Arial"/>
          <w:sz w:val="20"/>
          <w:szCs w:val="20"/>
          <w:lang w:val="en-ZA"/>
        </w:rPr>
      </w:pPr>
      <w:r w:rsidRPr="0087455D">
        <w:rPr>
          <w:rFonts w:ascii="Arial" w:hAnsi="Arial" w:cs="Arial"/>
          <w:sz w:val="20"/>
          <w:szCs w:val="20"/>
          <w:lang w:val="en-ZA"/>
        </w:rPr>
        <w:tab/>
      </w: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Part E:</w:t>
      </w:r>
      <w:r w:rsidRPr="0087455D">
        <w:rPr>
          <w:rFonts w:ascii="Arial" w:hAnsi="Arial" w:cs="Arial"/>
          <w:b/>
          <w:sz w:val="20"/>
          <w:szCs w:val="20"/>
          <w:lang w:val="en-ZA"/>
        </w:rPr>
        <w:tab/>
      </w:r>
      <w:r w:rsidRPr="0087455D">
        <w:rPr>
          <w:rFonts w:ascii="Arial" w:hAnsi="Arial" w:cs="Arial"/>
          <w:b/>
          <w:sz w:val="20"/>
          <w:szCs w:val="20"/>
          <w:lang w:val="en-ZA"/>
        </w:rPr>
        <w:tab/>
        <w:t>Recommendations</w:t>
      </w: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9.</w:t>
      </w:r>
      <w:r w:rsidRPr="0087455D">
        <w:rPr>
          <w:rFonts w:ascii="Arial" w:hAnsi="Arial" w:cs="Arial"/>
          <w:b/>
          <w:sz w:val="20"/>
          <w:szCs w:val="20"/>
          <w:lang w:val="en-ZA"/>
        </w:rPr>
        <w:tab/>
        <w:t>Recommendations</w:t>
      </w:r>
    </w:p>
    <w:p w:rsidR="00B26C00" w:rsidRPr="0087455D" w:rsidRDefault="00B26C00" w:rsidP="0087455D">
      <w:pPr>
        <w:spacing w:after="0" w:line="240" w:lineRule="auto"/>
        <w:rPr>
          <w:rFonts w:ascii="Arial" w:hAnsi="Arial" w:cs="Arial"/>
          <w:sz w:val="20"/>
          <w:szCs w:val="20"/>
          <w:lang w:val="en-ZA"/>
        </w:rPr>
      </w:pPr>
      <w:r w:rsidRPr="0087455D">
        <w:rPr>
          <w:rFonts w:ascii="Arial" w:hAnsi="Arial" w:cs="Arial"/>
          <w:sz w:val="20"/>
          <w:szCs w:val="20"/>
          <w:lang w:val="en-ZA"/>
        </w:rPr>
        <w:t xml:space="preserve">The Executive Authority should, within 30 days of the adoption of this report by both houses of Parliament, provide the Committee with a report on the implementation of these recommendations, and /or the reasons why </w:t>
      </w:r>
      <w:r w:rsidR="001350AD" w:rsidRPr="0087455D">
        <w:rPr>
          <w:rFonts w:ascii="Arial" w:hAnsi="Arial" w:cs="Arial"/>
          <w:sz w:val="20"/>
          <w:szCs w:val="20"/>
          <w:lang w:val="en-ZA"/>
        </w:rPr>
        <w:t>implementation is not possible.</w:t>
      </w:r>
    </w:p>
    <w:p w:rsidR="00B26C00" w:rsidRPr="0087455D" w:rsidRDefault="00E77D9A"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9.1</w:t>
      </w:r>
      <w:r w:rsidRPr="0087455D">
        <w:rPr>
          <w:rFonts w:ascii="Arial" w:hAnsi="Arial" w:cs="Arial"/>
          <w:sz w:val="20"/>
          <w:szCs w:val="20"/>
          <w:lang w:val="en-ZA"/>
        </w:rPr>
        <w:tab/>
        <w:t xml:space="preserve">Parliament should ensure that the concerns raised by the Audit Committee, in particular those challenges that impact combined assurance and the functioning of the internal audit unit be addressed urgently. Progress reports should be made on a quarterly basis. </w:t>
      </w:r>
    </w:p>
    <w:p w:rsidR="00B26C00" w:rsidRPr="0087455D" w:rsidRDefault="00B26C00"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9.2</w:t>
      </w:r>
      <w:r w:rsidRPr="0087455D">
        <w:rPr>
          <w:rFonts w:ascii="Arial" w:hAnsi="Arial" w:cs="Arial"/>
          <w:sz w:val="20"/>
          <w:szCs w:val="20"/>
          <w:lang w:val="en-ZA"/>
        </w:rPr>
        <w:tab/>
      </w:r>
      <w:r w:rsidR="00E77D9A" w:rsidRPr="0087455D">
        <w:rPr>
          <w:rFonts w:ascii="Arial" w:hAnsi="Arial" w:cs="Arial"/>
          <w:sz w:val="20"/>
          <w:szCs w:val="20"/>
          <w:lang w:val="en-ZA"/>
        </w:rPr>
        <w:t>The filling of the posts of Chief Financial Officer and Head: Parliamentary Protection Services should be filled as a matter of urgency. Continued lack of leadership and stability in these two areas will continue to impact the institution negatively.</w:t>
      </w:r>
    </w:p>
    <w:p w:rsidR="00B26C00" w:rsidRPr="0087455D" w:rsidRDefault="00E77D9A"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9.3</w:t>
      </w:r>
      <w:r w:rsidR="00B26C00" w:rsidRPr="0087455D">
        <w:rPr>
          <w:rFonts w:ascii="Arial" w:hAnsi="Arial" w:cs="Arial"/>
          <w:sz w:val="20"/>
          <w:szCs w:val="20"/>
          <w:lang w:val="en-ZA"/>
        </w:rPr>
        <w:tab/>
      </w:r>
      <w:r w:rsidRPr="0087455D">
        <w:rPr>
          <w:rFonts w:ascii="Arial" w:hAnsi="Arial" w:cs="Arial"/>
          <w:sz w:val="20"/>
          <w:szCs w:val="20"/>
          <w:lang w:val="en-ZA"/>
        </w:rPr>
        <w:t>As in 2021 t</w:t>
      </w:r>
      <w:r w:rsidR="00B26C00" w:rsidRPr="0087455D">
        <w:rPr>
          <w:rFonts w:ascii="Arial" w:hAnsi="Arial" w:cs="Arial"/>
          <w:sz w:val="20"/>
          <w:szCs w:val="20"/>
          <w:lang w:val="en-ZA"/>
        </w:rPr>
        <w:t>he Committee recommends that discussions around how to resolve the Parmed matter be expedited so as to ensure Parliament does not bear the liability. The Committee should be provided with a progress report detailing the proposals that have been made for an alternative vehicle for this liability.</w:t>
      </w:r>
    </w:p>
    <w:p w:rsidR="00B26C00" w:rsidRPr="0087455D" w:rsidRDefault="00E77D9A"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9.4</w:t>
      </w:r>
      <w:r w:rsidR="00B26C00" w:rsidRPr="0087455D">
        <w:rPr>
          <w:rFonts w:ascii="Arial" w:hAnsi="Arial" w:cs="Arial"/>
          <w:sz w:val="20"/>
          <w:szCs w:val="20"/>
          <w:lang w:val="en-ZA"/>
        </w:rPr>
        <w:tab/>
        <w:t xml:space="preserve">The Committee again recommends that the Executive Authority and the Minister of Finance find a constructive solution to the budgetary challenges, which will ensure that Parliament can deliver on its constitutional mandate. </w:t>
      </w:r>
    </w:p>
    <w:p w:rsidR="00AC19F1" w:rsidRPr="0087455D" w:rsidRDefault="00E77D9A"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t>9.5</w:t>
      </w:r>
      <w:r w:rsidR="00B26C00" w:rsidRPr="0087455D">
        <w:rPr>
          <w:rFonts w:ascii="Arial" w:hAnsi="Arial" w:cs="Arial"/>
          <w:sz w:val="20"/>
          <w:szCs w:val="20"/>
          <w:lang w:val="en-ZA"/>
        </w:rPr>
        <w:tab/>
        <w:t xml:space="preserve">The Committee acknowledges that Parliament’s negotiations with National Treasury would benefit from a well-informed budget process, that includes processes to guide negotiations </w:t>
      </w:r>
    </w:p>
    <w:p w:rsidR="00AC19F1" w:rsidRPr="0087455D" w:rsidRDefault="00AC19F1" w:rsidP="0087455D">
      <w:pPr>
        <w:spacing w:after="0" w:line="240" w:lineRule="auto"/>
        <w:ind w:left="720" w:hanging="720"/>
        <w:rPr>
          <w:rFonts w:ascii="Arial" w:hAnsi="Arial" w:cs="Arial"/>
          <w:sz w:val="20"/>
          <w:szCs w:val="20"/>
          <w:lang w:val="en-ZA"/>
        </w:rPr>
      </w:pPr>
    </w:p>
    <w:p w:rsidR="00B26C00" w:rsidRPr="0087455D" w:rsidRDefault="00AC19F1" w:rsidP="0087455D">
      <w:pPr>
        <w:spacing w:after="0" w:line="240" w:lineRule="auto"/>
        <w:ind w:left="720" w:hanging="720"/>
        <w:rPr>
          <w:rFonts w:ascii="Arial" w:hAnsi="Arial" w:cs="Arial"/>
          <w:sz w:val="20"/>
          <w:szCs w:val="20"/>
          <w:lang w:val="en-ZA"/>
        </w:rPr>
      </w:pPr>
      <w:r w:rsidRPr="0087455D">
        <w:rPr>
          <w:rFonts w:ascii="Arial" w:hAnsi="Arial" w:cs="Arial"/>
          <w:sz w:val="20"/>
          <w:szCs w:val="20"/>
          <w:lang w:val="en-ZA"/>
        </w:rPr>
        <w:lastRenderedPageBreak/>
        <w:tab/>
      </w:r>
      <w:r w:rsidR="00B26C00" w:rsidRPr="0087455D">
        <w:rPr>
          <w:rFonts w:ascii="Arial" w:hAnsi="Arial" w:cs="Arial"/>
          <w:sz w:val="20"/>
          <w:szCs w:val="20"/>
          <w:lang w:val="en-ZA"/>
        </w:rPr>
        <w:t xml:space="preserve">with National Treasury, and </w:t>
      </w:r>
      <w:r w:rsidR="00E77D9A" w:rsidRPr="0087455D">
        <w:rPr>
          <w:rFonts w:ascii="Arial" w:hAnsi="Arial" w:cs="Arial"/>
          <w:sz w:val="20"/>
          <w:szCs w:val="20"/>
          <w:lang w:val="en-ZA"/>
        </w:rPr>
        <w:t xml:space="preserve">again </w:t>
      </w:r>
      <w:r w:rsidR="00B26C00" w:rsidRPr="0087455D">
        <w:rPr>
          <w:rFonts w:ascii="Arial" w:hAnsi="Arial" w:cs="Arial"/>
          <w:sz w:val="20"/>
          <w:szCs w:val="20"/>
          <w:lang w:val="en-ZA"/>
        </w:rPr>
        <w:t>recommends that such be developed and tabled for the Committee’s information within 90 days of the adoption of this report.</w:t>
      </w:r>
    </w:p>
    <w:p w:rsidR="00AC19F1" w:rsidRPr="0087455D" w:rsidRDefault="00AC19F1" w:rsidP="0087455D">
      <w:pPr>
        <w:spacing w:after="0" w:line="240" w:lineRule="auto"/>
        <w:rPr>
          <w:rFonts w:ascii="Arial" w:hAnsi="Arial" w:cs="Arial"/>
          <w:b/>
          <w:sz w:val="20"/>
          <w:szCs w:val="20"/>
          <w:lang w:val="en-ZA"/>
        </w:rPr>
      </w:pPr>
    </w:p>
    <w:p w:rsidR="00B26C00" w:rsidRPr="0087455D" w:rsidRDefault="00B26C00" w:rsidP="0087455D">
      <w:pPr>
        <w:spacing w:after="0" w:line="240" w:lineRule="auto"/>
        <w:rPr>
          <w:rFonts w:ascii="Arial" w:hAnsi="Arial" w:cs="Arial"/>
          <w:b/>
          <w:sz w:val="20"/>
          <w:szCs w:val="20"/>
          <w:lang w:val="en-ZA"/>
        </w:rPr>
      </w:pPr>
      <w:r w:rsidRPr="0087455D">
        <w:rPr>
          <w:rFonts w:ascii="Arial" w:hAnsi="Arial" w:cs="Arial"/>
          <w:b/>
          <w:sz w:val="20"/>
          <w:szCs w:val="20"/>
          <w:lang w:val="en-ZA"/>
        </w:rPr>
        <w:t xml:space="preserve">Report to be considered. </w:t>
      </w:r>
    </w:p>
    <w:p w:rsidR="00AE7C6A" w:rsidRPr="0087455D" w:rsidRDefault="00DC54F3" w:rsidP="0087455D">
      <w:pPr>
        <w:spacing w:after="0" w:line="240" w:lineRule="auto"/>
        <w:rPr>
          <w:rFonts w:ascii="Arial" w:hAnsi="Arial" w:cs="Arial"/>
          <w:b/>
          <w:sz w:val="20"/>
          <w:szCs w:val="20"/>
          <w:lang w:val="en-ZA"/>
        </w:rPr>
      </w:pPr>
      <w:r w:rsidRPr="0087455D">
        <w:rPr>
          <w:rFonts w:ascii="Arial" w:hAnsi="Arial" w:cs="Arial"/>
          <w:b/>
          <w:sz w:val="20"/>
          <w:szCs w:val="20"/>
          <w:lang w:val="en-ZA"/>
        </w:rPr>
        <w:t xml:space="preserve"> </w:t>
      </w:r>
    </w:p>
    <w:sectPr w:rsidR="00AE7C6A" w:rsidRPr="0087455D" w:rsidSect="00E05CE4">
      <w:footerReference w:type="default" r:id="rId8"/>
      <w:headerReference w:type="first" r:id="rId9"/>
      <w:pgSz w:w="11906" w:h="16838" w:code="9"/>
      <w:pgMar w:top="360"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67" w:rsidRDefault="00362967">
      <w:pPr>
        <w:spacing w:after="0" w:line="240" w:lineRule="auto"/>
      </w:pPr>
      <w:r>
        <w:separator/>
      </w:r>
    </w:p>
  </w:endnote>
  <w:endnote w:type="continuationSeparator" w:id="0">
    <w:p w:rsidR="00362967" w:rsidRDefault="0036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64" w:rsidRDefault="00861C4A">
    <w:pPr>
      <w:pStyle w:val="Footer"/>
      <w:jc w:val="right"/>
    </w:pPr>
    <w:r>
      <w:fldChar w:fldCharType="begin"/>
    </w:r>
    <w:r w:rsidR="00806F64">
      <w:instrText xml:space="preserve"> PAGE   \* MERGEFORMAT </w:instrText>
    </w:r>
    <w:r>
      <w:fldChar w:fldCharType="separate"/>
    </w:r>
    <w:r w:rsidR="0087455D">
      <w:rPr>
        <w:noProof/>
      </w:rPr>
      <w:t>10</w:t>
    </w:r>
    <w:r>
      <w:rPr>
        <w:noProof/>
      </w:rPr>
      <w:fldChar w:fldCharType="end"/>
    </w:r>
  </w:p>
  <w:p w:rsidR="00806F64" w:rsidRDefault="00806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67" w:rsidRDefault="00362967">
      <w:pPr>
        <w:spacing w:after="0" w:line="240" w:lineRule="auto"/>
      </w:pPr>
      <w:r>
        <w:separator/>
      </w:r>
    </w:p>
  </w:footnote>
  <w:footnote w:type="continuationSeparator" w:id="0">
    <w:p w:rsidR="00362967" w:rsidRDefault="0036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64" w:rsidRDefault="00806F64">
    <w:pPr>
      <w:pStyle w:val="Header"/>
    </w:pPr>
    <w:r>
      <w:rPr>
        <w:noProof/>
      </w:rPr>
      <w:drawing>
        <wp:anchor distT="0" distB="0" distL="114300" distR="114300" simplePos="0" relativeHeight="251660288" behindDoc="1" locked="0" layoutInCell="1" allowOverlap="1">
          <wp:simplePos x="0" y="0"/>
          <wp:positionH relativeFrom="page">
            <wp:posOffset>1764030</wp:posOffset>
          </wp:positionH>
          <wp:positionV relativeFrom="page">
            <wp:posOffset>3384550</wp:posOffset>
          </wp:positionV>
          <wp:extent cx="3998595" cy="3915410"/>
          <wp:effectExtent l="0" t="0" r="1905" b="8890"/>
          <wp:wrapNone/>
          <wp:docPr id="20" name="Picture 20"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D82"/>
    <w:multiLevelType w:val="multilevel"/>
    <w:tmpl w:val="FE08385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79536D"/>
    <w:multiLevelType w:val="hybridMultilevel"/>
    <w:tmpl w:val="76F64A5C"/>
    <w:lvl w:ilvl="0" w:tplc="3C4A3B38">
      <w:start w:val="1"/>
      <w:numFmt w:val="bullet"/>
      <w:lvlText w:val=""/>
      <w:lvlJc w:val="left"/>
      <w:pPr>
        <w:tabs>
          <w:tab w:val="num" w:pos="720"/>
        </w:tabs>
        <w:ind w:left="720" w:hanging="360"/>
      </w:pPr>
      <w:rPr>
        <w:rFonts w:ascii="Wingdings" w:hAnsi="Wingdings" w:hint="default"/>
      </w:rPr>
    </w:lvl>
    <w:lvl w:ilvl="1" w:tplc="5E262C48" w:tentative="1">
      <w:start w:val="1"/>
      <w:numFmt w:val="bullet"/>
      <w:lvlText w:val=""/>
      <w:lvlJc w:val="left"/>
      <w:pPr>
        <w:tabs>
          <w:tab w:val="num" w:pos="1440"/>
        </w:tabs>
        <w:ind w:left="1440" w:hanging="360"/>
      </w:pPr>
      <w:rPr>
        <w:rFonts w:ascii="Wingdings" w:hAnsi="Wingdings" w:hint="default"/>
      </w:rPr>
    </w:lvl>
    <w:lvl w:ilvl="2" w:tplc="144CE962" w:tentative="1">
      <w:start w:val="1"/>
      <w:numFmt w:val="bullet"/>
      <w:lvlText w:val=""/>
      <w:lvlJc w:val="left"/>
      <w:pPr>
        <w:tabs>
          <w:tab w:val="num" w:pos="2160"/>
        </w:tabs>
        <w:ind w:left="2160" w:hanging="360"/>
      </w:pPr>
      <w:rPr>
        <w:rFonts w:ascii="Wingdings" w:hAnsi="Wingdings" w:hint="default"/>
      </w:rPr>
    </w:lvl>
    <w:lvl w:ilvl="3" w:tplc="17AEBBAA" w:tentative="1">
      <w:start w:val="1"/>
      <w:numFmt w:val="bullet"/>
      <w:lvlText w:val=""/>
      <w:lvlJc w:val="left"/>
      <w:pPr>
        <w:tabs>
          <w:tab w:val="num" w:pos="2880"/>
        </w:tabs>
        <w:ind w:left="2880" w:hanging="360"/>
      </w:pPr>
      <w:rPr>
        <w:rFonts w:ascii="Wingdings" w:hAnsi="Wingdings" w:hint="default"/>
      </w:rPr>
    </w:lvl>
    <w:lvl w:ilvl="4" w:tplc="1BB8D5A0" w:tentative="1">
      <w:start w:val="1"/>
      <w:numFmt w:val="bullet"/>
      <w:lvlText w:val=""/>
      <w:lvlJc w:val="left"/>
      <w:pPr>
        <w:tabs>
          <w:tab w:val="num" w:pos="3600"/>
        </w:tabs>
        <w:ind w:left="3600" w:hanging="360"/>
      </w:pPr>
      <w:rPr>
        <w:rFonts w:ascii="Wingdings" w:hAnsi="Wingdings" w:hint="default"/>
      </w:rPr>
    </w:lvl>
    <w:lvl w:ilvl="5" w:tplc="DD6AA7DE" w:tentative="1">
      <w:start w:val="1"/>
      <w:numFmt w:val="bullet"/>
      <w:lvlText w:val=""/>
      <w:lvlJc w:val="left"/>
      <w:pPr>
        <w:tabs>
          <w:tab w:val="num" w:pos="4320"/>
        </w:tabs>
        <w:ind w:left="4320" w:hanging="360"/>
      </w:pPr>
      <w:rPr>
        <w:rFonts w:ascii="Wingdings" w:hAnsi="Wingdings" w:hint="default"/>
      </w:rPr>
    </w:lvl>
    <w:lvl w:ilvl="6" w:tplc="98E61748" w:tentative="1">
      <w:start w:val="1"/>
      <w:numFmt w:val="bullet"/>
      <w:lvlText w:val=""/>
      <w:lvlJc w:val="left"/>
      <w:pPr>
        <w:tabs>
          <w:tab w:val="num" w:pos="5040"/>
        </w:tabs>
        <w:ind w:left="5040" w:hanging="360"/>
      </w:pPr>
      <w:rPr>
        <w:rFonts w:ascii="Wingdings" w:hAnsi="Wingdings" w:hint="default"/>
      </w:rPr>
    </w:lvl>
    <w:lvl w:ilvl="7" w:tplc="ABECF7F2" w:tentative="1">
      <w:start w:val="1"/>
      <w:numFmt w:val="bullet"/>
      <w:lvlText w:val=""/>
      <w:lvlJc w:val="left"/>
      <w:pPr>
        <w:tabs>
          <w:tab w:val="num" w:pos="5760"/>
        </w:tabs>
        <w:ind w:left="5760" w:hanging="360"/>
      </w:pPr>
      <w:rPr>
        <w:rFonts w:ascii="Wingdings" w:hAnsi="Wingdings" w:hint="default"/>
      </w:rPr>
    </w:lvl>
    <w:lvl w:ilvl="8" w:tplc="C7442832" w:tentative="1">
      <w:start w:val="1"/>
      <w:numFmt w:val="bullet"/>
      <w:lvlText w:val=""/>
      <w:lvlJc w:val="left"/>
      <w:pPr>
        <w:tabs>
          <w:tab w:val="num" w:pos="6480"/>
        </w:tabs>
        <w:ind w:left="6480" w:hanging="360"/>
      </w:pPr>
      <w:rPr>
        <w:rFonts w:ascii="Wingdings" w:hAnsi="Wingdings" w:hint="default"/>
      </w:rPr>
    </w:lvl>
  </w:abstractNum>
  <w:abstractNum w:abstractNumId="2">
    <w:nsid w:val="191F032D"/>
    <w:multiLevelType w:val="multilevel"/>
    <w:tmpl w:val="0CCEBAB8"/>
    <w:lvl w:ilvl="0">
      <w:start w:val="4"/>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160090"/>
    <w:multiLevelType w:val="multilevel"/>
    <w:tmpl w:val="AD120764"/>
    <w:lvl w:ilvl="0">
      <w:start w:val="4"/>
      <w:numFmt w:val="decimal"/>
      <w:lvlText w:val="%1"/>
      <w:lvlJc w:val="left"/>
      <w:pPr>
        <w:ind w:left="480" w:hanging="480"/>
      </w:pPr>
      <w:rPr>
        <w:rFonts w:eastAsia="Calibri" w:hint="default"/>
        <w:b w:val="0"/>
        <w:color w:val="000000"/>
      </w:rPr>
    </w:lvl>
    <w:lvl w:ilvl="1">
      <w:start w:val="5"/>
      <w:numFmt w:val="decimal"/>
      <w:lvlText w:val="%1.%2"/>
      <w:lvlJc w:val="left"/>
      <w:pPr>
        <w:ind w:left="480" w:hanging="480"/>
      </w:pPr>
      <w:rPr>
        <w:rFonts w:eastAsia="Calibri" w:hint="default"/>
        <w:b/>
        <w:color w:val="FF0000"/>
      </w:rPr>
    </w:lvl>
    <w:lvl w:ilvl="2">
      <w:start w:val="1"/>
      <w:numFmt w:val="decimal"/>
      <w:lvlText w:val="%1.%2.%3"/>
      <w:lvlJc w:val="left"/>
      <w:pPr>
        <w:ind w:left="720" w:hanging="720"/>
      </w:pPr>
      <w:rPr>
        <w:rFonts w:eastAsia="Calibri" w:hint="default"/>
        <w:b w:val="0"/>
        <w:color w:val="FF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4">
    <w:nsid w:val="237E400D"/>
    <w:multiLevelType w:val="multilevel"/>
    <w:tmpl w:val="E5966E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52596A"/>
    <w:multiLevelType w:val="hybridMultilevel"/>
    <w:tmpl w:val="2C3A24C2"/>
    <w:lvl w:ilvl="0" w:tplc="7FF2DB6A">
      <w:start w:val="3"/>
      <w:numFmt w:val="bullet"/>
      <w:lvlText w:val="-"/>
      <w:lvlJc w:val="left"/>
      <w:pPr>
        <w:ind w:left="1080" w:hanging="360"/>
      </w:pPr>
      <w:rPr>
        <w:rFonts w:ascii="Times New Roman" w:eastAsia="Calibr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8F15FC0"/>
    <w:multiLevelType w:val="multilevel"/>
    <w:tmpl w:val="01CC35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13B6B00"/>
    <w:multiLevelType w:val="multilevel"/>
    <w:tmpl w:val="5F525846"/>
    <w:lvl w:ilvl="0">
      <w:start w:val="7"/>
      <w:numFmt w:val="decimal"/>
      <w:lvlText w:val="%1"/>
      <w:lvlJc w:val="left"/>
      <w:pPr>
        <w:ind w:left="480" w:hanging="480"/>
      </w:pPr>
      <w:rPr>
        <w:rFonts w:hint="default"/>
        <w:u w:val="none"/>
      </w:rPr>
    </w:lvl>
    <w:lvl w:ilvl="1">
      <w:start w:val="4"/>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nsid w:val="3CE143A2"/>
    <w:multiLevelType w:val="multilevel"/>
    <w:tmpl w:val="E1028E5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0B04FD"/>
    <w:multiLevelType w:val="multilevel"/>
    <w:tmpl w:val="093A326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4F2436"/>
    <w:multiLevelType w:val="multilevel"/>
    <w:tmpl w:val="C6AEB97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1B93F45"/>
    <w:multiLevelType w:val="multilevel"/>
    <w:tmpl w:val="DF1E033A"/>
    <w:lvl w:ilvl="0">
      <w:start w:val="3"/>
      <w:numFmt w:val="decimal"/>
      <w:lvlText w:val="%1"/>
      <w:lvlJc w:val="left"/>
      <w:pPr>
        <w:ind w:left="360" w:hanging="360"/>
      </w:pPr>
      <w:rPr>
        <w:rFonts w:asciiTheme="minorHAnsi" w:eastAsiaTheme="minorEastAsia" w:hAnsi="Calibri" w:cs="Arial" w:hint="default"/>
        <w:b w:val="0"/>
        <w:color w:val="000000" w:themeColor="text1"/>
        <w:sz w:val="24"/>
      </w:rPr>
    </w:lvl>
    <w:lvl w:ilvl="1">
      <w:start w:val="1"/>
      <w:numFmt w:val="decimal"/>
      <w:lvlText w:val="%1.%2"/>
      <w:lvlJc w:val="left"/>
      <w:pPr>
        <w:ind w:left="360" w:hanging="360"/>
      </w:pPr>
      <w:rPr>
        <w:rFonts w:asciiTheme="minorHAnsi" w:eastAsiaTheme="minorEastAsia" w:hAnsi="Calibri" w:cs="Arial" w:hint="default"/>
        <w:b w:val="0"/>
        <w:color w:val="000000" w:themeColor="text1"/>
        <w:sz w:val="24"/>
      </w:rPr>
    </w:lvl>
    <w:lvl w:ilvl="2">
      <w:start w:val="1"/>
      <w:numFmt w:val="decimal"/>
      <w:lvlText w:val="%1.%2.%3"/>
      <w:lvlJc w:val="left"/>
      <w:pPr>
        <w:ind w:left="720" w:hanging="720"/>
      </w:pPr>
      <w:rPr>
        <w:rFonts w:asciiTheme="minorHAnsi" w:eastAsiaTheme="minorEastAsia" w:hAnsi="Calibri" w:cs="Arial" w:hint="default"/>
        <w:b w:val="0"/>
        <w:color w:val="000000" w:themeColor="text1"/>
        <w:sz w:val="24"/>
      </w:rPr>
    </w:lvl>
    <w:lvl w:ilvl="3">
      <w:start w:val="1"/>
      <w:numFmt w:val="decimal"/>
      <w:lvlText w:val="%1.%2.%3.%4"/>
      <w:lvlJc w:val="left"/>
      <w:pPr>
        <w:ind w:left="720" w:hanging="720"/>
      </w:pPr>
      <w:rPr>
        <w:rFonts w:asciiTheme="minorHAnsi" w:eastAsiaTheme="minorEastAsia" w:hAnsi="Calibri" w:cs="Arial" w:hint="default"/>
        <w:b w:val="0"/>
        <w:color w:val="000000" w:themeColor="text1"/>
        <w:sz w:val="24"/>
      </w:rPr>
    </w:lvl>
    <w:lvl w:ilvl="4">
      <w:start w:val="1"/>
      <w:numFmt w:val="decimal"/>
      <w:lvlText w:val="%1.%2.%3.%4.%5"/>
      <w:lvlJc w:val="left"/>
      <w:pPr>
        <w:ind w:left="1080" w:hanging="1080"/>
      </w:pPr>
      <w:rPr>
        <w:rFonts w:asciiTheme="minorHAnsi" w:eastAsiaTheme="minorEastAsia" w:hAnsi="Calibri" w:cs="Arial" w:hint="default"/>
        <w:b w:val="0"/>
        <w:color w:val="000000" w:themeColor="text1"/>
        <w:sz w:val="24"/>
      </w:rPr>
    </w:lvl>
    <w:lvl w:ilvl="5">
      <w:start w:val="1"/>
      <w:numFmt w:val="decimal"/>
      <w:lvlText w:val="%1.%2.%3.%4.%5.%6"/>
      <w:lvlJc w:val="left"/>
      <w:pPr>
        <w:ind w:left="1080" w:hanging="1080"/>
      </w:pPr>
      <w:rPr>
        <w:rFonts w:asciiTheme="minorHAnsi" w:eastAsiaTheme="minorEastAsia" w:hAnsi="Calibri" w:cs="Arial" w:hint="default"/>
        <w:b w:val="0"/>
        <w:color w:val="000000" w:themeColor="text1"/>
        <w:sz w:val="24"/>
      </w:rPr>
    </w:lvl>
    <w:lvl w:ilvl="6">
      <w:start w:val="1"/>
      <w:numFmt w:val="decimal"/>
      <w:lvlText w:val="%1.%2.%3.%4.%5.%6.%7"/>
      <w:lvlJc w:val="left"/>
      <w:pPr>
        <w:ind w:left="1440" w:hanging="1440"/>
      </w:pPr>
      <w:rPr>
        <w:rFonts w:asciiTheme="minorHAnsi" w:eastAsiaTheme="minorEastAsia" w:hAnsi="Calibri" w:cs="Arial" w:hint="default"/>
        <w:b w:val="0"/>
        <w:color w:val="000000" w:themeColor="text1"/>
        <w:sz w:val="24"/>
      </w:rPr>
    </w:lvl>
    <w:lvl w:ilvl="7">
      <w:start w:val="1"/>
      <w:numFmt w:val="decimal"/>
      <w:lvlText w:val="%1.%2.%3.%4.%5.%6.%7.%8"/>
      <w:lvlJc w:val="left"/>
      <w:pPr>
        <w:ind w:left="1440" w:hanging="1440"/>
      </w:pPr>
      <w:rPr>
        <w:rFonts w:asciiTheme="minorHAnsi" w:eastAsiaTheme="minorEastAsia" w:hAnsi="Calibri" w:cs="Arial" w:hint="default"/>
        <w:b w:val="0"/>
        <w:color w:val="000000" w:themeColor="text1"/>
        <w:sz w:val="24"/>
      </w:rPr>
    </w:lvl>
    <w:lvl w:ilvl="8">
      <w:start w:val="1"/>
      <w:numFmt w:val="decimal"/>
      <w:lvlText w:val="%1.%2.%3.%4.%5.%6.%7.%8.%9"/>
      <w:lvlJc w:val="left"/>
      <w:pPr>
        <w:ind w:left="1440" w:hanging="1440"/>
      </w:pPr>
      <w:rPr>
        <w:rFonts w:asciiTheme="minorHAnsi" w:eastAsiaTheme="minorEastAsia" w:hAnsi="Calibri" w:cs="Arial" w:hint="default"/>
        <w:b w:val="0"/>
        <w:color w:val="000000" w:themeColor="text1"/>
        <w:sz w:val="24"/>
      </w:rPr>
    </w:lvl>
  </w:abstractNum>
  <w:abstractNum w:abstractNumId="12">
    <w:nsid w:val="62411780"/>
    <w:multiLevelType w:val="hybridMultilevel"/>
    <w:tmpl w:val="9D44AB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E0BB6"/>
    <w:multiLevelType w:val="hybridMultilevel"/>
    <w:tmpl w:val="AF3C402C"/>
    <w:lvl w:ilvl="0" w:tplc="DEE0D88A">
      <w:start w:val="4"/>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50D3E6C"/>
    <w:multiLevelType w:val="hybridMultilevel"/>
    <w:tmpl w:val="FE3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7"/>
  </w:num>
  <w:num w:numId="5">
    <w:abstractNumId w:val="8"/>
  </w:num>
  <w:num w:numId="6">
    <w:abstractNumId w:val="13"/>
  </w:num>
  <w:num w:numId="7">
    <w:abstractNumId w:val="2"/>
  </w:num>
  <w:num w:numId="8">
    <w:abstractNumId w:val="5"/>
  </w:num>
  <w:num w:numId="9">
    <w:abstractNumId w:val="1"/>
  </w:num>
  <w:num w:numId="10">
    <w:abstractNumId w:val="6"/>
  </w:num>
  <w:num w:numId="11">
    <w:abstractNumId w:val="11"/>
  </w:num>
  <w:num w:numId="12">
    <w:abstractNumId w:val="0"/>
  </w:num>
  <w:num w:numId="13">
    <w:abstractNumId w:val="10"/>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IyNjG1NDQws7C0MDRU0lEKTi0uzszPAykwrAUAPu/raiwAAAA="/>
  </w:docVars>
  <w:rsids>
    <w:rsidRoot w:val="00DC54F3"/>
    <w:rsid w:val="00004237"/>
    <w:rsid w:val="00020ADD"/>
    <w:rsid w:val="00032B63"/>
    <w:rsid w:val="00033DF1"/>
    <w:rsid w:val="000466DC"/>
    <w:rsid w:val="00070C3C"/>
    <w:rsid w:val="000B65BE"/>
    <w:rsid w:val="000C5E23"/>
    <w:rsid w:val="000D61E8"/>
    <w:rsid w:val="000E3059"/>
    <w:rsid w:val="000E31E6"/>
    <w:rsid w:val="000E6C1B"/>
    <w:rsid w:val="000F64EE"/>
    <w:rsid w:val="000F6E69"/>
    <w:rsid w:val="001231E7"/>
    <w:rsid w:val="00126644"/>
    <w:rsid w:val="00133CA8"/>
    <w:rsid w:val="001350AD"/>
    <w:rsid w:val="001368E4"/>
    <w:rsid w:val="0014600E"/>
    <w:rsid w:val="00153F80"/>
    <w:rsid w:val="0018059E"/>
    <w:rsid w:val="001829A0"/>
    <w:rsid w:val="001847EA"/>
    <w:rsid w:val="00195622"/>
    <w:rsid w:val="00195793"/>
    <w:rsid w:val="00196C9A"/>
    <w:rsid w:val="001B0A14"/>
    <w:rsid w:val="001B4143"/>
    <w:rsid w:val="001B7814"/>
    <w:rsid w:val="001D1F90"/>
    <w:rsid w:val="001D5460"/>
    <w:rsid w:val="001E3683"/>
    <w:rsid w:val="001E407C"/>
    <w:rsid w:val="001E7583"/>
    <w:rsid w:val="001F2D29"/>
    <w:rsid w:val="001F764F"/>
    <w:rsid w:val="00200138"/>
    <w:rsid w:val="002027A9"/>
    <w:rsid w:val="00202E51"/>
    <w:rsid w:val="00211614"/>
    <w:rsid w:val="00215BA4"/>
    <w:rsid w:val="002206CE"/>
    <w:rsid w:val="00224654"/>
    <w:rsid w:val="0022595A"/>
    <w:rsid w:val="0024459C"/>
    <w:rsid w:val="00247BA1"/>
    <w:rsid w:val="00251466"/>
    <w:rsid w:val="0025381D"/>
    <w:rsid w:val="0025483E"/>
    <w:rsid w:val="00255106"/>
    <w:rsid w:val="00257E5B"/>
    <w:rsid w:val="002642D4"/>
    <w:rsid w:val="00272F11"/>
    <w:rsid w:val="002738E0"/>
    <w:rsid w:val="00273DD6"/>
    <w:rsid w:val="00274CBC"/>
    <w:rsid w:val="00283E69"/>
    <w:rsid w:val="00284BB9"/>
    <w:rsid w:val="002A207B"/>
    <w:rsid w:val="002A4129"/>
    <w:rsid w:val="002A5D6A"/>
    <w:rsid w:val="002A7C6A"/>
    <w:rsid w:val="002B207B"/>
    <w:rsid w:val="002B3EA3"/>
    <w:rsid w:val="002B52EA"/>
    <w:rsid w:val="002B7177"/>
    <w:rsid w:val="002C2716"/>
    <w:rsid w:val="002D17CF"/>
    <w:rsid w:val="002F4123"/>
    <w:rsid w:val="002F5BEC"/>
    <w:rsid w:val="002F6474"/>
    <w:rsid w:val="00303CAD"/>
    <w:rsid w:val="00303DED"/>
    <w:rsid w:val="003040A3"/>
    <w:rsid w:val="00313EE8"/>
    <w:rsid w:val="00322977"/>
    <w:rsid w:val="0036192F"/>
    <w:rsid w:val="0036278B"/>
    <w:rsid w:val="00362967"/>
    <w:rsid w:val="00364EA2"/>
    <w:rsid w:val="00375CBD"/>
    <w:rsid w:val="00394762"/>
    <w:rsid w:val="00395F98"/>
    <w:rsid w:val="0039685E"/>
    <w:rsid w:val="003B42D6"/>
    <w:rsid w:val="003B6FCF"/>
    <w:rsid w:val="003C6DB7"/>
    <w:rsid w:val="003D0948"/>
    <w:rsid w:val="003D0CD9"/>
    <w:rsid w:val="003D57DE"/>
    <w:rsid w:val="003D6FA7"/>
    <w:rsid w:val="003E0163"/>
    <w:rsid w:val="003E26C5"/>
    <w:rsid w:val="004059E7"/>
    <w:rsid w:val="0041250C"/>
    <w:rsid w:val="004229E4"/>
    <w:rsid w:val="00426455"/>
    <w:rsid w:val="00430DF8"/>
    <w:rsid w:val="004367D5"/>
    <w:rsid w:val="00437B3A"/>
    <w:rsid w:val="00453EE3"/>
    <w:rsid w:val="004579A5"/>
    <w:rsid w:val="00460D63"/>
    <w:rsid w:val="00471761"/>
    <w:rsid w:val="00471BDD"/>
    <w:rsid w:val="00471D64"/>
    <w:rsid w:val="00485EC5"/>
    <w:rsid w:val="00487162"/>
    <w:rsid w:val="004B6463"/>
    <w:rsid w:val="004D5DB5"/>
    <w:rsid w:val="004E1F2E"/>
    <w:rsid w:val="004E6C01"/>
    <w:rsid w:val="004F171C"/>
    <w:rsid w:val="004F1E74"/>
    <w:rsid w:val="004F3D1D"/>
    <w:rsid w:val="00502757"/>
    <w:rsid w:val="0050591F"/>
    <w:rsid w:val="00511920"/>
    <w:rsid w:val="005218B7"/>
    <w:rsid w:val="005318EB"/>
    <w:rsid w:val="0053199B"/>
    <w:rsid w:val="005331F8"/>
    <w:rsid w:val="00543BD9"/>
    <w:rsid w:val="00554F95"/>
    <w:rsid w:val="00567B9C"/>
    <w:rsid w:val="00577910"/>
    <w:rsid w:val="00587F59"/>
    <w:rsid w:val="005970AF"/>
    <w:rsid w:val="005A1102"/>
    <w:rsid w:val="005C4864"/>
    <w:rsid w:val="005C7F83"/>
    <w:rsid w:val="005D03B8"/>
    <w:rsid w:val="005E09CA"/>
    <w:rsid w:val="005E357B"/>
    <w:rsid w:val="005E5A1F"/>
    <w:rsid w:val="005E62A7"/>
    <w:rsid w:val="005F1474"/>
    <w:rsid w:val="005F1DD9"/>
    <w:rsid w:val="005F4AC7"/>
    <w:rsid w:val="00610FE0"/>
    <w:rsid w:val="006138B9"/>
    <w:rsid w:val="00615D81"/>
    <w:rsid w:val="006219FA"/>
    <w:rsid w:val="00622850"/>
    <w:rsid w:val="00623BF3"/>
    <w:rsid w:val="00624F03"/>
    <w:rsid w:val="006324FB"/>
    <w:rsid w:val="006376D1"/>
    <w:rsid w:val="006414CD"/>
    <w:rsid w:val="00653554"/>
    <w:rsid w:val="0065524A"/>
    <w:rsid w:val="00655347"/>
    <w:rsid w:val="00673B87"/>
    <w:rsid w:val="00681E77"/>
    <w:rsid w:val="00692C90"/>
    <w:rsid w:val="006A32EA"/>
    <w:rsid w:val="006A64B0"/>
    <w:rsid w:val="006B7B33"/>
    <w:rsid w:val="006C3038"/>
    <w:rsid w:val="006C7965"/>
    <w:rsid w:val="006D448B"/>
    <w:rsid w:val="006E0123"/>
    <w:rsid w:val="006E2C2C"/>
    <w:rsid w:val="006E5788"/>
    <w:rsid w:val="006E67A8"/>
    <w:rsid w:val="006F008B"/>
    <w:rsid w:val="006F2D84"/>
    <w:rsid w:val="0070150C"/>
    <w:rsid w:val="00704BB3"/>
    <w:rsid w:val="00715806"/>
    <w:rsid w:val="0071600A"/>
    <w:rsid w:val="0072117B"/>
    <w:rsid w:val="0073498D"/>
    <w:rsid w:val="00740505"/>
    <w:rsid w:val="0074133D"/>
    <w:rsid w:val="00744ECC"/>
    <w:rsid w:val="007454C2"/>
    <w:rsid w:val="007463AD"/>
    <w:rsid w:val="00761344"/>
    <w:rsid w:val="0077145A"/>
    <w:rsid w:val="00790A4C"/>
    <w:rsid w:val="0079106E"/>
    <w:rsid w:val="007A3D98"/>
    <w:rsid w:val="007A5414"/>
    <w:rsid w:val="007A7549"/>
    <w:rsid w:val="007B05C8"/>
    <w:rsid w:val="007B36D2"/>
    <w:rsid w:val="007B73F7"/>
    <w:rsid w:val="007B7BC5"/>
    <w:rsid w:val="007C2ECD"/>
    <w:rsid w:val="007C31AF"/>
    <w:rsid w:val="007C50BB"/>
    <w:rsid w:val="007D68B1"/>
    <w:rsid w:val="007E1942"/>
    <w:rsid w:val="007F17E5"/>
    <w:rsid w:val="008063EC"/>
    <w:rsid w:val="00806F64"/>
    <w:rsid w:val="008146ED"/>
    <w:rsid w:val="0082206A"/>
    <w:rsid w:val="00836ED0"/>
    <w:rsid w:val="0083749D"/>
    <w:rsid w:val="008440C0"/>
    <w:rsid w:val="00844229"/>
    <w:rsid w:val="00851AB5"/>
    <w:rsid w:val="00853221"/>
    <w:rsid w:val="00861C4A"/>
    <w:rsid w:val="0087455D"/>
    <w:rsid w:val="008763C6"/>
    <w:rsid w:val="0089762F"/>
    <w:rsid w:val="008A73CA"/>
    <w:rsid w:val="008B0819"/>
    <w:rsid w:val="008B131A"/>
    <w:rsid w:val="008B1466"/>
    <w:rsid w:val="008B539A"/>
    <w:rsid w:val="008C1AF0"/>
    <w:rsid w:val="008C3E43"/>
    <w:rsid w:val="008D36B8"/>
    <w:rsid w:val="008E5F2D"/>
    <w:rsid w:val="008F5F72"/>
    <w:rsid w:val="008F7455"/>
    <w:rsid w:val="00907265"/>
    <w:rsid w:val="0091470E"/>
    <w:rsid w:val="00916A8A"/>
    <w:rsid w:val="00931645"/>
    <w:rsid w:val="00944B0F"/>
    <w:rsid w:val="00945197"/>
    <w:rsid w:val="00954277"/>
    <w:rsid w:val="009574FE"/>
    <w:rsid w:val="00971087"/>
    <w:rsid w:val="009805BE"/>
    <w:rsid w:val="00984421"/>
    <w:rsid w:val="00995D86"/>
    <w:rsid w:val="00997339"/>
    <w:rsid w:val="009A058E"/>
    <w:rsid w:val="009A19FF"/>
    <w:rsid w:val="009B5B23"/>
    <w:rsid w:val="009B713E"/>
    <w:rsid w:val="009E534C"/>
    <w:rsid w:val="009F0135"/>
    <w:rsid w:val="009F430B"/>
    <w:rsid w:val="009F59D2"/>
    <w:rsid w:val="00A073BD"/>
    <w:rsid w:val="00A11325"/>
    <w:rsid w:val="00A12A8E"/>
    <w:rsid w:val="00A12BD8"/>
    <w:rsid w:val="00A30A0F"/>
    <w:rsid w:val="00A30E50"/>
    <w:rsid w:val="00A35F76"/>
    <w:rsid w:val="00A37FB9"/>
    <w:rsid w:val="00A408D5"/>
    <w:rsid w:val="00A65BF1"/>
    <w:rsid w:val="00A663F3"/>
    <w:rsid w:val="00A83756"/>
    <w:rsid w:val="00AA0AC7"/>
    <w:rsid w:val="00AA58F4"/>
    <w:rsid w:val="00AA77C7"/>
    <w:rsid w:val="00AC19F1"/>
    <w:rsid w:val="00AD094D"/>
    <w:rsid w:val="00AE08A7"/>
    <w:rsid w:val="00AE1CB8"/>
    <w:rsid w:val="00AE45BE"/>
    <w:rsid w:val="00AE7C6A"/>
    <w:rsid w:val="00B0028D"/>
    <w:rsid w:val="00B0121F"/>
    <w:rsid w:val="00B054E2"/>
    <w:rsid w:val="00B07392"/>
    <w:rsid w:val="00B11AB6"/>
    <w:rsid w:val="00B204D2"/>
    <w:rsid w:val="00B2552A"/>
    <w:rsid w:val="00B26C00"/>
    <w:rsid w:val="00B326DA"/>
    <w:rsid w:val="00B427F6"/>
    <w:rsid w:val="00B469DF"/>
    <w:rsid w:val="00B47079"/>
    <w:rsid w:val="00B47C15"/>
    <w:rsid w:val="00B5395A"/>
    <w:rsid w:val="00B606FA"/>
    <w:rsid w:val="00B63411"/>
    <w:rsid w:val="00B64220"/>
    <w:rsid w:val="00B6761A"/>
    <w:rsid w:val="00B7204A"/>
    <w:rsid w:val="00B8388A"/>
    <w:rsid w:val="00B92FE0"/>
    <w:rsid w:val="00BA7BD0"/>
    <w:rsid w:val="00BB1208"/>
    <w:rsid w:val="00BB4C1C"/>
    <w:rsid w:val="00BC0416"/>
    <w:rsid w:val="00BC1020"/>
    <w:rsid w:val="00BC515F"/>
    <w:rsid w:val="00BD27C3"/>
    <w:rsid w:val="00BD4EA9"/>
    <w:rsid w:val="00BD5454"/>
    <w:rsid w:val="00BE109E"/>
    <w:rsid w:val="00BE4C2B"/>
    <w:rsid w:val="00BF6B95"/>
    <w:rsid w:val="00C0315E"/>
    <w:rsid w:val="00C1654A"/>
    <w:rsid w:val="00C27C39"/>
    <w:rsid w:val="00C34D2F"/>
    <w:rsid w:val="00C37272"/>
    <w:rsid w:val="00C402CA"/>
    <w:rsid w:val="00C53C90"/>
    <w:rsid w:val="00C62158"/>
    <w:rsid w:val="00C6463C"/>
    <w:rsid w:val="00C64E40"/>
    <w:rsid w:val="00C81868"/>
    <w:rsid w:val="00C87FB9"/>
    <w:rsid w:val="00C914C5"/>
    <w:rsid w:val="00C95523"/>
    <w:rsid w:val="00CA02D4"/>
    <w:rsid w:val="00CA0A90"/>
    <w:rsid w:val="00CB0EA5"/>
    <w:rsid w:val="00CB1C8D"/>
    <w:rsid w:val="00CE178D"/>
    <w:rsid w:val="00CE3CA6"/>
    <w:rsid w:val="00CF2754"/>
    <w:rsid w:val="00CF3D53"/>
    <w:rsid w:val="00CF6F2A"/>
    <w:rsid w:val="00CF70E5"/>
    <w:rsid w:val="00D04539"/>
    <w:rsid w:val="00D1146E"/>
    <w:rsid w:val="00D300DD"/>
    <w:rsid w:val="00D307F2"/>
    <w:rsid w:val="00D36700"/>
    <w:rsid w:val="00D378B1"/>
    <w:rsid w:val="00D40F44"/>
    <w:rsid w:val="00D41F6C"/>
    <w:rsid w:val="00D42691"/>
    <w:rsid w:val="00D45F1C"/>
    <w:rsid w:val="00D6491D"/>
    <w:rsid w:val="00D64B3F"/>
    <w:rsid w:val="00D90C07"/>
    <w:rsid w:val="00DA04DC"/>
    <w:rsid w:val="00DA541F"/>
    <w:rsid w:val="00DB5BFC"/>
    <w:rsid w:val="00DB7A66"/>
    <w:rsid w:val="00DC31B5"/>
    <w:rsid w:val="00DC54F3"/>
    <w:rsid w:val="00DE6DC5"/>
    <w:rsid w:val="00DF4679"/>
    <w:rsid w:val="00E05CE4"/>
    <w:rsid w:val="00E1351C"/>
    <w:rsid w:val="00E1397D"/>
    <w:rsid w:val="00E24DCA"/>
    <w:rsid w:val="00E3004B"/>
    <w:rsid w:val="00E40D6E"/>
    <w:rsid w:val="00E44EEB"/>
    <w:rsid w:val="00E46362"/>
    <w:rsid w:val="00E50550"/>
    <w:rsid w:val="00E60D20"/>
    <w:rsid w:val="00E67561"/>
    <w:rsid w:val="00E747F2"/>
    <w:rsid w:val="00E748E4"/>
    <w:rsid w:val="00E76263"/>
    <w:rsid w:val="00E77D9A"/>
    <w:rsid w:val="00E811DF"/>
    <w:rsid w:val="00E82BEC"/>
    <w:rsid w:val="00E84A4C"/>
    <w:rsid w:val="00E92B4F"/>
    <w:rsid w:val="00E944C8"/>
    <w:rsid w:val="00E97068"/>
    <w:rsid w:val="00EA5C1F"/>
    <w:rsid w:val="00EC0B1C"/>
    <w:rsid w:val="00EC613E"/>
    <w:rsid w:val="00ED0C3A"/>
    <w:rsid w:val="00EE7572"/>
    <w:rsid w:val="00EF4EBC"/>
    <w:rsid w:val="00F000F9"/>
    <w:rsid w:val="00F066EA"/>
    <w:rsid w:val="00F100DA"/>
    <w:rsid w:val="00F11BD6"/>
    <w:rsid w:val="00F121EE"/>
    <w:rsid w:val="00F20CC1"/>
    <w:rsid w:val="00F34162"/>
    <w:rsid w:val="00F34477"/>
    <w:rsid w:val="00F4588D"/>
    <w:rsid w:val="00F47C19"/>
    <w:rsid w:val="00F604F2"/>
    <w:rsid w:val="00F66152"/>
    <w:rsid w:val="00F72AE4"/>
    <w:rsid w:val="00F8055F"/>
    <w:rsid w:val="00F955DF"/>
    <w:rsid w:val="00FA1A1F"/>
    <w:rsid w:val="00FA23ED"/>
    <w:rsid w:val="00FA3AE6"/>
    <w:rsid w:val="00FB02F7"/>
    <w:rsid w:val="00FC1376"/>
    <w:rsid w:val="00FD174B"/>
    <w:rsid w:val="00FD311D"/>
    <w:rsid w:val="00FE4675"/>
    <w:rsid w:val="00FF1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F3"/>
  </w:style>
  <w:style w:type="paragraph" w:styleId="Header">
    <w:name w:val="header"/>
    <w:basedOn w:val="Normal"/>
    <w:link w:val="HeaderChar"/>
    <w:uiPriority w:val="99"/>
    <w:unhideWhenUsed/>
    <w:rsid w:val="00DC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F3"/>
  </w:style>
  <w:style w:type="paragraph" w:styleId="FootnoteText">
    <w:name w:val="footnote text"/>
    <w:basedOn w:val="Normal"/>
    <w:link w:val="FootnoteTextChar"/>
    <w:uiPriority w:val="99"/>
    <w:semiHidden/>
    <w:unhideWhenUsed/>
    <w:rsid w:val="00F11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BD6"/>
    <w:rPr>
      <w:sz w:val="20"/>
      <w:szCs w:val="20"/>
    </w:rPr>
  </w:style>
  <w:style w:type="character" w:styleId="FootnoteReference">
    <w:name w:val="footnote reference"/>
    <w:basedOn w:val="DefaultParagraphFont"/>
    <w:uiPriority w:val="99"/>
    <w:semiHidden/>
    <w:unhideWhenUsed/>
    <w:rsid w:val="00F11BD6"/>
    <w:rPr>
      <w:vertAlign w:val="superscript"/>
    </w:rPr>
  </w:style>
  <w:style w:type="table" w:styleId="TableGrid">
    <w:name w:val="Table Grid"/>
    <w:basedOn w:val="TableNormal"/>
    <w:uiPriority w:val="39"/>
    <w:rsid w:val="00F11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B539A"/>
    <w:rPr>
      <w:sz w:val="16"/>
      <w:szCs w:val="16"/>
    </w:rPr>
  </w:style>
  <w:style w:type="paragraph" w:styleId="CommentText">
    <w:name w:val="annotation text"/>
    <w:basedOn w:val="Normal"/>
    <w:link w:val="CommentTextChar"/>
    <w:uiPriority w:val="99"/>
    <w:semiHidden/>
    <w:unhideWhenUsed/>
    <w:rsid w:val="008B539A"/>
    <w:pPr>
      <w:spacing w:line="240" w:lineRule="auto"/>
    </w:pPr>
    <w:rPr>
      <w:sz w:val="20"/>
      <w:szCs w:val="20"/>
    </w:rPr>
  </w:style>
  <w:style w:type="character" w:customStyle="1" w:styleId="CommentTextChar">
    <w:name w:val="Comment Text Char"/>
    <w:basedOn w:val="DefaultParagraphFont"/>
    <w:link w:val="CommentText"/>
    <w:uiPriority w:val="99"/>
    <w:semiHidden/>
    <w:rsid w:val="008B539A"/>
    <w:rPr>
      <w:sz w:val="20"/>
      <w:szCs w:val="20"/>
    </w:rPr>
  </w:style>
  <w:style w:type="paragraph" w:styleId="CommentSubject">
    <w:name w:val="annotation subject"/>
    <w:basedOn w:val="CommentText"/>
    <w:next w:val="CommentText"/>
    <w:link w:val="CommentSubjectChar"/>
    <w:uiPriority w:val="99"/>
    <w:semiHidden/>
    <w:unhideWhenUsed/>
    <w:rsid w:val="008B539A"/>
    <w:rPr>
      <w:b/>
      <w:bCs/>
    </w:rPr>
  </w:style>
  <w:style w:type="character" w:customStyle="1" w:styleId="CommentSubjectChar">
    <w:name w:val="Comment Subject Char"/>
    <w:basedOn w:val="CommentTextChar"/>
    <w:link w:val="CommentSubject"/>
    <w:uiPriority w:val="99"/>
    <w:semiHidden/>
    <w:rsid w:val="008B539A"/>
    <w:rPr>
      <w:b/>
      <w:bCs/>
      <w:sz w:val="20"/>
      <w:szCs w:val="20"/>
    </w:rPr>
  </w:style>
  <w:style w:type="paragraph" w:styleId="BalloonText">
    <w:name w:val="Balloon Text"/>
    <w:basedOn w:val="Normal"/>
    <w:link w:val="BalloonTextChar"/>
    <w:uiPriority w:val="99"/>
    <w:semiHidden/>
    <w:unhideWhenUsed/>
    <w:rsid w:val="008B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9A"/>
    <w:rPr>
      <w:rFonts w:ascii="Segoe UI" w:hAnsi="Segoe UI" w:cs="Segoe UI"/>
      <w:sz w:val="18"/>
      <w:szCs w:val="18"/>
    </w:rPr>
  </w:style>
  <w:style w:type="paragraph" w:styleId="ListParagraph">
    <w:name w:val="List Paragraph"/>
    <w:basedOn w:val="Normal"/>
    <w:uiPriority w:val="34"/>
    <w:qFormat/>
    <w:rsid w:val="00CB1C8D"/>
    <w:pPr>
      <w:ind w:left="720"/>
      <w:contextualSpacing/>
    </w:pPr>
  </w:style>
  <w:style w:type="paragraph" w:customStyle="1" w:styleId="xmsonormal">
    <w:name w:val="x_msonormal"/>
    <w:basedOn w:val="Normal"/>
    <w:rsid w:val="000D61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7DE"/>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0495022">
      <w:bodyDiv w:val="1"/>
      <w:marLeft w:val="0"/>
      <w:marRight w:val="0"/>
      <w:marTop w:val="0"/>
      <w:marBottom w:val="0"/>
      <w:divBdr>
        <w:top w:val="none" w:sz="0" w:space="0" w:color="auto"/>
        <w:left w:val="none" w:sz="0" w:space="0" w:color="auto"/>
        <w:bottom w:val="none" w:sz="0" w:space="0" w:color="auto"/>
        <w:right w:val="none" w:sz="0" w:space="0" w:color="auto"/>
      </w:divBdr>
    </w:div>
    <w:div w:id="171602773">
      <w:bodyDiv w:val="1"/>
      <w:marLeft w:val="0"/>
      <w:marRight w:val="0"/>
      <w:marTop w:val="0"/>
      <w:marBottom w:val="0"/>
      <w:divBdr>
        <w:top w:val="none" w:sz="0" w:space="0" w:color="auto"/>
        <w:left w:val="none" w:sz="0" w:space="0" w:color="auto"/>
        <w:bottom w:val="none" w:sz="0" w:space="0" w:color="auto"/>
        <w:right w:val="none" w:sz="0" w:space="0" w:color="auto"/>
      </w:divBdr>
      <w:divsChild>
        <w:div w:id="1246500088">
          <w:marLeft w:val="0"/>
          <w:marRight w:val="0"/>
          <w:marTop w:val="0"/>
          <w:marBottom w:val="0"/>
          <w:divBdr>
            <w:top w:val="none" w:sz="0" w:space="0" w:color="auto"/>
            <w:left w:val="none" w:sz="0" w:space="0" w:color="auto"/>
            <w:bottom w:val="none" w:sz="0" w:space="0" w:color="auto"/>
            <w:right w:val="none" w:sz="0" w:space="0" w:color="auto"/>
          </w:divBdr>
          <w:divsChild>
            <w:div w:id="1456019166">
              <w:marLeft w:val="0"/>
              <w:marRight w:val="0"/>
              <w:marTop w:val="0"/>
              <w:marBottom w:val="0"/>
              <w:divBdr>
                <w:top w:val="none" w:sz="0" w:space="0" w:color="auto"/>
                <w:left w:val="none" w:sz="0" w:space="0" w:color="auto"/>
                <w:bottom w:val="none" w:sz="0" w:space="0" w:color="auto"/>
                <w:right w:val="none" w:sz="0" w:space="0" w:color="auto"/>
              </w:divBdr>
              <w:divsChild>
                <w:div w:id="1934434435">
                  <w:marLeft w:val="0"/>
                  <w:marRight w:val="0"/>
                  <w:marTop w:val="0"/>
                  <w:marBottom w:val="0"/>
                  <w:divBdr>
                    <w:top w:val="none" w:sz="0" w:space="0" w:color="auto"/>
                    <w:left w:val="none" w:sz="0" w:space="0" w:color="auto"/>
                    <w:bottom w:val="none" w:sz="0" w:space="0" w:color="auto"/>
                    <w:right w:val="none" w:sz="0" w:space="0" w:color="auto"/>
                  </w:divBdr>
                  <w:divsChild>
                    <w:div w:id="2118526761">
                      <w:marLeft w:val="0"/>
                      <w:marRight w:val="0"/>
                      <w:marTop w:val="0"/>
                      <w:marBottom w:val="0"/>
                      <w:divBdr>
                        <w:top w:val="none" w:sz="0" w:space="0" w:color="auto"/>
                        <w:left w:val="none" w:sz="0" w:space="0" w:color="auto"/>
                        <w:bottom w:val="none" w:sz="0" w:space="0" w:color="auto"/>
                        <w:right w:val="none" w:sz="0" w:space="0" w:color="auto"/>
                      </w:divBdr>
                      <w:divsChild>
                        <w:div w:id="882601301">
                          <w:marLeft w:val="405"/>
                          <w:marRight w:val="0"/>
                          <w:marTop w:val="0"/>
                          <w:marBottom w:val="0"/>
                          <w:divBdr>
                            <w:top w:val="none" w:sz="0" w:space="0" w:color="auto"/>
                            <w:left w:val="none" w:sz="0" w:space="0" w:color="auto"/>
                            <w:bottom w:val="none" w:sz="0" w:space="0" w:color="auto"/>
                            <w:right w:val="none" w:sz="0" w:space="0" w:color="auto"/>
                          </w:divBdr>
                          <w:divsChild>
                            <w:div w:id="1411535599">
                              <w:marLeft w:val="0"/>
                              <w:marRight w:val="0"/>
                              <w:marTop w:val="0"/>
                              <w:marBottom w:val="0"/>
                              <w:divBdr>
                                <w:top w:val="none" w:sz="0" w:space="0" w:color="auto"/>
                                <w:left w:val="none" w:sz="0" w:space="0" w:color="auto"/>
                                <w:bottom w:val="none" w:sz="0" w:space="0" w:color="auto"/>
                                <w:right w:val="none" w:sz="0" w:space="0" w:color="auto"/>
                              </w:divBdr>
                              <w:divsChild>
                                <w:div w:id="423722555">
                                  <w:marLeft w:val="0"/>
                                  <w:marRight w:val="0"/>
                                  <w:marTop w:val="0"/>
                                  <w:marBottom w:val="0"/>
                                  <w:divBdr>
                                    <w:top w:val="none" w:sz="0" w:space="0" w:color="auto"/>
                                    <w:left w:val="none" w:sz="0" w:space="0" w:color="auto"/>
                                    <w:bottom w:val="none" w:sz="0" w:space="0" w:color="auto"/>
                                    <w:right w:val="none" w:sz="0" w:space="0" w:color="auto"/>
                                  </w:divBdr>
                                  <w:divsChild>
                                    <w:div w:id="76218789">
                                      <w:marLeft w:val="0"/>
                                      <w:marRight w:val="0"/>
                                      <w:marTop w:val="60"/>
                                      <w:marBottom w:val="0"/>
                                      <w:divBdr>
                                        <w:top w:val="none" w:sz="0" w:space="0" w:color="auto"/>
                                        <w:left w:val="none" w:sz="0" w:space="0" w:color="auto"/>
                                        <w:bottom w:val="none" w:sz="0" w:space="0" w:color="auto"/>
                                        <w:right w:val="none" w:sz="0" w:space="0" w:color="auto"/>
                                      </w:divBdr>
                                      <w:divsChild>
                                        <w:div w:id="254174956">
                                          <w:marLeft w:val="0"/>
                                          <w:marRight w:val="0"/>
                                          <w:marTop w:val="0"/>
                                          <w:marBottom w:val="0"/>
                                          <w:divBdr>
                                            <w:top w:val="none" w:sz="0" w:space="0" w:color="auto"/>
                                            <w:left w:val="none" w:sz="0" w:space="0" w:color="auto"/>
                                            <w:bottom w:val="none" w:sz="0" w:space="0" w:color="auto"/>
                                            <w:right w:val="none" w:sz="0" w:space="0" w:color="auto"/>
                                          </w:divBdr>
                                          <w:divsChild>
                                            <w:div w:id="6367816">
                                              <w:marLeft w:val="0"/>
                                              <w:marRight w:val="0"/>
                                              <w:marTop w:val="0"/>
                                              <w:marBottom w:val="0"/>
                                              <w:divBdr>
                                                <w:top w:val="none" w:sz="0" w:space="0" w:color="auto"/>
                                                <w:left w:val="none" w:sz="0" w:space="0" w:color="auto"/>
                                                <w:bottom w:val="none" w:sz="0" w:space="0" w:color="auto"/>
                                                <w:right w:val="none" w:sz="0" w:space="0" w:color="auto"/>
                                              </w:divBdr>
                                              <w:divsChild>
                                                <w:div w:id="606280232">
                                                  <w:marLeft w:val="0"/>
                                                  <w:marRight w:val="0"/>
                                                  <w:marTop w:val="0"/>
                                                  <w:marBottom w:val="0"/>
                                                  <w:divBdr>
                                                    <w:top w:val="none" w:sz="0" w:space="0" w:color="auto"/>
                                                    <w:left w:val="none" w:sz="0" w:space="0" w:color="auto"/>
                                                    <w:bottom w:val="none" w:sz="0" w:space="0" w:color="auto"/>
                                                    <w:right w:val="none" w:sz="0" w:space="0" w:color="auto"/>
                                                  </w:divBdr>
                                                  <w:divsChild>
                                                    <w:div w:id="969241315">
                                                      <w:marLeft w:val="0"/>
                                                      <w:marRight w:val="0"/>
                                                      <w:marTop w:val="0"/>
                                                      <w:marBottom w:val="0"/>
                                                      <w:divBdr>
                                                        <w:top w:val="none" w:sz="0" w:space="0" w:color="auto"/>
                                                        <w:left w:val="none" w:sz="0" w:space="0" w:color="auto"/>
                                                        <w:bottom w:val="none" w:sz="0" w:space="0" w:color="auto"/>
                                                        <w:right w:val="none" w:sz="0" w:space="0" w:color="auto"/>
                                                      </w:divBdr>
                                                      <w:divsChild>
                                                        <w:div w:id="1125394620">
                                                          <w:marLeft w:val="0"/>
                                                          <w:marRight w:val="0"/>
                                                          <w:marTop w:val="0"/>
                                                          <w:marBottom w:val="0"/>
                                                          <w:divBdr>
                                                            <w:top w:val="none" w:sz="0" w:space="0" w:color="auto"/>
                                                            <w:left w:val="none" w:sz="0" w:space="0" w:color="auto"/>
                                                            <w:bottom w:val="none" w:sz="0" w:space="0" w:color="auto"/>
                                                            <w:right w:val="none" w:sz="0" w:space="0" w:color="auto"/>
                                                          </w:divBdr>
                                                          <w:divsChild>
                                                            <w:div w:id="414013721">
                                                              <w:marLeft w:val="0"/>
                                                              <w:marRight w:val="0"/>
                                                              <w:marTop w:val="0"/>
                                                              <w:marBottom w:val="0"/>
                                                              <w:divBdr>
                                                                <w:top w:val="none" w:sz="0" w:space="0" w:color="auto"/>
                                                                <w:left w:val="none" w:sz="0" w:space="0" w:color="auto"/>
                                                                <w:bottom w:val="none" w:sz="0" w:space="0" w:color="auto"/>
                                                                <w:right w:val="none" w:sz="0" w:space="0" w:color="auto"/>
                                                              </w:divBdr>
                                                              <w:divsChild>
                                                                <w:div w:id="2016029523">
                                                                  <w:marLeft w:val="0"/>
                                                                  <w:marRight w:val="0"/>
                                                                  <w:marTop w:val="0"/>
                                                                  <w:marBottom w:val="0"/>
                                                                  <w:divBdr>
                                                                    <w:top w:val="none" w:sz="0" w:space="0" w:color="auto"/>
                                                                    <w:left w:val="none" w:sz="0" w:space="0" w:color="auto"/>
                                                                    <w:bottom w:val="none" w:sz="0" w:space="0" w:color="auto"/>
                                                                    <w:right w:val="none" w:sz="0" w:space="0" w:color="auto"/>
                                                                  </w:divBdr>
                                                                  <w:divsChild>
                                                                    <w:div w:id="10843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8529809">
      <w:bodyDiv w:val="1"/>
      <w:marLeft w:val="0"/>
      <w:marRight w:val="0"/>
      <w:marTop w:val="0"/>
      <w:marBottom w:val="0"/>
      <w:divBdr>
        <w:top w:val="none" w:sz="0" w:space="0" w:color="auto"/>
        <w:left w:val="none" w:sz="0" w:space="0" w:color="auto"/>
        <w:bottom w:val="none" w:sz="0" w:space="0" w:color="auto"/>
        <w:right w:val="none" w:sz="0" w:space="0" w:color="auto"/>
      </w:divBdr>
    </w:div>
    <w:div w:id="458302832">
      <w:bodyDiv w:val="1"/>
      <w:marLeft w:val="0"/>
      <w:marRight w:val="0"/>
      <w:marTop w:val="0"/>
      <w:marBottom w:val="0"/>
      <w:divBdr>
        <w:top w:val="none" w:sz="0" w:space="0" w:color="auto"/>
        <w:left w:val="none" w:sz="0" w:space="0" w:color="auto"/>
        <w:bottom w:val="none" w:sz="0" w:space="0" w:color="auto"/>
        <w:right w:val="none" w:sz="0" w:space="0" w:color="auto"/>
      </w:divBdr>
      <w:divsChild>
        <w:div w:id="383068455">
          <w:marLeft w:val="360"/>
          <w:marRight w:val="0"/>
          <w:marTop w:val="200"/>
          <w:marBottom w:val="0"/>
          <w:divBdr>
            <w:top w:val="none" w:sz="0" w:space="0" w:color="auto"/>
            <w:left w:val="none" w:sz="0" w:space="0" w:color="auto"/>
            <w:bottom w:val="none" w:sz="0" w:space="0" w:color="auto"/>
            <w:right w:val="none" w:sz="0" w:space="0" w:color="auto"/>
          </w:divBdr>
        </w:div>
        <w:div w:id="2110420817">
          <w:marLeft w:val="360"/>
          <w:marRight w:val="0"/>
          <w:marTop w:val="200"/>
          <w:marBottom w:val="0"/>
          <w:divBdr>
            <w:top w:val="none" w:sz="0" w:space="0" w:color="auto"/>
            <w:left w:val="none" w:sz="0" w:space="0" w:color="auto"/>
            <w:bottom w:val="none" w:sz="0" w:space="0" w:color="auto"/>
            <w:right w:val="none" w:sz="0" w:space="0" w:color="auto"/>
          </w:divBdr>
        </w:div>
        <w:div w:id="2066951901">
          <w:marLeft w:val="360"/>
          <w:marRight w:val="0"/>
          <w:marTop w:val="200"/>
          <w:marBottom w:val="0"/>
          <w:divBdr>
            <w:top w:val="none" w:sz="0" w:space="0" w:color="auto"/>
            <w:left w:val="none" w:sz="0" w:space="0" w:color="auto"/>
            <w:bottom w:val="none" w:sz="0" w:space="0" w:color="auto"/>
            <w:right w:val="none" w:sz="0" w:space="0" w:color="auto"/>
          </w:divBdr>
        </w:div>
        <w:div w:id="1562599882">
          <w:marLeft w:val="360"/>
          <w:marRight w:val="0"/>
          <w:marTop w:val="200"/>
          <w:marBottom w:val="0"/>
          <w:divBdr>
            <w:top w:val="none" w:sz="0" w:space="0" w:color="auto"/>
            <w:left w:val="none" w:sz="0" w:space="0" w:color="auto"/>
            <w:bottom w:val="none" w:sz="0" w:space="0" w:color="auto"/>
            <w:right w:val="none" w:sz="0" w:space="0" w:color="auto"/>
          </w:divBdr>
        </w:div>
      </w:divsChild>
    </w:div>
    <w:div w:id="703555709">
      <w:bodyDiv w:val="1"/>
      <w:marLeft w:val="0"/>
      <w:marRight w:val="0"/>
      <w:marTop w:val="0"/>
      <w:marBottom w:val="0"/>
      <w:divBdr>
        <w:top w:val="none" w:sz="0" w:space="0" w:color="auto"/>
        <w:left w:val="none" w:sz="0" w:space="0" w:color="auto"/>
        <w:bottom w:val="none" w:sz="0" w:space="0" w:color="auto"/>
        <w:right w:val="none" w:sz="0" w:space="0" w:color="auto"/>
      </w:divBdr>
    </w:div>
    <w:div w:id="1054046071">
      <w:bodyDiv w:val="1"/>
      <w:marLeft w:val="0"/>
      <w:marRight w:val="0"/>
      <w:marTop w:val="0"/>
      <w:marBottom w:val="0"/>
      <w:divBdr>
        <w:top w:val="none" w:sz="0" w:space="0" w:color="auto"/>
        <w:left w:val="none" w:sz="0" w:space="0" w:color="auto"/>
        <w:bottom w:val="none" w:sz="0" w:space="0" w:color="auto"/>
        <w:right w:val="none" w:sz="0" w:space="0" w:color="auto"/>
      </w:divBdr>
      <w:divsChild>
        <w:div w:id="924923993">
          <w:marLeft w:val="0"/>
          <w:marRight w:val="0"/>
          <w:marTop w:val="0"/>
          <w:marBottom w:val="0"/>
          <w:divBdr>
            <w:top w:val="none" w:sz="0" w:space="0" w:color="auto"/>
            <w:left w:val="none" w:sz="0" w:space="0" w:color="auto"/>
            <w:bottom w:val="none" w:sz="0" w:space="0" w:color="auto"/>
            <w:right w:val="none" w:sz="0" w:space="0" w:color="auto"/>
          </w:divBdr>
          <w:divsChild>
            <w:div w:id="988167270">
              <w:marLeft w:val="0"/>
              <w:marRight w:val="0"/>
              <w:marTop w:val="0"/>
              <w:marBottom w:val="0"/>
              <w:divBdr>
                <w:top w:val="none" w:sz="0" w:space="0" w:color="auto"/>
                <w:left w:val="none" w:sz="0" w:space="0" w:color="auto"/>
                <w:bottom w:val="none" w:sz="0" w:space="0" w:color="auto"/>
                <w:right w:val="none" w:sz="0" w:space="0" w:color="auto"/>
              </w:divBdr>
              <w:divsChild>
                <w:div w:id="297301495">
                  <w:marLeft w:val="0"/>
                  <w:marRight w:val="0"/>
                  <w:marTop w:val="0"/>
                  <w:marBottom w:val="0"/>
                  <w:divBdr>
                    <w:top w:val="none" w:sz="0" w:space="0" w:color="auto"/>
                    <w:left w:val="none" w:sz="0" w:space="0" w:color="auto"/>
                    <w:bottom w:val="none" w:sz="0" w:space="0" w:color="auto"/>
                    <w:right w:val="none" w:sz="0" w:space="0" w:color="auto"/>
                  </w:divBdr>
                  <w:divsChild>
                    <w:div w:id="2139641075">
                      <w:marLeft w:val="0"/>
                      <w:marRight w:val="0"/>
                      <w:marTop w:val="0"/>
                      <w:marBottom w:val="0"/>
                      <w:divBdr>
                        <w:top w:val="none" w:sz="0" w:space="0" w:color="auto"/>
                        <w:left w:val="none" w:sz="0" w:space="0" w:color="auto"/>
                        <w:bottom w:val="none" w:sz="0" w:space="0" w:color="auto"/>
                        <w:right w:val="none" w:sz="0" w:space="0" w:color="auto"/>
                      </w:divBdr>
                      <w:divsChild>
                        <w:div w:id="509180980">
                          <w:marLeft w:val="405"/>
                          <w:marRight w:val="0"/>
                          <w:marTop w:val="0"/>
                          <w:marBottom w:val="0"/>
                          <w:divBdr>
                            <w:top w:val="none" w:sz="0" w:space="0" w:color="auto"/>
                            <w:left w:val="none" w:sz="0" w:space="0" w:color="auto"/>
                            <w:bottom w:val="none" w:sz="0" w:space="0" w:color="auto"/>
                            <w:right w:val="none" w:sz="0" w:space="0" w:color="auto"/>
                          </w:divBdr>
                          <w:divsChild>
                            <w:div w:id="2072536582">
                              <w:marLeft w:val="0"/>
                              <w:marRight w:val="0"/>
                              <w:marTop w:val="0"/>
                              <w:marBottom w:val="0"/>
                              <w:divBdr>
                                <w:top w:val="none" w:sz="0" w:space="0" w:color="auto"/>
                                <w:left w:val="none" w:sz="0" w:space="0" w:color="auto"/>
                                <w:bottom w:val="none" w:sz="0" w:space="0" w:color="auto"/>
                                <w:right w:val="none" w:sz="0" w:space="0" w:color="auto"/>
                              </w:divBdr>
                              <w:divsChild>
                                <w:div w:id="282663544">
                                  <w:marLeft w:val="0"/>
                                  <w:marRight w:val="0"/>
                                  <w:marTop w:val="0"/>
                                  <w:marBottom w:val="0"/>
                                  <w:divBdr>
                                    <w:top w:val="none" w:sz="0" w:space="0" w:color="auto"/>
                                    <w:left w:val="none" w:sz="0" w:space="0" w:color="auto"/>
                                    <w:bottom w:val="none" w:sz="0" w:space="0" w:color="auto"/>
                                    <w:right w:val="none" w:sz="0" w:space="0" w:color="auto"/>
                                  </w:divBdr>
                                  <w:divsChild>
                                    <w:div w:id="190146738">
                                      <w:marLeft w:val="0"/>
                                      <w:marRight w:val="0"/>
                                      <w:marTop w:val="60"/>
                                      <w:marBottom w:val="0"/>
                                      <w:divBdr>
                                        <w:top w:val="none" w:sz="0" w:space="0" w:color="auto"/>
                                        <w:left w:val="none" w:sz="0" w:space="0" w:color="auto"/>
                                        <w:bottom w:val="none" w:sz="0" w:space="0" w:color="auto"/>
                                        <w:right w:val="none" w:sz="0" w:space="0" w:color="auto"/>
                                      </w:divBdr>
                                      <w:divsChild>
                                        <w:div w:id="1169172566">
                                          <w:marLeft w:val="0"/>
                                          <w:marRight w:val="0"/>
                                          <w:marTop w:val="0"/>
                                          <w:marBottom w:val="0"/>
                                          <w:divBdr>
                                            <w:top w:val="none" w:sz="0" w:space="0" w:color="auto"/>
                                            <w:left w:val="none" w:sz="0" w:space="0" w:color="auto"/>
                                            <w:bottom w:val="none" w:sz="0" w:space="0" w:color="auto"/>
                                            <w:right w:val="none" w:sz="0" w:space="0" w:color="auto"/>
                                          </w:divBdr>
                                          <w:divsChild>
                                            <w:div w:id="1190797202">
                                              <w:marLeft w:val="0"/>
                                              <w:marRight w:val="0"/>
                                              <w:marTop w:val="0"/>
                                              <w:marBottom w:val="0"/>
                                              <w:divBdr>
                                                <w:top w:val="none" w:sz="0" w:space="0" w:color="auto"/>
                                                <w:left w:val="none" w:sz="0" w:space="0" w:color="auto"/>
                                                <w:bottom w:val="none" w:sz="0" w:space="0" w:color="auto"/>
                                                <w:right w:val="none" w:sz="0" w:space="0" w:color="auto"/>
                                              </w:divBdr>
                                              <w:divsChild>
                                                <w:div w:id="614144027">
                                                  <w:marLeft w:val="0"/>
                                                  <w:marRight w:val="0"/>
                                                  <w:marTop w:val="0"/>
                                                  <w:marBottom w:val="0"/>
                                                  <w:divBdr>
                                                    <w:top w:val="none" w:sz="0" w:space="0" w:color="auto"/>
                                                    <w:left w:val="none" w:sz="0" w:space="0" w:color="auto"/>
                                                    <w:bottom w:val="none" w:sz="0" w:space="0" w:color="auto"/>
                                                    <w:right w:val="none" w:sz="0" w:space="0" w:color="auto"/>
                                                  </w:divBdr>
                                                  <w:divsChild>
                                                    <w:div w:id="1555389567">
                                                      <w:marLeft w:val="0"/>
                                                      <w:marRight w:val="0"/>
                                                      <w:marTop w:val="0"/>
                                                      <w:marBottom w:val="0"/>
                                                      <w:divBdr>
                                                        <w:top w:val="none" w:sz="0" w:space="0" w:color="auto"/>
                                                        <w:left w:val="none" w:sz="0" w:space="0" w:color="auto"/>
                                                        <w:bottom w:val="none" w:sz="0" w:space="0" w:color="auto"/>
                                                        <w:right w:val="none" w:sz="0" w:space="0" w:color="auto"/>
                                                      </w:divBdr>
                                                      <w:divsChild>
                                                        <w:div w:id="416174802">
                                                          <w:marLeft w:val="0"/>
                                                          <w:marRight w:val="0"/>
                                                          <w:marTop w:val="0"/>
                                                          <w:marBottom w:val="0"/>
                                                          <w:divBdr>
                                                            <w:top w:val="none" w:sz="0" w:space="0" w:color="auto"/>
                                                            <w:left w:val="none" w:sz="0" w:space="0" w:color="auto"/>
                                                            <w:bottom w:val="none" w:sz="0" w:space="0" w:color="auto"/>
                                                            <w:right w:val="none" w:sz="0" w:space="0" w:color="auto"/>
                                                          </w:divBdr>
                                                          <w:divsChild>
                                                            <w:div w:id="30152296">
                                                              <w:marLeft w:val="0"/>
                                                              <w:marRight w:val="0"/>
                                                              <w:marTop w:val="0"/>
                                                              <w:marBottom w:val="0"/>
                                                              <w:divBdr>
                                                                <w:top w:val="none" w:sz="0" w:space="0" w:color="auto"/>
                                                                <w:left w:val="none" w:sz="0" w:space="0" w:color="auto"/>
                                                                <w:bottom w:val="none" w:sz="0" w:space="0" w:color="auto"/>
                                                                <w:right w:val="none" w:sz="0" w:space="0" w:color="auto"/>
                                                              </w:divBdr>
                                                              <w:divsChild>
                                                                <w:div w:id="938097865">
                                                                  <w:marLeft w:val="0"/>
                                                                  <w:marRight w:val="0"/>
                                                                  <w:marTop w:val="0"/>
                                                                  <w:marBottom w:val="0"/>
                                                                  <w:divBdr>
                                                                    <w:top w:val="none" w:sz="0" w:space="0" w:color="auto"/>
                                                                    <w:left w:val="none" w:sz="0" w:space="0" w:color="auto"/>
                                                                    <w:bottom w:val="none" w:sz="0" w:space="0" w:color="auto"/>
                                                                    <w:right w:val="none" w:sz="0" w:space="0" w:color="auto"/>
                                                                  </w:divBdr>
                                                                  <w:divsChild>
                                                                    <w:div w:id="133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4903789">
      <w:bodyDiv w:val="1"/>
      <w:marLeft w:val="0"/>
      <w:marRight w:val="0"/>
      <w:marTop w:val="0"/>
      <w:marBottom w:val="0"/>
      <w:divBdr>
        <w:top w:val="none" w:sz="0" w:space="0" w:color="auto"/>
        <w:left w:val="none" w:sz="0" w:space="0" w:color="auto"/>
        <w:bottom w:val="none" w:sz="0" w:space="0" w:color="auto"/>
        <w:right w:val="none" w:sz="0" w:space="0" w:color="auto"/>
      </w:divBdr>
    </w:div>
    <w:div w:id="1492059841">
      <w:bodyDiv w:val="1"/>
      <w:marLeft w:val="0"/>
      <w:marRight w:val="0"/>
      <w:marTop w:val="0"/>
      <w:marBottom w:val="0"/>
      <w:divBdr>
        <w:top w:val="none" w:sz="0" w:space="0" w:color="auto"/>
        <w:left w:val="none" w:sz="0" w:space="0" w:color="auto"/>
        <w:bottom w:val="none" w:sz="0" w:space="0" w:color="auto"/>
        <w:right w:val="none" w:sz="0" w:space="0" w:color="auto"/>
      </w:divBdr>
    </w:div>
    <w:div w:id="1819151357">
      <w:bodyDiv w:val="1"/>
      <w:marLeft w:val="0"/>
      <w:marRight w:val="0"/>
      <w:marTop w:val="0"/>
      <w:marBottom w:val="0"/>
      <w:divBdr>
        <w:top w:val="none" w:sz="0" w:space="0" w:color="auto"/>
        <w:left w:val="none" w:sz="0" w:space="0" w:color="auto"/>
        <w:bottom w:val="none" w:sz="0" w:space="0" w:color="auto"/>
        <w:right w:val="none" w:sz="0" w:space="0" w:color="auto"/>
      </w:divBdr>
    </w:div>
    <w:div w:id="18379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AF23-AE44-4F37-8907-D32FA4A1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5573</Words>
  <Characters>31772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2022-12-12T07:29:00Z</dcterms:created>
  <dcterms:modified xsi:type="dcterms:W3CDTF">2022-12-12T07:29:00Z</dcterms:modified>
</cp:coreProperties>
</file>