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A1F" w:rsidRPr="002A4ED0" w:rsidRDefault="002A4ED0" w:rsidP="002A4ED0">
      <w:pPr>
        <w:suppressAutoHyphens/>
        <w:autoSpaceDN w:val="0"/>
        <w:spacing w:after="0" w:line="240" w:lineRule="auto"/>
        <w:textAlignment w:val="baseline"/>
        <w:rPr>
          <w:rFonts w:ascii="Arial" w:eastAsia="Times New Roman" w:hAnsi="Arial" w:cs="Arial"/>
          <w:b/>
          <w:bCs/>
          <w:color w:val="000000"/>
          <w:spacing w:val="6"/>
          <w:sz w:val="20"/>
          <w:szCs w:val="20"/>
          <w:lang w:val="en-GB" w:eastAsia="en-GB"/>
        </w:rPr>
      </w:pPr>
      <w:r>
        <w:rPr>
          <w:rFonts w:ascii="Arial" w:eastAsia="Times New Roman" w:hAnsi="Arial" w:cs="Arial"/>
          <w:b/>
          <w:bCs/>
          <w:color w:val="000000"/>
          <w:spacing w:val="6"/>
          <w:sz w:val="20"/>
          <w:szCs w:val="20"/>
          <w:lang w:val="en-GB" w:eastAsia="en-GB"/>
        </w:rPr>
        <w:t>Report on Water and Sanitation Analysis of the Portfolio Committee on Water and Sanitation Analysis of t</w:t>
      </w:r>
      <w:r w:rsidRPr="002A4ED0">
        <w:rPr>
          <w:rFonts w:ascii="Arial" w:eastAsia="Times New Roman" w:hAnsi="Arial" w:cs="Arial"/>
          <w:b/>
          <w:bCs/>
          <w:color w:val="000000"/>
          <w:spacing w:val="6"/>
          <w:sz w:val="20"/>
          <w:szCs w:val="20"/>
          <w:lang w:val="en-GB" w:eastAsia="en-GB"/>
        </w:rPr>
        <w:t>he First Quarter Expend</w:t>
      </w:r>
      <w:r>
        <w:rPr>
          <w:rFonts w:ascii="Arial" w:eastAsia="Times New Roman" w:hAnsi="Arial" w:cs="Arial"/>
          <w:b/>
          <w:bCs/>
          <w:color w:val="000000"/>
          <w:spacing w:val="6"/>
          <w:sz w:val="20"/>
          <w:szCs w:val="20"/>
          <w:lang w:val="en-GB" w:eastAsia="en-GB"/>
        </w:rPr>
        <w:t>iture Report on the Department o</w:t>
      </w:r>
      <w:r w:rsidRPr="002A4ED0">
        <w:rPr>
          <w:rFonts w:ascii="Arial" w:eastAsia="Times New Roman" w:hAnsi="Arial" w:cs="Arial"/>
          <w:b/>
          <w:bCs/>
          <w:color w:val="000000"/>
          <w:spacing w:val="6"/>
          <w:sz w:val="20"/>
          <w:szCs w:val="20"/>
          <w:lang w:val="en-GB" w:eastAsia="en-GB"/>
        </w:rPr>
        <w:t xml:space="preserve">f </w:t>
      </w:r>
      <w:r>
        <w:rPr>
          <w:rFonts w:ascii="Arial" w:eastAsia="Times New Roman" w:hAnsi="Arial" w:cs="Arial"/>
          <w:b/>
          <w:bCs/>
          <w:color w:val="000000"/>
          <w:spacing w:val="6"/>
          <w:sz w:val="20"/>
          <w:szCs w:val="20"/>
          <w:lang w:val="en-GB" w:eastAsia="en-GB"/>
        </w:rPr>
        <w:t>Water And Sanitation (Vote 41) f</w:t>
      </w:r>
      <w:r w:rsidRPr="002A4ED0">
        <w:rPr>
          <w:rFonts w:ascii="Arial" w:eastAsia="Times New Roman" w:hAnsi="Arial" w:cs="Arial"/>
          <w:b/>
          <w:bCs/>
          <w:color w:val="000000"/>
          <w:spacing w:val="6"/>
          <w:sz w:val="20"/>
          <w:szCs w:val="20"/>
          <w:lang w:val="en-GB" w:eastAsia="en-GB"/>
        </w:rPr>
        <w:t>or 2022/23, Dated 2 December 2022</w:t>
      </w:r>
    </w:p>
    <w:p w:rsidR="00BE1A1F" w:rsidRPr="002A4ED0" w:rsidRDefault="00BE1A1F" w:rsidP="002A4ED0">
      <w:pPr>
        <w:suppressAutoHyphens/>
        <w:autoSpaceDN w:val="0"/>
        <w:spacing w:after="0" w:line="240" w:lineRule="auto"/>
        <w:textAlignment w:val="baseline"/>
        <w:rPr>
          <w:rFonts w:ascii="Arial" w:eastAsia="Times New Roman" w:hAnsi="Arial" w:cs="Arial"/>
          <w:b/>
          <w:bCs/>
          <w:color w:val="000000"/>
          <w:spacing w:val="6"/>
          <w:sz w:val="20"/>
          <w:szCs w:val="20"/>
          <w:lang w:val="en-GB" w:eastAsia="en-GB"/>
        </w:rPr>
      </w:pPr>
    </w:p>
    <w:p w:rsidR="009162A7" w:rsidRPr="002A4ED0" w:rsidRDefault="009162A7" w:rsidP="002A4ED0">
      <w:pPr>
        <w:autoSpaceDE w:val="0"/>
        <w:autoSpaceDN w:val="0"/>
        <w:adjustRightInd w:val="0"/>
        <w:spacing w:after="0" w:line="240" w:lineRule="auto"/>
        <w:rPr>
          <w:rFonts w:ascii="Arial" w:hAnsi="Arial" w:cs="Arial"/>
          <w:sz w:val="20"/>
          <w:szCs w:val="20"/>
        </w:rPr>
      </w:pPr>
      <w:r w:rsidRPr="002A4ED0">
        <w:rPr>
          <w:rFonts w:ascii="Arial" w:hAnsi="Arial" w:cs="Arial"/>
          <w:sz w:val="20"/>
          <w:szCs w:val="20"/>
        </w:rPr>
        <w:t>The Portfolio Committee, having undertaken its oversight of the first quarterly expenditure report 2022/23 of the Department of Water and Sanitation (Vote 41) reports as follows:</w:t>
      </w:r>
    </w:p>
    <w:p w:rsidR="009162A7" w:rsidRPr="002A4ED0" w:rsidRDefault="009162A7" w:rsidP="002A4ED0">
      <w:pPr>
        <w:suppressAutoHyphens/>
        <w:autoSpaceDN w:val="0"/>
        <w:spacing w:after="0" w:line="240" w:lineRule="auto"/>
        <w:textAlignment w:val="baseline"/>
        <w:rPr>
          <w:rFonts w:ascii="Arial" w:eastAsia="Times New Roman" w:hAnsi="Arial" w:cs="Arial"/>
          <w:b/>
          <w:bCs/>
          <w:color w:val="000000"/>
          <w:spacing w:val="6"/>
          <w:sz w:val="20"/>
          <w:szCs w:val="20"/>
          <w:lang w:val="en-GB" w:eastAsia="en-GB"/>
        </w:rPr>
      </w:pPr>
    </w:p>
    <w:p w:rsidR="00BE1A1F" w:rsidRPr="002A4ED0" w:rsidRDefault="009162A7" w:rsidP="002A4ED0">
      <w:pPr>
        <w:autoSpaceDE w:val="0"/>
        <w:autoSpaceDN w:val="0"/>
        <w:adjustRightInd w:val="0"/>
        <w:spacing w:after="0" w:line="240" w:lineRule="auto"/>
        <w:rPr>
          <w:rFonts w:ascii="Arial" w:hAnsi="Arial" w:cs="Arial"/>
          <w:b/>
          <w:sz w:val="20"/>
          <w:szCs w:val="20"/>
        </w:rPr>
      </w:pPr>
      <w:r w:rsidRPr="002A4ED0">
        <w:rPr>
          <w:rFonts w:ascii="Arial" w:hAnsi="Arial" w:cs="Arial"/>
          <w:b/>
          <w:sz w:val="20"/>
          <w:szCs w:val="20"/>
        </w:rPr>
        <w:t>1</w:t>
      </w:r>
      <w:r w:rsidR="00FA2483" w:rsidRPr="002A4ED0">
        <w:rPr>
          <w:rFonts w:ascii="Arial" w:hAnsi="Arial" w:cs="Arial"/>
          <w:b/>
          <w:sz w:val="20"/>
          <w:szCs w:val="20"/>
        </w:rPr>
        <w:t>.</w:t>
      </w:r>
      <w:r w:rsidR="00FA2483" w:rsidRPr="002A4ED0">
        <w:rPr>
          <w:rFonts w:ascii="Arial" w:hAnsi="Arial" w:cs="Arial"/>
          <w:b/>
          <w:sz w:val="20"/>
          <w:szCs w:val="20"/>
        </w:rPr>
        <w:tab/>
        <w:t>Introduction</w:t>
      </w:r>
    </w:p>
    <w:p w:rsidR="00BE1A1F" w:rsidRPr="002A4ED0" w:rsidRDefault="00BE1A1F" w:rsidP="002A4ED0">
      <w:pPr>
        <w:autoSpaceDE w:val="0"/>
        <w:autoSpaceDN w:val="0"/>
        <w:adjustRightInd w:val="0"/>
        <w:spacing w:after="0" w:line="240" w:lineRule="auto"/>
        <w:rPr>
          <w:rFonts w:ascii="Arial" w:hAnsi="Arial" w:cs="Arial"/>
          <w:b/>
          <w:sz w:val="20"/>
          <w:szCs w:val="20"/>
        </w:rPr>
      </w:pPr>
    </w:p>
    <w:p w:rsidR="009162A7" w:rsidRPr="002A4ED0" w:rsidRDefault="00BE1A1F" w:rsidP="002A4ED0">
      <w:pPr>
        <w:autoSpaceDE w:val="0"/>
        <w:autoSpaceDN w:val="0"/>
        <w:adjustRightInd w:val="0"/>
        <w:spacing w:after="0" w:line="240" w:lineRule="auto"/>
        <w:rPr>
          <w:rFonts w:ascii="Arial" w:hAnsi="Arial" w:cs="Arial"/>
          <w:sz w:val="20"/>
          <w:szCs w:val="20"/>
        </w:rPr>
      </w:pPr>
      <w:r w:rsidRPr="002A4ED0">
        <w:rPr>
          <w:rFonts w:ascii="Arial" w:hAnsi="Arial" w:cs="Arial"/>
          <w:sz w:val="20"/>
          <w:szCs w:val="20"/>
        </w:rPr>
        <w:t>In compliance with the provisions of the P</w:t>
      </w:r>
      <w:r w:rsidR="00685D96" w:rsidRPr="002A4ED0">
        <w:rPr>
          <w:rFonts w:ascii="Arial" w:hAnsi="Arial" w:cs="Arial"/>
          <w:sz w:val="20"/>
          <w:szCs w:val="20"/>
        </w:rPr>
        <w:t xml:space="preserve">ublic Finance Management Act </w:t>
      </w:r>
      <w:r w:rsidR="00C9455C" w:rsidRPr="002A4ED0">
        <w:rPr>
          <w:rFonts w:ascii="Arial" w:hAnsi="Arial" w:cs="Arial"/>
          <w:sz w:val="20"/>
          <w:szCs w:val="20"/>
        </w:rPr>
        <w:t>(P</w:t>
      </w:r>
      <w:r w:rsidRPr="002A4ED0">
        <w:rPr>
          <w:rFonts w:ascii="Arial" w:hAnsi="Arial" w:cs="Arial"/>
          <w:sz w:val="20"/>
          <w:szCs w:val="20"/>
        </w:rPr>
        <w:t>FMA</w:t>
      </w:r>
      <w:r w:rsidR="00C9455C" w:rsidRPr="002A4ED0">
        <w:rPr>
          <w:rFonts w:ascii="Arial" w:hAnsi="Arial" w:cs="Arial"/>
          <w:sz w:val="20"/>
          <w:szCs w:val="20"/>
        </w:rPr>
        <w:t>)</w:t>
      </w:r>
      <w:r w:rsidRPr="002A4ED0">
        <w:rPr>
          <w:rFonts w:ascii="Arial" w:hAnsi="Arial" w:cs="Arial"/>
          <w:sz w:val="20"/>
          <w:szCs w:val="20"/>
        </w:rPr>
        <w:t xml:space="preserve">, the Department of Water and Sanitation (hereinafter the Department), submitted </w:t>
      </w:r>
      <w:r w:rsidR="003166C9" w:rsidRPr="002A4ED0">
        <w:rPr>
          <w:rFonts w:ascii="Arial" w:hAnsi="Arial" w:cs="Arial"/>
          <w:sz w:val="20"/>
          <w:szCs w:val="20"/>
        </w:rPr>
        <w:t>its</w:t>
      </w:r>
      <w:r w:rsidRPr="002A4ED0">
        <w:rPr>
          <w:rFonts w:ascii="Arial" w:hAnsi="Arial" w:cs="Arial"/>
          <w:sz w:val="20"/>
          <w:szCs w:val="20"/>
        </w:rPr>
        <w:t xml:space="preserve"> quarterly expenditure report to the Portfolio Committee on Water and Sanitation (hereinafter the Portfolio Committee)</w:t>
      </w:r>
      <w:r w:rsidR="003166C9" w:rsidRPr="002A4ED0">
        <w:rPr>
          <w:rFonts w:ascii="Arial" w:hAnsi="Arial" w:cs="Arial"/>
          <w:sz w:val="20"/>
          <w:szCs w:val="20"/>
        </w:rPr>
        <w:t xml:space="preserve"> on 20</w:t>
      </w:r>
      <w:r w:rsidR="00685D96" w:rsidRPr="002A4ED0">
        <w:rPr>
          <w:rFonts w:ascii="Arial" w:hAnsi="Arial" w:cs="Arial"/>
          <w:sz w:val="20"/>
          <w:szCs w:val="20"/>
        </w:rPr>
        <w:t xml:space="preserve"> September 2022</w:t>
      </w:r>
      <w:r w:rsidRPr="002A4ED0">
        <w:rPr>
          <w:rFonts w:ascii="Arial" w:hAnsi="Arial" w:cs="Arial"/>
          <w:sz w:val="20"/>
          <w:szCs w:val="20"/>
        </w:rPr>
        <w:t xml:space="preserve">.  The purpose of Vote 41: Department of Water and Sanitation is to ensure the availability of water resources to facilitate equitable and sustainable socio-economic development, and ensure universal access to water and sanitation services.  </w:t>
      </w:r>
    </w:p>
    <w:p w:rsidR="009162A7" w:rsidRPr="002A4ED0" w:rsidRDefault="009162A7" w:rsidP="002A4ED0">
      <w:pPr>
        <w:autoSpaceDE w:val="0"/>
        <w:autoSpaceDN w:val="0"/>
        <w:adjustRightInd w:val="0"/>
        <w:spacing w:after="0" w:line="240" w:lineRule="auto"/>
        <w:rPr>
          <w:rFonts w:ascii="Arial" w:hAnsi="Arial" w:cs="Arial"/>
          <w:sz w:val="20"/>
          <w:szCs w:val="20"/>
        </w:rPr>
      </w:pPr>
    </w:p>
    <w:p w:rsidR="00BE1A1F" w:rsidRPr="002A4ED0" w:rsidRDefault="00BE1A1F" w:rsidP="002A4ED0">
      <w:pPr>
        <w:autoSpaceDE w:val="0"/>
        <w:autoSpaceDN w:val="0"/>
        <w:adjustRightInd w:val="0"/>
        <w:spacing w:after="0" w:line="240" w:lineRule="auto"/>
        <w:rPr>
          <w:rFonts w:ascii="Arial" w:hAnsi="Arial" w:cs="Arial"/>
          <w:sz w:val="20"/>
          <w:szCs w:val="20"/>
        </w:rPr>
      </w:pPr>
      <w:r w:rsidRPr="002A4ED0">
        <w:rPr>
          <w:rFonts w:ascii="Arial" w:hAnsi="Arial" w:cs="Arial"/>
          <w:sz w:val="20"/>
          <w:szCs w:val="20"/>
        </w:rPr>
        <w:t>The mandate of the Department is set out in the National Water Act (1998) and the Water Services Act (1997).  The Department’s legislative mandate is to ensure that the country’s water resources are protected, managed, used, developed, conserved and controlled by regulating and supporting the delivery of effective water supply and sanitation.  This is done in accordance with the requirements of water-related policies and legislation that are critical in delivering on people’s rights to have sufficient food and water, growing the economy and eradicating poverty</w:t>
      </w:r>
      <w:r w:rsidR="004B7D50" w:rsidRPr="002A4ED0">
        <w:rPr>
          <w:rFonts w:ascii="Arial" w:hAnsi="Arial" w:cs="Arial"/>
          <w:sz w:val="20"/>
          <w:szCs w:val="20"/>
        </w:rPr>
        <w:t>.</w:t>
      </w:r>
    </w:p>
    <w:p w:rsidR="00C90C41" w:rsidRPr="002A4ED0" w:rsidRDefault="00C90C41" w:rsidP="002A4ED0">
      <w:pPr>
        <w:autoSpaceDE w:val="0"/>
        <w:autoSpaceDN w:val="0"/>
        <w:adjustRightInd w:val="0"/>
        <w:spacing w:after="0" w:line="240" w:lineRule="auto"/>
        <w:rPr>
          <w:rFonts w:ascii="Arial" w:hAnsi="Arial" w:cs="Arial"/>
          <w:sz w:val="20"/>
          <w:szCs w:val="20"/>
        </w:rPr>
      </w:pPr>
    </w:p>
    <w:p w:rsidR="00FA2483" w:rsidRPr="002A4ED0" w:rsidRDefault="00FA2483" w:rsidP="002A4ED0">
      <w:pPr>
        <w:autoSpaceDE w:val="0"/>
        <w:autoSpaceDN w:val="0"/>
        <w:adjustRightInd w:val="0"/>
        <w:spacing w:after="0" w:line="240" w:lineRule="auto"/>
        <w:rPr>
          <w:rFonts w:ascii="Arial" w:hAnsi="Arial" w:cs="Arial"/>
          <w:b/>
          <w:sz w:val="20"/>
          <w:szCs w:val="20"/>
        </w:rPr>
      </w:pPr>
      <w:r w:rsidRPr="002A4ED0">
        <w:rPr>
          <w:rFonts w:ascii="Arial" w:hAnsi="Arial" w:cs="Arial"/>
          <w:b/>
          <w:sz w:val="20"/>
          <w:szCs w:val="20"/>
        </w:rPr>
        <w:t>2.</w:t>
      </w:r>
      <w:r w:rsidRPr="002A4ED0">
        <w:rPr>
          <w:rFonts w:ascii="Arial" w:hAnsi="Arial" w:cs="Arial"/>
          <w:b/>
          <w:sz w:val="20"/>
          <w:szCs w:val="20"/>
        </w:rPr>
        <w:tab/>
        <w:t>Challenges and Achievements</w:t>
      </w:r>
    </w:p>
    <w:p w:rsidR="00FA2483" w:rsidRPr="002A4ED0" w:rsidRDefault="00FA2483" w:rsidP="002A4ED0">
      <w:pPr>
        <w:autoSpaceDE w:val="0"/>
        <w:autoSpaceDN w:val="0"/>
        <w:adjustRightInd w:val="0"/>
        <w:spacing w:after="0" w:line="240" w:lineRule="auto"/>
        <w:rPr>
          <w:rFonts w:ascii="Arial" w:hAnsi="Arial" w:cs="Arial"/>
          <w:sz w:val="20"/>
          <w:szCs w:val="20"/>
        </w:rPr>
      </w:pPr>
    </w:p>
    <w:p w:rsidR="00C90C41" w:rsidRPr="002A4ED0" w:rsidRDefault="00A503D7" w:rsidP="002A4ED0">
      <w:pPr>
        <w:autoSpaceDE w:val="0"/>
        <w:autoSpaceDN w:val="0"/>
        <w:adjustRightInd w:val="0"/>
        <w:spacing w:after="0" w:line="240" w:lineRule="auto"/>
        <w:rPr>
          <w:rFonts w:ascii="Arial" w:hAnsi="Arial" w:cs="Arial"/>
          <w:sz w:val="20"/>
          <w:szCs w:val="20"/>
        </w:rPr>
      </w:pPr>
      <w:r w:rsidRPr="002A4ED0">
        <w:rPr>
          <w:rFonts w:ascii="Arial" w:hAnsi="Arial" w:cs="Arial"/>
          <w:sz w:val="20"/>
          <w:szCs w:val="20"/>
        </w:rPr>
        <w:t>At the outset of the briefing</w:t>
      </w:r>
      <w:r w:rsidR="00C97B01" w:rsidRPr="002A4ED0">
        <w:rPr>
          <w:rFonts w:ascii="Arial" w:hAnsi="Arial" w:cs="Arial"/>
          <w:sz w:val="20"/>
          <w:szCs w:val="20"/>
        </w:rPr>
        <w:t xml:space="preserve"> on the first quarter expenditure performance</w:t>
      </w:r>
      <w:r w:rsidRPr="002A4ED0">
        <w:rPr>
          <w:rFonts w:ascii="Arial" w:hAnsi="Arial" w:cs="Arial"/>
          <w:sz w:val="20"/>
          <w:szCs w:val="20"/>
        </w:rPr>
        <w:t xml:space="preserve">, the Minister of Water and Sanitation, Minister </w:t>
      </w:r>
      <w:r w:rsidR="004B7D50" w:rsidRPr="002A4ED0">
        <w:rPr>
          <w:rFonts w:ascii="Arial" w:hAnsi="Arial" w:cs="Arial"/>
          <w:sz w:val="20"/>
          <w:szCs w:val="20"/>
        </w:rPr>
        <w:t xml:space="preserve">S </w:t>
      </w:r>
      <w:r w:rsidR="00C97B01" w:rsidRPr="002A4ED0">
        <w:rPr>
          <w:rFonts w:ascii="Arial" w:hAnsi="Arial" w:cs="Arial"/>
          <w:sz w:val="20"/>
          <w:szCs w:val="20"/>
        </w:rPr>
        <w:t>Mchunu</w:t>
      </w:r>
      <w:r w:rsidR="003166C9" w:rsidRPr="002A4ED0">
        <w:rPr>
          <w:rFonts w:ascii="Arial" w:hAnsi="Arial" w:cs="Arial"/>
          <w:sz w:val="20"/>
          <w:szCs w:val="20"/>
        </w:rPr>
        <w:t>,</w:t>
      </w:r>
      <w:r w:rsidR="00C97B01" w:rsidRPr="002A4ED0">
        <w:rPr>
          <w:rFonts w:ascii="Arial" w:hAnsi="Arial" w:cs="Arial"/>
          <w:sz w:val="20"/>
          <w:szCs w:val="20"/>
        </w:rPr>
        <w:t xml:space="preserve"> acknowledged the findings of the Auditor-General of South Africa on its financial performance for the 2020/21 financial year.  </w:t>
      </w:r>
      <w:r w:rsidR="003166C9" w:rsidRPr="002A4ED0">
        <w:rPr>
          <w:rFonts w:ascii="Arial" w:hAnsi="Arial" w:cs="Arial"/>
          <w:sz w:val="20"/>
          <w:szCs w:val="20"/>
        </w:rPr>
        <w:t xml:space="preserve">Several </w:t>
      </w:r>
      <w:r w:rsidR="00C97B01" w:rsidRPr="002A4ED0">
        <w:rPr>
          <w:rFonts w:ascii="Arial" w:hAnsi="Arial" w:cs="Arial"/>
          <w:sz w:val="20"/>
          <w:szCs w:val="20"/>
        </w:rPr>
        <w:t xml:space="preserve">challenges still confront the optimal functioning of the Department. This includes its financial performance and position, </w:t>
      </w:r>
      <w:r w:rsidR="003166C9" w:rsidRPr="002A4ED0">
        <w:rPr>
          <w:rFonts w:ascii="Arial" w:hAnsi="Arial" w:cs="Arial"/>
          <w:sz w:val="20"/>
          <w:szCs w:val="20"/>
        </w:rPr>
        <w:t xml:space="preserve">service delivery challenges, </w:t>
      </w:r>
      <w:r w:rsidR="00C97B01" w:rsidRPr="002A4ED0">
        <w:rPr>
          <w:rFonts w:ascii="Arial" w:hAnsi="Arial" w:cs="Arial"/>
          <w:sz w:val="20"/>
          <w:szCs w:val="20"/>
        </w:rPr>
        <w:t>clearing of legacy cases involving unauthorised, irregular, fruitless and wasteful expenditure, fraud and corruption and institutional performance challenges within the water sector value chain.</w:t>
      </w:r>
      <w:r w:rsidR="001C6E77" w:rsidRPr="002A4ED0">
        <w:rPr>
          <w:rFonts w:ascii="Arial" w:hAnsi="Arial" w:cs="Arial"/>
          <w:sz w:val="20"/>
          <w:szCs w:val="20"/>
        </w:rPr>
        <w:t xml:space="preserve"> </w:t>
      </w:r>
      <w:r w:rsidR="00684C7F" w:rsidRPr="002A4ED0">
        <w:rPr>
          <w:rFonts w:ascii="Arial" w:hAnsi="Arial" w:cs="Arial"/>
          <w:sz w:val="20"/>
          <w:szCs w:val="20"/>
        </w:rPr>
        <w:t>National Treasury is currently assessing applications</w:t>
      </w:r>
      <w:r w:rsidR="00704682" w:rsidRPr="002A4ED0">
        <w:rPr>
          <w:rFonts w:ascii="Arial" w:hAnsi="Arial" w:cs="Arial"/>
          <w:sz w:val="20"/>
          <w:szCs w:val="20"/>
        </w:rPr>
        <w:t xml:space="preserve"> by the Department</w:t>
      </w:r>
      <w:r w:rsidR="00684C7F" w:rsidRPr="002A4ED0">
        <w:rPr>
          <w:rFonts w:ascii="Arial" w:hAnsi="Arial" w:cs="Arial"/>
          <w:sz w:val="20"/>
          <w:szCs w:val="20"/>
        </w:rPr>
        <w:t xml:space="preserve"> for condonations</w:t>
      </w:r>
      <w:r w:rsidR="001C6E77" w:rsidRPr="002A4ED0">
        <w:rPr>
          <w:rFonts w:ascii="Arial" w:hAnsi="Arial" w:cs="Arial"/>
          <w:sz w:val="20"/>
          <w:szCs w:val="20"/>
        </w:rPr>
        <w:t>.</w:t>
      </w:r>
    </w:p>
    <w:p w:rsidR="00DD654A" w:rsidRPr="002A4ED0" w:rsidRDefault="00DD654A" w:rsidP="002A4ED0">
      <w:pPr>
        <w:autoSpaceDE w:val="0"/>
        <w:autoSpaceDN w:val="0"/>
        <w:adjustRightInd w:val="0"/>
        <w:spacing w:after="0" w:line="240" w:lineRule="auto"/>
        <w:rPr>
          <w:rFonts w:ascii="Arial" w:hAnsi="Arial" w:cs="Arial"/>
          <w:sz w:val="20"/>
          <w:szCs w:val="20"/>
        </w:rPr>
      </w:pPr>
    </w:p>
    <w:p w:rsidR="00C97B01" w:rsidRPr="002A4ED0" w:rsidRDefault="00FA2483" w:rsidP="002A4ED0">
      <w:pPr>
        <w:autoSpaceDE w:val="0"/>
        <w:autoSpaceDN w:val="0"/>
        <w:adjustRightInd w:val="0"/>
        <w:spacing w:after="0" w:line="240" w:lineRule="auto"/>
        <w:rPr>
          <w:rFonts w:ascii="Arial" w:hAnsi="Arial" w:cs="Arial"/>
          <w:sz w:val="20"/>
          <w:szCs w:val="20"/>
        </w:rPr>
      </w:pPr>
      <w:r w:rsidRPr="002A4ED0">
        <w:rPr>
          <w:rFonts w:ascii="Arial" w:hAnsi="Arial" w:cs="Arial"/>
          <w:sz w:val="20"/>
          <w:szCs w:val="20"/>
        </w:rPr>
        <w:t>The Department stressed that it has developed and currently implementing a turnaround and financial recovery plan addressing the strategic context, performance and consequence management systems, strategic leadership, institutional stabilisation and transformation, sustainable service delivery, infrastructure maintenance and development, and financial management.</w:t>
      </w:r>
    </w:p>
    <w:p w:rsidR="00366E7A" w:rsidRPr="002A4ED0" w:rsidRDefault="00366E7A" w:rsidP="002A4ED0">
      <w:pPr>
        <w:autoSpaceDE w:val="0"/>
        <w:autoSpaceDN w:val="0"/>
        <w:adjustRightInd w:val="0"/>
        <w:spacing w:after="0" w:line="240" w:lineRule="auto"/>
        <w:rPr>
          <w:rFonts w:ascii="Arial" w:hAnsi="Arial" w:cs="Arial"/>
          <w:sz w:val="20"/>
          <w:szCs w:val="20"/>
        </w:rPr>
      </w:pPr>
    </w:p>
    <w:p w:rsidR="00366E7A" w:rsidRPr="002A4ED0" w:rsidRDefault="00366E7A" w:rsidP="002A4ED0">
      <w:pPr>
        <w:autoSpaceDE w:val="0"/>
        <w:autoSpaceDN w:val="0"/>
        <w:adjustRightInd w:val="0"/>
        <w:spacing w:after="0" w:line="240" w:lineRule="auto"/>
        <w:rPr>
          <w:rFonts w:ascii="Arial" w:hAnsi="Arial" w:cs="Arial"/>
          <w:color w:val="333333"/>
          <w:sz w:val="20"/>
          <w:szCs w:val="20"/>
          <w:shd w:val="clear" w:color="auto" w:fill="FFFFFF"/>
        </w:rPr>
      </w:pPr>
      <w:r w:rsidRPr="002A4ED0">
        <w:rPr>
          <w:rFonts w:ascii="Arial" w:hAnsi="Arial" w:cs="Arial"/>
          <w:color w:val="333333"/>
          <w:sz w:val="20"/>
          <w:szCs w:val="20"/>
          <w:shd w:val="clear" w:color="auto" w:fill="FFFFFF"/>
        </w:rPr>
        <w:t>There were ongoing interventions to correct systematic challenges within the water sector, which were being done in collaboration with National Treasury, COGTA, municipalities and water boards.</w:t>
      </w:r>
    </w:p>
    <w:p w:rsidR="00366E7A" w:rsidRPr="002A4ED0" w:rsidRDefault="00366E7A" w:rsidP="002A4ED0">
      <w:pPr>
        <w:autoSpaceDE w:val="0"/>
        <w:autoSpaceDN w:val="0"/>
        <w:adjustRightInd w:val="0"/>
        <w:spacing w:after="0" w:line="240" w:lineRule="auto"/>
        <w:rPr>
          <w:rFonts w:ascii="Arial" w:hAnsi="Arial" w:cs="Arial"/>
          <w:color w:val="333333"/>
          <w:sz w:val="20"/>
          <w:szCs w:val="20"/>
          <w:shd w:val="clear" w:color="auto" w:fill="FFFFFF"/>
        </w:rPr>
      </w:pPr>
      <w:r w:rsidRPr="002A4ED0">
        <w:rPr>
          <w:rFonts w:ascii="Arial" w:hAnsi="Arial" w:cs="Arial"/>
          <w:color w:val="333333"/>
          <w:sz w:val="20"/>
          <w:szCs w:val="20"/>
        </w:rPr>
        <w:br/>
      </w:r>
      <w:r w:rsidRPr="002A4ED0">
        <w:rPr>
          <w:rFonts w:ascii="Arial" w:hAnsi="Arial" w:cs="Arial"/>
          <w:color w:val="333333"/>
          <w:sz w:val="20"/>
          <w:szCs w:val="20"/>
          <w:shd w:val="clear" w:color="auto" w:fill="FFFFFF"/>
        </w:rPr>
        <w:t xml:space="preserve">A total of 23 senior management posts </w:t>
      </w:r>
      <w:r w:rsidR="00247BC2" w:rsidRPr="002A4ED0">
        <w:rPr>
          <w:rFonts w:ascii="Arial" w:hAnsi="Arial" w:cs="Arial"/>
          <w:color w:val="333333"/>
          <w:sz w:val="20"/>
          <w:szCs w:val="20"/>
          <w:shd w:val="clear" w:color="auto" w:fill="FFFFFF"/>
        </w:rPr>
        <w:t>have</w:t>
      </w:r>
      <w:r w:rsidRPr="002A4ED0">
        <w:rPr>
          <w:rFonts w:ascii="Arial" w:hAnsi="Arial" w:cs="Arial"/>
          <w:color w:val="333333"/>
          <w:sz w:val="20"/>
          <w:szCs w:val="20"/>
          <w:shd w:val="clear" w:color="auto" w:fill="FFFFFF"/>
        </w:rPr>
        <w:t xml:space="preserve"> been filled since the start of the 2021/2022 financial year, including the Director-General post, which was filled with effect from 1 January 2022. The Chief Financial Officer (CFO) and all other Deputy Director-General (DDG) posts had also been filled. All Chief Director posts had been filled, except for the post vacated by the current CFO, and the incumbent would assume duty on 1 October. One vacant director post, that of the Forensic Investigation and Quality Assurance -- was in the process of being filled. The Forensic Investigation Unit had eight investigators, three of whom had since vacated their positions. This created a capacity constraint.</w:t>
      </w:r>
    </w:p>
    <w:p w:rsidR="00366E7A" w:rsidRPr="002A4ED0" w:rsidRDefault="00366E7A" w:rsidP="002A4ED0">
      <w:pPr>
        <w:autoSpaceDE w:val="0"/>
        <w:autoSpaceDN w:val="0"/>
        <w:adjustRightInd w:val="0"/>
        <w:spacing w:after="0" w:line="240" w:lineRule="auto"/>
        <w:rPr>
          <w:rFonts w:ascii="Arial" w:hAnsi="Arial" w:cs="Arial"/>
          <w:sz w:val="20"/>
          <w:szCs w:val="20"/>
        </w:rPr>
      </w:pPr>
      <w:r w:rsidRPr="002A4ED0">
        <w:rPr>
          <w:rFonts w:ascii="Arial" w:hAnsi="Arial" w:cs="Arial"/>
          <w:color w:val="333333"/>
          <w:sz w:val="20"/>
          <w:szCs w:val="20"/>
        </w:rPr>
        <w:br/>
      </w:r>
      <w:r w:rsidRPr="002A4ED0">
        <w:rPr>
          <w:rFonts w:ascii="Arial" w:hAnsi="Arial" w:cs="Arial"/>
          <w:color w:val="333333"/>
          <w:sz w:val="20"/>
          <w:szCs w:val="20"/>
          <w:shd w:val="clear" w:color="auto" w:fill="FFFFFF"/>
        </w:rPr>
        <w:t xml:space="preserve">The DWS was now following a proactive approach, preparing recruitment and selection processes in instances where it became aware of future </w:t>
      </w:r>
      <w:r w:rsidR="00247BC2" w:rsidRPr="002A4ED0">
        <w:rPr>
          <w:rFonts w:ascii="Arial" w:hAnsi="Arial" w:cs="Arial"/>
          <w:color w:val="333333"/>
          <w:sz w:val="20"/>
          <w:szCs w:val="20"/>
          <w:shd w:val="clear" w:color="auto" w:fill="FFFFFF"/>
        </w:rPr>
        <w:t xml:space="preserve">vacancies. It was also </w:t>
      </w:r>
      <w:r w:rsidRPr="002A4ED0">
        <w:rPr>
          <w:rFonts w:ascii="Arial" w:hAnsi="Arial" w:cs="Arial"/>
          <w:color w:val="333333"/>
          <w:sz w:val="20"/>
          <w:szCs w:val="20"/>
          <w:shd w:val="clear" w:color="auto" w:fill="FFFFFF"/>
        </w:rPr>
        <w:t>reprioritising other critical vacancies in line with the compensation of employees (CoE) budget</w:t>
      </w:r>
      <w:r w:rsidR="00247BC2" w:rsidRPr="002A4ED0">
        <w:rPr>
          <w:rFonts w:ascii="Arial" w:hAnsi="Arial" w:cs="Arial"/>
          <w:color w:val="333333"/>
          <w:sz w:val="20"/>
          <w:szCs w:val="20"/>
          <w:shd w:val="clear" w:color="auto" w:fill="FFFFFF"/>
        </w:rPr>
        <w:t xml:space="preserve"> allocation for the 2022 medium-</w:t>
      </w:r>
      <w:r w:rsidRPr="002A4ED0">
        <w:rPr>
          <w:rFonts w:ascii="Arial" w:hAnsi="Arial" w:cs="Arial"/>
          <w:color w:val="333333"/>
          <w:sz w:val="20"/>
          <w:szCs w:val="20"/>
          <w:shd w:val="clear" w:color="auto" w:fill="FFFFFF"/>
        </w:rPr>
        <w:t>term expenditure framework (MTEF), and in line with the approved organisational structure. Specific emphasis was being placed on professional and critical positions.</w:t>
      </w:r>
    </w:p>
    <w:p w:rsidR="00FA2483" w:rsidRPr="002A4ED0" w:rsidRDefault="00FA2483" w:rsidP="002A4ED0">
      <w:pPr>
        <w:autoSpaceDE w:val="0"/>
        <w:autoSpaceDN w:val="0"/>
        <w:adjustRightInd w:val="0"/>
        <w:spacing w:after="0" w:line="240" w:lineRule="auto"/>
        <w:rPr>
          <w:rFonts w:ascii="Arial" w:hAnsi="Arial" w:cs="Arial"/>
          <w:sz w:val="20"/>
          <w:szCs w:val="20"/>
        </w:rPr>
      </w:pPr>
    </w:p>
    <w:p w:rsidR="00BE1A1F" w:rsidRPr="002A4ED0" w:rsidRDefault="00247BC2" w:rsidP="002A4ED0">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2A4ED0">
        <w:rPr>
          <w:rFonts w:ascii="Arial" w:eastAsia="Times New Roman" w:hAnsi="Arial" w:cs="Arial"/>
          <w:b/>
          <w:color w:val="000000"/>
          <w:spacing w:val="6"/>
          <w:sz w:val="20"/>
          <w:szCs w:val="20"/>
          <w:lang w:val="en-GB" w:eastAsia="en-GB"/>
        </w:rPr>
        <w:t>3.</w:t>
      </w:r>
      <w:r w:rsidRPr="002A4ED0">
        <w:rPr>
          <w:rFonts w:ascii="Arial" w:eastAsia="Times New Roman" w:hAnsi="Arial" w:cs="Arial"/>
          <w:b/>
          <w:color w:val="000000"/>
          <w:spacing w:val="6"/>
          <w:sz w:val="20"/>
          <w:szCs w:val="20"/>
          <w:lang w:val="en-GB" w:eastAsia="en-GB"/>
        </w:rPr>
        <w:tab/>
        <w:t xml:space="preserve">EXPENDITURE </w:t>
      </w:r>
      <w:r w:rsidR="00BE1A1F" w:rsidRPr="002A4ED0">
        <w:rPr>
          <w:rFonts w:ascii="Arial" w:eastAsia="Times New Roman" w:hAnsi="Arial" w:cs="Arial"/>
          <w:b/>
          <w:color w:val="000000"/>
          <w:spacing w:val="6"/>
          <w:sz w:val="20"/>
          <w:szCs w:val="20"/>
          <w:lang w:val="en-GB" w:eastAsia="en-GB"/>
        </w:rPr>
        <w:t xml:space="preserve">AGAINST ATTAINMENT OF PERFORMANCE </w:t>
      </w:r>
      <w:r w:rsidR="00BE1A1F" w:rsidRPr="002A4ED0">
        <w:rPr>
          <w:rFonts w:ascii="Arial" w:eastAsia="Times New Roman" w:hAnsi="Arial" w:cs="Arial"/>
          <w:b/>
          <w:color w:val="000000"/>
          <w:spacing w:val="6"/>
          <w:sz w:val="20"/>
          <w:szCs w:val="20"/>
          <w:lang w:val="en-GB" w:eastAsia="en-GB"/>
        </w:rPr>
        <w:tab/>
        <w:t>TARGETS</w:t>
      </w:r>
    </w:p>
    <w:p w:rsidR="009042D0" w:rsidRPr="002A4ED0" w:rsidRDefault="009042D0" w:rsidP="002A4ED0">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p w:rsidR="00031020" w:rsidRPr="002A4ED0" w:rsidRDefault="00031020" w:rsidP="002A4ED0">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2A4ED0">
        <w:rPr>
          <w:rFonts w:ascii="Arial" w:eastAsia="Times New Roman" w:hAnsi="Arial" w:cs="Arial"/>
          <w:color w:val="000000"/>
          <w:spacing w:val="6"/>
          <w:sz w:val="20"/>
          <w:szCs w:val="20"/>
          <w:lang w:val="en-GB" w:eastAsia="en-GB"/>
        </w:rPr>
        <w:t>Th</w:t>
      </w:r>
      <w:r w:rsidR="00247BC2" w:rsidRPr="002A4ED0">
        <w:rPr>
          <w:rFonts w:ascii="Arial" w:eastAsia="Times New Roman" w:hAnsi="Arial" w:cs="Arial"/>
          <w:color w:val="000000"/>
          <w:spacing w:val="6"/>
          <w:sz w:val="20"/>
          <w:szCs w:val="20"/>
          <w:lang w:val="en-GB" w:eastAsia="en-GB"/>
        </w:rPr>
        <w:t>e Department’s expenditure</w:t>
      </w:r>
      <w:r w:rsidRPr="002A4ED0">
        <w:rPr>
          <w:rFonts w:ascii="Arial" w:eastAsia="Times New Roman" w:hAnsi="Arial" w:cs="Arial"/>
          <w:color w:val="000000"/>
          <w:spacing w:val="6"/>
          <w:sz w:val="20"/>
          <w:szCs w:val="20"/>
          <w:lang w:val="en-GB" w:eastAsia="en-GB"/>
        </w:rPr>
        <w:t xml:space="preserve"> for the period ended 30 June 2022 amounted to R2.422 billion, representing 13.1 per cent of the total annual adjusted budget of R18.5 billion.  An amount of R2.5 billion was unspent for the period under review. The total amount of irregular expenditure condoned by National Treasury</w:t>
      </w:r>
      <w:r w:rsidR="00710D7D" w:rsidRPr="002A4ED0">
        <w:rPr>
          <w:rFonts w:ascii="Arial" w:eastAsia="Times New Roman" w:hAnsi="Arial" w:cs="Arial"/>
          <w:color w:val="000000"/>
          <w:spacing w:val="6"/>
          <w:sz w:val="20"/>
          <w:szCs w:val="20"/>
          <w:lang w:val="en-GB" w:eastAsia="en-GB"/>
        </w:rPr>
        <w:t xml:space="preserve"> amounted to R1.4 billion.  </w:t>
      </w:r>
      <w:r w:rsidR="00CD1B0C" w:rsidRPr="002A4ED0">
        <w:rPr>
          <w:rFonts w:ascii="Arial" w:eastAsia="Times New Roman" w:hAnsi="Arial" w:cs="Arial"/>
          <w:color w:val="000000"/>
          <w:spacing w:val="6"/>
          <w:sz w:val="20"/>
          <w:szCs w:val="20"/>
          <w:lang w:val="en-GB" w:eastAsia="en-GB"/>
        </w:rPr>
        <w:t xml:space="preserve">Between 2019/20 and 2022/23, 228 </w:t>
      </w:r>
      <w:r w:rsidR="00CD1B0C" w:rsidRPr="002A4ED0">
        <w:rPr>
          <w:rFonts w:ascii="Arial" w:eastAsia="Times New Roman" w:hAnsi="Arial" w:cs="Arial"/>
          <w:color w:val="000000"/>
          <w:spacing w:val="6"/>
          <w:sz w:val="20"/>
          <w:szCs w:val="20"/>
          <w:lang w:val="en-GB" w:eastAsia="en-GB"/>
        </w:rPr>
        <w:lastRenderedPageBreak/>
        <w:t>cases were</w:t>
      </w:r>
      <w:r w:rsidR="00710D7D" w:rsidRPr="002A4ED0">
        <w:rPr>
          <w:rFonts w:ascii="Arial" w:eastAsia="Times New Roman" w:hAnsi="Arial" w:cs="Arial"/>
          <w:color w:val="000000"/>
          <w:spacing w:val="6"/>
          <w:sz w:val="20"/>
          <w:szCs w:val="20"/>
          <w:lang w:val="en-GB" w:eastAsia="en-GB"/>
        </w:rPr>
        <w:t xml:space="preserve"> reported to the internal audit unit, and 135 forensic investigation cases are in progress. A further 73 cases have not </w:t>
      </w:r>
      <w:r w:rsidR="00CD1B0C" w:rsidRPr="002A4ED0">
        <w:rPr>
          <w:rFonts w:ascii="Arial" w:eastAsia="Times New Roman" w:hAnsi="Arial" w:cs="Arial"/>
          <w:color w:val="000000"/>
          <w:spacing w:val="6"/>
          <w:sz w:val="20"/>
          <w:szCs w:val="20"/>
          <w:lang w:val="en-GB" w:eastAsia="en-GB"/>
        </w:rPr>
        <w:t>yet been</w:t>
      </w:r>
      <w:r w:rsidR="00710D7D" w:rsidRPr="002A4ED0">
        <w:rPr>
          <w:rFonts w:ascii="Arial" w:eastAsia="Times New Roman" w:hAnsi="Arial" w:cs="Arial"/>
          <w:color w:val="000000"/>
          <w:spacing w:val="6"/>
          <w:sz w:val="20"/>
          <w:szCs w:val="20"/>
          <w:lang w:val="en-GB" w:eastAsia="en-GB"/>
        </w:rPr>
        <w:t xml:space="preserve"> investigated, but will be forwarded to external service providers to expedite the investigations.</w:t>
      </w:r>
    </w:p>
    <w:p w:rsidR="00710D7D" w:rsidRPr="002A4ED0" w:rsidRDefault="00710D7D" w:rsidP="002A4ED0">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p>
    <w:p w:rsidR="00710D7D" w:rsidRPr="002A4ED0" w:rsidRDefault="00710D7D" w:rsidP="002A4ED0">
      <w:pPr>
        <w:suppressAutoHyphens/>
        <w:autoSpaceDN w:val="0"/>
        <w:spacing w:after="0" w:line="240" w:lineRule="auto"/>
        <w:textAlignment w:val="baseline"/>
        <w:rPr>
          <w:rFonts w:ascii="Arial" w:eastAsia="Times New Roman" w:hAnsi="Arial" w:cs="Arial"/>
          <w:color w:val="000000"/>
          <w:spacing w:val="6"/>
          <w:sz w:val="20"/>
          <w:szCs w:val="20"/>
          <w:lang w:val="en-GB" w:eastAsia="en-GB"/>
        </w:rPr>
      </w:pPr>
      <w:r w:rsidRPr="002A4ED0">
        <w:rPr>
          <w:rFonts w:ascii="Arial" w:eastAsia="Times New Roman" w:hAnsi="Arial" w:cs="Arial"/>
          <w:color w:val="000000"/>
          <w:spacing w:val="6"/>
          <w:sz w:val="20"/>
          <w:szCs w:val="20"/>
          <w:lang w:val="en-GB" w:eastAsia="en-GB"/>
        </w:rPr>
        <w:t>Budget reprioritisation amounts included R65 million for the Kwazulu-Natal flood disaster, R32 million for the section 63 investigation on water projects in Umkhanyakude, and R67.4 million for the Eastern Cape’s Nelson Mandela Bay and Koega Water Crisis Intervention.  The Department achieved 78 per cent of targets during the year under review.</w:t>
      </w:r>
    </w:p>
    <w:p w:rsidR="00710D7D" w:rsidRPr="002A4ED0" w:rsidRDefault="00710D7D" w:rsidP="002A4ED0">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p w:rsidR="00685D96" w:rsidRPr="002A4ED0" w:rsidRDefault="00685D96" w:rsidP="002A4ED0">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2A4ED0">
        <w:rPr>
          <w:rFonts w:ascii="Arial" w:eastAsia="Times New Roman" w:hAnsi="Arial" w:cs="Arial"/>
          <w:b/>
          <w:color w:val="000000"/>
          <w:spacing w:val="6"/>
          <w:sz w:val="20"/>
          <w:szCs w:val="20"/>
          <w:lang w:val="en-GB" w:eastAsia="en-GB"/>
        </w:rPr>
        <w:t>3.1</w:t>
      </w:r>
      <w:r w:rsidRPr="002A4ED0">
        <w:rPr>
          <w:rFonts w:ascii="Arial" w:eastAsia="Times New Roman" w:hAnsi="Arial" w:cs="Arial"/>
          <w:b/>
          <w:color w:val="000000"/>
          <w:spacing w:val="6"/>
          <w:sz w:val="20"/>
          <w:szCs w:val="20"/>
          <w:lang w:val="en-GB" w:eastAsia="en-GB"/>
        </w:rPr>
        <w:tab/>
        <w:t>MAIN ACCOUNT AND WATER TRADING ENTITY</w:t>
      </w:r>
    </w:p>
    <w:p w:rsidR="00685D96" w:rsidRPr="002A4ED0" w:rsidRDefault="00685D96" w:rsidP="002A4ED0">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p w:rsidR="00685D96" w:rsidRPr="002A4ED0" w:rsidRDefault="00685D96" w:rsidP="002A4ED0">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2A4ED0">
        <w:rPr>
          <w:rFonts w:ascii="Arial" w:eastAsia="Times New Roman" w:hAnsi="Arial" w:cs="Arial"/>
          <w:b/>
          <w:color w:val="000000"/>
          <w:spacing w:val="6"/>
          <w:sz w:val="20"/>
          <w:szCs w:val="20"/>
          <w:lang w:val="en-GB" w:eastAsia="en-GB"/>
        </w:rPr>
        <w:t>3.1.1</w:t>
      </w:r>
      <w:r w:rsidRPr="002A4ED0">
        <w:rPr>
          <w:rFonts w:ascii="Arial" w:eastAsia="Times New Roman" w:hAnsi="Arial" w:cs="Arial"/>
          <w:b/>
          <w:color w:val="000000"/>
          <w:spacing w:val="6"/>
          <w:sz w:val="20"/>
          <w:szCs w:val="20"/>
          <w:lang w:val="en-GB" w:eastAsia="en-GB"/>
        </w:rPr>
        <w:tab/>
        <w:t>MAIN ACCOUNT</w:t>
      </w:r>
    </w:p>
    <w:p w:rsidR="00685D96" w:rsidRPr="002A4ED0" w:rsidRDefault="00685D96" w:rsidP="002A4ED0">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p w:rsidR="00076EB6" w:rsidRPr="002A4ED0" w:rsidRDefault="008D7E81" w:rsidP="002A4ED0">
      <w:pPr>
        <w:autoSpaceDE w:val="0"/>
        <w:autoSpaceDN w:val="0"/>
        <w:adjustRightInd w:val="0"/>
        <w:spacing w:after="0" w:line="240" w:lineRule="auto"/>
        <w:rPr>
          <w:rFonts w:ascii="Arial" w:hAnsi="Arial" w:cs="Arial"/>
          <w:color w:val="FF0000"/>
          <w:sz w:val="20"/>
          <w:szCs w:val="20"/>
        </w:rPr>
      </w:pPr>
      <w:r w:rsidRPr="002A4ED0">
        <w:rPr>
          <w:rFonts w:ascii="Arial" w:hAnsi="Arial" w:cs="Arial"/>
          <w:sz w:val="20"/>
          <w:szCs w:val="20"/>
        </w:rPr>
        <w:t xml:space="preserve">The Department of Water and Sanitation has a total budget of R18.5 billion for the 2022/23 financial year. At the end of the first quarter, the department spent R2.4 billion or 13.1 per cent of the available budget. This equates to a </w:t>
      </w:r>
      <w:r w:rsidR="00CD1B0C" w:rsidRPr="002A4ED0">
        <w:rPr>
          <w:rFonts w:ascii="Arial" w:hAnsi="Arial" w:cs="Arial"/>
          <w:sz w:val="20"/>
          <w:szCs w:val="20"/>
        </w:rPr>
        <w:t>lower-than-projected</w:t>
      </w:r>
      <w:r w:rsidRPr="002A4ED0">
        <w:rPr>
          <w:rFonts w:ascii="Arial" w:hAnsi="Arial" w:cs="Arial"/>
          <w:sz w:val="20"/>
          <w:szCs w:val="20"/>
        </w:rPr>
        <w:t xml:space="preserve"> spending of R1.7 billion or 41.6 per cent.  Most of the underspending was recorded under </w:t>
      </w:r>
      <w:r w:rsidR="003166C9" w:rsidRPr="002A4ED0">
        <w:rPr>
          <w:rFonts w:ascii="Arial" w:hAnsi="Arial" w:cs="Arial"/>
          <w:sz w:val="20"/>
          <w:szCs w:val="20"/>
        </w:rPr>
        <w:t>“Payments for Capital Assets” for</w:t>
      </w:r>
      <w:r w:rsidRPr="002A4ED0">
        <w:rPr>
          <w:rFonts w:ascii="Arial" w:hAnsi="Arial" w:cs="Arial"/>
          <w:sz w:val="20"/>
          <w:szCs w:val="20"/>
        </w:rPr>
        <w:t xml:space="preserve"> R</w:t>
      </w:r>
      <w:r w:rsidR="002B6EF0" w:rsidRPr="002A4ED0">
        <w:rPr>
          <w:rFonts w:ascii="Arial" w:hAnsi="Arial" w:cs="Arial"/>
          <w:sz w:val="20"/>
          <w:szCs w:val="20"/>
        </w:rPr>
        <w:t>796.6 million.</w:t>
      </w:r>
      <w:r w:rsidR="009162A7" w:rsidRPr="002A4ED0">
        <w:rPr>
          <w:rFonts w:ascii="Arial" w:hAnsi="Arial" w:cs="Arial"/>
          <w:sz w:val="20"/>
          <w:szCs w:val="20"/>
        </w:rPr>
        <w:t xml:space="preserve">  </w:t>
      </w:r>
      <w:r w:rsidR="00076EB6" w:rsidRPr="002A4ED0">
        <w:rPr>
          <w:rFonts w:ascii="Arial" w:hAnsi="Arial" w:cs="Arial"/>
          <w:color w:val="FF0000"/>
          <w:sz w:val="20"/>
          <w:szCs w:val="20"/>
        </w:rPr>
        <w:t xml:space="preserve"> </w:t>
      </w:r>
    </w:p>
    <w:p w:rsidR="00C90C41" w:rsidRPr="002A4ED0" w:rsidRDefault="00C90C41" w:rsidP="002A4ED0">
      <w:pPr>
        <w:autoSpaceDE w:val="0"/>
        <w:autoSpaceDN w:val="0"/>
        <w:adjustRightInd w:val="0"/>
        <w:spacing w:after="0" w:line="240" w:lineRule="auto"/>
        <w:rPr>
          <w:rFonts w:ascii="Arial" w:hAnsi="Arial" w:cs="Arial"/>
          <w:color w:val="FF0000"/>
          <w:sz w:val="20"/>
          <w:szCs w:val="20"/>
        </w:rPr>
      </w:pPr>
    </w:p>
    <w:p w:rsidR="00710D7D" w:rsidRPr="002A4ED0" w:rsidRDefault="00C90C41" w:rsidP="002A4ED0">
      <w:pPr>
        <w:autoSpaceDE w:val="0"/>
        <w:autoSpaceDN w:val="0"/>
        <w:adjustRightInd w:val="0"/>
        <w:spacing w:after="0" w:line="240" w:lineRule="auto"/>
        <w:rPr>
          <w:rFonts w:ascii="Arial" w:hAnsi="Arial" w:cs="Arial"/>
          <w:sz w:val="20"/>
          <w:szCs w:val="20"/>
        </w:rPr>
      </w:pPr>
      <w:r w:rsidRPr="002A4ED0">
        <w:rPr>
          <w:rFonts w:ascii="Arial" w:hAnsi="Arial" w:cs="Arial"/>
          <w:sz w:val="20"/>
          <w:szCs w:val="20"/>
        </w:rPr>
        <w:t>For all departmental programmes, Administration, Water Resources Management and Water Services Management</w:t>
      </w:r>
      <w:r w:rsidR="00B005FC" w:rsidRPr="002A4ED0">
        <w:rPr>
          <w:rFonts w:ascii="Arial" w:hAnsi="Arial" w:cs="Arial"/>
          <w:sz w:val="20"/>
          <w:szCs w:val="20"/>
        </w:rPr>
        <w:t>,</w:t>
      </w:r>
      <w:r w:rsidRPr="002A4ED0">
        <w:rPr>
          <w:rFonts w:ascii="Arial" w:hAnsi="Arial" w:cs="Arial"/>
          <w:sz w:val="20"/>
          <w:szCs w:val="20"/>
        </w:rPr>
        <w:t xml:space="preserve"> in the first quarter, the percentage </w:t>
      </w:r>
      <w:r w:rsidR="00B005FC" w:rsidRPr="002A4ED0">
        <w:rPr>
          <w:rFonts w:ascii="Arial" w:hAnsi="Arial" w:cs="Arial"/>
          <w:sz w:val="20"/>
          <w:szCs w:val="20"/>
        </w:rPr>
        <w:t xml:space="preserve">of </w:t>
      </w:r>
      <w:r w:rsidRPr="002A4ED0">
        <w:rPr>
          <w:rFonts w:ascii="Arial" w:hAnsi="Arial" w:cs="Arial"/>
          <w:sz w:val="20"/>
          <w:szCs w:val="20"/>
        </w:rPr>
        <w:t xml:space="preserve">actual achievement amounted to 78 per cent with a 13 per cent budget spend.  </w:t>
      </w:r>
    </w:p>
    <w:p w:rsidR="00710D7D" w:rsidRPr="002A4ED0" w:rsidRDefault="00710D7D" w:rsidP="002A4ED0">
      <w:pPr>
        <w:autoSpaceDE w:val="0"/>
        <w:autoSpaceDN w:val="0"/>
        <w:adjustRightInd w:val="0"/>
        <w:spacing w:after="0" w:line="240" w:lineRule="auto"/>
        <w:rPr>
          <w:rFonts w:ascii="Arial" w:hAnsi="Arial" w:cs="Arial"/>
          <w:sz w:val="20"/>
          <w:szCs w:val="20"/>
        </w:rPr>
      </w:pPr>
    </w:p>
    <w:p w:rsidR="00C90C41" w:rsidRPr="002A4ED0" w:rsidRDefault="00C90C41" w:rsidP="002A4ED0">
      <w:pPr>
        <w:autoSpaceDE w:val="0"/>
        <w:autoSpaceDN w:val="0"/>
        <w:adjustRightInd w:val="0"/>
        <w:spacing w:after="0" w:line="240" w:lineRule="auto"/>
        <w:rPr>
          <w:rFonts w:ascii="Arial" w:hAnsi="Arial" w:cs="Arial"/>
          <w:sz w:val="20"/>
          <w:szCs w:val="20"/>
        </w:rPr>
      </w:pPr>
      <w:r w:rsidRPr="002A4ED0">
        <w:rPr>
          <w:rFonts w:ascii="Arial" w:hAnsi="Arial" w:cs="Arial"/>
          <w:sz w:val="20"/>
          <w:szCs w:val="20"/>
        </w:rPr>
        <w:t xml:space="preserve">In </w:t>
      </w:r>
      <w:r w:rsidRPr="002A4ED0">
        <w:rPr>
          <w:rFonts w:ascii="Arial" w:hAnsi="Arial" w:cs="Arial"/>
          <w:b/>
          <w:bCs/>
          <w:sz w:val="20"/>
          <w:szCs w:val="20"/>
        </w:rPr>
        <w:t xml:space="preserve">Programme 1: Administration </w:t>
      </w:r>
      <w:r w:rsidRPr="002A4ED0">
        <w:rPr>
          <w:rFonts w:ascii="Arial" w:hAnsi="Arial" w:cs="Arial"/>
          <w:sz w:val="20"/>
          <w:szCs w:val="20"/>
        </w:rPr>
        <w:t xml:space="preserve">spent R391.4 million or 23.9 per cent at the end of the first quarter against the projection of R514.5 million. The </w:t>
      </w:r>
      <w:r w:rsidR="00DE5375" w:rsidRPr="002A4ED0">
        <w:rPr>
          <w:rFonts w:ascii="Arial" w:hAnsi="Arial" w:cs="Arial"/>
          <w:sz w:val="20"/>
          <w:szCs w:val="20"/>
        </w:rPr>
        <w:t>lower-than-projected</w:t>
      </w:r>
      <w:r w:rsidRPr="002A4ED0">
        <w:rPr>
          <w:rFonts w:ascii="Arial" w:hAnsi="Arial" w:cs="Arial"/>
          <w:sz w:val="20"/>
          <w:szCs w:val="20"/>
        </w:rPr>
        <w:t xml:space="preserve"> spending of R123.1 million or 23.9 per cent is mainly due to a moratorium on filling vacancies to remain within the compensation of employees ceiling over the 2023 Medium Term Expenditure Framework (MTEF) and delayed payment for external bursaries.</w:t>
      </w:r>
      <w:r w:rsidRPr="002A4ED0">
        <w:rPr>
          <w:rFonts w:ascii="Arial" w:hAnsi="Arial" w:cs="Arial"/>
          <w:b/>
          <w:bCs/>
          <w:sz w:val="20"/>
          <w:szCs w:val="20"/>
        </w:rPr>
        <w:t xml:space="preserve"> </w:t>
      </w:r>
      <w:r w:rsidRPr="002A4ED0">
        <w:rPr>
          <w:rFonts w:ascii="Arial" w:hAnsi="Arial" w:cs="Arial"/>
          <w:bCs/>
          <w:sz w:val="20"/>
          <w:szCs w:val="20"/>
        </w:rPr>
        <w:t>T</w:t>
      </w:r>
      <w:r w:rsidRPr="002A4ED0">
        <w:rPr>
          <w:rFonts w:ascii="Arial" w:hAnsi="Arial" w:cs="Arial"/>
          <w:sz w:val="20"/>
          <w:szCs w:val="20"/>
        </w:rPr>
        <w:t xml:space="preserve">he actual achievement was 81 per cent, with a 19 per cent budget spend.  </w:t>
      </w:r>
      <w:r w:rsidR="00DE5375" w:rsidRPr="002A4ED0">
        <w:rPr>
          <w:rFonts w:ascii="Arial" w:hAnsi="Arial" w:cs="Arial"/>
          <w:sz w:val="20"/>
          <w:szCs w:val="20"/>
        </w:rPr>
        <w:t>Under-performance areas include implementing</w:t>
      </w:r>
      <w:r w:rsidRPr="002A4ED0">
        <w:rPr>
          <w:rFonts w:ascii="Arial" w:hAnsi="Arial" w:cs="Arial"/>
          <w:sz w:val="20"/>
          <w:szCs w:val="20"/>
        </w:rPr>
        <w:t xml:space="preserve"> the risk management plan, expenditure on </w:t>
      </w:r>
      <w:r w:rsidR="00DE5375" w:rsidRPr="002A4ED0">
        <w:rPr>
          <w:rFonts w:ascii="Arial" w:hAnsi="Arial" w:cs="Arial"/>
          <w:sz w:val="20"/>
          <w:szCs w:val="20"/>
        </w:rPr>
        <w:t xml:space="preserve">the </w:t>
      </w:r>
      <w:r w:rsidRPr="002A4ED0">
        <w:rPr>
          <w:rFonts w:ascii="Arial" w:hAnsi="Arial" w:cs="Arial"/>
          <w:sz w:val="20"/>
          <w:szCs w:val="20"/>
        </w:rPr>
        <w:t xml:space="preserve">annual budget, </w:t>
      </w:r>
      <w:r w:rsidR="00B005FC" w:rsidRPr="002A4ED0">
        <w:rPr>
          <w:rFonts w:ascii="Arial" w:hAnsi="Arial" w:cs="Arial"/>
          <w:sz w:val="20"/>
          <w:szCs w:val="20"/>
        </w:rPr>
        <w:t xml:space="preserve">and </w:t>
      </w:r>
      <w:r w:rsidRPr="002A4ED0">
        <w:rPr>
          <w:rFonts w:ascii="Arial" w:hAnsi="Arial" w:cs="Arial"/>
          <w:sz w:val="20"/>
          <w:szCs w:val="20"/>
        </w:rPr>
        <w:t xml:space="preserve">reduction of debtor days.  </w:t>
      </w:r>
    </w:p>
    <w:p w:rsidR="00C90C41" w:rsidRPr="002A4ED0" w:rsidRDefault="00C90C41" w:rsidP="002A4ED0">
      <w:pPr>
        <w:autoSpaceDE w:val="0"/>
        <w:autoSpaceDN w:val="0"/>
        <w:adjustRightInd w:val="0"/>
        <w:spacing w:after="0" w:line="240" w:lineRule="auto"/>
        <w:rPr>
          <w:rFonts w:ascii="Arial" w:hAnsi="Arial" w:cs="Arial"/>
          <w:b/>
          <w:bCs/>
          <w:sz w:val="20"/>
          <w:szCs w:val="20"/>
        </w:rPr>
      </w:pPr>
    </w:p>
    <w:p w:rsidR="00C90C41" w:rsidRPr="002A4ED0" w:rsidRDefault="00366E7A" w:rsidP="002A4ED0">
      <w:pPr>
        <w:autoSpaceDE w:val="0"/>
        <w:autoSpaceDN w:val="0"/>
        <w:adjustRightInd w:val="0"/>
        <w:spacing w:after="0" w:line="240" w:lineRule="auto"/>
        <w:rPr>
          <w:rFonts w:ascii="Arial" w:hAnsi="Arial" w:cs="Arial"/>
          <w:sz w:val="20"/>
          <w:szCs w:val="20"/>
        </w:rPr>
      </w:pPr>
      <w:r w:rsidRPr="002A4ED0">
        <w:rPr>
          <w:rFonts w:ascii="Arial" w:hAnsi="Arial" w:cs="Arial"/>
          <w:bCs/>
          <w:sz w:val="20"/>
          <w:szCs w:val="20"/>
        </w:rPr>
        <w:t xml:space="preserve">In </w:t>
      </w:r>
      <w:r w:rsidR="00C90C41" w:rsidRPr="002A4ED0">
        <w:rPr>
          <w:rFonts w:ascii="Arial" w:hAnsi="Arial" w:cs="Arial"/>
          <w:b/>
          <w:bCs/>
          <w:sz w:val="20"/>
          <w:szCs w:val="20"/>
        </w:rPr>
        <w:t xml:space="preserve">Programme 2: Water Resources Management </w:t>
      </w:r>
      <w:r w:rsidR="00C90C41" w:rsidRPr="002A4ED0">
        <w:rPr>
          <w:rFonts w:ascii="Arial" w:hAnsi="Arial" w:cs="Arial"/>
          <w:sz w:val="20"/>
          <w:szCs w:val="20"/>
        </w:rPr>
        <w:t>spent R1.48 billion at the end of the first quarter, against a projection of R1.5 billion. Spending is R25 million or 1.7 per cent lower than projected, mainly due to delays in finalising the procurement plans for the Xhariep Pipeline and a shortage of adequately qualified and experienced engineering and technical staff leading to the slow construction of two surface water monitoring gauging network stations. The actual achievement was 77 per cent, with a 39 per cent budget spend.  The areas of under-performance – Cabinet approval of the National Water Amendment Bill, Gazetting of the National Water Resources Strategy-3, Cabinet approval of the National Water Resources Infrastructure Agency, rehabilitation of conveyance systems, creation of job opportunities through implementing operations and maintenance projects, consultations on raw water charges, draft regulation for water allocation reform, stakeholder consultation on the water economic regulator, and water users monitored for compliance.</w:t>
      </w:r>
    </w:p>
    <w:p w:rsidR="00366E7A" w:rsidRPr="002A4ED0" w:rsidRDefault="00366E7A" w:rsidP="002A4ED0">
      <w:pPr>
        <w:autoSpaceDE w:val="0"/>
        <w:autoSpaceDN w:val="0"/>
        <w:adjustRightInd w:val="0"/>
        <w:spacing w:after="0" w:line="240" w:lineRule="auto"/>
        <w:rPr>
          <w:rFonts w:ascii="Arial" w:hAnsi="Arial" w:cs="Arial"/>
          <w:sz w:val="20"/>
          <w:szCs w:val="20"/>
        </w:rPr>
      </w:pPr>
    </w:p>
    <w:p w:rsidR="00746818" w:rsidRPr="002A4ED0" w:rsidRDefault="00746818" w:rsidP="002A4ED0">
      <w:pPr>
        <w:autoSpaceDE w:val="0"/>
        <w:autoSpaceDN w:val="0"/>
        <w:adjustRightInd w:val="0"/>
        <w:spacing w:after="0" w:line="240" w:lineRule="auto"/>
        <w:rPr>
          <w:rFonts w:ascii="Arial" w:hAnsi="Arial" w:cs="Arial"/>
          <w:b/>
          <w:sz w:val="20"/>
          <w:szCs w:val="20"/>
        </w:rPr>
      </w:pPr>
      <w:r w:rsidRPr="002A4ED0">
        <w:rPr>
          <w:rFonts w:ascii="Arial" w:hAnsi="Arial" w:cs="Arial"/>
          <w:b/>
          <w:sz w:val="20"/>
          <w:szCs w:val="20"/>
        </w:rPr>
        <w:t>Table 1: Main Account Expenditure Spend</w:t>
      </w:r>
      <w:r w:rsidR="000D3567" w:rsidRPr="002A4ED0">
        <w:rPr>
          <w:rFonts w:ascii="Arial" w:hAnsi="Arial" w:cs="Arial"/>
          <w:b/>
          <w:sz w:val="20"/>
          <w:szCs w:val="20"/>
        </w:rPr>
        <w:t xml:space="preserve"> for the First Quarter, 2022/23 Financial Year</w:t>
      </w:r>
    </w:p>
    <w:tbl>
      <w:tblPr>
        <w:tblW w:w="5000" w:type="pct"/>
        <w:tblCellMar>
          <w:left w:w="0" w:type="dxa"/>
          <w:right w:w="0" w:type="dxa"/>
        </w:tblCellMar>
        <w:tblLook w:val="0600"/>
      </w:tblPr>
      <w:tblGrid>
        <w:gridCol w:w="1212"/>
        <w:gridCol w:w="512"/>
        <w:gridCol w:w="988"/>
        <w:gridCol w:w="1069"/>
        <w:gridCol w:w="836"/>
        <w:gridCol w:w="1181"/>
        <w:gridCol w:w="866"/>
        <w:gridCol w:w="1211"/>
        <w:gridCol w:w="1181"/>
      </w:tblGrid>
      <w:tr w:rsidR="002B6EF0" w:rsidRPr="002A4ED0" w:rsidTr="001C6E77">
        <w:trPr>
          <w:trHeight w:val="1286"/>
        </w:trPr>
        <w:tc>
          <w:tcPr>
            <w:tcW w:w="669" w:type="pct"/>
            <w:vMerge w:val="restar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Programmes</w:t>
            </w:r>
          </w:p>
        </w:tc>
        <w:tc>
          <w:tcPr>
            <w:tcW w:w="534"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DE5375"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Year-to-date</w:t>
            </w:r>
          </w:p>
        </w:tc>
        <w:tc>
          <w:tcPr>
            <w:tcW w:w="475"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val="en-US" w:eastAsia="en-ZA"/>
              </w:rPr>
              <w:t xml:space="preserve">Year </w:t>
            </w:r>
            <w:r w:rsidR="00DE5375" w:rsidRPr="002A4ED0">
              <w:rPr>
                <w:rFonts w:ascii="Arial" w:eastAsia="Times New Roman" w:hAnsi="Arial" w:cs="Arial"/>
                <w:b/>
                <w:bCs/>
                <w:color w:val="000000"/>
                <w:kern w:val="24"/>
                <w:sz w:val="20"/>
                <w:szCs w:val="20"/>
                <w:lang w:val="en-US" w:eastAsia="en-ZA"/>
              </w:rPr>
              <w:t>–</w:t>
            </w:r>
            <w:r w:rsidRPr="002A4ED0">
              <w:rPr>
                <w:rFonts w:ascii="Arial" w:eastAsia="Times New Roman" w:hAnsi="Arial" w:cs="Arial"/>
                <w:b/>
                <w:bCs/>
                <w:color w:val="000000"/>
                <w:kern w:val="24"/>
                <w:sz w:val="20"/>
                <w:szCs w:val="20"/>
                <w:lang w:val="en-US" w:eastAsia="en-ZA"/>
              </w:rPr>
              <w:t>to</w:t>
            </w:r>
            <w:r w:rsidR="00DE5375" w:rsidRPr="002A4ED0">
              <w:rPr>
                <w:rFonts w:ascii="Arial" w:eastAsia="Times New Roman" w:hAnsi="Arial" w:cs="Arial"/>
                <w:b/>
                <w:bCs/>
                <w:color w:val="000000"/>
                <w:kern w:val="24"/>
                <w:sz w:val="20"/>
                <w:szCs w:val="20"/>
                <w:lang w:val="en-US" w:eastAsia="en-ZA"/>
              </w:rPr>
              <w:t>-</w:t>
            </w:r>
            <w:r w:rsidRPr="002A4ED0">
              <w:rPr>
                <w:rFonts w:ascii="Arial" w:eastAsia="Times New Roman" w:hAnsi="Arial" w:cs="Arial"/>
                <w:b/>
                <w:bCs/>
                <w:color w:val="000000"/>
                <w:kern w:val="24"/>
                <w:sz w:val="20"/>
                <w:szCs w:val="20"/>
                <w:lang w:val="en-US" w:eastAsia="en-ZA"/>
              </w:rPr>
              <w:t xml:space="preserve"> date cumulative approved drawings </w:t>
            </w:r>
          </w:p>
        </w:tc>
        <w:tc>
          <w:tcPr>
            <w:tcW w:w="559"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val="en-US" w:eastAsia="en-ZA"/>
              </w:rPr>
              <w:t xml:space="preserve">  </w:t>
            </w:r>
            <w:r w:rsidR="00DE5375" w:rsidRPr="002A4ED0">
              <w:rPr>
                <w:rFonts w:ascii="Arial" w:eastAsia="Times New Roman" w:hAnsi="Arial" w:cs="Arial"/>
                <w:b/>
                <w:bCs/>
                <w:color w:val="000000"/>
                <w:kern w:val="24"/>
                <w:sz w:val="20"/>
                <w:szCs w:val="20"/>
                <w:lang w:val="en-US" w:eastAsia="en-ZA"/>
              </w:rPr>
              <w:t>Year-to-date cumu</w:t>
            </w:r>
            <w:r w:rsidRPr="002A4ED0">
              <w:rPr>
                <w:rFonts w:ascii="Arial" w:eastAsia="Times New Roman" w:hAnsi="Arial" w:cs="Arial"/>
                <w:b/>
                <w:bCs/>
                <w:color w:val="000000"/>
                <w:kern w:val="24"/>
                <w:sz w:val="20"/>
                <w:szCs w:val="20"/>
                <w:lang w:val="en-US" w:eastAsia="en-ZA"/>
              </w:rPr>
              <w:t xml:space="preserve">lative actual expenditure </w:t>
            </w:r>
          </w:p>
        </w:tc>
        <w:tc>
          <w:tcPr>
            <w:tcW w:w="522"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Available budget/ Variance</w:t>
            </w:r>
          </w:p>
        </w:tc>
        <w:tc>
          <w:tcPr>
            <w:tcW w:w="597"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val="en-US" w:eastAsia="en-ZA"/>
              </w:rPr>
              <w:t xml:space="preserve">Variance - Accumulated drawings and actual expenditure </w:t>
            </w:r>
          </w:p>
        </w:tc>
        <w:tc>
          <w:tcPr>
            <w:tcW w:w="522"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Projected spending</w:t>
            </w:r>
          </w:p>
        </w:tc>
        <w:tc>
          <w:tcPr>
            <w:tcW w:w="523"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val="en-US" w:eastAsia="en-ZA"/>
              </w:rPr>
              <w:t>Expenditure</w:t>
            </w:r>
            <w:r w:rsidR="00DE5375" w:rsidRPr="002A4ED0">
              <w:rPr>
                <w:rFonts w:ascii="Arial" w:eastAsia="Times New Roman" w:hAnsi="Arial" w:cs="Arial"/>
                <w:b/>
                <w:bCs/>
                <w:color w:val="000000"/>
                <w:kern w:val="24"/>
                <w:sz w:val="20"/>
                <w:szCs w:val="20"/>
                <w:lang w:val="en-US" w:eastAsia="en-ZA"/>
              </w:rPr>
              <w:t xml:space="preserve"> as % of the  annual app</w:t>
            </w:r>
            <w:r w:rsidR="003166C9" w:rsidRPr="002A4ED0">
              <w:rPr>
                <w:rFonts w:ascii="Arial" w:eastAsia="Times New Roman" w:hAnsi="Arial" w:cs="Arial"/>
                <w:b/>
                <w:bCs/>
                <w:color w:val="000000"/>
                <w:kern w:val="24"/>
                <w:sz w:val="20"/>
                <w:szCs w:val="20"/>
                <w:lang w:val="en-US" w:eastAsia="en-ZA"/>
              </w:rPr>
              <w:t>rop</w:t>
            </w:r>
            <w:r w:rsidR="00FD74CB" w:rsidRPr="002A4ED0">
              <w:rPr>
                <w:rFonts w:ascii="Arial" w:eastAsia="Times New Roman" w:hAnsi="Arial" w:cs="Arial"/>
                <w:b/>
                <w:bCs/>
                <w:color w:val="000000"/>
                <w:kern w:val="24"/>
                <w:sz w:val="20"/>
                <w:szCs w:val="20"/>
                <w:lang w:val="en-US" w:eastAsia="en-ZA"/>
              </w:rPr>
              <w:t>riation</w:t>
            </w:r>
          </w:p>
        </w:tc>
        <w:tc>
          <w:tcPr>
            <w:tcW w:w="597"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val="en-US" w:eastAsia="en-ZA"/>
              </w:rPr>
              <w:t>Variance - Accumulated drawings and actual expenditure</w:t>
            </w:r>
          </w:p>
        </w:tc>
      </w:tr>
      <w:tr w:rsidR="002B6EF0" w:rsidRPr="002A4ED0" w:rsidTr="001C6E77">
        <w:trPr>
          <w:trHeight w:val="257"/>
        </w:trPr>
        <w:tc>
          <w:tcPr>
            <w:tcW w:w="669" w:type="pct"/>
            <w:vMerge/>
            <w:tcBorders>
              <w:top w:val="single" w:sz="4" w:space="0" w:color="000000"/>
              <w:left w:val="single" w:sz="4" w:space="0" w:color="000000"/>
              <w:bottom w:val="single" w:sz="4" w:space="0" w:color="000000"/>
              <w:right w:val="single" w:sz="4" w:space="0" w:color="000000"/>
            </w:tcBorders>
            <w:vAlign w:val="center"/>
            <w:hideMark/>
          </w:tcPr>
          <w:p w:rsidR="002B6EF0" w:rsidRPr="002A4ED0" w:rsidRDefault="002B6EF0" w:rsidP="002A4ED0">
            <w:pPr>
              <w:spacing w:after="0" w:line="240" w:lineRule="auto"/>
              <w:rPr>
                <w:rFonts w:ascii="Arial" w:eastAsia="Times New Roman" w:hAnsi="Arial" w:cs="Arial"/>
                <w:sz w:val="20"/>
                <w:szCs w:val="20"/>
                <w:lang w:eastAsia="en-ZA"/>
              </w:rPr>
            </w:pPr>
          </w:p>
        </w:tc>
        <w:tc>
          <w:tcPr>
            <w:tcW w:w="534"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R'000</w:t>
            </w:r>
          </w:p>
        </w:tc>
        <w:tc>
          <w:tcPr>
            <w:tcW w:w="475"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R'000</w:t>
            </w:r>
          </w:p>
        </w:tc>
        <w:tc>
          <w:tcPr>
            <w:tcW w:w="559"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R'000</w:t>
            </w:r>
          </w:p>
        </w:tc>
        <w:tc>
          <w:tcPr>
            <w:tcW w:w="522"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R'000</w:t>
            </w:r>
          </w:p>
        </w:tc>
        <w:tc>
          <w:tcPr>
            <w:tcW w:w="597"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R'000</w:t>
            </w:r>
          </w:p>
        </w:tc>
        <w:tc>
          <w:tcPr>
            <w:tcW w:w="522"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w:t>
            </w:r>
          </w:p>
        </w:tc>
        <w:tc>
          <w:tcPr>
            <w:tcW w:w="523"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w:t>
            </w:r>
          </w:p>
        </w:tc>
        <w:tc>
          <w:tcPr>
            <w:tcW w:w="597"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w:t>
            </w:r>
          </w:p>
        </w:tc>
      </w:tr>
      <w:tr w:rsidR="002B6EF0" w:rsidRPr="002A4ED0" w:rsidTr="001C6E77">
        <w:trPr>
          <w:trHeight w:val="361"/>
        </w:trPr>
        <w:tc>
          <w:tcPr>
            <w:tcW w:w="669" w:type="pct"/>
            <w:tcBorders>
              <w:top w:val="single"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Administration</w:t>
            </w:r>
          </w:p>
        </w:tc>
        <w:tc>
          <w:tcPr>
            <w:tcW w:w="534" w:type="pct"/>
            <w:tcBorders>
              <w:top w:val="single"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2 012 509 </w:t>
            </w:r>
          </w:p>
        </w:tc>
        <w:tc>
          <w:tcPr>
            <w:tcW w:w="475" w:type="pct"/>
            <w:tcBorders>
              <w:top w:val="single"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514 525 </w:t>
            </w:r>
          </w:p>
        </w:tc>
        <w:tc>
          <w:tcPr>
            <w:tcW w:w="559" w:type="pct"/>
            <w:tcBorders>
              <w:top w:val="single"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391 420 </w:t>
            </w:r>
          </w:p>
        </w:tc>
        <w:tc>
          <w:tcPr>
            <w:tcW w:w="522" w:type="pct"/>
            <w:tcBorders>
              <w:top w:val="single"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1 621 089 </w:t>
            </w:r>
          </w:p>
        </w:tc>
        <w:tc>
          <w:tcPr>
            <w:tcW w:w="597" w:type="pct"/>
            <w:tcBorders>
              <w:top w:val="single"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123 105 </w:t>
            </w:r>
          </w:p>
        </w:tc>
        <w:tc>
          <w:tcPr>
            <w:tcW w:w="522" w:type="pct"/>
            <w:tcBorders>
              <w:top w:val="single"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25,57%</w:t>
            </w:r>
          </w:p>
        </w:tc>
        <w:tc>
          <w:tcPr>
            <w:tcW w:w="523" w:type="pct"/>
            <w:tcBorders>
              <w:top w:val="single"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19,45%</w:t>
            </w:r>
          </w:p>
        </w:tc>
        <w:tc>
          <w:tcPr>
            <w:tcW w:w="597" w:type="pct"/>
            <w:tcBorders>
              <w:top w:val="single"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6,12%</w:t>
            </w:r>
          </w:p>
        </w:tc>
      </w:tr>
      <w:tr w:rsidR="002B6EF0" w:rsidRPr="002A4ED0" w:rsidTr="001C6E77">
        <w:trPr>
          <w:trHeight w:val="377"/>
        </w:trPr>
        <w:tc>
          <w:tcPr>
            <w:tcW w:w="669"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Water Resources Management</w:t>
            </w:r>
          </w:p>
        </w:tc>
        <w:tc>
          <w:tcPr>
            <w:tcW w:w="534"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3 782 924 </w:t>
            </w:r>
          </w:p>
        </w:tc>
        <w:tc>
          <w:tcPr>
            <w:tcW w:w="475"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1 501 148 </w:t>
            </w:r>
          </w:p>
        </w:tc>
        <w:tc>
          <w:tcPr>
            <w:tcW w:w="559"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1 476 163 </w:t>
            </w:r>
          </w:p>
        </w:tc>
        <w:tc>
          <w:tcPr>
            <w:tcW w:w="522"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2 306 761 </w:t>
            </w:r>
          </w:p>
        </w:tc>
        <w:tc>
          <w:tcPr>
            <w:tcW w:w="597"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24 985 </w:t>
            </w:r>
          </w:p>
        </w:tc>
        <w:tc>
          <w:tcPr>
            <w:tcW w:w="522"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39,68%</w:t>
            </w:r>
          </w:p>
        </w:tc>
        <w:tc>
          <w:tcPr>
            <w:tcW w:w="523"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39,02%</w:t>
            </w:r>
          </w:p>
        </w:tc>
        <w:tc>
          <w:tcPr>
            <w:tcW w:w="597"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0,66%</w:t>
            </w:r>
          </w:p>
        </w:tc>
      </w:tr>
      <w:tr w:rsidR="002B6EF0" w:rsidRPr="002A4ED0" w:rsidTr="001C6E77">
        <w:trPr>
          <w:trHeight w:val="377"/>
        </w:trPr>
        <w:tc>
          <w:tcPr>
            <w:tcW w:w="669" w:type="pct"/>
            <w:tcBorders>
              <w:top w:val="dotted"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Water Services Management</w:t>
            </w:r>
          </w:p>
        </w:tc>
        <w:tc>
          <w:tcPr>
            <w:tcW w:w="534" w:type="pct"/>
            <w:tcBorders>
              <w:top w:val="dotted"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12 744 236 </w:t>
            </w:r>
          </w:p>
        </w:tc>
        <w:tc>
          <w:tcPr>
            <w:tcW w:w="475" w:type="pct"/>
            <w:tcBorders>
              <w:top w:val="dotted"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2 134 247 </w:t>
            </w:r>
          </w:p>
        </w:tc>
        <w:tc>
          <w:tcPr>
            <w:tcW w:w="559" w:type="pct"/>
            <w:tcBorders>
              <w:top w:val="dotted"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555 020 </w:t>
            </w:r>
          </w:p>
        </w:tc>
        <w:tc>
          <w:tcPr>
            <w:tcW w:w="522" w:type="pct"/>
            <w:tcBorders>
              <w:top w:val="dotted"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12 189 216 </w:t>
            </w:r>
          </w:p>
        </w:tc>
        <w:tc>
          <w:tcPr>
            <w:tcW w:w="597" w:type="pct"/>
            <w:tcBorders>
              <w:top w:val="dotted"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1 579 227 </w:t>
            </w:r>
          </w:p>
        </w:tc>
        <w:tc>
          <w:tcPr>
            <w:tcW w:w="522" w:type="pct"/>
            <w:tcBorders>
              <w:top w:val="dotted"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16,75%</w:t>
            </w:r>
          </w:p>
        </w:tc>
        <w:tc>
          <w:tcPr>
            <w:tcW w:w="523" w:type="pct"/>
            <w:tcBorders>
              <w:top w:val="dotted"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4,36%</w:t>
            </w:r>
          </w:p>
        </w:tc>
        <w:tc>
          <w:tcPr>
            <w:tcW w:w="597" w:type="pct"/>
            <w:tcBorders>
              <w:top w:val="dotted"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12,39%</w:t>
            </w:r>
          </w:p>
        </w:tc>
      </w:tr>
      <w:tr w:rsidR="002B6EF0" w:rsidRPr="002A4ED0" w:rsidTr="001C6E77">
        <w:trPr>
          <w:trHeight w:val="377"/>
        </w:trPr>
        <w:tc>
          <w:tcPr>
            <w:tcW w:w="669"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Total Programme</w:t>
            </w:r>
            <w:r w:rsidRPr="002A4ED0">
              <w:rPr>
                <w:rFonts w:ascii="Arial" w:eastAsia="Times New Roman" w:hAnsi="Arial" w:cs="Arial"/>
                <w:b/>
                <w:bCs/>
                <w:color w:val="000000"/>
                <w:kern w:val="24"/>
                <w:sz w:val="20"/>
                <w:szCs w:val="20"/>
                <w:lang w:eastAsia="en-ZA"/>
              </w:rPr>
              <w:lastRenderedPageBreak/>
              <w:t>s</w:t>
            </w:r>
          </w:p>
        </w:tc>
        <w:tc>
          <w:tcPr>
            <w:tcW w:w="534"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lastRenderedPageBreak/>
              <w:t xml:space="preserve">18 539 </w:t>
            </w:r>
            <w:r w:rsidRPr="002A4ED0">
              <w:rPr>
                <w:rFonts w:ascii="Arial" w:eastAsia="Times New Roman" w:hAnsi="Arial" w:cs="Arial"/>
                <w:b/>
                <w:bCs/>
                <w:color w:val="000000"/>
                <w:kern w:val="24"/>
                <w:sz w:val="20"/>
                <w:szCs w:val="20"/>
                <w:lang w:eastAsia="en-ZA"/>
              </w:rPr>
              <w:lastRenderedPageBreak/>
              <w:t xml:space="preserve">669 </w:t>
            </w:r>
          </w:p>
        </w:tc>
        <w:tc>
          <w:tcPr>
            <w:tcW w:w="475"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lastRenderedPageBreak/>
              <w:t xml:space="preserve">  4 149 920 </w:t>
            </w:r>
          </w:p>
        </w:tc>
        <w:tc>
          <w:tcPr>
            <w:tcW w:w="559"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 2 422 603 </w:t>
            </w:r>
          </w:p>
        </w:tc>
        <w:tc>
          <w:tcPr>
            <w:tcW w:w="522"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  16 117 066 </w:t>
            </w:r>
          </w:p>
        </w:tc>
        <w:tc>
          <w:tcPr>
            <w:tcW w:w="597"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   1 727 317 </w:t>
            </w:r>
          </w:p>
        </w:tc>
        <w:tc>
          <w:tcPr>
            <w:tcW w:w="522"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22,38%</w:t>
            </w:r>
          </w:p>
        </w:tc>
        <w:tc>
          <w:tcPr>
            <w:tcW w:w="523"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13,07%</w:t>
            </w:r>
          </w:p>
        </w:tc>
        <w:tc>
          <w:tcPr>
            <w:tcW w:w="597"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9,32%</w:t>
            </w:r>
          </w:p>
        </w:tc>
      </w:tr>
      <w:tr w:rsidR="002B6EF0" w:rsidRPr="002A4ED0" w:rsidTr="001C6E77">
        <w:trPr>
          <w:trHeight w:val="257"/>
        </w:trPr>
        <w:tc>
          <w:tcPr>
            <w:tcW w:w="669"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bottom"/>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lastRenderedPageBreak/>
              <w:t>Economic classification</w:t>
            </w:r>
          </w:p>
        </w:tc>
        <w:tc>
          <w:tcPr>
            <w:tcW w:w="534"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w:t>
            </w:r>
          </w:p>
        </w:tc>
        <w:tc>
          <w:tcPr>
            <w:tcW w:w="475"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w:t>
            </w:r>
          </w:p>
        </w:tc>
        <w:tc>
          <w:tcPr>
            <w:tcW w:w="559"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w:t>
            </w:r>
          </w:p>
        </w:tc>
        <w:tc>
          <w:tcPr>
            <w:tcW w:w="522"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w:t>
            </w:r>
          </w:p>
        </w:tc>
        <w:tc>
          <w:tcPr>
            <w:tcW w:w="597"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w:t>
            </w:r>
          </w:p>
        </w:tc>
        <w:tc>
          <w:tcPr>
            <w:tcW w:w="522"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w:t>
            </w:r>
          </w:p>
        </w:tc>
        <w:tc>
          <w:tcPr>
            <w:tcW w:w="523"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w:t>
            </w:r>
          </w:p>
        </w:tc>
        <w:tc>
          <w:tcPr>
            <w:tcW w:w="597"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w:t>
            </w:r>
          </w:p>
        </w:tc>
      </w:tr>
      <w:tr w:rsidR="002B6EF0" w:rsidRPr="002A4ED0" w:rsidTr="001C6E77">
        <w:trPr>
          <w:trHeight w:val="377"/>
        </w:trPr>
        <w:tc>
          <w:tcPr>
            <w:tcW w:w="669"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Current payments</w:t>
            </w:r>
          </w:p>
        </w:tc>
        <w:tc>
          <w:tcPr>
            <w:tcW w:w="534"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3 672 301 </w:t>
            </w:r>
          </w:p>
        </w:tc>
        <w:tc>
          <w:tcPr>
            <w:tcW w:w="475"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 900 814 </w:t>
            </w:r>
          </w:p>
        </w:tc>
        <w:tc>
          <w:tcPr>
            <w:tcW w:w="559"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 643 251 </w:t>
            </w:r>
          </w:p>
        </w:tc>
        <w:tc>
          <w:tcPr>
            <w:tcW w:w="522"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 3 029 050 </w:t>
            </w:r>
          </w:p>
        </w:tc>
        <w:tc>
          <w:tcPr>
            <w:tcW w:w="597"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  257 563 </w:t>
            </w:r>
          </w:p>
        </w:tc>
        <w:tc>
          <w:tcPr>
            <w:tcW w:w="522"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24,53%</w:t>
            </w:r>
          </w:p>
        </w:tc>
        <w:tc>
          <w:tcPr>
            <w:tcW w:w="523"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17,52%</w:t>
            </w:r>
          </w:p>
        </w:tc>
        <w:tc>
          <w:tcPr>
            <w:tcW w:w="597"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7,01%</w:t>
            </w:r>
          </w:p>
        </w:tc>
      </w:tr>
      <w:tr w:rsidR="002B6EF0" w:rsidRPr="002A4ED0" w:rsidTr="001C6E77">
        <w:trPr>
          <w:trHeight w:val="257"/>
        </w:trPr>
        <w:tc>
          <w:tcPr>
            <w:tcW w:w="669" w:type="pct"/>
            <w:tcBorders>
              <w:top w:val="single"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Compensation of employees </w:t>
            </w:r>
          </w:p>
        </w:tc>
        <w:tc>
          <w:tcPr>
            <w:tcW w:w="534" w:type="pct"/>
            <w:tcBorders>
              <w:top w:val="single"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1 836 433 </w:t>
            </w:r>
          </w:p>
        </w:tc>
        <w:tc>
          <w:tcPr>
            <w:tcW w:w="475" w:type="pct"/>
            <w:tcBorders>
              <w:top w:val="single"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462 174 </w:t>
            </w:r>
          </w:p>
        </w:tc>
        <w:tc>
          <w:tcPr>
            <w:tcW w:w="559" w:type="pct"/>
            <w:tcBorders>
              <w:top w:val="single"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442 217 </w:t>
            </w:r>
          </w:p>
        </w:tc>
        <w:tc>
          <w:tcPr>
            <w:tcW w:w="522" w:type="pct"/>
            <w:tcBorders>
              <w:top w:val="single"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1 394 216 </w:t>
            </w:r>
          </w:p>
        </w:tc>
        <w:tc>
          <w:tcPr>
            <w:tcW w:w="597" w:type="pct"/>
            <w:tcBorders>
              <w:top w:val="single"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19 957 </w:t>
            </w:r>
          </w:p>
        </w:tc>
        <w:tc>
          <w:tcPr>
            <w:tcW w:w="522" w:type="pct"/>
            <w:tcBorders>
              <w:top w:val="single"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25,17%</w:t>
            </w:r>
          </w:p>
        </w:tc>
        <w:tc>
          <w:tcPr>
            <w:tcW w:w="523" w:type="pct"/>
            <w:tcBorders>
              <w:top w:val="single"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24,08%</w:t>
            </w:r>
          </w:p>
        </w:tc>
        <w:tc>
          <w:tcPr>
            <w:tcW w:w="597" w:type="pct"/>
            <w:tcBorders>
              <w:top w:val="single"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1,09%</w:t>
            </w:r>
          </w:p>
        </w:tc>
      </w:tr>
      <w:tr w:rsidR="002B6EF0" w:rsidRPr="002A4ED0" w:rsidTr="001C6E77">
        <w:trPr>
          <w:trHeight w:val="257"/>
        </w:trPr>
        <w:tc>
          <w:tcPr>
            <w:tcW w:w="669"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Goods and services </w:t>
            </w:r>
          </w:p>
        </w:tc>
        <w:tc>
          <w:tcPr>
            <w:tcW w:w="534"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1 835 868 </w:t>
            </w:r>
          </w:p>
        </w:tc>
        <w:tc>
          <w:tcPr>
            <w:tcW w:w="475"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438 640 </w:t>
            </w:r>
          </w:p>
        </w:tc>
        <w:tc>
          <w:tcPr>
            <w:tcW w:w="559"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201 034 </w:t>
            </w:r>
          </w:p>
        </w:tc>
        <w:tc>
          <w:tcPr>
            <w:tcW w:w="522"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1 634 834 </w:t>
            </w:r>
          </w:p>
        </w:tc>
        <w:tc>
          <w:tcPr>
            <w:tcW w:w="597"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237 606 </w:t>
            </w:r>
          </w:p>
        </w:tc>
        <w:tc>
          <w:tcPr>
            <w:tcW w:w="522"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23,89%</w:t>
            </w:r>
          </w:p>
        </w:tc>
        <w:tc>
          <w:tcPr>
            <w:tcW w:w="523"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10,95%</w:t>
            </w:r>
          </w:p>
        </w:tc>
        <w:tc>
          <w:tcPr>
            <w:tcW w:w="597"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12,94%</w:t>
            </w:r>
          </w:p>
        </w:tc>
      </w:tr>
      <w:tr w:rsidR="002B6EF0" w:rsidRPr="002A4ED0" w:rsidTr="001C6E77">
        <w:trPr>
          <w:trHeight w:val="257"/>
        </w:trPr>
        <w:tc>
          <w:tcPr>
            <w:tcW w:w="669" w:type="pct"/>
            <w:tcBorders>
              <w:top w:val="dotted"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6EF0" w:rsidRPr="002A4ED0" w:rsidRDefault="002B6EF0" w:rsidP="002A4ED0">
            <w:pPr>
              <w:spacing w:after="0" w:line="240" w:lineRule="auto"/>
              <w:textAlignment w:val="bottom"/>
              <w:rPr>
                <w:rFonts w:ascii="Arial" w:eastAsia="Times New Roman" w:hAnsi="Arial" w:cs="Arial"/>
                <w:color w:val="000000"/>
                <w:kern w:val="24"/>
                <w:sz w:val="20"/>
                <w:szCs w:val="20"/>
                <w:lang w:val="en-US" w:eastAsia="en-ZA"/>
              </w:rPr>
            </w:pPr>
            <w:r w:rsidRPr="002A4ED0">
              <w:rPr>
                <w:rFonts w:ascii="Arial" w:eastAsia="Times New Roman" w:hAnsi="Arial" w:cs="Arial"/>
                <w:color w:val="000000"/>
                <w:kern w:val="24"/>
                <w:sz w:val="20"/>
                <w:szCs w:val="20"/>
                <w:lang w:val="en-US" w:eastAsia="en-ZA"/>
              </w:rPr>
              <w:t xml:space="preserve">Interest and rent on land  </w:t>
            </w:r>
          </w:p>
          <w:p w:rsidR="00247BC2" w:rsidRPr="002A4ED0" w:rsidRDefault="00247BC2" w:rsidP="002A4ED0">
            <w:pPr>
              <w:spacing w:after="0" w:line="240" w:lineRule="auto"/>
              <w:textAlignment w:val="bottom"/>
              <w:rPr>
                <w:rFonts w:ascii="Arial" w:eastAsia="Times New Roman" w:hAnsi="Arial" w:cs="Arial"/>
                <w:sz w:val="20"/>
                <w:szCs w:val="20"/>
                <w:lang w:eastAsia="en-ZA"/>
              </w:rPr>
            </w:pPr>
          </w:p>
          <w:p w:rsidR="00247BC2" w:rsidRPr="002A4ED0" w:rsidRDefault="00247BC2" w:rsidP="002A4ED0">
            <w:pPr>
              <w:spacing w:after="0" w:line="240" w:lineRule="auto"/>
              <w:textAlignment w:val="bottom"/>
              <w:rPr>
                <w:rFonts w:ascii="Arial" w:eastAsia="Times New Roman" w:hAnsi="Arial" w:cs="Arial"/>
                <w:sz w:val="20"/>
                <w:szCs w:val="20"/>
                <w:lang w:eastAsia="en-ZA"/>
              </w:rPr>
            </w:pPr>
          </w:p>
          <w:p w:rsidR="00247BC2" w:rsidRPr="002A4ED0" w:rsidRDefault="00247BC2" w:rsidP="002A4ED0">
            <w:pPr>
              <w:spacing w:after="0" w:line="240" w:lineRule="auto"/>
              <w:textAlignment w:val="bottom"/>
              <w:rPr>
                <w:rFonts w:ascii="Arial" w:eastAsia="Times New Roman" w:hAnsi="Arial" w:cs="Arial"/>
                <w:sz w:val="20"/>
                <w:szCs w:val="20"/>
                <w:lang w:eastAsia="en-ZA"/>
              </w:rPr>
            </w:pPr>
          </w:p>
          <w:p w:rsidR="00247BC2" w:rsidRPr="002A4ED0" w:rsidRDefault="00247BC2" w:rsidP="002A4ED0">
            <w:pPr>
              <w:spacing w:after="0" w:line="240" w:lineRule="auto"/>
              <w:textAlignment w:val="bottom"/>
              <w:rPr>
                <w:rFonts w:ascii="Arial" w:eastAsia="Times New Roman" w:hAnsi="Arial" w:cs="Arial"/>
                <w:sz w:val="20"/>
                <w:szCs w:val="20"/>
                <w:lang w:eastAsia="en-ZA"/>
              </w:rPr>
            </w:pPr>
          </w:p>
        </w:tc>
        <w:tc>
          <w:tcPr>
            <w:tcW w:w="534" w:type="pct"/>
            <w:tcBorders>
              <w:top w:val="dotted"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   </w:t>
            </w:r>
          </w:p>
        </w:tc>
        <w:tc>
          <w:tcPr>
            <w:tcW w:w="475" w:type="pct"/>
            <w:tcBorders>
              <w:top w:val="dotted"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   </w:t>
            </w:r>
          </w:p>
        </w:tc>
        <w:tc>
          <w:tcPr>
            <w:tcW w:w="559" w:type="pct"/>
            <w:tcBorders>
              <w:top w:val="dotted"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   </w:t>
            </w:r>
          </w:p>
        </w:tc>
        <w:tc>
          <w:tcPr>
            <w:tcW w:w="522" w:type="pct"/>
            <w:tcBorders>
              <w:top w:val="dotted"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 </w:t>
            </w:r>
          </w:p>
        </w:tc>
        <w:tc>
          <w:tcPr>
            <w:tcW w:w="597" w:type="pct"/>
            <w:tcBorders>
              <w:top w:val="dotted"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 </w:t>
            </w:r>
          </w:p>
        </w:tc>
        <w:tc>
          <w:tcPr>
            <w:tcW w:w="522" w:type="pct"/>
            <w:tcBorders>
              <w:top w:val="dotted"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0,00%</w:t>
            </w:r>
          </w:p>
        </w:tc>
        <w:tc>
          <w:tcPr>
            <w:tcW w:w="523" w:type="pct"/>
            <w:tcBorders>
              <w:top w:val="dotted"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0,00%</w:t>
            </w:r>
          </w:p>
        </w:tc>
        <w:tc>
          <w:tcPr>
            <w:tcW w:w="597" w:type="pct"/>
            <w:tcBorders>
              <w:top w:val="dotted"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0,00%</w:t>
            </w:r>
          </w:p>
        </w:tc>
      </w:tr>
      <w:tr w:rsidR="002B6EF0" w:rsidRPr="002A4ED0" w:rsidTr="001C6E77">
        <w:trPr>
          <w:trHeight w:val="377"/>
        </w:trPr>
        <w:tc>
          <w:tcPr>
            <w:tcW w:w="669"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Transfers and subsidies</w:t>
            </w:r>
          </w:p>
        </w:tc>
        <w:tc>
          <w:tcPr>
            <w:tcW w:w="534"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  10 528 115 </w:t>
            </w:r>
          </w:p>
        </w:tc>
        <w:tc>
          <w:tcPr>
            <w:tcW w:w="475"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  2 112 727 </w:t>
            </w:r>
          </w:p>
        </w:tc>
        <w:tc>
          <w:tcPr>
            <w:tcW w:w="559"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  1 439 574 </w:t>
            </w:r>
          </w:p>
        </w:tc>
        <w:tc>
          <w:tcPr>
            <w:tcW w:w="522"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   9 088 541 </w:t>
            </w:r>
          </w:p>
        </w:tc>
        <w:tc>
          <w:tcPr>
            <w:tcW w:w="597"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 673 153 </w:t>
            </w:r>
          </w:p>
        </w:tc>
        <w:tc>
          <w:tcPr>
            <w:tcW w:w="522"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20,07%</w:t>
            </w:r>
          </w:p>
        </w:tc>
        <w:tc>
          <w:tcPr>
            <w:tcW w:w="523"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13,67%</w:t>
            </w:r>
          </w:p>
        </w:tc>
        <w:tc>
          <w:tcPr>
            <w:tcW w:w="597"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6,39%</w:t>
            </w:r>
          </w:p>
        </w:tc>
      </w:tr>
      <w:tr w:rsidR="002B6EF0" w:rsidRPr="002A4ED0" w:rsidTr="001C6E77">
        <w:trPr>
          <w:trHeight w:val="316"/>
        </w:trPr>
        <w:tc>
          <w:tcPr>
            <w:tcW w:w="669" w:type="pct"/>
            <w:tcBorders>
              <w:top w:val="single"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Province and municipalities </w:t>
            </w:r>
          </w:p>
        </w:tc>
        <w:tc>
          <w:tcPr>
            <w:tcW w:w="534" w:type="pct"/>
            <w:tcBorders>
              <w:top w:val="single"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6 223 394 </w:t>
            </w:r>
          </w:p>
        </w:tc>
        <w:tc>
          <w:tcPr>
            <w:tcW w:w="475" w:type="pct"/>
            <w:tcBorders>
              <w:top w:val="single"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   </w:t>
            </w:r>
          </w:p>
        </w:tc>
        <w:tc>
          <w:tcPr>
            <w:tcW w:w="559" w:type="pct"/>
            <w:tcBorders>
              <w:top w:val="single"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164 </w:t>
            </w:r>
          </w:p>
        </w:tc>
        <w:tc>
          <w:tcPr>
            <w:tcW w:w="522" w:type="pct"/>
            <w:tcBorders>
              <w:top w:val="single"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6 223 230 </w:t>
            </w:r>
          </w:p>
        </w:tc>
        <w:tc>
          <w:tcPr>
            <w:tcW w:w="597" w:type="pct"/>
            <w:tcBorders>
              <w:top w:val="single"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(164)</w:t>
            </w:r>
          </w:p>
        </w:tc>
        <w:tc>
          <w:tcPr>
            <w:tcW w:w="522" w:type="pct"/>
            <w:tcBorders>
              <w:top w:val="single"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0,00%</w:t>
            </w:r>
          </w:p>
        </w:tc>
        <w:tc>
          <w:tcPr>
            <w:tcW w:w="523" w:type="pct"/>
            <w:tcBorders>
              <w:top w:val="single"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0,00%</w:t>
            </w:r>
          </w:p>
        </w:tc>
        <w:tc>
          <w:tcPr>
            <w:tcW w:w="597" w:type="pct"/>
            <w:tcBorders>
              <w:top w:val="single"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0,00%</w:t>
            </w:r>
          </w:p>
        </w:tc>
      </w:tr>
      <w:tr w:rsidR="002B6EF0" w:rsidRPr="002A4ED0" w:rsidTr="001C6E77">
        <w:trPr>
          <w:trHeight w:val="257"/>
        </w:trPr>
        <w:tc>
          <w:tcPr>
            <w:tcW w:w="669"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Departmental agencies and accounts </w:t>
            </w:r>
          </w:p>
        </w:tc>
        <w:tc>
          <w:tcPr>
            <w:tcW w:w="534"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2 612 130 </w:t>
            </w:r>
          </w:p>
        </w:tc>
        <w:tc>
          <w:tcPr>
            <w:tcW w:w="475"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1 141 661 </w:t>
            </w:r>
          </w:p>
        </w:tc>
        <w:tc>
          <w:tcPr>
            <w:tcW w:w="559"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1 145 013 </w:t>
            </w:r>
          </w:p>
        </w:tc>
        <w:tc>
          <w:tcPr>
            <w:tcW w:w="522"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1 467 117 </w:t>
            </w:r>
          </w:p>
        </w:tc>
        <w:tc>
          <w:tcPr>
            <w:tcW w:w="597"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(3 352)</w:t>
            </w:r>
          </w:p>
        </w:tc>
        <w:tc>
          <w:tcPr>
            <w:tcW w:w="522"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43,71%</w:t>
            </w:r>
          </w:p>
        </w:tc>
        <w:tc>
          <w:tcPr>
            <w:tcW w:w="523"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43,83%</w:t>
            </w:r>
          </w:p>
        </w:tc>
        <w:tc>
          <w:tcPr>
            <w:tcW w:w="597"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-0,13%</w:t>
            </w:r>
          </w:p>
        </w:tc>
      </w:tr>
      <w:tr w:rsidR="002B6EF0" w:rsidRPr="002A4ED0" w:rsidTr="001C6E77">
        <w:trPr>
          <w:trHeight w:val="515"/>
        </w:trPr>
        <w:tc>
          <w:tcPr>
            <w:tcW w:w="669"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hideMark/>
          </w:tcPr>
          <w:p w:rsidR="002B6EF0" w:rsidRPr="002A4ED0" w:rsidRDefault="002B6EF0" w:rsidP="002A4ED0">
            <w:pPr>
              <w:spacing w:after="0" w:line="240" w:lineRule="auto"/>
              <w:ind w:left="144" w:hanging="144"/>
              <w:textAlignment w:val="bottom"/>
              <w:rPr>
                <w:rFonts w:ascii="Arial" w:eastAsia="Times New Roman" w:hAnsi="Arial" w:cs="Arial"/>
                <w:color w:val="000000"/>
                <w:kern w:val="24"/>
                <w:sz w:val="20"/>
                <w:szCs w:val="20"/>
                <w:lang w:val="en-US" w:eastAsia="en-ZA"/>
              </w:rPr>
            </w:pPr>
            <w:r w:rsidRPr="002A4ED0">
              <w:rPr>
                <w:rFonts w:ascii="Arial" w:eastAsia="Times New Roman" w:hAnsi="Arial" w:cs="Arial"/>
                <w:color w:val="000000"/>
                <w:kern w:val="24"/>
                <w:sz w:val="20"/>
                <w:szCs w:val="20"/>
                <w:lang w:val="en-US" w:eastAsia="en-ZA"/>
              </w:rPr>
              <w:t>Foreign</w:t>
            </w:r>
          </w:p>
          <w:p w:rsidR="002B6EF0" w:rsidRPr="002A4ED0" w:rsidRDefault="002B6EF0" w:rsidP="002A4ED0">
            <w:pPr>
              <w:spacing w:after="0" w:line="240" w:lineRule="auto"/>
              <w:ind w:left="144" w:hanging="144"/>
              <w:textAlignment w:val="bottom"/>
              <w:rPr>
                <w:rFonts w:ascii="Arial" w:eastAsia="Times New Roman" w:hAnsi="Arial" w:cs="Arial"/>
                <w:color w:val="000000"/>
                <w:kern w:val="24"/>
                <w:sz w:val="20"/>
                <w:szCs w:val="20"/>
                <w:lang w:val="en-US" w:eastAsia="en-ZA"/>
              </w:rPr>
            </w:pPr>
            <w:r w:rsidRPr="002A4ED0">
              <w:rPr>
                <w:rFonts w:ascii="Arial" w:eastAsia="Times New Roman" w:hAnsi="Arial" w:cs="Arial"/>
                <w:color w:val="000000"/>
                <w:kern w:val="24"/>
                <w:sz w:val="20"/>
                <w:szCs w:val="20"/>
                <w:lang w:val="en-US" w:eastAsia="en-ZA"/>
              </w:rPr>
              <w:t>governments and</w:t>
            </w:r>
          </w:p>
          <w:p w:rsidR="002B6EF0" w:rsidRPr="002A4ED0" w:rsidRDefault="002B6EF0" w:rsidP="002A4ED0">
            <w:pPr>
              <w:spacing w:after="0" w:line="240" w:lineRule="auto"/>
              <w:ind w:left="144" w:hanging="144"/>
              <w:textAlignment w:val="bottom"/>
              <w:rPr>
                <w:rFonts w:ascii="Arial" w:eastAsia="Times New Roman" w:hAnsi="Arial" w:cs="Arial"/>
                <w:color w:val="000000"/>
                <w:kern w:val="24"/>
                <w:sz w:val="20"/>
                <w:szCs w:val="20"/>
                <w:lang w:val="en-US" w:eastAsia="en-ZA"/>
              </w:rPr>
            </w:pPr>
            <w:r w:rsidRPr="002A4ED0">
              <w:rPr>
                <w:rFonts w:ascii="Arial" w:eastAsia="Times New Roman" w:hAnsi="Arial" w:cs="Arial"/>
                <w:color w:val="000000"/>
                <w:kern w:val="24"/>
                <w:sz w:val="20"/>
                <w:szCs w:val="20"/>
                <w:lang w:val="en-US" w:eastAsia="en-ZA"/>
              </w:rPr>
              <w:t>international</w:t>
            </w:r>
          </w:p>
          <w:p w:rsidR="002B6EF0" w:rsidRPr="002A4ED0" w:rsidRDefault="002B6EF0" w:rsidP="002A4ED0">
            <w:pPr>
              <w:spacing w:after="0" w:line="240" w:lineRule="auto"/>
              <w:ind w:left="144" w:hanging="144"/>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val="en-US" w:eastAsia="en-ZA"/>
              </w:rPr>
              <w:t xml:space="preserve">organisations </w:t>
            </w:r>
          </w:p>
        </w:tc>
        <w:tc>
          <w:tcPr>
            <w:tcW w:w="534"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250 978 </w:t>
            </w:r>
          </w:p>
        </w:tc>
        <w:tc>
          <w:tcPr>
            <w:tcW w:w="475"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146 851 </w:t>
            </w:r>
          </w:p>
        </w:tc>
        <w:tc>
          <w:tcPr>
            <w:tcW w:w="559"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146 851 </w:t>
            </w:r>
          </w:p>
        </w:tc>
        <w:tc>
          <w:tcPr>
            <w:tcW w:w="522"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104 127 </w:t>
            </w:r>
          </w:p>
        </w:tc>
        <w:tc>
          <w:tcPr>
            <w:tcW w:w="597"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 </w:t>
            </w:r>
          </w:p>
        </w:tc>
        <w:tc>
          <w:tcPr>
            <w:tcW w:w="522"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58,51%</w:t>
            </w:r>
          </w:p>
        </w:tc>
        <w:tc>
          <w:tcPr>
            <w:tcW w:w="523"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58,51%</w:t>
            </w:r>
          </w:p>
        </w:tc>
        <w:tc>
          <w:tcPr>
            <w:tcW w:w="597"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0,00%</w:t>
            </w:r>
          </w:p>
        </w:tc>
      </w:tr>
      <w:tr w:rsidR="002B6EF0" w:rsidRPr="002A4ED0" w:rsidTr="001C6E77">
        <w:trPr>
          <w:trHeight w:val="257"/>
        </w:trPr>
        <w:tc>
          <w:tcPr>
            <w:tcW w:w="669"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val="en-US" w:eastAsia="en-ZA"/>
              </w:rPr>
              <w:t xml:space="preserve">Public corporations and private enterprises </w:t>
            </w:r>
          </w:p>
        </w:tc>
        <w:tc>
          <w:tcPr>
            <w:tcW w:w="534"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1 413 686 </w:t>
            </w:r>
          </w:p>
        </w:tc>
        <w:tc>
          <w:tcPr>
            <w:tcW w:w="475"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811 973 </w:t>
            </w:r>
          </w:p>
        </w:tc>
        <w:tc>
          <w:tcPr>
            <w:tcW w:w="559"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143 729 </w:t>
            </w:r>
          </w:p>
        </w:tc>
        <w:tc>
          <w:tcPr>
            <w:tcW w:w="522"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1 269 957 </w:t>
            </w:r>
          </w:p>
        </w:tc>
        <w:tc>
          <w:tcPr>
            <w:tcW w:w="597"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668 244 </w:t>
            </w:r>
          </w:p>
        </w:tc>
        <w:tc>
          <w:tcPr>
            <w:tcW w:w="522"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57,44%</w:t>
            </w:r>
          </w:p>
        </w:tc>
        <w:tc>
          <w:tcPr>
            <w:tcW w:w="523"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10,17%</w:t>
            </w:r>
          </w:p>
        </w:tc>
        <w:tc>
          <w:tcPr>
            <w:tcW w:w="597"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47,27%</w:t>
            </w:r>
          </w:p>
        </w:tc>
      </w:tr>
      <w:tr w:rsidR="002B6EF0" w:rsidRPr="002A4ED0" w:rsidTr="001C6E77">
        <w:trPr>
          <w:trHeight w:val="257"/>
        </w:trPr>
        <w:tc>
          <w:tcPr>
            <w:tcW w:w="669"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Non-profit institutions </w:t>
            </w:r>
          </w:p>
        </w:tc>
        <w:tc>
          <w:tcPr>
            <w:tcW w:w="534"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1 142 </w:t>
            </w:r>
          </w:p>
        </w:tc>
        <w:tc>
          <w:tcPr>
            <w:tcW w:w="475"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557 </w:t>
            </w:r>
          </w:p>
        </w:tc>
        <w:tc>
          <w:tcPr>
            <w:tcW w:w="559"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500 </w:t>
            </w:r>
          </w:p>
        </w:tc>
        <w:tc>
          <w:tcPr>
            <w:tcW w:w="522"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642 </w:t>
            </w:r>
          </w:p>
        </w:tc>
        <w:tc>
          <w:tcPr>
            <w:tcW w:w="597"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57 </w:t>
            </w:r>
          </w:p>
        </w:tc>
        <w:tc>
          <w:tcPr>
            <w:tcW w:w="522"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48,77%</w:t>
            </w:r>
          </w:p>
        </w:tc>
        <w:tc>
          <w:tcPr>
            <w:tcW w:w="523"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43,78%</w:t>
            </w:r>
          </w:p>
        </w:tc>
        <w:tc>
          <w:tcPr>
            <w:tcW w:w="597"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4,99%</w:t>
            </w:r>
          </w:p>
        </w:tc>
      </w:tr>
      <w:tr w:rsidR="002B6EF0" w:rsidRPr="002A4ED0" w:rsidTr="001C6E77">
        <w:trPr>
          <w:trHeight w:val="257"/>
        </w:trPr>
        <w:tc>
          <w:tcPr>
            <w:tcW w:w="669" w:type="pct"/>
            <w:tcBorders>
              <w:top w:val="dotted"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Households </w:t>
            </w:r>
          </w:p>
        </w:tc>
        <w:tc>
          <w:tcPr>
            <w:tcW w:w="534" w:type="pct"/>
            <w:tcBorders>
              <w:top w:val="dotted"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26 785 </w:t>
            </w:r>
          </w:p>
        </w:tc>
        <w:tc>
          <w:tcPr>
            <w:tcW w:w="475" w:type="pct"/>
            <w:tcBorders>
              <w:top w:val="dotted"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11 685 </w:t>
            </w:r>
          </w:p>
        </w:tc>
        <w:tc>
          <w:tcPr>
            <w:tcW w:w="559" w:type="pct"/>
            <w:tcBorders>
              <w:top w:val="dotted"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3 317 </w:t>
            </w:r>
          </w:p>
        </w:tc>
        <w:tc>
          <w:tcPr>
            <w:tcW w:w="522" w:type="pct"/>
            <w:tcBorders>
              <w:top w:val="dotted"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23 468 </w:t>
            </w:r>
          </w:p>
        </w:tc>
        <w:tc>
          <w:tcPr>
            <w:tcW w:w="597" w:type="pct"/>
            <w:tcBorders>
              <w:top w:val="dotted"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8 368 </w:t>
            </w:r>
          </w:p>
        </w:tc>
        <w:tc>
          <w:tcPr>
            <w:tcW w:w="522" w:type="pct"/>
            <w:tcBorders>
              <w:top w:val="dotted"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43,63%</w:t>
            </w:r>
          </w:p>
        </w:tc>
        <w:tc>
          <w:tcPr>
            <w:tcW w:w="523" w:type="pct"/>
            <w:tcBorders>
              <w:top w:val="dotted"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12,38%</w:t>
            </w:r>
          </w:p>
        </w:tc>
        <w:tc>
          <w:tcPr>
            <w:tcW w:w="597" w:type="pct"/>
            <w:tcBorders>
              <w:top w:val="dotted"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31,24%</w:t>
            </w:r>
          </w:p>
        </w:tc>
      </w:tr>
      <w:tr w:rsidR="002B6EF0" w:rsidRPr="002A4ED0" w:rsidTr="001C6E77">
        <w:trPr>
          <w:trHeight w:val="377"/>
        </w:trPr>
        <w:tc>
          <w:tcPr>
            <w:tcW w:w="669"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Payments for capital assets</w:t>
            </w:r>
          </w:p>
        </w:tc>
        <w:tc>
          <w:tcPr>
            <w:tcW w:w="534"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  4 339 253 </w:t>
            </w:r>
          </w:p>
        </w:tc>
        <w:tc>
          <w:tcPr>
            <w:tcW w:w="475"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 1 136 379 </w:t>
            </w:r>
          </w:p>
        </w:tc>
        <w:tc>
          <w:tcPr>
            <w:tcW w:w="559"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   339 778 </w:t>
            </w:r>
          </w:p>
        </w:tc>
        <w:tc>
          <w:tcPr>
            <w:tcW w:w="522"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3 999 475 </w:t>
            </w:r>
          </w:p>
        </w:tc>
        <w:tc>
          <w:tcPr>
            <w:tcW w:w="597"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 796 601 </w:t>
            </w:r>
          </w:p>
        </w:tc>
        <w:tc>
          <w:tcPr>
            <w:tcW w:w="522"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26,19%</w:t>
            </w:r>
          </w:p>
        </w:tc>
        <w:tc>
          <w:tcPr>
            <w:tcW w:w="523"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7,83%</w:t>
            </w:r>
          </w:p>
        </w:tc>
        <w:tc>
          <w:tcPr>
            <w:tcW w:w="597"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18,36%</w:t>
            </w:r>
          </w:p>
        </w:tc>
      </w:tr>
      <w:tr w:rsidR="002B6EF0" w:rsidRPr="002A4ED0" w:rsidTr="001C6E77">
        <w:trPr>
          <w:trHeight w:val="299"/>
        </w:trPr>
        <w:tc>
          <w:tcPr>
            <w:tcW w:w="669" w:type="pct"/>
            <w:tcBorders>
              <w:top w:val="single"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val="en-US" w:eastAsia="en-ZA"/>
              </w:rPr>
              <w:t xml:space="preserve">Buildings and other fixed structures </w:t>
            </w:r>
          </w:p>
        </w:tc>
        <w:tc>
          <w:tcPr>
            <w:tcW w:w="534" w:type="pct"/>
            <w:tcBorders>
              <w:top w:val="single"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4 193 668 </w:t>
            </w:r>
          </w:p>
        </w:tc>
        <w:tc>
          <w:tcPr>
            <w:tcW w:w="475" w:type="pct"/>
            <w:tcBorders>
              <w:top w:val="single"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1 113 079 </w:t>
            </w:r>
          </w:p>
        </w:tc>
        <w:tc>
          <w:tcPr>
            <w:tcW w:w="559" w:type="pct"/>
            <w:tcBorders>
              <w:top w:val="single"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291 940 </w:t>
            </w:r>
          </w:p>
        </w:tc>
        <w:tc>
          <w:tcPr>
            <w:tcW w:w="522" w:type="pct"/>
            <w:tcBorders>
              <w:top w:val="single"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3 901 728 </w:t>
            </w:r>
          </w:p>
        </w:tc>
        <w:tc>
          <w:tcPr>
            <w:tcW w:w="597" w:type="pct"/>
            <w:tcBorders>
              <w:top w:val="single"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821 139 </w:t>
            </w:r>
          </w:p>
        </w:tc>
        <w:tc>
          <w:tcPr>
            <w:tcW w:w="522" w:type="pct"/>
            <w:tcBorders>
              <w:top w:val="single"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26,54%</w:t>
            </w:r>
          </w:p>
        </w:tc>
        <w:tc>
          <w:tcPr>
            <w:tcW w:w="523" w:type="pct"/>
            <w:tcBorders>
              <w:top w:val="single"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6,96%</w:t>
            </w:r>
          </w:p>
        </w:tc>
        <w:tc>
          <w:tcPr>
            <w:tcW w:w="597" w:type="pct"/>
            <w:tcBorders>
              <w:top w:val="single"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19,58%</w:t>
            </w:r>
          </w:p>
        </w:tc>
      </w:tr>
      <w:tr w:rsidR="002B6EF0" w:rsidRPr="002A4ED0" w:rsidTr="001C6E77">
        <w:trPr>
          <w:trHeight w:val="257"/>
        </w:trPr>
        <w:tc>
          <w:tcPr>
            <w:tcW w:w="669"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bottom"/>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Machinery and equipment </w:t>
            </w:r>
          </w:p>
        </w:tc>
        <w:tc>
          <w:tcPr>
            <w:tcW w:w="534"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99 202 </w:t>
            </w:r>
          </w:p>
        </w:tc>
        <w:tc>
          <w:tcPr>
            <w:tcW w:w="475"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23 300 </w:t>
            </w:r>
          </w:p>
        </w:tc>
        <w:tc>
          <w:tcPr>
            <w:tcW w:w="559"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5 872 </w:t>
            </w:r>
          </w:p>
        </w:tc>
        <w:tc>
          <w:tcPr>
            <w:tcW w:w="522"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93 330 </w:t>
            </w:r>
          </w:p>
        </w:tc>
        <w:tc>
          <w:tcPr>
            <w:tcW w:w="597"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17 428 </w:t>
            </w:r>
          </w:p>
        </w:tc>
        <w:tc>
          <w:tcPr>
            <w:tcW w:w="522"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23,49%</w:t>
            </w:r>
          </w:p>
        </w:tc>
        <w:tc>
          <w:tcPr>
            <w:tcW w:w="523"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5,92%</w:t>
            </w:r>
          </w:p>
        </w:tc>
        <w:tc>
          <w:tcPr>
            <w:tcW w:w="597" w:type="pct"/>
            <w:tcBorders>
              <w:top w:val="dotted" w:sz="4" w:space="0" w:color="000000"/>
              <w:left w:val="single"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17,57%</w:t>
            </w:r>
          </w:p>
        </w:tc>
      </w:tr>
      <w:tr w:rsidR="002B6EF0" w:rsidRPr="002A4ED0" w:rsidTr="001C6E77">
        <w:trPr>
          <w:trHeight w:val="279"/>
        </w:trPr>
        <w:tc>
          <w:tcPr>
            <w:tcW w:w="669" w:type="pct"/>
            <w:tcBorders>
              <w:top w:val="dotted"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val="en-US" w:eastAsia="en-ZA"/>
              </w:rPr>
              <w:t xml:space="preserve">Software and other intangible assets </w:t>
            </w:r>
          </w:p>
        </w:tc>
        <w:tc>
          <w:tcPr>
            <w:tcW w:w="534" w:type="pct"/>
            <w:tcBorders>
              <w:top w:val="dotted"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46 383 </w:t>
            </w:r>
          </w:p>
        </w:tc>
        <w:tc>
          <w:tcPr>
            <w:tcW w:w="475" w:type="pct"/>
            <w:tcBorders>
              <w:top w:val="dotted"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   </w:t>
            </w:r>
          </w:p>
        </w:tc>
        <w:tc>
          <w:tcPr>
            <w:tcW w:w="559" w:type="pct"/>
            <w:tcBorders>
              <w:top w:val="dotted"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41 966 </w:t>
            </w:r>
          </w:p>
        </w:tc>
        <w:tc>
          <w:tcPr>
            <w:tcW w:w="522" w:type="pct"/>
            <w:tcBorders>
              <w:top w:val="dotted"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4 417 </w:t>
            </w:r>
          </w:p>
        </w:tc>
        <w:tc>
          <w:tcPr>
            <w:tcW w:w="597" w:type="pct"/>
            <w:tcBorders>
              <w:top w:val="dotted"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(41 966)</w:t>
            </w:r>
          </w:p>
        </w:tc>
        <w:tc>
          <w:tcPr>
            <w:tcW w:w="522" w:type="pct"/>
            <w:tcBorders>
              <w:top w:val="dotted"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0,00%</w:t>
            </w:r>
          </w:p>
        </w:tc>
        <w:tc>
          <w:tcPr>
            <w:tcW w:w="523" w:type="pct"/>
            <w:tcBorders>
              <w:top w:val="dotted"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90,48%</w:t>
            </w:r>
          </w:p>
        </w:tc>
        <w:tc>
          <w:tcPr>
            <w:tcW w:w="597" w:type="pct"/>
            <w:tcBorders>
              <w:top w:val="dotted"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-90,48%</w:t>
            </w:r>
          </w:p>
        </w:tc>
      </w:tr>
      <w:tr w:rsidR="002B6EF0" w:rsidRPr="002A4ED0" w:rsidTr="001C6E77">
        <w:trPr>
          <w:trHeight w:val="257"/>
        </w:trPr>
        <w:tc>
          <w:tcPr>
            <w:tcW w:w="669"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Payments for financial assets</w:t>
            </w:r>
          </w:p>
        </w:tc>
        <w:tc>
          <w:tcPr>
            <w:tcW w:w="534"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                  -   </w:t>
            </w:r>
          </w:p>
        </w:tc>
        <w:tc>
          <w:tcPr>
            <w:tcW w:w="475"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                 -   </w:t>
            </w:r>
          </w:p>
        </w:tc>
        <w:tc>
          <w:tcPr>
            <w:tcW w:w="559"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                    -   </w:t>
            </w:r>
          </w:p>
        </w:tc>
        <w:tc>
          <w:tcPr>
            <w:tcW w:w="522"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                      -  </w:t>
            </w:r>
          </w:p>
        </w:tc>
        <w:tc>
          <w:tcPr>
            <w:tcW w:w="597"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           -  </w:t>
            </w:r>
          </w:p>
        </w:tc>
        <w:tc>
          <w:tcPr>
            <w:tcW w:w="522"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0,00%</w:t>
            </w:r>
          </w:p>
        </w:tc>
        <w:tc>
          <w:tcPr>
            <w:tcW w:w="523"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0,00%</w:t>
            </w:r>
          </w:p>
        </w:tc>
        <w:tc>
          <w:tcPr>
            <w:tcW w:w="597"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0,00%</w:t>
            </w:r>
          </w:p>
        </w:tc>
      </w:tr>
      <w:tr w:rsidR="002B6EF0" w:rsidRPr="002A4ED0" w:rsidTr="001C6E77">
        <w:trPr>
          <w:trHeight w:val="257"/>
        </w:trPr>
        <w:tc>
          <w:tcPr>
            <w:tcW w:w="669" w:type="pct"/>
            <w:tcBorders>
              <w:top w:val="single" w:sz="4" w:space="0" w:color="000000"/>
              <w:left w:val="single" w:sz="4" w:space="0" w:color="000000"/>
              <w:bottom w:val="double" w:sz="6"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lastRenderedPageBreak/>
              <w:t>Total economic classification</w:t>
            </w:r>
          </w:p>
        </w:tc>
        <w:tc>
          <w:tcPr>
            <w:tcW w:w="534" w:type="pct"/>
            <w:tcBorders>
              <w:top w:val="single" w:sz="4" w:space="0" w:color="000000"/>
              <w:left w:val="single" w:sz="4" w:space="0" w:color="000000"/>
              <w:bottom w:val="double" w:sz="6"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  18 539 669 </w:t>
            </w:r>
          </w:p>
        </w:tc>
        <w:tc>
          <w:tcPr>
            <w:tcW w:w="475" w:type="pct"/>
            <w:tcBorders>
              <w:top w:val="single" w:sz="4" w:space="0" w:color="000000"/>
              <w:left w:val="single" w:sz="4" w:space="0" w:color="000000"/>
              <w:bottom w:val="double" w:sz="6"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   4 149 920 </w:t>
            </w:r>
          </w:p>
        </w:tc>
        <w:tc>
          <w:tcPr>
            <w:tcW w:w="559" w:type="pct"/>
            <w:tcBorders>
              <w:top w:val="single" w:sz="4" w:space="0" w:color="000000"/>
              <w:left w:val="single" w:sz="4" w:space="0" w:color="000000"/>
              <w:bottom w:val="double" w:sz="6"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  2 422 603 </w:t>
            </w:r>
          </w:p>
        </w:tc>
        <w:tc>
          <w:tcPr>
            <w:tcW w:w="522" w:type="pct"/>
            <w:tcBorders>
              <w:top w:val="single" w:sz="4" w:space="0" w:color="000000"/>
              <w:left w:val="single" w:sz="4" w:space="0" w:color="000000"/>
              <w:bottom w:val="double" w:sz="6"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 16 117 066 </w:t>
            </w:r>
          </w:p>
        </w:tc>
        <w:tc>
          <w:tcPr>
            <w:tcW w:w="597" w:type="pct"/>
            <w:tcBorders>
              <w:top w:val="single" w:sz="4" w:space="0" w:color="000000"/>
              <w:left w:val="single" w:sz="4" w:space="0" w:color="000000"/>
              <w:bottom w:val="double" w:sz="6"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  1 727 317 </w:t>
            </w:r>
          </w:p>
        </w:tc>
        <w:tc>
          <w:tcPr>
            <w:tcW w:w="522" w:type="pct"/>
            <w:tcBorders>
              <w:top w:val="single" w:sz="4" w:space="0" w:color="000000"/>
              <w:left w:val="single" w:sz="4" w:space="0" w:color="000000"/>
              <w:bottom w:val="double" w:sz="6"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22,38%</w:t>
            </w:r>
          </w:p>
        </w:tc>
        <w:tc>
          <w:tcPr>
            <w:tcW w:w="523" w:type="pct"/>
            <w:tcBorders>
              <w:top w:val="single" w:sz="4" w:space="0" w:color="000000"/>
              <w:left w:val="single" w:sz="4" w:space="0" w:color="000000"/>
              <w:bottom w:val="double" w:sz="6"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13,07%</w:t>
            </w:r>
          </w:p>
        </w:tc>
        <w:tc>
          <w:tcPr>
            <w:tcW w:w="597" w:type="pct"/>
            <w:tcBorders>
              <w:top w:val="single" w:sz="4" w:space="0" w:color="000000"/>
              <w:left w:val="single" w:sz="4" w:space="0" w:color="000000"/>
              <w:bottom w:val="double" w:sz="6" w:space="0" w:color="000000"/>
              <w:right w:val="single" w:sz="4" w:space="0" w:color="000000"/>
            </w:tcBorders>
            <w:shd w:val="clear" w:color="auto" w:fill="D8E4BC"/>
            <w:tcMar>
              <w:top w:w="15" w:type="dxa"/>
              <w:left w:w="15" w:type="dxa"/>
              <w:bottom w:w="0" w:type="dxa"/>
              <w:right w:w="15" w:type="dxa"/>
            </w:tcMar>
            <w:vAlign w:val="center"/>
            <w:hideMark/>
          </w:tcPr>
          <w:p w:rsidR="002B6EF0" w:rsidRPr="002A4ED0" w:rsidRDefault="002B6EF0"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9,32%</w:t>
            </w:r>
          </w:p>
        </w:tc>
      </w:tr>
    </w:tbl>
    <w:p w:rsidR="00366E7A" w:rsidRPr="002A4ED0" w:rsidRDefault="00366E7A" w:rsidP="002A4ED0">
      <w:pPr>
        <w:autoSpaceDE w:val="0"/>
        <w:autoSpaceDN w:val="0"/>
        <w:adjustRightInd w:val="0"/>
        <w:spacing w:after="0" w:line="240" w:lineRule="auto"/>
        <w:rPr>
          <w:rFonts w:ascii="Arial" w:hAnsi="Arial" w:cs="Arial"/>
          <w:b/>
          <w:bCs/>
          <w:sz w:val="20"/>
          <w:szCs w:val="20"/>
        </w:rPr>
      </w:pPr>
    </w:p>
    <w:p w:rsidR="009162A7" w:rsidRPr="002A4ED0" w:rsidRDefault="00366E7A" w:rsidP="002A4ED0">
      <w:pPr>
        <w:autoSpaceDE w:val="0"/>
        <w:autoSpaceDN w:val="0"/>
        <w:adjustRightInd w:val="0"/>
        <w:spacing w:after="0" w:line="240" w:lineRule="auto"/>
        <w:rPr>
          <w:rFonts w:ascii="Arial" w:hAnsi="Arial" w:cs="Arial"/>
          <w:sz w:val="20"/>
          <w:szCs w:val="20"/>
        </w:rPr>
      </w:pPr>
      <w:r w:rsidRPr="002A4ED0">
        <w:rPr>
          <w:rFonts w:ascii="Arial" w:hAnsi="Arial" w:cs="Arial"/>
          <w:bCs/>
          <w:sz w:val="20"/>
          <w:szCs w:val="20"/>
        </w:rPr>
        <w:t xml:space="preserve">In </w:t>
      </w:r>
      <w:r w:rsidR="009162A7" w:rsidRPr="002A4ED0">
        <w:rPr>
          <w:rFonts w:ascii="Arial" w:hAnsi="Arial" w:cs="Arial"/>
          <w:b/>
          <w:bCs/>
          <w:sz w:val="20"/>
          <w:szCs w:val="20"/>
        </w:rPr>
        <w:t xml:space="preserve">Programme 3: Water Services Management </w:t>
      </w:r>
      <w:r w:rsidR="009162A7" w:rsidRPr="002A4ED0">
        <w:rPr>
          <w:rFonts w:ascii="Arial" w:hAnsi="Arial" w:cs="Arial"/>
          <w:sz w:val="20"/>
          <w:szCs w:val="20"/>
        </w:rPr>
        <w:t>spent R555 mil</w:t>
      </w:r>
      <w:r w:rsidR="00B005FC" w:rsidRPr="002A4ED0">
        <w:rPr>
          <w:rFonts w:ascii="Arial" w:hAnsi="Arial" w:cs="Arial"/>
          <w:sz w:val="20"/>
          <w:szCs w:val="20"/>
        </w:rPr>
        <w:t>lion</w:t>
      </w:r>
      <w:r w:rsidR="009162A7" w:rsidRPr="002A4ED0">
        <w:rPr>
          <w:rFonts w:ascii="Arial" w:hAnsi="Arial" w:cs="Arial"/>
          <w:sz w:val="20"/>
          <w:szCs w:val="20"/>
        </w:rPr>
        <w:t xml:space="preserve"> against a projection of R2.1 billion. Spending is R1.6 billion or 74 per cent lower than projected, mainly due to the delay in the planned transfer to Umgeni Water Board due to the non</w:t>
      </w:r>
      <w:r w:rsidR="009162A7" w:rsidRPr="002A4ED0">
        <w:rPr>
          <w:rFonts w:ascii="Times New Roman" w:hAnsi="Times New Roman" w:cs="Arial"/>
          <w:sz w:val="20"/>
          <w:szCs w:val="20"/>
        </w:rPr>
        <w:t>‐</w:t>
      </w:r>
      <w:r w:rsidR="009162A7" w:rsidRPr="002A4ED0">
        <w:rPr>
          <w:rFonts w:ascii="Arial" w:hAnsi="Arial" w:cs="Arial"/>
          <w:sz w:val="20"/>
          <w:szCs w:val="20"/>
        </w:rPr>
        <w:t>submission of the required project documentation and the lower spending of the indirect Regional Bulk Infrastructure and Water Services Infrastructure Grants.</w:t>
      </w:r>
      <w:r w:rsidR="00076EB6" w:rsidRPr="002A4ED0">
        <w:rPr>
          <w:rFonts w:ascii="Arial" w:hAnsi="Arial" w:cs="Arial"/>
          <w:sz w:val="20"/>
          <w:szCs w:val="20"/>
        </w:rPr>
        <w:t xml:space="preserve"> T</w:t>
      </w:r>
      <w:r w:rsidR="009162A7" w:rsidRPr="002A4ED0">
        <w:rPr>
          <w:rFonts w:ascii="Arial" w:hAnsi="Arial" w:cs="Arial"/>
          <w:sz w:val="20"/>
          <w:szCs w:val="20"/>
        </w:rPr>
        <w:t>he actual achievement was 80 per cent, with a 4 per cent budget spend.  The areas of under-performance – updating the nine (9</w:t>
      </w:r>
      <w:r w:rsidR="00B005FC" w:rsidRPr="002A4ED0">
        <w:rPr>
          <w:rFonts w:ascii="Arial" w:hAnsi="Arial" w:cs="Arial"/>
          <w:sz w:val="20"/>
          <w:szCs w:val="20"/>
        </w:rPr>
        <w:t>) provincial situational analyse</w:t>
      </w:r>
      <w:r w:rsidR="009162A7" w:rsidRPr="002A4ED0">
        <w:rPr>
          <w:rFonts w:ascii="Arial" w:hAnsi="Arial" w:cs="Arial"/>
          <w:sz w:val="20"/>
          <w:szCs w:val="20"/>
        </w:rPr>
        <w:t>s, regional bulk infrastructure phases under construction (mega and large), cabinet approval of the Water Services Amendment Bill and evaluation of water boards</w:t>
      </w:r>
      <w:r w:rsidR="00B005FC" w:rsidRPr="002A4ED0">
        <w:rPr>
          <w:rFonts w:ascii="Arial" w:hAnsi="Arial" w:cs="Arial"/>
          <w:sz w:val="20"/>
          <w:szCs w:val="20"/>
        </w:rPr>
        <w:t>’</w:t>
      </w:r>
      <w:r w:rsidR="009162A7" w:rsidRPr="002A4ED0">
        <w:rPr>
          <w:rFonts w:ascii="Arial" w:hAnsi="Arial" w:cs="Arial"/>
          <w:sz w:val="20"/>
          <w:szCs w:val="20"/>
        </w:rPr>
        <w:t xml:space="preserve"> performance against performance plans.</w:t>
      </w:r>
    </w:p>
    <w:p w:rsidR="00366E7A" w:rsidRPr="002A4ED0" w:rsidRDefault="00366E7A" w:rsidP="002A4ED0">
      <w:pPr>
        <w:autoSpaceDE w:val="0"/>
        <w:autoSpaceDN w:val="0"/>
        <w:adjustRightInd w:val="0"/>
        <w:spacing w:after="0" w:line="240" w:lineRule="auto"/>
        <w:rPr>
          <w:rFonts w:ascii="Arial" w:hAnsi="Arial" w:cs="Arial"/>
          <w:sz w:val="20"/>
          <w:szCs w:val="20"/>
        </w:rPr>
      </w:pPr>
    </w:p>
    <w:p w:rsidR="00747F86" w:rsidRPr="002A4ED0" w:rsidRDefault="00747F86" w:rsidP="002A4ED0">
      <w:pPr>
        <w:pStyle w:val="ListParagraph"/>
        <w:numPr>
          <w:ilvl w:val="0"/>
          <w:numId w:val="3"/>
        </w:numPr>
        <w:autoSpaceDE w:val="0"/>
        <w:autoSpaceDN w:val="0"/>
        <w:adjustRightInd w:val="0"/>
        <w:spacing w:after="0" w:line="240" w:lineRule="auto"/>
        <w:rPr>
          <w:rFonts w:ascii="Arial" w:hAnsi="Arial" w:cs="Arial"/>
          <w:sz w:val="20"/>
          <w:szCs w:val="20"/>
        </w:rPr>
      </w:pPr>
      <w:r w:rsidRPr="002A4ED0">
        <w:rPr>
          <w:rFonts w:ascii="Arial" w:hAnsi="Arial" w:cs="Arial"/>
          <w:b/>
          <w:sz w:val="20"/>
          <w:szCs w:val="20"/>
        </w:rPr>
        <w:t>Under-spending per economic classification</w:t>
      </w:r>
    </w:p>
    <w:p w:rsidR="00747F86" w:rsidRPr="002A4ED0" w:rsidRDefault="00747F86" w:rsidP="002A4ED0">
      <w:pPr>
        <w:autoSpaceDE w:val="0"/>
        <w:autoSpaceDN w:val="0"/>
        <w:adjustRightInd w:val="0"/>
        <w:spacing w:after="0" w:line="240" w:lineRule="auto"/>
        <w:rPr>
          <w:rFonts w:ascii="Arial" w:hAnsi="Arial" w:cs="Arial"/>
          <w:sz w:val="20"/>
          <w:szCs w:val="20"/>
        </w:rPr>
      </w:pPr>
    </w:p>
    <w:p w:rsidR="00746818" w:rsidRPr="002A4ED0" w:rsidRDefault="00076EB6" w:rsidP="002A4ED0">
      <w:pPr>
        <w:autoSpaceDE w:val="0"/>
        <w:autoSpaceDN w:val="0"/>
        <w:adjustRightInd w:val="0"/>
        <w:spacing w:after="0" w:line="240" w:lineRule="auto"/>
        <w:rPr>
          <w:rFonts w:ascii="Arial" w:hAnsi="Arial" w:cs="Arial"/>
          <w:sz w:val="20"/>
          <w:szCs w:val="20"/>
        </w:rPr>
      </w:pPr>
      <w:r w:rsidRPr="002A4ED0">
        <w:rPr>
          <w:rFonts w:ascii="Arial" w:hAnsi="Arial" w:cs="Arial"/>
          <w:sz w:val="20"/>
          <w:szCs w:val="20"/>
        </w:rPr>
        <w:t>Significant under-expenditure per economic classifica</w:t>
      </w:r>
      <w:r w:rsidR="00A503D7" w:rsidRPr="002A4ED0">
        <w:rPr>
          <w:rFonts w:ascii="Arial" w:hAnsi="Arial" w:cs="Arial"/>
          <w:sz w:val="20"/>
          <w:szCs w:val="20"/>
        </w:rPr>
        <w:t xml:space="preserve">tion is as follows: </w:t>
      </w:r>
    </w:p>
    <w:p w:rsidR="00710D7D" w:rsidRPr="002A4ED0" w:rsidRDefault="00710D7D" w:rsidP="002A4ED0">
      <w:pPr>
        <w:autoSpaceDE w:val="0"/>
        <w:autoSpaceDN w:val="0"/>
        <w:adjustRightInd w:val="0"/>
        <w:spacing w:after="0" w:line="240" w:lineRule="auto"/>
        <w:rPr>
          <w:rFonts w:ascii="Arial" w:hAnsi="Arial" w:cs="Arial"/>
          <w:sz w:val="20"/>
          <w:szCs w:val="20"/>
        </w:rPr>
      </w:pPr>
    </w:p>
    <w:p w:rsidR="00A503D7" w:rsidRPr="002A4ED0" w:rsidRDefault="00A503D7" w:rsidP="002A4ED0">
      <w:pPr>
        <w:pStyle w:val="ListParagraph"/>
        <w:numPr>
          <w:ilvl w:val="0"/>
          <w:numId w:val="2"/>
        </w:numPr>
        <w:autoSpaceDE w:val="0"/>
        <w:autoSpaceDN w:val="0"/>
        <w:adjustRightInd w:val="0"/>
        <w:spacing w:after="0" w:line="240" w:lineRule="auto"/>
        <w:rPr>
          <w:rFonts w:ascii="Arial" w:hAnsi="Arial" w:cs="Arial"/>
          <w:sz w:val="20"/>
          <w:szCs w:val="20"/>
        </w:rPr>
      </w:pPr>
      <w:r w:rsidRPr="002A4ED0">
        <w:rPr>
          <w:rFonts w:ascii="Arial" w:hAnsi="Arial" w:cs="Arial"/>
          <w:sz w:val="20"/>
          <w:szCs w:val="20"/>
        </w:rPr>
        <w:t>Compensation of employees: R19.957 mil</w:t>
      </w:r>
      <w:r w:rsidR="00B005FC" w:rsidRPr="002A4ED0">
        <w:rPr>
          <w:rFonts w:ascii="Arial" w:hAnsi="Arial" w:cs="Arial"/>
          <w:sz w:val="20"/>
          <w:szCs w:val="20"/>
        </w:rPr>
        <w:t>lion due to under-</w:t>
      </w:r>
      <w:r w:rsidRPr="002A4ED0">
        <w:rPr>
          <w:rFonts w:ascii="Arial" w:hAnsi="Arial" w:cs="Arial"/>
          <w:sz w:val="20"/>
          <w:szCs w:val="20"/>
        </w:rPr>
        <w:t>s</w:t>
      </w:r>
      <w:r w:rsidR="003166C9" w:rsidRPr="002A4ED0">
        <w:rPr>
          <w:rFonts w:ascii="Arial" w:hAnsi="Arial" w:cs="Arial"/>
          <w:sz w:val="20"/>
          <w:szCs w:val="20"/>
        </w:rPr>
        <w:t xml:space="preserve">pending mainly due to mandatory </w:t>
      </w:r>
      <w:r w:rsidRPr="002A4ED0">
        <w:rPr>
          <w:rFonts w:ascii="Arial" w:hAnsi="Arial" w:cs="Arial"/>
          <w:sz w:val="20"/>
          <w:szCs w:val="20"/>
        </w:rPr>
        <w:t>outer year budget reduction of R94.732 million.  These funds cannot be committed to prevent</w:t>
      </w:r>
      <w:r w:rsidR="00B005FC" w:rsidRPr="002A4ED0">
        <w:rPr>
          <w:rFonts w:ascii="Arial" w:hAnsi="Arial" w:cs="Arial"/>
          <w:sz w:val="20"/>
          <w:szCs w:val="20"/>
        </w:rPr>
        <w:t>ing</w:t>
      </w:r>
      <w:r w:rsidRPr="002A4ED0">
        <w:rPr>
          <w:rFonts w:ascii="Arial" w:hAnsi="Arial" w:cs="Arial"/>
          <w:sz w:val="20"/>
          <w:szCs w:val="20"/>
        </w:rPr>
        <w:t xml:space="preserve"> unauthorised expenditure in the year of budget reduction.</w:t>
      </w:r>
    </w:p>
    <w:p w:rsidR="00A503D7" w:rsidRPr="002A4ED0" w:rsidRDefault="00A503D7" w:rsidP="002A4ED0">
      <w:pPr>
        <w:pStyle w:val="ListParagraph"/>
        <w:numPr>
          <w:ilvl w:val="0"/>
          <w:numId w:val="2"/>
        </w:numPr>
        <w:autoSpaceDE w:val="0"/>
        <w:autoSpaceDN w:val="0"/>
        <w:adjustRightInd w:val="0"/>
        <w:spacing w:after="0" w:line="240" w:lineRule="auto"/>
        <w:rPr>
          <w:rFonts w:ascii="Arial" w:hAnsi="Arial" w:cs="Arial"/>
          <w:sz w:val="20"/>
          <w:szCs w:val="20"/>
        </w:rPr>
      </w:pPr>
      <w:r w:rsidRPr="002A4ED0">
        <w:rPr>
          <w:rFonts w:ascii="Arial" w:hAnsi="Arial" w:cs="Arial"/>
          <w:sz w:val="20"/>
          <w:szCs w:val="20"/>
        </w:rPr>
        <w:t xml:space="preserve">Goods and Services: R237.606 million due to the impact of the moratorium on procurement </w:t>
      </w:r>
      <w:r w:rsidR="00B005FC" w:rsidRPr="002A4ED0">
        <w:rPr>
          <w:rFonts w:ascii="Arial" w:hAnsi="Arial" w:cs="Arial"/>
          <w:sz w:val="20"/>
          <w:szCs w:val="20"/>
        </w:rPr>
        <w:t>due to</w:t>
      </w:r>
      <w:r w:rsidR="00710D7D" w:rsidRPr="002A4ED0">
        <w:rPr>
          <w:rFonts w:ascii="Arial" w:hAnsi="Arial" w:cs="Arial"/>
          <w:sz w:val="20"/>
          <w:szCs w:val="20"/>
        </w:rPr>
        <w:t xml:space="preserve"> </w:t>
      </w:r>
      <w:r w:rsidRPr="002A4ED0">
        <w:rPr>
          <w:rFonts w:ascii="Arial" w:hAnsi="Arial" w:cs="Arial"/>
          <w:sz w:val="20"/>
          <w:szCs w:val="20"/>
        </w:rPr>
        <w:t>the constitutional court judgement, and other operational budget</w:t>
      </w:r>
      <w:r w:rsidR="00B005FC" w:rsidRPr="002A4ED0">
        <w:rPr>
          <w:rFonts w:ascii="Arial" w:hAnsi="Arial" w:cs="Arial"/>
          <w:sz w:val="20"/>
          <w:szCs w:val="20"/>
        </w:rPr>
        <w:t>s</w:t>
      </w:r>
      <w:r w:rsidRPr="002A4ED0">
        <w:rPr>
          <w:rFonts w:ascii="Arial" w:hAnsi="Arial" w:cs="Arial"/>
          <w:sz w:val="20"/>
          <w:szCs w:val="20"/>
        </w:rPr>
        <w:t>.</w:t>
      </w:r>
    </w:p>
    <w:p w:rsidR="00A503D7" w:rsidRPr="002A4ED0" w:rsidRDefault="00A503D7" w:rsidP="002A4ED0">
      <w:pPr>
        <w:pStyle w:val="ListParagraph"/>
        <w:numPr>
          <w:ilvl w:val="0"/>
          <w:numId w:val="2"/>
        </w:numPr>
        <w:autoSpaceDE w:val="0"/>
        <w:autoSpaceDN w:val="0"/>
        <w:adjustRightInd w:val="0"/>
        <w:spacing w:after="0" w:line="240" w:lineRule="auto"/>
        <w:rPr>
          <w:rFonts w:ascii="Arial" w:hAnsi="Arial" w:cs="Arial"/>
          <w:sz w:val="20"/>
          <w:szCs w:val="20"/>
        </w:rPr>
      </w:pPr>
      <w:r w:rsidRPr="002A4ED0">
        <w:rPr>
          <w:rFonts w:ascii="Arial" w:hAnsi="Arial" w:cs="Arial"/>
          <w:sz w:val="20"/>
          <w:szCs w:val="20"/>
        </w:rPr>
        <w:t>Payments for capital asset</w:t>
      </w:r>
      <w:r w:rsidR="00B005FC" w:rsidRPr="002A4ED0">
        <w:rPr>
          <w:rFonts w:ascii="Arial" w:hAnsi="Arial" w:cs="Arial"/>
          <w:sz w:val="20"/>
          <w:szCs w:val="20"/>
        </w:rPr>
        <w:t>s: R796.601 million due to slow-</w:t>
      </w:r>
      <w:r w:rsidRPr="002A4ED0">
        <w:rPr>
          <w:rFonts w:ascii="Arial" w:hAnsi="Arial" w:cs="Arial"/>
          <w:sz w:val="20"/>
          <w:szCs w:val="20"/>
        </w:rPr>
        <w:t>moving projects, procurement proces</w:t>
      </w:r>
      <w:r w:rsidR="00B005FC" w:rsidRPr="002A4ED0">
        <w:rPr>
          <w:rFonts w:ascii="Arial" w:hAnsi="Arial" w:cs="Arial"/>
          <w:sz w:val="20"/>
          <w:szCs w:val="20"/>
        </w:rPr>
        <w:t>ses by implementing agents for</w:t>
      </w:r>
      <w:r w:rsidRPr="002A4ED0">
        <w:rPr>
          <w:rFonts w:ascii="Arial" w:hAnsi="Arial" w:cs="Arial"/>
          <w:sz w:val="20"/>
          <w:szCs w:val="20"/>
        </w:rPr>
        <w:t xml:space="preserve"> water services and regional bulk infrastructure grants per province.</w:t>
      </w:r>
    </w:p>
    <w:p w:rsidR="001C6E77" w:rsidRPr="002A4ED0" w:rsidRDefault="00F32761" w:rsidP="002A4ED0">
      <w:pPr>
        <w:pStyle w:val="ListParagraph"/>
        <w:numPr>
          <w:ilvl w:val="0"/>
          <w:numId w:val="2"/>
        </w:numPr>
        <w:autoSpaceDE w:val="0"/>
        <w:autoSpaceDN w:val="0"/>
        <w:adjustRightInd w:val="0"/>
        <w:spacing w:after="0" w:line="240" w:lineRule="auto"/>
        <w:rPr>
          <w:rFonts w:ascii="Arial" w:hAnsi="Arial" w:cs="Arial"/>
          <w:sz w:val="20"/>
          <w:szCs w:val="20"/>
        </w:rPr>
      </w:pPr>
      <w:r w:rsidRPr="002A4ED0">
        <w:rPr>
          <w:rFonts w:ascii="Arial" w:hAnsi="Arial" w:cs="Arial"/>
          <w:sz w:val="20"/>
          <w:szCs w:val="20"/>
        </w:rPr>
        <w:t>Transfers and subsidies: R673.153 million due to water boards finalising compliance documents in the second quarter; with the 2022/23 local governmen</w:t>
      </w:r>
      <w:r w:rsidR="00DE5375" w:rsidRPr="002A4ED0">
        <w:rPr>
          <w:rFonts w:ascii="Arial" w:hAnsi="Arial" w:cs="Arial"/>
          <w:sz w:val="20"/>
          <w:szCs w:val="20"/>
        </w:rPr>
        <w:t>t payment schedule approval of the</w:t>
      </w:r>
      <w:r w:rsidR="001C6E77" w:rsidRPr="002A4ED0">
        <w:rPr>
          <w:rFonts w:ascii="Arial" w:hAnsi="Arial" w:cs="Arial"/>
          <w:sz w:val="20"/>
          <w:szCs w:val="20"/>
        </w:rPr>
        <w:t xml:space="preserve"> </w:t>
      </w:r>
      <w:r w:rsidRPr="002A4ED0">
        <w:rPr>
          <w:rFonts w:ascii="Arial" w:hAnsi="Arial" w:cs="Arial"/>
          <w:sz w:val="20"/>
          <w:szCs w:val="20"/>
        </w:rPr>
        <w:t>B</w:t>
      </w:r>
      <w:r w:rsidR="001C6E77" w:rsidRPr="002A4ED0">
        <w:rPr>
          <w:rFonts w:ascii="Arial" w:hAnsi="Arial" w:cs="Arial"/>
          <w:sz w:val="20"/>
          <w:szCs w:val="20"/>
        </w:rPr>
        <w:t>ulk Infrastructure Grant</w:t>
      </w:r>
      <w:r w:rsidRPr="002A4ED0">
        <w:rPr>
          <w:rFonts w:ascii="Arial" w:hAnsi="Arial" w:cs="Arial"/>
          <w:sz w:val="20"/>
          <w:szCs w:val="20"/>
        </w:rPr>
        <w:t xml:space="preserve"> and W</w:t>
      </w:r>
      <w:r w:rsidR="001C6E77" w:rsidRPr="002A4ED0">
        <w:rPr>
          <w:rFonts w:ascii="Arial" w:hAnsi="Arial" w:cs="Arial"/>
          <w:sz w:val="20"/>
          <w:szCs w:val="20"/>
        </w:rPr>
        <w:t>ater Services Infrastructure Gran</w:t>
      </w:r>
      <w:r w:rsidR="00684C7F" w:rsidRPr="002A4ED0">
        <w:rPr>
          <w:rFonts w:ascii="Arial" w:hAnsi="Arial" w:cs="Arial"/>
          <w:sz w:val="20"/>
          <w:szCs w:val="20"/>
        </w:rPr>
        <w:t>t.</w:t>
      </w:r>
    </w:p>
    <w:p w:rsidR="00DA0AB8" w:rsidRPr="002A4ED0" w:rsidRDefault="00DA0AB8" w:rsidP="002A4ED0">
      <w:pPr>
        <w:autoSpaceDE w:val="0"/>
        <w:autoSpaceDN w:val="0"/>
        <w:adjustRightInd w:val="0"/>
        <w:spacing w:after="0" w:line="240" w:lineRule="auto"/>
        <w:rPr>
          <w:rFonts w:ascii="Arial" w:hAnsi="Arial" w:cs="Arial"/>
          <w:sz w:val="20"/>
          <w:szCs w:val="20"/>
        </w:rPr>
      </w:pPr>
    </w:p>
    <w:p w:rsidR="004C7B75" w:rsidRPr="002A4ED0" w:rsidRDefault="001C6E77" w:rsidP="002A4ED0">
      <w:pPr>
        <w:pStyle w:val="ListParagraph"/>
        <w:numPr>
          <w:ilvl w:val="0"/>
          <w:numId w:val="2"/>
        </w:numPr>
        <w:autoSpaceDE w:val="0"/>
        <w:autoSpaceDN w:val="0"/>
        <w:adjustRightInd w:val="0"/>
        <w:spacing w:after="0" w:line="240" w:lineRule="auto"/>
        <w:ind w:left="0" w:firstLine="0"/>
        <w:rPr>
          <w:rFonts w:ascii="Arial" w:hAnsi="Arial" w:cs="Arial"/>
          <w:sz w:val="20"/>
          <w:szCs w:val="20"/>
        </w:rPr>
      </w:pPr>
      <w:r w:rsidRPr="002A4ED0">
        <w:rPr>
          <w:rFonts w:ascii="Arial" w:hAnsi="Arial" w:cs="Arial"/>
          <w:b/>
          <w:sz w:val="20"/>
          <w:szCs w:val="20"/>
        </w:rPr>
        <w:t>F</w:t>
      </w:r>
      <w:r w:rsidR="00747F86" w:rsidRPr="002A4ED0">
        <w:rPr>
          <w:rFonts w:ascii="Arial" w:hAnsi="Arial" w:cs="Arial"/>
          <w:b/>
          <w:sz w:val="20"/>
          <w:szCs w:val="20"/>
        </w:rPr>
        <w:t xml:space="preserve">inancial highlights related to the </w:t>
      </w:r>
      <w:r w:rsidR="00CC3B64" w:rsidRPr="002A4ED0">
        <w:rPr>
          <w:rFonts w:ascii="Arial" w:hAnsi="Arial" w:cs="Arial"/>
          <w:b/>
          <w:sz w:val="20"/>
          <w:szCs w:val="20"/>
        </w:rPr>
        <w:t>Main Account</w:t>
      </w:r>
    </w:p>
    <w:p w:rsidR="00740332" w:rsidRPr="002A4ED0" w:rsidRDefault="00740332" w:rsidP="002A4ED0">
      <w:pPr>
        <w:pStyle w:val="ListParagraph"/>
        <w:spacing w:after="0" w:line="240" w:lineRule="auto"/>
        <w:ind w:left="0"/>
        <w:rPr>
          <w:rFonts w:ascii="Arial" w:hAnsi="Arial" w:cs="Arial"/>
          <w:sz w:val="20"/>
          <w:szCs w:val="20"/>
        </w:rPr>
      </w:pPr>
    </w:p>
    <w:p w:rsidR="00740332" w:rsidRPr="002A4ED0" w:rsidRDefault="00710D7D" w:rsidP="002A4ED0">
      <w:pPr>
        <w:pStyle w:val="ListParagraph"/>
        <w:spacing w:after="0" w:line="240" w:lineRule="auto"/>
        <w:ind w:left="0"/>
        <w:rPr>
          <w:rFonts w:ascii="Arial" w:hAnsi="Arial" w:cs="Arial"/>
          <w:sz w:val="20"/>
          <w:szCs w:val="20"/>
        </w:rPr>
      </w:pPr>
      <w:r w:rsidRPr="002A4ED0">
        <w:rPr>
          <w:rFonts w:ascii="Arial" w:hAnsi="Arial" w:cs="Arial"/>
          <w:sz w:val="20"/>
          <w:szCs w:val="20"/>
        </w:rPr>
        <w:t>Table 2</w:t>
      </w:r>
      <w:r w:rsidR="003267A8" w:rsidRPr="002A4ED0">
        <w:rPr>
          <w:rFonts w:ascii="Arial" w:hAnsi="Arial" w:cs="Arial"/>
          <w:sz w:val="20"/>
          <w:szCs w:val="20"/>
        </w:rPr>
        <w:t xml:space="preserve"> below</w:t>
      </w:r>
      <w:r w:rsidR="00740332" w:rsidRPr="002A4ED0">
        <w:rPr>
          <w:rFonts w:ascii="Arial" w:hAnsi="Arial" w:cs="Arial"/>
          <w:sz w:val="20"/>
          <w:szCs w:val="20"/>
        </w:rPr>
        <w:t xml:space="preserve"> highlight</w:t>
      </w:r>
      <w:r w:rsidR="003267A8" w:rsidRPr="002A4ED0">
        <w:rPr>
          <w:rFonts w:ascii="Arial" w:hAnsi="Arial" w:cs="Arial"/>
          <w:sz w:val="20"/>
          <w:szCs w:val="20"/>
        </w:rPr>
        <w:t>s</w:t>
      </w:r>
      <w:r w:rsidR="00740332" w:rsidRPr="002A4ED0">
        <w:rPr>
          <w:rFonts w:ascii="Arial" w:hAnsi="Arial" w:cs="Arial"/>
          <w:sz w:val="20"/>
          <w:szCs w:val="20"/>
        </w:rPr>
        <w:t xml:space="preserve"> the movement of</w:t>
      </w:r>
      <w:r w:rsidR="00FE588C" w:rsidRPr="002A4ED0">
        <w:rPr>
          <w:rFonts w:ascii="Arial" w:hAnsi="Arial" w:cs="Arial"/>
          <w:sz w:val="20"/>
          <w:szCs w:val="20"/>
        </w:rPr>
        <w:t xml:space="preserve"> funds for the fourth quarter (E</w:t>
      </w:r>
      <w:r w:rsidR="00740332" w:rsidRPr="002A4ED0">
        <w:rPr>
          <w:rFonts w:ascii="Arial" w:hAnsi="Arial" w:cs="Arial"/>
          <w:sz w:val="20"/>
          <w:szCs w:val="20"/>
        </w:rPr>
        <w:t xml:space="preserve">nd-March) of 2021/22 and </w:t>
      </w:r>
      <w:r w:rsidR="003166C9" w:rsidRPr="002A4ED0">
        <w:rPr>
          <w:rFonts w:ascii="Arial" w:hAnsi="Arial" w:cs="Arial"/>
          <w:sz w:val="20"/>
          <w:szCs w:val="20"/>
        </w:rPr>
        <w:t xml:space="preserve">the </w:t>
      </w:r>
      <w:r w:rsidR="00740332" w:rsidRPr="002A4ED0">
        <w:rPr>
          <w:rFonts w:ascii="Arial" w:hAnsi="Arial" w:cs="Arial"/>
          <w:sz w:val="20"/>
          <w:szCs w:val="20"/>
        </w:rPr>
        <w:t>firs</w:t>
      </w:r>
      <w:r w:rsidR="00FD74CB" w:rsidRPr="002A4ED0">
        <w:rPr>
          <w:rFonts w:ascii="Arial" w:hAnsi="Arial" w:cs="Arial"/>
          <w:sz w:val="20"/>
          <w:szCs w:val="20"/>
        </w:rPr>
        <w:t xml:space="preserve">t </w:t>
      </w:r>
      <w:r w:rsidR="00366E7A" w:rsidRPr="002A4ED0">
        <w:rPr>
          <w:rFonts w:ascii="Arial" w:hAnsi="Arial" w:cs="Arial"/>
          <w:sz w:val="20"/>
          <w:szCs w:val="20"/>
        </w:rPr>
        <w:t>quarter (E</w:t>
      </w:r>
      <w:r w:rsidR="00FD74CB" w:rsidRPr="002A4ED0">
        <w:rPr>
          <w:rFonts w:ascii="Arial" w:hAnsi="Arial" w:cs="Arial"/>
          <w:sz w:val="20"/>
          <w:szCs w:val="20"/>
        </w:rPr>
        <w:t>nd-June) of 2022/23</w:t>
      </w:r>
      <w:r w:rsidR="00740332" w:rsidRPr="002A4ED0">
        <w:rPr>
          <w:rFonts w:ascii="Arial" w:hAnsi="Arial" w:cs="Arial"/>
          <w:sz w:val="20"/>
          <w:szCs w:val="20"/>
        </w:rPr>
        <w:t xml:space="preserve"> in respect of advances, contingent assets and liabilities, and unauthorised expenditure.  No irregular or fruitless and wasteful expenditure</w:t>
      </w:r>
      <w:r w:rsidR="003166C9" w:rsidRPr="002A4ED0">
        <w:rPr>
          <w:rFonts w:ascii="Arial" w:hAnsi="Arial" w:cs="Arial"/>
          <w:sz w:val="20"/>
          <w:szCs w:val="20"/>
        </w:rPr>
        <w:t xml:space="preserve"> was</w:t>
      </w:r>
      <w:r w:rsidR="00740332" w:rsidRPr="002A4ED0">
        <w:rPr>
          <w:rFonts w:ascii="Arial" w:hAnsi="Arial" w:cs="Arial"/>
          <w:sz w:val="20"/>
          <w:szCs w:val="20"/>
        </w:rPr>
        <w:t xml:space="preserve"> reported for the period under review.</w:t>
      </w:r>
      <w:r w:rsidRPr="002A4ED0">
        <w:rPr>
          <w:rFonts w:ascii="Arial" w:hAnsi="Arial" w:cs="Arial"/>
          <w:sz w:val="20"/>
          <w:szCs w:val="20"/>
        </w:rPr>
        <w:t xml:space="preserve"> </w:t>
      </w:r>
      <w:r w:rsidR="00740332" w:rsidRPr="002A4ED0">
        <w:rPr>
          <w:rFonts w:ascii="Arial" w:hAnsi="Arial" w:cs="Arial"/>
          <w:sz w:val="20"/>
          <w:szCs w:val="20"/>
        </w:rPr>
        <w:t>The advances refle</w:t>
      </w:r>
      <w:r w:rsidR="003267A8" w:rsidRPr="002A4ED0">
        <w:rPr>
          <w:rFonts w:ascii="Arial" w:hAnsi="Arial" w:cs="Arial"/>
          <w:sz w:val="20"/>
          <w:szCs w:val="20"/>
        </w:rPr>
        <w:t>cted in the table below include</w:t>
      </w:r>
      <w:r w:rsidR="00740332" w:rsidRPr="002A4ED0">
        <w:rPr>
          <w:rFonts w:ascii="Arial" w:hAnsi="Arial" w:cs="Arial"/>
          <w:sz w:val="20"/>
          <w:szCs w:val="20"/>
        </w:rPr>
        <w:t xml:space="preserve"> amounts paid per the Implementing Agents with water boards and HDA for Regional Bulk and Water Services Infrastructure projects, including the Bucket Eradication Programme.  Continent assets include mainly legal claims by the Department (Joint with the Special Investigating Unit) for the Giyani Water Project and Fumile Advisory Services.  The matters are before the Polokwane and Gauteng High Court.</w:t>
      </w:r>
    </w:p>
    <w:p w:rsidR="00DD654A" w:rsidRPr="002A4ED0" w:rsidRDefault="00DD654A" w:rsidP="002A4ED0">
      <w:pPr>
        <w:pStyle w:val="ListParagraph"/>
        <w:autoSpaceDE w:val="0"/>
        <w:autoSpaceDN w:val="0"/>
        <w:adjustRightInd w:val="0"/>
        <w:spacing w:after="0" w:line="240" w:lineRule="auto"/>
        <w:ind w:left="0"/>
        <w:rPr>
          <w:rFonts w:ascii="Arial" w:hAnsi="Arial" w:cs="Arial"/>
          <w:b/>
          <w:sz w:val="20"/>
          <w:szCs w:val="20"/>
        </w:rPr>
      </w:pPr>
    </w:p>
    <w:p w:rsidR="00740332" w:rsidRPr="002A4ED0" w:rsidRDefault="00740332" w:rsidP="002A4ED0">
      <w:pPr>
        <w:pStyle w:val="ListParagraph"/>
        <w:autoSpaceDE w:val="0"/>
        <w:autoSpaceDN w:val="0"/>
        <w:adjustRightInd w:val="0"/>
        <w:spacing w:after="0" w:line="240" w:lineRule="auto"/>
        <w:ind w:left="0"/>
        <w:rPr>
          <w:rFonts w:ascii="Arial" w:hAnsi="Arial" w:cs="Arial"/>
          <w:b/>
          <w:sz w:val="20"/>
          <w:szCs w:val="20"/>
        </w:rPr>
      </w:pPr>
      <w:r w:rsidRPr="002A4ED0">
        <w:rPr>
          <w:rFonts w:ascii="Arial" w:hAnsi="Arial" w:cs="Arial"/>
          <w:b/>
          <w:sz w:val="20"/>
          <w:szCs w:val="20"/>
        </w:rPr>
        <w:t xml:space="preserve">Table </w:t>
      </w:r>
      <w:r w:rsidR="00710D7D" w:rsidRPr="002A4ED0">
        <w:rPr>
          <w:rFonts w:ascii="Arial" w:hAnsi="Arial" w:cs="Arial"/>
          <w:b/>
          <w:sz w:val="20"/>
          <w:szCs w:val="20"/>
        </w:rPr>
        <w:t>2</w:t>
      </w:r>
      <w:r w:rsidRPr="002A4ED0">
        <w:rPr>
          <w:rFonts w:ascii="Arial" w:hAnsi="Arial" w:cs="Arial"/>
          <w:b/>
          <w:sz w:val="20"/>
          <w:szCs w:val="20"/>
        </w:rPr>
        <w:t>: Financial highlights – Main Account</w:t>
      </w:r>
    </w:p>
    <w:tbl>
      <w:tblPr>
        <w:tblW w:w="5000" w:type="pct"/>
        <w:tblCellMar>
          <w:left w:w="0" w:type="dxa"/>
          <w:right w:w="0" w:type="dxa"/>
        </w:tblCellMar>
        <w:tblLook w:val="0420"/>
      </w:tblPr>
      <w:tblGrid>
        <w:gridCol w:w="4373"/>
        <w:gridCol w:w="1287"/>
        <w:gridCol w:w="1545"/>
        <w:gridCol w:w="1851"/>
      </w:tblGrid>
      <w:tr w:rsidR="00740332" w:rsidRPr="002A4ED0" w:rsidTr="001C6E77">
        <w:trPr>
          <w:trHeight w:val="365"/>
        </w:trPr>
        <w:tc>
          <w:tcPr>
            <w:tcW w:w="2414"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bottom"/>
            <w:hideMark/>
          </w:tcPr>
          <w:p w:rsidR="00740332" w:rsidRPr="002A4ED0" w:rsidRDefault="00740332"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MAIN ACCOUNT</w:t>
            </w:r>
          </w:p>
        </w:tc>
        <w:tc>
          <w:tcPr>
            <w:tcW w:w="710"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bottom"/>
            <w:hideMark/>
          </w:tcPr>
          <w:p w:rsidR="00740332" w:rsidRPr="002A4ED0" w:rsidRDefault="00740332"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June</w:t>
            </w:r>
          </w:p>
        </w:tc>
        <w:tc>
          <w:tcPr>
            <w:tcW w:w="853"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bottom"/>
            <w:hideMark/>
          </w:tcPr>
          <w:p w:rsidR="00740332" w:rsidRPr="002A4ED0" w:rsidRDefault="00740332"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 March </w:t>
            </w:r>
          </w:p>
        </w:tc>
        <w:tc>
          <w:tcPr>
            <w:tcW w:w="1022" w:type="pct"/>
            <w:vMerge w:val="restar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740332" w:rsidRPr="002A4ED0" w:rsidRDefault="00740332"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 Movement  </w:t>
            </w:r>
          </w:p>
        </w:tc>
      </w:tr>
      <w:tr w:rsidR="00740332" w:rsidRPr="002A4ED0" w:rsidTr="001C6E77">
        <w:tc>
          <w:tcPr>
            <w:tcW w:w="2414" w:type="pct"/>
            <w:vMerge w:val="restar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bottom"/>
            <w:hideMark/>
          </w:tcPr>
          <w:p w:rsidR="00740332" w:rsidRPr="002A4ED0" w:rsidRDefault="00740332"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 Details </w:t>
            </w:r>
          </w:p>
          <w:p w:rsidR="00740332" w:rsidRPr="002A4ED0" w:rsidRDefault="00740332"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w:t>
            </w:r>
          </w:p>
        </w:tc>
        <w:tc>
          <w:tcPr>
            <w:tcW w:w="710"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bottom"/>
            <w:hideMark/>
          </w:tcPr>
          <w:p w:rsidR="00740332" w:rsidRPr="002A4ED0" w:rsidRDefault="00740332"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 2022</w:t>
            </w:r>
          </w:p>
        </w:tc>
        <w:tc>
          <w:tcPr>
            <w:tcW w:w="853"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bottom"/>
            <w:hideMark/>
          </w:tcPr>
          <w:p w:rsidR="00740332" w:rsidRPr="002A4ED0" w:rsidRDefault="00740332"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2022</w:t>
            </w:r>
          </w:p>
        </w:tc>
        <w:tc>
          <w:tcPr>
            <w:tcW w:w="1022" w:type="pct"/>
            <w:vMerge/>
            <w:tcBorders>
              <w:top w:val="single" w:sz="4" w:space="0" w:color="000000"/>
              <w:left w:val="single" w:sz="4" w:space="0" w:color="000000"/>
              <w:bottom w:val="single" w:sz="4" w:space="0" w:color="000000"/>
              <w:right w:val="single" w:sz="4" w:space="0" w:color="000000"/>
            </w:tcBorders>
            <w:vAlign w:val="center"/>
            <w:hideMark/>
          </w:tcPr>
          <w:p w:rsidR="00740332" w:rsidRPr="002A4ED0" w:rsidRDefault="00740332" w:rsidP="002A4ED0">
            <w:pPr>
              <w:spacing w:after="0" w:line="240" w:lineRule="auto"/>
              <w:rPr>
                <w:rFonts w:ascii="Arial" w:hAnsi="Arial" w:cs="Arial"/>
                <w:sz w:val="20"/>
                <w:szCs w:val="20"/>
              </w:rPr>
            </w:pPr>
          </w:p>
        </w:tc>
      </w:tr>
      <w:tr w:rsidR="00740332" w:rsidRPr="002A4ED0" w:rsidTr="001C6E77">
        <w:trPr>
          <w:trHeight w:val="365"/>
        </w:trPr>
        <w:tc>
          <w:tcPr>
            <w:tcW w:w="2414" w:type="pct"/>
            <w:vMerge/>
            <w:tcBorders>
              <w:top w:val="single" w:sz="4" w:space="0" w:color="000000"/>
              <w:left w:val="single" w:sz="4" w:space="0" w:color="000000"/>
              <w:bottom w:val="single" w:sz="4" w:space="0" w:color="000000"/>
              <w:right w:val="single" w:sz="4" w:space="0" w:color="000000"/>
            </w:tcBorders>
            <w:vAlign w:val="center"/>
            <w:hideMark/>
          </w:tcPr>
          <w:p w:rsidR="00740332" w:rsidRPr="002A4ED0" w:rsidRDefault="00740332" w:rsidP="002A4ED0">
            <w:pPr>
              <w:spacing w:after="0" w:line="240" w:lineRule="auto"/>
              <w:rPr>
                <w:rFonts w:ascii="Arial" w:hAnsi="Arial" w:cs="Arial"/>
                <w:sz w:val="20"/>
                <w:szCs w:val="20"/>
              </w:rPr>
            </w:pPr>
          </w:p>
        </w:tc>
        <w:tc>
          <w:tcPr>
            <w:tcW w:w="710"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bottom"/>
            <w:hideMark/>
          </w:tcPr>
          <w:p w:rsidR="00740332" w:rsidRPr="002A4ED0" w:rsidRDefault="00740332"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 R'000 </w:t>
            </w:r>
          </w:p>
        </w:tc>
        <w:tc>
          <w:tcPr>
            <w:tcW w:w="853"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bottom"/>
            <w:hideMark/>
          </w:tcPr>
          <w:p w:rsidR="00740332" w:rsidRPr="002A4ED0" w:rsidRDefault="00740332"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 R'000 </w:t>
            </w:r>
          </w:p>
        </w:tc>
        <w:tc>
          <w:tcPr>
            <w:tcW w:w="1022"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bottom"/>
            <w:hideMark/>
          </w:tcPr>
          <w:p w:rsidR="00740332" w:rsidRPr="002A4ED0" w:rsidRDefault="00740332"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 R'000 </w:t>
            </w:r>
          </w:p>
        </w:tc>
      </w:tr>
      <w:tr w:rsidR="00740332" w:rsidRPr="002A4ED0" w:rsidTr="001C6E77">
        <w:trPr>
          <w:trHeight w:val="365"/>
        </w:trPr>
        <w:tc>
          <w:tcPr>
            <w:tcW w:w="24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40332" w:rsidRPr="002A4ED0" w:rsidRDefault="00740332"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Bank balance Favourable (Unfavourable balance) </w:t>
            </w:r>
          </w:p>
        </w:tc>
        <w:tc>
          <w:tcPr>
            <w:tcW w:w="7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40332" w:rsidRPr="002A4ED0" w:rsidRDefault="00740332"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3 499 019</w:t>
            </w:r>
          </w:p>
        </w:tc>
        <w:tc>
          <w:tcPr>
            <w:tcW w:w="8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40332" w:rsidRPr="002A4ED0" w:rsidRDefault="00740332"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1 756 287</w:t>
            </w:r>
          </w:p>
        </w:tc>
        <w:tc>
          <w:tcPr>
            <w:tcW w:w="1022"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740332" w:rsidRPr="002A4ED0" w:rsidRDefault="00740332"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color w:val="000000"/>
                <w:kern w:val="24"/>
                <w:sz w:val="20"/>
                <w:szCs w:val="20"/>
                <w:lang w:eastAsia="en-ZA"/>
              </w:rPr>
              <w:t>1 742 732</w:t>
            </w:r>
          </w:p>
        </w:tc>
      </w:tr>
      <w:tr w:rsidR="00740332" w:rsidRPr="002A4ED0" w:rsidTr="001C6E77">
        <w:trPr>
          <w:trHeight w:val="365"/>
        </w:trPr>
        <w:tc>
          <w:tcPr>
            <w:tcW w:w="24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40332" w:rsidRPr="002A4ED0" w:rsidRDefault="00740332"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Prepayments and advances </w:t>
            </w:r>
          </w:p>
        </w:tc>
        <w:tc>
          <w:tcPr>
            <w:tcW w:w="7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40332" w:rsidRPr="002A4ED0" w:rsidRDefault="00740332"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123 409 </w:t>
            </w:r>
          </w:p>
        </w:tc>
        <w:tc>
          <w:tcPr>
            <w:tcW w:w="8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40332" w:rsidRPr="002A4ED0" w:rsidRDefault="00740332"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156 965 </w:t>
            </w:r>
          </w:p>
        </w:tc>
        <w:tc>
          <w:tcPr>
            <w:tcW w:w="1022"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740332" w:rsidRPr="002A4ED0" w:rsidRDefault="00740332"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color w:val="000000"/>
                <w:kern w:val="24"/>
                <w:sz w:val="20"/>
                <w:szCs w:val="20"/>
                <w:lang w:eastAsia="en-ZA"/>
              </w:rPr>
              <w:t>(33 556)</w:t>
            </w:r>
          </w:p>
        </w:tc>
      </w:tr>
      <w:tr w:rsidR="00740332" w:rsidRPr="002A4ED0" w:rsidTr="001C6E77">
        <w:trPr>
          <w:trHeight w:val="365"/>
        </w:trPr>
        <w:tc>
          <w:tcPr>
            <w:tcW w:w="24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40332" w:rsidRPr="002A4ED0" w:rsidRDefault="00740332"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Contingent Assets </w:t>
            </w:r>
          </w:p>
        </w:tc>
        <w:tc>
          <w:tcPr>
            <w:tcW w:w="7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40332" w:rsidRPr="002A4ED0" w:rsidRDefault="00740332"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3 714 892 </w:t>
            </w:r>
          </w:p>
        </w:tc>
        <w:tc>
          <w:tcPr>
            <w:tcW w:w="8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40332" w:rsidRPr="002A4ED0" w:rsidRDefault="00740332"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3 622 404 </w:t>
            </w:r>
          </w:p>
        </w:tc>
        <w:tc>
          <w:tcPr>
            <w:tcW w:w="1022"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740332" w:rsidRPr="002A4ED0" w:rsidRDefault="00740332"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color w:val="000000"/>
                <w:kern w:val="24"/>
                <w:sz w:val="20"/>
                <w:szCs w:val="20"/>
                <w:lang w:val="en-GB" w:eastAsia="en-ZA"/>
              </w:rPr>
              <w:t>92 488</w:t>
            </w:r>
          </w:p>
        </w:tc>
      </w:tr>
      <w:tr w:rsidR="00740332" w:rsidRPr="002A4ED0" w:rsidTr="001C6E77">
        <w:trPr>
          <w:trHeight w:val="365"/>
        </w:trPr>
        <w:tc>
          <w:tcPr>
            <w:tcW w:w="24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40332" w:rsidRPr="002A4ED0" w:rsidRDefault="00740332"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Accruals and payables </w:t>
            </w:r>
          </w:p>
        </w:tc>
        <w:tc>
          <w:tcPr>
            <w:tcW w:w="7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40332" w:rsidRPr="002A4ED0" w:rsidRDefault="00740332"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335 855 </w:t>
            </w:r>
          </w:p>
        </w:tc>
        <w:tc>
          <w:tcPr>
            <w:tcW w:w="8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40332" w:rsidRPr="002A4ED0" w:rsidRDefault="00740332"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405 823 </w:t>
            </w:r>
          </w:p>
        </w:tc>
        <w:tc>
          <w:tcPr>
            <w:tcW w:w="1022"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740332" w:rsidRPr="002A4ED0" w:rsidRDefault="00740332"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color w:val="000000"/>
                <w:kern w:val="24"/>
                <w:sz w:val="20"/>
                <w:szCs w:val="20"/>
                <w:lang w:eastAsia="en-ZA"/>
              </w:rPr>
              <w:t>(69 968)</w:t>
            </w:r>
          </w:p>
        </w:tc>
      </w:tr>
      <w:tr w:rsidR="00740332" w:rsidRPr="002A4ED0" w:rsidTr="001C6E77">
        <w:trPr>
          <w:trHeight w:val="365"/>
        </w:trPr>
        <w:tc>
          <w:tcPr>
            <w:tcW w:w="24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40332" w:rsidRPr="002A4ED0" w:rsidRDefault="00740332"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Commitments </w:t>
            </w:r>
          </w:p>
        </w:tc>
        <w:tc>
          <w:tcPr>
            <w:tcW w:w="7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40332" w:rsidRPr="002A4ED0" w:rsidRDefault="00740332"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6 255  779 </w:t>
            </w:r>
          </w:p>
        </w:tc>
        <w:tc>
          <w:tcPr>
            <w:tcW w:w="8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40332" w:rsidRPr="002A4ED0" w:rsidRDefault="00740332"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6 116 970 </w:t>
            </w:r>
          </w:p>
        </w:tc>
        <w:tc>
          <w:tcPr>
            <w:tcW w:w="1022"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740332" w:rsidRPr="002A4ED0" w:rsidRDefault="00740332"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color w:val="000000"/>
                <w:kern w:val="24"/>
                <w:sz w:val="20"/>
                <w:szCs w:val="20"/>
                <w:lang w:eastAsia="en-ZA"/>
              </w:rPr>
              <w:t>138 809</w:t>
            </w:r>
          </w:p>
        </w:tc>
      </w:tr>
      <w:tr w:rsidR="00740332" w:rsidRPr="002A4ED0" w:rsidTr="001C6E77">
        <w:trPr>
          <w:trHeight w:val="365"/>
        </w:trPr>
        <w:tc>
          <w:tcPr>
            <w:tcW w:w="24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40332" w:rsidRPr="002A4ED0" w:rsidRDefault="00740332"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Contingent liabilities </w:t>
            </w:r>
          </w:p>
        </w:tc>
        <w:tc>
          <w:tcPr>
            <w:tcW w:w="7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40332" w:rsidRPr="002A4ED0" w:rsidRDefault="00740332"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11 033 259 </w:t>
            </w:r>
          </w:p>
        </w:tc>
        <w:tc>
          <w:tcPr>
            <w:tcW w:w="8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40332" w:rsidRPr="002A4ED0" w:rsidRDefault="00740332"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11 197 640 </w:t>
            </w:r>
          </w:p>
        </w:tc>
        <w:tc>
          <w:tcPr>
            <w:tcW w:w="1022"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740332" w:rsidRPr="002A4ED0" w:rsidRDefault="00740332"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color w:val="000000"/>
                <w:kern w:val="24"/>
                <w:sz w:val="20"/>
                <w:szCs w:val="20"/>
                <w:lang w:eastAsia="en-ZA"/>
              </w:rPr>
              <w:t>(164 381)</w:t>
            </w:r>
          </w:p>
        </w:tc>
      </w:tr>
      <w:tr w:rsidR="00740332" w:rsidRPr="002A4ED0" w:rsidTr="001C6E77">
        <w:trPr>
          <w:trHeight w:val="365"/>
        </w:trPr>
        <w:tc>
          <w:tcPr>
            <w:tcW w:w="24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40332" w:rsidRPr="002A4ED0" w:rsidRDefault="00740332"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Unauthorised expenditure </w:t>
            </w:r>
          </w:p>
        </w:tc>
        <w:tc>
          <w:tcPr>
            <w:tcW w:w="7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40332" w:rsidRPr="002A4ED0" w:rsidRDefault="00740332"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641 109 </w:t>
            </w:r>
          </w:p>
        </w:tc>
        <w:tc>
          <w:tcPr>
            <w:tcW w:w="8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40332" w:rsidRPr="002A4ED0" w:rsidRDefault="00740332"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641 109 </w:t>
            </w:r>
          </w:p>
        </w:tc>
        <w:tc>
          <w:tcPr>
            <w:tcW w:w="1022"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740332" w:rsidRPr="002A4ED0" w:rsidRDefault="00740332"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color w:val="000000"/>
                <w:kern w:val="24"/>
                <w:sz w:val="20"/>
                <w:szCs w:val="20"/>
                <w:lang w:eastAsia="en-ZA"/>
              </w:rPr>
              <w:t>-</w:t>
            </w:r>
          </w:p>
        </w:tc>
      </w:tr>
      <w:tr w:rsidR="00740332" w:rsidRPr="002A4ED0" w:rsidTr="001C6E77">
        <w:trPr>
          <w:trHeight w:val="365"/>
        </w:trPr>
        <w:tc>
          <w:tcPr>
            <w:tcW w:w="24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40332" w:rsidRPr="002A4ED0" w:rsidRDefault="00740332"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Fruitless and wasteful expenditure </w:t>
            </w:r>
          </w:p>
        </w:tc>
        <w:tc>
          <w:tcPr>
            <w:tcW w:w="7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40332" w:rsidRPr="002A4ED0" w:rsidRDefault="00740332"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16 813 </w:t>
            </w:r>
          </w:p>
        </w:tc>
        <w:tc>
          <w:tcPr>
            <w:tcW w:w="8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40332" w:rsidRPr="002A4ED0" w:rsidRDefault="00740332"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16 813 </w:t>
            </w:r>
          </w:p>
        </w:tc>
        <w:tc>
          <w:tcPr>
            <w:tcW w:w="1022"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740332" w:rsidRPr="002A4ED0" w:rsidRDefault="00740332"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color w:val="000000"/>
                <w:kern w:val="24"/>
                <w:sz w:val="20"/>
                <w:szCs w:val="20"/>
                <w:lang w:val="en-GB" w:eastAsia="en-ZA"/>
              </w:rPr>
              <w:t>-</w:t>
            </w:r>
          </w:p>
        </w:tc>
      </w:tr>
      <w:tr w:rsidR="00740332" w:rsidRPr="002A4ED0" w:rsidTr="001C6E77">
        <w:trPr>
          <w:trHeight w:val="365"/>
        </w:trPr>
        <w:tc>
          <w:tcPr>
            <w:tcW w:w="241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40332" w:rsidRPr="002A4ED0" w:rsidRDefault="00740332"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Irregular expenditure </w:t>
            </w:r>
          </w:p>
        </w:tc>
        <w:tc>
          <w:tcPr>
            <w:tcW w:w="7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40332" w:rsidRPr="002A4ED0" w:rsidRDefault="00740332"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color w:val="000000"/>
                <w:kern w:val="24"/>
                <w:sz w:val="20"/>
                <w:szCs w:val="20"/>
                <w:lang w:val="en-US" w:eastAsia="en-ZA"/>
              </w:rPr>
              <w:t xml:space="preserve"> 9 459 330  </w:t>
            </w:r>
          </w:p>
        </w:tc>
        <w:tc>
          <w:tcPr>
            <w:tcW w:w="8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40332" w:rsidRPr="002A4ED0" w:rsidRDefault="00740332"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color w:val="000000"/>
                <w:kern w:val="24"/>
                <w:sz w:val="20"/>
                <w:szCs w:val="20"/>
                <w:lang w:eastAsia="en-ZA"/>
              </w:rPr>
              <w:t xml:space="preserve">    </w:t>
            </w:r>
            <w:r w:rsidRPr="002A4ED0">
              <w:rPr>
                <w:rFonts w:ascii="Arial" w:eastAsiaTheme="minorEastAsia" w:hAnsi="Arial" w:cs="Arial"/>
                <w:color w:val="000000"/>
                <w:kern w:val="24"/>
                <w:sz w:val="20"/>
                <w:szCs w:val="20"/>
                <w:lang w:val="en-US" w:eastAsia="en-ZA"/>
              </w:rPr>
              <w:t xml:space="preserve"> 9 459 106 </w:t>
            </w:r>
          </w:p>
        </w:tc>
        <w:tc>
          <w:tcPr>
            <w:tcW w:w="1022"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740332" w:rsidRPr="002A4ED0" w:rsidRDefault="00740332"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color w:val="000000"/>
                <w:kern w:val="24"/>
                <w:sz w:val="20"/>
                <w:szCs w:val="20"/>
                <w:lang w:eastAsia="en-ZA"/>
              </w:rPr>
              <w:t>224</w:t>
            </w:r>
          </w:p>
        </w:tc>
      </w:tr>
    </w:tbl>
    <w:p w:rsidR="00740332" w:rsidRPr="002A4ED0" w:rsidRDefault="00740332" w:rsidP="002A4ED0">
      <w:pPr>
        <w:pStyle w:val="ListParagraph"/>
        <w:autoSpaceDE w:val="0"/>
        <w:autoSpaceDN w:val="0"/>
        <w:adjustRightInd w:val="0"/>
        <w:spacing w:after="0" w:line="240" w:lineRule="auto"/>
        <w:ind w:left="0"/>
        <w:rPr>
          <w:rFonts w:ascii="Arial" w:hAnsi="Arial" w:cs="Arial"/>
          <w:sz w:val="20"/>
          <w:szCs w:val="20"/>
        </w:rPr>
      </w:pPr>
    </w:p>
    <w:p w:rsidR="00740332" w:rsidRPr="002A4ED0" w:rsidRDefault="00740332" w:rsidP="002A4ED0">
      <w:pPr>
        <w:pStyle w:val="ListParagraph"/>
        <w:autoSpaceDE w:val="0"/>
        <w:autoSpaceDN w:val="0"/>
        <w:adjustRightInd w:val="0"/>
        <w:spacing w:after="0" w:line="240" w:lineRule="auto"/>
        <w:ind w:left="0"/>
        <w:rPr>
          <w:rFonts w:ascii="Arial" w:hAnsi="Arial" w:cs="Arial"/>
          <w:sz w:val="20"/>
          <w:szCs w:val="20"/>
        </w:rPr>
      </w:pPr>
      <w:r w:rsidRPr="002A4ED0">
        <w:rPr>
          <w:rFonts w:ascii="Arial" w:hAnsi="Arial" w:cs="Arial"/>
          <w:sz w:val="20"/>
          <w:szCs w:val="20"/>
        </w:rPr>
        <w:t xml:space="preserve">Contingent liabilities, accruals and payables reduction are due to settlements processed in the current period.  Unauthorised expenditure relates to </w:t>
      </w:r>
      <w:r w:rsidR="003267A8" w:rsidRPr="002A4ED0">
        <w:rPr>
          <w:rFonts w:ascii="Arial" w:hAnsi="Arial" w:cs="Arial"/>
          <w:sz w:val="20"/>
          <w:szCs w:val="20"/>
        </w:rPr>
        <w:t xml:space="preserve">the </w:t>
      </w:r>
      <w:r w:rsidRPr="002A4ED0">
        <w:rPr>
          <w:rFonts w:ascii="Arial" w:hAnsi="Arial" w:cs="Arial"/>
          <w:sz w:val="20"/>
          <w:szCs w:val="20"/>
        </w:rPr>
        <w:t xml:space="preserve">prior year’s </w:t>
      </w:r>
      <w:r w:rsidR="003267A8" w:rsidRPr="002A4ED0">
        <w:rPr>
          <w:rFonts w:ascii="Arial" w:hAnsi="Arial" w:cs="Arial"/>
          <w:sz w:val="20"/>
          <w:szCs w:val="20"/>
        </w:rPr>
        <w:t>over</w:t>
      </w:r>
      <w:r w:rsidRPr="002A4ED0">
        <w:rPr>
          <w:rFonts w:ascii="Arial" w:hAnsi="Arial" w:cs="Arial"/>
          <w:sz w:val="20"/>
          <w:szCs w:val="20"/>
        </w:rPr>
        <w:t>spending of the main division of the Vote</w:t>
      </w:r>
      <w:r w:rsidR="003267A8" w:rsidRPr="002A4ED0">
        <w:rPr>
          <w:rFonts w:ascii="Arial" w:hAnsi="Arial" w:cs="Arial"/>
          <w:sz w:val="20"/>
          <w:szCs w:val="20"/>
        </w:rPr>
        <w:t>, largely due</w:t>
      </w:r>
      <w:r w:rsidRPr="002A4ED0">
        <w:rPr>
          <w:rFonts w:ascii="Arial" w:hAnsi="Arial" w:cs="Arial"/>
          <w:sz w:val="20"/>
          <w:szCs w:val="20"/>
        </w:rPr>
        <w:t xml:space="preserve"> to</w:t>
      </w:r>
      <w:r w:rsidR="001C6E77" w:rsidRPr="002A4ED0">
        <w:rPr>
          <w:rFonts w:ascii="Arial" w:hAnsi="Arial" w:cs="Arial"/>
          <w:sz w:val="20"/>
          <w:szCs w:val="20"/>
        </w:rPr>
        <w:t xml:space="preserve"> the War-on-Leaks Project and the Bucket Eradication Programme. National Treasury has submitted consolidated recommendations to SCOPA</w:t>
      </w:r>
      <w:r w:rsidR="003166C9" w:rsidRPr="002A4ED0">
        <w:rPr>
          <w:rFonts w:ascii="Arial" w:hAnsi="Arial" w:cs="Arial"/>
          <w:sz w:val="20"/>
          <w:szCs w:val="20"/>
        </w:rPr>
        <w:t>,</w:t>
      </w:r>
      <w:r w:rsidR="001C6E77" w:rsidRPr="002A4ED0">
        <w:rPr>
          <w:rFonts w:ascii="Arial" w:hAnsi="Arial" w:cs="Arial"/>
          <w:sz w:val="20"/>
          <w:szCs w:val="20"/>
        </w:rPr>
        <w:t xml:space="preserve"> and amounts </w:t>
      </w:r>
      <w:r w:rsidR="003267A8" w:rsidRPr="002A4ED0">
        <w:rPr>
          <w:rFonts w:ascii="Arial" w:hAnsi="Arial" w:cs="Arial"/>
          <w:sz w:val="20"/>
          <w:szCs w:val="20"/>
        </w:rPr>
        <w:t xml:space="preserve">are </w:t>
      </w:r>
      <w:r w:rsidR="001C6E77" w:rsidRPr="002A4ED0">
        <w:rPr>
          <w:rFonts w:ascii="Arial" w:hAnsi="Arial" w:cs="Arial"/>
          <w:sz w:val="20"/>
          <w:szCs w:val="20"/>
        </w:rPr>
        <w:t>cleared once approval is granted.</w:t>
      </w:r>
    </w:p>
    <w:p w:rsidR="00740332" w:rsidRPr="002A4ED0" w:rsidRDefault="00740332" w:rsidP="002A4ED0">
      <w:pPr>
        <w:pStyle w:val="ListParagraph"/>
        <w:autoSpaceDE w:val="0"/>
        <w:autoSpaceDN w:val="0"/>
        <w:adjustRightInd w:val="0"/>
        <w:spacing w:after="0" w:line="240" w:lineRule="auto"/>
        <w:ind w:left="0"/>
        <w:rPr>
          <w:rFonts w:ascii="Arial" w:hAnsi="Arial" w:cs="Arial"/>
          <w:sz w:val="20"/>
          <w:szCs w:val="20"/>
        </w:rPr>
      </w:pPr>
    </w:p>
    <w:p w:rsidR="00685D96" w:rsidRPr="002A4ED0" w:rsidRDefault="00685D96" w:rsidP="002A4ED0">
      <w:pPr>
        <w:autoSpaceDE w:val="0"/>
        <w:autoSpaceDN w:val="0"/>
        <w:adjustRightInd w:val="0"/>
        <w:spacing w:after="0" w:line="240" w:lineRule="auto"/>
        <w:rPr>
          <w:rFonts w:ascii="Arial" w:hAnsi="Arial" w:cs="Arial"/>
          <w:b/>
          <w:color w:val="000000"/>
          <w:sz w:val="20"/>
          <w:szCs w:val="20"/>
        </w:rPr>
      </w:pPr>
      <w:r w:rsidRPr="002A4ED0">
        <w:rPr>
          <w:rFonts w:ascii="Arial" w:hAnsi="Arial" w:cs="Arial"/>
          <w:b/>
          <w:color w:val="000000"/>
          <w:sz w:val="20"/>
          <w:szCs w:val="20"/>
        </w:rPr>
        <w:t>3.1.2</w:t>
      </w:r>
      <w:r w:rsidRPr="002A4ED0">
        <w:rPr>
          <w:rFonts w:ascii="Arial" w:hAnsi="Arial" w:cs="Arial"/>
          <w:b/>
          <w:color w:val="000000"/>
          <w:sz w:val="20"/>
          <w:szCs w:val="20"/>
        </w:rPr>
        <w:tab/>
        <w:t>WATER TRADING ENTITY</w:t>
      </w:r>
    </w:p>
    <w:p w:rsidR="00475189" w:rsidRPr="002A4ED0" w:rsidRDefault="00475189" w:rsidP="002A4ED0">
      <w:pPr>
        <w:spacing w:after="0" w:line="240" w:lineRule="auto"/>
        <w:rPr>
          <w:rFonts w:ascii="Arial" w:hAnsi="Arial" w:cs="Arial"/>
          <w:sz w:val="20"/>
          <w:szCs w:val="20"/>
        </w:rPr>
      </w:pPr>
    </w:p>
    <w:p w:rsidR="00475189" w:rsidRPr="002A4ED0" w:rsidRDefault="00475189" w:rsidP="002A4ED0">
      <w:pPr>
        <w:spacing w:after="0" w:line="240" w:lineRule="auto"/>
        <w:rPr>
          <w:rFonts w:ascii="Arial" w:hAnsi="Arial" w:cs="Arial"/>
          <w:sz w:val="20"/>
          <w:szCs w:val="20"/>
        </w:rPr>
      </w:pPr>
      <w:r w:rsidRPr="002A4ED0">
        <w:rPr>
          <w:rFonts w:ascii="Arial" w:hAnsi="Arial" w:cs="Arial"/>
          <w:sz w:val="20"/>
          <w:szCs w:val="20"/>
        </w:rPr>
        <w:t>The W</w:t>
      </w:r>
      <w:r w:rsidR="00710D7D" w:rsidRPr="002A4ED0">
        <w:rPr>
          <w:rFonts w:ascii="Arial" w:hAnsi="Arial" w:cs="Arial"/>
          <w:sz w:val="20"/>
          <w:szCs w:val="20"/>
        </w:rPr>
        <w:t>ater Trading Entity (W</w:t>
      </w:r>
      <w:r w:rsidRPr="002A4ED0">
        <w:rPr>
          <w:rFonts w:ascii="Arial" w:hAnsi="Arial" w:cs="Arial"/>
          <w:sz w:val="20"/>
          <w:szCs w:val="20"/>
        </w:rPr>
        <w:t>TE</w:t>
      </w:r>
      <w:r w:rsidR="00710D7D" w:rsidRPr="002A4ED0">
        <w:rPr>
          <w:rFonts w:ascii="Arial" w:hAnsi="Arial" w:cs="Arial"/>
          <w:sz w:val="20"/>
          <w:szCs w:val="20"/>
        </w:rPr>
        <w:t>)</w:t>
      </w:r>
      <w:r w:rsidRPr="002A4ED0">
        <w:rPr>
          <w:rFonts w:ascii="Arial" w:hAnsi="Arial" w:cs="Arial"/>
          <w:sz w:val="20"/>
          <w:szCs w:val="20"/>
        </w:rPr>
        <w:t xml:space="preserve"> is not listed as a schedule entity in the P</w:t>
      </w:r>
      <w:r w:rsidR="00710D7D" w:rsidRPr="002A4ED0">
        <w:rPr>
          <w:rFonts w:ascii="Arial" w:hAnsi="Arial" w:cs="Arial"/>
          <w:sz w:val="20"/>
          <w:szCs w:val="20"/>
        </w:rPr>
        <w:t>ublic Finance Management Act (P</w:t>
      </w:r>
      <w:r w:rsidRPr="002A4ED0">
        <w:rPr>
          <w:rFonts w:ascii="Arial" w:hAnsi="Arial" w:cs="Arial"/>
          <w:sz w:val="20"/>
          <w:szCs w:val="20"/>
        </w:rPr>
        <w:t>FMA</w:t>
      </w:r>
      <w:r w:rsidR="00710D7D" w:rsidRPr="002A4ED0">
        <w:rPr>
          <w:rFonts w:ascii="Arial" w:hAnsi="Arial" w:cs="Arial"/>
          <w:sz w:val="20"/>
          <w:szCs w:val="20"/>
        </w:rPr>
        <w:t>)</w:t>
      </w:r>
      <w:r w:rsidRPr="002A4ED0">
        <w:rPr>
          <w:rFonts w:ascii="Arial" w:hAnsi="Arial" w:cs="Arial"/>
          <w:sz w:val="20"/>
          <w:szCs w:val="20"/>
        </w:rPr>
        <w:t xml:space="preserve"> and thus functions within the administration of the Department.  The Director-General is appointed in terms of section 36(b) of the PFMA as head of the entity.  The WTE has two components, namely water resources management and infrastructure management.  The resources management component oversees the management of water quality, conservation and allocation of water throug</w:t>
      </w:r>
      <w:r w:rsidR="003267A8" w:rsidRPr="002A4ED0">
        <w:rPr>
          <w:rFonts w:ascii="Arial" w:hAnsi="Arial" w:cs="Arial"/>
          <w:sz w:val="20"/>
          <w:szCs w:val="20"/>
        </w:rPr>
        <w:t>h Catchment Management Agencies</w:t>
      </w:r>
      <w:r w:rsidR="00710D7D" w:rsidRPr="002A4ED0">
        <w:rPr>
          <w:rFonts w:ascii="Arial" w:hAnsi="Arial" w:cs="Arial"/>
          <w:sz w:val="20"/>
          <w:szCs w:val="20"/>
        </w:rPr>
        <w:t xml:space="preserve"> (CMAs)</w:t>
      </w:r>
      <w:r w:rsidR="003267A8" w:rsidRPr="002A4ED0">
        <w:rPr>
          <w:rFonts w:ascii="Arial" w:hAnsi="Arial" w:cs="Arial"/>
          <w:sz w:val="20"/>
          <w:szCs w:val="20"/>
        </w:rPr>
        <w:t>.</w:t>
      </w:r>
      <w:r w:rsidRPr="002A4ED0">
        <w:rPr>
          <w:rFonts w:ascii="Arial" w:hAnsi="Arial" w:cs="Arial"/>
          <w:sz w:val="20"/>
          <w:szCs w:val="20"/>
        </w:rPr>
        <w:t xml:space="preserve"> </w:t>
      </w:r>
      <w:r w:rsidR="003267A8" w:rsidRPr="002A4ED0">
        <w:rPr>
          <w:rFonts w:ascii="Arial" w:hAnsi="Arial" w:cs="Arial"/>
          <w:sz w:val="20"/>
          <w:szCs w:val="20"/>
        </w:rPr>
        <w:t>W</w:t>
      </w:r>
      <w:r w:rsidRPr="002A4ED0">
        <w:rPr>
          <w:rFonts w:ascii="Arial" w:hAnsi="Arial" w:cs="Arial"/>
          <w:sz w:val="20"/>
          <w:szCs w:val="20"/>
        </w:rPr>
        <w:t>here Catch</w:t>
      </w:r>
      <w:r w:rsidR="003267A8" w:rsidRPr="002A4ED0">
        <w:rPr>
          <w:rFonts w:ascii="Arial" w:hAnsi="Arial" w:cs="Arial"/>
          <w:sz w:val="20"/>
          <w:szCs w:val="20"/>
        </w:rPr>
        <w:t>ment Management Agencies are not yet</w:t>
      </w:r>
      <w:r w:rsidRPr="002A4ED0">
        <w:rPr>
          <w:rFonts w:ascii="Arial" w:hAnsi="Arial" w:cs="Arial"/>
          <w:sz w:val="20"/>
          <w:szCs w:val="20"/>
        </w:rPr>
        <w:t xml:space="preserve"> established</w:t>
      </w:r>
      <w:r w:rsidR="003267A8" w:rsidRPr="002A4ED0">
        <w:rPr>
          <w:rFonts w:ascii="Arial" w:hAnsi="Arial" w:cs="Arial"/>
          <w:sz w:val="20"/>
          <w:szCs w:val="20"/>
        </w:rPr>
        <w:t xml:space="preserve">, </w:t>
      </w:r>
      <w:r w:rsidRPr="002A4ED0">
        <w:rPr>
          <w:rFonts w:ascii="Arial" w:hAnsi="Arial" w:cs="Arial"/>
          <w:sz w:val="20"/>
          <w:szCs w:val="20"/>
        </w:rPr>
        <w:t>this is done through proto-CMA</w:t>
      </w:r>
      <w:r w:rsidR="003267A8" w:rsidRPr="002A4ED0">
        <w:rPr>
          <w:rFonts w:ascii="Arial" w:hAnsi="Arial" w:cs="Arial"/>
          <w:sz w:val="20"/>
          <w:szCs w:val="20"/>
        </w:rPr>
        <w:t>s located in regional offices. T</w:t>
      </w:r>
      <w:r w:rsidRPr="002A4ED0">
        <w:rPr>
          <w:rFonts w:ascii="Arial" w:hAnsi="Arial" w:cs="Arial"/>
          <w:sz w:val="20"/>
          <w:szCs w:val="20"/>
        </w:rPr>
        <w:t>he infrastructure component oversees the operations and maintenance of existing</w:t>
      </w:r>
      <w:r w:rsidR="003166C9" w:rsidRPr="002A4ED0">
        <w:rPr>
          <w:rFonts w:ascii="Arial" w:hAnsi="Arial" w:cs="Arial"/>
          <w:sz w:val="20"/>
          <w:szCs w:val="20"/>
        </w:rPr>
        <w:t xml:space="preserve"> water infrastructure and</w:t>
      </w:r>
      <w:r w:rsidRPr="002A4ED0">
        <w:rPr>
          <w:rFonts w:ascii="Arial" w:hAnsi="Arial" w:cs="Arial"/>
          <w:sz w:val="20"/>
          <w:szCs w:val="20"/>
        </w:rPr>
        <w:t xml:space="preserve"> the development of new infrastructure.</w:t>
      </w:r>
    </w:p>
    <w:p w:rsidR="00475189" w:rsidRPr="002A4ED0" w:rsidRDefault="00475189" w:rsidP="002A4ED0">
      <w:pPr>
        <w:spacing w:after="0" w:line="240" w:lineRule="auto"/>
        <w:rPr>
          <w:rFonts w:ascii="Arial" w:hAnsi="Arial" w:cs="Arial"/>
          <w:sz w:val="20"/>
          <w:szCs w:val="20"/>
        </w:rPr>
      </w:pPr>
    </w:p>
    <w:p w:rsidR="00747F86" w:rsidRPr="002A4ED0" w:rsidRDefault="00FD74CB" w:rsidP="002A4ED0">
      <w:pPr>
        <w:pStyle w:val="NormalWeb"/>
        <w:shd w:val="clear" w:color="auto" w:fill="FFFFFF"/>
        <w:spacing w:before="0" w:beforeAutospacing="0" w:after="0" w:afterAutospacing="0"/>
        <w:rPr>
          <w:rFonts w:ascii="Arial" w:hAnsi="Arial" w:cs="Arial"/>
          <w:color w:val="111111"/>
          <w:spacing w:val="-3"/>
          <w:sz w:val="20"/>
          <w:szCs w:val="20"/>
        </w:rPr>
      </w:pPr>
      <w:r w:rsidRPr="002A4ED0">
        <w:rPr>
          <w:rFonts w:ascii="Arial" w:hAnsi="Arial" w:cs="Arial"/>
          <w:sz w:val="20"/>
          <w:szCs w:val="20"/>
        </w:rPr>
        <w:t>Funding for the WTE (</w:t>
      </w:r>
      <w:r w:rsidR="00475189" w:rsidRPr="002A4ED0">
        <w:rPr>
          <w:rFonts w:ascii="Arial" w:hAnsi="Arial" w:cs="Arial"/>
          <w:sz w:val="20"/>
          <w:szCs w:val="20"/>
        </w:rPr>
        <w:t>operat</w:t>
      </w:r>
      <w:r w:rsidR="003166C9" w:rsidRPr="002A4ED0">
        <w:rPr>
          <w:rFonts w:ascii="Arial" w:hAnsi="Arial" w:cs="Arial"/>
          <w:sz w:val="20"/>
          <w:szCs w:val="20"/>
        </w:rPr>
        <w:t>ions and maintenance and the</w:t>
      </w:r>
      <w:r w:rsidR="003267A8" w:rsidRPr="002A4ED0">
        <w:rPr>
          <w:rFonts w:ascii="Arial" w:hAnsi="Arial" w:cs="Arial"/>
          <w:sz w:val="20"/>
          <w:szCs w:val="20"/>
        </w:rPr>
        <w:t xml:space="preserve"> </w:t>
      </w:r>
      <w:r w:rsidR="00475189" w:rsidRPr="002A4ED0">
        <w:rPr>
          <w:rFonts w:ascii="Arial" w:hAnsi="Arial" w:cs="Arial"/>
          <w:sz w:val="20"/>
          <w:szCs w:val="20"/>
        </w:rPr>
        <w:t>development of new infrastruc</w:t>
      </w:r>
      <w:r w:rsidR="003267A8" w:rsidRPr="002A4ED0">
        <w:rPr>
          <w:rFonts w:ascii="Arial" w:hAnsi="Arial" w:cs="Arial"/>
          <w:sz w:val="20"/>
          <w:szCs w:val="20"/>
        </w:rPr>
        <w:t>ture) comes from revenue</w:t>
      </w:r>
      <w:r w:rsidR="00475189" w:rsidRPr="002A4ED0">
        <w:rPr>
          <w:rFonts w:ascii="Arial" w:hAnsi="Arial" w:cs="Arial"/>
          <w:sz w:val="20"/>
          <w:szCs w:val="20"/>
        </w:rPr>
        <w:t xml:space="preserve"> generated from raw water charges in terms of the pricing strategy.  </w:t>
      </w:r>
      <w:r w:rsidR="00747F86" w:rsidRPr="002A4ED0">
        <w:rPr>
          <w:rFonts w:ascii="Arial" w:hAnsi="Arial" w:cs="Arial"/>
          <w:color w:val="111111"/>
          <w:spacing w:val="-3"/>
          <w:sz w:val="20"/>
          <w:szCs w:val="20"/>
        </w:rPr>
        <w:t>The </w:t>
      </w:r>
      <w:hyperlink r:id="rId7" w:history="1">
        <w:r w:rsidR="00747F86" w:rsidRPr="002A4ED0">
          <w:rPr>
            <w:rStyle w:val="Hyperlink"/>
            <w:rFonts w:ascii="Arial" w:hAnsi="Arial" w:cs="Arial"/>
            <w:color w:val="000000"/>
            <w:spacing w:val="-3"/>
            <w:sz w:val="20"/>
            <w:szCs w:val="20"/>
            <w:u w:val="none"/>
          </w:rPr>
          <w:t>Water</w:t>
        </w:r>
      </w:hyperlink>
      <w:r w:rsidR="00DA0AB8" w:rsidRPr="002A4ED0">
        <w:rPr>
          <w:rFonts w:ascii="Arial" w:hAnsi="Arial" w:cs="Arial"/>
          <w:color w:val="111111"/>
          <w:spacing w:val="-3"/>
          <w:sz w:val="20"/>
          <w:szCs w:val="20"/>
        </w:rPr>
        <w:t> Trading Entity</w:t>
      </w:r>
      <w:r w:rsidR="00747F86" w:rsidRPr="002A4ED0">
        <w:rPr>
          <w:rFonts w:ascii="Arial" w:hAnsi="Arial" w:cs="Arial"/>
          <w:color w:val="111111"/>
          <w:spacing w:val="-3"/>
          <w:sz w:val="20"/>
          <w:szCs w:val="20"/>
        </w:rPr>
        <w:t xml:space="preserve"> relies on revenues from the sale of </w:t>
      </w:r>
      <w:hyperlink r:id="rId8" w:history="1">
        <w:r w:rsidR="00747F86" w:rsidRPr="002A4ED0">
          <w:rPr>
            <w:rStyle w:val="Hyperlink"/>
            <w:rFonts w:ascii="Arial" w:hAnsi="Arial" w:cs="Arial"/>
            <w:color w:val="000000"/>
            <w:spacing w:val="-3"/>
            <w:sz w:val="20"/>
            <w:szCs w:val="20"/>
            <w:u w:val="none"/>
          </w:rPr>
          <w:t>water</w:t>
        </w:r>
      </w:hyperlink>
      <w:r w:rsidR="003267A8" w:rsidRPr="002A4ED0">
        <w:rPr>
          <w:rFonts w:ascii="Arial" w:hAnsi="Arial" w:cs="Arial"/>
          <w:color w:val="111111"/>
          <w:spacing w:val="-3"/>
          <w:sz w:val="20"/>
          <w:szCs w:val="20"/>
        </w:rPr>
        <w:t>.</w:t>
      </w:r>
      <w:r w:rsidR="00747F86" w:rsidRPr="002A4ED0">
        <w:rPr>
          <w:rFonts w:ascii="Arial" w:hAnsi="Arial" w:cs="Arial"/>
          <w:color w:val="111111"/>
          <w:spacing w:val="-3"/>
          <w:sz w:val="20"/>
          <w:szCs w:val="20"/>
        </w:rPr>
        <w:t xml:space="preserve"> </w:t>
      </w:r>
      <w:r w:rsidR="003267A8" w:rsidRPr="002A4ED0">
        <w:rPr>
          <w:rFonts w:ascii="Arial" w:hAnsi="Arial" w:cs="Arial"/>
          <w:color w:val="111111"/>
          <w:spacing w:val="-3"/>
          <w:sz w:val="20"/>
          <w:szCs w:val="20"/>
        </w:rPr>
        <w:t>It</w:t>
      </w:r>
      <w:r w:rsidR="00DA0AB8" w:rsidRPr="002A4ED0">
        <w:rPr>
          <w:rFonts w:ascii="Arial" w:hAnsi="Arial" w:cs="Arial"/>
          <w:color w:val="111111"/>
          <w:spacing w:val="-3"/>
          <w:sz w:val="20"/>
          <w:szCs w:val="20"/>
        </w:rPr>
        <w:t xml:space="preserve"> </w:t>
      </w:r>
      <w:r w:rsidR="00747F86" w:rsidRPr="002A4ED0">
        <w:rPr>
          <w:rFonts w:ascii="Arial" w:hAnsi="Arial" w:cs="Arial"/>
          <w:color w:val="111111"/>
          <w:spacing w:val="-3"/>
          <w:sz w:val="20"/>
          <w:szCs w:val="20"/>
        </w:rPr>
        <w:t>augmen</w:t>
      </w:r>
      <w:r w:rsidR="003267A8" w:rsidRPr="002A4ED0">
        <w:rPr>
          <w:rFonts w:ascii="Arial" w:hAnsi="Arial" w:cs="Arial"/>
          <w:color w:val="111111"/>
          <w:spacing w:val="-3"/>
          <w:sz w:val="20"/>
          <w:szCs w:val="20"/>
        </w:rPr>
        <w:t xml:space="preserve">ts its budget for developing and managing </w:t>
      </w:r>
      <w:r w:rsidR="00747F86" w:rsidRPr="002A4ED0">
        <w:rPr>
          <w:rFonts w:ascii="Arial" w:hAnsi="Arial" w:cs="Arial"/>
          <w:color w:val="111111"/>
          <w:spacing w:val="-3"/>
          <w:sz w:val="20"/>
          <w:szCs w:val="20"/>
        </w:rPr>
        <w:t>national </w:t>
      </w:r>
      <w:hyperlink r:id="rId9" w:history="1">
        <w:r w:rsidR="00747F86" w:rsidRPr="002A4ED0">
          <w:rPr>
            <w:rStyle w:val="Hyperlink"/>
            <w:rFonts w:ascii="Arial" w:hAnsi="Arial" w:cs="Arial"/>
            <w:color w:val="000000"/>
            <w:spacing w:val="-3"/>
            <w:sz w:val="20"/>
            <w:szCs w:val="20"/>
            <w:u w:val="none"/>
          </w:rPr>
          <w:t>water</w:t>
        </w:r>
      </w:hyperlink>
      <w:r w:rsidR="00747F86" w:rsidRPr="002A4ED0">
        <w:rPr>
          <w:rFonts w:ascii="Arial" w:hAnsi="Arial" w:cs="Arial"/>
          <w:color w:val="111111"/>
          <w:spacing w:val="-3"/>
          <w:sz w:val="20"/>
          <w:szCs w:val="20"/>
        </w:rPr>
        <w:t> resource </w:t>
      </w:r>
      <w:hyperlink r:id="rId10" w:history="1">
        <w:r w:rsidR="00747F86" w:rsidRPr="002A4ED0">
          <w:rPr>
            <w:rStyle w:val="Hyperlink"/>
            <w:rFonts w:ascii="Arial" w:hAnsi="Arial" w:cs="Arial"/>
            <w:color w:val="000000"/>
            <w:spacing w:val="-3"/>
            <w:sz w:val="20"/>
            <w:szCs w:val="20"/>
            <w:u w:val="none"/>
          </w:rPr>
          <w:t>infrastructure</w:t>
        </w:r>
      </w:hyperlink>
      <w:r w:rsidR="00747F86" w:rsidRPr="002A4ED0">
        <w:rPr>
          <w:rFonts w:ascii="Arial" w:hAnsi="Arial" w:cs="Arial"/>
          <w:color w:val="111111"/>
          <w:spacing w:val="-3"/>
          <w:sz w:val="20"/>
          <w:szCs w:val="20"/>
        </w:rPr>
        <w:t> with a</w:t>
      </w:r>
      <w:r w:rsidR="003267A8" w:rsidRPr="002A4ED0">
        <w:rPr>
          <w:rFonts w:ascii="Arial" w:hAnsi="Arial" w:cs="Arial"/>
          <w:color w:val="111111"/>
          <w:spacing w:val="-3"/>
          <w:sz w:val="20"/>
          <w:szCs w:val="20"/>
        </w:rPr>
        <w:t>n</w:t>
      </w:r>
      <w:r w:rsidR="00747F86" w:rsidRPr="002A4ED0">
        <w:rPr>
          <w:rFonts w:ascii="Arial" w:hAnsi="Arial" w:cs="Arial"/>
          <w:color w:val="111111"/>
          <w:spacing w:val="-3"/>
          <w:sz w:val="20"/>
          <w:szCs w:val="20"/>
        </w:rPr>
        <w:t xml:space="preserve"> MT</w:t>
      </w:r>
      <w:r w:rsidR="00DA0AB8" w:rsidRPr="002A4ED0">
        <w:rPr>
          <w:rFonts w:ascii="Arial" w:hAnsi="Arial" w:cs="Arial"/>
          <w:color w:val="111111"/>
          <w:spacing w:val="-3"/>
          <w:sz w:val="20"/>
          <w:szCs w:val="20"/>
        </w:rPr>
        <w:t xml:space="preserve">EF allocation of R9.55 billion. </w:t>
      </w:r>
      <w:r w:rsidR="003267A8" w:rsidRPr="002A4ED0">
        <w:rPr>
          <w:rFonts w:ascii="Arial" w:hAnsi="Arial" w:cs="Arial"/>
          <w:color w:val="111111"/>
          <w:spacing w:val="-3"/>
          <w:sz w:val="20"/>
          <w:szCs w:val="20"/>
        </w:rPr>
        <w:t>T</w:t>
      </w:r>
      <w:r w:rsidR="00747F86" w:rsidRPr="002A4ED0">
        <w:rPr>
          <w:rFonts w:ascii="Arial" w:hAnsi="Arial" w:cs="Arial"/>
          <w:color w:val="111111"/>
          <w:spacing w:val="-3"/>
          <w:sz w:val="20"/>
          <w:szCs w:val="20"/>
        </w:rPr>
        <w:t>he medium-term expenditure estimate for the </w:t>
      </w:r>
      <w:hyperlink r:id="rId11" w:history="1">
        <w:r w:rsidR="00747F86" w:rsidRPr="002A4ED0">
          <w:rPr>
            <w:rStyle w:val="Hyperlink"/>
            <w:rFonts w:ascii="Arial" w:hAnsi="Arial" w:cs="Arial"/>
            <w:color w:val="000000"/>
            <w:spacing w:val="-3"/>
            <w:sz w:val="20"/>
            <w:szCs w:val="20"/>
            <w:u w:val="none"/>
          </w:rPr>
          <w:t>Water</w:t>
        </w:r>
      </w:hyperlink>
      <w:r w:rsidR="00747F86" w:rsidRPr="002A4ED0">
        <w:rPr>
          <w:rFonts w:ascii="Arial" w:hAnsi="Arial" w:cs="Arial"/>
          <w:color w:val="111111"/>
          <w:spacing w:val="-3"/>
          <w:sz w:val="20"/>
          <w:szCs w:val="20"/>
        </w:rPr>
        <w:t xml:space="preserve"> Trading Entity is R51.6-billion, </w:t>
      </w:r>
      <w:r w:rsidRPr="002A4ED0">
        <w:rPr>
          <w:rFonts w:ascii="Arial" w:hAnsi="Arial" w:cs="Arial"/>
          <w:color w:val="111111"/>
          <w:spacing w:val="-3"/>
          <w:sz w:val="20"/>
          <w:szCs w:val="20"/>
        </w:rPr>
        <w:t xml:space="preserve">comprising R16.4-billion, R17.2 billion and R18 </w:t>
      </w:r>
      <w:r w:rsidR="00747F86" w:rsidRPr="002A4ED0">
        <w:rPr>
          <w:rFonts w:ascii="Arial" w:hAnsi="Arial" w:cs="Arial"/>
          <w:color w:val="111111"/>
          <w:spacing w:val="-3"/>
          <w:sz w:val="20"/>
          <w:szCs w:val="20"/>
        </w:rPr>
        <w:t>billion in 2022/23, 2023/24 and 2024/25</w:t>
      </w:r>
      <w:r w:rsidR="003267A8" w:rsidRPr="002A4ED0">
        <w:rPr>
          <w:rFonts w:ascii="Arial" w:hAnsi="Arial" w:cs="Arial"/>
          <w:color w:val="111111"/>
          <w:spacing w:val="-3"/>
          <w:sz w:val="20"/>
          <w:szCs w:val="20"/>
        </w:rPr>
        <w:t>,</w:t>
      </w:r>
      <w:r w:rsidR="00747F86" w:rsidRPr="002A4ED0">
        <w:rPr>
          <w:rFonts w:ascii="Arial" w:hAnsi="Arial" w:cs="Arial"/>
          <w:color w:val="111111"/>
          <w:spacing w:val="-3"/>
          <w:sz w:val="20"/>
          <w:szCs w:val="20"/>
        </w:rPr>
        <w:t xml:space="preserve"> respectively.</w:t>
      </w:r>
    </w:p>
    <w:p w:rsidR="00DD654A" w:rsidRPr="002A4ED0" w:rsidRDefault="000D3567" w:rsidP="002A4ED0">
      <w:pPr>
        <w:autoSpaceDE w:val="0"/>
        <w:autoSpaceDN w:val="0"/>
        <w:adjustRightInd w:val="0"/>
        <w:spacing w:after="0" w:line="240" w:lineRule="auto"/>
        <w:rPr>
          <w:rFonts w:ascii="Arial" w:hAnsi="Arial" w:cs="Arial"/>
          <w:color w:val="000000"/>
          <w:sz w:val="20"/>
          <w:szCs w:val="20"/>
        </w:rPr>
      </w:pPr>
      <w:r w:rsidRPr="002A4ED0">
        <w:rPr>
          <w:rFonts w:ascii="Arial" w:hAnsi="Arial" w:cs="Arial"/>
          <w:color w:val="000000"/>
          <w:sz w:val="20"/>
          <w:szCs w:val="20"/>
        </w:rPr>
        <w:t xml:space="preserve"> </w:t>
      </w:r>
    </w:p>
    <w:p w:rsidR="00685D96" w:rsidRPr="002A4ED0" w:rsidRDefault="00DA0AB8" w:rsidP="002A4ED0">
      <w:pPr>
        <w:autoSpaceDE w:val="0"/>
        <w:autoSpaceDN w:val="0"/>
        <w:adjustRightInd w:val="0"/>
        <w:spacing w:after="0" w:line="240" w:lineRule="auto"/>
        <w:rPr>
          <w:rFonts w:ascii="Arial" w:hAnsi="Arial" w:cs="Arial"/>
          <w:b/>
          <w:color w:val="000000"/>
          <w:sz w:val="20"/>
          <w:szCs w:val="20"/>
        </w:rPr>
      </w:pPr>
      <w:r w:rsidRPr="002A4ED0">
        <w:rPr>
          <w:rFonts w:ascii="Arial" w:hAnsi="Arial" w:cs="Arial"/>
          <w:b/>
          <w:color w:val="000000"/>
          <w:sz w:val="20"/>
          <w:szCs w:val="20"/>
        </w:rPr>
        <w:t>Table 3</w:t>
      </w:r>
      <w:r w:rsidR="00685D96" w:rsidRPr="002A4ED0">
        <w:rPr>
          <w:rFonts w:ascii="Arial" w:hAnsi="Arial" w:cs="Arial"/>
          <w:b/>
          <w:color w:val="000000"/>
          <w:sz w:val="20"/>
          <w:szCs w:val="20"/>
        </w:rPr>
        <w:t xml:space="preserve">: </w:t>
      </w:r>
      <w:r w:rsidR="000D3567" w:rsidRPr="002A4ED0">
        <w:rPr>
          <w:rFonts w:ascii="Arial" w:hAnsi="Arial" w:cs="Arial"/>
          <w:b/>
          <w:color w:val="000000"/>
          <w:sz w:val="20"/>
          <w:szCs w:val="20"/>
        </w:rPr>
        <w:t>Water Trading Entity Expenditure Spend for the First Quarter, 2022/23 Financial Year</w:t>
      </w:r>
    </w:p>
    <w:tbl>
      <w:tblPr>
        <w:tblW w:w="5000" w:type="pct"/>
        <w:tblBorders>
          <w:top w:val="single" w:sz="4" w:space="0" w:color="auto"/>
          <w:left w:val="single" w:sz="4" w:space="0" w:color="auto"/>
          <w:bottom w:val="single" w:sz="4" w:space="0" w:color="auto"/>
          <w:right w:val="single" w:sz="4" w:space="0" w:color="auto"/>
          <w:insideH w:val="single" w:sz="8" w:space="0" w:color="FFFFFF"/>
          <w:insideV w:val="single" w:sz="8" w:space="0" w:color="FFFFFF"/>
        </w:tblBorders>
        <w:tblCellMar>
          <w:left w:w="0" w:type="dxa"/>
          <w:right w:w="0" w:type="dxa"/>
        </w:tblCellMar>
        <w:tblLook w:val="0600"/>
      </w:tblPr>
      <w:tblGrid>
        <w:gridCol w:w="2092"/>
        <w:gridCol w:w="887"/>
        <w:gridCol w:w="1328"/>
        <w:gridCol w:w="966"/>
        <w:gridCol w:w="1176"/>
        <w:gridCol w:w="1056"/>
        <w:gridCol w:w="687"/>
        <w:gridCol w:w="850"/>
      </w:tblGrid>
      <w:tr w:rsidR="008B69DE" w:rsidRPr="002A4ED0" w:rsidTr="008B69DE">
        <w:trPr>
          <w:trHeight w:val="1273"/>
        </w:trPr>
        <w:tc>
          <w:tcPr>
            <w:tcW w:w="1182" w:type="pct"/>
            <w:vMerge w:val="restart"/>
            <w:shd w:val="clear" w:color="auto" w:fill="C3D69B"/>
            <w:tcMar>
              <w:top w:w="8" w:type="dxa"/>
              <w:left w:w="8" w:type="dxa"/>
              <w:bottom w:w="0" w:type="dxa"/>
              <w:right w:w="8" w:type="dxa"/>
            </w:tcMar>
            <w:vAlign w:val="cente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themeColor="dark1"/>
                <w:kern w:val="24"/>
                <w:sz w:val="20"/>
                <w:szCs w:val="20"/>
                <w:lang w:eastAsia="en-ZA"/>
              </w:rPr>
              <w:t>Programme</w:t>
            </w:r>
          </w:p>
        </w:tc>
        <w:tc>
          <w:tcPr>
            <w:tcW w:w="516" w:type="pct"/>
            <w:shd w:val="clear" w:color="auto" w:fill="C3D69B"/>
            <w:tcMar>
              <w:top w:w="8" w:type="dxa"/>
              <w:left w:w="8" w:type="dxa"/>
              <w:bottom w:w="0" w:type="dxa"/>
              <w:right w:w="8" w:type="dxa"/>
            </w:tcMar>
            <w:vAlign w:val="cente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themeColor="dark1"/>
                <w:kern w:val="24"/>
                <w:sz w:val="20"/>
                <w:szCs w:val="20"/>
                <w:lang w:eastAsia="en-ZA"/>
              </w:rPr>
              <w:t>Annual Budget</w:t>
            </w:r>
          </w:p>
        </w:tc>
        <w:tc>
          <w:tcPr>
            <w:tcW w:w="759" w:type="pct"/>
            <w:shd w:val="clear" w:color="auto" w:fill="C3D69B"/>
            <w:tcMar>
              <w:top w:w="8" w:type="dxa"/>
              <w:left w:w="8" w:type="dxa"/>
              <w:bottom w:w="0" w:type="dxa"/>
              <w:right w:w="8" w:type="dxa"/>
            </w:tcMar>
            <w:vAlign w:val="cente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themeColor="dark1"/>
                <w:kern w:val="24"/>
                <w:sz w:val="20"/>
                <w:szCs w:val="20"/>
                <w:lang w:eastAsia="en-ZA"/>
              </w:rPr>
              <w:t xml:space="preserve">% spent against </w:t>
            </w:r>
            <w:r w:rsidR="00CD1B0C" w:rsidRPr="002A4ED0">
              <w:rPr>
                <w:rFonts w:ascii="Arial" w:eastAsia="Times New Roman" w:hAnsi="Arial" w:cs="Arial"/>
                <w:b/>
                <w:bCs/>
                <w:color w:val="000000" w:themeColor="dark1"/>
                <w:kern w:val="24"/>
                <w:sz w:val="20"/>
                <w:szCs w:val="20"/>
                <w:lang w:eastAsia="en-ZA"/>
              </w:rPr>
              <w:t xml:space="preserve">the </w:t>
            </w:r>
            <w:r w:rsidRPr="002A4ED0">
              <w:rPr>
                <w:rFonts w:ascii="Arial" w:eastAsia="Times New Roman" w:hAnsi="Arial" w:cs="Arial"/>
                <w:b/>
                <w:bCs/>
                <w:color w:val="000000" w:themeColor="dark1"/>
                <w:kern w:val="24"/>
                <w:sz w:val="20"/>
                <w:szCs w:val="20"/>
                <w:lang w:eastAsia="en-ZA"/>
              </w:rPr>
              <w:t xml:space="preserve">Annual </w:t>
            </w:r>
            <w:r w:rsidR="00CD1B0C" w:rsidRPr="002A4ED0">
              <w:rPr>
                <w:rFonts w:ascii="Arial" w:eastAsia="Times New Roman" w:hAnsi="Arial" w:cs="Arial"/>
                <w:b/>
                <w:bCs/>
                <w:color w:val="000000" w:themeColor="dark1"/>
                <w:kern w:val="24"/>
                <w:sz w:val="20"/>
                <w:szCs w:val="20"/>
                <w:lang w:eastAsia="en-ZA"/>
              </w:rPr>
              <w:t>Budget</w:t>
            </w:r>
          </w:p>
        </w:tc>
        <w:tc>
          <w:tcPr>
            <w:tcW w:w="559" w:type="pct"/>
            <w:shd w:val="clear" w:color="auto" w:fill="C3D69B"/>
            <w:tcMar>
              <w:top w:w="8" w:type="dxa"/>
              <w:left w:w="8" w:type="dxa"/>
              <w:bottom w:w="0" w:type="dxa"/>
              <w:right w:w="8" w:type="dxa"/>
            </w:tcMar>
            <w:vAlign w:val="cente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themeColor="dark1"/>
                <w:kern w:val="24"/>
                <w:sz w:val="20"/>
                <w:szCs w:val="20"/>
                <w:lang w:eastAsia="en-ZA"/>
              </w:rPr>
              <w:t>YTD Budget</w:t>
            </w:r>
          </w:p>
        </w:tc>
        <w:tc>
          <w:tcPr>
            <w:tcW w:w="552" w:type="pct"/>
            <w:shd w:val="clear" w:color="auto" w:fill="C3D69B"/>
            <w:tcMar>
              <w:top w:w="8" w:type="dxa"/>
              <w:left w:w="8" w:type="dxa"/>
              <w:bottom w:w="0" w:type="dxa"/>
              <w:right w:w="8" w:type="dxa"/>
            </w:tcMar>
            <w:vAlign w:val="cente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themeColor="dark1"/>
                <w:kern w:val="24"/>
                <w:sz w:val="20"/>
                <w:szCs w:val="20"/>
                <w:lang w:eastAsia="en-ZA"/>
              </w:rPr>
              <w:t>YTD Actual Expenditure</w:t>
            </w:r>
          </w:p>
        </w:tc>
        <w:tc>
          <w:tcPr>
            <w:tcW w:w="609" w:type="pct"/>
            <w:shd w:val="clear" w:color="auto" w:fill="C3D69B"/>
            <w:tcMar>
              <w:top w:w="8" w:type="dxa"/>
              <w:left w:w="8" w:type="dxa"/>
              <w:bottom w:w="0" w:type="dxa"/>
              <w:right w:w="8" w:type="dxa"/>
            </w:tcMar>
            <w:vAlign w:val="cente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themeColor="dark1"/>
                <w:kern w:val="24"/>
                <w:sz w:val="20"/>
                <w:szCs w:val="20"/>
                <w:lang w:eastAsia="en-ZA"/>
              </w:rPr>
              <w:t>Available Budget</w:t>
            </w:r>
          </w:p>
        </w:tc>
        <w:tc>
          <w:tcPr>
            <w:tcW w:w="365" w:type="pct"/>
            <w:shd w:val="clear" w:color="auto" w:fill="C3D69B"/>
            <w:tcMar>
              <w:top w:w="8" w:type="dxa"/>
              <w:left w:w="8" w:type="dxa"/>
              <w:bottom w:w="0" w:type="dxa"/>
              <w:right w:w="8" w:type="dxa"/>
            </w:tcMar>
            <w:vAlign w:val="cente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themeColor="dark1"/>
                <w:kern w:val="24"/>
                <w:sz w:val="20"/>
                <w:szCs w:val="20"/>
                <w:lang w:eastAsia="en-ZA"/>
              </w:rPr>
              <w:t>% spent on YTD budget</w:t>
            </w:r>
          </w:p>
        </w:tc>
        <w:tc>
          <w:tcPr>
            <w:tcW w:w="458" w:type="pct"/>
            <w:shd w:val="clear" w:color="auto" w:fill="C3D69B"/>
            <w:tcMar>
              <w:top w:w="8" w:type="dxa"/>
              <w:left w:w="8" w:type="dxa"/>
              <w:bottom w:w="0" w:type="dxa"/>
              <w:right w:w="8" w:type="dxa"/>
            </w:tcMar>
            <w:vAlign w:val="cente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themeColor="dark1"/>
                <w:kern w:val="24"/>
                <w:sz w:val="20"/>
                <w:szCs w:val="20"/>
                <w:lang w:eastAsia="en-ZA"/>
              </w:rPr>
              <w:t>% Variance</w:t>
            </w:r>
          </w:p>
        </w:tc>
      </w:tr>
      <w:tr w:rsidR="008B69DE" w:rsidRPr="002A4ED0" w:rsidTr="008B69DE">
        <w:trPr>
          <w:trHeight w:val="117"/>
        </w:trPr>
        <w:tc>
          <w:tcPr>
            <w:tcW w:w="1182" w:type="pct"/>
            <w:vMerge/>
            <w:vAlign w:val="center"/>
            <w:hideMark/>
          </w:tcPr>
          <w:p w:rsidR="008B69DE" w:rsidRPr="002A4ED0" w:rsidRDefault="008B69DE" w:rsidP="002A4ED0">
            <w:pPr>
              <w:spacing w:after="0" w:line="240" w:lineRule="auto"/>
              <w:rPr>
                <w:rFonts w:ascii="Arial" w:eastAsia="Times New Roman" w:hAnsi="Arial" w:cs="Arial"/>
                <w:sz w:val="20"/>
                <w:szCs w:val="20"/>
                <w:lang w:eastAsia="en-ZA"/>
              </w:rPr>
            </w:pPr>
          </w:p>
        </w:tc>
        <w:tc>
          <w:tcPr>
            <w:tcW w:w="516" w:type="pct"/>
            <w:shd w:val="clear" w:color="auto" w:fill="C3D69B"/>
            <w:tcMar>
              <w:top w:w="8" w:type="dxa"/>
              <w:left w:w="8" w:type="dxa"/>
              <w:bottom w:w="0" w:type="dxa"/>
              <w:right w:w="8" w:type="dxa"/>
            </w:tcMar>
            <w:vAlign w:val="center"/>
            <w:hideMark/>
          </w:tcPr>
          <w:p w:rsidR="008B69DE" w:rsidRPr="002A4ED0" w:rsidRDefault="008B69DE"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b/>
                <w:bCs/>
                <w:color w:val="000000"/>
                <w:kern w:val="24"/>
                <w:sz w:val="20"/>
                <w:szCs w:val="20"/>
                <w:lang w:val="en-US" w:eastAsia="en-ZA"/>
              </w:rPr>
              <w:t xml:space="preserve"> R’000 </w:t>
            </w:r>
          </w:p>
        </w:tc>
        <w:tc>
          <w:tcPr>
            <w:tcW w:w="759" w:type="pct"/>
            <w:shd w:val="clear" w:color="auto" w:fill="C3D69B"/>
            <w:tcMar>
              <w:top w:w="8" w:type="dxa"/>
              <w:left w:w="8" w:type="dxa"/>
              <w:bottom w:w="0" w:type="dxa"/>
              <w:right w:w="8" w:type="dxa"/>
            </w:tcMar>
            <w:vAlign w:val="center"/>
            <w:hideMark/>
          </w:tcPr>
          <w:p w:rsidR="008B69DE" w:rsidRPr="002A4ED0" w:rsidRDefault="008B69DE"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b/>
                <w:bCs/>
                <w:color w:val="000000"/>
                <w:kern w:val="24"/>
                <w:sz w:val="20"/>
                <w:szCs w:val="20"/>
                <w:lang w:val="en-US" w:eastAsia="en-ZA"/>
              </w:rPr>
              <w:t>%</w:t>
            </w:r>
          </w:p>
        </w:tc>
        <w:tc>
          <w:tcPr>
            <w:tcW w:w="559" w:type="pct"/>
            <w:shd w:val="clear" w:color="auto" w:fill="C3D69B"/>
            <w:tcMar>
              <w:top w:w="8" w:type="dxa"/>
              <w:left w:w="8" w:type="dxa"/>
              <w:bottom w:w="0" w:type="dxa"/>
              <w:right w:w="8" w:type="dxa"/>
            </w:tcMar>
            <w:vAlign w:val="center"/>
            <w:hideMark/>
          </w:tcPr>
          <w:p w:rsidR="008B69DE" w:rsidRPr="002A4ED0" w:rsidRDefault="008B69DE"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b/>
                <w:bCs/>
                <w:color w:val="000000"/>
                <w:kern w:val="24"/>
                <w:sz w:val="20"/>
                <w:szCs w:val="20"/>
                <w:lang w:val="en-US" w:eastAsia="en-ZA"/>
              </w:rPr>
              <w:t xml:space="preserve"> R’000 </w:t>
            </w:r>
          </w:p>
        </w:tc>
        <w:tc>
          <w:tcPr>
            <w:tcW w:w="552" w:type="pct"/>
            <w:shd w:val="clear" w:color="auto" w:fill="C3D69B"/>
            <w:tcMar>
              <w:top w:w="8" w:type="dxa"/>
              <w:left w:w="8" w:type="dxa"/>
              <w:bottom w:w="0" w:type="dxa"/>
              <w:right w:w="8" w:type="dxa"/>
            </w:tcMar>
            <w:vAlign w:val="center"/>
            <w:hideMark/>
          </w:tcPr>
          <w:p w:rsidR="008B69DE" w:rsidRPr="002A4ED0" w:rsidRDefault="008B69DE"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b/>
                <w:bCs/>
                <w:color w:val="000000"/>
                <w:kern w:val="24"/>
                <w:sz w:val="20"/>
                <w:szCs w:val="20"/>
                <w:lang w:val="en-US" w:eastAsia="en-ZA"/>
              </w:rPr>
              <w:t xml:space="preserve"> R’000 </w:t>
            </w:r>
          </w:p>
        </w:tc>
        <w:tc>
          <w:tcPr>
            <w:tcW w:w="609" w:type="pct"/>
            <w:shd w:val="clear" w:color="auto" w:fill="C3D69B"/>
            <w:tcMar>
              <w:top w:w="8" w:type="dxa"/>
              <w:left w:w="8" w:type="dxa"/>
              <w:bottom w:w="0" w:type="dxa"/>
              <w:right w:w="8" w:type="dxa"/>
            </w:tcMar>
            <w:vAlign w:val="center"/>
            <w:hideMark/>
          </w:tcPr>
          <w:p w:rsidR="008B69DE" w:rsidRPr="002A4ED0" w:rsidRDefault="008B69DE"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b/>
                <w:bCs/>
                <w:color w:val="000000"/>
                <w:kern w:val="24"/>
                <w:sz w:val="20"/>
                <w:szCs w:val="20"/>
                <w:lang w:val="en-US" w:eastAsia="en-ZA"/>
              </w:rPr>
              <w:t xml:space="preserve"> R’000 </w:t>
            </w:r>
          </w:p>
        </w:tc>
        <w:tc>
          <w:tcPr>
            <w:tcW w:w="365" w:type="pct"/>
            <w:shd w:val="clear" w:color="auto" w:fill="C3D69B"/>
            <w:tcMar>
              <w:top w:w="8" w:type="dxa"/>
              <w:left w:w="8" w:type="dxa"/>
              <w:bottom w:w="0" w:type="dxa"/>
              <w:right w:w="8" w:type="dxa"/>
            </w:tcMar>
            <w:vAlign w:val="center"/>
            <w:hideMark/>
          </w:tcPr>
          <w:p w:rsidR="008B69DE" w:rsidRPr="002A4ED0" w:rsidRDefault="008B69DE"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b/>
                <w:bCs/>
                <w:color w:val="000000"/>
                <w:kern w:val="24"/>
                <w:sz w:val="20"/>
                <w:szCs w:val="20"/>
                <w:lang w:val="en-US" w:eastAsia="en-ZA"/>
              </w:rPr>
              <w:t>%</w:t>
            </w:r>
          </w:p>
        </w:tc>
        <w:tc>
          <w:tcPr>
            <w:tcW w:w="458" w:type="pct"/>
            <w:shd w:val="clear" w:color="auto" w:fill="C3D69B"/>
            <w:tcMar>
              <w:top w:w="8" w:type="dxa"/>
              <w:left w:w="8" w:type="dxa"/>
              <w:bottom w:w="0" w:type="dxa"/>
              <w:right w:w="8" w:type="dxa"/>
            </w:tcMar>
            <w:vAlign w:val="center"/>
            <w:hideMark/>
          </w:tcPr>
          <w:p w:rsidR="008B69DE" w:rsidRPr="002A4ED0" w:rsidRDefault="008B69DE"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b/>
                <w:bCs/>
                <w:color w:val="000000"/>
                <w:kern w:val="24"/>
                <w:sz w:val="20"/>
                <w:szCs w:val="20"/>
                <w:lang w:val="en-US" w:eastAsia="en-ZA"/>
              </w:rPr>
              <w:t>%</w:t>
            </w:r>
          </w:p>
        </w:tc>
      </w:tr>
      <w:tr w:rsidR="008B69DE" w:rsidRPr="002A4ED0" w:rsidTr="008B69DE">
        <w:trPr>
          <w:trHeight w:val="172"/>
        </w:trPr>
        <w:tc>
          <w:tcPr>
            <w:tcW w:w="1182" w:type="pct"/>
            <w:shd w:val="clear" w:color="auto" w:fill="EBF1DE"/>
            <w:tcMar>
              <w:top w:w="8" w:type="dxa"/>
              <w:left w:w="8" w:type="dxa"/>
              <w:bottom w:w="0" w:type="dxa"/>
              <w:right w:w="8"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themeColor="dark1"/>
                <w:kern w:val="24"/>
                <w:sz w:val="20"/>
                <w:szCs w:val="20"/>
                <w:lang w:eastAsia="en-ZA"/>
              </w:rPr>
              <w:t>1. Administration</w:t>
            </w:r>
          </w:p>
        </w:tc>
        <w:tc>
          <w:tcPr>
            <w:tcW w:w="516"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1 293 018 </w:t>
            </w:r>
          </w:p>
        </w:tc>
        <w:tc>
          <w:tcPr>
            <w:tcW w:w="759"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12%</w:t>
            </w:r>
          </w:p>
        </w:tc>
        <w:tc>
          <w:tcPr>
            <w:tcW w:w="559"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306 105 </w:t>
            </w:r>
          </w:p>
        </w:tc>
        <w:tc>
          <w:tcPr>
            <w:tcW w:w="552"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159 970</w:t>
            </w:r>
          </w:p>
        </w:tc>
        <w:tc>
          <w:tcPr>
            <w:tcW w:w="609"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1 133 049</w:t>
            </w:r>
          </w:p>
        </w:tc>
        <w:tc>
          <w:tcPr>
            <w:tcW w:w="365"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52%</w:t>
            </w:r>
          </w:p>
        </w:tc>
        <w:tc>
          <w:tcPr>
            <w:tcW w:w="458"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48%</w:t>
            </w:r>
          </w:p>
        </w:tc>
      </w:tr>
      <w:tr w:rsidR="008B69DE" w:rsidRPr="002A4ED0" w:rsidTr="008B69DE">
        <w:trPr>
          <w:trHeight w:val="90"/>
        </w:trPr>
        <w:tc>
          <w:tcPr>
            <w:tcW w:w="1182" w:type="pct"/>
            <w:shd w:val="clear" w:color="auto" w:fill="EBF1DE"/>
            <w:tcMar>
              <w:top w:w="8" w:type="dxa"/>
              <w:left w:w="8" w:type="dxa"/>
              <w:bottom w:w="0" w:type="dxa"/>
              <w:right w:w="8" w:type="dxa"/>
            </w:tcMar>
            <w:hideMark/>
          </w:tcPr>
          <w:p w:rsidR="008B69DE" w:rsidRPr="002A4ED0" w:rsidRDefault="008B69DE" w:rsidP="002A4ED0">
            <w:pPr>
              <w:spacing w:after="0" w:line="240" w:lineRule="auto"/>
              <w:textAlignment w:val="top"/>
              <w:rPr>
                <w:rFonts w:ascii="Arial" w:eastAsia="Times New Roman" w:hAnsi="Arial" w:cs="Arial"/>
                <w:sz w:val="20"/>
                <w:szCs w:val="20"/>
                <w:lang w:eastAsia="en-ZA"/>
              </w:rPr>
            </w:pPr>
            <w:r w:rsidRPr="002A4ED0">
              <w:rPr>
                <w:rFonts w:ascii="Arial" w:eastAsia="Times New Roman" w:hAnsi="Arial" w:cs="Arial"/>
                <w:color w:val="000000" w:themeColor="dark1"/>
                <w:kern w:val="24"/>
                <w:sz w:val="20"/>
                <w:szCs w:val="20"/>
                <w:lang w:eastAsia="en-ZA"/>
              </w:rPr>
              <w:t xml:space="preserve">2. Implementation of water resources management activities </w:t>
            </w:r>
          </w:p>
        </w:tc>
        <w:tc>
          <w:tcPr>
            <w:tcW w:w="516"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738 874 </w:t>
            </w:r>
          </w:p>
        </w:tc>
        <w:tc>
          <w:tcPr>
            <w:tcW w:w="759"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29%</w:t>
            </w:r>
          </w:p>
        </w:tc>
        <w:tc>
          <w:tcPr>
            <w:tcW w:w="559"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295 816</w:t>
            </w:r>
          </w:p>
        </w:tc>
        <w:tc>
          <w:tcPr>
            <w:tcW w:w="552"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216 009</w:t>
            </w:r>
          </w:p>
        </w:tc>
        <w:tc>
          <w:tcPr>
            <w:tcW w:w="609"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522 865</w:t>
            </w:r>
          </w:p>
        </w:tc>
        <w:tc>
          <w:tcPr>
            <w:tcW w:w="365"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73%</w:t>
            </w:r>
          </w:p>
        </w:tc>
        <w:tc>
          <w:tcPr>
            <w:tcW w:w="458"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27%</w:t>
            </w:r>
          </w:p>
        </w:tc>
      </w:tr>
      <w:tr w:rsidR="008B69DE" w:rsidRPr="002A4ED0" w:rsidTr="008B69DE">
        <w:trPr>
          <w:trHeight w:val="408"/>
        </w:trPr>
        <w:tc>
          <w:tcPr>
            <w:tcW w:w="1182" w:type="pct"/>
            <w:shd w:val="clear" w:color="auto" w:fill="EBF1DE"/>
            <w:tcMar>
              <w:top w:w="8" w:type="dxa"/>
              <w:left w:w="8" w:type="dxa"/>
              <w:bottom w:w="0" w:type="dxa"/>
              <w:right w:w="8"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themeColor="dark1"/>
                <w:kern w:val="24"/>
                <w:sz w:val="20"/>
                <w:szCs w:val="20"/>
                <w:lang w:eastAsia="en-ZA"/>
              </w:rPr>
              <w:t>3. Operations, maintenance and refurbishment of national water resources schemes</w:t>
            </w:r>
          </w:p>
        </w:tc>
        <w:tc>
          <w:tcPr>
            <w:tcW w:w="516"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2 329 928</w:t>
            </w:r>
          </w:p>
        </w:tc>
        <w:tc>
          <w:tcPr>
            <w:tcW w:w="759"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9%</w:t>
            </w:r>
          </w:p>
        </w:tc>
        <w:tc>
          <w:tcPr>
            <w:tcW w:w="559"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752 987 </w:t>
            </w:r>
          </w:p>
        </w:tc>
        <w:tc>
          <w:tcPr>
            <w:tcW w:w="552"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198 814</w:t>
            </w:r>
          </w:p>
        </w:tc>
        <w:tc>
          <w:tcPr>
            <w:tcW w:w="609"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2 131 113</w:t>
            </w:r>
          </w:p>
        </w:tc>
        <w:tc>
          <w:tcPr>
            <w:tcW w:w="365"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26%</w:t>
            </w:r>
          </w:p>
        </w:tc>
        <w:tc>
          <w:tcPr>
            <w:tcW w:w="458"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74%</w:t>
            </w:r>
          </w:p>
        </w:tc>
      </w:tr>
      <w:tr w:rsidR="008B69DE" w:rsidRPr="002A4ED0" w:rsidTr="008B69DE">
        <w:trPr>
          <w:trHeight w:val="623"/>
        </w:trPr>
        <w:tc>
          <w:tcPr>
            <w:tcW w:w="1182" w:type="pct"/>
            <w:shd w:val="clear" w:color="auto" w:fill="EBF1DE"/>
            <w:tcMar>
              <w:top w:w="8" w:type="dxa"/>
              <w:left w:w="8" w:type="dxa"/>
              <w:bottom w:w="0" w:type="dxa"/>
              <w:right w:w="8"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themeColor="dark1"/>
                <w:kern w:val="24"/>
                <w:sz w:val="20"/>
                <w:szCs w:val="20"/>
                <w:lang w:eastAsia="en-ZA"/>
              </w:rPr>
              <w:t>4. Financing and investment in raw water infrastructure</w:t>
            </w:r>
          </w:p>
        </w:tc>
        <w:tc>
          <w:tcPr>
            <w:tcW w:w="516"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9 560 135 </w:t>
            </w:r>
          </w:p>
        </w:tc>
        <w:tc>
          <w:tcPr>
            <w:tcW w:w="759"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7%</w:t>
            </w:r>
          </w:p>
        </w:tc>
        <w:tc>
          <w:tcPr>
            <w:tcW w:w="559"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695 256</w:t>
            </w:r>
          </w:p>
        </w:tc>
        <w:tc>
          <w:tcPr>
            <w:tcW w:w="552"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695 256</w:t>
            </w:r>
          </w:p>
        </w:tc>
        <w:tc>
          <w:tcPr>
            <w:tcW w:w="609"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8 864 879</w:t>
            </w:r>
          </w:p>
        </w:tc>
        <w:tc>
          <w:tcPr>
            <w:tcW w:w="365"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100%</w:t>
            </w:r>
          </w:p>
        </w:tc>
        <w:tc>
          <w:tcPr>
            <w:tcW w:w="458"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0%</w:t>
            </w:r>
          </w:p>
        </w:tc>
      </w:tr>
      <w:tr w:rsidR="008B69DE" w:rsidRPr="002A4ED0" w:rsidTr="008B69DE">
        <w:trPr>
          <w:trHeight w:val="207"/>
        </w:trPr>
        <w:tc>
          <w:tcPr>
            <w:tcW w:w="1182" w:type="pct"/>
            <w:shd w:val="clear" w:color="auto" w:fill="EBF1DE"/>
            <w:tcMar>
              <w:top w:w="8" w:type="dxa"/>
              <w:left w:w="8" w:type="dxa"/>
              <w:bottom w:w="0" w:type="dxa"/>
              <w:right w:w="8"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themeColor="dark1"/>
                <w:kern w:val="24"/>
                <w:sz w:val="20"/>
                <w:szCs w:val="20"/>
                <w:lang w:eastAsia="en-ZA"/>
              </w:rPr>
              <w:t>5. Bulk water supply to strategic users</w:t>
            </w:r>
          </w:p>
        </w:tc>
        <w:tc>
          <w:tcPr>
            <w:tcW w:w="516"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2 328 334</w:t>
            </w:r>
          </w:p>
        </w:tc>
        <w:tc>
          <w:tcPr>
            <w:tcW w:w="759"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7%</w:t>
            </w:r>
          </w:p>
        </w:tc>
        <w:tc>
          <w:tcPr>
            <w:tcW w:w="559"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755 170</w:t>
            </w:r>
          </w:p>
        </w:tc>
        <w:tc>
          <w:tcPr>
            <w:tcW w:w="552"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173 616</w:t>
            </w:r>
          </w:p>
        </w:tc>
        <w:tc>
          <w:tcPr>
            <w:tcW w:w="609"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2 154 718</w:t>
            </w:r>
          </w:p>
        </w:tc>
        <w:tc>
          <w:tcPr>
            <w:tcW w:w="365"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23%</w:t>
            </w:r>
          </w:p>
        </w:tc>
        <w:tc>
          <w:tcPr>
            <w:tcW w:w="458"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77%</w:t>
            </w:r>
          </w:p>
        </w:tc>
      </w:tr>
      <w:tr w:rsidR="008B69DE" w:rsidRPr="002A4ED0" w:rsidTr="008B69DE">
        <w:trPr>
          <w:trHeight w:val="207"/>
        </w:trPr>
        <w:tc>
          <w:tcPr>
            <w:tcW w:w="1182" w:type="pct"/>
            <w:shd w:val="clear" w:color="auto" w:fill="EBF1DE"/>
            <w:tcMar>
              <w:top w:w="8" w:type="dxa"/>
              <w:left w:w="8" w:type="dxa"/>
              <w:bottom w:w="0" w:type="dxa"/>
              <w:right w:w="8"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themeColor="dark1"/>
                <w:kern w:val="24"/>
                <w:sz w:val="20"/>
                <w:szCs w:val="20"/>
                <w:lang w:eastAsia="en-ZA"/>
              </w:rPr>
              <w:t>6. Implementation of dam safety</w:t>
            </w:r>
          </w:p>
        </w:tc>
        <w:tc>
          <w:tcPr>
            <w:tcW w:w="516"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184 471</w:t>
            </w:r>
          </w:p>
        </w:tc>
        <w:tc>
          <w:tcPr>
            <w:tcW w:w="759"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13%</w:t>
            </w:r>
          </w:p>
        </w:tc>
        <w:tc>
          <w:tcPr>
            <w:tcW w:w="559"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40 100</w:t>
            </w:r>
          </w:p>
        </w:tc>
        <w:tc>
          <w:tcPr>
            <w:tcW w:w="552"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24 150</w:t>
            </w:r>
          </w:p>
        </w:tc>
        <w:tc>
          <w:tcPr>
            <w:tcW w:w="609"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160 321</w:t>
            </w:r>
          </w:p>
        </w:tc>
        <w:tc>
          <w:tcPr>
            <w:tcW w:w="365"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60%</w:t>
            </w:r>
          </w:p>
        </w:tc>
        <w:tc>
          <w:tcPr>
            <w:tcW w:w="458"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40%</w:t>
            </w:r>
          </w:p>
        </w:tc>
      </w:tr>
      <w:tr w:rsidR="008B69DE" w:rsidRPr="002A4ED0" w:rsidTr="008B69DE">
        <w:trPr>
          <w:trHeight w:val="277"/>
        </w:trPr>
        <w:tc>
          <w:tcPr>
            <w:tcW w:w="1182" w:type="pct"/>
            <w:shd w:val="clear" w:color="auto" w:fill="C3D69B"/>
            <w:tcMar>
              <w:top w:w="8" w:type="dxa"/>
              <w:left w:w="8" w:type="dxa"/>
              <w:bottom w:w="0" w:type="dxa"/>
              <w:right w:w="8"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themeColor="dark1"/>
                <w:kern w:val="24"/>
                <w:sz w:val="20"/>
                <w:szCs w:val="20"/>
                <w:lang w:eastAsia="en-ZA"/>
              </w:rPr>
              <w:t>Total</w:t>
            </w:r>
          </w:p>
        </w:tc>
        <w:tc>
          <w:tcPr>
            <w:tcW w:w="516" w:type="pct"/>
            <w:shd w:val="clear" w:color="auto" w:fill="C3D69B"/>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16 434 760 </w:t>
            </w:r>
          </w:p>
        </w:tc>
        <w:tc>
          <w:tcPr>
            <w:tcW w:w="759" w:type="pct"/>
            <w:shd w:val="clear" w:color="auto" w:fill="C3D69B"/>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9%</w:t>
            </w:r>
          </w:p>
        </w:tc>
        <w:tc>
          <w:tcPr>
            <w:tcW w:w="559" w:type="pct"/>
            <w:shd w:val="clear" w:color="auto" w:fill="C3D69B"/>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  2 845 434</w:t>
            </w:r>
          </w:p>
        </w:tc>
        <w:tc>
          <w:tcPr>
            <w:tcW w:w="552" w:type="pct"/>
            <w:shd w:val="clear" w:color="auto" w:fill="C3D69B"/>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     1 467 815</w:t>
            </w:r>
          </w:p>
        </w:tc>
        <w:tc>
          <w:tcPr>
            <w:tcW w:w="609" w:type="pct"/>
            <w:shd w:val="clear" w:color="auto" w:fill="C3D69B"/>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  14 966 944</w:t>
            </w:r>
          </w:p>
        </w:tc>
        <w:tc>
          <w:tcPr>
            <w:tcW w:w="365" w:type="pct"/>
            <w:shd w:val="clear" w:color="auto" w:fill="C3D69B"/>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52%</w:t>
            </w:r>
          </w:p>
        </w:tc>
        <w:tc>
          <w:tcPr>
            <w:tcW w:w="458" w:type="pct"/>
            <w:shd w:val="clear" w:color="auto" w:fill="C3D69B"/>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48%</w:t>
            </w:r>
          </w:p>
        </w:tc>
      </w:tr>
      <w:tr w:rsidR="008B69DE" w:rsidRPr="002A4ED0" w:rsidTr="008B69DE">
        <w:trPr>
          <w:trHeight w:val="277"/>
        </w:trPr>
        <w:tc>
          <w:tcPr>
            <w:tcW w:w="1182" w:type="pct"/>
            <w:shd w:val="clear" w:color="auto" w:fill="EBF1DE"/>
            <w:tcMar>
              <w:top w:w="8" w:type="dxa"/>
              <w:left w:w="8" w:type="dxa"/>
              <w:bottom w:w="0" w:type="dxa"/>
              <w:right w:w="8" w:type="dxa"/>
            </w:tcMar>
            <w:hideMark/>
          </w:tcPr>
          <w:p w:rsidR="008B69DE" w:rsidRPr="002A4ED0" w:rsidRDefault="008B69DE"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themeColor="dark1"/>
                <w:kern w:val="24"/>
                <w:sz w:val="20"/>
                <w:szCs w:val="20"/>
                <w:lang w:eastAsia="en-ZA"/>
              </w:rPr>
              <w:t> </w:t>
            </w:r>
          </w:p>
        </w:tc>
        <w:tc>
          <w:tcPr>
            <w:tcW w:w="516" w:type="pct"/>
            <w:shd w:val="clear" w:color="auto" w:fill="EBF1DE"/>
            <w:tcMar>
              <w:top w:w="8" w:type="dxa"/>
              <w:left w:w="8" w:type="dxa"/>
              <w:bottom w:w="0" w:type="dxa"/>
              <w:right w:w="8" w:type="dxa"/>
            </w:tcMar>
            <w:hideMark/>
          </w:tcPr>
          <w:p w:rsidR="008B69DE" w:rsidRPr="002A4ED0" w:rsidRDefault="008B69DE"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themeColor="dark1"/>
                <w:kern w:val="24"/>
                <w:sz w:val="20"/>
                <w:szCs w:val="20"/>
                <w:lang w:eastAsia="en-ZA"/>
              </w:rPr>
              <w:t> </w:t>
            </w:r>
          </w:p>
        </w:tc>
        <w:tc>
          <w:tcPr>
            <w:tcW w:w="759" w:type="pct"/>
            <w:shd w:val="clear" w:color="auto" w:fill="EBF1DE"/>
            <w:tcMar>
              <w:top w:w="8" w:type="dxa"/>
              <w:left w:w="8" w:type="dxa"/>
              <w:bottom w:w="0" w:type="dxa"/>
              <w:right w:w="8" w:type="dxa"/>
            </w:tcMar>
            <w:hideMark/>
          </w:tcPr>
          <w:p w:rsidR="008B69DE" w:rsidRPr="002A4ED0" w:rsidRDefault="008B69DE"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themeColor="dark1"/>
                <w:kern w:val="24"/>
                <w:sz w:val="20"/>
                <w:szCs w:val="20"/>
                <w:lang w:eastAsia="en-ZA"/>
              </w:rPr>
              <w:t> </w:t>
            </w:r>
          </w:p>
        </w:tc>
        <w:tc>
          <w:tcPr>
            <w:tcW w:w="559" w:type="pct"/>
            <w:shd w:val="clear" w:color="auto" w:fill="EBF1DE"/>
            <w:tcMar>
              <w:top w:w="8" w:type="dxa"/>
              <w:left w:w="8" w:type="dxa"/>
              <w:bottom w:w="0" w:type="dxa"/>
              <w:right w:w="8" w:type="dxa"/>
            </w:tcMar>
            <w:hideMark/>
          </w:tcPr>
          <w:p w:rsidR="008B69DE" w:rsidRPr="002A4ED0" w:rsidRDefault="008B69DE"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themeColor="dark1"/>
                <w:kern w:val="24"/>
                <w:sz w:val="20"/>
                <w:szCs w:val="20"/>
                <w:lang w:eastAsia="en-ZA"/>
              </w:rPr>
              <w:t> </w:t>
            </w:r>
          </w:p>
        </w:tc>
        <w:tc>
          <w:tcPr>
            <w:tcW w:w="552" w:type="pct"/>
            <w:shd w:val="clear" w:color="auto" w:fill="EBF1DE"/>
            <w:tcMar>
              <w:top w:w="8" w:type="dxa"/>
              <w:left w:w="8" w:type="dxa"/>
              <w:bottom w:w="0" w:type="dxa"/>
              <w:right w:w="8" w:type="dxa"/>
            </w:tcMar>
            <w:hideMark/>
          </w:tcPr>
          <w:p w:rsidR="008B69DE" w:rsidRPr="002A4ED0" w:rsidRDefault="008B69DE"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themeColor="dark1"/>
                <w:kern w:val="24"/>
                <w:sz w:val="20"/>
                <w:szCs w:val="20"/>
                <w:lang w:eastAsia="en-ZA"/>
              </w:rPr>
              <w:t> </w:t>
            </w:r>
          </w:p>
        </w:tc>
        <w:tc>
          <w:tcPr>
            <w:tcW w:w="609" w:type="pct"/>
            <w:shd w:val="clear" w:color="auto" w:fill="EBF1DE"/>
            <w:tcMar>
              <w:top w:w="8" w:type="dxa"/>
              <w:left w:w="8" w:type="dxa"/>
              <w:bottom w:w="0" w:type="dxa"/>
              <w:right w:w="8"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themeColor="dark1"/>
                <w:kern w:val="24"/>
                <w:sz w:val="20"/>
                <w:szCs w:val="20"/>
                <w:lang w:eastAsia="en-ZA"/>
              </w:rPr>
              <w:t> </w:t>
            </w:r>
          </w:p>
        </w:tc>
        <w:tc>
          <w:tcPr>
            <w:tcW w:w="365" w:type="pct"/>
            <w:shd w:val="clear" w:color="auto" w:fill="EBF1DE"/>
            <w:tcMar>
              <w:top w:w="8" w:type="dxa"/>
              <w:left w:w="8" w:type="dxa"/>
              <w:bottom w:w="0" w:type="dxa"/>
              <w:right w:w="8"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themeColor="dark1"/>
                <w:kern w:val="24"/>
                <w:sz w:val="20"/>
                <w:szCs w:val="20"/>
                <w:lang w:eastAsia="en-ZA"/>
              </w:rPr>
              <w:t> </w:t>
            </w:r>
          </w:p>
        </w:tc>
        <w:tc>
          <w:tcPr>
            <w:tcW w:w="458" w:type="pct"/>
            <w:shd w:val="clear" w:color="auto" w:fill="EBF1DE"/>
            <w:tcMar>
              <w:top w:w="8" w:type="dxa"/>
              <w:left w:w="8" w:type="dxa"/>
              <w:bottom w:w="0" w:type="dxa"/>
              <w:right w:w="8"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themeColor="dark1"/>
                <w:kern w:val="24"/>
                <w:sz w:val="20"/>
                <w:szCs w:val="20"/>
                <w:lang w:eastAsia="en-ZA"/>
              </w:rPr>
              <w:t> </w:t>
            </w:r>
          </w:p>
        </w:tc>
      </w:tr>
      <w:tr w:rsidR="008B69DE" w:rsidRPr="002A4ED0" w:rsidTr="008B69DE">
        <w:trPr>
          <w:trHeight w:val="316"/>
        </w:trPr>
        <w:tc>
          <w:tcPr>
            <w:tcW w:w="1182" w:type="pct"/>
            <w:shd w:val="clear" w:color="auto" w:fill="C3D69B"/>
            <w:tcMar>
              <w:top w:w="8" w:type="dxa"/>
              <w:left w:w="8" w:type="dxa"/>
              <w:bottom w:w="0" w:type="dxa"/>
              <w:right w:w="8"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themeColor="dark1"/>
                <w:kern w:val="24"/>
                <w:sz w:val="20"/>
                <w:szCs w:val="20"/>
                <w:lang w:eastAsia="en-ZA"/>
              </w:rPr>
              <w:t>Economic Classification</w:t>
            </w:r>
          </w:p>
        </w:tc>
        <w:tc>
          <w:tcPr>
            <w:tcW w:w="516" w:type="pct"/>
            <w:shd w:val="clear" w:color="auto" w:fill="C3D69B"/>
            <w:tcMar>
              <w:top w:w="8" w:type="dxa"/>
              <w:left w:w="8" w:type="dxa"/>
              <w:bottom w:w="0" w:type="dxa"/>
              <w:right w:w="8" w:type="dxa"/>
            </w:tcMar>
            <w:hideMark/>
          </w:tcPr>
          <w:p w:rsidR="008B69DE" w:rsidRPr="002A4ED0" w:rsidRDefault="008B69DE"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b/>
                <w:bCs/>
                <w:color w:val="000000"/>
                <w:kern w:val="24"/>
                <w:sz w:val="20"/>
                <w:szCs w:val="20"/>
                <w:lang w:val="en-US" w:eastAsia="en-ZA"/>
              </w:rPr>
              <w:t xml:space="preserve"> R’000 </w:t>
            </w:r>
          </w:p>
        </w:tc>
        <w:tc>
          <w:tcPr>
            <w:tcW w:w="759" w:type="pct"/>
            <w:shd w:val="clear" w:color="auto" w:fill="C3D69B"/>
            <w:tcMar>
              <w:top w:w="8" w:type="dxa"/>
              <w:left w:w="8" w:type="dxa"/>
              <w:bottom w:w="0" w:type="dxa"/>
              <w:right w:w="8" w:type="dxa"/>
            </w:tcMar>
            <w:hideMark/>
          </w:tcPr>
          <w:p w:rsidR="008B69DE" w:rsidRPr="002A4ED0" w:rsidRDefault="008B69DE"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b/>
                <w:bCs/>
                <w:color w:val="000000"/>
                <w:kern w:val="24"/>
                <w:sz w:val="20"/>
                <w:szCs w:val="20"/>
                <w:lang w:val="en-US" w:eastAsia="en-ZA"/>
              </w:rPr>
              <w:t>%</w:t>
            </w:r>
          </w:p>
        </w:tc>
        <w:tc>
          <w:tcPr>
            <w:tcW w:w="559" w:type="pct"/>
            <w:shd w:val="clear" w:color="auto" w:fill="C3D69B"/>
            <w:tcMar>
              <w:top w:w="8" w:type="dxa"/>
              <w:left w:w="8" w:type="dxa"/>
              <w:bottom w:w="0" w:type="dxa"/>
              <w:right w:w="8" w:type="dxa"/>
            </w:tcMar>
            <w:hideMark/>
          </w:tcPr>
          <w:p w:rsidR="008B69DE" w:rsidRPr="002A4ED0" w:rsidRDefault="008B69DE"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b/>
                <w:bCs/>
                <w:color w:val="000000"/>
                <w:kern w:val="24"/>
                <w:sz w:val="20"/>
                <w:szCs w:val="20"/>
                <w:lang w:val="en-US" w:eastAsia="en-ZA"/>
              </w:rPr>
              <w:t xml:space="preserve"> R’000 </w:t>
            </w:r>
          </w:p>
        </w:tc>
        <w:tc>
          <w:tcPr>
            <w:tcW w:w="552" w:type="pct"/>
            <w:shd w:val="clear" w:color="auto" w:fill="C3D69B"/>
            <w:tcMar>
              <w:top w:w="8" w:type="dxa"/>
              <w:left w:w="8" w:type="dxa"/>
              <w:bottom w:w="0" w:type="dxa"/>
              <w:right w:w="8" w:type="dxa"/>
            </w:tcMar>
            <w:hideMark/>
          </w:tcPr>
          <w:p w:rsidR="008B69DE" w:rsidRPr="002A4ED0" w:rsidRDefault="008B69DE"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b/>
                <w:bCs/>
                <w:color w:val="000000"/>
                <w:kern w:val="24"/>
                <w:sz w:val="20"/>
                <w:szCs w:val="20"/>
                <w:lang w:val="en-US" w:eastAsia="en-ZA"/>
              </w:rPr>
              <w:t xml:space="preserve"> R’000 </w:t>
            </w:r>
          </w:p>
        </w:tc>
        <w:tc>
          <w:tcPr>
            <w:tcW w:w="609" w:type="pct"/>
            <w:shd w:val="clear" w:color="auto" w:fill="C3D69B"/>
            <w:tcMar>
              <w:top w:w="8" w:type="dxa"/>
              <w:left w:w="8" w:type="dxa"/>
              <w:bottom w:w="0" w:type="dxa"/>
              <w:right w:w="8" w:type="dxa"/>
            </w:tcMar>
            <w:hideMark/>
          </w:tcPr>
          <w:p w:rsidR="008B69DE" w:rsidRPr="002A4ED0" w:rsidRDefault="008B69DE"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b/>
                <w:bCs/>
                <w:color w:val="000000"/>
                <w:kern w:val="24"/>
                <w:sz w:val="20"/>
                <w:szCs w:val="20"/>
                <w:lang w:val="en-US" w:eastAsia="en-ZA"/>
              </w:rPr>
              <w:t xml:space="preserve"> R’000 </w:t>
            </w:r>
          </w:p>
        </w:tc>
        <w:tc>
          <w:tcPr>
            <w:tcW w:w="365" w:type="pct"/>
            <w:shd w:val="clear" w:color="auto" w:fill="C3D69B"/>
            <w:tcMar>
              <w:top w:w="8" w:type="dxa"/>
              <w:left w:w="8" w:type="dxa"/>
              <w:bottom w:w="0" w:type="dxa"/>
              <w:right w:w="8" w:type="dxa"/>
            </w:tcMar>
            <w:hideMark/>
          </w:tcPr>
          <w:p w:rsidR="008B69DE" w:rsidRPr="002A4ED0" w:rsidRDefault="008B69DE"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b/>
                <w:bCs/>
                <w:color w:val="000000"/>
                <w:kern w:val="24"/>
                <w:sz w:val="20"/>
                <w:szCs w:val="20"/>
                <w:lang w:val="en-US" w:eastAsia="en-ZA"/>
              </w:rPr>
              <w:t>%</w:t>
            </w:r>
          </w:p>
        </w:tc>
        <w:tc>
          <w:tcPr>
            <w:tcW w:w="458" w:type="pct"/>
            <w:shd w:val="clear" w:color="auto" w:fill="C3D69B"/>
            <w:tcMar>
              <w:top w:w="8" w:type="dxa"/>
              <w:left w:w="8" w:type="dxa"/>
              <w:bottom w:w="0" w:type="dxa"/>
              <w:right w:w="8" w:type="dxa"/>
            </w:tcMar>
            <w:hideMark/>
          </w:tcPr>
          <w:p w:rsidR="008B69DE" w:rsidRPr="002A4ED0" w:rsidRDefault="008B69DE"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b/>
                <w:bCs/>
                <w:color w:val="000000"/>
                <w:kern w:val="24"/>
                <w:sz w:val="20"/>
                <w:szCs w:val="20"/>
                <w:lang w:val="en-US" w:eastAsia="en-ZA"/>
              </w:rPr>
              <w:t>%</w:t>
            </w:r>
          </w:p>
        </w:tc>
      </w:tr>
      <w:tr w:rsidR="008B69DE" w:rsidRPr="002A4ED0" w:rsidTr="008B69DE">
        <w:tc>
          <w:tcPr>
            <w:tcW w:w="1182" w:type="pct"/>
            <w:shd w:val="clear" w:color="auto" w:fill="EBF1DE"/>
            <w:tcMar>
              <w:top w:w="8" w:type="dxa"/>
              <w:left w:w="8" w:type="dxa"/>
              <w:bottom w:w="0" w:type="dxa"/>
              <w:right w:w="8"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themeColor="dark1"/>
                <w:kern w:val="24"/>
                <w:sz w:val="20"/>
                <w:szCs w:val="20"/>
                <w:lang w:eastAsia="en-ZA"/>
              </w:rPr>
              <w:t>Compensation of Employees</w:t>
            </w:r>
          </w:p>
        </w:tc>
        <w:tc>
          <w:tcPr>
            <w:tcW w:w="516"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1 480 709 </w:t>
            </w:r>
          </w:p>
        </w:tc>
        <w:tc>
          <w:tcPr>
            <w:tcW w:w="759"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20%</w:t>
            </w:r>
          </w:p>
        </w:tc>
        <w:tc>
          <w:tcPr>
            <w:tcW w:w="559"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391 983</w:t>
            </w:r>
          </w:p>
        </w:tc>
        <w:tc>
          <w:tcPr>
            <w:tcW w:w="552"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289 051</w:t>
            </w:r>
          </w:p>
        </w:tc>
        <w:tc>
          <w:tcPr>
            <w:tcW w:w="609"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1 191 657</w:t>
            </w:r>
          </w:p>
        </w:tc>
        <w:tc>
          <w:tcPr>
            <w:tcW w:w="365"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74%</w:t>
            </w:r>
          </w:p>
        </w:tc>
        <w:tc>
          <w:tcPr>
            <w:tcW w:w="458"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26%</w:t>
            </w:r>
          </w:p>
        </w:tc>
      </w:tr>
      <w:tr w:rsidR="008B69DE" w:rsidRPr="002A4ED0" w:rsidTr="008B69DE">
        <w:trPr>
          <w:trHeight w:val="266"/>
        </w:trPr>
        <w:tc>
          <w:tcPr>
            <w:tcW w:w="1182" w:type="pct"/>
            <w:shd w:val="clear" w:color="auto" w:fill="EBF1DE"/>
            <w:tcMar>
              <w:top w:w="8" w:type="dxa"/>
              <w:left w:w="8" w:type="dxa"/>
              <w:bottom w:w="0" w:type="dxa"/>
              <w:right w:w="8"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themeColor="dark1"/>
                <w:kern w:val="24"/>
                <w:sz w:val="20"/>
                <w:szCs w:val="20"/>
                <w:lang w:eastAsia="en-ZA"/>
              </w:rPr>
              <w:t>Goods and Services</w:t>
            </w:r>
          </w:p>
        </w:tc>
        <w:tc>
          <w:tcPr>
            <w:tcW w:w="516"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2 625 232</w:t>
            </w:r>
          </w:p>
        </w:tc>
        <w:tc>
          <w:tcPr>
            <w:tcW w:w="759"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14%</w:t>
            </w:r>
          </w:p>
        </w:tc>
        <w:tc>
          <w:tcPr>
            <w:tcW w:w="559"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790 720</w:t>
            </w:r>
          </w:p>
        </w:tc>
        <w:tc>
          <w:tcPr>
            <w:tcW w:w="552"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357 429</w:t>
            </w:r>
          </w:p>
        </w:tc>
        <w:tc>
          <w:tcPr>
            <w:tcW w:w="609"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heme="minorEastAsia" w:hAnsi="Arial" w:cs="Arial"/>
                <w:color w:val="000000"/>
                <w:kern w:val="24"/>
                <w:sz w:val="20"/>
                <w:szCs w:val="20"/>
                <w:lang w:eastAsia="en-ZA"/>
              </w:rPr>
              <w:t>2 267 804</w:t>
            </w:r>
          </w:p>
        </w:tc>
        <w:tc>
          <w:tcPr>
            <w:tcW w:w="365"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45%</w:t>
            </w:r>
          </w:p>
        </w:tc>
        <w:tc>
          <w:tcPr>
            <w:tcW w:w="458"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55%</w:t>
            </w:r>
          </w:p>
        </w:tc>
      </w:tr>
      <w:tr w:rsidR="008B69DE" w:rsidRPr="002A4ED0" w:rsidTr="008B69DE">
        <w:trPr>
          <w:trHeight w:val="266"/>
        </w:trPr>
        <w:tc>
          <w:tcPr>
            <w:tcW w:w="1182" w:type="pct"/>
            <w:shd w:val="clear" w:color="auto" w:fill="EBF1DE"/>
            <w:tcMar>
              <w:top w:w="8" w:type="dxa"/>
              <w:left w:w="8" w:type="dxa"/>
              <w:bottom w:w="0" w:type="dxa"/>
              <w:right w:w="8"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themeColor="dark1"/>
                <w:kern w:val="24"/>
                <w:sz w:val="20"/>
                <w:szCs w:val="20"/>
                <w:lang w:eastAsia="en-ZA"/>
              </w:rPr>
              <w:t xml:space="preserve">Trans Caledon Tunnel </w:t>
            </w:r>
            <w:r w:rsidRPr="002A4ED0">
              <w:rPr>
                <w:rFonts w:ascii="Arial" w:eastAsia="Times New Roman" w:hAnsi="Arial" w:cs="Arial"/>
                <w:color w:val="000000" w:themeColor="dark1"/>
                <w:kern w:val="24"/>
                <w:sz w:val="20"/>
                <w:szCs w:val="20"/>
                <w:lang w:eastAsia="en-ZA"/>
              </w:rPr>
              <w:lastRenderedPageBreak/>
              <w:t>Authority (TCTA)</w:t>
            </w:r>
          </w:p>
        </w:tc>
        <w:tc>
          <w:tcPr>
            <w:tcW w:w="516"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lastRenderedPageBreak/>
              <w:t xml:space="preserve">9 560 </w:t>
            </w:r>
            <w:r w:rsidRPr="002A4ED0">
              <w:rPr>
                <w:rFonts w:ascii="Arial" w:eastAsia="Times New Roman" w:hAnsi="Arial" w:cs="Arial"/>
                <w:color w:val="000000"/>
                <w:kern w:val="24"/>
                <w:sz w:val="20"/>
                <w:szCs w:val="20"/>
                <w:lang w:eastAsia="en-ZA"/>
              </w:rPr>
              <w:lastRenderedPageBreak/>
              <w:t>135</w:t>
            </w:r>
          </w:p>
        </w:tc>
        <w:tc>
          <w:tcPr>
            <w:tcW w:w="759"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lastRenderedPageBreak/>
              <w:t>7%</w:t>
            </w:r>
          </w:p>
        </w:tc>
        <w:tc>
          <w:tcPr>
            <w:tcW w:w="559"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695 256</w:t>
            </w:r>
          </w:p>
        </w:tc>
        <w:tc>
          <w:tcPr>
            <w:tcW w:w="552"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695 256 </w:t>
            </w:r>
          </w:p>
        </w:tc>
        <w:tc>
          <w:tcPr>
            <w:tcW w:w="609"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8 864 </w:t>
            </w:r>
            <w:r w:rsidRPr="002A4ED0">
              <w:rPr>
                <w:rFonts w:ascii="Arial" w:eastAsia="Times New Roman" w:hAnsi="Arial" w:cs="Arial"/>
                <w:color w:val="000000"/>
                <w:kern w:val="24"/>
                <w:sz w:val="20"/>
                <w:szCs w:val="20"/>
                <w:lang w:eastAsia="en-ZA"/>
              </w:rPr>
              <w:lastRenderedPageBreak/>
              <w:t>879</w:t>
            </w:r>
          </w:p>
        </w:tc>
        <w:tc>
          <w:tcPr>
            <w:tcW w:w="365"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lastRenderedPageBreak/>
              <w:t>100%</w:t>
            </w:r>
          </w:p>
        </w:tc>
        <w:tc>
          <w:tcPr>
            <w:tcW w:w="458"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0%</w:t>
            </w:r>
          </w:p>
        </w:tc>
      </w:tr>
      <w:tr w:rsidR="008B69DE" w:rsidRPr="002A4ED0" w:rsidTr="008B69DE">
        <w:trPr>
          <w:trHeight w:val="207"/>
        </w:trPr>
        <w:tc>
          <w:tcPr>
            <w:tcW w:w="1182" w:type="pct"/>
            <w:shd w:val="clear" w:color="auto" w:fill="EBF1DE"/>
            <w:tcMar>
              <w:top w:w="8" w:type="dxa"/>
              <w:left w:w="8" w:type="dxa"/>
              <w:bottom w:w="0" w:type="dxa"/>
              <w:right w:w="8"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themeColor="dark1"/>
                <w:kern w:val="24"/>
                <w:sz w:val="20"/>
                <w:szCs w:val="20"/>
                <w:lang w:eastAsia="en-ZA"/>
              </w:rPr>
              <w:lastRenderedPageBreak/>
              <w:t>Payments for Capital Assets</w:t>
            </w:r>
          </w:p>
        </w:tc>
        <w:tc>
          <w:tcPr>
            <w:tcW w:w="516"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2 768 684 </w:t>
            </w:r>
          </w:p>
        </w:tc>
        <w:tc>
          <w:tcPr>
            <w:tcW w:w="759"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5%</w:t>
            </w:r>
          </w:p>
        </w:tc>
        <w:tc>
          <w:tcPr>
            <w:tcW w:w="559"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967 476 </w:t>
            </w:r>
          </w:p>
        </w:tc>
        <w:tc>
          <w:tcPr>
            <w:tcW w:w="552"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126 079</w:t>
            </w:r>
          </w:p>
        </w:tc>
        <w:tc>
          <w:tcPr>
            <w:tcW w:w="609"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 xml:space="preserve">    2 642 605</w:t>
            </w:r>
          </w:p>
        </w:tc>
        <w:tc>
          <w:tcPr>
            <w:tcW w:w="365"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13%</w:t>
            </w:r>
          </w:p>
        </w:tc>
        <w:tc>
          <w:tcPr>
            <w:tcW w:w="458" w:type="pct"/>
            <w:shd w:val="clear" w:color="auto" w:fill="EBF1DE"/>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color w:val="000000"/>
                <w:kern w:val="24"/>
                <w:sz w:val="20"/>
                <w:szCs w:val="20"/>
                <w:lang w:eastAsia="en-ZA"/>
              </w:rPr>
              <w:t>87%</w:t>
            </w:r>
          </w:p>
        </w:tc>
      </w:tr>
      <w:tr w:rsidR="008B69DE" w:rsidRPr="002A4ED0" w:rsidTr="008B69DE">
        <w:trPr>
          <w:trHeight w:val="333"/>
        </w:trPr>
        <w:tc>
          <w:tcPr>
            <w:tcW w:w="1182" w:type="pct"/>
            <w:shd w:val="clear" w:color="auto" w:fill="C3D69B"/>
            <w:tcMar>
              <w:top w:w="8" w:type="dxa"/>
              <w:left w:w="8" w:type="dxa"/>
              <w:bottom w:w="0" w:type="dxa"/>
              <w:right w:w="8"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themeColor="dark1"/>
                <w:kern w:val="24"/>
                <w:sz w:val="20"/>
                <w:szCs w:val="20"/>
                <w:lang w:eastAsia="en-ZA"/>
              </w:rPr>
              <w:t xml:space="preserve">Total </w:t>
            </w:r>
          </w:p>
        </w:tc>
        <w:tc>
          <w:tcPr>
            <w:tcW w:w="516" w:type="pct"/>
            <w:shd w:val="clear" w:color="auto" w:fill="C3D69B"/>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16 434 760</w:t>
            </w:r>
          </w:p>
        </w:tc>
        <w:tc>
          <w:tcPr>
            <w:tcW w:w="759" w:type="pct"/>
            <w:shd w:val="clear" w:color="auto" w:fill="C3D69B"/>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9%</w:t>
            </w:r>
          </w:p>
        </w:tc>
        <w:tc>
          <w:tcPr>
            <w:tcW w:w="559" w:type="pct"/>
            <w:shd w:val="clear" w:color="auto" w:fill="C3D69B"/>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 2 845 434</w:t>
            </w:r>
          </w:p>
        </w:tc>
        <w:tc>
          <w:tcPr>
            <w:tcW w:w="552" w:type="pct"/>
            <w:shd w:val="clear" w:color="auto" w:fill="C3D69B"/>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     1 467 815</w:t>
            </w:r>
          </w:p>
        </w:tc>
        <w:tc>
          <w:tcPr>
            <w:tcW w:w="609" w:type="pct"/>
            <w:shd w:val="clear" w:color="auto" w:fill="C3D69B"/>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heme="minorEastAsia" w:hAnsi="Arial" w:cs="Arial"/>
                <w:b/>
                <w:bCs/>
                <w:color w:val="000000"/>
                <w:kern w:val="24"/>
                <w:sz w:val="20"/>
                <w:szCs w:val="20"/>
                <w:lang w:eastAsia="en-ZA"/>
              </w:rPr>
              <w:t xml:space="preserve">  14 966 944</w:t>
            </w:r>
          </w:p>
        </w:tc>
        <w:tc>
          <w:tcPr>
            <w:tcW w:w="365" w:type="pct"/>
            <w:shd w:val="clear" w:color="auto" w:fill="C3D69B"/>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52%</w:t>
            </w:r>
          </w:p>
        </w:tc>
        <w:tc>
          <w:tcPr>
            <w:tcW w:w="458" w:type="pct"/>
            <w:shd w:val="clear" w:color="auto" w:fill="C3D69B"/>
            <w:tcMar>
              <w:top w:w="12" w:type="dxa"/>
              <w:left w:w="12" w:type="dxa"/>
              <w:bottom w:w="0" w:type="dxa"/>
              <w:right w:w="12" w:type="dxa"/>
            </w:tcMar>
            <w:hideMark/>
          </w:tcPr>
          <w:p w:rsidR="008B69DE" w:rsidRPr="002A4ED0" w:rsidRDefault="008B69DE" w:rsidP="002A4ED0">
            <w:pPr>
              <w:spacing w:after="0" w:line="240" w:lineRule="auto"/>
              <w:textAlignment w:val="center"/>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48%</w:t>
            </w:r>
          </w:p>
        </w:tc>
      </w:tr>
    </w:tbl>
    <w:p w:rsidR="008B69DE" w:rsidRPr="002A4ED0" w:rsidRDefault="008B69DE" w:rsidP="002A4ED0">
      <w:pPr>
        <w:autoSpaceDE w:val="0"/>
        <w:autoSpaceDN w:val="0"/>
        <w:adjustRightInd w:val="0"/>
        <w:spacing w:after="0" w:line="240" w:lineRule="auto"/>
        <w:rPr>
          <w:rFonts w:ascii="Arial" w:hAnsi="Arial" w:cs="Arial"/>
          <w:color w:val="000000"/>
          <w:sz w:val="20"/>
          <w:szCs w:val="20"/>
        </w:rPr>
      </w:pPr>
    </w:p>
    <w:p w:rsidR="007B3E86" w:rsidRPr="002A4ED0" w:rsidRDefault="000D3567" w:rsidP="002A4ED0">
      <w:pPr>
        <w:autoSpaceDE w:val="0"/>
        <w:autoSpaceDN w:val="0"/>
        <w:adjustRightInd w:val="0"/>
        <w:spacing w:after="0" w:line="240" w:lineRule="auto"/>
        <w:rPr>
          <w:rFonts w:ascii="Arial" w:hAnsi="Arial" w:cs="Arial"/>
          <w:color w:val="000000"/>
          <w:sz w:val="20"/>
          <w:szCs w:val="20"/>
        </w:rPr>
      </w:pPr>
      <w:r w:rsidRPr="002A4ED0">
        <w:rPr>
          <w:rFonts w:ascii="Arial" w:hAnsi="Arial" w:cs="Arial"/>
          <w:color w:val="000000"/>
          <w:sz w:val="20"/>
          <w:szCs w:val="20"/>
        </w:rPr>
        <w:t xml:space="preserve">The programmes under the Water Trading Entity comprise Administration, Implementation of Water Resources Management Activities, Operations, Maintenance and Refurbishment of National Water Resources Schemes, Financing and Investment in Raw Water Infrastructure, Bulk Water Supply to Strategic Users and Implementation of Dam Safety.  </w:t>
      </w:r>
    </w:p>
    <w:p w:rsidR="000D3567" w:rsidRPr="002A4ED0" w:rsidRDefault="000D3567" w:rsidP="002A4ED0">
      <w:pPr>
        <w:autoSpaceDE w:val="0"/>
        <w:autoSpaceDN w:val="0"/>
        <w:adjustRightInd w:val="0"/>
        <w:spacing w:after="0" w:line="240" w:lineRule="auto"/>
        <w:rPr>
          <w:rFonts w:ascii="Arial" w:hAnsi="Arial" w:cs="Arial"/>
          <w:color w:val="000000"/>
          <w:sz w:val="20"/>
          <w:szCs w:val="20"/>
        </w:rPr>
      </w:pPr>
    </w:p>
    <w:p w:rsidR="000D3567" w:rsidRPr="002A4ED0" w:rsidRDefault="000D3567" w:rsidP="002A4ED0">
      <w:pPr>
        <w:autoSpaceDE w:val="0"/>
        <w:autoSpaceDN w:val="0"/>
        <w:adjustRightInd w:val="0"/>
        <w:spacing w:after="0" w:line="240" w:lineRule="auto"/>
        <w:rPr>
          <w:rFonts w:ascii="Arial" w:hAnsi="Arial" w:cs="Arial"/>
          <w:color w:val="000000"/>
          <w:sz w:val="20"/>
          <w:szCs w:val="20"/>
        </w:rPr>
      </w:pPr>
      <w:r w:rsidRPr="002A4ED0">
        <w:rPr>
          <w:rFonts w:ascii="Arial" w:hAnsi="Arial" w:cs="Arial"/>
          <w:color w:val="000000"/>
          <w:sz w:val="20"/>
          <w:szCs w:val="20"/>
        </w:rPr>
        <w:t xml:space="preserve">The Economic Classification provides a breakdown of the Annual Budget of R16.4 billion for the 2022/23 financial year.  The annual budget for </w:t>
      </w:r>
      <w:r w:rsidR="003267A8" w:rsidRPr="002A4ED0">
        <w:rPr>
          <w:rFonts w:ascii="Arial" w:hAnsi="Arial" w:cs="Arial"/>
          <w:color w:val="000000"/>
          <w:sz w:val="20"/>
          <w:szCs w:val="20"/>
        </w:rPr>
        <w:t xml:space="preserve">the </w:t>
      </w:r>
      <w:r w:rsidRPr="002A4ED0">
        <w:rPr>
          <w:rFonts w:ascii="Arial" w:hAnsi="Arial" w:cs="Arial"/>
          <w:color w:val="000000"/>
          <w:sz w:val="20"/>
          <w:szCs w:val="20"/>
        </w:rPr>
        <w:t xml:space="preserve">Compensation of Employees amounts to R1.4 billion, </w:t>
      </w:r>
      <w:r w:rsidR="003267A8" w:rsidRPr="002A4ED0">
        <w:rPr>
          <w:rFonts w:ascii="Arial" w:hAnsi="Arial" w:cs="Arial"/>
          <w:color w:val="000000"/>
          <w:sz w:val="20"/>
          <w:szCs w:val="20"/>
        </w:rPr>
        <w:t xml:space="preserve">with </w:t>
      </w:r>
      <w:r w:rsidRPr="002A4ED0">
        <w:rPr>
          <w:rFonts w:ascii="Arial" w:hAnsi="Arial" w:cs="Arial"/>
          <w:color w:val="000000"/>
          <w:sz w:val="20"/>
          <w:szCs w:val="20"/>
        </w:rPr>
        <w:t>20 per cent or R2</w:t>
      </w:r>
      <w:r w:rsidR="00A503D7" w:rsidRPr="002A4ED0">
        <w:rPr>
          <w:rFonts w:ascii="Arial" w:hAnsi="Arial" w:cs="Arial"/>
          <w:color w:val="000000"/>
          <w:sz w:val="20"/>
          <w:szCs w:val="20"/>
        </w:rPr>
        <w:t>89 million spent in the first quarter. On Goods and Services, an annual allocation amounted to R2.6 billion, with 14 per cent or R357 million spent in the first quarter.  The annual budget for the work of the Trans-Caledon Tunnel Authority amounts to R9.5 billion, with 7 per cent or R695 million spent in the first quarter.  Payments for capital assets amount to R2.7 billion, with 9 per cent or R1.4 billion spent in the first quarter.</w:t>
      </w:r>
    </w:p>
    <w:p w:rsidR="000037B7" w:rsidRPr="002A4ED0" w:rsidRDefault="000037B7" w:rsidP="002A4ED0">
      <w:pPr>
        <w:autoSpaceDE w:val="0"/>
        <w:autoSpaceDN w:val="0"/>
        <w:adjustRightInd w:val="0"/>
        <w:spacing w:after="0" w:line="240" w:lineRule="auto"/>
        <w:rPr>
          <w:rFonts w:ascii="Arial" w:hAnsi="Arial" w:cs="Arial"/>
          <w:color w:val="000000"/>
          <w:sz w:val="20"/>
          <w:szCs w:val="20"/>
        </w:rPr>
      </w:pPr>
    </w:p>
    <w:p w:rsidR="00DA0AB8" w:rsidRPr="002A4ED0" w:rsidRDefault="00DA0AB8" w:rsidP="002A4ED0">
      <w:pPr>
        <w:pStyle w:val="ListParagraph"/>
        <w:numPr>
          <w:ilvl w:val="0"/>
          <w:numId w:val="2"/>
        </w:numPr>
        <w:autoSpaceDE w:val="0"/>
        <w:autoSpaceDN w:val="0"/>
        <w:adjustRightInd w:val="0"/>
        <w:spacing w:after="0" w:line="240" w:lineRule="auto"/>
        <w:ind w:left="0" w:firstLine="0"/>
        <w:rPr>
          <w:rFonts w:ascii="Arial" w:hAnsi="Arial" w:cs="Arial"/>
          <w:sz w:val="20"/>
          <w:szCs w:val="20"/>
        </w:rPr>
      </w:pPr>
      <w:r w:rsidRPr="002A4ED0">
        <w:rPr>
          <w:rFonts w:ascii="Arial" w:hAnsi="Arial" w:cs="Arial"/>
          <w:b/>
          <w:sz w:val="20"/>
          <w:szCs w:val="20"/>
        </w:rPr>
        <w:t>Financial highlights related to the Water Trading Entity</w:t>
      </w:r>
    </w:p>
    <w:p w:rsidR="00DA0AB8" w:rsidRPr="002A4ED0" w:rsidRDefault="00DA0AB8" w:rsidP="002A4ED0">
      <w:pPr>
        <w:autoSpaceDE w:val="0"/>
        <w:autoSpaceDN w:val="0"/>
        <w:adjustRightInd w:val="0"/>
        <w:spacing w:after="0" w:line="240" w:lineRule="auto"/>
        <w:rPr>
          <w:rFonts w:ascii="Arial" w:hAnsi="Arial" w:cs="Arial"/>
          <w:sz w:val="20"/>
          <w:szCs w:val="20"/>
        </w:rPr>
      </w:pPr>
    </w:p>
    <w:p w:rsidR="00DA0AB8" w:rsidRPr="002A4ED0" w:rsidRDefault="000628F1" w:rsidP="002A4ED0">
      <w:pPr>
        <w:autoSpaceDE w:val="0"/>
        <w:autoSpaceDN w:val="0"/>
        <w:adjustRightInd w:val="0"/>
        <w:spacing w:after="0" w:line="240" w:lineRule="auto"/>
        <w:rPr>
          <w:rFonts w:ascii="Arial" w:hAnsi="Arial" w:cs="Arial"/>
          <w:sz w:val="20"/>
          <w:szCs w:val="20"/>
        </w:rPr>
      </w:pPr>
      <w:r w:rsidRPr="002A4ED0">
        <w:rPr>
          <w:rFonts w:ascii="Arial" w:hAnsi="Arial" w:cs="Arial"/>
          <w:sz w:val="20"/>
          <w:szCs w:val="20"/>
        </w:rPr>
        <w:t>Table 4 below reflects the financial highlights related to the Water Trading Entity in respect of trade receivables, long-term financial liabilities, contingent liabilities and fruitless and wasteful expenditure for the fourth qu</w:t>
      </w:r>
      <w:r w:rsidR="00DE5375" w:rsidRPr="002A4ED0">
        <w:rPr>
          <w:rFonts w:ascii="Arial" w:hAnsi="Arial" w:cs="Arial"/>
          <w:sz w:val="20"/>
          <w:szCs w:val="20"/>
        </w:rPr>
        <w:t>arter (E</w:t>
      </w:r>
      <w:r w:rsidRPr="002A4ED0">
        <w:rPr>
          <w:rFonts w:ascii="Arial" w:hAnsi="Arial" w:cs="Arial"/>
          <w:sz w:val="20"/>
          <w:szCs w:val="20"/>
        </w:rPr>
        <w:t>nd-March</w:t>
      </w:r>
      <w:r w:rsidR="00DE5375" w:rsidRPr="002A4ED0">
        <w:rPr>
          <w:rFonts w:ascii="Arial" w:hAnsi="Arial" w:cs="Arial"/>
          <w:sz w:val="20"/>
          <w:szCs w:val="20"/>
        </w:rPr>
        <w:t>,</w:t>
      </w:r>
      <w:r w:rsidRPr="002A4ED0">
        <w:rPr>
          <w:rFonts w:ascii="Arial" w:hAnsi="Arial" w:cs="Arial"/>
          <w:sz w:val="20"/>
          <w:szCs w:val="20"/>
        </w:rPr>
        <w:t xml:space="preserve"> 2022) and </w:t>
      </w:r>
      <w:r w:rsidR="00FD74CB" w:rsidRPr="002A4ED0">
        <w:rPr>
          <w:rFonts w:ascii="Arial" w:hAnsi="Arial" w:cs="Arial"/>
          <w:sz w:val="20"/>
          <w:szCs w:val="20"/>
        </w:rPr>
        <w:t xml:space="preserve">the </w:t>
      </w:r>
      <w:r w:rsidR="00DE5375" w:rsidRPr="002A4ED0">
        <w:rPr>
          <w:rFonts w:ascii="Arial" w:hAnsi="Arial" w:cs="Arial"/>
          <w:sz w:val="20"/>
          <w:szCs w:val="20"/>
        </w:rPr>
        <w:t>first quarter (E</w:t>
      </w:r>
      <w:r w:rsidRPr="002A4ED0">
        <w:rPr>
          <w:rFonts w:ascii="Arial" w:hAnsi="Arial" w:cs="Arial"/>
          <w:sz w:val="20"/>
          <w:szCs w:val="20"/>
        </w:rPr>
        <w:t>nd-June</w:t>
      </w:r>
      <w:r w:rsidR="00DE5375" w:rsidRPr="002A4ED0">
        <w:rPr>
          <w:rFonts w:ascii="Arial" w:hAnsi="Arial" w:cs="Arial"/>
          <w:sz w:val="20"/>
          <w:szCs w:val="20"/>
        </w:rPr>
        <w:t>,</w:t>
      </w:r>
      <w:r w:rsidRPr="002A4ED0">
        <w:rPr>
          <w:rFonts w:ascii="Arial" w:hAnsi="Arial" w:cs="Arial"/>
          <w:sz w:val="20"/>
          <w:szCs w:val="20"/>
        </w:rPr>
        <w:t xml:space="preserve"> 2022).</w:t>
      </w:r>
    </w:p>
    <w:p w:rsidR="00916673" w:rsidRPr="002A4ED0" w:rsidRDefault="00916673" w:rsidP="002A4ED0">
      <w:pPr>
        <w:autoSpaceDE w:val="0"/>
        <w:autoSpaceDN w:val="0"/>
        <w:adjustRightInd w:val="0"/>
        <w:spacing w:after="0" w:line="240" w:lineRule="auto"/>
        <w:rPr>
          <w:rFonts w:ascii="Arial" w:hAnsi="Arial" w:cs="Arial"/>
          <w:sz w:val="20"/>
          <w:szCs w:val="20"/>
        </w:rPr>
      </w:pPr>
    </w:p>
    <w:p w:rsidR="00DD654A" w:rsidRPr="002A4ED0" w:rsidRDefault="00DD654A" w:rsidP="002A4ED0">
      <w:pPr>
        <w:autoSpaceDE w:val="0"/>
        <w:autoSpaceDN w:val="0"/>
        <w:adjustRightInd w:val="0"/>
        <w:spacing w:after="0" w:line="240" w:lineRule="auto"/>
        <w:rPr>
          <w:rFonts w:ascii="Arial" w:hAnsi="Arial" w:cs="Arial"/>
          <w:b/>
          <w:sz w:val="20"/>
          <w:szCs w:val="20"/>
        </w:rPr>
      </w:pPr>
      <w:r w:rsidRPr="002A4ED0">
        <w:rPr>
          <w:rFonts w:ascii="Arial" w:hAnsi="Arial" w:cs="Arial"/>
          <w:b/>
          <w:sz w:val="20"/>
          <w:szCs w:val="20"/>
        </w:rPr>
        <w:t>T</w:t>
      </w:r>
      <w:r w:rsidR="00710D7D" w:rsidRPr="002A4ED0">
        <w:rPr>
          <w:rFonts w:ascii="Arial" w:hAnsi="Arial" w:cs="Arial"/>
          <w:b/>
          <w:sz w:val="20"/>
          <w:szCs w:val="20"/>
        </w:rPr>
        <w:t>able 4</w:t>
      </w:r>
      <w:r w:rsidRPr="002A4ED0">
        <w:rPr>
          <w:rFonts w:ascii="Arial" w:hAnsi="Arial" w:cs="Arial"/>
          <w:b/>
          <w:sz w:val="20"/>
          <w:szCs w:val="20"/>
        </w:rPr>
        <w:t>: Financial highlights – Water Trading Entity</w:t>
      </w:r>
    </w:p>
    <w:tbl>
      <w:tblPr>
        <w:tblW w:w="5000" w:type="pct"/>
        <w:tblCellMar>
          <w:left w:w="0" w:type="dxa"/>
          <w:right w:w="0" w:type="dxa"/>
        </w:tblCellMar>
        <w:tblLook w:val="0420"/>
      </w:tblPr>
      <w:tblGrid>
        <w:gridCol w:w="4645"/>
        <w:gridCol w:w="1505"/>
        <w:gridCol w:w="1400"/>
        <w:gridCol w:w="1453"/>
        <w:gridCol w:w="53"/>
      </w:tblGrid>
      <w:tr w:rsidR="00C33B6E" w:rsidRPr="002A4ED0" w:rsidTr="00C33B6E">
        <w:trPr>
          <w:trHeight w:val="300"/>
        </w:trPr>
        <w:tc>
          <w:tcPr>
            <w:tcW w:w="2565"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bottom"/>
            <w:hideMark/>
          </w:tcPr>
          <w:p w:rsidR="00C33B6E" w:rsidRPr="002A4ED0" w:rsidRDefault="00C33B6E"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WATER TRADING ENTITY </w:t>
            </w:r>
          </w:p>
        </w:tc>
        <w:tc>
          <w:tcPr>
            <w:tcW w:w="831"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bottom"/>
            <w:hideMark/>
          </w:tcPr>
          <w:p w:rsidR="00C33B6E" w:rsidRPr="002A4ED0" w:rsidRDefault="00C33B6E"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June</w:t>
            </w:r>
          </w:p>
        </w:tc>
        <w:tc>
          <w:tcPr>
            <w:tcW w:w="773"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bottom"/>
            <w:hideMark/>
          </w:tcPr>
          <w:p w:rsidR="00C33B6E" w:rsidRPr="002A4ED0" w:rsidRDefault="00C33B6E"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 March </w:t>
            </w:r>
          </w:p>
        </w:tc>
        <w:tc>
          <w:tcPr>
            <w:tcW w:w="802" w:type="pct"/>
            <w:vMerge w:val="restar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center"/>
            <w:hideMark/>
          </w:tcPr>
          <w:p w:rsidR="00C33B6E" w:rsidRPr="002A4ED0" w:rsidRDefault="00C33B6E"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 Movement  </w:t>
            </w:r>
          </w:p>
        </w:tc>
        <w:tc>
          <w:tcPr>
            <w:tcW w:w="29" w:type="pct"/>
            <w:tcBorders>
              <w:top w:val="nil"/>
              <w:left w:val="single" w:sz="4" w:space="0" w:color="000000"/>
              <w:bottom w:val="nil"/>
              <w:right w:val="nil"/>
            </w:tcBorders>
            <w:shd w:val="clear" w:color="auto" w:fill="auto"/>
            <w:tcMar>
              <w:top w:w="15" w:type="dxa"/>
              <w:left w:w="15" w:type="dxa"/>
              <w:bottom w:w="0" w:type="dxa"/>
              <w:right w:w="15" w:type="dxa"/>
            </w:tcMar>
            <w:vAlign w:val="bottom"/>
            <w:hideMark/>
          </w:tcPr>
          <w:p w:rsidR="00C33B6E" w:rsidRPr="002A4ED0" w:rsidRDefault="00C33B6E" w:rsidP="002A4ED0">
            <w:pPr>
              <w:spacing w:after="0" w:line="240" w:lineRule="auto"/>
              <w:rPr>
                <w:rFonts w:ascii="Arial" w:hAnsi="Arial" w:cs="Arial"/>
                <w:sz w:val="20"/>
                <w:szCs w:val="20"/>
              </w:rPr>
            </w:pPr>
          </w:p>
        </w:tc>
      </w:tr>
      <w:tr w:rsidR="00C33B6E" w:rsidRPr="002A4ED0" w:rsidTr="00C33B6E">
        <w:trPr>
          <w:trHeight w:val="300"/>
        </w:trPr>
        <w:tc>
          <w:tcPr>
            <w:tcW w:w="2565"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bottom"/>
            <w:hideMark/>
          </w:tcPr>
          <w:p w:rsidR="00C33B6E" w:rsidRPr="002A4ED0" w:rsidRDefault="00C33B6E"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 Details </w:t>
            </w:r>
          </w:p>
        </w:tc>
        <w:tc>
          <w:tcPr>
            <w:tcW w:w="831"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bottom"/>
            <w:hideMark/>
          </w:tcPr>
          <w:p w:rsidR="00C33B6E" w:rsidRPr="002A4ED0" w:rsidRDefault="00C33B6E"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 2022</w:t>
            </w:r>
          </w:p>
        </w:tc>
        <w:tc>
          <w:tcPr>
            <w:tcW w:w="773"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bottom"/>
            <w:hideMark/>
          </w:tcPr>
          <w:p w:rsidR="00C33B6E" w:rsidRPr="002A4ED0" w:rsidRDefault="00C33B6E"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2022</w:t>
            </w:r>
          </w:p>
        </w:tc>
        <w:tc>
          <w:tcPr>
            <w:tcW w:w="802" w:type="pct"/>
            <w:vMerge/>
            <w:tcBorders>
              <w:top w:val="single" w:sz="4" w:space="0" w:color="000000"/>
              <w:left w:val="single" w:sz="4" w:space="0" w:color="000000"/>
              <w:bottom w:val="single" w:sz="4" w:space="0" w:color="000000"/>
              <w:right w:val="single" w:sz="4" w:space="0" w:color="000000"/>
            </w:tcBorders>
            <w:vAlign w:val="center"/>
            <w:hideMark/>
          </w:tcPr>
          <w:p w:rsidR="00C33B6E" w:rsidRPr="002A4ED0" w:rsidRDefault="00C33B6E" w:rsidP="002A4ED0">
            <w:pPr>
              <w:spacing w:after="0" w:line="240" w:lineRule="auto"/>
              <w:rPr>
                <w:rFonts w:ascii="Arial" w:hAnsi="Arial" w:cs="Arial"/>
                <w:sz w:val="20"/>
                <w:szCs w:val="20"/>
              </w:rPr>
            </w:pPr>
          </w:p>
        </w:tc>
        <w:tc>
          <w:tcPr>
            <w:tcW w:w="29" w:type="pct"/>
            <w:tcBorders>
              <w:top w:val="nil"/>
              <w:left w:val="single" w:sz="4" w:space="0" w:color="000000"/>
              <w:bottom w:val="nil"/>
              <w:right w:val="nil"/>
            </w:tcBorders>
            <w:shd w:val="clear" w:color="auto" w:fill="auto"/>
            <w:tcMar>
              <w:top w:w="15" w:type="dxa"/>
              <w:left w:w="15" w:type="dxa"/>
              <w:bottom w:w="0" w:type="dxa"/>
              <w:right w:w="15" w:type="dxa"/>
            </w:tcMar>
            <w:vAlign w:val="bottom"/>
            <w:hideMark/>
          </w:tcPr>
          <w:p w:rsidR="00C33B6E" w:rsidRPr="002A4ED0" w:rsidRDefault="00C33B6E" w:rsidP="002A4ED0">
            <w:pPr>
              <w:spacing w:after="0" w:line="240" w:lineRule="auto"/>
              <w:rPr>
                <w:rFonts w:ascii="Arial" w:hAnsi="Arial" w:cs="Arial"/>
                <w:sz w:val="20"/>
                <w:szCs w:val="20"/>
              </w:rPr>
            </w:pPr>
          </w:p>
        </w:tc>
      </w:tr>
      <w:tr w:rsidR="00C33B6E" w:rsidRPr="002A4ED0" w:rsidTr="00C33B6E">
        <w:trPr>
          <w:trHeight w:val="300"/>
        </w:trPr>
        <w:tc>
          <w:tcPr>
            <w:tcW w:w="2565"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bottom"/>
            <w:hideMark/>
          </w:tcPr>
          <w:p w:rsidR="00C33B6E" w:rsidRPr="002A4ED0" w:rsidRDefault="00C33B6E"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w:t>
            </w:r>
          </w:p>
        </w:tc>
        <w:tc>
          <w:tcPr>
            <w:tcW w:w="831"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bottom"/>
            <w:hideMark/>
          </w:tcPr>
          <w:p w:rsidR="00C33B6E" w:rsidRPr="002A4ED0" w:rsidRDefault="00C33B6E"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 R'000 </w:t>
            </w:r>
          </w:p>
        </w:tc>
        <w:tc>
          <w:tcPr>
            <w:tcW w:w="773"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bottom"/>
            <w:hideMark/>
          </w:tcPr>
          <w:p w:rsidR="00C33B6E" w:rsidRPr="002A4ED0" w:rsidRDefault="00C33B6E"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 R'000 </w:t>
            </w:r>
          </w:p>
        </w:tc>
        <w:tc>
          <w:tcPr>
            <w:tcW w:w="802" w:type="pct"/>
            <w:tcBorders>
              <w:top w:val="single" w:sz="4" w:space="0" w:color="000000"/>
              <w:left w:val="single" w:sz="4" w:space="0" w:color="000000"/>
              <w:bottom w:val="single" w:sz="4" w:space="0" w:color="000000"/>
              <w:right w:val="single" w:sz="4" w:space="0" w:color="000000"/>
            </w:tcBorders>
            <w:shd w:val="clear" w:color="auto" w:fill="D8E4BC"/>
            <w:tcMar>
              <w:top w:w="15" w:type="dxa"/>
              <w:left w:w="15" w:type="dxa"/>
              <w:bottom w:w="0" w:type="dxa"/>
              <w:right w:w="15" w:type="dxa"/>
            </w:tcMar>
            <w:vAlign w:val="bottom"/>
            <w:hideMark/>
          </w:tcPr>
          <w:p w:rsidR="00C33B6E" w:rsidRPr="002A4ED0" w:rsidRDefault="00C33B6E" w:rsidP="002A4ED0">
            <w:pPr>
              <w:spacing w:after="0" w:line="240" w:lineRule="auto"/>
              <w:textAlignment w:val="bottom"/>
              <w:rPr>
                <w:rFonts w:ascii="Arial" w:eastAsia="Times New Roman" w:hAnsi="Arial" w:cs="Arial"/>
                <w:sz w:val="20"/>
                <w:szCs w:val="20"/>
                <w:lang w:eastAsia="en-ZA"/>
              </w:rPr>
            </w:pPr>
            <w:r w:rsidRPr="002A4ED0">
              <w:rPr>
                <w:rFonts w:ascii="Arial" w:eastAsia="Times New Roman" w:hAnsi="Arial" w:cs="Arial"/>
                <w:b/>
                <w:bCs/>
                <w:color w:val="000000"/>
                <w:kern w:val="24"/>
                <w:sz w:val="20"/>
                <w:szCs w:val="20"/>
                <w:lang w:eastAsia="en-ZA"/>
              </w:rPr>
              <w:t xml:space="preserve"> R'000 </w:t>
            </w:r>
          </w:p>
        </w:tc>
        <w:tc>
          <w:tcPr>
            <w:tcW w:w="29" w:type="pct"/>
            <w:tcBorders>
              <w:top w:val="nil"/>
              <w:left w:val="single" w:sz="4" w:space="0" w:color="000000"/>
              <w:bottom w:val="nil"/>
              <w:right w:val="nil"/>
            </w:tcBorders>
            <w:shd w:val="clear" w:color="auto" w:fill="auto"/>
            <w:tcMar>
              <w:top w:w="15" w:type="dxa"/>
              <w:left w:w="15" w:type="dxa"/>
              <w:bottom w:w="0" w:type="dxa"/>
              <w:right w:w="15" w:type="dxa"/>
            </w:tcMar>
            <w:vAlign w:val="bottom"/>
            <w:hideMark/>
          </w:tcPr>
          <w:p w:rsidR="00C33B6E" w:rsidRPr="002A4ED0" w:rsidRDefault="00C33B6E" w:rsidP="002A4ED0">
            <w:pPr>
              <w:spacing w:after="0" w:line="240" w:lineRule="auto"/>
              <w:rPr>
                <w:rFonts w:ascii="Arial" w:hAnsi="Arial" w:cs="Arial"/>
                <w:sz w:val="20"/>
                <w:szCs w:val="20"/>
              </w:rPr>
            </w:pPr>
          </w:p>
        </w:tc>
      </w:tr>
      <w:tr w:rsidR="00C33B6E" w:rsidRPr="002A4ED0" w:rsidTr="00C33B6E">
        <w:trPr>
          <w:trHeight w:val="300"/>
        </w:trPr>
        <w:tc>
          <w:tcPr>
            <w:tcW w:w="25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33B6E" w:rsidRPr="002A4ED0" w:rsidRDefault="00C33B6E"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color w:val="000000"/>
                <w:kern w:val="24"/>
                <w:sz w:val="20"/>
                <w:szCs w:val="20"/>
                <w:lang w:eastAsia="en-ZA"/>
              </w:rPr>
              <w:t xml:space="preserve"> Bank balance Favourable </w:t>
            </w:r>
          </w:p>
        </w:tc>
        <w:tc>
          <w:tcPr>
            <w:tcW w:w="83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33B6E" w:rsidRPr="002A4ED0" w:rsidRDefault="00C33B6E"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color w:val="000000"/>
                <w:kern w:val="24"/>
                <w:sz w:val="20"/>
                <w:szCs w:val="20"/>
                <w:lang w:eastAsia="en-ZA"/>
              </w:rPr>
              <w:t xml:space="preserve"> 4 125 228 </w:t>
            </w:r>
          </w:p>
        </w:tc>
        <w:tc>
          <w:tcPr>
            <w:tcW w:w="77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33B6E" w:rsidRPr="002A4ED0" w:rsidRDefault="00C33B6E"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color w:val="000000"/>
                <w:kern w:val="24"/>
                <w:sz w:val="20"/>
                <w:szCs w:val="20"/>
                <w:lang w:eastAsia="en-ZA"/>
              </w:rPr>
              <w:t xml:space="preserve">2 141 999 </w:t>
            </w:r>
          </w:p>
        </w:tc>
        <w:tc>
          <w:tcPr>
            <w:tcW w:w="80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33B6E" w:rsidRPr="002A4ED0" w:rsidRDefault="00C33B6E"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color w:val="000000"/>
                <w:kern w:val="24"/>
                <w:sz w:val="20"/>
                <w:szCs w:val="20"/>
                <w:lang w:eastAsia="en-ZA"/>
              </w:rPr>
              <w:t>1 983 229</w:t>
            </w:r>
          </w:p>
        </w:tc>
        <w:tc>
          <w:tcPr>
            <w:tcW w:w="29" w:type="pct"/>
            <w:tcBorders>
              <w:top w:val="nil"/>
              <w:left w:val="single" w:sz="4" w:space="0" w:color="000000"/>
              <w:bottom w:val="nil"/>
              <w:right w:val="nil"/>
            </w:tcBorders>
            <w:shd w:val="clear" w:color="auto" w:fill="auto"/>
            <w:tcMar>
              <w:top w:w="15" w:type="dxa"/>
              <w:left w:w="15" w:type="dxa"/>
              <w:bottom w:w="0" w:type="dxa"/>
              <w:right w:w="15" w:type="dxa"/>
            </w:tcMar>
            <w:vAlign w:val="bottom"/>
            <w:hideMark/>
          </w:tcPr>
          <w:p w:rsidR="00C33B6E" w:rsidRPr="002A4ED0" w:rsidRDefault="00C33B6E" w:rsidP="002A4ED0">
            <w:pPr>
              <w:spacing w:after="0" w:line="240" w:lineRule="auto"/>
              <w:rPr>
                <w:rFonts w:ascii="Arial" w:hAnsi="Arial" w:cs="Arial"/>
                <w:sz w:val="20"/>
                <w:szCs w:val="20"/>
              </w:rPr>
            </w:pPr>
          </w:p>
        </w:tc>
      </w:tr>
      <w:tr w:rsidR="00C33B6E" w:rsidRPr="002A4ED0" w:rsidTr="00C33B6E">
        <w:trPr>
          <w:trHeight w:val="300"/>
        </w:trPr>
        <w:tc>
          <w:tcPr>
            <w:tcW w:w="25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33B6E" w:rsidRPr="002A4ED0" w:rsidRDefault="00C33B6E"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color w:val="000000" w:themeColor="text1"/>
                <w:kern w:val="24"/>
                <w:sz w:val="20"/>
                <w:szCs w:val="20"/>
                <w:lang w:eastAsia="en-ZA"/>
              </w:rPr>
              <w:t xml:space="preserve"> Trade receivables (Gross) </w:t>
            </w:r>
          </w:p>
        </w:tc>
        <w:tc>
          <w:tcPr>
            <w:tcW w:w="83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33B6E" w:rsidRPr="002A4ED0" w:rsidRDefault="00C33B6E"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color w:val="000000"/>
                <w:kern w:val="24"/>
                <w:sz w:val="20"/>
                <w:szCs w:val="20"/>
                <w:lang w:eastAsia="en-ZA"/>
              </w:rPr>
              <w:t xml:space="preserve">25 486 008  </w:t>
            </w:r>
          </w:p>
        </w:tc>
        <w:tc>
          <w:tcPr>
            <w:tcW w:w="77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33B6E" w:rsidRPr="002A4ED0" w:rsidRDefault="00C33B6E"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color w:val="000000"/>
                <w:kern w:val="24"/>
                <w:sz w:val="20"/>
                <w:szCs w:val="20"/>
                <w:lang w:eastAsia="en-ZA"/>
              </w:rPr>
              <w:t xml:space="preserve"> 24 613 875 </w:t>
            </w:r>
          </w:p>
        </w:tc>
        <w:tc>
          <w:tcPr>
            <w:tcW w:w="80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33B6E" w:rsidRPr="002A4ED0" w:rsidRDefault="00C33B6E"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color w:val="000000"/>
                <w:kern w:val="24"/>
                <w:sz w:val="20"/>
                <w:szCs w:val="20"/>
                <w:lang w:eastAsia="en-ZA"/>
              </w:rPr>
              <w:t>872 133</w:t>
            </w:r>
          </w:p>
        </w:tc>
        <w:tc>
          <w:tcPr>
            <w:tcW w:w="29" w:type="pct"/>
            <w:tcBorders>
              <w:top w:val="nil"/>
              <w:left w:val="single" w:sz="4" w:space="0" w:color="000000"/>
              <w:bottom w:val="nil"/>
              <w:right w:val="nil"/>
            </w:tcBorders>
            <w:shd w:val="clear" w:color="auto" w:fill="auto"/>
            <w:tcMar>
              <w:top w:w="15" w:type="dxa"/>
              <w:left w:w="15" w:type="dxa"/>
              <w:bottom w:w="0" w:type="dxa"/>
              <w:right w:w="15" w:type="dxa"/>
            </w:tcMar>
            <w:vAlign w:val="bottom"/>
            <w:hideMark/>
          </w:tcPr>
          <w:p w:rsidR="00C33B6E" w:rsidRPr="002A4ED0" w:rsidRDefault="00C33B6E" w:rsidP="002A4ED0">
            <w:pPr>
              <w:spacing w:after="0" w:line="240" w:lineRule="auto"/>
              <w:rPr>
                <w:rFonts w:ascii="Arial" w:hAnsi="Arial" w:cs="Arial"/>
                <w:sz w:val="20"/>
                <w:szCs w:val="20"/>
              </w:rPr>
            </w:pPr>
          </w:p>
        </w:tc>
      </w:tr>
      <w:tr w:rsidR="00C33B6E" w:rsidRPr="002A4ED0" w:rsidTr="00C33B6E">
        <w:trPr>
          <w:trHeight w:val="300"/>
        </w:trPr>
        <w:tc>
          <w:tcPr>
            <w:tcW w:w="25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33B6E" w:rsidRPr="002A4ED0" w:rsidRDefault="00C33B6E"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color w:val="000000" w:themeColor="text1"/>
                <w:kern w:val="24"/>
                <w:sz w:val="20"/>
                <w:szCs w:val="20"/>
                <w:lang w:eastAsia="en-ZA"/>
              </w:rPr>
              <w:t xml:space="preserve"> Contingent Assets </w:t>
            </w:r>
          </w:p>
        </w:tc>
        <w:tc>
          <w:tcPr>
            <w:tcW w:w="83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33B6E" w:rsidRPr="002A4ED0" w:rsidRDefault="00C33B6E"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color w:val="000000"/>
                <w:kern w:val="24"/>
                <w:sz w:val="20"/>
                <w:szCs w:val="20"/>
                <w:lang w:eastAsia="en-ZA"/>
              </w:rPr>
              <w:t>2 925</w:t>
            </w:r>
          </w:p>
        </w:tc>
        <w:tc>
          <w:tcPr>
            <w:tcW w:w="77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33B6E" w:rsidRPr="002A4ED0" w:rsidRDefault="00C33B6E"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color w:val="000000"/>
                <w:kern w:val="24"/>
                <w:sz w:val="20"/>
                <w:szCs w:val="20"/>
                <w:lang w:eastAsia="en-ZA"/>
              </w:rPr>
              <w:t>2 925</w:t>
            </w:r>
          </w:p>
        </w:tc>
        <w:tc>
          <w:tcPr>
            <w:tcW w:w="80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33B6E" w:rsidRPr="002A4ED0" w:rsidRDefault="00C33B6E"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color w:val="000000"/>
                <w:kern w:val="24"/>
                <w:sz w:val="20"/>
                <w:szCs w:val="20"/>
                <w:lang w:eastAsia="en-ZA"/>
              </w:rPr>
              <w:t>-</w:t>
            </w:r>
          </w:p>
        </w:tc>
        <w:tc>
          <w:tcPr>
            <w:tcW w:w="29" w:type="pct"/>
            <w:tcBorders>
              <w:top w:val="nil"/>
              <w:left w:val="single" w:sz="4" w:space="0" w:color="000000"/>
              <w:bottom w:val="nil"/>
              <w:right w:val="nil"/>
            </w:tcBorders>
            <w:shd w:val="clear" w:color="auto" w:fill="auto"/>
            <w:tcMar>
              <w:top w:w="15" w:type="dxa"/>
              <w:left w:w="15" w:type="dxa"/>
              <w:bottom w:w="0" w:type="dxa"/>
              <w:right w:w="15" w:type="dxa"/>
            </w:tcMar>
            <w:vAlign w:val="bottom"/>
            <w:hideMark/>
          </w:tcPr>
          <w:p w:rsidR="00C33B6E" w:rsidRPr="002A4ED0" w:rsidRDefault="00C33B6E" w:rsidP="002A4ED0">
            <w:pPr>
              <w:spacing w:after="0" w:line="240" w:lineRule="auto"/>
              <w:rPr>
                <w:rFonts w:ascii="Arial" w:hAnsi="Arial" w:cs="Arial"/>
                <w:sz w:val="20"/>
                <w:szCs w:val="20"/>
              </w:rPr>
            </w:pPr>
          </w:p>
        </w:tc>
      </w:tr>
      <w:tr w:rsidR="00C33B6E" w:rsidRPr="002A4ED0" w:rsidTr="00C33B6E">
        <w:trPr>
          <w:trHeight w:val="300"/>
        </w:trPr>
        <w:tc>
          <w:tcPr>
            <w:tcW w:w="25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33B6E" w:rsidRPr="002A4ED0" w:rsidRDefault="00C33B6E"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color w:val="000000" w:themeColor="text1"/>
                <w:kern w:val="24"/>
                <w:sz w:val="20"/>
                <w:szCs w:val="20"/>
                <w:lang w:eastAsia="en-ZA"/>
              </w:rPr>
              <w:t xml:space="preserve"> Long- term Financial liabilities </w:t>
            </w:r>
          </w:p>
        </w:tc>
        <w:tc>
          <w:tcPr>
            <w:tcW w:w="83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33B6E" w:rsidRPr="002A4ED0" w:rsidRDefault="00C33B6E"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color w:val="000000"/>
                <w:kern w:val="24"/>
                <w:sz w:val="20"/>
                <w:szCs w:val="20"/>
                <w:lang w:eastAsia="en-ZA"/>
              </w:rPr>
              <w:t xml:space="preserve">13 060 459 </w:t>
            </w:r>
          </w:p>
        </w:tc>
        <w:tc>
          <w:tcPr>
            <w:tcW w:w="77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33B6E" w:rsidRPr="002A4ED0" w:rsidRDefault="00C33B6E"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color w:val="000000"/>
                <w:kern w:val="24"/>
                <w:sz w:val="20"/>
                <w:szCs w:val="20"/>
                <w:lang w:eastAsia="en-ZA"/>
              </w:rPr>
              <w:t xml:space="preserve">11 114 432 </w:t>
            </w:r>
          </w:p>
        </w:tc>
        <w:tc>
          <w:tcPr>
            <w:tcW w:w="80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33B6E" w:rsidRPr="002A4ED0" w:rsidRDefault="00C33B6E"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color w:val="000000"/>
                <w:kern w:val="24"/>
                <w:sz w:val="20"/>
                <w:szCs w:val="20"/>
                <w:lang w:eastAsia="en-ZA"/>
              </w:rPr>
              <w:t>1 946 027</w:t>
            </w:r>
          </w:p>
        </w:tc>
        <w:tc>
          <w:tcPr>
            <w:tcW w:w="29" w:type="pct"/>
            <w:tcBorders>
              <w:top w:val="nil"/>
              <w:left w:val="single" w:sz="4" w:space="0" w:color="000000"/>
              <w:bottom w:val="nil"/>
              <w:right w:val="nil"/>
            </w:tcBorders>
            <w:shd w:val="clear" w:color="auto" w:fill="auto"/>
            <w:tcMar>
              <w:top w:w="15" w:type="dxa"/>
              <w:left w:w="15" w:type="dxa"/>
              <w:bottom w:w="0" w:type="dxa"/>
              <w:right w:w="15" w:type="dxa"/>
            </w:tcMar>
            <w:vAlign w:val="bottom"/>
            <w:hideMark/>
          </w:tcPr>
          <w:p w:rsidR="00C33B6E" w:rsidRPr="002A4ED0" w:rsidRDefault="00C33B6E" w:rsidP="002A4ED0">
            <w:pPr>
              <w:spacing w:after="0" w:line="240" w:lineRule="auto"/>
              <w:rPr>
                <w:rFonts w:ascii="Arial" w:hAnsi="Arial" w:cs="Arial"/>
                <w:sz w:val="20"/>
                <w:szCs w:val="20"/>
              </w:rPr>
            </w:pPr>
          </w:p>
        </w:tc>
      </w:tr>
      <w:tr w:rsidR="00C33B6E" w:rsidRPr="002A4ED0" w:rsidTr="00C33B6E">
        <w:trPr>
          <w:trHeight w:val="351"/>
        </w:trPr>
        <w:tc>
          <w:tcPr>
            <w:tcW w:w="25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33B6E" w:rsidRPr="002A4ED0" w:rsidRDefault="00C33B6E"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color w:val="000000"/>
                <w:kern w:val="24"/>
                <w:sz w:val="20"/>
                <w:szCs w:val="20"/>
                <w:lang w:eastAsia="en-ZA"/>
              </w:rPr>
              <w:t xml:space="preserve"> Payables from exchange transactions </w:t>
            </w:r>
          </w:p>
        </w:tc>
        <w:tc>
          <w:tcPr>
            <w:tcW w:w="83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33B6E" w:rsidRPr="002A4ED0" w:rsidRDefault="00C33B6E" w:rsidP="002A4ED0">
            <w:pPr>
              <w:spacing w:after="0" w:line="240" w:lineRule="auto"/>
              <w:textAlignment w:val="top"/>
              <w:rPr>
                <w:rFonts w:ascii="Arial" w:eastAsia="Times New Roman" w:hAnsi="Arial" w:cs="Arial"/>
                <w:sz w:val="20"/>
                <w:szCs w:val="20"/>
                <w:lang w:eastAsia="en-ZA"/>
              </w:rPr>
            </w:pPr>
            <w:r w:rsidRPr="002A4ED0">
              <w:rPr>
                <w:rFonts w:ascii="Arial" w:eastAsiaTheme="minorEastAsia" w:hAnsi="Arial" w:cs="Arial"/>
                <w:color w:val="000000"/>
                <w:kern w:val="24"/>
                <w:sz w:val="20"/>
                <w:szCs w:val="20"/>
                <w:lang w:eastAsia="en-ZA"/>
              </w:rPr>
              <w:t xml:space="preserve">2 159 567 </w:t>
            </w:r>
          </w:p>
        </w:tc>
        <w:tc>
          <w:tcPr>
            <w:tcW w:w="77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33B6E" w:rsidRPr="002A4ED0" w:rsidRDefault="00C33B6E" w:rsidP="002A4ED0">
            <w:pPr>
              <w:spacing w:after="0" w:line="240" w:lineRule="auto"/>
              <w:textAlignment w:val="top"/>
              <w:rPr>
                <w:rFonts w:ascii="Arial" w:eastAsia="Times New Roman" w:hAnsi="Arial" w:cs="Arial"/>
                <w:sz w:val="20"/>
                <w:szCs w:val="20"/>
                <w:lang w:eastAsia="en-ZA"/>
              </w:rPr>
            </w:pPr>
            <w:r w:rsidRPr="002A4ED0">
              <w:rPr>
                <w:rFonts w:ascii="Arial" w:eastAsiaTheme="minorEastAsia" w:hAnsi="Arial" w:cs="Arial"/>
                <w:color w:val="000000"/>
                <w:kern w:val="24"/>
                <w:sz w:val="20"/>
                <w:szCs w:val="20"/>
                <w:lang w:eastAsia="en-ZA"/>
              </w:rPr>
              <w:t xml:space="preserve">2 281 500 </w:t>
            </w:r>
          </w:p>
        </w:tc>
        <w:tc>
          <w:tcPr>
            <w:tcW w:w="802"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bottom w:w="0" w:type="dxa"/>
              <w:right w:w="12" w:type="dxa"/>
            </w:tcMar>
            <w:vAlign w:val="bottom"/>
            <w:hideMark/>
          </w:tcPr>
          <w:p w:rsidR="00C33B6E" w:rsidRPr="002A4ED0" w:rsidRDefault="00C33B6E"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color w:val="000000"/>
                <w:kern w:val="24"/>
                <w:sz w:val="20"/>
                <w:szCs w:val="20"/>
                <w:lang w:eastAsia="en-ZA"/>
              </w:rPr>
              <w:t>(121 933)</w:t>
            </w:r>
          </w:p>
        </w:tc>
        <w:tc>
          <w:tcPr>
            <w:tcW w:w="29" w:type="pct"/>
            <w:tcBorders>
              <w:top w:val="nil"/>
              <w:left w:val="single" w:sz="4" w:space="0" w:color="000000"/>
              <w:bottom w:val="nil"/>
              <w:right w:val="nil"/>
            </w:tcBorders>
            <w:shd w:val="clear" w:color="auto" w:fill="FFFFFF"/>
            <w:tcMar>
              <w:top w:w="15" w:type="dxa"/>
              <w:left w:w="15" w:type="dxa"/>
              <w:bottom w:w="0" w:type="dxa"/>
              <w:right w:w="15" w:type="dxa"/>
            </w:tcMar>
            <w:vAlign w:val="bottom"/>
            <w:hideMark/>
          </w:tcPr>
          <w:p w:rsidR="00C33B6E" w:rsidRPr="002A4ED0" w:rsidRDefault="00C33B6E" w:rsidP="002A4ED0">
            <w:pPr>
              <w:spacing w:after="0" w:line="240" w:lineRule="auto"/>
              <w:rPr>
                <w:rFonts w:ascii="Arial" w:hAnsi="Arial" w:cs="Arial"/>
                <w:sz w:val="20"/>
                <w:szCs w:val="20"/>
              </w:rPr>
            </w:pPr>
          </w:p>
        </w:tc>
      </w:tr>
      <w:tr w:rsidR="00C33B6E" w:rsidRPr="002A4ED0" w:rsidTr="00C33B6E">
        <w:trPr>
          <w:trHeight w:val="300"/>
        </w:trPr>
        <w:tc>
          <w:tcPr>
            <w:tcW w:w="25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33B6E" w:rsidRPr="002A4ED0" w:rsidRDefault="00C33B6E"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color w:val="000000"/>
                <w:kern w:val="24"/>
                <w:sz w:val="20"/>
                <w:szCs w:val="20"/>
                <w:lang w:eastAsia="en-ZA"/>
              </w:rPr>
              <w:t xml:space="preserve">Commitments </w:t>
            </w:r>
          </w:p>
        </w:tc>
        <w:tc>
          <w:tcPr>
            <w:tcW w:w="83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33B6E" w:rsidRPr="002A4ED0" w:rsidRDefault="00C33B6E" w:rsidP="002A4ED0">
            <w:pPr>
              <w:spacing w:after="0" w:line="240" w:lineRule="auto"/>
              <w:textAlignment w:val="top"/>
              <w:rPr>
                <w:rFonts w:ascii="Arial" w:eastAsia="Times New Roman" w:hAnsi="Arial" w:cs="Arial"/>
                <w:sz w:val="20"/>
                <w:szCs w:val="20"/>
                <w:lang w:eastAsia="en-ZA"/>
              </w:rPr>
            </w:pPr>
            <w:r w:rsidRPr="002A4ED0">
              <w:rPr>
                <w:rFonts w:ascii="Arial" w:eastAsiaTheme="minorEastAsia" w:hAnsi="Arial" w:cs="Arial"/>
                <w:color w:val="000000"/>
                <w:kern w:val="24"/>
                <w:sz w:val="20"/>
                <w:szCs w:val="20"/>
                <w:lang w:eastAsia="en-ZA"/>
              </w:rPr>
              <w:t xml:space="preserve">1 171 979 </w:t>
            </w:r>
          </w:p>
        </w:tc>
        <w:tc>
          <w:tcPr>
            <w:tcW w:w="77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33B6E" w:rsidRPr="002A4ED0" w:rsidRDefault="00C33B6E" w:rsidP="002A4ED0">
            <w:pPr>
              <w:spacing w:after="0" w:line="240" w:lineRule="auto"/>
              <w:textAlignment w:val="top"/>
              <w:rPr>
                <w:rFonts w:ascii="Arial" w:eastAsia="Times New Roman" w:hAnsi="Arial" w:cs="Arial"/>
                <w:sz w:val="20"/>
                <w:szCs w:val="20"/>
                <w:lang w:eastAsia="en-ZA"/>
              </w:rPr>
            </w:pPr>
            <w:r w:rsidRPr="002A4ED0">
              <w:rPr>
                <w:rFonts w:ascii="Arial" w:eastAsiaTheme="minorEastAsia" w:hAnsi="Arial" w:cs="Arial"/>
                <w:color w:val="000000"/>
                <w:kern w:val="24"/>
                <w:sz w:val="20"/>
                <w:szCs w:val="20"/>
                <w:lang w:eastAsia="en-ZA"/>
              </w:rPr>
              <w:t xml:space="preserve">1 848 706 </w:t>
            </w:r>
          </w:p>
        </w:tc>
        <w:tc>
          <w:tcPr>
            <w:tcW w:w="802"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bottom w:w="0" w:type="dxa"/>
              <w:right w:w="12" w:type="dxa"/>
            </w:tcMar>
            <w:vAlign w:val="bottom"/>
            <w:hideMark/>
          </w:tcPr>
          <w:p w:rsidR="00C33B6E" w:rsidRPr="002A4ED0" w:rsidRDefault="00C33B6E"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color w:val="000000"/>
                <w:kern w:val="24"/>
                <w:sz w:val="20"/>
                <w:szCs w:val="20"/>
                <w:lang w:eastAsia="en-ZA"/>
              </w:rPr>
              <w:t>(676 727)</w:t>
            </w:r>
          </w:p>
        </w:tc>
        <w:tc>
          <w:tcPr>
            <w:tcW w:w="29" w:type="pct"/>
            <w:tcBorders>
              <w:top w:val="nil"/>
              <w:left w:val="single" w:sz="4" w:space="0" w:color="000000"/>
              <w:bottom w:val="nil"/>
              <w:right w:val="nil"/>
            </w:tcBorders>
            <w:shd w:val="clear" w:color="auto" w:fill="FFFFFF"/>
            <w:tcMar>
              <w:top w:w="15" w:type="dxa"/>
              <w:left w:w="15" w:type="dxa"/>
              <w:bottom w:w="0" w:type="dxa"/>
              <w:right w:w="15" w:type="dxa"/>
            </w:tcMar>
            <w:vAlign w:val="bottom"/>
            <w:hideMark/>
          </w:tcPr>
          <w:p w:rsidR="00C33B6E" w:rsidRPr="002A4ED0" w:rsidRDefault="00C33B6E" w:rsidP="002A4ED0">
            <w:pPr>
              <w:spacing w:after="0" w:line="240" w:lineRule="auto"/>
              <w:rPr>
                <w:rFonts w:ascii="Arial" w:hAnsi="Arial" w:cs="Arial"/>
                <w:sz w:val="20"/>
                <w:szCs w:val="20"/>
              </w:rPr>
            </w:pPr>
          </w:p>
        </w:tc>
      </w:tr>
      <w:tr w:rsidR="00C33B6E" w:rsidRPr="002A4ED0" w:rsidTr="00C33B6E">
        <w:trPr>
          <w:trHeight w:val="449"/>
        </w:trPr>
        <w:tc>
          <w:tcPr>
            <w:tcW w:w="25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33B6E" w:rsidRPr="002A4ED0" w:rsidRDefault="00C33B6E"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color w:val="000000"/>
                <w:kern w:val="24"/>
                <w:sz w:val="20"/>
                <w:szCs w:val="20"/>
                <w:lang w:eastAsia="en-ZA"/>
              </w:rPr>
              <w:t xml:space="preserve">Contingent liabilities </w:t>
            </w:r>
          </w:p>
        </w:tc>
        <w:tc>
          <w:tcPr>
            <w:tcW w:w="83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33B6E" w:rsidRPr="002A4ED0" w:rsidRDefault="00C33B6E" w:rsidP="002A4ED0">
            <w:pPr>
              <w:spacing w:after="0" w:line="240" w:lineRule="auto"/>
              <w:textAlignment w:val="top"/>
              <w:rPr>
                <w:rFonts w:ascii="Arial" w:eastAsia="Times New Roman" w:hAnsi="Arial" w:cs="Arial"/>
                <w:sz w:val="20"/>
                <w:szCs w:val="20"/>
                <w:lang w:eastAsia="en-ZA"/>
              </w:rPr>
            </w:pPr>
            <w:r w:rsidRPr="002A4ED0">
              <w:rPr>
                <w:rFonts w:ascii="Arial" w:eastAsiaTheme="minorEastAsia" w:hAnsi="Arial" w:cs="Arial"/>
                <w:color w:val="000000"/>
                <w:kern w:val="24"/>
                <w:sz w:val="20"/>
                <w:szCs w:val="20"/>
                <w:lang w:eastAsia="en-ZA"/>
              </w:rPr>
              <w:t xml:space="preserve"> 323 279 </w:t>
            </w:r>
          </w:p>
        </w:tc>
        <w:tc>
          <w:tcPr>
            <w:tcW w:w="77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33B6E" w:rsidRPr="002A4ED0" w:rsidRDefault="00C33B6E" w:rsidP="002A4ED0">
            <w:pPr>
              <w:spacing w:after="0" w:line="240" w:lineRule="auto"/>
              <w:textAlignment w:val="top"/>
              <w:rPr>
                <w:rFonts w:ascii="Arial" w:eastAsia="Times New Roman" w:hAnsi="Arial" w:cs="Arial"/>
                <w:sz w:val="20"/>
                <w:szCs w:val="20"/>
                <w:lang w:eastAsia="en-ZA"/>
              </w:rPr>
            </w:pPr>
            <w:r w:rsidRPr="002A4ED0">
              <w:rPr>
                <w:rFonts w:ascii="Arial" w:eastAsiaTheme="minorEastAsia" w:hAnsi="Arial" w:cs="Arial"/>
                <w:color w:val="000000"/>
                <w:kern w:val="24"/>
                <w:sz w:val="20"/>
                <w:szCs w:val="20"/>
                <w:lang w:eastAsia="en-ZA"/>
              </w:rPr>
              <w:t xml:space="preserve">323 279 </w:t>
            </w:r>
          </w:p>
        </w:tc>
        <w:tc>
          <w:tcPr>
            <w:tcW w:w="802"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bottom w:w="0" w:type="dxa"/>
              <w:right w:w="12" w:type="dxa"/>
            </w:tcMar>
            <w:vAlign w:val="bottom"/>
            <w:hideMark/>
          </w:tcPr>
          <w:p w:rsidR="00C33B6E" w:rsidRPr="002A4ED0" w:rsidRDefault="00C33B6E" w:rsidP="002A4ED0">
            <w:pPr>
              <w:spacing w:after="0" w:line="240" w:lineRule="auto"/>
              <w:textAlignment w:val="top"/>
              <w:rPr>
                <w:rFonts w:ascii="Arial" w:eastAsia="Times New Roman" w:hAnsi="Arial" w:cs="Arial"/>
                <w:sz w:val="20"/>
                <w:szCs w:val="20"/>
                <w:lang w:eastAsia="en-ZA"/>
              </w:rPr>
            </w:pPr>
            <w:r w:rsidRPr="002A4ED0">
              <w:rPr>
                <w:rFonts w:ascii="Arial" w:eastAsiaTheme="minorEastAsia" w:hAnsi="Arial" w:cs="Arial"/>
                <w:color w:val="000000"/>
                <w:kern w:val="24"/>
                <w:sz w:val="20"/>
                <w:szCs w:val="20"/>
                <w:lang w:eastAsia="en-ZA"/>
              </w:rPr>
              <w:t>-</w:t>
            </w:r>
          </w:p>
        </w:tc>
        <w:tc>
          <w:tcPr>
            <w:tcW w:w="29" w:type="pct"/>
            <w:tcBorders>
              <w:top w:val="nil"/>
              <w:left w:val="single" w:sz="4" w:space="0" w:color="000000"/>
              <w:bottom w:val="nil"/>
              <w:right w:val="nil"/>
            </w:tcBorders>
            <w:shd w:val="clear" w:color="auto" w:fill="FFFFFF"/>
            <w:tcMar>
              <w:top w:w="15" w:type="dxa"/>
              <w:left w:w="15" w:type="dxa"/>
              <w:bottom w:w="0" w:type="dxa"/>
              <w:right w:w="15" w:type="dxa"/>
            </w:tcMar>
            <w:vAlign w:val="bottom"/>
            <w:hideMark/>
          </w:tcPr>
          <w:p w:rsidR="00C33B6E" w:rsidRPr="002A4ED0" w:rsidRDefault="00C33B6E" w:rsidP="002A4ED0">
            <w:pPr>
              <w:spacing w:after="0" w:line="240" w:lineRule="auto"/>
              <w:rPr>
                <w:rFonts w:ascii="Arial" w:hAnsi="Arial" w:cs="Arial"/>
                <w:sz w:val="20"/>
                <w:szCs w:val="20"/>
              </w:rPr>
            </w:pPr>
          </w:p>
        </w:tc>
      </w:tr>
      <w:tr w:rsidR="00C33B6E" w:rsidRPr="002A4ED0" w:rsidTr="00C33B6E">
        <w:trPr>
          <w:trHeight w:val="300"/>
        </w:trPr>
        <w:tc>
          <w:tcPr>
            <w:tcW w:w="25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33B6E" w:rsidRPr="002A4ED0" w:rsidRDefault="00C33B6E"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color w:val="000000"/>
                <w:kern w:val="24"/>
                <w:sz w:val="20"/>
                <w:szCs w:val="20"/>
                <w:lang w:eastAsia="en-ZA"/>
              </w:rPr>
              <w:t>Fruitless and wasteful expenditure</w:t>
            </w:r>
          </w:p>
        </w:tc>
        <w:tc>
          <w:tcPr>
            <w:tcW w:w="83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33B6E" w:rsidRPr="002A4ED0" w:rsidRDefault="00C33B6E" w:rsidP="002A4ED0">
            <w:pPr>
              <w:spacing w:after="0" w:line="240" w:lineRule="auto"/>
              <w:textAlignment w:val="top"/>
              <w:rPr>
                <w:rFonts w:ascii="Arial" w:eastAsia="Times New Roman" w:hAnsi="Arial" w:cs="Arial"/>
                <w:sz w:val="20"/>
                <w:szCs w:val="20"/>
                <w:lang w:eastAsia="en-ZA"/>
              </w:rPr>
            </w:pPr>
            <w:r w:rsidRPr="002A4ED0">
              <w:rPr>
                <w:rFonts w:ascii="Arial" w:eastAsiaTheme="minorEastAsia" w:hAnsi="Arial" w:cs="Arial"/>
                <w:color w:val="000000"/>
                <w:kern w:val="24"/>
                <w:sz w:val="20"/>
                <w:szCs w:val="20"/>
                <w:lang w:eastAsia="en-ZA"/>
              </w:rPr>
              <w:t xml:space="preserve"> 206 808</w:t>
            </w:r>
          </w:p>
        </w:tc>
        <w:tc>
          <w:tcPr>
            <w:tcW w:w="77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C33B6E" w:rsidRPr="002A4ED0" w:rsidRDefault="00C33B6E"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color w:val="000000"/>
                <w:kern w:val="24"/>
                <w:sz w:val="20"/>
                <w:szCs w:val="20"/>
                <w:lang w:eastAsia="en-ZA"/>
              </w:rPr>
              <w:t>206 808</w:t>
            </w:r>
          </w:p>
        </w:tc>
        <w:tc>
          <w:tcPr>
            <w:tcW w:w="802" w:type="pc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bottom w:w="0" w:type="dxa"/>
              <w:right w:w="12" w:type="dxa"/>
            </w:tcMar>
            <w:vAlign w:val="bottom"/>
            <w:hideMark/>
          </w:tcPr>
          <w:p w:rsidR="00C33B6E" w:rsidRPr="002A4ED0" w:rsidRDefault="00C33B6E"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color w:val="000000"/>
                <w:kern w:val="24"/>
                <w:sz w:val="20"/>
                <w:szCs w:val="20"/>
                <w:lang w:eastAsia="en-ZA"/>
              </w:rPr>
              <w:t>-</w:t>
            </w:r>
          </w:p>
        </w:tc>
        <w:tc>
          <w:tcPr>
            <w:tcW w:w="29" w:type="pct"/>
            <w:tcBorders>
              <w:top w:val="nil"/>
              <w:left w:val="single" w:sz="4" w:space="0" w:color="000000"/>
              <w:bottom w:val="nil"/>
              <w:right w:val="nil"/>
            </w:tcBorders>
            <w:shd w:val="clear" w:color="auto" w:fill="FFFFFF"/>
            <w:tcMar>
              <w:top w:w="15" w:type="dxa"/>
              <w:left w:w="15" w:type="dxa"/>
              <w:bottom w:w="0" w:type="dxa"/>
              <w:right w:w="15" w:type="dxa"/>
            </w:tcMar>
            <w:vAlign w:val="bottom"/>
            <w:hideMark/>
          </w:tcPr>
          <w:p w:rsidR="00C33B6E" w:rsidRPr="002A4ED0" w:rsidRDefault="00C33B6E" w:rsidP="002A4ED0">
            <w:pPr>
              <w:spacing w:after="0" w:line="240" w:lineRule="auto"/>
              <w:rPr>
                <w:rFonts w:ascii="Arial" w:hAnsi="Arial" w:cs="Arial"/>
                <w:sz w:val="20"/>
                <w:szCs w:val="20"/>
              </w:rPr>
            </w:pPr>
          </w:p>
        </w:tc>
      </w:tr>
      <w:tr w:rsidR="00C33B6E" w:rsidRPr="002A4ED0" w:rsidTr="00C33B6E">
        <w:trPr>
          <w:trHeight w:val="300"/>
        </w:trPr>
        <w:tc>
          <w:tcPr>
            <w:tcW w:w="256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33B6E" w:rsidRPr="002A4ED0" w:rsidRDefault="00C33B6E"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color w:val="000000"/>
                <w:kern w:val="24"/>
                <w:sz w:val="20"/>
                <w:szCs w:val="20"/>
                <w:lang w:eastAsia="en-ZA"/>
              </w:rPr>
              <w:t xml:space="preserve"> Irregular expenditure</w:t>
            </w:r>
          </w:p>
        </w:tc>
        <w:tc>
          <w:tcPr>
            <w:tcW w:w="83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33B6E" w:rsidRPr="002A4ED0" w:rsidRDefault="00C33B6E" w:rsidP="002A4ED0">
            <w:pPr>
              <w:spacing w:after="0" w:line="240" w:lineRule="auto"/>
              <w:textAlignment w:val="top"/>
              <w:rPr>
                <w:rFonts w:ascii="Arial" w:eastAsia="Times New Roman" w:hAnsi="Arial" w:cs="Arial"/>
                <w:sz w:val="20"/>
                <w:szCs w:val="20"/>
                <w:lang w:eastAsia="en-ZA"/>
              </w:rPr>
            </w:pPr>
            <w:r w:rsidRPr="002A4ED0">
              <w:rPr>
                <w:rFonts w:ascii="Arial" w:eastAsiaTheme="minorEastAsia" w:hAnsi="Arial" w:cs="Arial"/>
                <w:color w:val="000000"/>
                <w:kern w:val="24"/>
                <w:sz w:val="20"/>
                <w:szCs w:val="20"/>
                <w:lang w:eastAsia="en-ZA"/>
              </w:rPr>
              <w:t xml:space="preserve">7 102 949 </w:t>
            </w:r>
          </w:p>
        </w:tc>
        <w:tc>
          <w:tcPr>
            <w:tcW w:w="773"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33B6E" w:rsidRPr="002A4ED0" w:rsidRDefault="00C33B6E" w:rsidP="002A4ED0">
            <w:pPr>
              <w:spacing w:after="0" w:line="240" w:lineRule="auto"/>
              <w:textAlignment w:val="top"/>
              <w:rPr>
                <w:rFonts w:ascii="Arial" w:eastAsia="Times New Roman" w:hAnsi="Arial" w:cs="Arial"/>
                <w:sz w:val="20"/>
                <w:szCs w:val="20"/>
                <w:lang w:eastAsia="en-ZA"/>
              </w:rPr>
            </w:pPr>
            <w:r w:rsidRPr="002A4ED0">
              <w:rPr>
                <w:rFonts w:ascii="Arial" w:eastAsiaTheme="minorEastAsia" w:hAnsi="Arial" w:cs="Arial"/>
                <w:color w:val="000000"/>
                <w:kern w:val="24"/>
                <w:sz w:val="20"/>
                <w:szCs w:val="20"/>
                <w:lang w:eastAsia="en-ZA"/>
              </w:rPr>
              <w:t>7 082 046</w:t>
            </w:r>
          </w:p>
        </w:tc>
        <w:tc>
          <w:tcPr>
            <w:tcW w:w="80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33B6E" w:rsidRPr="002A4ED0" w:rsidRDefault="00C33B6E" w:rsidP="002A4ED0">
            <w:pPr>
              <w:spacing w:after="0" w:line="240" w:lineRule="auto"/>
              <w:textAlignment w:val="bottom"/>
              <w:rPr>
                <w:rFonts w:ascii="Arial" w:eastAsia="Times New Roman" w:hAnsi="Arial" w:cs="Arial"/>
                <w:sz w:val="20"/>
                <w:szCs w:val="20"/>
                <w:lang w:eastAsia="en-ZA"/>
              </w:rPr>
            </w:pPr>
            <w:r w:rsidRPr="002A4ED0">
              <w:rPr>
                <w:rFonts w:ascii="Arial" w:eastAsiaTheme="minorEastAsia" w:hAnsi="Arial" w:cs="Arial"/>
                <w:color w:val="000000"/>
                <w:kern w:val="24"/>
                <w:sz w:val="20"/>
                <w:szCs w:val="20"/>
                <w:lang w:eastAsia="en-ZA"/>
              </w:rPr>
              <w:t>20 903</w:t>
            </w:r>
          </w:p>
        </w:tc>
        <w:tc>
          <w:tcPr>
            <w:tcW w:w="29" w:type="pct"/>
            <w:tcBorders>
              <w:top w:val="nil"/>
              <w:left w:val="single" w:sz="4" w:space="0" w:color="000000"/>
              <w:bottom w:val="nil"/>
              <w:right w:val="nil"/>
            </w:tcBorders>
            <w:shd w:val="clear" w:color="auto" w:fill="auto"/>
            <w:tcMar>
              <w:top w:w="15" w:type="dxa"/>
              <w:left w:w="15" w:type="dxa"/>
              <w:bottom w:w="0" w:type="dxa"/>
              <w:right w:w="15" w:type="dxa"/>
            </w:tcMar>
            <w:vAlign w:val="bottom"/>
            <w:hideMark/>
          </w:tcPr>
          <w:p w:rsidR="00C33B6E" w:rsidRPr="002A4ED0" w:rsidRDefault="00C33B6E" w:rsidP="002A4ED0">
            <w:pPr>
              <w:spacing w:after="0" w:line="240" w:lineRule="auto"/>
              <w:rPr>
                <w:rFonts w:ascii="Arial" w:hAnsi="Arial" w:cs="Arial"/>
                <w:sz w:val="20"/>
                <w:szCs w:val="20"/>
              </w:rPr>
            </w:pPr>
          </w:p>
        </w:tc>
      </w:tr>
    </w:tbl>
    <w:p w:rsidR="00C33B6E" w:rsidRPr="002A4ED0" w:rsidRDefault="00C33B6E" w:rsidP="002A4ED0">
      <w:pPr>
        <w:autoSpaceDE w:val="0"/>
        <w:autoSpaceDN w:val="0"/>
        <w:adjustRightInd w:val="0"/>
        <w:spacing w:after="0" w:line="240" w:lineRule="auto"/>
        <w:rPr>
          <w:rFonts w:ascii="Arial" w:hAnsi="Arial" w:cs="Arial"/>
          <w:sz w:val="20"/>
          <w:szCs w:val="20"/>
        </w:rPr>
      </w:pPr>
    </w:p>
    <w:p w:rsidR="00916673" w:rsidRPr="002A4ED0" w:rsidRDefault="00C33B6E" w:rsidP="002A4ED0">
      <w:pPr>
        <w:autoSpaceDE w:val="0"/>
        <w:autoSpaceDN w:val="0"/>
        <w:adjustRightInd w:val="0"/>
        <w:spacing w:after="0" w:line="240" w:lineRule="auto"/>
        <w:rPr>
          <w:rFonts w:ascii="Arial" w:hAnsi="Arial" w:cs="Arial"/>
          <w:sz w:val="20"/>
          <w:szCs w:val="20"/>
        </w:rPr>
      </w:pPr>
      <w:r w:rsidRPr="002A4ED0">
        <w:rPr>
          <w:rFonts w:ascii="Arial" w:hAnsi="Arial" w:cs="Arial"/>
          <w:sz w:val="20"/>
          <w:szCs w:val="20"/>
        </w:rPr>
        <w:t>As</w:t>
      </w:r>
      <w:r w:rsidR="003166C9" w:rsidRPr="002A4ED0">
        <w:rPr>
          <w:rFonts w:ascii="Arial" w:hAnsi="Arial" w:cs="Arial"/>
          <w:sz w:val="20"/>
          <w:szCs w:val="20"/>
        </w:rPr>
        <w:t xml:space="preserve"> of</w:t>
      </w:r>
      <w:r w:rsidRPr="002A4ED0">
        <w:rPr>
          <w:rFonts w:ascii="Arial" w:hAnsi="Arial" w:cs="Arial"/>
          <w:sz w:val="20"/>
          <w:szCs w:val="20"/>
        </w:rPr>
        <w:t xml:space="preserve"> </w:t>
      </w:r>
      <w:r w:rsidR="003166C9" w:rsidRPr="002A4ED0">
        <w:rPr>
          <w:rFonts w:ascii="Arial" w:hAnsi="Arial" w:cs="Arial"/>
          <w:sz w:val="20"/>
          <w:szCs w:val="20"/>
        </w:rPr>
        <w:t xml:space="preserve">the </w:t>
      </w:r>
      <w:r w:rsidRPr="002A4ED0">
        <w:rPr>
          <w:rFonts w:ascii="Arial" w:hAnsi="Arial" w:cs="Arial"/>
          <w:sz w:val="20"/>
          <w:szCs w:val="20"/>
        </w:rPr>
        <w:t xml:space="preserve">end of June 2022, an amount of R25.4 billion was owed by trade customers.  In addition to the enforcement of credit control measures, the Department is part of the Multidisciplinary Revenue Committee which comprises </w:t>
      </w:r>
      <w:r w:rsidR="003166C9" w:rsidRPr="002A4ED0">
        <w:rPr>
          <w:rFonts w:ascii="Arial" w:hAnsi="Arial" w:cs="Arial"/>
          <w:sz w:val="20"/>
          <w:szCs w:val="20"/>
        </w:rPr>
        <w:t xml:space="preserve">the </w:t>
      </w:r>
      <w:r w:rsidRPr="002A4ED0">
        <w:rPr>
          <w:rFonts w:ascii="Arial" w:hAnsi="Arial" w:cs="Arial"/>
          <w:sz w:val="20"/>
          <w:szCs w:val="20"/>
        </w:rPr>
        <w:t xml:space="preserve">National Treasury, the South African Local Government Association, and </w:t>
      </w:r>
      <w:r w:rsidR="003166C9" w:rsidRPr="002A4ED0">
        <w:rPr>
          <w:rFonts w:ascii="Arial" w:hAnsi="Arial" w:cs="Arial"/>
          <w:sz w:val="20"/>
          <w:szCs w:val="20"/>
        </w:rPr>
        <w:t xml:space="preserve">the </w:t>
      </w:r>
      <w:r w:rsidRPr="002A4ED0">
        <w:rPr>
          <w:rFonts w:ascii="Arial" w:hAnsi="Arial" w:cs="Arial"/>
          <w:sz w:val="20"/>
          <w:szCs w:val="20"/>
        </w:rPr>
        <w:t>Department of Cooperative Governance and Traditional Affairs to focus on providing solutions to water debt challenges across the value chain.</w:t>
      </w:r>
      <w:r w:rsidR="00704682" w:rsidRPr="002A4ED0">
        <w:rPr>
          <w:rFonts w:ascii="Arial" w:hAnsi="Arial" w:cs="Arial"/>
          <w:sz w:val="20"/>
          <w:szCs w:val="20"/>
        </w:rPr>
        <w:t xml:space="preserve"> </w:t>
      </w:r>
    </w:p>
    <w:p w:rsidR="00916673" w:rsidRPr="002A4ED0" w:rsidRDefault="00916673" w:rsidP="002A4ED0">
      <w:pPr>
        <w:autoSpaceDE w:val="0"/>
        <w:autoSpaceDN w:val="0"/>
        <w:adjustRightInd w:val="0"/>
        <w:spacing w:after="0" w:line="240" w:lineRule="auto"/>
        <w:rPr>
          <w:rFonts w:ascii="Arial" w:hAnsi="Arial" w:cs="Arial"/>
          <w:sz w:val="20"/>
          <w:szCs w:val="20"/>
        </w:rPr>
      </w:pPr>
    </w:p>
    <w:p w:rsidR="00C33B6E" w:rsidRPr="002A4ED0" w:rsidRDefault="00C33B6E" w:rsidP="002A4ED0">
      <w:pPr>
        <w:autoSpaceDE w:val="0"/>
        <w:autoSpaceDN w:val="0"/>
        <w:adjustRightInd w:val="0"/>
        <w:spacing w:after="0" w:line="240" w:lineRule="auto"/>
        <w:rPr>
          <w:rFonts w:ascii="Arial" w:hAnsi="Arial" w:cs="Arial"/>
          <w:sz w:val="20"/>
          <w:szCs w:val="20"/>
        </w:rPr>
      </w:pPr>
      <w:r w:rsidRPr="002A4ED0">
        <w:rPr>
          <w:rFonts w:ascii="Arial" w:hAnsi="Arial" w:cs="Arial"/>
          <w:sz w:val="20"/>
          <w:szCs w:val="20"/>
        </w:rPr>
        <w:t xml:space="preserve">Long-term </w:t>
      </w:r>
      <w:r w:rsidR="003166C9" w:rsidRPr="002A4ED0">
        <w:rPr>
          <w:rFonts w:ascii="Arial" w:hAnsi="Arial" w:cs="Arial"/>
          <w:sz w:val="20"/>
          <w:szCs w:val="20"/>
        </w:rPr>
        <w:t>financial liabilities represent</w:t>
      </w:r>
      <w:r w:rsidRPr="002A4ED0">
        <w:rPr>
          <w:rFonts w:ascii="Arial" w:hAnsi="Arial" w:cs="Arial"/>
          <w:sz w:val="20"/>
          <w:szCs w:val="20"/>
        </w:rPr>
        <w:t xml:space="preserve"> the amounts owed to Trans-Caledon Tunnel Authority </w:t>
      </w:r>
      <w:r w:rsidR="003166C9" w:rsidRPr="002A4ED0">
        <w:rPr>
          <w:rFonts w:ascii="Arial" w:hAnsi="Arial" w:cs="Arial"/>
          <w:sz w:val="20"/>
          <w:szCs w:val="20"/>
        </w:rPr>
        <w:t>by</w:t>
      </w:r>
      <w:r w:rsidRPr="002A4ED0">
        <w:rPr>
          <w:rFonts w:ascii="Arial" w:hAnsi="Arial" w:cs="Arial"/>
          <w:sz w:val="20"/>
          <w:szCs w:val="20"/>
        </w:rPr>
        <w:t xml:space="preserve"> various construction contracts fo</w:t>
      </w:r>
      <w:r w:rsidR="003166C9" w:rsidRPr="002A4ED0">
        <w:rPr>
          <w:rFonts w:ascii="Arial" w:hAnsi="Arial" w:cs="Arial"/>
          <w:sz w:val="20"/>
          <w:szCs w:val="20"/>
        </w:rPr>
        <w:t xml:space="preserve">r developing and maintaining </w:t>
      </w:r>
      <w:r w:rsidRPr="002A4ED0">
        <w:rPr>
          <w:rFonts w:ascii="Arial" w:hAnsi="Arial" w:cs="Arial"/>
          <w:sz w:val="20"/>
          <w:szCs w:val="20"/>
        </w:rPr>
        <w:t>infrastructure assets.  Compared to the previous year, the long-term financial liabilities have decreased to R1.9 billion.  Contractual liabilities mainly consist of legal claims against the Department</w:t>
      </w:r>
      <w:r w:rsidR="00FD74CB" w:rsidRPr="002A4ED0">
        <w:rPr>
          <w:rFonts w:ascii="Arial" w:hAnsi="Arial" w:cs="Arial"/>
          <w:sz w:val="20"/>
          <w:szCs w:val="20"/>
        </w:rPr>
        <w:t xml:space="preserve"> by several service providers</w:t>
      </w:r>
      <w:r w:rsidRPr="002A4ED0">
        <w:rPr>
          <w:rFonts w:ascii="Arial" w:hAnsi="Arial" w:cs="Arial"/>
          <w:sz w:val="20"/>
          <w:szCs w:val="20"/>
        </w:rPr>
        <w:t xml:space="preserve"> </w:t>
      </w:r>
      <w:r w:rsidR="003166C9" w:rsidRPr="002A4ED0">
        <w:rPr>
          <w:rFonts w:ascii="Arial" w:hAnsi="Arial" w:cs="Arial"/>
          <w:sz w:val="20"/>
          <w:szCs w:val="20"/>
        </w:rPr>
        <w:t>regardi</w:t>
      </w:r>
      <w:r w:rsidR="00FD74CB" w:rsidRPr="002A4ED0">
        <w:rPr>
          <w:rFonts w:ascii="Arial" w:hAnsi="Arial" w:cs="Arial"/>
          <w:sz w:val="20"/>
          <w:szCs w:val="20"/>
        </w:rPr>
        <w:t xml:space="preserve">ng </w:t>
      </w:r>
      <w:r w:rsidRPr="002A4ED0">
        <w:rPr>
          <w:rFonts w:ascii="Arial" w:hAnsi="Arial" w:cs="Arial"/>
          <w:sz w:val="20"/>
          <w:szCs w:val="20"/>
        </w:rPr>
        <w:t xml:space="preserve">contractual disputes on litigation processes.  Fruitless and wasteful expenditure was incurred </w:t>
      </w:r>
      <w:r w:rsidR="003166C9" w:rsidRPr="002A4ED0">
        <w:rPr>
          <w:rFonts w:ascii="Arial" w:hAnsi="Arial" w:cs="Arial"/>
          <w:sz w:val="20"/>
          <w:szCs w:val="20"/>
        </w:rPr>
        <w:t xml:space="preserve">due to </w:t>
      </w:r>
      <w:r w:rsidRPr="002A4ED0">
        <w:rPr>
          <w:rFonts w:ascii="Arial" w:hAnsi="Arial" w:cs="Arial"/>
          <w:sz w:val="20"/>
          <w:szCs w:val="20"/>
        </w:rPr>
        <w:t>irrecoverable construction costs incurred in the internal and external projects.</w:t>
      </w:r>
    </w:p>
    <w:p w:rsidR="00EB5D52" w:rsidRPr="002A4ED0" w:rsidRDefault="00EB5D52" w:rsidP="002A4ED0">
      <w:pPr>
        <w:autoSpaceDE w:val="0"/>
        <w:autoSpaceDN w:val="0"/>
        <w:adjustRightInd w:val="0"/>
        <w:spacing w:after="0" w:line="240" w:lineRule="auto"/>
        <w:rPr>
          <w:rFonts w:ascii="Arial" w:hAnsi="Arial" w:cs="Arial"/>
          <w:sz w:val="20"/>
          <w:szCs w:val="20"/>
        </w:rPr>
      </w:pPr>
    </w:p>
    <w:p w:rsidR="000037B7" w:rsidRPr="002A4ED0" w:rsidRDefault="000037B7" w:rsidP="002A4ED0">
      <w:pPr>
        <w:autoSpaceDE w:val="0"/>
        <w:autoSpaceDN w:val="0"/>
        <w:adjustRightInd w:val="0"/>
        <w:spacing w:after="0" w:line="240" w:lineRule="auto"/>
        <w:rPr>
          <w:rFonts w:ascii="Arial" w:hAnsi="Arial" w:cs="Arial"/>
          <w:sz w:val="20"/>
          <w:szCs w:val="20"/>
        </w:rPr>
      </w:pPr>
    </w:p>
    <w:p w:rsidR="00EB5D52" w:rsidRPr="002A4ED0" w:rsidRDefault="00EB5D52" w:rsidP="002A4ED0">
      <w:pPr>
        <w:autoSpaceDE w:val="0"/>
        <w:autoSpaceDN w:val="0"/>
        <w:adjustRightInd w:val="0"/>
        <w:spacing w:after="0" w:line="240" w:lineRule="auto"/>
        <w:rPr>
          <w:rFonts w:ascii="Arial" w:hAnsi="Arial" w:cs="Arial"/>
          <w:b/>
          <w:sz w:val="20"/>
          <w:szCs w:val="20"/>
        </w:rPr>
      </w:pPr>
      <w:r w:rsidRPr="002A4ED0">
        <w:rPr>
          <w:rFonts w:ascii="Arial" w:hAnsi="Arial" w:cs="Arial"/>
          <w:b/>
          <w:sz w:val="20"/>
          <w:szCs w:val="20"/>
        </w:rPr>
        <w:t>4.</w:t>
      </w:r>
      <w:r w:rsidRPr="002A4ED0">
        <w:rPr>
          <w:rFonts w:ascii="Arial" w:hAnsi="Arial" w:cs="Arial"/>
          <w:b/>
          <w:sz w:val="20"/>
          <w:szCs w:val="20"/>
        </w:rPr>
        <w:tab/>
      </w:r>
      <w:r w:rsidR="00C71CF7" w:rsidRPr="002A4ED0">
        <w:rPr>
          <w:rFonts w:ascii="Arial" w:hAnsi="Arial" w:cs="Arial"/>
          <w:b/>
          <w:sz w:val="20"/>
          <w:szCs w:val="20"/>
        </w:rPr>
        <w:t>REPRIORITISATION OF BUDGETS BETWEEN PROJECTS</w:t>
      </w:r>
    </w:p>
    <w:p w:rsidR="00C71CF7" w:rsidRPr="002A4ED0" w:rsidRDefault="00C71CF7" w:rsidP="002A4ED0">
      <w:pPr>
        <w:autoSpaceDE w:val="0"/>
        <w:autoSpaceDN w:val="0"/>
        <w:adjustRightInd w:val="0"/>
        <w:spacing w:after="0" w:line="240" w:lineRule="auto"/>
        <w:rPr>
          <w:rFonts w:ascii="Arial" w:hAnsi="Arial" w:cs="Arial"/>
          <w:b/>
          <w:sz w:val="20"/>
          <w:szCs w:val="20"/>
        </w:rPr>
      </w:pPr>
    </w:p>
    <w:p w:rsidR="00C71CF7" w:rsidRPr="002A4ED0" w:rsidRDefault="00DE5375" w:rsidP="002A4ED0">
      <w:pPr>
        <w:autoSpaceDE w:val="0"/>
        <w:autoSpaceDN w:val="0"/>
        <w:adjustRightInd w:val="0"/>
        <w:spacing w:after="0" w:line="240" w:lineRule="auto"/>
        <w:rPr>
          <w:rFonts w:ascii="Arial" w:hAnsi="Arial" w:cs="Arial"/>
          <w:sz w:val="20"/>
          <w:szCs w:val="20"/>
        </w:rPr>
      </w:pPr>
      <w:r w:rsidRPr="002A4ED0">
        <w:rPr>
          <w:rFonts w:ascii="Arial" w:hAnsi="Arial" w:cs="Arial"/>
          <w:sz w:val="20"/>
          <w:szCs w:val="20"/>
        </w:rPr>
        <w:lastRenderedPageBreak/>
        <w:t xml:space="preserve">As part of the measures to prevent under-spending, the Department had reprioritised budgets between projects with supporting acceleration points, including effective contract management penalties, and termination of non-performing contractors. </w:t>
      </w:r>
      <w:r w:rsidR="002D742A" w:rsidRPr="002A4ED0">
        <w:rPr>
          <w:rFonts w:ascii="Arial" w:hAnsi="Arial" w:cs="Arial"/>
          <w:sz w:val="20"/>
          <w:szCs w:val="20"/>
        </w:rPr>
        <w:t>Some of the key prioritised projects include the following:</w:t>
      </w:r>
    </w:p>
    <w:p w:rsidR="00366E7A" w:rsidRPr="002A4ED0" w:rsidRDefault="00366E7A" w:rsidP="002A4ED0">
      <w:pPr>
        <w:autoSpaceDE w:val="0"/>
        <w:autoSpaceDN w:val="0"/>
        <w:adjustRightInd w:val="0"/>
        <w:spacing w:after="0" w:line="240" w:lineRule="auto"/>
        <w:rPr>
          <w:rStyle w:val="Emphasis"/>
          <w:rFonts w:ascii="Arial" w:hAnsi="Arial" w:cs="Arial"/>
          <w:color w:val="333333"/>
          <w:sz w:val="20"/>
          <w:szCs w:val="20"/>
          <w:shd w:val="clear" w:color="auto" w:fill="FFFFFF"/>
        </w:rPr>
      </w:pPr>
    </w:p>
    <w:p w:rsidR="00366E7A" w:rsidRPr="002A4ED0" w:rsidRDefault="00916673" w:rsidP="002A4ED0">
      <w:pPr>
        <w:autoSpaceDE w:val="0"/>
        <w:autoSpaceDN w:val="0"/>
        <w:adjustRightInd w:val="0"/>
        <w:spacing w:after="0" w:line="240" w:lineRule="auto"/>
        <w:rPr>
          <w:rStyle w:val="Emphasis"/>
          <w:rFonts w:ascii="Arial" w:hAnsi="Arial" w:cs="Arial"/>
          <w:b/>
          <w:color w:val="333333"/>
          <w:sz w:val="20"/>
          <w:szCs w:val="20"/>
          <w:shd w:val="clear" w:color="auto" w:fill="FFFFFF"/>
        </w:rPr>
      </w:pPr>
      <w:r w:rsidRPr="002A4ED0">
        <w:rPr>
          <w:rStyle w:val="Emphasis"/>
          <w:rFonts w:ascii="Arial" w:hAnsi="Arial" w:cs="Arial"/>
          <w:b/>
          <w:color w:val="333333"/>
          <w:sz w:val="20"/>
          <w:szCs w:val="20"/>
          <w:shd w:val="clear" w:color="auto" w:fill="FFFFFF"/>
        </w:rPr>
        <w:t>4.1</w:t>
      </w:r>
      <w:r w:rsidRPr="002A4ED0">
        <w:rPr>
          <w:rStyle w:val="Emphasis"/>
          <w:rFonts w:ascii="Arial" w:hAnsi="Arial" w:cs="Arial"/>
          <w:b/>
          <w:color w:val="333333"/>
          <w:sz w:val="20"/>
          <w:szCs w:val="20"/>
          <w:shd w:val="clear" w:color="auto" w:fill="FFFFFF"/>
        </w:rPr>
        <w:tab/>
      </w:r>
      <w:r w:rsidR="00366E7A" w:rsidRPr="002A4ED0">
        <w:rPr>
          <w:rStyle w:val="Emphasis"/>
          <w:rFonts w:ascii="Arial" w:hAnsi="Arial" w:cs="Arial"/>
          <w:b/>
          <w:color w:val="333333"/>
          <w:sz w:val="20"/>
          <w:szCs w:val="20"/>
          <w:shd w:val="clear" w:color="auto" w:fill="FFFFFF"/>
        </w:rPr>
        <w:t>Vaal River System Intervention – Rand Water</w:t>
      </w:r>
    </w:p>
    <w:p w:rsidR="00247BC2" w:rsidRPr="002A4ED0" w:rsidRDefault="00366E7A" w:rsidP="002A4ED0">
      <w:pPr>
        <w:autoSpaceDE w:val="0"/>
        <w:autoSpaceDN w:val="0"/>
        <w:adjustRightInd w:val="0"/>
        <w:spacing w:after="0" w:line="240" w:lineRule="auto"/>
        <w:rPr>
          <w:rFonts w:ascii="Arial" w:hAnsi="Arial" w:cs="Arial"/>
          <w:color w:val="333333"/>
          <w:sz w:val="20"/>
          <w:szCs w:val="20"/>
          <w:shd w:val="clear" w:color="auto" w:fill="FFFFFF"/>
        </w:rPr>
      </w:pPr>
      <w:r w:rsidRPr="002A4ED0">
        <w:rPr>
          <w:rFonts w:ascii="Arial" w:hAnsi="Arial" w:cs="Arial"/>
          <w:color w:val="333333"/>
          <w:sz w:val="20"/>
          <w:szCs w:val="20"/>
        </w:rPr>
        <w:br/>
      </w:r>
      <w:r w:rsidRPr="002A4ED0">
        <w:rPr>
          <w:rFonts w:ascii="Arial" w:hAnsi="Arial" w:cs="Arial"/>
          <w:color w:val="333333"/>
          <w:sz w:val="20"/>
          <w:szCs w:val="20"/>
          <w:shd w:val="clear" w:color="auto" w:fill="FFFFFF"/>
        </w:rPr>
        <w:t xml:space="preserve">The Emfuleni Section 63 Directive was being implemented by Rand Water, with an estimated </w:t>
      </w:r>
    </w:p>
    <w:p w:rsidR="00916673" w:rsidRPr="002A4ED0" w:rsidRDefault="00366E7A" w:rsidP="002A4ED0">
      <w:pPr>
        <w:autoSpaceDE w:val="0"/>
        <w:autoSpaceDN w:val="0"/>
        <w:adjustRightInd w:val="0"/>
        <w:spacing w:after="0" w:line="240" w:lineRule="auto"/>
        <w:rPr>
          <w:rFonts w:ascii="Arial" w:hAnsi="Arial" w:cs="Arial"/>
          <w:color w:val="333333"/>
          <w:sz w:val="20"/>
          <w:szCs w:val="20"/>
          <w:shd w:val="clear" w:color="auto" w:fill="FFFFFF"/>
        </w:rPr>
      </w:pPr>
      <w:r w:rsidRPr="002A4ED0">
        <w:rPr>
          <w:rFonts w:ascii="Arial" w:hAnsi="Arial" w:cs="Arial"/>
          <w:color w:val="333333"/>
          <w:sz w:val="20"/>
          <w:szCs w:val="20"/>
          <w:shd w:val="clear" w:color="auto" w:fill="FFFFFF"/>
        </w:rPr>
        <w:t>refurbishment cost of R655.96 million in the 2022/23 financial year.</w:t>
      </w:r>
      <w:r w:rsidRPr="002A4ED0">
        <w:rPr>
          <w:rFonts w:ascii="Arial" w:hAnsi="Arial" w:cs="Arial"/>
          <w:color w:val="333333"/>
          <w:sz w:val="20"/>
          <w:szCs w:val="20"/>
        </w:rPr>
        <w:br/>
      </w:r>
      <w:r w:rsidRPr="002A4ED0">
        <w:rPr>
          <w:rFonts w:ascii="Arial" w:hAnsi="Arial" w:cs="Arial"/>
          <w:color w:val="333333"/>
          <w:sz w:val="20"/>
          <w:szCs w:val="20"/>
          <w:shd w:val="clear" w:color="auto" w:fill="FFFFFF"/>
        </w:rPr>
        <w:t>The Department had appointed seven contractors to replace collapsed pipelines and electromechanical projects, and had issued work packages with a combined value of R223.7 million during August. Construction had already commenced.</w:t>
      </w:r>
    </w:p>
    <w:p w:rsidR="00916673" w:rsidRPr="002A4ED0" w:rsidRDefault="00916673" w:rsidP="002A4ED0">
      <w:pPr>
        <w:autoSpaceDE w:val="0"/>
        <w:autoSpaceDN w:val="0"/>
        <w:adjustRightInd w:val="0"/>
        <w:spacing w:after="0" w:line="240" w:lineRule="auto"/>
        <w:rPr>
          <w:rFonts w:ascii="Arial" w:hAnsi="Arial" w:cs="Arial"/>
          <w:color w:val="333333"/>
          <w:sz w:val="20"/>
          <w:szCs w:val="20"/>
          <w:shd w:val="clear" w:color="auto" w:fill="FFFFFF"/>
        </w:rPr>
      </w:pPr>
    </w:p>
    <w:p w:rsidR="000B30B2" w:rsidRPr="002A4ED0" w:rsidRDefault="00366E7A" w:rsidP="002A4ED0">
      <w:pPr>
        <w:autoSpaceDE w:val="0"/>
        <w:autoSpaceDN w:val="0"/>
        <w:adjustRightInd w:val="0"/>
        <w:spacing w:after="0" w:line="240" w:lineRule="auto"/>
        <w:rPr>
          <w:rFonts w:ascii="Arial" w:hAnsi="Arial" w:cs="Arial"/>
          <w:color w:val="333333"/>
          <w:sz w:val="20"/>
          <w:szCs w:val="20"/>
          <w:shd w:val="clear" w:color="auto" w:fill="FFFFFF"/>
        </w:rPr>
      </w:pPr>
      <w:r w:rsidRPr="002A4ED0">
        <w:rPr>
          <w:rFonts w:ascii="Arial" w:hAnsi="Arial" w:cs="Arial"/>
          <w:color w:val="333333"/>
          <w:sz w:val="20"/>
          <w:szCs w:val="20"/>
          <w:shd w:val="clear" w:color="auto" w:fill="FFFFFF"/>
        </w:rPr>
        <w:t>Project performance had been affected by community protests and interruptions by business interest groups.</w:t>
      </w:r>
      <w:r w:rsidR="00916673" w:rsidRPr="002A4ED0">
        <w:rPr>
          <w:rFonts w:ascii="Arial" w:hAnsi="Arial" w:cs="Arial"/>
          <w:color w:val="333333"/>
          <w:sz w:val="20"/>
          <w:szCs w:val="20"/>
          <w:shd w:val="clear" w:color="auto" w:fill="FFFFFF"/>
        </w:rPr>
        <w:t xml:space="preserve"> </w:t>
      </w:r>
      <w:r w:rsidRPr="002A4ED0">
        <w:rPr>
          <w:rFonts w:ascii="Arial" w:hAnsi="Arial" w:cs="Arial"/>
          <w:color w:val="333333"/>
          <w:sz w:val="20"/>
          <w:szCs w:val="20"/>
          <w:shd w:val="clear" w:color="auto" w:fill="FFFFFF"/>
        </w:rPr>
        <w:t xml:space="preserve">More work packages were being processed, and construction was being accelerated. </w:t>
      </w:r>
      <w:r w:rsidR="000B30B2" w:rsidRPr="002A4ED0">
        <w:rPr>
          <w:rFonts w:ascii="Arial" w:hAnsi="Arial" w:cs="Arial"/>
          <w:color w:val="333333"/>
          <w:sz w:val="20"/>
          <w:szCs w:val="20"/>
          <w:shd w:val="clear" w:color="auto" w:fill="FFFFFF"/>
        </w:rPr>
        <w:t>The significant expenditure would be realised upon work certification</w:t>
      </w:r>
      <w:r w:rsidRPr="002A4ED0">
        <w:rPr>
          <w:rFonts w:ascii="Arial" w:hAnsi="Arial" w:cs="Arial"/>
          <w:color w:val="333333"/>
          <w:sz w:val="20"/>
          <w:szCs w:val="20"/>
          <w:shd w:val="clear" w:color="auto" w:fill="FFFFFF"/>
        </w:rPr>
        <w:t>, thus mitigating under-spending.</w:t>
      </w:r>
    </w:p>
    <w:p w:rsidR="00366E7A" w:rsidRPr="002A4ED0" w:rsidRDefault="00366E7A" w:rsidP="002A4ED0">
      <w:pPr>
        <w:autoSpaceDE w:val="0"/>
        <w:autoSpaceDN w:val="0"/>
        <w:adjustRightInd w:val="0"/>
        <w:spacing w:after="0" w:line="240" w:lineRule="auto"/>
        <w:rPr>
          <w:rFonts w:ascii="Arial" w:hAnsi="Arial" w:cs="Arial"/>
          <w:color w:val="333333"/>
          <w:sz w:val="20"/>
          <w:szCs w:val="20"/>
          <w:shd w:val="clear" w:color="auto" w:fill="FFFFFF"/>
        </w:rPr>
      </w:pPr>
      <w:r w:rsidRPr="002A4ED0">
        <w:rPr>
          <w:rFonts w:ascii="Arial" w:hAnsi="Arial" w:cs="Arial"/>
          <w:color w:val="333333"/>
          <w:sz w:val="20"/>
          <w:szCs w:val="20"/>
        </w:rPr>
        <w:br/>
      </w:r>
      <w:r w:rsidRPr="002A4ED0">
        <w:rPr>
          <w:rFonts w:ascii="Arial" w:hAnsi="Arial" w:cs="Arial"/>
          <w:color w:val="333333"/>
          <w:sz w:val="20"/>
          <w:szCs w:val="20"/>
          <w:shd w:val="clear" w:color="auto" w:fill="FFFFFF"/>
        </w:rPr>
        <w:t>The current budget allocation of R400 million would be increased with unspent funds from identified non-performing projects.</w:t>
      </w:r>
    </w:p>
    <w:p w:rsidR="00366E7A" w:rsidRPr="002A4ED0" w:rsidRDefault="00366E7A" w:rsidP="002A4ED0">
      <w:pPr>
        <w:autoSpaceDE w:val="0"/>
        <w:autoSpaceDN w:val="0"/>
        <w:adjustRightInd w:val="0"/>
        <w:spacing w:after="0" w:line="240" w:lineRule="auto"/>
        <w:rPr>
          <w:rStyle w:val="Emphasis"/>
          <w:rFonts w:ascii="Arial" w:hAnsi="Arial" w:cs="Arial"/>
          <w:b/>
          <w:color w:val="333333"/>
          <w:sz w:val="20"/>
          <w:szCs w:val="20"/>
          <w:shd w:val="clear" w:color="auto" w:fill="FFFFFF"/>
        </w:rPr>
      </w:pPr>
      <w:r w:rsidRPr="002A4ED0">
        <w:rPr>
          <w:rFonts w:ascii="Arial" w:hAnsi="Arial" w:cs="Arial"/>
          <w:color w:val="333333"/>
          <w:sz w:val="20"/>
          <w:szCs w:val="20"/>
        </w:rPr>
        <w:br/>
      </w:r>
      <w:r w:rsidR="00916673" w:rsidRPr="002A4ED0">
        <w:rPr>
          <w:rStyle w:val="Emphasis"/>
          <w:rFonts w:ascii="Arial" w:hAnsi="Arial" w:cs="Arial"/>
          <w:b/>
          <w:color w:val="333333"/>
          <w:sz w:val="20"/>
          <w:szCs w:val="20"/>
          <w:shd w:val="clear" w:color="auto" w:fill="FFFFFF"/>
        </w:rPr>
        <w:t>4.2</w:t>
      </w:r>
      <w:r w:rsidR="00916673" w:rsidRPr="002A4ED0">
        <w:rPr>
          <w:rStyle w:val="Emphasis"/>
          <w:rFonts w:ascii="Arial" w:hAnsi="Arial" w:cs="Arial"/>
          <w:b/>
          <w:color w:val="333333"/>
          <w:sz w:val="20"/>
          <w:szCs w:val="20"/>
          <w:shd w:val="clear" w:color="auto" w:fill="FFFFFF"/>
        </w:rPr>
        <w:tab/>
      </w:r>
      <w:r w:rsidRPr="002A4ED0">
        <w:rPr>
          <w:rStyle w:val="Emphasis"/>
          <w:rFonts w:ascii="Arial" w:hAnsi="Arial" w:cs="Arial"/>
          <w:b/>
          <w:color w:val="333333"/>
          <w:sz w:val="20"/>
          <w:szCs w:val="20"/>
          <w:shd w:val="clear" w:color="auto" w:fill="FFFFFF"/>
        </w:rPr>
        <w:t>Madibeng Bulk Water Supply – Magalies Water</w:t>
      </w:r>
    </w:p>
    <w:p w:rsidR="00366E7A" w:rsidRPr="002A4ED0" w:rsidRDefault="00366E7A" w:rsidP="002A4ED0">
      <w:pPr>
        <w:autoSpaceDE w:val="0"/>
        <w:autoSpaceDN w:val="0"/>
        <w:adjustRightInd w:val="0"/>
        <w:spacing w:after="0" w:line="240" w:lineRule="auto"/>
        <w:rPr>
          <w:rFonts w:ascii="Arial" w:hAnsi="Arial" w:cs="Arial"/>
          <w:color w:val="333333"/>
          <w:sz w:val="20"/>
          <w:szCs w:val="20"/>
          <w:shd w:val="clear" w:color="auto" w:fill="FFFFFF"/>
        </w:rPr>
      </w:pPr>
      <w:r w:rsidRPr="002A4ED0">
        <w:rPr>
          <w:rFonts w:ascii="Arial" w:hAnsi="Arial" w:cs="Arial"/>
          <w:color w:val="333333"/>
          <w:sz w:val="20"/>
          <w:szCs w:val="20"/>
        </w:rPr>
        <w:br/>
      </w:r>
      <w:r w:rsidRPr="002A4ED0">
        <w:rPr>
          <w:rFonts w:ascii="Arial" w:hAnsi="Arial" w:cs="Arial"/>
          <w:color w:val="333333"/>
          <w:sz w:val="20"/>
          <w:szCs w:val="20"/>
          <w:shd w:val="clear" w:color="auto" w:fill="FFFFFF"/>
        </w:rPr>
        <w:t xml:space="preserve">The project had many challenges, resulting in work stoppages, community protests, </w:t>
      </w:r>
      <w:r w:rsidR="000B30B2" w:rsidRPr="002A4ED0">
        <w:rPr>
          <w:rFonts w:ascii="Arial" w:hAnsi="Arial" w:cs="Arial"/>
          <w:color w:val="333333"/>
          <w:sz w:val="20"/>
          <w:szCs w:val="20"/>
          <w:shd w:val="clear" w:color="auto" w:fill="FFFFFF"/>
        </w:rPr>
        <w:t xml:space="preserve">the </w:t>
      </w:r>
      <w:r w:rsidRPr="002A4ED0">
        <w:rPr>
          <w:rFonts w:ascii="Arial" w:hAnsi="Arial" w:cs="Arial"/>
          <w:color w:val="333333"/>
          <w:sz w:val="20"/>
          <w:szCs w:val="20"/>
          <w:shd w:val="clear" w:color="auto" w:fill="FFFFFF"/>
        </w:rPr>
        <w:t>liquidation of one of the service providers, poor project execution, etc.</w:t>
      </w:r>
      <w:r w:rsidR="00247BC2" w:rsidRPr="002A4ED0">
        <w:rPr>
          <w:rFonts w:ascii="Arial" w:hAnsi="Arial" w:cs="Arial"/>
          <w:color w:val="333333"/>
          <w:sz w:val="20"/>
          <w:szCs w:val="20"/>
          <w:shd w:val="clear" w:color="auto" w:fill="FFFFFF"/>
        </w:rPr>
        <w:t xml:space="preserve"> </w:t>
      </w:r>
      <w:r w:rsidRPr="002A4ED0">
        <w:rPr>
          <w:rFonts w:ascii="Arial" w:hAnsi="Arial" w:cs="Arial"/>
          <w:color w:val="333333"/>
          <w:sz w:val="20"/>
          <w:szCs w:val="20"/>
          <w:shd w:val="clear" w:color="auto" w:fill="FFFFFF"/>
        </w:rPr>
        <w:t>Efforts had been made to resolve these challenges, and six contractors -- civil, mecha</w:t>
      </w:r>
      <w:r w:rsidR="000B30B2" w:rsidRPr="002A4ED0">
        <w:rPr>
          <w:rFonts w:ascii="Arial" w:hAnsi="Arial" w:cs="Arial"/>
          <w:color w:val="333333"/>
          <w:sz w:val="20"/>
          <w:szCs w:val="20"/>
          <w:shd w:val="clear" w:color="auto" w:fill="FFFFFF"/>
        </w:rPr>
        <w:t>nical and electrical -- were</w:t>
      </w:r>
      <w:r w:rsidRPr="002A4ED0">
        <w:rPr>
          <w:rFonts w:ascii="Arial" w:hAnsi="Arial" w:cs="Arial"/>
          <w:color w:val="333333"/>
          <w:sz w:val="20"/>
          <w:szCs w:val="20"/>
          <w:shd w:val="clear" w:color="auto" w:fill="FFFFFF"/>
        </w:rPr>
        <w:t xml:space="preserve"> appointed with expenditure projections estimated at R488 million for the 2022/23 financial year.</w:t>
      </w:r>
    </w:p>
    <w:p w:rsidR="00366E7A" w:rsidRPr="002A4ED0" w:rsidRDefault="00366E7A" w:rsidP="002A4ED0">
      <w:pPr>
        <w:autoSpaceDE w:val="0"/>
        <w:autoSpaceDN w:val="0"/>
        <w:adjustRightInd w:val="0"/>
        <w:spacing w:after="0" w:line="240" w:lineRule="auto"/>
        <w:rPr>
          <w:rFonts w:ascii="Arial" w:hAnsi="Arial" w:cs="Arial"/>
          <w:color w:val="333333"/>
          <w:sz w:val="20"/>
          <w:szCs w:val="20"/>
          <w:shd w:val="clear" w:color="auto" w:fill="FFFFFF"/>
        </w:rPr>
      </w:pPr>
      <w:r w:rsidRPr="002A4ED0">
        <w:rPr>
          <w:rFonts w:ascii="Arial" w:hAnsi="Arial" w:cs="Arial"/>
          <w:color w:val="333333"/>
          <w:sz w:val="20"/>
          <w:szCs w:val="20"/>
        </w:rPr>
        <w:br/>
      </w:r>
      <w:r w:rsidRPr="002A4ED0">
        <w:rPr>
          <w:rFonts w:ascii="Arial" w:hAnsi="Arial" w:cs="Arial"/>
          <w:color w:val="333333"/>
          <w:sz w:val="20"/>
          <w:szCs w:val="20"/>
          <w:shd w:val="clear" w:color="auto" w:fill="FFFFFF"/>
        </w:rPr>
        <w:t xml:space="preserve">The project was </w:t>
      </w:r>
      <w:r w:rsidR="00247BC2" w:rsidRPr="002A4ED0">
        <w:rPr>
          <w:rFonts w:ascii="Arial" w:hAnsi="Arial" w:cs="Arial"/>
          <w:color w:val="333333"/>
          <w:sz w:val="20"/>
          <w:szCs w:val="20"/>
          <w:shd w:val="clear" w:color="auto" w:fill="FFFFFF"/>
        </w:rPr>
        <w:t>being accelerated</w:t>
      </w:r>
      <w:r w:rsidRPr="002A4ED0">
        <w:rPr>
          <w:rFonts w:ascii="Arial" w:hAnsi="Arial" w:cs="Arial"/>
          <w:color w:val="333333"/>
          <w:sz w:val="20"/>
          <w:szCs w:val="20"/>
          <w:shd w:val="clear" w:color="auto" w:fill="FFFFFF"/>
        </w:rPr>
        <w:t>, and it was anticipated that additional funding would be required.</w:t>
      </w:r>
      <w:r w:rsidR="00247BC2" w:rsidRPr="002A4ED0">
        <w:rPr>
          <w:rFonts w:ascii="Arial" w:hAnsi="Arial" w:cs="Arial"/>
          <w:color w:val="333333"/>
          <w:sz w:val="20"/>
          <w:szCs w:val="20"/>
          <w:shd w:val="clear" w:color="auto" w:fill="FFFFFF"/>
        </w:rPr>
        <w:t xml:space="preserve"> </w:t>
      </w:r>
      <w:r w:rsidRPr="002A4ED0">
        <w:rPr>
          <w:rFonts w:ascii="Arial" w:hAnsi="Arial" w:cs="Arial"/>
          <w:color w:val="333333"/>
          <w:sz w:val="20"/>
          <w:szCs w:val="20"/>
          <w:shd w:val="clear" w:color="auto" w:fill="FFFFFF"/>
        </w:rPr>
        <w:t>The current budget allocation of R105 million would be increased with unspent funds from identified non-performing projects.</w:t>
      </w:r>
    </w:p>
    <w:p w:rsidR="00366E7A" w:rsidRPr="002A4ED0" w:rsidRDefault="00916673" w:rsidP="002A4ED0">
      <w:pPr>
        <w:autoSpaceDE w:val="0"/>
        <w:autoSpaceDN w:val="0"/>
        <w:adjustRightInd w:val="0"/>
        <w:spacing w:after="0" w:line="240" w:lineRule="auto"/>
        <w:rPr>
          <w:rStyle w:val="Emphasis"/>
          <w:rFonts w:ascii="Arial" w:hAnsi="Arial" w:cs="Arial"/>
          <w:b/>
          <w:color w:val="333333"/>
          <w:sz w:val="20"/>
          <w:szCs w:val="20"/>
          <w:shd w:val="clear" w:color="auto" w:fill="FFFFFF"/>
        </w:rPr>
      </w:pPr>
      <w:r w:rsidRPr="002A4ED0">
        <w:rPr>
          <w:rStyle w:val="Emphasis"/>
          <w:rFonts w:ascii="Arial" w:hAnsi="Arial" w:cs="Arial"/>
          <w:b/>
          <w:color w:val="333333"/>
          <w:sz w:val="20"/>
          <w:szCs w:val="20"/>
          <w:shd w:val="clear" w:color="auto" w:fill="FFFFFF"/>
        </w:rPr>
        <w:t>4.3</w:t>
      </w:r>
      <w:r w:rsidRPr="002A4ED0">
        <w:rPr>
          <w:rStyle w:val="Emphasis"/>
          <w:rFonts w:ascii="Arial" w:hAnsi="Arial" w:cs="Arial"/>
          <w:b/>
          <w:color w:val="333333"/>
          <w:sz w:val="20"/>
          <w:szCs w:val="20"/>
          <w:shd w:val="clear" w:color="auto" w:fill="FFFFFF"/>
        </w:rPr>
        <w:tab/>
      </w:r>
      <w:r w:rsidR="00366E7A" w:rsidRPr="002A4ED0">
        <w:rPr>
          <w:rStyle w:val="Emphasis"/>
          <w:rFonts w:ascii="Arial" w:hAnsi="Arial" w:cs="Arial"/>
          <w:b/>
          <w:color w:val="333333"/>
          <w:sz w:val="20"/>
          <w:szCs w:val="20"/>
          <w:shd w:val="clear" w:color="auto" w:fill="FFFFFF"/>
        </w:rPr>
        <w:t>Loskop Regional Bulk Water Supply Scheme</w:t>
      </w:r>
    </w:p>
    <w:p w:rsidR="00366E7A" w:rsidRPr="002A4ED0" w:rsidRDefault="00366E7A" w:rsidP="002A4ED0">
      <w:pPr>
        <w:autoSpaceDE w:val="0"/>
        <w:autoSpaceDN w:val="0"/>
        <w:adjustRightInd w:val="0"/>
        <w:spacing w:after="0" w:line="240" w:lineRule="auto"/>
        <w:rPr>
          <w:rFonts w:ascii="Arial" w:hAnsi="Arial" w:cs="Arial"/>
          <w:color w:val="333333"/>
          <w:sz w:val="20"/>
          <w:szCs w:val="20"/>
          <w:shd w:val="clear" w:color="auto" w:fill="FFFFFF"/>
        </w:rPr>
      </w:pPr>
      <w:r w:rsidRPr="002A4ED0">
        <w:rPr>
          <w:rFonts w:ascii="Arial" w:hAnsi="Arial" w:cs="Arial"/>
          <w:color w:val="333333"/>
          <w:sz w:val="20"/>
          <w:szCs w:val="20"/>
        </w:rPr>
        <w:br/>
      </w:r>
      <w:r w:rsidRPr="002A4ED0">
        <w:rPr>
          <w:rFonts w:ascii="Arial" w:hAnsi="Arial" w:cs="Arial"/>
          <w:color w:val="333333"/>
          <w:sz w:val="20"/>
          <w:szCs w:val="20"/>
          <w:shd w:val="clear" w:color="auto" w:fill="FFFFFF"/>
        </w:rPr>
        <w:t>Three contractors for projects with a co</w:t>
      </w:r>
      <w:r w:rsidR="000B30B2" w:rsidRPr="002A4ED0">
        <w:rPr>
          <w:rFonts w:ascii="Arial" w:hAnsi="Arial" w:cs="Arial"/>
          <w:color w:val="333333"/>
          <w:sz w:val="20"/>
          <w:szCs w:val="20"/>
          <w:shd w:val="clear" w:color="auto" w:fill="FFFFFF"/>
        </w:rPr>
        <w:t>mbined value of R1.5 billion were appointed on 5 September. C</w:t>
      </w:r>
      <w:r w:rsidRPr="002A4ED0">
        <w:rPr>
          <w:rFonts w:ascii="Arial" w:hAnsi="Arial" w:cs="Arial"/>
          <w:color w:val="333333"/>
          <w:sz w:val="20"/>
          <w:szCs w:val="20"/>
          <w:shd w:val="clear" w:color="auto" w:fill="FFFFFF"/>
        </w:rPr>
        <w:t xml:space="preserve">onstruction was expected to commence at the end of September, as the contractors were currently busy with contractual obligations such as surety and </w:t>
      </w:r>
      <w:r w:rsidR="00895C83" w:rsidRPr="002A4ED0">
        <w:rPr>
          <w:rFonts w:ascii="Arial" w:hAnsi="Arial" w:cs="Arial"/>
          <w:color w:val="333333"/>
          <w:sz w:val="20"/>
          <w:szCs w:val="20"/>
          <w:shd w:val="clear" w:color="auto" w:fill="FFFFFF"/>
        </w:rPr>
        <w:t>insurance</w:t>
      </w:r>
      <w:r w:rsidRPr="002A4ED0">
        <w:rPr>
          <w:rFonts w:ascii="Arial" w:hAnsi="Arial" w:cs="Arial"/>
          <w:color w:val="333333"/>
          <w:sz w:val="20"/>
          <w:szCs w:val="20"/>
          <w:shd w:val="clear" w:color="auto" w:fill="FFFFFF"/>
        </w:rPr>
        <w:t>.</w:t>
      </w:r>
      <w:r w:rsidRPr="002A4ED0">
        <w:rPr>
          <w:rFonts w:ascii="Arial" w:hAnsi="Arial" w:cs="Arial"/>
          <w:color w:val="333333"/>
          <w:sz w:val="20"/>
          <w:szCs w:val="20"/>
        </w:rPr>
        <w:br/>
      </w:r>
      <w:r w:rsidR="00916673" w:rsidRPr="002A4ED0">
        <w:rPr>
          <w:rFonts w:ascii="Arial" w:hAnsi="Arial" w:cs="Arial"/>
          <w:color w:val="333333"/>
          <w:sz w:val="20"/>
          <w:szCs w:val="20"/>
          <w:shd w:val="clear" w:color="auto" w:fill="FFFFFF"/>
        </w:rPr>
        <w:t>The budget</w:t>
      </w:r>
      <w:r w:rsidRPr="002A4ED0">
        <w:rPr>
          <w:rFonts w:ascii="Arial" w:hAnsi="Arial" w:cs="Arial"/>
          <w:color w:val="333333"/>
          <w:sz w:val="20"/>
          <w:szCs w:val="20"/>
          <w:shd w:val="clear" w:color="auto" w:fill="FFFFFF"/>
        </w:rPr>
        <w:t xml:space="preserve"> allocation of R140 million was projected to be spent in the 2022/23 financial year. Construction would be accelerated, and</w:t>
      </w:r>
      <w:r w:rsidR="000B30B2" w:rsidRPr="002A4ED0">
        <w:rPr>
          <w:rFonts w:ascii="Arial" w:hAnsi="Arial" w:cs="Arial"/>
          <w:color w:val="333333"/>
          <w:sz w:val="20"/>
          <w:szCs w:val="20"/>
          <w:shd w:val="clear" w:color="auto" w:fill="FFFFFF"/>
        </w:rPr>
        <w:t xml:space="preserve"> significant expenditure would be realised</w:t>
      </w:r>
      <w:r w:rsidRPr="002A4ED0">
        <w:rPr>
          <w:rFonts w:ascii="Arial" w:hAnsi="Arial" w:cs="Arial"/>
          <w:color w:val="333333"/>
          <w:sz w:val="20"/>
          <w:szCs w:val="20"/>
          <w:shd w:val="clear" w:color="auto" w:fill="FFFFFF"/>
        </w:rPr>
        <w:t xml:space="preserve"> upon work certification</w:t>
      </w:r>
      <w:r w:rsidR="000B30B2" w:rsidRPr="002A4ED0">
        <w:rPr>
          <w:rFonts w:ascii="Arial" w:hAnsi="Arial" w:cs="Arial"/>
          <w:color w:val="333333"/>
          <w:sz w:val="20"/>
          <w:szCs w:val="20"/>
          <w:shd w:val="clear" w:color="auto" w:fill="FFFFFF"/>
        </w:rPr>
        <w:t>.</w:t>
      </w:r>
    </w:p>
    <w:p w:rsidR="000B30B2" w:rsidRPr="002A4ED0" w:rsidRDefault="000B30B2" w:rsidP="002A4ED0">
      <w:pPr>
        <w:autoSpaceDE w:val="0"/>
        <w:autoSpaceDN w:val="0"/>
        <w:adjustRightInd w:val="0"/>
        <w:spacing w:after="0" w:line="240" w:lineRule="auto"/>
        <w:rPr>
          <w:rStyle w:val="Emphasis"/>
          <w:rFonts w:ascii="Arial" w:hAnsi="Arial" w:cs="Arial"/>
          <w:color w:val="333333"/>
          <w:sz w:val="20"/>
          <w:szCs w:val="20"/>
          <w:shd w:val="clear" w:color="auto" w:fill="FFFFFF"/>
        </w:rPr>
      </w:pPr>
    </w:p>
    <w:p w:rsidR="00366E7A" w:rsidRPr="002A4ED0" w:rsidRDefault="00916673" w:rsidP="002A4ED0">
      <w:pPr>
        <w:autoSpaceDE w:val="0"/>
        <w:autoSpaceDN w:val="0"/>
        <w:adjustRightInd w:val="0"/>
        <w:spacing w:after="0" w:line="240" w:lineRule="auto"/>
        <w:rPr>
          <w:rFonts w:ascii="Arial" w:hAnsi="Arial" w:cs="Arial"/>
          <w:b/>
          <w:color w:val="333333"/>
          <w:sz w:val="20"/>
          <w:szCs w:val="20"/>
          <w:shd w:val="clear" w:color="auto" w:fill="FFFFFF"/>
        </w:rPr>
      </w:pPr>
      <w:r w:rsidRPr="002A4ED0">
        <w:rPr>
          <w:rStyle w:val="Emphasis"/>
          <w:rFonts w:ascii="Arial" w:hAnsi="Arial" w:cs="Arial"/>
          <w:b/>
          <w:color w:val="333333"/>
          <w:sz w:val="20"/>
          <w:szCs w:val="20"/>
          <w:shd w:val="clear" w:color="auto" w:fill="FFFFFF"/>
        </w:rPr>
        <w:t>4.4</w:t>
      </w:r>
      <w:r w:rsidRPr="002A4ED0">
        <w:rPr>
          <w:rStyle w:val="Emphasis"/>
          <w:rFonts w:ascii="Arial" w:hAnsi="Arial" w:cs="Arial"/>
          <w:b/>
          <w:color w:val="333333"/>
          <w:sz w:val="20"/>
          <w:szCs w:val="20"/>
          <w:shd w:val="clear" w:color="auto" w:fill="FFFFFF"/>
        </w:rPr>
        <w:tab/>
      </w:r>
      <w:r w:rsidR="00366E7A" w:rsidRPr="002A4ED0">
        <w:rPr>
          <w:rStyle w:val="Emphasis"/>
          <w:rFonts w:ascii="Arial" w:hAnsi="Arial" w:cs="Arial"/>
          <w:b/>
          <w:color w:val="333333"/>
          <w:sz w:val="20"/>
          <w:szCs w:val="20"/>
          <w:shd w:val="clear" w:color="auto" w:fill="FFFFFF"/>
        </w:rPr>
        <w:t xml:space="preserve">Upgrade of the Olifantspoort and Ebenezer Water Supply Scheme – Lepelle Northern </w:t>
      </w:r>
      <w:r w:rsidRPr="002A4ED0">
        <w:rPr>
          <w:rStyle w:val="Emphasis"/>
          <w:rFonts w:ascii="Arial" w:hAnsi="Arial" w:cs="Arial"/>
          <w:b/>
          <w:color w:val="333333"/>
          <w:sz w:val="20"/>
          <w:szCs w:val="20"/>
          <w:shd w:val="clear" w:color="auto" w:fill="FFFFFF"/>
        </w:rPr>
        <w:tab/>
      </w:r>
      <w:r w:rsidR="00366E7A" w:rsidRPr="002A4ED0">
        <w:rPr>
          <w:rStyle w:val="Emphasis"/>
          <w:rFonts w:ascii="Arial" w:hAnsi="Arial" w:cs="Arial"/>
          <w:b/>
          <w:color w:val="333333"/>
          <w:sz w:val="20"/>
          <w:szCs w:val="20"/>
          <w:shd w:val="clear" w:color="auto" w:fill="FFFFFF"/>
        </w:rPr>
        <w:t>Water</w:t>
      </w:r>
      <w:r w:rsidR="00366E7A" w:rsidRPr="002A4ED0">
        <w:rPr>
          <w:rFonts w:ascii="Arial" w:hAnsi="Arial" w:cs="Arial"/>
          <w:b/>
          <w:color w:val="333333"/>
          <w:sz w:val="20"/>
          <w:szCs w:val="20"/>
        </w:rPr>
        <w:br/>
      </w:r>
    </w:p>
    <w:p w:rsidR="00366E7A" w:rsidRPr="002A4ED0" w:rsidRDefault="00366E7A" w:rsidP="002A4ED0">
      <w:pPr>
        <w:autoSpaceDE w:val="0"/>
        <w:autoSpaceDN w:val="0"/>
        <w:adjustRightInd w:val="0"/>
        <w:spacing w:after="0" w:line="240" w:lineRule="auto"/>
        <w:rPr>
          <w:rFonts w:ascii="Arial" w:hAnsi="Arial" w:cs="Arial"/>
          <w:color w:val="333333"/>
          <w:sz w:val="20"/>
          <w:szCs w:val="20"/>
          <w:shd w:val="clear" w:color="auto" w:fill="FFFFFF"/>
        </w:rPr>
      </w:pPr>
      <w:r w:rsidRPr="002A4ED0">
        <w:rPr>
          <w:rFonts w:ascii="Arial" w:hAnsi="Arial" w:cs="Arial"/>
          <w:color w:val="333333"/>
          <w:sz w:val="20"/>
          <w:szCs w:val="20"/>
          <w:shd w:val="clear" w:color="auto" w:fill="FFFFFF"/>
        </w:rPr>
        <w:t>An amount of R422 million had been allocated through the Budget Facility for Infrastructure Fund.</w:t>
      </w:r>
      <w:r w:rsidRPr="002A4ED0">
        <w:rPr>
          <w:rFonts w:ascii="Arial" w:hAnsi="Arial" w:cs="Arial"/>
          <w:color w:val="333333"/>
          <w:sz w:val="20"/>
          <w:szCs w:val="20"/>
        </w:rPr>
        <w:t xml:space="preserve"> </w:t>
      </w:r>
      <w:r w:rsidRPr="002A4ED0">
        <w:rPr>
          <w:rFonts w:ascii="Arial" w:hAnsi="Arial" w:cs="Arial"/>
          <w:color w:val="333333"/>
          <w:sz w:val="20"/>
          <w:szCs w:val="20"/>
          <w:shd w:val="clear" w:color="auto" w:fill="FFFFFF"/>
        </w:rPr>
        <w:t>A memorandum of agr</w:t>
      </w:r>
      <w:r w:rsidR="00916673" w:rsidRPr="002A4ED0">
        <w:rPr>
          <w:rFonts w:ascii="Arial" w:hAnsi="Arial" w:cs="Arial"/>
          <w:color w:val="333333"/>
          <w:sz w:val="20"/>
          <w:szCs w:val="20"/>
          <w:shd w:val="clear" w:color="auto" w:fill="FFFFFF"/>
        </w:rPr>
        <w:t>eement (MOA) had been concluded.</w:t>
      </w:r>
      <w:r w:rsidRPr="002A4ED0">
        <w:rPr>
          <w:rFonts w:ascii="Arial" w:hAnsi="Arial" w:cs="Arial"/>
          <w:color w:val="333333"/>
          <w:sz w:val="20"/>
          <w:szCs w:val="20"/>
          <w:shd w:val="clear" w:color="auto" w:fill="FFFFFF"/>
        </w:rPr>
        <w:t xml:space="preserve"> </w:t>
      </w:r>
      <w:r w:rsidR="00916673" w:rsidRPr="002A4ED0">
        <w:rPr>
          <w:rFonts w:ascii="Arial" w:hAnsi="Arial" w:cs="Arial"/>
          <w:color w:val="333333"/>
          <w:sz w:val="20"/>
          <w:szCs w:val="20"/>
          <w:shd w:val="clear" w:color="auto" w:fill="FFFFFF"/>
        </w:rPr>
        <w:t>A</w:t>
      </w:r>
      <w:r w:rsidRPr="002A4ED0">
        <w:rPr>
          <w:rFonts w:ascii="Arial" w:hAnsi="Arial" w:cs="Arial"/>
          <w:color w:val="333333"/>
          <w:sz w:val="20"/>
          <w:szCs w:val="20"/>
          <w:shd w:val="clear" w:color="auto" w:fill="FFFFFF"/>
        </w:rPr>
        <w:t xml:space="preserve"> transfer </w:t>
      </w:r>
      <w:r w:rsidR="00916673" w:rsidRPr="002A4ED0">
        <w:rPr>
          <w:rFonts w:ascii="Arial" w:hAnsi="Arial" w:cs="Arial"/>
          <w:color w:val="333333"/>
          <w:sz w:val="20"/>
          <w:szCs w:val="20"/>
          <w:shd w:val="clear" w:color="auto" w:fill="FFFFFF"/>
        </w:rPr>
        <w:t xml:space="preserve">was </w:t>
      </w:r>
      <w:r w:rsidRPr="002A4ED0">
        <w:rPr>
          <w:rFonts w:ascii="Arial" w:hAnsi="Arial" w:cs="Arial"/>
          <w:color w:val="333333"/>
          <w:sz w:val="20"/>
          <w:szCs w:val="20"/>
          <w:shd w:val="clear" w:color="auto" w:fill="FFFFFF"/>
        </w:rPr>
        <w:t>scheduled for the second quarter to enable Lepelle Northern Water to finalise the implementation readiness study and start the refurbishment works.</w:t>
      </w:r>
    </w:p>
    <w:p w:rsidR="00916673" w:rsidRPr="002A4ED0" w:rsidRDefault="00916673" w:rsidP="002A4ED0">
      <w:pPr>
        <w:autoSpaceDE w:val="0"/>
        <w:autoSpaceDN w:val="0"/>
        <w:adjustRightInd w:val="0"/>
        <w:spacing w:after="0" w:line="240" w:lineRule="auto"/>
        <w:rPr>
          <w:rFonts w:ascii="Arial" w:hAnsi="Arial" w:cs="Arial"/>
          <w:color w:val="333333"/>
          <w:sz w:val="20"/>
          <w:szCs w:val="20"/>
          <w:shd w:val="clear" w:color="auto" w:fill="FFFFFF"/>
        </w:rPr>
      </w:pPr>
    </w:p>
    <w:p w:rsidR="00366E7A" w:rsidRPr="002A4ED0" w:rsidRDefault="00916673" w:rsidP="002A4ED0">
      <w:pPr>
        <w:autoSpaceDE w:val="0"/>
        <w:autoSpaceDN w:val="0"/>
        <w:adjustRightInd w:val="0"/>
        <w:spacing w:after="0" w:line="240" w:lineRule="auto"/>
        <w:rPr>
          <w:rStyle w:val="Emphasis"/>
          <w:rFonts w:ascii="Arial" w:hAnsi="Arial" w:cs="Arial"/>
          <w:b/>
          <w:color w:val="333333"/>
          <w:sz w:val="20"/>
          <w:szCs w:val="20"/>
          <w:shd w:val="clear" w:color="auto" w:fill="FFFFFF"/>
        </w:rPr>
      </w:pPr>
      <w:r w:rsidRPr="002A4ED0">
        <w:rPr>
          <w:rStyle w:val="Emphasis"/>
          <w:rFonts w:ascii="Arial" w:hAnsi="Arial" w:cs="Arial"/>
          <w:b/>
          <w:color w:val="333333"/>
          <w:sz w:val="20"/>
          <w:szCs w:val="20"/>
          <w:shd w:val="clear" w:color="auto" w:fill="FFFFFF"/>
        </w:rPr>
        <w:t>4.5</w:t>
      </w:r>
      <w:r w:rsidRPr="002A4ED0">
        <w:rPr>
          <w:rStyle w:val="Emphasis"/>
          <w:rFonts w:ascii="Arial" w:hAnsi="Arial" w:cs="Arial"/>
          <w:b/>
          <w:color w:val="333333"/>
          <w:sz w:val="20"/>
          <w:szCs w:val="20"/>
          <w:shd w:val="clear" w:color="auto" w:fill="FFFFFF"/>
        </w:rPr>
        <w:tab/>
      </w:r>
      <w:r w:rsidR="00366E7A" w:rsidRPr="002A4ED0">
        <w:rPr>
          <w:rStyle w:val="Emphasis"/>
          <w:rFonts w:ascii="Arial" w:hAnsi="Arial" w:cs="Arial"/>
          <w:b/>
          <w:color w:val="333333"/>
          <w:sz w:val="20"/>
          <w:szCs w:val="20"/>
          <w:shd w:val="clear" w:color="auto" w:fill="FFFFFF"/>
        </w:rPr>
        <w:t>Budget reallocations between projects within the same province</w:t>
      </w:r>
    </w:p>
    <w:p w:rsidR="002D742A" w:rsidRPr="002A4ED0" w:rsidRDefault="00366E7A" w:rsidP="002A4ED0">
      <w:pPr>
        <w:autoSpaceDE w:val="0"/>
        <w:autoSpaceDN w:val="0"/>
        <w:adjustRightInd w:val="0"/>
        <w:spacing w:after="0" w:line="240" w:lineRule="auto"/>
        <w:rPr>
          <w:rFonts w:ascii="Arial" w:hAnsi="Arial" w:cs="Arial"/>
          <w:sz w:val="20"/>
          <w:szCs w:val="20"/>
        </w:rPr>
      </w:pPr>
      <w:r w:rsidRPr="002A4ED0">
        <w:rPr>
          <w:rFonts w:ascii="Arial" w:hAnsi="Arial" w:cs="Arial"/>
          <w:color w:val="333333"/>
          <w:sz w:val="20"/>
          <w:szCs w:val="20"/>
        </w:rPr>
        <w:br/>
      </w:r>
      <w:r w:rsidRPr="002A4ED0">
        <w:rPr>
          <w:rFonts w:ascii="Arial" w:hAnsi="Arial" w:cs="Arial"/>
          <w:color w:val="333333"/>
          <w:sz w:val="20"/>
          <w:szCs w:val="20"/>
          <w:shd w:val="clear" w:color="auto" w:fill="FFFFFF"/>
        </w:rPr>
        <w:t>Reallocations between projects were also being processed and aimed at preventing under-spending.</w:t>
      </w:r>
      <w:r w:rsidRPr="002A4ED0">
        <w:rPr>
          <w:rFonts w:ascii="Arial" w:hAnsi="Arial" w:cs="Arial"/>
          <w:color w:val="333333"/>
          <w:sz w:val="20"/>
          <w:szCs w:val="20"/>
        </w:rPr>
        <w:br/>
      </w:r>
    </w:p>
    <w:p w:rsidR="00BE1A1F" w:rsidRPr="002A4ED0" w:rsidRDefault="00EB5D52" w:rsidP="002A4ED0">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r w:rsidRPr="002A4ED0">
        <w:rPr>
          <w:rFonts w:ascii="Arial" w:eastAsia="Times New Roman" w:hAnsi="Arial" w:cs="Arial"/>
          <w:b/>
          <w:color w:val="000000"/>
          <w:spacing w:val="6"/>
          <w:sz w:val="20"/>
          <w:szCs w:val="20"/>
          <w:lang w:val="en-GB" w:eastAsia="en-GB"/>
        </w:rPr>
        <w:t>5</w:t>
      </w:r>
      <w:r w:rsidR="00BE1A1F" w:rsidRPr="002A4ED0">
        <w:rPr>
          <w:rFonts w:ascii="Arial" w:eastAsia="Times New Roman" w:hAnsi="Arial" w:cs="Arial"/>
          <w:b/>
          <w:color w:val="000000"/>
          <w:spacing w:val="6"/>
          <w:sz w:val="20"/>
          <w:szCs w:val="20"/>
          <w:lang w:val="en-GB" w:eastAsia="en-GB"/>
        </w:rPr>
        <w:t>.</w:t>
      </w:r>
      <w:r w:rsidR="00BE1A1F" w:rsidRPr="002A4ED0">
        <w:rPr>
          <w:rFonts w:ascii="Arial" w:eastAsia="Times New Roman" w:hAnsi="Arial" w:cs="Arial"/>
          <w:b/>
          <w:color w:val="000000"/>
          <w:spacing w:val="6"/>
          <w:sz w:val="20"/>
          <w:szCs w:val="20"/>
          <w:lang w:val="en-GB" w:eastAsia="en-GB"/>
        </w:rPr>
        <w:tab/>
        <w:t>OBSERVATIONS AND RECOMMENDATIONS</w:t>
      </w:r>
    </w:p>
    <w:p w:rsidR="00BE1A1F" w:rsidRPr="002A4ED0" w:rsidRDefault="00BE1A1F" w:rsidP="002A4ED0">
      <w:pPr>
        <w:shd w:val="clear" w:color="auto" w:fill="FFFFFF"/>
        <w:spacing w:after="0" w:line="240" w:lineRule="auto"/>
        <w:rPr>
          <w:rFonts w:ascii="Arial" w:eastAsia="Times New Roman" w:hAnsi="Arial" w:cs="Arial"/>
          <w:color w:val="333333"/>
          <w:sz w:val="20"/>
          <w:szCs w:val="20"/>
          <w:lang w:eastAsia="en-ZA"/>
        </w:rPr>
      </w:pPr>
    </w:p>
    <w:p w:rsidR="00BE1A1F" w:rsidRPr="002A4ED0" w:rsidRDefault="00BE1A1F" w:rsidP="002A4ED0">
      <w:pPr>
        <w:shd w:val="clear" w:color="auto" w:fill="FFFFFF"/>
        <w:spacing w:after="0" w:line="240" w:lineRule="auto"/>
        <w:rPr>
          <w:rFonts w:ascii="Arial" w:eastAsia="Times New Roman" w:hAnsi="Arial" w:cs="Arial"/>
          <w:color w:val="333333"/>
          <w:sz w:val="20"/>
          <w:szCs w:val="20"/>
          <w:lang w:eastAsia="en-ZA"/>
        </w:rPr>
      </w:pPr>
      <w:r w:rsidRPr="002A4ED0">
        <w:rPr>
          <w:rFonts w:ascii="Arial" w:eastAsia="Times New Roman" w:hAnsi="Arial" w:cs="Arial"/>
          <w:color w:val="333333"/>
          <w:sz w:val="20"/>
          <w:szCs w:val="20"/>
          <w:lang w:eastAsia="en-ZA"/>
        </w:rPr>
        <w:t>Members of the Portfolio</w:t>
      </w:r>
      <w:r w:rsidR="003514F9" w:rsidRPr="002A4ED0">
        <w:rPr>
          <w:rFonts w:ascii="Arial" w:eastAsia="Times New Roman" w:hAnsi="Arial" w:cs="Arial"/>
          <w:color w:val="333333"/>
          <w:sz w:val="20"/>
          <w:szCs w:val="20"/>
          <w:lang w:eastAsia="en-ZA"/>
        </w:rPr>
        <w:t xml:space="preserve"> Committee on W</w:t>
      </w:r>
      <w:r w:rsidRPr="002A4ED0">
        <w:rPr>
          <w:rFonts w:ascii="Arial" w:eastAsia="Times New Roman" w:hAnsi="Arial" w:cs="Arial"/>
          <w:color w:val="333333"/>
          <w:sz w:val="20"/>
          <w:szCs w:val="20"/>
          <w:lang w:eastAsia="en-ZA"/>
        </w:rPr>
        <w:t>ater and Sanitation, having de</w:t>
      </w:r>
      <w:r w:rsidR="003166C9" w:rsidRPr="002A4ED0">
        <w:rPr>
          <w:rFonts w:ascii="Arial" w:eastAsia="Times New Roman" w:hAnsi="Arial" w:cs="Arial"/>
          <w:color w:val="333333"/>
          <w:sz w:val="20"/>
          <w:szCs w:val="20"/>
          <w:lang w:eastAsia="en-ZA"/>
        </w:rPr>
        <w:t>liberated on the presentation of</w:t>
      </w:r>
      <w:r w:rsidRPr="002A4ED0">
        <w:rPr>
          <w:rFonts w:ascii="Arial" w:eastAsia="Times New Roman" w:hAnsi="Arial" w:cs="Arial"/>
          <w:color w:val="333333"/>
          <w:sz w:val="20"/>
          <w:szCs w:val="20"/>
          <w:lang w:eastAsia="en-ZA"/>
        </w:rPr>
        <w:t xml:space="preserve"> the first quarterly expenditure report of the Department of Water and Sanitation (Vote 41)</w:t>
      </w:r>
      <w:r w:rsidR="003166C9" w:rsidRPr="002A4ED0">
        <w:rPr>
          <w:rFonts w:ascii="Arial" w:eastAsia="Times New Roman" w:hAnsi="Arial" w:cs="Arial"/>
          <w:color w:val="333333"/>
          <w:sz w:val="20"/>
          <w:szCs w:val="20"/>
          <w:lang w:eastAsia="en-ZA"/>
        </w:rPr>
        <w:t>,</w:t>
      </w:r>
      <w:r w:rsidRPr="002A4ED0">
        <w:rPr>
          <w:rFonts w:ascii="Arial" w:eastAsia="Times New Roman" w:hAnsi="Arial" w:cs="Arial"/>
          <w:color w:val="333333"/>
          <w:sz w:val="20"/>
          <w:szCs w:val="20"/>
          <w:lang w:eastAsia="en-ZA"/>
        </w:rPr>
        <w:t xml:space="preserve"> derived the following observations and related recommendations:</w:t>
      </w:r>
    </w:p>
    <w:p w:rsidR="00704682" w:rsidRPr="002A4ED0" w:rsidRDefault="00704682" w:rsidP="002A4ED0">
      <w:pPr>
        <w:shd w:val="clear" w:color="auto" w:fill="FFFFFF"/>
        <w:spacing w:after="0" w:line="240" w:lineRule="auto"/>
        <w:rPr>
          <w:rFonts w:ascii="Arial" w:eastAsia="Times New Roman" w:hAnsi="Arial" w:cs="Arial"/>
          <w:color w:val="333333"/>
          <w:sz w:val="20"/>
          <w:szCs w:val="20"/>
          <w:lang w:eastAsia="en-ZA"/>
        </w:rPr>
      </w:pPr>
    </w:p>
    <w:p w:rsidR="00BE1A1F" w:rsidRPr="002A4ED0" w:rsidRDefault="00EB5D52" w:rsidP="002A4ED0">
      <w:pPr>
        <w:suppressAutoHyphens/>
        <w:autoSpaceDN w:val="0"/>
        <w:spacing w:after="0" w:line="240" w:lineRule="auto"/>
        <w:textAlignment w:val="baseline"/>
        <w:rPr>
          <w:rFonts w:ascii="Arial" w:eastAsia="Times New Roman" w:hAnsi="Arial" w:cs="Arial"/>
          <w:b/>
          <w:color w:val="333333"/>
          <w:spacing w:val="6"/>
          <w:sz w:val="20"/>
          <w:szCs w:val="20"/>
          <w:lang w:val="en-GB" w:eastAsia="en-GB"/>
        </w:rPr>
      </w:pPr>
      <w:r w:rsidRPr="002A4ED0">
        <w:rPr>
          <w:rFonts w:ascii="Arial" w:eastAsia="Times New Roman" w:hAnsi="Arial" w:cs="Arial"/>
          <w:b/>
          <w:color w:val="333333"/>
          <w:spacing w:val="6"/>
          <w:sz w:val="20"/>
          <w:szCs w:val="20"/>
          <w:lang w:val="en-GB" w:eastAsia="en-GB"/>
        </w:rPr>
        <w:t>5</w:t>
      </w:r>
      <w:r w:rsidR="00BE1A1F" w:rsidRPr="002A4ED0">
        <w:rPr>
          <w:rFonts w:ascii="Arial" w:eastAsia="Times New Roman" w:hAnsi="Arial" w:cs="Arial"/>
          <w:b/>
          <w:color w:val="333333"/>
          <w:spacing w:val="6"/>
          <w:sz w:val="20"/>
          <w:szCs w:val="20"/>
          <w:lang w:val="en-GB" w:eastAsia="en-GB"/>
        </w:rPr>
        <w:t>.1</w:t>
      </w:r>
      <w:r w:rsidR="00BE1A1F" w:rsidRPr="002A4ED0">
        <w:rPr>
          <w:rFonts w:ascii="Arial" w:eastAsia="Times New Roman" w:hAnsi="Arial" w:cs="Arial"/>
          <w:b/>
          <w:color w:val="333333"/>
          <w:spacing w:val="6"/>
          <w:sz w:val="20"/>
          <w:szCs w:val="20"/>
          <w:lang w:val="en-GB" w:eastAsia="en-GB"/>
        </w:rPr>
        <w:tab/>
      </w:r>
      <w:r w:rsidR="00BE1A1F" w:rsidRPr="002A4ED0">
        <w:rPr>
          <w:rFonts w:ascii="Arial" w:eastAsia="Times New Roman" w:hAnsi="Arial" w:cs="Arial"/>
          <w:color w:val="333333"/>
          <w:spacing w:val="6"/>
          <w:sz w:val="20"/>
          <w:szCs w:val="20"/>
          <w:lang w:val="en-GB" w:eastAsia="en-GB"/>
        </w:rPr>
        <w:t xml:space="preserve"> </w:t>
      </w:r>
      <w:r w:rsidR="00FD74CB" w:rsidRPr="002A4ED0">
        <w:rPr>
          <w:rFonts w:ascii="Arial" w:eastAsia="Times New Roman" w:hAnsi="Arial" w:cs="Arial"/>
          <w:b/>
          <w:color w:val="333333"/>
          <w:spacing w:val="6"/>
          <w:sz w:val="20"/>
          <w:szCs w:val="20"/>
          <w:lang w:val="en-GB" w:eastAsia="en-GB"/>
        </w:rPr>
        <w:t>Challenges experienced by implementing agents</w:t>
      </w:r>
    </w:p>
    <w:p w:rsidR="00710D7D" w:rsidRPr="002A4ED0" w:rsidRDefault="00710D7D" w:rsidP="002A4ED0">
      <w:pPr>
        <w:suppressAutoHyphens/>
        <w:autoSpaceDN w:val="0"/>
        <w:spacing w:after="0" w:line="240" w:lineRule="auto"/>
        <w:textAlignment w:val="baseline"/>
        <w:rPr>
          <w:rFonts w:ascii="Arial" w:eastAsia="Times New Roman" w:hAnsi="Arial" w:cs="Arial"/>
          <w:color w:val="333333"/>
          <w:spacing w:val="6"/>
          <w:sz w:val="20"/>
          <w:szCs w:val="20"/>
          <w:lang w:val="en-GB" w:eastAsia="en-GB"/>
        </w:rPr>
      </w:pPr>
    </w:p>
    <w:p w:rsidR="001F5166" w:rsidRPr="002A4ED0" w:rsidRDefault="00704682" w:rsidP="002A4ED0">
      <w:pPr>
        <w:suppressAutoHyphens/>
        <w:autoSpaceDN w:val="0"/>
        <w:spacing w:after="0" w:line="240" w:lineRule="auto"/>
        <w:textAlignment w:val="baseline"/>
        <w:rPr>
          <w:rFonts w:ascii="Arial" w:eastAsia="Times New Roman" w:hAnsi="Arial" w:cs="Arial"/>
          <w:color w:val="333333"/>
          <w:spacing w:val="6"/>
          <w:sz w:val="20"/>
          <w:szCs w:val="20"/>
          <w:lang w:val="en-GB" w:eastAsia="en-GB"/>
        </w:rPr>
      </w:pPr>
      <w:r w:rsidRPr="002A4ED0">
        <w:rPr>
          <w:rFonts w:ascii="Arial" w:eastAsia="Times New Roman" w:hAnsi="Arial" w:cs="Arial"/>
          <w:color w:val="333333"/>
          <w:spacing w:val="6"/>
          <w:sz w:val="20"/>
          <w:szCs w:val="20"/>
          <w:lang w:val="en-GB" w:eastAsia="en-GB"/>
        </w:rPr>
        <w:t>I</w:t>
      </w:r>
      <w:r w:rsidR="001F5166" w:rsidRPr="002A4ED0">
        <w:rPr>
          <w:rFonts w:ascii="Arial" w:eastAsia="Times New Roman" w:hAnsi="Arial" w:cs="Arial"/>
          <w:color w:val="333333"/>
          <w:spacing w:val="6"/>
          <w:sz w:val="20"/>
          <w:szCs w:val="20"/>
          <w:lang w:val="en-GB" w:eastAsia="en-GB"/>
        </w:rPr>
        <w:t>n response to the challenges experienced by implementing agents</w:t>
      </w:r>
      <w:r w:rsidR="00684C7F" w:rsidRPr="002A4ED0">
        <w:rPr>
          <w:rFonts w:ascii="Arial" w:eastAsia="Times New Roman" w:hAnsi="Arial" w:cs="Arial"/>
          <w:color w:val="333333"/>
          <w:spacing w:val="6"/>
          <w:sz w:val="20"/>
          <w:szCs w:val="20"/>
          <w:lang w:val="en-GB" w:eastAsia="en-GB"/>
        </w:rPr>
        <w:t>,</w:t>
      </w:r>
      <w:r w:rsidR="001F5166" w:rsidRPr="002A4ED0">
        <w:rPr>
          <w:rFonts w:ascii="Arial" w:eastAsia="Times New Roman" w:hAnsi="Arial" w:cs="Arial"/>
          <w:color w:val="333333"/>
          <w:spacing w:val="6"/>
          <w:sz w:val="20"/>
          <w:szCs w:val="20"/>
          <w:lang w:val="en-GB" w:eastAsia="en-GB"/>
        </w:rPr>
        <w:t xml:space="preserve"> such as capacity constraints, the Department will provide detailed reports on work of the implementing agents per province. The reports would clarify the stages of work of the implementing agents, and the departmental assistance and oversight to accelerate the process.</w:t>
      </w:r>
    </w:p>
    <w:p w:rsidR="001F5166" w:rsidRPr="002A4ED0" w:rsidRDefault="001F5166" w:rsidP="002A4ED0">
      <w:pPr>
        <w:suppressAutoHyphens/>
        <w:autoSpaceDN w:val="0"/>
        <w:spacing w:after="0" w:line="240" w:lineRule="auto"/>
        <w:textAlignment w:val="baseline"/>
        <w:rPr>
          <w:rFonts w:ascii="Arial" w:eastAsia="Times New Roman" w:hAnsi="Arial" w:cs="Arial"/>
          <w:color w:val="333333"/>
          <w:spacing w:val="6"/>
          <w:sz w:val="20"/>
          <w:szCs w:val="20"/>
          <w:lang w:val="en-GB" w:eastAsia="en-GB"/>
        </w:rPr>
      </w:pPr>
    </w:p>
    <w:p w:rsidR="001F5166" w:rsidRPr="002A4ED0" w:rsidRDefault="00EB5D52" w:rsidP="002A4ED0">
      <w:pPr>
        <w:suppressAutoHyphens/>
        <w:autoSpaceDN w:val="0"/>
        <w:spacing w:after="0" w:line="240" w:lineRule="auto"/>
        <w:textAlignment w:val="baseline"/>
        <w:rPr>
          <w:rFonts w:ascii="Arial" w:eastAsia="Calibri" w:hAnsi="Arial" w:cs="Arial"/>
          <w:i/>
          <w:sz w:val="20"/>
          <w:szCs w:val="20"/>
          <w:lang w:eastAsia="en-ZA"/>
        </w:rPr>
      </w:pPr>
      <w:r w:rsidRPr="002A4ED0">
        <w:rPr>
          <w:rFonts w:ascii="Arial" w:eastAsia="Times New Roman" w:hAnsi="Arial" w:cs="Arial"/>
          <w:i/>
          <w:color w:val="333333"/>
          <w:spacing w:val="6"/>
          <w:sz w:val="20"/>
          <w:szCs w:val="20"/>
          <w:lang w:val="en-GB" w:eastAsia="en-GB"/>
        </w:rPr>
        <w:t>5</w:t>
      </w:r>
      <w:r w:rsidR="001F5166" w:rsidRPr="002A4ED0">
        <w:rPr>
          <w:rFonts w:ascii="Arial" w:eastAsia="Times New Roman" w:hAnsi="Arial" w:cs="Arial"/>
          <w:i/>
          <w:color w:val="333333"/>
          <w:spacing w:val="6"/>
          <w:sz w:val="20"/>
          <w:szCs w:val="20"/>
          <w:lang w:val="en-GB" w:eastAsia="en-GB"/>
        </w:rPr>
        <w:t>.1.1</w:t>
      </w:r>
      <w:r w:rsidR="001F5166" w:rsidRPr="002A4ED0">
        <w:rPr>
          <w:rFonts w:ascii="Arial" w:eastAsia="Times New Roman" w:hAnsi="Arial" w:cs="Arial"/>
          <w:b/>
          <w:i/>
          <w:color w:val="333333"/>
          <w:spacing w:val="6"/>
          <w:sz w:val="20"/>
          <w:szCs w:val="20"/>
          <w:lang w:val="en-GB" w:eastAsia="en-GB"/>
        </w:rPr>
        <w:t xml:space="preserve"> </w:t>
      </w:r>
      <w:r w:rsidR="001F5166" w:rsidRPr="002A4ED0">
        <w:rPr>
          <w:rFonts w:ascii="Arial" w:eastAsia="Times New Roman" w:hAnsi="Arial" w:cs="Arial"/>
          <w:i/>
          <w:color w:val="333333"/>
          <w:spacing w:val="6"/>
          <w:sz w:val="20"/>
          <w:szCs w:val="20"/>
          <w:lang w:val="en-GB" w:eastAsia="en-GB"/>
        </w:rPr>
        <w:t>The Department sh</w:t>
      </w:r>
      <w:r w:rsidR="00684C7F" w:rsidRPr="002A4ED0">
        <w:rPr>
          <w:rFonts w:ascii="Arial" w:eastAsia="Times New Roman" w:hAnsi="Arial" w:cs="Arial"/>
          <w:i/>
          <w:color w:val="333333"/>
          <w:spacing w:val="6"/>
          <w:sz w:val="20"/>
          <w:szCs w:val="20"/>
          <w:lang w:val="en-GB" w:eastAsia="en-GB"/>
        </w:rPr>
        <w:t>ould, within a set timeframe,</w:t>
      </w:r>
      <w:r w:rsidR="001F5166" w:rsidRPr="002A4ED0">
        <w:rPr>
          <w:rFonts w:ascii="Arial" w:eastAsia="Times New Roman" w:hAnsi="Arial" w:cs="Arial"/>
          <w:i/>
          <w:color w:val="333333"/>
          <w:spacing w:val="6"/>
          <w:sz w:val="20"/>
          <w:szCs w:val="20"/>
          <w:lang w:val="en-GB" w:eastAsia="en-GB"/>
        </w:rPr>
        <w:t xml:space="preserve"> be determined by the Portfolio Committee </w:t>
      </w:r>
      <w:r w:rsidR="00684C7F" w:rsidRPr="002A4ED0">
        <w:rPr>
          <w:rFonts w:ascii="Arial" w:eastAsia="Times New Roman" w:hAnsi="Arial" w:cs="Arial"/>
          <w:i/>
          <w:color w:val="333333"/>
          <w:spacing w:val="6"/>
          <w:sz w:val="20"/>
          <w:szCs w:val="20"/>
          <w:lang w:val="en-GB" w:eastAsia="en-GB"/>
        </w:rPr>
        <w:t xml:space="preserve">to </w:t>
      </w:r>
      <w:r w:rsidR="001F5166" w:rsidRPr="002A4ED0">
        <w:rPr>
          <w:rFonts w:ascii="Arial" w:eastAsia="Times New Roman" w:hAnsi="Arial" w:cs="Arial"/>
          <w:i/>
          <w:color w:val="333333"/>
          <w:spacing w:val="6"/>
          <w:sz w:val="20"/>
          <w:szCs w:val="20"/>
          <w:lang w:val="en-GB" w:eastAsia="en-GB"/>
        </w:rPr>
        <w:t>provi</w:t>
      </w:r>
      <w:r w:rsidR="00684C7F" w:rsidRPr="002A4ED0">
        <w:rPr>
          <w:rFonts w:ascii="Arial" w:eastAsia="Times New Roman" w:hAnsi="Arial" w:cs="Arial"/>
          <w:i/>
          <w:color w:val="333333"/>
          <w:spacing w:val="6"/>
          <w:sz w:val="20"/>
          <w:szCs w:val="20"/>
          <w:lang w:val="en-GB" w:eastAsia="en-GB"/>
        </w:rPr>
        <w:t>de detailed written responses to</w:t>
      </w:r>
      <w:r w:rsidR="001F5166" w:rsidRPr="002A4ED0">
        <w:rPr>
          <w:rFonts w:ascii="Arial" w:eastAsia="Times New Roman" w:hAnsi="Arial" w:cs="Arial"/>
          <w:i/>
          <w:color w:val="333333"/>
          <w:spacing w:val="6"/>
          <w:sz w:val="20"/>
          <w:szCs w:val="20"/>
          <w:lang w:val="en-GB" w:eastAsia="en-GB"/>
        </w:rPr>
        <w:t xml:space="preserve"> constraints encountered by implementing agents in each province, and departmental mitigation strategies to resolve the challenges.</w:t>
      </w:r>
    </w:p>
    <w:p w:rsidR="00BE1A1F" w:rsidRPr="002A4ED0" w:rsidRDefault="00BE1A1F" w:rsidP="002A4ED0">
      <w:pPr>
        <w:shd w:val="clear" w:color="auto" w:fill="FFFFFF"/>
        <w:spacing w:after="0" w:line="240" w:lineRule="auto"/>
        <w:rPr>
          <w:rFonts w:ascii="Arial" w:eastAsia="Times New Roman" w:hAnsi="Arial" w:cs="Arial"/>
          <w:color w:val="333333"/>
          <w:sz w:val="20"/>
          <w:szCs w:val="20"/>
          <w:highlight w:val="yellow"/>
          <w:lang w:eastAsia="en-ZA"/>
        </w:rPr>
      </w:pPr>
    </w:p>
    <w:p w:rsidR="00BE1A1F" w:rsidRPr="002A4ED0" w:rsidRDefault="008902E1" w:rsidP="002A4ED0">
      <w:pPr>
        <w:suppressAutoHyphens/>
        <w:autoSpaceDN w:val="0"/>
        <w:spacing w:after="0" w:line="240" w:lineRule="auto"/>
        <w:textAlignment w:val="baseline"/>
        <w:rPr>
          <w:rFonts w:ascii="Arial" w:eastAsia="Calibri" w:hAnsi="Arial" w:cs="Arial"/>
          <w:sz w:val="20"/>
          <w:szCs w:val="20"/>
          <w:lang w:eastAsia="en-ZA"/>
        </w:rPr>
      </w:pPr>
      <w:r w:rsidRPr="002A4ED0">
        <w:rPr>
          <w:rFonts w:ascii="Arial" w:eastAsia="Times New Roman" w:hAnsi="Arial" w:cs="Arial"/>
          <w:b/>
          <w:color w:val="000000"/>
          <w:spacing w:val="6"/>
          <w:sz w:val="20"/>
          <w:szCs w:val="20"/>
          <w:lang w:val="en-GB" w:eastAsia="en-GB"/>
        </w:rPr>
        <w:t>5</w:t>
      </w:r>
      <w:r w:rsidR="00BE1A1F" w:rsidRPr="002A4ED0">
        <w:rPr>
          <w:rFonts w:ascii="Arial" w:eastAsia="Times New Roman" w:hAnsi="Arial" w:cs="Arial"/>
          <w:b/>
          <w:color w:val="000000"/>
          <w:spacing w:val="6"/>
          <w:sz w:val="20"/>
          <w:szCs w:val="20"/>
          <w:lang w:val="en-GB" w:eastAsia="en-GB"/>
        </w:rPr>
        <w:t>.2</w:t>
      </w:r>
      <w:r w:rsidR="00FD74CB" w:rsidRPr="002A4ED0">
        <w:rPr>
          <w:rFonts w:ascii="Arial" w:eastAsia="Times New Roman" w:hAnsi="Arial" w:cs="Arial"/>
          <w:b/>
          <w:color w:val="000000"/>
          <w:spacing w:val="6"/>
          <w:sz w:val="20"/>
          <w:szCs w:val="20"/>
          <w:lang w:val="en-GB" w:eastAsia="en-GB"/>
        </w:rPr>
        <w:tab/>
      </w:r>
      <w:r w:rsidR="004262BA" w:rsidRPr="002A4ED0">
        <w:rPr>
          <w:rFonts w:ascii="Arial" w:eastAsia="Times New Roman" w:hAnsi="Arial" w:cs="Arial"/>
          <w:b/>
          <w:color w:val="000000"/>
          <w:spacing w:val="6"/>
          <w:sz w:val="20"/>
          <w:szCs w:val="20"/>
          <w:lang w:val="en-GB" w:eastAsia="en-GB"/>
        </w:rPr>
        <w:t>Irregular expenditure and c</w:t>
      </w:r>
      <w:r w:rsidR="00FD74CB" w:rsidRPr="002A4ED0">
        <w:rPr>
          <w:rFonts w:ascii="Arial" w:eastAsia="Calibri" w:hAnsi="Arial" w:cs="Arial"/>
          <w:b/>
          <w:sz w:val="20"/>
          <w:szCs w:val="20"/>
          <w:lang w:eastAsia="en-ZA"/>
        </w:rPr>
        <w:t>ond</w:t>
      </w:r>
      <w:r w:rsidR="004262BA" w:rsidRPr="002A4ED0">
        <w:rPr>
          <w:rFonts w:ascii="Arial" w:eastAsia="Calibri" w:hAnsi="Arial" w:cs="Arial"/>
          <w:b/>
          <w:sz w:val="20"/>
          <w:szCs w:val="20"/>
          <w:lang w:eastAsia="en-ZA"/>
        </w:rPr>
        <w:t>onation thereof</w:t>
      </w:r>
    </w:p>
    <w:p w:rsidR="00710D7D" w:rsidRPr="002A4ED0" w:rsidRDefault="00710D7D" w:rsidP="002A4ED0">
      <w:pPr>
        <w:spacing w:after="0" w:line="240" w:lineRule="auto"/>
        <w:rPr>
          <w:rFonts w:ascii="Arial" w:eastAsia="Calibri" w:hAnsi="Arial" w:cs="Arial"/>
          <w:sz w:val="20"/>
          <w:szCs w:val="20"/>
          <w:lang w:eastAsia="en-ZA"/>
        </w:rPr>
      </w:pPr>
    </w:p>
    <w:p w:rsidR="00FE588C" w:rsidRPr="002A4ED0" w:rsidRDefault="004A1E9D" w:rsidP="002A4ED0">
      <w:pPr>
        <w:spacing w:after="0" w:line="240" w:lineRule="auto"/>
        <w:rPr>
          <w:rFonts w:ascii="Arial" w:eastAsia="Calibri" w:hAnsi="Arial" w:cs="Arial"/>
          <w:sz w:val="20"/>
          <w:szCs w:val="20"/>
          <w:lang w:eastAsia="en-ZA"/>
        </w:rPr>
      </w:pPr>
      <w:r w:rsidRPr="002A4ED0">
        <w:rPr>
          <w:rFonts w:ascii="Arial" w:eastAsia="Calibri" w:hAnsi="Arial" w:cs="Arial"/>
          <w:sz w:val="20"/>
          <w:szCs w:val="20"/>
          <w:lang w:eastAsia="en-ZA"/>
        </w:rPr>
        <w:t>In response to the lengthy process of condonation of irregular expenditure, the Department noted that there is a set process</w:t>
      </w:r>
      <w:r w:rsidR="00684C7F" w:rsidRPr="002A4ED0">
        <w:rPr>
          <w:rFonts w:ascii="Arial" w:eastAsia="Calibri" w:hAnsi="Arial" w:cs="Arial"/>
          <w:sz w:val="20"/>
          <w:szCs w:val="20"/>
          <w:lang w:eastAsia="en-ZA"/>
        </w:rPr>
        <w:t xml:space="preserve"> that National Treasury follows</w:t>
      </w:r>
      <w:r w:rsidRPr="002A4ED0">
        <w:rPr>
          <w:rFonts w:ascii="Arial" w:eastAsia="Calibri" w:hAnsi="Arial" w:cs="Arial"/>
          <w:sz w:val="20"/>
          <w:szCs w:val="20"/>
          <w:lang w:eastAsia="en-ZA"/>
        </w:rPr>
        <w:t xml:space="preserve"> before condoning any amount.  The Department has followed all the rules and procedures of Treasury on the condonation of requested amounts.  The requirements included the Department’s ability to</w:t>
      </w:r>
      <w:r w:rsidR="00684C7F" w:rsidRPr="002A4ED0">
        <w:rPr>
          <w:rFonts w:ascii="Arial" w:eastAsia="Calibri" w:hAnsi="Arial" w:cs="Arial"/>
          <w:sz w:val="20"/>
          <w:szCs w:val="20"/>
          <w:lang w:eastAsia="en-ZA"/>
        </w:rPr>
        <w:t xml:space="preserve"> recoup funds and instigating</w:t>
      </w:r>
      <w:r w:rsidRPr="002A4ED0">
        <w:rPr>
          <w:rFonts w:ascii="Arial" w:eastAsia="Calibri" w:hAnsi="Arial" w:cs="Arial"/>
          <w:sz w:val="20"/>
          <w:szCs w:val="20"/>
          <w:lang w:eastAsia="en-ZA"/>
        </w:rPr>
        <w:t xml:space="preserve"> disciplinary measures</w:t>
      </w:r>
      <w:r w:rsidR="00684C7F" w:rsidRPr="002A4ED0">
        <w:rPr>
          <w:rFonts w:ascii="Arial" w:eastAsia="Calibri" w:hAnsi="Arial" w:cs="Arial"/>
          <w:sz w:val="20"/>
          <w:szCs w:val="20"/>
          <w:lang w:eastAsia="en-ZA"/>
        </w:rPr>
        <w:t>, including charges of</w:t>
      </w:r>
      <w:r w:rsidR="00B628CB" w:rsidRPr="002A4ED0">
        <w:rPr>
          <w:rFonts w:ascii="Arial" w:eastAsia="Calibri" w:hAnsi="Arial" w:cs="Arial"/>
          <w:sz w:val="20"/>
          <w:szCs w:val="20"/>
          <w:lang w:eastAsia="en-ZA"/>
        </w:rPr>
        <w:t xml:space="preserve"> fraud and corruption by transgressing officials.</w:t>
      </w:r>
      <w:r w:rsidR="00FE588C" w:rsidRPr="002A4ED0">
        <w:rPr>
          <w:rFonts w:ascii="Arial" w:eastAsia="Calibri" w:hAnsi="Arial" w:cs="Arial"/>
          <w:sz w:val="20"/>
          <w:szCs w:val="20"/>
          <w:lang w:eastAsia="en-ZA"/>
        </w:rPr>
        <w:t xml:space="preserve"> </w:t>
      </w:r>
    </w:p>
    <w:p w:rsidR="00FE588C" w:rsidRPr="002A4ED0" w:rsidRDefault="00FE588C" w:rsidP="002A4ED0">
      <w:pPr>
        <w:spacing w:after="0" w:line="240" w:lineRule="auto"/>
        <w:rPr>
          <w:rFonts w:ascii="Arial" w:eastAsia="Calibri" w:hAnsi="Arial" w:cs="Arial"/>
          <w:sz w:val="20"/>
          <w:szCs w:val="20"/>
          <w:lang w:eastAsia="en-ZA"/>
        </w:rPr>
      </w:pPr>
    </w:p>
    <w:p w:rsidR="00366E7A" w:rsidRPr="002A4ED0" w:rsidRDefault="00FE588C" w:rsidP="002A4ED0">
      <w:pPr>
        <w:spacing w:after="0" w:line="240" w:lineRule="auto"/>
        <w:rPr>
          <w:rFonts w:ascii="Arial" w:eastAsia="Calibri" w:hAnsi="Arial" w:cs="Arial"/>
          <w:i/>
          <w:sz w:val="20"/>
          <w:szCs w:val="20"/>
          <w:lang w:eastAsia="en-ZA"/>
        </w:rPr>
      </w:pPr>
      <w:r w:rsidRPr="002A4ED0">
        <w:rPr>
          <w:rFonts w:ascii="Arial" w:eastAsia="Calibri" w:hAnsi="Arial" w:cs="Arial"/>
          <w:sz w:val="20"/>
          <w:szCs w:val="20"/>
          <w:lang w:eastAsia="en-ZA"/>
        </w:rPr>
        <w:t xml:space="preserve">Over </w:t>
      </w:r>
      <w:r w:rsidR="00916673" w:rsidRPr="002A4ED0">
        <w:rPr>
          <w:rFonts w:ascii="Arial" w:eastAsia="Calibri" w:hAnsi="Arial" w:cs="Arial"/>
          <w:sz w:val="20"/>
          <w:szCs w:val="20"/>
          <w:lang w:eastAsia="en-ZA"/>
        </w:rPr>
        <w:t>several years and with a historical debt incurred previously</w:t>
      </w:r>
      <w:r w:rsidRPr="002A4ED0">
        <w:rPr>
          <w:rFonts w:ascii="Arial" w:eastAsia="Calibri" w:hAnsi="Arial" w:cs="Arial"/>
          <w:sz w:val="20"/>
          <w:szCs w:val="20"/>
          <w:lang w:eastAsia="en-ZA"/>
        </w:rPr>
        <w:t>, approximately R16 billion within the Main Account and Water Trading Entity was reflected as irregular expenditure. With the necessary support from National Treasury, the Department</w:t>
      </w:r>
      <w:r w:rsidR="0043620C" w:rsidRPr="002A4ED0">
        <w:rPr>
          <w:rFonts w:ascii="Arial" w:eastAsia="Calibri" w:hAnsi="Arial" w:cs="Arial"/>
          <w:sz w:val="20"/>
          <w:szCs w:val="20"/>
          <w:lang w:eastAsia="en-ZA"/>
        </w:rPr>
        <w:t>,</w:t>
      </w:r>
      <w:r w:rsidRPr="002A4ED0">
        <w:rPr>
          <w:rFonts w:ascii="Arial" w:eastAsia="Calibri" w:hAnsi="Arial" w:cs="Arial"/>
          <w:sz w:val="20"/>
          <w:szCs w:val="20"/>
          <w:lang w:eastAsia="en-ZA"/>
        </w:rPr>
        <w:t xml:space="preserve"> followed all procedures in its requests for amounts to be condoned. Thus far, the amount of irregular expenditure condoned by National Treasury is R1.4 billion. </w:t>
      </w:r>
    </w:p>
    <w:p w:rsidR="008902E1" w:rsidRPr="002A4ED0" w:rsidRDefault="008902E1" w:rsidP="002A4ED0">
      <w:pPr>
        <w:spacing w:after="0" w:line="240" w:lineRule="auto"/>
        <w:rPr>
          <w:rFonts w:ascii="Arial" w:eastAsia="Calibri" w:hAnsi="Arial" w:cs="Arial"/>
          <w:i/>
          <w:sz w:val="20"/>
          <w:szCs w:val="20"/>
          <w:lang w:eastAsia="en-ZA"/>
        </w:rPr>
      </w:pPr>
    </w:p>
    <w:p w:rsidR="004A1E9D" w:rsidRPr="002A4ED0" w:rsidRDefault="00B628CB" w:rsidP="002A4ED0">
      <w:pPr>
        <w:spacing w:after="0" w:line="240" w:lineRule="auto"/>
        <w:rPr>
          <w:rFonts w:ascii="Arial" w:eastAsia="Calibri" w:hAnsi="Arial" w:cs="Arial"/>
          <w:i/>
          <w:sz w:val="20"/>
          <w:szCs w:val="20"/>
          <w:lang w:eastAsia="en-ZA"/>
        </w:rPr>
      </w:pPr>
      <w:r w:rsidRPr="002A4ED0">
        <w:rPr>
          <w:rFonts w:ascii="Arial" w:eastAsia="Calibri" w:hAnsi="Arial" w:cs="Arial"/>
          <w:i/>
          <w:sz w:val="20"/>
          <w:szCs w:val="20"/>
          <w:lang w:eastAsia="en-ZA"/>
        </w:rPr>
        <w:t>4.2.1 The Department should, on a quarterly basis</w:t>
      </w:r>
      <w:r w:rsidR="00684C7F" w:rsidRPr="002A4ED0">
        <w:rPr>
          <w:rFonts w:ascii="Arial" w:eastAsia="Calibri" w:hAnsi="Arial" w:cs="Arial"/>
          <w:i/>
          <w:sz w:val="20"/>
          <w:szCs w:val="20"/>
          <w:lang w:eastAsia="en-ZA"/>
        </w:rPr>
        <w:t>,</w:t>
      </w:r>
      <w:r w:rsidRPr="002A4ED0">
        <w:rPr>
          <w:rFonts w:ascii="Arial" w:eastAsia="Calibri" w:hAnsi="Arial" w:cs="Arial"/>
          <w:i/>
          <w:sz w:val="20"/>
          <w:szCs w:val="20"/>
          <w:lang w:eastAsia="en-ZA"/>
        </w:rPr>
        <w:t xml:space="preserve"> provide a progress report on recouping funds and work on finalising the d</w:t>
      </w:r>
      <w:r w:rsidR="00684C7F" w:rsidRPr="002A4ED0">
        <w:rPr>
          <w:rFonts w:ascii="Arial" w:eastAsia="Calibri" w:hAnsi="Arial" w:cs="Arial"/>
          <w:i/>
          <w:sz w:val="20"/>
          <w:szCs w:val="20"/>
          <w:lang w:eastAsia="en-ZA"/>
        </w:rPr>
        <w:t>isciplinary cases, with information</w:t>
      </w:r>
      <w:r w:rsidRPr="002A4ED0">
        <w:rPr>
          <w:rFonts w:ascii="Arial" w:eastAsia="Calibri" w:hAnsi="Arial" w:cs="Arial"/>
          <w:i/>
          <w:sz w:val="20"/>
          <w:szCs w:val="20"/>
          <w:lang w:eastAsia="en-ZA"/>
        </w:rPr>
        <w:t xml:space="preserve"> on National Treasury’s processes of condonation requested by the Department.</w:t>
      </w:r>
    </w:p>
    <w:p w:rsidR="00B628CB" w:rsidRPr="002A4ED0" w:rsidRDefault="00B628CB" w:rsidP="002A4ED0">
      <w:pPr>
        <w:suppressAutoHyphens/>
        <w:autoSpaceDN w:val="0"/>
        <w:spacing w:after="0" w:line="240" w:lineRule="auto"/>
        <w:textAlignment w:val="baseline"/>
        <w:rPr>
          <w:rFonts w:ascii="Arial" w:eastAsia="Times New Roman" w:hAnsi="Arial" w:cs="Arial"/>
          <w:b/>
          <w:color w:val="000000"/>
          <w:spacing w:val="6"/>
          <w:sz w:val="20"/>
          <w:szCs w:val="20"/>
          <w:lang w:val="en-GB" w:eastAsia="en-GB"/>
        </w:rPr>
      </w:pPr>
    </w:p>
    <w:p w:rsidR="00BE1A1F" w:rsidRPr="002A4ED0" w:rsidRDefault="008902E1" w:rsidP="002A4ED0">
      <w:pPr>
        <w:suppressAutoHyphens/>
        <w:autoSpaceDN w:val="0"/>
        <w:spacing w:after="0" w:line="240" w:lineRule="auto"/>
        <w:textAlignment w:val="baseline"/>
        <w:rPr>
          <w:rFonts w:ascii="Arial" w:eastAsia="Calibri" w:hAnsi="Arial" w:cs="Arial"/>
          <w:i/>
          <w:sz w:val="20"/>
          <w:szCs w:val="20"/>
          <w:lang w:eastAsia="en-ZA"/>
        </w:rPr>
      </w:pPr>
      <w:r w:rsidRPr="002A4ED0">
        <w:rPr>
          <w:rFonts w:ascii="Arial" w:eastAsia="Times New Roman" w:hAnsi="Arial" w:cs="Arial"/>
          <w:b/>
          <w:color w:val="000000"/>
          <w:spacing w:val="6"/>
          <w:sz w:val="20"/>
          <w:szCs w:val="20"/>
          <w:lang w:val="en-GB" w:eastAsia="en-GB"/>
        </w:rPr>
        <w:t>5</w:t>
      </w:r>
      <w:r w:rsidR="00BE1A1F" w:rsidRPr="002A4ED0">
        <w:rPr>
          <w:rFonts w:ascii="Arial" w:eastAsia="Times New Roman" w:hAnsi="Arial" w:cs="Arial"/>
          <w:b/>
          <w:color w:val="000000"/>
          <w:spacing w:val="6"/>
          <w:sz w:val="20"/>
          <w:szCs w:val="20"/>
          <w:lang w:val="en-GB" w:eastAsia="en-GB"/>
        </w:rPr>
        <w:t>.3</w:t>
      </w:r>
      <w:r w:rsidR="00BE1A1F" w:rsidRPr="002A4ED0">
        <w:rPr>
          <w:rFonts w:ascii="Arial" w:eastAsia="Times New Roman" w:hAnsi="Arial" w:cs="Arial"/>
          <w:b/>
          <w:color w:val="000000"/>
          <w:spacing w:val="6"/>
          <w:sz w:val="20"/>
          <w:szCs w:val="20"/>
          <w:lang w:val="en-GB" w:eastAsia="en-GB"/>
        </w:rPr>
        <w:tab/>
      </w:r>
      <w:r w:rsidR="00FD74CB" w:rsidRPr="002A4ED0">
        <w:rPr>
          <w:rFonts w:ascii="Arial" w:eastAsia="Times New Roman" w:hAnsi="Arial" w:cs="Arial"/>
          <w:b/>
          <w:color w:val="000000"/>
          <w:spacing w:val="6"/>
          <w:sz w:val="20"/>
          <w:szCs w:val="20"/>
          <w:lang w:val="en-GB" w:eastAsia="en-GB"/>
        </w:rPr>
        <w:t xml:space="preserve">Establishment of the construction unit and recruitment of young people to the </w:t>
      </w:r>
      <w:r w:rsidR="00FD74CB" w:rsidRPr="002A4ED0">
        <w:rPr>
          <w:rFonts w:ascii="Arial" w:eastAsia="Times New Roman" w:hAnsi="Arial" w:cs="Arial"/>
          <w:b/>
          <w:color w:val="000000"/>
          <w:spacing w:val="6"/>
          <w:sz w:val="20"/>
          <w:szCs w:val="20"/>
          <w:lang w:val="en-GB" w:eastAsia="en-GB"/>
        </w:rPr>
        <w:tab/>
        <w:t>Academy of Lea</w:t>
      </w:r>
      <w:r w:rsidR="001F5166" w:rsidRPr="002A4ED0">
        <w:rPr>
          <w:rFonts w:ascii="Arial" w:eastAsia="Times New Roman" w:hAnsi="Arial" w:cs="Arial"/>
          <w:b/>
          <w:color w:val="000000"/>
          <w:spacing w:val="6"/>
          <w:sz w:val="20"/>
          <w:szCs w:val="20"/>
          <w:lang w:val="en-GB" w:eastAsia="en-GB"/>
        </w:rPr>
        <w:t>r</w:t>
      </w:r>
      <w:r w:rsidR="00FD74CB" w:rsidRPr="002A4ED0">
        <w:rPr>
          <w:rFonts w:ascii="Arial" w:eastAsia="Times New Roman" w:hAnsi="Arial" w:cs="Arial"/>
          <w:b/>
          <w:color w:val="000000"/>
          <w:spacing w:val="6"/>
          <w:sz w:val="20"/>
          <w:szCs w:val="20"/>
          <w:lang w:val="en-GB" w:eastAsia="en-GB"/>
        </w:rPr>
        <w:t>ning</w:t>
      </w:r>
    </w:p>
    <w:p w:rsidR="00710D7D" w:rsidRPr="002A4ED0" w:rsidRDefault="00710D7D" w:rsidP="002A4ED0">
      <w:pPr>
        <w:spacing w:after="0" w:line="240" w:lineRule="auto"/>
        <w:rPr>
          <w:rFonts w:ascii="Arial" w:eastAsia="Calibri" w:hAnsi="Arial" w:cs="Arial"/>
          <w:sz w:val="20"/>
          <w:szCs w:val="20"/>
          <w:lang w:eastAsia="en-ZA"/>
        </w:rPr>
      </w:pPr>
    </w:p>
    <w:p w:rsidR="00B628CB" w:rsidRPr="002A4ED0" w:rsidRDefault="00684C7F" w:rsidP="002A4ED0">
      <w:pPr>
        <w:spacing w:after="0" w:line="240" w:lineRule="auto"/>
        <w:rPr>
          <w:rFonts w:ascii="Arial" w:eastAsia="Calibri" w:hAnsi="Arial" w:cs="Arial"/>
          <w:sz w:val="20"/>
          <w:szCs w:val="20"/>
          <w:lang w:eastAsia="en-ZA"/>
        </w:rPr>
      </w:pPr>
      <w:r w:rsidRPr="002A4ED0">
        <w:rPr>
          <w:rFonts w:ascii="Arial" w:eastAsia="Calibri" w:hAnsi="Arial" w:cs="Arial"/>
          <w:sz w:val="20"/>
          <w:szCs w:val="20"/>
          <w:lang w:eastAsia="en-ZA"/>
        </w:rPr>
        <w:t>The establishment of the construction unit</w:t>
      </w:r>
      <w:r w:rsidR="00B628CB" w:rsidRPr="002A4ED0">
        <w:rPr>
          <w:rFonts w:ascii="Arial" w:eastAsia="Calibri" w:hAnsi="Arial" w:cs="Arial"/>
          <w:sz w:val="20"/>
          <w:szCs w:val="20"/>
          <w:lang w:eastAsia="en-ZA"/>
        </w:rPr>
        <w:t xml:space="preserve"> many decades ago did not cater for </w:t>
      </w:r>
      <w:r w:rsidRPr="002A4ED0">
        <w:rPr>
          <w:rFonts w:ascii="Arial" w:eastAsia="Calibri" w:hAnsi="Arial" w:cs="Arial"/>
          <w:sz w:val="20"/>
          <w:szCs w:val="20"/>
          <w:lang w:eastAsia="en-ZA"/>
        </w:rPr>
        <w:t>providing experience to young people</w:t>
      </w:r>
      <w:r w:rsidR="00B628CB" w:rsidRPr="002A4ED0">
        <w:rPr>
          <w:rFonts w:ascii="Arial" w:eastAsia="Calibri" w:hAnsi="Arial" w:cs="Arial"/>
          <w:sz w:val="20"/>
          <w:szCs w:val="20"/>
          <w:lang w:eastAsia="en-ZA"/>
        </w:rPr>
        <w:t xml:space="preserve"> but </w:t>
      </w:r>
      <w:r w:rsidRPr="002A4ED0">
        <w:rPr>
          <w:rFonts w:ascii="Arial" w:eastAsia="Calibri" w:hAnsi="Arial" w:cs="Arial"/>
          <w:sz w:val="20"/>
          <w:szCs w:val="20"/>
          <w:lang w:eastAsia="en-ZA"/>
        </w:rPr>
        <w:t>to building</w:t>
      </w:r>
      <w:r w:rsidR="00B628CB" w:rsidRPr="002A4ED0">
        <w:rPr>
          <w:rFonts w:ascii="Arial" w:eastAsia="Calibri" w:hAnsi="Arial" w:cs="Arial"/>
          <w:sz w:val="20"/>
          <w:szCs w:val="20"/>
          <w:lang w:eastAsia="en-ZA"/>
        </w:rPr>
        <w:t xml:space="preserve"> major infrastructure.</w:t>
      </w:r>
      <w:r w:rsidR="00544D2D" w:rsidRPr="002A4ED0">
        <w:rPr>
          <w:rFonts w:ascii="Arial" w:eastAsia="Calibri" w:hAnsi="Arial" w:cs="Arial"/>
          <w:sz w:val="20"/>
          <w:szCs w:val="20"/>
          <w:lang w:eastAsia="en-ZA"/>
        </w:rPr>
        <w:t xml:space="preserve"> But, members stressed that the issue of transformation </w:t>
      </w:r>
      <w:r w:rsidR="004548F3" w:rsidRPr="002A4ED0">
        <w:rPr>
          <w:rFonts w:ascii="Arial" w:eastAsia="Calibri" w:hAnsi="Arial" w:cs="Arial"/>
          <w:sz w:val="20"/>
          <w:szCs w:val="20"/>
          <w:lang w:eastAsia="en-ZA"/>
        </w:rPr>
        <w:t>within the construction unit was imperative and also argued that it was critical to build the construction unit with more young</w:t>
      </w:r>
      <w:r w:rsidR="000037B7" w:rsidRPr="002A4ED0">
        <w:rPr>
          <w:rFonts w:ascii="Arial" w:eastAsia="Calibri" w:hAnsi="Arial" w:cs="Arial"/>
          <w:sz w:val="20"/>
          <w:szCs w:val="20"/>
          <w:lang w:eastAsia="en-ZA"/>
        </w:rPr>
        <w:t xml:space="preserve"> people,</w:t>
      </w:r>
      <w:r w:rsidR="004548F3" w:rsidRPr="002A4ED0">
        <w:rPr>
          <w:rFonts w:ascii="Arial" w:eastAsia="Calibri" w:hAnsi="Arial" w:cs="Arial"/>
          <w:sz w:val="20"/>
          <w:szCs w:val="20"/>
          <w:lang w:eastAsia="en-ZA"/>
        </w:rPr>
        <w:t xml:space="preserve"> especially in the field of scientists and engineers.</w:t>
      </w:r>
      <w:r w:rsidR="00544D2D" w:rsidRPr="002A4ED0">
        <w:rPr>
          <w:rFonts w:ascii="Arial" w:eastAsia="Calibri" w:hAnsi="Arial" w:cs="Arial"/>
          <w:sz w:val="20"/>
          <w:szCs w:val="20"/>
          <w:lang w:eastAsia="en-ZA"/>
        </w:rPr>
        <w:t xml:space="preserve"> </w:t>
      </w:r>
      <w:r w:rsidR="00B628CB" w:rsidRPr="002A4ED0">
        <w:rPr>
          <w:rFonts w:ascii="Arial" w:eastAsia="Calibri" w:hAnsi="Arial" w:cs="Arial"/>
          <w:sz w:val="20"/>
          <w:szCs w:val="20"/>
          <w:lang w:eastAsia="en-ZA"/>
        </w:rPr>
        <w:t>The Department, however, has an Academy of Learning, where young people are recruited through a graduate training bursary.  Thus far, 975 bursaries have been awarded, with 827 students completing the course. One hu</w:t>
      </w:r>
      <w:r w:rsidRPr="002A4ED0">
        <w:rPr>
          <w:rFonts w:ascii="Arial" w:eastAsia="Calibri" w:hAnsi="Arial" w:cs="Arial"/>
          <w:sz w:val="20"/>
          <w:szCs w:val="20"/>
          <w:lang w:eastAsia="en-ZA"/>
        </w:rPr>
        <w:t>ndred and forty-f</w:t>
      </w:r>
      <w:r w:rsidR="00B628CB" w:rsidRPr="002A4ED0">
        <w:rPr>
          <w:rFonts w:ascii="Arial" w:eastAsia="Calibri" w:hAnsi="Arial" w:cs="Arial"/>
          <w:sz w:val="20"/>
          <w:szCs w:val="20"/>
          <w:lang w:eastAsia="en-ZA"/>
        </w:rPr>
        <w:t>ive (145) graduates were currently in the new graduate intern programme, and approximately 600 candidates had been appointed to contract positions in the Department.  Three hundred (300) candidates have been appointed to permanent positions in the Department.</w:t>
      </w:r>
    </w:p>
    <w:p w:rsidR="00916673" w:rsidRPr="002A4ED0" w:rsidRDefault="00916673" w:rsidP="002A4ED0">
      <w:pPr>
        <w:spacing w:after="0" w:line="240" w:lineRule="auto"/>
        <w:rPr>
          <w:rFonts w:ascii="Arial" w:eastAsia="Calibri" w:hAnsi="Arial" w:cs="Arial"/>
          <w:b/>
          <w:sz w:val="20"/>
          <w:szCs w:val="20"/>
          <w:lang w:eastAsia="en-ZA"/>
        </w:rPr>
      </w:pPr>
    </w:p>
    <w:p w:rsidR="00BE1A1F" w:rsidRPr="002A4ED0" w:rsidRDefault="008902E1" w:rsidP="002A4ED0">
      <w:pPr>
        <w:spacing w:after="0" w:line="240" w:lineRule="auto"/>
        <w:rPr>
          <w:rFonts w:ascii="Arial" w:eastAsia="Times New Roman" w:hAnsi="Arial" w:cs="Arial"/>
          <w:i/>
          <w:color w:val="000000"/>
          <w:spacing w:val="6"/>
          <w:sz w:val="20"/>
          <w:szCs w:val="20"/>
          <w:lang w:val="en-GB" w:eastAsia="en-GB"/>
        </w:rPr>
      </w:pPr>
      <w:r w:rsidRPr="002A4ED0">
        <w:rPr>
          <w:rFonts w:ascii="Arial" w:eastAsia="Calibri" w:hAnsi="Arial" w:cs="Arial"/>
          <w:b/>
          <w:sz w:val="20"/>
          <w:szCs w:val="20"/>
          <w:lang w:eastAsia="en-ZA"/>
        </w:rPr>
        <w:t>5</w:t>
      </w:r>
      <w:r w:rsidR="00BE1A1F" w:rsidRPr="002A4ED0">
        <w:rPr>
          <w:rFonts w:ascii="Arial" w:eastAsia="Calibri" w:hAnsi="Arial" w:cs="Arial"/>
          <w:b/>
          <w:sz w:val="20"/>
          <w:szCs w:val="20"/>
          <w:lang w:eastAsia="en-ZA"/>
        </w:rPr>
        <w:t>.4</w:t>
      </w:r>
      <w:r w:rsidR="00BE1A1F" w:rsidRPr="002A4ED0">
        <w:rPr>
          <w:rFonts w:ascii="Arial" w:eastAsia="Calibri" w:hAnsi="Arial" w:cs="Arial"/>
          <w:b/>
          <w:sz w:val="20"/>
          <w:szCs w:val="20"/>
          <w:lang w:eastAsia="en-ZA"/>
        </w:rPr>
        <w:tab/>
      </w:r>
      <w:r w:rsidR="001F5166" w:rsidRPr="002A4ED0">
        <w:rPr>
          <w:rFonts w:ascii="Arial" w:eastAsia="Calibri" w:hAnsi="Arial" w:cs="Arial"/>
          <w:b/>
          <w:sz w:val="20"/>
          <w:szCs w:val="20"/>
          <w:lang w:eastAsia="en-ZA"/>
        </w:rPr>
        <w:t xml:space="preserve">Finalisation of </w:t>
      </w:r>
      <w:r w:rsidR="00684C7F" w:rsidRPr="002A4ED0">
        <w:rPr>
          <w:rFonts w:ascii="Arial" w:eastAsia="Calibri" w:hAnsi="Arial" w:cs="Arial"/>
          <w:b/>
          <w:sz w:val="20"/>
          <w:szCs w:val="20"/>
          <w:lang w:eastAsia="en-ZA"/>
        </w:rPr>
        <w:t xml:space="preserve">the one long-standing </w:t>
      </w:r>
      <w:r w:rsidR="001F5166" w:rsidRPr="002A4ED0">
        <w:rPr>
          <w:rFonts w:ascii="Arial" w:eastAsia="Calibri" w:hAnsi="Arial" w:cs="Arial"/>
          <w:b/>
          <w:sz w:val="20"/>
          <w:szCs w:val="20"/>
          <w:lang w:eastAsia="en-ZA"/>
        </w:rPr>
        <w:t>disciplinary cases</w:t>
      </w:r>
    </w:p>
    <w:p w:rsidR="00DD654A" w:rsidRPr="002A4ED0" w:rsidRDefault="00DD654A" w:rsidP="002A4ED0">
      <w:pPr>
        <w:spacing w:after="0" w:line="240" w:lineRule="auto"/>
        <w:rPr>
          <w:rFonts w:ascii="Arial" w:hAnsi="Arial" w:cs="Arial"/>
          <w:color w:val="212529"/>
          <w:sz w:val="20"/>
          <w:szCs w:val="20"/>
          <w:shd w:val="clear" w:color="auto" w:fill="FFFFFF"/>
        </w:rPr>
      </w:pPr>
    </w:p>
    <w:p w:rsidR="00B628CB" w:rsidRPr="002A4ED0" w:rsidRDefault="00B628CB" w:rsidP="002A4ED0">
      <w:pPr>
        <w:spacing w:after="0" w:line="240" w:lineRule="auto"/>
        <w:rPr>
          <w:rFonts w:ascii="Arial" w:hAnsi="Arial" w:cs="Arial"/>
          <w:color w:val="212529"/>
          <w:sz w:val="20"/>
          <w:szCs w:val="20"/>
          <w:shd w:val="clear" w:color="auto" w:fill="FFFFFF"/>
        </w:rPr>
      </w:pPr>
      <w:r w:rsidRPr="002A4ED0">
        <w:rPr>
          <w:rFonts w:ascii="Arial" w:hAnsi="Arial" w:cs="Arial"/>
          <w:color w:val="212529"/>
          <w:sz w:val="20"/>
          <w:szCs w:val="20"/>
          <w:shd w:val="clear" w:color="auto" w:fill="FFFFFF"/>
        </w:rPr>
        <w:t xml:space="preserve">The Presiding Officer of the disciplinary team hopes to streamline the finalisation of the disciplinary cases involving one of the senior directors to avoid the case dragging on for too long.  </w:t>
      </w:r>
      <w:r w:rsidR="00684C7F" w:rsidRPr="002A4ED0">
        <w:rPr>
          <w:rFonts w:ascii="Arial" w:hAnsi="Arial" w:cs="Arial"/>
          <w:color w:val="212529"/>
          <w:sz w:val="20"/>
          <w:szCs w:val="20"/>
          <w:shd w:val="clear" w:color="auto" w:fill="FFFFFF"/>
        </w:rPr>
        <w:t>P</w:t>
      </w:r>
      <w:r w:rsidRPr="002A4ED0">
        <w:rPr>
          <w:rFonts w:ascii="Arial" w:hAnsi="Arial" w:cs="Arial"/>
          <w:color w:val="212529"/>
          <w:sz w:val="20"/>
          <w:szCs w:val="20"/>
          <w:shd w:val="clear" w:color="auto" w:fill="FFFFFF"/>
        </w:rPr>
        <w:t xml:space="preserve">erpetual postponements on the </w:t>
      </w:r>
      <w:r w:rsidR="00684C7F" w:rsidRPr="002A4ED0">
        <w:rPr>
          <w:rFonts w:ascii="Arial" w:hAnsi="Arial" w:cs="Arial"/>
          <w:color w:val="212529"/>
          <w:sz w:val="20"/>
          <w:szCs w:val="20"/>
          <w:shd w:val="clear" w:color="auto" w:fill="FFFFFF"/>
        </w:rPr>
        <w:t xml:space="preserve">director’s </w:t>
      </w:r>
      <w:r w:rsidRPr="002A4ED0">
        <w:rPr>
          <w:rFonts w:ascii="Arial" w:hAnsi="Arial" w:cs="Arial"/>
          <w:color w:val="212529"/>
          <w:sz w:val="20"/>
          <w:szCs w:val="20"/>
          <w:shd w:val="clear" w:color="auto" w:fill="FFFFFF"/>
        </w:rPr>
        <w:t xml:space="preserve">part </w:t>
      </w:r>
      <w:r w:rsidR="00684C7F" w:rsidRPr="002A4ED0">
        <w:rPr>
          <w:rFonts w:ascii="Arial" w:hAnsi="Arial" w:cs="Arial"/>
          <w:color w:val="212529"/>
          <w:sz w:val="20"/>
          <w:szCs w:val="20"/>
          <w:shd w:val="clear" w:color="auto" w:fill="FFFFFF"/>
        </w:rPr>
        <w:t>have delayed the finalisation of the case.</w:t>
      </w:r>
    </w:p>
    <w:p w:rsidR="00916673" w:rsidRPr="002A4ED0" w:rsidRDefault="00916673" w:rsidP="002A4ED0">
      <w:pPr>
        <w:spacing w:after="0" w:line="240" w:lineRule="auto"/>
        <w:rPr>
          <w:rFonts w:ascii="Arial" w:hAnsi="Arial" w:cs="Arial"/>
          <w:b/>
          <w:color w:val="212529"/>
          <w:sz w:val="20"/>
          <w:szCs w:val="20"/>
          <w:shd w:val="clear" w:color="auto" w:fill="FFFFFF"/>
        </w:rPr>
      </w:pPr>
    </w:p>
    <w:p w:rsidR="004262BA" w:rsidRPr="002A4ED0" w:rsidRDefault="008902E1" w:rsidP="002A4ED0">
      <w:pPr>
        <w:spacing w:after="0" w:line="240" w:lineRule="auto"/>
        <w:rPr>
          <w:rFonts w:ascii="Arial" w:hAnsi="Arial" w:cs="Arial"/>
          <w:b/>
          <w:color w:val="212529"/>
          <w:sz w:val="20"/>
          <w:szCs w:val="20"/>
          <w:shd w:val="clear" w:color="auto" w:fill="FFFFFF"/>
        </w:rPr>
      </w:pPr>
      <w:r w:rsidRPr="002A4ED0">
        <w:rPr>
          <w:rFonts w:ascii="Arial" w:hAnsi="Arial" w:cs="Arial"/>
          <w:b/>
          <w:color w:val="212529"/>
          <w:sz w:val="20"/>
          <w:szCs w:val="20"/>
          <w:shd w:val="clear" w:color="auto" w:fill="FFFFFF"/>
        </w:rPr>
        <w:t>5.5</w:t>
      </w:r>
      <w:r w:rsidRPr="002A4ED0">
        <w:rPr>
          <w:rFonts w:ascii="Arial" w:hAnsi="Arial" w:cs="Arial"/>
          <w:b/>
          <w:color w:val="212529"/>
          <w:sz w:val="20"/>
          <w:szCs w:val="20"/>
          <w:shd w:val="clear" w:color="auto" w:fill="FFFFFF"/>
        </w:rPr>
        <w:tab/>
        <w:t>R</w:t>
      </w:r>
      <w:r w:rsidR="004262BA" w:rsidRPr="002A4ED0">
        <w:rPr>
          <w:rFonts w:ascii="Arial" w:hAnsi="Arial" w:cs="Arial"/>
          <w:b/>
          <w:color w:val="212529"/>
          <w:sz w:val="20"/>
          <w:szCs w:val="20"/>
          <w:shd w:val="clear" w:color="auto" w:fill="FFFFFF"/>
        </w:rPr>
        <w:t>eported incidents of fruitless and wasteful expenditure</w:t>
      </w:r>
    </w:p>
    <w:p w:rsidR="004262BA" w:rsidRPr="002A4ED0" w:rsidRDefault="004262BA" w:rsidP="002A4ED0">
      <w:pPr>
        <w:spacing w:after="0" w:line="240" w:lineRule="auto"/>
        <w:rPr>
          <w:rFonts w:ascii="Arial" w:hAnsi="Arial" w:cs="Arial"/>
          <w:b/>
          <w:color w:val="212529"/>
          <w:sz w:val="20"/>
          <w:szCs w:val="20"/>
          <w:shd w:val="clear" w:color="auto" w:fill="FFFFFF"/>
        </w:rPr>
      </w:pPr>
    </w:p>
    <w:p w:rsidR="008902E1" w:rsidRPr="002A4ED0" w:rsidRDefault="008902E1" w:rsidP="002A4ED0">
      <w:pPr>
        <w:autoSpaceDE w:val="0"/>
        <w:autoSpaceDN w:val="0"/>
        <w:adjustRightInd w:val="0"/>
        <w:spacing w:after="0" w:line="240" w:lineRule="auto"/>
        <w:rPr>
          <w:rFonts w:ascii="Arial" w:hAnsi="Arial" w:cs="Arial"/>
          <w:color w:val="333333"/>
          <w:sz w:val="20"/>
          <w:szCs w:val="20"/>
          <w:shd w:val="clear" w:color="auto" w:fill="FFFFFF"/>
        </w:rPr>
      </w:pPr>
      <w:r w:rsidRPr="002A4ED0">
        <w:rPr>
          <w:rFonts w:ascii="Arial" w:hAnsi="Arial" w:cs="Arial"/>
          <w:color w:val="333333"/>
          <w:sz w:val="20"/>
          <w:szCs w:val="20"/>
          <w:shd w:val="clear" w:color="auto" w:fill="FFFFFF"/>
        </w:rPr>
        <w:t xml:space="preserve">By the end of June, an amount of R25.4867 billion was owed by trade customers. In addition to enforcement of credit control measures, the Department was part of the Multidisciplinary Revenue Committee (MdRC), which was comprised of </w:t>
      </w:r>
      <w:r w:rsidR="00916673" w:rsidRPr="002A4ED0">
        <w:rPr>
          <w:rFonts w:ascii="Arial" w:hAnsi="Arial" w:cs="Arial"/>
          <w:color w:val="333333"/>
          <w:sz w:val="20"/>
          <w:szCs w:val="20"/>
          <w:shd w:val="clear" w:color="auto" w:fill="FFFFFF"/>
        </w:rPr>
        <w:t xml:space="preserve">the </w:t>
      </w:r>
      <w:r w:rsidRPr="002A4ED0">
        <w:rPr>
          <w:rFonts w:ascii="Arial" w:hAnsi="Arial" w:cs="Arial"/>
          <w:color w:val="333333"/>
          <w:sz w:val="20"/>
          <w:szCs w:val="20"/>
          <w:shd w:val="clear" w:color="auto" w:fill="FFFFFF"/>
        </w:rPr>
        <w:t>National Treasury (NT), the South African Local Government Association (SALGA) and COGTA, which focused on providing solutions to water debt challenges across the value chain.</w:t>
      </w:r>
    </w:p>
    <w:p w:rsidR="008902E1" w:rsidRPr="002A4ED0" w:rsidRDefault="008902E1" w:rsidP="002A4ED0">
      <w:pPr>
        <w:autoSpaceDE w:val="0"/>
        <w:autoSpaceDN w:val="0"/>
        <w:adjustRightInd w:val="0"/>
        <w:spacing w:after="0" w:line="240" w:lineRule="auto"/>
        <w:rPr>
          <w:rFonts w:ascii="Arial" w:hAnsi="Arial" w:cs="Arial"/>
          <w:color w:val="333333"/>
          <w:sz w:val="20"/>
          <w:szCs w:val="20"/>
          <w:shd w:val="clear" w:color="auto" w:fill="FFFFFF"/>
        </w:rPr>
      </w:pPr>
      <w:r w:rsidRPr="002A4ED0">
        <w:rPr>
          <w:rFonts w:ascii="Arial" w:hAnsi="Arial" w:cs="Arial"/>
          <w:color w:val="333333"/>
          <w:sz w:val="20"/>
          <w:szCs w:val="20"/>
        </w:rPr>
        <w:br/>
      </w:r>
      <w:r w:rsidRPr="002A4ED0">
        <w:rPr>
          <w:rFonts w:ascii="Arial" w:hAnsi="Arial" w:cs="Arial"/>
          <w:color w:val="333333"/>
          <w:sz w:val="20"/>
          <w:szCs w:val="20"/>
          <w:shd w:val="clear" w:color="auto" w:fill="FFFFFF"/>
        </w:rPr>
        <w:t xml:space="preserve">Long-term financial liabilities were the amounts owed to the Trans-Caledon Tunnel Authority (TCTA) in accordance with various construction contracts for developing and maintaining infrastructure assets. Compared to the prior year, these liabilities had decreased by R1.946 billion. Contingent liabilities mainly consisted of legal claims against the DWS by several service providers </w:t>
      </w:r>
      <w:r w:rsidR="00916673" w:rsidRPr="002A4ED0">
        <w:rPr>
          <w:rFonts w:ascii="Arial" w:hAnsi="Arial" w:cs="Arial"/>
          <w:color w:val="333333"/>
          <w:sz w:val="20"/>
          <w:szCs w:val="20"/>
          <w:shd w:val="clear" w:color="auto" w:fill="FFFFFF"/>
        </w:rPr>
        <w:t>regarding</w:t>
      </w:r>
      <w:r w:rsidRPr="002A4ED0">
        <w:rPr>
          <w:rFonts w:ascii="Arial" w:hAnsi="Arial" w:cs="Arial"/>
          <w:color w:val="333333"/>
          <w:sz w:val="20"/>
          <w:szCs w:val="20"/>
          <w:shd w:val="clear" w:color="auto" w:fill="FFFFFF"/>
        </w:rPr>
        <w:t xml:space="preserve"> contractual disputes</w:t>
      </w:r>
      <w:r w:rsidR="00916673" w:rsidRPr="002A4ED0">
        <w:rPr>
          <w:rFonts w:ascii="Arial" w:hAnsi="Arial" w:cs="Arial"/>
          <w:color w:val="333333"/>
          <w:sz w:val="20"/>
          <w:szCs w:val="20"/>
          <w:shd w:val="clear" w:color="auto" w:fill="FFFFFF"/>
        </w:rPr>
        <w:t xml:space="preserve">, which are within </w:t>
      </w:r>
      <w:r w:rsidRPr="002A4ED0">
        <w:rPr>
          <w:rFonts w:ascii="Arial" w:hAnsi="Arial" w:cs="Arial"/>
          <w:color w:val="333333"/>
          <w:sz w:val="20"/>
          <w:szCs w:val="20"/>
          <w:shd w:val="clear" w:color="auto" w:fill="FFFFFF"/>
        </w:rPr>
        <w:t xml:space="preserve">the </w:t>
      </w:r>
      <w:r w:rsidR="00916673" w:rsidRPr="002A4ED0">
        <w:rPr>
          <w:rFonts w:ascii="Arial" w:hAnsi="Arial" w:cs="Arial"/>
          <w:color w:val="333333"/>
          <w:sz w:val="20"/>
          <w:szCs w:val="20"/>
          <w:shd w:val="clear" w:color="auto" w:fill="FFFFFF"/>
        </w:rPr>
        <w:t xml:space="preserve">scope of </w:t>
      </w:r>
      <w:r w:rsidRPr="002A4ED0">
        <w:rPr>
          <w:rFonts w:ascii="Arial" w:hAnsi="Arial" w:cs="Arial"/>
          <w:color w:val="333333"/>
          <w:sz w:val="20"/>
          <w:szCs w:val="20"/>
          <w:shd w:val="clear" w:color="auto" w:fill="FFFFFF"/>
        </w:rPr>
        <w:t>litigation processes. Fruitless and wasteful expenditure had been incurred because of irrecoverable construction costs incurred in internal and external projects.</w:t>
      </w:r>
    </w:p>
    <w:p w:rsidR="00526D98" w:rsidRPr="002A4ED0" w:rsidRDefault="00526D98" w:rsidP="002A4ED0">
      <w:pPr>
        <w:autoSpaceDE w:val="0"/>
        <w:autoSpaceDN w:val="0"/>
        <w:adjustRightInd w:val="0"/>
        <w:spacing w:after="0" w:line="240" w:lineRule="auto"/>
        <w:rPr>
          <w:rFonts w:ascii="Arial" w:hAnsi="Arial" w:cs="Arial"/>
          <w:color w:val="333333"/>
          <w:sz w:val="20"/>
          <w:szCs w:val="20"/>
        </w:rPr>
      </w:pPr>
    </w:p>
    <w:p w:rsidR="00526D98" w:rsidRPr="002A4ED0" w:rsidRDefault="00526D98" w:rsidP="002A4ED0">
      <w:pPr>
        <w:autoSpaceDE w:val="0"/>
        <w:autoSpaceDN w:val="0"/>
        <w:adjustRightInd w:val="0"/>
        <w:spacing w:after="0" w:line="240" w:lineRule="auto"/>
        <w:rPr>
          <w:rFonts w:ascii="Arial" w:hAnsi="Arial" w:cs="Arial"/>
          <w:color w:val="333333"/>
          <w:sz w:val="20"/>
          <w:szCs w:val="20"/>
        </w:rPr>
      </w:pPr>
    </w:p>
    <w:p w:rsidR="00526D98" w:rsidRPr="002A4ED0" w:rsidRDefault="00526D98" w:rsidP="002A4ED0">
      <w:pPr>
        <w:autoSpaceDE w:val="0"/>
        <w:autoSpaceDN w:val="0"/>
        <w:adjustRightInd w:val="0"/>
        <w:spacing w:after="0" w:line="240" w:lineRule="auto"/>
        <w:rPr>
          <w:rFonts w:ascii="Arial" w:hAnsi="Arial" w:cs="Arial"/>
          <w:color w:val="333333"/>
          <w:sz w:val="20"/>
          <w:szCs w:val="20"/>
        </w:rPr>
      </w:pPr>
    </w:p>
    <w:p w:rsidR="00526D98" w:rsidRPr="002A4ED0" w:rsidRDefault="00526D98" w:rsidP="002A4ED0">
      <w:pPr>
        <w:autoSpaceDE w:val="0"/>
        <w:autoSpaceDN w:val="0"/>
        <w:adjustRightInd w:val="0"/>
        <w:spacing w:after="0" w:line="240" w:lineRule="auto"/>
        <w:rPr>
          <w:rFonts w:ascii="Arial" w:hAnsi="Arial" w:cs="Arial"/>
          <w:color w:val="333333"/>
          <w:sz w:val="20"/>
          <w:szCs w:val="20"/>
        </w:rPr>
      </w:pPr>
    </w:p>
    <w:p w:rsidR="008902E1" w:rsidRPr="002A4ED0" w:rsidRDefault="008902E1" w:rsidP="002A4ED0">
      <w:pPr>
        <w:autoSpaceDE w:val="0"/>
        <w:autoSpaceDN w:val="0"/>
        <w:adjustRightInd w:val="0"/>
        <w:spacing w:after="0" w:line="240" w:lineRule="auto"/>
        <w:rPr>
          <w:rFonts w:ascii="Arial" w:hAnsi="Arial" w:cs="Arial"/>
          <w:b/>
          <w:color w:val="333333"/>
          <w:sz w:val="20"/>
          <w:szCs w:val="20"/>
        </w:rPr>
      </w:pPr>
      <w:r w:rsidRPr="002A4ED0">
        <w:rPr>
          <w:rFonts w:ascii="Arial" w:hAnsi="Arial" w:cs="Arial"/>
          <w:color w:val="333333"/>
          <w:sz w:val="20"/>
          <w:szCs w:val="20"/>
        </w:rPr>
        <w:lastRenderedPageBreak/>
        <w:br/>
      </w:r>
      <w:r w:rsidRPr="002A4ED0">
        <w:rPr>
          <w:rFonts w:ascii="Arial" w:hAnsi="Arial" w:cs="Arial"/>
          <w:b/>
          <w:color w:val="333333"/>
          <w:sz w:val="20"/>
          <w:szCs w:val="20"/>
        </w:rPr>
        <w:t>5.6</w:t>
      </w:r>
      <w:r w:rsidRPr="002A4ED0">
        <w:rPr>
          <w:rFonts w:ascii="Arial" w:hAnsi="Arial" w:cs="Arial"/>
          <w:b/>
          <w:color w:val="333333"/>
          <w:sz w:val="20"/>
          <w:szCs w:val="20"/>
        </w:rPr>
        <w:tab/>
        <w:t>Unauthorised expenditure</w:t>
      </w:r>
    </w:p>
    <w:p w:rsidR="008902E1" w:rsidRPr="002A4ED0" w:rsidRDefault="008902E1" w:rsidP="002A4ED0">
      <w:pPr>
        <w:autoSpaceDE w:val="0"/>
        <w:autoSpaceDN w:val="0"/>
        <w:adjustRightInd w:val="0"/>
        <w:spacing w:after="0" w:line="240" w:lineRule="auto"/>
        <w:rPr>
          <w:rFonts w:ascii="Arial" w:hAnsi="Arial" w:cs="Arial"/>
          <w:sz w:val="20"/>
          <w:szCs w:val="20"/>
        </w:rPr>
      </w:pPr>
      <w:r w:rsidRPr="002A4ED0">
        <w:rPr>
          <w:rFonts w:ascii="Arial" w:hAnsi="Arial" w:cs="Arial"/>
          <w:color w:val="333333"/>
          <w:sz w:val="20"/>
          <w:szCs w:val="20"/>
        </w:rPr>
        <w:br/>
      </w:r>
      <w:r w:rsidRPr="002A4ED0">
        <w:rPr>
          <w:rFonts w:ascii="Arial" w:hAnsi="Arial" w:cs="Arial"/>
          <w:color w:val="333333"/>
          <w:sz w:val="20"/>
          <w:szCs w:val="20"/>
          <w:shd w:val="clear" w:color="auto" w:fill="FFFFFF"/>
        </w:rPr>
        <w:t xml:space="preserve">No unauthorised expenditure had been incurred since the prior period incidents. </w:t>
      </w:r>
      <w:r w:rsidR="00916673" w:rsidRPr="002A4ED0">
        <w:rPr>
          <w:rFonts w:ascii="Arial" w:hAnsi="Arial" w:cs="Arial"/>
          <w:color w:val="333333"/>
          <w:sz w:val="20"/>
          <w:szCs w:val="20"/>
          <w:shd w:val="clear" w:color="auto" w:fill="FFFFFF"/>
        </w:rPr>
        <w:t>In prior years, t</w:t>
      </w:r>
      <w:r w:rsidRPr="002A4ED0">
        <w:rPr>
          <w:rFonts w:ascii="Arial" w:hAnsi="Arial" w:cs="Arial"/>
          <w:color w:val="333333"/>
          <w:sz w:val="20"/>
          <w:szCs w:val="20"/>
          <w:shd w:val="clear" w:color="auto" w:fill="FFFFFF"/>
        </w:rPr>
        <w:t>he unauthorised expenditure was related to overspending on the BEP and the "War on Leaks" programmes</w:t>
      </w:r>
      <w:r w:rsidR="00916673" w:rsidRPr="002A4ED0">
        <w:rPr>
          <w:rFonts w:ascii="Arial" w:hAnsi="Arial" w:cs="Arial"/>
          <w:color w:val="333333"/>
          <w:sz w:val="20"/>
          <w:szCs w:val="20"/>
          <w:shd w:val="clear" w:color="auto" w:fill="FFFFFF"/>
        </w:rPr>
        <w:t>.</w:t>
      </w:r>
      <w:r w:rsidRPr="002A4ED0">
        <w:rPr>
          <w:rFonts w:ascii="Arial" w:hAnsi="Arial" w:cs="Arial"/>
          <w:color w:val="333333"/>
          <w:sz w:val="20"/>
          <w:szCs w:val="20"/>
          <w:shd w:val="clear" w:color="auto" w:fill="FFFFFF"/>
        </w:rPr>
        <w:t xml:space="preserve"> </w:t>
      </w:r>
      <w:r w:rsidR="00916673" w:rsidRPr="002A4ED0">
        <w:rPr>
          <w:rFonts w:ascii="Arial" w:hAnsi="Arial" w:cs="Arial"/>
          <w:color w:val="333333"/>
          <w:sz w:val="20"/>
          <w:szCs w:val="20"/>
          <w:shd w:val="clear" w:color="auto" w:fill="FFFFFF"/>
        </w:rPr>
        <w:t>It</w:t>
      </w:r>
      <w:r w:rsidRPr="002A4ED0">
        <w:rPr>
          <w:rFonts w:ascii="Arial" w:hAnsi="Arial" w:cs="Arial"/>
          <w:color w:val="333333"/>
          <w:sz w:val="20"/>
          <w:szCs w:val="20"/>
          <w:shd w:val="clear" w:color="auto" w:fill="FFFFFF"/>
        </w:rPr>
        <w:t xml:space="preserve"> had been reported to the National Treasury for processing to Parliament. Fruitless and wasteful expenditure was related mainly to costs incurred on internal and external construction projects that could not be recovered. Further incidents had been noted at the Water Trading Entity (WTE), which was currently at an assessment stage. Included in the irregular expenditure was an amount of R8.8 billion submitted for condonation.</w:t>
      </w:r>
    </w:p>
    <w:p w:rsidR="004262BA" w:rsidRPr="002A4ED0" w:rsidRDefault="004262BA" w:rsidP="002A4ED0">
      <w:pPr>
        <w:spacing w:after="0" w:line="240" w:lineRule="auto"/>
        <w:rPr>
          <w:rFonts w:ascii="Arial" w:hAnsi="Arial" w:cs="Arial"/>
          <w:b/>
          <w:color w:val="212529"/>
          <w:sz w:val="20"/>
          <w:szCs w:val="20"/>
          <w:shd w:val="clear" w:color="auto" w:fill="FFFFFF"/>
        </w:rPr>
      </w:pPr>
    </w:p>
    <w:p w:rsidR="004262BA" w:rsidRPr="002A4ED0" w:rsidRDefault="004262BA" w:rsidP="002A4ED0">
      <w:pPr>
        <w:spacing w:after="0" w:line="240" w:lineRule="auto"/>
        <w:rPr>
          <w:rFonts w:ascii="Arial" w:hAnsi="Arial" w:cs="Arial"/>
          <w:b/>
          <w:color w:val="212529"/>
          <w:sz w:val="20"/>
          <w:szCs w:val="20"/>
          <w:shd w:val="clear" w:color="auto" w:fill="FFFFFF"/>
        </w:rPr>
      </w:pPr>
    </w:p>
    <w:p w:rsidR="00BE1A1F" w:rsidRPr="002A4ED0" w:rsidRDefault="008D2B17" w:rsidP="002A4ED0">
      <w:pPr>
        <w:spacing w:after="0" w:line="240" w:lineRule="auto"/>
        <w:rPr>
          <w:rFonts w:ascii="Arial" w:eastAsia="Times New Roman" w:hAnsi="Arial" w:cs="Arial"/>
          <w:b/>
          <w:color w:val="000000"/>
          <w:spacing w:val="6"/>
          <w:sz w:val="20"/>
          <w:szCs w:val="20"/>
          <w:lang w:val="en-GB" w:eastAsia="en-GB"/>
        </w:rPr>
      </w:pPr>
      <w:r w:rsidRPr="002A4ED0">
        <w:rPr>
          <w:rFonts w:ascii="Arial" w:eastAsia="Calibri" w:hAnsi="Arial" w:cs="Arial"/>
          <w:b/>
          <w:sz w:val="20"/>
          <w:szCs w:val="20"/>
          <w:lang w:eastAsia="en-ZA"/>
        </w:rPr>
        <w:t>Report to be noted.</w:t>
      </w:r>
    </w:p>
    <w:sectPr w:rsidR="00BE1A1F" w:rsidRPr="002A4ED0" w:rsidSect="00526D98">
      <w:footerReference w:type="default" r:id="rId12"/>
      <w:pgSz w:w="11906" w:h="16838"/>
      <w:pgMar w:top="81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617" w:rsidRDefault="00CA1617" w:rsidP="00BE1A1F">
      <w:pPr>
        <w:spacing w:after="0" w:line="240" w:lineRule="auto"/>
      </w:pPr>
      <w:r>
        <w:separator/>
      </w:r>
    </w:p>
  </w:endnote>
  <w:endnote w:type="continuationSeparator" w:id="0">
    <w:p w:rsidR="00CA1617" w:rsidRDefault="00CA1617" w:rsidP="00BE1A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946693360"/>
      <w:docPartObj>
        <w:docPartGallery w:val="Page Numbers (Bottom of Page)"/>
        <w:docPartUnique/>
      </w:docPartObj>
    </w:sdtPr>
    <w:sdtEndPr>
      <w:rPr>
        <w:noProof/>
      </w:rPr>
    </w:sdtEndPr>
    <w:sdtContent>
      <w:p w:rsidR="000037B7" w:rsidRDefault="00D25356">
        <w:pPr>
          <w:pStyle w:val="Footer"/>
          <w:jc w:val="right"/>
        </w:pPr>
        <w:r>
          <w:fldChar w:fldCharType="begin"/>
        </w:r>
        <w:r w:rsidR="000037B7">
          <w:instrText xml:space="preserve"> PAGE   \* MERGEFORMAT </w:instrText>
        </w:r>
        <w:r>
          <w:fldChar w:fldCharType="separate"/>
        </w:r>
        <w:r w:rsidR="002A4ED0">
          <w:rPr>
            <w:noProof/>
          </w:rPr>
          <w:t>1</w:t>
        </w:r>
        <w:r>
          <w:rPr>
            <w:noProof/>
          </w:rPr>
          <w:fldChar w:fldCharType="end"/>
        </w:r>
      </w:p>
    </w:sdtContent>
  </w:sdt>
  <w:p w:rsidR="000037B7" w:rsidRDefault="00003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617" w:rsidRDefault="00CA1617" w:rsidP="00BE1A1F">
      <w:pPr>
        <w:spacing w:after="0" w:line="240" w:lineRule="auto"/>
      </w:pPr>
      <w:r>
        <w:separator/>
      </w:r>
    </w:p>
  </w:footnote>
  <w:footnote w:type="continuationSeparator" w:id="0">
    <w:p w:rsidR="00CA1617" w:rsidRDefault="00CA1617" w:rsidP="00BE1A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0DBD"/>
    <w:multiLevelType w:val="hybridMultilevel"/>
    <w:tmpl w:val="7C62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FC1203D"/>
    <w:multiLevelType w:val="hybridMultilevel"/>
    <w:tmpl w:val="0D32B55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3B3232CE"/>
    <w:multiLevelType w:val="hybridMultilevel"/>
    <w:tmpl w:val="8EEEE87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E1A1F"/>
    <w:rsid w:val="000037B7"/>
    <w:rsid w:val="00031020"/>
    <w:rsid w:val="000628F1"/>
    <w:rsid w:val="00076EB6"/>
    <w:rsid w:val="000B30B2"/>
    <w:rsid w:val="000D3567"/>
    <w:rsid w:val="000F7030"/>
    <w:rsid w:val="00111BFE"/>
    <w:rsid w:val="00121304"/>
    <w:rsid w:val="00127440"/>
    <w:rsid w:val="00192A0E"/>
    <w:rsid w:val="001C6E77"/>
    <w:rsid w:val="001F5166"/>
    <w:rsid w:val="002151DA"/>
    <w:rsid w:val="00247BC2"/>
    <w:rsid w:val="00275B8F"/>
    <w:rsid w:val="002A4ED0"/>
    <w:rsid w:val="002B6EF0"/>
    <w:rsid w:val="002D022A"/>
    <w:rsid w:val="002D742A"/>
    <w:rsid w:val="003166C9"/>
    <w:rsid w:val="003267A8"/>
    <w:rsid w:val="003405DD"/>
    <w:rsid w:val="003514F9"/>
    <w:rsid w:val="003623F4"/>
    <w:rsid w:val="00366E7A"/>
    <w:rsid w:val="0038638A"/>
    <w:rsid w:val="00390EED"/>
    <w:rsid w:val="00401D21"/>
    <w:rsid w:val="004262BA"/>
    <w:rsid w:val="00434B3D"/>
    <w:rsid w:val="0043620C"/>
    <w:rsid w:val="004548F3"/>
    <w:rsid w:val="00475189"/>
    <w:rsid w:val="00492DA3"/>
    <w:rsid w:val="004A1E9D"/>
    <w:rsid w:val="004B1795"/>
    <w:rsid w:val="004B7D50"/>
    <w:rsid w:val="004C7B75"/>
    <w:rsid w:val="004E2BFA"/>
    <w:rsid w:val="00501224"/>
    <w:rsid w:val="00526D98"/>
    <w:rsid w:val="00544D2D"/>
    <w:rsid w:val="00617C35"/>
    <w:rsid w:val="00684C7F"/>
    <w:rsid w:val="00685D96"/>
    <w:rsid w:val="006F7035"/>
    <w:rsid w:val="00704682"/>
    <w:rsid w:val="00710D7D"/>
    <w:rsid w:val="0071377A"/>
    <w:rsid w:val="00740332"/>
    <w:rsid w:val="00746818"/>
    <w:rsid w:val="00747F86"/>
    <w:rsid w:val="00754EDA"/>
    <w:rsid w:val="00775F2E"/>
    <w:rsid w:val="007B3E86"/>
    <w:rsid w:val="00802D65"/>
    <w:rsid w:val="008902E1"/>
    <w:rsid w:val="00895C83"/>
    <w:rsid w:val="008B5A1B"/>
    <w:rsid w:val="008B69DE"/>
    <w:rsid w:val="008D2B17"/>
    <w:rsid w:val="008D7E81"/>
    <w:rsid w:val="008F1E07"/>
    <w:rsid w:val="009042D0"/>
    <w:rsid w:val="009162A7"/>
    <w:rsid w:val="00916673"/>
    <w:rsid w:val="009925A6"/>
    <w:rsid w:val="009E67F2"/>
    <w:rsid w:val="00A503D7"/>
    <w:rsid w:val="00AC1D2D"/>
    <w:rsid w:val="00AF099C"/>
    <w:rsid w:val="00B005FC"/>
    <w:rsid w:val="00B07878"/>
    <w:rsid w:val="00B628CB"/>
    <w:rsid w:val="00BE1A1F"/>
    <w:rsid w:val="00C33B6E"/>
    <w:rsid w:val="00C42BD9"/>
    <w:rsid w:val="00C70E5F"/>
    <w:rsid w:val="00C71CF7"/>
    <w:rsid w:val="00C90C41"/>
    <w:rsid w:val="00C9455C"/>
    <w:rsid w:val="00C97B01"/>
    <w:rsid w:val="00CA1617"/>
    <w:rsid w:val="00CC3B64"/>
    <w:rsid w:val="00CD1B0C"/>
    <w:rsid w:val="00CE3C99"/>
    <w:rsid w:val="00D25356"/>
    <w:rsid w:val="00D50FBF"/>
    <w:rsid w:val="00DA0AB8"/>
    <w:rsid w:val="00DD268B"/>
    <w:rsid w:val="00DD654A"/>
    <w:rsid w:val="00DE5375"/>
    <w:rsid w:val="00E26382"/>
    <w:rsid w:val="00EB5D52"/>
    <w:rsid w:val="00EF6DF8"/>
    <w:rsid w:val="00F03106"/>
    <w:rsid w:val="00F32761"/>
    <w:rsid w:val="00F5259B"/>
    <w:rsid w:val="00FA2483"/>
    <w:rsid w:val="00FC032E"/>
    <w:rsid w:val="00FD74CB"/>
    <w:rsid w:val="00FE58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3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1A1F"/>
    <w:pPr>
      <w:tabs>
        <w:tab w:val="center" w:pos="4513"/>
        <w:tab w:val="right" w:pos="9026"/>
      </w:tabs>
      <w:suppressAutoHyphens/>
      <w:autoSpaceDN w:val="0"/>
      <w:spacing w:after="0" w:line="240" w:lineRule="auto"/>
      <w:textAlignment w:val="baseline"/>
    </w:pPr>
    <w:rPr>
      <w:rFonts w:ascii="Arial" w:eastAsia="Times New Roman" w:hAnsi="Arial" w:cs="Times New Roman"/>
      <w:color w:val="000000"/>
      <w:spacing w:val="6"/>
      <w:sz w:val="18"/>
      <w:szCs w:val="18"/>
      <w:lang w:val="en-GB" w:eastAsia="en-GB"/>
    </w:rPr>
  </w:style>
  <w:style w:type="character" w:customStyle="1" w:styleId="FooterChar">
    <w:name w:val="Footer Char"/>
    <w:basedOn w:val="DefaultParagraphFont"/>
    <w:link w:val="Footer"/>
    <w:uiPriority w:val="99"/>
    <w:rsid w:val="00BE1A1F"/>
    <w:rPr>
      <w:rFonts w:ascii="Arial" w:eastAsia="Times New Roman" w:hAnsi="Arial" w:cs="Times New Roman"/>
      <w:color w:val="000000"/>
      <w:spacing w:val="6"/>
      <w:sz w:val="18"/>
      <w:szCs w:val="18"/>
      <w:lang w:val="en-GB" w:eastAsia="en-GB"/>
    </w:rPr>
  </w:style>
  <w:style w:type="paragraph" w:styleId="FootnoteText">
    <w:name w:val="footnote text"/>
    <w:basedOn w:val="Normal"/>
    <w:link w:val="FootnoteTextChar"/>
    <w:uiPriority w:val="99"/>
    <w:semiHidden/>
    <w:unhideWhenUsed/>
    <w:rsid w:val="00BE1A1F"/>
    <w:pPr>
      <w:suppressAutoHyphens/>
      <w:autoSpaceDN w:val="0"/>
      <w:spacing w:after="0" w:line="240" w:lineRule="auto"/>
      <w:textAlignment w:val="baseline"/>
    </w:pPr>
    <w:rPr>
      <w:rFonts w:ascii="Arial" w:eastAsia="Times New Roman" w:hAnsi="Arial" w:cs="Times New Roman"/>
      <w:color w:val="000000"/>
      <w:spacing w:val="6"/>
      <w:sz w:val="20"/>
      <w:szCs w:val="20"/>
      <w:lang w:val="en-GB" w:eastAsia="en-GB"/>
    </w:rPr>
  </w:style>
  <w:style w:type="character" w:customStyle="1" w:styleId="FootnoteTextChar">
    <w:name w:val="Footnote Text Char"/>
    <w:basedOn w:val="DefaultParagraphFont"/>
    <w:link w:val="FootnoteText"/>
    <w:uiPriority w:val="99"/>
    <w:semiHidden/>
    <w:rsid w:val="00BE1A1F"/>
    <w:rPr>
      <w:rFonts w:ascii="Arial" w:eastAsia="Times New Roman" w:hAnsi="Arial" w:cs="Times New Roman"/>
      <w:color w:val="000000"/>
      <w:spacing w:val="6"/>
      <w:sz w:val="20"/>
      <w:szCs w:val="20"/>
      <w:lang w:val="en-GB" w:eastAsia="en-GB"/>
    </w:rPr>
  </w:style>
  <w:style w:type="character" w:styleId="FootnoteReference">
    <w:name w:val="footnote reference"/>
    <w:basedOn w:val="DefaultParagraphFont"/>
    <w:unhideWhenUsed/>
    <w:rsid w:val="00BE1A1F"/>
    <w:rPr>
      <w:vertAlign w:val="superscript"/>
    </w:rPr>
  </w:style>
  <w:style w:type="paragraph" w:styleId="ListParagraph">
    <w:name w:val="List Paragraph"/>
    <w:basedOn w:val="Normal"/>
    <w:uiPriority w:val="34"/>
    <w:qFormat/>
    <w:rsid w:val="00076EB6"/>
    <w:pPr>
      <w:ind w:left="720"/>
      <w:contextualSpacing/>
    </w:pPr>
  </w:style>
  <w:style w:type="paragraph" w:styleId="NormalWeb">
    <w:name w:val="Normal (Web)"/>
    <w:basedOn w:val="Normal"/>
    <w:uiPriority w:val="99"/>
    <w:semiHidden/>
    <w:unhideWhenUsed/>
    <w:rsid w:val="00747F8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747F86"/>
    <w:rPr>
      <w:color w:val="0000FF"/>
      <w:u w:val="single"/>
    </w:rPr>
  </w:style>
  <w:style w:type="character" w:styleId="Emphasis">
    <w:name w:val="Emphasis"/>
    <w:basedOn w:val="DefaultParagraphFont"/>
    <w:uiPriority w:val="20"/>
    <w:qFormat/>
    <w:rsid w:val="00366E7A"/>
    <w:rPr>
      <w:i/>
      <w:iCs/>
    </w:rPr>
  </w:style>
</w:styles>
</file>

<file path=word/webSettings.xml><?xml version="1.0" encoding="utf-8"?>
<w:webSettings xmlns:r="http://schemas.openxmlformats.org/officeDocument/2006/relationships" xmlns:w="http://schemas.openxmlformats.org/wordprocessingml/2006/main">
  <w:divs>
    <w:div w:id="455216009">
      <w:bodyDiv w:val="1"/>
      <w:marLeft w:val="0"/>
      <w:marRight w:val="0"/>
      <w:marTop w:val="0"/>
      <w:marBottom w:val="0"/>
      <w:divBdr>
        <w:top w:val="none" w:sz="0" w:space="0" w:color="auto"/>
        <w:left w:val="none" w:sz="0" w:space="0" w:color="auto"/>
        <w:bottom w:val="none" w:sz="0" w:space="0" w:color="auto"/>
        <w:right w:val="none" w:sz="0" w:space="0" w:color="auto"/>
      </w:divBdr>
    </w:div>
    <w:div w:id="92526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ineeringnews.co.za/topic/wat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gineeringnews.co.za/topic/wate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ineeringnews.co.za/topic/water" TargetMode="External"/><Relationship Id="rId5" Type="http://schemas.openxmlformats.org/officeDocument/2006/relationships/footnotes" Target="footnotes.xml"/><Relationship Id="rId10" Type="http://schemas.openxmlformats.org/officeDocument/2006/relationships/hyperlink" Target="https://www.engineeringnews.co.za/topic/infrastructure" TargetMode="External"/><Relationship Id="rId4" Type="http://schemas.openxmlformats.org/officeDocument/2006/relationships/webSettings" Target="webSettings.xml"/><Relationship Id="rId9" Type="http://schemas.openxmlformats.org/officeDocument/2006/relationships/hyperlink" Target="https://www.engineeringnews.co.za/topic/wa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4230</Words>
  <Characters>24117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Shereen B Dawood</dc:creator>
  <cp:lastModifiedBy>User</cp:lastModifiedBy>
  <cp:revision>2</cp:revision>
  <dcterms:created xsi:type="dcterms:W3CDTF">2022-12-02T16:24:00Z</dcterms:created>
  <dcterms:modified xsi:type="dcterms:W3CDTF">2022-12-02T16:24:00Z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f0e08c21-4972-4197-a0b3-e10ca0dd3eec</vt:lpwstr>
  </property>
</Properties>
</file>