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71" w:rsidRPr="009A3C2A" w:rsidRDefault="00C05C71" w:rsidP="009A3C2A">
      <w:pPr>
        <w:tabs>
          <w:tab w:val="left" w:pos="2552"/>
        </w:tabs>
        <w:autoSpaceDE w:val="0"/>
        <w:autoSpaceDN w:val="0"/>
        <w:adjustRightInd w:val="0"/>
        <w:rPr>
          <w:rFonts w:ascii="Arial" w:hAnsi="Arial" w:cs="Arial"/>
          <w:b/>
          <w:sz w:val="20"/>
          <w:szCs w:val="20"/>
        </w:rPr>
      </w:pPr>
      <w:r w:rsidRPr="009A3C2A">
        <w:rPr>
          <w:rFonts w:ascii="Arial" w:hAnsi="Arial" w:cs="Arial"/>
          <w:b/>
          <w:sz w:val="20"/>
          <w:szCs w:val="20"/>
        </w:rPr>
        <w:t>The Budgetary Review and Recommendation Report of the Portfolio Committee on Justic</w:t>
      </w:r>
      <w:bookmarkStart w:id="0" w:name="_GoBack"/>
      <w:bookmarkEnd w:id="0"/>
      <w:r w:rsidRPr="009A3C2A">
        <w:rPr>
          <w:rFonts w:ascii="Arial" w:hAnsi="Arial" w:cs="Arial"/>
          <w:b/>
          <w:sz w:val="20"/>
          <w:szCs w:val="20"/>
        </w:rPr>
        <w:t>e and Co</w:t>
      </w:r>
      <w:r w:rsidR="00F804CA" w:rsidRPr="009A3C2A">
        <w:rPr>
          <w:rFonts w:ascii="Arial" w:hAnsi="Arial" w:cs="Arial"/>
          <w:b/>
          <w:sz w:val="20"/>
          <w:szCs w:val="20"/>
        </w:rPr>
        <w:t>rrectional Services</w:t>
      </w:r>
      <w:r w:rsidR="00B06338" w:rsidRPr="009A3C2A">
        <w:rPr>
          <w:rFonts w:ascii="Arial" w:hAnsi="Arial" w:cs="Arial"/>
          <w:b/>
          <w:sz w:val="20"/>
          <w:szCs w:val="20"/>
        </w:rPr>
        <w:t xml:space="preserve"> on </w:t>
      </w:r>
      <w:r w:rsidR="00DA116A" w:rsidRPr="009A3C2A">
        <w:rPr>
          <w:rFonts w:ascii="Arial" w:hAnsi="Arial" w:cs="Arial"/>
          <w:b/>
          <w:sz w:val="20"/>
          <w:szCs w:val="20"/>
        </w:rPr>
        <w:t>the</w:t>
      </w:r>
      <w:r w:rsidR="00FA26B0" w:rsidRPr="009A3C2A">
        <w:rPr>
          <w:rFonts w:ascii="Arial" w:hAnsi="Arial" w:cs="Arial"/>
          <w:b/>
          <w:sz w:val="20"/>
          <w:szCs w:val="20"/>
        </w:rPr>
        <w:t xml:space="preserve"> O</w:t>
      </w:r>
      <w:r w:rsidR="00FA5518" w:rsidRPr="009A3C2A">
        <w:rPr>
          <w:rFonts w:ascii="Arial" w:hAnsi="Arial" w:cs="Arial"/>
          <w:b/>
          <w:sz w:val="20"/>
          <w:szCs w:val="20"/>
        </w:rPr>
        <w:t>ffice of the Chief Justice</w:t>
      </w:r>
      <w:r w:rsidRPr="009A3C2A">
        <w:rPr>
          <w:rFonts w:ascii="Arial" w:hAnsi="Arial" w:cs="Arial"/>
          <w:b/>
          <w:sz w:val="20"/>
          <w:szCs w:val="20"/>
        </w:rPr>
        <w:t>, dated</w:t>
      </w:r>
      <w:r w:rsidR="002A79EA" w:rsidRPr="009A3C2A">
        <w:rPr>
          <w:rFonts w:ascii="Arial" w:hAnsi="Arial" w:cs="Arial"/>
          <w:b/>
          <w:sz w:val="20"/>
          <w:szCs w:val="20"/>
        </w:rPr>
        <w:t xml:space="preserve"> 18</w:t>
      </w:r>
      <w:r w:rsidR="00052E2C" w:rsidRPr="009A3C2A">
        <w:rPr>
          <w:rFonts w:ascii="Arial" w:hAnsi="Arial" w:cs="Arial"/>
          <w:b/>
          <w:sz w:val="20"/>
          <w:szCs w:val="20"/>
        </w:rPr>
        <w:t xml:space="preserve"> </w:t>
      </w:r>
      <w:r w:rsidR="0003694C" w:rsidRPr="009A3C2A">
        <w:rPr>
          <w:rFonts w:ascii="Arial" w:hAnsi="Arial" w:cs="Arial"/>
          <w:b/>
          <w:sz w:val="20"/>
          <w:szCs w:val="20"/>
        </w:rPr>
        <w:t xml:space="preserve">November </w:t>
      </w:r>
      <w:r w:rsidR="00B06338" w:rsidRPr="009A3C2A">
        <w:rPr>
          <w:rFonts w:ascii="Arial" w:hAnsi="Arial" w:cs="Arial"/>
          <w:b/>
          <w:sz w:val="20"/>
          <w:szCs w:val="20"/>
        </w:rPr>
        <w:t>2022</w:t>
      </w:r>
    </w:p>
    <w:p w:rsidR="00640C90" w:rsidRPr="009A3C2A" w:rsidRDefault="00640C90" w:rsidP="009A3C2A">
      <w:pPr>
        <w:tabs>
          <w:tab w:val="left" w:pos="2552"/>
        </w:tabs>
        <w:autoSpaceDE w:val="0"/>
        <w:autoSpaceDN w:val="0"/>
        <w:adjustRightInd w:val="0"/>
        <w:rPr>
          <w:rFonts w:ascii="Arial" w:hAnsi="Arial" w:cs="Arial"/>
          <w:b/>
          <w:sz w:val="20"/>
          <w:szCs w:val="20"/>
        </w:rPr>
      </w:pPr>
    </w:p>
    <w:p w:rsidR="00C05C71" w:rsidRPr="009A3C2A" w:rsidRDefault="00C05C71" w:rsidP="009A3C2A">
      <w:pPr>
        <w:autoSpaceDE w:val="0"/>
        <w:autoSpaceDN w:val="0"/>
        <w:adjustRightInd w:val="0"/>
        <w:rPr>
          <w:rFonts w:ascii="Arial" w:hAnsi="Arial" w:cs="Arial"/>
          <w:b/>
          <w:sz w:val="20"/>
          <w:szCs w:val="20"/>
          <w:lang w:val="en-ZA"/>
        </w:rPr>
      </w:pPr>
      <w:r w:rsidRPr="009A3C2A">
        <w:rPr>
          <w:rFonts w:ascii="Arial" w:hAnsi="Arial" w:cs="Arial"/>
          <w:sz w:val="20"/>
          <w:szCs w:val="20"/>
        </w:rPr>
        <w:t>The Portfolio Committee on Justice and Co</w:t>
      </w:r>
      <w:r w:rsidR="00F804CA" w:rsidRPr="009A3C2A">
        <w:rPr>
          <w:rFonts w:ascii="Arial" w:hAnsi="Arial" w:cs="Arial"/>
          <w:sz w:val="20"/>
          <w:szCs w:val="20"/>
        </w:rPr>
        <w:t>rrectional Services</w:t>
      </w:r>
      <w:r w:rsidRPr="009A3C2A">
        <w:rPr>
          <w:rFonts w:ascii="Arial" w:hAnsi="Arial" w:cs="Arial"/>
          <w:sz w:val="20"/>
          <w:szCs w:val="20"/>
        </w:rPr>
        <w:t xml:space="preserve">, having considered the </w:t>
      </w:r>
      <w:r w:rsidR="00131E7F" w:rsidRPr="009A3C2A">
        <w:rPr>
          <w:rFonts w:ascii="Arial" w:hAnsi="Arial" w:cs="Arial"/>
          <w:sz w:val="20"/>
          <w:szCs w:val="20"/>
        </w:rPr>
        <w:t xml:space="preserve">financial and non-financial </w:t>
      </w:r>
      <w:r w:rsidRPr="009A3C2A">
        <w:rPr>
          <w:rFonts w:ascii="Arial" w:hAnsi="Arial" w:cs="Arial"/>
          <w:sz w:val="20"/>
          <w:szCs w:val="20"/>
        </w:rPr>
        <w:t xml:space="preserve">performance </w:t>
      </w:r>
      <w:r w:rsidR="001C5F58" w:rsidRPr="009A3C2A">
        <w:rPr>
          <w:rFonts w:ascii="Arial" w:hAnsi="Arial" w:cs="Arial"/>
          <w:sz w:val="20"/>
          <w:szCs w:val="20"/>
        </w:rPr>
        <w:t xml:space="preserve">information </w:t>
      </w:r>
      <w:r w:rsidRPr="009A3C2A">
        <w:rPr>
          <w:rFonts w:ascii="Arial" w:hAnsi="Arial" w:cs="Arial"/>
          <w:sz w:val="20"/>
          <w:szCs w:val="20"/>
        </w:rPr>
        <w:t xml:space="preserve">of the </w:t>
      </w:r>
      <w:r w:rsidR="009B277E" w:rsidRPr="009A3C2A">
        <w:rPr>
          <w:rFonts w:ascii="Arial" w:hAnsi="Arial" w:cs="Arial"/>
          <w:sz w:val="20"/>
          <w:szCs w:val="20"/>
        </w:rPr>
        <w:t xml:space="preserve">Office of the Chief Justice </w:t>
      </w:r>
      <w:r w:rsidR="005B2C49" w:rsidRPr="009A3C2A">
        <w:rPr>
          <w:rFonts w:ascii="Arial" w:hAnsi="Arial" w:cs="Arial"/>
          <w:sz w:val="20"/>
          <w:szCs w:val="20"/>
        </w:rPr>
        <w:t xml:space="preserve">for the </w:t>
      </w:r>
      <w:r w:rsidR="001C5F58" w:rsidRPr="009A3C2A">
        <w:rPr>
          <w:rFonts w:ascii="Arial" w:hAnsi="Arial" w:cs="Arial"/>
          <w:sz w:val="20"/>
          <w:szCs w:val="20"/>
        </w:rPr>
        <w:t>financial year ending 31 March 202</w:t>
      </w:r>
      <w:r w:rsidR="00B06338" w:rsidRPr="009A3C2A">
        <w:rPr>
          <w:rFonts w:ascii="Arial" w:hAnsi="Arial" w:cs="Arial"/>
          <w:sz w:val="20"/>
          <w:szCs w:val="20"/>
        </w:rPr>
        <w:t>2</w:t>
      </w:r>
      <w:r w:rsidR="00FA26B0" w:rsidRPr="009A3C2A">
        <w:rPr>
          <w:rFonts w:ascii="Arial" w:hAnsi="Arial" w:cs="Arial"/>
          <w:sz w:val="20"/>
          <w:szCs w:val="20"/>
        </w:rPr>
        <w:t>,</w:t>
      </w:r>
      <w:r w:rsidR="001C5F58" w:rsidRPr="009A3C2A">
        <w:rPr>
          <w:rFonts w:ascii="Arial" w:hAnsi="Arial" w:cs="Arial"/>
          <w:sz w:val="20"/>
          <w:szCs w:val="20"/>
        </w:rPr>
        <w:t xml:space="preserve"> </w:t>
      </w:r>
      <w:r w:rsidR="005B2C49" w:rsidRPr="009A3C2A">
        <w:rPr>
          <w:rFonts w:ascii="Arial" w:hAnsi="Arial" w:cs="Arial"/>
          <w:sz w:val="20"/>
          <w:szCs w:val="20"/>
        </w:rPr>
        <w:t xml:space="preserve">and </w:t>
      </w:r>
      <w:r w:rsidR="00FA26B0" w:rsidRPr="009A3C2A">
        <w:rPr>
          <w:rFonts w:ascii="Arial" w:hAnsi="Arial" w:cs="Arial"/>
          <w:sz w:val="20"/>
          <w:szCs w:val="20"/>
        </w:rPr>
        <w:t xml:space="preserve">the financial information for the </w:t>
      </w:r>
      <w:r w:rsidR="005B2C49" w:rsidRPr="009A3C2A">
        <w:rPr>
          <w:rFonts w:ascii="Arial" w:hAnsi="Arial" w:cs="Arial"/>
          <w:sz w:val="20"/>
          <w:szCs w:val="20"/>
        </w:rPr>
        <w:t xml:space="preserve">First </w:t>
      </w:r>
      <w:r w:rsidR="00A71261" w:rsidRPr="009A3C2A">
        <w:rPr>
          <w:rFonts w:ascii="Arial" w:hAnsi="Arial" w:cs="Arial"/>
          <w:sz w:val="20"/>
          <w:szCs w:val="20"/>
        </w:rPr>
        <w:t>Quarter of 202</w:t>
      </w:r>
      <w:r w:rsidR="00B06338" w:rsidRPr="009A3C2A">
        <w:rPr>
          <w:rFonts w:ascii="Arial" w:hAnsi="Arial" w:cs="Arial"/>
          <w:sz w:val="20"/>
          <w:szCs w:val="20"/>
        </w:rPr>
        <w:t>2/23</w:t>
      </w:r>
      <w:r w:rsidR="005B2C49" w:rsidRPr="009A3C2A">
        <w:rPr>
          <w:rFonts w:ascii="Arial" w:hAnsi="Arial" w:cs="Arial"/>
          <w:sz w:val="20"/>
          <w:szCs w:val="20"/>
        </w:rPr>
        <w:t xml:space="preserve">, </w:t>
      </w:r>
      <w:r w:rsidRPr="009A3C2A">
        <w:rPr>
          <w:rFonts w:ascii="Arial" w:hAnsi="Arial" w:cs="Arial"/>
          <w:sz w:val="20"/>
          <w:szCs w:val="20"/>
        </w:rPr>
        <w:t>reports as follows:</w:t>
      </w:r>
    </w:p>
    <w:p w:rsidR="00C05C71" w:rsidRPr="009A3C2A" w:rsidRDefault="00C05C71" w:rsidP="009A3C2A">
      <w:pPr>
        <w:autoSpaceDE w:val="0"/>
        <w:autoSpaceDN w:val="0"/>
        <w:adjustRightInd w:val="0"/>
        <w:rPr>
          <w:rFonts w:ascii="Arial" w:hAnsi="Arial" w:cs="Arial"/>
          <w:sz w:val="20"/>
          <w:szCs w:val="20"/>
          <w:lang w:val="en-ZA"/>
        </w:rPr>
      </w:pPr>
    </w:p>
    <w:p w:rsidR="00C05C71" w:rsidRPr="009A3C2A" w:rsidRDefault="00C05C71" w:rsidP="009A3C2A">
      <w:pPr>
        <w:numPr>
          <w:ilvl w:val="0"/>
          <w:numId w:val="1"/>
        </w:numPr>
        <w:tabs>
          <w:tab w:val="clear" w:pos="360"/>
          <w:tab w:val="num" w:pos="851"/>
        </w:tabs>
        <w:ind w:left="851" w:hanging="851"/>
        <w:rPr>
          <w:rFonts w:ascii="Arial" w:hAnsi="Arial" w:cs="Arial"/>
          <w:b/>
          <w:sz w:val="20"/>
          <w:szCs w:val="20"/>
          <w:lang w:val="en-ZA"/>
        </w:rPr>
      </w:pPr>
      <w:r w:rsidRPr="009A3C2A">
        <w:rPr>
          <w:rFonts w:ascii="Arial" w:hAnsi="Arial" w:cs="Arial"/>
          <w:b/>
          <w:sz w:val="20"/>
          <w:szCs w:val="20"/>
          <w:lang w:val="en-ZA"/>
        </w:rPr>
        <w:t>Introduction</w:t>
      </w:r>
    </w:p>
    <w:p w:rsidR="00C05C71" w:rsidRPr="009A3C2A" w:rsidRDefault="00C05C71" w:rsidP="009A3C2A">
      <w:pPr>
        <w:rPr>
          <w:rFonts w:ascii="Arial" w:hAnsi="Arial" w:cs="Arial"/>
          <w:sz w:val="20"/>
          <w:szCs w:val="20"/>
          <w:lang w:val="en-ZA"/>
        </w:rPr>
      </w:pPr>
    </w:p>
    <w:p w:rsidR="00EF4AD0" w:rsidRPr="009A3C2A" w:rsidRDefault="008E474D"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The Money Bills Procedure Amendment </w:t>
      </w:r>
      <w:r w:rsidR="009C311F" w:rsidRPr="009A3C2A">
        <w:rPr>
          <w:rFonts w:ascii="Arial" w:hAnsi="Arial" w:cs="Arial"/>
          <w:sz w:val="20"/>
          <w:szCs w:val="20"/>
          <w:lang w:val="en-US"/>
        </w:rPr>
        <w:t xml:space="preserve">and Related Matters Act 9 of 2009 </w:t>
      </w:r>
      <w:r w:rsidR="00052E2C" w:rsidRPr="009A3C2A">
        <w:rPr>
          <w:rFonts w:ascii="Arial" w:hAnsi="Arial" w:cs="Arial"/>
          <w:sz w:val="20"/>
          <w:szCs w:val="20"/>
          <w:lang w:val="en-US"/>
        </w:rPr>
        <w:t xml:space="preserve">(Money Bills Act) </w:t>
      </w:r>
      <w:r w:rsidR="009C311F" w:rsidRPr="009A3C2A">
        <w:rPr>
          <w:rFonts w:ascii="Arial" w:hAnsi="Arial" w:cs="Arial"/>
          <w:sz w:val="20"/>
          <w:szCs w:val="20"/>
          <w:lang w:val="en-US"/>
        </w:rPr>
        <w:t xml:space="preserve">sets out the process that allows Parliament to make recommendations to the Minister of Finance to amend the budget of a national department. </w:t>
      </w:r>
    </w:p>
    <w:p w:rsidR="00EF4AD0" w:rsidRPr="009A3C2A" w:rsidRDefault="00EF4AD0" w:rsidP="009A3C2A">
      <w:pPr>
        <w:pStyle w:val="ListParagraph"/>
        <w:tabs>
          <w:tab w:val="num" w:pos="1004"/>
        </w:tabs>
        <w:ind w:left="709"/>
        <w:rPr>
          <w:rFonts w:ascii="Arial" w:hAnsi="Arial" w:cs="Arial"/>
          <w:sz w:val="20"/>
          <w:szCs w:val="20"/>
          <w:lang w:val="en-US"/>
        </w:rPr>
      </w:pPr>
    </w:p>
    <w:p w:rsidR="009C311F" w:rsidRPr="009A3C2A" w:rsidRDefault="00052E2C"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The Money Bills Act requires </w:t>
      </w:r>
      <w:r w:rsidR="009C311F" w:rsidRPr="009A3C2A">
        <w:rPr>
          <w:rFonts w:ascii="Arial" w:hAnsi="Arial" w:cs="Arial"/>
          <w:sz w:val="20"/>
          <w:szCs w:val="20"/>
          <w:lang w:val="en-US"/>
        </w:rPr>
        <w:t xml:space="preserve">portfolio committees </w:t>
      </w:r>
      <w:r w:rsidRPr="009A3C2A">
        <w:rPr>
          <w:rFonts w:ascii="Arial" w:hAnsi="Arial" w:cs="Arial"/>
          <w:sz w:val="20"/>
          <w:szCs w:val="20"/>
          <w:lang w:val="en-US"/>
        </w:rPr>
        <w:t xml:space="preserve">to </w:t>
      </w:r>
      <w:r w:rsidR="009C311F" w:rsidRPr="009A3C2A">
        <w:rPr>
          <w:rFonts w:ascii="Arial" w:hAnsi="Arial" w:cs="Arial"/>
          <w:sz w:val="20"/>
          <w:szCs w:val="20"/>
          <w:lang w:val="en-US"/>
        </w:rPr>
        <w:t xml:space="preserve">compile Budgetary Review and Recommendation Reports (BRRR) that assess service delivery performance </w:t>
      </w:r>
      <w:r w:rsidR="00EF4AD0" w:rsidRPr="009A3C2A">
        <w:rPr>
          <w:rFonts w:ascii="Arial" w:hAnsi="Arial" w:cs="Arial"/>
          <w:sz w:val="20"/>
          <w:szCs w:val="20"/>
          <w:lang w:val="en-US"/>
        </w:rPr>
        <w:t xml:space="preserve">of departments, entities and institutions </w:t>
      </w:r>
      <w:r w:rsidR="009C311F" w:rsidRPr="009A3C2A">
        <w:rPr>
          <w:rFonts w:ascii="Arial" w:hAnsi="Arial" w:cs="Arial"/>
          <w:sz w:val="20"/>
          <w:szCs w:val="20"/>
          <w:lang w:val="en-US"/>
        </w:rPr>
        <w:t xml:space="preserve">given </w:t>
      </w:r>
      <w:r w:rsidR="00A9386F" w:rsidRPr="009A3C2A">
        <w:rPr>
          <w:rFonts w:ascii="Arial" w:hAnsi="Arial" w:cs="Arial"/>
          <w:sz w:val="20"/>
          <w:szCs w:val="20"/>
          <w:lang w:val="en-US"/>
        </w:rPr>
        <w:t>the</w:t>
      </w:r>
      <w:r w:rsidR="00EF4AD0" w:rsidRPr="009A3C2A">
        <w:rPr>
          <w:rFonts w:ascii="Arial" w:hAnsi="Arial" w:cs="Arial"/>
          <w:sz w:val="20"/>
          <w:szCs w:val="20"/>
          <w:lang w:val="en-US"/>
        </w:rPr>
        <w:t>ir respective</w:t>
      </w:r>
      <w:r w:rsidR="00A9386F" w:rsidRPr="009A3C2A">
        <w:rPr>
          <w:rFonts w:ascii="Arial" w:hAnsi="Arial" w:cs="Arial"/>
          <w:sz w:val="20"/>
          <w:szCs w:val="20"/>
          <w:lang w:val="en-US"/>
        </w:rPr>
        <w:t xml:space="preserve"> </w:t>
      </w:r>
      <w:r w:rsidR="009C311F" w:rsidRPr="009A3C2A">
        <w:rPr>
          <w:rFonts w:ascii="Arial" w:hAnsi="Arial" w:cs="Arial"/>
          <w:sz w:val="20"/>
          <w:szCs w:val="20"/>
          <w:lang w:val="en-US"/>
        </w:rPr>
        <w:t>available resources; evaluate the effective and efficient use and forward</w:t>
      </w:r>
      <w:r w:rsidR="002B3E59" w:rsidRPr="009A3C2A">
        <w:rPr>
          <w:rFonts w:ascii="Arial" w:hAnsi="Arial" w:cs="Arial"/>
          <w:sz w:val="20"/>
          <w:szCs w:val="20"/>
          <w:lang w:val="en-US"/>
        </w:rPr>
        <w:t xml:space="preserve"> </w:t>
      </w:r>
      <w:r w:rsidR="009C311F" w:rsidRPr="009A3C2A">
        <w:rPr>
          <w:rFonts w:ascii="Arial" w:hAnsi="Arial" w:cs="Arial"/>
          <w:sz w:val="20"/>
          <w:szCs w:val="20"/>
          <w:lang w:val="en-US"/>
        </w:rPr>
        <w:t xml:space="preserve">allocation of resources; and may make recommendations on the future allocation of resources. The </w:t>
      </w:r>
      <w:r w:rsidR="00157E9A" w:rsidRPr="009A3C2A">
        <w:rPr>
          <w:rFonts w:ascii="Arial" w:hAnsi="Arial" w:cs="Arial"/>
          <w:sz w:val="20"/>
          <w:szCs w:val="20"/>
          <w:lang w:val="en-US"/>
        </w:rPr>
        <w:t xml:space="preserve">annual </w:t>
      </w:r>
      <w:r w:rsidR="009C311F" w:rsidRPr="009A3C2A">
        <w:rPr>
          <w:rFonts w:ascii="Arial" w:hAnsi="Arial" w:cs="Arial"/>
          <w:sz w:val="20"/>
          <w:szCs w:val="20"/>
          <w:lang w:val="en-US"/>
        </w:rPr>
        <w:t xml:space="preserve">review of </w:t>
      </w:r>
      <w:r w:rsidR="00157E9A" w:rsidRPr="009A3C2A">
        <w:rPr>
          <w:rFonts w:ascii="Arial" w:hAnsi="Arial" w:cs="Arial"/>
          <w:sz w:val="20"/>
          <w:szCs w:val="20"/>
          <w:lang w:val="en-US"/>
        </w:rPr>
        <w:t xml:space="preserve">expenditure and </w:t>
      </w:r>
      <w:r w:rsidR="009C311F" w:rsidRPr="009A3C2A">
        <w:rPr>
          <w:rFonts w:ascii="Arial" w:hAnsi="Arial" w:cs="Arial"/>
          <w:sz w:val="20"/>
          <w:szCs w:val="20"/>
          <w:lang w:val="en-US"/>
        </w:rPr>
        <w:t>performance</w:t>
      </w:r>
      <w:r w:rsidR="00236552" w:rsidRPr="009A3C2A">
        <w:rPr>
          <w:rFonts w:ascii="Arial" w:hAnsi="Arial" w:cs="Arial"/>
          <w:sz w:val="20"/>
          <w:szCs w:val="20"/>
          <w:lang w:val="en-US"/>
        </w:rPr>
        <w:t xml:space="preserve"> </w:t>
      </w:r>
      <w:r w:rsidR="00157E9A" w:rsidRPr="009A3C2A">
        <w:rPr>
          <w:rFonts w:ascii="Arial" w:hAnsi="Arial" w:cs="Arial"/>
          <w:sz w:val="20"/>
          <w:szCs w:val="20"/>
          <w:lang w:val="en-US"/>
        </w:rPr>
        <w:t xml:space="preserve">for </w:t>
      </w:r>
      <w:r w:rsidR="00E23B56" w:rsidRPr="009A3C2A">
        <w:rPr>
          <w:rFonts w:ascii="Arial" w:hAnsi="Arial" w:cs="Arial"/>
          <w:sz w:val="20"/>
          <w:szCs w:val="20"/>
          <w:lang w:val="en-US"/>
        </w:rPr>
        <w:t xml:space="preserve">the previous </w:t>
      </w:r>
      <w:r w:rsidR="00A72D1C" w:rsidRPr="009A3C2A">
        <w:rPr>
          <w:rFonts w:ascii="Arial" w:hAnsi="Arial" w:cs="Arial"/>
          <w:sz w:val="20"/>
          <w:szCs w:val="20"/>
          <w:lang w:val="en-US"/>
        </w:rPr>
        <w:t>financial year (20</w:t>
      </w:r>
      <w:r w:rsidRPr="009A3C2A">
        <w:rPr>
          <w:rFonts w:ascii="Arial" w:hAnsi="Arial" w:cs="Arial"/>
          <w:sz w:val="20"/>
          <w:szCs w:val="20"/>
          <w:lang w:val="en-US"/>
        </w:rPr>
        <w:t>20/21</w:t>
      </w:r>
      <w:r w:rsidR="00E23B56" w:rsidRPr="009A3C2A">
        <w:rPr>
          <w:rFonts w:ascii="Arial" w:hAnsi="Arial" w:cs="Arial"/>
          <w:sz w:val="20"/>
          <w:szCs w:val="20"/>
          <w:lang w:val="en-US"/>
        </w:rPr>
        <w:t>)</w:t>
      </w:r>
      <w:r w:rsidR="00157E9A" w:rsidRPr="009A3C2A">
        <w:rPr>
          <w:rFonts w:ascii="Arial" w:hAnsi="Arial" w:cs="Arial"/>
          <w:sz w:val="20"/>
          <w:szCs w:val="20"/>
          <w:lang w:val="en-US"/>
        </w:rPr>
        <w:t xml:space="preserve"> </w:t>
      </w:r>
      <w:r w:rsidR="005F4BAB" w:rsidRPr="009A3C2A">
        <w:rPr>
          <w:rFonts w:ascii="Arial" w:hAnsi="Arial" w:cs="Arial"/>
          <w:sz w:val="20"/>
          <w:szCs w:val="20"/>
          <w:lang w:val="en-US"/>
        </w:rPr>
        <w:t xml:space="preserve">also </w:t>
      </w:r>
      <w:r w:rsidR="009C311F" w:rsidRPr="009A3C2A">
        <w:rPr>
          <w:rFonts w:ascii="Arial" w:hAnsi="Arial" w:cs="Arial"/>
          <w:sz w:val="20"/>
          <w:szCs w:val="20"/>
          <w:lang w:val="en-US"/>
        </w:rPr>
        <w:t>forms part of this process.</w:t>
      </w:r>
    </w:p>
    <w:p w:rsidR="00C05C71" w:rsidRPr="009A3C2A" w:rsidRDefault="00C05C71" w:rsidP="009A3C2A">
      <w:pPr>
        <w:rPr>
          <w:rFonts w:ascii="Arial" w:hAnsi="Arial" w:cs="Arial"/>
          <w:sz w:val="20"/>
          <w:szCs w:val="20"/>
          <w:lang w:val="en-ZA"/>
        </w:rPr>
      </w:pPr>
    </w:p>
    <w:p w:rsidR="00124F6F" w:rsidRPr="009A3C2A" w:rsidRDefault="00124F6F"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In particular, section 5(1) of the Money Bills Act provides </w:t>
      </w:r>
      <w:r w:rsidR="005D1260" w:rsidRPr="009A3C2A">
        <w:rPr>
          <w:rFonts w:ascii="Arial" w:hAnsi="Arial" w:cs="Arial"/>
          <w:sz w:val="20"/>
          <w:szCs w:val="20"/>
          <w:lang w:val="en-US"/>
        </w:rPr>
        <w:t xml:space="preserve">that </w:t>
      </w:r>
      <w:r w:rsidRPr="009A3C2A">
        <w:rPr>
          <w:rFonts w:ascii="Arial" w:hAnsi="Arial" w:cs="Arial"/>
          <w:sz w:val="20"/>
          <w:szCs w:val="20"/>
          <w:lang w:val="en-US"/>
        </w:rPr>
        <w:t xml:space="preserve">committees </w:t>
      </w:r>
      <w:r w:rsidRPr="009A3C2A">
        <w:rPr>
          <w:rFonts w:ascii="Arial" w:hAnsi="Arial" w:cs="Arial"/>
          <w:i/>
          <w:sz w:val="20"/>
          <w:szCs w:val="20"/>
          <w:lang w:val="en-US"/>
        </w:rPr>
        <w:t>must</w:t>
      </w:r>
      <w:r w:rsidRPr="009A3C2A">
        <w:rPr>
          <w:rFonts w:ascii="Arial" w:hAnsi="Arial" w:cs="Arial"/>
          <w:sz w:val="20"/>
          <w:szCs w:val="20"/>
          <w:lang w:val="en-US"/>
        </w:rPr>
        <w:t xml:space="preserve"> make their assessment of the performance of national departments and institutions, with reference to the following:</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medium term estimates of expenditure of each national department, its strategic goals and measurable objectives, as tabled in the National Assembly with the national budget;</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Prevailing strategic plans;</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expenditure reports or statements relating to a vote appropriating funds for such department published by the National Treasury in terms of section 32 of the Public Finance Management Act;</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financial statements and annual report of such department;</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reports of the Standing Committee on Public Accounts relating to a department; and</w:t>
      </w:r>
    </w:p>
    <w:p w:rsidR="00124F6F" w:rsidRPr="009A3C2A" w:rsidRDefault="00124F6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Any other information requested by or presented to a House or Parliament.</w:t>
      </w:r>
    </w:p>
    <w:p w:rsidR="00124F6F" w:rsidRPr="009A3C2A" w:rsidRDefault="00124F6F" w:rsidP="009A3C2A">
      <w:pPr>
        <w:pStyle w:val="ListParagraph"/>
        <w:ind w:left="1069"/>
        <w:rPr>
          <w:rFonts w:ascii="Arial" w:hAnsi="Arial" w:cs="Arial"/>
          <w:sz w:val="20"/>
          <w:szCs w:val="20"/>
          <w:lang w:val="en-US"/>
        </w:rPr>
      </w:pPr>
    </w:p>
    <w:p w:rsidR="00124F6F" w:rsidRPr="009A3C2A" w:rsidRDefault="00124F6F"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Committees may make recommendations on the future allocation of resources, having assessed service delivery performance to date; evaluated the effective and efficient use of the resources already allocated; and considered the planned forward allocation of resources. </w:t>
      </w:r>
    </w:p>
    <w:p w:rsidR="00124F6F" w:rsidRPr="009A3C2A" w:rsidRDefault="00124F6F" w:rsidP="009A3C2A">
      <w:pPr>
        <w:ind w:left="709"/>
        <w:rPr>
          <w:rFonts w:ascii="Arial" w:hAnsi="Arial" w:cs="Arial"/>
          <w:sz w:val="20"/>
          <w:szCs w:val="20"/>
          <w:lang w:val="en-US"/>
        </w:rPr>
      </w:pPr>
    </w:p>
    <w:p w:rsidR="002A15B3" w:rsidRPr="009A3C2A" w:rsidRDefault="00124F6F"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The Committee oversees the Office of the Chief Justice</w:t>
      </w:r>
      <w:r w:rsidR="00E254F8" w:rsidRPr="009A3C2A">
        <w:rPr>
          <w:rFonts w:ascii="Arial" w:hAnsi="Arial" w:cs="Arial"/>
          <w:sz w:val="20"/>
          <w:szCs w:val="20"/>
          <w:lang w:val="en-US"/>
        </w:rPr>
        <w:t xml:space="preserve"> </w:t>
      </w:r>
      <w:r w:rsidRPr="009A3C2A">
        <w:rPr>
          <w:rFonts w:ascii="Arial" w:hAnsi="Arial" w:cs="Arial"/>
          <w:sz w:val="20"/>
          <w:szCs w:val="20"/>
          <w:lang w:val="en-US"/>
        </w:rPr>
        <w:t>(OCJ), which w</w:t>
      </w:r>
      <w:r w:rsidR="00EF4AD0" w:rsidRPr="009A3C2A">
        <w:rPr>
          <w:rFonts w:ascii="Arial" w:hAnsi="Arial" w:cs="Arial"/>
          <w:sz w:val="20"/>
          <w:szCs w:val="20"/>
          <w:lang w:val="en-US"/>
        </w:rPr>
        <w:t xml:space="preserve">as established </w:t>
      </w:r>
      <w:r w:rsidR="006D08A6" w:rsidRPr="009A3C2A">
        <w:rPr>
          <w:rFonts w:ascii="Arial" w:hAnsi="Arial" w:cs="Arial"/>
          <w:sz w:val="20"/>
          <w:szCs w:val="20"/>
          <w:lang w:val="en-US"/>
        </w:rPr>
        <w:t xml:space="preserve">in 2010 </w:t>
      </w:r>
      <w:r w:rsidR="00EF4AD0" w:rsidRPr="009A3C2A">
        <w:rPr>
          <w:rFonts w:ascii="Arial" w:hAnsi="Arial" w:cs="Arial"/>
          <w:sz w:val="20"/>
          <w:szCs w:val="20"/>
          <w:lang w:val="en-US"/>
        </w:rPr>
        <w:t xml:space="preserve">primarily to support the Chief Justice in </w:t>
      </w:r>
      <w:r w:rsidR="006D08A6" w:rsidRPr="009A3C2A">
        <w:rPr>
          <w:rFonts w:ascii="Arial" w:hAnsi="Arial" w:cs="Arial"/>
          <w:sz w:val="20"/>
          <w:szCs w:val="20"/>
          <w:lang w:val="en-US"/>
        </w:rPr>
        <w:t xml:space="preserve">the execution of </w:t>
      </w:r>
      <w:r w:rsidR="00452CA3" w:rsidRPr="009A3C2A">
        <w:rPr>
          <w:rFonts w:ascii="Arial" w:hAnsi="Arial" w:cs="Arial"/>
          <w:sz w:val="20"/>
          <w:szCs w:val="20"/>
          <w:lang w:val="en-US"/>
        </w:rPr>
        <w:t xml:space="preserve">their </w:t>
      </w:r>
      <w:r w:rsidR="00EF4AD0" w:rsidRPr="009A3C2A">
        <w:rPr>
          <w:rFonts w:ascii="Arial" w:hAnsi="Arial" w:cs="Arial"/>
          <w:sz w:val="20"/>
          <w:szCs w:val="20"/>
          <w:lang w:val="en-US"/>
        </w:rPr>
        <w:t xml:space="preserve">administrative and judicial powers and duties as Head of the Judiciary and Head of the Constitutional Court. The transfer of administrative functions and identified staff attached to the Superior Courts from the Department of Justice and Constitutional Development to the OCJ commenced on 1 October 2014. </w:t>
      </w:r>
    </w:p>
    <w:p w:rsidR="002A15B3" w:rsidRPr="009A3C2A" w:rsidRDefault="002A15B3" w:rsidP="009A3C2A">
      <w:pPr>
        <w:pStyle w:val="ListParagraph"/>
        <w:rPr>
          <w:rFonts w:ascii="Arial" w:hAnsi="Arial" w:cs="Arial"/>
          <w:sz w:val="20"/>
          <w:szCs w:val="20"/>
          <w:lang w:val="en-US"/>
        </w:rPr>
      </w:pPr>
    </w:p>
    <w:p w:rsidR="00C824F1" w:rsidRPr="009A3C2A" w:rsidRDefault="00C824F1" w:rsidP="009A3C2A">
      <w:pPr>
        <w:pStyle w:val="ListParagraph"/>
        <w:numPr>
          <w:ilvl w:val="1"/>
          <w:numId w:val="1"/>
        </w:numPr>
        <w:tabs>
          <w:tab w:val="clear" w:pos="862"/>
          <w:tab w:val="num" w:pos="851"/>
        </w:tabs>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On 1 April 2015, the </w:t>
      </w:r>
      <w:r w:rsidR="00A72D1C" w:rsidRPr="009A3C2A">
        <w:rPr>
          <w:rFonts w:ascii="Arial" w:hAnsi="Arial" w:cs="Arial"/>
          <w:sz w:val="20"/>
          <w:szCs w:val="20"/>
          <w:lang w:val="en-US"/>
        </w:rPr>
        <w:t xml:space="preserve">OCJ </w:t>
      </w:r>
      <w:r w:rsidRPr="009A3C2A">
        <w:rPr>
          <w:rFonts w:ascii="Arial" w:hAnsi="Arial" w:cs="Arial"/>
          <w:sz w:val="20"/>
          <w:szCs w:val="20"/>
          <w:lang w:val="en-US"/>
        </w:rPr>
        <w:t>became a fully-fledged Department with its own Vote</w:t>
      </w:r>
      <w:r w:rsidR="00756700" w:rsidRPr="009A3C2A">
        <w:rPr>
          <w:rFonts w:ascii="Arial" w:hAnsi="Arial" w:cs="Arial"/>
          <w:sz w:val="20"/>
          <w:szCs w:val="20"/>
          <w:lang w:val="en-US"/>
        </w:rPr>
        <w:t>.</w:t>
      </w:r>
      <w:r w:rsidRPr="009A3C2A">
        <w:rPr>
          <w:rFonts w:ascii="Arial" w:hAnsi="Arial" w:cs="Arial"/>
          <w:sz w:val="20"/>
          <w:szCs w:val="20"/>
          <w:lang w:val="en-US"/>
        </w:rPr>
        <w:t xml:space="preserve"> The administration for the Superior Courts, Judicial Services Commission (JSC) and South African Judicial Education Institute (SAJEI) were transferred to the OCJ, together with the budget and personnel, from the Department of Justice and Constitutional Development. The funds for judges’ salaries w</w:t>
      </w:r>
      <w:r w:rsidR="00BB375B" w:rsidRPr="009A3C2A">
        <w:rPr>
          <w:rFonts w:ascii="Arial" w:hAnsi="Arial" w:cs="Arial"/>
          <w:sz w:val="20"/>
          <w:szCs w:val="20"/>
          <w:lang w:val="en-US"/>
        </w:rPr>
        <w:t>as</w:t>
      </w:r>
      <w:r w:rsidRPr="009A3C2A">
        <w:rPr>
          <w:rFonts w:ascii="Arial" w:hAnsi="Arial" w:cs="Arial"/>
          <w:sz w:val="20"/>
          <w:szCs w:val="20"/>
          <w:lang w:val="en-US"/>
        </w:rPr>
        <w:t xml:space="preserve"> also transferred to the new Vote.</w:t>
      </w:r>
      <w:r w:rsidR="00B06338" w:rsidRPr="009A3C2A">
        <w:rPr>
          <w:rFonts w:ascii="Arial" w:hAnsi="Arial" w:cs="Arial"/>
          <w:sz w:val="20"/>
          <w:szCs w:val="20"/>
          <w:lang w:val="en-US"/>
        </w:rPr>
        <w:t xml:space="preserve"> </w:t>
      </w:r>
    </w:p>
    <w:p w:rsidR="002A15B3" w:rsidRPr="009A3C2A" w:rsidRDefault="002A15B3" w:rsidP="009A3C2A">
      <w:pPr>
        <w:pStyle w:val="ListParagraph"/>
        <w:rPr>
          <w:rFonts w:ascii="Arial" w:hAnsi="Arial" w:cs="Arial"/>
          <w:sz w:val="20"/>
          <w:szCs w:val="20"/>
          <w:highlight w:val="yellow"/>
          <w:lang w:val="en-US"/>
        </w:rPr>
      </w:pPr>
    </w:p>
    <w:p w:rsidR="009332BB" w:rsidRPr="009A3C2A" w:rsidRDefault="009332BB" w:rsidP="009A3C2A">
      <w:pPr>
        <w:pStyle w:val="ListParagraph"/>
        <w:rPr>
          <w:rFonts w:ascii="Arial" w:hAnsi="Arial" w:cs="Arial"/>
          <w:sz w:val="20"/>
          <w:szCs w:val="20"/>
          <w:highlight w:val="yellow"/>
          <w:lang w:val="en-US"/>
        </w:rPr>
      </w:pPr>
    </w:p>
    <w:p w:rsidR="00EF4AD0" w:rsidRPr="009A3C2A" w:rsidRDefault="00EF4AD0" w:rsidP="009A3C2A">
      <w:pPr>
        <w:numPr>
          <w:ilvl w:val="0"/>
          <w:numId w:val="1"/>
        </w:numPr>
        <w:tabs>
          <w:tab w:val="clear" w:pos="360"/>
          <w:tab w:val="num" w:pos="851"/>
        </w:tabs>
        <w:ind w:left="851" w:hanging="851"/>
        <w:rPr>
          <w:rFonts w:ascii="Arial" w:hAnsi="Arial" w:cs="Arial"/>
          <w:sz w:val="20"/>
          <w:szCs w:val="20"/>
        </w:rPr>
      </w:pPr>
      <w:r w:rsidRPr="009A3C2A">
        <w:rPr>
          <w:rFonts w:ascii="Arial" w:hAnsi="Arial" w:cs="Arial"/>
          <w:b/>
          <w:sz w:val="20"/>
          <w:szCs w:val="20"/>
          <w:lang w:val="en-US"/>
        </w:rPr>
        <w:t>Process followed</w:t>
      </w:r>
    </w:p>
    <w:p w:rsidR="00EF4AD0" w:rsidRPr="009A3C2A" w:rsidRDefault="00EF4AD0" w:rsidP="009A3C2A">
      <w:pPr>
        <w:tabs>
          <w:tab w:val="num" w:pos="1004"/>
        </w:tabs>
        <w:rPr>
          <w:rFonts w:ascii="Arial" w:hAnsi="Arial" w:cs="Arial"/>
          <w:sz w:val="20"/>
          <w:szCs w:val="20"/>
          <w:highlight w:val="yellow"/>
          <w:lang w:val="en-US"/>
        </w:rPr>
      </w:pPr>
    </w:p>
    <w:p w:rsidR="006C2AF8" w:rsidRPr="009A3C2A" w:rsidRDefault="006C2AF8"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The Minister of Justice and Correctional Services provided a political overview of Vote performance on </w:t>
      </w:r>
      <w:r w:rsidR="00B06338" w:rsidRPr="009A3C2A">
        <w:rPr>
          <w:rFonts w:ascii="Arial" w:hAnsi="Arial" w:cs="Arial"/>
          <w:sz w:val="20"/>
          <w:szCs w:val="20"/>
          <w:lang w:val="en-US"/>
        </w:rPr>
        <w:t>13 October 2022</w:t>
      </w:r>
      <w:r w:rsidRPr="009A3C2A">
        <w:rPr>
          <w:rFonts w:ascii="Arial" w:hAnsi="Arial" w:cs="Arial"/>
          <w:sz w:val="20"/>
          <w:szCs w:val="20"/>
          <w:lang w:val="en-US"/>
        </w:rPr>
        <w:t>.</w:t>
      </w:r>
    </w:p>
    <w:p w:rsidR="006C2AF8" w:rsidRPr="009A3C2A" w:rsidRDefault="006C2AF8" w:rsidP="009A3C2A">
      <w:pPr>
        <w:pStyle w:val="ListParagraph"/>
        <w:tabs>
          <w:tab w:val="num" w:pos="862"/>
        </w:tabs>
        <w:ind w:left="709"/>
        <w:rPr>
          <w:rFonts w:ascii="Arial" w:hAnsi="Arial" w:cs="Arial"/>
          <w:sz w:val="20"/>
          <w:szCs w:val="20"/>
          <w:lang w:val="en-US"/>
        </w:rPr>
      </w:pPr>
    </w:p>
    <w:p w:rsidR="006C2AF8" w:rsidRPr="009A3C2A" w:rsidRDefault="006C2AF8"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The Committee was also briefed by the Auditor-General South Africa (AGSA) on </w:t>
      </w:r>
      <w:r w:rsidR="00B06338" w:rsidRPr="009A3C2A">
        <w:rPr>
          <w:rFonts w:ascii="Arial" w:hAnsi="Arial" w:cs="Arial"/>
          <w:sz w:val="20"/>
          <w:szCs w:val="20"/>
          <w:lang w:val="en-US"/>
        </w:rPr>
        <w:t>12 October 2022</w:t>
      </w:r>
      <w:r w:rsidRPr="009A3C2A">
        <w:rPr>
          <w:rFonts w:ascii="Arial" w:hAnsi="Arial" w:cs="Arial"/>
          <w:sz w:val="20"/>
          <w:szCs w:val="20"/>
          <w:lang w:val="en-US"/>
        </w:rPr>
        <w:t xml:space="preserve"> on the OCJ’s audit outcome for 202</w:t>
      </w:r>
      <w:r w:rsidR="00B06338" w:rsidRPr="009A3C2A">
        <w:rPr>
          <w:rFonts w:ascii="Arial" w:hAnsi="Arial" w:cs="Arial"/>
          <w:sz w:val="20"/>
          <w:szCs w:val="20"/>
          <w:lang w:val="en-US"/>
        </w:rPr>
        <w:t>1/22</w:t>
      </w:r>
      <w:r w:rsidRPr="009A3C2A">
        <w:rPr>
          <w:rFonts w:ascii="Arial" w:hAnsi="Arial" w:cs="Arial"/>
          <w:sz w:val="20"/>
          <w:szCs w:val="20"/>
          <w:lang w:val="en-US"/>
        </w:rPr>
        <w:t>.</w:t>
      </w:r>
    </w:p>
    <w:p w:rsidR="00FA26B0" w:rsidRPr="009A3C2A" w:rsidRDefault="00FA26B0" w:rsidP="009A3C2A">
      <w:pPr>
        <w:pStyle w:val="ListParagraph"/>
        <w:rPr>
          <w:rFonts w:ascii="Arial" w:hAnsi="Arial" w:cs="Arial"/>
          <w:sz w:val="20"/>
          <w:szCs w:val="20"/>
          <w:lang w:val="en-US"/>
        </w:rPr>
      </w:pPr>
    </w:p>
    <w:p w:rsidR="00C05C71" w:rsidRPr="009A3C2A" w:rsidRDefault="009B277E"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t xml:space="preserve">On </w:t>
      </w:r>
      <w:r w:rsidR="00B06338" w:rsidRPr="009A3C2A">
        <w:rPr>
          <w:rFonts w:ascii="Arial" w:hAnsi="Arial" w:cs="Arial"/>
          <w:sz w:val="20"/>
          <w:szCs w:val="20"/>
          <w:lang w:val="en-US"/>
        </w:rPr>
        <w:t>18 October 2022</w:t>
      </w:r>
      <w:r w:rsidR="00107B6E" w:rsidRPr="009A3C2A">
        <w:rPr>
          <w:rFonts w:ascii="Arial" w:hAnsi="Arial" w:cs="Arial"/>
          <w:sz w:val="20"/>
          <w:szCs w:val="20"/>
          <w:lang w:val="en-US"/>
        </w:rPr>
        <w:t xml:space="preserve">, </w:t>
      </w:r>
      <w:r w:rsidRPr="009A3C2A">
        <w:rPr>
          <w:rFonts w:ascii="Arial" w:hAnsi="Arial" w:cs="Arial"/>
          <w:sz w:val="20"/>
          <w:szCs w:val="20"/>
          <w:lang w:val="en-US"/>
        </w:rPr>
        <w:t>t</w:t>
      </w:r>
      <w:r w:rsidR="00C05C71" w:rsidRPr="009A3C2A">
        <w:rPr>
          <w:rFonts w:ascii="Arial" w:hAnsi="Arial" w:cs="Arial"/>
          <w:sz w:val="20"/>
          <w:szCs w:val="20"/>
          <w:lang w:val="en-US"/>
        </w:rPr>
        <w:t>he Committee enga</w:t>
      </w:r>
      <w:r w:rsidR="004C613B" w:rsidRPr="009A3C2A">
        <w:rPr>
          <w:rFonts w:ascii="Arial" w:hAnsi="Arial" w:cs="Arial"/>
          <w:sz w:val="20"/>
          <w:szCs w:val="20"/>
          <w:lang w:val="en-US"/>
        </w:rPr>
        <w:t xml:space="preserve">ged with the </w:t>
      </w:r>
      <w:r w:rsidRPr="009A3C2A">
        <w:rPr>
          <w:rFonts w:ascii="Arial" w:hAnsi="Arial" w:cs="Arial"/>
          <w:sz w:val="20"/>
          <w:szCs w:val="20"/>
        </w:rPr>
        <w:t>O</w:t>
      </w:r>
      <w:r w:rsidR="00A72D1C" w:rsidRPr="009A3C2A">
        <w:rPr>
          <w:rFonts w:ascii="Arial" w:hAnsi="Arial" w:cs="Arial"/>
          <w:sz w:val="20"/>
          <w:szCs w:val="20"/>
        </w:rPr>
        <w:t>CJ</w:t>
      </w:r>
      <w:r w:rsidRPr="009A3C2A">
        <w:rPr>
          <w:rFonts w:ascii="Arial" w:hAnsi="Arial" w:cs="Arial"/>
          <w:sz w:val="20"/>
          <w:szCs w:val="20"/>
        </w:rPr>
        <w:t xml:space="preserve"> </w:t>
      </w:r>
      <w:r w:rsidRPr="009A3C2A">
        <w:rPr>
          <w:rFonts w:ascii="Arial" w:hAnsi="Arial" w:cs="Arial"/>
          <w:sz w:val="20"/>
          <w:szCs w:val="20"/>
          <w:lang w:val="en-US"/>
        </w:rPr>
        <w:t xml:space="preserve">on its </w:t>
      </w:r>
      <w:r w:rsidR="00107B6E" w:rsidRPr="009A3C2A">
        <w:rPr>
          <w:rFonts w:ascii="Arial" w:hAnsi="Arial" w:cs="Arial"/>
          <w:sz w:val="20"/>
          <w:szCs w:val="20"/>
          <w:lang w:val="en-US"/>
        </w:rPr>
        <w:t>annual report for 202</w:t>
      </w:r>
      <w:r w:rsidR="00B06338" w:rsidRPr="009A3C2A">
        <w:rPr>
          <w:rFonts w:ascii="Arial" w:hAnsi="Arial" w:cs="Arial"/>
          <w:sz w:val="20"/>
          <w:szCs w:val="20"/>
          <w:lang w:val="en-US"/>
        </w:rPr>
        <w:t>1/22</w:t>
      </w:r>
      <w:r w:rsidR="00E63F01" w:rsidRPr="009A3C2A">
        <w:rPr>
          <w:rFonts w:ascii="Arial" w:hAnsi="Arial" w:cs="Arial"/>
          <w:sz w:val="20"/>
          <w:szCs w:val="20"/>
          <w:lang w:val="en-US"/>
        </w:rPr>
        <w:t xml:space="preserve">. </w:t>
      </w:r>
    </w:p>
    <w:p w:rsidR="00A72D1C" w:rsidRPr="009A3C2A" w:rsidRDefault="00A72D1C" w:rsidP="009A3C2A">
      <w:pPr>
        <w:pStyle w:val="ListParagraph"/>
        <w:ind w:left="709"/>
        <w:rPr>
          <w:rFonts w:ascii="Arial" w:hAnsi="Arial" w:cs="Arial"/>
          <w:sz w:val="20"/>
          <w:szCs w:val="20"/>
          <w:lang w:val="en-US"/>
        </w:rPr>
      </w:pPr>
    </w:p>
    <w:p w:rsidR="00C05C71" w:rsidRPr="009A3C2A" w:rsidRDefault="00124F6F" w:rsidP="009A3C2A">
      <w:pPr>
        <w:pStyle w:val="ListParagraph"/>
        <w:numPr>
          <w:ilvl w:val="1"/>
          <w:numId w:val="1"/>
        </w:numPr>
        <w:autoSpaceDE w:val="0"/>
        <w:autoSpaceDN w:val="0"/>
        <w:adjustRightInd w:val="0"/>
        <w:ind w:left="851" w:hanging="851"/>
        <w:rPr>
          <w:rFonts w:ascii="Arial" w:hAnsi="Arial" w:cs="Arial"/>
          <w:sz w:val="20"/>
          <w:szCs w:val="20"/>
          <w:lang w:val="en-US"/>
        </w:rPr>
      </w:pPr>
      <w:r w:rsidRPr="009A3C2A">
        <w:rPr>
          <w:rFonts w:ascii="Arial" w:hAnsi="Arial" w:cs="Arial"/>
          <w:sz w:val="20"/>
          <w:szCs w:val="20"/>
          <w:lang w:val="en-US"/>
        </w:rPr>
        <w:lastRenderedPageBreak/>
        <w:t xml:space="preserve">Copies of </w:t>
      </w:r>
      <w:r w:rsidR="00C05C71" w:rsidRPr="009A3C2A">
        <w:rPr>
          <w:rFonts w:ascii="Arial" w:hAnsi="Arial" w:cs="Arial"/>
          <w:sz w:val="20"/>
          <w:szCs w:val="20"/>
          <w:lang w:val="en-US"/>
        </w:rPr>
        <w:t xml:space="preserve">the </w:t>
      </w:r>
      <w:r w:rsidR="00FA26B0" w:rsidRPr="009A3C2A">
        <w:rPr>
          <w:rFonts w:ascii="Arial" w:hAnsi="Arial" w:cs="Arial"/>
          <w:sz w:val="20"/>
          <w:szCs w:val="20"/>
          <w:lang w:val="en-US"/>
        </w:rPr>
        <w:t xml:space="preserve">Minister’s speech and the </w:t>
      </w:r>
      <w:r w:rsidR="00C05C71" w:rsidRPr="009A3C2A">
        <w:rPr>
          <w:rFonts w:ascii="Arial" w:hAnsi="Arial" w:cs="Arial"/>
          <w:sz w:val="20"/>
          <w:szCs w:val="20"/>
          <w:lang w:val="en-US"/>
        </w:rPr>
        <w:t xml:space="preserve">presentations are available from the committee </w:t>
      </w:r>
      <w:r w:rsidR="00A15FC5" w:rsidRPr="009A3C2A">
        <w:rPr>
          <w:rFonts w:ascii="Arial" w:hAnsi="Arial" w:cs="Arial"/>
          <w:sz w:val="20"/>
          <w:szCs w:val="20"/>
          <w:lang w:val="en-US"/>
        </w:rPr>
        <w:t>secretariat</w:t>
      </w:r>
      <w:r w:rsidR="00C05C71" w:rsidRPr="009A3C2A">
        <w:rPr>
          <w:rFonts w:ascii="Arial" w:hAnsi="Arial" w:cs="Arial"/>
          <w:sz w:val="20"/>
          <w:szCs w:val="20"/>
          <w:lang w:val="en-US"/>
        </w:rPr>
        <w:t xml:space="preserve">. </w:t>
      </w:r>
    </w:p>
    <w:p w:rsidR="00BE558A" w:rsidRPr="009A3C2A" w:rsidRDefault="00BE558A" w:rsidP="009A3C2A">
      <w:pPr>
        <w:tabs>
          <w:tab w:val="num" w:pos="2520"/>
        </w:tabs>
        <w:rPr>
          <w:rFonts w:ascii="Arial" w:hAnsi="Arial" w:cs="Arial"/>
          <w:b/>
          <w:sz w:val="20"/>
          <w:szCs w:val="20"/>
        </w:rPr>
      </w:pPr>
    </w:p>
    <w:p w:rsidR="00B85262" w:rsidRPr="009A3C2A" w:rsidRDefault="00B85262" w:rsidP="009A3C2A">
      <w:pPr>
        <w:tabs>
          <w:tab w:val="num" w:pos="2520"/>
        </w:tabs>
        <w:rPr>
          <w:rFonts w:ascii="Arial" w:hAnsi="Arial" w:cs="Arial"/>
          <w:b/>
          <w:sz w:val="20"/>
          <w:szCs w:val="20"/>
        </w:rPr>
      </w:pPr>
    </w:p>
    <w:p w:rsidR="00C05C71" w:rsidRPr="009A3C2A" w:rsidRDefault="005F4BAB" w:rsidP="009A3C2A">
      <w:pPr>
        <w:numPr>
          <w:ilvl w:val="0"/>
          <w:numId w:val="1"/>
        </w:numPr>
        <w:tabs>
          <w:tab w:val="clear" w:pos="360"/>
          <w:tab w:val="num" w:pos="851"/>
        </w:tabs>
        <w:ind w:left="851" w:hanging="851"/>
        <w:rPr>
          <w:rFonts w:ascii="Arial" w:hAnsi="Arial" w:cs="Arial"/>
          <w:b/>
          <w:sz w:val="20"/>
          <w:szCs w:val="20"/>
          <w:lang w:val="en-ZA"/>
        </w:rPr>
      </w:pPr>
      <w:r w:rsidRPr="009A3C2A">
        <w:rPr>
          <w:rFonts w:ascii="Arial" w:hAnsi="Arial" w:cs="Arial"/>
          <w:b/>
          <w:sz w:val="20"/>
          <w:szCs w:val="20"/>
          <w:lang w:val="en-US" w:eastAsia="en-US"/>
        </w:rPr>
        <w:t>S</w:t>
      </w:r>
      <w:r w:rsidR="006F6A75" w:rsidRPr="009A3C2A">
        <w:rPr>
          <w:rFonts w:ascii="Arial" w:hAnsi="Arial" w:cs="Arial"/>
          <w:b/>
          <w:sz w:val="20"/>
          <w:szCs w:val="20"/>
          <w:lang w:val="en-US" w:eastAsia="en-US"/>
        </w:rPr>
        <w:t>trategic</w:t>
      </w:r>
      <w:r w:rsidR="006F6A75" w:rsidRPr="009A3C2A">
        <w:rPr>
          <w:rFonts w:ascii="Arial" w:hAnsi="Arial" w:cs="Arial"/>
          <w:b/>
          <w:sz w:val="20"/>
          <w:szCs w:val="20"/>
          <w:lang w:val="en-ZA"/>
        </w:rPr>
        <w:t xml:space="preserve"> overview</w:t>
      </w:r>
    </w:p>
    <w:p w:rsidR="00C05C71" w:rsidRPr="009A3C2A" w:rsidRDefault="00C05C71" w:rsidP="009A3C2A">
      <w:pPr>
        <w:rPr>
          <w:rFonts w:ascii="Arial" w:hAnsi="Arial" w:cs="Arial"/>
          <w:sz w:val="20"/>
          <w:szCs w:val="20"/>
          <w:lang w:val="en-ZA"/>
        </w:rPr>
      </w:pPr>
    </w:p>
    <w:p w:rsidR="00856216" w:rsidRPr="009A3C2A" w:rsidRDefault="003D7013"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lang w:val="en-US"/>
        </w:rPr>
        <w:t>The Constitution Seventeenth Amendment Act, 2013, affirms the Chief Justice as head of the Judiciary responsible for establishing and monitoring the norms and standards for the exercise of judicial functions of all courts. The Superior Courts Act</w:t>
      </w:r>
      <w:r w:rsidR="00CA00DF" w:rsidRPr="009A3C2A">
        <w:rPr>
          <w:rFonts w:ascii="Arial" w:hAnsi="Arial" w:cs="Arial"/>
          <w:sz w:val="20"/>
          <w:szCs w:val="20"/>
          <w:lang w:val="en-US"/>
        </w:rPr>
        <w:t>, 2013,</w:t>
      </w:r>
      <w:r w:rsidRPr="009A3C2A">
        <w:rPr>
          <w:rFonts w:ascii="Arial" w:hAnsi="Arial" w:cs="Arial"/>
          <w:sz w:val="20"/>
          <w:szCs w:val="20"/>
          <w:lang w:val="en-US"/>
        </w:rPr>
        <w:t xml:space="preserve"> establishes a legislative framework for the Chief Justice to exercise </w:t>
      </w:r>
      <w:r w:rsidR="0003694C" w:rsidRPr="009A3C2A">
        <w:rPr>
          <w:rFonts w:ascii="Arial" w:hAnsi="Arial" w:cs="Arial"/>
          <w:sz w:val="20"/>
          <w:szCs w:val="20"/>
          <w:lang w:val="en-US"/>
        </w:rPr>
        <w:t xml:space="preserve">their </w:t>
      </w:r>
      <w:r w:rsidRPr="009A3C2A">
        <w:rPr>
          <w:rFonts w:ascii="Arial" w:hAnsi="Arial" w:cs="Arial"/>
          <w:sz w:val="20"/>
          <w:szCs w:val="20"/>
          <w:lang w:val="en-US"/>
        </w:rPr>
        <w:t>judicial leadership supported by the OCJ and provides for the delegation of certain functions flowing from the Act to the OCJ.</w:t>
      </w:r>
      <w:r w:rsidRPr="009A3C2A">
        <w:rPr>
          <w:rFonts w:ascii="Arial" w:hAnsi="Arial" w:cs="Arial"/>
          <w:sz w:val="20"/>
          <w:szCs w:val="20"/>
          <w:lang w:val="en-US" w:eastAsia="en-US"/>
        </w:rPr>
        <w:t xml:space="preserve"> </w:t>
      </w:r>
    </w:p>
    <w:p w:rsidR="00856216" w:rsidRPr="009A3C2A" w:rsidRDefault="00856216" w:rsidP="009A3C2A">
      <w:pPr>
        <w:pStyle w:val="ListParagraph"/>
        <w:rPr>
          <w:rFonts w:ascii="Arial" w:hAnsi="Arial" w:cs="Arial"/>
          <w:sz w:val="20"/>
          <w:szCs w:val="20"/>
        </w:rPr>
      </w:pPr>
    </w:p>
    <w:p w:rsidR="00052E2C" w:rsidRPr="009A3C2A" w:rsidRDefault="0003694C"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lang w:val="en-US" w:eastAsia="en-US"/>
        </w:rPr>
        <w:t>W</w:t>
      </w:r>
      <w:r w:rsidR="00052E2C" w:rsidRPr="009A3C2A">
        <w:rPr>
          <w:rFonts w:ascii="Arial" w:hAnsi="Arial" w:cs="Arial"/>
          <w:sz w:val="20"/>
          <w:szCs w:val="20"/>
          <w:lang w:val="en-US" w:eastAsia="en-US"/>
        </w:rPr>
        <w:t xml:space="preserve">hen the OCJ </w:t>
      </w:r>
      <w:r w:rsidRPr="009A3C2A">
        <w:rPr>
          <w:rFonts w:ascii="Arial" w:hAnsi="Arial" w:cs="Arial"/>
          <w:sz w:val="20"/>
          <w:szCs w:val="20"/>
          <w:lang w:val="en-US" w:eastAsia="en-US"/>
        </w:rPr>
        <w:t xml:space="preserve">was established </w:t>
      </w:r>
      <w:r w:rsidR="00052E2C" w:rsidRPr="009A3C2A">
        <w:rPr>
          <w:rFonts w:ascii="Arial" w:hAnsi="Arial" w:cs="Arial"/>
          <w:sz w:val="20"/>
          <w:szCs w:val="20"/>
          <w:lang w:val="en-US" w:eastAsia="en-US"/>
        </w:rPr>
        <w:t>as a national department within the public service</w:t>
      </w:r>
      <w:r w:rsidRPr="009A3C2A">
        <w:rPr>
          <w:rFonts w:ascii="Arial" w:hAnsi="Arial" w:cs="Arial"/>
          <w:sz w:val="20"/>
          <w:szCs w:val="20"/>
          <w:lang w:val="en-US" w:eastAsia="en-US"/>
        </w:rPr>
        <w:t>,</w:t>
      </w:r>
      <w:r w:rsidR="00052E2C" w:rsidRPr="009A3C2A">
        <w:rPr>
          <w:rFonts w:ascii="Arial" w:hAnsi="Arial" w:cs="Arial"/>
          <w:sz w:val="20"/>
          <w:szCs w:val="20"/>
          <w:lang w:val="en-US" w:eastAsia="en-US"/>
        </w:rPr>
        <w:t xml:space="preserve"> </w:t>
      </w:r>
      <w:r w:rsidRPr="009A3C2A">
        <w:rPr>
          <w:rFonts w:ascii="Arial" w:hAnsi="Arial" w:cs="Arial"/>
          <w:sz w:val="20"/>
          <w:szCs w:val="20"/>
          <w:lang w:val="en-US" w:eastAsia="en-US"/>
        </w:rPr>
        <w:t xml:space="preserve">the intention was </w:t>
      </w:r>
      <w:r w:rsidR="00052E2C" w:rsidRPr="009A3C2A">
        <w:rPr>
          <w:rFonts w:ascii="Arial" w:hAnsi="Arial" w:cs="Arial"/>
          <w:sz w:val="20"/>
          <w:szCs w:val="20"/>
          <w:lang w:val="en-US" w:eastAsia="en-US"/>
        </w:rPr>
        <w:t xml:space="preserve">that this would be the first phase towards an independent judiciary-led court administration system to </w:t>
      </w:r>
      <w:r w:rsidR="00052E2C" w:rsidRPr="009A3C2A">
        <w:rPr>
          <w:rFonts w:ascii="Arial" w:hAnsi="Arial" w:cs="Arial"/>
          <w:sz w:val="20"/>
          <w:szCs w:val="20"/>
          <w:lang w:eastAsia="en-US"/>
        </w:rPr>
        <w:t>realise</w:t>
      </w:r>
      <w:r w:rsidR="00052E2C" w:rsidRPr="009A3C2A">
        <w:rPr>
          <w:rFonts w:ascii="Arial" w:hAnsi="Arial" w:cs="Arial"/>
          <w:sz w:val="20"/>
          <w:szCs w:val="20"/>
          <w:lang w:val="en-US" w:eastAsia="en-US"/>
        </w:rPr>
        <w:t xml:space="preserve"> fully the Judiciary’s institutional independence in line with the Constitution, 1996. </w:t>
      </w:r>
    </w:p>
    <w:p w:rsidR="00052E2C" w:rsidRPr="009A3C2A" w:rsidRDefault="00052E2C" w:rsidP="009A3C2A">
      <w:pPr>
        <w:autoSpaceDE w:val="0"/>
        <w:autoSpaceDN w:val="0"/>
        <w:adjustRightInd w:val="0"/>
        <w:ind w:left="720"/>
        <w:rPr>
          <w:rFonts w:ascii="Arial" w:hAnsi="Arial" w:cs="Arial"/>
          <w:sz w:val="20"/>
          <w:szCs w:val="20"/>
          <w:lang w:val="en-US" w:eastAsia="en-US"/>
        </w:rPr>
      </w:pPr>
    </w:p>
    <w:p w:rsidR="00856216" w:rsidRPr="009A3C2A" w:rsidRDefault="006D08A6"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rPr>
        <w:t xml:space="preserve">The Department of Justice and Constitutional Development continues to support the administration of the Lower/Magistrate’s courts. </w:t>
      </w:r>
      <w:r w:rsidR="0003694C" w:rsidRPr="009A3C2A">
        <w:rPr>
          <w:rFonts w:ascii="Arial" w:hAnsi="Arial" w:cs="Arial"/>
          <w:sz w:val="20"/>
          <w:szCs w:val="20"/>
        </w:rPr>
        <w:t>Also, u</w:t>
      </w:r>
      <w:r w:rsidR="005F4BAB" w:rsidRPr="009A3C2A">
        <w:rPr>
          <w:rFonts w:ascii="Arial" w:hAnsi="Arial" w:cs="Arial"/>
          <w:sz w:val="20"/>
          <w:szCs w:val="20"/>
          <w:lang w:val="en-US"/>
        </w:rPr>
        <w:t xml:space="preserve">ntil the legislative framework for the Magistrates’ Courts </w:t>
      </w:r>
      <w:r w:rsidR="00052E2C" w:rsidRPr="009A3C2A">
        <w:rPr>
          <w:rFonts w:ascii="Arial" w:hAnsi="Arial" w:cs="Arial"/>
          <w:sz w:val="20"/>
          <w:szCs w:val="20"/>
          <w:lang w:val="en-US"/>
        </w:rPr>
        <w:t xml:space="preserve">is brought </w:t>
      </w:r>
      <w:r w:rsidR="005F4BAB" w:rsidRPr="009A3C2A">
        <w:rPr>
          <w:rFonts w:ascii="Arial" w:hAnsi="Arial" w:cs="Arial"/>
          <w:sz w:val="20"/>
          <w:szCs w:val="20"/>
          <w:lang w:val="en-US"/>
        </w:rPr>
        <w:t xml:space="preserve">in line with the Superior Courts Act, 2013, </w:t>
      </w:r>
      <w:r w:rsidR="0007296B" w:rsidRPr="009A3C2A">
        <w:rPr>
          <w:rFonts w:ascii="Arial" w:hAnsi="Arial" w:cs="Arial"/>
          <w:sz w:val="20"/>
          <w:szCs w:val="20"/>
          <w:lang w:val="en-US"/>
        </w:rPr>
        <w:t>certain shared service</w:t>
      </w:r>
      <w:r w:rsidR="00A15FC5" w:rsidRPr="009A3C2A">
        <w:rPr>
          <w:rFonts w:ascii="Arial" w:hAnsi="Arial" w:cs="Arial"/>
          <w:sz w:val="20"/>
          <w:szCs w:val="20"/>
          <w:lang w:val="en-US"/>
        </w:rPr>
        <w:t>s (for example, tools of trade</w:t>
      </w:r>
      <w:r w:rsidR="0007296B" w:rsidRPr="009A3C2A">
        <w:rPr>
          <w:rFonts w:ascii="Arial" w:hAnsi="Arial" w:cs="Arial"/>
          <w:sz w:val="20"/>
          <w:szCs w:val="20"/>
          <w:lang w:val="en-US"/>
        </w:rPr>
        <w:t xml:space="preserve"> and security</w:t>
      </w:r>
      <w:r w:rsidR="00103D64" w:rsidRPr="009A3C2A">
        <w:rPr>
          <w:rFonts w:ascii="Arial" w:hAnsi="Arial" w:cs="Arial"/>
          <w:sz w:val="20"/>
          <w:szCs w:val="20"/>
          <w:lang w:val="en-US"/>
        </w:rPr>
        <w:t xml:space="preserve"> services</w:t>
      </w:r>
      <w:r w:rsidR="0007296B" w:rsidRPr="009A3C2A">
        <w:rPr>
          <w:rFonts w:ascii="Arial" w:hAnsi="Arial" w:cs="Arial"/>
          <w:sz w:val="20"/>
          <w:szCs w:val="20"/>
          <w:lang w:val="en-US"/>
        </w:rPr>
        <w:t>)</w:t>
      </w:r>
      <w:r w:rsidR="00103D64" w:rsidRPr="009A3C2A">
        <w:rPr>
          <w:rFonts w:ascii="Arial" w:hAnsi="Arial" w:cs="Arial"/>
          <w:sz w:val="20"/>
          <w:szCs w:val="20"/>
          <w:lang w:val="en-US"/>
        </w:rPr>
        <w:t xml:space="preserve"> are provided by the</w:t>
      </w:r>
      <w:r w:rsidR="00103D64" w:rsidRPr="009A3C2A">
        <w:rPr>
          <w:rFonts w:ascii="Arial" w:hAnsi="Arial" w:cs="Arial"/>
          <w:sz w:val="20"/>
          <w:szCs w:val="20"/>
        </w:rPr>
        <w:t xml:space="preserve"> Department of Justice and Constitutional Development.</w:t>
      </w:r>
      <w:r w:rsidR="00570286" w:rsidRPr="009A3C2A">
        <w:rPr>
          <w:rFonts w:ascii="Arial" w:hAnsi="Arial" w:cs="Arial"/>
          <w:sz w:val="20"/>
          <w:szCs w:val="20"/>
          <w:lang w:val="en-US"/>
        </w:rPr>
        <w:t xml:space="preserve"> </w:t>
      </w:r>
    </w:p>
    <w:p w:rsidR="003554EB" w:rsidRPr="009A3C2A" w:rsidRDefault="003554EB" w:rsidP="009A3C2A">
      <w:pPr>
        <w:pStyle w:val="ListParagraph"/>
        <w:rPr>
          <w:rFonts w:ascii="Arial" w:hAnsi="Arial" w:cs="Arial"/>
          <w:sz w:val="20"/>
          <w:szCs w:val="20"/>
          <w:lang w:val="en-US" w:eastAsia="en-US"/>
        </w:rPr>
      </w:pPr>
    </w:p>
    <w:p w:rsidR="00032388" w:rsidRPr="009A3C2A" w:rsidRDefault="00032388" w:rsidP="009A3C2A">
      <w:pPr>
        <w:pStyle w:val="ListParagraph"/>
        <w:numPr>
          <w:ilvl w:val="1"/>
          <w:numId w:val="1"/>
        </w:numPr>
        <w:autoSpaceDE w:val="0"/>
        <w:autoSpaceDN w:val="0"/>
        <w:adjustRightInd w:val="0"/>
        <w:ind w:left="851" w:hanging="851"/>
        <w:rPr>
          <w:rFonts w:ascii="Arial" w:hAnsi="Arial" w:cs="Arial"/>
          <w:sz w:val="20"/>
          <w:szCs w:val="20"/>
          <w:lang w:val="en-ZA"/>
        </w:rPr>
      </w:pPr>
      <w:r w:rsidRPr="009A3C2A">
        <w:rPr>
          <w:rFonts w:ascii="Arial" w:hAnsi="Arial" w:cs="Arial"/>
          <w:sz w:val="20"/>
          <w:szCs w:val="20"/>
          <w:lang w:val="en-ZA"/>
        </w:rPr>
        <w:t xml:space="preserve">The OCJ tabled its Strategic Plan for 2019-2024 and Annual Performance Plan 2020/21 in </w:t>
      </w:r>
      <w:r w:rsidR="00604CA0" w:rsidRPr="009A3C2A">
        <w:rPr>
          <w:rFonts w:ascii="Arial" w:hAnsi="Arial" w:cs="Arial"/>
          <w:sz w:val="20"/>
          <w:szCs w:val="20"/>
          <w:lang w:val="en-ZA"/>
        </w:rPr>
        <w:t>Parliament on 17 April 2020.</w:t>
      </w:r>
      <w:r w:rsidRPr="009A3C2A">
        <w:rPr>
          <w:rFonts w:ascii="Arial" w:hAnsi="Arial" w:cs="Arial"/>
          <w:sz w:val="20"/>
          <w:szCs w:val="20"/>
          <w:lang w:val="en-ZA"/>
        </w:rPr>
        <w:t xml:space="preserve"> </w:t>
      </w:r>
      <w:r w:rsidR="00E254F8" w:rsidRPr="009A3C2A">
        <w:rPr>
          <w:rFonts w:ascii="Arial" w:hAnsi="Arial" w:cs="Arial"/>
          <w:sz w:val="20"/>
          <w:szCs w:val="20"/>
          <w:lang w:val="en-ZA"/>
        </w:rPr>
        <w:t>As t</w:t>
      </w:r>
      <w:r w:rsidR="00604CA0" w:rsidRPr="009A3C2A">
        <w:rPr>
          <w:rFonts w:ascii="Arial" w:hAnsi="Arial" w:cs="Arial"/>
          <w:sz w:val="20"/>
          <w:szCs w:val="20"/>
          <w:lang w:val="en-ZA"/>
        </w:rPr>
        <w:t>he tabled plans were developed before the COVID-19 pandemic</w:t>
      </w:r>
      <w:r w:rsidR="00124F6F" w:rsidRPr="009A3C2A">
        <w:rPr>
          <w:rFonts w:ascii="Arial" w:hAnsi="Arial" w:cs="Arial"/>
          <w:sz w:val="20"/>
          <w:szCs w:val="20"/>
          <w:lang w:val="en-ZA"/>
        </w:rPr>
        <w:t xml:space="preserve">, the </w:t>
      </w:r>
      <w:r w:rsidRPr="009A3C2A">
        <w:rPr>
          <w:rFonts w:ascii="Arial" w:hAnsi="Arial" w:cs="Arial"/>
          <w:sz w:val="20"/>
          <w:szCs w:val="20"/>
          <w:lang w:val="en-US"/>
        </w:rPr>
        <w:t xml:space="preserve">OCJ reviewed the planning documents to </w:t>
      </w:r>
      <w:r w:rsidR="00052E2C" w:rsidRPr="009A3C2A">
        <w:rPr>
          <w:rFonts w:ascii="Arial" w:hAnsi="Arial" w:cs="Arial"/>
          <w:sz w:val="20"/>
          <w:szCs w:val="20"/>
          <w:lang w:val="en-US"/>
        </w:rPr>
        <w:t xml:space="preserve">reflect </w:t>
      </w:r>
      <w:r w:rsidRPr="009A3C2A">
        <w:rPr>
          <w:rFonts w:ascii="Arial" w:hAnsi="Arial" w:cs="Arial"/>
          <w:sz w:val="20"/>
          <w:szCs w:val="20"/>
          <w:lang w:val="en-US"/>
        </w:rPr>
        <w:t>the impact of COVID-19. The revised plans were re-tabled in Parliament on 8 July 2020.</w:t>
      </w:r>
    </w:p>
    <w:p w:rsidR="00032388" w:rsidRPr="009A3C2A" w:rsidRDefault="00032388" w:rsidP="009A3C2A">
      <w:pPr>
        <w:pStyle w:val="ListParagraph"/>
        <w:rPr>
          <w:rFonts w:ascii="Arial" w:hAnsi="Arial" w:cs="Arial"/>
          <w:sz w:val="20"/>
          <w:szCs w:val="20"/>
        </w:rPr>
      </w:pPr>
    </w:p>
    <w:p w:rsidR="00024E4D" w:rsidRPr="009A3C2A" w:rsidRDefault="003D7013" w:rsidP="009A3C2A">
      <w:pPr>
        <w:pStyle w:val="ListParagraph"/>
        <w:numPr>
          <w:ilvl w:val="1"/>
          <w:numId w:val="1"/>
        </w:numPr>
        <w:autoSpaceDE w:val="0"/>
        <w:autoSpaceDN w:val="0"/>
        <w:adjustRightInd w:val="0"/>
        <w:ind w:left="851" w:hanging="851"/>
        <w:rPr>
          <w:rFonts w:ascii="Arial" w:hAnsi="Arial" w:cs="Arial"/>
          <w:sz w:val="20"/>
          <w:szCs w:val="20"/>
          <w:lang w:val="en-ZA"/>
        </w:rPr>
      </w:pPr>
      <w:r w:rsidRPr="009A3C2A">
        <w:rPr>
          <w:rFonts w:ascii="Arial" w:hAnsi="Arial" w:cs="Arial"/>
          <w:sz w:val="20"/>
          <w:szCs w:val="20"/>
        </w:rPr>
        <w:t>The OCJ contributes to the N</w:t>
      </w:r>
      <w:r w:rsidR="00570286" w:rsidRPr="009A3C2A">
        <w:rPr>
          <w:rFonts w:ascii="Arial" w:hAnsi="Arial" w:cs="Arial"/>
          <w:sz w:val="20"/>
          <w:szCs w:val="20"/>
        </w:rPr>
        <w:t xml:space="preserve">ational </w:t>
      </w:r>
      <w:r w:rsidRPr="009A3C2A">
        <w:rPr>
          <w:rFonts w:ascii="Arial" w:hAnsi="Arial" w:cs="Arial"/>
          <w:sz w:val="20"/>
          <w:szCs w:val="20"/>
        </w:rPr>
        <w:t>D</w:t>
      </w:r>
      <w:r w:rsidR="00570286" w:rsidRPr="009A3C2A">
        <w:rPr>
          <w:rFonts w:ascii="Arial" w:hAnsi="Arial" w:cs="Arial"/>
          <w:sz w:val="20"/>
          <w:szCs w:val="20"/>
        </w:rPr>
        <w:t xml:space="preserve">evelopment </w:t>
      </w:r>
      <w:r w:rsidRPr="009A3C2A">
        <w:rPr>
          <w:rFonts w:ascii="Arial" w:hAnsi="Arial" w:cs="Arial"/>
          <w:sz w:val="20"/>
          <w:szCs w:val="20"/>
        </w:rPr>
        <w:t>P</w:t>
      </w:r>
      <w:r w:rsidR="00570286" w:rsidRPr="009A3C2A">
        <w:rPr>
          <w:rFonts w:ascii="Arial" w:hAnsi="Arial" w:cs="Arial"/>
          <w:sz w:val="20"/>
          <w:szCs w:val="20"/>
        </w:rPr>
        <w:t>lan</w:t>
      </w:r>
      <w:r w:rsidRPr="009A3C2A">
        <w:rPr>
          <w:rFonts w:ascii="Arial" w:hAnsi="Arial" w:cs="Arial"/>
          <w:sz w:val="20"/>
          <w:szCs w:val="20"/>
        </w:rPr>
        <w:t xml:space="preserve">’s </w:t>
      </w:r>
      <w:r w:rsidR="00570286" w:rsidRPr="009A3C2A">
        <w:rPr>
          <w:rFonts w:ascii="Arial" w:hAnsi="Arial" w:cs="Arial"/>
          <w:sz w:val="20"/>
          <w:szCs w:val="20"/>
        </w:rPr>
        <w:t xml:space="preserve">(NDP) </w:t>
      </w:r>
      <w:r w:rsidRPr="009A3C2A">
        <w:rPr>
          <w:rFonts w:ascii="Arial" w:hAnsi="Arial" w:cs="Arial"/>
          <w:sz w:val="20"/>
          <w:szCs w:val="20"/>
        </w:rPr>
        <w:t>call for strengthened judicial governance and the rule of law</w:t>
      </w:r>
      <w:r w:rsidR="00570286" w:rsidRPr="009A3C2A">
        <w:rPr>
          <w:rFonts w:ascii="Arial" w:hAnsi="Arial" w:cs="Arial"/>
          <w:sz w:val="20"/>
          <w:szCs w:val="20"/>
        </w:rPr>
        <w:t xml:space="preserve">, and also to ensuring </w:t>
      </w:r>
      <w:r w:rsidRPr="009A3C2A">
        <w:rPr>
          <w:rFonts w:ascii="Arial" w:hAnsi="Arial" w:cs="Arial"/>
          <w:sz w:val="20"/>
          <w:szCs w:val="20"/>
        </w:rPr>
        <w:t>an efficient and effective criminal justice system</w:t>
      </w:r>
      <w:r w:rsidR="00245C90" w:rsidRPr="009A3C2A">
        <w:rPr>
          <w:rFonts w:ascii="Arial" w:hAnsi="Arial" w:cs="Arial"/>
          <w:sz w:val="20"/>
          <w:szCs w:val="20"/>
        </w:rPr>
        <w:t xml:space="preserve"> </w:t>
      </w:r>
      <w:r w:rsidR="005F1730" w:rsidRPr="009A3C2A">
        <w:rPr>
          <w:rFonts w:ascii="Arial" w:hAnsi="Arial" w:cs="Arial"/>
          <w:sz w:val="20"/>
          <w:szCs w:val="20"/>
        </w:rPr>
        <w:t>by</w:t>
      </w:r>
      <w:r w:rsidR="00024E4D" w:rsidRPr="009A3C2A">
        <w:rPr>
          <w:rFonts w:ascii="Arial" w:hAnsi="Arial" w:cs="Arial"/>
          <w:sz w:val="20"/>
          <w:szCs w:val="20"/>
        </w:rPr>
        <w:t>:</w:t>
      </w:r>
    </w:p>
    <w:p w:rsidR="0046751C" w:rsidRPr="009A3C2A" w:rsidRDefault="00024E4D"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Accelerating reforms to implement a judiciary-led court administration.</w:t>
      </w:r>
    </w:p>
    <w:p w:rsidR="00024E4D" w:rsidRPr="009A3C2A" w:rsidRDefault="00DD618F"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Ensuring</w:t>
      </w:r>
      <w:r w:rsidR="00024E4D" w:rsidRPr="009A3C2A">
        <w:rPr>
          <w:rFonts w:ascii="Arial" w:hAnsi="Arial" w:cs="Arial"/>
          <w:sz w:val="20"/>
          <w:szCs w:val="20"/>
          <w:lang w:val="en-US"/>
        </w:rPr>
        <w:t xml:space="preserve"> an efficient court system.</w:t>
      </w:r>
    </w:p>
    <w:p w:rsidR="00024E4D" w:rsidRPr="009A3C2A" w:rsidRDefault="00024E4D"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Reduc</w:t>
      </w:r>
      <w:r w:rsidR="00DD618F" w:rsidRPr="009A3C2A">
        <w:rPr>
          <w:rFonts w:ascii="Arial" w:hAnsi="Arial" w:cs="Arial"/>
          <w:sz w:val="20"/>
          <w:szCs w:val="20"/>
          <w:lang w:val="en-US"/>
        </w:rPr>
        <w:t>ing</w:t>
      </w:r>
      <w:r w:rsidRPr="009A3C2A">
        <w:rPr>
          <w:rFonts w:ascii="Arial" w:hAnsi="Arial" w:cs="Arial"/>
          <w:sz w:val="20"/>
          <w:szCs w:val="20"/>
          <w:lang w:val="en-US"/>
        </w:rPr>
        <w:t xml:space="preserve"> court administration inefficiencies.</w:t>
      </w:r>
    </w:p>
    <w:p w:rsidR="00024E4D" w:rsidRPr="009A3C2A" w:rsidRDefault="00024E4D"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Ensur</w:t>
      </w:r>
      <w:r w:rsidR="00DD618F" w:rsidRPr="009A3C2A">
        <w:rPr>
          <w:rFonts w:ascii="Arial" w:hAnsi="Arial" w:cs="Arial"/>
          <w:sz w:val="20"/>
          <w:szCs w:val="20"/>
          <w:lang w:val="en-US"/>
        </w:rPr>
        <w:t>ing</w:t>
      </w:r>
      <w:r w:rsidRPr="009A3C2A">
        <w:rPr>
          <w:rFonts w:ascii="Arial" w:hAnsi="Arial" w:cs="Arial"/>
          <w:sz w:val="20"/>
          <w:szCs w:val="20"/>
          <w:lang w:val="en-US"/>
        </w:rPr>
        <w:t xml:space="preserve"> judicial accountability.</w:t>
      </w:r>
    </w:p>
    <w:p w:rsidR="00024E4D" w:rsidRPr="009A3C2A" w:rsidRDefault="00024E4D" w:rsidP="009A3C2A">
      <w:pPr>
        <w:pStyle w:val="ListParagraph"/>
        <w:numPr>
          <w:ilvl w:val="0"/>
          <w:numId w:val="7"/>
        </w:numPr>
        <w:autoSpaceDE w:val="0"/>
        <w:autoSpaceDN w:val="0"/>
        <w:adjustRightInd w:val="0"/>
        <w:ind w:left="1418" w:hanging="567"/>
        <w:rPr>
          <w:rFonts w:ascii="Arial" w:hAnsi="Arial" w:cs="Arial"/>
          <w:sz w:val="20"/>
          <w:szCs w:val="20"/>
        </w:rPr>
      </w:pPr>
      <w:r w:rsidRPr="009A3C2A">
        <w:rPr>
          <w:rFonts w:ascii="Arial" w:hAnsi="Arial" w:cs="Arial"/>
          <w:sz w:val="20"/>
          <w:szCs w:val="20"/>
          <w:lang w:val="en-US"/>
        </w:rPr>
        <w:t>Provid</w:t>
      </w:r>
      <w:r w:rsidR="00DD618F" w:rsidRPr="009A3C2A">
        <w:rPr>
          <w:rFonts w:ascii="Arial" w:hAnsi="Arial" w:cs="Arial"/>
          <w:sz w:val="20"/>
          <w:szCs w:val="20"/>
          <w:lang w:val="en-US"/>
        </w:rPr>
        <w:t>ing</w:t>
      </w:r>
      <w:r w:rsidRPr="009A3C2A">
        <w:rPr>
          <w:rFonts w:ascii="Arial" w:hAnsi="Arial" w:cs="Arial"/>
          <w:sz w:val="20"/>
          <w:szCs w:val="20"/>
        </w:rPr>
        <w:t xml:space="preserve"> training to the judiciary though SAJEI.</w:t>
      </w:r>
    </w:p>
    <w:p w:rsidR="0046751C" w:rsidRPr="009A3C2A" w:rsidRDefault="0046751C" w:rsidP="009A3C2A">
      <w:pPr>
        <w:pStyle w:val="ListParagraph"/>
        <w:rPr>
          <w:rFonts w:ascii="Arial" w:hAnsi="Arial" w:cs="Arial"/>
          <w:sz w:val="20"/>
          <w:szCs w:val="20"/>
          <w:lang w:val="en-US"/>
        </w:rPr>
      </w:pPr>
    </w:p>
    <w:p w:rsidR="00656150" w:rsidRPr="009A3C2A" w:rsidRDefault="00656150" w:rsidP="009A3C2A">
      <w:pPr>
        <w:pStyle w:val="ListParagraph"/>
        <w:numPr>
          <w:ilvl w:val="1"/>
          <w:numId w:val="1"/>
        </w:numPr>
        <w:autoSpaceDE w:val="0"/>
        <w:autoSpaceDN w:val="0"/>
        <w:adjustRightInd w:val="0"/>
        <w:ind w:left="851" w:hanging="851"/>
        <w:rPr>
          <w:rFonts w:ascii="Arial" w:hAnsi="Arial" w:cs="Arial"/>
          <w:color w:val="000000"/>
          <w:sz w:val="20"/>
          <w:szCs w:val="20"/>
          <w:lang w:val="en-US" w:eastAsia="en-US"/>
        </w:rPr>
      </w:pPr>
      <w:r w:rsidRPr="009A3C2A">
        <w:rPr>
          <w:rFonts w:ascii="Arial" w:hAnsi="Arial" w:cs="Arial"/>
          <w:color w:val="000000"/>
          <w:sz w:val="20"/>
          <w:szCs w:val="20"/>
          <w:lang w:val="en-US" w:eastAsia="en-US"/>
        </w:rPr>
        <w:t xml:space="preserve">The MTSF 2019-2024 acknowledges that the challenges of poverty, inequality and unemployment continue to hold back the achievement of South Africa’s national development. This burden is disproportionately felt by the youth, women and people with disabilities. In order to address these challenges, the MTSF identifies a number of priority areas. Of these, the priorities ‘A capable, ethical and developmental state’ and ‘Social cohesion and safe communities’ are of particular relevance. </w:t>
      </w:r>
    </w:p>
    <w:p w:rsidR="00656150" w:rsidRPr="009A3C2A" w:rsidRDefault="00656150" w:rsidP="009A3C2A">
      <w:pPr>
        <w:ind w:left="720"/>
        <w:rPr>
          <w:rFonts w:ascii="Arial" w:hAnsi="Arial" w:cs="Arial"/>
          <w:color w:val="000000"/>
          <w:sz w:val="20"/>
          <w:szCs w:val="20"/>
          <w:lang w:val="en-US" w:eastAsia="en-US"/>
        </w:rPr>
      </w:pPr>
    </w:p>
    <w:p w:rsidR="00656150" w:rsidRPr="009A3C2A" w:rsidRDefault="00656150" w:rsidP="009A3C2A">
      <w:pPr>
        <w:pStyle w:val="ListParagraph"/>
        <w:numPr>
          <w:ilvl w:val="1"/>
          <w:numId w:val="1"/>
        </w:numPr>
        <w:autoSpaceDE w:val="0"/>
        <w:autoSpaceDN w:val="0"/>
        <w:adjustRightInd w:val="0"/>
        <w:ind w:left="851" w:hanging="851"/>
        <w:rPr>
          <w:rFonts w:ascii="Arial" w:hAnsi="Arial" w:cs="Arial"/>
          <w:color w:val="000000"/>
          <w:sz w:val="20"/>
          <w:szCs w:val="20"/>
          <w:lang w:val="en-US" w:eastAsia="en-US"/>
        </w:rPr>
      </w:pPr>
      <w:r w:rsidRPr="009A3C2A">
        <w:rPr>
          <w:rFonts w:ascii="Arial" w:hAnsi="Arial" w:cs="Arial"/>
          <w:color w:val="000000"/>
          <w:sz w:val="20"/>
          <w:szCs w:val="20"/>
          <w:lang w:val="en-US" w:eastAsia="en-US"/>
        </w:rPr>
        <w:t>In addition, the lack of access to resources and opportunity for Women, Youth and People with Disabilities are identified as cross-cutting, requiring a variety of interventions, including legislative amendments.</w:t>
      </w:r>
    </w:p>
    <w:p w:rsidR="00656150" w:rsidRPr="009A3C2A" w:rsidRDefault="00656150" w:rsidP="009A3C2A">
      <w:pPr>
        <w:ind w:left="720"/>
        <w:rPr>
          <w:rFonts w:ascii="Arial" w:hAnsi="Arial" w:cs="Arial"/>
          <w:color w:val="000000"/>
          <w:sz w:val="20"/>
          <w:szCs w:val="20"/>
          <w:lang w:val="en-US" w:eastAsia="en-US"/>
        </w:rPr>
      </w:pPr>
    </w:p>
    <w:p w:rsidR="00656150" w:rsidRPr="009A3C2A" w:rsidRDefault="00656150"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color w:val="000000"/>
          <w:sz w:val="20"/>
          <w:szCs w:val="20"/>
          <w:lang w:val="en-US" w:eastAsia="en-US"/>
        </w:rPr>
        <w:t>Aligning</w:t>
      </w:r>
      <w:r w:rsidRPr="009A3C2A">
        <w:rPr>
          <w:rFonts w:ascii="Arial" w:hAnsi="Arial" w:cs="Arial"/>
          <w:sz w:val="20"/>
          <w:szCs w:val="20"/>
          <w:lang w:val="en-US" w:eastAsia="en-US"/>
        </w:rPr>
        <w:t xml:space="preserve"> MTSF priorities to plans, the OCJ contribute</w:t>
      </w:r>
      <w:r w:rsidR="00FA26B0" w:rsidRPr="009A3C2A">
        <w:rPr>
          <w:rFonts w:ascii="Arial" w:hAnsi="Arial" w:cs="Arial"/>
          <w:sz w:val="20"/>
          <w:szCs w:val="20"/>
          <w:lang w:val="en-US" w:eastAsia="en-US"/>
        </w:rPr>
        <w:t>s</w:t>
      </w:r>
      <w:r w:rsidRPr="009A3C2A">
        <w:rPr>
          <w:rFonts w:ascii="Arial" w:hAnsi="Arial" w:cs="Arial"/>
          <w:sz w:val="20"/>
          <w:szCs w:val="20"/>
          <w:lang w:val="en-US" w:eastAsia="en-US"/>
        </w:rPr>
        <w:t xml:space="preserve"> </w:t>
      </w:r>
      <w:r w:rsidR="00E02A21" w:rsidRPr="009A3C2A">
        <w:rPr>
          <w:rFonts w:ascii="Arial" w:hAnsi="Arial" w:cs="Arial"/>
          <w:sz w:val="20"/>
          <w:szCs w:val="20"/>
          <w:lang w:val="en-US" w:eastAsia="en-US"/>
        </w:rPr>
        <w:t>as follows:</w:t>
      </w:r>
    </w:p>
    <w:p w:rsidR="00E02A21" w:rsidRPr="009A3C2A" w:rsidRDefault="00E02A21" w:rsidP="009A3C2A">
      <w:pPr>
        <w:pStyle w:val="ListParagraph"/>
        <w:rPr>
          <w:rFonts w:ascii="Arial" w:hAnsi="Arial" w:cs="Arial"/>
          <w:sz w:val="20"/>
          <w:szCs w:val="20"/>
          <w:lang w:val="en-US" w:eastAsia="en-US"/>
        </w:rPr>
      </w:pPr>
    </w:p>
    <w:p w:rsidR="00656150" w:rsidRPr="009A3C2A" w:rsidRDefault="00E02A21" w:rsidP="009A3C2A">
      <w:pPr>
        <w:autoSpaceDE w:val="0"/>
        <w:autoSpaceDN w:val="0"/>
        <w:adjustRightInd w:val="0"/>
        <w:rPr>
          <w:rFonts w:ascii="Arial" w:hAnsi="Arial" w:cs="Arial"/>
          <w:b/>
          <w:i/>
          <w:sz w:val="20"/>
          <w:szCs w:val="20"/>
          <w:lang w:val="en-US" w:eastAsia="en-US"/>
        </w:rPr>
      </w:pPr>
      <w:r w:rsidRPr="009A3C2A">
        <w:rPr>
          <w:rFonts w:ascii="Arial" w:hAnsi="Arial" w:cs="Arial"/>
          <w:b/>
          <w:i/>
          <w:sz w:val="20"/>
          <w:szCs w:val="20"/>
          <w:lang w:val="en-US" w:eastAsia="en-US"/>
        </w:rPr>
        <w:t>Table 1: OCJ planned contribution to achieving MTSF 2019-2024 priorities</w:t>
      </w:r>
    </w:p>
    <w:tbl>
      <w:tblPr>
        <w:tblStyle w:val="TableGrid"/>
        <w:tblW w:w="0" w:type="auto"/>
        <w:tblLook w:val="04A0"/>
      </w:tblPr>
      <w:tblGrid>
        <w:gridCol w:w="2422"/>
        <w:gridCol w:w="7540"/>
      </w:tblGrid>
      <w:tr w:rsidR="00E02A21" w:rsidRPr="009A3C2A" w:rsidTr="00E02A21">
        <w:trPr>
          <w:tblHeader/>
        </w:trPr>
        <w:tc>
          <w:tcPr>
            <w:tcW w:w="0" w:type="auto"/>
            <w:shd w:val="clear" w:color="auto" w:fill="D9D9D9" w:themeFill="background1" w:themeFillShade="D9"/>
          </w:tcPr>
          <w:p w:rsidR="00E02A21" w:rsidRPr="009A3C2A" w:rsidRDefault="00E02A21" w:rsidP="009A3C2A">
            <w:pPr>
              <w:autoSpaceDE w:val="0"/>
              <w:autoSpaceDN w:val="0"/>
              <w:adjustRightInd w:val="0"/>
              <w:rPr>
                <w:rFonts w:ascii="Arial" w:hAnsi="Arial" w:cs="Arial"/>
                <w:b/>
                <w:caps/>
                <w:sz w:val="20"/>
                <w:szCs w:val="20"/>
                <w:lang w:val="en-US" w:eastAsia="en-US"/>
              </w:rPr>
            </w:pPr>
            <w:r w:rsidRPr="009A3C2A">
              <w:rPr>
                <w:rFonts w:ascii="Arial" w:hAnsi="Arial" w:cs="Arial"/>
                <w:b/>
                <w:caps/>
                <w:sz w:val="20"/>
                <w:szCs w:val="20"/>
                <w:lang w:val="en-US" w:eastAsia="en-US"/>
              </w:rPr>
              <w:t>MTSF Priority</w:t>
            </w:r>
          </w:p>
        </w:tc>
        <w:tc>
          <w:tcPr>
            <w:tcW w:w="0" w:type="auto"/>
            <w:shd w:val="clear" w:color="auto" w:fill="D9D9D9" w:themeFill="background1" w:themeFillShade="D9"/>
          </w:tcPr>
          <w:p w:rsidR="00E02A21" w:rsidRPr="009A3C2A" w:rsidRDefault="00E02A21" w:rsidP="009A3C2A">
            <w:pPr>
              <w:autoSpaceDE w:val="0"/>
              <w:autoSpaceDN w:val="0"/>
              <w:adjustRightInd w:val="0"/>
              <w:rPr>
                <w:rFonts w:ascii="Arial" w:hAnsi="Arial" w:cs="Arial"/>
                <w:b/>
                <w:caps/>
                <w:sz w:val="20"/>
                <w:szCs w:val="20"/>
                <w:lang w:val="en-US" w:eastAsia="en-US"/>
              </w:rPr>
            </w:pPr>
            <w:r w:rsidRPr="009A3C2A">
              <w:rPr>
                <w:rFonts w:ascii="Arial" w:hAnsi="Arial" w:cs="Arial"/>
                <w:b/>
                <w:caps/>
                <w:sz w:val="20"/>
                <w:szCs w:val="20"/>
                <w:lang w:val="en-US" w:eastAsia="en-US"/>
              </w:rPr>
              <w:t>planned Contribution</w:t>
            </w:r>
          </w:p>
        </w:tc>
      </w:tr>
      <w:tr w:rsidR="00E02A21" w:rsidRPr="009A3C2A" w:rsidTr="00E02A21">
        <w:tc>
          <w:tcPr>
            <w:tcW w:w="0" w:type="auto"/>
          </w:tcPr>
          <w:p w:rsidR="00E02A21" w:rsidRPr="009A3C2A" w:rsidRDefault="00E02A21" w:rsidP="009A3C2A">
            <w:pPr>
              <w:autoSpaceDE w:val="0"/>
              <w:autoSpaceDN w:val="0"/>
              <w:adjustRightInd w:val="0"/>
              <w:rPr>
                <w:rFonts w:ascii="Arial" w:hAnsi="Arial" w:cs="Arial"/>
                <w:b/>
                <w:sz w:val="20"/>
                <w:szCs w:val="20"/>
                <w:lang w:val="en-US" w:eastAsia="en-US"/>
              </w:rPr>
            </w:pPr>
            <w:r w:rsidRPr="009A3C2A">
              <w:rPr>
                <w:rFonts w:ascii="Arial" w:hAnsi="Arial" w:cs="Arial"/>
                <w:i/>
                <w:sz w:val="20"/>
                <w:szCs w:val="20"/>
                <w:lang w:val="en-US" w:eastAsia="en-US"/>
              </w:rPr>
              <w:t>A capable, ethical and developmental State</w:t>
            </w:r>
          </w:p>
        </w:tc>
        <w:tc>
          <w:tcPr>
            <w:tcW w:w="0" w:type="auto"/>
          </w:tcPr>
          <w:p w:rsidR="00E02A21" w:rsidRPr="009A3C2A" w:rsidRDefault="00E02A21" w:rsidP="009A3C2A">
            <w:pPr>
              <w:pStyle w:val="ListParagraph"/>
              <w:numPr>
                <w:ilvl w:val="0"/>
                <w:numId w:val="11"/>
              </w:numPr>
              <w:autoSpaceDE w:val="0"/>
              <w:autoSpaceDN w:val="0"/>
              <w:adjustRightInd w:val="0"/>
              <w:rPr>
                <w:rFonts w:ascii="Arial" w:hAnsi="Arial" w:cs="Arial"/>
                <w:sz w:val="20"/>
                <w:szCs w:val="20"/>
                <w:lang w:val="en-US" w:eastAsia="en-US"/>
              </w:rPr>
            </w:pPr>
            <w:r w:rsidRPr="009A3C2A">
              <w:rPr>
                <w:rFonts w:ascii="Arial" w:hAnsi="Arial" w:cs="Arial"/>
                <w:sz w:val="20"/>
                <w:szCs w:val="20"/>
                <w:lang w:val="en-US" w:eastAsia="en-US"/>
              </w:rPr>
              <w:t>Address fraud and corruption.</w:t>
            </w:r>
          </w:p>
          <w:p w:rsidR="00E02A21" w:rsidRPr="009A3C2A" w:rsidRDefault="00E02A21" w:rsidP="009A3C2A">
            <w:pPr>
              <w:pStyle w:val="ListParagraph"/>
              <w:numPr>
                <w:ilvl w:val="0"/>
                <w:numId w:val="11"/>
              </w:numPr>
              <w:autoSpaceDE w:val="0"/>
              <w:autoSpaceDN w:val="0"/>
              <w:adjustRightInd w:val="0"/>
              <w:rPr>
                <w:rFonts w:ascii="Arial" w:hAnsi="Arial" w:cs="Arial"/>
                <w:sz w:val="20"/>
                <w:szCs w:val="20"/>
                <w:lang w:val="en-US" w:eastAsia="en-US"/>
              </w:rPr>
            </w:pPr>
            <w:r w:rsidRPr="009A3C2A">
              <w:rPr>
                <w:rFonts w:ascii="Arial" w:hAnsi="Arial" w:cs="Arial"/>
                <w:sz w:val="20"/>
                <w:szCs w:val="20"/>
                <w:lang w:val="en-US" w:eastAsia="en-US"/>
              </w:rPr>
              <w:t>Promote an ethical culture.</w:t>
            </w:r>
          </w:p>
          <w:p w:rsidR="00E02A21" w:rsidRPr="009A3C2A" w:rsidRDefault="00E02A21" w:rsidP="009A3C2A">
            <w:pPr>
              <w:pStyle w:val="ListParagraph"/>
              <w:numPr>
                <w:ilvl w:val="0"/>
                <w:numId w:val="11"/>
              </w:numPr>
              <w:autoSpaceDE w:val="0"/>
              <w:autoSpaceDN w:val="0"/>
              <w:adjustRightInd w:val="0"/>
              <w:rPr>
                <w:rFonts w:ascii="Arial" w:hAnsi="Arial" w:cs="Arial"/>
                <w:sz w:val="20"/>
                <w:szCs w:val="20"/>
                <w:lang w:val="en-US" w:eastAsia="en-US"/>
              </w:rPr>
            </w:pPr>
            <w:r w:rsidRPr="009A3C2A">
              <w:rPr>
                <w:rFonts w:ascii="Arial" w:hAnsi="Arial" w:cs="Arial"/>
                <w:sz w:val="20"/>
                <w:szCs w:val="20"/>
                <w:lang w:val="en-US" w:eastAsia="en-US"/>
              </w:rPr>
              <w:t>Integrate Batho Pele principles into the Department’s institutional culture.</w:t>
            </w:r>
          </w:p>
          <w:p w:rsidR="00E02A21" w:rsidRPr="009A3C2A" w:rsidRDefault="00E02A21" w:rsidP="009A3C2A">
            <w:pPr>
              <w:pStyle w:val="ListParagraph"/>
              <w:numPr>
                <w:ilvl w:val="0"/>
                <w:numId w:val="11"/>
              </w:numPr>
              <w:autoSpaceDE w:val="0"/>
              <w:autoSpaceDN w:val="0"/>
              <w:adjustRightInd w:val="0"/>
              <w:rPr>
                <w:rFonts w:ascii="Arial" w:hAnsi="Arial" w:cs="Arial"/>
                <w:sz w:val="20"/>
                <w:szCs w:val="20"/>
                <w:lang w:val="en-US" w:eastAsia="en-US"/>
              </w:rPr>
            </w:pPr>
            <w:r w:rsidRPr="009A3C2A">
              <w:rPr>
                <w:rFonts w:ascii="Arial" w:hAnsi="Arial" w:cs="Arial"/>
                <w:sz w:val="20"/>
                <w:szCs w:val="20"/>
                <w:lang w:val="en-US" w:eastAsia="en-US"/>
              </w:rPr>
              <w:t>Adhere to corporate governance principles, such as leadership, strategy and performance, risk and stakeholder management.</w:t>
            </w:r>
          </w:p>
          <w:p w:rsidR="00E02A21" w:rsidRPr="009A3C2A" w:rsidRDefault="00E02A21" w:rsidP="009A3C2A">
            <w:pPr>
              <w:pStyle w:val="ListParagraph"/>
              <w:numPr>
                <w:ilvl w:val="0"/>
                <w:numId w:val="11"/>
              </w:numPr>
              <w:autoSpaceDE w:val="0"/>
              <w:autoSpaceDN w:val="0"/>
              <w:adjustRightInd w:val="0"/>
              <w:rPr>
                <w:rFonts w:ascii="Arial" w:hAnsi="Arial" w:cs="Arial"/>
                <w:sz w:val="20"/>
                <w:szCs w:val="20"/>
                <w:lang w:val="en-US" w:eastAsia="en-US"/>
              </w:rPr>
            </w:pPr>
            <w:r w:rsidRPr="009A3C2A">
              <w:rPr>
                <w:rFonts w:ascii="Arial" w:hAnsi="Arial" w:cs="Arial"/>
                <w:sz w:val="20"/>
                <w:szCs w:val="20"/>
                <w:lang w:val="en-US" w:eastAsia="en-US"/>
              </w:rPr>
              <w:t>Improve court operations systems.</w:t>
            </w:r>
          </w:p>
          <w:p w:rsidR="00E02A21" w:rsidRPr="009A3C2A" w:rsidRDefault="00E02A21" w:rsidP="009A3C2A">
            <w:pPr>
              <w:pStyle w:val="ListParagraph"/>
              <w:numPr>
                <w:ilvl w:val="0"/>
                <w:numId w:val="11"/>
              </w:numPr>
              <w:autoSpaceDE w:val="0"/>
              <w:autoSpaceDN w:val="0"/>
              <w:adjustRightInd w:val="0"/>
              <w:rPr>
                <w:rFonts w:ascii="Arial" w:hAnsi="Arial" w:cs="Arial"/>
                <w:b/>
                <w:sz w:val="20"/>
                <w:szCs w:val="20"/>
                <w:lang w:val="en-US" w:eastAsia="en-US"/>
              </w:rPr>
            </w:pPr>
            <w:r w:rsidRPr="009A3C2A">
              <w:rPr>
                <w:rFonts w:ascii="Arial" w:hAnsi="Arial" w:cs="Arial"/>
                <w:sz w:val="20"/>
                <w:szCs w:val="20"/>
                <w:lang w:val="en-US" w:eastAsia="en-US"/>
              </w:rPr>
              <w:t>Modernise court processes and systems</w:t>
            </w:r>
            <w:r w:rsidR="009176B0" w:rsidRPr="009A3C2A">
              <w:rPr>
                <w:rFonts w:ascii="Arial" w:hAnsi="Arial" w:cs="Arial"/>
                <w:sz w:val="20"/>
                <w:szCs w:val="20"/>
                <w:lang w:val="en-US" w:eastAsia="en-US"/>
              </w:rPr>
              <w:t>.</w:t>
            </w:r>
          </w:p>
        </w:tc>
      </w:tr>
      <w:tr w:rsidR="00E02A21" w:rsidRPr="009A3C2A" w:rsidTr="00E02A21">
        <w:tc>
          <w:tcPr>
            <w:tcW w:w="0" w:type="auto"/>
          </w:tcPr>
          <w:p w:rsidR="00E02A21" w:rsidRPr="009A3C2A" w:rsidRDefault="00E02A21" w:rsidP="009A3C2A">
            <w:pPr>
              <w:autoSpaceDE w:val="0"/>
              <w:autoSpaceDN w:val="0"/>
              <w:adjustRightInd w:val="0"/>
              <w:rPr>
                <w:rFonts w:ascii="Arial" w:hAnsi="Arial" w:cs="Arial"/>
                <w:b/>
                <w:sz w:val="20"/>
                <w:szCs w:val="20"/>
                <w:lang w:val="en-US" w:eastAsia="en-US"/>
              </w:rPr>
            </w:pPr>
            <w:r w:rsidRPr="009A3C2A">
              <w:rPr>
                <w:rFonts w:ascii="Arial" w:hAnsi="Arial" w:cs="Arial"/>
                <w:i/>
                <w:sz w:val="20"/>
                <w:szCs w:val="20"/>
                <w:lang w:val="en-US" w:eastAsia="en-US"/>
              </w:rPr>
              <w:t>Economic transformation and job creation</w:t>
            </w:r>
          </w:p>
        </w:tc>
        <w:tc>
          <w:tcPr>
            <w:tcW w:w="0" w:type="auto"/>
          </w:tcPr>
          <w:p w:rsidR="00E02A21" w:rsidRPr="009A3C2A" w:rsidRDefault="00E02A21" w:rsidP="009A3C2A">
            <w:pPr>
              <w:autoSpaceDE w:val="0"/>
              <w:autoSpaceDN w:val="0"/>
              <w:adjustRightInd w:val="0"/>
              <w:rPr>
                <w:rFonts w:ascii="Arial" w:hAnsi="Arial" w:cs="Arial"/>
                <w:b/>
                <w:sz w:val="20"/>
                <w:szCs w:val="20"/>
                <w:lang w:val="en-US" w:eastAsia="en-US"/>
              </w:rPr>
            </w:pPr>
            <w:r w:rsidRPr="009A3C2A">
              <w:rPr>
                <w:rFonts w:ascii="Arial" w:hAnsi="Arial" w:cs="Arial"/>
                <w:sz w:val="20"/>
                <w:szCs w:val="20"/>
                <w:lang w:val="en-US" w:eastAsia="en-US"/>
              </w:rPr>
              <w:t>Implement equity programmes targeting employment and empowerment of youth, women, and people with disabilities in both the recruitment and procurement processes.</w:t>
            </w:r>
          </w:p>
        </w:tc>
      </w:tr>
      <w:tr w:rsidR="00E02A21" w:rsidRPr="009A3C2A" w:rsidTr="00E02A21">
        <w:tc>
          <w:tcPr>
            <w:tcW w:w="0" w:type="auto"/>
          </w:tcPr>
          <w:p w:rsidR="00E02A21" w:rsidRPr="009A3C2A" w:rsidRDefault="00E02A21" w:rsidP="009A3C2A">
            <w:pPr>
              <w:autoSpaceDE w:val="0"/>
              <w:autoSpaceDN w:val="0"/>
              <w:adjustRightInd w:val="0"/>
              <w:rPr>
                <w:rFonts w:ascii="Arial" w:hAnsi="Arial" w:cs="Arial"/>
                <w:b/>
                <w:sz w:val="20"/>
                <w:szCs w:val="20"/>
                <w:lang w:val="en-US" w:eastAsia="en-US"/>
              </w:rPr>
            </w:pPr>
            <w:r w:rsidRPr="009A3C2A">
              <w:rPr>
                <w:rFonts w:ascii="Arial" w:hAnsi="Arial" w:cs="Arial"/>
                <w:i/>
                <w:sz w:val="20"/>
                <w:szCs w:val="20"/>
                <w:lang w:val="en-US" w:eastAsia="en-US"/>
              </w:rPr>
              <w:lastRenderedPageBreak/>
              <w:t>Social cohesion and safe communities</w:t>
            </w:r>
          </w:p>
        </w:tc>
        <w:tc>
          <w:tcPr>
            <w:tcW w:w="0" w:type="auto"/>
          </w:tcPr>
          <w:p w:rsidR="00E02A21" w:rsidRPr="009A3C2A" w:rsidRDefault="00E02A21" w:rsidP="009A3C2A">
            <w:pPr>
              <w:autoSpaceDE w:val="0"/>
              <w:autoSpaceDN w:val="0"/>
              <w:adjustRightInd w:val="0"/>
              <w:rPr>
                <w:rFonts w:ascii="Arial" w:hAnsi="Arial" w:cs="Arial"/>
                <w:b/>
                <w:sz w:val="20"/>
                <w:szCs w:val="20"/>
                <w:lang w:val="en-US" w:eastAsia="en-US"/>
              </w:rPr>
            </w:pPr>
            <w:r w:rsidRPr="009A3C2A">
              <w:rPr>
                <w:rFonts w:ascii="Arial" w:hAnsi="Arial" w:cs="Arial"/>
                <w:sz w:val="20"/>
                <w:szCs w:val="20"/>
                <w:lang w:val="en-US" w:eastAsia="en-US"/>
              </w:rPr>
              <w:t>Ensure access to a safe and secure court environment and improving the integrity of court processes/ outcomes, as well as capacitating/ resourcing the courts in order for them</w:t>
            </w:r>
            <w:r w:rsidR="009C3811" w:rsidRPr="009A3C2A">
              <w:rPr>
                <w:rFonts w:ascii="Arial" w:hAnsi="Arial" w:cs="Arial"/>
                <w:sz w:val="20"/>
                <w:szCs w:val="20"/>
                <w:lang w:val="en-US" w:eastAsia="en-US"/>
              </w:rPr>
              <w:t xml:space="preserve"> to</w:t>
            </w:r>
            <w:r w:rsidRPr="009A3C2A">
              <w:rPr>
                <w:rFonts w:ascii="Arial" w:hAnsi="Arial" w:cs="Arial"/>
                <w:sz w:val="20"/>
                <w:szCs w:val="20"/>
                <w:lang w:val="en-US" w:eastAsia="en-US"/>
              </w:rPr>
              <w:t xml:space="preserve"> execute their mandate.</w:t>
            </w:r>
          </w:p>
        </w:tc>
      </w:tr>
    </w:tbl>
    <w:p w:rsidR="00656150" w:rsidRPr="009A3C2A" w:rsidRDefault="00656150" w:rsidP="009A3C2A">
      <w:pPr>
        <w:autoSpaceDE w:val="0"/>
        <w:autoSpaceDN w:val="0"/>
        <w:adjustRightInd w:val="0"/>
        <w:rPr>
          <w:rFonts w:ascii="Arial" w:hAnsi="Arial" w:cs="Arial"/>
          <w:b/>
          <w:sz w:val="20"/>
          <w:szCs w:val="20"/>
          <w:lang w:val="en-US" w:eastAsia="en-US"/>
        </w:rPr>
      </w:pPr>
    </w:p>
    <w:p w:rsidR="003D7013" w:rsidRPr="009A3C2A" w:rsidRDefault="003D7013"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rPr>
        <w:t>The OCJ has the following broad strategic outcome-orientated goals.</w:t>
      </w:r>
    </w:p>
    <w:p w:rsidR="003D7013" w:rsidRPr="009A3C2A" w:rsidRDefault="00083BFB"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Capacitating</w:t>
      </w:r>
      <w:r w:rsidR="003D7013" w:rsidRPr="009A3C2A">
        <w:rPr>
          <w:rFonts w:ascii="Arial" w:hAnsi="Arial" w:cs="Arial"/>
          <w:sz w:val="20"/>
          <w:szCs w:val="20"/>
          <w:lang w:val="en-US"/>
        </w:rPr>
        <w:t xml:space="preserve"> the Office of the Chief Justice</w:t>
      </w:r>
      <w:r w:rsidRPr="009A3C2A">
        <w:rPr>
          <w:rFonts w:ascii="Arial" w:hAnsi="Arial" w:cs="Arial"/>
          <w:sz w:val="20"/>
          <w:szCs w:val="20"/>
          <w:lang w:val="en-US"/>
        </w:rPr>
        <w:t xml:space="preserve"> by securing </w:t>
      </w:r>
      <w:r w:rsidR="003D7013" w:rsidRPr="009A3C2A">
        <w:rPr>
          <w:rFonts w:ascii="Arial" w:hAnsi="Arial" w:cs="Arial"/>
          <w:sz w:val="20"/>
          <w:szCs w:val="20"/>
          <w:lang w:val="en-US"/>
        </w:rPr>
        <w:t>a</w:t>
      </w:r>
      <w:r w:rsidRPr="009A3C2A">
        <w:rPr>
          <w:rFonts w:ascii="Arial" w:hAnsi="Arial" w:cs="Arial"/>
          <w:sz w:val="20"/>
          <w:szCs w:val="20"/>
          <w:lang w:val="en-US"/>
        </w:rPr>
        <w:t xml:space="preserve">dequate human resources for </w:t>
      </w:r>
      <w:r w:rsidR="003D7013" w:rsidRPr="009A3C2A">
        <w:rPr>
          <w:rFonts w:ascii="Arial" w:hAnsi="Arial" w:cs="Arial"/>
          <w:sz w:val="20"/>
          <w:szCs w:val="20"/>
          <w:lang w:val="en-US"/>
        </w:rPr>
        <w:t>it to carry out its mandate effectively.</w:t>
      </w:r>
    </w:p>
    <w:p w:rsidR="003D7013" w:rsidRPr="009A3C2A" w:rsidRDefault="00083BFB"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Providing administrative support to </w:t>
      </w:r>
      <w:r w:rsidR="003D7013" w:rsidRPr="009A3C2A">
        <w:rPr>
          <w:rFonts w:ascii="Arial" w:hAnsi="Arial" w:cs="Arial"/>
          <w:sz w:val="20"/>
          <w:szCs w:val="20"/>
          <w:lang w:val="en-US"/>
        </w:rPr>
        <w:t>the Chief Justice in fulfilling his/her functions as Head of the Judiciary.</w:t>
      </w:r>
    </w:p>
    <w:p w:rsidR="003D7013" w:rsidRPr="009A3C2A" w:rsidRDefault="003D701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Render</w:t>
      </w:r>
      <w:r w:rsidR="00083BFB" w:rsidRPr="009A3C2A">
        <w:rPr>
          <w:rFonts w:ascii="Arial" w:hAnsi="Arial" w:cs="Arial"/>
          <w:sz w:val="20"/>
          <w:szCs w:val="20"/>
          <w:lang w:val="en-US"/>
        </w:rPr>
        <w:t>ing</w:t>
      </w:r>
      <w:r w:rsidRPr="009A3C2A">
        <w:rPr>
          <w:rFonts w:ascii="Arial" w:hAnsi="Arial" w:cs="Arial"/>
          <w:sz w:val="20"/>
          <w:szCs w:val="20"/>
          <w:lang w:val="en-US"/>
        </w:rPr>
        <w:t xml:space="preserve"> effective and efficient administration and technical support to the Superior Courts</w:t>
      </w:r>
      <w:r w:rsidR="00083BFB" w:rsidRPr="009A3C2A">
        <w:rPr>
          <w:rFonts w:ascii="Arial" w:hAnsi="Arial" w:cs="Arial"/>
          <w:sz w:val="20"/>
          <w:szCs w:val="20"/>
          <w:lang w:val="en-US"/>
        </w:rPr>
        <w:t>.</w:t>
      </w:r>
    </w:p>
    <w:p w:rsidR="00B53E94" w:rsidRPr="009A3C2A" w:rsidRDefault="00B53E94" w:rsidP="009A3C2A">
      <w:pPr>
        <w:autoSpaceDE w:val="0"/>
        <w:autoSpaceDN w:val="0"/>
        <w:adjustRightInd w:val="0"/>
        <w:rPr>
          <w:rFonts w:ascii="Arial" w:hAnsi="Arial" w:cs="Arial"/>
          <w:sz w:val="20"/>
          <w:szCs w:val="20"/>
        </w:rPr>
      </w:pPr>
    </w:p>
    <w:p w:rsidR="009332BB" w:rsidRPr="009A3C2A" w:rsidRDefault="009332BB" w:rsidP="009A3C2A">
      <w:pPr>
        <w:autoSpaceDE w:val="0"/>
        <w:autoSpaceDN w:val="0"/>
        <w:adjustRightInd w:val="0"/>
        <w:rPr>
          <w:rFonts w:ascii="Arial" w:hAnsi="Arial" w:cs="Arial"/>
          <w:sz w:val="20"/>
          <w:szCs w:val="20"/>
        </w:rPr>
      </w:pPr>
    </w:p>
    <w:p w:rsidR="006115A3" w:rsidRPr="009A3C2A" w:rsidRDefault="006115A3" w:rsidP="009A3C2A">
      <w:pPr>
        <w:numPr>
          <w:ilvl w:val="0"/>
          <w:numId w:val="1"/>
        </w:numPr>
        <w:tabs>
          <w:tab w:val="clear" w:pos="360"/>
          <w:tab w:val="num" w:pos="851"/>
        </w:tabs>
        <w:ind w:left="851" w:hanging="851"/>
        <w:rPr>
          <w:rFonts w:ascii="Arial" w:hAnsi="Arial" w:cs="Arial"/>
          <w:b/>
          <w:sz w:val="20"/>
          <w:szCs w:val="20"/>
        </w:rPr>
      </w:pPr>
      <w:r w:rsidRPr="009A3C2A">
        <w:rPr>
          <w:rFonts w:ascii="Arial" w:hAnsi="Arial" w:cs="Arial"/>
          <w:b/>
          <w:sz w:val="20"/>
          <w:szCs w:val="20"/>
        </w:rPr>
        <w:t>Audit outcome</w:t>
      </w:r>
      <w:r w:rsidR="00211FD4" w:rsidRPr="009A3C2A">
        <w:rPr>
          <w:rFonts w:ascii="Arial" w:hAnsi="Arial" w:cs="Arial"/>
          <w:b/>
          <w:sz w:val="20"/>
          <w:szCs w:val="20"/>
        </w:rPr>
        <w:t xml:space="preserve"> 2021/22</w:t>
      </w:r>
    </w:p>
    <w:p w:rsidR="006115A3" w:rsidRPr="009A3C2A" w:rsidRDefault="006115A3" w:rsidP="009A3C2A">
      <w:pPr>
        <w:rPr>
          <w:rFonts w:ascii="Arial" w:hAnsi="Arial" w:cs="Arial"/>
          <w:b/>
          <w:sz w:val="20"/>
          <w:szCs w:val="20"/>
        </w:rPr>
      </w:pPr>
    </w:p>
    <w:p w:rsidR="007E66CA" w:rsidRPr="009A3C2A" w:rsidRDefault="00211FD4"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lang w:val="en-US" w:eastAsia="en-US"/>
        </w:rPr>
        <w:t>The</w:t>
      </w:r>
      <w:r w:rsidRPr="009A3C2A">
        <w:rPr>
          <w:rFonts w:ascii="Arial" w:hAnsi="Arial" w:cs="Arial"/>
          <w:sz w:val="20"/>
          <w:szCs w:val="20"/>
        </w:rPr>
        <w:t xml:space="preserve"> O</w:t>
      </w:r>
      <w:r w:rsidR="00884FB4" w:rsidRPr="009A3C2A">
        <w:rPr>
          <w:rFonts w:ascii="Arial" w:hAnsi="Arial" w:cs="Arial"/>
          <w:sz w:val="20"/>
          <w:szCs w:val="20"/>
        </w:rPr>
        <w:t>CJ</w:t>
      </w:r>
      <w:r w:rsidR="00FA26B0" w:rsidRPr="009A3C2A">
        <w:rPr>
          <w:rFonts w:ascii="Arial" w:hAnsi="Arial" w:cs="Arial"/>
          <w:sz w:val="20"/>
          <w:szCs w:val="20"/>
        </w:rPr>
        <w:t xml:space="preserve"> </w:t>
      </w:r>
      <w:r w:rsidR="00884FB4" w:rsidRPr="009A3C2A">
        <w:rPr>
          <w:rFonts w:ascii="Arial" w:hAnsi="Arial" w:cs="Arial"/>
          <w:sz w:val="20"/>
          <w:szCs w:val="20"/>
        </w:rPr>
        <w:t>receiv</w:t>
      </w:r>
      <w:r w:rsidR="004309BD" w:rsidRPr="009A3C2A">
        <w:rPr>
          <w:rFonts w:ascii="Arial" w:hAnsi="Arial" w:cs="Arial"/>
          <w:sz w:val="20"/>
          <w:szCs w:val="20"/>
        </w:rPr>
        <w:t>ed</w:t>
      </w:r>
      <w:r w:rsidR="00884FB4" w:rsidRPr="009A3C2A">
        <w:rPr>
          <w:rFonts w:ascii="Arial" w:hAnsi="Arial" w:cs="Arial"/>
          <w:sz w:val="20"/>
          <w:szCs w:val="20"/>
        </w:rPr>
        <w:t xml:space="preserve"> </w:t>
      </w:r>
      <w:r w:rsidRPr="009A3C2A">
        <w:rPr>
          <w:rFonts w:ascii="Arial" w:hAnsi="Arial" w:cs="Arial"/>
          <w:sz w:val="20"/>
          <w:szCs w:val="20"/>
        </w:rPr>
        <w:t>an unqualified audit opinion, with findings on compliance with legislation.</w:t>
      </w:r>
      <w:r w:rsidR="00FA26B0" w:rsidRPr="009A3C2A">
        <w:rPr>
          <w:rFonts w:ascii="Arial" w:hAnsi="Arial" w:cs="Arial"/>
          <w:sz w:val="20"/>
          <w:szCs w:val="20"/>
          <w:lang w:val="en-US" w:eastAsia="en-US"/>
        </w:rPr>
        <w:t xml:space="preserve"> </w:t>
      </w:r>
      <w:r w:rsidR="0003694C" w:rsidRPr="009A3C2A">
        <w:rPr>
          <w:rFonts w:ascii="Arial" w:hAnsi="Arial" w:cs="Arial"/>
          <w:sz w:val="20"/>
          <w:szCs w:val="20"/>
          <w:lang w:val="en-US" w:eastAsia="en-US"/>
        </w:rPr>
        <w:t xml:space="preserve">Although the OCJ remained unqualified, the outcome </w:t>
      </w:r>
      <w:r w:rsidR="00FA26B0" w:rsidRPr="009A3C2A">
        <w:rPr>
          <w:rFonts w:ascii="Arial" w:hAnsi="Arial" w:cs="Arial"/>
          <w:sz w:val="20"/>
          <w:szCs w:val="20"/>
          <w:lang w:val="en-US" w:eastAsia="en-US"/>
        </w:rPr>
        <w:t xml:space="preserve">is a regression, as </w:t>
      </w:r>
      <w:r w:rsidR="007E66CA" w:rsidRPr="009A3C2A">
        <w:rPr>
          <w:rFonts w:ascii="Arial" w:hAnsi="Arial" w:cs="Arial"/>
          <w:sz w:val="20"/>
          <w:szCs w:val="20"/>
          <w:lang w:val="en-US" w:eastAsia="en-US"/>
        </w:rPr>
        <w:t xml:space="preserve">the OCJ </w:t>
      </w:r>
      <w:r w:rsidR="00884FB4" w:rsidRPr="009A3C2A">
        <w:rPr>
          <w:rFonts w:ascii="Arial" w:hAnsi="Arial" w:cs="Arial"/>
          <w:sz w:val="20"/>
          <w:szCs w:val="20"/>
          <w:lang w:val="en-US" w:eastAsia="en-US"/>
        </w:rPr>
        <w:t xml:space="preserve">has </w:t>
      </w:r>
      <w:r w:rsidR="0003694C" w:rsidRPr="009A3C2A">
        <w:rPr>
          <w:rFonts w:ascii="Arial" w:hAnsi="Arial" w:cs="Arial"/>
          <w:sz w:val="20"/>
          <w:szCs w:val="20"/>
          <w:lang w:val="en-US" w:eastAsia="en-US"/>
        </w:rPr>
        <w:t>achieved a clean audit opinion since 2017/18.</w:t>
      </w:r>
    </w:p>
    <w:p w:rsidR="007E66CA" w:rsidRPr="009A3C2A" w:rsidRDefault="007E66CA" w:rsidP="009A3C2A">
      <w:pPr>
        <w:pStyle w:val="ListParagraph"/>
        <w:ind w:left="709"/>
        <w:contextualSpacing/>
        <w:rPr>
          <w:rFonts w:ascii="Arial" w:hAnsi="Arial" w:cs="Arial"/>
          <w:sz w:val="20"/>
          <w:szCs w:val="20"/>
          <w:lang w:val="en-US" w:eastAsia="en-US"/>
        </w:rPr>
      </w:pPr>
    </w:p>
    <w:p w:rsidR="00211FD4" w:rsidRPr="009A3C2A" w:rsidRDefault="00211FD4"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rPr>
        <w:t>The following material non-compliance issue was identified and reported:</w:t>
      </w:r>
    </w:p>
    <w:p w:rsidR="00211FD4" w:rsidRPr="009A3C2A" w:rsidRDefault="00211FD4" w:rsidP="009A3C2A">
      <w:pPr>
        <w:rPr>
          <w:rFonts w:ascii="Arial" w:hAnsi="Arial" w:cs="Arial"/>
          <w:b/>
          <w:sz w:val="20"/>
          <w:szCs w:val="20"/>
        </w:rPr>
      </w:pPr>
    </w:p>
    <w:tbl>
      <w:tblPr>
        <w:tblStyle w:val="TableGrid"/>
        <w:tblW w:w="0" w:type="auto"/>
        <w:tblLook w:val="04A0"/>
      </w:tblPr>
      <w:tblGrid>
        <w:gridCol w:w="6567"/>
        <w:gridCol w:w="3395"/>
      </w:tblGrid>
      <w:tr w:rsidR="00211FD4" w:rsidRPr="009A3C2A" w:rsidTr="00211FD4">
        <w:tc>
          <w:tcPr>
            <w:tcW w:w="0" w:type="auto"/>
            <w:shd w:val="clear" w:color="auto" w:fill="D9D9D9" w:themeFill="background1" w:themeFillShade="D9"/>
          </w:tcPr>
          <w:p w:rsidR="00211FD4" w:rsidRPr="009A3C2A" w:rsidRDefault="00211FD4" w:rsidP="009A3C2A">
            <w:pPr>
              <w:rPr>
                <w:rFonts w:ascii="Arial" w:hAnsi="Arial" w:cs="Arial"/>
                <w:b/>
                <w:caps/>
                <w:sz w:val="20"/>
                <w:szCs w:val="20"/>
              </w:rPr>
            </w:pPr>
            <w:r w:rsidRPr="009A3C2A">
              <w:rPr>
                <w:rFonts w:ascii="Arial" w:hAnsi="Arial" w:cs="Arial"/>
                <w:b/>
                <w:caps/>
                <w:sz w:val="20"/>
                <w:szCs w:val="20"/>
              </w:rPr>
              <w:t>Description</w:t>
            </w:r>
          </w:p>
        </w:tc>
        <w:tc>
          <w:tcPr>
            <w:tcW w:w="0" w:type="auto"/>
            <w:shd w:val="clear" w:color="auto" w:fill="D9D9D9" w:themeFill="background1" w:themeFillShade="D9"/>
          </w:tcPr>
          <w:p w:rsidR="00211FD4" w:rsidRPr="009A3C2A" w:rsidRDefault="00211FD4" w:rsidP="009A3C2A">
            <w:pPr>
              <w:rPr>
                <w:rFonts w:ascii="Arial" w:hAnsi="Arial" w:cs="Arial"/>
                <w:b/>
                <w:caps/>
                <w:sz w:val="20"/>
                <w:szCs w:val="20"/>
              </w:rPr>
            </w:pPr>
            <w:r w:rsidRPr="009A3C2A">
              <w:rPr>
                <w:rFonts w:ascii="Arial" w:hAnsi="Arial" w:cs="Arial"/>
                <w:b/>
                <w:caps/>
                <w:sz w:val="20"/>
                <w:szCs w:val="20"/>
              </w:rPr>
              <w:t>Root cause</w:t>
            </w:r>
          </w:p>
        </w:tc>
      </w:tr>
      <w:tr w:rsidR="00211FD4" w:rsidRPr="009A3C2A" w:rsidTr="00884FB4">
        <w:tc>
          <w:tcPr>
            <w:tcW w:w="0" w:type="auto"/>
            <w:shd w:val="clear" w:color="auto" w:fill="auto"/>
          </w:tcPr>
          <w:p w:rsidR="00884FB4" w:rsidRPr="009A3C2A" w:rsidRDefault="00211FD4" w:rsidP="009A3C2A">
            <w:pPr>
              <w:rPr>
                <w:rFonts w:ascii="Arial" w:hAnsi="Arial" w:cs="Arial"/>
                <w:sz w:val="20"/>
                <w:szCs w:val="20"/>
              </w:rPr>
            </w:pPr>
            <w:r w:rsidRPr="009A3C2A">
              <w:rPr>
                <w:rFonts w:ascii="Arial" w:hAnsi="Arial" w:cs="Arial"/>
                <w:sz w:val="20"/>
                <w:szCs w:val="20"/>
              </w:rPr>
              <w:t xml:space="preserve">IT goods and services were not procured through SITA. </w:t>
            </w:r>
          </w:p>
          <w:p w:rsidR="00FA26B0" w:rsidRPr="009A3C2A" w:rsidRDefault="00FA26B0" w:rsidP="009A3C2A">
            <w:pPr>
              <w:rPr>
                <w:rFonts w:ascii="Arial" w:hAnsi="Arial" w:cs="Arial"/>
                <w:sz w:val="20"/>
                <w:szCs w:val="20"/>
              </w:rPr>
            </w:pPr>
          </w:p>
          <w:p w:rsidR="00211FD4" w:rsidRPr="009A3C2A" w:rsidRDefault="00211FD4" w:rsidP="009A3C2A">
            <w:pPr>
              <w:rPr>
                <w:rFonts w:ascii="Arial" w:hAnsi="Arial" w:cs="Arial"/>
                <w:b/>
                <w:sz w:val="20"/>
                <w:szCs w:val="20"/>
              </w:rPr>
            </w:pPr>
            <w:r w:rsidRPr="009A3C2A">
              <w:rPr>
                <w:rFonts w:ascii="Arial" w:hAnsi="Arial" w:cs="Arial"/>
                <w:sz w:val="20"/>
                <w:szCs w:val="20"/>
              </w:rPr>
              <w:t>In addition, due to the non-compliance, the OCJ incurred irregular expenditure which led to the non-compliance relating to not preventing irregular expenditure being reported.</w:t>
            </w:r>
          </w:p>
        </w:tc>
        <w:tc>
          <w:tcPr>
            <w:tcW w:w="0" w:type="auto"/>
            <w:shd w:val="clear" w:color="auto" w:fill="auto"/>
          </w:tcPr>
          <w:p w:rsidR="00211FD4" w:rsidRPr="009A3C2A" w:rsidRDefault="00211FD4" w:rsidP="009A3C2A">
            <w:pPr>
              <w:rPr>
                <w:rFonts w:ascii="Arial" w:hAnsi="Arial" w:cs="Arial"/>
                <w:b/>
                <w:sz w:val="20"/>
                <w:szCs w:val="20"/>
              </w:rPr>
            </w:pPr>
            <w:r w:rsidRPr="009A3C2A">
              <w:rPr>
                <w:rFonts w:ascii="Arial" w:hAnsi="Arial" w:cs="Arial"/>
                <w:sz w:val="20"/>
                <w:szCs w:val="20"/>
              </w:rPr>
              <w:t>Slow response in filling critical vacancies which led to lack of segregation duties</w:t>
            </w:r>
          </w:p>
        </w:tc>
      </w:tr>
    </w:tbl>
    <w:p w:rsidR="00211FD4" w:rsidRPr="009A3C2A" w:rsidRDefault="00211FD4" w:rsidP="009A3C2A">
      <w:pPr>
        <w:rPr>
          <w:rFonts w:ascii="Arial" w:hAnsi="Arial" w:cs="Arial"/>
          <w:b/>
          <w:sz w:val="20"/>
          <w:szCs w:val="20"/>
        </w:rPr>
      </w:pPr>
    </w:p>
    <w:p w:rsidR="00211FD4" w:rsidRPr="009A3C2A" w:rsidRDefault="0003694C"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rPr>
        <w:t>Regarding</w:t>
      </w:r>
      <w:r w:rsidR="00FA26B0" w:rsidRPr="009A3C2A">
        <w:rPr>
          <w:rFonts w:ascii="Arial" w:hAnsi="Arial" w:cs="Arial"/>
          <w:sz w:val="20"/>
          <w:szCs w:val="20"/>
        </w:rPr>
        <w:t xml:space="preserve"> the </w:t>
      </w:r>
      <w:r w:rsidR="00FA26B0" w:rsidRPr="009A3C2A">
        <w:rPr>
          <w:rFonts w:ascii="Arial" w:hAnsi="Arial" w:cs="Arial"/>
          <w:i/>
          <w:sz w:val="20"/>
          <w:szCs w:val="20"/>
        </w:rPr>
        <w:t>i</w:t>
      </w:r>
      <w:r w:rsidR="00211FD4" w:rsidRPr="009A3C2A">
        <w:rPr>
          <w:rFonts w:ascii="Arial" w:hAnsi="Arial" w:cs="Arial"/>
          <w:i/>
          <w:sz w:val="20"/>
          <w:szCs w:val="20"/>
        </w:rPr>
        <w:t>rregular expenditure</w:t>
      </w:r>
      <w:r w:rsidR="00FA26B0" w:rsidRPr="009A3C2A">
        <w:rPr>
          <w:rFonts w:ascii="Arial" w:hAnsi="Arial" w:cs="Arial"/>
          <w:sz w:val="20"/>
          <w:szCs w:val="20"/>
        </w:rPr>
        <w:t xml:space="preserve"> incurred:</w:t>
      </w:r>
    </w:p>
    <w:p w:rsidR="00211FD4" w:rsidRPr="009A3C2A" w:rsidRDefault="00211FD4" w:rsidP="009A3C2A">
      <w:pPr>
        <w:rPr>
          <w:rFonts w:ascii="Arial" w:hAnsi="Arial" w:cs="Arial"/>
          <w:sz w:val="20"/>
          <w:szCs w:val="20"/>
        </w:rPr>
      </w:pPr>
    </w:p>
    <w:tbl>
      <w:tblPr>
        <w:tblStyle w:val="TableGrid"/>
        <w:tblW w:w="0" w:type="auto"/>
        <w:tblLook w:val="04A0"/>
      </w:tblPr>
      <w:tblGrid>
        <w:gridCol w:w="3571"/>
        <w:gridCol w:w="1279"/>
        <w:gridCol w:w="5112"/>
      </w:tblGrid>
      <w:tr w:rsidR="00884FB4" w:rsidRPr="009A3C2A" w:rsidTr="00211FD4">
        <w:tc>
          <w:tcPr>
            <w:tcW w:w="0" w:type="auto"/>
            <w:shd w:val="clear" w:color="auto" w:fill="D9D9D9" w:themeFill="background1" w:themeFillShade="D9"/>
          </w:tcPr>
          <w:p w:rsidR="00884FB4" w:rsidRPr="009A3C2A" w:rsidRDefault="00884FB4" w:rsidP="009A3C2A">
            <w:pPr>
              <w:rPr>
                <w:rFonts w:ascii="Arial" w:hAnsi="Arial" w:cs="Arial"/>
                <w:b/>
                <w:caps/>
                <w:sz w:val="20"/>
                <w:szCs w:val="20"/>
              </w:rPr>
            </w:pPr>
            <w:r w:rsidRPr="009A3C2A">
              <w:rPr>
                <w:rFonts w:ascii="Arial" w:hAnsi="Arial" w:cs="Arial"/>
                <w:b/>
                <w:caps/>
                <w:sz w:val="20"/>
                <w:szCs w:val="20"/>
              </w:rPr>
              <w:t>Description</w:t>
            </w:r>
          </w:p>
        </w:tc>
        <w:tc>
          <w:tcPr>
            <w:tcW w:w="0" w:type="auto"/>
            <w:shd w:val="clear" w:color="auto" w:fill="D9D9D9" w:themeFill="background1" w:themeFillShade="D9"/>
          </w:tcPr>
          <w:p w:rsidR="00884FB4" w:rsidRPr="009A3C2A" w:rsidRDefault="00884FB4" w:rsidP="009A3C2A">
            <w:pPr>
              <w:rPr>
                <w:rFonts w:ascii="Arial" w:hAnsi="Arial" w:cs="Arial"/>
                <w:b/>
                <w:caps/>
                <w:sz w:val="20"/>
                <w:szCs w:val="20"/>
              </w:rPr>
            </w:pPr>
            <w:r w:rsidRPr="009A3C2A">
              <w:rPr>
                <w:rFonts w:ascii="Arial" w:hAnsi="Arial" w:cs="Arial"/>
                <w:b/>
                <w:caps/>
                <w:sz w:val="20"/>
                <w:szCs w:val="20"/>
              </w:rPr>
              <w:t>Amount</w:t>
            </w:r>
          </w:p>
        </w:tc>
        <w:tc>
          <w:tcPr>
            <w:tcW w:w="0" w:type="auto"/>
            <w:shd w:val="clear" w:color="auto" w:fill="D9D9D9" w:themeFill="background1" w:themeFillShade="D9"/>
          </w:tcPr>
          <w:p w:rsidR="00884FB4" w:rsidRPr="009A3C2A" w:rsidRDefault="009D3F9C" w:rsidP="009A3C2A">
            <w:pPr>
              <w:rPr>
                <w:rFonts w:ascii="Arial" w:hAnsi="Arial" w:cs="Arial"/>
                <w:b/>
                <w:caps/>
                <w:sz w:val="20"/>
                <w:szCs w:val="20"/>
              </w:rPr>
            </w:pPr>
            <w:r w:rsidRPr="009A3C2A">
              <w:rPr>
                <w:rFonts w:ascii="Arial" w:hAnsi="Arial" w:cs="Arial"/>
                <w:b/>
                <w:caps/>
                <w:sz w:val="20"/>
                <w:szCs w:val="20"/>
              </w:rPr>
              <w:t>Root c</w:t>
            </w:r>
            <w:r w:rsidR="00884FB4" w:rsidRPr="009A3C2A">
              <w:rPr>
                <w:rFonts w:ascii="Arial" w:hAnsi="Arial" w:cs="Arial"/>
                <w:b/>
                <w:caps/>
                <w:sz w:val="20"/>
                <w:szCs w:val="20"/>
              </w:rPr>
              <w:t>ause</w:t>
            </w:r>
          </w:p>
        </w:tc>
      </w:tr>
      <w:tr w:rsidR="00884FB4" w:rsidRPr="009A3C2A" w:rsidTr="00211FD4">
        <w:tc>
          <w:tcPr>
            <w:tcW w:w="0" w:type="auto"/>
          </w:tcPr>
          <w:p w:rsidR="00884FB4" w:rsidRPr="009A3C2A" w:rsidRDefault="00884FB4" w:rsidP="009A3C2A">
            <w:pPr>
              <w:rPr>
                <w:rFonts w:ascii="Arial" w:hAnsi="Arial" w:cs="Arial"/>
                <w:sz w:val="20"/>
                <w:szCs w:val="20"/>
              </w:rPr>
            </w:pPr>
            <w:r w:rsidRPr="009A3C2A">
              <w:rPr>
                <w:rFonts w:ascii="Arial" w:hAnsi="Arial" w:cs="Arial"/>
                <w:sz w:val="20"/>
                <w:szCs w:val="20"/>
              </w:rPr>
              <w:t>IT goods and services not procured through SITA</w:t>
            </w:r>
          </w:p>
        </w:tc>
        <w:tc>
          <w:tcPr>
            <w:tcW w:w="0" w:type="auto"/>
          </w:tcPr>
          <w:p w:rsidR="00884FB4" w:rsidRPr="009A3C2A" w:rsidRDefault="00884FB4" w:rsidP="009A3C2A">
            <w:pPr>
              <w:rPr>
                <w:rFonts w:ascii="Arial" w:hAnsi="Arial" w:cs="Arial"/>
                <w:sz w:val="20"/>
                <w:szCs w:val="20"/>
              </w:rPr>
            </w:pPr>
            <w:r w:rsidRPr="009A3C2A">
              <w:rPr>
                <w:rFonts w:ascii="Arial" w:hAnsi="Arial" w:cs="Arial"/>
                <w:sz w:val="20"/>
                <w:szCs w:val="20"/>
              </w:rPr>
              <w:t>R52.1 million</w:t>
            </w:r>
          </w:p>
        </w:tc>
        <w:tc>
          <w:tcPr>
            <w:tcW w:w="0" w:type="auto"/>
          </w:tcPr>
          <w:p w:rsidR="00884FB4" w:rsidRPr="009A3C2A" w:rsidRDefault="00884FB4" w:rsidP="009A3C2A">
            <w:pPr>
              <w:rPr>
                <w:rFonts w:ascii="Arial" w:hAnsi="Arial" w:cs="Arial"/>
                <w:sz w:val="20"/>
                <w:szCs w:val="20"/>
              </w:rPr>
            </w:pPr>
            <w:r w:rsidRPr="009A3C2A">
              <w:rPr>
                <w:rFonts w:ascii="Arial" w:hAnsi="Arial" w:cs="Arial"/>
                <w:sz w:val="20"/>
                <w:szCs w:val="20"/>
              </w:rPr>
              <w:t>Slow response in filling critical vacancies led to a lack of segregation of duties</w:t>
            </w:r>
          </w:p>
        </w:tc>
      </w:tr>
    </w:tbl>
    <w:p w:rsidR="00211FD4" w:rsidRPr="009A3C2A" w:rsidRDefault="00211FD4" w:rsidP="009A3C2A">
      <w:pPr>
        <w:rPr>
          <w:rFonts w:ascii="Arial" w:hAnsi="Arial" w:cs="Arial"/>
          <w:b/>
          <w:sz w:val="20"/>
          <w:szCs w:val="20"/>
        </w:rPr>
      </w:pPr>
    </w:p>
    <w:p w:rsidR="00EF420E" w:rsidRPr="009A3C2A" w:rsidRDefault="00EF420E" w:rsidP="009A3C2A">
      <w:pPr>
        <w:pStyle w:val="ListParagraph"/>
        <w:numPr>
          <w:ilvl w:val="2"/>
          <w:numId w:val="27"/>
        </w:numPr>
        <w:autoSpaceDE w:val="0"/>
        <w:autoSpaceDN w:val="0"/>
        <w:adjustRightInd w:val="0"/>
        <w:ind w:left="851" w:hanging="851"/>
        <w:rPr>
          <w:rFonts w:ascii="Arial" w:hAnsi="Arial" w:cs="Arial"/>
          <w:sz w:val="20"/>
          <w:szCs w:val="20"/>
        </w:rPr>
      </w:pPr>
      <w:r w:rsidRPr="009A3C2A">
        <w:rPr>
          <w:rFonts w:ascii="Arial" w:hAnsi="Arial" w:cs="Arial"/>
          <w:sz w:val="20"/>
          <w:szCs w:val="20"/>
        </w:rPr>
        <w:t>An amount of R52.6 million in irregular expenditure</w:t>
      </w:r>
      <w:r w:rsidR="009B12EA" w:rsidRPr="009A3C2A">
        <w:rPr>
          <w:rFonts w:ascii="Arial" w:hAnsi="Arial" w:cs="Arial"/>
          <w:sz w:val="20"/>
          <w:szCs w:val="20"/>
        </w:rPr>
        <w:t xml:space="preserve"> was identified. This comprises 15 instances of non-compliance with supply chain management prescripts, of which also relate to non-compliance with the S</w:t>
      </w:r>
      <w:r w:rsidR="0003694C" w:rsidRPr="009A3C2A">
        <w:rPr>
          <w:rFonts w:ascii="Arial" w:hAnsi="Arial" w:cs="Arial"/>
          <w:sz w:val="20"/>
          <w:szCs w:val="20"/>
        </w:rPr>
        <w:t xml:space="preserve">tate </w:t>
      </w:r>
      <w:r w:rsidR="009B12EA" w:rsidRPr="009A3C2A">
        <w:rPr>
          <w:rFonts w:ascii="Arial" w:hAnsi="Arial" w:cs="Arial"/>
          <w:sz w:val="20"/>
          <w:szCs w:val="20"/>
        </w:rPr>
        <w:t>I</w:t>
      </w:r>
      <w:r w:rsidR="0003694C" w:rsidRPr="009A3C2A">
        <w:rPr>
          <w:rFonts w:ascii="Arial" w:hAnsi="Arial" w:cs="Arial"/>
          <w:sz w:val="20"/>
          <w:szCs w:val="20"/>
        </w:rPr>
        <w:t xml:space="preserve">nformation </w:t>
      </w:r>
      <w:r w:rsidR="009B12EA" w:rsidRPr="009A3C2A">
        <w:rPr>
          <w:rFonts w:ascii="Arial" w:hAnsi="Arial" w:cs="Arial"/>
          <w:sz w:val="20"/>
          <w:szCs w:val="20"/>
        </w:rPr>
        <w:t>T</w:t>
      </w:r>
      <w:r w:rsidR="0003694C" w:rsidRPr="009A3C2A">
        <w:rPr>
          <w:rFonts w:ascii="Arial" w:hAnsi="Arial" w:cs="Arial"/>
          <w:sz w:val="20"/>
          <w:szCs w:val="20"/>
        </w:rPr>
        <w:t xml:space="preserve">echnology </w:t>
      </w:r>
      <w:r w:rsidR="009B12EA" w:rsidRPr="009A3C2A">
        <w:rPr>
          <w:rFonts w:ascii="Arial" w:hAnsi="Arial" w:cs="Arial"/>
          <w:sz w:val="20"/>
          <w:szCs w:val="20"/>
        </w:rPr>
        <w:t>A</w:t>
      </w:r>
      <w:r w:rsidR="0003694C" w:rsidRPr="009A3C2A">
        <w:rPr>
          <w:rFonts w:ascii="Arial" w:hAnsi="Arial" w:cs="Arial"/>
          <w:sz w:val="20"/>
          <w:szCs w:val="20"/>
        </w:rPr>
        <w:t>gency</w:t>
      </w:r>
      <w:r w:rsidR="009B12EA" w:rsidRPr="009A3C2A">
        <w:rPr>
          <w:rFonts w:ascii="Arial" w:hAnsi="Arial" w:cs="Arial"/>
          <w:sz w:val="20"/>
          <w:szCs w:val="20"/>
        </w:rPr>
        <w:t xml:space="preserve"> Act</w:t>
      </w:r>
      <w:r w:rsidR="0003694C" w:rsidRPr="009A3C2A">
        <w:rPr>
          <w:rFonts w:ascii="Arial" w:hAnsi="Arial" w:cs="Arial"/>
          <w:sz w:val="20"/>
          <w:szCs w:val="20"/>
        </w:rPr>
        <w:t>, 1998,</w:t>
      </w:r>
      <w:r w:rsidR="009B12EA" w:rsidRPr="009A3C2A">
        <w:rPr>
          <w:rFonts w:ascii="Arial" w:hAnsi="Arial" w:cs="Arial"/>
          <w:sz w:val="20"/>
          <w:szCs w:val="20"/>
        </w:rPr>
        <w:t xml:space="preserve"> and Regulations</w:t>
      </w:r>
      <w:r w:rsidR="00E20B4B" w:rsidRPr="009A3C2A">
        <w:rPr>
          <w:rFonts w:ascii="Arial" w:hAnsi="Arial" w:cs="Arial"/>
          <w:sz w:val="20"/>
          <w:szCs w:val="20"/>
        </w:rPr>
        <w:t xml:space="preserve"> (SITA Act)</w:t>
      </w:r>
      <w:r w:rsidR="009B12EA" w:rsidRPr="009A3C2A">
        <w:rPr>
          <w:rFonts w:ascii="Arial" w:hAnsi="Arial" w:cs="Arial"/>
          <w:sz w:val="20"/>
          <w:szCs w:val="20"/>
        </w:rPr>
        <w:t>.</w:t>
      </w:r>
      <w:r w:rsidRPr="009A3C2A">
        <w:rPr>
          <w:rFonts w:ascii="Arial" w:hAnsi="Arial" w:cs="Arial"/>
          <w:sz w:val="20"/>
          <w:szCs w:val="20"/>
        </w:rPr>
        <w:t xml:space="preserve"> </w:t>
      </w:r>
      <w:r w:rsidR="0003694C" w:rsidRPr="009A3C2A">
        <w:rPr>
          <w:rFonts w:ascii="Arial" w:hAnsi="Arial" w:cs="Arial"/>
          <w:sz w:val="20"/>
          <w:szCs w:val="20"/>
        </w:rPr>
        <w:t>Details of t</w:t>
      </w:r>
      <w:r w:rsidR="009B12EA" w:rsidRPr="009A3C2A">
        <w:rPr>
          <w:rFonts w:ascii="Arial" w:hAnsi="Arial" w:cs="Arial"/>
          <w:sz w:val="20"/>
          <w:szCs w:val="20"/>
        </w:rPr>
        <w:t xml:space="preserve">he irregular expenditure </w:t>
      </w:r>
      <w:r w:rsidR="0003694C" w:rsidRPr="009A3C2A">
        <w:rPr>
          <w:rFonts w:ascii="Arial" w:hAnsi="Arial" w:cs="Arial"/>
          <w:sz w:val="20"/>
          <w:szCs w:val="20"/>
        </w:rPr>
        <w:t xml:space="preserve">incurred </w:t>
      </w:r>
      <w:r w:rsidRPr="009A3C2A">
        <w:rPr>
          <w:rFonts w:ascii="Arial" w:hAnsi="Arial" w:cs="Arial"/>
          <w:sz w:val="20"/>
          <w:szCs w:val="20"/>
        </w:rPr>
        <w:t>is</w:t>
      </w:r>
      <w:r w:rsidR="0003694C" w:rsidRPr="009A3C2A">
        <w:rPr>
          <w:rFonts w:ascii="Arial" w:hAnsi="Arial" w:cs="Arial"/>
          <w:sz w:val="20"/>
          <w:szCs w:val="20"/>
        </w:rPr>
        <w:t xml:space="preserve"> disclosed in the Annual Report, </w:t>
      </w:r>
      <w:r w:rsidRPr="009A3C2A">
        <w:rPr>
          <w:rFonts w:ascii="Arial" w:hAnsi="Arial" w:cs="Arial"/>
          <w:sz w:val="20"/>
          <w:szCs w:val="20"/>
        </w:rPr>
        <w:t xml:space="preserve">as follows: </w:t>
      </w:r>
    </w:p>
    <w:p w:rsidR="00EF420E" w:rsidRPr="009A3C2A" w:rsidRDefault="00EF420E" w:rsidP="009A3C2A">
      <w:pPr>
        <w:pStyle w:val="ListParagraph"/>
        <w:autoSpaceDE w:val="0"/>
        <w:autoSpaceDN w:val="0"/>
        <w:adjustRightInd w:val="0"/>
        <w:ind w:left="851"/>
        <w:rPr>
          <w:rFonts w:ascii="Arial" w:hAnsi="Arial" w:cs="Arial"/>
          <w:sz w:val="20"/>
          <w:szCs w:val="20"/>
        </w:rPr>
      </w:pPr>
    </w:p>
    <w:p w:rsidR="00EF420E" w:rsidRPr="009A3C2A" w:rsidRDefault="00EF420E" w:rsidP="009A3C2A">
      <w:pPr>
        <w:ind w:left="-5" w:right="51"/>
        <w:rPr>
          <w:rFonts w:ascii="Arial" w:hAnsi="Arial" w:cs="Arial"/>
          <w:b/>
          <w:i/>
          <w:sz w:val="20"/>
          <w:szCs w:val="20"/>
        </w:rPr>
      </w:pPr>
      <w:r w:rsidRPr="009A3C2A">
        <w:rPr>
          <w:rFonts w:ascii="Arial" w:hAnsi="Arial" w:cs="Arial"/>
          <w:b/>
          <w:i/>
          <w:sz w:val="20"/>
          <w:szCs w:val="20"/>
        </w:rPr>
        <w:t>Table</w:t>
      </w:r>
      <w:r w:rsidR="0003694C" w:rsidRPr="009A3C2A">
        <w:rPr>
          <w:rFonts w:ascii="Arial" w:hAnsi="Arial" w:cs="Arial"/>
          <w:b/>
          <w:i/>
          <w:sz w:val="20"/>
          <w:szCs w:val="20"/>
        </w:rPr>
        <w:t xml:space="preserve"> 2</w:t>
      </w:r>
      <w:r w:rsidRPr="009A3C2A">
        <w:rPr>
          <w:rFonts w:ascii="Arial" w:hAnsi="Arial" w:cs="Arial"/>
          <w:b/>
          <w:i/>
          <w:sz w:val="20"/>
          <w:szCs w:val="20"/>
        </w:rPr>
        <w:t>: Irregular expenditure</w:t>
      </w:r>
    </w:p>
    <w:tbl>
      <w:tblPr>
        <w:tblStyle w:val="TableGrid0"/>
        <w:tblW w:w="0" w:type="auto"/>
        <w:tblInd w:w="0" w:type="dxa"/>
        <w:shd w:val="clear" w:color="auto" w:fill="FFFFFF" w:themeFill="background1"/>
        <w:tblCellMar>
          <w:top w:w="44" w:type="dxa"/>
          <w:right w:w="51" w:type="dxa"/>
        </w:tblCellMar>
        <w:tblLook w:val="04A0"/>
      </w:tblPr>
      <w:tblGrid>
        <w:gridCol w:w="3415"/>
        <w:gridCol w:w="4584"/>
        <w:gridCol w:w="1803"/>
      </w:tblGrid>
      <w:tr w:rsidR="00EF420E" w:rsidRPr="009A3C2A" w:rsidTr="00EF420E">
        <w:trPr>
          <w:trHeight w:val="75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F420E" w:rsidRPr="009A3C2A" w:rsidRDefault="00EF420E" w:rsidP="009A3C2A">
            <w:pPr>
              <w:rPr>
                <w:rFonts w:ascii="Arial" w:hAnsi="Arial" w:cs="Arial"/>
                <w:b/>
                <w:caps/>
                <w:sz w:val="20"/>
                <w:szCs w:val="20"/>
              </w:rPr>
            </w:pPr>
            <w:r w:rsidRPr="009A3C2A">
              <w:rPr>
                <w:rFonts w:ascii="Arial" w:eastAsia="Arial" w:hAnsi="Arial" w:cs="Arial"/>
                <w:b/>
                <w:caps/>
                <w:sz w:val="20"/>
                <w:szCs w:val="20"/>
              </w:rPr>
              <w:t>Supplier</w:t>
            </w:r>
          </w:p>
        </w:tc>
        <w:tc>
          <w:tcPr>
            <w:tcW w:w="4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F420E" w:rsidRPr="009A3C2A" w:rsidRDefault="00EF420E" w:rsidP="009A3C2A">
            <w:pPr>
              <w:ind w:left="2"/>
              <w:rPr>
                <w:rFonts w:ascii="Arial" w:hAnsi="Arial" w:cs="Arial"/>
                <w:b/>
                <w:caps/>
                <w:sz w:val="20"/>
                <w:szCs w:val="20"/>
              </w:rPr>
            </w:pPr>
            <w:r w:rsidRPr="009A3C2A">
              <w:rPr>
                <w:rFonts w:ascii="Arial" w:eastAsia="Arial" w:hAnsi="Arial" w:cs="Arial"/>
                <w:b/>
                <w:caps/>
                <w:sz w:val="20"/>
                <w:szCs w:val="20"/>
              </w:rPr>
              <w:t>Reason</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F420E" w:rsidRPr="009A3C2A" w:rsidRDefault="00EF420E" w:rsidP="009A3C2A">
            <w:pPr>
              <w:ind w:left="1"/>
              <w:rPr>
                <w:rFonts w:ascii="Arial" w:hAnsi="Arial" w:cs="Arial"/>
                <w:b/>
                <w:caps/>
                <w:sz w:val="20"/>
                <w:szCs w:val="20"/>
              </w:rPr>
            </w:pPr>
            <w:r w:rsidRPr="009A3C2A">
              <w:rPr>
                <w:rFonts w:ascii="Arial" w:eastAsia="Arial" w:hAnsi="Arial" w:cs="Arial"/>
                <w:b/>
                <w:caps/>
                <w:sz w:val="20"/>
                <w:szCs w:val="20"/>
              </w:rPr>
              <w:t>Amount</w:t>
            </w:r>
          </w:p>
        </w:tc>
      </w:tr>
      <w:tr w:rsidR="00EF420E" w:rsidRPr="009A3C2A" w:rsidTr="00EF420E">
        <w:trPr>
          <w:trHeight w:val="99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rPr>
                <w:rFonts w:ascii="Arial" w:hAnsi="Arial" w:cs="Arial"/>
                <w:sz w:val="20"/>
                <w:szCs w:val="20"/>
              </w:rPr>
            </w:pPr>
            <w:r w:rsidRPr="009A3C2A">
              <w:rPr>
                <w:rFonts w:ascii="Arial" w:eastAsia="Arial" w:hAnsi="Arial" w:cs="Arial"/>
                <w:sz w:val="20"/>
                <w:szCs w:val="20"/>
              </w:rPr>
              <w:t xml:space="preserve">Interface network technology (Pty) Ltd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2"/>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
              <w:rPr>
                <w:rFonts w:ascii="Arial" w:hAnsi="Arial" w:cs="Arial"/>
                <w:sz w:val="20"/>
                <w:szCs w:val="20"/>
              </w:rPr>
            </w:pPr>
            <w:r w:rsidRPr="009A3C2A">
              <w:rPr>
                <w:rFonts w:ascii="Arial" w:eastAsia="Arial" w:hAnsi="Arial" w:cs="Arial"/>
                <w:sz w:val="20"/>
                <w:szCs w:val="20"/>
              </w:rPr>
              <w:t>R2</w:t>
            </w:r>
            <w:r w:rsidR="0003694C" w:rsidRPr="009A3C2A">
              <w:rPr>
                <w:rFonts w:ascii="Arial" w:eastAsia="Arial" w:hAnsi="Arial" w:cs="Arial"/>
                <w:sz w:val="20"/>
                <w:szCs w:val="20"/>
              </w:rPr>
              <w:t xml:space="preserve"> </w:t>
            </w:r>
            <w:r w:rsidRPr="009A3C2A">
              <w:rPr>
                <w:rFonts w:ascii="Arial" w:eastAsia="Arial" w:hAnsi="Arial" w:cs="Arial"/>
                <w:sz w:val="20"/>
                <w:szCs w:val="20"/>
              </w:rPr>
              <w:t>489</w:t>
            </w:r>
            <w:r w:rsidR="0003694C" w:rsidRPr="009A3C2A">
              <w:rPr>
                <w:rFonts w:ascii="Arial" w:eastAsia="Arial" w:hAnsi="Arial" w:cs="Arial"/>
                <w:sz w:val="20"/>
                <w:szCs w:val="20"/>
              </w:rPr>
              <w:t xml:space="preserve"> </w:t>
            </w:r>
            <w:r w:rsidRPr="009A3C2A">
              <w:rPr>
                <w:rFonts w:ascii="Arial" w:eastAsia="Arial" w:hAnsi="Arial" w:cs="Arial"/>
                <w:sz w:val="20"/>
                <w:szCs w:val="20"/>
              </w:rPr>
              <w:t>583</w:t>
            </w:r>
            <w:r w:rsidR="00FA26B0" w:rsidRPr="009A3C2A">
              <w:rPr>
                <w:rFonts w:ascii="Arial" w:eastAsia="Arial" w:hAnsi="Arial" w:cs="Arial"/>
                <w:sz w:val="20"/>
                <w:szCs w:val="20"/>
              </w:rPr>
              <w:t>.</w:t>
            </w:r>
            <w:r w:rsidRPr="009A3C2A">
              <w:rPr>
                <w:rFonts w:ascii="Arial" w:eastAsia="Arial" w:hAnsi="Arial" w:cs="Arial"/>
                <w:sz w:val="20"/>
                <w:szCs w:val="20"/>
              </w:rPr>
              <w:t xml:space="preserve">89 </w:t>
            </w:r>
          </w:p>
        </w:tc>
      </w:tr>
      <w:tr w:rsidR="00EF420E" w:rsidRPr="009A3C2A" w:rsidTr="00EF420E">
        <w:trPr>
          <w:trHeight w:val="127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rPr>
                <w:rFonts w:ascii="Arial" w:hAnsi="Arial" w:cs="Arial"/>
                <w:sz w:val="20"/>
                <w:szCs w:val="20"/>
              </w:rPr>
            </w:pPr>
            <w:r w:rsidRPr="009A3C2A">
              <w:rPr>
                <w:rFonts w:ascii="Arial" w:eastAsia="Arial" w:hAnsi="Arial" w:cs="Arial"/>
                <w:sz w:val="20"/>
                <w:szCs w:val="20"/>
              </w:rPr>
              <w:t xml:space="preserve">Botsenkgwala </w:t>
            </w:r>
          </w:p>
          <w:p w:rsidR="00EF420E" w:rsidRPr="009A3C2A" w:rsidRDefault="00EF420E" w:rsidP="009A3C2A">
            <w:pPr>
              <w:rPr>
                <w:rFonts w:ascii="Arial" w:hAnsi="Arial" w:cs="Arial"/>
                <w:sz w:val="20"/>
                <w:szCs w:val="20"/>
              </w:rPr>
            </w:pPr>
            <w:r w:rsidRPr="009A3C2A">
              <w:rPr>
                <w:rFonts w:ascii="Arial" w:eastAsia="Arial" w:hAnsi="Arial" w:cs="Arial"/>
                <w:sz w:val="20"/>
                <w:szCs w:val="20"/>
              </w:rPr>
              <w:t xml:space="preserve">Hygiene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2" w:right="59"/>
              <w:rPr>
                <w:rFonts w:ascii="Arial" w:hAnsi="Arial" w:cs="Arial"/>
                <w:sz w:val="20"/>
                <w:szCs w:val="20"/>
              </w:rPr>
            </w:pPr>
            <w:r w:rsidRPr="009A3C2A">
              <w:rPr>
                <w:rFonts w:ascii="Arial" w:hAnsi="Arial" w:cs="Arial"/>
                <w:sz w:val="20"/>
                <w:szCs w:val="20"/>
              </w:rPr>
              <w:t xml:space="preserve">Extending contract amount by more than the allowed threshold of 15%.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
              <w:rPr>
                <w:rFonts w:ascii="Arial" w:hAnsi="Arial" w:cs="Arial"/>
                <w:sz w:val="20"/>
                <w:szCs w:val="20"/>
              </w:rPr>
            </w:pPr>
            <w:r w:rsidRPr="009A3C2A">
              <w:rPr>
                <w:rFonts w:ascii="Arial" w:eastAsia="Arial" w:hAnsi="Arial" w:cs="Arial"/>
                <w:sz w:val="20"/>
                <w:szCs w:val="20"/>
              </w:rPr>
              <w:t>R76</w:t>
            </w:r>
            <w:r w:rsidR="0003694C" w:rsidRPr="009A3C2A">
              <w:rPr>
                <w:rFonts w:ascii="Arial" w:eastAsia="Arial" w:hAnsi="Arial" w:cs="Arial"/>
                <w:sz w:val="20"/>
                <w:szCs w:val="20"/>
              </w:rPr>
              <w:t xml:space="preserve"> </w:t>
            </w:r>
            <w:r w:rsidRPr="009A3C2A">
              <w:rPr>
                <w:rFonts w:ascii="Arial" w:eastAsia="Arial" w:hAnsi="Arial" w:cs="Arial"/>
                <w:sz w:val="20"/>
                <w:szCs w:val="20"/>
              </w:rPr>
              <w:t>381</w:t>
            </w:r>
            <w:r w:rsidR="00FA26B0" w:rsidRPr="009A3C2A">
              <w:rPr>
                <w:rFonts w:ascii="Arial" w:eastAsia="Arial" w:hAnsi="Arial" w:cs="Arial"/>
                <w:sz w:val="20"/>
                <w:szCs w:val="20"/>
              </w:rPr>
              <w:t>.</w:t>
            </w:r>
            <w:r w:rsidRPr="009A3C2A">
              <w:rPr>
                <w:rFonts w:ascii="Arial" w:eastAsia="Arial" w:hAnsi="Arial" w:cs="Arial"/>
                <w:sz w:val="20"/>
                <w:szCs w:val="20"/>
              </w:rPr>
              <w:t xml:space="preserve">00 </w:t>
            </w:r>
          </w:p>
        </w:tc>
      </w:tr>
      <w:tr w:rsidR="00EF420E" w:rsidRPr="009A3C2A" w:rsidTr="00EF420E">
        <w:trPr>
          <w:trHeight w:val="15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rPr>
                <w:rFonts w:ascii="Arial" w:hAnsi="Arial" w:cs="Arial"/>
                <w:sz w:val="20"/>
                <w:szCs w:val="20"/>
              </w:rPr>
            </w:pPr>
            <w:r w:rsidRPr="009A3C2A">
              <w:rPr>
                <w:rFonts w:ascii="Arial" w:eastAsia="Arial" w:hAnsi="Arial" w:cs="Arial"/>
                <w:sz w:val="20"/>
                <w:szCs w:val="20"/>
              </w:rPr>
              <w:lastRenderedPageBreak/>
              <w:t xml:space="preserve">Pro Active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2" w:right="58"/>
              <w:rPr>
                <w:rFonts w:ascii="Arial" w:hAnsi="Arial" w:cs="Arial"/>
                <w:sz w:val="20"/>
                <w:szCs w:val="20"/>
              </w:rPr>
            </w:pPr>
            <w:r w:rsidRPr="009A3C2A">
              <w:rPr>
                <w:rFonts w:ascii="Arial" w:hAnsi="Arial" w:cs="Arial"/>
                <w:sz w:val="20"/>
                <w:szCs w:val="20"/>
              </w:rPr>
              <w:t xml:space="preserve">Appointing the second highest points scoring supplier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
              <w:rPr>
                <w:rFonts w:ascii="Arial" w:hAnsi="Arial" w:cs="Arial"/>
                <w:sz w:val="20"/>
                <w:szCs w:val="20"/>
              </w:rPr>
            </w:pPr>
            <w:r w:rsidRPr="009A3C2A">
              <w:rPr>
                <w:rFonts w:ascii="Arial" w:eastAsia="Arial" w:hAnsi="Arial" w:cs="Arial"/>
                <w:sz w:val="20"/>
                <w:szCs w:val="20"/>
              </w:rPr>
              <w:t xml:space="preserve">R345.00 </w:t>
            </w:r>
          </w:p>
        </w:tc>
      </w:tr>
      <w:tr w:rsidR="00EF420E" w:rsidRPr="009A3C2A" w:rsidTr="00EF420E">
        <w:trPr>
          <w:trHeight w:val="128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Lilnar Trading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R2</w:t>
            </w:r>
            <w:r w:rsidR="00E20B4B" w:rsidRPr="009A3C2A">
              <w:rPr>
                <w:rFonts w:ascii="Arial" w:eastAsia="Arial" w:hAnsi="Arial" w:cs="Arial"/>
                <w:sz w:val="20"/>
                <w:szCs w:val="20"/>
              </w:rPr>
              <w:t xml:space="preserve"> </w:t>
            </w:r>
            <w:r w:rsidRPr="009A3C2A">
              <w:rPr>
                <w:rFonts w:ascii="Arial" w:eastAsia="Arial" w:hAnsi="Arial" w:cs="Arial"/>
                <w:sz w:val="20"/>
                <w:szCs w:val="20"/>
              </w:rPr>
              <w:t>767</w:t>
            </w:r>
            <w:r w:rsidR="0003694C" w:rsidRPr="009A3C2A">
              <w:rPr>
                <w:rFonts w:ascii="Arial" w:eastAsia="Arial" w:hAnsi="Arial" w:cs="Arial"/>
                <w:sz w:val="20"/>
                <w:szCs w:val="20"/>
              </w:rPr>
              <w:t xml:space="preserve"> </w:t>
            </w:r>
            <w:r w:rsidRPr="009A3C2A">
              <w:rPr>
                <w:rFonts w:ascii="Arial" w:eastAsia="Arial" w:hAnsi="Arial" w:cs="Arial"/>
                <w:sz w:val="20"/>
                <w:szCs w:val="20"/>
              </w:rPr>
              <w:t>820</w:t>
            </w:r>
            <w:r w:rsidR="00FA26B0" w:rsidRPr="009A3C2A">
              <w:rPr>
                <w:rFonts w:ascii="Arial" w:eastAsia="Arial" w:hAnsi="Arial" w:cs="Arial"/>
                <w:sz w:val="20"/>
                <w:szCs w:val="20"/>
              </w:rPr>
              <w:t>.</w:t>
            </w:r>
            <w:r w:rsidRPr="009A3C2A">
              <w:rPr>
                <w:rFonts w:ascii="Arial" w:eastAsia="Arial" w:hAnsi="Arial" w:cs="Arial"/>
                <w:sz w:val="20"/>
                <w:szCs w:val="20"/>
              </w:rPr>
              <w:t xml:space="preserve">00 </w:t>
            </w:r>
          </w:p>
        </w:tc>
      </w:tr>
      <w:tr w:rsidR="00EF420E" w:rsidRPr="009A3C2A" w:rsidTr="00EF420E">
        <w:trPr>
          <w:trHeight w:val="108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Hein On Line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Appointing a supplier that is not tax compliant.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R384</w:t>
            </w:r>
            <w:r w:rsidR="0003694C" w:rsidRPr="009A3C2A">
              <w:rPr>
                <w:rFonts w:ascii="Arial" w:eastAsia="Arial" w:hAnsi="Arial" w:cs="Arial"/>
                <w:sz w:val="20"/>
                <w:szCs w:val="20"/>
              </w:rPr>
              <w:t xml:space="preserve"> </w:t>
            </w:r>
            <w:r w:rsidRPr="009A3C2A">
              <w:rPr>
                <w:rFonts w:ascii="Arial" w:eastAsia="Arial" w:hAnsi="Arial" w:cs="Arial"/>
                <w:sz w:val="20"/>
                <w:szCs w:val="20"/>
              </w:rPr>
              <w:t>612</w:t>
            </w:r>
            <w:r w:rsidR="00FA26B0" w:rsidRPr="009A3C2A">
              <w:rPr>
                <w:rFonts w:ascii="Arial" w:eastAsia="Arial" w:hAnsi="Arial" w:cs="Arial"/>
                <w:sz w:val="20"/>
                <w:szCs w:val="20"/>
              </w:rPr>
              <w:t>.</w:t>
            </w:r>
            <w:r w:rsidRPr="009A3C2A">
              <w:rPr>
                <w:rFonts w:ascii="Arial" w:eastAsia="Arial" w:hAnsi="Arial" w:cs="Arial"/>
                <w:sz w:val="20"/>
                <w:szCs w:val="20"/>
              </w:rPr>
              <w:t xml:space="preserve">68 </w:t>
            </w:r>
          </w:p>
        </w:tc>
      </w:tr>
      <w:tr w:rsidR="00EF420E" w:rsidRPr="009A3C2A" w:rsidTr="00EF420E">
        <w:trPr>
          <w:trHeight w:val="114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Bytes systems Integration ado </w:t>
            </w:r>
          </w:p>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Altron (PTY)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R2</w:t>
            </w:r>
            <w:r w:rsidR="00E20B4B" w:rsidRPr="009A3C2A">
              <w:rPr>
                <w:rFonts w:ascii="Arial" w:eastAsia="Arial" w:hAnsi="Arial" w:cs="Arial"/>
                <w:sz w:val="20"/>
                <w:szCs w:val="20"/>
              </w:rPr>
              <w:t xml:space="preserve"> </w:t>
            </w:r>
            <w:r w:rsidRPr="009A3C2A">
              <w:rPr>
                <w:rFonts w:ascii="Arial" w:eastAsia="Arial" w:hAnsi="Arial" w:cs="Arial"/>
                <w:sz w:val="20"/>
                <w:szCs w:val="20"/>
              </w:rPr>
              <w:t>482</w:t>
            </w:r>
            <w:r w:rsidR="0003694C" w:rsidRPr="009A3C2A">
              <w:rPr>
                <w:rFonts w:ascii="Arial" w:eastAsia="Arial" w:hAnsi="Arial" w:cs="Arial"/>
                <w:sz w:val="20"/>
                <w:szCs w:val="20"/>
              </w:rPr>
              <w:t xml:space="preserve"> </w:t>
            </w:r>
            <w:r w:rsidRPr="009A3C2A">
              <w:rPr>
                <w:rFonts w:ascii="Arial" w:eastAsia="Arial" w:hAnsi="Arial" w:cs="Arial"/>
                <w:sz w:val="20"/>
                <w:szCs w:val="20"/>
              </w:rPr>
              <w:t>155</w:t>
            </w:r>
            <w:r w:rsidR="00FA26B0" w:rsidRPr="009A3C2A">
              <w:rPr>
                <w:rFonts w:ascii="Arial" w:eastAsia="Arial" w:hAnsi="Arial" w:cs="Arial"/>
                <w:sz w:val="20"/>
                <w:szCs w:val="20"/>
              </w:rPr>
              <w:t>.</w:t>
            </w:r>
            <w:r w:rsidRPr="009A3C2A">
              <w:rPr>
                <w:rFonts w:ascii="Arial" w:eastAsia="Arial" w:hAnsi="Arial" w:cs="Arial"/>
                <w:sz w:val="20"/>
                <w:szCs w:val="20"/>
              </w:rPr>
              <w:t xml:space="preserve">00 </w:t>
            </w:r>
          </w:p>
        </w:tc>
      </w:tr>
      <w:tr w:rsidR="00EF420E" w:rsidRPr="009A3C2A" w:rsidTr="00EF420E">
        <w:trPr>
          <w:trHeight w:val="112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Afrovation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R2</w:t>
            </w:r>
            <w:r w:rsidR="00E20B4B" w:rsidRPr="009A3C2A">
              <w:rPr>
                <w:rFonts w:ascii="Arial" w:eastAsia="Arial" w:hAnsi="Arial" w:cs="Arial"/>
                <w:sz w:val="20"/>
                <w:szCs w:val="20"/>
              </w:rPr>
              <w:t xml:space="preserve"> </w:t>
            </w:r>
            <w:r w:rsidRPr="009A3C2A">
              <w:rPr>
                <w:rFonts w:ascii="Arial" w:eastAsia="Arial" w:hAnsi="Arial" w:cs="Arial"/>
                <w:sz w:val="20"/>
                <w:szCs w:val="20"/>
              </w:rPr>
              <w:t>424</w:t>
            </w:r>
            <w:r w:rsidR="0003694C" w:rsidRPr="009A3C2A">
              <w:rPr>
                <w:rFonts w:ascii="Arial" w:eastAsia="Arial" w:hAnsi="Arial" w:cs="Arial"/>
                <w:sz w:val="20"/>
                <w:szCs w:val="20"/>
              </w:rPr>
              <w:t xml:space="preserve"> </w:t>
            </w:r>
            <w:r w:rsidRPr="009A3C2A">
              <w:rPr>
                <w:rFonts w:ascii="Arial" w:eastAsia="Arial" w:hAnsi="Arial" w:cs="Arial"/>
                <w:sz w:val="20"/>
                <w:szCs w:val="20"/>
              </w:rPr>
              <w:t>373</w:t>
            </w:r>
            <w:r w:rsidR="00FA26B0" w:rsidRPr="009A3C2A">
              <w:rPr>
                <w:rFonts w:ascii="Arial" w:eastAsia="Arial" w:hAnsi="Arial" w:cs="Arial"/>
                <w:sz w:val="20"/>
                <w:szCs w:val="20"/>
              </w:rPr>
              <w:t>.</w:t>
            </w:r>
            <w:r w:rsidRPr="009A3C2A">
              <w:rPr>
                <w:rFonts w:ascii="Arial" w:eastAsia="Arial" w:hAnsi="Arial" w:cs="Arial"/>
                <w:sz w:val="20"/>
                <w:szCs w:val="20"/>
              </w:rPr>
              <w:t xml:space="preserve">86 </w:t>
            </w:r>
          </w:p>
        </w:tc>
      </w:tr>
      <w:tr w:rsidR="00EF420E" w:rsidRPr="009A3C2A" w:rsidTr="00EF420E">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Maputunuka (Pty) Ltd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R24</w:t>
            </w:r>
            <w:r w:rsidR="00E20B4B" w:rsidRPr="009A3C2A">
              <w:rPr>
                <w:rFonts w:ascii="Arial" w:eastAsia="Arial" w:hAnsi="Arial" w:cs="Arial"/>
                <w:sz w:val="20"/>
                <w:szCs w:val="20"/>
              </w:rPr>
              <w:t xml:space="preserve"> </w:t>
            </w:r>
            <w:r w:rsidRPr="009A3C2A">
              <w:rPr>
                <w:rFonts w:ascii="Arial" w:eastAsia="Arial" w:hAnsi="Arial" w:cs="Arial"/>
                <w:sz w:val="20"/>
                <w:szCs w:val="20"/>
              </w:rPr>
              <w:t>997</w:t>
            </w:r>
            <w:r w:rsidR="0003694C" w:rsidRPr="009A3C2A">
              <w:rPr>
                <w:rFonts w:ascii="Arial" w:eastAsia="Arial" w:hAnsi="Arial" w:cs="Arial"/>
                <w:sz w:val="20"/>
                <w:szCs w:val="20"/>
              </w:rPr>
              <w:t xml:space="preserve"> </w:t>
            </w:r>
            <w:r w:rsidRPr="009A3C2A">
              <w:rPr>
                <w:rFonts w:ascii="Arial" w:eastAsia="Arial" w:hAnsi="Arial" w:cs="Arial"/>
                <w:sz w:val="20"/>
                <w:szCs w:val="20"/>
              </w:rPr>
              <w:t>316</w:t>
            </w:r>
            <w:r w:rsidR="00FA26B0" w:rsidRPr="009A3C2A">
              <w:rPr>
                <w:rFonts w:ascii="Arial" w:eastAsia="Arial" w:hAnsi="Arial" w:cs="Arial"/>
                <w:sz w:val="20"/>
                <w:szCs w:val="20"/>
              </w:rPr>
              <w:t>.</w:t>
            </w:r>
            <w:r w:rsidRPr="009A3C2A">
              <w:rPr>
                <w:rFonts w:ascii="Arial" w:eastAsia="Arial" w:hAnsi="Arial" w:cs="Arial"/>
                <w:sz w:val="20"/>
                <w:szCs w:val="20"/>
              </w:rPr>
              <w:t xml:space="preserve">26 </w:t>
            </w:r>
          </w:p>
        </w:tc>
      </w:tr>
      <w:tr w:rsidR="00EF420E" w:rsidRPr="009A3C2A" w:rsidTr="00EF420E">
        <w:trPr>
          <w:trHeight w:val="113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Marval Africa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R946</w:t>
            </w:r>
            <w:r w:rsidR="0003694C" w:rsidRPr="009A3C2A">
              <w:rPr>
                <w:rFonts w:ascii="Arial" w:eastAsia="Arial" w:hAnsi="Arial" w:cs="Arial"/>
                <w:sz w:val="20"/>
                <w:szCs w:val="20"/>
              </w:rPr>
              <w:t xml:space="preserve"> </w:t>
            </w:r>
            <w:r w:rsidRPr="009A3C2A">
              <w:rPr>
                <w:rFonts w:ascii="Arial" w:eastAsia="Arial" w:hAnsi="Arial" w:cs="Arial"/>
                <w:sz w:val="20"/>
                <w:szCs w:val="20"/>
              </w:rPr>
              <w:t>965</w:t>
            </w:r>
            <w:r w:rsidR="00FA26B0" w:rsidRPr="009A3C2A">
              <w:rPr>
                <w:rFonts w:ascii="Arial" w:eastAsia="Arial" w:hAnsi="Arial" w:cs="Arial"/>
                <w:sz w:val="20"/>
                <w:szCs w:val="20"/>
              </w:rPr>
              <w:t>.</w:t>
            </w:r>
            <w:r w:rsidRPr="009A3C2A">
              <w:rPr>
                <w:rFonts w:ascii="Arial" w:eastAsia="Arial" w:hAnsi="Arial" w:cs="Arial"/>
                <w:sz w:val="20"/>
                <w:szCs w:val="20"/>
              </w:rPr>
              <w:t xml:space="preserve">20  </w:t>
            </w:r>
          </w:p>
        </w:tc>
      </w:tr>
      <w:tr w:rsidR="00EF420E" w:rsidRPr="009A3C2A" w:rsidTr="00EF420E">
        <w:trPr>
          <w:trHeight w:val="11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Lilnar Trading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R70</w:t>
            </w:r>
            <w:r w:rsidR="0003694C" w:rsidRPr="009A3C2A">
              <w:rPr>
                <w:rFonts w:ascii="Arial" w:eastAsia="Arial" w:hAnsi="Arial" w:cs="Arial"/>
                <w:sz w:val="20"/>
                <w:szCs w:val="20"/>
              </w:rPr>
              <w:t xml:space="preserve"> </w:t>
            </w:r>
            <w:r w:rsidRPr="009A3C2A">
              <w:rPr>
                <w:rFonts w:ascii="Arial" w:eastAsia="Arial" w:hAnsi="Arial" w:cs="Arial"/>
                <w:sz w:val="20"/>
                <w:szCs w:val="20"/>
              </w:rPr>
              <w:t>420</w:t>
            </w:r>
            <w:r w:rsidR="00FA26B0" w:rsidRPr="009A3C2A">
              <w:rPr>
                <w:rFonts w:ascii="Arial" w:eastAsia="Arial" w:hAnsi="Arial" w:cs="Arial"/>
                <w:sz w:val="20"/>
                <w:szCs w:val="20"/>
              </w:rPr>
              <w:t>.</w:t>
            </w:r>
            <w:r w:rsidRPr="009A3C2A">
              <w:rPr>
                <w:rFonts w:ascii="Arial" w:eastAsia="Arial" w:hAnsi="Arial" w:cs="Arial"/>
                <w:sz w:val="20"/>
                <w:szCs w:val="20"/>
              </w:rPr>
              <w:t xml:space="preserve">00 </w:t>
            </w:r>
          </w:p>
        </w:tc>
      </w:tr>
      <w:tr w:rsidR="00EF420E" w:rsidRPr="009A3C2A" w:rsidTr="00EF420E">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Interface network technology (Pty) Ltd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R6</w:t>
            </w:r>
            <w:r w:rsidR="00E20B4B" w:rsidRPr="009A3C2A">
              <w:rPr>
                <w:rFonts w:ascii="Arial" w:eastAsia="Arial" w:hAnsi="Arial" w:cs="Arial"/>
                <w:sz w:val="20"/>
                <w:szCs w:val="20"/>
              </w:rPr>
              <w:t xml:space="preserve"> </w:t>
            </w:r>
            <w:r w:rsidRPr="009A3C2A">
              <w:rPr>
                <w:rFonts w:ascii="Arial" w:eastAsia="Arial" w:hAnsi="Arial" w:cs="Arial"/>
                <w:sz w:val="20"/>
                <w:szCs w:val="20"/>
              </w:rPr>
              <w:t>691</w:t>
            </w:r>
            <w:r w:rsidR="00E20B4B" w:rsidRPr="009A3C2A">
              <w:rPr>
                <w:rFonts w:ascii="Arial" w:eastAsia="Arial" w:hAnsi="Arial" w:cs="Arial"/>
                <w:sz w:val="20"/>
                <w:szCs w:val="20"/>
              </w:rPr>
              <w:t xml:space="preserve"> </w:t>
            </w:r>
            <w:r w:rsidRPr="009A3C2A">
              <w:rPr>
                <w:rFonts w:ascii="Arial" w:eastAsia="Arial" w:hAnsi="Arial" w:cs="Arial"/>
                <w:sz w:val="20"/>
                <w:szCs w:val="20"/>
              </w:rPr>
              <w:t>715</w:t>
            </w:r>
            <w:r w:rsidR="00FA26B0" w:rsidRPr="009A3C2A">
              <w:rPr>
                <w:rFonts w:ascii="Arial" w:eastAsia="Arial" w:hAnsi="Arial" w:cs="Arial"/>
                <w:sz w:val="20"/>
                <w:szCs w:val="20"/>
              </w:rPr>
              <w:t>.</w:t>
            </w:r>
            <w:r w:rsidRPr="009A3C2A">
              <w:rPr>
                <w:rFonts w:ascii="Arial" w:eastAsia="Arial" w:hAnsi="Arial" w:cs="Arial"/>
                <w:sz w:val="20"/>
                <w:szCs w:val="20"/>
              </w:rPr>
              <w:t xml:space="preserve">91 </w:t>
            </w:r>
          </w:p>
        </w:tc>
      </w:tr>
      <w:tr w:rsidR="00EF420E" w:rsidRPr="009A3C2A" w:rsidTr="00EF420E">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Pursuit Knowledge Consulting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R2</w:t>
            </w:r>
            <w:r w:rsidR="00E20B4B" w:rsidRPr="009A3C2A">
              <w:rPr>
                <w:rFonts w:ascii="Arial" w:eastAsia="Arial" w:hAnsi="Arial" w:cs="Arial"/>
                <w:sz w:val="20"/>
                <w:szCs w:val="20"/>
              </w:rPr>
              <w:t xml:space="preserve"> </w:t>
            </w:r>
            <w:r w:rsidRPr="009A3C2A">
              <w:rPr>
                <w:rFonts w:ascii="Arial" w:eastAsia="Arial" w:hAnsi="Arial" w:cs="Arial"/>
                <w:sz w:val="20"/>
                <w:szCs w:val="20"/>
              </w:rPr>
              <w:t>545</w:t>
            </w:r>
            <w:r w:rsidR="00E20B4B" w:rsidRPr="009A3C2A">
              <w:rPr>
                <w:rFonts w:ascii="Arial" w:eastAsia="Arial" w:hAnsi="Arial" w:cs="Arial"/>
                <w:sz w:val="20"/>
                <w:szCs w:val="20"/>
              </w:rPr>
              <w:t xml:space="preserve"> </w:t>
            </w:r>
            <w:r w:rsidRPr="009A3C2A">
              <w:rPr>
                <w:rFonts w:ascii="Arial" w:eastAsia="Arial" w:hAnsi="Arial" w:cs="Arial"/>
                <w:sz w:val="20"/>
                <w:szCs w:val="20"/>
              </w:rPr>
              <w:t>080</w:t>
            </w:r>
            <w:r w:rsidR="00FA26B0" w:rsidRPr="009A3C2A">
              <w:rPr>
                <w:rFonts w:ascii="Arial" w:eastAsia="Arial" w:hAnsi="Arial" w:cs="Arial"/>
                <w:sz w:val="20"/>
                <w:szCs w:val="20"/>
              </w:rPr>
              <w:t>.</w:t>
            </w:r>
            <w:r w:rsidRPr="009A3C2A">
              <w:rPr>
                <w:rFonts w:ascii="Arial" w:eastAsia="Arial" w:hAnsi="Arial" w:cs="Arial"/>
                <w:sz w:val="20"/>
                <w:szCs w:val="20"/>
              </w:rPr>
              <w:t xml:space="preserve">25 </w:t>
            </w:r>
          </w:p>
        </w:tc>
      </w:tr>
      <w:tr w:rsidR="00EF420E" w:rsidRPr="009A3C2A" w:rsidTr="00EF420E">
        <w:trPr>
          <w:trHeight w:val="99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Bytes systems Integration ado Altron (PTY)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 xml:space="preserve">Non-compliance with SITA Act </w:t>
            </w:r>
            <w:r w:rsidR="00E20B4B" w:rsidRPr="009A3C2A">
              <w:rPr>
                <w:rFonts w:ascii="Arial" w:hAnsi="Arial" w:cs="Arial"/>
                <w:sz w:val="20"/>
                <w:szCs w:val="20"/>
              </w:rPr>
              <w:t>and</w:t>
            </w:r>
            <w:r w:rsidRPr="009A3C2A">
              <w:rPr>
                <w:rFonts w:ascii="Arial" w:hAnsi="Arial" w:cs="Arial"/>
                <w:sz w:val="20"/>
                <w:szCs w:val="20"/>
              </w:rPr>
              <w:t xml:space="preserve"> 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R5</w:t>
            </w:r>
            <w:r w:rsidR="00E20B4B" w:rsidRPr="009A3C2A">
              <w:rPr>
                <w:rFonts w:ascii="Arial" w:eastAsia="Arial" w:hAnsi="Arial" w:cs="Arial"/>
                <w:sz w:val="20"/>
                <w:szCs w:val="20"/>
              </w:rPr>
              <w:t xml:space="preserve"> </w:t>
            </w:r>
            <w:r w:rsidRPr="009A3C2A">
              <w:rPr>
                <w:rFonts w:ascii="Arial" w:eastAsia="Arial" w:hAnsi="Arial" w:cs="Arial"/>
                <w:sz w:val="20"/>
                <w:szCs w:val="20"/>
              </w:rPr>
              <w:t>138</w:t>
            </w:r>
            <w:r w:rsidR="00E20B4B" w:rsidRPr="009A3C2A">
              <w:rPr>
                <w:rFonts w:ascii="Arial" w:eastAsia="Arial" w:hAnsi="Arial" w:cs="Arial"/>
                <w:sz w:val="20"/>
                <w:szCs w:val="20"/>
              </w:rPr>
              <w:t xml:space="preserve"> </w:t>
            </w:r>
            <w:r w:rsidRPr="009A3C2A">
              <w:rPr>
                <w:rFonts w:ascii="Arial" w:eastAsia="Arial" w:hAnsi="Arial" w:cs="Arial"/>
                <w:sz w:val="20"/>
                <w:szCs w:val="20"/>
              </w:rPr>
              <w:t>092</w:t>
            </w:r>
            <w:r w:rsidR="00FA26B0" w:rsidRPr="009A3C2A">
              <w:rPr>
                <w:rFonts w:ascii="Arial" w:eastAsia="Arial" w:hAnsi="Arial" w:cs="Arial"/>
                <w:sz w:val="20"/>
                <w:szCs w:val="20"/>
              </w:rPr>
              <w:t>.</w:t>
            </w:r>
            <w:r w:rsidRPr="009A3C2A">
              <w:rPr>
                <w:rFonts w:ascii="Arial" w:eastAsia="Arial" w:hAnsi="Arial" w:cs="Arial"/>
                <w:sz w:val="20"/>
                <w:szCs w:val="20"/>
              </w:rPr>
              <w:t xml:space="preserve">20 </w:t>
            </w:r>
          </w:p>
        </w:tc>
      </w:tr>
      <w:tr w:rsidR="00EF420E" w:rsidRPr="009A3C2A" w:rsidTr="00EF420E">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t xml:space="preserve">Maputunuka (Pty) Ltd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hAnsi="Arial" w:cs="Arial"/>
                <w:sz w:val="20"/>
                <w:szCs w:val="20"/>
              </w:rPr>
              <w:t>Non-compliance with SITA Act</w:t>
            </w:r>
            <w:r w:rsidR="00E20B4B" w:rsidRPr="009A3C2A">
              <w:rPr>
                <w:rFonts w:ascii="Arial" w:hAnsi="Arial" w:cs="Arial"/>
                <w:sz w:val="20"/>
                <w:szCs w:val="20"/>
              </w:rPr>
              <w:t xml:space="preserve"> and </w:t>
            </w:r>
            <w:r w:rsidRPr="009A3C2A">
              <w:rPr>
                <w:rFonts w:ascii="Arial" w:hAnsi="Arial" w:cs="Arial"/>
                <w:sz w:val="20"/>
                <w:szCs w:val="20"/>
              </w:rPr>
              <w:t xml:space="preserve">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FA26B0" w:rsidP="009A3C2A">
            <w:pPr>
              <w:ind w:left="107"/>
              <w:rPr>
                <w:rFonts w:ascii="Arial" w:hAnsi="Arial" w:cs="Arial"/>
                <w:sz w:val="20"/>
                <w:szCs w:val="20"/>
              </w:rPr>
            </w:pPr>
            <w:r w:rsidRPr="009A3C2A">
              <w:rPr>
                <w:rFonts w:ascii="Arial" w:eastAsia="Arial" w:hAnsi="Arial" w:cs="Arial"/>
                <w:sz w:val="20"/>
                <w:szCs w:val="20"/>
              </w:rPr>
              <w:t>R828</w:t>
            </w:r>
            <w:r w:rsidR="00E20B4B" w:rsidRPr="009A3C2A">
              <w:rPr>
                <w:rFonts w:ascii="Arial" w:eastAsia="Arial" w:hAnsi="Arial" w:cs="Arial"/>
                <w:sz w:val="20"/>
                <w:szCs w:val="20"/>
              </w:rPr>
              <w:t xml:space="preserve"> </w:t>
            </w:r>
            <w:r w:rsidRPr="009A3C2A">
              <w:rPr>
                <w:rFonts w:ascii="Arial" w:eastAsia="Arial" w:hAnsi="Arial" w:cs="Arial"/>
                <w:sz w:val="20"/>
                <w:szCs w:val="20"/>
              </w:rPr>
              <w:t>442.</w:t>
            </w:r>
            <w:r w:rsidR="00EF420E" w:rsidRPr="009A3C2A">
              <w:rPr>
                <w:rFonts w:ascii="Arial" w:eastAsia="Arial" w:hAnsi="Arial" w:cs="Arial"/>
                <w:sz w:val="20"/>
                <w:szCs w:val="20"/>
              </w:rPr>
              <w:t xml:space="preserve">40 </w:t>
            </w:r>
          </w:p>
        </w:tc>
      </w:tr>
      <w:tr w:rsidR="00EF420E" w:rsidRPr="009A3C2A" w:rsidTr="00EF420E">
        <w:trPr>
          <w:trHeight w:val="90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8"/>
              <w:rPr>
                <w:rFonts w:ascii="Arial" w:hAnsi="Arial" w:cs="Arial"/>
                <w:sz w:val="20"/>
                <w:szCs w:val="20"/>
              </w:rPr>
            </w:pPr>
            <w:r w:rsidRPr="009A3C2A">
              <w:rPr>
                <w:rFonts w:ascii="Arial" w:eastAsia="Arial" w:hAnsi="Arial" w:cs="Arial"/>
                <w:sz w:val="20"/>
                <w:szCs w:val="20"/>
              </w:rPr>
              <w:lastRenderedPageBreak/>
              <w:t xml:space="preserve">Marval Africa </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20B4B" w:rsidP="009A3C2A">
            <w:pPr>
              <w:ind w:left="108"/>
              <w:rPr>
                <w:rFonts w:ascii="Arial" w:hAnsi="Arial" w:cs="Arial"/>
                <w:sz w:val="20"/>
                <w:szCs w:val="20"/>
              </w:rPr>
            </w:pPr>
            <w:r w:rsidRPr="009A3C2A">
              <w:rPr>
                <w:rFonts w:ascii="Arial" w:hAnsi="Arial" w:cs="Arial"/>
                <w:sz w:val="20"/>
                <w:szCs w:val="20"/>
              </w:rPr>
              <w:t xml:space="preserve">Non-compliance with SITA Act and </w:t>
            </w:r>
            <w:r w:rsidR="00EF420E" w:rsidRPr="009A3C2A">
              <w:rPr>
                <w:rFonts w:ascii="Arial" w:hAnsi="Arial" w:cs="Arial"/>
                <w:sz w:val="20"/>
                <w:szCs w:val="20"/>
              </w:rPr>
              <w:t xml:space="preserve">Regulations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420E" w:rsidRPr="009A3C2A" w:rsidRDefault="00EF420E" w:rsidP="009A3C2A">
            <w:pPr>
              <w:ind w:left="107"/>
              <w:rPr>
                <w:rFonts w:ascii="Arial" w:hAnsi="Arial" w:cs="Arial"/>
                <w:sz w:val="20"/>
                <w:szCs w:val="20"/>
              </w:rPr>
            </w:pPr>
            <w:r w:rsidRPr="009A3C2A">
              <w:rPr>
                <w:rFonts w:ascii="Arial" w:eastAsia="Arial" w:hAnsi="Arial" w:cs="Arial"/>
                <w:sz w:val="20"/>
                <w:szCs w:val="20"/>
              </w:rPr>
              <w:t>R788</w:t>
            </w:r>
            <w:r w:rsidR="00E20B4B" w:rsidRPr="009A3C2A">
              <w:rPr>
                <w:rFonts w:ascii="Arial" w:eastAsia="Arial" w:hAnsi="Arial" w:cs="Arial"/>
                <w:sz w:val="20"/>
                <w:szCs w:val="20"/>
              </w:rPr>
              <w:t xml:space="preserve"> </w:t>
            </w:r>
            <w:r w:rsidRPr="009A3C2A">
              <w:rPr>
                <w:rFonts w:ascii="Arial" w:eastAsia="Arial" w:hAnsi="Arial" w:cs="Arial"/>
                <w:sz w:val="20"/>
                <w:szCs w:val="20"/>
              </w:rPr>
              <w:t>283</w:t>
            </w:r>
            <w:r w:rsidR="00FA26B0" w:rsidRPr="009A3C2A">
              <w:rPr>
                <w:rFonts w:ascii="Arial" w:eastAsia="Arial" w:hAnsi="Arial" w:cs="Arial"/>
                <w:sz w:val="20"/>
                <w:szCs w:val="20"/>
              </w:rPr>
              <w:t>.</w:t>
            </w:r>
            <w:r w:rsidRPr="009A3C2A">
              <w:rPr>
                <w:rFonts w:ascii="Arial" w:eastAsia="Arial" w:hAnsi="Arial" w:cs="Arial"/>
                <w:sz w:val="20"/>
                <w:szCs w:val="20"/>
              </w:rPr>
              <w:t xml:space="preserve">60 </w:t>
            </w:r>
          </w:p>
        </w:tc>
      </w:tr>
    </w:tbl>
    <w:p w:rsidR="00EF420E" w:rsidRPr="009A3C2A" w:rsidRDefault="00EF420E" w:rsidP="009A3C2A">
      <w:pPr>
        <w:rPr>
          <w:rFonts w:ascii="Arial" w:hAnsi="Arial" w:cs="Arial"/>
          <w:sz w:val="20"/>
          <w:szCs w:val="20"/>
        </w:rPr>
      </w:pPr>
      <w:r w:rsidRPr="009A3C2A">
        <w:rPr>
          <w:rFonts w:ascii="Arial" w:hAnsi="Arial" w:cs="Arial"/>
          <w:sz w:val="20"/>
          <w:szCs w:val="20"/>
        </w:rPr>
        <w:t xml:space="preserve"> </w:t>
      </w:r>
    </w:p>
    <w:p w:rsidR="009D3F9C" w:rsidRPr="009A3C2A" w:rsidRDefault="00FA26B0" w:rsidP="009A3C2A">
      <w:pPr>
        <w:pStyle w:val="ListParagraph"/>
        <w:numPr>
          <w:ilvl w:val="1"/>
          <w:numId w:val="1"/>
        </w:numPr>
        <w:tabs>
          <w:tab w:val="clear" w:pos="862"/>
          <w:tab w:val="num" w:pos="851"/>
        </w:tabs>
        <w:autoSpaceDE w:val="0"/>
        <w:autoSpaceDN w:val="0"/>
        <w:adjustRightInd w:val="0"/>
        <w:ind w:left="851" w:hanging="851"/>
        <w:rPr>
          <w:rFonts w:ascii="Arial" w:hAnsi="Arial" w:cs="Arial"/>
          <w:b/>
          <w:sz w:val="20"/>
          <w:szCs w:val="20"/>
        </w:rPr>
      </w:pPr>
      <w:r w:rsidRPr="009A3C2A">
        <w:rPr>
          <w:rFonts w:ascii="Arial" w:hAnsi="Arial" w:cs="Arial"/>
          <w:sz w:val="20"/>
          <w:szCs w:val="20"/>
        </w:rPr>
        <w:t xml:space="preserve">The Auditor-General also reported to the Committee on its investigation of procurement relating to </w:t>
      </w:r>
      <w:r w:rsidR="00A72A7C" w:rsidRPr="009A3C2A">
        <w:rPr>
          <w:rFonts w:ascii="Arial" w:hAnsi="Arial" w:cs="Arial"/>
          <w:sz w:val="20"/>
          <w:szCs w:val="20"/>
        </w:rPr>
        <w:t>the</w:t>
      </w:r>
      <w:r w:rsidR="00E20B4B" w:rsidRPr="009A3C2A">
        <w:rPr>
          <w:rFonts w:ascii="Arial" w:hAnsi="Arial" w:cs="Arial"/>
          <w:sz w:val="20"/>
          <w:szCs w:val="20"/>
        </w:rPr>
        <w:t xml:space="preserve"> ‘</w:t>
      </w:r>
      <w:r w:rsidR="009D3F9C" w:rsidRPr="009A3C2A">
        <w:rPr>
          <w:rFonts w:ascii="Arial" w:hAnsi="Arial" w:cs="Arial"/>
          <w:sz w:val="20"/>
          <w:szCs w:val="20"/>
        </w:rPr>
        <w:t xml:space="preserve">Caselines </w:t>
      </w:r>
      <w:r w:rsidR="00960E69" w:rsidRPr="009A3C2A">
        <w:rPr>
          <w:rFonts w:ascii="Arial" w:hAnsi="Arial" w:cs="Arial"/>
          <w:sz w:val="20"/>
          <w:szCs w:val="20"/>
        </w:rPr>
        <w:t>pr</w:t>
      </w:r>
      <w:r w:rsidR="009D3F9C" w:rsidRPr="009A3C2A">
        <w:rPr>
          <w:rFonts w:ascii="Arial" w:hAnsi="Arial" w:cs="Arial"/>
          <w:sz w:val="20"/>
          <w:szCs w:val="20"/>
        </w:rPr>
        <w:t>o</w:t>
      </w:r>
      <w:r w:rsidRPr="009A3C2A">
        <w:rPr>
          <w:rFonts w:ascii="Arial" w:hAnsi="Arial" w:cs="Arial"/>
          <w:sz w:val="20"/>
          <w:szCs w:val="20"/>
        </w:rPr>
        <w:t xml:space="preserve">ject’ </w:t>
      </w:r>
      <w:r w:rsidR="009D3F9C" w:rsidRPr="009A3C2A">
        <w:rPr>
          <w:rFonts w:ascii="Arial" w:hAnsi="Arial" w:cs="Arial"/>
          <w:sz w:val="20"/>
          <w:szCs w:val="20"/>
        </w:rPr>
        <w:t>and other procurement</w:t>
      </w:r>
      <w:r w:rsidR="00E20B4B" w:rsidRPr="009A3C2A">
        <w:rPr>
          <w:rFonts w:ascii="Arial" w:hAnsi="Arial" w:cs="Arial"/>
          <w:sz w:val="20"/>
          <w:szCs w:val="20"/>
        </w:rPr>
        <w:t>, as follows</w:t>
      </w:r>
      <w:r w:rsidR="009D3F9C" w:rsidRPr="009A3C2A">
        <w:rPr>
          <w:rFonts w:ascii="Arial" w:hAnsi="Arial" w:cs="Arial"/>
          <w:sz w:val="20"/>
          <w:szCs w:val="20"/>
        </w:rPr>
        <w:t>:</w:t>
      </w:r>
    </w:p>
    <w:p w:rsidR="009D3F9C" w:rsidRPr="009A3C2A" w:rsidRDefault="009D3F9C" w:rsidP="009A3C2A">
      <w:pPr>
        <w:pStyle w:val="ListParagraph"/>
        <w:autoSpaceDE w:val="0"/>
        <w:autoSpaceDN w:val="0"/>
        <w:adjustRightInd w:val="0"/>
        <w:rPr>
          <w:rFonts w:ascii="Arial" w:hAnsi="Arial" w:cs="Arial"/>
          <w:sz w:val="20"/>
          <w:szCs w:val="20"/>
        </w:rPr>
      </w:pPr>
    </w:p>
    <w:p w:rsidR="009D3F9C" w:rsidRPr="009A3C2A" w:rsidRDefault="00960E69" w:rsidP="009A3C2A">
      <w:pPr>
        <w:pStyle w:val="ListParagraph"/>
        <w:numPr>
          <w:ilvl w:val="2"/>
          <w:numId w:val="14"/>
        </w:numPr>
        <w:autoSpaceDE w:val="0"/>
        <w:autoSpaceDN w:val="0"/>
        <w:adjustRightInd w:val="0"/>
        <w:ind w:left="851" w:hanging="851"/>
        <w:rPr>
          <w:rFonts w:ascii="Arial" w:hAnsi="Arial" w:cs="Arial"/>
          <w:sz w:val="20"/>
          <w:szCs w:val="20"/>
        </w:rPr>
      </w:pPr>
      <w:r w:rsidRPr="009A3C2A">
        <w:rPr>
          <w:rFonts w:ascii="Arial" w:hAnsi="Arial" w:cs="Arial"/>
          <w:sz w:val="20"/>
          <w:szCs w:val="20"/>
        </w:rPr>
        <w:t>The Chief Financial Officer</w:t>
      </w:r>
      <w:r w:rsidR="009D3F9C" w:rsidRPr="009A3C2A">
        <w:rPr>
          <w:rFonts w:ascii="Arial" w:hAnsi="Arial" w:cs="Arial"/>
          <w:sz w:val="20"/>
          <w:szCs w:val="20"/>
        </w:rPr>
        <w:t>,</w:t>
      </w:r>
      <w:r w:rsidRPr="009A3C2A">
        <w:rPr>
          <w:rFonts w:ascii="Arial" w:hAnsi="Arial" w:cs="Arial"/>
          <w:sz w:val="20"/>
          <w:szCs w:val="20"/>
        </w:rPr>
        <w:t xml:space="preserve"> Chief Director: Cou</w:t>
      </w:r>
      <w:r w:rsidR="009D3F9C" w:rsidRPr="009A3C2A">
        <w:rPr>
          <w:rFonts w:ascii="Arial" w:hAnsi="Arial" w:cs="Arial"/>
          <w:sz w:val="20"/>
          <w:szCs w:val="20"/>
        </w:rPr>
        <w:t>rt Administrat</w:t>
      </w:r>
      <w:r w:rsidR="004309BD" w:rsidRPr="009A3C2A">
        <w:rPr>
          <w:rFonts w:ascii="Arial" w:hAnsi="Arial" w:cs="Arial"/>
          <w:sz w:val="20"/>
          <w:szCs w:val="20"/>
        </w:rPr>
        <w:t>ion</w:t>
      </w:r>
      <w:r w:rsidRPr="009A3C2A">
        <w:rPr>
          <w:rFonts w:ascii="Arial" w:hAnsi="Arial" w:cs="Arial"/>
          <w:sz w:val="20"/>
          <w:szCs w:val="20"/>
        </w:rPr>
        <w:t xml:space="preserve"> and a Director: Case Management resigned on 31 May 2022. The </w:t>
      </w:r>
      <w:r w:rsidR="00E20B4B" w:rsidRPr="009A3C2A">
        <w:rPr>
          <w:rFonts w:ascii="Arial" w:hAnsi="Arial" w:cs="Arial"/>
          <w:sz w:val="20"/>
          <w:szCs w:val="20"/>
        </w:rPr>
        <w:t xml:space="preserve">CFO’s </w:t>
      </w:r>
      <w:r w:rsidRPr="009A3C2A">
        <w:rPr>
          <w:rFonts w:ascii="Arial" w:hAnsi="Arial" w:cs="Arial"/>
          <w:sz w:val="20"/>
          <w:szCs w:val="20"/>
        </w:rPr>
        <w:t>resignation</w:t>
      </w:r>
      <w:r w:rsidR="009D3F9C" w:rsidRPr="009A3C2A">
        <w:rPr>
          <w:rFonts w:ascii="Arial" w:hAnsi="Arial" w:cs="Arial"/>
          <w:sz w:val="20"/>
          <w:szCs w:val="20"/>
        </w:rPr>
        <w:t>,</w:t>
      </w:r>
      <w:r w:rsidRPr="009A3C2A">
        <w:rPr>
          <w:rFonts w:ascii="Arial" w:hAnsi="Arial" w:cs="Arial"/>
          <w:sz w:val="20"/>
          <w:szCs w:val="20"/>
        </w:rPr>
        <w:t xml:space="preserve"> as well as </w:t>
      </w:r>
      <w:r w:rsidR="00E20B4B" w:rsidRPr="009A3C2A">
        <w:rPr>
          <w:rFonts w:ascii="Arial" w:hAnsi="Arial" w:cs="Arial"/>
          <w:sz w:val="20"/>
          <w:szCs w:val="20"/>
        </w:rPr>
        <w:t xml:space="preserve">certain </w:t>
      </w:r>
      <w:r w:rsidRPr="009A3C2A">
        <w:rPr>
          <w:rFonts w:ascii="Arial" w:hAnsi="Arial" w:cs="Arial"/>
          <w:sz w:val="20"/>
          <w:szCs w:val="20"/>
        </w:rPr>
        <w:t>media articles</w:t>
      </w:r>
      <w:r w:rsidR="009D3F9C" w:rsidRPr="009A3C2A">
        <w:rPr>
          <w:rFonts w:ascii="Arial" w:hAnsi="Arial" w:cs="Arial"/>
          <w:sz w:val="20"/>
          <w:szCs w:val="20"/>
        </w:rPr>
        <w:t>,</w:t>
      </w:r>
      <w:r w:rsidRPr="009A3C2A">
        <w:rPr>
          <w:rFonts w:ascii="Arial" w:hAnsi="Arial" w:cs="Arial"/>
          <w:sz w:val="20"/>
          <w:szCs w:val="20"/>
        </w:rPr>
        <w:t xml:space="preserve"> brought to light </w:t>
      </w:r>
      <w:r w:rsidR="004309BD" w:rsidRPr="009A3C2A">
        <w:rPr>
          <w:rFonts w:ascii="Arial" w:hAnsi="Arial" w:cs="Arial"/>
          <w:sz w:val="20"/>
          <w:szCs w:val="20"/>
        </w:rPr>
        <w:t>certain p</w:t>
      </w:r>
      <w:r w:rsidRPr="009A3C2A">
        <w:rPr>
          <w:rFonts w:ascii="Arial" w:hAnsi="Arial" w:cs="Arial"/>
          <w:sz w:val="20"/>
          <w:szCs w:val="20"/>
        </w:rPr>
        <w:t>rocurement risks:</w:t>
      </w:r>
    </w:p>
    <w:p w:rsidR="009D3F9C" w:rsidRPr="009A3C2A" w:rsidRDefault="009D3F9C" w:rsidP="009A3C2A">
      <w:pPr>
        <w:numPr>
          <w:ilvl w:val="0"/>
          <w:numId w:val="3"/>
        </w:numPr>
        <w:autoSpaceDE w:val="0"/>
        <w:autoSpaceDN w:val="0"/>
        <w:adjustRightInd w:val="0"/>
        <w:ind w:left="1418" w:hanging="567"/>
        <w:rPr>
          <w:rFonts w:ascii="Arial" w:hAnsi="Arial" w:cs="Arial"/>
          <w:sz w:val="20"/>
          <w:szCs w:val="20"/>
        </w:rPr>
      </w:pPr>
      <w:r w:rsidRPr="009A3C2A">
        <w:rPr>
          <w:rFonts w:ascii="Arial" w:hAnsi="Arial" w:cs="Arial"/>
          <w:sz w:val="20"/>
          <w:szCs w:val="20"/>
        </w:rPr>
        <w:t>A</w:t>
      </w:r>
      <w:r w:rsidR="00960E69" w:rsidRPr="009A3C2A">
        <w:rPr>
          <w:rFonts w:ascii="Arial" w:hAnsi="Arial" w:cs="Arial"/>
          <w:sz w:val="20"/>
          <w:szCs w:val="20"/>
        </w:rPr>
        <w:t xml:space="preserve"> company was established short</w:t>
      </w:r>
      <w:r w:rsidR="00E20B4B" w:rsidRPr="009A3C2A">
        <w:rPr>
          <w:rFonts w:ascii="Arial" w:hAnsi="Arial" w:cs="Arial"/>
          <w:sz w:val="20"/>
          <w:szCs w:val="20"/>
        </w:rPr>
        <w:t>ly</w:t>
      </w:r>
      <w:r w:rsidR="00960E69" w:rsidRPr="009A3C2A">
        <w:rPr>
          <w:rFonts w:ascii="Arial" w:hAnsi="Arial" w:cs="Arial"/>
          <w:sz w:val="20"/>
          <w:szCs w:val="20"/>
        </w:rPr>
        <w:t xml:space="preserve"> after </w:t>
      </w:r>
      <w:r w:rsidR="00E20B4B" w:rsidRPr="009A3C2A">
        <w:rPr>
          <w:rFonts w:ascii="Arial" w:hAnsi="Arial" w:cs="Arial"/>
          <w:sz w:val="20"/>
          <w:szCs w:val="20"/>
        </w:rPr>
        <w:t xml:space="preserve">the OCJ awarded </w:t>
      </w:r>
      <w:r w:rsidR="00960E69" w:rsidRPr="009A3C2A">
        <w:rPr>
          <w:rFonts w:ascii="Arial" w:hAnsi="Arial" w:cs="Arial"/>
          <w:sz w:val="20"/>
          <w:szCs w:val="20"/>
        </w:rPr>
        <w:t>the sole sup</w:t>
      </w:r>
      <w:r w:rsidRPr="009A3C2A">
        <w:rPr>
          <w:rFonts w:ascii="Arial" w:hAnsi="Arial" w:cs="Arial"/>
          <w:sz w:val="20"/>
          <w:szCs w:val="20"/>
        </w:rPr>
        <w:t>plier contract to Thom</w:t>
      </w:r>
      <w:r w:rsidR="009332BB" w:rsidRPr="009A3C2A">
        <w:rPr>
          <w:rFonts w:ascii="Arial" w:hAnsi="Arial" w:cs="Arial"/>
          <w:sz w:val="20"/>
          <w:szCs w:val="20"/>
        </w:rPr>
        <w:t>son</w:t>
      </w:r>
      <w:r w:rsidRPr="009A3C2A">
        <w:rPr>
          <w:rFonts w:ascii="Arial" w:hAnsi="Arial" w:cs="Arial"/>
          <w:sz w:val="20"/>
          <w:szCs w:val="20"/>
        </w:rPr>
        <w:t xml:space="preserve"> Reuter</w:t>
      </w:r>
      <w:r w:rsidR="009332BB" w:rsidRPr="009A3C2A">
        <w:rPr>
          <w:rFonts w:ascii="Arial" w:hAnsi="Arial" w:cs="Arial"/>
          <w:sz w:val="20"/>
          <w:szCs w:val="20"/>
        </w:rPr>
        <w:t>s</w:t>
      </w:r>
      <w:r w:rsidRPr="009A3C2A">
        <w:rPr>
          <w:rFonts w:ascii="Arial" w:hAnsi="Arial" w:cs="Arial"/>
          <w:sz w:val="20"/>
          <w:szCs w:val="20"/>
        </w:rPr>
        <w:t xml:space="preserve">, </w:t>
      </w:r>
      <w:r w:rsidR="00960E69" w:rsidRPr="009A3C2A">
        <w:rPr>
          <w:rFonts w:ascii="Arial" w:hAnsi="Arial" w:cs="Arial"/>
          <w:sz w:val="20"/>
          <w:szCs w:val="20"/>
        </w:rPr>
        <w:t xml:space="preserve">and the CFO and two other former employees </w:t>
      </w:r>
      <w:r w:rsidRPr="009A3C2A">
        <w:rPr>
          <w:rFonts w:ascii="Arial" w:hAnsi="Arial" w:cs="Arial"/>
          <w:sz w:val="20"/>
          <w:szCs w:val="20"/>
        </w:rPr>
        <w:t xml:space="preserve">of the OCJ </w:t>
      </w:r>
      <w:r w:rsidR="00960E69" w:rsidRPr="009A3C2A">
        <w:rPr>
          <w:rFonts w:ascii="Arial" w:hAnsi="Arial" w:cs="Arial"/>
          <w:sz w:val="20"/>
          <w:szCs w:val="20"/>
        </w:rPr>
        <w:t>were directors in this company. Thom</w:t>
      </w:r>
      <w:r w:rsidR="009332BB" w:rsidRPr="009A3C2A">
        <w:rPr>
          <w:rFonts w:ascii="Arial" w:hAnsi="Arial" w:cs="Arial"/>
          <w:sz w:val="20"/>
          <w:szCs w:val="20"/>
        </w:rPr>
        <w:t>son</w:t>
      </w:r>
      <w:r w:rsidR="00960E69" w:rsidRPr="009A3C2A">
        <w:rPr>
          <w:rFonts w:ascii="Arial" w:hAnsi="Arial" w:cs="Arial"/>
          <w:sz w:val="20"/>
          <w:szCs w:val="20"/>
        </w:rPr>
        <w:t xml:space="preserve"> Reuters subsequently subcontracted 56% of the contract value of R225.6 million to this company. </w:t>
      </w:r>
    </w:p>
    <w:p w:rsidR="009D3F9C" w:rsidRPr="009A3C2A" w:rsidRDefault="009D3F9C" w:rsidP="009A3C2A">
      <w:pPr>
        <w:numPr>
          <w:ilvl w:val="0"/>
          <w:numId w:val="3"/>
        </w:numPr>
        <w:autoSpaceDE w:val="0"/>
        <w:autoSpaceDN w:val="0"/>
        <w:adjustRightInd w:val="0"/>
        <w:ind w:left="1418" w:hanging="567"/>
        <w:rPr>
          <w:rFonts w:ascii="Arial" w:hAnsi="Arial" w:cs="Arial"/>
          <w:sz w:val="20"/>
          <w:szCs w:val="20"/>
        </w:rPr>
      </w:pPr>
      <w:r w:rsidRPr="009A3C2A">
        <w:rPr>
          <w:rFonts w:ascii="Arial" w:hAnsi="Arial" w:cs="Arial"/>
          <w:sz w:val="20"/>
          <w:szCs w:val="20"/>
        </w:rPr>
        <w:t>O</w:t>
      </w:r>
      <w:r w:rsidR="00960E69" w:rsidRPr="009A3C2A">
        <w:rPr>
          <w:rFonts w:ascii="Arial" w:hAnsi="Arial" w:cs="Arial"/>
          <w:sz w:val="20"/>
          <w:szCs w:val="20"/>
        </w:rPr>
        <w:t>n a different award,</w:t>
      </w:r>
      <w:r w:rsidRPr="009A3C2A">
        <w:rPr>
          <w:rFonts w:ascii="Arial" w:hAnsi="Arial" w:cs="Arial"/>
          <w:sz w:val="20"/>
          <w:szCs w:val="20"/>
        </w:rPr>
        <w:t xml:space="preserve"> there were </w:t>
      </w:r>
      <w:r w:rsidR="00960E69" w:rsidRPr="009A3C2A">
        <w:rPr>
          <w:rFonts w:ascii="Arial" w:hAnsi="Arial" w:cs="Arial"/>
          <w:sz w:val="20"/>
          <w:szCs w:val="20"/>
        </w:rPr>
        <w:t xml:space="preserve">allegations </w:t>
      </w:r>
      <w:r w:rsidR="009332BB" w:rsidRPr="009A3C2A">
        <w:rPr>
          <w:rFonts w:ascii="Arial" w:hAnsi="Arial" w:cs="Arial"/>
          <w:sz w:val="20"/>
          <w:szCs w:val="20"/>
        </w:rPr>
        <w:t>against</w:t>
      </w:r>
      <w:r w:rsidR="00960E69" w:rsidRPr="009A3C2A">
        <w:rPr>
          <w:rFonts w:ascii="Arial" w:hAnsi="Arial" w:cs="Arial"/>
          <w:sz w:val="20"/>
          <w:szCs w:val="20"/>
        </w:rPr>
        <w:t xml:space="preserve"> another employee </w:t>
      </w:r>
      <w:r w:rsidR="009332BB" w:rsidRPr="009A3C2A">
        <w:rPr>
          <w:rFonts w:ascii="Arial" w:hAnsi="Arial" w:cs="Arial"/>
          <w:sz w:val="20"/>
          <w:szCs w:val="20"/>
        </w:rPr>
        <w:t xml:space="preserve">of being </w:t>
      </w:r>
      <w:r w:rsidR="00960E69" w:rsidRPr="009A3C2A">
        <w:rPr>
          <w:rFonts w:ascii="Arial" w:hAnsi="Arial" w:cs="Arial"/>
          <w:sz w:val="20"/>
          <w:szCs w:val="20"/>
        </w:rPr>
        <w:t>involved in drafting the bid specifications and being a member of the bid evaluation committee</w:t>
      </w:r>
      <w:r w:rsidR="009332BB" w:rsidRPr="009A3C2A">
        <w:rPr>
          <w:rFonts w:ascii="Arial" w:hAnsi="Arial" w:cs="Arial"/>
          <w:sz w:val="20"/>
          <w:szCs w:val="20"/>
        </w:rPr>
        <w:t>, and</w:t>
      </w:r>
      <w:r w:rsidR="00960E69" w:rsidRPr="009A3C2A">
        <w:rPr>
          <w:rFonts w:ascii="Arial" w:hAnsi="Arial" w:cs="Arial"/>
          <w:sz w:val="20"/>
          <w:szCs w:val="20"/>
        </w:rPr>
        <w:t xml:space="preserve"> not declaring his connection to the director of a company who received four awards, which included a joint venture award, in the last two years. </w:t>
      </w:r>
    </w:p>
    <w:p w:rsidR="009D3F9C" w:rsidRPr="009A3C2A" w:rsidRDefault="009D3F9C" w:rsidP="009A3C2A">
      <w:pPr>
        <w:numPr>
          <w:ilvl w:val="0"/>
          <w:numId w:val="3"/>
        </w:numPr>
        <w:autoSpaceDE w:val="0"/>
        <w:autoSpaceDN w:val="0"/>
        <w:adjustRightInd w:val="0"/>
        <w:ind w:left="1418" w:hanging="567"/>
        <w:rPr>
          <w:rFonts w:ascii="Arial" w:hAnsi="Arial" w:cs="Arial"/>
          <w:sz w:val="20"/>
          <w:szCs w:val="20"/>
        </w:rPr>
      </w:pPr>
      <w:r w:rsidRPr="009A3C2A">
        <w:rPr>
          <w:rFonts w:ascii="Arial" w:hAnsi="Arial" w:cs="Arial"/>
          <w:sz w:val="20"/>
          <w:szCs w:val="20"/>
        </w:rPr>
        <w:t>T</w:t>
      </w:r>
      <w:r w:rsidR="00960E69" w:rsidRPr="009A3C2A">
        <w:rPr>
          <w:rFonts w:ascii="Arial" w:hAnsi="Arial" w:cs="Arial"/>
          <w:sz w:val="20"/>
          <w:szCs w:val="20"/>
        </w:rPr>
        <w:t xml:space="preserve">he </w:t>
      </w:r>
      <w:r w:rsidRPr="009A3C2A">
        <w:rPr>
          <w:rFonts w:ascii="Arial" w:hAnsi="Arial" w:cs="Arial"/>
          <w:sz w:val="20"/>
          <w:szCs w:val="20"/>
        </w:rPr>
        <w:t xml:space="preserve">OCJ had not made </w:t>
      </w:r>
      <w:r w:rsidR="00960E69" w:rsidRPr="009A3C2A">
        <w:rPr>
          <w:rFonts w:ascii="Arial" w:hAnsi="Arial" w:cs="Arial"/>
          <w:sz w:val="20"/>
          <w:szCs w:val="20"/>
        </w:rPr>
        <w:t xml:space="preserve">use of SITA when procuring information technology goods and/or services. </w:t>
      </w:r>
    </w:p>
    <w:p w:rsidR="009D3F9C" w:rsidRPr="009A3C2A" w:rsidRDefault="009D3F9C" w:rsidP="009A3C2A">
      <w:pPr>
        <w:pStyle w:val="ListParagraph"/>
        <w:autoSpaceDE w:val="0"/>
        <w:autoSpaceDN w:val="0"/>
        <w:adjustRightInd w:val="0"/>
        <w:ind w:left="709"/>
        <w:rPr>
          <w:rFonts w:ascii="Arial" w:hAnsi="Arial" w:cs="Arial"/>
          <w:sz w:val="20"/>
          <w:szCs w:val="20"/>
        </w:rPr>
      </w:pPr>
    </w:p>
    <w:p w:rsidR="009D3F9C" w:rsidRPr="009A3C2A" w:rsidRDefault="009D3F9C" w:rsidP="009A3C2A">
      <w:pPr>
        <w:pStyle w:val="ListParagraph"/>
        <w:numPr>
          <w:ilvl w:val="2"/>
          <w:numId w:val="14"/>
        </w:numPr>
        <w:autoSpaceDE w:val="0"/>
        <w:autoSpaceDN w:val="0"/>
        <w:adjustRightInd w:val="0"/>
        <w:ind w:left="851" w:hanging="851"/>
        <w:rPr>
          <w:rFonts w:ascii="Arial" w:hAnsi="Arial" w:cs="Arial"/>
          <w:sz w:val="20"/>
          <w:szCs w:val="20"/>
        </w:rPr>
      </w:pPr>
      <w:r w:rsidRPr="009A3C2A">
        <w:rPr>
          <w:rFonts w:ascii="Arial" w:hAnsi="Arial" w:cs="Arial"/>
          <w:sz w:val="20"/>
          <w:szCs w:val="20"/>
        </w:rPr>
        <w:t>The OCJ’s m</w:t>
      </w:r>
      <w:r w:rsidR="00960E69" w:rsidRPr="009A3C2A">
        <w:rPr>
          <w:rFonts w:ascii="Arial" w:hAnsi="Arial" w:cs="Arial"/>
          <w:sz w:val="20"/>
          <w:szCs w:val="20"/>
        </w:rPr>
        <w:t xml:space="preserve">anagement is currently investigating these allegations </w:t>
      </w:r>
      <w:r w:rsidRPr="009A3C2A">
        <w:rPr>
          <w:rFonts w:ascii="Arial" w:hAnsi="Arial" w:cs="Arial"/>
          <w:sz w:val="20"/>
          <w:szCs w:val="20"/>
        </w:rPr>
        <w:t xml:space="preserve">and </w:t>
      </w:r>
      <w:r w:rsidR="00960E69" w:rsidRPr="009A3C2A">
        <w:rPr>
          <w:rFonts w:ascii="Arial" w:hAnsi="Arial" w:cs="Arial"/>
          <w:sz w:val="20"/>
          <w:szCs w:val="20"/>
        </w:rPr>
        <w:t xml:space="preserve">any payments to these suppliers </w:t>
      </w:r>
      <w:r w:rsidRPr="009A3C2A">
        <w:rPr>
          <w:rFonts w:ascii="Arial" w:hAnsi="Arial" w:cs="Arial"/>
          <w:sz w:val="20"/>
          <w:szCs w:val="20"/>
        </w:rPr>
        <w:t>have been put on hold</w:t>
      </w:r>
      <w:r w:rsidR="00960E69" w:rsidRPr="009A3C2A">
        <w:rPr>
          <w:rFonts w:ascii="Arial" w:hAnsi="Arial" w:cs="Arial"/>
          <w:sz w:val="20"/>
          <w:szCs w:val="20"/>
        </w:rPr>
        <w:t xml:space="preserve">. </w:t>
      </w:r>
    </w:p>
    <w:p w:rsidR="009D3F9C" w:rsidRPr="009A3C2A" w:rsidRDefault="009D3F9C" w:rsidP="009A3C2A">
      <w:pPr>
        <w:pStyle w:val="ListParagraph"/>
        <w:autoSpaceDE w:val="0"/>
        <w:autoSpaceDN w:val="0"/>
        <w:adjustRightInd w:val="0"/>
        <w:rPr>
          <w:rFonts w:ascii="Arial" w:hAnsi="Arial" w:cs="Arial"/>
          <w:sz w:val="20"/>
          <w:szCs w:val="20"/>
        </w:rPr>
      </w:pPr>
    </w:p>
    <w:p w:rsidR="009D3F9C" w:rsidRPr="009A3C2A" w:rsidRDefault="00960E69" w:rsidP="009A3C2A">
      <w:pPr>
        <w:pStyle w:val="ListParagraph"/>
        <w:numPr>
          <w:ilvl w:val="2"/>
          <w:numId w:val="14"/>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The </w:t>
      </w:r>
      <w:r w:rsidR="009D3F9C" w:rsidRPr="009A3C2A">
        <w:rPr>
          <w:rFonts w:ascii="Arial" w:hAnsi="Arial" w:cs="Arial"/>
          <w:sz w:val="20"/>
          <w:szCs w:val="20"/>
        </w:rPr>
        <w:t>A</w:t>
      </w:r>
      <w:r w:rsidR="009332BB" w:rsidRPr="009A3C2A">
        <w:rPr>
          <w:rFonts w:ascii="Arial" w:hAnsi="Arial" w:cs="Arial"/>
          <w:sz w:val="20"/>
          <w:szCs w:val="20"/>
        </w:rPr>
        <w:t xml:space="preserve">uditor-General </w:t>
      </w:r>
      <w:r w:rsidRPr="009A3C2A">
        <w:rPr>
          <w:rFonts w:ascii="Arial" w:hAnsi="Arial" w:cs="Arial"/>
          <w:sz w:val="20"/>
          <w:szCs w:val="20"/>
        </w:rPr>
        <w:t xml:space="preserve">also assessed the contracts to identify possible irregularities, </w:t>
      </w:r>
      <w:r w:rsidR="009D3F9C" w:rsidRPr="009A3C2A">
        <w:rPr>
          <w:rFonts w:ascii="Arial" w:hAnsi="Arial" w:cs="Arial"/>
          <w:sz w:val="20"/>
          <w:szCs w:val="20"/>
        </w:rPr>
        <w:t>finding as follows:</w:t>
      </w:r>
    </w:p>
    <w:p w:rsidR="009D3F9C" w:rsidRPr="009A3C2A" w:rsidRDefault="009D3F9C"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There was no i</w:t>
      </w:r>
      <w:r w:rsidR="00960E69" w:rsidRPr="009A3C2A">
        <w:rPr>
          <w:rFonts w:ascii="Arial" w:hAnsi="Arial" w:cs="Arial"/>
          <w:sz w:val="20"/>
          <w:szCs w:val="20"/>
          <w:lang w:val="en-US"/>
        </w:rPr>
        <w:t>nvolvement of SITA in info</w:t>
      </w:r>
      <w:r w:rsidRPr="009A3C2A">
        <w:rPr>
          <w:rFonts w:ascii="Arial" w:hAnsi="Arial" w:cs="Arial"/>
          <w:sz w:val="20"/>
          <w:szCs w:val="20"/>
          <w:lang w:val="en-US"/>
        </w:rPr>
        <w:t>rmation technology procurement as required (</w:t>
      </w:r>
      <w:r w:rsidR="00960E69" w:rsidRPr="009A3C2A">
        <w:rPr>
          <w:rFonts w:ascii="Arial" w:hAnsi="Arial" w:cs="Arial"/>
          <w:sz w:val="20"/>
          <w:szCs w:val="20"/>
          <w:lang w:val="en-US"/>
        </w:rPr>
        <w:t>material finding - audit report matter)</w:t>
      </w:r>
      <w:r w:rsidRPr="009A3C2A">
        <w:rPr>
          <w:rFonts w:ascii="Arial" w:hAnsi="Arial" w:cs="Arial"/>
          <w:sz w:val="20"/>
          <w:szCs w:val="20"/>
          <w:lang w:val="en-US"/>
        </w:rPr>
        <w:t>.</w:t>
      </w:r>
      <w:r w:rsidR="00960E69" w:rsidRPr="009A3C2A">
        <w:rPr>
          <w:rFonts w:ascii="Arial" w:hAnsi="Arial" w:cs="Arial"/>
          <w:sz w:val="20"/>
          <w:szCs w:val="20"/>
          <w:lang w:val="en-US"/>
        </w:rPr>
        <w:t xml:space="preserve"> </w:t>
      </w:r>
    </w:p>
    <w:p w:rsidR="009D3F9C" w:rsidRPr="009A3C2A" w:rsidRDefault="00960E69"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sub-contracting conditions were not included in the terms of </w:t>
      </w:r>
      <w:r w:rsidR="00A72A7C" w:rsidRPr="009A3C2A">
        <w:rPr>
          <w:rFonts w:ascii="Arial" w:hAnsi="Arial" w:cs="Arial"/>
          <w:sz w:val="20"/>
          <w:szCs w:val="20"/>
          <w:lang w:val="en-US"/>
        </w:rPr>
        <w:t xml:space="preserve">the </w:t>
      </w:r>
      <w:r w:rsidRPr="009A3C2A">
        <w:rPr>
          <w:rFonts w:ascii="Arial" w:hAnsi="Arial" w:cs="Arial"/>
          <w:sz w:val="20"/>
          <w:szCs w:val="20"/>
          <w:lang w:val="en-US"/>
        </w:rPr>
        <w:t>reference/bid specifications</w:t>
      </w:r>
      <w:r w:rsidR="009D3F9C" w:rsidRPr="009A3C2A">
        <w:rPr>
          <w:rFonts w:ascii="Arial" w:hAnsi="Arial" w:cs="Arial"/>
          <w:sz w:val="20"/>
          <w:szCs w:val="20"/>
          <w:lang w:val="en-US"/>
        </w:rPr>
        <w:t>.</w:t>
      </w:r>
    </w:p>
    <w:p w:rsidR="009D3F9C" w:rsidRPr="009A3C2A" w:rsidRDefault="00960E69"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tender was not advertised for the mini</w:t>
      </w:r>
      <w:r w:rsidR="009D3F9C" w:rsidRPr="009A3C2A">
        <w:rPr>
          <w:rFonts w:ascii="Arial" w:hAnsi="Arial" w:cs="Arial"/>
          <w:sz w:val="20"/>
          <w:szCs w:val="20"/>
          <w:lang w:val="en-US"/>
        </w:rPr>
        <w:t>mum number of days i.e. 21 days.</w:t>
      </w:r>
    </w:p>
    <w:p w:rsidR="00960E69" w:rsidRPr="009A3C2A" w:rsidRDefault="00960E69" w:rsidP="009A3C2A">
      <w:pPr>
        <w:pStyle w:val="ListParagraph"/>
        <w:numPr>
          <w:ilvl w:val="0"/>
          <w:numId w:val="7"/>
        </w:numPr>
        <w:autoSpaceDE w:val="0"/>
        <w:autoSpaceDN w:val="0"/>
        <w:adjustRightInd w:val="0"/>
        <w:ind w:left="1418" w:hanging="567"/>
        <w:rPr>
          <w:rFonts w:ascii="Arial" w:hAnsi="Arial" w:cs="Arial"/>
          <w:b/>
          <w:sz w:val="20"/>
          <w:szCs w:val="20"/>
        </w:rPr>
      </w:pPr>
      <w:r w:rsidRPr="009A3C2A">
        <w:rPr>
          <w:rFonts w:ascii="Arial" w:hAnsi="Arial" w:cs="Arial"/>
          <w:sz w:val="20"/>
          <w:szCs w:val="20"/>
          <w:lang w:val="en-US"/>
        </w:rPr>
        <w:t>Devi</w:t>
      </w:r>
      <w:r w:rsidRPr="009A3C2A">
        <w:rPr>
          <w:rFonts w:ascii="Arial" w:hAnsi="Arial" w:cs="Arial"/>
          <w:sz w:val="20"/>
          <w:szCs w:val="20"/>
        </w:rPr>
        <w:t>ations were approved even though it was practical to invite competitive bids</w:t>
      </w:r>
      <w:r w:rsidR="009D3F9C" w:rsidRPr="009A3C2A">
        <w:rPr>
          <w:rFonts w:ascii="Arial" w:hAnsi="Arial" w:cs="Arial"/>
          <w:sz w:val="20"/>
          <w:szCs w:val="20"/>
        </w:rPr>
        <w:t>.</w:t>
      </w:r>
    </w:p>
    <w:p w:rsidR="00960E69" w:rsidRPr="009A3C2A" w:rsidRDefault="00960E69" w:rsidP="009A3C2A">
      <w:pPr>
        <w:pStyle w:val="ListParagraph"/>
        <w:ind w:left="360"/>
        <w:rPr>
          <w:rFonts w:ascii="Arial" w:hAnsi="Arial" w:cs="Arial"/>
          <w:b/>
          <w:sz w:val="20"/>
          <w:szCs w:val="20"/>
        </w:rPr>
      </w:pPr>
    </w:p>
    <w:p w:rsidR="00E20B4B" w:rsidRPr="009A3C2A" w:rsidRDefault="00E20B4B" w:rsidP="009A3C2A">
      <w:pPr>
        <w:pStyle w:val="ListParagraph"/>
        <w:numPr>
          <w:ilvl w:val="1"/>
          <w:numId w:val="1"/>
        </w:numPr>
        <w:autoSpaceDE w:val="0"/>
        <w:autoSpaceDN w:val="0"/>
        <w:adjustRightInd w:val="0"/>
        <w:ind w:left="851" w:hanging="851"/>
        <w:rPr>
          <w:rFonts w:ascii="Arial" w:hAnsi="Arial" w:cs="Arial"/>
          <w:b/>
          <w:sz w:val="20"/>
          <w:szCs w:val="20"/>
        </w:rPr>
      </w:pPr>
      <w:r w:rsidRPr="009A3C2A">
        <w:rPr>
          <w:rFonts w:ascii="Arial" w:hAnsi="Arial" w:cs="Arial"/>
          <w:b/>
          <w:i/>
          <w:sz w:val="20"/>
          <w:szCs w:val="20"/>
        </w:rPr>
        <w:t>Fruitless and wasteful expenditure</w:t>
      </w:r>
      <w:r w:rsidRPr="009A3C2A">
        <w:rPr>
          <w:rFonts w:ascii="Arial" w:hAnsi="Arial" w:cs="Arial"/>
          <w:sz w:val="20"/>
          <w:szCs w:val="20"/>
        </w:rPr>
        <w:t xml:space="preserve"> amounting to R6 000 was detected in relation to interest on the late payment of an employee after an arbitration award was issued against the OCJ.</w:t>
      </w:r>
    </w:p>
    <w:p w:rsidR="00E20B4B" w:rsidRPr="009A3C2A" w:rsidRDefault="00E20B4B" w:rsidP="009A3C2A">
      <w:pPr>
        <w:pStyle w:val="ListParagraph"/>
        <w:autoSpaceDE w:val="0"/>
        <w:autoSpaceDN w:val="0"/>
        <w:adjustRightInd w:val="0"/>
        <w:ind w:left="851"/>
        <w:rPr>
          <w:rFonts w:ascii="Arial" w:hAnsi="Arial" w:cs="Arial"/>
          <w:b/>
          <w:sz w:val="20"/>
          <w:szCs w:val="20"/>
        </w:rPr>
      </w:pPr>
    </w:p>
    <w:p w:rsidR="00A72A7C" w:rsidRPr="009A3C2A" w:rsidRDefault="00960E69"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Commitments proposed to the Committee</w:t>
      </w:r>
      <w:r w:rsidR="00A72A7C" w:rsidRPr="009A3C2A">
        <w:rPr>
          <w:rFonts w:ascii="Arial" w:hAnsi="Arial" w:cs="Arial"/>
          <w:sz w:val="20"/>
          <w:szCs w:val="20"/>
        </w:rPr>
        <w:t>: The A</w:t>
      </w:r>
      <w:r w:rsidR="009332BB" w:rsidRPr="009A3C2A">
        <w:rPr>
          <w:rFonts w:ascii="Arial" w:hAnsi="Arial" w:cs="Arial"/>
          <w:sz w:val="20"/>
          <w:szCs w:val="20"/>
        </w:rPr>
        <w:t>uditor-</w:t>
      </w:r>
      <w:r w:rsidR="00A72A7C" w:rsidRPr="009A3C2A">
        <w:rPr>
          <w:rFonts w:ascii="Arial" w:hAnsi="Arial" w:cs="Arial"/>
          <w:sz w:val="20"/>
          <w:szCs w:val="20"/>
        </w:rPr>
        <w:t>G</w:t>
      </w:r>
      <w:r w:rsidR="009332BB" w:rsidRPr="009A3C2A">
        <w:rPr>
          <w:rFonts w:ascii="Arial" w:hAnsi="Arial" w:cs="Arial"/>
          <w:sz w:val="20"/>
          <w:szCs w:val="20"/>
        </w:rPr>
        <w:t>eneral</w:t>
      </w:r>
      <w:r w:rsidR="00A72A7C" w:rsidRPr="009A3C2A">
        <w:rPr>
          <w:rFonts w:ascii="Arial" w:hAnsi="Arial" w:cs="Arial"/>
          <w:sz w:val="20"/>
          <w:szCs w:val="20"/>
        </w:rPr>
        <w:t xml:space="preserve"> proposed that the Committee monitor the investigation at the OCJ and request regular feedback on the progress of the investigation and on </w:t>
      </w:r>
      <w:r w:rsidR="00B8696C" w:rsidRPr="009A3C2A">
        <w:rPr>
          <w:rFonts w:ascii="Arial" w:hAnsi="Arial" w:cs="Arial"/>
          <w:sz w:val="20"/>
          <w:szCs w:val="20"/>
        </w:rPr>
        <w:t>the fil</w:t>
      </w:r>
      <w:r w:rsidR="00A72A7C" w:rsidRPr="009A3C2A">
        <w:rPr>
          <w:rFonts w:ascii="Arial" w:hAnsi="Arial" w:cs="Arial"/>
          <w:sz w:val="20"/>
          <w:szCs w:val="20"/>
        </w:rPr>
        <w:t>ling of key vacancies.</w:t>
      </w:r>
    </w:p>
    <w:p w:rsidR="006115A3" w:rsidRPr="009A3C2A" w:rsidRDefault="006115A3" w:rsidP="009A3C2A">
      <w:pPr>
        <w:pStyle w:val="ListParagraph"/>
        <w:autoSpaceDE w:val="0"/>
        <w:autoSpaceDN w:val="0"/>
        <w:adjustRightInd w:val="0"/>
        <w:ind w:left="360"/>
        <w:rPr>
          <w:rFonts w:ascii="Arial" w:hAnsi="Arial" w:cs="Arial"/>
          <w:b/>
          <w:sz w:val="20"/>
          <w:szCs w:val="20"/>
        </w:rPr>
      </w:pPr>
    </w:p>
    <w:p w:rsidR="00B8696C" w:rsidRPr="009A3C2A" w:rsidRDefault="00B8696C" w:rsidP="009A3C2A">
      <w:pPr>
        <w:pStyle w:val="ListParagraph"/>
        <w:autoSpaceDE w:val="0"/>
        <w:autoSpaceDN w:val="0"/>
        <w:adjustRightInd w:val="0"/>
        <w:ind w:left="360"/>
        <w:rPr>
          <w:rFonts w:ascii="Arial" w:hAnsi="Arial" w:cs="Arial"/>
          <w:sz w:val="20"/>
          <w:szCs w:val="20"/>
        </w:rPr>
      </w:pPr>
    </w:p>
    <w:p w:rsidR="005854F3" w:rsidRPr="009A3C2A" w:rsidRDefault="005854F3" w:rsidP="009A3C2A">
      <w:pPr>
        <w:numPr>
          <w:ilvl w:val="0"/>
          <w:numId w:val="1"/>
        </w:numPr>
        <w:tabs>
          <w:tab w:val="clear" w:pos="360"/>
          <w:tab w:val="num" w:pos="851"/>
        </w:tabs>
        <w:ind w:left="851" w:hanging="851"/>
        <w:rPr>
          <w:rFonts w:ascii="Arial" w:hAnsi="Arial" w:cs="Arial"/>
          <w:b/>
          <w:sz w:val="20"/>
          <w:szCs w:val="20"/>
        </w:rPr>
      </w:pPr>
      <w:r w:rsidRPr="009A3C2A">
        <w:rPr>
          <w:rFonts w:ascii="Arial" w:hAnsi="Arial" w:cs="Arial"/>
          <w:b/>
          <w:sz w:val="20"/>
          <w:szCs w:val="20"/>
        </w:rPr>
        <w:t>Human Resources</w:t>
      </w:r>
    </w:p>
    <w:p w:rsidR="005854F3" w:rsidRPr="009A3C2A" w:rsidRDefault="005854F3" w:rsidP="009A3C2A">
      <w:pPr>
        <w:rPr>
          <w:rFonts w:ascii="Arial" w:hAnsi="Arial" w:cs="Arial"/>
          <w:sz w:val="20"/>
          <w:szCs w:val="20"/>
        </w:rPr>
      </w:pPr>
    </w:p>
    <w:p w:rsidR="005854F3" w:rsidRPr="009A3C2A" w:rsidRDefault="005854F3"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The </w:t>
      </w:r>
      <w:r w:rsidR="009332BB" w:rsidRPr="009A3C2A">
        <w:rPr>
          <w:rFonts w:ascii="Arial" w:hAnsi="Arial" w:cs="Arial"/>
          <w:sz w:val="20"/>
          <w:szCs w:val="20"/>
        </w:rPr>
        <w:t xml:space="preserve">OCJ had 2 244 </w:t>
      </w:r>
      <w:r w:rsidRPr="009A3C2A">
        <w:rPr>
          <w:rFonts w:ascii="Arial" w:hAnsi="Arial" w:cs="Arial"/>
          <w:sz w:val="20"/>
          <w:szCs w:val="20"/>
        </w:rPr>
        <w:t xml:space="preserve">posts for this reporting period </w:t>
      </w:r>
      <w:r w:rsidR="009332BB" w:rsidRPr="009A3C2A">
        <w:rPr>
          <w:rFonts w:ascii="Arial" w:hAnsi="Arial" w:cs="Arial"/>
          <w:sz w:val="20"/>
          <w:szCs w:val="20"/>
        </w:rPr>
        <w:t>with an overall v</w:t>
      </w:r>
      <w:r w:rsidRPr="009A3C2A">
        <w:rPr>
          <w:rFonts w:ascii="Arial" w:hAnsi="Arial" w:cs="Arial"/>
          <w:sz w:val="20"/>
          <w:szCs w:val="20"/>
        </w:rPr>
        <w:t xml:space="preserve">acancy rate </w:t>
      </w:r>
      <w:r w:rsidR="009332BB" w:rsidRPr="009A3C2A">
        <w:rPr>
          <w:rFonts w:ascii="Arial" w:hAnsi="Arial" w:cs="Arial"/>
          <w:sz w:val="20"/>
          <w:szCs w:val="20"/>
        </w:rPr>
        <w:t xml:space="preserve">of </w:t>
      </w:r>
      <w:r w:rsidRPr="009A3C2A">
        <w:rPr>
          <w:rFonts w:ascii="Arial" w:hAnsi="Arial" w:cs="Arial"/>
          <w:sz w:val="20"/>
          <w:szCs w:val="20"/>
        </w:rPr>
        <w:t xml:space="preserve">9.1%. </w:t>
      </w:r>
      <w:r w:rsidR="009332BB" w:rsidRPr="009A3C2A">
        <w:rPr>
          <w:rFonts w:ascii="Arial" w:hAnsi="Arial" w:cs="Arial"/>
          <w:sz w:val="20"/>
          <w:szCs w:val="20"/>
        </w:rPr>
        <w:t>However, t</w:t>
      </w:r>
      <w:r w:rsidRPr="009A3C2A">
        <w:rPr>
          <w:rFonts w:ascii="Arial" w:hAnsi="Arial" w:cs="Arial"/>
          <w:sz w:val="20"/>
          <w:szCs w:val="20"/>
        </w:rPr>
        <w:t>he vacancy rate for SMS posts as at 31 March 2022 was at 14.3%.</w:t>
      </w:r>
    </w:p>
    <w:p w:rsidR="005854F3" w:rsidRPr="009A3C2A" w:rsidRDefault="005854F3" w:rsidP="009A3C2A">
      <w:pPr>
        <w:pStyle w:val="ListParagraph"/>
        <w:autoSpaceDE w:val="0"/>
        <w:autoSpaceDN w:val="0"/>
        <w:adjustRightInd w:val="0"/>
        <w:ind w:left="851"/>
        <w:rPr>
          <w:rFonts w:ascii="Arial" w:hAnsi="Arial" w:cs="Arial"/>
          <w:b/>
          <w:sz w:val="20"/>
          <w:szCs w:val="20"/>
          <w:highlight w:val="magenta"/>
        </w:rPr>
      </w:pPr>
    </w:p>
    <w:p w:rsidR="009332BB" w:rsidRPr="009A3C2A" w:rsidRDefault="009332BB" w:rsidP="009A3C2A">
      <w:pPr>
        <w:pStyle w:val="ListParagraph"/>
        <w:autoSpaceDE w:val="0"/>
        <w:autoSpaceDN w:val="0"/>
        <w:adjustRightInd w:val="0"/>
        <w:ind w:left="851"/>
        <w:rPr>
          <w:rFonts w:ascii="Arial" w:hAnsi="Arial" w:cs="Arial"/>
          <w:b/>
          <w:sz w:val="20"/>
          <w:szCs w:val="20"/>
          <w:highlight w:val="magenta"/>
        </w:rPr>
      </w:pPr>
    </w:p>
    <w:p w:rsidR="00F6583B" w:rsidRPr="009A3C2A" w:rsidRDefault="006C2AF8" w:rsidP="009A3C2A">
      <w:pPr>
        <w:numPr>
          <w:ilvl w:val="0"/>
          <w:numId w:val="1"/>
        </w:numPr>
        <w:tabs>
          <w:tab w:val="clear" w:pos="360"/>
          <w:tab w:val="num" w:pos="851"/>
        </w:tabs>
        <w:ind w:left="851" w:hanging="851"/>
        <w:rPr>
          <w:rFonts w:ascii="Arial" w:hAnsi="Arial" w:cs="Arial"/>
          <w:b/>
          <w:sz w:val="20"/>
          <w:szCs w:val="20"/>
        </w:rPr>
      </w:pPr>
      <w:r w:rsidRPr="009A3C2A">
        <w:rPr>
          <w:rFonts w:ascii="Arial" w:hAnsi="Arial" w:cs="Arial"/>
          <w:b/>
          <w:sz w:val="20"/>
          <w:szCs w:val="20"/>
        </w:rPr>
        <w:t>Financial performance</w:t>
      </w:r>
    </w:p>
    <w:p w:rsidR="006C2AF8" w:rsidRPr="009A3C2A" w:rsidRDefault="006C2AF8" w:rsidP="009A3C2A">
      <w:pPr>
        <w:rPr>
          <w:rFonts w:ascii="Arial" w:hAnsi="Arial" w:cs="Arial"/>
          <w:b/>
          <w:sz w:val="20"/>
          <w:szCs w:val="20"/>
        </w:rPr>
      </w:pPr>
    </w:p>
    <w:p w:rsidR="00D4679B" w:rsidRPr="009A3C2A" w:rsidRDefault="009332BB" w:rsidP="009A3C2A">
      <w:pPr>
        <w:rPr>
          <w:rFonts w:ascii="Arial" w:hAnsi="Arial" w:cs="Arial"/>
          <w:b/>
          <w:sz w:val="20"/>
          <w:szCs w:val="20"/>
        </w:rPr>
      </w:pPr>
      <w:r w:rsidRPr="009A3C2A">
        <w:rPr>
          <w:rFonts w:ascii="Arial" w:hAnsi="Arial" w:cs="Arial"/>
          <w:b/>
          <w:sz w:val="20"/>
          <w:szCs w:val="20"/>
        </w:rPr>
        <w:t>Table 3</w:t>
      </w:r>
      <w:r w:rsidR="00D4679B" w:rsidRPr="009A3C2A">
        <w:rPr>
          <w:rFonts w:ascii="Arial" w:hAnsi="Arial" w:cs="Arial"/>
          <w:b/>
          <w:sz w:val="20"/>
          <w:szCs w:val="20"/>
        </w:rPr>
        <w:t xml:space="preserve">: </w:t>
      </w:r>
      <w:r w:rsidR="00653BB2" w:rsidRPr="009A3C2A">
        <w:rPr>
          <w:rFonts w:ascii="Arial" w:hAnsi="Arial" w:cs="Arial"/>
          <w:b/>
          <w:sz w:val="20"/>
          <w:szCs w:val="20"/>
        </w:rPr>
        <w:t xml:space="preserve">Final appropriation </w:t>
      </w:r>
      <w:r w:rsidR="00BD0D2F" w:rsidRPr="009A3C2A">
        <w:rPr>
          <w:rFonts w:ascii="Arial" w:hAnsi="Arial" w:cs="Arial"/>
          <w:b/>
          <w:sz w:val="20"/>
          <w:szCs w:val="20"/>
        </w:rPr>
        <w:t>per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2146"/>
        <w:gridCol w:w="1257"/>
        <w:gridCol w:w="1257"/>
        <w:gridCol w:w="1259"/>
      </w:tblGrid>
      <w:tr w:rsidR="00D4679B" w:rsidRPr="009A3C2A" w:rsidTr="00211FD4">
        <w:trPr>
          <w:tblHeader/>
        </w:trPr>
        <w:tc>
          <w:tcPr>
            <w:tcW w:w="2029" w:type="pct"/>
            <w:vMerge w:val="restart"/>
            <w:shd w:val="clear" w:color="auto" w:fill="D9D9D9"/>
          </w:tcPr>
          <w:p w:rsidR="00D4679B" w:rsidRPr="009A3C2A" w:rsidRDefault="00D4679B" w:rsidP="009A3C2A">
            <w:pPr>
              <w:pStyle w:val="NormalWeb"/>
              <w:spacing w:before="0" w:after="0"/>
              <w:rPr>
                <w:rFonts w:ascii="Arial" w:hAnsi="Arial" w:cs="Arial"/>
                <w:sz w:val="20"/>
                <w:szCs w:val="20"/>
                <w:lang w:val="en-US" w:eastAsia="en-US"/>
              </w:rPr>
            </w:pPr>
            <w:r w:rsidRPr="009A3C2A">
              <w:rPr>
                <w:rFonts w:ascii="Arial" w:hAnsi="Arial" w:cs="Arial"/>
                <w:b/>
                <w:bCs/>
                <w:color w:val="000000"/>
                <w:kern w:val="24"/>
                <w:sz w:val="20"/>
                <w:szCs w:val="20"/>
              </w:rPr>
              <w:t>Programme</w:t>
            </w:r>
          </w:p>
        </w:tc>
        <w:tc>
          <w:tcPr>
            <w:tcW w:w="1077" w:type="pct"/>
            <w:vMerge w:val="restart"/>
            <w:shd w:val="clear" w:color="auto" w:fill="D9D9D9"/>
          </w:tcPr>
          <w:p w:rsidR="00D4679B" w:rsidRPr="009A3C2A" w:rsidRDefault="00D4679B" w:rsidP="009A3C2A">
            <w:pPr>
              <w:rPr>
                <w:rFonts w:ascii="Arial" w:hAnsi="Arial" w:cs="Arial"/>
                <w:b/>
                <w:bCs/>
                <w:sz w:val="20"/>
                <w:szCs w:val="20"/>
                <w:lang w:val="en-US"/>
              </w:rPr>
            </w:pPr>
            <w:r w:rsidRPr="009A3C2A">
              <w:rPr>
                <w:rFonts w:ascii="Arial" w:hAnsi="Arial" w:cs="Arial"/>
                <w:b/>
                <w:bCs/>
                <w:sz w:val="20"/>
                <w:szCs w:val="20"/>
                <w:lang w:val="en-US"/>
              </w:rPr>
              <w:t>Final</w:t>
            </w:r>
          </w:p>
          <w:p w:rsidR="00D4679B" w:rsidRPr="009A3C2A" w:rsidRDefault="00D4679B" w:rsidP="009A3C2A">
            <w:pPr>
              <w:rPr>
                <w:rFonts w:ascii="Arial" w:hAnsi="Arial" w:cs="Arial"/>
                <w:b/>
                <w:bCs/>
                <w:sz w:val="20"/>
                <w:szCs w:val="20"/>
                <w:lang w:val="en-US"/>
              </w:rPr>
            </w:pPr>
            <w:r w:rsidRPr="009A3C2A">
              <w:rPr>
                <w:rFonts w:ascii="Arial" w:hAnsi="Arial" w:cs="Arial"/>
                <w:b/>
                <w:bCs/>
                <w:sz w:val="20"/>
                <w:szCs w:val="20"/>
                <w:lang w:val="en-US"/>
              </w:rPr>
              <w:t xml:space="preserve">Appropriation </w:t>
            </w:r>
          </w:p>
          <w:p w:rsidR="00D4679B" w:rsidRPr="009A3C2A" w:rsidRDefault="00D4679B" w:rsidP="009A3C2A">
            <w:pPr>
              <w:rPr>
                <w:rFonts w:ascii="Arial" w:hAnsi="Arial" w:cs="Arial"/>
                <w:sz w:val="20"/>
                <w:szCs w:val="20"/>
                <w:lang w:val="en-US"/>
              </w:rPr>
            </w:pPr>
            <w:r w:rsidRPr="009A3C2A">
              <w:rPr>
                <w:rFonts w:ascii="Arial" w:hAnsi="Arial" w:cs="Arial"/>
                <w:b/>
                <w:bCs/>
                <w:sz w:val="20"/>
                <w:szCs w:val="20"/>
                <w:lang w:val="en-US"/>
              </w:rPr>
              <w:t>202</w:t>
            </w:r>
            <w:r w:rsidR="00211FD4" w:rsidRPr="009A3C2A">
              <w:rPr>
                <w:rFonts w:ascii="Arial" w:hAnsi="Arial" w:cs="Arial"/>
                <w:b/>
                <w:bCs/>
                <w:sz w:val="20"/>
                <w:szCs w:val="20"/>
                <w:lang w:val="en-US"/>
              </w:rPr>
              <w:t>1/22</w:t>
            </w:r>
          </w:p>
        </w:tc>
        <w:tc>
          <w:tcPr>
            <w:tcW w:w="1895" w:type="pct"/>
            <w:gridSpan w:val="3"/>
            <w:shd w:val="clear" w:color="auto" w:fill="D9D9D9"/>
          </w:tcPr>
          <w:p w:rsidR="00D4679B" w:rsidRPr="009A3C2A" w:rsidRDefault="00D4679B" w:rsidP="009A3C2A">
            <w:pPr>
              <w:rPr>
                <w:rFonts w:ascii="Arial" w:hAnsi="Arial" w:cs="Arial"/>
                <w:sz w:val="20"/>
                <w:szCs w:val="20"/>
              </w:rPr>
            </w:pPr>
            <w:r w:rsidRPr="009A3C2A">
              <w:rPr>
                <w:rFonts w:ascii="Arial" w:hAnsi="Arial" w:cs="Arial"/>
                <w:b/>
                <w:bCs/>
                <w:sz w:val="20"/>
                <w:szCs w:val="20"/>
                <w:lang w:val="en-US"/>
              </w:rPr>
              <w:t>MTEF</w:t>
            </w:r>
          </w:p>
        </w:tc>
      </w:tr>
      <w:tr w:rsidR="00D4679B" w:rsidRPr="009A3C2A" w:rsidTr="00211FD4">
        <w:trPr>
          <w:tblHeader/>
        </w:trPr>
        <w:tc>
          <w:tcPr>
            <w:tcW w:w="2029" w:type="pct"/>
            <w:vMerge/>
            <w:shd w:val="clear" w:color="auto" w:fill="D9D9D9"/>
          </w:tcPr>
          <w:p w:rsidR="00D4679B" w:rsidRPr="009A3C2A" w:rsidRDefault="00D4679B" w:rsidP="009A3C2A">
            <w:pPr>
              <w:pStyle w:val="NormalWeb"/>
              <w:spacing w:before="0" w:after="0"/>
              <w:rPr>
                <w:rFonts w:ascii="Arial" w:hAnsi="Arial" w:cs="Arial"/>
                <w:b/>
                <w:bCs/>
                <w:color w:val="000000"/>
                <w:kern w:val="24"/>
                <w:sz w:val="20"/>
                <w:szCs w:val="20"/>
              </w:rPr>
            </w:pPr>
          </w:p>
        </w:tc>
        <w:tc>
          <w:tcPr>
            <w:tcW w:w="1077" w:type="pct"/>
            <w:vMerge/>
            <w:shd w:val="clear" w:color="auto" w:fill="D9D9D9"/>
          </w:tcPr>
          <w:p w:rsidR="00D4679B" w:rsidRPr="009A3C2A" w:rsidRDefault="00D4679B" w:rsidP="009A3C2A">
            <w:pPr>
              <w:rPr>
                <w:rFonts w:ascii="Arial" w:hAnsi="Arial" w:cs="Arial"/>
                <w:sz w:val="20"/>
                <w:szCs w:val="20"/>
              </w:rPr>
            </w:pPr>
          </w:p>
        </w:tc>
        <w:tc>
          <w:tcPr>
            <w:tcW w:w="631" w:type="pct"/>
            <w:shd w:val="clear" w:color="auto" w:fill="D9D9D9"/>
          </w:tcPr>
          <w:p w:rsidR="00D4679B" w:rsidRPr="009A3C2A" w:rsidRDefault="00D4679B" w:rsidP="009A3C2A">
            <w:pPr>
              <w:pStyle w:val="NormalWeb"/>
              <w:spacing w:before="0" w:after="0"/>
              <w:rPr>
                <w:rFonts w:ascii="Arial" w:hAnsi="Arial" w:cs="Arial"/>
                <w:sz w:val="20"/>
                <w:szCs w:val="20"/>
                <w:lang w:val="en-US" w:eastAsia="en-US"/>
              </w:rPr>
            </w:pPr>
            <w:r w:rsidRPr="009A3C2A">
              <w:rPr>
                <w:rFonts w:ascii="Arial" w:hAnsi="Arial" w:cs="Arial"/>
                <w:b/>
                <w:bCs/>
                <w:color w:val="000000"/>
                <w:kern w:val="24"/>
                <w:sz w:val="20"/>
                <w:szCs w:val="20"/>
              </w:rPr>
              <w:t>202</w:t>
            </w:r>
            <w:r w:rsidR="00211FD4" w:rsidRPr="009A3C2A">
              <w:rPr>
                <w:rFonts w:ascii="Arial" w:hAnsi="Arial" w:cs="Arial"/>
                <w:b/>
                <w:bCs/>
                <w:color w:val="000000"/>
                <w:kern w:val="24"/>
                <w:sz w:val="20"/>
                <w:szCs w:val="20"/>
              </w:rPr>
              <w:t>2/23</w:t>
            </w:r>
          </w:p>
        </w:tc>
        <w:tc>
          <w:tcPr>
            <w:tcW w:w="631" w:type="pct"/>
            <w:shd w:val="clear" w:color="auto" w:fill="D9D9D9"/>
          </w:tcPr>
          <w:p w:rsidR="00D4679B" w:rsidRPr="009A3C2A" w:rsidRDefault="00D4679B" w:rsidP="009A3C2A">
            <w:pPr>
              <w:pStyle w:val="NormalWeb"/>
              <w:spacing w:before="0" w:after="0"/>
              <w:rPr>
                <w:rFonts w:ascii="Arial" w:hAnsi="Arial" w:cs="Arial"/>
                <w:sz w:val="20"/>
                <w:szCs w:val="20"/>
              </w:rPr>
            </w:pPr>
            <w:r w:rsidRPr="009A3C2A">
              <w:rPr>
                <w:rFonts w:ascii="Arial" w:hAnsi="Arial" w:cs="Arial"/>
                <w:b/>
                <w:bCs/>
                <w:color w:val="000000"/>
                <w:kern w:val="24"/>
                <w:sz w:val="20"/>
                <w:szCs w:val="20"/>
              </w:rPr>
              <w:t>2</w:t>
            </w:r>
            <w:r w:rsidR="00211FD4" w:rsidRPr="009A3C2A">
              <w:rPr>
                <w:rFonts w:ascii="Arial" w:hAnsi="Arial" w:cs="Arial"/>
                <w:b/>
                <w:bCs/>
                <w:color w:val="000000"/>
                <w:kern w:val="24"/>
                <w:sz w:val="20"/>
                <w:szCs w:val="20"/>
              </w:rPr>
              <w:t>023/24</w:t>
            </w:r>
          </w:p>
        </w:tc>
        <w:tc>
          <w:tcPr>
            <w:tcW w:w="632" w:type="pct"/>
            <w:shd w:val="clear" w:color="auto" w:fill="D9D9D9"/>
          </w:tcPr>
          <w:p w:rsidR="00D4679B" w:rsidRPr="009A3C2A" w:rsidRDefault="00D4679B" w:rsidP="009A3C2A">
            <w:pPr>
              <w:pStyle w:val="NormalWeb"/>
              <w:spacing w:before="0" w:after="0"/>
              <w:rPr>
                <w:rFonts w:ascii="Arial" w:hAnsi="Arial" w:cs="Arial"/>
                <w:sz w:val="20"/>
                <w:szCs w:val="20"/>
              </w:rPr>
            </w:pPr>
            <w:r w:rsidRPr="009A3C2A">
              <w:rPr>
                <w:rFonts w:ascii="Arial" w:hAnsi="Arial" w:cs="Arial"/>
                <w:b/>
                <w:bCs/>
                <w:color w:val="000000"/>
                <w:kern w:val="24"/>
                <w:sz w:val="20"/>
                <w:szCs w:val="20"/>
              </w:rPr>
              <w:t>202</w:t>
            </w:r>
            <w:r w:rsidR="00211FD4" w:rsidRPr="009A3C2A">
              <w:rPr>
                <w:rFonts w:ascii="Arial" w:hAnsi="Arial" w:cs="Arial"/>
                <w:b/>
                <w:bCs/>
                <w:color w:val="000000"/>
                <w:kern w:val="24"/>
                <w:sz w:val="20"/>
                <w:szCs w:val="20"/>
              </w:rPr>
              <w:t>4/25</w:t>
            </w:r>
          </w:p>
        </w:tc>
      </w:tr>
      <w:tr w:rsidR="00D4679B" w:rsidRPr="009A3C2A" w:rsidTr="00BD0D2F">
        <w:trPr>
          <w:tblHeader/>
        </w:trPr>
        <w:tc>
          <w:tcPr>
            <w:tcW w:w="2029" w:type="pct"/>
            <w:vMerge/>
            <w:shd w:val="clear" w:color="auto" w:fill="D9D9D9"/>
          </w:tcPr>
          <w:p w:rsidR="00D4679B" w:rsidRPr="009A3C2A" w:rsidRDefault="00D4679B" w:rsidP="009A3C2A">
            <w:pPr>
              <w:pStyle w:val="NormalWeb"/>
              <w:spacing w:before="0" w:after="0"/>
              <w:rPr>
                <w:rFonts w:ascii="Arial" w:hAnsi="Arial" w:cs="Arial"/>
                <w:b/>
                <w:bCs/>
                <w:color w:val="000000"/>
                <w:kern w:val="24"/>
                <w:sz w:val="20"/>
                <w:szCs w:val="20"/>
              </w:rPr>
            </w:pPr>
          </w:p>
        </w:tc>
        <w:tc>
          <w:tcPr>
            <w:tcW w:w="2971" w:type="pct"/>
            <w:gridSpan w:val="4"/>
            <w:shd w:val="clear" w:color="auto" w:fill="D9D9D9"/>
          </w:tcPr>
          <w:p w:rsidR="00D4679B" w:rsidRPr="009A3C2A" w:rsidRDefault="00D4679B" w:rsidP="009A3C2A">
            <w:pPr>
              <w:rPr>
                <w:rFonts w:ascii="Arial" w:hAnsi="Arial" w:cs="Arial"/>
                <w:sz w:val="20"/>
                <w:szCs w:val="20"/>
              </w:rPr>
            </w:pPr>
            <w:r w:rsidRPr="009A3C2A">
              <w:rPr>
                <w:rFonts w:ascii="Arial" w:hAnsi="Arial" w:cs="Arial"/>
                <w:b/>
                <w:bCs/>
                <w:kern w:val="24"/>
                <w:sz w:val="20"/>
                <w:szCs w:val="20"/>
              </w:rPr>
              <w:t xml:space="preserve">R </w:t>
            </w:r>
            <w:r w:rsidR="00BD0D2F" w:rsidRPr="009A3C2A">
              <w:rPr>
                <w:rFonts w:ascii="Arial" w:hAnsi="Arial" w:cs="Arial"/>
                <w:b/>
                <w:bCs/>
                <w:kern w:val="24"/>
                <w:sz w:val="20"/>
                <w:szCs w:val="20"/>
              </w:rPr>
              <w:t>‘</w:t>
            </w:r>
            <w:r w:rsidR="006C2AF8" w:rsidRPr="009A3C2A">
              <w:rPr>
                <w:rFonts w:ascii="Arial" w:hAnsi="Arial" w:cs="Arial"/>
                <w:b/>
                <w:bCs/>
                <w:kern w:val="24"/>
                <w:sz w:val="20"/>
                <w:szCs w:val="20"/>
              </w:rPr>
              <w:t>million</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lang w:val="en-US" w:eastAsia="en-US"/>
              </w:rPr>
            </w:pPr>
            <w:r w:rsidRPr="009A3C2A">
              <w:rPr>
                <w:rFonts w:ascii="Arial" w:hAnsi="Arial" w:cs="Arial"/>
                <w:color w:val="000000"/>
                <w:kern w:val="24"/>
                <w:sz w:val="20"/>
                <w:szCs w:val="20"/>
              </w:rPr>
              <w:t>Administration</w:t>
            </w:r>
          </w:p>
        </w:tc>
        <w:tc>
          <w:tcPr>
            <w:tcW w:w="1077" w:type="pct"/>
            <w:shd w:val="clear" w:color="auto" w:fill="auto"/>
          </w:tcPr>
          <w:p w:rsidR="00C1503F" w:rsidRPr="009A3C2A" w:rsidRDefault="00F97735" w:rsidP="009A3C2A">
            <w:pPr>
              <w:pStyle w:val="NormalWeb"/>
              <w:spacing w:before="0" w:after="0"/>
              <w:rPr>
                <w:rFonts w:ascii="Arial" w:hAnsi="Arial" w:cs="Arial"/>
                <w:sz w:val="20"/>
                <w:szCs w:val="20"/>
                <w:lang w:val="en-US" w:eastAsia="en-US"/>
              </w:rPr>
            </w:pPr>
            <w:r w:rsidRPr="009A3C2A">
              <w:rPr>
                <w:rFonts w:ascii="Arial" w:hAnsi="Arial" w:cs="Arial"/>
                <w:sz w:val="20"/>
                <w:szCs w:val="20"/>
              </w:rPr>
              <w:t>252.3</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255.7</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260.6</w:t>
            </w:r>
          </w:p>
        </w:tc>
        <w:tc>
          <w:tcPr>
            <w:tcW w:w="632"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271.9</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Superior Court Services</w:t>
            </w:r>
          </w:p>
        </w:tc>
        <w:tc>
          <w:tcPr>
            <w:tcW w:w="1077" w:type="pct"/>
            <w:shd w:val="clear" w:color="auto" w:fill="auto"/>
          </w:tcPr>
          <w:p w:rsidR="00C1503F" w:rsidRPr="009A3C2A" w:rsidRDefault="00F97735" w:rsidP="009A3C2A">
            <w:pPr>
              <w:pStyle w:val="NormalWeb"/>
              <w:spacing w:before="0" w:after="0"/>
              <w:rPr>
                <w:rFonts w:ascii="Arial" w:hAnsi="Arial" w:cs="Arial"/>
                <w:sz w:val="20"/>
                <w:szCs w:val="20"/>
              </w:rPr>
            </w:pPr>
            <w:r w:rsidRPr="009A3C2A">
              <w:rPr>
                <w:rFonts w:ascii="Arial" w:hAnsi="Arial" w:cs="Arial"/>
                <w:sz w:val="20"/>
                <w:szCs w:val="20"/>
              </w:rPr>
              <w:t>929.1</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958.8</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919.4</w:t>
            </w:r>
          </w:p>
        </w:tc>
        <w:tc>
          <w:tcPr>
            <w:tcW w:w="632"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961.0</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color w:val="000000"/>
                <w:kern w:val="24"/>
                <w:sz w:val="20"/>
                <w:szCs w:val="20"/>
              </w:rPr>
              <w:t>Judicial Education and Support</w:t>
            </w:r>
          </w:p>
        </w:tc>
        <w:tc>
          <w:tcPr>
            <w:tcW w:w="1077" w:type="pct"/>
            <w:shd w:val="clear" w:color="auto" w:fill="auto"/>
          </w:tcPr>
          <w:p w:rsidR="00C1503F" w:rsidRPr="009A3C2A" w:rsidRDefault="00BF44CE" w:rsidP="009A3C2A">
            <w:pPr>
              <w:pStyle w:val="NormalWeb"/>
              <w:spacing w:before="0" w:after="0"/>
              <w:rPr>
                <w:rFonts w:ascii="Arial" w:hAnsi="Arial" w:cs="Arial"/>
                <w:sz w:val="20"/>
                <w:szCs w:val="20"/>
              </w:rPr>
            </w:pPr>
            <w:r w:rsidRPr="009A3C2A">
              <w:rPr>
                <w:rFonts w:ascii="Arial" w:hAnsi="Arial" w:cs="Arial"/>
                <w:sz w:val="20"/>
                <w:szCs w:val="20"/>
              </w:rPr>
              <w:t>60.4</w:t>
            </w:r>
          </w:p>
        </w:tc>
        <w:tc>
          <w:tcPr>
            <w:tcW w:w="631" w:type="pct"/>
            <w:shd w:val="clear" w:color="auto" w:fill="auto"/>
          </w:tcPr>
          <w:p w:rsidR="00C1503F" w:rsidRPr="009A3C2A" w:rsidRDefault="00C1503F" w:rsidP="009A3C2A">
            <w:pPr>
              <w:rPr>
                <w:rFonts w:ascii="Arial" w:hAnsi="Arial" w:cs="Arial"/>
                <w:sz w:val="20"/>
                <w:szCs w:val="20"/>
              </w:rPr>
            </w:pPr>
            <w:r w:rsidRPr="009A3C2A">
              <w:rPr>
                <w:rFonts w:ascii="Arial" w:hAnsi="Arial" w:cs="Arial"/>
                <w:sz w:val="20"/>
                <w:szCs w:val="20"/>
              </w:rPr>
              <w:t>51.4</w:t>
            </w:r>
          </w:p>
        </w:tc>
        <w:tc>
          <w:tcPr>
            <w:tcW w:w="631" w:type="pct"/>
            <w:shd w:val="clear" w:color="auto" w:fill="auto"/>
          </w:tcPr>
          <w:p w:rsidR="00C1503F" w:rsidRPr="009A3C2A" w:rsidRDefault="00C1503F" w:rsidP="009A3C2A">
            <w:pPr>
              <w:rPr>
                <w:rFonts w:ascii="Arial" w:hAnsi="Arial" w:cs="Arial"/>
                <w:sz w:val="20"/>
                <w:szCs w:val="20"/>
              </w:rPr>
            </w:pPr>
            <w:r w:rsidRPr="009A3C2A">
              <w:rPr>
                <w:rFonts w:ascii="Arial" w:hAnsi="Arial" w:cs="Arial"/>
                <w:sz w:val="20"/>
                <w:szCs w:val="20"/>
              </w:rPr>
              <w:t>52.9</w:t>
            </w:r>
          </w:p>
        </w:tc>
        <w:tc>
          <w:tcPr>
            <w:tcW w:w="632" w:type="pct"/>
            <w:shd w:val="clear" w:color="auto" w:fill="auto"/>
          </w:tcPr>
          <w:p w:rsidR="00C1503F" w:rsidRPr="009A3C2A" w:rsidRDefault="00C1503F" w:rsidP="009A3C2A">
            <w:pPr>
              <w:rPr>
                <w:rFonts w:ascii="Arial" w:hAnsi="Arial" w:cs="Arial"/>
                <w:sz w:val="20"/>
                <w:szCs w:val="20"/>
              </w:rPr>
            </w:pPr>
            <w:r w:rsidRPr="009A3C2A">
              <w:rPr>
                <w:rFonts w:ascii="Arial" w:hAnsi="Arial" w:cs="Arial"/>
                <w:sz w:val="20"/>
                <w:szCs w:val="20"/>
              </w:rPr>
              <w:t xml:space="preserve">55.4 </w:t>
            </w:r>
            <w:r w:rsidRPr="009A3C2A">
              <w:rPr>
                <w:rFonts w:cs="Arial"/>
                <w:sz w:val="20"/>
                <w:szCs w:val="20"/>
              </w:rPr>
              <w:t>‐</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lang w:val="en-US" w:eastAsia="en-US"/>
              </w:rPr>
            </w:pPr>
            <w:r w:rsidRPr="009A3C2A">
              <w:rPr>
                <w:rFonts w:ascii="Arial" w:hAnsi="Arial" w:cs="Arial"/>
                <w:b/>
                <w:bCs/>
                <w:color w:val="000000"/>
                <w:kern w:val="24"/>
                <w:sz w:val="20"/>
                <w:szCs w:val="20"/>
              </w:rPr>
              <w:t>Subtotal</w:t>
            </w:r>
          </w:p>
        </w:tc>
        <w:tc>
          <w:tcPr>
            <w:tcW w:w="1077" w:type="pct"/>
            <w:shd w:val="clear" w:color="auto" w:fill="auto"/>
          </w:tcPr>
          <w:p w:rsidR="00C1503F" w:rsidRPr="009A3C2A" w:rsidRDefault="00BF44CE" w:rsidP="009A3C2A">
            <w:pPr>
              <w:pStyle w:val="NormalWeb"/>
              <w:spacing w:before="0" w:after="0"/>
              <w:rPr>
                <w:rFonts w:ascii="Arial" w:hAnsi="Arial" w:cs="Arial"/>
                <w:b/>
                <w:sz w:val="20"/>
                <w:szCs w:val="20"/>
              </w:rPr>
            </w:pPr>
            <w:r w:rsidRPr="009A3C2A">
              <w:rPr>
                <w:rFonts w:ascii="Arial" w:hAnsi="Arial" w:cs="Arial"/>
                <w:b/>
                <w:sz w:val="20"/>
                <w:szCs w:val="20"/>
              </w:rPr>
              <w:t>1 241.8</w:t>
            </w:r>
          </w:p>
        </w:tc>
        <w:tc>
          <w:tcPr>
            <w:tcW w:w="631"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sz w:val="20"/>
                <w:szCs w:val="20"/>
              </w:rPr>
              <w:t>1 265.8</w:t>
            </w:r>
          </w:p>
        </w:tc>
        <w:tc>
          <w:tcPr>
            <w:tcW w:w="631"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sz w:val="20"/>
                <w:szCs w:val="20"/>
              </w:rPr>
              <w:t>1 232.9</w:t>
            </w:r>
          </w:p>
        </w:tc>
        <w:tc>
          <w:tcPr>
            <w:tcW w:w="632"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sz w:val="20"/>
                <w:szCs w:val="20"/>
              </w:rPr>
              <w:t>1 288.3</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kern w:val="24"/>
                <w:sz w:val="20"/>
                <w:szCs w:val="20"/>
              </w:rPr>
              <w:t>Judges’ Salaries</w:t>
            </w:r>
          </w:p>
        </w:tc>
        <w:tc>
          <w:tcPr>
            <w:tcW w:w="1077"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1 118.4</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1 122.6</w:t>
            </w:r>
          </w:p>
        </w:tc>
        <w:tc>
          <w:tcPr>
            <w:tcW w:w="631"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1 124.7</w:t>
            </w:r>
          </w:p>
        </w:tc>
        <w:tc>
          <w:tcPr>
            <w:tcW w:w="632"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sz w:val="20"/>
                <w:szCs w:val="20"/>
              </w:rPr>
              <w:t>1 175.2</w:t>
            </w:r>
          </w:p>
        </w:tc>
      </w:tr>
      <w:tr w:rsidR="00C1503F" w:rsidRPr="009A3C2A" w:rsidTr="00211FD4">
        <w:tc>
          <w:tcPr>
            <w:tcW w:w="2029" w:type="pct"/>
            <w:shd w:val="clear" w:color="auto" w:fill="auto"/>
          </w:tcPr>
          <w:p w:rsidR="00C1503F" w:rsidRPr="009A3C2A" w:rsidRDefault="00C1503F" w:rsidP="009A3C2A">
            <w:pPr>
              <w:pStyle w:val="NormalWeb"/>
              <w:spacing w:before="0" w:after="0"/>
              <w:rPr>
                <w:rFonts w:ascii="Arial" w:hAnsi="Arial" w:cs="Arial"/>
                <w:sz w:val="20"/>
                <w:szCs w:val="20"/>
              </w:rPr>
            </w:pPr>
            <w:r w:rsidRPr="009A3C2A">
              <w:rPr>
                <w:rFonts w:ascii="Arial" w:hAnsi="Arial" w:cs="Arial"/>
                <w:b/>
                <w:bCs/>
                <w:color w:val="000000"/>
                <w:kern w:val="24"/>
                <w:sz w:val="20"/>
                <w:szCs w:val="20"/>
              </w:rPr>
              <w:lastRenderedPageBreak/>
              <w:t xml:space="preserve">Total </w:t>
            </w:r>
          </w:p>
        </w:tc>
        <w:tc>
          <w:tcPr>
            <w:tcW w:w="1077" w:type="pct"/>
            <w:shd w:val="clear" w:color="auto" w:fill="auto"/>
          </w:tcPr>
          <w:p w:rsidR="00C1503F" w:rsidRPr="009A3C2A" w:rsidRDefault="00BF44CE" w:rsidP="009A3C2A">
            <w:pPr>
              <w:pStyle w:val="NormalWeb"/>
              <w:spacing w:before="0" w:after="0"/>
              <w:rPr>
                <w:rFonts w:ascii="Arial" w:hAnsi="Arial" w:cs="Arial"/>
                <w:b/>
                <w:sz w:val="20"/>
                <w:szCs w:val="20"/>
                <w:lang w:val="en-US" w:eastAsia="en-US"/>
              </w:rPr>
            </w:pPr>
            <w:r w:rsidRPr="009A3C2A">
              <w:rPr>
                <w:rFonts w:ascii="Arial" w:hAnsi="Arial" w:cs="Arial"/>
                <w:b/>
                <w:sz w:val="20"/>
                <w:szCs w:val="20"/>
              </w:rPr>
              <w:t>2 360.2</w:t>
            </w:r>
          </w:p>
        </w:tc>
        <w:tc>
          <w:tcPr>
            <w:tcW w:w="631"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b/>
                <w:sz w:val="20"/>
                <w:szCs w:val="20"/>
              </w:rPr>
              <w:t>2 388.4</w:t>
            </w:r>
          </w:p>
        </w:tc>
        <w:tc>
          <w:tcPr>
            <w:tcW w:w="631"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b/>
                <w:sz w:val="20"/>
                <w:szCs w:val="20"/>
              </w:rPr>
              <w:t>2 357.6</w:t>
            </w:r>
          </w:p>
        </w:tc>
        <w:tc>
          <w:tcPr>
            <w:tcW w:w="632" w:type="pct"/>
            <w:shd w:val="clear" w:color="auto" w:fill="auto"/>
          </w:tcPr>
          <w:p w:rsidR="00C1503F" w:rsidRPr="009A3C2A" w:rsidRDefault="00C1503F" w:rsidP="009A3C2A">
            <w:pPr>
              <w:pStyle w:val="NormalWeb"/>
              <w:spacing w:before="0" w:after="0"/>
              <w:rPr>
                <w:rFonts w:ascii="Arial" w:hAnsi="Arial" w:cs="Arial"/>
                <w:b/>
                <w:sz w:val="20"/>
                <w:szCs w:val="20"/>
              </w:rPr>
            </w:pPr>
            <w:r w:rsidRPr="009A3C2A">
              <w:rPr>
                <w:rFonts w:ascii="Arial" w:hAnsi="Arial" w:cs="Arial"/>
                <w:b/>
                <w:sz w:val="20"/>
                <w:szCs w:val="20"/>
              </w:rPr>
              <w:t>2 463.5</w:t>
            </w:r>
          </w:p>
        </w:tc>
      </w:tr>
    </w:tbl>
    <w:p w:rsidR="00ED755D" w:rsidRPr="009A3C2A" w:rsidRDefault="00ED755D" w:rsidP="009A3C2A">
      <w:pPr>
        <w:ind w:left="709"/>
        <w:rPr>
          <w:rFonts w:ascii="Arial" w:hAnsi="Arial" w:cs="Arial"/>
          <w:b/>
          <w:sz w:val="20"/>
          <w:szCs w:val="20"/>
        </w:rPr>
      </w:pPr>
    </w:p>
    <w:p w:rsidR="006C2AF8" w:rsidRPr="009A3C2A" w:rsidRDefault="004A6B86" w:rsidP="009A3C2A">
      <w:pPr>
        <w:autoSpaceDE w:val="0"/>
        <w:autoSpaceDN w:val="0"/>
        <w:adjustRightInd w:val="0"/>
        <w:rPr>
          <w:rFonts w:ascii="Arial" w:hAnsi="Arial" w:cs="Arial"/>
          <w:i/>
          <w:sz w:val="20"/>
          <w:szCs w:val="20"/>
        </w:rPr>
      </w:pPr>
      <w:r w:rsidRPr="009A3C2A">
        <w:rPr>
          <w:rFonts w:ascii="Arial" w:hAnsi="Arial" w:cs="Arial"/>
          <w:b/>
          <w:i/>
          <w:sz w:val="20"/>
          <w:szCs w:val="20"/>
        </w:rPr>
        <w:t>Table 4</w:t>
      </w:r>
      <w:r w:rsidR="006C2AF8" w:rsidRPr="009A3C2A">
        <w:rPr>
          <w:rFonts w:ascii="Arial" w:hAnsi="Arial" w:cs="Arial"/>
          <w:b/>
          <w:i/>
          <w:sz w:val="20"/>
          <w:szCs w:val="20"/>
        </w:rPr>
        <w:t xml:space="preserve">: </w:t>
      </w:r>
      <w:r w:rsidR="00653BB2" w:rsidRPr="009A3C2A">
        <w:rPr>
          <w:rFonts w:ascii="Arial" w:hAnsi="Arial" w:cs="Arial"/>
          <w:b/>
          <w:i/>
          <w:sz w:val="20"/>
          <w:szCs w:val="20"/>
        </w:rPr>
        <w:t xml:space="preserve">Final appropriation </w:t>
      </w:r>
      <w:r w:rsidR="006C2AF8" w:rsidRPr="009A3C2A">
        <w:rPr>
          <w:rFonts w:ascii="Arial" w:hAnsi="Arial" w:cs="Arial"/>
          <w:b/>
          <w:i/>
          <w:sz w:val="20"/>
          <w:szCs w:val="20"/>
        </w:rPr>
        <w:t>per economic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1788"/>
        <w:gridCol w:w="1410"/>
        <w:gridCol w:w="1394"/>
        <w:gridCol w:w="1232"/>
      </w:tblGrid>
      <w:tr w:rsidR="006C2AF8" w:rsidRPr="009A3C2A" w:rsidTr="001024C2">
        <w:trPr>
          <w:tblHeader/>
        </w:trPr>
        <w:tc>
          <w:tcPr>
            <w:tcW w:w="0" w:type="auto"/>
            <w:vMerge w:val="restart"/>
            <w:shd w:val="clear" w:color="auto" w:fill="D9D9D9"/>
          </w:tcPr>
          <w:p w:rsidR="006C2AF8" w:rsidRPr="009A3C2A" w:rsidRDefault="006C2AF8" w:rsidP="009A3C2A">
            <w:pPr>
              <w:pStyle w:val="NormalWeb"/>
              <w:spacing w:before="0" w:after="0"/>
              <w:rPr>
                <w:rFonts w:ascii="Arial" w:hAnsi="Arial" w:cs="Arial"/>
                <w:sz w:val="20"/>
                <w:szCs w:val="20"/>
                <w:lang w:val="en-US" w:eastAsia="en-US"/>
              </w:rPr>
            </w:pPr>
            <w:r w:rsidRPr="009A3C2A">
              <w:rPr>
                <w:rFonts w:ascii="Arial" w:hAnsi="Arial" w:cs="Arial"/>
                <w:b/>
                <w:bCs/>
                <w:color w:val="000000"/>
                <w:kern w:val="24"/>
                <w:sz w:val="20"/>
                <w:szCs w:val="20"/>
              </w:rPr>
              <w:t>Economic Classification</w:t>
            </w:r>
          </w:p>
        </w:tc>
        <w:tc>
          <w:tcPr>
            <w:tcW w:w="1788" w:type="dxa"/>
            <w:vMerge w:val="restart"/>
            <w:shd w:val="clear" w:color="auto" w:fill="D9D9D9"/>
          </w:tcPr>
          <w:p w:rsidR="006C2AF8" w:rsidRPr="009A3C2A" w:rsidRDefault="00372C3C" w:rsidP="009A3C2A">
            <w:pPr>
              <w:rPr>
                <w:rFonts w:ascii="Arial" w:hAnsi="Arial" w:cs="Arial"/>
                <w:sz w:val="20"/>
                <w:szCs w:val="20"/>
                <w:lang w:val="en-US"/>
              </w:rPr>
            </w:pPr>
            <w:r w:rsidRPr="009A3C2A">
              <w:rPr>
                <w:rFonts w:ascii="Arial" w:hAnsi="Arial" w:cs="Arial"/>
                <w:b/>
                <w:bCs/>
                <w:sz w:val="20"/>
                <w:szCs w:val="20"/>
                <w:lang w:val="en-US"/>
              </w:rPr>
              <w:t xml:space="preserve">Final </w:t>
            </w:r>
            <w:r w:rsidR="006C2AF8" w:rsidRPr="009A3C2A">
              <w:rPr>
                <w:rFonts w:ascii="Arial" w:hAnsi="Arial" w:cs="Arial"/>
                <w:b/>
                <w:bCs/>
                <w:sz w:val="20"/>
                <w:szCs w:val="20"/>
                <w:lang w:val="en-US"/>
              </w:rPr>
              <w:t>Appropriation 202</w:t>
            </w:r>
            <w:r w:rsidR="00BF44CE" w:rsidRPr="009A3C2A">
              <w:rPr>
                <w:rFonts w:ascii="Arial" w:hAnsi="Arial" w:cs="Arial"/>
                <w:b/>
                <w:bCs/>
                <w:sz w:val="20"/>
                <w:szCs w:val="20"/>
                <w:lang w:val="en-US"/>
              </w:rPr>
              <w:t>1/22</w:t>
            </w:r>
          </w:p>
        </w:tc>
        <w:tc>
          <w:tcPr>
            <w:tcW w:w="4036" w:type="dxa"/>
            <w:gridSpan w:val="3"/>
            <w:shd w:val="clear" w:color="auto" w:fill="D9D9D9"/>
          </w:tcPr>
          <w:p w:rsidR="006C2AF8" w:rsidRPr="009A3C2A" w:rsidRDefault="006C2AF8" w:rsidP="009A3C2A">
            <w:pPr>
              <w:rPr>
                <w:rFonts w:ascii="Arial" w:hAnsi="Arial" w:cs="Arial"/>
                <w:sz w:val="20"/>
                <w:szCs w:val="20"/>
              </w:rPr>
            </w:pPr>
            <w:r w:rsidRPr="009A3C2A">
              <w:rPr>
                <w:rFonts w:ascii="Arial" w:hAnsi="Arial" w:cs="Arial"/>
                <w:b/>
                <w:bCs/>
                <w:sz w:val="20"/>
                <w:szCs w:val="20"/>
                <w:lang w:val="en-US"/>
              </w:rPr>
              <w:t>MTEF</w:t>
            </w:r>
          </w:p>
        </w:tc>
      </w:tr>
      <w:tr w:rsidR="006C2AF8" w:rsidRPr="009A3C2A" w:rsidTr="001024C2">
        <w:trPr>
          <w:tblHeader/>
        </w:trPr>
        <w:tc>
          <w:tcPr>
            <w:tcW w:w="0" w:type="auto"/>
            <w:vMerge/>
            <w:shd w:val="clear" w:color="auto" w:fill="D9D9D9"/>
          </w:tcPr>
          <w:p w:rsidR="006C2AF8" w:rsidRPr="009A3C2A" w:rsidRDefault="006C2AF8" w:rsidP="009A3C2A">
            <w:pPr>
              <w:pStyle w:val="NormalWeb"/>
              <w:spacing w:before="0" w:after="0"/>
              <w:rPr>
                <w:rFonts w:ascii="Arial" w:hAnsi="Arial" w:cs="Arial"/>
                <w:b/>
                <w:bCs/>
                <w:color w:val="000000"/>
                <w:kern w:val="24"/>
                <w:sz w:val="20"/>
                <w:szCs w:val="20"/>
              </w:rPr>
            </w:pPr>
          </w:p>
        </w:tc>
        <w:tc>
          <w:tcPr>
            <w:tcW w:w="1788" w:type="dxa"/>
            <w:vMerge/>
            <w:shd w:val="clear" w:color="auto" w:fill="D9D9D9"/>
          </w:tcPr>
          <w:p w:rsidR="006C2AF8" w:rsidRPr="009A3C2A" w:rsidRDefault="006C2AF8" w:rsidP="009A3C2A">
            <w:pPr>
              <w:rPr>
                <w:rFonts w:ascii="Arial" w:hAnsi="Arial" w:cs="Arial"/>
                <w:sz w:val="20"/>
                <w:szCs w:val="20"/>
              </w:rPr>
            </w:pPr>
          </w:p>
        </w:tc>
        <w:tc>
          <w:tcPr>
            <w:tcW w:w="1410" w:type="dxa"/>
            <w:shd w:val="clear" w:color="auto" w:fill="D9D9D9"/>
          </w:tcPr>
          <w:p w:rsidR="006C2AF8" w:rsidRPr="009A3C2A" w:rsidRDefault="00211FD4" w:rsidP="009A3C2A">
            <w:pPr>
              <w:pStyle w:val="NormalWeb"/>
              <w:spacing w:before="0" w:after="0"/>
              <w:rPr>
                <w:rFonts w:ascii="Arial" w:hAnsi="Arial" w:cs="Arial"/>
                <w:b/>
                <w:sz w:val="20"/>
                <w:szCs w:val="20"/>
                <w:lang w:val="en-US" w:eastAsia="en-US"/>
              </w:rPr>
            </w:pPr>
            <w:r w:rsidRPr="009A3C2A">
              <w:rPr>
                <w:rFonts w:ascii="Arial" w:hAnsi="Arial" w:cs="Arial"/>
                <w:b/>
                <w:sz w:val="20"/>
                <w:szCs w:val="20"/>
                <w:lang w:val="en-US" w:eastAsia="en-US"/>
              </w:rPr>
              <w:t>2022/23</w:t>
            </w:r>
          </w:p>
        </w:tc>
        <w:tc>
          <w:tcPr>
            <w:tcW w:w="1394" w:type="dxa"/>
            <w:shd w:val="clear" w:color="auto" w:fill="D9D9D9"/>
          </w:tcPr>
          <w:p w:rsidR="006C2AF8" w:rsidRPr="009A3C2A" w:rsidRDefault="00211FD4" w:rsidP="009A3C2A">
            <w:pPr>
              <w:pStyle w:val="NormalWeb"/>
              <w:spacing w:before="0" w:after="0"/>
              <w:rPr>
                <w:rFonts w:ascii="Arial" w:hAnsi="Arial" w:cs="Arial"/>
                <w:b/>
                <w:sz w:val="20"/>
                <w:szCs w:val="20"/>
              </w:rPr>
            </w:pPr>
            <w:r w:rsidRPr="009A3C2A">
              <w:rPr>
                <w:rFonts w:ascii="Arial" w:hAnsi="Arial" w:cs="Arial"/>
                <w:b/>
                <w:sz w:val="20"/>
                <w:szCs w:val="20"/>
              </w:rPr>
              <w:t>2023/24</w:t>
            </w:r>
          </w:p>
        </w:tc>
        <w:tc>
          <w:tcPr>
            <w:tcW w:w="0" w:type="auto"/>
            <w:shd w:val="clear" w:color="auto" w:fill="D9D9D9"/>
          </w:tcPr>
          <w:p w:rsidR="006C2AF8" w:rsidRPr="009A3C2A" w:rsidRDefault="00211FD4" w:rsidP="009A3C2A">
            <w:pPr>
              <w:pStyle w:val="NormalWeb"/>
              <w:spacing w:before="0" w:after="0"/>
              <w:rPr>
                <w:rFonts w:ascii="Arial" w:hAnsi="Arial" w:cs="Arial"/>
                <w:b/>
                <w:sz w:val="20"/>
                <w:szCs w:val="20"/>
              </w:rPr>
            </w:pPr>
            <w:r w:rsidRPr="009A3C2A">
              <w:rPr>
                <w:rFonts w:ascii="Arial" w:hAnsi="Arial" w:cs="Arial"/>
                <w:b/>
                <w:sz w:val="20"/>
                <w:szCs w:val="20"/>
              </w:rPr>
              <w:t>2024/25</w:t>
            </w:r>
          </w:p>
        </w:tc>
      </w:tr>
      <w:tr w:rsidR="006C2AF8" w:rsidRPr="009A3C2A" w:rsidTr="001024C2">
        <w:trPr>
          <w:tblHeader/>
        </w:trPr>
        <w:tc>
          <w:tcPr>
            <w:tcW w:w="0" w:type="auto"/>
            <w:vMerge/>
            <w:shd w:val="clear" w:color="auto" w:fill="D9D9D9"/>
          </w:tcPr>
          <w:p w:rsidR="006C2AF8" w:rsidRPr="009A3C2A" w:rsidRDefault="006C2AF8" w:rsidP="009A3C2A">
            <w:pPr>
              <w:pStyle w:val="NormalWeb"/>
              <w:spacing w:before="0" w:after="0"/>
              <w:rPr>
                <w:rFonts w:ascii="Arial" w:hAnsi="Arial" w:cs="Arial"/>
                <w:b/>
                <w:bCs/>
                <w:color w:val="000000"/>
                <w:kern w:val="24"/>
                <w:sz w:val="20"/>
                <w:szCs w:val="20"/>
              </w:rPr>
            </w:pPr>
          </w:p>
        </w:tc>
        <w:tc>
          <w:tcPr>
            <w:tcW w:w="5824" w:type="dxa"/>
            <w:gridSpan w:val="4"/>
            <w:shd w:val="clear" w:color="auto" w:fill="D9D9D9"/>
          </w:tcPr>
          <w:p w:rsidR="006C2AF8" w:rsidRPr="009A3C2A" w:rsidRDefault="006C2AF8" w:rsidP="009A3C2A">
            <w:pPr>
              <w:rPr>
                <w:rFonts w:ascii="Arial" w:hAnsi="Arial" w:cs="Arial"/>
                <w:sz w:val="20"/>
                <w:szCs w:val="20"/>
              </w:rPr>
            </w:pPr>
            <w:r w:rsidRPr="009A3C2A">
              <w:rPr>
                <w:rFonts w:ascii="Arial" w:hAnsi="Arial" w:cs="Arial"/>
                <w:b/>
                <w:bCs/>
                <w:kern w:val="24"/>
                <w:sz w:val="20"/>
                <w:szCs w:val="20"/>
              </w:rPr>
              <w:t>R’ million</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Compensation of employees (including Judges’ remuneration)</w:t>
            </w:r>
          </w:p>
        </w:tc>
        <w:tc>
          <w:tcPr>
            <w:tcW w:w="1788" w:type="dxa"/>
            <w:shd w:val="clear" w:color="auto" w:fill="auto"/>
          </w:tcPr>
          <w:p w:rsidR="00740F11" w:rsidRPr="009A3C2A" w:rsidRDefault="00F74091" w:rsidP="009A3C2A">
            <w:pPr>
              <w:pStyle w:val="NormalWeb"/>
              <w:spacing w:before="0" w:after="0"/>
              <w:rPr>
                <w:rFonts w:ascii="Arial" w:hAnsi="Arial" w:cs="Arial"/>
                <w:sz w:val="20"/>
                <w:szCs w:val="20"/>
                <w:lang w:val="en-US" w:eastAsia="en-US"/>
              </w:rPr>
            </w:pPr>
            <w:r w:rsidRPr="009A3C2A">
              <w:rPr>
                <w:rFonts w:ascii="Arial" w:hAnsi="Arial" w:cs="Arial"/>
                <w:sz w:val="20"/>
                <w:szCs w:val="20"/>
              </w:rPr>
              <w:t>1 791.7</w:t>
            </w:r>
            <w:r w:rsidR="00740F11" w:rsidRPr="009A3C2A">
              <w:rPr>
                <w:rFonts w:ascii="Arial" w:hAnsi="Arial" w:cs="Arial"/>
                <w:sz w:val="20"/>
                <w:szCs w:val="20"/>
              </w:rPr>
              <w:t>0</w:t>
            </w:r>
          </w:p>
        </w:tc>
        <w:tc>
          <w:tcPr>
            <w:tcW w:w="1410"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1 768.6</w:t>
            </w:r>
          </w:p>
        </w:tc>
        <w:tc>
          <w:tcPr>
            <w:tcW w:w="1394"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1 740.7</w:t>
            </w:r>
          </w:p>
        </w:tc>
        <w:tc>
          <w:tcPr>
            <w:tcW w:w="0" w:type="auto"/>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1 818.9</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Good and services</w:t>
            </w:r>
          </w:p>
        </w:tc>
        <w:tc>
          <w:tcPr>
            <w:tcW w:w="1788" w:type="dxa"/>
            <w:shd w:val="clear" w:color="auto" w:fill="auto"/>
          </w:tcPr>
          <w:p w:rsidR="00740F11" w:rsidRPr="009A3C2A" w:rsidRDefault="00F7409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312.6</w:t>
            </w:r>
          </w:p>
        </w:tc>
        <w:tc>
          <w:tcPr>
            <w:tcW w:w="1410"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371.9</w:t>
            </w:r>
          </w:p>
        </w:tc>
        <w:tc>
          <w:tcPr>
            <w:tcW w:w="1394"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365.2</w:t>
            </w:r>
          </w:p>
        </w:tc>
        <w:tc>
          <w:tcPr>
            <w:tcW w:w="0" w:type="auto"/>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381.6</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Interest on rent and land</w:t>
            </w:r>
          </w:p>
        </w:tc>
        <w:tc>
          <w:tcPr>
            <w:tcW w:w="1788" w:type="dxa"/>
            <w:shd w:val="clear" w:color="auto" w:fill="auto"/>
          </w:tcPr>
          <w:p w:rsidR="00740F11" w:rsidRPr="009A3C2A" w:rsidRDefault="00F74091" w:rsidP="009A3C2A">
            <w:pPr>
              <w:pStyle w:val="NormalWeb"/>
              <w:spacing w:before="0" w:after="0"/>
              <w:rPr>
                <w:rFonts w:ascii="Arial" w:hAnsi="Arial" w:cs="Arial"/>
                <w:sz w:val="20"/>
                <w:szCs w:val="20"/>
                <w:lang w:val="en-US" w:eastAsia="en-US"/>
              </w:rPr>
            </w:pPr>
            <w:r w:rsidRPr="009A3C2A">
              <w:rPr>
                <w:rFonts w:ascii="Arial" w:hAnsi="Arial" w:cs="Arial"/>
                <w:sz w:val="20"/>
                <w:szCs w:val="20"/>
              </w:rPr>
              <w:t>6</w:t>
            </w:r>
          </w:p>
        </w:tc>
        <w:tc>
          <w:tcPr>
            <w:tcW w:w="1410"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135.8</w:t>
            </w:r>
          </w:p>
        </w:tc>
        <w:tc>
          <w:tcPr>
            <w:tcW w:w="1394"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136.5</w:t>
            </w:r>
          </w:p>
        </w:tc>
        <w:tc>
          <w:tcPr>
            <w:tcW w:w="0" w:type="auto"/>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142.6</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Transfers and subsidies</w:t>
            </w:r>
          </w:p>
        </w:tc>
        <w:tc>
          <w:tcPr>
            <w:tcW w:w="1788" w:type="dxa"/>
            <w:shd w:val="clear" w:color="auto" w:fill="auto"/>
          </w:tcPr>
          <w:p w:rsidR="00740F11" w:rsidRPr="009A3C2A" w:rsidRDefault="00F74091" w:rsidP="009A3C2A">
            <w:pPr>
              <w:pStyle w:val="NormalWeb"/>
              <w:spacing w:before="0" w:after="0"/>
              <w:rPr>
                <w:rFonts w:ascii="Arial" w:hAnsi="Arial" w:cs="Arial"/>
                <w:sz w:val="20"/>
                <w:szCs w:val="20"/>
                <w:lang w:val="en-US" w:eastAsia="en-US"/>
              </w:rPr>
            </w:pPr>
            <w:r w:rsidRPr="009A3C2A">
              <w:rPr>
                <w:rFonts w:ascii="Arial" w:hAnsi="Arial" w:cs="Arial"/>
                <w:sz w:val="20"/>
                <w:szCs w:val="20"/>
              </w:rPr>
              <w:t>135.7</w:t>
            </w:r>
          </w:p>
        </w:tc>
        <w:tc>
          <w:tcPr>
            <w:tcW w:w="1410"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112.0</w:t>
            </w:r>
          </w:p>
        </w:tc>
        <w:tc>
          <w:tcPr>
            <w:tcW w:w="1394"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115.2</w:t>
            </w:r>
          </w:p>
        </w:tc>
        <w:tc>
          <w:tcPr>
            <w:tcW w:w="0" w:type="auto"/>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120.4</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sz w:val="20"/>
                <w:szCs w:val="20"/>
                <w:lang w:val="en-US" w:eastAsia="en-US"/>
              </w:rPr>
            </w:pPr>
            <w:r w:rsidRPr="009A3C2A">
              <w:rPr>
                <w:rFonts w:ascii="Arial" w:hAnsi="Arial" w:cs="Arial"/>
                <w:sz w:val="20"/>
                <w:szCs w:val="20"/>
                <w:lang w:val="en-US" w:eastAsia="en-US"/>
              </w:rPr>
              <w:t>Payments for capital assets</w:t>
            </w:r>
          </w:p>
        </w:tc>
        <w:tc>
          <w:tcPr>
            <w:tcW w:w="1788" w:type="dxa"/>
            <w:shd w:val="clear" w:color="auto" w:fill="auto"/>
          </w:tcPr>
          <w:p w:rsidR="00740F11" w:rsidRPr="009A3C2A" w:rsidRDefault="00F74091" w:rsidP="009A3C2A">
            <w:pPr>
              <w:pStyle w:val="NormalWeb"/>
              <w:spacing w:before="0" w:after="0"/>
              <w:rPr>
                <w:rFonts w:ascii="Arial" w:hAnsi="Arial" w:cs="Arial"/>
                <w:sz w:val="20"/>
                <w:szCs w:val="20"/>
                <w:lang w:val="en-US" w:eastAsia="en-US"/>
              </w:rPr>
            </w:pPr>
            <w:r w:rsidRPr="009A3C2A">
              <w:rPr>
                <w:rFonts w:ascii="Arial" w:hAnsi="Arial" w:cs="Arial"/>
                <w:sz w:val="20"/>
                <w:szCs w:val="20"/>
              </w:rPr>
              <w:t>120.2</w:t>
            </w:r>
          </w:p>
        </w:tc>
        <w:tc>
          <w:tcPr>
            <w:tcW w:w="1410"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2 388.4</w:t>
            </w:r>
          </w:p>
        </w:tc>
        <w:tc>
          <w:tcPr>
            <w:tcW w:w="1394" w:type="dxa"/>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2 357.6</w:t>
            </w:r>
          </w:p>
        </w:tc>
        <w:tc>
          <w:tcPr>
            <w:tcW w:w="0" w:type="auto"/>
            <w:shd w:val="clear" w:color="auto" w:fill="auto"/>
          </w:tcPr>
          <w:p w:rsidR="00740F11" w:rsidRPr="009A3C2A" w:rsidRDefault="00740F11" w:rsidP="009A3C2A">
            <w:pPr>
              <w:pStyle w:val="NormalWeb"/>
              <w:spacing w:before="0" w:after="0"/>
              <w:rPr>
                <w:rFonts w:ascii="Arial" w:hAnsi="Arial" w:cs="Arial"/>
                <w:sz w:val="20"/>
                <w:szCs w:val="20"/>
              </w:rPr>
            </w:pPr>
            <w:r w:rsidRPr="009A3C2A">
              <w:rPr>
                <w:rFonts w:ascii="Arial" w:hAnsi="Arial" w:cs="Arial"/>
                <w:sz w:val="20"/>
                <w:szCs w:val="20"/>
              </w:rPr>
              <w:t>2 463.5</w:t>
            </w:r>
          </w:p>
        </w:tc>
      </w:tr>
      <w:tr w:rsidR="00740F11" w:rsidRPr="009A3C2A" w:rsidTr="001024C2">
        <w:tc>
          <w:tcPr>
            <w:tcW w:w="0" w:type="auto"/>
            <w:shd w:val="clear" w:color="auto" w:fill="auto"/>
          </w:tcPr>
          <w:p w:rsidR="00740F11" w:rsidRPr="009A3C2A" w:rsidRDefault="00740F11" w:rsidP="009A3C2A">
            <w:pPr>
              <w:pStyle w:val="NormalWeb"/>
              <w:spacing w:before="0" w:after="0"/>
              <w:rPr>
                <w:rFonts w:ascii="Arial" w:hAnsi="Arial" w:cs="Arial"/>
                <w:b/>
                <w:sz w:val="20"/>
                <w:szCs w:val="20"/>
                <w:lang w:val="en-US" w:eastAsia="en-US"/>
              </w:rPr>
            </w:pPr>
            <w:r w:rsidRPr="009A3C2A">
              <w:rPr>
                <w:rFonts w:ascii="Arial" w:hAnsi="Arial" w:cs="Arial"/>
                <w:b/>
                <w:sz w:val="20"/>
                <w:szCs w:val="20"/>
                <w:lang w:val="en-US" w:eastAsia="en-US"/>
              </w:rPr>
              <w:t>Total</w:t>
            </w:r>
          </w:p>
        </w:tc>
        <w:tc>
          <w:tcPr>
            <w:tcW w:w="1788" w:type="dxa"/>
            <w:shd w:val="clear" w:color="auto" w:fill="auto"/>
          </w:tcPr>
          <w:p w:rsidR="00740F11" w:rsidRPr="009A3C2A" w:rsidRDefault="00F74091" w:rsidP="009A3C2A">
            <w:pPr>
              <w:pStyle w:val="NormalWeb"/>
              <w:spacing w:before="0" w:after="0"/>
              <w:rPr>
                <w:rFonts w:ascii="Arial" w:hAnsi="Arial" w:cs="Arial"/>
                <w:b/>
                <w:sz w:val="20"/>
                <w:szCs w:val="20"/>
                <w:lang w:val="en-US" w:eastAsia="en-US"/>
              </w:rPr>
            </w:pPr>
            <w:r w:rsidRPr="009A3C2A">
              <w:rPr>
                <w:rFonts w:ascii="Arial" w:hAnsi="Arial" w:cs="Arial"/>
                <w:b/>
                <w:sz w:val="20"/>
                <w:szCs w:val="20"/>
              </w:rPr>
              <w:t>2 360.2</w:t>
            </w:r>
          </w:p>
        </w:tc>
        <w:tc>
          <w:tcPr>
            <w:tcW w:w="1410" w:type="dxa"/>
            <w:shd w:val="clear" w:color="auto" w:fill="auto"/>
          </w:tcPr>
          <w:p w:rsidR="00740F11" w:rsidRPr="009A3C2A" w:rsidRDefault="00740F11" w:rsidP="009A3C2A">
            <w:pPr>
              <w:pStyle w:val="NormalWeb"/>
              <w:spacing w:before="0" w:after="0"/>
              <w:rPr>
                <w:rFonts w:ascii="Arial" w:hAnsi="Arial" w:cs="Arial"/>
                <w:b/>
                <w:sz w:val="20"/>
                <w:szCs w:val="20"/>
              </w:rPr>
            </w:pPr>
            <w:r w:rsidRPr="009A3C2A">
              <w:rPr>
                <w:rFonts w:ascii="Arial" w:hAnsi="Arial" w:cs="Arial"/>
                <w:sz w:val="20"/>
                <w:szCs w:val="20"/>
              </w:rPr>
              <w:t>1 768.6</w:t>
            </w:r>
          </w:p>
        </w:tc>
        <w:tc>
          <w:tcPr>
            <w:tcW w:w="1394" w:type="dxa"/>
            <w:shd w:val="clear" w:color="auto" w:fill="auto"/>
          </w:tcPr>
          <w:p w:rsidR="00740F11" w:rsidRPr="009A3C2A" w:rsidRDefault="00740F11" w:rsidP="009A3C2A">
            <w:pPr>
              <w:pStyle w:val="NormalWeb"/>
              <w:spacing w:before="0" w:after="0"/>
              <w:rPr>
                <w:rFonts w:ascii="Arial" w:hAnsi="Arial" w:cs="Arial"/>
                <w:b/>
                <w:sz w:val="20"/>
                <w:szCs w:val="20"/>
              </w:rPr>
            </w:pPr>
            <w:r w:rsidRPr="009A3C2A">
              <w:rPr>
                <w:rFonts w:ascii="Arial" w:hAnsi="Arial" w:cs="Arial"/>
                <w:sz w:val="20"/>
                <w:szCs w:val="20"/>
              </w:rPr>
              <w:t>1 740.7</w:t>
            </w:r>
          </w:p>
        </w:tc>
        <w:tc>
          <w:tcPr>
            <w:tcW w:w="0" w:type="auto"/>
            <w:shd w:val="clear" w:color="auto" w:fill="auto"/>
          </w:tcPr>
          <w:p w:rsidR="00740F11" w:rsidRPr="009A3C2A" w:rsidRDefault="00740F11" w:rsidP="009A3C2A">
            <w:pPr>
              <w:pStyle w:val="NormalWeb"/>
              <w:spacing w:before="0" w:after="0"/>
              <w:rPr>
                <w:rFonts w:ascii="Arial" w:hAnsi="Arial" w:cs="Arial"/>
                <w:b/>
                <w:sz w:val="20"/>
                <w:szCs w:val="20"/>
              </w:rPr>
            </w:pPr>
            <w:r w:rsidRPr="009A3C2A">
              <w:rPr>
                <w:rFonts w:ascii="Arial" w:hAnsi="Arial" w:cs="Arial"/>
                <w:sz w:val="20"/>
                <w:szCs w:val="20"/>
              </w:rPr>
              <w:t>1 818.9</w:t>
            </w:r>
          </w:p>
        </w:tc>
      </w:tr>
    </w:tbl>
    <w:p w:rsidR="004A6B86" w:rsidRPr="009A3C2A" w:rsidRDefault="004A6B86" w:rsidP="009A3C2A">
      <w:pPr>
        <w:pStyle w:val="ListParagraph"/>
        <w:autoSpaceDE w:val="0"/>
        <w:autoSpaceDN w:val="0"/>
        <w:adjustRightInd w:val="0"/>
        <w:ind w:left="851"/>
        <w:rPr>
          <w:rFonts w:ascii="Arial" w:hAnsi="Arial" w:cs="Arial"/>
          <w:color w:val="000000"/>
          <w:sz w:val="20"/>
          <w:szCs w:val="20"/>
          <w:lang w:val="en-US" w:eastAsia="en-US"/>
        </w:rPr>
      </w:pPr>
    </w:p>
    <w:p w:rsidR="004A6B86" w:rsidRPr="009A3C2A" w:rsidRDefault="004A6B86" w:rsidP="009A3C2A">
      <w:pPr>
        <w:pStyle w:val="ListParagraph"/>
        <w:numPr>
          <w:ilvl w:val="1"/>
          <w:numId w:val="1"/>
        </w:numPr>
        <w:autoSpaceDE w:val="0"/>
        <w:autoSpaceDN w:val="0"/>
        <w:adjustRightInd w:val="0"/>
        <w:ind w:left="851" w:hanging="851"/>
        <w:rPr>
          <w:rFonts w:ascii="Arial" w:hAnsi="Arial" w:cs="Arial"/>
          <w:color w:val="000000"/>
          <w:sz w:val="20"/>
          <w:szCs w:val="20"/>
          <w:lang w:val="en-US" w:eastAsia="en-US"/>
        </w:rPr>
      </w:pPr>
      <w:r w:rsidRPr="009A3C2A">
        <w:rPr>
          <w:rFonts w:ascii="Arial" w:hAnsi="Arial" w:cs="Arial"/>
          <w:b/>
          <w:i/>
          <w:sz w:val="20"/>
          <w:szCs w:val="20"/>
          <w:lang w:val="en-US" w:eastAsia="en-US"/>
        </w:rPr>
        <w:t>Appropriation 2021/22</w:t>
      </w:r>
    </w:p>
    <w:p w:rsidR="006C2AF8" w:rsidRPr="009A3C2A" w:rsidRDefault="006C2AF8" w:rsidP="009A3C2A">
      <w:pPr>
        <w:ind w:left="709"/>
        <w:rPr>
          <w:rFonts w:ascii="Arial" w:hAnsi="Arial" w:cs="Arial"/>
          <w:b/>
          <w:sz w:val="20"/>
          <w:szCs w:val="20"/>
        </w:rPr>
      </w:pPr>
    </w:p>
    <w:p w:rsidR="004A6B86" w:rsidRPr="009A3C2A" w:rsidRDefault="004A6B86" w:rsidP="009A3C2A">
      <w:pPr>
        <w:pStyle w:val="ListParagraph"/>
        <w:numPr>
          <w:ilvl w:val="2"/>
          <w:numId w:val="32"/>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The OCJ had a final allocation of R2.36 billion for 2021/22, as follows: R1.24 billion was allocated to programmes and R1.12 billion was a direct charge for judges’ salaries. In comparison, the final allocation for 2020/21 was R2.3 billion. </w:t>
      </w:r>
    </w:p>
    <w:p w:rsidR="004A6B86" w:rsidRPr="009A3C2A" w:rsidRDefault="004A6B86" w:rsidP="009A3C2A">
      <w:pPr>
        <w:pStyle w:val="ListParagraph"/>
        <w:autoSpaceDE w:val="0"/>
        <w:autoSpaceDN w:val="0"/>
        <w:adjustRightInd w:val="0"/>
        <w:ind w:left="851"/>
        <w:rPr>
          <w:rFonts w:ascii="Arial" w:hAnsi="Arial" w:cs="Arial"/>
          <w:sz w:val="20"/>
          <w:szCs w:val="20"/>
        </w:rPr>
      </w:pPr>
    </w:p>
    <w:p w:rsidR="004A6B86" w:rsidRPr="009A3C2A" w:rsidRDefault="004A6B86" w:rsidP="009A3C2A">
      <w:pPr>
        <w:pStyle w:val="ListParagraph"/>
        <w:numPr>
          <w:ilvl w:val="2"/>
          <w:numId w:val="32"/>
        </w:numPr>
        <w:autoSpaceDE w:val="0"/>
        <w:autoSpaceDN w:val="0"/>
        <w:adjustRightInd w:val="0"/>
        <w:ind w:left="851" w:hanging="851"/>
        <w:rPr>
          <w:rFonts w:ascii="Arial" w:hAnsi="Arial" w:cs="Arial"/>
          <w:color w:val="000000"/>
          <w:sz w:val="20"/>
          <w:szCs w:val="20"/>
          <w:lang w:val="en-US" w:eastAsia="en-US"/>
        </w:rPr>
      </w:pPr>
      <w:r w:rsidRPr="009A3C2A">
        <w:rPr>
          <w:rFonts w:ascii="Arial" w:hAnsi="Arial" w:cs="Arial"/>
          <w:sz w:val="20"/>
          <w:szCs w:val="20"/>
        </w:rPr>
        <w:t>Voted funds made up about 52.5% of the allocation, while the direct charge for Judges’ salaries made</w:t>
      </w:r>
      <w:r w:rsidRPr="009A3C2A">
        <w:rPr>
          <w:rFonts w:ascii="Arial" w:hAnsi="Arial" w:cs="Arial"/>
          <w:color w:val="000000"/>
          <w:sz w:val="20"/>
          <w:szCs w:val="20"/>
          <w:lang w:val="en-US" w:eastAsia="en-US"/>
        </w:rPr>
        <w:t xml:space="preserve"> up the remainder.</w:t>
      </w:r>
    </w:p>
    <w:p w:rsidR="004A6B86" w:rsidRPr="009A3C2A" w:rsidRDefault="004A6B86" w:rsidP="009A3C2A">
      <w:pPr>
        <w:pStyle w:val="ListParagraph"/>
        <w:autoSpaceDE w:val="0"/>
        <w:autoSpaceDN w:val="0"/>
        <w:adjustRightInd w:val="0"/>
        <w:ind w:left="851"/>
        <w:rPr>
          <w:rFonts w:ascii="Arial" w:hAnsi="Arial" w:cs="Arial"/>
          <w:b/>
          <w:i/>
          <w:color w:val="000000"/>
          <w:sz w:val="20"/>
          <w:szCs w:val="20"/>
          <w:lang w:val="en-US" w:eastAsia="en-US"/>
        </w:rPr>
      </w:pPr>
    </w:p>
    <w:p w:rsidR="009332BB" w:rsidRPr="009A3C2A" w:rsidRDefault="009332BB" w:rsidP="009A3C2A">
      <w:pPr>
        <w:pStyle w:val="ListParagraph"/>
        <w:numPr>
          <w:ilvl w:val="1"/>
          <w:numId w:val="1"/>
        </w:numPr>
        <w:autoSpaceDE w:val="0"/>
        <w:autoSpaceDN w:val="0"/>
        <w:adjustRightInd w:val="0"/>
        <w:ind w:left="851" w:hanging="851"/>
        <w:rPr>
          <w:rFonts w:ascii="Arial" w:hAnsi="Arial" w:cs="Arial"/>
          <w:b/>
          <w:i/>
          <w:color w:val="000000"/>
          <w:sz w:val="20"/>
          <w:szCs w:val="20"/>
          <w:lang w:val="en-US" w:eastAsia="en-US"/>
        </w:rPr>
      </w:pPr>
      <w:r w:rsidRPr="009A3C2A">
        <w:rPr>
          <w:rFonts w:ascii="Arial" w:hAnsi="Arial" w:cs="Arial"/>
          <w:b/>
          <w:i/>
          <w:color w:val="000000"/>
          <w:sz w:val="20"/>
          <w:szCs w:val="20"/>
          <w:lang w:val="en-US" w:eastAsia="en-US"/>
        </w:rPr>
        <w:t xml:space="preserve">Appropriation 2022/23 </w:t>
      </w:r>
    </w:p>
    <w:p w:rsidR="009332BB" w:rsidRPr="009A3C2A" w:rsidRDefault="009332BB" w:rsidP="009A3C2A">
      <w:pPr>
        <w:pStyle w:val="ListParagraph"/>
        <w:rPr>
          <w:rFonts w:ascii="Arial" w:hAnsi="Arial" w:cs="Arial"/>
          <w:sz w:val="20"/>
          <w:szCs w:val="20"/>
          <w:highlight w:val="green"/>
          <w:lang w:val="en-US" w:eastAsia="en-US"/>
        </w:rPr>
      </w:pPr>
    </w:p>
    <w:p w:rsidR="009332BB" w:rsidRPr="009A3C2A" w:rsidRDefault="009332BB" w:rsidP="009A3C2A">
      <w:pPr>
        <w:pStyle w:val="ListParagraph"/>
        <w:numPr>
          <w:ilvl w:val="2"/>
          <w:numId w:val="31"/>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The OCJ is allocated R2.39 billion in 2022/23, compared with R2.33 billion in 2021/22 (adjusted down from R2.45 billion). The budget is expected to increase over the MTEF to R2.36 billion in 2023/24 and R2.46 billion in 2024/25. </w:t>
      </w:r>
    </w:p>
    <w:p w:rsidR="009332BB" w:rsidRPr="009A3C2A" w:rsidRDefault="009332BB" w:rsidP="009A3C2A">
      <w:pPr>
        <w:pStyle w:val="ListParagraph"/>
        <w:autoSpaceDE w:val="0"/>
        <w:autoSpaceDN w:val="0"/>
        <w:adjustRightInd w:val="0"/>
        <w:ind w:left="851"/>
        <w:rPr>
          <w:rFonts w:ascii="Arial" w:hAnsi="Arial" w:cs="Arial"/>
          <w:sz w:val="20"/>
          <w:szCs w:val="20"/>
        </w:rPr>
      </w:pPr>
    </w:p>
    <w:p w:rsidR="009332BB" w:rsidRPr="009A3C2A" w:rsidRDefault="009332BB" w:rsidP="009A3C2A">
      <w:pPr>
        <w:pStyle w:val="ListParagraph"/>
        <w:numPr>
          <w:ilvl w:val="2"/>
          <w:numId w:val="31"/>
        </w:numPr>
        <w:autoSpaceDE w:val="0"/>
        <w:autoSpaceDN w:val="0"/>
        <w:adjustRightInd w:val="0"/>
        <w:ind w:left="851" w:hanging="851"/>
        <w:rPr>
          <w:rFonts w:ascii="Arial" w:hAnsi="Arial" w:cs="Arial"/>
          <w:sz w:val="20"/>
          <w:szCs w:val="20"/>
        </w:rPr>
      </w:pPr>
      <w:r w:rsidRPr="009A3C2A">
        <w:rPr>
          <w:rFonts w:ascii="Arial" w:hAnsi="Arial" w:cs="Arial"/>
          <w:sz w:val="20"/>
          <w:szCs w:val="20"/>
        </w:rPr>
        <w:t>The allocation for programmes is R1.27 billion or 52.5% of the total allocation, while the remaining amount of R1.12 billion comprises the direct charge for Judges’ salaries.</w:t>
      </w:r>
    </w:p>
    <w:p w:rsidR="009332BB" w:rsidRPr="009A3C2A" w:rsidRDefault="009332BB" w:rsidP="009A3C2A">
      <w:pPr>
        <w:pStyle w:val="ListParagraph"/>
        <w:rPr>
          <w:rFonts w:ascii="Arial" w:hAnsi="Arial" w:cs="Arial"/>
          <w:sz w:val="20"/>
          <w:szCs w:val="20"/>
        </w:rPr>
      </w:pPr>
    </w:p>
    <w:p w:rsidR="009332BB" w:rsidRPr="009A3C2A" w:rsidRDefault="009332BB" w:rsidP="009A3C2A">
      <w:pPr>
        <w:pStyle w:val="ListParagraph"/>
        <w:numPr>
          <w:ilvl w:val="2"/>
          <w:numId w:val="31"/>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In terms of economic classification, an amount of R1.77 billion is allocated to compensation of employees, R371.9 million to good and services, R135.8 million to transfers and subsidies and R112 million for purchase of capital assets. </w:t>
      </w:r>
    </w:p>
    <w:p w:rsidR="009332BB" w:rsidRPr="009A3C2A" w:rsidRDefault="009332BB" w:rsidP="009A3C2A">
      <w:pPr>
        <w:pStyle w:val="ListParagraph"/>
        <w:autoSpaceDE w:val="0"/>
        <w:autoSpaceDN w:val="0"/>
        <w:adjustRightInd w:val="0"/>
        <w:ind w:left="851"/>
        <w:rPr>
          <w:rFonts w:ascii="Arial" w:hAnsi="Arial" w:cs="Arial"/>
          <w:b/>
          <w:i/>
          <w:color w:val="000000"/>
          <w:sz w:val="20"/>
          <w:szCs w:val="20"/>
          <w:lang w:val="en-US" w:eastAsia="en-US"/>
        </w:rPr>
      </w:pPr>
    </w:p>
    <w:p w:rsidR="00653BB2" w:rsidRPr="009A3C2A" w:rsidRDefault="00653BB2" w:rsidP="009A3C2A">
      <w:pPr>
        <w:pStyle w:val="ListParagraph"/>
        <w:numPr>
          <w:ilvl w:val="1"/>
          <w:numId w:val="1"/>
        </w:numPr>
        <w:autoSpaceDE w:val="0"/>
        <w:autoSpaceDN w:val="0"/>
        <w:adjustRightInd w:val="0"/>
        <w:ind w:left="851" w:hanging="851"/>
        <w:rPr>
          <w:rFonts w:ascii="Arial" w:hAnsi="Arial" w:cs="Arial"/>
          <w:b/>
          <w:i/>
          <w:color w:val="000000"/>
          <w:sz w:val="20"/>
          <w:szCs w:val="20"/>
          <w:lang w:val="en-US" w:eastAsia="en-US"/>
        </w:rPr>
      </w:pPr>
      <w:r w:rsidRPr="009A3C2A">
        <w:rPr>
          <w:rFonts w:ascii="Arial" w:hAnsi="Arial" w:cs="Arial"/>
          <w:b/>
          <w:i/>
          <w:sz w:val="20"/>
          <w:szCs w:val="20"/>
          <w:lang w:val="en-US" w:eastAsia="en-US"/>
        </w:rPr>
        <w:t>Expenditure</w:t>
      </w:r>
    </w:p>
    <w:p w:rsidR="00653BB2" w:rsidRPr="009A3C2A" w:rsidRDefault="00653BB2" w:rsidP="009A3C2A">
      <w:pPr>
        <w:pStyle w:val="ListParagraph"/>
        <w:tabs>
          <w:tab w:val="num" w:pos="862"/>
        </w:tabs>
        <w:autoSpaceDE w:val="0"/>
        <w:autoSpaceDN w:val="0"/>
        <w:adjustRightInd w:val="0"/>
        <w:ind w:left="709"/>
        <w:rPr>
          <w:rFonts w:ascii="Arial" w:hAnsi="Arial" w:cs="Arial"/>
          <w:color w:val="000000"/>
          <w:sz w:val="20"/>
          <w:szCs w:val="20"/>
          <w:lang w:val="en-US" w:eastAsia="en-US"/>
        </w:rPr>
      </w:pPr>
    </w:p>
    <w:p w:rsidR="00656150" w:rsidRPr="009A3C2A" w:rsidRDefault="00F74091" w:rsidP="009A3C2A">
      <w:pPr>
        <w:pStyle w:val="ListParagraph"/>
        <w:numPr>
          <w:ilvl w:val="2"/>
          <w:numId w:val="33"/>
        </w:numPr>
        <w:autoSpaceDE w:val="0"/>
        <w:autoSpaceDN w:val="0"/>
        <w:adjustRightInd w:val="0"/>
        <w:ind w:left="851" w:hanging="851"/>
        <w:rPr>
          <w:rFonts w:ascii="Arial" w:hAnsi="Arial" w:cs="Arial"/>
          <w:color w:val="000000"/>
          <w:sz w:val="20"/>
          <w:szCs w:val="20"/>
          <w:lang w:val="en-US" w:eastAsia="en-US"/>
        </w:rPr>
      </w:pPr>
      <w:r w:rsidRPr="009A3C2A">
        <w:rPr>
          <w:rFonts w:ascii="Arial" w:hAnsi="Arial" w:cs="Arial"/>
          <w:sz w:val="20"/>
          <w:szCs w:val="20"/>
          <w:lang w:val="en-US" w:eastAsia="en-US"/>
        </w:rPr>
        <w:t>In 2021/22, the OCJ spent R2.2</w:t>
      </w:r>
      <w:r w:rsidR="00BD0D2F" w:rsidRPr="009A3C2A">
        <w:rPr>
          <w:rFonts w:ascii="Arial" w:hAnsi="Arial" w:cs="Arial"/>
          <w:sz w:val="20"/>
          <w:szCs w:val="20"/>
          <w:lang w:val="en-US" w:eastAsia="en-US"/>
        </w:rPr>
        <w:t xml:space="preserve"> billion or 9</w:t>
      </w:r>
      <w:r w:rsidRPr="009A3C2A">
        <w:rPr>
          <w:rFonts w:ascii="Arial" w:hAnsi="Arial" w:cs="Arial"/>
          <w:sz w:val="20"/>
          <w:szCs w:val="20"/>
          <w:lang w:val="en-US" w:eastAsia="en-US"/>
        </w:rPr>
        <w:t>3</w:t>
      </w:r>
      <w:r w:rsidR="00BD0D2F" w:rsidRPr="009A3C2A">
        <w:rPr>
          <w:rFonts w:ascii="Arial" w:hAnsi="Arial" w:cs="Arial"/>
          <w:sz w:val="20"/>
          <w:szCs w:val="20"/>
          <w:lang w:val="en-US" w:eastAsia="en-US"/>
        </w:rPr>
        <w:t xml:space="preserve">% of the final appropriation </w:t>
      </w:r>
      <w:r w:rsidR="00DA6519" w:rsidRPr="009A3C2A">
        <w:rPr>
          <w:rFonts w:ascii="Arial" w:hAnsi="Arial" w:cs="Arial"/>
          <w:sz w:val="20"/>
          <w:szCs w:val="20"/>
          <w:lang w:val="en-US" w:eastAsia="en-US"/>
        </w:rPr>
        <w:t xml:space="preserve">of R 2.36 billion </w:t>
      </w:r>
      <w:r w:rsidR="00BD0D2F" w:rsidRPr="009A3C2A">
        <w:rPr>
          <w:rFonts w:ascii="Arial" w:hAnsi="Arial" w:cs="Arial"/>
          <w:sz w:val="20"/>
          <w:szCs w:val="20"/>
          <w:lang w:val="en-US" w:eastAsia="en-US"/>
        </w:rPr>
        <w:t>(compared with 9</w:t>
      </w:r>
      <w:r w:rsidRPr="009A3C2A">
        <w:rPr>
          <w:rFonts w:ascii="Arial" w:hAnsi="Arial" w:cs="Arial"/>
          <w:sz w:val="20"/>
          <w:szCs w:val="20"/>
          <w:lang w:val="en-US" w:eastAsia="en-US"/>
        </w:rPr>
        <w:t>1</w:t>
      </w:r>
      <w:r w:rsidR="00BD0D2F" w:rsidRPr="009A3C2A">
        <w:rPr>
          <w:rFonts w:ascii="Arial" w:hAnsi="Arial" w:cs="Arial"/>
          <w:sz w:val="20"/>
          <w:szCs w:val="20"/>
          <w:lang w:val="en-US" w:eastAsia="en-US"/>
        </w:rPr>
        <w:t>% in 20</w:t>
      </w:r>
      <w:r w:rsidRPr="009A3C2A">
        <w:rPr>
          <w:rFonts w:ascii="Arial" w:hAnsi="Arial" w:cs="Arial"/>
          <w:sz w:val="20"/>
          <w:szCs w:val="20"/>
          <w:lang w:val="en-US" w:eastAsia="en-US"/>
        </w:rPr>
        <w:t>20/2</w:t>
      </w:r>
      <w:r w:rsidR="00BD0D2F" w:rsidRPr="009A3C2A">
        <w:rPr>
          <w:rFonts w:ascii="Arial" w:hAnsi="Arial" w:cs="Arial"/>
          <w:sz w:val="20"/>
          <w:szCs w:val="20"/>
          <w:lang w:val="en-US" w:eastAsia="en-US"/>
        </w:rPr>
        <w:t>1)</w:t>
      </w:r>
      <w:r w:rsidRPr="009A3C2A">
        <w:rPr>
          <w:rFonts w:ascii="Arial" w:hAnsi="Arial" w:cs="Arial"/>
          <w:sz w:val="20"/>
          <w:szCs w:val="20"/>
          <w:lang w:val="en-US" w:eastAsia="en-US"/>
        </w:rPr>
        <w:t>. Underspending amounted</w:t>
      </w:r>
      <w:r w:rsidR="008C330D" w:rsidRPr="009A3C2A">
        <w:rPr>
          <w:rFonts w:ascii="Arial" w:hAnsi="Arial" w:cs="Arial"/>
          <w:sz w:val="20"/>
          <w:szCs w:val="20"/>
          <w:lang w:val="en-US" w:eastAsia="en-US"/>
        </w:rPr>
        <w:t xml:space="preserve"> to R190.6 million.</w:t>
      </w:r>
    </w:p>
    <w:p w:rsidR="00656150" w:rsidRPr="009A3C2A" w:rsidRDefault="00656150" w:rsidP="009A3C2A">
      <w:pPr>
        <w:autoSpaceDE w:val="0"/>
        <w:autoSpaceDN w:val="0"/>
        <w:adjustRightInd w:val="0"/>
        <w:ind w:left="720"/>
        <w:rPr>
          <w:rFonts w:ascii="Arial" w:hAnsi="Arial" w:cs="Arial"/>
          <w:color w:val="000000"/>
          <w:sz w:val="20"/>
          <w:szCs w:val="20"/>
          <w:lang w:val="en-US" w:eastAsia="en-US"/>
        </w:rPr>
      </w:pPr>
    </w:p>
    <w:p w:rsidR="00656150" w:rsidRPr="009A3C2A" w:rsidRDefault="004A6B86" w:rsidP="009A3C2A">
      <w:pPr>
        <w:rPr>
          <w:rFonts w:ascii="Arial" w:hAnsi="Arial" w:cs="Arial"/>
          <w:b/>
          <w:i/>
          <w:color w:val="000000"/>
          <w:spacing w:val="6"/>
          <w:sz w:val="20"/>
          <w:szCs w:val="20"/>
        </w:rPr>
      </w:pPr>
      <w:r w:rsidRPr="009A3C2A">
        <w:rPr>
          <w:rFonts w:ascii="Arial" w:hAnsi="Arial" w:cs="Arial"/>
          <w:b/>
          <w:i/>
          <w:color w:val="000000"/>
          <w:spacing w:val="6"/>
          <w:sz w:val="20"/>
          <w:szCs w:val="20"/>
        </w:rPr>
        <w:t>Table 5</w:t>
      </w:r>
      <w:r w:rsidR="00E02A21" w:rsidRPr="009A3C2A">
        <w:rPr>
          <w:rFonts w:ascii="Arial" w:hAnsi="Arial" w:cs="Arial"/>
          <w:b/>
          <w:i/>
          <w:color w:val="000000"/>
          <w:spacing w:val="6"/>
          <w:sz w:val="20"/>
          <w:szCs w:val="20"/>
        </w:rPr>
        <w:t xml:space="preserve">: </w:t>
      </w:r>
      <w:r w:rsidR="00D4679B" w:rsidRPr="009A3C2A">
        <w:rPr>
          <w:rFonts w:ascii="Arial" w:hAnsi="Arial" w:cs="Arial"/>
          <w:b/>
          <w:i/>
          <w:color w:val="000000"/>
          <w:spacing w:val="6"/>
          <w:sz w:val="20"/>
          <w:szCs w:val="20"/>
        </w:rPr>
        <w:t xml:space="preserve">Expenditure per </w:t>
      </w:r>
      <w:r w:rsidR="00656150" w:rsidRPr="009A3C2A">
        <w:rPr>
          <w:rFonts w:ascii="Arial" w:hAnsi="Arial" w:cs="Arial"/>
          <w:b/>
          <w:i/>
          <w:color w:val="000000"/>
          <w:spacing w:val="6"/>
          <w:sz w:val="20"/>
          <w:szCs w:val="20"/>
        </w:rPr>
        <w:t xml:space="preserve">programme </w:t>
      </w:r>
      <w:r w:rsidR="008519B2" w:rsidRPr="009A3C2A">
        <w:rPr>
          <w:rFonts w:ascii="Arial" w:hAnsi="Arial" w:cs="Arial"/>
          <w:b/>
          <w:i/>
          <w:color w:val="000000"/>
          <w:spacing w:val="6"/>
          <w:sz w:val="20"/>
          <w:szCs w:val="20"/>
        </w:rPr>
        <w:t>2021/22 (with a comparison to 2020/21)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830"/>
        <w:gridCol w:w="1599"/>
        <w:gridCol w:w="1545"/>
        <w:gridCol w:w="1599"/>
        <w:gridCol w:w="1599"/>
      </w:tblGrid>
      <w:tr w:rsidR="0080550B" w:rsidRPr="009A3C2A" w:rsidTr="0080550B">
        <w:trPr>
          <w:trHeight w:val="546"/>
          <w:tblHeader/>
        </w:trPr>
        <w:tc>
          <w:tcPr>
            <w:tcW w:w="865" w:type="pct"/>
            <w:vMerge w:val="restart"/>
            <w:shd w:val="clear" w:color="auto" w:fill="D9D9D9"/>
          </w:tcPr>
          <w:p w:rsidR="0080550B" w:rsidRPr="009A3C2A" w:rsidRDefault="0080550B" w:rsidP="009A3C2A">
            <w:pPr>
              <w:rPr>
                <w:rFonts w:ascii="Arial" w:hAnsi="Arial" w:cs="Arial"/>
                <w:b/>
                <w:bCs/>
                <w:color w:val="000000"/>
                <w:kern w:val="24"/>
                <w:sz w:val="20"/>
                <w:szCs w:val="20"/>
              </w:rPr>
            </w:pPr>
          </w:p>
          <w:p w:rsidR="0080550B" w:rsidRPr="009A3C2A" w:rsidRDefault="0080550B" w:rsidP="009A3C2A">
            <w:pPr>
              <w:rPr>
                <w:rFonts w:ascii="Arial" w:hAnsi="Arial" w:cs="Arial"/>
                <w:b/>
                <w:bCs/>
                <w:color w:val="000000"/>
                <w:kern w:val="24"/>
                <w:sz w:val="20"/>
                <w:szCs w:val="20"/>
              </w:rPr>
            </w:pPr>
            <w:r w:rsidRPr="009A3C2A">
              <w:rPr>
                <w:rFonts w:ascii="Arial" w:hAnsi="Arial" w:cs="Arial"/>
                <w:b/>
                <w:bCs/>
                <w:color w:val="000000"/>
                <w:kern w:val="24"/>
                <w:sz w:val="20"/>
                <w:szCs w:val="20"/>
              </w:rPr>
              <w:t>Programme</w:t>
            </w:r>
          </w:p>
        </w:tc>
        <w:tc>
          <w:tcPr>
            <w:tcW w:w="3326" w:type="pct"/>
            <w:gridSpan w:val="4"/>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2021/22</w:t>
            </w:r>
          </w:p>
        </w:tc>
        <w:tc>
          <w:tcPr>
            <w:tcW w:w="809" w:type="pct"/>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2020/21</w:t>
            </w:r>
          </w:p>
        </w:tc>
      </w:tr>
      <w:tr w:rsidR="0080550B" w:rsidRPr="009A3C2A" w:rsidTr="0080550B">
        <w:trPr>
          <w:trHeight w:val="980"/>
          <w:tblHeader/>
        </w:trPr>
        <w:tc>
          <w:tcPr>
            <w:tcW w:w="865" w:type="pct"/>
            <w:vMerge/>
            <w:shd w:val="clear" w:color="auto" w:fill="D9D9D9"/>
          </w:tcPr>
          <w:p w:rsidR="0080550B" w:rsidRPr="009A3C2A" w:rsidRDefault="0080550B" w:rsidP="009A3C2A">
            <w:pPr>
              <w:rPr>
                <w:rFonts w:ascii="Arial" w:hAnsi="Arial" w:cs="Arial"/>
                <w:sz w:val="20"/>
                <w:szCs w:val="20"/>
                <w:lang w:val="en-US" w:eastAsia="en-US"/>
              </w:rPr>
            </w:pPr>
          </w:p>
        </w:tc>
        <w:tc>
          <w:tcPr>
            <w:tcW w:w="926"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Final</w:t>
            </w:r>
          </w:p>
          <w:p w:rsidR="0080550B" w:rsidRPr="009A3C2A" w:rsidRDefault="0080550B" w:rsidP="009A3C2A">
            <w:pPr>
              <w:rPr>
                <w:rFonts w:ascii="Arial" w:hAnsi="Arial" w:cs="Arial"/>
                <w:color w:val="000000"/>
                <w:spacing w:val="6"/>
                <w:sz w:val="20"/>
                <w:szCs w:val="20"/>
                <w:lang w:val="en-US"/>
              </w:rPr>
            </w:pPr>
            <w:r w:rsidRPr="009A3C2A">
              <w:rPr>
                <w:rFonts w:ascii="Arial" w:hAnsi="Arial" w:cs="Arial"/>
                <w:b/>
                <w:bCs/>
                <w:color w:val="000000"/>
                <w:spacing w:val="6"/>
                <w:sz w:val="20"/>
                <w:szCs w:val="20"/>
                <w:lang w:val="en-US"/>
              </w:rPr>
              <w:t>Appropriation</w:t>
            </w:r>
          </w:p>
        </w:tc>
        <w:tc>
          <w:tcPr>
            <w:tcW w:w="809"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 xml:space="preserve">Actual </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781"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Under-</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809" w:type="pct"/>
            <w:vMerge w:val="restar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809" w:type="pct"/>
            <w:vMerge w:val="restart"/>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 xml:space="preserve">Expenditure </w:t>
            </w:r>
          </w:p>
        </w:tc>
      </w:tr>
      <w:tr w:rsidR="0080550B" w:rsidRPr="009A3C2A" w:rsidTr="0080550B">
        <w:trPr>
          <w:tblHeader/>
        </w:trPr>
        <w:tc>
          <w:tcPr>
            <w:tcW w:w="865" w:type="pct"/>
            <w:vMerge/>
            <w:shd w:val="clear" w:color="auto" w:fill="D9D9D9"/>
          </w:tcPr>
          <w:p w:rsidR="0080550B" w:rsidRPr="009A3C2A" w:rsidRDefault="0080550B" w:rsidP="009A3C2A">
            <w:pPr>
              <w:rPr>
                <w:rFonts w:ascii="Arial" w:hAnsi="Arial" w:cs="Arial"/>
                <w:b/>
                <w:bCs/>
                <w:color w:val="000000"/>
                <w:kern w:val="24"/>
                <w:sz w:val="20"/>
                <w:szCs w:val="20"/>
              </w:rPr>
            </w:pPr>
          </w:p>
        </w:tc>
        <w:tc>
          <w:tcPr>
            <w:tcW w:w="2517" w:type="pct"/>
            <w:gridSpan w:val="3"/>
            <w:shd w:val="clear" w:color="auto" w:fill="D9D9D9"/>
          </w:tcPr>
          <w:p w:rsidR="0080550B" w:rsidRPr="009A3C2A" w:rsidRDefault="0080550B" w:rsidP="009A3C2A">
            <w:pPr>
              <w:rPr>
                <w:rFonts w:ascii="Arial" w:hAnsi="Arial" w:cs="Arial"/>
                <w:b/>
                <w:bCs/>
                <w:color w:val="000000"/>
                <w:kern w:val="24"/>
                <w:sz w:val="20"/>
                <w:szCs w:val="20"/>
              </w:rPr>
            </w:pPr>
            <w:r w:rsidRPr="009A3C2A">
              <w:rPr>
                <w:rFonts w:ascii="Arial" w:hAnsi="Arial" w:cs="Arial"/>
                <w:b/>
                <w:bCs/>
                <w:color w:val="000000"/>
                <w:spacing w:val="6"/>
                <w:kern w:val="24"/>
                <w:sz w:val="20"/>
                <w:szCs w:val="20"/>
              </w:rPr>
              <w:t>R ’</w:t>
            </w:r>
            <w:r w:rsidR="004A6B86" w:rsidRPr="009A3C2A">
              <w:rPr>
                <w:rFonts w:ascii="Arial" w:hAnsi="Arial" w:cs="Arial"/>
                <w:b/>
                <w:bCs/>
                <w:color w:val="000000"/>
                <w:spacing w:val="6"/>
                <w:kern w:val="24"/>
                <w:sz w:val="20"/>
                <w:szCs w:val="20"/>
              </w:rPr>
              <w:t>million</w:t>
            </w:r>
          </w:p>
        </w:tc>
        <w:tc>
          <w:tcPr>
            <w:tcW w:w="809" w:type="pct"/>
            <w:vMerge/>
            <w:shd w:val="clear" w:color="auto" w:fill="D9D9D9"/>
          </w:tcPr>
          <w:p w:rsidR="0080550B" w:rsidRPr="009A3C2A" w:rsidRDefault="0080550B" w:rsidP="009A3C2A">
            <w:pPr>
              <w:rPr>
                <w:rFonts w:ascii="Arial" w:hAnsi="Arial" w:cs="Arial"/>
                <w:b/>
                <w:bCs/>
                <w:color w:val="000000"/>
                <w:kern w:val="24"/>
                <w:sz w:val="20"/>
                <w:szCs w:val="20"/>
              </w:rPr>
            </w:pPr>
          </w:p>
        </w:tc>
        <w:tc>
          <w:tcPr>
            <w:tcW w:w="809" w:type="pct"/>
            <w:vMerge/>
            <w:shd w:val="clear" w:color="auto" w:fill="D9D9D9"/>
          </w:tcPr>
          <w:p w:rsidR="0080550B" w:rsidRPr="009A3C2A" w:rsidRDefault="0080550B" w:rsidP="009A3C2A">
            <w:pPr>
              <w:rPr>
                <w:rFonts w:ascii="Arial" w:hAnsi="Arial" w:cs="Arial"/>
                <w:b/>
                <w:bCs/>
                <w:color w:val="000000"/>
                <w:kern w:val="24"/>
                <w:sz w:val="20"/>
                <w:szCs w:val="20"/>
              </w:rPr>
            </w:pP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color w:val="000000"/>
                <w:kern w:val="24"/>
                <w:sz w:val="20"/>
                <w:szCs w:val="20"/>
              </w:rPr>
              <w:t>Administration</w:t>
            </w:r>
          </w:p>
        </w:tc>
        <w:tc>
          <w:tcPr>
            <w:tcW w:w="926"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sz w:val="20"/>
                <w:szCs w:val="20"/>
              </w:rPr>
              <w:t xml:space="preserve">252.3 </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210.1</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42.2</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83.3%</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100%</w:t>
            </w: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Superior Court Services</w:t>
            </w:r>
          </w:p>
        </w:tc>
        <w:tc>
          <w:tcPr>
            <w:tcW w:w="926"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 xml:space="preserve">929.1 </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902.6</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26.5</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97.1%</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90.7%</w:t>
            </w: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rPr>
            </w:pPr>
            <w:r w:rsidRPr="009A3C2A">
              <w:rPr>
                <w:rFonts w:ascii="Arial" w:hAnsi="Arial" w:cs="Arial"/>
                <w:color w:val="000000"/>
                <w:kern w:val="24"/>
                <w:sz w:val="20"/>
                <w:szCs w:val="20"/>
              </w:rPr>
              <w:t xml:space="preserve">Judicial Education and </w:t>
            </w:r>
            <w:r w:rsidRPr="009A3C2A">
              <w:rPr>
                <w:rFonts w:ascii="Arial" w:hAnsi="Arial" w:cs="Arial"/>
                <w:color w:val="000000"/>
                <w:kern w:val="24"/>
                <w:sz w:val="20"/>
                <w:szCs w:val="20"/>
              </w:rPr>
              <w:lastRenderedPageBreak/>
              <w:t>Support</w:t>
            </w:r>
          </w:p>
        </w:tc>
        <w:tc>
          <w:tcPr>
            <w:tcW w:w="926"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lastRenderedPageBreak/>
              <w:t xml:space="preserve">60.4 </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43.4</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17.0</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71.9</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43.7%</w:t>
            </w: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b/>
                <w:bCs/>
                <w:color w:val="000000"/>
                <w:kern w:val="24"/>
                <w:sz w:val="20"/>
                <w:szCs w:val="20"/>
              </w:rPr>
              <w:lastRenderedPageBreak/>
              <w:t>Subtotal</w:t>
            </w:r>
          </w:p>
        </w:tc>
        <w:tc>
          <w:tcPr>
            <w:tcW w:w="926" w:type="pct"/>
            <w:shd w:val="clear" w:color="auto" w:fill="auto"/>
          </w:tcPr>
          <w:p w:rsidR="00DA6519" w:rsidRPr="009A3C2A" w:rsidRDefault="00DA6519" w:rsidP="009A3C2A">
            <w:pPr>
              <w:rPr>
                <w:rFonts w:ascii="Arial" w:hAnsi="Arial" w:cs="Arial"/>
                <w:b/>
                <w:sz w:val="20"/>
                <w:szCs w:val="20"/>
              </w:rPr>
            </w:pPr>
            <w:r w:rsidRPr="009A3C2A">
              <w:rPr>
                <w:rFonts w:ascii="Arial" w:hAnsi="Arial" w:cs="Arial"/>
                <w:sz w:val="20"/>
                <w:szCs w:val="20"/>
              </w:rPr>
              <w:t xml:space="preserve">1 241.8 </w:t>
            </w:r>
          </w:p>
        </w:tc>
        <w:tc>
          <w:tcPr>
            <w:tcW w:w="809" w:type="pct"/>
          </w:tcPr>
          <w:p w:rsidR="00DA6519" w:rsidRPr="009A3C2A" w:rsidRDefault="00DA6519" w:rsidP="009A3C2A">
            <w:pPr>
              <w:rPr>
                <w:rFonts w:ascii="Arial" w:hAnsi="Arial" w:cs="Arial"/>
                <w:b/>
                <w:sz w:val="20"/>
                <w:szCs w:val="20"/>
              </w:rPr>
            </w:pPr>
            <w:r w:rsidRPr="009A3C2A">
              <w:rPr>
                <w:rFonts w:ascii="Arial" w:hAnsi="Arial" w:cs="Arial"/>
                <w:sz w:val="20"/>
                <w:szCs w:val="20"/>
              </w:rPr>
              <w:t>1 156.2</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85.6</w:t>
            </w:r>
          </w:p>
        </w:tc>
        <w:tc>
          <w:tcPr>
            <w:tcW w:w="809" w:type="pct"/>
          </w:tcPr>
          <w:p w:rsidR="00DA6519" w:rsidRPr="009A3C2A" w:rsidRDefault="00DA6519" w:rsidP="009A3C2A">
            <w:pPr>
              <w:rPr>
                <w:rFonts w:ascii="Arial" w:hAnsi="Arial" w:cs="Arial"/>
                <w:b/>
                <w:sz w:val="20"/>
                <w:szCs w:val="20"/>
              </w:rPr>
            </w:pPr>
            <w:r w:rsidRPr="009A3C2A">
              <w:rPr>
                <w:rFonts w:ascii="Arial" w:hAnsi="Arial" w:cs="Arial"/>
                <w:b/>
                <w:sz w:val="20"/>
                <w:szCs w:val="20"/>
              </w:rPr>
              <w:t>93.1%</w:t>
            </w:r>
          </w:p>
        </w:tc>
        <w:tc>
          <w:tcPr>
            <w:tcW w:w="809" w:type="pct"/>
          </w:tcPr>
          <w:p w:rsidR="00DA6519" w:rsidRPr="009A3C2A" w:rsidRDefault="00DA6519" w:rsidP="009A3C2A">
            <w:pPr>
              <w:rPr>
                <w:rFonts w:ascii="Arial" w:hAnsi="Arial" w:cs="Arial"/>
                <w:b/>
                <w:sz w:val="20"/>
                <w:szCs w:val="20"/>
              </w:rPr>
            </w:pPr>
            <w:r w:rsidRPr="009A3C2A">
              <w:rPr>
                <w:rFonts w:ascii="Arial" w:hAnsi="Arial" w:cs="Arial"/>
                <w:b/>
                <w:sz w:val="20"/>
                <w:szCs w:val="20"/>
              </w:rPr>
              <w:t>90.2%</w:t>
            </w: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rPr>
            </w:pPr>
            <w:r w:rsidRPr="009A3C2A">
              <w:rPr>
                <w:rFonts w:ascii="Arial" w:hAnsi="Arial" w:cs="Arial"/>
                <w:kern w:val="24"/>
                <w:sz w:val="20"/>
                <w:szCs w:val="20"/>
              </w:rPr>
              <w:t>Judges’ Salaries</w:t>
            </w:r>
          </w:p>
        </w:tc>
        <w:tc>
          <w:tcPr>
            <w:tcW w:w="926"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 xml:space="preserve">1 118.4 </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1 063.3</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55.1</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95.1%</w:t>
            </w:r>
          </w:p>
        </w:tc>
        <w:tc>
          <w:tcPr>
            <w:tcW w:w="809" w:type="pct"/>
          </w:tcPr>
          <w:p w:rsidR="00DA6519" w:rsidRPr="009A3C2A" w:rsidRDefault="00DA6519" w:rsidP="009A3C2A">
            <w:pPr>
              <w:rPr>
                <w:rFonts w:ascii="Arial" w:hAnsi="Arial" w:cs="Arial"/>
                <w:sz w:val="20"/>
                <w:szCs w:val="20"/>
              </w:rPr>
            </w:pPr>
            <w:r w:rsidRPr="009A3C2A">
              <w:rPr>
                <w:rFonts w:ascii="Arial" w:hAnsi="Arial" w:cs="Arial"/>
                <w:sz w:val="20"/>
                <w:szCs w:val="20"/>
              </w:rPr>
              <w:t>93.4%</w:t>
            </w:r>
          </w:p>
        </w:tc>
      </w:tr>
      <w:tr w:rsidR="00DA6519" w:rsidRPr="009A3C2A" w:rsidTr="0080550B">
        <w:tc>
          <w:tcPr>
            <w:tcW w:w="865" w:type="pct"/>
            <w:shd w:val="clear" w:color="auto" w:fill="auto"/>
          </w:tcPr>
          <w:p w:rsidR="00DA6519" w:rsidRPr="009A3C2A" w:rsidRDefault="00DA6519" w:rsidP="009A3C2A">
            <w:pPr>
              <w:rPr>
                <w:rFonts w:ascii="Arial" w:hAnsi="Arial" w:cs="Arial"/>
                <w:sz w:val="20"/>
                <w:szCs w:val="20"/>
              </w:rPr>
            </w:pPr>
            <w:r w:rsidRPr="009A3C2A">
              <w:rPr>
                <w:rFonts w:ascii="Arial" w:hAnsi="Arial" w:cs="Arial"/>
                <w:b/>
                <w:bCs/>
                <w:color w:val="000000"/>
                <w:kern w:val="24"/>
                <w:sz w:val="20"/>
                <w:szCs w:val="20"/>
              </w:rPr>
              <w:t xml:space="preserve">Total </w:t>
            </w:r>
          </w:p>
        </w:tc>
        <w:tc>
          <w:tcPr>
            <w:tcW w:w="926" w:type="pct"/>
            <w:shd w:val="clear" w:color="auto" w:fill="auto"/>
          </w:tcPr>
          <w:p w:rsidR="00DA6519" w:rsidRPr="009A3C2A" w:rsidRDefault="00DA6519" w:rsidP="009A3C2A">
            <w:pPr>
              <w:rPr>
                <w:rFonts w:ascii="Arial" w:hAnsi="Arial" w:cs="Arial"/>
                <w:b/>
                <w:sz w:val="20"/>
                <w:szCs w:val="20"/>
                <w:lang w:val="en-US" w:eastAsia="en-US"/>
              </w:rPr>
            </w:pPr>
            <w:r w:rsidRPr="009A3C2A">
              <w:rPr>
                <w:rFonts w:ascii="Arial" w:hAnsi="Arial" w:cs="Arial"/>
                <w:sz w:val="20"/>
                <w:szCs w:val="20"/>
              </w:rPr>
              <w:t xml:space="preserve">2 360.0 </w:t>
            </w:r>
          </w:p>
        </w:tc>
        <w:tc>
          <w:tcPr>
            <w:tcW w:w="809" w:type="pct"/>
          </w:tcPr>
          <w:p w:rsidR="00DA6519" w:rsidRPr="009A3C2A" w:rsidRDefault="00DA6519" w:rsidP="009A3C2A">
            <w:pPr>
              <w:rPr>
                <w:rFonts w:ascii="Arial" w:hAnsi="Arial" w:cs="Arial"/>
                <w:b/>
                <w:sz w:val="20"/>
                <w:szCs w:val="20"/>
              </w:rPr>
            </w:pPr>
            <w:r w:rsidRPr="009A3C2A">
              <w:rPr>
                <w:rFonts w:ascii="Arial" w:hAnsi="Arial" w:cs="Arial"/>
                <w:sz w:val="20"/>
                <w:szCs w:val="20"/>
              </w:rPr>
              <w:t>2 219.5</w:t>
            </w:r>
          </w:p>
        </w:tc>
        <w:tc>
          <w:tcPr>
            <w:tcW w:w="781" w:type="pct"/>
          </w:tcPr>
          <w:p w:rsidR="00DA6519" w:rsidRPr="009A3C2A" w:rsidRDefault="00DA6519" w:rsidP="009A3C2A">
            <w:pPr>
              <w:rPr>
                <w:rFonts w:ascii="Arial" w:hAnsi="Arial" w:cs="Arial"/>
                <w:sz w:val="20"/>
                <w:szCs w:val="20"/>
              </w:rPr>
            </w:pPr>
            <w:r w:rsidRPr="009A3C2A">
              <w:rPr>
                <w:rFonts w:ascii="Arial" w:hAnsi="Arial" w:cs="Arial"/>
                <w:sz w:val="20"/>
                <w:szCs w:val="20"/>
              </w:rPr>
              <w:t>140.7</w:t>
            </w:r>
          </w:p>
        </w:tc>
        <w:tc>
          <w:tcPr>
            <w:tcW w:w="809" w:type="pct"/>
          </w:tcPr>
          <w:p w:rsidR="00DA6519" w:rsidRPr="009A3C2A" w:rsidRDefault="00DA6519" w:rsidP="009A3C2A">
            <w:pPr>
              <w:rPr>
                <w:rFonts w:ascii="Arial" w:hAnsi="Arial" w:cs="Arial"/>
                <w:b/>
                <w:sz w:val="20"/>
                <w:szCs w:val="20"/>
              </w:rPr>
            </w:pPr>
            <w:r w:rsidRPr="009A3C2A">
              <w:rPr>
                <w:rFonts w:ascii="Arial" w:hAnsi="Arial" w:cs="Arial"/>
                <w:b/>
                <w:sz w:val="20"/>
                <w:szCs w:val="20"/>
              </w:rPr>
              <w:t>94.0%</w:t>
            </w:r>
          </w:p>
        </w:tc>
        <w:tc>
          <w:tcPr>
            <w:tcW w:w="809" w:type="pct"/>
          </w:tcPr>
          <w:p w:rsidR="00DA6519" w:rsidRPr="009A3C2A" w:rsidRDefault="00DA6519" w:rsidP="009A3C2A">
            <w:pPr>
              <w:rPr>
                <w:rFonts w:ascii="Arial" w:hAnsi="Arial" w:cs="Arial"/>
                <w:b/>
                <w:sz w:val="20"/>
                <w:szCs w:val="20"/>
              </w:rPr>
            </w:pPr>
            <w:r w:rsidRPr="009A3C2A">
              <w:rPr>
                <w:rFonts w:ascii="Arial" w:hAnsi="Arial" w:cs="Arial"/>
                <w:b/>
                <w:sz w:val="20"/>
                <w:szCs w:val="20"/>
              </w:rPr>
              <w:t>91.7%</w:t>
            </w:r>
          </w:p>
        </w:tc>
      </w:tr>
    </w:tbl>
    <w:p w:rsidR="008C330D" w:rsidRPr="009A3C2A" w:rsidRDefault="008C330D" w:rsidP="009A3C2A">
      <w:pPr>
        <w:rPr>
          <w:rFonts w:ascii="Arial" w:hAnsi="Arial" w:cs="Arial"/>
          <w:b/>
          <w:i/>
          <w:color w:val="000000"/>
          <w:spacing w:val="6"/>
          <w:sz w:val="20"/>
          <w:szCs w:val="20"/>
        </w:rPr>
      </w:pPr>
    </w:p>
    <w:p w:rsidR="008C330D" w:rsidRPr="009A3C2A" w:rsidRDefault="004A6B86" w:rsidP="009A3C2A">
      <w:pPr>
        <w:rPr>
          <w:rFonts w:ascii="Arial" w:hAnsi="Arial" w:cs="Arial"/>
          <w:b/>
          <w:i/>
          <w:color w:val="000000"/>
          <w:spacing w:val="6"/>
          <w:sz w:val="20"/>
          <w:szCs w:val="20"/>
        </w:rPr>
      </w:pPr>
      <w:r w:rsidRPr="009A3C2A">
        <w:rPr>
          <w:rFonts w:ascii="Arial" w:hAnsi="Arial" w:cs="Arial"/>
          <w:b/>
          <w:i/>
          <w:color w:val="000000"/>
          <w:spacing w:val="6"/>
          <w:sz w:val="20"/>
          <w:szCs w:val="20"/>
        </w:rPr>
        <w:t>Table 6</w:t>
      </w:r>
      <w:r w:rsidR="008C330D" w:rsidRPr="009A3C2A">
        <w:rPr>
          <w:rFonts w:ascii="Arial" w:hAnsi="Arial" w:cs="Arial"/>
          <w:b/>
          <w:i/>
          <w:color w:val="000000"/>
          <w:spacing w:val="6"/>
          <w:sz w:val="20"/>
          <w:szCs w:val="20"/>
        </w:rPr>
        <w:t>: Expenditure per economic classification</w:t>
      </w:r>
      <w:r w:rsidRPr="009A3C2A">
        <w:rPr>
          <w:rFonts w:ascii="Arial" w:hAnsi="Arial" w:cs="Arial"/>
          <w:b/>
          <w:i/>
          <w:color w:val="000000"/>
          <w:spacing w:val="6"/>
          <w:sz w:val="20"/>
          <w:szCs w:val="20"/>
        </w:rPr>
        <w:t xml:space="preserve"> 2021/22 (with a comparison to 2020/21)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829"/>
        <w:gridCol w:w="1608"/>
        <w:gridCol w:w="1606"/>
        <w:gridCol w:w="1606"/>
        <w:gridCol w:w="1602"/>
      </w:tblGrid>
      <w:tr w:rsidR="0080550B" w:rsidRPr="009A3C2A" w:rsidTr="00DA6519">
        <w:trPr>
          <w:trHeight w:val="546"/>
          <w:tblHeader/>
        </w:trPr>
        <w:tc>
          <w:tcPr>
            <w:tcW w:w="859" w:type="pct"/>
            <w:vMerge w:val="restart"/>
            <w:shd w:val="clear" w:color="auto" w:fill="D9D9D9"/>
          </w:tcPr>
          <w:p w:rsidR="0080550B" w:rsidRPr="009A3C2A" w:rsidRDefault="0080550B" w:rsidP="009A3C2A">
            <w:pPr>
              <w:rPr>
                <w:rFonts w:ascii="Arial" w:hAnsi="Arial" w:cs="Arial"/>
                <w:b/>
                <w:bCs/>
                <w:color w:val="000000"/>
                <w:kern w:val="24"/>
                <w:sz w:val="20"/>
                <w:szCs w:val="20"/>
              </w:rPr>
            </w:pPr>
          </w:p>
          <w:p w:rsidR="0080550B" w:rsidRPr="009A3C2A" w:rsidRDefault="0080550B" w:rsidP="009A3C2A">
            <w:pPr>
              <w:rPr>
                <w:rFonts w:ascii="Arial" w:hAnsi="Arial" w:cs="Arial"/>
                <w:b/>
                <w:bCs/>
                <w:color w:val="000000"/>
                <w:kern w:val="24"/>
                <w:sz w:val="20"/>
                <w:szCs w:val="20"/>
              </w:rPr>
            </w:pPr>
          </w:p>
        </w:tc>
        <w:tc>
          <w:tcPr>
            <w:tcW w:w="3337" w:type="pct"/>
            <w:gridSpan w:val="4"/>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2021/22</w:t>
            </w:r>
          </w:p>
        </w:tc>
        <w:tc>
          <w:tcPr>
            <w:tcW w:w="804" w:type="pct"/>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2020/21</w:t>
            </w:r>
          </w:p>
        </w:tc>
      </w:tr>
      <w:tr w:rsidR="0080550B" w:rsidRPr="009A3C2A" w:rsidTr="00DA6519">
        <w:trPr>
          <w:trHeight w:val="980"/>
          <w:tblHeader/>
        </w:trPr>
        <w:tc>
          <w:tcPr>
            <w:tcW w:w="859" w:type="pct"/>
            <w:vMerge/>
            <w:shd w:val="clear" w:color="auto" w:fill="D9D9D9"/>
          </w:tcPr>
          <w:p w:rsidR="0080550B" w:rsidRPr="009A3C2A" w:rsidRDefault="0080550B" w:rsidP="009A3C2A">
            <w:pPr>
              <w:rPr>
                <w:rFonts w:ascii="Arial" w:hAnsi="Arial" w:cs="Arial"/>
                <w:sz w:val="20"/>
                <w:szCs w:val="20"/>
                <w:lang w:val="en-US" w:eastAsia="en-US"/>
              </w:rPr>
            </w:pPr>
          </w:p>
        </w:tc>
        <w:tc>
          <w:tcPr>
            <w:tcW w:w="918"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Final</w:t>
            </w:r>
          </w:p>
          <w:p w:rsidR="0080550B" w:rsidRPr="009A3C2A" w:rsidRDefault="0080550B" w:rsidP="009A3C2A">
            <w:pPr>
              <w:rPr>
                <w:rFonts w:ascii="Arial" w:hAnsi="Arial" w:cs="Arial"/>
                <w:color w:val="000000"/>
                <w:spacing w:val="6"/>
                <w:sz w:val="20"/>
                <w:szCs w:val="20"/>
                <w:lang w:val="en-US"/>
              </w:rPr>
            </w:pPr>
            <w:r w:rsidRPr="009A3C2A">
              <w:rPr>
                <w:rFonts w:ascii="Arial" w:hAnsi="Arial" w:cs="Arial"/>
                <w:b/>
                <w:bCs/>
                <w:color w:val="000000"/>
                <w:spacing w:val="6"/>
                <w:sz w:val="20"/>
                <w:szCs w:val="20"/>
                <w:lang w:val="en-US"/>
              </w:rPr>
              <w:t>Appropriation</w:t>
            </w:r>
          </w:p>
        </w:tc>
        <w:tc>
          <w:tcPr>
            <w:tcW w:w="807"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 xml:space="preserve">Actual </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806" w:type="pc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Under-</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806" w:type="pct"/>
            <w:vMerge w:val="restart"/>
            <w:tcBorders>
              <w:bottom w:val="single" w:sz="4" w:space="0" w:color="auto"/>
            </w:tcBorders>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Expenditure</w:t>
            </w:r>
          </w:p>
        </w:tc>
        <w:tc>
          <w:tcPr>
            <w:tcW w:w="804" w:type="pct"/>
            <w:vMerge w:val="restart"/>
            <w:shd w:val="clear" w:color="auto" w:fill="D9D9D9"/>
          </w:tcPr>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w:t>
            </w:r>
          </w:p>
          <w:p w:rsidR="0080550B" w:rsidRPr="009A3C2A" w:rsidRDefault="0080550B" w:rsidP="009A3C2A">
            <w:pPr>
              <w:rPr>
                <w:rFonts w:ascii="Arial" w:hAnsi="Arial" w:cs="Arial"/>
                <w:b/>
                <w:bCs/>
                <w:color w:val="000000"/>
                <w:spacing w:val="6"/>
                <w:sz w:val="20"/>
                <w:szCs w:val="20"/>
                <w:lang w:val="en-US"/>
              </w:rPr>
            </w:pPr>
            <w:r w:rsidRPr="009A3C2A">
              <w:rPr>
                <w:rFonts w:ascii="Arial" w:hAnsi="Arial" w:cs="Arial"/>
                <w:b/>
                <w:bCs/>
                <w:color w:val="000000"/>
                <w:spacing w:val="6"/>
                <w:sz w:val="20"/>
                <w:szCs w:val="20"/>
                <w:lang w:val="en-US"/>
              </w:rPr>
              <w:t xml:space="preserve">Expenditure </w:t>
            </w:r>
          </w:p>
        </w:tc>
      </w:tr>
      <w:tr w:rsidR="0080550B" w:rsidRPr="009A3C2A" w:rsidTr="00DA6519">
        <w:trPr>
          <w:tblHeader/>
        </w:trPr>
        <w:tc>
          <w:tcPr>
            <w:tcW w:w="859" w:type="pct"/>
            <w:vMerge/>
            <w:shd w:val="clear" w:color="auto" w:fill="D9D9D9"/>
          </w:tcPr>
          <w:p w:rsidR="0080550B" w:rsidRPr="009A3C2A" w:rsidRDefault="0080550B" w:rsidP="009A3C2A">
            <w:pPr>
              <w:rPr>
                <w:rFonts w:ascii="Arial" w:hAnsi="Arial" w:cs="Arial"/>
                <w:b/>
                <w:bCs/>
                <w:color w:val="000000"/>
                <w:kern w:val="24"/>
                <w:sz w:val="20"/>
                <w:szCs w:val="20"/>
              </w:rPr>
            </w:pPr>
          </w:p>
        </w:tc>
        <w:tc>
          <w:tcPr>
            <w:tcW w:w="2531" w:type="pct"/>
            <w:gridSpan w:val="3"/>
            <w:shd w:val="clear" w:color="auto" w:fill="D9D9D9"/>
          </w:tcPr>
          <w:p w:rsidR="0080550B" w:rsidRPr="009A3C2A" w:rsidRDefault="0080550B" w:rsidP="009A3C2A">
            <w:pPr>
              <w:rPr>
                <w:rFonts w:ascii="Arial" w:hAnsi="Arial" w:cs="Arial"/>
                <w:b/>
                <w:bCs/>
                <w:color w:val="000000"/>
                <w:kern w:val="24"/>
                <w:sz w:val="20"/>
                <w:szCs w:val="20"/>
              </w:rPr>
            </w:pPr>
            <w:r w:rsidRPr="009A3C2A">
              <w:rPr>
                <w:rFonts w:ascii="Arial" w:hAnsi="Arial" w:cs="Arial"/>
                <w:b/>
                <w:bCs/>
                <w:color w:val="000000"/>
                <w:spacing w:val="6"/>
                <w:kern w:val="24"/>
                <w:sz w:val="20"/>
                <w:szCs w:val="20"/>
              </w:rPr>
              <w:t>R ’000 000</w:t>
            </w:r>
          </w:p>
        </w:tc>
        <w:tc>
          <w:tcPr>
            <w:tcW w:w="806" w:type="pct"/>
            <w:vMerge/>
            <w:shd w:val="clear" w:color="auto" w:fill="D9D9D9"/>
          </w:tcPr>
          <w:p w:rsidR="0080550B" w:rsidRPr="009A3C2A" w:rsidRDefault="0080550B" w:rsidP="009A3C2A">
            <w:pPr>
              <w:rPr>
                <w:rFonts w:ascii="Arial" w:hAnsi="Arial" w:cs="Arial"/>
                <w:b/>
                <w:bCs/>
                <w:color w:val="000000"/>
                <w:kern w:val="24"/>
                <w:sz w:val="20"/>
                <w:szCs w:val="20"/>
              </w:rPr>
            </w:pPr>
          </w:p>
        </w:tc>
        <w:tc>
          <w:tcPr>
            <w:tcW w:w="804" w:type="pct"/>
            <w:vMerge/>
            <w:shd w:val="clear" w:color="auto" w:fill="D9D9D9"/>
          </w:tcPr>
          <w:p w:rsidR="0080550B" w:rsidRPr="009A3C2A" w:rsidRDefault="0080550B" w:rsidP="009A3C2A">
            <w:pPr>
              <w:rPr>
                <w:rFonts w:ascii="Arial" w:hAnsi="Arial" w:cs="Arial"/>
                <w:b/>
                <w:bCs/>
                <w:color w:val="000000"/>
                <w:kern w:val="24"/>
                <w:sz w:val="20"/>
                <w:szCs w:val="20"/>
              </w:rPr>
            </w:pPr>
          </w:p>
        </w:tc>
      </w:tr>
      <w:tr w:rsidR="00DA6519" w:rsidRPr="009A3C2A" w:rsidTr="00DA6519">
        <w:tc>
          <w:tcPr>
            <w:tcW w:w="859"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sz w:val="20"/>
                <w:szCs w:val="20"/>
                <w:lang w:val="en-US" w:eastAsia="en-US"/>
              </w:rPr>
              <w:t>Compensation of employees</w:t>
            </w:r>
          </w:p>
        </w:tc>
        <w:tc>
          <w:tcPr>
            <w:tcW w:w="918"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sz w:val="20"/>
                <w:szCs w:val="20"/>
                <w:lang w:val="en-US" w:eastAsia="en-US"/>
              </w:rPr>
              <w:t>1 791.7</w:t>
            </w:r>
          </w:p>
        </w:tc>
        <w:tc>
          <w:tcPr>
            <w:tcW w:w="807"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1791.5</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0.2</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100%</w:t>
            </w:r>
          </w:p>
        </w:tc>
        <w:tc>
          <w:tcPr>
            <w:tcW w:w="804" w:type="pct"/>
          </w:tcPr>
          <w:p w:rsidR="00DA6519" w:rsidRPr="009A3C2A" w:rsidRDefault="00DA6519" w:rsidP="009A3C2A">
            <w:pPr>
              <w:rPr>
                <w:rFonts w:ascii="Arial" w:hAnsi="Arial" w:cs="Arial"/>
                <w:sz w:val="20"/>
                <w:szCs w:val="20"/>
              </w:rPr>
            </w:pPr>
            <w:r w:rsidRPr="009A3C2A">
              <w:rPr>
                <w:rFonts w:ascii="Arial" w:hAnsi="Arial" w:cs="Arial"/>
                <w:sz w:val="20"/>
                <w:szCs w:val="20"/>
              </w:rPr>
              <w:t>97.8%</w:t>
            </w:r>
          </w:p>
        </w:tc>
      </w:tr>
      <w:tr w:rsidR="00DA6519" w:rsidRPr="009A3C2A" w:rsidTr="00DA6519">
        <w:tc>
          <w:tcPr>
            <w:tcW w:w="859"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Goods and Services</w:t>
            </w:r>
          </w:p>
        </w:tc>
        <w:tc>
          <w:tcPr>
            <w:tcW w:w="918"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312.6</w:t>
            </w:r>
          </w:p>
        </w:tc>
        <w:tc>
          <w:tcPr>
            <w:tcW w:w="807"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262.5</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50.1</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84%</w:t>
            </w:r>
          </w:p>
        </w:tc>
        <w:tc>
          <w:tcPr>
            <w:tcW w:w="804" w:type="pct"/>
          </w:tcPr>
          <w:p w:rsidR="00DA6519" w:rsidRPr="009A3C2A" w:rsidRDefault="00DA6519" w:rsidP="009A3C2A">
            <w:pPr>
              <w:rPr>
                <w:rFonts w:ascii="Arial" w:hAnsi="Arial" w:cs="Arial"/>
                <w:sz w:val="20"/>
                <w:szCs w:val="20"/>
              </w:rPr>
            </w:pPr>
            <w:r w:rsidRPr="009A3C2A">
              <w:rPr>
                <w:rFonts w:ascii="Arial" w:hAnsi="Arial" w:cs="Arial"/>
                <w:sz w:val="20"/>
                <w:szCs w:val="20"/>
              </w:rPr>
              <w:t>72.9%</w:t>
            </w:r>
          </w:p>
        </w:tc>
      </w:tr>
      <w:tr w:rsidR="00DA6519" w:rsidRPr="009A3C2A" w:rsidTr="00DA6519">
        <w:tc>
          <w:tcPr>
            <w:tcW w:w="859"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Interest on land and rent</w:t>
            </w:r>
          </w:p>
        </w:tc>
        <w:tc>
          <w:tcPr>
            <w:tcW w:w="918"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0.006</w:t>
            </w:r>
          </w:p>
        </w:tc>
        <w:tc>
          <w:tcPr>
            <w:tcW w:w="807"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0.006</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0</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100%</w:t>
            </w:r>
          </w:p>
        </w:tc>
        <w:tc>
          <w:tcPr>
            <w:tcW w:w="804" w:type="pct"/>
          </w:tcPr>
          <w:p w:rsidR="00DA6519" w:rsidRPr="009A3C2A" w:rsidRDefault="00DA6519" w:rsidP="009A3C2A">
            <w:pPr>
              <w:rPr>
                <w:rFonts w:ascii="Arial" w:hAnsi="Arial" w:cs="Arial"/>
                <w:sz w:val="20"/>
                <w:szCs w:val="20"/>
              </w:rPr>
            </w:pPr>
            <w:r w:rsidRPr="009A3C2A">
              <w:rPr>
                <w:rFonts w:ascii="Arial" w:hAnsi="Arial" w:cs="Arial"/>
                <w:sz w:val="20"/>
                <w:szCs w:val="20"/>
              </w:rPr>
              <w:t>-</w:t>
            </w:r>
          </w:p>
        </w:tc>
      </w:tr>
      <w:tr w:rsidR="00DA6519" w:rsidRPr="009A3C2A" w:rsidTr="00DA6519">
        <w:tc>
          <w:tcPr>
            <w:tcW w:w="859" w:type="pct"/>
            <w:shd w:val="clear" w:color="auto" w:fill="auto"/>
          </w:tcPr>
          <w:p w:rsidR="00DA6519" w:rsidRPr="009A3C2A" w:rsidRDefault="00DA6519" w:rsidP="009A3C2A">
            <w:pPr>
              <w:rPr>
                <w:rFonts w:ascii="Arial" w:hAnsi="Arial" w:cs="Arial"/>
                <w:sz w:val="20"/>
                <w:szCs w:val="20"/>
                <w:lang w:val="en-US" w:eastAsia="en-US"/>
              </w:rPr>
            </w:pPr>
            <w:r w:rsidRPr="009A3C2A">
              <w:rPr>
                <w:rFonts w:ascii="Arial" w:hAnsi="Arial" w:cs="Arial"/>
                <w:sz w:val="20"/>
                <w:szCs w:val="20"/>
                <w:lang w:val="en-US" w:eastAsia="en-US"/>
              </w:rPr>
              <w:t>Transfers and subsidies</w:t>
            </w:r>
          </w:p>
        </w:tc>
        <w:tc>
          <w:tcPr>
            <w:tcW w:w="918"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135.7</w:t>
            </w:r>
          </w:p>
        </w:tc>
        <w:tc>
          <w:tcPr>
            <w:tcW w:w="807"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75.4</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60.3</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55%</w:t>
            </w:r>
          </w:p>
        </w:tc>
        <w:tc>
          <w:tcPr>
            <w:tcW w:w="804" w:type="pct"/>
          </w:tcPr>
          <w:p w:rsidR="00DA6519" w:rsidRPr="009A3C2A" w:rsidRDefault="00DA6519" w:rsidP="009A3C2A">
            <w:pPr>
              <w:rPr>
                <w:rFonts w:ascii="Arial" w:hAnsi="Arial" w:cs="Arial"/>
                <w:sz w:val="20"/>
                <w:szCs w:val="20"/>
              </w:rPr>
            </w:pPr>
            <w:r w:rsidRPr="009A3C2A">
              <w:rPr>
                <w:rFonts w:ascii="Arial" w:hAnsi="Arial" w:cs="Arial"/>
                <w:sz w:val="20"/>
                <w:szCs w:val="20"/>
              </w:rPr>
              <w:t>52.8%</w:t>
            </w:r>
          </w:p>
        </w:tc>
      </w:tr>
      <w:tr w:rsidR="00DA6519" w:rsidRPr="009A3C2A" w:rsidTr="00DA6519">
        <w:trPr>
          <w:trHeight w:val="902"/>
        </w:trPr>
        <w:tc>
          <w:tcPr>
            <w:tcW w:w="859"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Purchase of capital assets</w:t>
            </w:r>
          </w:p>
        </w:tc>
        <w:tc>
          <w:tcPr>
            <w:tcW w:w="918" w:type="pct"/>
            <w:shd w:val="clear" w:color="auto" w:fill="auto"/>
          </w:tcPr>
          <w:p w:rsidR="00DA6519" w:rsidRPr="009A3C2A" w:rsidRDefault="00DA6519" w:rsidP="009A3C2A">
            <w:pPr>
              <w:rPr>
                <w:rFonts w:ascii="Arial" w:hAnsi="Arial" w:cs="Arial"/>
                <w:sz w:val="20"/>
                <w:szCs w:val="20"/>
              </w:rPr>
            </w:pPr>
            <w:r w:rsidRPr="009A3C2A">
              <w:rPr>
                <w:rFonts w:ascii="Arial" w:hAnsi="Arial" w:cs="Arial"/>
                <w:sz w:val="20"/>
                <w:szCs w:val="20"/>
              </w:rPr>
              <w:t>120.2</w:t>
            </w:r>
          </w:p>
        </w:tc>
        <w:tc>
          <w:tcPr>
            <w:tcW w:w="807"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89.7</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30.5</w:t>
            </w:r>
          </w:p>
        </w:tc>
        <w:tc>
          <w:tcPr>
            <w:tcW w:w="806" w:type="pct"/>
            <w:shd w:val="clear" w:color="auto" w:fill="D9D9D9" w:themeFill="background1" w:themeFillShade="D9"/>
          </w:tcPr>
          <w:p w:rsidR="00DA6519" w:rsidRPr="009A3C2A" w:rsidRDefault="00DA6519" w:rsidP="009A3C2A">
            <w:pPr>
              <w:rPr>
                <w:rFonts w:ascii="Arial" w:hAnsi="Arial" w:cs="Arial"/>
                <w:sz w:val="20"/>
                <w:szCs w:val="20"/>
              </w:rPr>
            </w:pPr>
            <w:r w:rsidRPr="009A3C2A">
              <w:rPr>
                <w:rFonts w:ascii="Arial" w:hAnsi="Arial" w:cs="Arial"/>
                <w:sz w:val="20"/>
                <w:szCs w:val="20"/>
              </w:rPr>
              <w:t>74.6</w:t>
            </w:r>
          </w:p>
        </w:tc>
        <w:tc>
          <w:tcPr>
            <w:tcW w:w="804" w:type="pct"/>
          </w:tcPr>
          <w:p w:rsidR="00DA6519" w:rsidRPr="009A3C2A" w:rsidRDefault="00DA6519" w:rsidP="009A3C2A">
            <w:pPr>
              <w:rPr>
                <w:rFonts w:ascii="Arial" w:hAnsi="Arial" w:cs="Arial"/>
                <w:sz w:val="20"/>
                <w:szCs w:val="20"/>
              </w:rPr>
            </w:pPr>
            <w:r w:rsidRPr="009A3C2A">
              <w:rPr>
                <w:rFonts w:ascii="Arial" w:hAnsi="Arial" w:cs="Arial"/>
                <w:sz w:val="20"/>
                <w:szCs w:val="20"/>
              </w:rPr>
              <w:t>88.7%</w:t>
            </w:r>
          </w:p>
        </w:tc>
      </w:tr>
      <w:tr w:rsidR="00DA6519" w:rsidRPr="009A3C2A" w:rsidTr="00DA6519">
        <w:tc>
          <w:tcPr>
            <w:tcW w:w="859" w:type="pct"/>
            <w:shd w:val="clear" w:color="auto" w:fill="auto"/>
          </w:tcPr>
          <w:p w:rsidR="00DA6519" w:rsidRPr="009A3C2A" w:rsidRDefault="00DA6519" w:rsidP="009A3C2A">
            <w:pPr>
              <w:rPr>
                <w:rFonts w:ascii="Arial" w:hAnsi="Arial" w:cs="Arial"/>
                <w:sz w:val="20"/>
                <w:szCs w:val="20"/>
              </w:rPr>
            </w:pPr>
            <w:r w:rsidRPr="009A3C2A">
              <w:rPr>
                <w:rFonts w:ascii="Arial" w:hAnsi="Arial" w:cs="Arial"/>
                <w:b/>
                <w:bCs/>
                <w:color w:val="000000"/>
                <w:kern w:val="24"/>
                <w:sz w:val="20"/>
                <w:szCs w:val="20"/>
              </w:rPr>
              <w:t xml:space="preserve">Total </w:t>
            </w:r>
          </w:p>
        </w:tc>
        <w:tc>
          <w:tcPr>
            <w:tcW w:w="918" w:type="pct"/>
            <w:shd w:val="clear" w:color="auto" w:fill="auto"/>
          </w:tcPr>
          <w:p w:rsidR="00DA6519" w:rsidRPr="009A3C2A" w:rsidRDefault="00DA6519" w:rsidP="009A3C2A">
            <w:pPr>
              <w:rPr>
                <w:rFonts w:ascii="Arial" w:hAnsi="Arial" w:cs="Arial"/>
                <w:b/>
                <w:sz w:val="20"/>
                <w:szCs w:val="20"/>
                <w:lang w:val="en-US" w:eastAsia="en-US"/>
              </w:rPr>
            </w:pPr>
            <w:r w:rsidRPr="009A3C2A">
              <w:rPr>
                <w:rFonts w:ascii="Arial" w:hAnsi="Arial" w:cs="Arial"/>
                <w:b/>
                <w:sz w:val="20"/>
                <w:szCs w:val="20"/>
                <w:lang w:val="en-US" w:eastAsia="en-US"/>
              </w:rPr>
              <w:t>2 360.2</w:t>
            </w:r>
          </w:p>
        </w:tc>
        <w:tc>
          <w:tcPr>
            <w:tcW w:w="807" w:type="pct"/>
            <w:shd w:val="clear" w:color="auto" w:fill="D9D9D9" w:themeFill="background1" w:themeFillShade="D9"/>
          </w:tcPr>
          <w:p w:rsidR="00DA6519" w:rsidRPr="009A3C2A" w:rsidRDefault="00DA6519" w:rsidP="009A3C2A">
            <w:pPr>
              <w:rPr>
                <w:rFonts w:ascii="Arial" w:hAnsi="Arial" w:cs="Arial"/>
                <w:b/>
                <w:sz w:val="20"/>
                <w:szCs w:val="20"/>
              </w:rPr>
            </w:pPr>
            <w:r w:rsidRPr="009A3C2A">
              <w:rPr>
                <w:rFonts w:ascii="Arial" w:hAnsi="Arial" w:cs="Arial"/>
                <w:b/>
                <w:sz w:val="20"/>
                <w:szCs w:val="20"/>
              </w:rPr>
              <w:t>2 219.5</w:t>
            </w:r>
          </w:p>
        </w:tc>
        <w:tc>
          <w:tcPr>
            <w:tcW w:w="806" w:type="pct"/>
            <w:shd w:val="clear" w:color="auto" w:fill="D9D9D9" w:themeFill="background1" w:themeFillShade="D9"/>
          </w:tcPr>
          <w:p w:rsidR="00DA6519" w:rsidRPr="009A3C2A" w:rsidRDefault="00DA6519" w:rsidP="009A3C2A">
            <w:pPr>
              <w:rPr>
                <w:rFonts w:ascii="Arial" w:hAnsi="Arial" w:cs="Arial"/>
                <w:b/>
                <w:sz w:val="20"/>
                <w:szCs w:val="20"/>
              </w:rPr>
            </w:pPr>
            <w:r w:rsidRPr="009A3C2A">
              <w:rPr>
                <w:rFonts w:ascii="Arial" w:hAnsi="Arial" w:cs="Arial"/>
                <w:b/>
                <w:sz w:val="20"/>
                <w:szCs w:val="20"/>
              </w:rPr>
              <w:t>140.7</w:t>
            </w:r>
          </w:p>
        </w:tc>
        <w:tc>
          <w:tcPr>
            <w:tcW w:w="806" w:type="pct"/>
            <w:shd w:val="clear" w:color="auto" w:fill="D9D9D9" w:themeFill="background1" w:themeFillShade="D9"/>
          </w:tcPr>
          <w:p w:rsidR="00DA6519" w:rsidRPr="009A3C2A" w:rsidRDefault="00DA6519" w:rsidP="009A3C2A">
            <w:pPr>
              <w:rPr>
                <w:rFonts w:ascii="Arial" w:hAnsi="Arial" w:cs="Arial"/>
                <w:b/>
                <w:sz w:val="20"/>
                <w:szCs w:val="20"/>
              </w:rPr>
            </w:pPr>
            <w:r w:rsidRPr="009A3C2A">
              <w:rPr>
                <w:rFonts w:ascii="Arial" w:hAnsi="Arial" w:cs="Arial"/>
                <w:b/>
                <w:sz w:val="20"/>
                <w:szCs w:val="20"/>
              </w:rPr>
              <w:t>94%</w:t>
            </w:r>
          </w:p>
        </w:tc>
        <w:tc>
          <w:tcPr>
            <w:tcW w:w="804" w:type="pct"/>
          </w:tcPr>
          <w:p w:rsidR="00DA6519" w:rsidRPr="009A3C2A" w:rsidRDefault="00DA6519" w:rsidP="009A3C2A">
            <w:pPr>
              <w:rPr>
                <w:rFonts w:ascii="Arial" w:hAnsi="Arial" w:cs="Arial"/>
                <w:b/>
                <w:sz w:val="20"/>
                <w:szCs w:val="20"/>
              </w:rPr>
            </w:pPr>
            <w:r w:rsidRPr="009A3C2A">
              <w:rPr>
                <w:rFonts w:ascii="Arial" w:hAnsi="Arial" w:cs="Arial"/>
                <w:b/>
                <w:sz w:val="20"/>
                <w:szCs w:val="20"/>
              </w:rPr>
              <w:t>91.7%</w:t>
            </w:r>
          </w:p>
        </w:tc>
      </w:tr>
    </w:tbl>
    <w:p w:rsidR="00372C3C" w:rsidRPr="009A3C2A" w:rsidRDefault="00372C3C" w:rsidP="009A3C2A">
      <w:pPr>
        <w:autoSpaceDE w:val="0"/>
        <w:autoSpaceDN w:val="0"/>
        <w:adjustRightInd w:val="0"/>
        <w:rPr>
          <w:rFonts w:ascii="Arial" w:hAnsi="Arial" w:cs="Arial"/>
          <w:b/>
          <w:color w:val="000000"/>
          <w:spacing w:val="6"/>
          <w:sz w:val="20"/>
          <w:szCs w:val="20"/>
        </w:rPr>
      </w:pPr>
    </w:p>
    <w:p w:rsidR="00B53E94" w:rsidRPr="009A3C2A" w:rsidRDefault="0038337C" w:rsidP="009A3C2A">
      <w:pPr>
        <w:pStyle w:val="ListParagraph"/>
        <w:numPr>
          <w:ilvl w:val="2"/>
          <w:numId w:val="21"/>
        </w:numPr>
        <w:tabs>
          <w:tab w:val="num" w:pos="862"/>
        </w:tabs>
        <w:autoSpaceDE w:val="0"/>
        <w:autoSpaceDN w:val="0"/>
        <w:adjustRightInd w:val="0"/>
        <w:ind w:left="851" w:hanging="851"/>
        <w:rPr>
          <w:rFonts w:ascii="Arial" w:hAnsi="Arial" w:cs="Arial"/>
          <w:sz w:val="20"/>
          <w:szCs w:val="20"/>
        </w:rPr>
      </w:pPr>
      <w:r w:rsidRPr="009A3C2A">
        <w:rPr>
          <w:rFonts w:ascii="Arial" w:hAnsi="Arial" w:cs="Arial"/>
          <w:sz w:val="20"/>
          <w:szCs w:val="20"/>
          <w:lang w:val="en-US" w:eastAsia="en-US"/>
        </w:rPr>
        <w:t>At</w:t>
      </w:r>
      <w:r w:rsidRPr="009A3C2A">
        <w:rPr>
          <w:rFonts w:ascii="Arial" w:hAnsi="Arial" w:cs="Arial"/>
          <w:sz w:val="20"/>
          <w:szCs w:val="20"/>
        </w:rPr>
        <w:t xml:space="preserve"> programme level, the following is observed:</w:t>
      </w:r>
    </w:p>
    <w:p w:rsidR="006E765D" w:rsidRPr="009A3C2A" w:rsidRDefault="0038337C"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w:t>
      </w:r>
      <w:r w:rsidRPr="009A3C2A">
        <w:rPr>
          <w:rFonts w:ascii="Arial" w:hAnsi="Arial" w:cs="Arial"/>
          <w:i/>
          <w:sz w:val="20"/>
          <w:szCs w:val="20"/>
          <w:lang w:val="en-US"/>
        </w:rPr>
        <w:t>Administration</w:t>
      </w:r>
      <w:r w:rsidRPr="009A3C2A">
        <w:rPr>
          <w:rFonts w:ascii="Arial" w:hAnsi="Arial" w:cs="Arial"/>
          <w:sz w:val="20"/>
          <w:szCs w:val="20"/>
          <w:lang w:val="en-US"/>
        </w:rPr>
        <w:t xml:space="preserve"> programme spent </w:t>
      </w:r>
      <w:r w:rsidR="00503929" w:rsidRPr="009A3C2A">
        <w:rPr>
          <w:rFonts w:ascii="Arial" w:hAnsi="Arial" w:cs="Arial"/>
          <w:sz w:val="20"/>
          <w:szCs w:val="20"/>
        </w:rPr>
        <w:t xml:space="preserve">R210 million </w:t>
      </w:r>
      <w:r w:rsidR="001509B9" w:rsidRPr="009A3C2A">
        <w:rPr>
          <w:rFonts w:ascii="Arial" w:hAnsi="Arial" w:cs="Arial"/>
          <w:sz w:val="20"/>
          <w:szCs w:val="20"/>
        </w:rPr>
        <w:t xml:space="preserve">or 83% of </w:t>
      </w:r>
      <w:r w:rsidR="00503929" w:rsidRPr="009A3C2A">
        <w:rPr>
          <w:rFonts w:ascii="Arial" w:hAnsi="Arial" w:cs="Arial"/>
          <w:sz w:val="20"/>
          <w:szCs w:val="20"/>
        </w:rPr>
        <w:t>the final allocation of R252 million</w:t>
      </w:r>
      <w:r w:rsidR="00DA6519" w:rsidRPr="009A3C2A">
        <w:rPr>
          <w:rFonts w:ascii="Arial" w:hAnsi="Arial" w:cs="Arial"/>
          <w:sz w:val="20"/>
          <w:szCs w:val="20"/>
        </w:rPr>
        <w:t>. An amount of</w:t>
      </w:r>
      <w:r w:rsidR="006E765D" w:rsidRPr="009A3C2A">
        <w:rPr>
          <w:rFonts w:ascii="Arial" w:hAnsi="Arial" w:cs="Arial"/>
          <w:sz w:val="20"/>
          <w:szCs w:val="20"/>
        </w:rPr>
        <w:t xml:space="preserve"> R42 million </w:t>
      </w:r>
      <w:r w:rsidR="00DA6519" w:rsidRPr="009A3C2A">
        <w:rPr>
          <w:rFonts w:ascii="Arial" w:hAnsi="Arial" w:cs="Arial"/>
          <w:sz w:val="20"/>
          <w:szCs w:val="20"/>
        </w:rPr>
        <w:t>went unspent, as follows:</w:t>
      </w:r>
      <w:r w:rsidR="006E765D" w:rsidRPr="009A3C2A">
        <w:rPr>
          <w:rFonts w:ascii="Arial" w:hAnsi="Arial" w:cs="Arial"/>
          <w:sz w:val="20"/>
          <w:szCs w:val="20"/>
        </w:rPr>
        <w:t xml:space="preserve"> </w:t>
      </w:r>
    </w:p>
    <w:p w:rsidR="006E765D" w:rsidRPr="009A3C2A" w:rsidRDefault="006E765D" w:rsidP="009A3C2A">
      <w:pPr>
        <w:numPr>
          <w:ilvl w:val="0"/>
          <w:numId w:val="24"/>
        </w:numPr>
        <w:autoSpaceDE w:val="0"/>
        <w:autoSpaceDN w:val="0"/>
        <w:adjustRightInd w:val="0"/>
        <w:rPr>
          <w:rFonts w:ascii="Arial" w:hAnsi="Arial" w:cs="Arial"/>
          <w:sz w:val="20"/>
          <w:szCs w:val="20"/>
          <w:lang w:val="en-US"/>
        </w:rPr>
      </w:pPr>
      <w:r w:rsidRPr="009A3C2A">
        <w:rPr>
          <w:rFonts w:ascii="Arial" w:hAnsi="Arial" w:cs="Arial"/>
          <w:i/>
          <w:sz w:val="20"/>
          <w:szCs w:val="20"/>
        </w:rPr>
        <w:t>Compensation of employees</w:t>
      </w:r>
      <w:r w:rsidRPr="009A3C2A">
        <w:rPr>
          <w:rFonts w:ascii="Arial" w:hAnsi="Arial" w:cs="Arial"/>
          <w:sz w:val="20"/>
          <w:szCs w:val="20"/>
        </w:rPr>
        <w:t xml:space="preserve"> – over-projected transfer of funds to the item to provide for salary adjustments and the increase in medical aid contributions.</w:t>
      </w:r>
    </w:p>
    <w:p w:rsidR="006E765D" w:rsidRPr="009A3C2A" w:rsidRDefault="006E765D" w:rsidP="009A3C2A">
      <w:pPr>
        <w:numPr>
          <w:ilvl w:val="0"/>
          <w:numId w:val="24"/>
        </w:numPr>
        <w:autoSpaceDE w:val="0"/>
        <w:autoSpaceDN w:val="0"/>
        <w:adjustRightInd w:val="0"/>
        <w:rPr>
          <w:rFonts w:ascii="Arial" w:hAnsi="Arial" w:cs="Arial"/>
          <w:sz w:val="20"/>
          <w:szCs w:val="20"/>
          <w:lang w:val="en-US"/>
        </w:rPr>
      </w:pPr>
      <w:r w:rsidRPr="009A3C2A">
        <w:rPr>
          <w:rFonts w:ascii="Arial" w:hAnsi="Arial" w:cs="Arial"/>
          <w:i/>
          <w:sz w:val="20"/>
          <w:szCs w:val="20"/>
        </w:rPr>
        <w:t>Goods and services</w:t>
      </w:r>
      <w:r w:rsidRPr="009A3C2A">
        <w:rPr>
          <w:rFonts w:ascii="Arial" w:hAnsi="Arial" w:cs="Arial"/>
          <w:sz w:val="20"/>
          <w:szCs w:val="20"/>
        </w:rPr>
        <w:t xml:space="preserve"> – delayed installation cost of the ICT infrastructure equipment due to the delay in overseas manufacturing caused by a worldwide backlog on server equipment manufacturing.</w:t>
      </w:r>
    </w:p>
    <w:p w:rsidR="00503929" w:rsidRPr="009A3C2A" w:rsidRDefault="006E765D" w:rsidP="009A3C2A">
      <w:pPr>
        <w:numPr>
          <w:ilvl w:val="0"/>
          <w:numId w:val="24"/>
        </w:numPr>
        <w:autoSpaceDE w:val="0"/>
        <w:autoSpaceDN w:val="0"/>
        <w:adjustRightInd w:val="0"/>
        <w:rPr>
          <w:rFonts w:ascii="Arial" w:hAnsi="Arial" w:cs="Arial"/>
          <w:sz w:val="20"/>
          <w:szCs w:val="20"/>
          <w:lang w:val="en-US"/>
        </w:rPr>
      </w:pPr>
      <w:r w:rsidRPr="009A3C2A">
        <w:rPr>
          <w:rFonts w:ascii="Arial" w:hAnsi="Arial" w:cs="Arial"/>
          <w:i/>
          <w:sz w:val="20"/>
          <w:szCs w:val="20"/>
        </w:rPr>
        <w:t>Payment for capital assets</w:t>
      </w:r>
      <w:r w:rsidRPr="009A3C2A">
        <w:rPr>
          <w:rFonts w:ascii="Arial" w:hAnsi="Arial" w:cs="Arial"/>
          <w:sz w:val="20"/>
          <w:szCs w:val="20"/>
        </w:rPr>
        <w:t xml:space="preserve"> – delays in the delivery of the server and ICT End-User equipment due to the delay in overseas manufacturing caused by a worldwide backlog on server equipment manufacturing.</w:t>
      </w:r>
    </w:p>
    <w:p w:rsidR="006E765D" w:rsidRPr="009A3C2A" w:rsidRDefault="006E765D" w:rsidP="009A3C2A">
      <w:pPr>
        <w:autoSpaceDE w:val="0"/>
        <w:autoSpaceDN w:val="0"/>
        <w:adjustRightInd w:val="0"/>
        <w:ind w:left="1080"/>
        <w:rPr>
          <w:rFonts w:ascii="Arial" w:hAnsi="Arial" w:cs="Arial"/>
          <w:sz w:val="20"/>
          <w:szCs w:val="20"/>
          <w:lang w:val="en-US"/>
        </w:rPr>
      </w:pPr>
    </w:p>
    <w:p w:rsidR="00503929" w:rsidRPr="009A3C2A" w:rsidRDefault="0038337C"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w:t>
      </w:r>
      <w:r w:rsidRPr="009A3C2A">
        <w:rPr>
          <w:rFonts w:ascii="Arial" w:hAnsi="Arial" w:cs="Arial"/>
          <w:i/>
          <w:sz w:val="20"/>
          <w:szCs w:val="20"/>
          <w:lang w:val="en-US"/>
        </w:rPr>
        <w:t>Superior Court Services</w:t>
      </w:r>
      <w:r w:rsidRPr="009A3C2A">
        <w:rPr>
          <w:rFonts w:ascii="Arial" w:hAnsi="Arial" w:cs="Arial"/>
          <w:sz w:val="20"/>
          <w:szCs w:val="20"/>
          <w:lang w:val="en-US"/>
        </w:rPr>
        <w:t xml:space="preserve"> programme spent </w:t>
      </w:r>
      <w:r w:rsidR="00503929" w:rsidRPr="009A3C2A">
        <w:rPr>
          <w:rFonts w:ascii="Arial" w:hAnsi="Arial" w:cs="Arial"/>
          <w:sz w:val="20"/>
          <w:szCs w:val="20"/>
        </w:rPr>
        <w:t xml:space="preserve">R902 million </w:t>
      </w:r>
      <w:r w:rsidR="001509B9" w:rsidRPr="009A3C2A">
        <w:rPr>
          <w:rFonts w:ascii="Arial" w:hAnsi="Arial" w:cs="Arial"/>
          <w:sz w:val="20"/>
          <w:szCs w:val="20"/>
        </w:rPr>
        <w:t xml:space="preserve">or 97.1% of </w:t>
      </w:r>
      <w:r w:rsidR="00503929" w:rsidRPr="009A3C2A">
        <w:rPr>
          <w:rFonts w:ascii="Arial" w:hAnsi="Arial" w:cs="Arial"/>
          <w:sz w:val="20"/>
          <w:szCs w:val="20"/>
        </w:rPr>
        <w:t>the fi</w:t>
      </w:r>
      <w:r w:rsidR="001509B9" w:rsidRPr="009A3C2A">
        <w:rPr>
          <w:rFonts w:ascii="Arial" w:hAnsi="Arial" w:cs="Arial"/>
          <w:sz w:val="20"/>
          <w:szCs w:val="20"/>
        </w:rPr>
        <w:t>nal allocation of R929 million</w:t>
      </w:r>
      <w:r w:rsidR="00DA6519" w:rsidRPr="009A3C2A">
        <w:rPr>
          <w:rFonts w:ascii="Arial" w:hAnsi="Arial" w:cs="Arial"/>
          <w:sz w:val="20"/>
          <w:szCs w:val="20"/>
        </w:rPr>
        <w:t xml:space="preserve">. </w:t>
      </w:r>
      <w:r w:rsidR="006E765D" w:rsidRPr="009A3C2A">
        <w:rPr>
          <w:rFonts w:ascii="Arial" w:hAnsi="Arial" w:cs="Arial"/>
          <w:sz w:val="20"/>
          <w:szCs w:val="20"/>
        </w:rPr>
        <w:t>The underspending relate</w:t>
      </w:r>
      <w:r w:rsidR="00DA6519" w:rsidRPr="009A3C2A">
        <w:rPr>
          <w:rFonts w:ascii="Arial" w:hAnsi="Arial" w:cs="Arial"/>
          <w:sz w:val="20"/>
          <w:szCs w:val="20"/>
        </w:rPr>
        <w:t>d</w:t>
      </w:r>
      <w:r w:rsidR="00FA5F87" w:rsidRPr="009A3C2A">
        <w:rPr>
          <w:rFonts w:ascii="Arial" w:hAnsi="Arial" w:cs="Arial"/>
          <w:sz w:val="20"/>
          <w:szCs w:val="20"/>
        </w:rPr>
        <w:t xml:space="preserve"> to </w:t>
      </w:r>
      <w:r w:rsidR="006E765D" w:rsidRPr="009A3C2A">
        <w:rPr>
          <w:rFonts w:ascii="Arial" w:hAnsi="Arial" w:cs="Arial"/>
          <w:sz w:val="20"/>
          <w:szCs w:val="20"/>
        </w:rPr>
        <w:t xml:space="preserve">goods and services on the following items: catering services; venues and facilities; fleet services; stationery and consumables; and telephone costs. The reasons for underspending </w:t>
      </w:r>
      <w:r w:rsidR="00DA6519" w:rsidRPr="009A3C2A">
        <w:rPr>
          <w:rFonts w:ascii="Arial" w:hAnsi="Arial" w:cs="Arial"/>
          <w:sz w:val="20"/>
          <w:szCs w:val="20"/>
        </w:rPr>
        <w:t xml:space="preserve">are </w:t>
      </w:r>
      <w:r w:rsidR="006E765D" w:rsidRPr="009A3C2A">
        <w:rPr>
          <w:rFonts w:ascii="Arial" w:hAnsi="Arial" w:cs="Arial"/>
          <w:sz w:val="20"/>
          <w:szCs w:val="20"/>
        </w:rPr>
        <w:t>mainly relate</w:t>
      </w:r>
      <w:r w:rsidR="00DA6519" w:rsidRPr="009A3C2A">
        <w:rPr>
          <w:rFonts w:ascii="Arial" w:hAnsi="Arial" w:cs="Arial"/>
          <w:sz w:val="20"/>
          <w:szCs w:val="20"/>
        </w:rPr>
        <w:t>d</w:t>
      </w:r>
      <w:r w:rsidR="006E765D" w:rsidRPr="009A3C2A">
        <w:rPr>
          <w:rFonts w:ascii="Arial" w:hAnsi="Arial" w:cs="Arial"/>
          <w:sz w:val="20"/>
          <w:szCs w:val="20"/>
        </w:rPr>
        <w:t xml:space="preserve"> to COVID-19 related restrictions</w:t>
      </w:r>
      <w:r w:rsidR="004A6B86" w:rsidRPr="009A3C2A">
        <w:rPr>
          <w:rFonts w:ascii="Arial" w:hAnsi="Arial" w:cs="Arial"/>
          <w:sz w:val="20"/>
          <w:szCs w:val="20"/>
        </w:rPr>
        <w:t>,</w:t>
      </w:r>
      <w:r w:rsidR="006E765D" w:rsidRPr="009A3C2A">
        <w:rPr>
          <w:rFonts w:ascii="Arial" w:hAnsi="Arial" w:cs="Arial"/>
          <w:sz w:val="20"/>
          <w:szCs w:val="20"/>
        </w:rPr>
        <w:t xml:space="preserve"> as some Judges and officials were working remotely.</w:t>
      </w:r>
    </w:p>
    <w:p w:rsidR="006D5130" w:rsidRPr="009A3C2A" w:rsidRDefault="006D5130" w:rsidP="009A3C2A">
      <w:pPr>
        <w:autoSpaceDE w:val="0"/>
        <w:autoSpaceDN w:val="0"/>
        <w:adjustRightInd w:val="0"/>
        <w:ind w:left="1080"/>
        <w:rPr>
          <w:rFonts w:ascii="Arial" w:hAnsi="Arial" w:cs="Arial"/>
          <w:sz w:val="20"/>
          <w:szCs w:val="20"/>
          <w:lang w:val="en-US"/>
        </w:rPr>
      </w:pPr>
    </w:p>
    <w:p w:rsidR="00503929" w:rsidRPr="009A3C2A" w:rsidRDefault="0038337C" w:rsidP="009A3C2A">
      <w:pPr>
        <w:pStyle w:val="ListParagraph"/>
        <w:numPr>
          <w:ilvl w:val="0"/>
          <w:numId w:val="7"/>
        </w:numPr>
        <w:autoSpaceDE w:val="0"/>
        <w:autoSpaceDN w:val="0"/>
        <w:adjustRightInd w:val="0"/>
        <w:ind w:left="1418" w:hanging="567"/>
        <w:rPr>
          <w:rFonts w:ascii="Arial" w:hAnsi="Arial" w:cs="Arial"/>
          <w:sz w:val="20"/>
          <w:szCs w:val="20"/>
        </w:rPr>
      </w:pPr>
      <w:r w:rsidRPr="009A3C2A">
        <w:rPr>
          <w:rFonts w:ascii="Arial" w:hAnsi="Arial" w:cs="Arial"/>
          <w:sz w:val="20"/>
          <w:szCs w:val="20"/>
          <w:lang w:val="en-US"/>
        </w:rPr>
        <w:t xml:space="preserve">The </w:t>
      </w:r>
      <w:r w:rsidRPr="009A3C2A">
        <w:rPr>
          <w:rFonts w:ascii="Arial" w:hAnsi="Arial" w:cs="Arial"/>
          <w:i/>
          <w:sz w:val="20"/>
          <w:szCs w:val="20"/>
          <w:lang w:val="en-US"/>
        </w:rPr>
        <w:t>Judicial Education and Support</w:t>
      </w:r>
      <w:r w:rsidRPr="009A3C2A">
        <w:rPr>
          <w:rFonts w:ascii="Arial" w:hAnsi="Arial" w:cs="Arial"/>
          <w:sz w:val="20"/>
          <w:szCs w:val="20"/>
          <w:lang w:val="en-US"/>
        </w:rPr>
        <w:t xml:space="preserve"> program</w:t>
      </w:r>
      <w:r w:rsidR="009C3811" w:rsidRPr="009A3C2A">
        <w:rPr>
          <w:rFonts w:ascii="Arial" w:hAnsi="Arial" w:cs="Arial"/>
          <w:sz w:val="20"/>
          <w:szCs w:val="20"/>
          <w:lang w:val="en-US"/>
        </w:rPr>
        <w:t xml:space="preserve">me spent </w:t>
      </w:r>
      <w:r w:rsidR="00503929" w:rsidRPr="009A3C2A">
        <w:rPr>
          <w:rFonts w:ascii="Arial" w:hAnsi="Arial" w:cs="Arial"/>
          <w:sz w:val="20"/>
          <w:szCs w:val="20"/>
        </w:rPr>
        <w:t xml:space="preserve">R43.3 million </w:t>
      </w:r>
      <w:r w:rsidR="006E765D" w:rsidRPr="009A3C2A">
        <w:rPr>
          <w:rFonts w:ascii="Arial" w:hAnsi="Arial" w:cs="Arial"/>
          <w:sz w:val="20"/>
          <w:szCs w:val="20"/>
        </w:rPr>
        <w:t>or 71.9% of the</w:t>
      </w:r>
      <w:r w:rsidR="00503929" w:rsidRPr="009A3C2A">
        <w:rPr>
          <w:rFonts w:ascii="Arial" w:hAnsi="Arial" w:cs="Arial"/>
          <w:sz w:val="20"/>
          <w:szCs w:val="20"/>
        </w:rPr>
        <w:t xml:space="preserve"> fi</w:t>
      </w:r>
      <w:r w:rsidR="006E765D" w:rsidRPr="009A3C2A">
        <w:rPr>
          <w:rFonts w:ascii="Arial" w:hAnsi="Arial" w:cs="Arial"/>
          <w:sz w:val="20"/>
          <w:szCs w:val="20"/>
        </w:rPr>
        <w:t xml:space="preserve">nal allocation of R60.3 million, </w:t>
      </w:r>
      <w:r w:rsidR="00503929" w:rsidRPr="009A3C2A">
        <w:rPr>
          <w:rFonts w:ascii="Arial" w:hAnsi="Arial" w:cs="Arial"/>
          <w:sz w:val="20"/>
          <w:szCs w:val="20"/>
        </w:rPr>
        <w:t>which resulted in an</w:t>
      </w:r>
      <w:r w:rsidR="006E765D" w:rsidRPr="009A3C2A">
        <w:rPr>
          <w:rFonts w:ascii="Arial" w:hAnsi="Arial" w:cs="Arial"/>
          <w:sz w:val="20"/>
          <w:szCs w:val="20"/>
        </w:rPr>
        <w:t xml:space="preserve"> underspending of R16.9 million. The underspending relate</w:t>
      </w:r>
      <w:r w:rsidR="00DA6519" w:rsidRPr="009A3C2A">
        <w:rPr>
          <w:rFonts w:ascii="Arial" w:hAnsi="Arial" w:cs="Arial"/>
          <w:sz w:val="20"/>
          <w:szCs w:val="20"/>
        </w:rPr>
        <w:t>d</w:t>
      </w:r>
      <w:r w:rsidR="006E765D" w:rsidRPr="009A3C2A">
        <w:rPr>
          <w:rFonts w:ascii="Arial" w:hAnsi="Arial" w:cs="Arial"/>
          <w:sz w:val="20"/>
          <w:szCs w:val="20"/>
        </w:rPr>
        <w:t xml:space="preserve"> to </w:t>
      </w:r>
      <w:r w:rsidR="006E765D" w:rsidRPr="009A3C2A">
        <w:rPr>
          <w:rFonts w:ascii="Arial" w:hAnsi="Arial" w:cs="Arial"/>
          <w:i/>
          <w:sz w:val="20"/>
          <w:szCs w:val="20"/>
        </w:rPr>
        <w:t>goods and services</w:t>
      </w:r>
      <w:r w:rsidR="006E765D" w:rsidRPr="009A3C2A">
        <w:rPr>
          <w:rFonts w:ascii="Arial" w:hAnsi="Arial" w:cs="Arial"/>
          <w:sz w:val="20"/>
          <w:szCs w:val="20"/>
        </w:rPr>
        <w:t xml:space="preserve"> due to savings on judicial training expenses</w:t>
      </w:r>
      <w:r w:rsidR="00DA6519" w:rsidRPr="009A3C2A">
        <w:rPr>
          <w:rFonts w:ascii="Arial" w:hAnsi="Arial" w:cs="Arial"/>
          <w:sz w:val="20"/>
          <w:szCs w:val="20"/>
        </w:rPr>
        <w:t>,</w:t>
      </w:r>
      <w:r w:rsidR="006E765D" w:rsidRPr="009A3C2A">
        <w:rPr>
          <w:rFonts w:ascii="Arial" w:hAnsi="Arial" w:cs="Arial"/>
          <w:sz w:val="20"/>
          <w:szCs w:val="20"/>
        </w:rPr>
        <w:t xml:space="preserve"> as the traditional in-person training of Judicial Officers </w:t>
      </w:r>
      <w:r w:rsidR="00FA5F87" w:rsidRPr="009A3C2A">
        <w:rPr>
          <w:rFonts w:ascii="Arial" w:hAnsi="Arial" w:cs="Arial"/>
          <w:sz w:val="20"/>
          <w:szCs w:val="20"/>
        </w:rPr>
        <w:t xml:space="preserve">became virtual and it became no longer necessary to hire </w:t>
      </w:r>
      <w:r w:rsidR="006E765D" w:rsidRPr="009A3C2A">
        <w:rPr>
          <w:rFonts w:ascii="Arial" w:hAnsi="Arial" w:cs="Arial"/>
          <w:sz w:val="20"/>
          <w:szCs w:val="20"/>
        </w:rPr>
        <w:t>training venues</w:t>
      </w:r>
      <w:r w:rsidR="00FA5F87" w:rsidRPr="009A3C2A">
        <w:rPr>
          <w:rFonts w:ascii="Arial" w:hAnsi="Arial" w:cs="Arial"/>
          <w:sz w:val="20"/>
          <w:szCs w:val="20"/>
        </w:rPr>
        <w:t>.</w:t>
      </w:r>
    </w:p>
    <w:p w:rsidR="006E765D" w:rsidRPr="009A3C2A" w:rsidRDefault="006E765D" w:rsidP="009A3C2A">
      <w:pPr>
        <w:autoSpaceDE w:val="0"/>
        <w:autoSpaceDN w:val="0"/>
        <w:adjustRightInd w:val="0"/>
        <w:ind w:left="1080"/>
        <w:rPr>
          <w:rFonts w:ascii="Arial" w:hAnsi="Arial" w:cs="Arial"/>
          <w:sz w:val="20"/>
          <w:szCs w:val="20"/>
        </w:rPr>
      </w:pPr>
    </w:p>
    <w:p w:rsidR="00503929" w:rsidRPr="009A3C2A" w:rsidRDefault="00503929"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i/>
          <w:sz w:val="20"/>
          <w:szCs w:val="20"/>
          <w:lang w:val="en-US"/>
        </w:rPr>
        <w:lastRenderedPageBreak/>
        <w:t>Judges</w:t>
      </w:r>
      <w:r w:rsidRPr="009A3C2A">
        <w:rPr>
          <w:rFonts w:ascii="Arial" w:hAnsi="Arial" w:cs="Arial"/>
          <w:i/>
          <w:sz w:val="20"/>
          <w:szCs w:val="20"/>
        </w:rPr>
        <w:t xml:space="preserve"> salaries</w:t>
      </w:r>
      <w:r w:rsidRPr="009A3C2A">
        <w:rPr>
          <w:rFonts w:ascii="Arial" w:hAnsi="Arial" w:cs="Arial"/>
          <w:sz w:val="20"/>
          <w:szCs w:val="20"/>
        </w:rPr>
        <w:t>. Expenditure on the statutory allocation was R1.06 billion against the final allocation of R1.12 billion (95.1%), which resulted in an underspending of R55 million</w:t>
      </w:r>
      <w:r w:rsidR="00CB7BCD" w:rsidRPr="009A3C2A">
        <w:rPr>
          <w:rFonts w:ascii="Arial" w:hAnsi="Arial" w:cs="Arial"/>
          <w:sz w:val="20"/>
          <w:szCs w:val="20"/>
        </w:rPr>
        <w:t>.</w:t>
      </w:r>
      <w:r w:rsidRPr="009A3C2A">
        <w:rPr>
          <w:rFonts w:ascii="Arial" w:hAnsi="Arial" w:cs="Arial"/>
          <w:sz w:val="20"/>
          <w:szCs w:val="20"/>
        </w:rPr>
        <w:t xml:space="preserve"> </w:t>
      </w:r>
      <w:r w:rsidR="00CB7BCD" w:rsidRPr="009A3C2A">
        <w:rPr>
          <w:rFonts w:ascii="Arial" w:hAnsi="Arial" w:cs="Arial"/>
          <w:sz w:val="20"/>
          <w:szCs w:val="20"/>
        </w:rPr>
        <w:t xml:space="preserve">The underspending on Judges’ salaries relates to </w:t>
      </w:r>
      <w:r w:rsidR="00CB7BCD" w:rsidRPr="009A3C2A">
        <w:rPr>
          <w:rFonts w:ascii="Arial" w:hAnsi="Arial" w:cs="Arial"/>
          <w:i/>
          <w:sz w:val="20"/>
          <w:szCs w:val="20"/>
        </w:rPr>
        <w:t>transfers and subsidies</w:t>
      </w:r>
      <w:r w:rsidR="00CB7BCD" w:rsidRPr="009A3C2A">
        <w:rPr>
          <w:rFonts w:ascii="Arial" w:hAnsi="Arial" w:cs="Arial"/>
          <w:sz w:val="20"/>
          <w:szCs w:val="20"/>
        </w:rPr>
        <w:t xml:space="preserve"> due to fewer than projected leave gratuities paid to Judges.</w:t>
      </w:r>
      <w:r w:rsidR="00CB7BCD" w:rsidRPr="009A3C2A">
        <w:rPr>
          <w:rFonts w:ascii="Arial" w:hAnsi="Arial" w:cs="Arial"/>
          <w:sz w:val="20"/>
          <w:szCs w:val="20"/>
          <w:lang w:val="en-US"/>
        </w:rPr>
        <w:t xml:space="preserve"> </w:t>
      </w:r>
    </w:p>
    <w:p w:rsidR="0038337C" w:rsidRPr="009A3C2A" w:rsidRDefault="0038337C" w:rsidP="009A3C2A">
      <w:pPr>
        <w:pStyle w:val="ListParagraph"/>
        <w:autoSpaceDE w:val="0"/>
        <w:autoSpaceDN w:val="0"/>
        <w:adjustRightInd w:val="0"/>
        <w:rPr>
          <w:rFonts w:ascii="Arial" w:hAnsi="Arial" w:cs="Arial"/>
          <w:sz w:val="20"/>
          <w:szCs w:val="20"/>
        </w:rPr>
      </w:pPr>
    </w:p>
    <w:p w:rsidR="00D04FB8" w:rsidRPr="009A3C2A" w:rsidRDefault="006D5130" w:rsidP="009A3C2A">
      <w:pPr>
        <w:pStyle w:val="ListParagraph"/>
        <w:numPr>
          <w:ilvl w:val="1"/>
          <w:numId w:val="1"/>
        </w:numPr>
        <w:autoSpaceDE w:val="0"/>
        <w:autoSpaceDN w:val="0"/>
        <w:adjustRightInd w:val="0"/>
        <w:ind w:left="851" w:hanging="851"/>
        <w:rPr>
          <w:rFonts w:ascii="Arial" w:hAnsi="Arial" w:cs="Arial"/>
          <w:b/>
          <w:i/>
          <w:sz w:val="20"/>
          <w:szCs w:val="20"/>
        </w:rPr>
      </w:pPr>
      <w:r w:rsidRPr="009A3C2A">
        <w:rPr>
          <w:rFonts w:ascii="Arial" w:hAnsi="Arial" w:cs="Arial"/>
          <w:b/>
          <w:i/>
          <w:sz w:val="20"/>
          <w:szCs w:val="20"/>
          <w:lang w:val="en-US" w:eastAsia="en-US"/>
        </w:rPr>
        <w:t>Financial</w:t>
      </w:r>
      <w:r w:rsidRPr="009A3C2A">
        <w:rPr>
          <w:rFonts w:ascii="Arial" w:hAnsi="Arial" w:cs="Arial"/>
          <w:b/>
          <w:i/>
          <w:sz w:val="20"/>
          <w:szCs w:val="20"/>
        </w:rPr>
        <w:t xml:space="preserve"> performance </w:t>
      </w:r>
      <w:r w:rsidR="00462EEB" w:rsidRPr="009A3C2A">
        <w:rPr>
          <w:rFonts w:ascii="Arial" w:hAnsi="Arial" w:cs="Arial"/>
          <w:b/>
          <w:i/>
          <w:sz w:val="20"/>
          <w:szCs w:val="20"/>
        </w:rPr>
        <w:t>First</w:t>
      </w:r>
      <w:r w:rsidR="00261F06" w:rsidRPr="009A3C2A">
        <w:rPr>
          <w:rFonts w:ascii="Arial" w:hAnsi="Arial" w:cs="Arial"/>
          <w:b/>
          <w:i/>
          <w:sz w:val="20"/>
          <w:szCs w:val="20"/>
        </w:rPr>
        <w:t xml:space="preserve"> </w:t>
      </w:r>
      <w:r w:rsidR="00FA5F87" w:rsidRPr="009A3C2A">
        <w:rPr>
          <w:rFonts w:ascii="Arial" w:hAnsi="Arial" w:cs="Arial"/>
          <w:b/>
          <w:i/>
          <w:sz w:val="20"/>
          <w:szCs w:val="20"/>
        </w:rPr>
        <w:t xml:space="preserve">Quarter </w:t>
      </w:r>
      <w:r w:rsidR="00A71261" w:rsidRPr="009A3C2A">
        <w:rPr>
          <w:rFonts w:ascii="Arial" w:hAnsi="Arial" w:cs="Arial"/>
          <w:b/>
          <w:i/>
          <w:sz w:val="20"/>
          <w:szCs w:val="20"/>
        </w:rPr>
        <w:t>202</w:t>
      </w:r>
      <w:r w:rsidR="00DD115E" w:rsidRPr="009A3C2A">
        <w:rPr>
          <w:rFonts w:ascii="Arial" w:hAnsi="Arial" w:cs="Arial"/>
          <w:b/>
          <w:i/>
          <w:sz w:val="20"/>
          <w:szCs w:val="20"/>
        </w:rPr>
        <w:t>2/23</w:t>
      </w:r>
    </w:p>
    <w:p w:rsidR="00CB7BCD" w:rsidRPr="009A3C2A" w:rsidRDefault="00CB7BCD" w:rsidP="009A3C2A">
      <w:pPr>
        <w:pStyle w:val="ListParagraph"/>
        <w:autoSpaceDE w:val="0"/>
        <w:autoSpaceDN w:val="0"/>
        <w:adjustRightInd w:val="0"/>
        <w:ind w:left="851"/>
        <w:rPr>
          <w:rFonts w:ascii="Arial" w:hAnsi="Arial" w:cs="Arial"/>
          <w:b/>
          <w:i/>
          <w:sz w:val="20"/>
          <w:szCs w:val="20"/>
        </w:rPr>
      </w:pPr>
    </w:p>
    <w:p w:rsidR="007C5D7A" w:rsidRPr="009A3C2A" w:rsidRDefault="00402E2C" w:rsidP="009A3C2A">
      <w:pPr>
        <w:pStyle w:val="ListParagraph"/>
        <w:numPr>
          <w:ilvl w:val="2"/>
          <w:numId w:val="34"/>
        </w:numPr>
        <w:autoSpaceDE w:val="0"/>
        <w:autoSpaceDN w:val="0"/>
        <w:adjustRightInd w:val="0"/>
        <w:ind w:left="851" w:hanging="851"/>
        <w:rPr>
          <w:rFonts w:ascii="Arial" w:hAnsi="Arial" w:cs="Arial"/>
          <w:sz w:val="20"/>
          <w:szCs w:val="20"/>
        </w:rPr>
      </w:pPr>
      <w:r w:rsidRPr="009A3C2A">
        <w:rPr>
          <w:rFonts w:ascii="Arial" w:hAnsi="Arial" w:cs="Arial"/>
          <w:sz w:val="20"/>
          <w:szCs w:val="20"/>
          <w:lang w:val="en-US" w:eastAsia="en-US"/>
        </w:rPr>
        <w:t>The</w:t>
      </w:r>
      <w:r w:rsidRPr="009A3C2A">
        <w:rPr>
          <w:rFonts w:ascii="Arial" w:hAnsi="Arial" w:cs="Arial"/>
          <w:b/>
          <w:sz w:val="20"/>
          <w:szCs w:val="20"/>
        </w:rPr>
        <w:t xml:space="preserve"> </w:t>
      </w:r>
      <w:r w:rsidRPr="009A3C2A">
        <w:rPr>
          <w:rFonts w:ascii="Arial" w:hAnsi="Arial" w:cs="Arial"/>
          <w:sz w:val="20"/>
          <w:szCs w:val="20"/>
        </w:rPr>
        <w:t>overa</w:t>
      </w:r>
      <w:r w:rsidR="00FA5F87" w:rsidRPr="009A3C2A">
        <w:rPr>
          <w:rFonts w:ascii="Arial" w:hAnsi="Arial" w:cs="Arial"/>
          <w:sz w:val="20"/>
          <w:szCs w:val="20"/>
        </w:rPr>
        <w:t>ll actual expenditure for the First Q</w:t>
      </w:r>
      <w:r w:rsidRPr="009A3C2A">
        <w:rPr>
          <w:rFonts w:ascii="Arial" w:hAnsi="Arial" w:cs="Arial"/>
          <w:sz w:val="20"/>
          <w:szCs w:val="20"/>
        </w:rPr>
        <w:t>uarter</w:t>
      </w:r>
      <w:r w:rsidR="00FA5F87" w:rsidRPr="009A3C2A">
        <w:rPr>
          <w:rFonts w:ascii="Arial" w:hAnsi="Arial" w:cs="Arial"/>
          <w:sz w:val="20"/>
          <w:szCs w:val="20"/>
        </w:rPr>
        <w:t xml:space="preserve"> of 2022/23 </w:t>
      </w:r>
      <w:r w:rsidRPr="009A3C2A">
        <w:rPr>
          <w:rFonts w:ascii="Arial" w:hAnsi="Arial" w:cs="Arial"/>
          <w:sz w:val="20"/>
          <w:szCs w:val="20"/>
        </w:rPr>
        <w:t>was R569.2 million or 23.8</w:t>
      </w:r>
      <w:r w:rsidR="007C5D7A" w:rsidRPr="009A3C2A">
        <w:rPr>
          <w:rFonts w:ascii="Arial" w:hAnsi="Arial" w:cs="Arial"/>
          <w:sz w:val="20"/>
          <w:szCs w:val="20"/>
        </w:rPr>
        <w:t>%</w:t>
      </w:r>
      <w:r w:rsidRPr="009A3C2A">
        <w:rPr>
          <w:rFonts w:ascii="Arial" w:hAnsi="Arial" w:cs="Arial"/>
          <w:sz w:val="20"/>
          <w:szCs w:val="20"/>
        </w:rPr>
        <w:t xml:space="preserve"> of </w:t>
      </w:r>
      <w:r w:rsidR="00FA5F87" w:rsidRPr="009A3C2A">
        <w:rPr>
          <w:rFonts w:ascii="Arial" w:hAnsi="Arial" w:cs="Arial"/>
          <w:sz w:val="20"/>
          <w:szCs w:val="20"/>
        </w:rPr>
        <w:t xml:space="preserve">the </w:t>
      </w:r>
      <w:r w:rsidRPr="009A3C2A">
        <w:rPr>
          <w:rFonts w:ascii="Arial" w:hAnsi="Arial" w:cs="Arial"/>
          <w:sz w:val="20"/>
          <w:szCs w:val="20"/>
        </w:rPr>
        <w:t xml:space="preserve">R2.4 billion available budget, </w:t>
      </w:r>
      <w:r w:rsidR="007C5D7A" w:rsidRPr="009A3C2A">
        <w:rPr>
          <w:rFonts w:ascii="Arial" w:hAnsi="Arial" w:cs="Arial"/>
          <w:sz w:val="20"/>
          <w:szCs w:val="20"/>
        </w:rPr>
        <w:t xml:space="preserve">with </w:t>
      </w:r>
      <w:r w:rsidRPr="009A3C2A">
        <w:rPr>
          <w:rFonts w:ascii="Arial" w:hAnsi="Arial" w:cs="Arial"/>
          <w:sz w:val="20"/>
          <w:szCs w:val="20"/>
        </w:rPr>
        <w:t xml:space="preserve">lower than planned spending of R578.5 million. </w:t>
      </w:r>
    </w:p>
    <w:p w:rsidR="007C5D7A" w:rsidRPr="009A3C2A" w:rsidRDefault="007C5D7A" w:rsidP="009A3C2A">
      <w:pPr>
        <w:pStyle w:val="ListParagraph"/>
        <w:autoSpaceDE w:val="0"/>
        <w:autoSpaceDN w:val="0"/>
        <w:adjustRightInd w:val="0"/>
        <w:ind w:left="851"/>
        <w:rPr>
          <w:rFonts w:ascii="Arial" w:hAnsi="Arial" w:cs="Arial"/>
          <w:sz w:val="20"/>
          <w:szCs w:val="20"/>
        </w:rPr>
      </w:pPr>
    </w:p>
    <w:p w:rsidR="007C5D7A" w:rsidRPr="009A3C2A" w:rsidRDefault="00FA5F87" w:rsidP="009A3C2A">
      <w:pPr>
        <w:pStyle w:val="ListParagraph"/>
        <w:numPr>
          <w:ilvl w:val="2"/>
          <w:numId w:val="34"/>
        </w:numPr>
        <w:autoSpaceDE w:val="0"/>
        <w:autoSpaceDN w:val="0"/>
        <w:adjustRightInd w:val="0"/>
        <w:ind w:left="851" w:hanging="851"/>
        <w:rPr>
          <w:rFonts w:ascii="Arial" w:hAnsi="Arial" w:cs="Arial"/>
          <w:sz w:val="20"/>
          <w:szCs w:val="20"/>
        </w:rPr>
      </w:pPr>
      <w:r w:rsidRPr="009A3C2A">
        <w:rPr>
          <w:rFonts w:ascii="Arial" w:hAnsi="Arial" w:cs="Arial"/>
          <w:sz w:val="20"/>
          <w:szCs w:val="20"/>
        </w:rPr>
        <w:t>The lower-than-</w:t>
      </w:r>
      <w:r w:rsidR="00402E2C" w:rsidRPr="009A3C2A">
        <w:rPr>
          <w:rFonts w:ascii="Arial" w:hAnsi="Arial" w:cs="Arial"/>
          <w:sz w:val="20"/>
          <w:szCs w:val="20"/>
        </w:rPr>
        <w:t xml:space="preserve">planned spending is mainly attributed to compensation of employees, </w:t>
      </w:r>
      <w:r w:rsidR="007C5D7A" w:rsidRPr="009A3C2A">
        <w:rPr>
          <w:rFonts w:ascii="Arial" w:hAnsi="Arial" w:cs="Arial"/>
          <w:sz w:val="20"/>
          <w:szCs w:val="20"/>
        </w:rPr>
        <w:t xml:space="preserve">and </w:t>
      </w:r>
      <w:r w:rsidR="00402E2C" w:rsidRPr="009A3C2A">
        <w:rPr>
          <w:rFonts w:ascii="Arial" w:hAnsi="Arial" w:cs="Arial"/>
          <w:sz w:val="20"/>
          <w:szCs w:val="20"/>
        </w:rPr>
        <w:t>payments for capital assets and goods and services</w:t>
      </w:r>
      <w:r w:rsidR="007C5D7A" w:rsidRPr="009A3C2A">
        <w:rPr>
          <w:rFonts w:ascii="Arial" w:hAnsi="Arial" w:cs="Arial"/>
          <w:sz w:val="20"/>
          <w:szCs w:val="20"/>
        </w:rPr>
        <w:t>, as follows:</w:t>
      </w:r>
    </w:p>
    <w:p w:rsidR="007C5D7A" w:rsidRPr="009A3C2A" w:rsidRDefault="00FA5F87"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i/>
          <w:sz w:val="20"/>
          <w:szCs w:val="20"/>
          <w:lang w:val="en-US"/>
        </w:rPr>
        <w:t>Compensation of employees</w:t>
      </w:r>
      <w:r w:rsidRPr="009A3C2A">
        <w:rPr>
          <w:rFonts w:ascii="Arial" w:hAnsi="Arial" w:cs="Arial"/>
          <w:sz w:val="20"/>
          <w:szCs w:val="20"/>
          <w:lang w:val="en-US"/>
        </w:rPr>
        <w:t xml:space="preserve">. </w:t>
      </w:r>
      <w:r w:rsidR="00402E2C" w:rsidRPr="009A3C2A">
        <w:rPr>
          <w:rFonts w:ascii="Arial" w:hAnsi="Arial" w:cs="Arial"/>
          <w:sz w:val="20"/>
          <w:szCs w:val="20"/>
          <w:lang w:val="en-US"/>
        </w:rPr>
        <w:t xml:space="preserve">The lower that planned spending on </w:t>
      </w:r>
      <w:r w:rsidRPr="009A3C2A">
        <w:rPr>
          <w:rFonts w:ascii="Arial" w:hAnsi="Arial" w:cs="Arial"/>
          <w:sz w:val="20"/>
          <w:szCs w:val="20"/>
          <w:lang w:val="en-US"/>
        </w:rPr>
        <w:t xml:space="preserve">this item </w:t>
      </w:r>
      <w:r w:rsidR="00402E2C" w:rsidRPr="009A3C2A">
        <w:rPr>
          <w:rFonts w:ascii="Arial" w:hAnsi="Arial" w:cs="Arial"/>
          <w:sz w:val="20"/>
          <w:szCs w:val="20"/>
          <w:lang w:val="en-US"/>
        </w:rPr>
        <w:t xml:space="preserve">is due to the delays in the </w:t>
      </w:r>
      <w:r w:rsidR="007C5D7A" w:rsidRPr="009A3C2A">
        <w:rPr>
          <w:rFonts w:ascii="Arial" w:hAnsi="Arial" w:cs="Arial"/>
          <w:sz w:val="20"/>
          <w:szCs w:val="20"/>
          <w:lang w:val="en-US"/>
        </w:rPr>
        <w:t>filling of funded vacant posts.</w:t>
      </w:r>
    </w:p>
    <w:p w:rsidR="007C5D7A" w:rsidRPr="009A3C2A" w:rsidRDefault="00FA5F87"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i/>
          <w:sz w:val="20"/>
          <w:szCs w:val="20"/>
          <w:lang w:val="en-US"/>
        </w:rPr>
        <w:t>Capital assets</w:t>
      </w:r>
      <w:r w:rsidRPr="009A3C2A">
        <w:rPr>
          <w:rFonts w:ascii="Arial" w:hAnsi="Arial" w:cs="Arial"/>
          <w:sz w:val="20"/>
          <w:szCs w:val="20"/>
          <w:lang w:val="en-US"/>
        </w:rPr>
        <w:t xml:space="preserve">. </w:t>
      </w:r>
      <w:r w:rsidR="007C5D7A" w:rsidRPr="009A3C2A">
        <w:rPr>
          <w:rFonts w:ascii="Arial" w:hAnsi="Arial" w:cs="Arial"/>
          <w:sz w:val="20"/>
          <w:szCs w:val="20"/>
          <w:lang w:val="en-US"/>
        </w:rPr>
        <w:t xml:space="preserve">The </w:t>
      </w:r>
      <w:r w:rsidR="00402E2C" w:rsidRPr="009A3C2A">
        <w:rPr>
          <w:rFonts w:ascii="Arial" w:hAnsi="Arial" w:cs="Arial"/>
          <w:sz w:val="20"/>
          <w:szCs w:val="20"/>
          <w:lang w:val="en-US"/>
        </w:rPr>
        <w:t>lower</w:t>
      </w:r>
      <w:r w:rsidRPr="009A3C2A">
        <w:rPr>
          <w:rFonts w:ascii="Arial" w:hAnsi="Arial" w:cs="Arial"/>
          <w:sz w:val="20"/>
          <w:szCs w:val="20"/>
          <w:lang w:val="en-US"/>
        </w:rPr>
        <w:t>-</w:t>
      </w:r>
      <w:r w:rsidR="00402E2C" w:rsidRPr="009A3C2A">
        <w:rPr>
          <w:rFonts w:ascii="Arial" w:hAnsi="Arial" w:cs="Arial"/>
          <w:sz w:val="20"/>
          <w:szCs w:val="20"/>
          <w:lang w:val="en-US"/>
        </w:rPr>
        <w:t>than</w:t>
      </w:r>
      <w:r w:rsidRPr="009A3C2A">
        <w:rPr>
          <w:rFonts w:ascii="Arial" w:hAnsi="Arial" w:cs="Arial"/>
          <w:sz w:val="20"/>
          <w:szCs w:val="20"/>
          <w:lang w:val="en-US"/>
        </w:rPr>
        <w:t>-</w:t>
      </w:r>
      <w:r w:rsidR="00402E2C" w:rsidRPr="009A3C2A">
        <w:rPr>
          <w:rFonts w:ascii="Arial" w:hAnsi="Arial" w:cs="Arial"/>
          <w:sz w:val="20"/>
          <w:szCs w:val="20"/>
          <w:lang w:val="en-US"/>
        </w:rPr>
        <w:t xml:space="preserve">planned </w:t>
      </w:r>
      <w:r w:rsidRPr="009A3C2A">
        <w:rPr>
          <w:rFonts w:ascii="Arial" w:hAnsi="Arial" w:cs="Arial"/>
          <w:sz w:val="20"/>
          <w:szCs w:val="20"/>
          <w:lang w:val="en-US"/>
        </w:rPr>
        <w:t xml:space="preserve">capital expenditure </w:t>
      </w:r>
      <w:r w:rsidR="00402E2C" w:rsidRPr="009A3C2A">
        <w:rPr>
          <w:rFonts w:ascii="Arial" w:hAnsi="Arial" w:cs="Arial"/>
          <w:sz w:val="20"/>
          <w:szCs w:val="20"/>
          <w:lang w:val="en-US"/>
        </w:rPr>
        <w:t xml:space="preserve">is due to the delayed supply of the infrastructure refresh and ICT equipment ordered in </w:t>
      </w:r>
      <w:r w:rsidRPr="009A3C2A">
        <w:rPr>
          <w:rFonts w:ascii="Arial" w:hAnsi="Arial" w:cs="Arial"/>
          <w:sz w:val="20"/>
          <w:szCs w:val="20"/>
          <w:lang w:val="en-US"/>
        </w:rPr>
        <w:t>202</w:t>
      </w:r>
      <w:r w:rsidR="00076C57" w:rsidRPr="009A3C2A">
        <w:rPr>
          <w:rFonts w:ascii="Arial" w:hAnsi="Arial" w:cs="Arial"/>
          <w:sz w:val="20"/>
          <w:szCs w:val="20"/>
          <w:lang w:val="en-US"/>
        </w:rPr>
        <w:t>1/22</w:t>
      </w:r>
      <w:r w:rsidRPr="009A3C2A">
        <w:rPr>
          <w:rFonts w:ascii="Arial" w:hAnsi="Arial" w:cs="Arial"/>
          <w:sz w:val="20"/>
          <w:szCs w:val="20"/>
          <w:lang w:val="en-US"/>
        </w:rPr>
        <w:t xml:space="preserve">. Also, there was </w:t>
      </w:r>
      <w:r w:rsidR="00402E2C" w:rsidRPr="009A3C2A">
        <w:rPr>
          <w:rFonts w:ascii="Arial" w:hAnsi="Arial" w:cs="Arial"/>
          <w:sz w:val="20"/>
          <w:szCs w:val="20"/>
          <w:lang w:val="en-US"/>
        </w:rPr>
        <w:t xml:space="preserve">lower </w:t>
      </w:r>
      <w:r w:rsidRPr="009A3C2A">
        <w:rPr>
          <w:rFonts w:ascii="Arial" w:hAnsi="Arial" w:cs="Arial"/>
          <w:sz w:val="20"/>
          <w:szCs w:val="20"/>
          <w:lang w:val="en-US"/>
        </w:rPr>
        <w:t xml:space="preserve">than planned </w:t>
      </w:r>
      <w:r w:rsidR="00402E2C" w:rsidRPr="009A3C2A">
        <w:rPr>
          <w:rFonts w:ascii="Arial" w:hAnsi="Arial" w:cs="Arial"/>
          <w:sz w:val="20"/>
          <w:szCs w:val="20"/>
          <w:lang w:val="en-US"/>
        </w:rPr>
        <w:t>spending on Judges’ hired vehicles due to some vehicles’ contract</w:t>
      </w:r>
      <w:r w:rsidRPr="009A3C2A">
        <w:rPr>
          <w:rFonts w:ascii="Arial" w:hAnsi="Arial" w:cs="Arial"/>
          <w:sz w:val="20"/>
          <w:szCs w:val="20"/>
          <w:lang w:val="en-US"/>
        </w:rPr>
        <w:t>s</w:t>
      </w:r>
      <w:r w:rsidR="00402E2C" w:rsidRPr="009A3C2A">
        <w:rPr>
          <w:rFonts w:ascii="Arial" w:hAnsi="Arial" w:cs="Arial"/>
          <w:sz w:val="20"/>
          <w:szCs w:val="20"/>
          <w:lang w:val="en-US"/>
        </w:rPr>
        <w:t xml:space="preserve"> running on a month-to-month basis</w:t>
      </w:r>
      <w:r w:rsidRPr="009A3C2A">
        <w:rPr>
          <w:rFonts w:ascii="Arial" w:hAnsi="Arial" w:cs="Arial"/>
          <w:sz w:val="20"/>
          <w:szCs w:val="20"/>
          <w:lang w:val="en-US"/>
        </w:rPr>
        <w:t xml:space="preserve">. As a result, these were </w:t>
      </w:r>
      <w:r w:rsidR="00402E2C" w:rsidRPr="009A3C2A">
        <w:rPr>
          <w:rFonts w:ascii="Arial" w:hAnsi="Arial" w:cs="Arial"/>
          <w:sz w:val="20"/>
          <w:szCs w:val="20"/>
          <w:lang w:val="en-US"/>
        </w:rPr>
        <w:t xml:space="preserve">paid under </w:t>
      </w:r>
      <w:r w:rsidR="00402E2C" w:rsidRPr="009A3C2A">
        <w:rPr>
          <w:rFonts w:ascii="Arial" w:hAnsi="Arial" w:cs="Arial"/>
          <w:i/>
          <w:sz w:val="20"/>
          <w:szCs w:val="20"/>
          <w:lang w:val="en-US"/>
        </w:rPr>
        <w:t>goods and services</w:t>
      </w:r>
      <w:r w:rsidR="00402E2C" w:rsidRPr="009A3C2A">
        <w:rPr>
          <w:rFonts w:ascii="Arial" w:hAnsi="Arial" w:cs="Arial"/>
          <w:sz w:val="20"/>
          <w:szCs w:val="20"/>
          <w:lang w:val="en-US"/>
        </w:rPr>
        <w:t xml:space="preserve"> as operating leases. </w:t>
      </w:r>
    </w:p>
    <w:p w:rsidR="007C5D7A" w:rsidRPr="009A3C2A" w:rsidRDefault="00402E2C"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With regard to </w:t>
      </w:r>
      <w:r w:rsidRPr="009A3C2A">
        <w:rPr>
          <w:rFonts w:ascii="Arial" w:hAnsi="Arial" w:cs="Arial"/>
          <w:i/>
          <w:sz w:val="20"/>
          <w:szCs w:val="20"/>
          <w:lang w:val="en-US"/>
        </w:rPr>
        <w:t>goods and services</w:t>
      </w:r>
      <w:r w:rsidRPr="009A3C2A">
        <w:rPr>
          <w:rFonts w:ascii="Arial" w:hAnsi="Arial" w:cs="Arial"/>
          <w:sz w:val="20"/>
          <w:szCs w:val="20"/>
          <w:lang w:val="en-US"/>
        </w:rPr>
        <w:t xml:space="preserve">, the slow spending is mainly due to outstanding invoices for the wellness programme that was attended by staff and delays in the implementation of aspirant women programme because of ongoing payment discussion between the lead coordinator and the stakeholders. In addition, </w:t>
      </w:r>
      <w:r w:rsidRPr="009A3C2A">
        <w:rPr>
          <w:rFonts w:ascii="Arial" w:hAnsi="Arial" w:cs="Arial"/>
          <w:i/>
          <w:sz w:val="20"/>
          <w:szCs w:val="20"/>
          <w:lang w:val="en-US"/>
        </w:rPr>
        <w:t>goods and services</w:t>
      </w:r>
      <w:r w:rsidRPr="009A3C2A">
        <w:rPr>
          <w:rFonts w:ascii="Arial" w:hAnsi="Arial" w:cs="Arial"/>
          <w:sz w:val="20"/>
          <w:szCs w:val="20"/>
          <w:lang w:val="en-US"/>
        </w:rPr>
        <w:t xml:space="preserve"> spending was lower than projected due </w:t>
      </w:r>
      <w:r w:rsidR="00076C57" w:rsidRPr="009A3C2A">
        <w:rPr>
          <w:rFonts w:ascii="Arial" w:hAnsi="Arial" w:cs="Arial"/>
          <w:sz w:val="20"/>
          <w:szCs w:val="20"/>
          <w:lang w:val="en-US"/>
        </w:rPr>
        <w:t xml:space="preserve">fewer persons attending workshops in person </w:t>
      </w:r>
      <w:r w:rsidRPr="009A3C2A">
        <w:rPr>
          <w:rFonts w:ascii="Arial" w:hAnsi="Arial" w:cs="Arial"/>
          <w:sz w:val="20"/>
          <w:szCs w:val="20"/>
          <w:lang w:val="en-US"/>
        </w:rPr>
        <w:t xml:space="preserve">due to </w:t>
      </w:r>
      <w:r w:rsidR="00FA5F87" w:rsidRPr="009A3C2A">
        <w:rPr>
          <w:rFonts w:ascii="Arial" w:hAnsi="Arial" w:cs="Arial"/>
          <w:sz w:val="20"/>
          <w:szCs w:val="20"/>
          <w:lang w:val="en-US"/>
        </w:rPr>
        <w:t xml:space="preserve">the </w:t>
      </w:r>
      <w:r w:rsidRPr="009A3C2A">
        <w:rPr>
          <w:rFonts w:ascii="Arial" w:hAnsi="Arial" w:cs="Arial"/>
          <w:sz w:val="20"/>
          <w:szCs w:val="20"/>
          <w:lang w:val="en-US"/>
        </w:rPr>
        <w:t>reluctance of participants</w:t>
      </w:r>
      <w:r w:rsidR="00FA5F87" w:rsidRPr="009A3C2A">
        <w:rPr>
          <w:rFonts w:ascii="Arial" w:hAnsi="Arial" w:cs="Arial"/>
          <w:sz w:val="20"/>
          <w:szCs w:val="20"/>
          <w:lang w:val="en-US"/>
        </w:rPr>
        <w:t xml:space="preserve"> to do so,</w:t>
      </w:r>
      <w:r w:rsidRPr="009A3C2A">
        <w:rPr>
          <w:rFonts w:ascii="Arial" w:hAnsi="Arial" w:cs="Arial"/>
          <w:sz w:val="20"/>
          <w:szCs w:val="20"/>
          <w:lang w:val="en-US"/>
        </w:rPr>
        <w:t xml:space="preserve"> as well as outstanding telephone invoices for June 2022. </w:t>
      </w:r>
    </w:p>
    <w:p w:rsidR="00402E2C" w:rsidRPr="009A3C2A" w:rsidRDefault="00402E2C"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i/>
          <w:sz w:val="20"/>
          <w:szCs w:val="20"/>
          <w:lang w:val="en-US"/>
        </w:rPr>
        <w:t>Transfers and subsidies</w:t>
      </w:r>
      <w:r w:rsidRPr="009A3C2A">
        <w:rPr>
          <w:rFonts w:ascii="Arial" w:hAnsi="Arial" w:cs="Arial"/>
          <w:sz w:val="20"/>
          <w:szCs w:val="20"/>
          <w:lang w:val="en-US"/>
        </w:rPr>
        <w:t xml:space="preserve"> recorded higher than planned spending due to more than anticipated leave gratuities </w:t>
      </w:r>
      <w:r w:rsidR="00076C57" w:rsidRPr="009A3C2A">
        <w:rPr>
          <w:rFonts w:ascii="Arial" w:hAnsi="Arial" w:cs="Arial"/>
          <w:sz w:val="20"/>
          <w:szCs w:val="20"/>
          <w:lang w:val="en-US"/>
        </w:rPr>
        <w:t xml:space="preserve">being </w:t>
      </w:r>
      <w:r w:rsidRPr="009A3C2A">
        <w:rPr>
          <w:rFonts w:ascii="Arial" w:hAnsi="Arial" w:cs="Arial"/>
          <w:sz w:val="20"/>
          <w:szCs w:val="20"/>
          <w:lang w:val="en-US"/>
        </w:rPr>
        <w:t xml:space="preserve">paid to officials who resigned. </w:t>
      </w:r>
    </w:p>
    <w:p w:rsidR="007E66CA" w:rsidRPr="009A3C2A" w:rsidRDefault="007E66CA" w:rsidP="009A3C2A">
      <w:pPr>
        <w:pStyle w:val="ListParagraph"/>
        <w:autoSpaceDE w:val="0"/>
        <w:autoSpaceDN w:val="0"/>
        <w:adjustRightInd w:val="0"/>
        <w:rPr>
          <w:rFonts w:ascii="Arial" w:hAnsi="Arial" w:cs="Arial"/>
          <w:sz w:val="20"/>
          <w:szCs w:val="20"/>
          <w:lang w:val="en-US"/>
        </w:rPr>
      </w:pPr>
    </w:p>
    <w:p w:rsidR="00462A69" w:rsidRPr="009A3C2A" w:rsidRDefault="00462A69" w:rsidP="009A3C2A">
      <w:pPr>
        <w:numPr>
          <w:ilvl w:val="0"/>
          <w:numId w:val="1"/>
        </w:numPr>
        <w:tabs>
          <w:tab w:val="clear" w:pos="360"/>
          <w:tab w:val="num" w:pos="851"/>
        </w:tabs>
        <w:ind w:left="851" w:hanging="851"/>
        <w:rPr>
          <w:rFonts w:ascii="Arial" w:hAnsi="Arial" w:cs="Arial"/>
          <w:b/>
          <w:sz w:val="20"/>
          <w:szCs w:val="20"/>
          <w:lang w:val="en-ZA" w:eastAsia="en-US"/>
        </w:rPr>
      </w:pPr>
      <w:r w:rsidRPr="009A3C2A">
        <w:rPr>
          <w:rFonts w:ascii="Arial" w:hAnsi="Arial" w:cs="Arial"/>
          <w:b/>
          <w:sz w:val="20"/>
          <w:szCs w:val="20"/>
          <w:lang w:val="en-ZA" w:eastAsia="en-US"/>
        </w:rPr>
        <w:t>Non-financial performance</w:t>
      </w:r>
    </w:p>
    <w:p w:rsidR="00AD0534" w:rsidRPr="009A3C2A" w:rsidRDefault="00AD0534" w:rsidP="009A3C2A">
      <w:pPr>
        <w:pStyle w:val="ListParagraph"/>
        <w:autoSpaceDE w:val="0"/>
        <w:autoSpaceDN w:val="0"/>
        <w:adjustRightInd w:val="0"/>
        <w:ind w:left="375"/>
        <w:contextualSpacing/>
        <w:rPr>
          <w:rFonts w:ascii="Arial" w:hAnsi="Arial" w:cs="Arial"/>
          <w:b/>
          <w:sz w:val="20"/>
          <w:szCs w:val="20"/>
          <w:lang w:val="en-ZA" w:eastAsia="en-US"/>
        </w:rPr>
      </w:pPr>
    </w:p>
    <w:p w:rsidR="0046486C" w:rsidRPr="009A3C2A" w:rsidRDefault="00DD088E"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lang w:val="en-US" w:eastAsia="en-US"/>
        </w:rPr>
        <w:t>The o</w:t>
      </w:r>
      <w:r w:rsidR="00D04FB8" w:rsidRPr="009A3C2A">
        <w:rPr>
          <w:rFonts w:ascii="Arial" w:hAnsi="Arial" w:cs="Arial"/>
          <w:sz w:val="20"/>
          <w:szCs w:val="20"/>
          <w:lang w:val="en-US" w:eastAsia="en-US"/>
        </w:rPr>
        <w:t>verall achievement of p</w:t>
      </w:r>
      <w:r w:rsidR="00272840" w:rsidRPr="009A3C2A">
        <w:rPr>
          <w:rFonts w:ascii="Arial" w:hAnsi="Arial" w:cs="Arial"/>
          <w:sz w:val="20"/>
          <w:szCs w:val="20"/>
          <w:lang w:val="en-US" w:eastAsia="en-US"/>
        </w:rPr>
        <w:t xml:space="preserve">lanned </w:t>
      </w:r>
      <w:r w:rsidR="00D04FB8" w:rsidRPr="009A3C2A">
        <w:rPr>
          <w:rFonts w:ascii="Arial" w:hAnsi="Arial" w:cs="Arial"/>
          <w:sz w:val="20"/>
          <w:szCs w:val="20"/>
          <w:lang w:val="en-US" w:eastAsia="en-US"/>
        </w:rPr>
        <w:t xml:space="preserve">targets </w:t>
      </w:r>
      <w:r w:rsidR="00503929" w:rsidRPr="009A3C2A">
        <w:rPr>
          <w:rFonts w:ascii="Arial" w:hAnsi="Arial" w:cs="Arial"/>
          <w:sz w:val="20"/>
          <w:szCs w:val="20"/>
          <w:lang w:val="en-US" w:eastAsia="en-US"/>
        </w:rPr>
        <w:t xml:space="preserve">for </w:t>
      </w:r>
      <w:r w:rsidR="00550981" w:rsidRPr="009A3C2A">
        <w:rPr>
          <w:rFonts w:ascii="Arial" w:hAnsi="Arial" w:cs="Arial"/>
          <w:sz w:val="20"/>
          <w:szCs w:val="20"/>
          <w:lang w:val="en-US" w:eastAsia="en-US"/>
        </w:rPr>
        <w:t>20</w:t>
      </w:r>
      <w:r w:rsidR="00462A69" w:rsidRPr="009A3C2A">
        <w:rPr>
          <w:rFonts w:ascii="Arial" w:hAnsi="Arial" w:cs="Arial"/>
          <w:sz w:val="20"/>
          <w:szCs w:val="20"/>
          <w:lang w:val="en-US" w:eastAsia="en-US"/>
        </w:rPr>
        <w:t>2</w:t>
      </w:r>
      <w:r w:rsidR="00DD115E" w:rsidRPr="009A3C2A">
        <w:rPr>
          <w:rFonts w:ascii="Arial" w:hAnsi="Arial" w:cs="Arial"/>
          <w:sz w:val="20"/>
          <w:szCs w:val="20"/>
          <w:lang w:val="en-US" w:eastAsia="en-US"/>
        </w:rPr>
        <w:t>1/22</w:t>
      </w:r>
      <w:r w:rsidR="00550981" w:rsidRPr="009A3C2A">
        <w:rPr>
          <w:rFonts w:ascii="Arial" w:hAnsi="Arial" w:cs="Arial"/>
          <w:sz w:val="20"/>
          <w:szCs w:val="20"/>
          <w:lang w:val="en-US" w:eastAsia="en-US"/>
        </w:rPr>
        <w:t xml:space="preserve"> </w:t>
      </w:r>
      <w:r w:rsidRPr="009A3C2A">
        <w:rPr>
          <w:rFonts w:ascii="Arial" w:hAnsi="Arial" w:cs="Arial"/>
          <w:sz w:val="20"/>
          <w:szCs w:val="20"/>
          <w:lang w:val="en-US" w:eastAsia="en-US"/>
        </w:rPr>
        <w:t>was as follows:</w:t>
      </w:r>
    </w:p>
    <w:p w:rsidR="00A328C2" w:rsidRPr="009A3C2A" w:rsidRDefault="00A328C2" w:rsidP="009A3C2A">
      <w:pPr>
        <w:pStyle w:val="ListParagraph"/>
        <w:ind w:left="709"/>
        <w:rPr>
          <w:rFonts w:ascii="Arial" w:hAnsi="Arial" w:cs="Arial"/>
          <w:sz w:val="20"/>
          <w:szCs w:val="20"/>
          <w:lang w:val="en-US" w:eastAsia="en-US"/>
        </w:rPr>
      </w:pPr>
    </w:p>
    <w:p w:rsidR="00DD088E" w:rsidRPr="009A3C2A" w:rsidRDefault="00E02A21" w:rsidP="009A3C2A">
      <w:pPr>
        <w:rPr>
          <w:rFonts w:ascii="Arial" w:hAnsi="Arial" w:cs="Arial"/>
          <w:b/>
          <w:i/>
          <w:sz w:val="20"/>
          <w:szCs w:val="20"/>
          <w:lang w:val="en-US" w:eastAsia="en-US"/>
        </w:rPr>
      </w:pPr>
      <w:r w:rsidRPr="009A3C2A">
        <w:rPr>
          <w:rFonts w:ascii="Arial" w:hAnsi="Arial" w:cs="Arial"/>
          <w:b/>
          <w:i/>
          <w:sz w:val="20"/>
          <w:szCs w:val="20"/>
          <w:lang w:val="en-US" w:eastAsia="en-US"/>
        </w:rPr>
        <w:t xml:space="preserve">Table </w:t>
      </w:r>
      <w:r w:rsidR="00076C57" w:rsidRPr="009A3C2A">
        <w:rPr>
          <w:rFonts w:ascii="Arial" w:hAnsi="Arial" w:cs="Arial"/>
          <w:b/>
          <w:i/>
          <w:sz w:val="20"/>
          <w:szCs w:val="20"/>
          <w:lang w:val="en-US" w:eastAsia="en-US"/>
        </w:rPr>
        <w:t>7</w:t>
      </w:r>
      <w:r w:rsidR="00A328C2" w:rsidRPr="009A3C2A">
        <w:rPr>
          <w:rFonts w:ascii="Arial" w:hAnsi="Arial" w:cs="Arial"/>
          <w:b/>
          <w:i/>
          <w:sz w:val="20"/>
          <w:szCs w:val="20"/>
          <w:lang w:val="en-US" w:eastAsia="en-US"/>
        </w:rPr>
        <w:t xml:space="preserve">: Overall </w:t>
      </w:r>
      <w:r w:rsidR="00076C57" w:rsidRPr="009A3C2A">
        <w:rPr>
          <w:rFonts w:ascii="Arial" w:hAnsi="Arial" w:cs="Arial"/>
          <w:b/>
          <w:i/>
          <w:sz w:val="20"/>
          <w:szCs w:val="20"/>
          <w:lang w:val="en-US" w:eastAsia="en-US"/>
        </w:rPr>
        <w:t>planned performance</w:t>
      </w:r>
    </w:p>
    <w:tbl>
      <w:tblPr>
        <w:tblStyle w:val="TableGrid"/>
        <w:tblW w:w="5000" w:type="pct"/>
        <w:tblLook w:val="04A0"/>
      </w:tblPr>
      <w:tblGrid>
        <w:gridCol w:w="3634"/>
        <w:gridCol w:w="1582"/>
        <w:gridCol w:w="1582"/>
        <w:gridCol w:w="1582"/>
        <w:gridCol w:w="1582"/>
      </w:tblGrid>
      <w:tr w:rsidR="00076C57" w:rsidRPr="009A3C2A" w:rsidTr="00076C57">
        <w:trPr>
          <w:trHeight w:val="414"/>
          <w:tblHeader/>
        </w:trPr>
        <w:tc>
          <w:tcPr>
            <w:tcW w:w="1824" w:type="pct"/>
            <w:vMerge w:val="restart"/>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Performance</w:t>
            </w:r>
          </w:p>
        </w:tc>
        <w:tc>
          <w:tcPr>
            <w:tcW w:w="3176" w:type="pct"/>
            <w:gridSpan w:val="4"/>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 xml:space="preserve">No. of Targets </w:t>
            </w:r>
          </w:p>
        </w:tc>
      </w:tr>
      <w:tr w:rsidR="00076C57" w:rsidRPr="009A3C2A" w:rsidTr="00D17E2C">
        <w:trPr>
          <w:trHeight w:val="838"/>
          <w:tblHeader/>
        </w:trPr>
        <w:tc>
          <w:tcPr>
            <w:tcW w:w="1824" w:type="pct"/>
            <w:vMerge/>
            <w:tcBorders>
              <w:bottom w:val="single" w:sz="4" w:space="0" w:color="auto"/>
            </w:tcBorders>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p>
        </w:tc>
        <w:tc>
          <w:tcPr>
            <w:tcW w:w="794" w:type="pct"/>
            <w:tcBorders>
              <w:bottom w:val="single" w:sz="4" w:space="0" w:color="auto"/>
            </w:tcBorders>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2018/19</w:t>
            </w:r>
          </w:p>
        </w:tc>
        <w:tc>
          <w:tcPr>
            <w:tcW w:w="794" w:type="pct"/>
            <w:tcBorders>
              <w:bottom w:val="single" w:sz="4" w:space="0" w:color="auto"/>
            </w:tcBorders>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2019/20</w:t>
            </w:r>
          </w:p>
        </w:tc>
        <w:tc>
          <w:tcPr>
            <w:tcW w:w="794" w:type="pct"/>
            <w:tcBorders>
              <w:bottom w:val="single" w:sz="4" w:space="0" w:color="auto"/>
            </w:tcBorders>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2020/21</w:t>
            </w:r>
          </w:p>
        </w:tc>
        <w:tc>
          <w:tcPr>
            <w:tcW w:w="794" w:type="pct"/>
            <w:tcBorders>
              <w:bottom w:val="single" w:sz="4" w:space="0" w:color="auto"/>
            </w:tcBorders>
            <w:shd w:val="clear" w:color="auto" w:fill="D9D9D9" w:themeFill="background1" w:themeFillShade="D9"/>
          </w:tcPr>
          <w:p w:rsidR="00076C57" w:rsidRPr="009A3C2A" w:rsidRDefault="00076C57"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2021/22</w:t>
            </w:r>
          </w:p>
        </w:tc>
      </w:tr>
      <w:tr w:rsidR="000A3B90" w:rsidRPr="009A3C2A" w:rsidTr="00076C57">
        <w:tc>
          <w:tcPr>
            <w:tcW w:w="182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Achieved</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18</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14</w:t>
            </w:r>
          </w:p>
        </w:tc>
        <w:tc>
          <w:tcPr>
            <w:tcW w:w="794" w:type="pct"/>
            <w:shd w:val="clear" w:color="auto" w:fill="D9D9D9" w:themeFill="background1" w:themeFillShade="D9"/>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22</w:t>
            </w:r>
          </w:p>
        </w:tc>
        <w:tc>
          <w:tcPr>
            <w:tcW w:w="794" w:type="pct"/>
            <w:shd w:val="clear" w:color="auto" w:fill="D9D9D9" w:themeFill="background1" w:themeFillShade="D9"/>
          </w:tcPr>
          <w:p w:rsidR="000A3B90" w:rsidRPr="009A3C2A" w:rsidRDefault="005854F3"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21</w:t>
            </w:r>
          </w:p>
        </w:tc>
      </w:tr>
      <w:tr w:rsidR="000A3B90" w:rsidRPr="009A3C2A" w:rsidTr="00076C57">
        <w:tc>
          <w:tcPr>
            <w:tcW w:w="182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Not achieved</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2</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6</w:t>
            </w:r>
          </w:p>
        </w:tc>
        <w:tc>
          <w:tcPr>
            <w:tcW w:w="794" w:type="pct"/>
            <w:shd w:val="clear" w:color="auto" w:fill="D9D9D9" w:themeFill="background1" w:themeFillShade="D9"/>
          </w:tcPr>
          <w:p w:rsidR="000A3B90" w:rsidRPr="009A3C2A" w:rsidRDefault="000A3B90"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3</w:t>
            </w:r>
          </w:p>
        </w:tc>
        <w:tc>
          <w:tcPr>
            <w:tcW w:w="794" w:type="pct"/>
            <w:shd w:val="clear" w:color="auto" w:fill="D9D9D9" w:themeFill="background1" w:themeFillShade="D9"/>
          </w:tcPr>
          <w:p w:rsidR="000A3B90" w:rsidRPr="009A3C2A" w:rsidRDefault="005854F3" w:rsidP="009A3C2A">
            <w:pPr>
              <w:tabs>
                <w:tab w:val="num" w:pos="567"/>
              </w:tabs>
              <w:autoSpaceDE w:val="0"/>
              <w:autoSpaceDN w:val="0"/>
              <w:adjustRightInd w:val="0"/>
              <w:contextualSpacing/>
              <w:rPr>
                <w:rFonts w:ascii="Arial" w:hAnsi="Arial" w:cs="Arial"/>
                <w:sz w:val="20"/>
                <w:szCs w:val="20"/>
                <w:lang w:val="en-US" w:eastAsia="en-US"/>
              </w:rPr>
            </w:pPr>
            <w:r w:rsidRPr="009A3C2A">
              <w:rPr>
                <w:rFonts w:ascii="Arial" w:hAnsi="Arial" w:cs="Arial"/>
                <w:sz w:val="20"/>
                <w:szCs w:val="20"/>
                <w:lang w:val="en-US" w:eastAsia="en-US"/>
              </w:rPr>
              <w:t>3</w:t>
            </w:r>
          </w:p>
        </w:tc>
      </w:tr>
      <w:tr w:rsidR="000A3B90" w:rsidRPr="009A3C2A" w:rsidTr="00076C57">
        <w:tc>
          <w:tcPr>
            <w:tcW w:w="182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Total</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20</w:t>
            </w:r>
          </w:p>
        </w:tc>
        <w:tc>
          <w:tcPr>
            <w:tcW w:w="794" w:type="pct"/>
            <w:shd w:val="clear" w:color="auto" w:fill="D9D9D9" w:themeFill="background1" w:themeFillShade="D9"/>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25</w:t>
            </w:r>
          </w:p>
        </w:tc>
        <w:tc>
          <w:tcPr>
            <w:tcW w:w="794" w:type="pct"/>
            <w:shd w:val="clear" w:color="auto" w:fill="D9D9D9" w:themeFill="background1" w:themeFillShade="D9"/>
          </w:tcPr>
          <w:p w:rsidR="000A3B90" w:rsidRPr="009A3C2A" w:rsidRDefault="005854F3"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24</w:t>
            </w:r>
          </w:p>
        </w:tc>
      </w:tr>
      <w:tr w:rsidR="000A3B90" w:rsidRPr="009A3C2A" w:rsidTr="00076C57">
        <w:tc>
          <w:tcPr>
            <w:tcW w:w="182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Percentage achieved</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90%</w:t>
            </w:r>
          </w:p>
        </w:tc>
        <w:tc>
          <w:tcPr>
            <w:tcW w:w="794" w:type="pct"/>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70%</w:t>
            </w:r>
          </w:p>
        </w:tc>
        <w:tc>
          <w:tcPr>
            <w:tcW w:w="794" w:type="pct"/>
            <w:shd w:val="clear" w:color="auto" w:fill="D9D9D9" w:themeFill="background1" w:themeFillShade="D9"/>
          </w:tcPr>
          <w:p w:rsidR="000A3B90" w:rsidRPr="009A3C2A" w:rsidRDefault="000A3B90"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88%</w:t>
            </w:r>
          </w:p>
        </w:tc>
        <w:tc>
          <w:tcPr>
            <w:tcW w:w="794" w:type="pct"/>
            <w:shd w:val="clear" w:color="auto" w:fill="D9D9D9" w:themeFill="background1" w:themeFillShade="D9"/>
          </w:tcPr>
          <w:p w:rsidR="000A3B90" w:rsidRPr="009A3C2A" w:rsidRDefault="005854F3" w:rsidP="009A3C2A">
            <w:pPr>
              <w:tabs>
                <w:tab w:val="num" w:pos="567"/>
              </w:tabs>
              <w:autoSpaceDE w:val="0"/>
              <w:autoSpaceDN w:val="0"/>
              <w:adjustRightInd w:val="0"/>
              <w:contextualSpacing/>
              <w:rPr>
                <w:rFonts w:ascii="Arial" w:hAnsi="Arial" w:cs="Arial"/>
                <w:b/>
                <w:sz w:val="20"/>
                <w:szCs w:val="20"/>
                <w:lang w:val="en-US" w:eastAsia="en-US"/>
              </w:rPr>
            </w:pPr>
            <w:r w:rsidRPr="009A3C2A">
              <w:rPr>
                <w:rFonts w:ascii="Arial" w:hAnsi="Arial" w:cs="Arial"/>
                <w:b/>
                <w:sz w:val="20"/>
                <w:szCs w:val="20"/>
                <w:lang w:val="en-US" w:eastAsia="en-US"/>
              </w:rPr>
              <w:t>87.5%</w:t>
            </w:r>
          </w:p>
        </w:tc>
      </w:tr>
    </w:tbl>
    <w:p w:rsidR="00904D21" w:rsidRPr="009A3C2A" w:rsidRDefault="00904D21" w:rsidP="009A3C2A">
      <w:pPr>
        <w:pStyle w:val="ListParagraph"/>
        <w:ind w:left="709"/>
        <w:rPr>
          <w:rFonts w:ascii="Arial" w:hAnsi="Arial" w:cs="Arial"/>
          <w:b/>
          <w:sz w:val="20"/>
          <w:szCs w:val="20"/>
          <w:lang w:val="en-US" w:eastAsia="en-US"/>
        </w:rPr>
      </w:pPr>
    </w:p>
    <w:p w:rsidR="0046486C" w:rsidRPr="009A3C2A" w:rsidRDefault="00904D21" w:rsidP="009A3C2A">
      <w:pPr>
        <w:pStyle w:val="ListParagraph"/>
        <w:numPr>
          <w:ilvl w:val="1"/>
          <w:numId w:val="1"/>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lang w:val="en-US" w:eastAsia="en-US"/>
        </w:rPr>
        <w:t>Reported key achievements for 20</w:t>
      </w:r>
      <w:r w:rsidR="002E31CC" w:rsidRPr="009A3C2A">
        <w:rPr>
          <w:rFonts w:ascii="Arial" w:hAnsi="Arial" w:cs="Arial"/>
          <w:sz w:val="20"/>
          <w:szCs w:val="20"/>
          <w:lang w:val="en-US" w:eastAsia="en-US"/>
        </w:rPr>
        <w:t>2</w:t>
      </w:r>
      <w:r w:rsidR="005854F3" w:rsidRPr="009A3C2A">
        <w:rPr>
          <w:rFonts w:ascii="Arial" w:hAnsi="Arial" w:cs="Arial"/>
          <w:sz w:val="20"/>
          <w:szCs w:val="20"/>
          <w:lang w:val="en-US" w:eastAsia="en-US"/>
        </w:rPr>
        <w:t>1/22</w:t>
      </w:r>
      <w:r w:rsidRPr="009A3C2A">
        <w:rPr>
          <w:rFonts w:ascii="Arial" w:hAnsi="Arial" w:cs="Arial"/>
          <w:sz w:val="20"/>
          <w:szCs w:val="20"/>
          <w:lang w:val="en-US" w:eastAsia="en-US"/>
        </w:rPr>
        <w:t xml:space="preserve"> are as follows:</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OCJ achieved 87.5% of its annual targets and spent 93.1% of its Final Appropriation (excluding Direct charge – Judges’ salaries).</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OCJ had </w:t>
      </w:r>
      <w:r w:rsidR="002A79EA" w:rsidRPr="009A3C2A">
        <w:rPr>
          <w:rFonts w:ascii="Arial" w:hAnsi="Arial" w:cs="Arial"/>
          <w:sz w:val="20"/>
          <w:szCs w:val="20"/>
          <w:lang w:val="en-US"/>
        </w:rPr>
        <w:t xml:space="preserve">a </w:t>
      </w:r>
      <w:r w:rsidRPr="009A3C2A">
        <w:rPr>
          <w:rFonts w:ascii="Arial" w:hAnsi="Arial" w:cs="Arial"/>
          <w:sz w:val="20"/>
          <w:szCs w:val="20"/>
          <w:lang w:val="en-US"/>
        </w:rPr>
        <w:t xml:space="preserve">vacancy rate of 9.1%, which is below the 10% target set by DPSA. </w:t>
      </w:r>
      <w:r w:rsidR="00076C57" w:rsidRPr="009A3C2A">
        <w:rPr>
          <w:rFonts w:ascii="Arial" w:hAnsi="Arial" w:cs="Arial"/>
          <w:sz w:val="20"/>
          <w:szCs w:val="20"/>
          <w:lang w:val="en-US"/>
        </w:rPr>
        <w:t>T</w:t>
      </w:r>
      <w:r w:rsidRPr="009A3C2A">
        <w:rPr>
          <w:rFonts w:ascii="Arial" w:hAnsi="Arial" w:cs="Arial"/>
          <w:sz w:val="20"/>
          <w:szCs w:val="20"/>
          <w:lang w:val="en-US"/>
        </w:rPr>
        <w:t xml:space="preserve">he OCJ had 48% of women representation on SMS level; and 32% youth representation of the Department’s staff complement. </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OCJ conducted 168 skills-enhancing judicial education courses for Judicial Officers and aspiring Judicial Officers, which was attended by 4 343 delegates.</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86% (28 356 of 33 019) of default judgments were finalised by Registrars within 14 days from date of receipt of application; 99% (27 218 of 27 413) of taxations of legal bills of costs were finalised within 60 days from date of set down; and 100% (60 of 60) warrants of release (J1) were delivered within one day of the release issued.</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OCJ investigated 55% of reported fraud cases within 60 working days; and conducted 29 awareness sessions on Fraud Prevention and the Anti-Corruption Strategy.  </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OCJ embarked on the ICT infrastructure refresh project, upgrading of End User Equipment project and roll out of Wi</w:t>
      </w:r>
      <w:r w:rsidR="00076C57" w:rsidRPr="009A3C2A">
        <w:rPr>
          <w:rFonts w:ascii="Arial" w:hAnsi="Arial" w:cs="Arial"/>
          <w:sz w:val="20"/>
          <w:szCs w:val="20"/>
          <w:lang w:val="en-US"/>
        </w:rPr>
        <w:t>-</w:t>
      </w:r>
      <w:r w:rsidRPr="009A3C2A">
        <w:rPr>
          <w:rFonts w:ascii="Arial" w:hAnsi="Arial" w:cs="Arial"/>
          <w:sz w:val="20"/>
          <w:szCs w:val="20"/>
          <w:lang w:val="en-US"/>
        </w:rPr>
        <w:t>Fi to all Superior Courts.</w:t>
      </w:r>
    </w:p>
    <w:p w:rsidR="005854F3" w:rsidRPr="009A3C2A" w:rsidRDefault="005854F3" w:rsidP="009A3C2A">
      <w:pPr>
        <w:pStyle w:val="ListParagraph"/>
        <w:numPr>
          <w:ilvl w:val="0"/>
          <w:numId w:val="7"/>
        </w:numPr>
        <w:autoSpaceDE w:val="0"/>
        <w:autoSpaceDN w:val="0"/>
        <w:adjustRightInd w:val="0"/>
        <w:ind w:left="1418" w:hanging="567"/>
        <w:rPr>
          <w:rFonts w:ascii="Arial" w:hAnsi="Arial" w:cs="Arial"/>
          <w:sz w:val="20"/>
          <w:szCs w:val="20"/>
          <w:lang w:val="en-ZA" w:eastAsia="en-US"/>
        </w:rPr>
      </w:pPr>
      <w:r w:rsidRPr="009A3C2A">
        <w:rPr>
          <w:rFonts w:ascii="Arial" w:hAnsi="Arial" w:cs="Arial"/>
          <w:sz w:val="20"/>
          <w:szCs w:val="20"/>
          <w:lang w:val="en-US"/>
        </w:rPr>
        <w:lastRenderedPageBreak/>
        <w:t>There was a reduction of the risk of COVID-19 as a result of complying with all the related Government</w:t>
      </w:r>
      <w:r w:rsidR="002A79EA" w:rsidRPr="009A3C2A">
        <w:rPr>
          <w:rFonts w:ascii="Arial" w:hAnsi="Arial" w:cs="Arial"/>
          <w:sz w:val="20"/>
          <w:szCs w:val="20"/>
          <w:lang w:val="en-ZA" w:eastAsia="en-US"/>
        </w:rPr>
        <w:t xml:space="preserve"> prescripts and r</w:t>
      </w:r>
      <w:r w:rsidRPr="009A3C2A">
        <w:rPr>
          <w:rFonts w:ascii="Arial" w:hAnsi="Arial" w:cs="Arial"/>
          <w:sz w:val="20"/>
          <w:szCs w:val="20"/>
          <w:lang w:val="en-ZA" w:eastAsia="en-US"/>
        </w:rPr>
        <w:t>egulations.</w:t>
      </w:r>
    </w:p>
    <w:p w:rsidR="009176B0" w:rsidRPr="009A3C2A" w:rsidRDefault="009176B0" w:rsidP="009A3C2A">
      <w:pPr>
        <w:autoSpaceDE w:val="0"/>
        <w:autoSpaceDN w:val="0"/>
        <w:adjustRightInd w:val="0"/>
        <w:ind w:left="709"/>
        <w:rPr>
          <w:rFonts w:ascii="Arial" w:hAnsi="Arial" w:cs="Arial"/>
          <w:sz w:val="20"/>
          <w:szCs w:val="20"/>
          <w:lang w:val="en-US" w:eastAsia="en-US"/>
        </w:rPr>
      </w:pPr>
    </w:p>
    <w:p w:rsidR="00CC5667" w:rsidRPr="009A3C2A" w:rsidRDefault="00CC5667" w:rsidP="009A3C2A">
      <w:pPr>
        <w:pStyle w:val="ListParagraph"/>
        <w:ind w:left="709"/>
        <w:rPr>
          <w:rFonts w:ascii="Arial" w:hAnsi="Arial" w:cs="Arial"/>
          <w:b/>
          <w:sz w:val="20"/>
          <w:szCs w:val="20"/>
          <w:lang w:val="en-US" w:eastAsia="en-US"/>
        </w:rPr>
      </w:pPr>
    </w:p>
    <w:p w:rsidR="008832AC" w:rsidRPr="009A3C2A" w:rsidRDefault="008832AC" w:rsidP="009A3C2A">
      <w:pPr>
        <w:numPr>
          <w:ilvl w:val="0"/>
          <w:numId w:val="1"/>
        </w:numPr>
        <w:tabs>
          <w:tab w:val="clear" w:pos="360"/>
          <w:tab w:val="num" w:pos="851"/>
        </w:tabs>
        <w:ind w:left="851" w:hanging="851"/>
        <w:rPr>
          <w:rFonts w:ascii="Arial" w:hAnsi="Arial" w:cs="Arial"/>
          <w:b/>
          <w:sz w:val="20"/>
          <w:szCs w:val="20"/>
          <w:lang w:val="en-US" w:eastAsia="en-US"/>
        </w:rPr>
      </w:pPr>
      <w:r w:rsidRPr="009A3C2A">
        <w:rPr>
          <w:rFonts w:ascii="Arial" w:hAnsi="Arial" w:cs="Arial"/>
          <w:b/>
          <w:sz w:val="20"/>
          <w:szCs w:val="20"/>
          <w:lang w:val="en-US" w:eastAsia="en-US"/>
        </w:rPr>
        <w:t>Programme performance</w:t>
      </w:r>
      <w:r w:rsidR="00462A69" w:rsidRPr="009A3C2A">
        <w:rPr>
          <w:rFonts w:ascii="Arial" w:hAnsi="Arial" w:cs="Arial"/>
          <w:b/>
          <w:sz w:val="20"/>
          <w:szCs w:val="20"/>
          <w:lang w:val="en-US" w:eastAsia="en-US"/>
        </w:rPr>
        <w:t xml:space="preserve"> </w:t>
      </w:r>
    </w:p>
    <w:p w:rsidR="00D04FB8" w:rsidRPr="009A3C2A" w:rsidRDefault="00D04FB8" w:rsidP="009A3C2A">
      <w:pPr>
        <w:pStyle w:val="ListParagraph"/>
        <w:autoSpaceDE w:val="0"/>
        <w:autoSpaceDN w:val="0"/>
        <w:adjustRightInd w:val="0"/>
        <w:ind w:left="567"/>
        <w:contextualSpacing/>
        <w:rPr>
          <w:rFonts w:ascii="Arial" w:hAnsi="Arial" w:cs="Arial"/>
          <w:b/>
          <w:sz w:val="20"/>
          <w:szCs w:val="20"/>
          <w:lang w:val="en-US" w:eastAsia="en-US"/>
        </w:rPr>
      </w:pPr>
    </w:p>
    <w:p w:rsidR="003D7013" w:rsidRPr="009A3C2A" w:rsidRDefault="003D7013" w:rsidP="009A3C2A">
      <w:pPr>
        <w:pStyle w:val="ListParagraph"/>
        <w:numPr>
          <w:ilvl w:val="1"/>
          <w:numId w:val="1"/>
        </w:numPr>
        <w:autoSpaceDE w:val="0"/>
        <w:autoSpaceDN w:val="0"/>
        <w:adjustRightInd w:val="0"/>
        <w:ind w:left="851" w:hanging="851"/>
        <w:rPr>
          <w:rFonts w:ascii="Arial" w:hAnsi="Arial" w:cs="Arial"/>
          <w:b/>
          <w:sz w:val="20"/>
          <w:szCs w:val="20"/>
          <w:lang w:val="en-US" w:eastAsia="en-US"/>
        </w:rPr>
      </w:pPr>
      <w:r w:rsidRPr="009A3C2A">
        <w:rPr>
          <w:rFonts w:ascii="Arial" w:hAnsi="Arial" w:cs="Arial"/>
          <w:b/>
          <w:sz w:val="20"/>
          <w:szCs w:val="20"/>
          <w:lang w:val="en-US" w:eastAsia="en-US"/>
        </w:rPr>
        <w:t>Programme 1: Administration</w:t>
      </w:r>
    </w:p>
    <w:p w:rsidR="003D7013" w:rsidRPr="009A3C2A" w:rsidRDefault="003D7013" w:rsidP="009A3C2A">
      <w:pPr>
        <w:autoSpaceDE w:val="0"/>
        <w:autoSpaceDN w:val="0"/>
        <w:adjustRightInd w:val="0"/>
        <w:rPr>
          <w:rFonts w:ascii="Arial" w:hAnsi="Arial" w:cs="Arial"/>
          <w:sz w:val="20"/>
          <w:szCs w:val="20"/>
          <w:lang w:val="en-US" w:eastAsia="en-US"/>
        </w:rPr>
      </w:pPr>
    </w:p>
    <w:p w:rsidR="006D2386" w:rsidRPr="009A3C2A" w:rsidRDefault="006D2386" w:rsidP="009A3C2A">
      <w:pPr>
        <w:pStyle w:val="ListParagraph"/>
        <w:numPr>
          <w:ilvl w:val="2"/>
          <w:numId w:val="35"/>
        </w:numPr>
        <w:autoSpaceDE w:val="0"/>
        <w:autoSpaceDN w:val="0"/>
        <w:adjustRightInd w:val="0"/>
        <w:ind w:left="851" w:hanging="851"/>
        <w:rPr>
          <w:rFonts w:ascii="Arial" w:hAnsi="Arial" w:cs="Arial"/>
          <w:sz w:val="20"/>
          <w:szCs w:val="20"/>
          <w:lang w:val="en-US" w:eastAsia="en-US"/>
        </w:rPr>
      </w:pPr>
      <w:r w:rsidRPr="009A3C2A">
        <w:rPr>
          <w:rFonts w:ascii="Arial" w:hAnsi="Arial" w:cs="Arial"/>
          <w:sz w:val="20"/>
          <w:szCs w:val="20"/>
          <w:lang w:val="en-US" w:eastAsia="en-US"/>
        </w:rPr>
        <w:t xml:space="preserve">The purpose of this programme is to provide strategic leadership, management and support services to the </w:t>
      </w:r>
      <w:r w:rsidR="003646B2" w:rsidRPr="009A3C2A">
        <w:rPr>
          <w:rFonts w:ascii="Arial" w:hAnsi="Arial" w:cs="Arial"/>
          <w:sz w:val="20"/>
          <w:szCs w:val="20"/>
          <w:lang w:val="en-US" w:eastAsia="en-US"/>
        </w:rPr>
        <w:t>D</w:t>
      </w:r>
      <w:r w:rsidRPr="009A3C2A">
        <w:rPr>
          <w:rFonts w:ascii="Arial" w:hAnsi="Arial" w:cs="Arial"/>
          <w:sz w:val="20"/>
          <w:szCs w:val="20"/>
          <w:lang w:val="en-US" w:eastAsia="en-US"/>
        </w:rPr>
        <w:t xml:space="preserve">epartment. The programme consists of the following </w:t>
      </w:r>
      <w:r w:rsidRPr="009A3C2A">
        <w:rPr>
          <w:rFonts w:ascii="Arial" w:hAnsi="Arial" w:cs="Arial"/>
          <w:bCs/>
          <w:sz w:val="20"/>
          <w:szCs w:val="20"/>
          <w:lang w:val="en-US" w:eastAsia="en-US"/>
        </w:rPr>
        <w:t xml:space="preserve">sub-programmes:  </w:t>
      </w:r>
    </w:p>
    <w:p w:rsidR="006D2386" w:rsidRPr="009A3C2A" w:rsidRDefault="006D2386"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Management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administrative, planning, monitoring, evaluation, performance reporting and risk management functions necessary to ensure effective functioning of the </w:t>
      </w:r>
      <w:r w:rsidR="003646B2" w:rsidRPr="009A3C2A">
        <w:rPr>
          <w:rFonts w:ascii="Arial" w:hAnsi="Arial" w:cs="Arial"/>
          <w:sz w:val="20"/>
          <w:szCs w:val="20"/>
          <w:lang w:val="en-US"/>
        </w:rPr>
        <w:t>D</w:t>
      </w:r>
      <w:r w:rsidRPr="009A3C2A">
        <w:rPr>
          <w:rFonts w:ascii="Arial" w:hAnsi="Arial" w:cs="Arial"/>
          <w:sz w:val="20"/>
          <w:szCs w:val="20"/>
          <w:lang w:val="en-US"/>
        </w:rPr>
        <w:t xml:space="preserve">epartment.  </w:t>
      </w:r>
    </w:p>
    <w:p w:rsidR="006D2386" w:rsidRPr="009A3C2A" w:rsidRDefault="006D2386"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Corporate Services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integrated Human Resources Management (HRM), Information and Communication Technology (ICT) and security management support services to the </w:t>
      </w:r>
      <w:r w:rsidR="003646B2" w:rsidRPr="009A3C2A">
        <w:rPr>
          <w:rFonts w:ascii="Arial" w:hAnsi="Arial" w:cs="Arial"/>
          <w:sz w:val="20"/>
          <w:szCs w:val="20"/>
          <w:lang w:val="en-US"/>
        </w:rPr>
        <w:t>D</w:t>
      </w:r>
      <w:r w:rsidRPr="009A3C2A">
        <w:rPr>
          <w:rFonts w:ascii="Arial" w:hAnsi="Arial" w:cs="Arial"/>
          <w:sz w:val="20"/>
          <w:szCs w:val="20"/>
          <w:lang w:val="en-US"/>
        </w:rPr>
        <w:t xml:space="preserve">epartment.  </w:t>
      </w:r>
    </w:p>
    <w:p w:rsidR="006D2386" w:rsidRPr="009A3C2A" w:rsidRDefault="006D2386"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Finance Administration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overall financial, asset and supply chain management services to the Judiciary and the </w:t>
      </w:r>
      <w:r w:rsidR="003646B2" w:rsidRPr="009A3C2A">
        <w:rPr>
          <w:rFonts w:ascii="Arial" w:hAnsi="Arial" w:cs="Arial"/>
          <w:sz w:val="20"/>
          <w:szCs w:val="20"/>
          <w:lang w:val="en-US"/>
        </w:rPr>
        <w:t>D</w:t>
      </w:r>
      <w:r w:rsidRPr="009A3C2A">
        <w:rPr>
          <w:rFonts w:ascii="Arial" w:hAnsi="Arial" w:cs="Arial"/>
          <w:sz w:val="20"/>
          <w:szCs w:val="20"/>
          <w:lang w:val="en-US"/>
        </w:rPr>
        <w:t>epartment.</w:t>
      </w:r>
    </w:p>
    <w:p w:rsidR="006D2386" w:rsidRPr="009A3C2A" w:rsidRDefault="006D2386"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Internal Audit </w:t>
      </w:r>
      <w:r w:rsidR="000C3DD8" w:rsidRPr="009A3C2A">
        <w:rPr>
          <w:rFonts w:ascii="Arial" w:hAnsi="Arial" w:cs="Arial"/>
          <w:sz w:val="20"/>
          <w:szCs w:val="20"/>
          <w:lang w:val="en-US"/>
        </w:rPr>
        <w:t xml:space="preserve">and Risk Management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overall internal audit and risk management services to the </w:t>
      </w:r>
      <w:r w:rsidR="003646B2" w:rsidRPr="009A3C2A">
        <w:rPr>
          <w:rFonts w:ascii="Arial" w:hAnsi="Arial" w:cs="Arial"/>
          <w:sz w:val="20"/>
          <w:szCs w:val="20"/>
          <w:lang w:val="en-US"/>
        </w:rPr>
        <w:t>D</w:t>
      </w:r>
      <w:r w:rsidRPr="009A3C2A">
        <w:rPr>
          <w:rFonts w:ascii="Arial" w:hAnsi="Arial" w:cs="Arial"/>
          <w:sz w:val="20"/>
          <w:szCs w:val="20"/>
          <w:lang w:val="en-US"/>
        </w:rPr>
        <w:t xml:space="preserve">epartment and the </w:t>
      </w:r>
      <w:r w:rsidR="003646B2" w:rsidRPr="009A3C2A">
        <w:rPr>
          <w:rFonts w:ascii="Arial" w:hAnsi="Arial" w:cs="Arial"/>
          <w:sz w:val="20"/>
          <w:szCs w:val="20"/>
          <w:lang w:val="en-US"/>
        </w:rPr>
        <w:t>S</w:t>
      </w:r>
      <w:r w:rsidRPr="009A3C2A">
        <w:rPr>
          <w:rFonts w:ascii="Arial" w:hAnsi="Arial" w:cs="Arial"/>
          <w:sz w:val="20"/>
          <w:szCs w:val="20"/>
          <w:lang w:val="en-US"/>
        </w:rPr>
        <w:t xml:space="preserve">uperior </w:t>
      </w:r>
      <w:r w:rsidR="00156569" w:rsidRPr="009A3C2A">
        <w:rPr>
          <w:rFonts w:ascii="Arial" w:hAnsi="Arial" w:cs="Arial"/>
          <w:sz w:val="20"/>
          <w:szCs w:val="20"/>
          <w:lang w:val="en-US"/>
        </w:rPr>
        <w:t>C</w:t>
      </w:r>
      <w:r w:rsidRPr="009A3C2A">
        <w:rPr>
          <w:rFonts w:ascii="Arial" w:hAnsi="Arial" w:cs="Arial"/>
          <w:sz w:val="20"/>
          <w:szCs w:val="20"/>
          <w:lang w:val="en-US"/>
        </w:rPr>
        <w:t>ourts.</w:t>
      </w:r>
    </w:p>
    <w:p w:rsidR="006D2386" w:rsidRPr="009A3C2A" w:rsidRDefault="006D2386"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Office Accommodation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for acquisition of office accommodation for the </w:t>
      </w:r>
      <w:r w:rsidR="003646B2" w:rsidRPr="009A3C2A">
        <w:rPr>
          <w:rFonts w:ascii="Arial" w:hAnsi="Arial" w:cs="Arial"/>
          <w:sz w:val="20"/>
          <w:szCs w:val="20"/>
          <w:lang w:val="en-US"/>
        </w:rPr>
        <w:t>D</w:t>
      </w:r>
      <w:r w:rsidRPr="009A3C2A">
        <w:rPr>
          <w:rFonts w:ascii="Arial" w:hAnsi="Arial" w:cs="Arial"/>
          <w:sz w:val="20"/>
          <w:szCs w:val="20"/>
          <w:lang w:val="en-US"/>
        </w:rPr>
        <w:t>epartment.</w:t>
      </w:r>
    </w:p>
    <w:p w:rsidR="006D2386" w:rsidRPr="009A3C2A" w:rsidRDefault="006D2386" w:rsidP="009A3C2A">
      <w:pPr>
        <w:pStyle w:val="ListParagraph"/>
        <w:autoSpaceDE w:val="0"/>
        <w:autoSpaceDN w:val="0"/>
        <w:adjustRightInd w:val="0"/>
        <w:ind w:left="1418"/>
        <w:rPr>
          <w:rFonts w:ascii="Arial" w:hAnsi="Arial" w:cs="Arial"/>
          <w:sz w:val="20"/>
          <w:szCs w:val="20"/>
          <w:lang w:val="en-US"/>
        </w:rPr>
      </w:pPr>
    </w:p>
    <w:p w:rsidR="000A59B6" w:rsidRPr="009A3C2A" w:rsidRDefault="008D0146" w:rsidP="009A3C2A">
      <w:pPr>
        <w:pStyle w:val="ListParagraph"/>
        <w:numPr>
          <w:ilvl w:val="2"/>
          <w:numId w:val="35"/>
        </w:numPr>
        <w:autoSpaceDE w:val="0"/>
        <w:autoSpaceDN w:val="0"/>
        <w:adjustRightInd w:val="0"/>
        <w:ind w:left="851" w:hanging="851"/>
        <w:rPr>
          <w:rFonts w:ascii="Arial" w:hAnsi="Arial" w:cs="Arial"/>
          <w:bCs/>
          <w:sz w:val="20"/>
          <w:szCs w:val="20"/>
          <w:lang w:val="en-US"/>
        </w:rPr>
      </w:pPr>
      <w:r w:rsidRPr="009A3C2A">
        <w:rPr>
          <w:rFonts w:ascii="Arial" w:hAnsi="Arial" w:cs="Arial"/>
          <w:sz w:val="20"/>
          <w:szCs w:val="20"/>
          <w:lang w:val="en-US" w:eastAsia="en-US"/>
        </w:rPr>
        <w:t>The Administration</w:t>
      </w:r>
      <w:r w:rsidR="00272840" w:rsidRPr="009A3C2A">
        <w:rPr>
          <w:rFonts w:ascii="Arial" w:hAnsi="Arial" w:cs="Arial"/>
          <w:sz w:val="20"/>
          <w:szCs w:val="20"/>
          <w:lang w:val="en-US" w:eastAsia="en-US"/>
        </w:rPr>
        <w:t xml:space="preserve"> programme</w:t>
      </w:r>
      <w:r w:rsidRPr="009A3C2A">
        <w:rPr>
          <w:rFonts w:ascii="Arial" w:hAnsi="Arial" w:cs="Arial"/>
          <w:sz w:val="20"/>
          <w:szCs w:val="20"/>
          <w:lang w:val="en-US" w:eastAsia="en-US"/>
        </w:rPr>
        <w:t xml:space="preserve"> met </w:t>
      </w:r>
      <w:r w:rsidR="00904D21" w:rsidRPr="009A3C2A">
        <w:rPr>
          <w:rFonts w:ascii="Arial" w:hAnsi="Arial" w:cs="Arial"/>
          <w:sz w:val="20"/>
          <w:szCs w:val="20"/>
          <w:lang w:val="en-US" w:eastAsia="en-US"/>
        </w:rPr>
        <w:t xml:space="preserve">seven of </w:t>
      </w:r>
      <w:r w:rsidR="00F6583B" w:rsidRPr="009A3C2A">
        <w:rPr>
          <w:rFonts w:ascii="Arial" w:hAnsi="Arial" w:cs="Arial"/>
          <w:sz w:val="20"/>
          <w:szCs w:val="20"/>
          <w:lang w:val="en-US" w:eastAsia="en-US"/>
        </w:rPr>
        <w:t>11 of 14 or 79% of planned targets for 202</w:t>
      </w:r>
      <w:r w:rsidR="005854F3" w:rsidRPr="009A3C2A">
        <w:rPr>
          <w:rFonts w:ascii="Arial" w:hAnsi="Arial" w:cs="Arial"/>
          <w:sz w:val="20"/>
          <w:szCs w:val="20"/>
          <w:lang w:val="en-US" w:eastAsia="en-US"/>
        </w:rPr>
        <w:t>1/22</w:t>
      </w:r>
      <w:r w:rsidR="005B7A46" w:rsidRPr="009A3C2A">
        <w:rPr>
          <w:rFonts w:ascii="Arial" w:hAnsi="Arial" w:cs="Arial"/>
          <w:sz w:val="20"/>
          <w:szCs w:val="20"/>
          <w:lang w:val="en-US" w:eastAsia="en-US"/>
        </w:rPr>
        <w:t xml:space="preserve">, </w:t>
      </w:r>
      <w:r w:rsidR="00F6583B" w:rsidRPr="009A3C2A">
        <w:rPr>
          <w:rFonts w:ascii="Arial" w:hAnsi="Arial" w:cs="Arial"/>
          <w:sz w:val="20"/>
          <w:szCs w:val="20"/>
          <w:lang w:val="en-US" w:eastAsia="en-US"/>
        </w:rPr>
        <w:t xml:space="preserve">compared with </w:t>
      </w:r>
      <w:r w:rsidR="00462EEB" w:rsidRPr="009A3C2A">
        <w:rPr>
          <w:rFonts w:ascii="Arial" w:hAnsi="Arial" w:cs="Arial"/>
          <w:sz w:val="20"/>
          <w:szCs w:val="20"/>
          <w:lang w:val="en-US" w:eastAsia="en-US"/>
        </w:rPr>
        <w:t>7</w:t>
      </w:r>
      <w:r w:rsidR="00675CB7" w:rsidRPr="009A3C2A">
        <w:rPr>
          <w:rFonts w:ascii="Arial" w:hAnsi="Arial" w:cs="Arial"/>
          <w:sz w:val="20"/>
          <w:szCs w:val="20"/>
          <w:lang w:val="en-US" w:eastAsia="en-US"/>
        </w:rPr>
        <w:t>9</w:t>
      </w:r>
      <w:r w:rsidR="00462EEB" w:rsidRPr="009A3C2A">
        <w:rPr>
          <w:rFonts w:ascii="Arial" w:hAnsi="Arial" w:cs="Arial"/>
          <w:sz w:val="20"/>
          <w:szCs w:val="20"/>
          <w:lang w:val="en-US" w:eastAsia="en-US"/>
        </w:rPr>
        <w:t xml:space="preserve">% </w:t>
      </w:r>
      <w:r w:rsidR="00904D21" w:rsidRPr="009A3C2A">
        <w:rPr>
          <w:rFonts w:ascii="Arial" w:hAnsi="Arial" w:cs="Arial"/>
          <w:sz w:val="20"/>
          <w:szCs w:val="20"/>
          <w:lang w:val="en-US" w:eastAsia="en-US"/>
        </w:rPr>
        <w:t xml:space="preserve">of </w:t>
      </w:r>
      <w:r w:rsidRPr="009A3C2A">
        <w:rPr>
          <w:rFonts w:ascii="Arial" w:hAnsi="Arial" w:cs="Arial"/>
          <w:sz w:val="20"/>
          <w:szCs w:val="20"/>
          <w:lang w:val="en-US" w:eastAsia="en-US"/>
        </w:rPr>
        <w:t xml:space="preserve">planned </w:t>
      </w:r>
      <w:r w:rsidR="00474BD0" w:rsidRPr="009A3C2A">
        <w:rPr>
          <w:rFonts w:ascii="Arial" w:hAnsi="Arial" w:cs="Arial"/>
          <w:sz w:val="20"/>
          <w:szCs w:val="20"/>
          <w:lang w:val="en-US" w:eastAsia="en-US"/>
        </w:rPr>
        <w:t>targets</w:t>
      </w:r>
      <w:r w:rsidR="00272840" w:rsidRPr="009A3C2A">
        <w:rPr>
          <w:rFonts w:ascii="Arial" w:hAnsi="Arial" w:cs="Arial"/>
          <w:sz w:val="20"/>
          <w:szCs w:val="20"/>
          <w:lang w:val="en-US" w:eastAsia="en-US"/>
        </w:rPr>
        <w:t xml:space="preserve"> </w:t>
      </w:r>
      <w:r w:rsidR="00904D21" w:rsidRPr="009A3C2A">
        <w:rPr>
          <w:rFonts w:ascii="Arial" w:hAnsi="Arial" w:cs="Arial"/>
          <w:sz w:val="20"/>
          <w:szCs w:val="20"/>
          <w:lang w:val="en-US" w:eastAsia="en-US"/>
        </w:rPr>
        <w:t xml:space="preserve">for </w:t>
      </w:r>
      <w:r w:rsidR="00462EEB" w:rsidRPr="009A3C2A">
        <w:rPr>
          <w:rFonts w:ascii="Arial" w:hAnsi="Arial" w:cs="Arial"/>
          <w:sz w:val="20"/>
          <w:szCs w:val="20"/>
          <w:lang w:val="en-US" w:eastAsia="en-US"/>
        </w:rPr>
        <w:t>20</w:t>
      </w:r>
      <w:r w:rsidR="00675CB7" w:rsidRPr="009A3C2A">
        <w:rPr>
          <w:rFonts w:ascii="Arial" w:hAnsi="Arial" w:cs="Arial"/>
          <w:sz w:val="20"/>
          <w:szCs w:val="20"/>
          <w:lang w:val="en-US" w:eastAsia="en-US"/>
        </w:rPr>
        <w:t>20/21</w:t>
      </w:r>
      <w:r w:rsidR="00474BD0" w:rsidRPr="009A3C2A">
        <w:rPr>
          <w:rFonts w:ascii="Arial" w:hAnsi="Arial" w:cs="Arial"/>
          <w:sz w:val="20"/>
          <w:szCs w:val="20"/>
          <w:lang w:val="en-US" w:eastAsia="en-US"/>
        </w:rPr>
        <w:t>.</w:t>
      </w:r>
      <w:r w:rsidR="00922CD1" w:rsidRPr="009A3C2A">
        <w:rPr>
          <w:rFonts w:ascii="Arial" w:hAnsi="Arial" w:cs="Arial"/>
          <w:bCs/>
          <w:sz w:val="20"/>
          <w:szCs w:val="20"/>
          <w:lang w:val="en-US"/>
        </w:rPr>
        <w:t xml:space="preserve"> </w:t>
      </w:r>
    </w:p>
    <w:p w:rsidR="00D3399C" w:rsidRPr="009A3C2A" w:rsidRDefault="00D3399C" w:rsidP="009A3C2A">
      <w:pPr>
        <w:pStyle w:val="ListParagraph"/>
        <w:ind w:left="0"/>
        <w:rPr>
          <w:rFonts w:ascii="Arial" w:hAnsi="Arial" w:cs="Arial"/>
          <w:b/>
          <w:bCs/>
          <w:sz w:val="20"/>
          <w:szCs w:val="20"/>
          <w:lang w:val="en-US"/>
        </w:rPr>
      </w:pPr>
    </w:p>
    <w:p w:rsidR="00AA5595" w:rsidRPr="009A3C2A" w:rsidRDefault="00AA5595" w:rsidP="009A3C2A">
      <w:pPr>
        <w:pStyle w:val="ListParagraph"/>
        <w:ind w:left="0"/>
        <w:rPr>
          <w:rFonts w:ascii="Arial" w:hAnsi="Arial" w:cs="Arial"/>
          <w:b/>
          <w:bCs/>
          <w:i/>
          <w:sz w:val="20"/>
          <w:szCs w:val="20"/>
          <w:lang w:val="en-US"/>
        </w:rPr>
      </w:pPr>
      <w:r w:rsidRPr="009A3C2A">
        <w:rPr>
          <w:rFonts w:ascii="Arial" w:hAnsi="Arial" w:cs="Arial"/>
          <w:b/>
          <w:bCs/>
          <w:i/>
          <w:sz w:val="20"/>
          <w:szCs w:val="20"/>
          <w:lang w:val="en-US"/>
        </w:rPr>
        <w:t xml:space="preserve">Table </w:t>
      </w:r>
      <w:r w:rsidR="005B7A46" w:rsidRPr="009A3C2A">
        <w:rPr>
          <w:rFonts w:ascii="Arial" w:hAnsi="Arial" w:cs="Arial"/>
          <w:b/>
          <w:bCs/>
          <w:i/>
          <w:sz w:val="20"/>
          <w:szCs w:val="20"/>
          <w:lang w:val="en-US"/>
        </w:rPr>
        <w:t>8</w:t>
      </w:r>
      <w:r w:rsidRPr="009A3C2A">
        <w:rPr>
          <w:rFonts w:ascii="Arial" w:hAnsi="Arial" w:cs="Arial"/>
          <w:b/>
          <w:bCs/>
          <w:i/>
          <w:sz w:val="20"/>
          <w:szCs w:val="20"/>
          <w:lang w:val="en-US"/>
        </w:rPr>
        <w:t xml:space="preserve">: Administration: </w:t>
      </w:r>
      <w:r w:rsidR="00F6583B" w:rsidRPr="009A3C2A">
        <w:rPr>
          <w:rFonts w:ascii="Arial" w:hAnsi="Arial" w:cs="Arial"/>
          <w:b/>
          <w:bCs/>
          <w:i/>
          <w:sz w:val="20"/>
          <w:szCs w:val="20"/>
          <w:lang w:val="en-US"/>
        </w:rPr>
        <w:t xml:space="preserve">Underperformance/Targets not achieved </w:t>
      </w:r>
      <w:r w:rsidR="00A328C2" w:rsidRPr="009A3C2A">
        <w:rPr>
          <w:rFonts w:ascii="Arial" w:hAnsi="Arial" w:cs="Arial"/>
          <w:b/>
          <w:bCs/>
          <w:i/>
          <w:sz w:val="20"/>
          <w:szCs w:val="20"/>
          <w:lang w:val="en-US"/>
        </w:rPr>
        <w:t>20</w:t>
      </w:r>
      <w:r w:rsidR="00F6583B" w:rsidRPr="009A3C2A">
        <w:rPr>
          <w:rFonts w:ascii="Arial" w:hAnsi="Arial" w:cs="Arial"/>
          <w:b/>
          <w:bCs/>
          <w:i/>
          <w:sz w:val="20"/>
          <w:szCs w:val="20"/>
          <w:lang w:val="en-US"/>
        </w:rPr>
        <w:t>2</w:t>
      </w:r>
      <w:r w:rsidR="00675CB7" w:rsidRPr="009A3C2A">
        <w:rPr>
          <w:rFonts w:ascii="Arial" w:hAnsi="Arial" w:cs="Arial"/>
          <w:b/>
          <w:bCs/>
          <w:i/>
          <w:sz w:val="20"/>
          <w:szCs w:val="20"/>
          <w:lang w:val="en-US"/>
        </w:rPr>
        <w:t>1/22</w:t>
      </w:r>
    </w:p>
    <w:tbl>
      <w:tblPr>
        <w:tblStyle w:val="TableGrid"/>
        <w:tblW w:w="0" w:type="auto"/>
        <w:tblLook w:val="04A0"/>
      </w:tblPr>
      <w:tblGrid>
        <w:gridCol w:w="2806"/>
        <w:gridCol w:w="4935"/>
        <w:gridCol w:w="2221"/>
      </w:tblGrid>
      <w:tr w:rsidR="00675CB7" w:rsidRPr="009A3C2A" w:rsidTr="00675CB7">
        <w:trPr>
          <w:tblHeader/>
        </w:trPr>
        <w:tc>
          <w:tcPr>
            <w:tcW w:w="0" w:type="auto"/>
            <w:shd w:val="clear" w:color="auto" w:fill="D9D9D9" w:themeFill="background1" w:themeFillShade="D9"/>
          </w:tcPr>
          <w:p w:rsidR="00675CB7" w:rsidRPr="009A3C2A" w:rsidRDefault="00675CB7" w:rsidP="009A3C2A">
            <w:pPr>
              <w:autoSpaceDE w:val="0"/>
              <w:autoSpaceDN w:val="0"/>
              <w:adjustRightInd w:val="0"/>
              <w:rPr>
                <w:rFonts w:ascii="Arial" w:hAnsi="Arial" w:cs="Arial"/>
                <w:b/>
                <w:bCs/>
                <w:sz w:val="20"/>
                <w:szCs w:val="20"/>
                <w:lang w:val="en-ZA" w:eastAsia="en-ZA"/>
              </w:rPr>
            </w:pPr>
            <w:r w:rsidRPr="009A3C2A">
              <w:rPr>
                <w:rFonts w:ascii="Arial" w:hAnsi="Arial" w:cs="Arial"/>
                <w:b/>
                <w:bCs/>
                <w:sz w:val="20"/>
                <w:szCs w:val="20"/>
                <w:lang w:val="en-ZA" w:eastAsia="en-ZA"/>
              </w:rPr>
              <w:t>Performance Indicator</w:t>
            </w:r>
          </w:p>
        </w:tc>
        <w:tc>
          <w:tcPr>
            <w:tcW w:w="0" w:type="auto"/>
            <w:shd w:val="clear" w:color="auto" w:fill="D9D9D9" w:themeFill="background1" w:themeFillShade="D9"/>
          </w:tcPr>
          <w:p w:rsidR="00675CB7" w:rsidRPr="009A3C2A" w:rsidRDefault="00675CB7" w:rsidP="009A3C2A">
            <w:pPr>
              <w:autoSpaceDE w:val="0"/>
              <w:autoSpaceDN w:val="0"/>
              <w:adjustRightInd w:val="0"/>
              <w:rPr>
                <w:rFonts w:ascii="Arial" w:hAnsi="Arial" w:cs="Arial"/>
                <w:b/>
                <w:sz w:val="20"/>
                <w:szCs w:val="20"/>
                <w:lang w:val="en-ZA" w:eastAsia="en-ZA"/>
              </w:rPr>
            </w:pPr>
            <w:r w:rsidRPr="009A3C2A">
              <w:rPr>
                <w:rFonts w:ascii="Arial" w:hAnsi="Arial" w:cs="Arial"/>
                <w:b/>
                <w:sz w:val="20"/>
                <w:szCs w:val="20"/>
                <w:lang w:val="en-ZA" w:eastAsia="en-ZA"/>
              </w:rPr>
              <w:t>Performance 2021/22</w:t>
            </w:r>
          </w:p>
        </w:tc>
        <w:tc>
          <w:tcPr>
            <w:tcW w:w="0" w:type="auto"/>
            <w:shd w:val="clear" w:color="auto" w:fill="D9D9D9" w:themeFill="background1" w:themeFillShade="D9"/>
          </w:tcPr>
          <w:p w:rsidR="00675CB7" w:rsidRPr="009A3C2A" w:rsidRDefault="00675CB7" w:rsidP="009A3C2A">
            <w:pPr>
              <w:autoSpaceDE w:val="0"/>
              <w:autoSpaceDN w:val="0"/>
              <w:adjustRightInd w:val="0"/>
              <w:rPr>
                <w:rFonts w:ascii="Arial" w:hAnsi="Arial" w:cs="Arial"/>
                <w:b/>
                <w:sz w:val="20"/>
                <w:szCs w:val="20"/>
                <w:lang w:val="en-ZA" w:eastAsia="en-ZA"/>
              </w:rPr>
            </w:pPr>
            <w:r w:rsidRPr="009A3C2A">
              <w:rPr>
                <w:rFonts w:ascii="Arial" w:hAnsi="Arial" w:cs="Arial"/>
                <w:b/>
                <w:sz w:val="20"/>
                <w:szCs w:val="20"/>
                <w:lang w:val="en-ZA" w:eastAsia="en-ZA"/>
              </w:rPr>
              <w:t xml:space="preserve">Performance </w:t>
            </w:r>
          </w:p>
          <w:p w:rsidR="00675CB7" w:rsidRPr="009A3C2A" w:rsidRDefault="00675CB7" w:rsidP="009A3C2A">
            <w:pPr>
              <w:autoSpaceDE w:val="0"/>
              <w:autoSpaceDN w:val="0"/>
              <w:adjustRightInd w:val="0"/>
              <w:rPr>
                <w:rFonts w:ascii="Arial" w:hAnsi="Arial" w:cs="Arial"/>
                <w:b/>
                <w:sz w:val="20"/>
                <w:szCs w:val="20"/>
                <w:lang w:val="en-ZA" w:eastAsia="en-ZA"/>
              </w:rPr>
            </w:pPr>
            <w:r w:rsidRPr="009A3C2A">
              <w:rPr>
                <w:rFonts w:ascii="Arial" w:hAnsi="Arial" w:cs="Arial"/>
                <w:b/>
                <w:sz w:val="20"/>
                <w:szCs w:val="20"/>
                <w:lang w:val="en-ZA" w:eastAsia="en-ZA"/>
              </w:rPr>
              <w:t>2020/21</w:t>
            </w:r>
          </w:p>
        </w:tc>
      </w:tr>
      <w:tr w:rsidR="00675CB7" w:rsidRPr="009A3C2A" w:rsidTr="00675CB7">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Percentage of women representation in SMS</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20 of 42 or 48% (Target 50%)</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 xml:space="preserve">19 of 43 or 44% </w:t>
            </w:r>
          </w:p>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(Target 50%)</w:t>
            </w:r>
          </w:p>
        </w:tc>
      </w:tr>
      <w:tr w:rsidR="00675CB7" w:rsidRPr="009A3C2A" w:rsidTr="00675CB7">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Percentage of people with disabilities representation in Department</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19 of 2 040 or 1%</w:t>
            </w:r>
          </w:p>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(Target 2%)</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 xml:space="preserve">20 of 1 929 or 1.03% </w:t>
            </w:r>
          </w:p>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(Target 2%)</w:t>
            </w:r>
          </w:p>
        </w:tc>
      </w:tr>
      <w:tr w:rsidR="00675CB7" w:rsidRPr="009A3C2A" w:rsidTr="00675CB7">
        <w:tc>
          <w:tcPr>
            <w:tcW w:w="0" w:type="auto"/>
          </w:tcPr>
          <w:p w:rsidR="00675CB7" w:rsidRPr="009A3C2A" w:rsidRDefault="00675CB7" w:rsidP="009A3C2A">
            <w:pPr>
              <w:autoSpaceDE w:val="0"/>
              <w:autoSpaceDN w:val="0"/>
              <w:adjustRightInd w:val="0"/>
              <w:rPr>
                <w:rFonts w:ascii="Arial" w:hAnsi="Arial" w:cs="Arial"/>
                <w:iCs/>
                <w:sz w:val="20"/>
                <w:szCs w:val="20"/>
                <w:lang w:val="en-ZA" w:eastAsia="en-ZA"/>
              </w:rPr>
            </w:pPr>
            <w:r w:rsidRPr="009A3C2A">
              <w:rPr>
                <w:rFonts w:ascii="Arial" w:hAnsi="Arial" w:cs="Arial"/>
                <w:iCs/>
                <w:sz w:val="20"/>
                <w:szCs w:val="20"/>
                <w:lang w:val="en-ZA" w:eastAsia="en-ZA"/>
              </w:rPr>
              <w:t>Caselines system implemented in 2 service centres</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US" w:eastAsia="en-ZA"/>
              </w:rPr>
              <w:t>Court Online system not rolled out at 2 Service Centres (as per target)</w:t>
            </w:r>
          </w:p>
          <w:p w:rsidR="005B7A46" w:rsidRPr="009A3C2A" w:rsidRDefault="00675CB7" w:rsidP="009A3C2A">
            <w:pPr>
              <w:autoSpaceDE w:val="0"/>
              <w:autoSpaceDN w:val="0"/>
              <w:adjustRightInd w:val="0"/>
              <w:rPr>
                <w:rFonts w:ascii="Arial" w:hAnsi="Arial" w:cs="Arial"/>
                <w:sz w:val="20"/>
                <w:szCs w:val="20"/>
                <w:lang w:val="en-US" w:eastAsia="en-ZA"/>
              </w:rPr>
            </w:pPr>
            <w:r w:rsidRPr="009A3C2A">
              <w:rPr>
                <w:rFonts w:ascii="Arial" w:hAnsi="Arial" w:cs="Arial"/>
                <w:sz w:val="20"/>
                <w:szCs w:val="20"/>
                <w:lang w:val="en-ZA" w:eastAsia="en-ZA"/>
              </w:rPr>
              <w:t>(</w:t>
            </w:r>
            <w:r w:rsidRPr="009A3C2A">
              <w:rPr>
                <w:rFonts w:ascii="Arial" w:hAnsi="Arial" w:cs="Arial"/>
                <w:sz w:val="20"/>
                <w:szCs w:val="20"/>
                <w:lang w:val="en-US" w:eastAsia="en-ZA"/>
              </w:rPr>
              <w:t xml:space="preserve">The showstopper defect that delayed the piloting of the Court Online system has been resolved and UAT was successful and signed off. </w:t>
            </w:r>
          </w:p>
          <w:p w:rsidR="005B7A46" w:rsidRPr="009A3C2A" w:rsidRDefault="00675CB7" w:rsidP="009A3C2A">
            <w:pPr>
              <w:autoSpaceDE w:val="0"/>
              <w:autoSpaceDN w:val="0"/>
              <w:adjustRightInd w:val="0"/>
              <w:rPr>
                <w:rFonts w:ascii="Arial" w:hAnsi="Arial" w:cs="Arial"/>
                <w:sz w:val="20"/>
                <w:szCs w:val="20"/>
                <w:lang w:val="en-US" w:eastAsia="en-ZA"/>
              </w:rPr>
            </w:pPr>
            <w:r w:rsidRPr="009A3C2A">
              <w:rPr>
                <w:rFonts w:ascii="Arial" w:hAnsi="Arial" w:cs="Arial"/>
                <w:sz w:val="20"/>
                <w:szCs w:val="20"/>
                <w:lang w:val="en-US" w:eastAsia="en-ZA"/>
              </w:rPr>
              <w:t>The Court Online pilot commenced at Gauteng Local Division, Johannesburg on 29 March 2022 and the Gauteng Main Division, Pretoria on 4 April 2022.</w:t>
            </w:r>
          </w:p>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US" w:eastAsia="en-ZA"/>
              </w:rPr>
              <w:t>It is envisaged that Court Online will be rolled out at these two Service Centres during the First Quarter of 2022/2023.</w:t>
            </w:r>
            <w:r w:rsidR="005B7A46" w:rsidRPr="009A3C2A">
              <w:rPr>
                <w:rFonts w:ascii="Arial" w:hAnsi="Arial" w:cs="Arial"/>
                <w:sz w:val="20"/>
                <w:szCs w:val="20"/>
                <w:lang w:val="en-US" w:eastAsia="en-ZA"/>
              </w:rPr>
              <w:t>)</w:t>
            </w:r>
          </w:p>
        </w:tc>
        <w:tc>
          <w:tcPr>
            <w:tcW w:w="0" w:type="auto"/>
          </w:tcPr>
          <w:p w:rsidR="00675CB7" w:rsidRPr="009A3C2A" w:rsidRDefault="00675CB7" w:rsidP="009A3C2A">
            <w:pPr>
              <w:autoSpaceDE w:val="0"/>
              <w:autoSpaceDN w:val="0"/>
              <w:adjustRightInd w:val="0"/>
              <w:rPr>
                <w:rFonts w:ascii="Arial" w:hAnsi="Arial" w:cs="Arial"/>
                <w:sz w:val="20"/>
                <w:szCs w:val="20"/>
                <w:lang w:val="en-ZA" w:eastAsia="en-ZA"/>
              </w:rPr>
            </w:pPr>
            <w:r w:rsidRPr="009A3C2A">
              <w:rPr>
                <w:rFonts w:ascii="Arial" w:hAnsi="Arial" w:cs="Arial"/>
                <w:sz w:val="20"/>
                <w:szCs w:val="20"/>
                <w:lang w:val="en-ZA" w:eastAsia="en-ZA"/>
              </w:rPr>
              <w:t>Caselines system piloted at 2 service centres</w:t>
            </w:r>
          </w:p>
        </w:tc>
      </w:tr>
    </w:tbl>
    <w:p w:rsidR="007359A6" w:rsidRPr="009A3C2A" w:rsidRDefault="007359A6" w:rsidP="009A3C2A">
      <w:pPr>
        <w:pStyle w:val="ListParagraph"/>
        <w:autoSpaceDE w:val="0"/>
        <w:autoSpaceDN w:val="0"/>
        <w:adjustRightInd w:val="0"/>
        <w:rPr>
          <w:rFonts w:ascii="Arial" w:hAnsi="Arial" w:cs="Arial"/>
          <w:sz w:val="20"/>
          <w:szCs w:val="20"/>
          <w:lang w:val="en-US" w:eastAsia="en-US"/>
        </w:rPr>
      </w:pPr>
    </w:p>
    <w:p w:rsidR="003D7013" w:rsidRPr="009A3C2A" w:rsidRDefault="003D7013" w:rsidP="009A3C2A">
      <w:pPr>
        <w:pStyle w:val="ListParagraph"/>
        <w:numPr>
          <w:ilvl w:val="1"/>
          <w:numId w:val="1"/>
        </w:numPr>
        <w:autoSpaceDE w:val="0"/>
        <w:autoSpaceDN w:val="0"/>
        <w:adjustRightInd w:val="0"/>
        <w:ind w:left="851" w:hanging="851"/>
        <w:rPr>
          <w:rFonts w:ascii="Arial" w:hAnsi="Arial" w:cs="Arial"/>
          <w:b/>
          <w:sz w:val="20"/>
          <w:szCs w:val="20"/>
          <w:lang w:val="en-US" w:eastAsia="en-US"/>
        </w:rPr>
      </w:pPr>
      <w:r w:rsidRPr="009A3C2A">
        <w:rPr>
          <w:rFonts w:ascii="Arial" w:hAnsi="Arial" w:cs="Arial"/>
          <w:b/>
          <w:sz w:val="20"/>
          <w:szCs w:val="20"/>
          <w:lang w:val="en-US" w:eastAsia="en-US"/>
        </w:rPr>
        <w:t xml:space="preserve">Programme 2: </w:t>
      </w:r>
      <w:r w:rsidR="007269DA" w:rsidRPr="009A3C2A">
        <w:rPr>
          <w:rFonts w:ascii="Arial" w:hAnsi="Arial" w:cs="Arial"/>
          <w:b/>
          <w:bCs/>
          <w:sz w:val="20"/>
          <w:szCs w:val="20"/>
          <w:lang w:val="en-US"/>
        </w:rPr>
        <w:t>Superior Court Services</w:t>
      </w:r>
    </w:p>
    <w:p w:rsidR="003D7013" w:rsidRPr="009A3C2A" w:rsidRDefault="003D7013" w:rsidP="009A3C2A">
      <w:pPr>
        <w:autoSpaceDE w:val="0"/>
        <w:autoSpaceDN w:val="0"/>
        <w:adjustRightInd w:val="0"/>
        <w:ind w:left="720"/>
        <w:rPr>
          <w:rFonts w:ascii="Arial" w:hAnsi="Arial" w:cs="Arial"/>
          <w:b/>
          <w:sz w:val="20"/>
          <w:szCs w:val="20"/>
          <w:lang w:val="en-US" w:eastAsia="en-US"/>
        </w:rPr>
      </w:pPr>
    </w:p>
    <w:p w:rsidR="0062736A" w:rsidRPr="009A3C2A" w:rsidRDefault="0062736A" w:rsidP="009A3C2A">
      <w:pPr>
        <w:pStyle w:val="ListParagraph"/>
        <w:numPr>
          <w:ilvl w:val="2"/>
          <w:numId w:val="36"/>
        </w:numPr>
        <w:autoSpaceDE w:val="0"/>
        <w:autoSpaceDN w:val="0"/>
        <w:adjustRightInd w:val="0"/>
        <w:ind w:left="851" w:hanging="851"/>
        <w:rPr>
          <w:rFonts w:ascii="Arial" w:hAnsi="Arial" w:cs="Arial"/>
          <w:bCs/>
          <w:sz w:val="20"/>
          <w:szCs w:val="20"/>
          <w:lang w:val="en-US"/>
        </w:rPr>
      </w:pPr>
      <w:r w:rsidRPr="009A3C2A">
        <w:rPr>
          <w:rFonts w:ascii="Arial" w:hAnsi="Arial" w:cs="Arial"/>
          <w:bCs/>
          <w:sz w:val="20"/>
          <w:szCs w:val="20"/>
          <w:lang w:val="en-US"/>
        </w:rPr>
        <w:t xml:space="preserve">This programme provides judicial support and court administration services to the Superior Courts. The programme consists of the following sub-programmes:  </w:t>
      </w:r>
    </w:p>
    <w:p w:rsidR="0062736A" w:rsidRPr="009A3C2A" w:rsidRDefault="0062736A"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Administration of Superior Courts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provides administrative and technical support to the Superior Courts, monitors the overall performance of the Superior Courts, and enhances judicial stakeholder relations.   </w:t>
      </w:r>
    </w:p>
    <w:p w:rsidR="0062736A" w:rsidRPr="009A3C2A" w:rsidRDefault="0062736A"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Constitutional Court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funds the activities and operations of the Constitutional Court.</w:t>
      </w:r>
    </w:p>
    <w:p w:rsidR="0062736A" w:rsidRPr="009A3C2A" w:rsidRDefault="0062736A"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Supreme Court of Appeal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funds the activities and operations of the Supreme Court of Appeal. </w:t>
      </w:r>
    </w:p>
    <w:p w:rsidR="0062736A" w:rsidRPr="009A3C2A" w:rsidRDefault="0062736A"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The High Courts’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funds the activities and operations of the various high court divisions. </w:t>
      </w:r>
    </w:p>
    <w:p w:rsidR="0062736A" w:rsidRPr="009A3C2A" w:rsidRDefault="0062736A" w:rsidP="009A3C2A">
      <w:pPr>
        <w:pStyle w:val="ListParagraph"/>
        <w:numPr>
          <w:ilvl w:val="0"/>
          <w:numId w:val="7"/>
        </w:numPr>
        <w:autoSpaceDE w:val="0"/>
        <w:autoSpaceDN w:val="0"/>
        <w:adjustRightInd w:val="0"/>
        <w:ind w:left="1418" w:hanging="567"/>
        <w:rPr>
          <w:rFonts w:ascii="Arial" w:hAnsi="Arial" w:cs="Arial"/>
          <w:bCs/>
          <w:sz w:val="20"/>
          <w:szCs w:val="20"/>
          <w:lang w:val="en-US"/>
        </w:rPr>
      </w:pPr>
      <w:r w:rsidRPr="009A3C2A">
        <w:rPr>
          <w:rFonts w:ascii="Arial" w:hAnsi="Arial" w:cs="Arial"/>
          <w:sz w:val="20"/>
          <w:szCs w:val="20"/>
          <w:lang w:val="en-US"/>
        </w:rPr>
        <w:lastRenderedPageBreak/>
        <w:t xml:space="preserve">The Specialized Courts </w:t>
      </w:r>
      <w:r w:rsidR="00B10CDD" w:rsidRPr="009A3C2A">
        <w:rPr>
          <w:rFonts w:ascii="Arial" w:hAnsi="Arial" w:cs="Arial"/>
          <w:sz w:val="20"/>
          <w:szCs w:val="20"/>
          <w:lang w:val="en-US"/>
        </w:rPr>
        <w:t>sub-programme</w:t>
      </w:r>
      <w:r w:rsidRPr="009A3C2A">
        <w:rPr>
          <w:rFonts w:ascii="Arial" w:hAnsi="Arial" w:cs="Arial"/>
          <w:sz w:val="20"/>
          <w:szCs w:val="20"/>
          <w:lang w:val="en-US"/>
        </w:rPr>
        <w:t xml:space="preserve"> funds the activities and operations of the labour, land, electoral</w:t>
      </w:r>
      <w:r w:rsidRPr="009A3C2A">
        <w:rPr>
          <w:rFonts w:ascii="Arial" w:hAnsi="Arial" w:cs="Arial"/>
          <w:bCs/>
          <w:sz w:val="20"/>
          <w:szCs w:val="20"/>
          <w:lang w:val="en-US"/>
        </w:rPr>
        <w:t xml:space="preserve"> and competition courts. </w:t>
      </w:r>
    </w:p>
    <w:p w:rsidR="0062736A" w:rsidRPr="009A3C2A" w:rsidRDefault="0062736A" w:rsidP="009A3C2A">
      <w:pPr>
        <w:pStyle w:val="ListParagraph"/>
        <w:ind w:left="0"/>
        <w:rPr>
          <w:rFonts w:ascii="Arial" w:hAnsi="Arial" w:cs="Arial"/>
          <w:bCs/>
          <w:sz w:val="20"/>
          <w:szCs w:val="20"/>
          <w:lang w:val="en-US"/>
        </w:rPr>
      </w:pPr>
    </w:p>
    <w:p w:rsidR="00A21AA0" w:rsidRPr="009A3C2A" w:rsidRDefault="00A21AA0" w:rsidP="009A3C2A">
      <w:pPr>
        <w:pStyle w:val="ListParagraph"/>
        <w:numPr>
          <w:ilvl w:val="2"/>
          <w:numId w:val="36"/>
        </w:numPr>
        <w:autoSpaceDE w:val="0"/>
        <w:autoSpaceDN w:val="0"/>
        <w:adjustRightInd w:val="0"/>
        <w:ind w:left="851" w:hanging="851"/>
        <w:rPr>
          <w:rFonts w:ascii="Arial" w:hAnsi="Arial" w:cs="Arial"/>
          <w:bCs/>
          <w:sz w:val="20"/>
          <w:szCs w:val="20"/>
          <w:lang w:val="en-US"/>
        </w:rPr>
      </w:pPr>
      <w:r w:rsidRPr="009A3C2A">
        <w:rPr>
          <w:rFonts w:ascii="Arial" w:hAnsi="Arial" w:cs="Arial"/>
          <w:bCs/>
          <w:sz w:val="20"/>
          <w:szCs w:val="20"/>
          <w:lang w:val="en-US"/>
        </w:rPr>
        <w:t xml:space="preserve">The programme achieved </w:t>
      </w:r>
      <w:r w:rsidR="00F6583B" w:rsidRPr="009A3C2A">
        <w:rPr>
          <w:rFonts w:ascii="Arial" w:hAnsi="Arial" w:cs="Arial"/>
          <w:bCs/>
          <w:sz w:val="20"/>
          <w:szCs w:val="20"/>
          <w:lang w:val="en-US"/>
        </w:rPr>
        <w:t xml:space="preserve">all six or 100% of planned targets for </w:t>
      </w:r>
      <w:r w:rsidR="00675CB7" w:rsidRPr="009A3C2A">
        <w:rPr>
          <w:rFonts w:ascii="Arial" w:hAnsi="Arial" w:cs="Arial"/>
          <w:bCs/>
          <w:sz w:val="20"/>
          <w:szCs w:val="20"/>
          <w:lang w:val="en-US"/>
        </w:rPr>
        <w:t xml:space="preserve">2021/22, as was the case in </w:t>
      </w:r>
      <w:r w:rsidR="00F6583B" w:rsidRPr="009A3C2A">
        <w:rPr>
          <w:rFonts w:ascii="Arial" w:hAnsi="Arial" w:cs="Arial"/>
          <w:bCs/>
          <w:sz w:val="20"/>
          <w:szCs w:val="20"/>
          <w:lang w:val="en-US"/>
        </w:rPr>
        <w:t>2020/21</w:t>
      </w:r>
      <w:r w:rsidR="00675CB7" w:rsidRPr="009A3C2A">
        <w:rPr>
          <w:rFonts w:ascii="Arial" w:hAnsi="Arial" w:cs="Arial"/>
          <w:bCs/>
          <w:sz w:val="20"/>
          <w:szCs w:val="20"/>
          <w:lang w:val="en-US"/>
        </w:rPr>
        <w:t>.</w:t>
      </w:r>
      <w:r w:rsidR="00F6583B" w:rsidRPr="009A3C2A">
        <w:rPr>
          <w:rFonts w:ascii="Arial" w:hAnsi="Arial" w:cs="Arial"/>
          <w:bCs/>
          <w:sz w:val="20"/>
          <w:szCs w:val="20"/>
          <w:lang w:val="en-US"/>
        </w:rPr>
        <w:t xml:space="preserve"> </w:t>
      </w:r>
    </w:p>
    <w:p w:rsidR="000A59B6" w:rsidRPr="009A3C2A" w:rsidRDefault="000A59B6" w:rsidP="009A3C2A">
      <w:pPr>
        <w:pStyle w:val="ListParagraph"/>
        <w:rPr>
          <w:rFonts w:ascii="Arial" w:hAnsi="Arial" w:cs="Arial"/>
          <w:bCs/>
          <w:sz w:val="20"/>
          <w:szCs w:val="20"/>
          <w:lang w:val="en-US"/>
        </w:rPr>
      </w:pPr>
    </w:p>
    <w:p w:rsidR="003D7013" w:rsidRPr="009A3C2A" w:rsidRDefault="003D7013" w:rsidP="009A3C2A">
      <w:pPr>
        <w:pStyle w:val="ListParagraph"/>
        <w:numPr>
          <w:ilvl w:val="1"/>
          <w:numId w:val="1"/>
        </w:numPr>
        <w:autoSpaceDE w:val="0"/>
        <w:autoSpaceDN w:val="0"/>
        <w:adjustRightInd w:val="0"/>
        <w:ind w:left="851" w:hanging="851"/>
        <w:rPr>
          <w:rFonts w:ascii="Arial" w:hAnsi="Arial" w:cs="Arial"/>
          <w:b/>
          <w:sz w:val="20"/>
          <w:szCs w:val="20"/>
          <w:lang w:val="en-US" w:eastAsia="en-US"/>
        </w:rPr>
      </w:pPr>
      <w:r w:rsidRPr="009A3C2A">
        <w:rPr>
          <w:rFonts w:ascii="Arial" w:hAnsi="Arial" w:cs="Arial"/>
          <w:b/>
          <w:sz w:val="20"/>
          <w:szCs w:val="20"/>
          <w:lang w:val="en-US" w:eastAsia="en-US"/>
        </w:rPr>
        <w:t>Programme 3: Judicial Educat</w:t>
      </w:r>
      <w:r w:rsidR="00474BD0" w:rsidRPr="009A3C2A">
        <w:rPr>
          <w:rFonts w:ascii="Arial" w:hAnsi="Arial" w:cs="Arial"/>
          <w:b/>
          <w:sz w:val="20"/>
          <w:szCs w:val="20"/>
          <w:lang w:val="en-US" w:eastAsia="en-US"/>
        </w:rPr>
        <w:t>ion and Support</w:t>
      </w:r>
    </w:p>
    <w:p w:rsidR="003D7013" w:rsidRPr="009A3C2A" w:rsidRDefault="003D7013" w:rsidP="009A3C2A">
      <w:pPr>
        <w:autoSpaceDE w:val="0"/>
        <w:autoSpaceDN w:val="0"/>
        <w:adjustRightInd w:val="0"/>
        <w:ind w:left="720"/>
        <w:rPr>
          <w:rFonts w:ascii="Arial" w:hAnsi="Arial" w:cs="Arial"/>
          <w:b/>
          <w:sz w:val="20"/>
          <w:szCs w:val="20"/>
          <w:lang w:val="en-US" w:eastAsia="en-US"/>
        </w:rPr>
      </w:pPr>
    </w:p>
    <w:p w:rsidR="00203287" w:rsidRPr="009A3C2A" w:rsidRDefault="00203287" w:rsidP="009A3C2A">
      <w:pPr>
        <w:pStyle w:val="ListParagraph"/>
        <w:numPr>
          <w:ilvl w:val="2"/>
          <w:numId w:val="37"/>
        </w:numPr>
        <w:autoSpaceDE w:val="0"/>
        <w:autoSpaceDN w:val="0"/>
        <w:adjustRightInd w:val="0"/>
        <w:ind w:left="851" w:hanging="851"/>
        <w:rPr>
          <w:rFonts w:ascii="Arial" w:hAnsi="Arial" w:cs="Arial"/>
          <w:bCs/>
          <w:sz w:val="20"/>
          <w:szCs w:val="20"/>
          <w:lang w:val="en-US"/>
        </w:rPr>
      </w:pPr>
      <w:r w:rsidRPr="009A3C2A">
        <w:rPr>
          <w:rFonts w:ascii="Arial" w:hAnsi="Arial" w:cs="Arial"/>
          <w:bCs/>
          <w:sz w:val="20"/>
          <w:szCs w:val="20"/>
          <w:lang w:val="en-US"/>
        </w:rPr>
        <w:t xml:space="preserve">Judicial Education and Support provides education programmes to Judicial Officers, including policy development and research services for the optimal administration of justice. </w:t>
      </w:r>
    </w:p>
    <w:p w:rsidR="00203287" w:rsidRPr="009A3C2A" w:rsidRDefault="00203287" w:rsidP="009A3C2A">
      <w:pPr>
        <w:ind w:left="720"/>
        <w:rPr>
          <w:rFonts w:ascii="Arial" w:hAnsi="Arial" w:cs="Arial"/>
          <w:bCs/>
          <w:sz w:val="20"/>
          <w:szCs w:val="20"/>
          <w:lang w:val="en-US"/>
        </w:rPr>
      </w:pPr>
    </w:p>
    <w:p w:rsidR="00203287" w:rsidRPr="009A3C2A" w:rsidRDefault="00203287" w:rsidP="009A3C2A">
      <w:pPr>
        <w:pStyle w:val="ListParagraph"/>
        <w:numPr>
          <w:ilvl w:val="2"/>
          <w:numId w:val="37"/>
        </w:numPr>
        <w:autoSpaceDE w:val="0"/>
        <w:autoSpaceDN w:val="0"/>
        <w:adjustRightInd w:val="0"/>
        <w:ind w:left="851" w:hanging="851"/>
        <w:rPr>
          <w:rFonts w:ascii="Arial" w:hAnsi="Arial" w:cs="Arial"/>
          <w:bCs/>
          <w:sz w:val="20"/>
          <w:szCs w:val="20"/>
          <w:lang w:val="en-US"/>
        </w:rPr>
      </w:pPr>
      <w:r w:rsidRPr="009A3C2A">
        <w:rPr>
          <w:rFonts w:ascii="Arial" w:hAnsi="Arial" w:cs="Arial"/>
          <w:bCs/>
          <w:sz w:val="20"/>
          <w:szCs w:val="20"/>
          <w:lang w:val="en-US"/>
        </w:rPr>
        <w:t xml:space="preserve">The programme has the following sub-programmes:  </w:t>
      </w:r>
    </w:p>
    <w:p w:rsidR="00203287" w:rsidRPr="009A3C2A" w:rsidRDefault="00203287"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South African Judicial Education Institute sub</w:t>
      </w:r>
      <w:r w:rsidR="006566EE" w:rsidRPr="009A3C2A">
        <w:rPr>
          <w:rFonts w:ascii="Arial" w:hAnsi="Arial" w:cs="Arial"/>
          <w:sz w:val="20"/>
          <w:szCs w:val="20"/>
          <w:lang w:val="en-US"/>
        </w:rPr>
        <w:t>-</w:t>
      </w:r>
      <w:r w:rsidRPr="009A3C2A">
        <w:rPr>
          <w:rFonts w:ascii="Arial" w:hAnsi="Arial" w:cs="Arial"/>
          <w:sz w:val="20"/>
          <w:szCs w:val="20"/>
          <w:lang w:val="en-US"/>
        </w:rPr>
        <w:t>programme funds the activities of the SAJEI to provide training for Judicial Officers.</w:t>
      </w:r>
    </w:p>
    <w:p w:rsidR="00203287" w:rsidRPr="009A3C2A" w:rsidRDefault="00203287"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The Judicial Policy, Research and Support sub</w:t>
      </w:r>
      <w:r w:rsidR="006566EE" w:rsidRPr="009A3C2A">
        <w:rPr>
          <w:rFonts w:ascii="Arial" w:hAnsi="Arial" w:cs="Arial"/>
          <w:sz w:val="20"/>
          <w:szCs w:val="20"/>
          <w:lang w:val="en-US"/>
        </w:rPr>
        <w:t>-</w:t>
      </w:r>
      <w:r w:rsidRPr="009A3C2A">
        <w:rPr>
          <w:rFonts w:ascii="Arial" w:hAnsi="Arial" w:cs="Arial"/>
          <w:sz w:val="20"/>
          <w:szCs w:val="20"/>
          <w:lang w:val="en-US"/>
        </w:rPr>
        <w:t>programme funds the provision of advisory opinions on policy development and regulatory services to the Judiciary and the Department.</w:t>
      </w:r>
    </w:p>
    <w:p w:rsidR="00203287" w:rsidRPr="009A3C2A" w:rsidRDefault="00203287" w:rsidP="009A3C2A">
      <w:pPr>
        <w:pStyle w:val="ListParagraph"/>
        <w:numPr>
          <w:ilvl w:val="0"/>
          <w:numId w:val="7"/>
        </w:numPr>
        <w:autoSpaceDE w:val="0"/>
        <w:autoSpaceDN w:val="0"/>
        <w:adjustRightInd w:val="0"/>
        <w:ind w:left="1418" w:hanging="567"/>
        <w:rPr>
          <w:rFonts w:ascii="Arial" w:hAnsi="Arial" w:cs="Arial"/>
          <w:bCs/>
          <w:sz w:val="20"/>
          <w:szCs w:val="20"/>
          <w:lang w:val="en-US"/>
        </w:rPr>
      </w:pPr>
      <w:r w:rsidRPr="009A3C2A">
        <w:rPr>
          <w:rFonts w:ascii="Arial" w:hAnsi="Arial" w:cs="Arial"/>
          <w:sz w:val="20"/>
          <w:szCs w:val="20"/>
          <w:lang w:val="en-US"/>
        </w:rPr>
        <w:t>The Judicial Service Commission sub</w:t>
      </w:r>
      <w:r w:rsidR="006566EE" w:rsidRPr="009A3C2A">
        <w:rPr>
          <w:rFonts w:ascii="Arial" w:hAnsi="Arial" w:cs="Arial"/>
          <w:sz w:val="20"/>
          <w:szCs w:val="20"/>
          <w:lang w:val="en-US"/>
        </w:rPr>
        <w:t>-</w:t>
      </w:r>
      <w:r w:rsidRPr="009A3C2A">
        <w:rPr>
          <w:rFonts w:ascii="Arial" w:hAnsi="Arial" w:cs="Arial"/>
          <w:sz w:val="20"/>
          <w:szCs w:val="20"/>
          <w:lang w:val="en-US"/>
        </w:rPr>
        <w:t>programme provides secretariat and administrative support services to the Judicial Service Commission to perform its constitutional and legisl</w:t>
      </w:r>
      <w:r w:rsidRPr="009A3C2A">
        <w:rPr>
          <w:rFonts w:ascii="Arial" w:hAnsi="Arial" w:cs="Arial"/>
          <w:bCs/>
          <w:sz w:val="20"/>
          <w:szCs w:val="20"/>
          <w:lang w:val="en-US"/>
        </w:rPr>
        <w:t>ative mandates</w:t>
      </w:r>
      <w:r w:rsidR="00D326EB" w:rsidRPr="009A3C2A">
        <w:rPr>
          <w:rFonts w:ascii="Arial" w:hAnsi="Arial" w:cs="Arial"/>
          <w:bCs/>
          <w:sz w:val="20"/>
          <w:szCs w:val="20"/>
          <w:lang w:val="en-US"/>
        </w:rPr>
        <w:t xml:space="preserve"> effectively</w:t>
      </w:r>
      <w:r w:rsidRPr="009A3C2A">
        <w:rPr>
          <w:rFonts w:ascii="Arial" w:hAnsi="Arial" w:cs="Arial"/>
          <w:bCs/>
          <w:sz w:val="20"/>
          <w:szCs w:val="20"/>
          <w:lang w:val="en-US"/>
        </w:rPr>
        <w:t>.</w:t>
      </w:r>
    </w:p>
    <w:p w:rsidR="003D7013" w:rsidRPr="009A3C2A" w:rsidRDefault="003D7013" w:rsidP="009A3C2A">
      <w:pPr>
        <w:ind w:left="720"/>
        <w:rPr>
          <w:rFonts w:ascii="Arial" w:hAnsi="Arial" w:cs="Arial"/>
          <w:b/>
          <w:bCs/>
          <w:sz w:val="20"/>
          <w:szCs w:val="20"/>
          <w:lang w:val="en-US"/>
        </w:rPr>
      </w:pPr>
    </w:p>
    <w:p w:rsidR="003D7013" w:rsidRPr="009A3C2A" w:rsidRDefault="00474BD0" w:rsidP="009A3C2A">
      <w:pPr>
        <w:pStyle w:val="ListParagraph"/>
        <w:numPr>
          <w:ilvl w:val="2"/>
          <w:numId w:val="37"/>
        </w:numPr>
        <w:autoSpaceDE w:val="0"/>
        <w:autoSpaceDN w:val="0"/>
        <w:adjustRightInd w:val="0"/>
        <w:ind w:left="851" w:hanging="851"/>
        <w:rPr>
          <w:rFonts w:ascii="Arial" w:hAnsi="Arial" w:cs="Arial"/>
          <w:bCs/>
          <w:sz w:val="20"/>
          <w:szCs w:val="20"/>
          <w:lang w:val="en-US"/>
        </w:rPr>
      </w:pPr>
      <w:r w:rsidRPr="009A3C2A">
        <w:rPr>
          <w:rFonts w:ascii="Arial" w:hAnsi="Arial" w:cs="Arial"/>
          <w:bCs/>
          <w:sz w:val="20"/>
          <w:szCs w:val="20"/>
          <w:lang w:val="en-US"/>
        </w:rPr>
        <w:t>T</w:t>
      </w:r>
      <w:r w:rsidR="008E1659" w:rsidRPr="009A3C2A">
        <w:rPr>
          <w:rFonts w:ascii="Arial" w:hAnsi="Arial" w:cs="Arial"/>
          <w:bCs/>
          <w:sz w:val="20"/>
          <w:szCs w:val="20"/>
          <w:lang w:val="en-US"/>
        </w:rPr>
        <w:t xml:space="preserve">he programme met </w:t>
      </w:r>
      <w:r w:rsidR="009E2563" w:rsidRPr="009A3C2A">
        <w:rPr>
          <w:rFonts w:ascii="Arial" w:hAnsi="Arial" w:cs="Arial"/>
          <w:bCs/>
          <w:sz w:val="20"/>
          <w:szCs w:val="20"/>
          <w:lang w:val="en-US"/>
        </w:rPr>
        <w:t xml:space="preserve">all </w:t>
      </w:r>
      <w:r w:rsidR="00675CB7" w:rsidRPr="009A3C2A">
        <w:rPr>
          <w:rFonts w:ascii="Arial" w:hAnsi="Arial" w:cs="Arial"/>
          <w:bCs/>
          <w:sz w:val="20"/>
          <w:szCs w:val="20"/>
          <w:lang w:val="en-US"/>
        </w:rPr>
        <w:t xml:space="preserve">four </w:t>
      </w:r>
      <w:r w:rsidR="00462EEB" w:rsidRPr="009A3C2A">
        <w:rPr>
          <w:rFonts w:ascii="Arial" w:hAnsi="Arial" w:cs="Arial"/>
          <w:bCs/>
          <w:sz w:val="20"/>
          <w:szCs w:val="20"/>
          <w:lang w:val="en-US"/>
        </w:rPr>
        <w:t xml:space="preserve">or </w:t>
      </w:r>
      <w:r w:rsidR="009E2563" w:rsidRPr="009A3C2A">
        <w:rPr>
          <w:rFonts w:ascii="Arial" w:hAnsi="Arial" w:cs="Arial"/>
          <w:bCs/>
          <w:sz w:val="20"/>
          <w:szCs w:val="20"/>
          <w:lang w:val="en-US"/>
        </w:rPr>
        <w:t>100</w:t>
      </w:r>
      <w:r w:rsidR="00462EEB" w:rsidRPr="009A3C2A">
        <w:rPr>
          <w:rFonts w:ascii="Arial" w:hAnsi="Arial" w:cs="Arial"/>
          <w:bCs/>
          <w:sz w:val="20"/>
          <w:szCs w:val="20"/>
          <w:lang w:val="en-US"/>
        </w:rPr>
        <w:t xml:space="preserve">% of </w:t>
      </w:r>
      <w:r w:rsidR="00CD4061" w:rsidRPr="009A3C2A">
        <w:rPr>
          <w:rFonts w:ascii="Arial" w:hAnsi="Arial" w:cs="Arial"/>
          <w:bCs/>
          <w:sz w:val="20"/>
          <w:szCs w:val="20"/>
          <w:lang w:val="en-US"/>
        </w:rPr>
        <w:t xml:space="preserve">planned targets for </w:t>
      </w:r>
      <w:r w:rsidR="00675CB7" w:rsidRPr="009A3C2A">
        <w:rPr>
          <w:rFonts w:ascii="Arial" w:hAnsi="Arial" w:cs="Arial"/>
          <w:bCs/>
          <w:sz w:val="20"/>
          <w:szCs w:val="20"/>
          <w:lang w:val="en-US"/>
        </w:rPr>
        <w:t xml:space="preserve">2021/22, </w:t>
      </w:r>
      <w:r w:rsidR="005B7A46" w:rsidRPr="009A3C2A">
        <w:rPr>
          <w:rFonts w:ascii="Arial" w:hAnsi="Arial" w:cs="Arial"/>
          <w:bCs/>
          <w:sz w:val="20"/>
          <w:szCs w:val="20"/>
          <w:lang w:val="en-US"/>
        </w:rPr>
        <w:t>as was the case in 2020/21</w:t>
      </w:r>
      <w:r w:rsidR="00675CB7" w:rsidRPr="009A3C2A">
        <w:rPr>
          <w:rFonts w:ascii="Arial" w:hAnsi="Arial" w:cs="Arial"/>
          <w:bCs/>
          <w:sz w:val="20"/>
          <w:szCs w:val="20"/>
          <w:lang w:val="en-US"/>
        </w:rPr>
        <w:t>.</w:t>
      </w:r>
    </w:p>
    <w:p w:rsidR="00CB19F6" w:rsidRPr="009A3C2A" w:rsidRDefault="00CB19F6" w:rsidP="009A3C2A">
      <w:pPr>
        <w:autoSpaceDE w:val="0"/>
        <w:autoSpaceDN w:val="0"/>
        <w:adjustRightInd w:val="0"/>
        <w:rPr>
          <w:rFonts w:ascii="Arial" w:hAnsi="Arial" w:cs="Arial"/>
          <w:bCs/>
          <w:sz w:val="20"/>
          <w:szCs w:val="20"/>
          <w:lang w:val="en-US"/>
        </w:rPr>
      </w:pPr>
    </w:p>
    <w:p w:rsidR="00744D70" w:rsidRPr="009A3C2A" w:rsidRDefault="00744D70" w:rsidP="009A3C2A">
      <w:pPr>
        <w:autoSpaceDE w:val="0"/>
        <w:autoSpaceDN w:val="0"/>
        <w:adjustRightInd w:val="0"/>
        <w:rPr>
          <w:rFonts w:ascii="Arial" w:hAnsi="Arial" w:cs="Arial"/>
          <w:sz w:val="20"/>
          <w:szCs w:val="20"/>
        </w:rPr>
      </w:pPr>
    </w:p>
    <w:p w:rsidR="00535C90" w:rsidRPr="009A3C2A" w:rsidRDefault="00535C90" w:rsidP="009A3C2A">
      <w:pPr>
        <w:numPr>
          <w:ilvl w:val="0"/>
          <w:numId w:val="1"/>
        </w:numPr>
        <w:tabs>
          <w:tab w:val="clear" w:pos="360"/>
          <w:tab w:val="num" w:pos="851"/>
        </w:tabs>
        <w:ind w:left="851" w:hanging="851"/>
        <w:rPr>
          <w:rFonts w:ascii="Arial" w:hAnsi="Arial" w:cs="Arial"/>
          <w:b/>
          <w:sz w:val="20"/>
          <w:szCs w:val="20"/>
          <w:lang w:val="en-ZA"/>
        </w:rPr>
      </w:pPr>
      <w:r w:rsidRPr="009A3C2A">
        <w:rPr>
          <w:rFonts w:ascii="Arial" w:hAnsi="Arial" w:cs="Arial"/>
          <w:b/>
          <w:sz w:val="20"/>
          <w:szCs w:val="20"/>
          <w:lang w:val="en-ZA"/>
        </w:rPr>
        <w:t>Linking financial and non-financial performance</w:t>
      </w:r>
    </w:p>
    <w:p w:rsidR="00535C90" w:rsidRPr="009A3C2A" w:rsidRDefault="00535C90"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b/>
          <w:sz w:val="20"/>
          <w:szCs w:val="20"/>
          <w:lang w:val="en-ZA"/>
        </w:rPr>
        <w:t xml:space="preserve">Overall, </w:t>
      </w:r>
      <w:r w:rsidRPr="009A3C2A">
        <w:rPr>
          <w:rFonts w:ascii="Arial" w:hAnsi="Arial" w:cs="Arial"/>
          <w:sz w:val="20"/>
          <w:szCs w:val="20"/>
          <w:lang w:val="en-US"/>
        </w:rPr>
        <w:t xml:space="preserve">achieved 87.5% of its annual targets and spent 93.1% of </w:t>
      </w:r>
      <w:r w:rsidR="00E430A4" w:rsidRPr="009A3C2A">
        <w:rPr>
          <w:rFonts w:ascii="Arial" w:hAnsi="Arial" w:cs="Arial"/>
          <w:sz w:val="20"/>
          <w:szCs w:val="20"/>
          <w:lang w:val="en-US"/>
        </w:rPr>
        <w:t xml:space="preserve">the </w:t>
      </w:r>
      <w:r w:rsidRPr="009A3C2A">
        <w:rPr>
          <w:rFonts w:ascii="Arial" w:hAnsi="Arial" w:cs="Arial"/>
          <w:sz w:val="20"/>
          <w:szCs w:val="20"/>
          <w:lang w:val="en-US"/>
        </w:rPr>
        <w:t>Final Appropriation (excluding the Direct Charge for Judges’ salaries)</w:t>
      </w:r>
      <w:r w:rsidR="00E430A4" w:rsidRPr="009A3C2A">
        <w:rPr>
          <w:rFonts w:ascii="Arial" w:hAnsi="Arial" w:cs="Arial"/>
          <w:sz w:val="20"/>
          <w:szCs w:val="20"/>
          <w:lang w:val="en-US"/>
        </w:rPr>
        <w:t>, which is an improvement on spending in 2020/21 (at 90.2%)</w:t>
      </w:r>
      <w:r w:rsidRPr="009A3C2A">
        <w:rPr>
          <w:rFonts w:ascii="Arial" w:hAnsi="Arial" w:cs="Arial"/>
          <w:sz w:val="20"/>
          <w:szCs w:val="20"/>
          <w:lang w:val="en-US"/>
        </w:rPr>
        <w:t>.</w:t>
      </w:r>
    </w:p>
    <w:p w:rsidR="00535C90" w:rsidRPr="009A3C2A" w:rsidRDefault="00535C90" w:rsidP="009A3C2A">
      <w:pPr>
        <w:pStyle w:val="ListParagraph"/>
        <w:numPr>
          <w:ilvl w:val="0"/>
          <w:numId w:val="7"/>
        </w:numPr>
        <w:autoSpaceDE w:val="0"/>
        <w:autoSpaceDN w:val="0"/>
        <w:adjustRightInd w:val="0"/>
        <w:ind w:left="1418" w:hanging="567"/>
        <w:rPr>
          <w:rFonts w:ascii="Arial" w:hAnsi="Arial" w:cs="Arial"/>
          <w:b/>
          <w:sz w:val="20"/>
          <w:szCs w:val="20"/>
          <w:lang w:val="en-ZA"/>
        </w:rPr>
      </w:pPr>
      <w:r w:rsidRPr="009A3C2A">
        <w:rPr>
          <w:rFonts w:ascii="Arial" w:hAnsi="Arial" w:cs="Arial"/>
          <w:sz w:val="20"/>
          <w:szCs w:val="20"/>
          <w:lang w:val="en-US"/>
        </w:rPr>
        <w:t xml:space="preserve">The OCJ reports a vacancy rate of 9.1%, which is below the 10% target set by DPSA but its vacancy rate at SMS level is higher at </w:t>
      </w:r>
      <w:r w:rsidR="00E430A4" w:rsidRPr="009A3C2A">
        <w:rPr>
          <w:rFonts w:ascii="Arial" w:hAnsi="Arial" w:cs="Arial"/>
          <w:sz w:val="20"/>
          <w:szCs w:val="20"/>
          <w:lang w:val="en-US"/>
        </w:rPr>
        <w:t>14.3%. Notably the Auditor-General identifies vacancies in critical vacancies leading to a lack of segregation of duties to increased irregular expenditure incurred.</w:t>
      </w:r>
    </w:p>
    <w:p w:rsidR="00E430A4" w:rsidRPr="009A3C2A" w:rsidRDefault="00E430A4" w:rsidP="009A3C2A">
      <w:pPr>
        <w:pStyle w:val="ListParagraph"/>
        <w:numPr>
          <w:ilvl w:val="0"/>
          <w:numId w:val="7"/>
        </w:numPr>
        <w:autoSpaceDE w:val="0"/>
        <w:autoSpaceDN w:val="0"/>
        <w:adjustRightInd w:val="0"/>
        <w:ind w:left="1418" w:hanging="567"/>
        <w:rPr>
          <w:rFonts w:ascii="Arial" w:hAnsi="Arial" w:cs="Arial"/>
          <w:b/>
          <w:sz w:val="20"/>
          <w:szCs w:val="20"/>
          <w:lang w:val="en-ZA"/>
        </w:rPr>
      </w:pPr>
      <w:r w:rsidRPr="009A3C2A">
        <w:rPr>
          <w:rFonts w:ascii="Arial" w:hAnsi="Arial" w:cs="Arial"/>
          <w:sz w:val="20"/>
          <w:szCs w:val="20"/>
          <w:lang w:val="en-US"/>
        </w:rPr>
        <w:t>Although the OCJ retained an unqualified audit opinion, the Auditor-General made material finding on compliance. In other words, the outcome regressed from previous years in which the OCJ achieved a clean audit opinion.</w:t>
      </w:r>
    </w:p>
    <w:p w:rsidR="00E430A4" w:rsidRPr="009A3C2A" w:rsidRDefault="00E430A4" w:rsidP="009A3C2A">
      <w:pPr>
        <w:autoSpaceDE w:val="0"/>
        <w:autoSpaceDN w:val="0"/>
        <w:adjustRightInd w:val="0"/>
        <w:rPr>
          <w:rFonts w:ascii="Arial" w:hAnsi="Arial" w:cs="Arial"/>
          <w:b/>
          <w:sz w:val="20"/>
          <w:szCs w:val="20"/>
          <w:lang w:val="en-ZA"/>
        </w:rPr>
      </w:pPr>
    </w:p>
    <w:p w:rsidR="00E430A4" w:rsidRPr="009A3C2A" w:rsidRDefault="00E430A4" w:rsidP="009A3C2A">
      <w:pPr>
        <w:autoSpaceDE w:val="0"/>
        <w:autoSpaceDN w:val="0"/>
        <w:adjustRightInd w:val="0"/>
        <w:rPr>
          <w:rFonts w:ascii="Arial" w:hAnsi="Arial" w:cs="Arial"/>
          <w:b/>
          <w:sz w:val="20"/>
          <w:szCs w:val="20"/>
          <w:lang w:val="en-ZA"/>
        </w:rPr>
      </w:pPr>
    </w:p>
    <w:p w:rsidR="00B53E94" w:rsidRPr="009A3C2A" w:rsidRDefault="00760653" w:rsidP="009A3C2A">
      <w:pPr>
        <w:numPr>
          <w:ilvl w:val="0"/>
          <w:numId w:val="1"/>
        </w:numPr>
        <w:tabs>
          <w:tab w:val="clear" w:pos="360"/>
          <w:tab w:val="num" w:pos="851"/>
        </w:tabs>
        <w:ind w:left="851" w:hanging="851"/>
        <w:rPr>
          <w:rFonts w:ascii="Arial" w:hAnsi="Arial" w:cs="Arial"/>
          <w:b/>
          <w:sz w:val="20"/>
          <w:szCs w:val="20"/>
          <w:lang w:val="en-ZA"/>
        </w:rPr>
      </w:pPr>
      <w:r w:rsidRPr="009A3C2A">
        <w:rPr>
          <w:rFonts w:ascii="Arial" w:hAnsi="Arial" w:cs="Arial"/>
          <w:b/>
          <w:sz w:val="20"/>
          <w:szCs w:val="20"/>
          <w:lang w:val="en-ZA"/>
        </w:rPr>
        <w:t xml:space="preserve">Selected </w:t>
      </w:r>
      <w:r w:rsidR="00761516" w:rsidRPr="009A3C2A">
        <w:rPr>
          <w:rFonts w:ascii="Arial" w:hAnsi="Arial" w:cs="Arial"/>
          <w:b/>
          <w:sz w:val="20"/>
          <w:szCs w:val="20"/>
          <w:lang w:val="en-ZA"/>
        </w:rPr>
        <w:t>BRRR 20</w:t>
      </w:r>
      <w:r w:rsidR="008123E4" w:rsidRPr="009A3C2A">
        <w:rPr>
          <w:rFonts w:ascii="Arial" w:hAnsi="Arial" w:cs="Arial"/>
          <w:b/>
          <w:sz w:val="20"/>
          <w:szCs w:val="20"/>
          <w:lang w:val="en-ZA"/>
        </w:rPr>
        <w:t>21</w:t>
      </w:r>
      <w:r w:rsidR="00761516" w:rsidRPr="009A3C2A">
        <w:rPr>
          <w:rFonts w:ascii="Arial" w:hAnsi="Arial" w:cs="Arial"/>
          <w:b/>
          <w:sz w:val="20"/>
          <w:szCs w:val="20"/>
          <w:lang w:val="en-ZA"/>
        </w:rPr>
        <w:t xml:space="preserve"> observations</w:t>
      </w:r>
    </w:p>
    <w:p w:rsidR="00761516" w:rsidRPr="009A3C2A" w:rsidRDefault="00761516" w:rsidP="009A3C2A">
      <w:pPr>
        <w:ind w:left="709"/>
        <w:rPr>
          <w:rFonts w:ascii="Arial" w:hAnsi="Arial" w:cs="Arial"/>
          <w:b/>
          <w:sz w:val="20"/>
          <w:szCs w:val="20"/>
          <w:lang w:val="en-ZA"/>
        </w:rPr>
      </w:pPr>
    </w:p>
    <w:p w:rsidR="00761516" w:rsidRPr="009A3C2A" w:rsidRDefault="00761516" w:rsidP="009A3C2A">
      <w:pPr>
        <w:pStyle w:val="ListParagraph"/>
        <w:numPr>
          <w:ilvl w:val="1"/>
          <w:numId w:val="1"/>
        </w:numPr>
        <w:autoSpaceDE w:val="0"/>
        <w:autoSpaceDN w:val="0"/>
        <w:adjustRightInd w:val="0"/>
        <w:ind w:left="851" w:hanging="851"/>
        <w:rPr>
          <w:rFonts w:ascii="Arial" w:hAnsi="Arial" w:cs="Arial"/>
          <w:sz w:val="20"/>
          <w:szCs w:val="20"/>
          <w:lang w:val="en-ZA"/>
        </w:rPr>
      </w:pPr>
      <w:r w:rsidRPr="009A3C2A">
        <w:rPr>
          <w:rFonts w:ascii="Arial" w:hAnsi="Arial" w:cs="Arial"/>
          <w:sz w:val="20"/>
          <w:szCs w:val="20"/>
          <w:lang w:val="en-ZA"/>
        </w:rPr>
        <w:t xml:space="preserve">The Committee made </w:t>
      </w:r>
      <w:r w:rsidR="00760653" w:rsidRPr="009A3C2A">
        <w:rPr>
          <w:rFonts w:ascii="Arial" w:hAnsi="Arial" w:cs="Arial"/>
          <w:sz w:val="20"/>
          <w:szCs w:val="20"/>
          <w:lang w:val="en-ZA"/>
        </w:rPr>
        <w:t>various</w:t>
      </w:r>
      <w:r w:rsidRPr="009A3C2A">
        <w:rPr>
          <w:rFonts w:ascii="Arial" w:hAnsi="Arial" w:cs="Arial"/>
          <w:sz w:val="20"/>
          <w:szCs w:val="20"/>
          <w:lang w:val="en-ZA"/>
        </w:rPr>
        <w:t xml:space="preserve"> observations in the 20</w:t>
      </w:r>
      <w:r w:rsidR="008123E4" w:rsidRPr="009A3C2A">
        <w:rPr>
          <w:rFonts w:ascii="Arial" w:hAnsi="Arial" w:cs="Arial"/>
          <w:sz w:val="20"/>
          <w:szCs w:val="20"/>
          <w:lang w:val="en-ZA"/>
        </w:rPr>
        <w:t>21</w:t>
      </w:r>
      <w:r w:rsidR="00760653" w:rsidRPr="009A3C2A">
        <w:rPr>
          <w:rFonts w:ascii="Arial" w:hAnsi="Arial" w:cs="Arial"/>
          <w:sz w:val="20"/>
          <w:szCs w:val="20"/>
          <w:lang w:val="en-ZA"/>
        </w:rPr>
        <w:t xml:space="preserve"> BRRR, including:</w:t>
      </w:r>
    </w:p>
    <w:p w:rsidR="00884FB4" w:rsidRPr="009A3C2A" w:rsidRDefault="008123E4"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Transfer of functions to the OCJ. The </w:t>
      </w:r>
      <w:r w:rsidR="00884FB4" w:rsidRPr="009A3C2A">
        <w:rPr>
          <w:rFonts w:ascii="Arial" w:hAnsi="Arial" w:cs="Arial"/>
          <w:sz w:val="20"/>
          <w:szCs w:val="20"/>
          <w:lang w:val="en-US"/>
        </w:rPr>
        <w:t xml:space="preserve">Committee again flagged the </w:t>
      </w:r>
      <w:r w:rsidRPr="009A3C2A">
        <w:rPr>
          <w:rFonts w:ascii="Arial" w:hAnsi="Arial" w:cs="Arial"/>
          <w:sz w:val="20"/>
          <w:szCs w:val="20"/>
          <w:lang w:val="en-US"/>
        </w:rPr>
        <w:t xml:space="preserve">lack of progress in drafting the legislation and finalising a court administration model that will allow for functions presently undertaken by the Department of Justice and Constitutional Development (such as security services at the courts) to the OCJ. </w:t>
      </w:r>
    </w:p>
    <w:p w:rsidR="00884FB4" w:rsidRPr="009A3C2A" w:rsidRDefault="008123E4"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ICT security. The Committee noted again th</w:t>
      </w:r>
      <w:r w:rsidR="00884FB4" w:rsidRPr="009A3C2A">
        <w:rPr>
          <w:rFonts w:ascii="Arial" w:hAnsi="Arial" w:cs="Arial"/>
          <w:sz w:val="20"/>
          <w:szCs w:val="20"/>
          <w:lang w:val="en-US"/>
        </w:rPr>
        <w:t>e</w:t>
      </w:r>
      <w:r w:rsidRPr="009A3C2A">
        <w:rPr>
          <w:rFonts w:ascii="Arial" w:hAnsi="Arial" w:cs="Arial"/>
          <w:sz w:val="20"/>
          <w:szCs w:val="20"/>
          <w:lang w:val="en-US"/>
        </w:rPr>
        <w:t xml:space="preserve"> inadequacies in ICT security and user access management, as well as ICT operational inefficiencies as </w:t>
      </w:r>
      <w:r w:rsidR="00884FB4" w:rsidRPr="009A3C2A">
        <w:rPr>
          <w:rFonts w:ascii="Arial" w:hAnsi="Arial" w:cs="Arial"/>
          <w:sz w:val="20"/>
          <w:szCs w:val="20"/>
          <w:lang w:val="en-US"/>
        </w:rPr>
        <w:t xml:space="preserve">being </w:t>
      </w:r>
      <w:r w:rsidRPr="009A3C2A">
        <w:rPr>
          <w:rFonts w:ascii="Arial" w:hAnsi="Arial" w:cs="Arial"/>
          <w:sz w:val="20"/>
          <w:szCs w:val="20"/>
          <w:lang w:val="en-US"/>
        </w:rPr>
        <w:t xml:space="preserve">areas for concern. The OCJ assured the Committee that </w:t>
      </w:r>
      <w:r w:rsidR="002A79EA" w:rsidRPr="009A3C2A">
        <w:rPr>
          <w:rFonts w:ascii="Arial" w:hAnsi="Arial" w:cs="Arial"/>
          <w:sz w:val="20"/>
          <w:szCs w:val="20"/>
          <w:lang w:val="en-US"/>
        </w:rPr>
        <w:t xml:space="preserve">it </w:t>
      </w:r>
      <w:r w:rsidRPr="009A3C2A">
        <w:rPr>
          <w:rFonts w:ascii="Arial" w:hAnsi="Arial" w:cs="Arial"/>
          <w:sz w:val="20"/>
          <w:szCs w:val="20"/>
          <w:lang w:val="en-US"/>
        </w:rPr>
        <w:t xml:space="preserve">is working hard to strengthen its ICT environment. The OCJ was reluctant to discuss security details in a public forum but undertook to provide the Committee with a comprehensive report. </w:t>
      </w:r>
    </w:p>
    <w:p w:rsidR="00884FB4" w:rsidRPr="009A3C2A" w:rsidRDefault="008123E4"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Court modernisation. The OCJ report</w:t>
      </w:r>
      <w:r w:rsidR="00884FB4" w:rsidRPr="009A3C2A">
        <w:rPr>
          <w:rFonts w:ascii="Arial" w:hAnsi="Arial" w:cs="Arial"/>
          <w:sz w:val="20"/>
          <w:szCs w:val="20"/>
          <w:lang w:val="en-US"/>
        </w:rPr>
        <w:t>ed</w:t>
      </w:r>
      <w:r w:rsidRPr="009A3C2A">
        <w:rPr>
          <w:rFonts w:ascii="Arial" w:hAnsi="Arial" w:cs="Arial"/>
          <w:sz w:val="20"/>
          <w:szCs w:val="20"/>
          <w:lang w:val="en-US"/>
        </w:rPr>
        <w:t xml:space="preserve"> that</w:t>
      </w:r>
      <w:r w:rsidR="00884FB4" w:rsidRPr="009A3C2A">
        <w:rPr>
          <w:rFonts w:ascii="Arial" w:hAnsi="Arial" w:cs="Arial"/>
          <w:sz w:val="20"/>
          <w:szCs w:val="20"/>
          <w:lang w:val="en-US"/>
        </w:rPr>
        <w:t>, in 2020/21, it</w:t>
      </w:r>
      <w:r w:rsidRPr="009A3C2A">
        <w:rPr>
          <w:rFonts w:ascii="Arial" w:hAnsi="Arial" w:cs="Arial"/>
          <w:sz w:val="20"/>
          <w:szCs w:val="20"/>
          <w:lang w:val="en-US"/>
        </w:rPr>
        <w:t xml:space="preserve"> was unable to roll out the court online system in two service centres as planned because of the pandemic</w:t>
      </w:r>
      <w:r w:rsidR="00884FB4" w:rsidRPr="009A3C2A">
        <w:rPr>
          <w:rFonts w:ascii="Arial" w:hAnsi="Arial" w:cs="Arial"/>
          <w:sz w:val="20"/>
          <w:szCs w:val="20"/>
          <w:lang w:val="en-US"/>
        </w:rPr>
        <w:t>,</w:t>
      </w:r>
      <w:r w:rsidRPr="009A3C2A">
        <w:rPr>
          <w:rFonts w:ascii="Arial" w:hAnsi="Arial" w:cs="Arial"/>
          <w:sz w:val="20"/>
          <w:szCs w:val="20"/>
          <w:lang w:val="en-US"/>
        </w:rPr>
        <w:t xml:space="preserve"> as well as system failures as a result of the security breach in September 2020. In addition, the project to refresh the ICT infrastructure was d</w:t>
      </w:r>
      <w:r w:rsidR="00884FB4" w:rsidRPr="009A3C2A">
        <w:rPr>
          <w:rFonts w:ascii="Arial" w:hAnsi="Arial" w:cs="Arial"/>
          <w:sz w:val="20"/>
          <w:szCs w:val="20"/>
          <w:lang w:val="en-US"/>
        </w:rPr>
        <w:t>elayed as a result of the non-</w:t>
      </w:r>
      <w:r w:rsidRPr="009A3C2A">
        <w:rPr>
          <w:rFonts w:ascii="Arial" w:hAnsi="Arial" w:cs="Arial"/>
          <w:sz w:val="20"/>
          <w:szCs w:val="20"/>
          <w:lang w:val="en-US"/>
        </w:rPr>
        <w:t>responsiveness of the market at the stage of sourcing/tenders. However, there ha</w:t>
      </w:r>
      <w:r w:rsidR="00884FB4" w:rsidRPr="009A3C2A">
        <w:rPr>
          <w:rFonts w:ascii="Arial" w:hAnsi="Arial" w:cs="Arial"/>
          <w:sz w:val="20"/>
          <w:szCs w:val="20"/>
          <w:lang w:val="en-US"/>
        </w:rPr>
        <w:t>d</w:t>
      </w:r>
      <w:r w:rsidRPr="009A3C2A">
        <w:rPr>
          <w:rFonts w:ascii="Arial" w:hAnsi="Arial" w:cs="Arial"/>
          <w:sz w:val="20"/>
          <w:szCs w:val="20"/>
          <w:lang w:val="en-US"/>
        </w:rPr>
        <w:t xml:space="preserve"> been progress in </w:t>
      </w:r>
      <w:r w:rsidR="00884FB4" w:rsidRPr="009A3C2A">
        <w:rPr>
          <w:rFonts w:ascii="Arial" w:hAnsi="Arial" w:cs="Arial"/>
          <w:sz w:val="20"/>
          <w:szCs w:val="20"/>
          <w:lang w:val="en-US"/>
        </w:rPr>
        <w:t>2021/22</w:t>
      </w:r>
      <w:r w:rsidRPr="009A3C2A">
        <w:rPr>
          <w:rFonts w:ascii="Arial" w:hAnsi="Arial" w:cs="Arial"/>
          <w:sz w:val="20"/>
          <w:szCs w:val="20"/>
          <w:lang w:val="en-US"/>
        </w:rPr>
        <w:t xml:space="preserve">: user equipment has been overhauled, licences </w:t>
      </w:r>
      <w:r w:rsidR="00884FB4" w:rsidRPr="009A3C2A">
        <w:rPr>
          <w:rFonts w:ascii="Arial" w:hAnsi="Arial" w:cs="Arial"/>
          <w:sz w:val="20"/>
          <w:szCs w:val="20"/>
          <w:lang w:val="en-US"/>
        </w:rPr>
        <w:t>procured, there wa</w:t>
      </w:r>
      <w:r w:rsidRPr="009A3C2A">
        <w:rPr>
          <w:rFonts w:ascii="Arial" w:hAnsi="Arial" w:cs="Arial"/>
          <w:sz w:val="20"/>
          <w:szCs w:val="20"/>
          <w:lang w:val="en-US"/>
        </w:rPr>
        <w:t>s Wi-Fi at courts for judges and o</w:t>
      </w:r>
      <w:r w:rsidR="00884FB4" w:rsidRPr="009A3C2A">
        <w:rPr>
          <w:rFonts w:ascii="Arial" w:hAnsi="Arial" w:cs="Arial"/>
          <w:sz w:val="20"/>
          <w:szCs w:val="20"/>
          <w:lang w:val="en-US"/>
        </w:rPr>
        <w:t>fficials, the bandwidth had</w:t>
      </w:r>
      <w:r w:rsidRPr="009A3C2A">
        <w:rPr>
          <w:rFonts w:ascii="Arial" w:hAnsi="Arial" w:cs="Arial"/>
          <w:sz w:val="20"/>
          <w:szCs w:val="20"/>
          <w:lang w:val="en-US"/>
        </w:rPr>
        <w:t xml:space="preserve"> been increased, etc. and rollout of the CaseLines solution </w:t>
      </w:r>
      <w:r w:rsidR="00884FB4" w:rsidRPr="009A3C2A">
        <w:rPr>
          <w:rFonts w:ascii="Arial" w:hAnsi="Arial" w:cs="Arial"/>
          <w:sz w:val="20"/>
          <w:szCs w:val="20"/>
          <w:lang w:val="en-US"/>
        </w:rPr>
        <w:t>wa</w:t>
      </w:r>
      <w:r w:rsidRPr="009A3C2A">
        <w:rPr>
          <w:rFonts w:ascii="Arial" w:hAnsi="Arial" w:cs="Arial"/>
          <w:sz w:val="20"/>
          <w:szCs w:val="20"/>
          <w:lang w:val="en-US"/>
        </w:rPr>
        <w:t xml:space="preserve">s in progress. </w:t>
      </w:r>
    </w:p>
    <w:p w:rsidR="00884FB4" w:rsidRPr="009A3C2A" w:rsidRDefault="008123E4" w:rsidP="009A3C2A">
      <w:pPr>
        <w:pStyle w:val="ListParagraph"/>
        <w:numPr>
          <w:ilvl w:val="0"/>
          <w:numId w:val="7"/>
        </w:numPr>
        <w:autoSpaceDE w:val="0"/>
        <w:autoSpaceDN w:val="0"/>
        <w:adjustRightInd w:val="0"/>
        <w:ind w:left="1418" w:hanging="567"/>
        <w:rPr>
          <w:rFonts w:ascii="Arial" w:hAnsi="Arial" w:cs="Arial"/>
          <w:sz w:val="20"/>
          <w:szCs w:val="20"/>
          <w:lang w:val="en-US"/>
        </w:rPr>
      </w:pPr>
      <w:r w:rsidRPr="009A3C2A">
        <w:rPr>
          <w:rFonts w:ascii="Arial" w:hAnsi="Arial" w:cs="Arial"/>
          <w:sz w:val="20"/>
          <w:szCs w:val="20"/>
          <w:lang w:val="en-US"/>
        </w:rPr>
        <w:t xml:space="preserve">Employment of persons with disabilities. The Committee noted that the OCJ has not been able to achieve its employment targets for persons with disabilities. The Committee requested a report on the challenges experienced and the intended mitigation strategies, and </w:t>
      </w:r>
      <w:r w:rsidR="00884FB4" w:rsidRPr="009A3C2A">
        <w:rPr>
          <w:rFonts w:ascii="Arial" w:hAnsi="Arial" w:cs="Arial"/>
          <w:sz w:val="20"/>
          <w:szCs w:val="20"/>
          <w:lang w:val="en-US"/>
        </w:rPr>
        <w:t xml:space="preserve">would continue to </w:t>
      </w:r>
      <w:r w:rsidRPr="009A3C2A">
        <w:rPr>
          <w:rFonts w:ascii="Arial" w:hAnsi="Arial" w:cs="Arial"/>
          <w:sz w:val="20"/>
          <w:szCs w:val="20"/>
          <w:lang w:val="en-US"/>
        </w:rPr>
        <w:t xml:space="preserve">monitor progress. </w:t>
      </w:r>
    </w:p>
    <w:p w:rsidR="00884FB4" w:rsidRPr="009A3C2A" w:rsidRDefault="008123E4" w:rsidP="009A3C2A">
      <w:pPr>
        <w:pStyle w:val="ListParagraph"/>
        <w:numPr>
          <w:ilvl w:val="0"/>
          <w:numId w:val="7"/>
        </w:numPr>
        <w:autoSpaceDE w:val="0"/>
        <w:autoSpaceDN w:val="0"/>
        <w:adjustRightInd w:val="0"/>
        <w:ind w:left="1418" w:hanging="567"/>
        <w:rPr>
          <w:rFonts w:ascii="Arial" w:hAnsi="Arial" w:cs="Arial"/>
          <w:sz w:val="20"/>
          <w:szCs w:val="20"/>
          <w:lang w:val="en-ZA"/>
        </w:rPr>
      </w:pPr>
      <w:r w:rsidRPr="009A3C2A">
        <w:rPr>
          <w:rFonts w:ascii="Arial" w:hAnsi="Arial" w:cs="Arial"/>
          <w:sz w:val="20"/>
          <w:szCs w:val="20"/>
          <w:lang w:val="en-US"/>
        </w:rPr>
        <w:lastRenderedPageBreak/>
        <w:t>The Committee commended the OCJ on maintaining its clean audit opinion</w:t>
      </w:r>
      <w:r w:rsidR="00884FB4" w:rsidRPr="009A3C2A">
        <w:rPr>
          <w:rFonts w:ascii="Arial" w:hAnsi="Arial" w:cs="Arial"/>
          <w:sz w:val="20"/>
          <w:szCs w:val="20"/>
          <w:lang w:val="en-US"/>
        </w:rPr>
        <w:t xml:space="preserve"> and also on </w:t>
      </w:r>
      <w:r w:rsidRPr="009A3C2A">
        <w:rPr>
          <w:rFonts w:ascii="Arial" w:hAnsi="Arial" w:cs="Arial"/>
          <w:sz w:val="20"/>
          <w:szCs w:val="20"/>
          <w:lang w:val="en-US"/>
        </w:rPr>
        <w:t>its strong</w:t>
      </w:r>
      <w:r w:rsidRPr="009A3C2A">
        <w:rPr>
          <w:rFonts w:ascii="Arial" w:hAnsi="Arial" w:cs="Arial"/>
          <w:sz w:val="20"/>
          <w:szCs w:val="20"/>
        </w:rPr>
        <w:t xml:space="preserve"> governance, noting sound management of problems when they occur.</w:t>
      </w:r>
    </w:p>
    <w:p w:rsidR="00A16E4E" w:rsidRPr="009A3C2A" w:rsidRDefault="00A16E4E" w:rsidP="009A3C2A">
      <w:pPr>
        <w:ind w:left="1080"/>
        <w:rPr>
          <w:rFonts w:ascii="Arial" w:hAnsi="Arial" w:cs="Arial"/>
          <w:sz w:val="20"/>
          <w:szCs w:val="20"/>
          <w:lang w:val="en-ZA"/>
        </w:rPr>
      </w:pPr>
    </w:p>
    <w:p w:rsidR="00462A69" w:rsidRPr="009A3C2A" w:rsidRDefault="00462A69" w:rsidP="009A3C2A">
      <w:pPr>
        <w:autoSpaceDE w:val="0"/>
        <w:autoSpaceDN w:val="0"/>
        <w:adjustRightInd w:val="0"/>
        <w:ind w:left="1080"/>
        <w:rPr>
          <w:rFonts w:ascii="Arial" w:hAnsi="Arial" w:cs="Arial"/>
          <w:sz w:val="20"/>
          <w:szCs w:val="20"/>
          <w:lang w:val="en-ZA" w:eastAsia="en-US"/>
        </w:rPr>
      </w:pPr>
    </w:p>
    <w:p w:rsidR="00C05C71" w:rsidRPr="009A3C2A" w:rsidRDefault="00C05C71" w:rsidP="009A3C2A">
      <w:pPr>
        <w:numPr>
          <w:ilvl w:val="0"/>
          <w:numId w:val="1"/>
        </w:numPr>
        <w:tabs>
          <w:tab w:val="clear" w:pos="360"/>
          <w:tab w:val="num" w:pos="851"/>
        </w:tabs>
        <w:ind w:left="851" w:hanging="851"/>
        <w:rPr>
          <w:rFonts w:ascii="Arial" w:hAnsi="Arial" w:cs="Arial"/>
          <w:b/>
          <w:sz w:val="20"/>
          <w:szCs w:val="20"/>
          <w:lang w:val="en-ZA"/>
        </w:rPr>
      </w:pPr>
      <w:r w:rsidRPr="009A3C2A">
        <w:rPr>
          <w:rFonts w:ascii="Arial" w:hAnsi="Arial" w:cs="Arial"/>
          <w:b/>
          <w:sz w:val="20"/>
          <w:szCs w:val="20"/>
          <w:lang w:val="en-ZA"/>
        </w:rPr>
        <w:t>Committee’s observations</w:t>
      </w:r>
    </w:p>
    <w:p w:rsidR="00C05C71" w:rsidRPr="009A3C2A" w:rsidRDefault="00C05C71" w:rsidP="009A3C2A">
      <w:pPr>
        <w:rPr>
          <w:rFonts w:ascii="Arial" w:hAnsi="Arial" w:cs="Arial"/>
          <w:sz w:val="20"/>
          <w:szCs w:val="20"/>
        </w:rPr>
      </w:pPr>
    </w:p>
    <w:p w:rsidR="009D6BB9" w:rsidRPr="009A3C2A" w:rsidRDefault="006460DE" w:rsidP="009A3C2A">
      <w:pPr>
        <w:rPr>
          <w:rFonts w:ascii="Arial" w:hAnsi="Arial" w:cs="Arial"/>
          <w:i/>
          <w:sz w:val="20"/>
          <w:szCs w:val="20"/>
        </w:rPr>
      </w:pPr>
      <w:r w:rsidRPr="009A3C2A">
        <w:rPr>
          <w:rFonts w:ascii="Arial" w:hAnsi="Arial" w:cs="Arial"/>
          <w:sz w:val="20"/>
          <w:szCs w:val="20"/>
        </w:rPr>
        <w:t>T</w:t>
      </w:r>
      <w:r w:rsidR="0043520A" w:rsidRPr="009A3C2A">
        <w:rPr>
          <w:rFonts w:ascii="Arial" w:hAnsi="Arial" w:cs="Arial"/>
          <w:sz w:val="20"/>
          <w:szCs w:val="20"/>
        </w:rPr>
        <w:t xml:space="preserve">he Committee makes the following observations: </w:t>
      </w:r>
    </w:p>
    <w:p w:rsidR="009D6BB9" w:rsidRPr="009A3C2A" w:rsidRDefault="009D6BB9" w:rsidP="009A3C2A">
      <w:pPr>
        <w:pStyle w:val="BodySingle"/>
        <w:ind w:left="0"/>
        <w:jc w:val="left"/>
        <w:rPr>
          <w:rFonts w:cs="Arial"/>
          <w:i w:val="0"/>
        </w:rPr>
      </w:pPr>
    </w:p>
    <w:p w:rsidR="00B01C19" w:rsidRPr="009A3C2A" w:rsidRDefault="009D6BB9"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T</w:t>
      </w:r>
      <w:r w:rsidR="00415667" w:rsidRPr="009A3C2A">
        <w:rPr>
          <w:rFonts w:ascii="Arial" w:hAnsi="Arial" w:cs="Arial"/>
          <w:b/>
          <w:i/>
          <w:sz w:val="20"/>
          <w:szCs w:val="20"/>
        </w:rPr>
        <w:t>ransfer of functions to the OCJ</w:t>
      </w:r>
      <w:r w:rsidR="00344D8A" w:rsidRPr="009A3C2A">
        <w:rPr>
          <w:rFonts w:ascii="Arial" w:hAnsi="Arial" w:cs="Arial"/>
          <w:b/>
          <w:i/>
          <w:sz w:val="20"/>
          <w:szCs w:val="20"/>
        </w:rPr>
        <w:t xml:space="preserve">. </w:t>
      </w:r>
      <w:r w:rsidR="005B7A46" w:rsidRPr="009A3C2A">
        <w:rPr>
          <w:rFonts w:ascii="Arial" w:hAnsi="Arial" w:cs="Arial"/>
          <w:sz w:val="20"/>
          <w:szCs w:val="20"/>
        </w:rPr>
        <w:t>When he presented the 202</w:t>
      </w:r>
      <w:r w:rsidR="00E14A95" w:rsidRPr="009A3C2A">
        <w:rPr>
          <w:rFonts w:ascii="Arial" w:hAnsi="Arial" w:cs="Arial"/>
          <w:sz w:val="20"/>
          <w:szCs w:val="20"/>
        </w:rPr>
        <w:t>2/23</w:t>
      </w:r>
      <w:r w:rsidR="005B7A46" w:rsidRPr="009A3C2A">
        <w:rPr>
          <w:rFonts w:ascii="Arial" w:hAnsi="Arial" w:cs="Arial"/>
          <w:sz w:val="20"/>
          <w:szCs w:val="20"/>
        </w:rPr>
        <w:t xml:space="preserve"> Budget to the Committee e</w:t>
      </w:r>
      <w:r w:rsidR="00000759" w:rsidRPr="009A3C2A">
        <w:rPr>
          <w:rFonts w:ascii="Arial" w:hAnsi="Arial" w:cs="Arial"/>
          <w:sz w:val="20"/>
          <w:szCs w:val="20"/>
        </w:rPr>
        <w:t>arlier this year, the Minister announced that he intends to introduce a policy on judicial governance and court administration to Cabinet in this financial year, as well as introduce to Parliament legislation that will overhaul the Lower Courts towards the establishment of a single judiciary.</w:t>
      </w:r>
      <w:r w:rsidR="00B01C19" w:rsidRPr="009A3C2A">
        <w:rPr>
          <w:rFonts w:ascii="Arial" w:hAnsi="Arial" w:cs="Arial"/>
          <w:sz w:val="20"/>
          <w:szCs w:val="20"/>
        </w:rPr>
        <w:t xml:space="preserve"> Although we welcomed the announcement, we are concerned about the Department of Justice and Constitutional Development’s available capacity</w:t>
      </w:r>
      <w:r w:rsidR="005B7A46" w:rsidRPr="009A3C2A">
        <w:rPr>
          <w:rFonts w:ascii="Arial" w:hAnsi="Arial" w:cs="Arial"/>
          <w:sz w:val="20"/>
          <w:szCs w:val="20"/>
        </w:rPr>
        <w:t xml:space="preserve"> and therefore request more information regarding the progress of the policy and accompanying legislation.</w:t>
      </w:r>
    </w:p>
    <w:p w:rsidR="00415667" w:rsidRPr="009A3C2A" w:rsidRDefault="00415667" w:rsidP="009A3C2A">
      <w:pPr>
        <w:rPr>
          <w:rFonts w:ascii="Arial" w:hAnsi="Arial" w:cs="Arial"/>
          <w:sz w:val="20"/>
          <w:szCs w:val="20"/>
        </w:rPr>
      </w:pPr>
    </w:p>
    <w:p w:rsidR="00A82BDF" w:rsidRPr="009A3C2A" w:rsidRDefault="00A82BDF"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Court modernisation</w:t>
      </w:r>
      <w:r w:rsidRPr="009A3C2A">
        <w:rPr>
          <w:rFonts w:ascii="Arial" w:hAnsi="Arial" w:cs="Arial"/>
          <w:sz w:val="20"/>
          <w:szCs w:val="20"/>
        </w:rPr>
        <w:t xml:space="preserve">. </w:t>
      </w:r>
      <w:r w:rsidR="00570C7B" w:rsidRPr="009A3C2A">
        <w:rPr>
          <w:rFonts w:ascii="Arial" w:hAnsi="Arial" w:cs="Arial"/>
          <w:sz w:val="20"/>
          <w:szCs w:val="20"/>
        </w:rPr>
        <w:t>The Committee notes that the O</w:t>
      </w:r>
      <w:r w:rsidRPr="009A3C2A">
        <w:rPr>
          <w:rFonts w:ascii="Arial" w:hAnsi="Arial" w:cs="Arial"/>
          <w:sz w:val="20"/>
          <w:szCs w:val="20"/>
        </w:rPr>
        <w:t xml:space="preserve">CJ </w:t>
      </w:r>
      <w:r w:rsidR="00570C7B" w:rsidRPr="009A3C2A">
        <w:rPr>
          <w:rFonts w:ascii="Arial" w:hAnsi="Arial" w:cs="Arial"/>
          <w:sz w:val="20"/>
          <w:szCs w:val="20"/>
        </w:rPr>
        <w:t>reports</w:t>
      </w:r>
      <w:r w:rsidR="00B01C19" w:rsidRPr="009A3C2A">
        <w:rPr>
          <w:rFonts w:ascii="Arial" w:hAnsi="Arial" w:cs="Arial"/>
          <w:sz w:val="20"/>
          <w:szCs w:val="20"/>
        </w:rPr>
        <w:t xml:space="preserve">, once again, </w:t>
      </w:r>
      <w:r w:rsidR="00570C7B" w:rsidRPr="009A3C2A">
        <w:rPr>
          <w:rFonts w:ascii="Arial" w:hAnsi="Arial" w:cs="Arial"/>
          <w:sz w:val="20"/>
          <w:szCs w:val="20"/>
        </w:rPr>
        <w:t>that i</w:t>
      </w:r>
      <w:r w:rsidR="00B01C19" w:rsidRPr="009A3C2A">
        <w:rPr>
          <w:rFonts w:ascii="Arial" w:hAnsi="Arial" w:cs="Arial"/>
          <w:sz w:val="20"/>
          <w:szCs w:val="20"/>
        </w:rPr>
        <w:t>t</w:t>
      </w:r>
      <w:r w:rsidR="00570C7B" w:rsidRPr="009A3C2A">
        <w:rPr>
          <w:rFonts w:ascii="Arial" w:hAnsi="Arial" w:cs="Arial"/>
          <w:sz w:val="20"/>
          <w:szCs w:val="20"/>
        </w:rPr>
        <w:t xml:space="preserve"> </w:t>
      </w:r>
      <w:r w:rsidR="005B7A46" w:rsidRPr="009A3C2A">
        <w:rPr>
          <w:rFonts w:ascii="Arial" w:hAnsi="Arial" w:cs="Arial"/>
          <w:sz w:val="20"/>
          <w:szCs w:val="20"/>
        </w:rPr>
        <w:t>was unable to roll-</w:t>
      </w:r>
      <w:r w:rsidRPr="009A3C2A">
        <w:rPr>
          <w:rFonts w:ascii="Arial" w:hAnsi="Arial" w:cs="Arial"/>
          <w:sz w:val="20"/>
          <w:szCs w:val="20"/>
        </w:rPr>
        <w:t xml:space="preserve">out the court online system in two service </w:t>
      </w:r>
      <w:r w:rsidR="00570C7B" w:rsidRPr="009A3C2A">
        <w:rPr>
          <w:rFonts w:ascii="Arial" w:hAnsi="Arial" w:cs="Arial"/>
          <w:sz w:val="20"/>
          <w:szCs w:val="20"/>
        </w:rPr>
        <w:t>centres</w:t>
      </w:r>
      <w:r w:rsidRPr="009A3C2A">
        <w:rPr>
          <w:rFonts w:ascii="Arial" w:hAnsi="Arial" w:cs="Arial"/>
          <w:sz w:val="20"/>
          <w:szCs w:val="20"/>
        </w:rPr>
        <w:t xml:space="preserve"> as </w:t>
      </w:r>
      <w:r w:rsidR="00570C7B" w:rsidRPr="009A3C2A">
        <w:rPr>
          <w:rFonts w:ascii="Arial" w:hAnsi="Arial" w:cs="Arial"/>
          <w:sz w:val="20"/>
          <w:szCs w:val="20"/>
        </w:rPr>
        <w:t>planned</w:t>
      </w:r>
      <w:r w:rsidR="00E14A95" w:rsidRPr="009A3C2A">
        <w:rPr>
          <w:rFonts w:ascii="Arial" w:hAnsi="Arial" w:cs="Arial"/>
          <w:sz w:val="20"/>
          <w:szCs w:val="20"/>
        </w:rPr>
        <w:t xml:space="preserve">. We note, however, </w:t>
      </w:r>
      <w:r w:rsidR="005B7A46" w:rsidRPr="009A3C2A">
        <w:rPr>
          <w:rFonts w:ascii="Arial" w:hAnsi="Arial" w:cs="Arial"/>
          <w:sz w:val="20"/>
          <w:szCs w:val="20"/>
        </w:rPr>
        <w:t>that</w:t>
      </w:r>
      <w:r w:rsidR="00E14A95" w:rsidRPr="009A3C2A">
        <w:rPr>
          <w:rFonts w:ascii="Arial" w:hAnsi="Arial" w:cs="Arial"/>
          <w:sz w:val="20"/>
          <w:szCs w:val="20"/>
        </w:rPr>
        <w:t xml:space="preserve"> </w:t>
      </w:r>
      <w:r w:rsidR="005B7A46" w:rsidRPr="009A3C2A">
        <w:rPr>
          <w:rFonts w:ascii="Arial" w:hAnsi="Arial" w:cs="Arial"/>
          <w:sz w:val="20"/>
          <w:szCs w:val="20"/>
        </w:rPr>
        <w:t>piloting</w:t>
      </w:r>
      <w:r w:rsidR="00E14A95" w:rsidRPr="009A3C2A">
        <w:rPr>
          <w:rFonts w:ascii="Arial" w:hAnsi="Arial" w:cs="Arial"/>
          <w:sz w:val="20"/>
          <w:szCs w:val="20"/>
        </w:rPr>
        <w:t xml:space="preserve"> has begun </w:t>
      </w:r>
      <w:r w:rsidR="005B7A46" w:rsidRPr="009A3C2A">
        <w:rPr>
          <w:rFonts w:ascii="Arial" w:hAnsi="Arial" w:cs="Arial"/>
          <w:sz w:val="20"/>
          <w:szCs w:val="20"/>
        </w:rPr>
        <w:t>in the Johannesburg and Pretoria High Courts</w:t>
      </w:r>
      <w:r w:rsidR="00E14A95" w:rsidRPr="009A3C2A">
        <w:rPr>
          <w:rFonts w:ascii="Arial" w:hAnsi="Arial" w:cs="Arial"/>
          <w:sz w:val="20"/>
          <w:szCs w:val="20"/>
        </w:rPr>
        <w:t xml:space="preserve"> from the beginning of the 2022/23 financial year</w:t>
      </w:r>
      <w:r w:rsidR="005B7A46" w:rsidRPr="009A3C2A">
        <w:rPr>
          <w:rFonts w:ascii="Arial" w:hAnsi="Arial" w:cs="Arial"/>
          <w:sz w:val="20"/>
          <w:szCs w:val="20"/>
        </w:rPr>
        <w:t>.</w:t>
      </w:r>
      <w:r w:rsidRPr="009A3C2A">
        <w:rPr>
          <w:rFonts w:ascii="Arial" w:hAnsi="Arial" w:cs="Arial"/>
          <w:b/>
          <w:i/>
          <w:sz w:val="20"/>
          <w:szCs w:val="20"/>
        </w:rPr>
        <w:t xml:space="preserve"> </w:t>
      </w:r>
    </w:p>
    <w:p w:rsidR="00A82BDF" w:rsidRPr="009A3C2A" w:rsidRDefault="00A82BDF" w:rsidP="009A3C2A">
      <w:pPr>
        <w:pStyle w:val="ListParagraph"/>
        <w:rPr>
          <w:rFonts w:ascii="Arial" w:hAnsi="Arial" w:cs="Arial"/>
          <w:b/>
          <w:i/>
          <w:sz w:val="20"/>
          <w:szCs w:val="20"/>
        </w:rPr>
      </w:pPr>
    </w:p>
    <w:p w:rsidR="00B01C19" w:rsidRPr="009A3C2A" w:rsidRDefault="00B01C19"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Employment of women in senior management</w:t>
      </w:r>
      <w:r w:rsidRPr="009A3C2A">
        <w:rPr>
          <w:rFonts w:ascii="Arial" w:hAnsi="Arial" w:cs="Arial"/>
          <w:sz w:val="20"/>
          <w:szCs w:val="20"/>
        </w:rPr>
        <w:t xml:space="preserve">. </w:t>
      </w:r>
      <w:r w:rsidR="00E14A95" w:rsidRPr="009A3C2A">
        <w:rPr>
          <w:rFonts w:ascii="Arial" w:hAnsi="Arial" w:cs="Arial"/>
          <w:sz w:val="20"/>
          <w:szCs w:val="20"/>
        </w:rPr>
        <w:t xml:space="preserve">We are pleased that the OCJ is able to report progress concerning the employment of women in senior management even if it has not yet met the target of 50%. Nevertheless, we will continue to monitor progress going forward. We are also mindful that </w:t>
      </w:r>
      <w:r w:rsidR="009D2602" w:rsidRPr="009A3C2A">
        <w:rPr>
          <w:rFonts w:ascii="Arial" w:hAnsi="Arial" w:cs="Arial"/>
          <w:sz w:val="20"/>
          <w:szCs w:val="20"/>
        </w:rPr>
        <w:t xml:space="preserve">promoting </w:t>
      </w:r>
      <w:r w:rsidR="00E14A95" w:rsidRPr="009A3C2A">
        <w:rPr>
          <w:rFonts w:ascii="Arial" w:hAnsi="Arial" w:cs="Arial"/>
          <w:sz w:val="20"/>
          <w:szCs w:val="20"/>
        </w:rPr>
        <w:t xml:space="preserve">gender equality </w:t>
      </w:r>
      <w:r w:rsidR="00FF0F76" w:rsidRPr="009A3C2A">
        <w:rPr>
          <w:rFonts w:ascii="Arial" w:hAnsi="Arial" w:cs="Arial"/>
          <w:sz w:val="20"/>
          <w:szCs w:val="20"/>
        </w:rPr>
        <w:t xml:space="preserve">is multifaceted, </w:t>
      </w:r>
      <w:r w:rsidR="00E14A95" w:rsidRPr="009A3C2A">
        <w:rPr>
          <w:rFonts w:ascii="Arial" w:hAnsi="Arial" w:cs="Arial"/>
          <w:sz w:val="20"/>
          <w:szCs w:val="20"/>
        </w:rPr>
        <w:t>extend</w:t>
      </w:r>
      <w:r w:rsidR="00FF0F76" w:rsidRPr="009A3C2A">
        <w:rPr>
          <w:rFonts w:ascii="Arial" w:hAnsi="Arial" w:cs="Arial"/>
          <w:sz w:val="20"/>
          <w:szCs w:val="20"/>
        </w:rPr>
        <w:t>ing</w:t>
      </w:r>
      <w:r w:rsidR="00E14A95" w:rsidRPr="009A3C2A">
        <w:rPr>
          <w:rFonts w:ascii="Arial" w:hAnsi="Arial" w:cs="Arial"/>
          <w:sz w:val="20"/>
          <w:szCs w:val="20"/>
        </w:rPr>
        <w:t xml:space="preserve"> far beyond </w:t>
      </w:r>
      <w:r w:rsidR="00FF0F76" w:rsidRPr="009A3C2A">
        <w:rPr>
          <w:rFonts w:ascii="Arial" w:hAnsi="Arial" w:cs="Arial"/>
          <w:sz w:val="20"/>
          <w:szCs w:val="20"/>
        </w:rPr>
        <w:t xml:space="preserve">employing </w:t>
      </w:r>
      <w:r w:rsidR="00E14A95" w:rsidRPr="009A3C2A">
        <w:rPr>
          <w:rFonts w:ascii="Arial" w:hAnsi="Arial" w:cs="Arial"/>
          <w:sz w:val="20"/>
          <w:szCs w:val="20"/>
        </w:rPr>
        <w:t xml:space="preserve">women in senior management positions </w:t>
      </w:r>
      <w:r w:rsidR="00FF0F76" w:rsidRPr="009A3C2A">
        <w:rPr>
          <w:rFonts w:ascii="Arial" w:hAnsi="Arial" w:cs="Arial"/>
          <w:sz w:val="20"/>
          <w:szCs w:val="20"/>
        </w:rPr>
        <w:t>a</w:t>
      </w:r>
      <w:r w:rsidR="00E14A95" w:rsidRPr="009A3C2A">
        <w:rPr>
          <w:rFonts w:ascii="Arial" w:hAnsi="Arial" w:cs="Arial"/>
          <w:sz w:val="20"/>
          <w:szCs w:val="20"/>
        </w:rPr>
        <w:t xml:space="preserve">nd includes ensuring </w:t>
      </w:r>
      <w:r w:rsidR="009F1A82" w:rsidRPr="009A3C2A">
        <w:rPr>
          <w:rFonts w:ascii="Arial" w:hAnsi="Arial" w:cs="Arial"/>
          <w:sz w:val="20"/>
          <w:szCs w:val="20"/>
        </w:rPr>
        <w:t>a</w:t>
      </w:r>
      <w:r w:rsidR="00FF0F76" w:rsidRPr="009A3C2A">
        <w:rPr>
          <w:rFonts w:ascii="Arial" w:hAnsi="Arial" w:cs="Arial"/>
          <w:sz w:val="20"/>
          <w:szCs w:val="20"/>
        </w:rPr>
        <w:t xml:space="preserve"> w</w:t>
      </w:r>
      <w:r w:rsidR="009F1A82" w:rsidRPr="009A3C2A">
        <w:rPr>
          <w:rFonts w:ascii="Arial" w:hAnsi="Arial" w:cs="Arial"/>
          <w:sz w:val="20"/>
          <w:szCs w:val="20"/>
        </w:rPr>
        <w:t xml:space="preserve">ork environment that is appropriately supportive with </w:t>
      </w:r>
      <w:r w:rsidR="009D2602" w:rsidRPr="009A3C2A">
        <w:rPr>
          <w:rFonts w:ascii="Arial" w:hAnsi="Arial" w:cs="Arial"/>
          <w:sz w:val="20"/>
          <w:szCs w:val="20"/>
        </w:rPr>
        <w:t>opportunities for p</w:t>
      </w:r>
      <w:r w:rsidR="009F1A82" w:rsidRPr="009A3C2A">
        <w:rPr>
          <w:rFonts w:ascii="Arial" w:hAnsi="Arial" w:cs="Arial"/>
          <w:sz w:val="20"/>
          <w:szCs w:val="20"/>
        </w:rPr>
        <w:t>ersonal development.</w:t>
      </w:r>
      <w:r w:rsidR="00E14A95" w:rsidRPr="009A3C2A">
        <w:rPr>
          <w:rFonts w:ascii="Arial" w:hAnsi="Arial" w:cs="Arial"/>
          <w:sz w:val="20"/>
          <w:szCs w:val="20"/>
        </w:rPr>
        <w:t xml:space="preserve"> </w:t>
      </w:r>
    </w:p>
    <w:p w:rsidR="00E14A95" w:rsidRPr="009A3C2A" w:rsidRDefault="00E14A95" w:rsidP="009A3C2A">
      <w:pPr>
        <w:pStyle w:val="ListParagraph"/>
        <w:rPr>
          <w:rFonts w:ascii="Arial" w:hAnsi="Arial" w:cs="Arial"/>
          <w:sz w:val="20"/>
          <w:szCs w:val="20"/>
        </w:rPr>
      </w:pPr>
    </w:p>
    <w:p w:rsidR="00E61AE8" w:rsidRPr="009A3C2A" w:rsidRDefault="00D022DE"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E</w:t>
      </w:r>
      <w:r w:rsidR="00C95F3C" w:rsidRPr="009A3C2A">
        <w:rPr>
          <w:rFonts w:ascii="Arial" w:hAnsi="Arial" w:cs="Arial"/>
          <w:b/>
          <w:i/>
          <w:sz w:val="20"/>
          <w:szCs w:val="20"/>
        </w:rPr>
        <w:t>mployment of persons with disabilities</w:t>
      </w:r>
      <w:r w:rsidR="00C95F3C" w:rsidRPr="009A3C2A">
        <w:rPr>
          <w:rFonts w:ascii="Arial" w:hAnsi="Arial" w:cs="Arial"/>
          <w:sz w:val="20"/>
          <w:szCs w:val="20"/>
        </w:rPr>
        <w:t xml:space="preserve">. </w:t>
      </w:r>
      <w:r w:rsidR="00E61AE8" w:rsidRPr="009A3C2A">
        <w:rPr>
          <w:rFonts w:ascii="Arial" w:hAnsi="Arial" w:cs="Arial"/>
          <w:sz w:val="20"/>
          <w:szCs w:val="20"/>
        </w:rPr>
        <w:t xml:space="preserve">The Committee </w:t>
      </w:r>
      <w:r w:rsidRPr="009A3C2A">
        <w:rPr>
          <w:rFonts w:ascii="Arial" w:hAnsi="Arial" w:cs="Arial"/>
          <w:sz w:val="20"/>
          <w:szCs w:val="20"/>
        </w:rPr>
        <w:t>notes that</w:t>
      </w:r>
      <w:r w:rsidR="009F1A82" w:rsidRPr="009A3C2A">
        <w:rPr>
          <w:rFonts w:ascii="Arial" w:hAnsi="Arial" w:cs="Arial"/>
          <w:sz w:val="20"/>
          <w:szCs w:val="20"/>
        </w:rPr>
        <w:t>,</w:t>
      </w:r>
      <w:r w:rsidRPr="009A3C2A">
        <w:rPr>
          <w:rFonts w:ascii="Arial" w:hAnsi="Arial" w:cs="Arial"/>
          <w:sz w:val="20"/>
          <w:szCs w:val="20"/>
        </w:rPr>
        <w:t xml:space="preserve"> </w:t>
      </w:r>
      <w:r w:rsidR="00B01C19" w:rsidRPr="009A3C2A">
        <w:rPr>
          <w:rFonts w:ascii="Arial" w:hAnsi="Arial" w:cs="Arial"/>
          <w:sz w:val="20"/>
          <w:szCs w:val="20"/>
        </w:rPr>
        <w:t>once again</w:t>
      </w:r>
      <w:r w:rsidR="009F1A82" w:rsidRPr="009A3C2A">
        <w:rPr>
          <w:rFonts w:ascii="Arial" w:hAnsi="Arial" w:cs="Arial"/>
          <w:sz w:val="20"/>
          <w:szCs w:val="20"/>
        </w:rPr>
        <w:t>,</w:t>
      </w:r>
      <w:r w:rsidR="00B01C19" w:rsidRPr="009A3C2A">
        <w:rPr>
          <w:rFonts w:ascii="Arial" w:hAnsi="Arial" w:cs="Arial"/>
          <w:sz w:val="20"/>
          <w:szCs w:val="20"/>
        </w:rPr>
        <w:t xml:space="preserve"> </w:t>
      </w:r>
      <w:r w:rsidRPr="009A3C2A">
        <w:rPr>
          <w:rFonts w:ascii="Arial" w:hAnsi="Arial" w:cs="Arial"/>
          <w:sz w:val="20"/>
          <w:szCs w:val="20"/>
        </w:rPr>
        <w:t xml:space="preserve">the OCJ </w:t>
      </w:r>
      <w:r w:rsidR="009F1A82" w:rsidRPr="009A3C2A">
        <w:rPr>
          <w:rFonts w:ascii="Arial" w:hAnsi="Arial" w:cs="Arial"/>
          <w:sz w:val="20"/>
          <w:szCs w:val="20"/>
        </w:rPr>
        <w:t xml:space="preserve">did not </w:t>
      </w:r>
      <w:r w:rsidRPr="009A3C2A">
        <w:rPr>
          <w:rFonts w:ascii="Arial" w:hAnsi="Arial" w:cs="Arial"/>
          <w:sz w:val="20"/>
          <w:szCs w:val="20"/>
        </w:rPr>
        <w:t xml:space="preserve">achieve its employment targets for </w:t>
      </w:r>
      <w:r w:rsidR="00E61AE8" w:rsidRPr="009A3C2A">
        <w:rPr>
          <w:rFonts w:ascii="Arial" w:hAnsi="Arial" w:cs="Arial"/>
          <w:sz w:val="20"/>
          <w:szCs w:val="20"/>
        </w:rPr>
        <w:t>persons with disabilities</w:t>
      </w:r>
      <w:r w:rsidR="00FF0F76" w:rsidRPr="009A3C2A">
        <w:rPr>
          <w:rFonts w:ascii="Arial" w:hAnsi="Arial" w:cs="Arial"/>
          <w:sz w:val="20"/>
          <w:szCs w:val="20"/>
        </w:rPr>
        <w:t xml:space="preserve"> and will continue </w:t>
      </w:r>
      <w:r w:rsidRPr="009A3C2A">
        <w:rPr>
          <w:rFonts w:ascii="Arial" w:hAnsi="Arial" w:cs="Arial"/>
          <w:sz w:val="20"/>
          <w:szCs w:val="20"/>
        </w:rPr>
        <w:t xml:space="preserve">to </w:t>
      </w:r>
      <w:r w:rsidR="00445A4B" w:rsidRPr="009A3C2A">
        <w:rPr>
          <w:rFonts w:ascii="Arial" w:hAnsi="Arial" w:cs="Arial"/>
          <w:sz w:val="20"/>
          <w:szCs w:val="20"/>
        </w:rPr>
        <w:t>monitor progress.</w:t>
      </w:r>
      <w:r w:rsidR="00FF0F76" w:rsidRPr="009A3C2A">
        <w:rPr>
          <w:rFonts w:ascii="Arial" w:hAnsi="Arial" w:cs="Arial"/>
          <w:sz w:val="20"/>
          <w:szCs w:val="20"/>
        </w:rPr>
        <w:t xml:space="preserve"> However, as we mention in the paragraph above, the promotion of equality for persons with disabilities is multifaceted, extending beyond employment.</w:t>
      </w:r>
    </w:p>
    <w:p w:rsidR="00445A4B" w:rsidRPr="009A3C2A" w:rsidRDefault="00445A4B" w:rsidP="009A3C2A">
      <w:pPr>
        <w:pStyle w:val="ListParagraph"/>
        <w:rPr>
          <w:rFonts w:ascii="Arial" w:hAnsi="Arial" w:cs="Arial"/>
          <w:sz w:val="20"/>
          <w:szCs w:val="20"/>
        </w:rPr>
      </w:pPr>
    </w:p>
    <w:p w:rsidR="005D13B4" w:rsidRPr="009A3C2A" w:rsidRDefault="00FA66A1"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lang w:eastAsia="en-ZA"/>
        </w:rPr>
        <w:t>Audit outcome</w:t>
      </w:r>
      <w:r w:rsidRPr="009A3C2A">
        <w:rPr>
          <w:rFonts w:ascii="Arial" w:hAnsi="Arial" w:cs="Arial"/>
          <w:sz w:val="20"/>
          <w:szCs w:val="20"/>
          <w:lang w:eastAsia="en-ZA"/>
        </w:rPr>
        <w:t xml:space="preserve">. </w:t>
      </w:r>
      <w:r w:rsidR="00B01C19" w:rsidRPr="009A3C2A">
        <w:rPr>
          <w:rFonts w:ascii="Arial" w:hAnsi="Arial" w:cs="Arial"/>
          <w:sz w:val="20"/>
          <w:szCs w:val="20"/>
          <w:lang w:eastAsia="en-ZA"/>
        </w:rPr>
        <w:t>Although the OCJ achieved an unqualified audit opinion, we are concerned that this outcome is in fact a regression from previous years</w:t>
      </w:r>
      <w:r w:rsidR="00A82BDF" w:rsidRPr="009A3C2A">
        <w:rPr>
          <w:rFonts w:ascii="Arial" w:hAnsi="Arial" w:cs="Arial"/>
          <w:noProof/>
          <w:sz w:val="20"/>
          <w:szCs w:val="20"/>
        </w:rPr>
        <w:t xml:space="preserve">. </w:t>
      </w:r>
      <w:r w:rsidR="00FF0F76" w:rsidRPr="009A3C2A">
        <w:rPr>
          <w:rFonts w:ascii="Arial" w:hAnsi="Arial" w:cs="Arial"/>
          <w:noProof/>
          <w:sz w:val="20"/>
          <w:szCs w:val="20"/>
        </w:rPr>
        <w:t xml:space="preserve">We note the many </w:t>
      </w:r>
      <w:r w:rsidR="00B01C19" w:rsidRPr="009A3C2A">
        <w:rPr>
          <w:rFonts w:ascii="Arial" w:hAnsi="Arial" w:cs="Arial"/>
          <w:sz w:val="20"/>
          <w:szCs w:val="20"/>
        </w:rPr>
        <w:t>instances of irregular exp</w:t>
      </w:r>
      <w:r w:rsidR="00FF0F76" w:rsidRPr="009A3C2A">
        <w:rPr>
          <w:rFonts w:ascii="Arial" w:hAnsi="Arial" w:cs="Arial"/>
          <w:sz w:val="20"/>
          <w:szCs w:val="20"/>
        </w:rPr>
        <w:t xml:space="preserve">enditure related to procurement in the ICT environment, mostly as a result of </w:t>
      </w:r>
      <w:r w:rsidR="00B01C19" w:rsidRPr="009A3C2A">
        <w:rPr>
          <w:rFonts w:ascii="Arial" w:hAnsi="Arial" w:cs="Arial"/>
          <w:sz w:val="20"/>
          <w:szCs w:val="20"/>
        </w:rPr>
        <w:t>not following the SITA Act and Regulat</w:t>
      </w:r>
      <w:r w:rsidR="00FF0F76" w:rsidRPr="009A3C2A">
        <w:rPr>
          <w:rFonts w:ascii="Arial" w:hAnsi="Arial" w:cs="Arial"/>
          <w:sz w:val="20"/>
          <w:szCs w:val="20"/>
        </w:rPr>
        <w:t xml:space="preserve">ions on procurement processes. </w:t>
      </w:r>
    </w:p>
    <w:p w:rsidR="00FF0F76" w:rsidRPr="009A3C2A" w:rsidRDefault="00FF0F76" w:rsidP="009A3C2A">
      <w:pPr>
        <w:pStyle w:val="ListParagraph"/>
        <w:rPr>
          <w:rFonts w:ascii="Arial" w:hAnsi="Arial" w:cs="Arial"/>
          <w:sz w:val="20"/>
          <w:szCs w:val="20"/>
        </w:rPr>
      </w:pPr>
    </w:p>
    <w:p w:rsidR="00FF0F76" w:rsidRPr="009A3C2A" w:rsidRDefault="00FF0F76" w:rsidP="009A3C2A">
      <w:pPr>
        <w:pStyle w:val="ListParagraph"/>
        <w:autoSpaceDE w:val="0"/>
        <w:autoSpaceDN w:val="0"/>
        <w:adjustRightInd w:val="0"/>
        <w:ind w:left="851"/>
        <w:contextualSpacing/>
        <w:rPr>
          <w:rFonts w:ascii="Arial" w:hAnsi="Arial" w:cs="Arial"/>
          <w:sz w:val="20"/>
          <w:szCs w:val="20"/>
        </w:rPr>
      </w:pPr>
      <w:r w:rsidRPr="009A3C2A">
        <w:rPr>
          <w:rFonts w:ascii="Arial" w:hAnsi="Arial" w:cs="Arial"/>
          <w:sz w:val="20"/>
          <w:szCs w:val="20"/>
        </w:rPr>
        <w:t xml:space="preserve">We note </w:t>
      </w:r>
      <w:r w:rsidR="00B53A9C" w:rsidRPr="009A3C2A">
        <w:rPr>
          <w:rFonts w:ascii="Arial" w:hAnsi="Arial" w:cs="Arial"/>
          <w:sz w:val="20"/>
          <w:szCs w:val="20"/>
        </w:rPr>
        <w:t xml:space="preserve">also </w:t>
      </w:r>
      <w:r w:rsidRPr="009A3C2A">
        <w:rPr>
          <w:rFonts w:ascii="Arial" w:hAnsi="Arial" w:cs="Arial"/>
          <w:sz w:val="20"/>
          <w:szCs w:val="20"/>
        </w:rPr>
        <w:t>that the Auditor-General identified vacancies in critical occupations</w:t>
      </w:r>
      <w:r w:rsidR="00CE4D38" w:rsidRPr="009A3C2A">
        <w:rPr>
          <w:rFonts w:ascii="Arial" w:hAnsi="Arial" w:cs="Arial"/>
          <w:sz w:val="20"/>
          <w:szCs w:val="20"/>
        </w:rPr>
        <w:t xml:space="preserve"> that</w:t>
      </w:r>
      <w:r w:rsidRPr="009A3C2A">
        <w:rPr>
          <w:rFonts w:ascii="Arial" w:hAnsi="Arial" w:cs="Arial"/>
          <w:sz w:val="20"/>
          <w:szCs w:val="20"/>
        </w:rPr>
        <w:t xml:space="preserve"> </w:t>
      </w:r>
      <w:r w:rsidR="00B53A9C" w:rsidRPr="009A3C2A">
        <w:rPr>
          <w:rFonts w:ascii="Arial" w:hAnsi="Arial" w:cs="Arial"/>
          <w:sz w:val="20"/>
          <w:szCs w:val="20"/>
        </w:rPr>
        <w:t xml:space="preserve">led to a lack of segregation of duties as a root cause. </w:t>
      </w:r>
    </w:p>
    <w:p w:rsidR="0068438C" w:rsidRPr="009A3C2A" w:rsidRDefault="0068438C" w:rsidP="009A3C2A">
      <w:pPr>
        <w:pStyle w:val="ListParagraph"/>
        <w:autoSpaceDE w:val="0"/>
        <w:autoSpaceDN w:val="0"/>
        <w:adjustRightInd w:val="0"/>
        <w:ind w:left="851"/>
        <w:contextualSpacing/>
        <w:rPr>
          <w:rFonts w:ascii="Arial" w:hAnsi="Arial" w:cs="Arial"/>
          <w:sz w:val="20"/>
          <w:szCs w:val="20"/>
        </w:rPr>
      </w:pPr>
    </w:p>
    <w:p w:rsidR="0068438C" w:rsidRPr="009A3C2A" w:rsidRDefault="0068438C" w:rsidP="009A3C2A">
      <w:pPr>
        <w:pStyle w:val="ListParagraph"/>
        <w:autoSpaceDE w:val="0"/>
        <w:autoSpaceDN w:val="0"/>
        <w:adjustRightInd w:val="0"/>
        <w:ind w:left="851"/>
        <w:contextualSpacing/>
        <w:rPr>
          <w:rFonts w:ascii="Arial" w:hAnsi="Arial" w:cs="Arial"/>
          <w:sz w:val="20"/>
          <w:szCs w:val="20"/>
        </w:rPr>
      </w:pPr>
      <w:r w:rsidRPr="009A3C2A">
        <w:rPr>
          <w:rFonts w:ascii="Arial" w:hAnsi="Arial" w:cs="Arial"/>
          <w:sz w:val="20"/>
          <w:szCs w:val="20"/>
        </w:rPr>
        <w:t xml:space="preserve">We discuss the matter of the vacancies below and include reporting requests. </w:t>
      </w:r>
    </w:p>
    <w:p w:rsidR="00B53A9C" w:rsidRPr="009A3C2A" w:rsidRDefault="00B53A9C" w:rsidP="009A3C2A">
      <w:pPr>
        <w:pStyle w:val="ListParagraph"/>
        <w:autoSpaceDE w:val="0"/>
        <w:autoSpaceDN w:val="0"/>
        <w:adjustRightInd w:val="0"/>
        <w:ind w:left="851"/>
        <w:contextualSpacing/>
        <w:rPr>
          <w:rFonts w:ascii="Arial" w:hAnsi="Arial" w:cs="Arial"/>
          <w:sz w:val="20"/>
          <w:szCs w:val="20"/>
        </w:rPr>
      </w:pPr>
    </w:p>
    <w:p w:rsidR="00B53A9C" w:rsidRPr="009A3C2A" w:rsidRDefault="005D6D49"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‘Caselines’</w:t>
      </w:r>
      <w:r w:rsidRPr="009A3C2A">
        <w:rPr>
          <w:rFonts w:ascii="Arial" w:hAnsi="Arial" w:cs="Arial"/>
          <w:sz w:val="20"/>
          <w:szCs w:val="20"/>
        </w:rPr>
        <w:t xml:space="preserve">. </w:t>
      </w:r>
      <w:r w:rsidR="00B53A9C" w:rsidRPr="009A3C2A">
        <w:rPr>
          <w:rFonts w:ascii="Arial" w:hAnsi="Arial" w:cs="Arial"/>
          <w:sz w:val="20"/>
          <w:szCs w:val="20"/>
        </w:rPr>
        <w:t xml:space="preserve">We </w:t>
      </w:r>
      <w:r w:rsidRPr="009A3C2A">
        <w:rPr>
          <w:rFonts w:ascii="Arial" w:hAnsi="Arial" w:cs="Arial"/>
          <w:sz w:val="20"/>
          <w:szCs w:val="20"/>
        </w:rPr>
        <w:t xml:space="preserve">note the Auditor-General’s findings and recommendations concerning the procurement relating to the ‘Caselines’ project. We have </w:t>
      </w:r>
      <w:r w:rsidR="00B53A9C" w:rsidRPr="009A3C2A">
        <w:rPr>
          <w:rFonts w:ascii="Arial" w:hAnsi="Arial" w:cs="Arial"/>
          <w:sz w:val="20"/>
          <w:szCs w:val="20"/>
        </w:rPr>
        <w:t>engaged the OCJ on th</w:t>
      </w:r>
      <w:r w:rsidRPr="009A3C2A">
        <w:rPr>
          <w:rFonts w:ascii="Arial" w:hAnsi="Arial" w:cs="Arial"/>
          <w:sz w:val="20"/>
          <w:szCs w:val="20"/>
        </w:rPr>
        <w:t>is</w:t>
      </w:r>
      <w:r w:rsidR="00B53A9C" w:rsidRPr="009A3C2A">
        <w:rPr>
          <w:rFonts w:ascii="Arial" w:hAnsi="Arial" w:cs="Arial"/>
          <w:sz w:val="20"/>
          <w:szCs w:val="20"/>
        </w:rPr>
        <w:t xml:space="preserve"> matter on </w:t>
      </w:r>
      <w:r w:rsidR="0068438C" w:rsidRPr="009A3C2A">
        <w:rPr>
          <w:rFonts w:ascii="Arial" w:hAnsi="Arial" w:cs="Arial"/>
          <w:sz w:val="20"/>
          <w:szCs w:val="20"/>
        </w:rPr>
        <w:t xml:space="preserve">a number of </w:t>
      </w:r>
      <w:r w:rsidR="00B53A9C" w:rsidRPr="009A3C2A">
        <w:rPr>
          <w:rFonts w:ascii="Arial" w:hAnsi="Arial" w:cs="Arial"/>
          <w:sz w:val="20"/>
          <w:szCs w:val="20"/>
        </w:rPr>
        <w:t>occasions</w:t>
      </w:r>
      <w:r w:rsidR="0068438C" w:rsidRPr="009A3C2A">
        <w:rPr>
          <w:rFonts w:ascii="Arial" w:hAnsi="Arial" w:cs="Arial"/>
          <w:sz w:val="20"/>
          <w:szCs w:val="20"/>
        </w:rPr>
        <w:t xml:space="preserve">. We note that the </w:t>
      </w:r>
      <w:r w:rsidR="00CE4D38" w:rsidRPr="009A3C2A">
        <w:rPr>
          <w:rFonts w:ascii="Arial" w:hAnsi="Arial" w:cs="Arial"/>
          <w:sz w:val="20"/>
          <w:szCs w:val="20"/>
        </w:rPr>
        <w:t>OCJ</w:t>
      </w:r>
      <w:r w:rsidR="0068438C" w:rsidRPr="009A3C2A">
        <w:rPr>
          <w:rFonts w:ascii="Arial" w:hAnsi="Arial" w:cs="Arial"/>
          <w:sz w:val="20"/>
          <w:szCs w:val="20"/>
        </w:rPr>
        <w:t xml:space="preserve"> reports </w:t>
      </w:r>
      <w:r w:rsidR="00CE4D38" w:rsidRPr="009A3C2A">
        <w:rPr>
          <w:rFonts w:ascii="Arial" w:hAnsi="Arial" w:cs="Arial"/>
          <w:sz w:val="20"/>
          <w:szCs w:val="20"/>
        </w:rPr>
        <w:t xml:space="preserve">that the </w:t>
      </w:r>
      <w:r w:rsidR="00B53A9C" w:rsidRPr="009A3C2A">
        <w:rPr>
          <w:rFonts w:ascii="Arial" w:hAnsi="Arial" w:cs="Arial"/>
          <w:sz w:val="20"/>
          <w:szCs w:val="20"/>
        </w:rPr>
        <w:t xml:space="preserve">matter is now being litigated. </w:t>
      </w:r>
      <w:r w:rsidR="0068438C" w:rsidRPr="009A3C2A">
        <w:rPr>
          <w:rFonts w:ascii="Arial" w:hAnsi="Arial" w:cs="Arial"/>
          <w:sz w:val="20"/>
          <w:szCs w:val="20"/>
        </w:rPr>
        <w:t>Concerning</w:t>
      </w:r>
      <w:r w:rsidRPr="009A3C2A">
        <w:rPr>
          <w:rFonts w:ascii="Arial" w:hAnsi="Arial" w:cs="Arial"/>
          <w:sz w:val="20"/>
          <w:szCs w:val="20"/>
        </w:rPr>
        <w:t xml:space="preserve"> its internal investigation, t</w:t>
      </w:r>
      <w:r w:rsidR="00B53A9C" w:rsidRPr="009A3C2A">
        <w:rPr>
          <w:rFonts w:ascii="Arial" w:hAnsi="Arial" w:cs="Arial"/>
          <w:sz w:val="20"/>
          <w:szCs w:val="20"/>
        </w:rPr>
        <w:t>he OCJ reports that it has referred the matter to the S</w:t>
      </w:r>
      <w:r w:rsidR="0068438C" w:rsidRPr="009A3C2A">
        <w:rPr>
          <w:rFonts w:ascii="Arial" w:hAnsi="Arial" w:cs="Arial"/>
          <w:sz w:val="20"/>
          <w:szCs w:val="20"/>
        </w:rPr>
        <w:t xml:space="preserve">pecial </w:t>
      </w:r>
      <w:r w:rsidR="00B53A9C" w:rsidRPr="009A3C2A">
        <w:rPr>
          <w:rFonts w:ascii="Arial" w:hAnsi="Arial" w:cs="Arial"/>
          <w:sz w:val="20"/>
          <w:szCs w:val="20"/>
        </w:rPr>
        <w:t>I</w:t>
      </w:r>
      <w:r w:rsidR="0068438C" w:rsidRPr="009A3C2A">
        <w:rPr>
          <w:rFonts w:ascii="Arial" w:hAnsi="Arial" w:cs="Arial"/>
          <w:sz w:val="20"/>
          <w:szCs w:val="20"/>
        </w:rPr>
        <w:t xml:space="preserve">nvestigating </w:t>
      </w:r>
      <w:r w:rsidR="00B53A9C" w:rsidRPr="009A3C2A">
        <w:rPr>
          <w:rFonts w:ascii="Arial" w:hAnsi="Arial" w:cs="Arial"/>
          <w:sz w:val="20"/>
          <w:szCs w:val="20"/>
        </w:rPr>
        <w:t>U</w:t>
      </w:r>
      <w:r w:rsidR="0068438C" w:rsidRPr="009A3C2A">
        <w:rPr>
          <w:rFonts w:ascii="Arial" w:hAnsi="Arial" w:cs="Arial"/>
          <w:sz w:val="20"/>
          <w:szCs w:val="20"/>
        </w:rPr>
        <w:t>nit</w:t>
      </w:r>
      <w:r w:rsidR="00B53A9C" w:rsidRPr="009A3C2A">
        <w:rPr>
          <w:rFonts w:ascii="Arial" w:hAnsi="Arial" w:cs="Arial"/>
          <w:sz w:val="20"/>
          <w:szCs w:val="20"/>
        </w:rPr>
        <w:t xml:space="preserve"> to review the contract</w:t>
      </w:r>
      <w:r w:rsidRPr="009A3C2A">
        <w:rPr>
          <w:rFonts w:ascii="Arial" w:hAnsi="Arial" w:cs="Arial"/>
          <w:sz w:val="20"/>
          <w:szCs w:val="20"/>
        </w:rPr>
        <w:t xml:space="preserve"> and for investigation</w:t>
      </w:r>
      <w:r w:rsidR="00B53A9C" w:rsidRPr="009A3C2A">
        <w:rPr>
          <w:rFonts w:ascii="Arial" w:hAnsi="Arial" w:cs="Arial"/>
          <w:sz w:val="20"/>
          <w:szCs w:val="20"/>
        </w:rPr>
        <w:t xml:space="preserve">. We </w:t>
      </w:r>
      <w:r w:rsidR="00CE4D38" w:rsidRPr="009A3C2A">
        <w:rPr>
          <w:rFonts w:ascii="Arial" w:hAnsi="Arial" w:cs="Arial"/>
          <w:sz w:val="20"/>
          <w:szCs w:val="20"/>
        </w:rPr>
        <w:t xml:space="preserve">note </w:t>
      </w:r>
      <w:r w:rsidR="0068438C" w:rsidRPr="009A3C2A">
        <w:rPr>
          <w:rFonts w:ascii="Arial" w:hAnsi="Arial" w:cs="Arial"/>
          <w:sz w:val="20"/>
          <w:szCs w:val="20"/>
        </w:rPr>
        <w:t xml:space="preserve">further </w:t>
      </w:r>
      <w:r w:rsidR="00CE4D38" w:rsidRPr="009A3C2A">
        <w:rPr>
          <w:rFonts w:ascii="Arial" w:hAnsi="Arial" w:cs="Arial"/>
          <w:sz w:val="20"/>
          <w:szCs w:val="20"/>
        </w:rPr>
        <w:t xml:space="preserve">that the OCJ anticipates that the internal investigation should be completed shortly and </w:t>
      </w:r>
      <w:r w:rsidRPr="009A3C2A">
        <w:rPr>
          <w:rFonts w:ascii="Arial" w:hAnsi="Arial" w:cs="Arial"/>
          <w:sz w:val="20"/>
          <w:szCs w:val="20"/>
        </w:rPr>
        <w:t>will continue to monitor progress.</w:t>
      </w:r>
      <w:r w:rsidR="00CE4D38" w:rsidRPr="009A3C2A">
        <w:rPr>
          <w:rFonts w:ascii="Arial" w:hAnsi="Arial" w:cs="Arial"/>
          <w:sz w:val="20"/>
          <w:szCs w:val="20"/>
        </w:rPr>
        <w:t xml:space="preserve"> </w:t>
      </w:r>
    </w:p>
    <w:p w:rsidR="00B01C19" w:rsidRPr="009A3C2A" w:rsidRDefault="00B01C19" w:rsidP="009A3C2A">
      <w:pPr>
        <w:autoSpaceDE w:val="0"/>
        <w:autoSpaceDN w:val="0"/>
        <w:adjustRightInd w:val="0"/>
        <w:ind w:left="720"/>
        <w:rPr>
          <w:rFonts w:ascii="Arial" w:hAnsi="Arial" w:cs="Arial"/>
          <w:sz w:val="20"/>
          <w:szCs w:val="20"/>
        </w:rPr>
      </w:pPr>
    </w:p>
    <w:p w:rsidR="00CE4D38" w:rsidRPr="009A3C2A" w:rsidRDefault="00CE4D38"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lang w:eastAsia="en-ZA"/>
        </w:rPr>
        <w:t>Vacancies</w:t>
      </w:r>
      <w:r w:rsidRPr="009A3C2A">
        <w:rPr>
          <w:rFonts w:ascii="Arial" w:hAnsi="Arial" w:cs="Arial"/>
          <w:sz w:val="20"/>
          <w:szCs w:val="20"/>
        </w:rPr>
        <w:t>. We note that although the OCJ reports an overall vacancy rate that is below the 10% norm suggested for the Public Service, vacancies in senior management is much higher at 14.6%.</w:t>
      </w:r>
      <w:r w:rsidR="005D6D49" w:rsidRPr="009A3C2A">
        <w:rPr>
          <w:rFonts w:ascii="Arial" w:hAnsi="Arial" w:cs="Arial"/>
          <w:sz w:val="20"/>
          <w:szCs w:val="20"/>
        </w:rPr>
        <w:t xml:space="preserve"> and we have already remarked that the Auditor-General has identified vacancies in critical positions as contributing to the increase in irregular expenditure. We, therefore request the OCJ to provide us with a report on its vacancies, particularly those in senior management and in critical occupations, with a recruitment plan, before </w:t>
      </w:r>
      <w:r w:rsidR="00D17E2C" w:rsidRPr="009A3C2A">
        <w:rPr>
          <w:rFonts w:ascii="Arial" w:hAnsi="Arial" w:cs="Arial"/>
          <w:sz w:val="20"/>
          <w:szCs w:val="20"/>
        </w:rPr>
        <w:t>31 January 2023</w:t>
      </w:r>
      <w:r w:rsidR="005D6D49" w:rsidRPr="009A3C2A">
        <w:rPr>
          <w:rFonts w:ascii="Arial" w:hAnsi="Arial" w:cs="Arial"/>
          <w:sz w:val="20"/>
          <w:szCs w:val="20"/>
        </w:rPr>
        <w:t>.</w:t>
      </w:r>
    </w:p>
    <w:p w:rsidR="00CE4D38" w:rsidRPr="009A3C2A" w:rsidRDefault="00CE4D38" w:rsidP="009A3C2A">
      <w:pPr>
        <w:autoSpaceDE w:val="0"/>
        <w:autoSpaceDN w:val="0"/>
        <w:adjustRightInd w:val="0"/>
        <w:ind w:left="720"/>
        <w:rPr>
          <w:rFonts w:ascii="Arial" w:hAnsi="Arial" w:cs="Arial"/>
          <w:sz w:val="20"/>
          <w:szCs w:val="20"/>
        </w:rPr>
      </w:pPr>
    </w:p>
    <w:p w:rsidR="00B01C19" w:rsidRPr="009A3C2A" w:rsidRDefault="00CE4D38"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Court modernisation and digital transformation project</w:t>
      </w:r>
      <w:r w:rsidRPr="009A3C2A">
        <w:rPr>
          <w:rFonts w:ascii="Arial" w:hAnsi="Arial" w:cs="Arial"/>
          <w:sz w:val="20"/>
          <w:szCs w:val="20"/>
        </w:rPr>
        <w:t xml:space="preserve">. We note that the piloting of the Court Online project was delayed and that the pilot projects began in the Gauteng High Court at Pretoria </w:t>
      </w:r>
      <w:r w:rsidRPr="009A3C2A">
        <w:rPr>
          <w:rFonts w:ascii="Arial" w:hAnsi="Arial" w:cs="Arial"/>
          <w:sz w:val="20"/>
          <w:szCs w:val="20"/>
        </w:rPr>
        <w:lastRenderedPageBreak/>
        <w:t xml:space="preserve">and Johannesburg at the beginning of the 2022/23 financial year. We request a fuller explanation of </w:t>
      </w:r>
      <w:r w:rsidR="002A79EA" w:rsidRPr="009A3C2A">
        <w:rPr>
          <w:rFonts w:ascii="Arial" w:hAnsi="Arial" w:cs="Arial"/>
          <w:sz w:val="20"/>
          <w:szCs w:val="20"/>
        </w:rPr>
        <w:t xml:space="preserve">the </w:t>
      </w:r>
      <w:r w:rsidRPr="009A3C2A">
        <w:rPr>
          <w:rFonts w:ascii="Arial" w:hAnsi="Arial" w:cs="Arial"/>
          <w:sz w:val="20"/>
          <w:szCs w:val="20"/>
        </w:rPr>
        <w:t xml:space="preserve">delay, as well as the progress of the pilot projects, in writing, before </w:t>
      </w:r>
      <w:r w:rsidR="00D17E2C" w:rsidRPr="009A3C2A">
        <w:rPr>
          <w:rFonts w:ascii="Arial" w:hAnsi="Arial" w:cs="Arial"/>
          <w:sz w:val="20"/>
          <w:szCs w:val="20"/>
        </w:rPr>
        <w:t>31 January 2023</w:t>
      </w:r>
      <w:r w:rsidRPr="009A3C2A">
        <w:rPr>
          <w:rFonts w:ascii="Arial" w:hAnsi="Arial" w:cs="Arial"/>
          <w:sz w:val="20"/>
          <w:szCs w:val="20"/>
        </w:rPr>
        <w:t>.</w:t>
      </w:r>
      <w:r w:rsidR="00B01C19" w:rsidRPr="009A3C2A">
        <w:rPr>
          <w:rFonts w:ascii="Arial" w:hAnsi="Arial" w:cs="Arial"/>
          <w:sz w:val="20"/>
          <w:szCs w:val="20"/>
        </w:rPr>
        <w:t xml:space="preserve"> </w:t>
      </w:r>
    </w:p>
    <w:p w:rsidR="005D6D49" w:rsidRPr="009A3C2A" w:rsidRDefault="005D6D49" w:rsidP="009A3C2A">
      <w:pPr>
        <w:pStyle w:val="ListParagraph"/>
        <w:rPr>
          <w:rFonts w:ascii="Arial" w:hAnsi="Arial" w:cs="Arial"/>
          <w:sz w:val="20"/>
          <w:szCs w:val="20"/>
        </w:rPr>
      </w:pPr>
    </w:p>
    <w:p w:rsidR="005D6D49" w:rsidRPr="009A3C2A" w:rsidRDefault="00E430A4"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b/>
          <w:i/>
          <w:sz w:val="20"/>
          <w:szCs w:val="20"/>
        </w:rPr>
        <w:t>Court infrastructure</w:t>
      </w:r>
      <w:r w:rsidR="00FB46AE" w:rsidRPr="009A3C2A">
        <w:rPr>
          <w:rFonts w:ascii="Arial" w:hAnsi="Arial" w:cs="Arial"/>
          <w:b/>
          <w:i/>
          <w:sz w:val="20"/>
          <w:szCs w:val="20"/>
        </w:rPr>
        <w:t xml:space="preserve"> and other arrangements</w:t>
      </w:r>
      <w:r w:rsidRPr="009A3C2A">
        <w:rPr>
          <w:rFonts w:ascii="Arial" w:hAnsi="Arial" w:cs="Arial"/>
          <w:sz w:val="20"/>
          <w:szCs w:val="20"/>
        </w:rPr>
        <w:t>. During our oversight visits we noted various challenges relating to the infrastructure and</w:t>
      </w:r>
      <w:r w:rsidR="00FB46AE" w:rsidRPr="009A3C2A">
        <w:rPr>
          <w:rFonts w:ascii="Arial" w:hAnsi="Arial" w:cs="Arial"/>
          <w:sz w:val="20"/>
          <w:szCs w:val="20"/>
        </w:rPr>
        <w:t>,</w:t>
      </w:r>
      <w:r w:rsidRPr="009A3C2A">
        <w:rPr>
          <w:rFonts w:ascii="Arial" w:hAnsi="Arial" w:cs="Arial"/>
          <w:sz w:val="20"/>
          <w:szCs w:val="20"/>
        </w:rPr>
        <w:t xml:space="preserve"> </w:t>
      </w:r>
      <w:r w:rsidR="00FB46AE" w:rsidRPr="009A3C2A">
        <w:rPr>
          <w:rFonts w:ascii="Arial" w:hAnsi="Arial" w:cs="Arial"/>
          <w:sz w:val="20"/>
          <w:szCs w:val="20"/>
        </w:rPr>
        <w:t xml:space="preserve">more generally, relating to the </w:t>
      </w:r>
      <w:r w:rsidRPr="009A3C2A">
        <w:rPr>
          <w:rFonts w:ascii="Arial" w:hAnsi="Arial" w:cs="Arial"/>
          <w:sz w:val="20"/>
          <w:szCs w:val="20"/>
        </w:rPr>
        <w:t>accommodation arrangements of the Superior Courts that we visited. We also noted that the Supreme Court of Appeals, like many other courts, experiences load</w:t>
      </w:r>
      <w:r w:rsidR="00FB46AE" w:rsidRPr="009A3C2A">
        <w:rPr>
          <w:rFonts w:ascii="Arial" w:hAnsi="Arial" w:cs="Arial"/>
          <w:sz w:val="20"/>
          <w:szCs w:val="20"/>
        </w:rPr>
        <w:t>-</w:t>
      </w:r>
      <w:r w:rsidRPr="009A3C2A">
        <w:rPr>
          <w:rFonts w:ascii="Arial" w:hAnsi="Arial" w:cs="Arial"/>
          <w:sz w:val="20"/>
          <w:szCs w:val="20"/>
        </w:rPr>
        <w:t>shedding, which delays proceedings</w:t>
      </w:r>
      <w:r w:rsidR="00FB46AE" w:rsidRPr="009A3C2A">
        <w:rPr>
          <w:rFonts w:ascii="Arial" w:hAnsi="Arial" w:cs="Arial"/>
          <w:sz w:val="20"/>
          <w:szCs w:val="20"/>
        </w:rPr>
        <w:t>. We understand that the OCJ has engaged with the SAPS regarding the possibility of listing the SCA under critical infrastructure but without success. We intend engaging with the Minister on this, and other matters that we identified, as soon as the programme permits.</w:t>
      </w:r>
    </w:p>
    <w:p w:rsidR="00FB46AE" w:rsidRPr="009A3C2A" w:rsidRDefault="00FB46AE" w:rsidP="009A3C2A">
      <w:pPr>
        <w:rPr>
          <w:rFonts w:ascii="Arial" w:hAnsi="Arial" w:cs="Arial"/>
          <w:sz w:val="20"/>
          <w:szCs w:val="20"/>
        </w:rPr>
      </w:pPr>
    </w:p>
    <w:p w:rsidR="00FB46AE" w:rsidRPr="009A3C2A" w:rsidRDefault="00FB46AE" w:rsidP="009A3C2A">
      <w:pPr>
        <w:autoSpaceDE w:val="0"/>
        <w:autoSpaceDN w:val="0"/>
        <w:adjustRightInd w:val="0"/>
        <w:rPr>
          <w:rFonts w:ascii="Arial" w:hAnsi="Arial" w:cs="Arial"/>
          <w:sz w:val="20"/>
          <w:szCs w:val="20"/>
        </w:rPr>
      </w:pPr>
    </w:p>
    <w:p w:rsidR="0093365C" w:rsidRPr="009A3C2A" w:rsidRDefault="00931E8A" w:rsidP="009A3C2A">
      <w:pPr>
        <w:numPr>
          <w:ilvl w:val="0"/>
          <w:numId w:val="1"/>
        </w:numPr>
        <w:tabs>
          <w:tab w:val="clear" w:pos="360"/>
          <w:tab w:val="num" w:pos="851"/>
        </w:tabs>
        <w:ind w:left="851" w:hanging="851"/>
        <w:rPr>
          <w:rFonts w:ascii="Arial" w:hAnsi="Arial" w:cs="Arial"/>
          <w:b/>
          <w:sz w:val="20"/>
          <w:szCs w:val="20"/>
        </w:rPr>
      </w:pPr>
      <w:r w:rsidRPr="009A3C2A">
        <w:rPr>
          <w:rFonts w:ascii="Arial" w:hAnsi="Arial" w:cs="Arial"/>
          <w:b/>
          <w:sz w:val="20"/>
          <w:szCs w:val="20"/>
          <w:lang w:val="en-ZA"/>
        </w:rPr>
        <w:t>Appreciation</w:t>
      </w:r>
    </w:p>
    <w:p w:rsidR="00931E8A" w:rsidRPr="009A3C2A" w:rsidRDefault="00931E8A" w:rsidP="009A3C2A">
      <w:pPr>
        <w:autoSpaceDE w:val="0"/>
        <w:autoSpaceDN w:val="0"/>
        <w:adjustRightInd w:val="0"/>
        <w:rPr>
          <w:rFonts w:ascii="Arial" w:hAnsi="Arial" w:cs="Arial"/>
          <w:sz w:val="20"/>
          <w:szCs w:val="20"/>
        </w:rPr>
      </w:pPr>
    </w:p>
    <w:p w:rsidR="007949CD" w:rsidRPr="009A3C2A" w:rsidRDefault="0041738D" w:rsidP="009A3C2A">
      <w:pPr>
        <w:pStyle w:val="ListParagraph"/>
        <w:numPr>
          <w:ilvl w:val="1"/>
          <w:numId w:val="1"/>
        </w:numPr>
        <w:autoSpaceDE w:val="0"/>
        <w:autoSpaceDN w:val="0"/>
        <w:adjustRightInd w:val="0"/>
        <w:ind w:left="851" w:hanging="851"/>
        <w:rPr>
          <w:rFonts w:ascii="Arial" w:hAnsi="Arial" w:cs="Arial"/>
          <w:sz w:val="20"/>
          <w:szCs w:val="20"/>
        </w:rPr>
      </w:pPr>
      <w:r w:rsidRPr="009A3C2A">
        <w:rPr>
          <w:rFonts w:ascii="Arial" w:hAnsi="Arial" w:cs="Arial"/>
          <w:sz w:val="20"/>
          <w:szCs w:val="20"/>
        </w:rPr>
        <w:t xml:space="preserve">The Committee thanks the </w:t>
      </w:r>
      <w:r w:rsidR="00931E8A" w:rsidRPr="009A3C2A">
        <w:rPr>
          <w:rFonts w:ascii="Arial" w:hAnsi="Arial" w:cs="Arial"/>
          <w:sz w:val="20"/>
          <w:szCs w:val="20"/>
        </w:rPr>
        <w:t xml:space="preserve">Secretary-General and </w:t>
      </w:r>
      <w:r w:rsidR="0078546E" w:rsidRPr="009A3C2A">
        <w:rPr>
          <w:rFonts w:ascii="Arial" w:hAnsi="Arial" w:cs="Arial"/>
          <w:sz w:val="20"/>
          <w:szCs w:val="20"/>
        </w:rPr>
        <w:t xml:space="preserve">the </w:t>
      </w:r>
      <w:r w:rsidR="00931E8A" w:rsidRPr="009A3C2A">
        <w:rPr>
          <w:rFonts w:ascii="Arial" w:hAnsi="Arial" w:cs="Arial"/>
          <w:sz w:val="20"/>
          <w:szCs w:val="20"/>
        </w:rPr>
        <w:t xml:space="preserve">staff </w:t>
      </w:r>
      <w:r w:rsidR="0078546E" w:rsidRPr="009A3C2A">
        <w:rPr>
          <w:rFonts w:ascii="Arial" w:hAnsi="Arial" w:cs="Arial"/>
          <w:sz w:val="20"/>
          <w:szCs w:val="20"/>
        </w:rPr>
        <w:t xml:space="preserve">of the OCJ </w:t>
      </w:r>
      <w:r w:rsidR="00931E8A" w:rsidRPr="009A3C2A">
        <w:rPr>
          <w:rFonts w:ascii="Arial" w:hAnsi="Arial" w:cs="Arial"/>
          <w:sz w:val="20"/>
          <w:szCs w:val="20"/>
        </w:rPr>
        <w:t xml:space="preserve">for their assistance in this process. </w:t>
      </w:r>
    </w:p>
    <w:p w:rsidR="00445A4B" w:rsidRPr="009A3C2A" w:rsidRDefault="00445A4B" w:rsidP="009A3C2A">
      <w:pPr>
        <w:pStyle w:val="ListParagraph"/>
        <w:ind w:left="709"/>
        <w:contextualSpacing/>
        <w:rPr>
          <w:rFonts w:ascii="Arial" w:hAnsi="Arial" w:cs="Arial"/>
          <w:sz w:val="20"/>
          <w:szCs w:val="20"/>
        </w:rPr>
      </w:pPr>
    </w:p>
    <w:p w:rsidR="0041738D" w:rsidRPr="009A3C2A" w:rsidRDefault="0041738D" w:rsidP="009A3C2A">
      <w:pPr>
        <w:pStyle w:val="ListParagraph"/>
        <w:numPr>
          <w:ilvl w:val="1"/>
          <w:numId w:val="1"/>
        </w:numPr>
        <w:autoSpaceDE w:val="0"/>
        <w:autoSpaceDN w:val="0"/>
        <w:adjustRightInd w:val="0"/>
        <w:ind w:left="851" w:hanging="851"/>
        <w:rPr>
          <w:rFonts w:ascii="Arial" w:hAnsi="Arial" w:cs="Arial"/>
          <w:i/>
          <w:sz w:val="20"/>
          <w:szCs w:val="20"/>
        </w:rPr>
      </w:pPr>
      <w:r w:rsidRPr="009A3C2A">
        <w:rPr>
          <w:rFonts w:ascii="Arial" w:hAnsi="Arial" w:cs="Arial"/>
          <w:sz w:val="20"/>
          <w:szCs w:val="20"/>
        </w:rPr>
        <w:t>The Committee a</w:t>
      </w:r>
      <w:r w:rsidR="00FB46AE" w:rsidRPr="009A3C2A">
        <w:rPr>
          <w:rFonts w:ascii="Arial" w:hAnsi="Arial" w:cs="Arial"/>
          <w:sz w:val="20"/>
          <w:szCs w:val="20"/>
        </w:rPr>
        <w:t>lso wishes to thank the Auditor-</w:t>
      </w:r>
      <w:r w:rsidRPr="009A3C2A">
        <w:rPr>
          <w:rFonts w:ascii="Arial" w:hAnsi="Arial" w:cs="Arial"/>
          <w:sz w:val="20"/>
          <w:szCs w:val="20"/>
        </w:rPr>
        <w:t>General South Africa for the support it provided to the Committee.</w:t>
      </w:r>
    </w:p>
    <w:p w:rsidR="0041738D" w:rsidRPr="009A3C2A" w:rsidRDefault="0041738D" w:rsidP="009A3C2A">
      <w:pPr>
        <w:pStyle w:val="ListParagraph"/>
        <w:rPr>
          <w:rFonts w:ascii="Arial" w:hAnsi="Arial" w:cs="Arial"/>
          <w:i/>
          <w:sz w:val="20"/>
          <w:szCs w:val="20"/>
        </w:rPr>
      </w:pPr>
    </w:p>
    <w:p w:rsidR="00C05C71" w:rsidRPr="009A3C2A" w:rsidRDefault="00C05C71" w:rsidP="009A3C2A">
      <w:pPr>
        <w:autoSpaceDE w:val="0"/>
        <w:autoSpaceDN w:val="0"/>
        <w:adjustRightInd w:val="0"/>
        <w:rPr>
          <w:rFonts w:ascii="Arial" w:hAnsi="Arial" w:cs="Arial"/>
          <w:b/>
          <w:sz w:val="20"/>
          <w:szCs w:val="20"/>
        </w:rPr>
      </w:pPr>
      <w:r w:rsidRPr="009A3C2A">
        <w:rPr>
          <w:rFonts w:ascii="Arial" w:hAnsi="Arial" w:cs="Arial"/>
          <w:b/>
          <w:sz w:val="20"/>
          <w:szCs w:val="20"/>
        </w:rPr>
        <w:t>Report to be considered</w:t>
      </w:r>
    </w:p>
    <w:sectPr w:rsidR="00C05C71" w:rsidRPr="009A3C2A" w:rsidSect="005D13B4">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8C" w:rsidRDefault="00C2408C">
      <w:r>
        <w:separator/>
      </w:r>
    </w:p>
  </w:endnote>
  <w:endnote w:type="continuationSeparator" w:id="0">
    <w:p w:rsidR="00C2408C" w:rsidRDefault="00C24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2C" w:rsidRDefault="009E7869" w:rsidP="00F804CA">
    <w:pPr>
      <w:pStyle w:val="Footer"/>
      <w:framePr w:wrap="around" w:vAnchor="text" w:hAnchor="margin" w:xAlign="right" w:y="1"/>
      <w:rPr>
        <w:rStyle w:val="PageNumber"/>
        <w:rFonts w:eastAsia="Batang"/>
      </w:rPr>
    </w:pPr>
    <w:r>
      <w:rPr>
        <w:rStyle w:val="PageNumber"/>
        <w:rFonts w:eastAsia="Batang"/>
      </w:rPr>
      <w:fldChar w:fldCharType="begin"/>
    </w:r>
    <w:r w:rsidR="00D17E2C">
      <w:rPr>
        <w:rStyle w:val="PageNumber"/>
        <w:rFonts w:eastAsia="Batang"/>
      </w:rPr>
      <w:instrText xml:space="preserve">PAGE  </w:instrText>
    </w:r>
    <w:r>
      <w:rPr>
        <w:rStyle w:val="PageNumber"/>
        <w:rFonts w:eastAsia="Batang"/>
      </w:rPr>
      <w:fldChar w:fldCharType="end"/>
    </w:r>
  </w:p>
  <w:p w:rsidR="00D17E2C" w:rsidRDefault="00D17E2C" w:rsidP="00F804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5498"/>
      <w:docPartObj>
        <w:docPartGallery w:val="Page Numbers (Bottom of Page)"/>
        <w:docPartUnique/>
      </w:docPartObj>
    </w:sdtPr>
    <w:sdtEndPr>
      <w:rPr>
        <w:rFonts w:ascii="Arial" w:hAnsi="Arial" w:cs="Arial"/>
        <w:sz w:val="18"/>
        <w:szCs w:val="18"/>
      </w:rPr>
    </w:sdtEndPr>
    <w:sdtContent>
      <w:p w:rsidR="00D17E2C" w:rsidRPr="00CF233F" w:rsidRDefault="009E7869">
        <w:pPr>
          <w:pStyle w:val="Footer"/>
          <w:jc w:val="right"/>
          <w:rPr>
            <w:rFonts w:ascii="Arial" w:hAnsi="Arial" w:cs="Arial"/>
            <w:sz w:val="18"/>
            <w:szCs w:val="18"/>
          </w:rPr>
        </w:pPr>
        <w:r w:rsidRPr="00CF233F">
          <w:rPr>
            <w:rFonts w:ascii="Arial" w:hAnsi="Arial" w:cs="Arial"/>
            <w:sz w:val="18"/>
            <w:szCs w:val="18"/>
          </w:rPr>
          <w:fldChar w:fldCharType="begin"/>
        </w:r>
        <w:r w:rsidR="00D17E2C"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9A3C2A">
          <w:rPr>
            <w:rFonts w:ascii="Arial" w:hAnsi="Arial" w:cs="Arial"/>
            <w:noProof/>
            <w:sz w:val="18"/>
            <w:szCs w:val="18"/>
          </w:rPr>
          <w:t>12</w:t>
        </w:r>
        <w:r w:rsidRPr="00CF233F">
          <w:rPr>
            <w:rFonts w:ascii="Arial" w:hAnsi="Arial" w:cs="Arial"/>
            <w:sz w:val="18"/>
            <w:szCs w:val="18"/>
          </w:rPr>
          <w:fldChar w:fldCharType="end"/>
        </w:r>
      </w:p>
    </w:sdtContent>
  </w:sdt>
  <w:p w:rsidR="00D17E2C" w:rsidRDefault="00D17E2C" w:rsidP="00F804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8C" w:rsidRDefault="00C2408C">
      <w:r>
        <w:separator/>
      </w:r>
    </w:p>
  </w:footnote>
  <w:footnote w:type="continuationSeparator" w:id="0">
    <w:p w:rsidR="00C2408C" w:rsidRDefault="00C24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25367FF"/>
    <w:multiLevelType w:val="multilevel"/>
    <w:tmpl w:val="C9D0D8D0"/>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AC7161"/>
    <w:multiLevelType w:val="multilevel"/>
    <w:tmpl w:val="D3BE992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52F23"/>
    <w:multiLevelType w:val="multilevel"/>
    <w:tmpl w:val="2D84659A"/>
    <w:lvl w:ilvl="0">
      <w:start w:val="6"/>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DBD32B1"/>
    <w:multiLevelType w:val="multilevel"/>
    <w:tmpl w:val="07024858"/>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451383"/>
    <w:multiLevelType w:val="multilevel"/>
    <w:tmpl w:val="59D6CA4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3630B9"/>
    <w:multiLevelType w:val="multilevel"/>
    <w:tmpl w:val="B4DA9F5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341DA7"/>
    <w:multiLevelType w:val="multilevel"/>
    <w:tmpl w:val="F4224C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2A7F67"/>
    <w:multiLevelType w:val="multilevel"/>
    <w:tmpl w:val="C18EF5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FA6CB5"/>
    <w:multiLevelType w:val="multilevel"/>
    <w:tmpl w:val="39303AFC"/>
    <w:lvl w:ilvl="0">
      <w:start w:val="5"/>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16A23E1"/>
    <w:multiLevelType w:val="multilevel"/>
    <w:tmpl w:val="60C85F20"/>
    <w:lvl w:ilvl="0">
      <w:start w:val="10"/>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nsid w:val="22683B5E"/>
    <w:multiLevelType w:val="multilevel"/>
    <w:tmpl w:val="783ACB2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F279E"/>
    <w:multiLevelType w:val="hybridMultilevel"/>
    <w:tmpl w:val="01686C6C"/>
    <w:lvl w:ilvl="0" w:tplc="CADE1B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C7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64E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0A0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8AD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D6CF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083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433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8ED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ABF0D75"/>
    <w:multiLevelType w:val="hybridMultilevel"/>
    <w:tmpl w:val="C4D2471A"/>
    <w:lvl w:ilvl="0" w:tplc="1C09000B">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2BBD2BA1"/>
    <w:multiLevelType w:val="hybridMultilevel"/>
    <w:tmpl w:val="D23C009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CEE734A"/>
    <w:multiLevelType w:val="multilevel"/>
    <w:tmpl w:val="881E8276"/>
    <w:lvl w:ilvl="0">
      <w:start w:val="7"/>
      <w:numFmt w:val="decimal"/>
      <w:lvlText w:val="%1."/>
      <w:lvlJc w:val="left"/>
      <w:pPr>
        <w:ind w:left="540" w:hanging="540"/>
      </w:pPr>
      <w:rPr>
        <w:rFonts w:hint="default"/>
        <w:b w:val="0"/>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1F75A9"/>
    <w:multiLevelType w:val="multilevel"/>
    <w:tmpl w:val="4CD4E0FA"/>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7">
    <w:nsid w:val="2FAF17E4"/>
    <w:multiLevelType w:val="multilevel"/>
    <w:tmpl w:val="8F32183E"/>
    <w:lvl w:ilvl="0">
      <w:start w:val="5"/>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818292F"/>
    <w:multiLevelType w:val="multilevel"/>
    <w:tmpl w:val="71DED8D8"/>
    <w:lvl w:ilvl="0">
      <w:start w:val="6"/>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0721812"/>
    <w:multiLevelType w:val="multilevel"/>
    <w:tmpl w:val="58B6B78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786D57"/>
    <w:multiLevelType w:val="multilevel"/>
    <w:tmpl w:val="FDAC59C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DF18E4"/>
    <w:multiLevelType w:val="multilevel"/>
    <w:tmpl w:val="68AE66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E5436A"/>
    <w:multiLevelType w:val="multilevel"/>
    <w:tmpl w:val="E474DB0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BF5DC3"/>
    <w:multiLevelType w:val="multilevel"/>
    <w:tmpl w:val="830617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5D008A"/>
    <w:multiLevelType w:val="multilevel"/>
    <w:tmpl w:val="9C9A65A2"/>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F7C7FAC"/>
    <w:multiLevelType w:val="multilevel"/>
    <w:tmpl w:val="55F622A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A0E66"/>
    <w:multiLevelType w:val="hybridMultilevel"/>
    <w:tmpl w:val="20C6A58E"/>
    <w:lvl w:ilvl="0" w:tplc="1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7374D"/>
    <w:multiLevelType w:val="multilevel"/>
    <w:tmpl w:val="F4224C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4676FE"/>
    <w:multiLevelType w:val="hybridMultilevel"/>
    <w:tmpl w:val="5CE8A8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0613429"/>
    <w:multiLevelType w:val="multilevel"/>
    <w:tmpl w:val="94D419F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A658B5"/>
    <w:multiLevelType w:val="hybridMultilevel"/>
    <w:tmpl w:val="D2882BE0"/>
    <w:lvl w:ilvl="0" w:tplc="78C0C9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44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685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28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437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29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1288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A54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A42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2C852C9"/>
    <w:multiLevelType w:val="hybridMultilevel"/>
    <w:tmpl w:val="5C661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1D31A0"/>
    <w:multiLevelType w:val="multilevel"/>
    <w:tmpl w:val="17DE0D1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606F6D"/>
    <w:multiLevelType w:val="multilevel"/>
    <w:tmpl w:val="CB169EF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3C66AE"/>
    <w:multiLevelType w:val="hybridMultilevel"/>
    <w:tmpl w:val="0050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4319D"/>
    <w:multiLevelType w:val="multilevel"/>
    <w:tmpl w:val="FE8AAD2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C96600"/>
    <w:multiLevelType w:val="hybridMultilevel"/>
    <w:tmpl w:val="D746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655A39"/>
    <w:multiLevelType w:val="multilevel"/>
    <w:tmpl w:val="E6D03A9C"/>
    <w:lvl w:ilvl="0">
      <w:start w:val="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0"/>
  </w:num>
  <w:num w:numId="3">
    <w:abstractNumId w:val="34"/>
  </w:num>
  <w:num w:numId="4">
    <w:abstractNumId w:val="31"/>
  </w:num>
  <w:num w:numId="5">
    <w:abstractNumId w:val="36"/>
  </w:num>
  <w:num w:numId="6">
    <w:abstractNumId w:val="15"/>
  </w:num>
  <w:num w:numId="7">
    <w:abstractNumId w:val="16"/>
  </w:num>
  <w:num w:numId="8">
    <w:abstractNumId w:val="21"/>
  </w:num>
  <w:num w:numId="9">
    <w:abstractNumId w:val="20"/>
  </w:num>
  <w:num w:numId="10">
    <w:abstractNumId w:val="2"/>
  </w:num>
  <w:num w:numId="11">
    <w:abstractNumId w:val="28"/>
  </w:num>
  <w:num w:numId="12">
    <w:abstractNumId w:val="17"/>
  </w:num>
  <w:num w:numId="13">
    <w:abstractNumId w:val="32"/>
  </w:num>
  <w:num w:numId="14">
    <w:abstractNumId w:val="35"/>
  </w:num>
  <w:num w:numId="15">
    <w:abstractNumId w:val="4"/>
  </w:num>
  <w:num w:numId="16">
    <w:abstractNumId w:val="27"/>
  </w:num>
  <w:num w:numId="17">
    <w:abstractNumId w:val="19"/>
  </w:num>
  <w:num w:numId="18">
    <w:abstractNumId w:val="24"/>
  </w:num>
  <w:num w:numId="19">
    <w:abstractNumId w:val="33"/>
  </w:num>
  <w:num w:numId="20">
    <w:abstractNumId w:val="1"/>
  </w:num>
  <w:num w:numId="21">
    <w:abstractNumId w:val="37"/>
  </w:num>
  <w:num w:numId="22">
    <w:abstractNumId w:val="26"/>
  </w:num>
  <w:num w:numId="23">
    <w:abstractNumId w:val="14"/>
  </w:num>
  <w:num w:numId="24">
    <w:abstractNumId w:val="13"/>
  </w:num>
  <w:num w:numId="25">
    <w:abstractNumId w:val="9"/>
  </w:num>
  <w:num w:numId="26">
    <w:abstractNumId w:val="23"/>
  </w:num>
  <w:num w:numId="27">
    <w:abstractNumId w:val="6"/>
  </w:num>
  <w:num w:numId="28">
    <w:abstractNumId w:val="30"/>
  </w:num>
  <w:num w:numId="29">
    <w:abstractNumId w:val="12"/>
  </w:num>
  <w:num w:numId="30">
    <w:abstractNumId w:val="18"/>
  </w:num>
  <w:num w:numId="31">
    <w:abstractNumId w:val="8"/>
  </w:num>
  <w:num w:numId="32">
    <w:abstractNumId w:val="22"/>
  </w:num>
  <w:num w:numId="33">
    <w:abstractNumId w:val="3"/>
  </w:num>
  <w:num w:numId="34">
    <w:abstractNumId w:val="25"/>
  </w:num>
  <w:num w:numId="35">
    <w:abstractNumId w:val="11"/>
  </w:num>
  <w:num w:numId="36">
    <w:abstractNumId w:val="29"/>
  </w:num>
  <w:num w:numId="37">
    <w:abstractNumId w:val="5"/>
  </w:num>
  <w:num w:numId="3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C71"/>
    <w:rsid w:val="00000759"/>
    <w:rsid w:val="000009F6"/>
    <w:rsid w:val="000021CE"/>
    <w:rsid w:val="0000224A"/>
    <w:rsid w:val="000046D5"/>
    <w:rsid w:val="000062EA"/>
    <w:rsid w:val="000069DC"/>
    <w:rsid w:val="0001400E"/>
    <w:rsid w:val="00014448"/>
    <w:rsid w:val="00016E73"/>
    <w:rsid w:val="000202BA"/>
    <w:rsid w:val="00020B91"/>
    <w:rsid w:val="00023EED"/>
    <w:rsid w:val="00024E4D"/>
    <w:rsid w:val="00026426"/>
    <w:rsid w:val="000269DB"/>
    <w:rsid w:val="00031703"/>
    <w:rsid w:val="000317BB"/>
    <w:rsid w:val="00032388"/>
    <w:rsid w:val="0003426D"/>
    <w:rsid w:val="000356CF"/>
    <w:rsid w:val="0003694C"/>
    <w:rsid w:val="000373FF"/>
    <w:rsid w:val="00040B5F"/>
    <w:rsid w:val="0004144D"/>
    <w:rsid w:val="00042987"/>
    <w:rsid w:val="00042CCC"/>
    <w:rsid w:val="00043395"/>
    <w:rsid w:val="00044246"/>
    <w:rsid w:val="000447CB"/>
    <w:rsid w:val="000447D4"/>
    <w:rsid w:val="00045AB7"/>
    <w:rsid w:val="00047B13"/>
    <w:rsid w:val="00050146"/>
    <w:rsid w:val="00052E2C"/>
    <w:rsid w:val="000538C8"/>
    <w:rsid w:val="0006122A"/>
    <w:rsid w:val="00063587"/>
    <w:rsid w:val="00065233"/>
    <w:rsid w:val="000662D4"/>
    <w:rsid w:val="0007265D"/>
    <w:rsid w:val="0007296B"/>
    <w:rsid w:val="00076002"/>
    <w:rsid w:val="00076247"/>
    <w:rsid w:val="00076C57"/>
    <w:rsid w:val="000774A2"/>
    <w:rsid w:val="00080295"/>
    <w:rsid w:val="00083A3D"/>
    <w:rsid w:val="00083AC0"/>
    <w:rsid w:val="00083BFB"/>
    <w:rsid w:val="000864C9"/>
    <w:rsid w:val="0008733A"/>
    <w:rsid w:val="00087419"/>
    <w:rsid w:val="00096E1F"/>
    <w:rsid w:val="000A0DC8"/>
    <w:rsid w:val="000A2F98"/>
    <w:rsid w:val="000A3B90"/>
    <w:rsid w:val="000A42F6"/>
    <w:rsid w:val="000A59B6"/>
    <w:rsid w:val="000A6DDC"/>
    <w:rsid w:val="000B5EE4"/>
    <w:rsid w:val="000B6426"/>
    <w:rsid w:val="000B6649"/>
    <w:rsid w:val="000B6969"/>
    <w:rsid w:val="000C2387"/>
    <w:rsid w:val="000C3DD8"/>
    <w:rsid w:val="000D1AFC"/>
    <w:rsid w:val="000D4D23"/>
    <w:rsid w:val="000D562C"/>
    <w:rsid w:val="000D6C91"/>
    <w:rsid w:val="000E1E87"/>
    <w:rsid w:val="000E3CAF"/>
    <w:rsid w:val="000E486B"/>
    <w:rsid w:val="000E79AC"/>
    <w:rsid w:val="000E7C2C"/>
    <w:rsid w:val="000F018C"/>
    <w:rsid w:val="000F08D5"/>
    <w:rsid w:val="000F1A95"/>
    <w:rsid w:val="000F3FE7"/>
    <w:rsid w:val="000F6D33"/>
    <w:rsid w:val="000F733B"/>
    <w:rsid w:val="000F73CD"/>
    <w:rsid w:val="000F73FD"/>
    <w:rsid w:val="000F77F3"/>
    <w:rsid w:val="00100AF7"/>
    <w:rsid w:val="0010190B"/>
    <w:rsid w:val="001024C2"/>
    <w:rsid w:val="00103D64"/>
    <w:rsid w:val="00104AC8"/>
    <w:rsid w:val="0010609A"/>
    <w:rsid w:val="00106623"/>
    <w:rsid w:val="00106BD2"/>
    <w:rsid w:val="001072DD"/>
    <w:rsid w:val="00107B6E"/>
    <w:rsid w:val="00113A34"/>
    <w:rsid w:val="00114870"/>
    <w:rsid w:val="00115036"/>
    <w:rsid w:val="00116062"/>
    <w:rsid w:val="00116ED2"/>
    <w:rsid w:val="00117BD6"/>
    <w:rsid w:val="00122583"/>
    <w:rsid w:val="00124DA2"/>
    <w:rsid w:val="00124F6F"/>
    <w:rsid w:val="00125D48"/>
    <w:rsid w:val="00126EC6"/>
    <w:rsid w:val="001276C6"/>
    <w:rsid w:val="00131E7F"/>
    <w:rsid w:val="001322B5"/>
    <w:rsid w:val="00136612"/>
    <w:rsid w:val="00137125"/>
    <w:rsid w:val="0014066F"/>
    <w:rsid w:val="00144F8B"/>
    <w:rsid w:val="00145084"/>
    <w:rsid w:val="00146846"/>
    <w:rsid w:val="00147AC6"/>
    <w:rsid w:val="00150156"/>
    <w:rsid w:val="001509B9"/>
    <w:rsid w:val="0015553B"/>
    <w:rsid w:val="00156569"/>
    <w:rsid w:val="00157E9A"/>
    <w:rsid w:val="00160ABF"/>
    <w:rsid w:val="00160D5E"/>
    <w:rsid w:val="00163DE4"/>
    <w:rsid w:val="001653DF"/>
    <w:rsid w:val="00166193"/>
    <w:rsid w:val="00166572"/>
    <w:rsid w:val="0017020C"/>
    <w:rsid w:val="001704AF"/>
    <w:rsid w:val="00171A0F"/>
    <w:rsid w:val="00173B82"/>
    <w:rsid w:val="00175927"/>
    <w:rsid w:val="00176904"/>
    <w:rsid w:val="001801F9"/>
    <w:rsid w:val="00180630"/>
    <w:rsid w:val="00180B7F"/>
    <w:rsid w:val="00183847"/>
    <w:rsid w:val="001901CC"/>
    <w:rsid w:val="00191722"/>
    <w:rsid w:val="0019321F"/>
    <w:rsid w:val="00197254"/>
    <w:rsid w:val="001A1C9E"/>
    <w:rsid w:val="001A33E1"/>
    <w:rsid w:val="001A4337"/>
    <w:rsid w:val="001A6055"/>
    <w:rsid w:val="001A6DD9"/>
    <w:rsid w:val="001B20FF"/>
    <w:rsid w:val="001B2524"/>
    <w:rsid w:val="001B2EA8"/>
    <w:rsid w:val="001B2EBA"/>
    <w:rsid w:val="001B4F22"/>
    <w:rsid w:val="001B6D98"/>
    <w:rsid w:val="001B7F0A"/>
    <w:rsid w:val="001C0AA1"/>
    <w:rsid w:val="001C5F58"/>
    <w:rsid w:val="001C6D01"/>
    <w:rsid w:val="001D014C"/>
    <w:rsid w:val="001D4939"/>
    <w:rsid w:val="001E3083"/>
    <w:rsid w:val="001E3C8D"/>
    <w:rsid w:val="001E49B2"/>
    <w:rsid w:val="001E5117"/>
    <w:rsid w:val="001F00BC"/>
    <w:rsid w:val="001F14AD"/>
    <w:rsid w:val="001F2922"/>
    <w:rsid w:val="001F77C6"/>
    <w:rsid w:val="00200335"/>
    <w:rsid w:val="00202928"/>
    <w:rsid w:val="00203287"/>
    <w:rsid w:val="00204FB9"/>
    <w:rsid w:val="002051D6"/>
    <w:rsid w:val="00206707"/>
    <w:rsid w:val="00207842"/>
    <w:rsid w:val="002111BE"/>
    <w:rsid w:val="00211FD4"/>
    <w:rsid w:val="00212229"/>
    <w:rsid w:val="00215FA6"/>
    <w:rsid w:val="0021688A"/>
    <w:rsid w:val="00220480"/>
    <w:rsid w:val="002204C4"/>
    <w:rsid w:val="00220762"/>
    <w:rsid w:val="00223A07"/>
    <w:rsid w:val="00224CFC"/>
    <w:rsid w:val="00227332"/>
    <w:rsid w:val="0023037E"/>
    <w:rsid w:val="00230F95"/>
    <w:rsid w:val="002311B4"/>
    <w:rsid w:val="00233C8D"/>
    <w:rsid w:val="00236552"/>
    <w:rsid w:val="00236999"/>
    <w:rsid w:val="002420D8"/>
    <w:rsid w:val="00245C90"/>
    <w:rsid w:val="0025115C"/>
    <w:rsid w:val="00251D68"/>
    <w:rsid w:val="00253004"/>
    <w:rsid w:val="00254935"/>
    <w:rsid w:val="00255C31"/>
    <w:rsid w:val="0025679E"/>
    <w:rsid w:val="00260B56"/>
    <w:rsid w:val="00261F06"/>
    <w:rsid w:val="00264BA3"/>
    <w:rsid w:val="00264DA2"/>
    <w:rsid w:val="002652AE"/>
    <w:rsid w:val="0026782A"/>
    <w:rsid w:val="00267EF1"/>
    <w:rsid w:val="00272840"/>
    <w:rsid w:val="002730BD"/>
    <w:rsid w:val="00274EF9"/>
    <w:rsid w:val="00276510"/>
    <w:rsid w:val="002819AF"/>
    <w:rsid w:val="00282EC8"/>
    <w:rsid w:val="002952D5"/>
    <w:rsid w:val="002970A8"/>
    <w:rsid w:val="00297919"/>
    <w:rsid w:val="002A15B3"/>
    <w:rsid w:val="002A7375"/>
    <w:rsid w:val="002A79EA"/>
    <w:rsid w:val="002B0094"/>
    <w:rsid w:val="002B04F8"/>
    <w:rsid w:val="002B3771"/>
    <w:rsid w:val="002B3E59"/>
    <w:rsid w:val="002B4D7B"/>
    <w:rsid w:val="002B4E95"/>
    <w:rsid w:val="002B578D"/>
    <w:rsid w:val="002B57E9"/>
    <w:rsid w:val="002B6E4D"/>
    <w:rsid w:val="002C1874"/>
    <w:rsid w:val="002C28F2"/>
    <w:rsid w:val="002C490B"/>
    <w:rsid w:val="002C5EE8"/>
    <w:rsid w:val="002C5FD1"/>
    <w:rsid w:val="002C64E9"/>
    <w:rsid w:val="002C7DA7"/>
    <w:rsid w:val="002D3155"/>
    <w:rsid w:val="002D583D"/>
    <w:rsid w:val="002E0B56"/>
    <w:rsid w:val="002E1B03"/>
    <w:rsid w:val="002E2277"/>
    <w:rsid w:val="002E2471"/>
    <w:rsid w:val="002E31CC"/>
    <w:rsid w:val="002E4375"/>
    <w:rsid w:val="002E4768"/>
    <w:rsid w:val="002E58EB"/>
    <w:rsid w:val="002E6F78"/>
    <w:rsid w:val="002F3AE7"/>
    <w:rsid w:val="002F489F"/>
    <w:rsid w:val="002F4BD6"/>
    <w:rsid w:val="002F6065"/>
    <w:rsid w:val="002F76D8"/>
    <w:rsid w:val="00300C69"/>
    <w:rsid w:val="003039E2"/>
    <w:rsid w:val="00304C54"/>
    <w:rsid w:val="0031044F"/>
    <w:rsid w:val="00310646"/>
    <w:rsid w:val="00312DF0"/>
    <w:rsid w:val="00312F29"/>
    <w:rsid w:val="003148D2"/>
    <w:rsid w:val="00314DF9"/>
    <w:rsid w:val="003177D0"/>
    <w:rsid w:val="00321AE1"/>
    <w:rsid w:val="00323373"/>
    <w:rsid w:val="00323C4D"/>
    <w:rsid w:val="00324A09"/>
    <w:rsid w:val="003273E6"/>
    <w:rsid w:val="00332A81"/>
    <w:rsid w:val="00334CCF"/>
    <w:rsid w:val="00337E36"/>
    <w:rsid w:val="00340137"/>
    <w:rsid w:val="00340429"/>
    <w:rsid w:val="00340956"/>
    <w:rsid w:val="003422BD"/>
    <w:rsid w:val="00343415"/>
    <w:rsid w:val="00344D8A"/>
    <w:rsid w:val="00345C75"/>
    <w:rsid w:val="0034671C"/>
    <w:rsid w:val="00351F6E"/>
    <w:rsid w:val="00352524"/>
    <w:rsid w:val="003554EB"/>
    <w:rsid w:val="003646B2"/>
    <w:rsid w:val="00367BFE"/>
    <w:rsid w:val="003729D5"/>
    <w:rsid w:val="00372C3C"/>
    <w:rsid w:val="003744FC"/>
    <w:rsid w:val="003753AD"/>
    <w:rsid w:val="00376223"/>
    <w:rsid w:val="00381AA7"/>
    <w:rsid w:val="0038337C"/>
    <w:rsid w:val="00383916"/>
    <w:rsid w:val="00386511"/>
    <w:rsid w:val="00390AF5"/>
    <w:rsid w:val="003912E1"/>
    <w:rsid w:val="00392F4E"/>
    <w:rsid w:val="003933E1"/>
    <w:rsid w:val="00393ECF"/>
    <w:rsid w:val="00395219"/>
    <w:rsid w:val="003A2545"/>
    <w:rsid w:val="003A25B6"/>
    <w:rsid w:val="003A398D"/>
    <w:rsid w:val="003A407B"/>
    <w:rsid w:val="003A5D83"/>
    <w:rsid w:val="003B1667"/>
    <w:rsid w:val="003B20E8"/>
    <w:rsid w:val="003B3295"/>
    <w:rsid w:val="003B442D"/>
    <w:rsid w:val="003B5DC1"/>
    <w:rsid w:val="003B62E2"/>
    <w:rsid w:val="003C34C6"/>
    <w:rsid w:val="003C6F12"/>
    <w:rsid w:val="003D0900"/>
    <w:rsid w:val="003D0C40"/>
    <w:rsid w:val="003D4122"/>
    <w:rsid w:val="003D5B84"/>
    <w:rsid w:val="003D5F0D"/>
    <w:rsid w:val="003D7013"/>
    <w:rsid w:val="003D712C"/>
    <w:rsid w:val="003E252A"/>
    <w:rsid w:val="003E330E"/>
    <w:rsid w:val="003E502B"/>
    <w:rsid w:val="003E5715"/>
    <w:rsid w:val="003F366F"/>
    <w:rsid w:val="003F59F5"/>
    <w:rsid w:val="00401E19"/>
    <w:rsid w:val="00402E2C"/>
    <w:rsid w:val="004064DB"/>
    <w:rsid w:val="00415667"/>
    <w:rsid w:val="00416035"/>
    <w:rsid w:val="0041738D"/>
    <w:rsid w:val="004234D4"/>
    <w:rsid w:val="00423A9D"/>
    <w:rsid w:val="00425763"/>
    <w:rsid w:val="00430134"/>
    <w:rsid w:val="004309BD"/>
    <w:rsid w:val="0043115B"/>
    <w:rsid w:val="0043520A"/>
    <w:rsid w:val="00437BD5"/>
    <w:rsid w:val="0044061A"/>
    <w:rsid w:val="00440F98"/>
    <w:rsid w:val="00441F83"/>
    <w:rsid w:val="0044252E"/>
    <w:rsid w:val="004428E2"/>
    <w:rsid w:val="00442F5F"/>
    <w:rsid w:val="00443432"/>
    <w:rsid w:val="00443561"/>
    <w:rsid w:val="0044498D"/>
    <w:rsid w:val="00445A4B"/>
    <w:rsid w:val="00446CFF"/>
    <w:rsid w:val="00447B4B"/>
    <w:rsid w:val="00452038"/>
    <w:rsid w:val="00452CA3"/>
    <w:rsid w:val="00456599"/>
    <w:rsid w:val="004608DB"/>
    <w:rsid w:val="00462A69"/>
    <w:rsid w:val="00462EEB"/>
    <w:rsid w:val="00464726"/>
    <w:rsid w:val="0046486C"/>
    <w:rsid w:val="00464AED"/>
    <w:rsid w:val="00465426"/>
    <w:rsid w:val="00467307"/>
    <w:rsid w:val="004674F9"/>
    <w:rsid w:val="0046751C"/>
    <w:rsid w:val="00467CE9"/>
    <w:rsid w:val="00471434"/>
    <w:rsid w:val="00472EC2"/>
    <w:rsid w:val="004735D3"/>
    <w:rsid w:val="004739DA"/>
    <w:rsid w:val="00474BD0"/>
    <w:rsid w:val="00476F8A"/>
    <w:rsid w:val="00481447"/>
    <w:rsid w:val="00483CB8"/>
    <w:rsid w:val="00485CF7"/>
    <w:rsid w:val="00486F1A"/>
    <w:rsid w:val="0048742D"/>
    <w:rsid w:val="0049091A"/>
    <w:rsid w:val="004909D8"/>
    <w:rsid w:val="004961AC"/>
    <w:rsid w:val="004964DA"/>
    <w:rsid w:val="004A063B"/>
    <w:rsid w:val="004A507F"/>
    <w:rsid w:val="004A6B86"/>
    <w:rsid w:val="004B0E92"/>
    <w:rsid w:val="004B11D1"/>
    <w:rsid w:val="004B3649"/>
    <w:rsid w:val="004B498B"/>
    <w:rsid w:val="004B5240"/>
    <w:rsid w:val="004C2EE6"/>
    <w:rsid w:val="004C37FD"/>
    <w:rsid w:val="004C613B"/>
    <w:rsid w:val="004C6D89"/>
    <w:rsid w:val="004D2AFC"/>
    <w:rsid w:val="004D68F7"/>
    <w:rsid w:val="004D7BC4"/>
    <w:rsid w:val="004D7E1B"/>
    <w:rsid w:val="004E15FF"/>
    <w:rsid w:val="004E1F9A"/>
    <w:rsid w:val="004E3042"/>
    <w:rsid w:val="004E401F"/>
    <w:rsid w:val="004F0ACC"/>
    <w:rsid w:val="004F0BEB"/>
    <w:rsid w:val="004F1DA7"/>
    <w:rsid w:val="004F2BA0"/>
    <w:rsid w:val="004F3588"/>
    <w:rsid w:val="004F7247"/>
    <w:rsid w:val="00501292"/>
    <w:rsid w:val="005031DE"/>
    <w:rsid w:val="00503929"/>
    <w:rsid w:val="00504252"/>
    <w:rsid w:val="005058FF"/>
    <w:rsid w:val="005113B9"/>
    <w:rsid w:val="00511404"/>
    <w:rsid w:val="00511825"/>
    <w:rsid w:val="0051228E"/>
    <w:rsid w:val="00513BD0"/>
    <w:rsid w:val="00522182"/>
    <w:rsid w:val="005346A3"/>
    <w:rsid w:val="00535C90"/>
    <w:rsid w:val="00540648"/>
    <w:rsid w:val="00547705"/>
    <w:rsid w:val="00550981"/>
    <w:rsid w:val="00552E19"/>
    <w:rsid w:val="005534B8"/>
    <w:rsid w:val="00553A9E"/>
    <w:rsid w:val="00556F01"/>
    <w:rsid w:val="00561735"/>
    <w:rsid w:val="00562FA2"/>
    <w:rsid w:val="00570286"/>
    <w:rsid w:val="00570C7B"/>
    <w:rsid w:val="00571B8B"/>
    <w:rsid w:val="00573D0B"/>
    <w:rsid w:val="005761BD"/>
    <w:rsid w:val="00577F71"/>
    <w:rsid w:val="00581E76"/>
    <w:rsid w:val="00582B81"/>
    <w:rsid w:val="00583548"/>
    <w:rsid w:val="005854F3"/>
    <w:rsid w:val="0058627C"/>
    <w:rsid w:val="005864FF"/>
    <w:rsid w:val="00590C05"/>
    <w:rsid w:val="00591B66"/>
    <w:rsid w:val="0059245E"/>
    <w:rsid w:val="005A06E7"/>
    <w:rsid w:val="005A1879"/>
    <w:rsid w:val="005A200B"/>
    <w:rsid w:val="005A2DDE"/>
    <w:rsid w:val="005A3D4B"/>
    <w:rsid w:val="005A3E41"/>
    <w:rsid w:val="005A5717"/>
    <w:rsid w:val="005A5F2A"/>
    <w:rsid w:val="005A7CB6"/>
    <w:rsid w:val="005B2C49"/>
    <w:rsid w:val="005B364A"/>
    <w:rsid w:val="005B3B35"/>
    <w:rsid w:val="005B4827"/>
    <w:rsid w:val="005B5540"/>
    <w:rsid w:val="005B7A46"/>
    <w:rsid w:val="005B7CF5"/>
    <w:rsid w:val="005C1396"/>
    <w:rsid w:val="005C6769"/>
    <w:rsid w:val="005C70CD"/>
    <w:rsid w:val="005D1260"/>
    <w:rsid w:val="005D13B4"/>
    <w:rsid w:val="005D2795"/>
    <w:rsid w:val="005D2D6A"/>
    <w:rsid w:val="005D3359"/>
    <w:rsid w:val="005D3CC8"/>
    <w:rsid w:val="005D639D"/>
    <w:rsid w:val="005D6D49"/>
    <w:rsid w:val="005D7105"/>
    <w:rsid w:val="005D77AA"/>
    <w:rsid w:val="005D7EE7"/>
    <w:rsid w:val="005E1374"/>
    <w:rsid w:val="005E1E64"/>
    <w:rsid w:val="005E3C50"/>
    <w:rsid w:val="005E59AC"/>
    <w:rsid w:val="005F1730"/>
    <w:rsid w:val="005F4742"/>
    <w:rsid w:val="005F4764"/>
    <w:rsid w:val="005F4BAB"/>
    <w:rsid w:val="005F4D24"/>
    <w:rsid w:val="005F582C"/>
    <w:rsid w:val="005F6CF7"/>
    <w:rsid w:val="00604CA0"/>
    <w:rsid w:val="006060DD"/>
    <w:rsid w:val="006115A3"/>
    <w:rsid w:val="006144D7"/>
    <w:rsid w:val="00616009"/>
    <w:rsid w:val="0062146A"/>
    <w:rsid w:val="0062183E"/>
    <w:rsid w:val="006232B5"/>
    <w:rsid w:val="00623314"/>
    <w:rsid w:val="006272F1"/>
    <w:rsid w:val="0062736A"/>
    <w:rsid w:val="00630BBE"/>
    <w:rsid w:val="0063129A"/>
    <w:rsid w:val="00631839"/>
    <w:rsid w:val="00632573"/>
    <w:rsid w:val="00632E98"/>
    <w:rsid w:val="00633356"/>
    <w:rsid w:val="00634F8A"/>
    <w:rsid w:val="00636CC2"/>
    <w:rsid w:val="00640C90"/>
    <w:rsid w:val="00641865"/>
    <w:rsid w:val="00642745"/>
    <w:rsid w:val="00643EA6"/>
    <w:rsid w:val="00645E94"/>
    <w:rsid w:val="006460DE"/>
    <w:rsid w:val="006501ED"/>
    <w:rsid w:val="006513EC"/>
    <w:rsid w:val="00653BB2"/>
    <w:rsid w:val="00654905"/>
    <w:rsid w:val="00656150"/>
    <w:rsid w:val="006566EE"/>
    <w:rsid w:val="00656D93"/>
    <w:rsid w:val="00656F52"/>
    <w:rsid w:val="00660D8E"/>
    <w:rsid w:val="0066394F"/>
    <w:rsid w:val="00665046"/>
    <w:rsid w:val="006652CA"/>
    <w:rsid w:val="0066628A"/>
    <w:rsid w:val="006722D4"/>
    <w:rsid w:val="006724FD"/>
    <w:rsid w:val="00674759"/>
    <w:rsid w:val="00675CB7"/>
    <w:rsid w:val="0067720C"/>
    <w:rsid w:val="006777AB"/>
    <w:rsid w:val="00680CFC"/>
    <w:rsid w:val="00683A03"/>
    <w:rsid w:val="0068438C"/>
    <w:rsid w:val="006935FB"/>
    <w:rsid w:val="006948CA"/>
    <w:rsid w:val="006A1670"/>
    <w:rsid w:val="006A170A"/>
    <w:rsid w:val="006A5BB5"/>
    <w:rsid w:val="006B27BA"/>
    <w:rsid w:val="006B2D6A"/>
    <w:rsid w:val="006B2FFA"/>
    <w:rsid w:val="006B4500"/>
    <w:rsid w:val="006B5CCE"/>
    <w:rsid w:val="006B7C71"/>
    <w:rsid w:val="006C250D"/>
    <w:rsid w:val="006C2AF8"/>
    <w:rsid w:val="006C4D70"/>
    <w:rsid w:val="006D08A6"/>
    <w:rsid w:val="006D175F"/>
    <w:rsid w:val="006D2386"/>
    <w:rsid w:val="006D2A51"/>
    <w:rsid w:val="006D2E53"/>
    <w:rsid w:val="006D5130"/>
    <w:rsid w:val="006E0F7E"/>
    <w:rsid w:val="006E12E7"/>
    <w:rsid w:val="006E1359"/>
    <w:rsid w:val="006E26C5"/>
    <w:rsid w:val="006E4D4F"/>
    <w:rsid w:val="006E6580"/>
    <w:rsid w:val="006E765D"/>
    <w:rsid w:val="006F3E34"/>
    <w:rsid w:val="006F3EB2"/>
    <w:rsid w:val="006F4CF8"/>
    <w:rsid w:val="006F6147"/>
    <w:rsid w:val="006F6A75"/>
    <w:rsid w:val="006F7343"/>
    <w:rsid w:val="00700AF3"/>
    <w:rsid w:val="00702290"/>
    <w:rsid w:val="00702B84"/>
    <w:rsid w:val="00702F3C"/>
    <w:rsid w:val="00705009"/>
    <w:rsid w:val="00705CD0"/>
    <w:rsid w:val="0070786E"/>
    <w:rsid w:val="00707D3F"/>
    <w:rsid w:val="007107A3"/>
    <w:rsid w:val="007118AA"/>
    <w:rsid w:val="0071237C"/>
    <w:rsid w:val="00714324"/>
    <w:rsid w:val="007216BD"/>
    <w:rsid w:val="0072176B"/>
    <w:rsid w:val="00722F7F"/>
    <w:rsid w:val="00726398"/>
    <w:rsid w:val="00726662"/>
    <w:rsid w:val="007269DA"/>
    <w:rsid w:val="007279EA"/>
    <w:rsid w:val="00730696"/>
    <w:rsid w:val="00730DFC"/>
    <w:rsid w:val="007314BB"/>
    <w:rsid w:val="00732407"/>
    <w:rsid w:val="00733286"/>
    <w:rsid w:val="00733CC3"/>
    <w:rsid w:val="00735505"/>
    <w:rsid w:val="007359A6"/>
    <w:rsid w:val="00736C5D"/>
    <w:rsid w:val="00740361"/>
    <w:rsid w:val="007403E9"/>
    <w:rsid w:val="00740BA4"/>
    <w:rsid w:val="00740D8A"/>
    <w:rsid w:val="00740F11"/>
    <w:rsid w:val="007425AF"/>
    <w:rsid w:val="007429F2"/>
    <w:rsid w:val="00743F9A"/>
    <w:rsid w:val="00744D70"/>
    <w:rsid w:val="0074504D"/>
    <w:rsid w:val="007468E6"/>
    <w:rsid w:val="007517B2"/>
    <w:rsid w:val="00755AC6"/>
    <w:rsid w:val="00755B3F"/>
    <w:rsid w:val="00756700"/>
    <w:rsid w:val="007578F0"/>
    <w:rsid w:val="00760653"/>
    <w:rsid w:val="00761516"/>
    <w:rsid w:val="00761A71"/>
    <w:rsid w:val="00763F28"/>
    <w:rsid w:val="007641EA"/>
    <w:rsid w:val="00772C0D"/>
    <w:rsid w:val="00773E0E"/>
    <w:rsid w:val="007745B1"/>
    <w:rsid w:val="007767AF"/>
    <w:rsid w:val="007767EB"/>
    <w:rsid w:val="00776BF0"/>
    <w:rsid w:val="00780EE9"/>
    <w:rsid w:val="00781192"/>
    <w:rsid w:val="0078211F"/>
    <w:rsid w:val="007842FF"/>
    <w:rsid w:val="007844DA"/>
    <w:rsid w:val="0078546E"/>
    <w:rsid w:val="007868D0"/>
    <w:rsid w:val="00792012"/>
    <w:rsid w:val="007949CD"/>
    <w:rsid w:val="007A5125"/>
    <w:rsid w:val="007A69DA"/>
    <w:rsid w:val="007A77E9"/>
    <w:rsid w:val="007B48A0"/>
    <w:rsid w:val="007B48A3"/>
    <w:rsid w:val="007B79A3"/>
    <w:rsid w:val="007C33DE"/>
    <w:rsid w:val="007C3C9A"/>
    <w:rsid w:val="007C4959"/>
    <w:rsid w:val="007C5CE8"/>
    <w:rsid w:val="007C5D7A"/>
    <w:rsid w:val="007C5EB4"/>
    <w:rsid w:val="007D4EF0"/>
    <w:rsid w:val="007D6B21"/>
    <w:rsid w:val="007E2CD2"/>
    <w:rsid w:val="007E551F"/>
    <w:rsid w:val="007E60BB"/>
    <w:rsid w:val="007E66CA"/>
    <w:rsid w:val="007F0043"/>
    <w:rsid w:val="007F1C5A"/>
    <w:rsid w:val="007F25E5"/>
    <w:rsid w:val="007F5EE8"/>
    <w:rsid w:val="007F6B38"/>
    <w:rsid w:val="007F6F99"/>
    <w:rsid w:val="00801B78"/>
    <w:rsid w:val="00801EB5"/>
    <w:rsid w:val="008049A3"/>
    <w:rsid w:val="00805313"/>
    <w:rsid w:val="0080550B"/>
    <w:rsid w:val="00806FBE"/>
    <w:rsid w:val="008077D9"/>
    <w:rsid w:val="00810CE5"/>
    <w:rsid w:val="008123E4"/>
    <w:rsid w:val="008125D0"/>
    <w:rsid w:val="00812814"/>
    <w:rsid w:val="00814DAA"/>
    <w:rsid w:val="008156EC"/>
    <w:rsid w:val="00820627"/>
    <w:rsid w:val="00820DEA"/>
    <w:rsid w:val="0082323B"/>
    <w:rsid w:val="008241B0"/>
    <w:rsid w:val="00826194"/>
    <w:rsid w:val="00826D44"/>
    <w:rsid w:val="00831484"/>
    <w:rsid w:val="008319A5"/>
    <w:rsid w:val="00832A0E"/>
    <w:rsid w:val="00832AE3"/>
    <w:rsid w:val="00834475"/>
    <w:rsid w:val="00834C12"/>
    <w:rsid w:val="008404F9"/>
    <w:rsid w:val="00840A93"/>
    <w:rsid w:val="00841863"/>
    <w:rsid w:val="00843988"/>
    <w:rsid w:val="00845397"/>
    <w:rsid w:val="008519B2"/>
    <w:rsid w:val="008519EB"/>
    <w:rsid w:val="0085259D"/>
    <w:rsid w:val="00856216"/>
    <w:rsid w:val="008566CF"/>
    <w:rsid w:val="00856A87"/>
    <w:rsid w:val="0085767E"/>
    <w:rsid w:val="00857A94"/>
    <w:rsid w:val="008606D9"/>
    <w:rsid w:val="00863F43"/>
    <w:rsid w:val="0086675D"/>
    <w:rsid w:val="00867A0B"/>
    <w:rsid w:val="008769AE"/>
    <w:rsid w:val="00880E12"/>
    <w:rsid w:val="00881510"/>
    <w:rsid w:val="008832AC"/>
    <w:rsid w:val="00883782"/>
    <w:rsid w:val="00884FB4"/>
    <w:rsid w:val="00885F8F"/>
    <w:rsid w:val="00890C6B"/>
    <w:rsid w:val="008A38E0"/>
    <w:rsid w:val="008A4758"/>
    <w:rsid w:val="008A4A40"/>
    <w:rsid w:val="008A4AB0"/>
    <w:rsid w:val="008A7957"/>
    <w:rsid w:val="008B1610"/>
    <w:rsid w:val="008B315F"/>
    <w:rsid w:val="008B4D05"/>
    <w:rsid w:val="008B698F"/>
    <w:rsid w:val="008C330D"/>
    <w:rsid w:val="008C357A"/>
    <w:rsid w:val="008C3A53"/>
    <w:rsid w:val="008C3FE6"/>
    <w:rsid w:val="008C53FA"/>
    <w:rsid w:val="008C560D"/>
    <w:rsid w:val="008C6F52"/>
    <w:rsid w:val="008D0146"/>
    <w:rsid w:val="008D062B"/>
    <w:rsid w:val="008D3BDE"/>
    <w:rsid w:val="008D4132"/>
    <w:rsid w:val="008D4D60"/>
    <w:rsid w:val="008D6BE1"/>
    <w:rsid w:val="008E1659"/>
    <w:rsid w:val="008E24A4"/>
    <w:rsid w:val="008E474D"/>
    <w:rsid w:val="008E5737"/>
    <w:rsid w:val="008E75B2"/>
    <w:rsid w:val="008F075E"/>
    <w:rsid w:val="008F2B79"/>
    <w:rsid w:val="008F348E"/>
    <w:rsid w:val="008F4DDC"/>
    <w:rsid w:val="008F732A"/>
    <w:rsid w:val="009002AB"/>
    <w:rsid w:val="00900311"/>
    <w:rsid w:val="009007EC"/>
    <w:rsid w:val="009031B6"/>
    <w:rsid w:val="00904D21"/>
    <w:rsid w:val="009056FD"/>
    <w:rsid w:val="00907AC3"/>
    <w:rsid w:val="00911255"/>
    <w:rsid w:val="00913ACC"/>
    <w:rsid w:val="00914574"/>
    <w:rsid w:val="009162C5"/>
    <w:rsid w:val="0091713E"/>
    <w:rsid w:val="009176B0"/>
    <w:rsid w:val="009202F6"/>
    <w:rsid w:val="00920D25"/>
    <w:rsid w:val="00922351"/>
    <w:rsid w:val="00922CD1"/>
    <w:rsid w:val="00930498"/>
    <w:rsid w:val="00930511"/>
    <w:rsid w:val="00931E8A"/>
    <w:rsid w:val="009332BB"/>
    <w:rsid w:val="0093365C"/>
    <w:rsid w:val="00935BE8"/>
    <w:rsid w:val="0093665D"/>
    <w:rsid w:val="00937A8A"/>
    <w:rsid w:val="00940FCE"/>
    <w:rsid w:val="009411AA"/>
    <w:rsid w:val="00943035"/>
    <w:rsid w:val="00946978"/>
    <w:rsid w:val="00947C30"/>
    <w:rsid w:val="00950725"/>
    <w:rsid w:val="00950FB2"/>
    <w:rsid w:val="00951AB2"/>
    <w:rsid w:val="00954765"/>
    <w:rsid w:val="00960867"/>
    <w:rsid w:val="00960E69"/>
    <w:rsid w:val="0096353C"/>
    <w:rsid w:val="009635F9"/>
    <w:rsid w:val="009661CF"/>
    <w:rsid w:val="009663AB"/>
    <w:rsid w:val="0096641F"/>
    <w:rsid w:val="00967E68"/>
    <w:rsid w:val="00971605"/>
    <w:rsid w:val="00971C39"/>
    <w:rsid w:val="00973183"/>
    <w:rsid w:val="009761B2"/>
    <w:rsid w:val="00982F18"/>
    <w:rsid w:val="00985A38"/>
    <w:rsid w:val="00991A4A"/>
    <w:rsid w:val="00992DDA"/>
    <w:rsid w:val="00994394"/>
    <w:rsid w:val="0099679C"/>
    <w:rsid w:val="00996EFB"/>
    <w:rsid w:val="0099796E"/>
    <w:rsid w:val="009A3C2A"/>
    <w:rsid w:val="009A5552"/>
    <w:rsid w:val="009A6448"/>
    <w:rsid w:val="009A6E84"/>
    <w:rsid w:val="009B06C3"/>
    <w:rsid w:val="009B12EA"/>
    <w:rsid w:val="009B26F9"/>
    <w:rsid w:val="009B277E"/>
    <w:rsid w:val="009B2893"/>
    <w:rsid w:val="009B5DC2"/>
    <w:rsid w:val="009B7198"/>
    <w:rsid w:val="009B7BD7"/>
    <w:rsid w:val="009C09E7"/>
    <w:rsid w:val="009C1744"/>
    <w:rsid w:val="009C311F"/>
    <w:rsid w:val="009C3811"/>
    <w:rsid w:val="009C3969"/>
    <w:rsid w:val="009C5A75"/>
    <w:rsid w:val="009C66AB"/>
    <w:rsid w:val="009C6A6B"/>
    <w:rsid w:val="009C7FD3"/>
    <w:rsid w:val="009D0E68"/>
    <w:rsid w:val="009D2602"/>
    <w:rsid w:val="009D3F9C"/>
    <w:rsid w:val="009D44D0"/>
    <w:rsid w:val="009D4CA4"/>
    <w:rsid w:val="009D6BB9"/>
    <w:rsid w:val="009D6CFC"/>
    <w:rsid w:val="009E1F45"/>
    <w:rsid w:val="009E2563"/>
    <w:rsid w:val="009E2EB9"/>
    <w:rsid w:val="009E3E1F"/>
    <w:rsid w:val="009E5CE1"/>
    <w:rsid w:val="009E6625"/>
    <w:rsid w:val="009E687D"/>
    <w:rsid w:val="009E7869"/>
    <w:rsid w:val="009F1A82"/>
    <w:rsid w:val="009F2366"/>
    <w:rsid w:val="009F2387"/>
    <w:rsid w:val="009F2435"/>
    <w:rsid w:val="009F380D"/>
    <w:rsid w:val="009F48A3"/>
    <w:rsid w:val="009F4D21"/>
    <w:rsid w:val="009F592E"/>
    <w:rsid w:val="009F6A4A"/>
    <w:rsid w:val="009F6B0C"/>
    <w:rsid w:val="00A018D3"/>
    <w:rsid w:val="00A01E85"/>
    <w:rsid w:val="00A04F9D"/>
    <w:rsid w:val="00A05873"/>
    <w:rsid w:val="00A064F7"/>
    <w:rsid w:val="00A1077A"/>
    <w:rsid w:val="00A10D99"/>
    <w:rsid w:val="00A126C8"/>
    <w:rsid w:val="00A14460"/>
    <w:rsid w:val="00A15FC5"/>
    <w:rsid w:val="00A16E4E"/>
    <w:rsid w:val="00A2009B"/>
    <w:rsid w:val="00A208FD"/>
    <w:rsid w:val="00A21AA0"/>
    <w:rsid w:val="00A2242E"/>
    <w:rsid w:val="00A328C2"/>
    <w:rsid w:val="00A3360D"/>
    <w:rsid w:val="00A4030B"/>
    <w:rsid w:val="00A41B0F"/>
    <w:rsid w:val="00A41CE8"/>
    <w:rsid w:val="00A426CF"/>
    <w:rsid w:val="00A45352"/>
    <w:rsid w:val="00A45C19"/>
    <w:rsid w:val="00A468EE"/>
    <w:rsid w:val="00A509B3"/>
    <w:rsid w:val="00A51FE5"/>
    <w:rsid w:val="00A52900"/>
    <w:rsid w:val="00A55D58"/>
    <w:rsid w:val="00A566BD"/>
    <w:rsid w:val="00A56EA1"/>
    <w:rsid w:val="00A57FEF"/>
    <w:rsid w:val="00A60AB7"/>
    <w:rsid w:val="00A61D9B"/>
    <w:rsid w:val="00A620E4"/>
    <w:rsid w:val="00A6230A"/>
    <w:rsid w:val="00A65D42"/>
    <w:rsid w:val="00A670ED"/>
    <w:rsid w:val="00A709FD"/>
    <w:rsid w:val="00A71261"/>
    <w:rsid w:val="00A72A7C"/>
    <w:rsid w:val="00A72D1C"/>
    <w:rsid w:val="00A734E6"/>
    <w:rsid w:val="00A82BDF"/>
    <w:rsid w:val="00A83A85"/>
    <w:rsid w:val="00A845C9"/>
    <w:rsid w:val="00A84BB5"/>
    <w:rsid w:val="00A84D7E"/>
    <w:rsid w:val="00A87E7E"/>
    <w:rsid w:val="00A921CD"/>
    <w:rsid w:val="00A932A0"/>
    <w:rsid w:val="00A9386F"/>
    <w:rsid w:val="00A950EB"/>
    <w:rsid w:val="00A96599"/>
    <w:rsid w:val="00A974CC"/>
    <w:rsid w:val="00A97A36"/>
    <w:rsid w:val="00AA3926"/>
    <w:rsid w:val="00AA5595"/>
    <w:rsid w:val="00AA6148"/>
    <w:rsid w:val="00AA6FFF"/>
    <w:rsid w:val="00AB116D"/>
    <w:rsid w:val="00AC0D88"/>
    <w:rsid w:val="00AC12D1"/>
    <w:rsid w:val="00AC1EBB"/>
    <w:rsid w:val="00AC364C"/>
    <w:rsid w:val="00AC5A08"/>
    <w:rsid w:val="00AC5C38"/>
    <w:rsid w:val="00AC6854"/>
    <w:rsid w:val="00AC6AC5"/>
    <w:rsid w:val="00AC7E22"/>
    <w:rsid w:val="00AD0534"/>
    <w:rsid w:val="00AD21C1"/>
    <w:rsid w:val="00AD29FA"/>
    <w:rsid w:val="00AD51F8"/>
    <w:rsid w:val="00AD6BBA"/>
    <w:rsid w:val="00AE16F9"/>
    <w:rsid w:val="00AE724D"/>
    <w:rsid w:val="00AF51BB"/>
    <w:rsid w:val="00AF785B"/>
    <w:rsid w:val="00B01C19"/>
    <w:rsid w:val="00B04212"/>
    <w:rsid w:val="00B04F14"/>
    <w:rsid w:val="00B06338"/>
    <w:rsid w:val="00B10333"/>
    <w:rsid w:val="00B10CA1"/>
    <w:rsid w:val="00B10CDD"/>
    <w:rsid w:val="00B11541"/>
    <w:rsid w:val="00B13107"/>
    <w:rsid w:val="00B13618"/>
    <w:rsid w:val="00B20295"/>
    <w:rsid w:val="00B21081"/>
    <w:rsid w:val="00B21278"/>
    <w:rsid w:val="00B23900"/>
    <w:rsid w:val="00B25013"/>
    <w:rsid w:val="00B253BF"/>
    <w:rsid w:val="00B27E3D"/>
    <w:rsid w:val="00B30286"/>
    <w:rsid w:val="00B34D8C"/>
    <w:rsid w:val="00B35FC1"/>
    <w:rsid w:val="00B36368"/>
    <w:rsid w:val="00B403D6"/>
    <w:rsid w:val="00B41828"/>
    <w:rsid w:val="00B44BF3"/>
    <w:rsid w:val="00B4555B"/>
    <w:rsid w:val="00B45D51"/>
    <w:rsid w:val="00B47317"/>
    <w:rsid w:val="00B5052B"/>
    <w:rsid w:val="00B53A9C"/>
    <w:rsid w:val="00B53E94"/>
    <w:rsid w:val="00B53F86"/>
    <w:rsid w:val="00B54D37"/>
    <w:rsid w:val="00B612AC"/>
    <w:rsid w:val="00B61AD7"/>
    <w:rsid w:val="00B61C4F"/>
    <w:rsid w:val="00B63B53"/>
    <w:rsid w:val="00B64ED8"/>
    <w:rsid w:val="00B6621A"/>
    <w:rsid w:val="00B66668"/>
    <w:rsid w:val="00B6674B"/>
    <w:rsid w:val="00B67B02"/>
    <w:rsid w:val="00B7033A"/>
    <w:rsid w:val="00B747C3"/>
    <w:rsid w:val="00B75A02"/>
    <w:rsid w:val="00B75D83"/>
    <w:rsid w:val="00B7792A"/>
    <w:rsid w:val="00B77AC9"/>
    <w:rsid w:val="00B77E78"/>
    <w:rsid w:val="00B81312"/>
    <w:rsid w:val="00B8154F"/>
    <w:rsid w:val="00B81C0D"/>
    <w:rsid w:val="00B85262"/>
    <w:rsid w:val="00B8600F"/>
    <w:rsid w:val="00B867F3"/>
    <w:rsid w:val="00B8696C"/>
    <w:rsid w:val="00B91601"/>
    <w:rsid w:val="00B94101"/>
    <w:rsid w:val="00B9452F"/>
    <w:rsid w:val="00B96B40"/>
    <w:rsid w:val="00B970CA"/>
    <w:rsid w:val="00B97830"/>
    <w:rsid w:val="00B97F89"/>
    <w:rsid w:val="00B97FE2"/>
    <w:rsid w:val="00BA11EA"/>
    <w:rsid w:val="00BA5761"/>
    <w:rsid w:val="00BA728B"/>
    <w:rsid w:val="00BB1B31"/>
    <w:rsid w:val="00BB375B"/>
    <w:rsid w:val="00BB7876"/>
    <w:rsid w:val="00BC00B9"/>
    <w:rsid w:val="00BC029A"/>
    <w:rsid w:val="00BC1E23"/>
    <w:rsid w:val="00BC2CF9"/>
    <w:rsid w:val="00BC3932"/>
    <w:rsid w:val="00BC51E5"/>
    <w:rsid w:val="00BD01AA"/>
    <w:rsid w:val="00BD0D2F"/>
    <w:rsid w:val="00BD13A2"/>
    <w:rsid w:val="00BD5CC2"/>
    <w:rsid w:val="00BE09E5"/>
    <w:rsid w:val="00BE136F"/>
    <w:rsid w:val="00BE2D6B"/>
    <w:rsid w:val="00BE31E2"/>
    <w:rsid w:val="00BE558A"/>
    <w:rsid w:val="00BE563B"/>
    <w:rsid w:val="00BE5ED6"/>
    <w:rsid w:val="00BE631D"/>
    <w:rsid w:val="00BE7A23"/>
    <w:rsid w:val="00BF1872"/>
    <w:rsid w:val="00BF263A"/>
    <w:rsid w:val="00BF44CE"/>
    <w:rsid w:val="00BF4747"/>
    <w:rsid w:val="00BF48A1"/>
    <w:rsid w:val="00BF5603"/>
    <w:rsid w:val="00C0031F"/>
    <w:rsid w:val="00C009D3"/>
    <w:rsid w:val="00C03013"/>
    <w:rsid w:val="00C04F56"/>
    <w:rsid w:val="00C05C71"/>
    <w:rsid w:val="00C06213"/>
    <w:rsid w:val="00C070AA"/>
    <w:rsid w:val="00C11F64"/>
    <w:rsid w:val="00C13496"/>
    <w:rsid w:val="00C135FE"/>
    <w:rsid w:val="00C141E9"/>
    <w:rsid w:val="00C1435A"/>
    <w:rsid w:val="00C1503F"/>
    <w:rsid w:val="00C1696D"/>
    <w:rsid w:val="00C179B3"/>
    <w:rsid w:val="00C2000A"/>
    <w:rsid w:val="00C20FA3"/>
    <w:rsid w:val="00C21387"/>
    <w:rsid w:val="00C21A37"/>
    <w:rsid w:val="00C22C28"/>
    <w:rsid w:val="00C235DB"/>
    <w:rsid w:val="00C2402E"/>
    <w:rsid w:val="00C2408C"/>
    <w:rsid w:val="00C24C11"/>
    <w:rsid w:val="00C30632"/>
    <w:rsid w:val="00C326DA"/>
    <w:rsid w:val="00C34B81"/>
    <w:rsid w:val="00C35356"/>
    <w:rsid w:val="00C35666"/>
    <w:rsid w:val="00C35AE9"/>
    <w:rsid w:val="00C36758"/>
    <w:rsid w:val="00C37AD6"/>
    <w:rsid w:val="00C4009A"/>
    <w:rsid w:val="00C40365"/>
    <w:rsid w:val="00C42ABF"/>
    <w:rsid w:val="00C46376"/>
    <w:rsid w:val="00C466B5"/>
    <w:rsid w:val="00C57963"/>
    <w:rsid w:val="00C62195"/>
    <w:rsid w:val="00C6246D"/>
    <w:rsid w:val="00C642CF"/>
    <w:rsid w:val="00C65427"/>
    <w:rsid w:val="00C661A1"/>
    <w:rsid w:val="00C66544"/>
    <w:rsid w:val="00C70AC1"/>
    <w:rsid w:val="00C7413B"/>
    <w:rsid w:val="00C751AC"/>
    <w:rsid w:val="00C76973"/>
    <w:rsid w:val="00C8028A"/>
    <w:rsid w:val="00C8249F"/>
    <w:rsid w:val="00C824F1"/>
    <w:rsid w:val="00C82500"/>
    <w:rsid w:val="00C841AB"/>
    <w:rsid w:val="00C92579"/>
    <w:rsid w:val="00C95F3C"/>
    <w:rsid w:val="00C96D7C"/>
    <w:rsid w:val="00CA00DF"/>
    <w:rsid w:val="00CA20DD"/>
    <w:rsid w:val="00CA2987"/>
    <w:rsid w:val="00CA3F72"/>
    <w:rsid w:val="00CA7BBC"/>
    <w:rsid w:val="00CB13B1"/>
    <w:rsid w:val="00CB19F6"/>
    <w:rsid w:val="00CB2F9E"/>
    <w:rsid w:val="00CB4CB2"/>
    <w:rsid w:val="00CB4E97"/>
    <w:rsid w:val="00CB6077"/>
    <w:rsid w:val="00CB7BCD"/>
    <w:rsid w:val="00CC2018"/>
    <w:rsid w:val="00CC2595"/>
    <w:rsid w:val="00CC3F51"/>
    <w:rsid w:val="00CC5667"/>
    <w:rsid w:val="00CC721F"/>
    <w:rsid w:val="00CC7880"/>
    <w:rsid w:val="00CC7A0F"/>
    <w:rsid w:val="00CD1A37"/>
    <w:rsid w:val="00CD35CC"/>
    <w:rsid w:val="00CD3C4A"/>
    <w:rsid w:val="00CD4061"/>
    <w:rsid w:val="00CD6BB4"/>
    <w:rsid w:val="00CD6E5B"/>
    <w:rsid w:val="00CD7B56"/>
    <w:rsid w:val="00CE31DF"/>
    <w:rsid w:val="00CE4D38"/>
    <w:rsid w:val="00CE5BE2"/>
    <w:rsid w:val="00CE6B2B"/>
    <w:rsid w:val="00CF228C"/>
    <w:rsid w:val="00CF2CE3"/>
    <w:rsid w:val="00CF2E46"/>
    <w:rsid w:val="00CF54C1"/>
    <w:rsid w:val="00CF6572"/>
    <w:rsid w:val="00CF7126"/>
    <w:rsid w:val="00CF799F"/>
    <w:rsid w:val="00CF7D13"/>
    <w:rsid w:val="00D0035E"/>
    <w:rsid w:val="00D022DE"/>
    <w:rsid w:val="00D0291D"/>
    <w:rsid w:val="00D04FB8"/>
    <w:rsid w:val="00D050EE"/>
    <w:rsid w:val="00D05C36"/>
    <w:rsid w:val="00D07F43"/>
    <w:rsid w:val="00D1106B"/>
    <w:rsid w:val="00D11899"/>
    <w:rsid w:val="00D12B5F"/>
    <w:rsid w:val="00D12F58"/>
    <w:rsid w:val="00D13393"/>
    <w:rsid w:val="00D13C4C"/>
    <w:rsid w:val="00D1496E"/>
    <w:rsid w:val="00D14AC5"/>
    <w:rsid w:val="00D14C2F"/>
    <w:rsid w:val="00D17E2C"/>
    <w:rsid w:val="00D20715"/>
    <w:rsid w:val="00D20DE0"/>
    <w:rsid w:val="00D21F39"/>
    <w:rsid w:val="00D229FC"/>
    <w:rsid w:val="00D23350"/>
    <w:rsid w:val="00D23728"/>
    <w:rsid w:val="00D25854"/>
    <w:rsid w:val="00D30288"/>
    <w:rsid w:val="00D30EDD"/>
    <w:rsid w:val="00D326EB"/>
    <w:rsid w:val="00D3399C"/>
    <w:rsid w:val="00D3469F"/>
    <w:rsid w:val="00D37A36"/>
    <w:rsid w:val="00D406A6"/>
    <w:rsid w:val="00D42E7D"/>
    <w:rsid w:val="00D4679B"/>
    <w:rsid w:val="00D50823"/>
    <w:rsid w:val="00D51030"/>
    <w:rsid w:val="00D5269A"/>
    <w:rsid w:val="00D52F30"/>
    <w:rsid w:val="00D533A8"/>
    <w:rsid w:val="00D557F6"/>
    <w:rsid w:val="00D62432"/>
    <w:rsid w:val="00D62D1D"/>
    <w:rsid w:val="00D634FC"/>
    <w:rsid w:val="00D636D2"/>
    <w:rsid w:val="00D636F0"/>
    <w:rsid w:val="00D63D78"/>
    <w:rsid w:val="00D64B5F"/>
    <w:rsid w:val="00D664ED"/>
    <w:rsid w:val="00D667DE"/>
    <w:rsid w:val="00D67EB6"/>
    <w:rsid w:val="00D714C6"/>
    <w:rsid w:val="00D71E20"/>
    <w:rsid w:val="00D73838"/>
    <w:rsid w:val="00D806D4"/>
    <w:rsid w:val="00D81829"/>
    <w:rsid w:val="00D835BA"/>
    <w:rsid w:val="00D83973"/>
    <w:rsid w:val="00D87916"/>
    <w:rsid w:val="00D91AC2"/>
    <w:rsid w:val="00D927CF"/>
    <w:rsid w:val="00D94C35"/>
    <w:rsid w:val="00D9519E"/>
    <w:rsid w:val="00D96AB9"/>
    <w:rsid w:val="00D96B89"/>
    <w:rsid w:val="00D96EA3"/>
    <w:rsid w:val="00D96F25"/>
    <w:rsid w:val="00DA00A6"/>
    <w:rsid w:val="00DA0F3F"/>
    <w:rsid w:val="00DA116A"/>
    <w:rsid w:val="00DA425D"/>
    <w:rsid w:val="00DA6519"/>
    <w:rsid w:val="00DA6BC2"/>
    <w:rsid w:val="00DA6D94"/>
    <w:rsid w:val="00DA72EC"/>
    <w:rsid w:val="00DA7AA1"/>
    <w:rsid w:val="00DA7AAC"/>
    <w:rsid w:val="00DA7C64"/>
    <w:rsid w:val="00DB06DD"/>
    <w:rsid w:val="00DB0E00"/>
    <w:rsid w:val="00DB61AD"/>
    <w:rsid w:val="00DB655D"/>
    <w:rsid w:val="00DB6DED"/>
    <w:rsid w:val="00DB6FE2"/>
    <w:rsid w:val="00DB75B0"/>
    <w:rsid w:val="00DB766D"/>
    <w:rsid w:val="00DD088E"/>
    <w:rsid w:val="00DD115E"/>
    <w:rsid w:val="00DD1DA0"/>
    <w:rsid w:val="00DD25AB"/>
    <w:rsid w:val="00DD618F"/>
    <w:rsid w:val="00DD7128"/>
    <w:rsid w:val="00DE27D7"/>
    <w:rsid w:val="00DE34BE"/>
    <w:rsid w:val="00DE5BD8"/>
    <w:rsid w:val="00DE5C97"/>
    <w:rsid w:val="00DE6A07"/>
    <w:rsid w:val="00DF14FF"/>
    <w:rsid w:val="00DF1A75"/>
    <w:rsid w:val="00DF3D9C"/>
    <w:rsid w:val="00DF47ED"/>
    <w:rsid w:val="00DF5614"/>
    <w:rsid w:val="00E00438"/>
    <w:rsid w:val="00E00987"/>
    <w:rsid w:val="00E00FDC"/>
    <w:rsid w:val="00E01CCE"/>
    <w:rsid w:val="00E0214A"/>
    <w:rsid w:val="00E02A21"/>
    <w:rsid w:val="00E02DFC"/>
    <w:rsid w:val="00E0655E"/>
    <w:rsid w:val="00E07FCC"/>
    <w:rsid w:val="00E14A95"/>
    <w:rsid w:val="00E1512C"/>
    <w:rsid w:val="00E16DB8"/>
    <w:rsid w:val="00E16EBE"/>
    <w:rsid w:val="00E207BD"/>
    <w:rsid w:val="00E20B4B"/>
    <w:rsid w:val="00E21336"/>
    <w:rsid w:val="00E22044"/>
    <w:rsid w:val="00E23112"/>
    <w:rsid w:val="00E23B56"/>
    <w:rsid w:val="00E254F8"/>
    <w:rsid w:val="00E25D35"/>
    <w:rsid w:val="00E26E6A"/>
    <w:rsid w:val="00E3035E"/>
    <w:rsid w:val="00E30535"/>
    <w:rsid w:val="00E307B8"/>
    <w:rsid w:val="00E321B1"/>
    <w:rsid w:val="00E32702"/>
    <w:rsid w:val="00E34482"/>
    <w:rsid w:val="00E3467F"/>
    <w:rsid w:val="00E35F84"/>
    <w:rsid w:val="00E4083C"/>
    <w:rsid w:val="00E4126E"/>
    <w:rsid w:val="00E430A4"/>
    <w:rsid w:val="00E46F3D"/>
    <w:rsid w:val="00E5309B"/>
    <w:rsid w:val="00E5322D"/>
    <w:rsid w:val="00E54BB9"/>
    <w:rsid w:val="00E56289"/>
    <w:rsid w:val="00E572D1"/>
    <w:rsid w:val="00E577E9"/>
    <w:rsid w:val="00E61AE8"/>
    <w:rsid w:val="00E63F01"/>
    <w:rsid w:val="00E64096"/>
    <w:rsid w:val="00E672C3"/>
    <w:rsid w:val="00E71D18"/>
    <w:rsid w:val="00E722FF"/>
    <w:rsid w:val="00E728DE"/>
    <w:rsid w:val="00E72DAC"/>
    <w:rsid w:val="00E748AE"/>
    <w:rsid w:val="00E74D74"/>
    <w:rsid w:val="00E84A6A"/>
    <w:rsid w:val="00E96973"/>
    <w:rsid w:val="00EA36C4"/>
    <w:rsid w:val="00EA3D25"/>
    <w:rsid w:val="00EA629A"/>
    <w:rsid w:val="00EB2E78"/>
    <w:rsid w:val="00EB6B7C"/>
    <w:rsid w:val="00EC15BE"/>
    <w:rsid w:val="00EC482C"/>
    <w:rsid w:val="00EC51E9"/>
    <w:rsid w:val="00EC5658"/>
    <w:rsid w:val="00EC6E95"/>
    <w:rsid w:val="00EC7185"/>
    <w:rsid w:val="00EC795B"/>
    <w:rsid w:val="00ED0E63"/>
    <w:rsid w:val="00ED2629"/>
    <w:rsid w:val="00ED2F1E"/>
    <w:rsid w:val="00ED3651"/>
    <w:rsid w:val="00ED46EE"/>
    <w:rsid w:val="00ED5744"/>
    <w:rsid w:val="00ED5979"/>
    <w:rsid w:val="00ED66BB"/>
    <w:rsid w:val="00ED755D"/>
    <w:rsid w:val="00EE0EFA"/>
    <w:rsid w:val="00EE373B"/>
    <w:rsid w:val="00EE5F47"/>
    <w:rsid w:val="00EE6696"/>
    <w:rsid w:val="00EE6DBE"/>
    <w:rsid w:val="00EE79E2"/>
    <w:rsid w:val="00EF0DD6"/>
    <w:rsid w:val="00EF3B17"/>
    <w:rsid w:val="00EF3E9B"/>
    <w:rsid w:val="00EF420E"/>
    <w:rsid w:val="00EF4891"/>
    <w:rsid w:val="00EF4AD0"/>
    <w:rsid w:val="00F01966"/>
    <w:rsid w:val="00F02521"/>
    <w:rsid w:val="00F03591"/>
    <w:rsid w:val="00F03910"/>
    <w:rsid w:val="00F045F1"/>
    <w:rsid w:val="00F072B0"/>
    <w:rsid w:val="00F10CB3"/>
    <w:rsid w:val="00F10FBC"/>
    <w:rsid w:val="00F1102A"/>
    <w:rsid w:val="00F14949"/>
    <w:rsid w:val="00F21995"/>
    <w:rsid w:val="00F22EE3"/>
    <w:rsid w:val="00F30C24"/>
    <w:rsid w:val="00F31601"/>
    <w:rsid w:val="00F33B0C"/>
    <w:rsid w:val="00F34197"/>
    <w:rsid w:val="00F41478"/>
    <w:rsid w:val="00F42813"/>
    <w:rsid w:val="00F441E0"/>
    <w:rsid w:val="00F465CD"/>
    <w:rsid w:val="00F50F37"/>
    <w:rsid w:val="00F55FBB"/>
    <w:rsid w:val="00F56200"/>
    <w:rsid w:val="00F61721"/>
    <w:rsid w:val="00F6226E"/>
    <w:rsid w:val="00F627F8"/>
    <w:rsid w:val="00F62EF5"/>
    <w:rsid w:val="00F6583B"/>
    <w:rsid w:val="00F66251"/>
    <w:rsid w:val="00F6692B"/>
    <w:rsid w:val="00F71021"/>
    <w:rsid w:val="00F72087"/>
    <w:rsid w:val="00F7217D"/>
    <w:rsid w:val="00F74091"/>
    <w:rsid w:val="00F7559A"/>
    <w:rsid w:val="00F75B5E"/>
    <w:rsid w:val="00F76C03"/>
    <w:rsid w:val="00F77E9D"/>
    <w:rsid w:val="00F804CA"/>
    <w:rsid w:val="00F83CCA"/>
    <w:rsid w:val="00F84A24"/>
    <w:rsid w:val="00F871F1"/>
    <w:rsid w:val="00F9036D"/>
    <w:rsid w:val="00F91552"/>
    <w:rsid w:val="00F91D08"/>
    <w:rsid w:val="00F952E5"/>
    <w:rsid w:val="00F96CEE"/>
    <w:rsid w:val="00F97735"/>
    <w:rsid w:val="00F97B69"/>
    <w:rsid w:val="00F97DA0"/>
    <w:rsid w:val="00FA08A3"/>
    <w:rsid w:val="00FA20EC"/>
    <w:rsid w:val="00FA2472"/>
    <w:rsid w:val="00FA26B0"/>
    <w:rsid w:val="00FA2AC3"/>
    <w:rsid w:val="00FA2D79"/>
    <w:rsid w:val="00FA3374"/>
    <w:rsid w:val="00FA3C41"/>
    <w:rsid w:val="00FA5455"/>
    <w:rsid w:val="00FA5518"/>
    <w:rsid w:val="00FA5F87"/>
    <w:rsid w:val="00FA66A1"/>
    <w:rsid w:val="00FA70E1"/>
    <w:rsid w:val="00FB0090"/>
    <w:rsid w:val="00FB1E1C"/>
    <w:rsid w:val="00FB22D6"/>
    <w:rsid w:val="00FB25EE"/>
    <w:rsid w:val="00FB3185"/>
    <w:rsid w:val="00FB323D"/>
    <w:rsid w:val="00FB46AE"/>
    <w:rsid w:val="00FB4F10"/>
    <w:rsid w:val="00FB5E9B"/>
    <w:rsid w:val="00FB79AF"/>
    <w:rsid w:val="00FC0D7D"/>
    <w:rsid w:val="00FC0EE2"/>
    <w:rsid w:val="00FC4482"/>
    <w:rsid w:val="00FC46EE"/>
    <w:rsid w:val="00FC581A"/>
    <w:rsid w:val="00FC69B7"/>
    <w:rsid w:val="00FD6878"/>
    <w:rsid w:val="00FD76AA"/>
    <w:rsid w:val="00FE0238"/>
    <w:rsid w:val="00FE09AD"/>
    <w:rsid w:val="00FE120D"/>
    <w:rsid w:val="00FE1BE4"/>
    <w:rsid w:val="00FE24A8"/>
    <w:rsid w:val="00FE2B67"/>
    <w:rsid w:val="00FE36AE"/>
    <w:rsid w:val="00FE5F8C"/>
    <w:rsid w:val="00FF000E"/>
    <w:rsid w:val="00FF0F76"/>
    <w:rsid w:val="00FF3DAB"/>
    <w:rsid w:val="00FF6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2"/>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2"/>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2"/>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2"/>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2"/>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2"/>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2"/>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2"/>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2"/>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Recommendation,List Paragraph1,Table of contents numbered,Chapter Numbering,List Paragraph - 2,Riana Table Bullets 1,Bullets and Numbers"/>
    <w:basedOn w:val="Normal"/>
    <w:link w:val="ListParagraphChar"/>
    <w:uiPriority w:val="34"/>
    <w:qFormat/>
    <w:rsid w:val="00C05C71"/>
    <w:pPr>
      <w:ind w:left="720"/>
    </w:pPr>
  </w:style>
  <w:style w:type="character" w:customStyle="1" w:styleId="ListParagraphChar">
    <w:name w:val="List Paragraph Char"/>
    <w:aliases w:val="List Paragraph 1 Char,Bullets Char,Recommendation Char,List Paragraph1 Char,Table of contents numbered Char,Chapter Numbering Char,List Paragraph - 2 Char,Riana Table Bullets 1 Char,Bullets and Number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7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F6B38"/>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7F6B3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8546E"/>
    <w:pPr>
      <w:spacing w:after="0" w:line="240" w:lineRule="auto"/>
    </w:pPr>
    <w:rPr>
      <w:rFonts w:ascii="Times New Roman" w:eastAsia="Times New Roman" w:hAnsi="Times New Roman" w:cs="Times New Roman"/>
      <w:sz w:val="24"/>
      <w:szCs w:val="24"/>
      <w:lang w:val="en-GB" w:eastAsia="en-GB"/>
    </w:rPr>
  </w:style>
  <w:style w:type="character" w:customStyle="1" w:styleId="blue--text">
    <w:name w:val="blue--text"/>
    <w:basedOn w:val="DefaultParagraphFont"/>
    <w:rsid w:val="003B3295"/>
  </w:style>
  <w:style w:type="paragraph" w:customStyle="1" w:styleId="SCOA2">
    <w:name w:val="SCOA2"/>
    <w:basedOn w:val="Normal"/>
    <w:qFormat/>
    <w:rsid w:val="00402E2C"/>
    <w:pPr>
      <w:tabs>
        <w:tab w:val="left" w:pos="0"/>
        <w:tab w:val="left" w:pos="142"/>
        <w:tab w:val="left" w:pos="10348"/>
      </w:tabs>
      <w:spacing w:before="240" w:after="120"/>
    </w:pPr>
    <w:rPr>
      <w:rFonts w:ascii="Arial" w:eastAsiaTheme="minorHAnsi" w:hAnsi="Arial" w:cs="Arial"/>
      <w:b/>
      <w:lang w:eastAsia="en-US"/>
    </w:rPr>
  </w:style>
  <w:style w:type="paragraph" w:customStyle="1" w:styleId="SCOAP">
    <w:name w:val="SCOAP"/>
    <w:basedOn w:val="Normal"/>
    <w:qFormat/>
    <w:rsid w:val="00402E2C"/>
    <w:pPr>
      <w:spacing w:before="240" w:after="240"/>
      <w:jc w:val="both"/>
    </w:pPr>
    <w:rPr>
      <w:rFonts w:ascii="Arial" w:eastAsiaTheme="minorHAnsi" w:hAnsi="Arial" w:cs="Arial"/>
      <w:sz w:val="21"/>
      <w:szCs w:val="21"/>
      <w:lang w:eastAsia="en-US"/>
    </w:rPr>
  </w:style>
  <w:style w:type="paragraph" w:customStyle="1" w:styleId="footnotedescription">
    <w:name w:val="footnote description"/>
    <w:next w:val="Normal"/>
    <w:link w:val="footnotedescriptionChar"/>
    <w:hidden/>
    <w:rsid w:val="00EF420E"/>
    <w:pPr>
      <w:spacing w:after="0" w:line="259" w:lineRule="auto"/>
    </w:pPr>
    <w:rPr>
      <w:rFonts w:ascii="Arial" w:eastAsia="Arial" w:hAnsi="Arial" w:cs="Arial"/>
      <w:color w:val="000000"/>
      <w:sz w:val="20"/>
      <w:lang w:eastAsia="en-ZA"/>
    </w:rPr>
  </w:style>
  <w:style w:type="character" w:customStyle="1" w:styleId="footnotedescriptionChar">
    <w:name w:val="footnote description Char"/>
    <w:link w:val="footnotedescription"/>
    <w:rsid w:val="00EF420E"/>
    <w:rPr>
      <w:rFonts w:ascii="Arial" w:eastAsia="Arial" w:hAnsi="Arial" w:cs="Arial"/>
      <w:color w:val="000000"/>
      <w:sz w:val="20"/>
      <w:lang w:eastAsia="en-ZA"/>
    </w:rPr>
  </w:style>
  <w:style w:type="character" w:customStyle="1" w:styleId="footnotemark">
    <w:name w:val="footnote mark"/>
    <w:hidden/>
    <w:rsid w:val="00EF420E"/>
    <w:rPr>
      <w:rFonts w:ascii="Arial" w:eastAsia="Arial" w:hAnsi="Arial" w:cs="Arial"/>
      <w:color w:val="000000"/>
      <w:sz w:val="20"/>
      <w:vertAlign w:val="superscript"/>
    </w:rPr>
  </w:style>
  <w:style w:type="table" w:customStyle="1" w:styleId="TableGrid0">
    <w:name w:val="TableGrid"/>
    <w:rsid w:val="00EF420E"/>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4519005">
      <w:bodyDiv w:val="1"/>
      <w:marLeft w:val="0"/>
      <w:marRight w:val="0"/>
      <w:marTop w:val="0"/>
      <w:marBottom w:val="0"/>
      <w:divBdr>
        <w:top w:val="none" w:sz="0" w:space="0" w:color="auto"/>
        <w:left w:val="none" w:sz="0" w:space="0" w:color="auto"/>
        <w:bottom w:val="none" w:sz="0" w:space="0" w:color="auto"/>
        <w:right w:val="none" w:sz="0" w:space="0" w:color="auto"/>
      </w:divBdr>
      <w:divsChild>
        <w:div w:id="436759207">
          <w:marLeft w:val="446"/>
          <w:marRight w:val="0"/>
          <w:marTop w:val="0"/>
          <w:marBottom w:val="0"/>
          <w:divBdr>
            <w:top w:val="none" w:sz="0" w:space="0" w:color="auto"/>
            <w:left w:val="none" w:sz="0" w:space="0" w:color="auto"/>
            <w:bottom w:val="none" w:sz="0" w:space="0" w:color="auto"/>
            <w:right w:val="none" w:sz="0" w:space="0" w:color="auto"/>
          </w:divBdr>
        </w:div>
        <w:div w:id="146240860">
          <w:marLeft w:val="446"/>
          <w:marRight w:val="0"/>
          <w:marTop w:val="0"/>
          <w:marBottom w:val="0"/>
          <w:divBdr>
            <w:top w:val="none" w:sz="0" w:space="0" w:color="auto"/>
            <w:left w:val="none" w:sz="0" w:space="0" w:color="auto"/>
            <w:bottom w:val="none" w:sz="0" w:space="0" w:color="auto"/>
            <w:right w:val="none" w:sz="0" w:space="0" w:color="auto"/>
          </w:divBdr>
        </w:div>
      </w:divsChild>
    </w:div>
    <w:div w:id="240258996">
      <w:bodyDiv w:val="1"/>
      <w:marLeft w:val="0"/>
      <w:marRight w:val="0"/>
      <w:marTop w:val="0"/>
      <w:marBottom w:val="0"/>
      <w:divBdr>
        <w:top w:val="none" w:sz="0" w:space="0" w:color="auto"/>
        <w:left w:val="none" w:sz="0" w:space="0" w:color="auto"/>
        <w:bottom w:val="none" w:sz="0" w:space="0" w:color="auto"/>
        <w:right w:val="none" w:sz="0" w:space="0" w:color="auto"/>
      </w:divBdr>
    </w:div>
    <w:div w:id="258297908">
      <w:bodyDiv w:val="1"/>
      <w:marLeft w:val="0"/>
      <w:marRight w:val="0"/>
      <w:marTop w:val="0"/>
      <w:marBottom w:val="0"/>
      <w:divBdr>
        <w:top w:val="none" w:sz="0" w:space="0" w:color="auto"/>
        <w:left w:val="none" w:sz="0" w:space="0" w:color="auto"/>
        <w:bottom w:val="none" w:sz="0" w:space="0" w:color="auto"/>
        <w:right w:val="none" w:sz="0" w:space="0" w:color="auto"/>
      </w:divBdr>
      <w:divsChild>
        <w:div w:id="1837304522">
          <w:marLeft w:val="446"/>
          <w:marRight w:val="0"/>
          <w:marTop w:val="0"/>
          <w:marBottom w:val="0"/>
          <w:divBdr>
            <w:top w:val="none" w:sz="0" w:space="0" w:color="auto"/>
            <w:left w:val="none" w:sz="0" w:space="0" w:color="auto"/>
            <w:bottom w:val="none" w:sz="0" w:space="0" w:color="auto"/>
            <w:right w:val="none" w:sz="0" w:space="0" w:color="auto"/>
          </w:divBdr>
        </w:div>
        <w:div w:id="534734722">
          <w:marLeft w:val="446"/>
          <w:marRight w:val="0"/>
          <w:marTop w:val="0"/>
          <w:marBottom w:val="0"/>
          <w:divBdr>
            <w:top w:val="none" w:sz="0" w:space="0" w:color="auto"/>
            <w:left w:val="none" w:sz="0" w:space="0" w:color="auto"/>
            <w:bottom w:val="none" w:sz="0" w:space="0" w:color="auto"/>
            <w:right w:val="none" w:sz="0" w:space="0" w:color="auto"/>
          </w:divBdr>
        </w:div>
      </w:divsChild>
    </w:div>
    <w:div w:id="294608892">
      <w:bodyDiv w:val="1"/>
      <w:marLeft w:val="0"/>
      <w:marRight w:val="0"/>
      <w:marTop w:val="0"/>
      <w:marBottom w:val="0"/>
      <w:divBdr>
        <w:top w:val="none" w:sz="0" w:space="0" w:color="auto"/>
        <w:left w:val="none" w:sz="0" w:space="0" w:color="auto"/>
        <w:bottom w:val="none" w:sz="0" w:space="0" w:color="auto"/>
        <w:right w:val="none" w:sz="0" w:space="0" w:color="auto"/>
      </w:divBdr>
    </w:div>
    <w:div w:id="331490619">
      <w:bodyDiv w:val="1"/>
      <w:marLeft w:val="0"/>
      <w:marRight w:val="0"/>
      <w:marTop w:val="0"/>
      <w:marBottom w:val="0"/>
      <w:divBdr>
        <w:top w:val="none" w:sz="0" w:space="0" w:color="auto"/>
        <w:left w:val="none" w:sz="0" w:space="0" w:color="auto"/>
        <w:bottom w:val="none" w:sz="0" w:space="0" w:color="auto"/>
        <w:right w:val="none" w:sz="0" w:space="0" w:color="auto"/>
      </w:divBdr>
    </w:div>
    <w:div w:id="383673536">
      <w:bodyDiv w:val="1"/>
      <w:marLeft w:val="0"/>
      <w:marRight w:val="0"/>
      <w:marTop w:val="0"/>
      <w:marBottom w:val="0"/>
      <w:divBdr>
        <w:top w:val="none" w:sz="0" w:space="0" w:color="auto"/>
        <w:left w:val="none" w:sz="0" w:space="0" w:color="auto"/>
        <w:bottom w:val="none" w:sz="0" w:space="0" w:color="auto"/>
        <w:right w:val="none" w:sz="0" w:space="0" w:color="auto"/>
      </w:divBdr>
      <w:divsChild>
        <w:div w:id="1513641632">
          <w:marLeft w:val="634"/>
          <w:marRight w:val="0"/>
          <w:marTop w:val="0"/>
          <w:marBottom w:val="0"/>
          <w:divBdr>
            <w:top w:val="none" w:sz="0" w:space="0" w:color="auto"/>
            <w:left w:val="none" w:sz="0" w:space="0" w:color="auto"/>
            <w:bottom w:val="none" w:sz="0" w:space="0" w:color="auto"/>
            <w:right w:val="none" w:sz="0" w:space="0" w:color="auto"/>
          </w:divBdr>
        </w:div>
        <w:div w:id="284654748">
          <w:marLeft w:val="634"/>
          <w:marRight w:val="0"/>
          <w:marTop w:val="0"/>
          <w:marBottom w:val="0"/>
          <w:divBdr>
            <w:top w:val="none" w:sz="0" w:space="0" w:color="auto"/>
            <w:left w:val="none" w:sz="0" w:space="0" w:color="auto"/>
            <w:bottom w:val="none" w:sz="0" w:space="0" w:color="auto"/>
            <w:right w:val="none" w:sz="0" w:space="0" w:color="auto"/>
          </w:divBdr>
        </w:div>
        <w:div w:id="1265311320">
          <w:marLeft w:val="634"/>
          <w:marRight w:val="0"/>
          <w:marTop w:val="0"/>
          <w:marBottom w:val="0"/>
          <w:divBdr>
            <w:top w:val="none" w:sz="0" w:space="0" w:color="auto"/>
            <w:left w:val="none" w:sz="0" w:space="0" w:color="auto"/>
            <w:bottom w:val="none" w:sz="0" w:space="0" w:color="auto"/>
            <w:right w:val="none" w:sz="0" w:space="0" w:color="auto"/>
          </w:divBdr>
        </w:div>
        <w:div w:id="1905290338">
          <w:marLeft w:val="634"/>
          <w:marRight w:val="0"/>
          <w:marTop w:val="0"/>
          <w:marBottom w:val="0"/>
          <w:divBdr>
            <w:top w:val="none" w:sz="0" w:space="0" w:color="auto"/>
            <w:left w:val="none" w:sz="0" w:space="0" w:color="auto"/>
            <w:bottom w:val="none" w:sz="0" w:space="0" w:color="auto"/>
            <w:right w:val="none" w:sz="0" w:space="0" w:color="auto"/>
          </w:divBdr>
        </w:div>
        <w:div w:id="544878732">
          <w:marLeft w:val="634"/>
          <w:marRight w:val="0"/>
          <w:marTop w:val="0"/>
          <w:marBottom w:val="0"/>
          <w:divBdr>
            <w:top w:val="none" w:sz="0" w:space="0" w:color="auto"/>
            <w:left w:val="none" w:sz="0" w:space="0" w:color="auto"/>
            <w:bottom w:val="none" w:sz="0" w:space="0" w:color="auto"/>
            <w:right w:val="none" w:sz="0" w:space="0" w:color="auto"/>
          </w:divBdr>
        </w:div>
        <w:div w:id="1463112594">
          <w:marLeft w:val="634"/>
          <w:marRight w:val="0"/>
          <w:marTop w:val="0"/>
          <w:marBottom w:val="0"/>
          <w:divBdr>
            <w:top w:val="none" w:sz="0" w:space="0" w:color="auto"/>
            <w:left w:val="none" w:sz="0" w:space="0" w:color="auto"/>
            <w:bottom w:val="none" w:sz="0" w:space="0" w:color="auto"/>
            <w:right w:val="none" w:sz="0" w:space="0" w:color="auto"/>
          </w:divBdr>
        </w:div>
      </w:divsChild>
    </w:div>
    <w:div w:id="431171356">
      <w:bodyDiv w:val="1"/>
      <w:marLeft w:val="0"/>
      <w:marRight w:val="0"/>
      <w:marTop w:val="0"/>
      <w:marBottom w:val="0"/>
      <w:divBdr>
        <w:top w:val="none" w:sz="0" w:space="0" w:color="auto"/>
        <w:left w:val="none" w:sz="0" w:space="0" w:color="auto"/>
        <w:bottom w:val="none" w:sz="0" w:space="0" w:color="auto"/>
        <w:right w:val="none" w:sz="0" w:space="0" w:color="auto"/>
      </w:divBdr>
    </w:div>
    <w:div w:id="447625225">
      <w:bodyDiv w:val="1"/>
      <w:marLeft w:val="0"/>
      <w:marRight w:val="0"/>
      <w:marTop w:val="0"/>
      <w:marBottom w:val="0"/>
      <w:divBdr>
        <w:top w:val="none" w:sz="0" w:space="0" w:color="auto"/>
        <w:left w:val="none" w:sz="0" w:space="0" w:color="auto"/>
        <w:bottom w:val="none" w:sz="0" w:space="0" w:color="auto"/>
        <w:right w:val="none" w:sz="0" w:space="0" w:color="auto"/>
      </w:divBdr>
      <w:divsChild>
        <w:div w:id="285281688">
          <w:marLeft w:val="634"/>
          <w:marRight w:val="0"/>
          <w:marTop w:val="0"/>
          <w:marBottom w:val="0"/>
          <w:divBdr>
            <w:top w:val="none" w:sz="0" w:space="0" w:color="auto"/>
            <w:left w:val="none" w:sz="0" w:space="0" w:color="auto"/>
            <w:bottom w:val="none" w:sz="0" w:space="0" w:color="auto"/>
            <w:right w:val="none" w:sz="0" w:space="0" w:color="auto"/>
          </w:divBdr>
        </w:div>
      </w:divsChild>
    </w:div>
    <w:div w:id="451478212">
      <w:bodyDiv w:val="1"/>
      <w:marLeft w:val="0"/>
      <w:marRight w:val="0"/>
      <w:marTop w:val="0"/>
      <w:marBottom w:val="0"/>
      <w:divBdr>
        <w:top w:val="none" w:sz="0" w:space="0" w:color="auto"/>
        <w:left w:val="none" w:sz="0" w:space="0" w:color="auto"/>
        <w:bottom w:val="none" w:sz="0" w:space="0" w:color="auto"/>
        <w:right w:val="none" w:sz="0" w:space="0" w:color="auto"/>
      </w:divBdr>
    </w:div>
    <w:div w:id="508567118">
      <w:bodyDiv w:val="1"/>
      <w:marLeft w:val="0"/>
      <w:marRight w:val="0"/>
      <w:marTop w:val="0"/>
      <w:marBottom w:val="0"/>
      <w:divBdr>
        <w:top w:val="none" w:sz="0" w:space="0" w:color="auto"/>
        <w:left w:val="none" w:sz="0" w:space="0" w:color="auto"/>
        <w:bottom w:val="none" w:sz="0" w:space="0" w:color="auto"/>
        <w:right w:val="none" w:sz="0" w:space="0" w:color="auto"/>
      </w:divBdr>
    </w:div>
    <w:div w:id="561522395">
      <w:bodyDiv w:val="1"/>
      <w:marLeft w:val="0"/>
      <w:marRight w:val="0"/>
      <w:marTop w:val="0"/>
      <w:marBottom w:val="0"/>
      <w:divBdr>
        <w:top w:val="none" w:sz="0" w:space="0" w:color="auto"/>
        <w:left w:val="none" w:sz="0" w:space="0" w:color="auto"/>
        <w:bottom w:val="none" w:sz="0" w:space="0" w:color="auto"/>
        <w:right w:val="none" w:sz="0" w:space="0" w:color="auto"/>
      </w:divBdr>
      <w:divsChild>
        <w:div w:id="1881699223">
          <w:marLeft w:val="547"/>
          <w:marRight w:val="0"/>
          <w:marTop w:val="0"/>
          <w:marBottom w:val="0"/>
          <w:divBdr>
            <w:top w:val="none" w:sz="0" w:space="0" w:color="auto"/>
            <w:left w:val="none" w:sz="0" w:space="0" w:color="auto"/>
            <w:bottom w:val="none" w:sz="0" w:space="0" w:color="auto"/>
            <w:right w:val="none" w:sz="0" w:space="0" w:color="auto"/>
          </w:divBdr>
        </w:div>
        <w:div w:id="747310872">
          <w:marLeft w:val="547"/>
          <w:marRight w:val="0"/>
          <w:marTop w:val="0"/>
          <w:marBottom w:val="0"/>
          <w:divBdr>
            <w:top w:val="none" w:sz="0" w:space="0" w:color="auto"/>
            <w:left w:val="none" w:sz="0" w:space="0" w:color="auto"/>
            <w:bottom w:val="none" w:sz="0" w:space="0" w:color="auto"/>
            <w:right w:val="none" w:sz="0" w:space="0" w:color="auto"/>
          </w:divBdr>
        </w:div>
        <w:div w:id="1491746520">
          <w:marLeft w:val="547"/>
          <w:marRight w:val="0"/>
          <w:marTop w:val="0"/>
          <w:marBottom w:val="0"/>
          <w:divBdr>
            <w:top w:val="none" w:sz="0" w:space="0" w:color="auto"/>
            <w:left w:val="none" w:sz="0" w:space="0" w:color="auto"/>
            <w:bottom w:val="none" w:sz="0" w:space="0" w:color="auto"/>
            <w:right w:val="none" w:sz="0" w:space="0" w:color="auto"/>
          </w:divBdr>
        </w:div>
        <w:div w:id="1671641436">
          <w:marLeft w:val="547"/>
          <w:marRight w:val="0"/>
          <w:marTop w:val="0"/>
          <w:marBottom w:val="0"/>
          <w:divBdr>
            <w:top w:val="none" w:sz="0" w:space="0" w:color="auto"/>
            <w:left w:val="none" w:sz="0" w:space="0" w:color="auto"/>
            <w:bottom w:val="none" w:sz="0" w:space="0" w:color="auto"/>
            <w:right w:val="none" w:sz="0" w:space="0" w:color="auto"/>
          </w:divBdr>
        </w:div>
      </w:divsChild>
    </w:div>
    <w:div w:id="599994725">
      <w:bodyDiv w:val="1"/>
      <w:marLeft w:val="0"/>
      <w:marRight w:val="0"/>
      <w:marTop w:val="0"/>
      <w:marBottom w:val="0"/>
      <w:divBdr>
        <w:top w:val="none" w:sz="0" w:space="0" w:color="auto"/>
        <w:left w:val="none" w:sz="0" w:space="0" w:color="auto"/>
        <w:bottom w:val="none" w:sz="0" w:space="0" w:color="auto"/>
        <w:right w:val="none" w:sz="0" w:space="0" w:color="auto"/>
      </w:divBdr>
      <w:divsChild>
        <w:div w:id="206840112">
          <w:marLeft w:val="1483"/>
          <w:marRight w:val="0"/>
          <w:marTop w:val="0"/>
          <w:marBottom w:val="0"/>
          <w:divBdr>
            <w:top w:val="none" w:sz="0" w:space="0" w:color="auto"/>
            <w:left w:val="none" w:sz="0" w:space="0" w:color="auto"/>
            <w:bottom w:val="none" w:sz="0" w:space="0" w:color="auto"/>
            <w:right w:val="none" w:sz="0" w:space="0" w:color="auto"/>
          </w:divBdr>
        </w:div>
        <w:div w:id="351608066">
          <w:marLeft w:val="1483"/>
          <w:marRight w:val="0"/>
          <w:marTop w:val="0"/>
          <w:marBottom w:val="0"/>
          <w:divBdr>
            <w:top w:val="none" w:sz="0" w:space="0" w:color="auto"/>
            <w:left w:val="none" w:sz="0" w:space="0" w:color="auto"/>
            <w:bottom w:val="none" w:sz="0" w:space="0" w:color="auto"/>
            <w:right w:val="none" w:sz="0" w:space="0" w:color="auto"/>
          </w:divBdr>
        </w:div>
        <w:div w:id="2136021256">
          <w:marLeft w:val="1483"/>
          <w:marRight w:val="0"/>
          <w:marTop w:val="0"/>
          <w:marBottom w:val="0"/>
          <w:divBdr>
            <w:top w:val="none" w:sz="0" w:space="0" w:color="auto"/>
            <w:left w:val="none" w:sz="0" w:space="0" w:color="auto"/>
            <w:bottom w:val="none" w:sz="0" w:space="0" w:color="auto"/>
            <w:right w:val="none" w:sz="0" w:space="0" w:color="auto"/>
          </w:divBdr>
        </w:div>
        <w:div w:id="2122383787">
          <w:marLeft w:val="1483"/>
          <w:marRight w:val="0"/>
          <w:marTop w:val="0"/>
          <w:marBottom w:val="0"/>
          <w:divBdr>
            <w:top w:val="none" w:sz="0" w:space="0" w:color="auto"/>
            <w:left w:val="none" w:sz="0" w:space="0" w:color="auto"/>
            <w:bottom w:val="none" w:sz="0" w:space="0" w:color="auto"/>
            <w:right w:val="none" w:sz="0" w:space="0" w:color="auto"/>
          </w:divBdr>
        </w:div>
        <w:div w:id="1719940064">
          <w:marLeft w:val="1483"/>
          <w:marRight w:val="0"/>
          <w:marTop w:val="0"/>
          <w:marBottom w:val="0"/>
          <w:divBdr>
            <w:top w:val="none" w:sz="0" w:space="0" w:color="auto"/>
            <w:left w:val="none" w:sz="0" w:space="0" w:color="auto"/>
            <w:bottom w:val="none" w:sz="0" w:space="0" w:color="auto"/>
            <w:right w:val="none" w:sz="0" w:space="0" w:color="auto"/>
          </w:divBdr>
        </w:div>
      </w:divsChild>
    </w:div>
    <w:div w:id="636767253">
      <w:bodyDiv w:val="1"/>
      <w:marLeft w:val="0"/>
      <w:marRight w:val="0"/>
      <w:marTop w:val="0"/>
      <w:marBottom w:val="0"/>
      <w:divBdr>
        <w:top w:val="none" w:sz="0" w:space="0" w:color="auto"/>
        <w:left w:val="none" w:sz="0" w:space="0" w:color="auto"/>
        <w:bottom w:val="none" w:sz="0" w:space="0" w:color="auto"/>
        <w:right w:val="none" w:sz="0" w:space="0" w:color="auto"/>
      </w:divBdr>
    </w:div>
    <w:div w:id="654534243">
      <w:bodyDiv w:val="1"/>
      <w:marLeft w:val="0"/>
      <w:marRight w:val="0"/>
      <w:marTop w:val="0"/>
      <w:marBottom w:val="0"/>
      <w:divBdr>
        <w:top w:val="none" w:sz="0" w:space="0" w:color="auto"/>
        <w:left w:val="none" w:sz="0" w:space="0" w:color="auto"/>
        <w:bottom w:val="none" w:sz="0" w:space="0" w:color="auto"/>
        <w:right w:val="none" w:sz="0" w:space="0" w:color="auto"/>
      </w:divBdr>
    </w:div>
    <w:div w:id="672299767">
      <w:bodyDiv w:val="1"/>
      <w:marLeft w:val="0"/>
      <w:marRight w:val="0"/>
      <w:marTop w:val="0"/>
      <w:marBottom w:val="0"/>
      <w:divBdr>
        <w:top w:val="none" w:sz="0" w:space="0" w:color="auto"/>
        <w:left w:val="none" w:sz="0" w:space="0" w:color="auto"/>
        <w:bottom w:val="none" w:sz="0" w:space="0" w:color="auto"/>
        <w:right w:val="none" w:sz="0" w:space="0" w:color="auto"/>
      </w:divBdr>
      <w:divsChild>
        <w:div w:id="838303355">
          <w:marLeft w:val="677"/>
          <w:marRight w:val="0"/>
          <w:marTop w:val="0"/>
          <w:marBottom w:val="0"/>
          <w:divBdr>
            <w:top w:val="none" w:sz="0" w:space="0" w:color="auto"/>
            <w:left w:val="none" w:sz="0" w:space="0" w:color="auto"/>
            <w:bottom w:val="none" w:sz="0" w:space="0" w:color="auto"/>
            <w:right w:val="none" w:sz="0" w:space="0" w:color="auto"/>
          </w:divBdr>
        </w:div>
        <w:div w:id="1670988392">
          <w:marLeft w:val="677"/>
          <w:marRight w:val="0"/>
          <w:marTop w:val="0"/>
          <w:marBottom w:val="0"/>
          <w:divBdr>
            <w:top w:val="none" w:sz="0" w:space="0" w:color="auto"/>
            <w:left w:val="none" w:sz="0" w:space="0" w:color="auto"/>
            <w:bottom w:val="none" w:sz="0" w:space="0" w:color="auto"/>
            <w:right w:val="none" w:sz="0" w:space="0" w:color="auto"/>
          </w:divBdr>
        </w:div>
        <w:div w:id="1028408434">
          <w:marLeft w:val="677"/>
          <w:marRight w:val="0"/>
          <w:marTop w:val="0"/>
          <w:marBottom w:val="0"/>
          <w:divBdr>
            <w:top w:val="none" w:sz="0" w:space="0" w:color="auto"/>
            <w:left w:val="none" w:sz="0" w:space="0" w:color="auto"/>
            <w:bottom w:val="none" w:sz="0" w:space="0" w:color="auto"/>
            <w:right w:val="none" w:sz="0" w:space="0" w:color="auto"/>
          </w:divBdr>
        </w:div>
        <w:div w:id="1167282425">
          <w:marLeft w:val="677"/>
          <w:marRight w:val="0"/>
          <w:marTop w:val="0"/>
          <w:marBottom w:val="0"/>
          <w:divBdr>
            <w:top w:val="none" w:sz="0" w:space="0" w:color="auto"/>
            <w:left w:val="none" w:sz="0" w:space="0" w:color="auto"/>
            <w:bottom w:val="none" w:sz="0" w:space="0" w:color="auto"/>
            <w:right w:val="none" w:sz="0" w:space="0" w:color="auto"/>
          </w:divBdr>
        </w:div>
        <w:div w:id="1120225989">
          <w:marLeft w:val="677"/>
          <w:marRight w:val="0"/>
          <w:marTop w:val="0"/>
          <w:marBottom w:val="0"/>
          <w:divBdr>
            <w:top w:val="none" w:sz="0" w:space="0" w:color="auto"/>
            <w:left w:val="none" w:sz="0" w:space="0" w:color="auto"/>
            <w:bottom w:val="none" w:sz="0" w:space="0" w:color="auto"/>
            <w:right w:val="none" w:sz="0" w:space="0" w:color="auto"/>
          </w:divBdr>
        </w:div>
        <w:div w:id="2005552273">
          <w:marLeft w:val="677"/>
          <w:marRight w:val="0"/>
          <w:marTop w:val="0"/>
          <w:marBottom w:val="0"/>
          <w:divBdr>
            <w:top w:val="none" w:sz="0" w:space="0" w:color="auto"/>
            <w:left w:val="none" w:sz="0" w:space="0" w:color="auto"/>
            <w:bottom w:val="none" w:sz="0" w:space="0" w:color="auto"/>
            <w:right w:val="none" w:sz="0" w:space="0" w:color="auto"/>
          </w:divBdr>
        </w:div>
        <w:div w:id="291714386">
          <w:marLeft w:val="677"/>
          <w:marRight w:val="0"/>
          <w:marTop w:val="0"/>
          <w:marBottom w:val="0"/>
          <w:divBdr>
            <w:top w:val="none" w:sz="0" w:space="0" w:color="auto"/>
            <w:left w:val="none" w:sz="0" w:space="0" w:color="auto"/>
            <w:bottom w:val="none" w:sz="0" w:space="0" w:color="auto"/>
            <w:right w:val="none" w:sz="0" w:space="0" w:color="auto"/>
          </w:divBdr>
        </w:div>
      </w:divsChild>
    </w:div>
    <w:div w:id="693773224">
      <w:bodyDiv w:val="1"/>
      <w:marLeft w:val="0"/>
      <w:marRight w:val="0"/>
      <w:marTop w:val="0"/>
      <w:marBottom w:val="0"/>
      <w:divBdr>
        <w:top w:val="none" w:sz="0" w:space="0" w:color="auto"/>
        <w:left w:val="none" w:sz="0" w:space="0" w:color="auto"/>
        <w:bottom w:val="none" w:sz="0" w:space="0" w:color="auto"/>
        <w:right w:val="none" w:sz="0" w:space="0" w:color="auto"/>
      </w:divBdr>
    </w:div>
    <w:div w:id="739594034">
      <w:bodyDiv w:val="1"/>
      <w:marLeft w:val="0"/>
      <w:marRight w:val="0"/>
      <w:marTop w:val="0"/>
      <w:marBottom w:val="0"/>
      <w:divBdr>
        <w:top w:val="none" w:sz="0" w:space="0" w:color="auto"/>
        <w:left w:val="none" w:sz="0" w:space="0" w:color="auto"/>
        <w:bottom w:val="none" w:sz="0" w:space="0" w:color="auto"/>
        <w:right w:val="none" w:sz="0" w:space="0" w:color="auto"/>
      </w:divBdr>
    </w:div>
    <w:div w:id="832649411">
      <w:bodyDiv w:val="1"/>
      <w:marLeft w:val="0"/>
      <w:marRight w:val="0"/>
      <w:marTop w:val="0"/>
      <w:marBottom w:val="0"/>
      <w:divBdr>
        <w:top w:val="none" w:sz="0" w:space="0" w:color="auto"/>
        <w:left w:val="none" w:sz="0" w:space="0" w:color="auto"/>
        <w:bottom w:val="none" w:sz="0" w:space="0" w:color="auto"/>
        <w:right w:val="none" w:sz="0" w:space="0" w:color="auto"/>
      </w:divBdr>
    </w:div>
    <w:div w:id="884216300">
      <w:bodyDiv w:val="1"/>
      <w:marLeft w:val="0"/>
      <w:marRight w:val="0"/>
      <w:marTop w:val="0"/>
      <w:marBottom w:val="0"/>
      <w:divBdr>
        <w:top w:val="none" w:sz="0" w:space="0" w:color="auto"/>
        <w:left w:val="none" w:sz="0" w:space="0" w:color="auto"/>
        <w:bottom w:val="none" w:sz="0" w:space="0" w:color="auto"/>
        <w:right w:val="none" w:sz="0" w:space="0" w:color="auto"/>
      </w:divBdr>
    </w:div>
    <w:div w:id="917717012">
      <w:bodyDiv w:val="1"/>
      <w:marLeft w:val="0"/>
      <w:marRight w:val="0"/>
      <w:marTop w:val="0"/>
      <w:marBottom w:val="0"/>
      <w:divBdr>
        <w:top w:val="none" w:sz="0" w:space="0" w:color="auto"/>
        <w:left w:val="none" w:sz="0" w:space="0" w:color="auto"/>
        <w:bottom w:val="none" w:sz="0" w:space="0" w:color="auto"/>
        <w:right w:val="none" w:sz="0" w:space="0" w:color="auto"/>
      </w:divBdr>
    </w:div>
    <w:div w:id="946473770">
      <w:bodyDiv w:val="1"/>
      <w:marLeft w:val="0"/>
      <w:marRight w:val="0"/>
      <w:marTop w:val="0"/>
      <w:marBottom w:val="0"/>
      <w:divBdr>
        <w:top w:val="none" w:sz="0" w:space="0" w:color="auto"/>
        <w:left w:val="none" w:sz="0" w:space="0" w:color="auto"/>
        <w:bottom w:val="none" w:sz="0" w:space="0" w:color="auto"/>
        <w:right w:val="none" w:sz="0" w:space="0" w:color="auto"/>
      </w:divBdr>
    </w:div>
    <w:div w:id="1000892684">
      <w:bodyDiv w:val="1"/>
      <w:marLeft w:val="0"/>
      <w:marRight w:val="0"/>
      <w:marTop w:val="0"/>
      <w:marBottom w:val="0"/>
      <w:divBdr>
        <w:top w:val="none" w:sz="0" w:space="0" w:color="auto"/>
        <w:left w:val="none" w:sz="0" w:space="0" w:color="auto"/>
        <w:bottom w:val="none" w:sz="0" w:space="0" w:color="auto"/>
        <w:right w:val="none" w:sz="0" w:space="0" w:color="auto"/>
      </w:divBdr>
    </w:div>
    <w:div w:id="1047800194">
      <w:bodyDiv w:val="1"/>
      <w:marLeft w:val="0"/>
      <w:marRight w:val="0"/>
      <w:marTop w:val="0"/>
      <w:marBottom w:val="0"/>
      <w:divBdr>
        <w:top w:val="none" w:sz="0" w:space="0" w:color="auto"/>
        <w:left w:val="none" w:sz="0" w:space="0" w:color="auto"/>
        <w:bottom w:val="none" w:sz="0" w:space="0" w:color="auto"/>
        <w:right w:val="none" w:sz="0" w:space="0" w:color="auto"/>
      </w:divBdr>
    </w:div>
    <w:div w:id="1142502260">
      <w:bodyDiv w:val="1"/>
      <w:marLeft w:val="0"/>
      <w:marRight w:val="0"/>
      <w:marTop w:val="0"/>
      <w:marBottom w:val="0"/>
      <w:divBdr>
        <w:top w:val="none" w:sz="0" w:space="0" w:color="auto"/>
        <w:left w:val="none" w:sz="0" w:space="0" w:color="auto"/>
        <w:bottom w:val="none" w:sz="0" w:space="0" w:color="auto"/>
        <w:right w:val="none" w:sz="0" w:space="0" w:color="auto"/>
      </w:divBdr>
      <w:divsChild>
        <w:div w:id="1995865412">
          <w:marLeft w:val="446"/>
          <w:marRight w:val="0"/>
          <w:marTop w:val="0"/>
          <w:marBottom w:val="0"/>
          <w:divBdr>
            <w:top w:val="none" w:sz="0" w:space="0" w:color="auto"/>
            <w:left w:val="none" w:sz="0" w:space="0" w:color="auto"/>
            <w:bottom w:val="none" w:sz="0" w:space="0" w:color="auto"/>
            <w:right w:val="none" w:sz="0" w:space="0" w:color="auto"/>
          </w:divBdr>
        </w:div>
        <w:div w:id="2039547688">
          <w:marLeft w:val="446"/>
          <w:marRight w:val="0"/>
          <w:marTop w:val="0"/>
          <w:marBottom w:val="0"/>
          <w:divBdr>
            <w:top w:val="none" w:sz="0" w:space="0" w:color="auto"/>
            <w:left w:val="none" w:sz="0" w:space="0" w:color="auto"/>
            <w:bottom w:val="none" w:sz="0" w:space="0" w:color="auto"/>
            <w:right w:val="none" w:sz="0" w:space="0" w:color="auto"/>
          </w:divBdr>
        </w:div>
        <w:div w:id="313027114">
          <w:marLeft w:val="446"/>
          <w:marRight w:val="0"/>
          <w:marTop w:val="0"/>
          <w:marBottom w:val="0"/>
          <w:divBdr>
            <w:top w:val="none" w:sz="0" w:space="0" w:color="auto"/>
            <w:left w:val="none" w:sz="0" w:space="0" w:color="auto"/>
            <w:bottom w:val="none" w:sz="0" w:space="0" w:color="auto"/>
            <w:right w:val="none" w:sz="0" w:space="0" w:color="auto"/>
          </w:divBdr>
        </w:div>
        <w:div w:id="147937216">
          <w:marLeft w:val="446"/>
          <w:marRight w:val="0"/>
          <w:marTop w:val="0"/>
          <w:marBottom w:val="0"/>
          <w:divBdr>
            <w:top w:val="none" w:sz="0" w:space="0" w:color="auto"/>
            <w:left w:val="none" w:sz="0" w:space="0" w:color="auto"/>
            <w:bottom w:val="none" w:sz="0" w:space="0" w:color="auto"/>
            <w:right w:val="none" w:sz="0" w:space="0" w:color="auto"/>
          </w:divBdr>
        </w:div>
        <w:div w:id="198860144">
          <w:marLeft w:val="446"/>
          <w:marRight w:val="0"/>
          <w:marTop w:val="0"/>
          <w:marBottom w:val="0"/>
          <w:divBdr>
            <w:top w:val="none" w:sz="0" w:space="0" w:color="auto"/>
            <w:left w:val="none" w:sz="0" w:space="0" w:color="auto"/>
            <w:bottom w:val="none" w:sz="0" w:space="0" w:color="auto"/>
            <w:right w:val="none" w:sz="0" w:space="0" w:color="auto"/>
          </w:divBdr>
        </w:div>
      </w:divsChild>
    </w:div>
    <w:div w:id="1188058795">
      <w:bodyDiv w:val="1"/>
      <w:marLeft w:val="0"/>
      <w:marRight w:val="0"/>
      <w:marTop w:val="0"/>
      <w:marBottom w:val="0"/>
      <w:divBdr>
        <w:top w:val="none" w:sz="0" w:space="0" w:color="auto"/>
        <w:left w:val="none" w:sz="0" w:space="0" w:color="auto"/>
        <w:bottom w:val="none" w:sz="0" w:space="0" w:color="auto"/>
        <w:right w:val="none" w:sz="0" w:space="0" w:color="auto"/>
      </w:divBdr>
    </w:div>
    <w:div w:id="1304041874">
      <w:bodyDiv w:val="1"/>
      <w:marLeft w:val="0"/>
      <w:marRight w:val="0"/>
      <w:marTop w:val="0"/>
      <w:marBottom w:val="0"/>
      <w:divBdr>
        <w:top w:val="none" w:sz="0" w:space="0" w:color="auto"/>
        <w:left w:val="none" w:sz="0" w:space="0" w:color="auto"/>
        <w:bottom w:val="none" w:sz="0" w:space="0" w:color="auto"/>
        <w:right w:val="none" w:sz="0" w:space="0" w:color="auto"/>
      </w:divBdr>
      <w:divsChild>
        <w:div w:id="789787348">
          <w:marLeft w:val="562"/>
          <w:marRight w:val="0"/>
          <w:marTop w:val="0"/>
          <w:marBottom w:val="0"/>
          <w:divBdr>
            <w:top w:val="none" w:sz="0" w:space="0" w:color="auto"/>
            <w:left w:val="none" w:sz="0" w:space="0" w:color="auto"/>
            <w:bottom w:val="none" w:sz="0" w:space="0" w:color="auto"/>
            <w:right w:val="none" w:sz="0" w:space="0" w:color="auto"/>
          </w:divBdr>
        </w:div>
        <w:div w:id="2084373945">
          <w:marLeft w:val="850"/>
          <w:marRight w:val="0"/>
          <w:marTop w:val="0"/>
          <w:marBottom w:val="0"/>
          <w:divBdr>
            <w:top w:val="none" w:sz="0" w:space="0" w:color="auto"/>
            <w:left w:val="none" w:sz="0" w:space="0" w:color="auto"/>
            <w:bottom w:val="none" w:sz="0" w:space="0" w:color="auto"/>
            <w:right w:val="none" w:sz="0" w:space="0" w:color="auto"/>
          </w:divBdr>
        </w:div>
        <w:div w:id="1602687048">
          <w:marLeft w:val="850"/>
          <w:marRight w:val="0"/>
          <w:marTop w:val="0"/>
          <w:marBottom w:val="0"/>
          <w:divBdr>
            <w:top w:val="none" w:sz="0" w:space="0" w:color="auto"/>
            <w:left w:val="none" w:sz="0" w:space="0" w:color="auto"/>
            <w:bottom w:val="none" w:sz="0" w:space="0" w:color="auto"/>
            <w:right w:val="none" w:sz="0" w:space="0" w:color="auto"/>
          </w:divBdr>
        </w:div>
        <w:div w:id="420763841">
          <w:marLeft w:val="562"/>
          <w:marRight w:val="0"/>
          <w:marTop w:val="0"/>
          <w:marBottom w:val="0"/>
          <w:divBdr>
            <w:top w:val="none" w:sz="0" w:space="0" w:color="auto"/>
            <w:left w:val="none" w:sz="0" w:space="0" w:color="auto"/>
            <w:bottom w:val="none" w:sz="0" w:space="0" w:color="auto"/>
            <w:right w:val="none" w:sz="0" w:space="0" w:color="auto"/>
          </w:divBdr>
        </w:div>
        <w:div w:id="919368378">
          <w:marLeft w:val="562"/>
          <w:marRight w:val="0"/>
          <w:marTop w:val="0"/>
          <w:marBottom w:val="0"/>
          <w:divBdr>
            <w:top w:val="none" w:sz="0" w:space="0" w:color="auto"/>
            <w:left w:val="none" w:sz="0" w:space="0" w:color="auto"/>
            <w:bottom w:val="none" w:sz="0" w:space="0" w:color="auto"/>
            <w:right w:val="none" w:sz="0" w:space="0" w:color="auto"/>
          </w:divBdr>
        </w:div>
        <w:div w:id="1718772943">
          <w:marLeft w:val="562"/>
          <w:marRight w:val="0"/>
          <w:marTop w:val="0"/>
          <w:marBottom w:val="0"/>
          <w:divBdr>
            <w:top w:val="none" w:sz="0" w:space="0" w:color="auto"/>
            <w:left w:val="none" w:sz="0" w:space="0" w:color="auto"/>
            <w:bottom w:val="none" w:sz="0" w:space="0" w:color="auto"/>
            <w:right w:val="none" w:sz="0" w:space="0" w:color="auto"/>
          </w:divBdr>
        </w:div>
        <w:div w:id="1480809969">
          <w:marLeft w:val="850"/>
          <w:marRight w:val="0"/>
          <w:marTop w:val="0"/>
          <w:marBottom w:val="0"/>
          <w:divBdr>
            <w:top w:val="none" w:sz="0" w:space="0" w:color="auto"/>
            <w:left w:val="none" w:sz="0" w:space="0" w:color="auto"/>
            <w:bottom w:val="none" w:sz="0" w:space="0" w:color="auto"/>
            <w:right w:val="none" w:sz="0" w:space="0" w:color="auto"/>
          </w:divBdr>
        </w:div>
        <w:div w:id="1995915517">
          <w:marLeft w:val="850"/>
          <w:marRight w:val="0"/>
          <w:marTop w:val="0"/>
          <w:marBottom w:val="0"/>
          <w:divBdr>
            <w:top w:val="none" w:sz="0" w:space="0" w:color="auto"/>
            <w:left w:val="none" w:sz="0" w:space="0" w:color="auto"/>
            <w:bottom w:val="none" w:sz="0" w:space="0" w:color="auto"/>
            <w:right w:val="none" w:sz="0" w:space="0" w:color="auto"/>
          </w:divBdr>
        </w:div>
      </w:divsChild>
    </w:div>
    <w:div w:id="1509903364">
      <w:bodyDiv w:val="1"/>
      <w:marLeft w:val="0"/>
      <w:marRight w:val="0"/>
      <w:marTop w:val="0"/>
      <w:marBottom w:val="0"/>
      <w:divBdr>
        <w:top w:val="none" w:sz="0" w:space="0" w:color="auto"/>
        <w:left w:val="none" w:sz="0" w:space="0" w:color="auto"/>
        <w:bottom w:val="none" w:sz="0" w:space="0" w:color="auto"/>
        <w:right w:val="none" w:sz="0" w:space="0" w:color="auto"/>
      </w:divBdr>
      <w:divsChild>
        <w:div w:id="1060636249">
          <w:marLeft w:val="648"/>
          <w:marRight w:val="0"/>
          <w:marTop w:val="0"/>
          <w:marBottom w:val="0"/>
          <w:divBdr>
            <w:top w:val="none" w:sz="0" w:space="0" w:color="auto"/>
            <w:left w:val="none" w:sz="0" w:space="0" w:color="auto"/>
            <w:bottom w:val="none" w:sz="0" w:space="0" w:color="auto"/>
            <w:right w:val="none" w:sz="0" w:space="0" w:color="auto"/>
          </w:divBdr>
        </w:div>
        <w:div w:id="1166436729">
          <w:marLeft w:val="1483"/>
          <w:marRight w:val="0"/>
          <w:marTop w:val="0"/>
          <w:marBottom w:val="0"/>
          <w:divBdr>
            <w:top w:val="none" w:sz="0" w:space="0" w:color="auto"/>
            <w:left w:val="none" w:sz="0" w:space="0" w:color="auto"/>
            <w:bottom w:val="none" w:sz="0" w:space="0" w:color="auto"/>
            <w:right w:val="none" w:sz="0" w:space="0" w:color="auto"/>
          </w:divBdr>
        </w:div>
        <w:div w:id="525095867">
          <w:marLeft w:val="1483"/>
          <w:marRight w:val="0"/>
          <w:marTop w:val="0"/>
          <w:marBottom w:val="0"/>
          <w:divBdr>
            <w:top w:val="none" w:sz="0" w:space="0" w:color="auto"/>
            <w:left w:val="none" w:sz="0" w:space="0" w:color="auto"/>
            <w:bottom w:val="none" w:sz="0" w:space="0" w:color="auto"/>
            <w:right w:val="none" w:sz="0" w:space="0" w:color="auto"/>
          </w:divBdr>
        </w:div>
      </w:divsChild>
    </w:div>
    <w:div w:id="1545825666">
      <w:bodyDiv w:val="1"/>
      <w:marLeft w:val="0"/>
      <w:marRight w:val="0"/>
      <w:marTop w:val="0"/>
      <w:marBottom w:val="0"/>
      <w:divBdr>
        <w:top w:val="none" w:sz="0" w:space="0" w:color="auto"/>
        <w:left w:val="none" w:sz="0" w:space="0" w:color="auto"/>
        <w:bottom w:val="none" w:sz="0" w:space="0" w:color="auto"/>
        <w:right w:val="none" w:sz="0" w:space="0" w:color="auto"/>
      </w:divBdr>
    </w:div>
    <w:div w:id="1586567362">
      <w:bodyDiv w:val="1"/>
      <w:marLeft w:val="0"/>
      <w:marRight w:val="0"/>
      <w:marTop w:val="0"/>
      <w:marBottom w:val="0"/>
      <w:divBdr>
        <w:top w:val="none" w:sz="0" w:space="0" w:color="auto"/>
        <w:left w:val="none" w:sz="0" w:space="0" w:color="auto"/>
        <w:bottom w:val="none" w:sz="0" w:space="0" w:color="auto"/>
        <w:right w:val="none" w:sz="0" w:space="0" w:color="auto"/>
      </w:divBdr>
      <w:divsChild>
        <w:div w:id="1765565408">
          <w:marLeft w:val="1483"/>
          <w:marRight w:val="0"/>
          <w:marTop w:val="0"/>
          <w:marBottom w:val="0"/>
          <w:divBdr>
            <w:top w:val="none" w:sz="0" w:space="0" w:color="auto"/>
            <w:left w:val="none" w:sz="0" w:space="0" w:color="auto"/>
            <w:bottom w:val="none" w:sz="0" w:space="0" w:color="auto"/>
            <w:right w:val="none" w:sz="0" w:space="0" w:color="auto"/>
          </w:divBdr>
        </w:div>
        <w:div w:id="513956273">
          <w:marLeft w:val="1483"/>
          <w:marRight w:val="0"/>
          <w:marTop w:val="0"/>
          <w:marBottom w:val="0"/>
          <w:divBdr>
            <w:top w:val="none" w:sz="0" w:space="0" w:color="auto"/>
            <w:left w:val="none" w:sz="0" w:space="0" w:color="auto"/>
            <w:bottom w:val="none" w:sz="0" w:space="0" w:color="auto"/>
            <w:right w:val="none" w:sz="0" w:space="0" w:color="auto"/>
          </w:divBdr>
        </w:div>
        <w:div w:id="610210575">
          <w:marLeft w:val="1483"/>
          <w:marRight w:val="0"/>
          <w:marTop w:val="0"/>
          <w:marBottom w:val="0"/>
          <w:divBdr>
            <w:top w:val="none" w:sz="0" w:space="0" w:color="auto"/>
            <w:left w:val="none" w:sz="0" w:space="0" w:color="auto"/>
            <w:bottom w:val="none" w:sz="0" w:space="0" w:color="auto"/>
            <w:right w:val="none" w:sz="0" w:space="0" w:color="auto"/>
          </w:divBdr>
        </w:div>
        <w:div w:id="1114059112">
          <w:marLeft w:val="1483"/>
          <w:marRight w:val="0"/>
          <w:marTop w:val="0"/>
          <w:marBottom w:val="0"/>
          <w:divBdr>
            <w:top w:val="none" w:sz="0" w:space="0" w:color="auto"/>
            <w:left w:val="none" w:sz="0" w:space="0" w:color="auto"/>
            <w:bottom w:val="none" w:sz="0" w:space="0" w:color="auto"/>
            <w:right w:val="none" w:sz="0" w:space="0" w:color="auto"/>
          </w:divBdr>
        </w:div>
        <w:div w:id="1400518439">
          <w:marLeft w:val="1483"/>
          <w:marRight w:val="0"/>
          <w:marTop w:val="0"/>
          <w:marBottom w:val="0"/>
          <w:divBdr>
            <w:top w:val="none" w:sz="0" w:space="0" w:color="auto"/>
            <w:left w:val="none" w:sz="0" w:space="0" w:color="auto"/>
            <w:bottom w:val="none" w:sz="0" w:space="0" w:color="auto"/>
            <w:right w:val="none" w:sz="0" w:space="0" w:color="auto"/>
          </w:divBdr>
        </w:div>
      </w:divsChild>
    </w:div>
    <w:div w:id="1659722656">
      <w:bodyDiv w:val="1"/>
      <w:marLeft w:val="0"/>
      <w:marRight w:val="0"/>
      <w:marTop w:val="0"/>
      <w:marBottom w:val="0"/>
      <w:divBdr>
        <w:top w:val="none" w:sz="0" w:space="0" w:color="auto"/>
        <w:left w:val="none" w:sz="0" w:space="0" w:color="auto"/>
        <w:bottom w:val="none" w:sz="0" w:space="0" w:color="auto"/>
        <w:right w:val="none" w:sz="0" w:space="0" w:color="auto"/>
      </w:divBdr>
    </w:div>
    <w:div w:id="1803233398">
      <w:bodyDiv w:val="1"/>
      <w:marLeft w:val="0"/>
      <w:marRight w:val="0"/>
      <w:marTop w:val="0"/>
      <w:marBottom w:val="0"/>
      <w:divBdr>
        <w:top w:val="none" w:sz="0" w:space="0" w:color="auto"/>
        <w:left w:val="none" w:sz="0" w:space="0" w:color="auto"/>
        <w:bottom w:val="none" w:sz="0" w:space="0" w:color="auto"/>
        <w:right w:val="none" w:sz="0" w:space="0" w:color="auto"/>
      </w:divBdr>
      <w:divsChild>
        <w:div w:id="1327784607">
          <w:marLeft w:val="547"/>
          <w:marRight w:val="0"/>
          <w:marTop w:val="0"/>
          <w:marBottom w:val="0"/>
          <w:divBdr>
            <w:top w:val="none" w:sz="0" w:space="0" w:color="auto"/>
            <w:left w:val="none" w:sz="0" w:space="0" w:color="auto"/>
            <w:bottom w:val="none" w:sz="0" w:space="0" w:color="auto"/>
            <w:right w:val="none" w:sz="0" w:space="0" w:color="auto"/>
          </w:divBdr>
        </w:div>
        <w:div w:id="311102665">
          <w:marLeft w:val="677"/>
          <w:marRight w:val="0"/>
          <w:marTop w:val="0"/>
          <w:marBottom w:val="120"/>
          <w:divBdr>
            <w:top w:val="none" w:sz="0" w:space="0" w:color="auto"/>
            <w:left w:val="none" w:sz="0" w:space="0" w:color="auto"/>
            <w:bottom w:val="none" w:sz="0" w:space="0" w:color="auto"/>
            <w:right w:val="none" w:sz="0" w:space="0" w:color="auto"/>
          </w:divBdr>
        </w:div>
        <w:div w:id="1923105824">
          <w:marLeft w:val="677"/>
          <w:marRight w:val="0"/>
          <w:marTop w:val="0"/>
          <w:marBottom w:val="120"/>
          <w:divBdr>
            <w:top w:val="none" w:sz="0" w:space="0" w:color="auto"/>
            <w:left w:val="none" w:sz="0" w:space="0" w:color="auto"/>
            <w:bottom w:val="none" w:sz="0" w:space="0" w:color="auto"/>
            <w:right w:val="none" w:sz="0" w:space="0" w:color="auto"/>
          </w:divBdr>
        </w:div>
        <w:div w:id="1833834791">
          <w:marLeft w:val="677"/>
          <w:marRight w:val="0"/>
          <w:marTop w:val="0"/>
          <w:marBottom w:val="120"/>
          <w:divBdr>
            <w:top w:val="none" w:sz="0" w:space="0" w:color="auto"/>
            <w:left w:val="none" w:sz="0" w:space="0" w:color="auto"/>
            <w:bottom w:val="none" w:sz="0" w:space="0" w:color="auto"/>
            <w:right w:val="none" w:sz="0" w:space="0" w:color="auto"/>
          </w:divBdr>
        </w:div>
      </w:divsChild>
    </w:div>
    <w:div w:id="1881237893">
      <w:bodyDiv w:val="1"/>
      <w:marLeft w:val="0"/>
      <w:marRight w:val="0"/>
      <w:marTop w:val="0"/>
      <w:marBottom w:val="0"/>
      <w:divBdr>
        <w:top w:val="none" w:sz="0" w:space="0" w:color="auto"/>
        <w:left w:val="none" w:sz="0" w:space="0" w:color="auto"/>
        <w:bottom w:val="none" w:sz="0" w:space="0" w:color="auto"/>
        <w:right w:val="none" w:sz="0" w:space="0" w:color="auto"/>
      </w:divBdr>
    </w:div>
    <w:div w:id="1896232780">
      <w:bodyDiv w:val="1"/>
      <w:marLeft w:val="0"/>
      <w:marRight w:val="0"/>
      <w:marTop w:val="0"/>
      <w:marBottom w:val="0"/>
      <w:divBdr>
        <w:top w:val="none" w:sz="0" w:space="0" w:color="auto"/>
        <w:left w:val="none" w:sz="0" w:space="0" w:color="auto"/>
        <w:bottom w:val="none" w:sz="0" w:space="0" w:color="auto"/>
        <w:right w:val="none" w:sz="0" w:space="0" w:color="auto"/>
      </w:divBdr>
      <w:divsChild>
        <w:div w:id="49574338">
          <w:marLeft w:val="634"/>
          <w:marRight w:val="0"/>
          <w:marTop w:val="0"/>
          <w:marBottom w:val="0"/>
          <w:divBdr>
            <w:top w:val="none" w:sz="0" w:space="0" w:color="auto"/>
            <w:left w:val="none" w:sz="0" w:space="0" w:color="auto"/>
            <w:bottom w:val="none" w:sz="0" w:space="0" w:color="auto"/>
            <w:right w:val="none" w:sz="0" w:space="0" w:color="auto"/>
          </w:divBdr>
        </w:div>
        <w:div w:id="818883198">
          <w:marLeft w:val="634"/>
          <w:marRight w:val="0"/>
          <w:marTop w:val="0"/>
          <w:marBottom w:val="0"/>
          <w:divBdr>
            <w:top w:val="none" w:sz="0" w:space="0" w:color="auto"/>
            <w:left w:val="none" w:sz="0" w:space="0" w:color="auto"/>
            <w:bottom w:val="none" w:sz="0" w:space="0" w:color="auto"/>
            <w:right w:val="none" w:sz="0" w:space="0" w:color="auto"/>
          </w:divBdr>
        </w:div>
        <w:div w:id="1301380987">
          <w:marLeft w:val="634"/>
          <w:marRight w:val="0"/>
          <w:marTop w:val="0"/>
          <w:marBottom w:val="0"/>
          <w:divBdr>
            <w:top w:val="none" w:sz="0" w:space="0" w:color="auto"/>
            <w:left w:val="none" w:sz="0" w:space="0" w:color="auto"/>
            <w:bottom w:val="none" w:sz="0" w:space="0" w:color="auto"/>
            <w:right w:val="none" w:sz="0" w:space="0" w:color="auto"/>
          </w:divBdr>
        </w:div>
        <w:div w:id="1353608279">
          <w:marLeft w:val="634"/>
          <w:marRight w:val="0"/>
          <w:marTop w:val="0"/>
          <w:marBottom w:val="0"/>
          <w:divBdr>
            <w:top w:val="none" w:sz="0" w:space="0" w:color="auto"/>
            <w:left w:val="none" w:sz="0" w:space="0" w:color="auto"/>
            <w:bottom w:val="none" w:sz="0" w:space="0" w:color="auto"/>
            <w:right w:val="none" w:sz="0" w:space="0" w:color="auto"/>
          </w:divBdr>
        </w:div>
        <w:div w:id="1130365722">
          <w:marLeft w:val="634"/>
          <w:marRight w:val="0"/>
          <w:marTop w:val="0"/>
          <w:marBottom w:val="0"/>
          <w:divBdr>
            <w:top w:val="none" w:sz="0" w:space="0" w:color="auto"/>
            <w:left w:val="none" w:sz="0" w:space="0" w:color="auto"/>
            <w:bottom w:val="none" w:sz="0" w:space="0" w:color="auto"/>
            <w:right w:val="none" w:sz="0" w:space="0" w:color="auto"/>
          </w:divBdr>
        </w:div>
        <w:div w:id="653417972">
          <w:marLeft w:val="634"/>
          <w:marRight w:val="0"/>
          <w:marTop w:val="0"/>
          <w:marBottom w:val="0"/>
          <w:divBdr>
            <w:top w:val="none" w:sz="0" w:space="0" w:color="auto"/>
            <w:left w:val="none" w:sz="0" w:space="0" w:color="auto"/>
            <w:bottom w:val="none" w:sz="0" w:space="0" w:color="auto"/>
            <w:right w:val="none" w:sz="0" w:space="0" w:color="auto"/>
          </w:divBdr>
        </w:div>
      </w:divsChild>
    </w:div>
    <w:div w:id="1917204929">
      <w:bodyDiv w:val="1"/>
      <w:marLeft w:val="0"/>
      <w:marRight w:val="0"/>
      <w:marTop w:val="0"/>
      <w:marBottom w:val="0"/>
      <w:divBdr>
        <w:top w:val="none" w:sz="0" w:space="0" w:color="auto"/>
        <w:left w:val="none" w:sz="0" w:space="0" w:color="auto"/>
        <w:bottom w:val="none" w:sz="0" w:space="0" w:color="auto"/>
        <w:right w:val="none" w:sz="0" w:space="0" w:color="auto"/>
      </w:divBdr>
      <w:divsChild>
        <w:div w:id="1544632442">
          <w:marLeft w:val="648"/>
          <w:marRight w:val="0"/>
          <w:marTop w:val="0"/>
          <w:marBottom w:val="0"/>
          <w:divBdr>
            <w:top w:val="none" w:sz="0" w:space="0" w:color="auto"/>
            <w:left w:val="none" w:sz="0" w:space="0" w:color="auto"/>
            <w:bottom w:val="none" w:sz="0" w:space="0" w:color="auto"/>
            <w:right w:val="none" w:sz="0" w:space="0" w:color="auto"/>
          </w:divBdr>
        </w:div>
        <w:div w:id="1053045897">
          <w:marLeft w:val="648"/>
          <w:marRight w:val="0"/>
          <w:marTop w:val="0"/>
          <w:marBottom w:val="0"/>
          <w:divBdr>
            <w:top w:val="none" w:sz="0" w:space="0" w:color="auto"/>
            <w:left w:val="none" w:sz="0" w:space="0" w:color="auto"/>
            <w:bottom w:val="none" w:sz="0" w:space="0" w:color="auto"/>
            <w:right w:val="none" w:sz="0" w:space="0" w:color="auto"/>
          </w:divBdr>
        </w:div>
      </w:divsChild>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2003191302">
      <w:bodyDiv w:val="1"/>
      <w:marLeft w:val="0"/>
      <w:marRight w:val="0"/>
      <w:marTop w:val="0"/>
      <w:marBottom w:val="0"/>
      <w:divBdr>
        <w:top w:val="none" w:sz="0" w:space="0" w:color="auto"/>
        <w:left w:val="none" w:sz="0" w:space="0" w:color="auto"/>
        <w:bottom w:val="none" w:sz="0" w:space="0" w:color="auto"/>
        <w:right w:val="none" w:sz="0" w:space="0" w:color="auto"/>
      </w:divBdr>
    </w:div>
    <w:div w:id="2087140312">
      <w:bodyDiv w:val="1"/>
      <w:marLeft w:val="0"/>
      <w:marRight w:val="0"/>
      <w:marTop w:val="0"/>
      <w:marBottom w:val="0"/>
      <w:divBdr>
        <w:top w:val="none" w:sz="0" w:space="0" w:color="auto"/>
        <w:left w:val="none" w:sz="0" w:space="0" w:color="auto"/>
        <w:bottom w:val="none" w:sz="0" w:space="0" w:color="auto"/>
        <w:right w:val="none" w:sz="0" w:space="0" w:color="auto"/>
      </w:divBdr>
    </w:div>
    <w:div w:id="2093090078">
      <w:bodyDiv w:val="1"/>
      <w:marLeft w:val="0"/>
      <w:marRight w:val="0"/>
      <w:marTop w:val="0"/>
      <w:marBottom w:val="0"/>
      <w:divBdr>
        <w:top w:val="none" w:sz="0" w:space="0" w:color="auto"/>
        <w:left w:val="none" w:sz="0" w:space="0" w:color="auto"/>
        <w:bottom w:val="none" w:sz="0" w:space="0" w:color="auto"/>
        <w:right w:val="none" w:sz="0" w:space="0" w:color="auto"/>
      </w:divBdr>
      <w:divsChild>
        <w:div w:id="1620841527">
          <w:marLeft w:val="475"/>
          <w:marRight w:val="0"/>
          <w:marTop w:val="0"/>
          <w:marBottom w:val="0"/>
          <w:divBdr>
            <w:top w:val="none" w:sz="0" w:space="0" w:color="auto"/>
            <w:left w:val="none" w:sz="0" w:space="0" w:color="auto"/>
            <w:bottom w:val="none" w:sz="0" w:space="0" w:color="auto"/>
            <w:right w:val="none" w:sz="0" w:space="0" w:color="auto"/>
          </w:divBdr>
        </w:div>
      </w:divsChild>
    </w:div>
    <w:div w:id="21243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DB9D-D38D-46D7-94F8-C8E1B63E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4837</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csilkstone</dc:creator>
  <cp:lastModifiedBy>User</cp:lastModifiedBy>
  <cp:revision>2</cp:revision>
  <cp:lastPrinted>2016-10-27T11:45:00Z</cp:lastPrinted>
  <dcterms:created xsi:type="dcterms:W3CDTF">2022-11-21T08:39:00Z</dcterms:created>
  <dcterms:modified xsi:type="dcterms:W3CDTF">2022-11-21T08:39:00Z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9534c462f367283f1a147d3696d928d47f1be4705684074e3bf74641c78de74d</vt:lpwstr>
  </property>
</Properties>
</file>