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80" w:rsidRPr="009E6B3C" w:rsidRDefault="00106280" w:rsidP="009E6B3C">
      <w:pPr>
        <w:tabs>
          <w:tab w:val="left" w:pos="2552"/>
        </w:tabs>
        <w:autoSpaceDE w:val="0"/>
        <w:autoSpaceDN w:val="0"/>
        <w:adjustRightInd w:val="0"/>
        <w:rPr>
          <w:rFonts w:ascii="Arial" w:hAnsi="Arial" w:cs="Arial"/>
          <w:b/>
          <w:sz w:val="20"/>
          <w:szCs w:val="20"/>
        </w:rPr>
      </w:pPr>
      <w:r w:rsidRPr="009E6B3C">
        <w:rPr>
          <w:rFonts w:ascii="Arial" w:hAnsi="Arial" w:cs="Arial"/>
          <w:b/>
          <w:sz w:val="20"/>
          <w:szCs w:val="20"/>
        </w:rPr>
        <w:t>The Budgetary Review and Recommendation Report of the Portfolio Committee on Justice and Correctional Services</w:t>
      </w:r>
      <w:r w:rsidR="00865C67" w:rsidRPr="009E6B3C">
        <w:rPr>
          <w:rFonts w:ascii="Arial" w:hAnsi="Arial" w:cs="Arial"/>
          <w:b/>
          <w:sz w:val="20"/>
          <w:szCs w:val="20"/>
        </w:rPr>
        <w:t xml:space="preserve"> on</w:t>
      </w:r>
      <w:r w:rsidR="007F5F3D" w:rsidRPr="009E6B3C">
        <w:rPr>
          <w:rFonts w:ascii="Arial" w:hAnsi="Arial" w:cs="Arial"/>
          <w:b/>
          <w:sz w:val="20"/>
          <w:szCs w:val="20"/>
        </w:rPr>
        <w:t xml:space="preserve"> the Department of Justice and Constitutional Development, National Prosecuting Authority, Information Regulator, Legal Aid South Africa, Special Investigating Unit, South African Human Rights Commission and Public Protector</w:t>
      </w:r>
      <w:r w:rsidRPr="009E6B3C">
        <w:rPr>
          <w:rFonts w:ascii="Arial" w:hAnsi="Arial" w:cs="Arial"/>
          <w:b/>
          <w:sz w:val="20"/>
          <w:szCs w:val="20"/>
        </w:rPr>
        <w:t xml:space="preserve">, dated </w:t>
      </w:r>
      <w:r w:rsidR="008563C6" w:rsidRPr="009E6B3C">
        <w:rPr>
          <w:rFonts w:ascii="Arial" w:hAnsi="Arial" w:cs="Arial"/>
          <w:b/>
          <w:sz w:val="20"/>
          <w:szCs w:val="20"/>
        </w:rPr>
        <w:t xml:space="preserve">18 </w:t>
      </w:r>
      <w:r w:rsidR="00CA4A4C" w:rsidRPr="009E6B3C">
        <w:rPr>
          <w:rFonts w:ascii="Arial" w:hAnsi="Arial" w:cs="Arial"/>
          <w:b/>
          <w:sz w:val="20"/>
          <w:szCs w:val="20"/>
        </w:rPr>
        <w:t>November 2022</w:t>
      </w:r>
    </w:p>
    <w:p w:rsidR="00106280" w:rsidRPr="009E6B3C" w:rsidRDefault="00106280" w:rsidP="009E6B3C">
      <w:pPr>
        <w:autoSpaceDE w:val="0"/>
        <w:autoSpaceDN w:val="0"/>
        <w:adjustRightInd w:val="0"/>
        <w:rPr>
          <w:rFonts w:ascii="Arial" w:hAnsi="Arial" w:cs="Arial"/>
          <w:sz w:val="20"/>
          <w:szCs w:val="20"/>
        </w:rPr>
      </w:pPr>
    </w:p>
    <w:p w:rsidR="00106280" w:rsidRPr="009E6B3C" w:rsidRDefault="00106280" w:rsidP="009E6B3C">
      <w:pPr>
        <w:autoSpaceDE w:val="0"/>
        <w:autoSpaceDN w:val="0"/>
        <w:adjustRightInd w:val="0"/>
        <w:rPr>
          <w:rFonts w:ascii="Arial" w:hAnsi="Arial" w:cs="Arial"/>
          <w:b/>
          <w:sz w:val="20"/>
          <w:szCs w:val="20"/>
        </w:rPr>
      </w:pPr>
      <w:r w:rsidRPr="009E6B3C">
        <w:rPr>
          <w:rFonts w:ascii="Arial" w:hAnsi="Arial" w:cs="Arial"/>
          <w:sz w:val="20"/>
          <w:szCs w:val="20"/>
        </w:rPr>
        <w:t xml:space="preserve">The Portfolio Committee on Justice and Correctional Services, having considered the </w:t>
      </w:r>
      <w:r w:rsidR="008A324B" w:rsidRPr="009E6B3C">
        <w:rPr>
          <w:rFonts w:ascii="Arial" w:hAnsi="Arial" w:cs="Arial"/>
          <w:sz w:val="20"/>
          <w:szCs w:val="20"/>
        </w:rPr>
        <w:t xml:space="preserve">financial and non-financial </w:t>
      </w:r>
      <w:r w:rsidRPr="009E6B3C">
        <w:rPr>
          <w:rFonts w:ascii="Arial" w:hAnsi="Arial" w:cs="Arial"/>
          <w:sz w:val="20"/>
          <w:szCs w:val="20"/>
        </w:rPr>
        <w:t>performance</w:t>
      </w:r>
      <w:r w:rsidR="00381588" w:rsidRPr="009E6B3C">
        <w:rPr>
          <w:rFonts w:ascii="Arial" w:hAnsi="Arial" w:cs="Arial"/>
          <w:sz w:val="20"/>
          <w:szCs w:val="20"/>
        </w:rPr>
        <w:t xml:space="preserve"> information</w:t>
      </w:r>
      <w:r w:rsidR="008F18A1" w:rsidRPr="009E6B3C">
        <w:rPr>
          <w:rFonts w:ascii="Arial" w:hAnsi="Arial" w:cs="Arial"/>
          <w:sz w:val="20"/>
          <w:szCs w:val="20"/>
        </w:rPr>
        <w:t xml:space="preserve"> for 20</w:t>
      </w:r>
      <w:r w:rsidR="00F13E01" w:rsidRPr="009E6B3C">
        <w:rPr>
          <w:rFonts w:ascii="Arial" w:hAnsi="Arial" w:cs="Arial"/>
          <w:sz w:val="20"/>
          <w:szCs w:val="20"/>
        </w:rPr>
        <w:t>2</w:t>
      </w:r>
      <w:r w:rsidR="00CA4A4C" w:rsidRPr="009E6B3C">
        <w:rPr>
          <w:rFonts w:ascii="Arial" w:hAnsi="Arial" w:cs="Arial"/>
          <w:sz w:val="20"/>
          <w:szCs w:val="20"/>
        </w:rPr>
        <w:t>1/22</w:t>
      </w:r>
      <w:r w:rsidR="008F18A1" w:rsidRPr="009E6B3C">
        <w:rPr>
          <w:rFonts w:ascii="Arial" w:hAnsi="Arial" w:cs="Arial"/>
          <w:sz w:val="20"/>
          <w:szCs w:val="20"/>
        </w:rPr>
        <w:t xml:space="preserve"> and the </w:t>
      </w:r>
      <w:r w:rsidR="00C6676F" w:rsidRPr="009E6B3C">
        <w:rPr>
          <w:rFonts w:ascii="Arial" w:hAnsi="Arial" w:cs="Arial"/>
          <w:sz w:val="20"/>
          <w:szCs w:val="20"/>
        </w:rPr>
        <w:t xml:space="preserve">available quarterly financial and non-financial performance information for </w:t>
      </w:r>
      <w:r w:rsidR="008F18A1" w:rsidRPr="009E6B3C">
        <w:rPr>
          <w:rFonts w:ascii="Arial" w:hAnsi="Arial" w:cs="Arial"/>
          <w:sz w:val="20"/>
          <w:szCs w:val="20"/>
        </w:rPr>
        <w:t>202</w:t>
      </w:r>
      <w:r w:rsidR="00CA4A4C" w:rsidRPr="009E6B3C">
        <w:rPr>
          <w:rFonts w:ascii="Arial" w:hAnsi="Arial" w:cs="Arial"/>
          <w:sz w:val="20"/>
          <w:szCs w:val="20"/>
        </w:rPr>
        <w:t>2</w:t>
      </w:r>
      <w:r w:rsidR="008F18A1" w:rsidRPr="009E6B3C">
        <w:rPr>
          <w:rFonts w:ascii="Arial" w:hAnsi="Arial" w:cs="Arial"/>
          <w:sz w:val="20"/>
          <w:szCs w:val="20"/>
        </w:rPr>
        <w:t>/2</w:t>
      </w:r>
      <w:r w:rsidR="00CA4A4C" w:rsidRPr="009E6B3C">
        <w:rPr>
          <w:rFonts w:ascii="Arial" w:hAnsi="Arial" w:cs="Arial"/>
          <w:sz w:val="20"/>
          <w:szCs w:val="20"/>
        </w:rPr>
        <w:t>3</w:t>
      </w:r>
      <w:r w:rsidR="008F18A1" w:rsidRPr="009E6B3C">
        <w:rPr>
          <w:rFonts w:ascii="Arial" w:hAnsi="Arial" w:cs="Arial"/>
          <w:sz w:val="20"/>
          <w:szCs w:val="20"/>
        </w:rPr>
        <w:t xml:space="preserve"> </w:t>
      </w:r>
      <w:r w:rsidR="008563C6" w:rsidRPr="009E6B3C">
        <w:rPr>
          <w:rFonts w:ascii="Arial" w:hAnsi="Arial" w:cs="Arial"/>
          <w:sz w:val="20"/>
          <w:szCs w:val="20"/>
        </w:rPr>
        <w:t>for</w:t>
      </w:r>
      <w:r w:rsidRPr="009E6B3C">
        <w:rPr>
          <w:rFonts w:ascii="Arial" w:hAnsi="Arial" w:cs="Arial"/>
          <w:sz w:val="20"/>
          <w:szCs w:val="20"/>
        </w:rPr>
        <w:t xml:space="preserve"> the Department of Justice and Constitutional Development, National Prosecuting Authority, </w:t>
      </w:r>
      <w:r w:rsidR="00DF03D5" w:rsidRPr="009E6B3C">
        <w:rPr>
          <w:rFonts w:ascii="Arial" w:hAnsi="Arial" w:cs="Arial"/>
          <w:sz w:val="20"/>
          <w:szCs w:val="20"/>
        </w:rPr>
        <w:t xml:space="preserve">Information Regulator, </w:t>
      </w:r>
      <w:r w:rsidRPr="009E6B3C">
        <w:rPr>
          <w:rFonts w:ascii="Arial" w:hAnsi="Arial" w:cs="Arial"/>
          <w:sz w:val="20"/>
          <w:szCs w:val="20"/>
        </w:rPr>
        <w:t>Legal Aid South Africa, Special Investigating Unit, South African Human Rights Commission and Publi</w:t>
      </w:r>
      <w:r w:rsidR="00A56844" w:rsidRPr="009E6B3C">
        <w:rPr>
          <w:rFonts w:ascii="Arial" w:hAnsi="Arial" w:cs="Arial"/>
          <w:sz w:val="20"/>
          <w:szCs w:val="20"/>
        </w:rPr>
        <w:t>c Protector</w:t>
      </w:r>
      <w:r w:rsidR="004A75E5" w:rsidRPr="009E6B3C">
        <w:rPr>
          <w:rFonts w:ascii="Arial" w:hAnsi="Arial" w:cs="Arial"/>
          <w:sz w:val="20"/>
          <w:szCs w:val="20"/>
        </w:rPr>
        <w:t xml:space="preserve">, </w:t>
      </w:r>
      <w:r w:rsidRPr="009E6B3C">
        <w:rPr>
          <w:rFonts w:ascii="Arial" w:hAnsi="Arial" w:cs="Arial"/>
          <w:sz w:val="20"/>
          <w:szCs w:val="20"/>
        </w:rPr>
        <w:t>reports as follows:</w:t>
      </w:r>
    </w:p>
    <w:p w:rsidR="00106280" w:rsidRPr="009E6B3C" w:rsidRDefault="00106280" w:rsidP="009E6B3C">
      <w:pPr>
        <w:autoSpaceDE w:val="0"/>
        <w:autoSpaceDN w:val="0"/>
        <w:adjustRightInd w:val="0"/>
        <w:rPr>
          <w:rFonts w:ascii="Arial" w:hAnsi="Arial" w:cs="Arial"/>
          <w:sz w:val="20"/>
          <w:szCs w:val="20"/>
        </w:rPr>
      </w:pPr>
    </w:p>
    <w:p w:rsidR="00106280" w:rsidRPr="009E6B3C" w:rsidRDefault="00106280" w:rsidP="009E6B3C">
      <w:pPr>
        <w:numPr>
          <w:ilvl w:val="0"/>
          <w:numId w:val="1"/>
        </w:numPr>
        <w:tabs>
          <w:tab w:val="num" w:pos="851"/>
        </w:tabs>
        <w:autoSpaceDE w:val="0"/>
        <w:autoSpaceDN w:val="0"/>
        <w:adjustRightInd w:val="0"/>
        <w:ind w:left="851" w:hanging="851"/>
        <w:rPr>
          <w:rFonts w:ascii="Arial" w:hAnsi="Arial" w:cs="Arial"/>
          <w:b/>
          <w:sz w:val="20"/>
          <w:szCs w:val="20"/>
        </w:rPr>
      </w:pPr>
      <w:r w:rsidRPr="009E6B3C">
        <w:rPr>
          <w:rFonts w:ascii="Arial" w:hAnsi="Arial" w:cs="Arial"/>
          <w:b/>
          <w:sz w:val="20"/>
          <w:szCs w:val="20"/>
        </w:rPr>
        <w:t>Introduction</w:t>
      </w:r>
    </w:p>
    <w:p w:rsidR="00106280" w:rsidRPr="009E6B3C" w:rsidRDefault="00106280" w:rsidP="009E6B3C">
      <w:pPr>
        <w:rPr>
          <w:rFonts w:ascii="Arial" w:hAnsi="Arial" w:cs="Arial"/>
          <w:sz w:val="20"/>
          <w:szCs w:val="20"/>
        </w:rPr>
      </w:pPr>
    </w:p>
    <w:p w:rsidR="009E103C" w:rsidRPr="009E6B3C" w:rsidRDefault="002D0ED0" w:rsidP="009E6B3C">
      <w:pPr>
        <w:numPr>
          <w:ilvl w:val="1"/>
          <w:numId w:val="3"/>
        </w:numPr>
        <w:ind w:left="851" w:hanging="851"/>
        <w:rPr>
          <w:rFonts w:ascii="Arial" w:hAnsi="Arial" w:cs="Arial"/>
          <w:sz w:val="20"/>
          <w:szCs w:val="20"/>
          <w:lang w:val="en-US"/>
        </w:rPr>
      </w:pPr>
      <w:r w:rsidRPr="009E6B3C">
        <w:rPr>
          <w:rFonts w:ascii="Arial" w:hAnsi="Arial" w:cs="Arial"/>
          <w:sz w:val="20"/>
          <w:szCs w:val="20"/>
          <w:lang w:val="en-US"/>
        </w:rPr>
        <w:t>The Money Bills Procedure</w:t>
      </w:r>
      <w:r w:rsidR="00106280" w:rsidRPr="009E6B3C">
        <w:rPr>
          <w:rFonts w:ascii="Arial" w:hAnsi="Arial" w:cs="Arial"/>
          <w:sz w:val="20"/>
          <w:szCs w:val="20"/>
          <w:lang w:val="en-US"/>
        </w:rPr>
        <w:t xml:space="preserve"> </w:t>
      </w:r>
      <w:r w:rsidR="00E91B7A" w:rsidRPr="009E6B3C">
        <w:rPr>
          <w:rFonts w:ascii="Arial" w:hAnsi="Arial" w:cs="Arial"/>
          <w:sz w:val="20"/>
          <w:szCs w:val="20"/>
          <w:lang w:val="en-US"/>
        </w:rPr>
        <w:t xml:space="preserve">Amendment </w:t>
      </w:r>
      <w:r w:rsidR="00106280" w:rsidRPr="009E6B3C">
        <w:rPr>
          <w:rFonts w:ascii="Arial" w:hAnsi="Arial" w:cs="Arial"/>
          <w:sz w:val="20"/>
          <w:szCs w:val="20"/>
          <w:lang w:val="en-US"/>
        </w:rPr>
        <w:t xml:space="preserve">and Related Matters Act 9 of </w:t>
      </w:r>
      <w:r w:rsidR="00B46554" w:rsidRPr="009E6B3C">
        <w:rPr>
          <w:rFonts w:ascii="Arial" w:hAnsi="Arial" w:cs="Arial"/>
          <w:sz w:val="20"/>
          <w:szCs w:val="20"/>
          <w:lang w:val="en-US"/>
        </w:rPr>
        <w:t>2009</w:t>
      </w:r>
      <w:r w:rsidR="008F18A1" w:rsidRPr="009E6B3C">
        <w:rPr>
          <w:rFonts w:ascii="Arial" w:hAnsi="Arial" w:cs="Arial"/>
          <w:sz w:val="20"/>
          <w:szCs w:val="20"/>
          <w:lang w:val="en-US"/>
        </w:rPr>
        <w:t>, as amended, (the Money Bills Act)</w:t>
      </w:r>
      <w:r w:rsidR="00B46554" w:rsidRPr="009E6B3C">
        <w:rPr>
          <w:rFonts w:ascii="Arial" w:hAnsi="Arial" w:cs="Arial"/>
          <w:sz w:val="20"/>
          <w:szCs w:val="20"/>
          <w:lang w:val="en-US"/>
        </w:rPr>
        <w:t xml:space="preserve"> requires</w:t>
      </w:r>
      <w:r w:rsidR="00E23CDC" w:rsidRPr="009E6B3C">
        <w:rPr>
          <w:rFonts w:ascii="Arial" w:hAnsi="Arial" w:cs="Arial"/>
          <w:sz w:val="20"/>
          <w:szCs w:val="20"/>
          <w:lang w:val="en-US"/>
        </w:rPr>
        <w:t xml:space="preserve"> </w:t>
      </w:r>
      <w:r w:rsidR="00106280" w:rsidRPr="009E6B3C">
        <w:rPr>
          <w:rFonts w:ascii="Arial" w:hAnsi="Arial" w:cs="Arial"/>
          <w:sz w:val="20"/>
          <w:szCs w:val="20"/>
          <w:lang w:val="en-US"/>
        </w:rPr>
        <w:t xml:space="preserve">portfolio committees </w:t>
      </w:r>
      <w:r w:rsidR="00E23CDC" w:rsidRPr="009E6B3C">
        <w:rPr>
          <w:rFonts w:ascii="Arial" w:hAnsi="Arial" w:cs="Arial"/>
          <w:sz w:val="20"/>
          <w:szCs w:val="20"/>
          <w:lang w:val="en-US"/>
        </w:rPr>
        <w:t xml:space="preserve">to </w:t>
      </w:r>
      <w:r w:rsidR="00106280" w:rsidRPr="009E6B3C">
        <w:rPr>
          <w:rFonts w:ascii="Arial" w:hAnsi="Arial" w:cs="Arial"/>
          <w:sz w:val="20"/>
          <w:szCs w:val="20"/>
          <w:lang w:val="en-US"/>
        </w:rPr>
        <w:t>compile Budgetary Review and Recommendation Reports (BRRR)</w:t>
      </w:r>
      <w:r w:rsidR="008143B9" w:rsidRPr="009E6B3C">
        <w:rPr>
          <w:rFonts w:ascii="Arial" w:hAnsi="Arial" w:cs="Arial"/>
          <w:sz w:val="20"/>
          <w:szCs w:val="20"/>
          <w:lang w:val="en-US"/>
        </w:rPr>
        <w:t xml:space="preserve"> each year. </w:t>
      </w:r>
    </w:p>
    <w:p w:rsidR="00A67E16" w:rsidRPr="009E6B3C" w:rsidRDefault="00A67E16" w:rsidP="009E6B3C">
      <w:pPr>
        <w:ind w:left="709"/>
        <w:rPr>
          <w:rFonts w:ascii="Arial" w:hAnsi="Arial" w:cs="Arial"/>
          <w:sz w:val="20"/>
          <w:szCs w:val="20"/>
          <w:lang w:val="en-US"/>
        </w:rPr>
      </w:pPr>
    </w:p>
    <w:p w:rsidR="008F18A1" w:rsidRPr="009E6B3C" w:rsidRDefault="009E103C" w:rsidP="009E6B3C">
      <w:pPr>
        <w:numPr>
          <w:ilvl w:val="1"/>
          <w:numId w:val="3"/>
        </w:numPr>
        <w:ind w:left="851" w:hanging="851"/>
        <w:rPr>
          <w:rFonts w:ascii="Arial" w:hAnsi="Arial" w:cs="Arial"/>
          <w:sz w:val="20"/>
          <w:szCs w:val="20"/>
          <w:lang w:val="en-US"/>
        </w:rPr>
      </w:pPr>
      <w:r w:rsidRPr="009E6B3C">
        <w:rPr>
          <w:rFonts w:ascii="Arial" w:hAnsi="Arial" w:cs="Arial"/>
          <w:sz w:val="20"/>
          <w:szCs w:val="20"/>
          <w:lang w:val="en-US"/>
        </w:rPr>
        <w:t xml:space="preserve">In particular, </w:t>
      </w:r>
      <w:r w:rsidR="008F18A1" w:rsidRPr="009E6B3C">
        <w:rPr>
          <w:rFonts w:ascii="Arial" w:hAnsi="Arial" w:cs="Arial"/>
          <w:sz w:val="20"/>
          <w:szCs w:val="20"/>
          <w:lang w:val="en-US"/>
        </w:rPr>
        <w:t>section 5</w:t>
      </w:r>
      <w:r w:rsidRPr="009E6B3C">
        <w:rPr>
          <w:rFonts w:ascii="Arial" w:hAnsi="Arial" w:cs="Arial"/>
          <w:sz w:val="20"/>
          <w:szCs w:val="20"/>
          <w:lang w:val="en-US"/>
        </w:rPr>
        <w:t>(1)</w:t>
      </w:r>
      <w:r w:rsidR="008F18A1" w:rsidRPr="009E6B3C">
        <w:rPr>
          <w:rFonts w:ascii="Arial" w:hAnsi="Arial" w:cs="Arial"/>
          <w:sz w:val="20"/>
          <w:szCs w:val="20"/>
          <w:lang w:val="en-US"/>
        </w:rPr>
        <w:t xml:space="preserve"> of the Money Bills Act provides </w:t>
      </w:r>
      <w:r w:rsidR="00381588" w:rsidRPr="009E6B3C">
        <w:rPr>
          <w:rFonts w:ascii="Arial" w:hAnsi="Arial" w:cs="Arial"/>
          <w:sz w:val="20"/>
          <w:szCs w:val="20"/>
          <w:lang w:val="en-US"/>
        </w:rPr>
        <w:t xml:space="preserve">that </w:t>
      </w:r>
      <w:r w:rsidR="008F18A1" w:rsidRPr="009E6B3C">
        <w:rPr>
          <w:rFonts w:ascii="Arial" w:hAnsi="Arial" w:cs="Arial"/>
          <w:sz w:val="20"/>
          <w:szCs w:val="20"/>
          <w:lang w:val="en-US"/>
        </w:rPr>
        <w:t xml:space="preserve">committees </w:t>
      </w:r>
      <w:r w:rsidR="008F18A1" w:rsidRPr="009E6B3C">
        <w:rPr>
          <w:rFonts w:ascii="Arial" w:hAnsi="Arial" w:cs="Arial"/>
          <w:i/>
          <w:sz w:val="20"/>
          <w:szCs w:val="20"/>
          <w:lang w:val="en-US"/>
        </w:rPr>
        <w:t>must</w:t>
      </w:r>
      <w:r w:rsidR="008F18A1" w:rsidRPr="009E6B3C">
        <w:rPr>
          <w:rFonts w:ascii="Arial" w:hAnsi="Arial" w:cs="Arial"/>
          <w:sz w:val="20"/>
          <w:szCs w:val="20"/>
          <w:lang w:val="en-US"/>
        </w:rPr>
        <w:t xml:space="preserve"> </w:t>
      </w:r>
      <w:r w:rsidR="008143B9" w:rsidRPr="009E6B3C">
        <w:rPr>
          <w:rFonts w:ascii="Arial" w:hAnsi="Arial" w:cs="Arial"/>
          <w:sz w:val="20"/>
          <w:szCs w:val="20"/>
          <w:lang w:val="en-US"/>
        </w:rPr>
        <w:t xml:space="preserve">make their assessment of </w:t>
      </w:r>
      <w:r w:rsidR="008A1348" w:rsidRPr="009E6B3C">
        <w:rPr>
          <w:rFonts w:ascii="Arial" w:hAnsi="Arial" w:cs="Arial"/>
          <w:sz w:val="20"/>
          <w:szCs w:val="20"/>
          <w:lang w:val="en-US"/>
        </w:rPr>
        <w:t xml:space="preserve">the </w:t>
      </w:r>
      <w:r w:rsidR="008143B9" w:rsidRPr="009E6B3C">
        <w:rPr>
          <w:rFonts w:ascii="Arial" w:hAnsi="Arial" w:cs="Arial"/>
          <w:sz w:val="20"/>
          <w:szCs w:val="20"/>
          <w:lang w:val="en-US"/>
        </w:rPr>
        <w:t xml:space="preserve">performance </w:t>
      </w:r>
      <w:r w:rsidR="00F44EFF" w:rsidRPr="009E6B3C">
        <w:rPr>
          <w:rFonts w:ascii="Arial" w:hAnsi="Arial" w:cs="Arial"/>
          <w:sz w:val="20"/>
          <w:szCs w:val="20"/>
          <w:lang w:val="en-US"/>
        </w:rPr>
        <w:t xml:space="preserve">of </w:t>
      </w:r>
      <w:r w:rsidR="008A1348" w:rsidRPr="009E6B3C">
        <w:rPr>
          <w:rFonts w:ascii="Arial" w:hAnsi="Arial" w:cs="Arial"/>
          <w:sz w:val="20"/>
          <w:szCs w:val="20"/>
          <w:lang w:val="en-US"/>
        </w:rPr>
        <w:t xml:space="preserve">national departments and institutions, </w:t>
      </w:r>
      <w:r w:rsidR="008F18A1" w:rsidRPr="009E6B3C">
        <w:rPr>
          <w:rFonts w:ascii="Arial" w:hAnsi="Arial" w:cs="Arial"/>
          <w:sz w:val="20"/>
          <w:szCs w:val="20"/>
          <w:lang w:val="en-US"/>
        </w:rPr>
        <w:t>with reference to the following:</w:t>
      </w:r>
    </w:p>
    <w:p w:rsidR="008F18A1" w:rsidRPr="009E6B3C" w:rsidRDefault="008F18A1" w:rsidP="009E6B3C">
      <w:pPr>
        <w:pStyle w:val="ListParagraph"/>
        <w:numPr>
          <w:ilvl w:val="0"/>
          <w:numId w:val="5"/>
        </w:numPr>
        <w:autoSpaceDE w:val="0"/>
        <w:autoSpaceDN w:val="0"/>
        <w:adjustRightInd w:val="0"/>
        <w:rPr>
          <w:rFonts w:ascii="Arial" w:hAnsi="Arial" w:cs="Arial"/>
          <w:sz w:val="20"/>
          <w:szCs w:val="20"/>
          <w:lang w:val="en-US"/>
        </w:rPr>
      </w:pPr>
      <w:r w:rsidRPr="009E6B3C">
        <w:rPr>
          <w:rFonts w:ascii="Arial" w:hAnsi="Arial" w:cs="Arial"/>
          <w:sz w:val="20"/>
          <w:szCs w:val="20"/>
          <w:lang w:val="en-US"/>
        </w:rPr>
        <w:t>The medium term estimates of expenditure of each national department, its strategic goals and measurable objectives, as tabled in the National Assembly with the national budget;</w:t>
      </w:r>
    </w:p>
    <w:p w:rsidR="008F18A1" w:rsidRPr="009E6B3C" w:rsidRDefault="008F18A1" w:rsidP="009E6B3C">
      <w:pPr>
        <w:pStyle w:val="ListParagraph"/>
        <w:numPr>
          <w:ilvl w:val="0"/>
          <w:numId w:val="5"/>
        </w:numPr>
        <w:autoSpaceDE w:val="0"/>
        <w:autoSpaceDN w:val="0"/>
        <w:adjustRightInd w:val="0"/>
        <w:rPr>
          <w:rFonts w:ascii="Arial" w:hAnsi="Arial" w:cs="Arial"/>
          <w:sz w:val="20"/>
          <w:szCs w:val="20"/>
          <w:lang w:val="en-US"/>
        </w:rPr>
      </w:pPr>
      <w:r w:rsidRPr="009E6B3C">
        <w:rPr>
          <w:rFonts w:ascii="Arial" w:hAnsi="Arial" w:cs="Arial"/>
          <w:sz w:val="20"/>
          <w:szCs w:val="20"/>
          <w:lang w:val="en-US"/>
        </w:rPr>
        <w:t>Prevailing strategic plans;</w:t>
      </w:r>
    </w:p>
    <w:p w:rsidR="008F18A1" w:rsidRPr="009E6B3C" w:rsidRDefault="008F18A1" w:rsidP="009E6B3C">
      <w:pPr>
        <w:pStyle w:val="ListParagraph"/>
        <w:numPr>
          <w:ilvl w:val="0"/>
          <w:numId w:val="5"/>
        </w:numPr>
        <w:autoSpaceDE w:val="0"/>
        <w:autoSpaceDN w:val="0"/>
        <w:adjustRightInd w:val="0"/>
        <w:rPr>
          <w:rFonts w:ascii="Arial" w:hAnsi="Arial" w:cs="Arial"/>
          <w:sz w:val="20"/>
          <w:szCs w:val="20"/>
          <w:lang w:val="en-US"/>
        </w:rPr>
      </w:pPr>
      <w:r w:rsidRPr="009E6B3C">
        <w:rPr>
          <w:rFonts w:ascii="Arial" w:hAnsi="Arial" w:cs="Arial"/>
          <w:sz w:val="20"/>
          <w:szCs w:val="20"/>
          <w:lang w:val="en-US"/>
        </w:rPr>
        <w:t>The expenditure reports or statements relating to a vote appropriating funds for such depar</w:t>
      </w:r>
      <w:r w:rsidR="00451F2F" w:rsidRPr="009E6B3C">
        <w:rPr>
          <w:rFonts w:ascii="Arial" w:hAnsi="Arial" w:cs="Arial"/>
          <w:sz w:val="20"/>
          <w:szCs w:val="20"/>
          <w:lang w:val="en-US"/>
        </w:rPr>
        <w:t>tment</w:t>
      </w:r>
      <w:r w:rsidRPr="009E6B3C">
        <w:rPr>
          <w:rFonts w:ascii="Arial" w:hAnsi="Arial" w:cs="Arial"/>
          <w:sz w:val="20"/>
          <w:szCs w:val="20"/>
          <w:lang w:val="en-US"/>
        </w:rPr>
        <w:t>;</w:t>
      </w:r>
    </w:p>
    <w:p w:rsidR="008F18A1" w:rsidRPr="009E6B3C" w:rsidRDefault="008F18A1" w:rsidP="009E6B3C">
      <w:pPr>
        <w:pStyle w:val="ListParagraph"/>
        <w:numPr>
          <w:ilvl w:val="0"/>
          <w:numId w:val="5"/>
        </w:numPr>
        <w:autoSpaceDE w:val="0"/>
        <w:autoSpaceDN w:val="0"/>
        <w:adjustRightInd w:val="0"/>
        <w:rPr>
          <w:rFonts w:ascii="Arial" w:hAnsi="Arial" w:cs="Arial"/>
          <w:sz w:val="20"/>
          <w:szCs w:val="20"/>
          <w:lang w:val="en-US"/>
        </w:rPr>
      </w:pPr>
      <w:r w:rsidRPr="009E6B3C">
        <w:rPr>
          <w:rFonts w:ascii="Arial" w:hAnsi="Arial" w:cs="Arial"/>
          <w:sz w:val="20"/>
          <w:szCs w:val="20"/>
          <w:lang w:val="en-US"/>
        </w:rPr>
        <w:t>The financial statements and annual report of such department;</w:t>
      </w:r>
    </w:p>
    <w:p w:rsidR="008F18A1" w:rsidRPr="009E6B3C" w:rsidRDefault="009E103C" w:rsidP="009E6B3C">
      <w:pPr>
        <w:pStyle w:val="ListParagraph"/>
        <w:numPr>
          <w:ilvl w:val="0"/>
          <w:numId w:val="5"/>
        </w:numPr>
        <w:autoSpaceDE w:val="0"/>
        <w:autoSpaceDN w:val="0"/>
        <w:adjustRightInd w:val="0"/>
        <w:rPr>
          <w:rFonts w:ascii="Arial" w:hAnsi="Arial" w:cs="Arial"/>
          <w:sz w:val="20"/>
          <w:szCs w:val="20"/>
          <w:lang w:val="en-US"/>
        </w:rPr>
      </w:pPr>
      <w:r w:rsidRPr="009E6B3C">
        <w:rPr>
          <w:rFonts w:ascii="Arial" w:hAnsi="Arial" w:cs="Arial"/>
          <w:sz w:val="20"/>
          <w:szCs w:val="20"/>
          <w:lang w:val="en-US"/>
        </w:rPr>
        <w:t>T</w:t>
      </w:r>
      <w:r w:rsidR="008F18A1" w:rsidRPr="009E6B3C">
        <w:rPr>
          <w:rFonts w:ascii="Arial" w:hAnsi="Arial" w:cs="Arial"/>
          <w:sz w:val="20"/>
          <w:szCs w:val="20"/>
          <w:lang w:val="en-US"/>
        </w:rPr>
        <w:t>he reports of the Standing Committee on Public Accounts relating to a department; and</w:t>
      </w:r>
    </w:p>
    <w:p w:rsidR="008F18A1" w:rsidRPr="009E6B3C" w:rsidRDefault="009E103C" w:rsidP="009E6B3C">
      <w:pPr>
        <w:pStyle w:val="ListParagraph"/>
        <w:numPr>
          <w:ilvl w:val="0"/>
          <w:numId w:val="5"/>
        </w:numPr>
        <w:rPr>
          <w:rFonts w:ascii="Arial" w:hAnsi="Arial" w:cs="Arial"/>
          <w:sz w:val="20"/>
          <w:szCs w:val="20"/>
          <w:lang w:val="en-US"/>
        </w:rPr>
      </w:pPr>
      <w:r w:rsidRPr="009E6B3C">
        <w:rPr>
          <w:rFonts w:ascii="Arial" w:hAnsi="Arial" w:cs="Arial"/>
          <w:sz w:val="20"/>
          <w:szCs w:val="20"/>
          <w:lang w:val="en-US"/>
        </w:rPr>
        <w:t>A</w:t>
      </w:r>
      <w:r w:rsidR="008F18A1" w:rsidRPr="009E6B3C">
        <w:rPr>
          <w:rFonts w:ascii="Arial" w:hAnsi="Arial" w:cs="Arial"/>
          <w:sz w:val="20"/>
          <w:szCs w:val="20"/>
          <w:lang w:val="en-US"/>
        </w:rPr>
        <w:t>ny other information requested by or presented to a House or Parliament.</w:t>
      </w:r>
    </w:p>
    <w:p w:rsidR="009E103C" w:rsidRPr="009E6B3C" w:rsidRDefault="009E103C" w:rsidP="009E6B3C">
      <w:pPr>
        <w:pStyle w:val="ListParagraph"/>
        <w:ind w:left="1069"/>
        <w:rPr>
          <w:rFonts w:ascii="Arial" w:hAnsi="Arial" w:cs="Arial"/>
          <w:sz w:val="20"/>
          <w:szCs w:val="20"/>
          <w:lang w:val="en-US"/>
        </w:rPr>
      </w:pPr>
    </w:p>
    <w:p w:rsidR="00A67E16" w:rsidRPr="009E6B3C" w:rsidRDefault="00A67E16" w:rsidP="009E6B3C">
      <w:pPr>
        <w:numPr>
          <w:ilvl w:val="1"/>
          <w:numId w:val="3"/>
        </w:numPr>
        <w:ind w:left="851" w:hanging="851"/>
        <w:rPr>
          <w:rFonts w:ascii="Arial" w:hAnsi="Arial" w:cs="Arial"/>
          <w:sz w:val="20"/>
          <w:szCs w:val="20"/>
          <w:lang w:val="en-US"/>
        </w:rPr>
      </w:pPr>
      <w:r w:rsidRPr="009E6B3C">
        <w:rPr>
          <w:rFonts w:ascii="Arial" w:hAnsi="Arial" w:cs="Arial"/>
          <w:sz w:val="20"/>
          <w:szCs w:val="20"/>
          <w:lang w:val="en-US"/>
        </w:rPr>
        <w:t xml:space="preserve">Committees </w:t>
      </w:r>
      <w:r w:rsidRPr="009E6B3C">
        <w:rPr>
          <w:rFonts w:ascii="Arial" w:hAnsi="Arial" w:cs="Arial"/>
          <w:i/>
          <w:sz w:val="20"/>
          <w:szCs w:val="20"/>
          <w:lang w:val="en-US"/>
        </w:rPr>
        <w:t>may</w:t>
      </w:r>
      <w:r w:rsidRPr="009E6B3C">
        <w:rPr>
          <w:rFonts w:ascii="Arial" w:hAnsi="Arial" w:cs="Arial"/>
          <w:sz w:val="20"/>
          <w:szCs w:val="20"/>
          <w:lang w:val="en-US"/>
        </w:rPr>
        <w:t xml:space="preserve"> make recommendations on the future allocation of resources, having assessed service delivery performance to date; evaluated the effective and efficient use of the resources already allocated; and considered the planned forward allocation of resources. </w:t>
      </w:r>
    </w:p>
    <w:p w:rsidR="00A67E16" w:rsidRPr="009E6B3C" w:rsidRDefault="00A67E16" w:rsidP="009E6B3C">
      <w:pPr>
        <w:ind w:left="709"/>
        <w:rPr>
          <w:rFonts w:ascii="Arial" w:hAnsi="Arial" w:cs="Arial"/>
          <w:sz w:val="20"/>
          <w:szCs w:val="20"/>
          <w:lang w:val="en-US"/>
        </w:rPr>
      </w:pPr>
    </w:p>
    <w:p w:rsidR="008D28AC" w:rsidRPr="009E6B3C" w:rsidRDefault="00D85689" w:rsidP="009E6B3C">
      <w:pPr>
        <w:numPr>
          <w:ilvl w:val="1"/>
          <w:numId w:val="3"/>
        </w:numPr>
        <w:ind w:left="851" w:hanging="851"/>
        <w:rPr>
          <w:rFonts w:ascii="Arial" w:hAnsi="Arial" w:cs="Arial"/>
          <w:sz w:val="20"/>
          <w:szCs w:val="20"/>
          <w:lang w:val="en-US"/>
        </w:rPr>
      </w:pPr>
      <w:r w:rsidRPr="009E6B3C">
        <w:rPr>
          <w:rFonts w:ascii="Arial" w:hAnsi="Arial" w:cs="Arial"/>
          <w:sz w:val="20"/>
          <w:szCs w:val="20"/>
        </w:rPr>
        <w:t>T</w:t>
      </w:r>
      <w:r w:rsidR="00136EEB" w:rsidRPr="009E6B3C">
        <w:rPr>
          <w:rFonts w:ascii="Arial" w:hAnsi="Arial" w:cs="Arial"/>
          <w:sz w:val="20"/>
          <w:szCs w:val="20"/>
          <w:lang w:val="en-US"/>
        </w:rPr>
        <w:t xml:space="preserve">he </w:t>
      </w:r>
      <w:r w:rsidR="008D28AC" w:rsidRPr="009E6B3C">
        <w:rPr>
          <w:rFonts w:ascii="Arial" w:hAnsi="Arial" w:cs="Arial"/>
          <w:sz w:val="20"/>
          <w:szCs w:val="20"/>
          <w:lang w:val="en-US"/>
        </w:rPr>
        <w:t>Committee was briefed by</w:t>
      </w:r>
      <w:r w:rsidR="007A0C1F" w:rsidRPr="009E6B3C">
        <w:rPr>
          <w:rFonts w:ascii="Arial" w:hAnsi="Arial" w:cs="Arial"/>
          <w:sz w:val="20"/>
          <w:szCs w:val="20"/>
          <w:lang w:val="en-US"/>
        </w:rPr>
        <w:t xml:space="preserve"> the</w:t>
      </w:r>
      <w:r w:rsidR="008D28AC" w:rsidRPr="009E6B3C">
        <w:rPr>
          <w:rFonts w:ascii="Arial" w:hAnsi="Arial" w:cs="Arial"/>
          <w:sz w:val="20"/>
          <w:szCs w:val="20"/>
          <w:lang w:val="en-US"/>
        </w:rPr>
        <w:t xml:space="preserve">: </w:t>
      </w:r>
    </w:p>
    <w:p w:rsidR="00C664D6" w:rsidRPr="009E6B3C" w:rsidRDefault="00CC0781"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Auditor-</w:t>
      </w:r>
      <w:r w:rsidR="00C664D6" w:rsidRPr="009E6B3C">
        <w:rPr>
          <w:rFonts w:ascii="Arial" w:hAnsi="Arial" w:cs="Arial"/>
          <w:sz w:val="20"/>
          <w:szCs w:val="20"/>
          <w:lang w:val="en-US"/>
        </w:rPr>
        <w:t xml:space="preserve">General South Africa on the audit outcomes for Vote 25: Justice and Constitutional Development on 12 October 2022. </w:t>
      </w:r>
    </w:p>
    <w:p w:rsidR="00C664D6" w:rsidRPr="009E6B3C" w:rsidRDefault="00C664D6"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Legal Aid South Africa (Legal Aid SA) on 12 October 2022.</w:t>
      </w:r>
    </w:p>
    <w:p w:rsidR="00C664D6" w:rsidRPr="009E6B3C" w:rsidRDefault="00C664D6"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Information Regulator on 12 October 2022.</w:t>
      </w:r>
    </w:p>
    <w:p w:rsidR="00136EEB" w:rsidRPr="009E6B3C" w:rsidRDefault="00136EEB"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Minister of Justice and Correctional Services</w:t>
      </w:r>
      <w:r w:rsidR="008D28AC" w:rsidRPr="009E6B3C">
        <w:rPr>
          <w:rFonts w:ascii="Arial" w:hAnsi="Arial" w:cs="Arial"/>
          <w:sz w:val="20"/>
          <w:szCs w:val="20"/>
          <w:lang w:val="en-US"/>
        </w:rPr>
        <w:t xml:space="preserve">, who </w:t>
      </w:r>
      <w:r w:rsidR="00D85689" w:rsidRPr="009E6B3C">
        <w:rPr>
          <w:rFonts w:ascii="Arial" w:hAnsi="Arial" w:cs="Arial"/>
          <w:sz w:val="20"/>
          <w:szCs w:val="20"/>
          <w:lang w:val="en-US"/>
        </w:rPr>
        <w:t xml:space="preserve">provided a political overview of </w:t>
      </w:r>
      <w:r w:rsidR="009B58F0" w:rsidRPr="009E6B3C">
        <w:rPr>
          <w:rFonts w:ascii="Arial" w:hAnsi="Arial" w:cs="Arial"/>
          <w:sz w:val="20"/>
          <w:szCs w:val="20"/>
          <w:lang w:val="en-US"/>
        </w:rPr>
        <w:t xml:space="preserve">Vote </w:t>
      </w:r>
      <w:r w:rsidR="00D85689" w:rsidRPr="009E6B3C">
        <w:rPr>
          <w:rFonts w:ascii="Arial" w:hAnsi="Arial" w:cs="Arial"/>
          <w:sz w:val="20"/>
          <w:szCs w:val="20"/>
          <w:lang w:val="en-US"/>
        </w:rPr>
        <w:t>performance</w:t>
      </w:r>
      <w:r w:rsidR="008D28AC" w:rsidRPr="009E6B3C">
        <w:rPr>
          <w:rFonts w:ascii="Arial" w:hAnsi="Arial" w:cs="Arial"/>
          <w:sz w:val="20"/>
          <w:szCs w:val="20"/>
          <w:lang w:val="en-US"/>
        </w:rPr>
        <w:t>,</w:t>
      </w:r>
      <w:r w:rsidRPr="009E6B3C">
        <w:rPr>
          <w:rFonts w:ascii="Arial" w:hAnsi="Arial" w:cs="Arial"/>
          <w:sz w:val="20"/>
          <w:szCs w:val="20"/>
          <w:lang w:val="en-US"/>
        </w:rPr>
        <w:t xml:space="preserve"> on</w:t>
      </w:r>
      <w:r w:rsidR="008D28AC" w:rsidRPr="009E6B3C">
        <w:rPr>
          <w:rFonts w:ascii="Arial" w:hAnsi="Arial" w:cs="Arial"/>
          <w:sz w:val="20"/>
          <w:szCs w:val="20"/>
          <w:lang w:val="en-US"/>
        </w:rPr>
        <w:t xml:space="preserve"> </w:t>
      </w:r>
      <w:r w:rsidR="00C664D6" w:rsidRPr="009E6B3C">
        <w:rPr>
          <w:rFonts w:ascii="Arial" w:hAnsi="Arial" w:cs="Arial"/>
          <w:sz w:val="20"/>
          <w:szCs w:val="20"/>
          <w:lang w:val="en-US"/>
        </w:rPr>
        <w:t>13 October 2022</w:t>
      </w:r>
      <w:r w:rsidRPr="009E6B3C">
        <w:rPr>
          <w:rFonts w:ascii="Arial" w:hAnsi="Arial" w:cs="Arial"/>
          <w:sz w:val="20"/>
          <w:szCs w:val="20"/>
          <w:lang w:val="en-US"/>
        </w:rPr>
        <w:t>.</w:t>
      </w:r>
    </w:p>
    <w:p w:rsidR="00C664D6" w:rsidRPr="009E6B3C" w:rsidRDefault="00136EEB"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 xml:space="preserve">Department of Justice and Constitutional Development </w:t>
      </w:r>
      <w:r w:rsidR="00134452" w:rsidRPr="009E6B3C">
        <w:rPr>
          <w:rFonts w:ascii="Arial" w:hAnsi="Arial" w:cs="Arial"/>
          <w:sz w:val="20"/>
          <w:szCs w:val="20"/>
          <w:lang w:val="en-US"/>
        </w:rPr>
        <w:t xml:space="preserve">(the Department) </w:t>
      </w:r>
      <w:r w:rsidR="00C664D6" w:rsidRPr="009E6B3C">
        <w:rPr>
          <w:rFonts w:ascii="Arial" w:hAnsi="Arial" w:cs="Arial"/>
          <w:sz w:val="20"/>
          <w:szCs w:val="20"/>
          <w:lang w:val="en-US"/>
        </w:rPr>
        <w:t>on 14 October 2022.</w:t>
      </w:r>
    </w:p>
    <w:p w:rsidR="008D28AC" w:rsidRPr="009E6B3C" w:rsidRDefault="008D28AC"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 xml:space="preserve">Special Investigating Unit </w:t>
      </w:r>
      <w:r w:rsidR="00134452" w:rsidRPr="009E6B3C">
        <w:rPr>
          <w:rFonts w:ascii="Arial" w:hAnsi="Arial" w:cs="Arial"/>
          <w:sz w:val="20"/>
          <w:szCs w:val="20"/>
          <w:lang w:val="en-US"/>
        </w:rPr>
        <w:t xml:space="preserve">(SIU) </w:t>
      </w:r>
      <w:r w:rsidRPr="009E6B3C">
        <w:rPr>
          <w:rFonts w:ascii="Arial" w:hAnsi="Arial" w:cs="Arial"/>
          <w:sz w:val="20"/>
          <w:szCs w:val="20"/>
          <w:lang w:val="en-US"/>
        </w:rPr>
        <w:t>on</w:t>
      </w:r>
      <w:r w:rsidR="00C4656B" w:rsidRPr="009E6B3C">
        <w:rPr>
          <w:rFonts w:ascii="Arial" w:hAnsi="Arial" w:cs="Arial"/>
          <w:sz w:val="20"/>
          <w:szCs w:val="20"/>
          <w:lang w:val="en-US"/>
        </w:rPr>
        <w:t xml:space="preserve"> 18 October 2022</w:t>
      </w:r>
      <w:r w:rsidR="0003153F" w:rsidRPr="009E6B3C">
        <w:rPr>
          <w:rFonts w:ascii="Arial" w:hAnsi="Arial" w:cs="Arial"/>
          <w:sz w:val="20"/>
          <w:szCs w:val="20"/>
          <w:lang w:val="en-US"/>
        </w:rPr>
        <w:t>.</w:t>
      </w:r>
    </w:p>
    <w:p w:rsidR="00245773" w:rsidRPr="009E6B3C" w:rsidRDefault="00245773"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South African Human Rights Commission (SAHRC) on 19 October 2022.</w:t>
      </w:r>
    </w:p>
    <w:p w:rsidR="008D28AC" w:rsidRPr="009E6B3C" w:rsidRDefault="008D28AC"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Public Protector South Africa</w:t>
      </w:r>
      <w:r w:rsidR="00134452" w:rsidRPr="009E6B3C">
        <w:rPr>
          <w:rFonts w:ascii="Arial" w:hAnsi="Arial" w:cs="Arial"/>
          <w:sz w:val="20"/>
          <w:szCs w:val="20"/>
          <w:lang w:val="en-US"/>
        </w:rPr>
        <w:t xml:space="preserve"> (PPSA) </w:t>
      </w:r>
      <w:r w:rsidRPr="009E6B3C">
        <w:rPr>
          <w:rFonts w:ascii="Arial" w:hAnsi="Arial" w:cs="Arial"/>
          <w:sz w:val="20"/>
          <w:szCs w:val="20"/>
          <w:lang w:val="en-US"/>
        </w:rPr>
        <w:t xml:space="preserve">on </w:t>
      </w:r>
      <w:r w:rsidR="00C4656B" w:rsidRPr="009E6B3C">
        <w:rPr>
          <w:rFonts w:ascii="Arial" w:hAnsi="Arial" w:cs="Arial"/>
          <w:sz w:val="20"/>
          <w:szCs w:val="20"/>
          <w:lang w:val="en-US"/>
        </w:rPr>
        <w:t>20 October 2022</w:t>
      </w:r>
    </w:p>
    <w:p w:rsidR="00C664D6" w:rsidRPr="009E6B3C" w:rsidRDefault="00C664D6"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National Prosecuting Authority (NPA) on 25 October 2022.</w:t>
      </w:r>
    </w:p>
    <w:p w:rsidR="00136EEB" w:rsidRPr="009E6B3C" w:rsidRDefault="00136EEB" w:rsidP="009E6B3C">
      <w:pPr>
        <w:pStyle w:val="ListParagraph"/>
        <w:rPr>
          <w:rFonts w:ascii="Arial" w:hAnsi="Arial" w:cs="Arial"/>
          <w:sz w:val="20"/>
          <w:szCs w:val="20"/>
          <w:lang w:val="en-US"/>
        </w:rPr>
      </w:pPr>
    </w:p>
    <w:p w:rsidR="00136EEB" w:rsidRPr="009E6B3C" w:rsidRDefault="0003153F" w:rsidP="009E6B3C">
      <w:pPr>
        <w:numPr>
          <w:ilvl w:val="1"/>
          <w:numId w:val="3"/>
        </w:numPr>
        <w:ind w:left="851" w:hanging="851"/>
        <w:rPr>
          <w:rFonts w:ascii="Arial" w:hAnsi="Arial" w:cs="Arial"/>
          <w:sz w:val="20"/>
          <w:szCs w:val="20"/>
          <w:lang w:val="en-US"/>
        </w:rPr>
      </w:pPr>
      <w:r w:rsidRPr="009E6B3C">
        <w:rPr>
          <w:rFonts w:ascii="Arial" w:hAnsi="Arial" w:cs="Arial"/>
          <w:sz w:val="20"/>
          <w:szCs w:val="20"/>
          <w:lang w:val="en-US"/>
        </w:rPr>
        <w:t xml:space="preserve">Copies of all the presentations </w:t>
      </w:r>
      <w:r w:rsidR="00136EEB" w:rsidRPr="009E6B3C">
        <w:rPr>
          <w:rFonts w:ascii="Arial" w:hAnsi="Arial" w:cs="Arial"/>
          <w:sz w:val="20"/>
          <w:szCs w:val="20"/>
          <w:lang w:val="en-US"/>
        </w:rPr>
        <w:t xml:space="preserve">are available from the committee secretariat. </w:t>
      </w:r>
    </w:p>
    <w:p w:rsidR="00136EEB" w:rsidRPr="009E6B3C" w:rsidRDefault="00136EEB" w:rsidP="009E6B3C">
      <w:pPr>
        <w:tabs>
          <w:tab w:val="num" w:pos="2520"/>
        </w:tabs>
        <w:rPr>
          <w:rFonts w:ascii="Arial" w:hAnsi="Arial" w:cs="Arial"/>
          <w:sz w:val="20"/>
          <w:szCs w:val="20"/>
        </w:rPr>
      </w:pPr>
    </w:p>
    <w:p w:rsidR="001E455B" w:rsidRPr="009E6B3C" w:rsidRDefault="001E455B" w:rsidP="009E6B3C">
      <w:pPr>
        <w:rPr>
          <w:rFonts w:ascii="Arial" w:hAnsi="Arial" w:cs="Arial"/>
          <w:sz w:val="20"/>
          <w:szCs w:val="20"/>
          <w:lang w:val="en-US"/>
        </w:rPr>
      </w:pPr>
    </w:p>
    <w:p w:rsidR="008B5CFB" w:rsidRPr="009E6B3C" w:rsidRDefault="001E455B" w:rsidP="009E6B3C">
      <w:pPr>
        <w:numPr>
          <w:ilvl w:val="0"/>
          <w:numId w:val="1"/>
        </w:numPr>
        <w:tabs>
          <w:tab w:val="num" w:pos="851"/>
        </w:tabs>
        <w:autoSpaceDE w:val="0"/>
        <w:autoSpaceDN w:val="0"/>
        <w:adjustRightInd w:val="0"/>
        <w:ind w:left="851" w:hanging="851"/>
        <w:rPr>
          <w:rFonts w:ascii="Arial" w:hAnsi="Arial" w:cs="Arial"/>
          <w:b/>
          <w:sz w:val="20"/>
          <w:szCs w:val="20"/>
        </w:rPr>
      </w:pPr>
      <w:r w:rsidRPr="009E6B3C">
        <w:rPr>
          <w:rFonts w:ascii="Arial" w:hAnsi="Arial" w:cs="Arial"/>
          <w:b/>
          <w:sz w:val="20"/>
          <w:szCs w:val="20"/>
        </w:rPr>
        <w:t>Mandate</w:t>
      </w:r>
    </w:p>
    <w:p w:rsidR="001E455B" w:rsidRPr="009E6B3C" w:rsidRDefault="001E455B" w:rsidP="009E6B3C">
      <w:pPr>
        <w:rPr>
          <w:rFonts w:ascii="Arial" w:hAnsi="Arial" w:cs="Arial"/>
          <w:sz w:val="20"/>
          <w:szCs w:val="20"/>
          <w:lang w:val="en-US"/>
        </w:rPr>
      </w:pPr>
    </w:p>
    <w:p w:rsidR="001E455B" w:rsidRPr="009E6B3C" w:rsidRDefault="001E455B" w:rsidP="009E6B3C">
      <w:pPr>
        <w:pStyle w:val="ListParagraph"/>
        <w:numPr>
          <w:ilvl w:val="1"/>
          <w:numId w:val="42"/>
        </w:numPr>
        <w:ind w:left="851" w:hanging="851"/>
        <w:rPr>
          <w:rFonts w:ascii="Arial" w:hAnsi="Arial" w:cs="Arial"/>
          <w:sz w:val="20"/>
          <w:szCs w:val="20"/>
        </w:rPr>
      </w:pPr>
      <w:r w:rsidRPr="009E6B3C">
        <w:rPr>
          <w:rFonts w:ascii="Arial" w:hAnsi="Arial" w:cs="Arial"/>
          <w:sz w:val="20"/>
          <w:szCs w:val="20"/>
        </w:rPr>
        <w:t xml:space="preserve">The Committee oversees the Department of Justice and Constitutional Development (the Department) and other entities and institutions that receive their allocation under the Justice and Constitutional Development Vote (Vote 25). These include the </w:t>
      </w:r>
      <w:r w:rsidR="008D28AC" w:rsidRPr="009E6B3C">
        <w:rPr>
          <w:rFonts w:ascii="Arial" w:hAnsi="Arial" w:cs="Arial"/>
          <w:sz w:val="20"/>
          <w:szCs w:val="20"/>
        </w:rPr>
        <w:t xml:space="preserve">Information Regulator, </w:t>
      </w:r>
      <w:r w:rsidRPr="009E6B3C">
        <w:rPr>
          <w:rFonts w:ascii="Arial" w:hAnsi="Arial" w:cs="Arial"/>
          <w:sz w:val="20"/>
          <w:szCs w:val="20"/>
        </w:rPr>
        <w:t>N</w:t>
      </w:r>
      <w:r w:rsidR="00134452" w:rsidRPr="009E6B3C">
        <w:rPr>
          <w:rFonts w:ascii="Arial" w:hAnsi="Arial" w:cs="Arial"/>
          <w:sz w:val="20"/>
          <w:szCs w:val="20"/>
        </w:rPr>
        <w:t>PA</w:t>
      </w:r>
      <w:r w:rsidRPr="009E6B3C">
        <w:rPr>
          <w:rFonts w:ascii="Arial" w:hAnsi="Arial" w:cs="Arial"/>
          <w:sz w:val="20"/>
          <w:szCs w:val="20"/>
        </w:rPr>
        <w:t>, Legal Aid S</w:t>
      </w:r>
      <w:r w:rsidR="00134452" w:rsidRPr="009E6B3C">
        <w:rPr>
          <w:rFonts w:ascii="Arial" w:hAnsi="Arial" w:cs="Arial"/>
          <w:sz w:val="20"/>
          <w:szCs w:val="20"/>
        </w:rPr>
        <w:t>A</w:t>
      </w:r>
      <w:r w:rsidRPr="009E6B3C">
        <w:rPr>
          <w:rFonts w:ascii="Arial" w:hAnsi="Arial" w:cs="Arial"/>
          <w:sz w:val="20"/>
          <w:szCs w:val="20"/>
        </w:rPr>
        <w:t xml:space="preserve"> and S</w:t>
      </w:r>
      <w:r w:rsidR="00134452" w:rsidRPr="009E6B3C">
        <w:rPr>
          <w:rFonts w:ascii="Arial" w:hAnsi="Arial" w:cs="Arial"/>
          <w:sz w:val="20"/>
          <w:szCs w:val="20"/>
        </w:rPr>
        <w:t>IU</w:t>
      </w:r>
      <w:r w:rsidRPr="009E6B3C">
        <w:rPr>
          <w:rFonts w:ascii="Arial" w:hAnsi="Arial" w:cs="Arial"/>
          <w:sz w:val="20"/>
          <w:szCs w:val="20"/>
        </w:rPr>
        <w:t>. The Vo</w:t>
      </w:r>
      <w:r w:rsidR="00203D92" w:rsidRPr="009E6B3C">
        <w:rPr>
          <w:rFonts w:ascii="Arial" w:hAnsi="Arial" w:cs="Arial"/>
          <w:sz w:val="20"/>
          <w:szCs w:val="20"/>
        </w:rPr>
        <w:t xml:space="preserve">te also contains the allocations </w:t>
      </w:r>
      <w:r w:rsidRPr="009E6B3C">
        <w:rPr>
          <w:rFonts w:ascii="Arial" w:hAnsi="Arial" w:cs="Arial"/>
          <w:sz w:val="20"/>
          <w:szCs w:val="20"/>
        </w:rPr>
        <w:t>to the S</w:t>
      </w:r>
      <w:r w:rsidR="00134452" w:rsidRPr="009E6B3C">
        <w:rPr>
          <w:rFonts w:ascii="Arial" w:hAnsi="Arial" w:cs="Arial"/>
          <w:sz w:val="20"/>
          <w:szCs w:val="20"/>
        </w:rPr>
        <w:t xml:space="preserve">AHRC </w:t>
      </w:r>
      <w:r w:rsidRPr="009E6B3C">
        <w:rPr>
          <w:rFonts w:ascii="Arial" w:hAnsi="Arial" w:cs="Arial"/>
          <w:sz w:val="20"/>
          <w:szCs w:val="20"/>
        </w:rPr>
        <w:t xml:space="preserve">and </w:t>
      </w:r>
      <w:r w:rsidR="00134452" w:rsidRPr="009E6B3C">
        <w:rPr>
          <w:rFonts w:ascii="Arial" w:hAnsi="Arial" w:cs="Arial"/>
          <w:sz w:val="20"/>
          <w:szCs w:val="20"/>
        </w:rPr>
        <w:t>PPSA</w:t>
      </w:r>
      <w:r w:rsidRPr="009E6B3C">
        <w:rPr>
          <w:rFonts w:ascii="Arial" w:hAnsi="Arial" w:cs="Arial"/>
          <w:sz w:val="20"/>
          <w:szCs w:val="20"/>
        </w:rPr>
        <w:t xml:space="preserve">, both </w:t>
      </w:r>
      <w:r w:rsidRPr="009E6B3C">
        <w:rPr>
          <w:rFonts w:ascii="Arial" w:hAnsi="Arial" w:cs="Arial"/>
          <w:sz w:val="20"/>
          <w:szCs w:val="20"/>
        </w:rPr>
        <w:lastRenderedPageBreak/>
        <w:t xml:space="preserve">established in Chapter 9 of the Constitution as State Institutions Supporting Constitutional </w:t>
      </w:r>
      <w:r w:rsidR="004F668D" w:rsidRPr="009E6B3C">
        <w:rPr>
          <w:rFonts w:ascii="Arial" w:hAnsi="Arial" w:cs="Arial"/>
          <w:sz w:val="20"/>
          <w:szCs w:val="20"/>
        </w:rPr>
        <w:t>Democracy.</w:t>
      </w:r>
    </w:p>
    <w:p w:rsidR="001E455B" w:rsidRPr="009E6B3C" w:rsidRDefault="001E455B" w:rsidP="009E6B3C">
      <w:pPr>
        <w:ind w:left="851"/>
        <w:rPr>
          <w:rFonts w:ascii="Arial" w:hAnsi="Arial" w:cs="Arial"/>
          <w:sz w:val="20"/>
          <w:szCs w:val="20"/>
        </w:rPr>
      </w:pPr>
    </w:p>
    <w:p w:rsidR="00624470" w:rsidRPr="009E6B3C" w:rsidRDefault="00CC0781" w:rsidP="009E6B3C">
      <w:pPr>
        <w:pStyle w:val="ListParagraph"/>
        <w:numPr>
          <w:ilvl w:val="1"/>
          <w:numId w:val="42"/>
        </w:numPr>
        <w:ind w:left="851" w:hanging="851"/>
        <w:rPr>
          <w:rFonts w:ascii="Arial" w:hAnsi="Arial" w:cs="Arial"/>
          <w:sz w:val="20"/>
          <w:szCs w:val="20"/>
        </w:rPr>
      </w:pPr>
      <w:r w:rsidRPr="009E6B3C">
        <w:rPr>
          <w:rFonts w:ascii="Arial" w:hAnsi="Arial" w:cs="Arial"/>
          <w:sz w:val="20"/>
          <w:szCs w:val="20"/>
        </w:rPr>
        <w:t>Vote 25 Justice and Constitutional Development contain</w:t>
      </w:r>
      <w:r w:rsidR="00245773" w:rsidRPr="009E6B3C">
        <w:rPr>
          <w:rFonts w:ascii="Arial" w:hAnsi="Arial" w:cs="Arial"/>
          <w:sz w:val="20"/>
          <w:szCs w:val="20"/>
        </w:rPr>
        <w:t>s</w:t>
      </w:r>
      <w:r w:rsidRPr="009E6B3C">
        <w:rPr>
          <w:rFonts w:ascii="Arial" w:hAnsi="Arial" w:cs="Arial"/>
          <w:sz w:val="20"/>
          <w:szCs w:val="20"/>
        </w:rPr>
        <w:t xml:space="preserve"> five programmes. </w:t>
      </w:r>
      <w:r w:rsidR="00E14136" w:rsidRPr="009E6B3C">
        <w:rPr>
          <w:rFonts w:ascii="Arial" w:hAnsi="Arial" w:cs="Arial"/>
          <w:sz w:val="20"/>
          <w:szCs w:val="20"/>
        </w:rPr>
        <w:t>The Department is directly responsible for the Administration, Court Services</w:t>
      </w:r>
      <w:r w:rsidR="007D42EC" w:rsidRPr="009E6B3C">
        <w:rPr>
          <w:rFonts w:ascii="Arial" w:hAnsi="Arial" w:cs="Arial"/>
          <w:sz w:val="20"/>
          <w:szCs w:val="20"/>
        </w:rPr>
        <w:t xml:space="preserve"> and</w:t>
      </w:r>
      <w:r w:rsidR="007D42EC" w:rsidRPr="009E6B3C">
        <w:rPr>
          <w:rFonts w:ascii="Arial" w:hAnsi="Arial" w:cs="Arial"/>
          <w:sz w:val="20"/>
          <w:szCs w:val="20"/>
          <w:lang w:val="en-US"/>
        </w:rPr>
        <w:t xml:space="preserve"> </w:t>
      </w:r>
      <w:r w:rsidR="00E14136" w:rsidRPr="009E6B3C">
        <w:rPr>
          <w:rFonts w:ascii="Arial" w:hAnsi="Arial" w:cs="Arial"/>
          <w:sz w:val="20"/>
          <w:szCs w:val="20"/>
          <w:lang w:val="en-US"/>
        </w:rPr>
        <w:t>State Legal Services</w:t>
      </w:r>
      <w:r w:rsidR="008A324B" w:rsidRPr="009E6B3C">
        <w:rPr>
          <w:rFonts w:ascii="Arial" w:hAnsi="Arial" w:cs="Arial"/>
          <w:sz w:val="20"/>
          <w:szCs w:val="20"/>
          <w:lang w:val="en-US"/>
        </w:rPr>
        <w:t xml:space="preserve"> programmes, as well as the Justice Modernisation </w:t>
      </w:r>
      <w:r w:rsidR="00AF20E0" w:rsidRPr="009E6B3C">
        <w:rPr>
          <w:rFonts w:ascii="Arial" w:hAnsi="Arial" w:cs="Arial"/>
          <w:sz w:val="20"/>
          <w:szCs w:val="20"/>
          <w:lang w:val="en-US"/>
        </w:rPr>
        <w:t>sub-programme</w:t>
      </w:r>
      <w:r w:rsidR="008A324B" w:rsidRPr="009E6B3C">
        <w:rPr>
          <w:rFonts w:ascii="Arial" w:hAnsi="Arial" w:cs="Arial"/>
          <w:sz w:val="20"/>
          <w:szCs w:val="20"/>
          <w:lang w:val="en-US"/>
        </w:rPr>
        <w:t xml:space="preserve"> found under Programme 5: Auxiliary and Associated Services. </w:t>
      </w:r>
    </w:p>
    <w:p w:rsidR="00624470" w:rsidRPr="009E6B3C" w:rsidRDefault="00624470" w:rsidP="009E6B3C">
      <w:pPr>
        <w:autoSpaceDE w:val="0"/>
        <w:autoSpaceDN w:val="0"/>
        <w:adjustRightInd w:val="0"/>
        <w:ind w:left="851"/>
        <w:rPr>
          <w:rFonts w:ascii="Arial" w:hAnsi="Arial" w:cs="Arial"/>
          <w:sz w:val="20"/>
          <w:szCs w:val="20"/>
        </w:rPr>
      </w:pPr>
    </w:p>
    <w:p w:rsidR="00BE7B9C" w:rsidRPr="009E6B3C" w:rsidRDefault="00624470" w:rsidP="009E6B3C">
      <w:pPr>
        <w:pStyle w:val="ListParagraph"/>
        <w:numPr>
          <w:ilvl w:val="1"/>
          <w:numId w:val="42"/>
        </w:numPr>
        <w:ind w:left="851" w:hanging="851"/>
        <w:rPr>
          <w:rFonts w:ascii="Arial" w:hAnsi="Arial" w:cs="Arial"/>
          <w:sz w:val="20"/>
          <w:szCs w:val="20"/>
        </w:rPr>
      </w:pPr>
      <w:r w:rsidRPr="009E6B3C">
        <w:rPr>
          <w:rFonts w:ascii="Arial" w:hAnsi="Arial" w:cs="Arial"/>
          <w:sz w:val="20"/>
          <w:szCs w:val="20"/>
        </w:rPr>
        <w:t>F</w:t>
      </w:r>
      <w:r w:rsidR="00BE7B9C" w:rsidRPr="009E6B3C">
        <w:rPr>
          <w:rFonts w:ascii="Arial" w:hAnsi="Arial" w:cs="Arial"/>
          <w:sz w:val="20"/>
          <w:szCs w:val="20"/>
        </w:rPr>
        <w:t>or</w:t>
      </w:r>
      <w:r w:rsidR="00BE7B9C" w:rsidRPr="009E6B3C">
        <w:rPr>
          <w:rFonts w:ascii="Arial" w:hAnsi="Arial" w:cs="Arial"/>
          <w:sz w:val="20"/>
          <w:szCs w:val="20"/>
          <w:lang w:val="en-US"/>
        </w:rPr>
        <w:t xml:space="preserve"> 2021/22, </w:t>
      </w:r>
      <w:r w:rsidR="008A324B" w:rsidRPr="009E6B3C">
        <w:rPr>
          <w:rFonts w:ascii="Arial" w:hAnsi="Arial" w:cs="Arial"/>
          <w:sz w:val="20"/>
          <w:szCs w:val="20"/>
          <w:lang w:val="en-US"/>
        </w:rPr>
        <w:t xml:space="preserve">funding for the Information Regulator </w:t>
      </w:r>
      <w:r w:rsidR="00CC0781" w:rsidRPr="009E6B3C">
        <w:rPr>
          <w:rFonts w:ascii="Arial" w:hAnsi="Arial" w:cs="Arial"/>
          <w:sz w:val="20"/>
          <w:szCs w:val="20"/>
          <w:lang w:val="en-US"/>
        </w:rPr>
        <w:t xml:space="preserve">was </w:t>
      </w:r>
      <w:r w:rsidR="00BE7B9C" w:rsidRPr="009E6B3C">
        <w:rPr>
          <w:rFonts w:ascii="Arial" w:hAnsi="Arial" w:cs="Arial"/>
          <w:sz w:val="20"/>
          <w:szCs w:val="20"/>
          <w:lang w:val="en-US"/>
        </w:rPr>
        <w:t xml:space="preserve">ring-fenced </w:t>
      </w:r>
      <w:r w:rsidR="008A324B" w:rsidRPr="009E6B3C">
        <w:rPr>
          <w:rFonts w:ascii="Arial" w:hAnsi="Arial" w:cs="Arial"/>
          <w:sz w:val="20"/>
          <w:szCs w:val="20"/>
          <w:lang w:val="en-US"/>
        </w:rPr>
        <w:t>under Pr</w:t>
      </w:r>
      <w:r w:rsidR="00BE7B9C" w:rsidRPr="009E6B3C">
        <w:rPr>
          <w:rFonts w:ascii="Arial" w:hAnsi="Arial" w:cs="Arial"/>
          <w:sz w:val="20"/>
          <w:szCs w:val="20"/>
          <w:lang w:val="en-US"/>
        </w:rPr>
        <w:t xml:space="preserve">ogramme 3: State Legal Services but, </w:t>
      </w:r>
      <w:r w:rsidR="00BE7B9C" w:rsidRPr="009E6B3C">
        <w:rPr>
          <w:rFonts w:ascii="Arial" w:hAnsi="Arial" w:cs="Arial"/>
          <w:sz w:val="20"/>
          <w:szCs w:val="20"/>
        </w:rPr>
        <w:t xml:space="preserve">as from 2022/23, the Regulator is listed under the </w:t>
      </w:r>
      <w:r w:rsidR="00CC0781" w:rsidRPr="009E6B3C">
        <w:rPr>
          <w:rFonts w:ascii="Arial" w:hAnsi="Arial" w:cs="Arial"/>
          <w:sz w:val="20"/>
          <w:szCs w:val="20"/>
        </w:rPr>
        <w:t xml:space="preserve">Programme 5: </w:t>
      </w:r>
      <w:r w:rsidR="00BE7B9C" w:rsidRPr="009E6B3C">
        <w:rPr>
          <w:rFonts w:ascii="Arial" w:hAnsi="Arial" w:cs="Arial"/>
          <w:sz w:val="20"/>
          <w:szCs w:val="20"/>
        </w:rPr>
        <w:t>As</w:t>
      </w:r>
      <w:r w:rsidR="00CC0781" w:rsidRPr="009E6B3C">
        <w:rPr>
          <w:rFonts w:ascii="Arial" w:hAnsi="Arial" w:cs="Arial"/>
          <w:sz w:val="20"/>
          <w:szCs w:val="20"/>
        </w:rPr>
        <w:t xml:space="preserve">sociated and Auxiliary Services, </w:t>
      </w:r>
      <w:r w:rsidR="00BE7B9C" w:rsidRPr="009E6B3C">
        <w:rPr>
          <w:rFonts w:ascii="Arial" w:hAnsi="Arial" w:cs="Arial"/>
          <w:sz w:val="20"/>
          <w:szCs w:val="20"/>
        </w:rPr>
        <w:t xml:space="preserve">with other public </w:t>
      </w:r>
      <w:r w:rsidR="00245773" w:rsidRPr="009E6B3C">
        <w:rPr>
          <w:rFonts w:ascii="Arial" w:hAnsi="Arial" w:cs="Arial"/>
          <w:sz w:val="20"/>
          <w:szCs w:val="20"/>
        </w:rPr>
        <w:t xml:space="preserve">entities </w:t>
      </w:r>
      <w:r w:rsidR="00BE7B9C" w:rsidRPr="009E6B3C">
        <w:rPr>
          <w:rFonts w:ascii="Arial" w:hAnsi="Arial" w:cs="Arial"/>
          <w:sz w:val="20"/>
          <w:szCs w:val="20"/>
        </w:rPr>
        <w:t xml:space="preserve">and constitutional </w:t>
      </w:r>
      <w:r w:rsidR="00245773" w:rsidRPr="009E6B3C">
        <w:rPr>
          <w:rFonts w:ascii="Arial" w:hAnsi="Arial" w:cs="Arial"/>
          <w:sz w:val="20"/>
          <w:szCs w:val="20"/>
        </w:rPr>
        <w:t xml:space="preserve">institutions, namely </w:t>
      </w:r>
      <w:r w:rsidR="00BE7B9C" w:rsidRPr="009E6B3C">
        <w:rPr>
          <w:rFonts w:ascii="Arial" w:hAnsi="Arial" w:cs="Arial"/>
          <w:sz w:val="20"/>
          <w:szCs w:val="20"/>
        </w:rPr>
        <w:t>the SAHRC, PPSA, SIU and Legal Aid SA.</w:t>
      </w:r>
    </w:p>
    <w:p w:rsidR="008A324B" w:rsidRPr="009E6B3C" w:rsidRDefault="008A324B" w:rsidP="009E6B3C">
      <w:pPr>
        <w:ind w:left="862"/>
        <w:rPr>
          <w:rFonts w:ascii="Arial" w:hAnsi="Arial" w:cs="Arial"/>
          <w:sz w:val="20"/>
          <w:szCs w:val="20"/>
          <w:lang w:val="en-US"/>
        </w:rPr>
      </w:pPr>
    </w:p>
    <w:p w:rsidR="008A324B" w:rsidRPr="009E6B3C" w:rsidRDefault="000770E2" w:rsidP="009E6B3C">
      <w:pPr>
        <w:pStyle w:val="ListParagraph"/>
        <w:numPr>
          <w:ilvl w:val="1"/>
          <w:numId w:val="42"/>
        </w:numPr>
        <w:tabs>
          <w:tab w:val="num" w:pos="851"/>
        </w:tabs>
        <w:ind w:left="851" w:hanging="851"/>
        <w:rPr>
          <w:rFonts w:ascii="Arial" w:hAnsi="Arial" w:cs="Arial"/>
          <w:sz w:val="20"/>
          <w:szCs w:val="20"/>
          <w:lang w:val="en-US"/>
        </w:rPr>
      </w:pPr>
      <w:r w:rsidRPr="009E6B3C">
        <w:rPr>
          <w:rFonts w:ascii="Arial" w:hAnsi="Arial" w:cs="Arial"/>
          <w:sz w:val="20"/>
          <w:szCs w:val="20"/>
        </w:rPr>
        <w:t>The</w:t>
      </w:r>
      <w:r w:rsidRPr="009E6B3C">
        <w:rPr>
          <w:rFonts w:ascii="Arial" w:hAnsi="Arial" w:cs="Arial"/>
          <w:sz w:val="20"/>
          <w:szCs w:val="20"/>
          <w:lang w:val="en-US"/>
        </w:rPr>
        <w:t xml:space="preserve"> NPA appears </w:t>
      </w:r>
      <w:r w:rsidR="00245773" w:rsidRPr="009E6B3C">
        <w:rPr>
          <w:rFonts w:ascii="Arial" w:hAnsi="Arial" w:cs="Arial"/>
          <w:sz w:val="20"/>
          <w:szCs w:val="20"/>
          <w:lang w:val="en-US"/>
        </w:rPr>
        <w:t xml:space="preserve">under </w:t>
      </w:r>
      <w:r w:rsidRPr="009E6B3C">
        <w:rPr>
          <w:rFonts w:ascii="Arial" w:hAnsi="Arial" w:cs="Arial"/>
          <w:sz w:val="20"/>
          <w:szCs w:val="20"/>
          <w:lang w:val="en-US"/>
        </w:rPr>
        <w:t xml:space="preserve">Programme </w:t>
      </w:r>
      <w:r w:rsidR="00762159" w:rsidRPr="009E6B3C">
        <w:rPr>
          <w:rFonts w:ascii="Arial" w:hAnsi="Arial" w:cs="Arial"/>
          <w:sz w:val="20"/>
          <w:szCs w:val="20"/>
          <w:lang w:val="en-US"/>
        </w:rPr>
        <w:t>4</w:t>
      </w:r>
      <w:r w:rsidR="00245773" w:rsidRPr="009E6B3C">
        <w:rPr>
          <w:rFonts w:ascii="Arial" w:hAnsi="Arial" w:cs="Arial"/>
          <w:sz w:val="20"/>
          <w:szCs w:val="20"/>
          <w:lang w:val="en-US"/>
        </w:rPr>
        <w:t xml:space="preserve"> but </w:t>
      </w:r>
      <w:r w:rsidR="00772219" w:rsidRPr="009E6B3C">
        <w:rPr>
          <w:rFonts w:ascii="Arial" w:hAnsi="Arial" w:cs="Arial"/>
          <w:sz w:val="20"/>
          <w:szCs w:val="20"/>
        </w:rPr>
        <w:t xml:space="preserve">reports </w:t>
      </w:r>
      <w:r w:rsidR="00245773" w:rsidRPr="009E6B3C">
        <w:rPr>
          <w:rFonts w:ascii="Arial" w:hAnsi="Arial" w:cs="Arial"/>
          <w:sz w:val="20"/>
          <w:szCs w:val="20"/>
        </w:rPr>
        <w:t xml:space="preserve">to Parliament </w:t>
      </w:r>
      <w:r w:rsidR="00772219" w:rsidRPr="009E6B3C">
        <w:rPr>
          <w:rFonts w:ascii="Arial" w:hAnsi="Arial" w:cs="Arial"/>
          <w:sz w:val="20"/>
          <w:szCs w:val="20"/>
        </w:rPr>
        <w:t xml:space="preserve">under both the Public Finance Management Act, 1999, and the National Prosecuting Authority Act, 1998. </w:t>
      </w:r>
      <w:r w:rsidR="007F5FF5" w:rsidRPr="009E6B3C">
        <w:rPr>
          <w:rFonts w:ascii="Arial" w:hAnsi="Arial" w:cs="Arial"/>
          <w:sz w:val="20"/>
          <w:szCs w:val="20"/>
          <w:lang w:val="en-US"/>
        </w:rPr>
        <w:t>Both reports have formed part of the Committee’s assessment of performance.</w:t>
      </w:r>
    </w:p>
    <w:p w:rsidR="008A324B" w:rsidRPr="009E6B3C" w:rsidRDefault="008A324B" w:rsidP="009E6B3C">
      <w:pPr>
        <w:pStyle w:val="ListParagraph"/>
        <w:rPr>
          <w:rFonts w:ascii="Arial" w:hAnsi="Arial" w:cs="Arial"/>
          <w:sz w:val="20"/>
          <w:szCs w:val="20"/>
          <w:lang w:val="en-US"/>
        </w:rPr>
      </w:pPr>
    </w:p>
    <w:p w:rsidR="00E14136" w:rsidRPr="009E6B3C" w:rsidRDefault="00E14136" w:rsidP="009E6B3C">
      <w:pPr>
        <w:pStyle w:val="ListParagraph"/>
        <w:numPr>
          <w:ilvl w:val="1"/>
          <w:numId w:val="42"/>
        </w:numPr>
        <w:ind w:left="851" w:hanging="851"/>
        <w:rPr>
          <w:rFonts w:ascii="Arial" w:hAnsi="Arial" w:cs="Arial"/>
          <w:sz w:val="20"/>
          <w:szCs w:val="20"/>
          <w:lang w:val="en-US"/>
        </w:rPr>
      </w:pPr>
      <w:r w:rsidRPr="009E6B3C">
        <w:rPr>
          <w:rFonts w:ascii="Arial" w:hAnsi="Arial" w:cs="Arial"/>
          <w:sz w:val="20"/>
          <w:szCs w:val="20"/>
          <w:lang w:val="en-US"/>
        </w:rPr>
        <w:t>Programme 5 contains allocations to various auxiliary and associated services, including transfer payments to Legal Aid S</w:t>
      </w:r>
      <w:r w:rsidR="00134452" w:rsidRPr="009E6B3C">
        <w:rPr>
          <w:rFonts w:ascii="Arial" w:hAnsi="Arial" w:cs="Arial"/>
          <w:sz w:val="20"/>
          <w:szCs w:val="20"/>
          <w:lang w:val="en-US"/>
        </w:rPr>
        <w:t>A</w:t>
      </w:r>
      <w:r w:rsidR="000F1F5D" w:rsidRPr="009E6B3C">
        <w:rPr>
          <w:rFonts w:ascii="Arial" w:hAnsi="Arial" w:cs="Arial"/>
          <w:sz w:val="20"/>
          <w:szCs w:val="20"/>
          <w:lang w:val="en-US"/>
        </w:rPr>
        <w:t xml:space="preserve">, </w:t>
      </w:r>
      <w:r w:rsidRPr="009E6B3C">
        <w:rPr>
          <w:rFonts w:ascii="Arial" w:hAnsi="Arial" w:cs="Arial"/>
          <w:sz w:val="20"/>
          <w:szCs w:val="20"/>
          <w:lang w:val="en-US"/>
        </w:rPr>
        <w:t>the S</w:t>
      </w:r>
      <w:r w:rsidR="00134452" w:rsidRPr="009E6B3C">
        <w:rPr>
          <w:rFonts w:ascii="Arial" w:hAnsi="Arial" w:cs="Arial"/>
          <w:sz w:val="20"/>
          <w:szCs w:val="20"/>
          <w:lang w:val="en-US"/>
        </w:rPr>
        <w:t>IU</w:t>
      </w:r>
      <w:r w:rsidRPr="009E6B3C">
        <w:rPr>
          <w:rFonts w:ascii="Arial" w:hAnsi="Arial" w:cs="Arial"/>
          <w:sz w:val="20"/>
          <w:szCs w:val="20"/>
          <w:lang w:val="en-US"/>
        </w:rPr>
        <w:t>, the S</w:t>
      </w:r>
      <w:r w:rsidR="000F1F5D" w:rsidRPr="009E6B3C">
        <w:rPr>
          <w:rFonts w:ascii="Arial" w:hAnsi="Arial" w:cs="Arial"/>
          <w:sz w:val="20"/>
          <w:szCs w:val="20"/>
          <w:lang w:val="en-US"/>
        </w:rPr>
        <w:t>AHRC</w:t>
      </w:r>
      <w:r w:rsidRPr="009E6B3C">
        <w:rPr>
          <w:rFonts w:ascii="Arial" w:hAnsi="Arial" w:cs="Arial"/>
          <w:sz w:val="20"/>
          <w:szCs w:val="20"/>
          <w:lang w:val="en-US"/>
        </w:rPr>
        <w:t xml:space="preserve"> and the P</w:t>
      </w:r>
      <w:r w:rsidR="000F1F5D" w:rsidRPr="009E6B3C">
        <w:rPr>
          <w:rFonts w:ascii="Arial" w:hAnsi="Arial" w:cs="Arial"/>
          <w:sz w:val="20"/>
          <w:szCs w:val="20"/>
          <w:lang w:val="en-US"/>
        </w:rPr>
        <w:t>PSA.</w:t>
      </w:r>
    </w:p>
    <w:p w:rsidR="00136EEB" w:rsidRPr="009E6B3C" w:rsidRDefault="00136EEB" w:rsidP="009E6B3C">
      <w:pPr>
        <w:rPr>
          <w:rFonts w:ascii="Arial" w:hAnsi="Arial" w:cs="Arial"/>
          <w:sz w:val="20"/>
          <w:szCs w:val="20"/>
        </w:rPr>
      </w:pPr>
    </w:p>
    <w:p w:rsidR="00106280" w:rsidRPr="009E6B3C" w:rsidRDefault="00106280" w:rsidP="009E6B3C">
      <w:pPr>
        <w:rPr>
          <w:rFonts w:ascii="Arial" w:hAnsi="Arial" w:cs="Arial"/>
          <w:sz w:val="20"/>
          <w:szCs w:val="20"/>
        </w:rPr>
      </w:pPr>
    </w:p>
    <w:p w:rsidR="00106280" w:rsidRPr="009E6B3C" w:rsidRDefault="00106280" w:rsidP="009E6B3C">
      <w:pPr>
        <w:numPr>
          <w:ilvl w:val="0"/>
          <w:numId w:val="1"/>
        </w:numPr>
        <w:tabs>
          <w:tab w:val="num" w:pos="851"/>
        </w:tabs>
        <w:autoSpaceDE w:val="0"/>
        <w:autoSpaceDN w:val="0"/>
        <w:adjustRightInd w:val="0"/>
        <w:ind w:left="851" w:hanging="851"/>
        <w:rPr>
          <w:rFonts w:ascii="Arial" w:hAnsi="Arial" w:cs="Arial"/>
          <w:b/>
          <w:sz w:val="20"/>
          <w:szCs w:val="20"/>
        </w:rPr>
      </w:pPr>
      <w:r w:rsidRPr="009E6B3C">
        <w:rPr>
          <w:rFonts w:ascii="Arial" w:hAnsi="Arial" w:cs="Arial"/>
          <w:b/>
          <w:sz w:val="20"/>
          <w:szCs w:val="20"/>
        </w:rPr>
        <w:t xml:space="preserve">Overview of key policy </w:t>
      </w:r>
      <w:r w:rsidR="00F41FC7" w:rsidRPr="009E6B3C">
        <w:rPr>
          <w:rFonts w:ascii="Arial" w:hAnsi="Arial" w:cs="Arial"/>
          <w:b/>
          <w:sz w:val="20"/>
          <w:szCs w:val="20"/>
        </w:rPr>
        <w:t xml:space="preserve">and operational </w:t>
      </w:r>
      <w:r w:rsidRPr="009E6B3C">
        <w:rPr>
          <w:rFonts w:ascii="Arial" w:hAnsi="Arial" w:cs="Arial"/>
          <w:b/>
          <w:sz w:val="20"/>
          <w:szCs w:val="20"/>
        </w:rPr>
        <w:t>developments</w:t>
      </w:r>
    </w:p>
    <w:p w:rsidR="009A6057" w:rsidRPr="009E6B3C" w:rsidRDefault="009A6057" w:rsidP="009E6B3C">
      <w:pPr>
        <w:ind w:left="540"/>
        <w:rPr>
          <w:rFonts w:ascii="Arial" w:hAnsi="Arial" w:cs="Arial"/>
          <w:sz w:val="20"/>
          <w:szCs w:val="20"/>
          <w:lang w:val="en-US"/>
        </w:rPr>
      </w:pPr>
    </w:p>
    <w:p w:rsidR="00505B01" w:rsidRPr="009E6B3C" w:rsidRDefault="009A6057" w:rsidP="009E6B3C">
      <w:pPr>
        <w:pStyle w:val="ListParagraph"/>
        <w:numPr>
          <w:ilvl w:val="1"/>
          <w:numId w:val="11"/>
        </w:numPr>
        <w:ind w:left="851" w:hanging="851"/>
        <w:rPr>
          <w:rFonts w:ascii="Arial" w:hAnsi="Arial" w:cs="Arial"/>
          <w:b/>
          <w:bCs/>
          <w:i/>
          <w:sz w:val="20"/>
          <w:szCs w:val="20"/>
        </w:rPr>
      </w:pPr>
      <w:r w:rsidRPr="009E6B3C">
        <w:rPr>
          <w:rFonts w:ascii="Arial" w:hAnsi="Arial" w:cs="Arial"/>
          <w:b/>
          <w:i/>
          <w:sz w:val="20"/>
          <w:szCs w:val="20"/>
        </w:rPr>
        <w:t>Medium Term Strategic Framework (MTSF) 2019-2024</w:t>
      </w:r>
      <w:r w:rsidR="007F5FF5" w:rsidRPr="009E6B3C">
        <w:rPr>
          <w:rFonts w:ascii="Arial" w:hAnsi="Arial" w:cs="Arial"/>
          <w:b/>
          <w:i/>
          <w:sz w:val="20"/>
          <w:szCs w:val="20"/>
        </w:rPr>
        <w:t>, as revised</w:t>
      </w:r>
      <w:r w:rsidRPr="009E6B3C">
        <w:rPr>
          <w:rFonts w:ascii="Arial" w:hAnsi="Arial" w:cs="Arial"/>
          <w:b/>
          <w:i/>
          <w:sz w:val="20"/>
          <w:szCs w:val="20"/>
        </w:rPr>
        <w:t xml:space="preserve"> </w:t>
      </w:r>
    </w:p>
    <w:p w:rsidR="00505B01" w:rsidRPr="009E6B3C" w:rsidRDefault="00505B01" w:rsidP="009E6B3C">
      <w:pPr>
        <w:autoSpaceDE w:val="0"/>
        <w:autoSpaceDN w:val="0"/>
        <w:adjustRightInd w:val="0"/>
        <w:ind w:left="862"/>
        <w:rPr>
          <w:rFonts w:ascii="Arial" w:hAnsi="Arial" w:cs="Arial"/>
          <w:bCs/>
          <w:sz w:val="20"/>
          <w:szCs w:val="20"/>
        </w:rPr>
      </w:pPr>
    </w:p>
    <w:p w:rsidR="009A6057" w:rsidRPr="009E6B3C" w:rsidRDefault="00505B01" w:rsidP="009E6B3C">
      <w:pPr>
        <w:pStyle w:val="ListParagraph"/>
        <w:numPr>
          <w:ilvl w:val="2"/>
          <w:numId w:val="11"/>
        </w:numPr>
        <w:autoSpaceDE w:val="0"/>
        <w:autoSpaceDN w:val="0"/>
        <w:adjustRightInd w:val="0"/>
        <w:ind w:left="851" w:hanging="851"/>
        <w:rPr>
          <w:rFonts w:ascii="Arial" w:hAnsi="Arial" w:cs="Arial"/>
          <w:bCs/>
          <w:sz w:val="20"/>
          <w:szCs w:val="20"/>
        </w:rPr>
      </w:pPr>
      <w:r w:rsidRPr="009E6B3C">
        <w:rPr>
          <w:rFonts w:ascii="Arial" w:hAnsi="Arial" w:cs="Arial"/>
          <w:bCs/>
          <w:sz w:val="20"/>
          <w:szCs w:val="20"/>
        </w:rPr>
        <w:t xml:space="preserve">The MTSF </w:t>
      </w:r>
      <w:r w:rsidR="009A6057" w:rsidRPr="009E6B3C">
        <w:rPr>
          <w:rFonts w:ascii="Arial" w:hAnsi="Arial" w:cs="Arial"/>
          <w:bCs/>
          <w:sz w:val="20"/>
          <w:szCs w:val="20"/>
        </w:rPr>
        <w:t xml:space="preserve">identifies seven priorities and related interventions. Justice has </w:t>
      </w:r>
      <w:r w:rsidR="001E0311" w:rsidRPr="009E6B3C">
        <w:rPr>
          <w:rFonts w:ascii="Arial" w:hAnsi="Arial" w:cs="Arial"/>
          <w:bCs/>
          <w:sz w:val="20"/>
          <w:szCs w:val="20"/>
        </w:rPr>
        <w:t>specific</w:t>
      </w:r>
      <w:r w:rsidR="008B2B95" w:rsidRPr="009E6B3C">
        <w:rPr>
          <w:rFonts w:ascii="Arial" w:hAnsi="Arial" w:cs="Arial"/>
          <w:bCs/>
          <w:sz w:val="20"/>
          <w:szCs w:val="20"/>
        </w:rPr>
        <w:t xml:space="preserve"> </w:t>
      </w:r>
      <w:r w:rsidR="009A6057" w:rsidRPr="009E6B3C">
        <w:rPr>
          <w:rFonts w:ascii="Arial" w:hAnsi="Arial" w:cs="Arial"/>
          <w:bCs/>
          <w:sz w:val="20"/>
          <w:szCs w:val="20"/>
        </w:rPr>
        <w:t xml:space="preserve">responsibilities in respect of two priorities: namely Priority 1 ‘A capable, ethical and developmental state’ and Priority 6 ‘Social cohesion and safe communities’. </w:t>
      </w:r>
    </w:p>
    <w:p w:rsidR="009A6057" w:rsidRPr="009E6B3C" w:rsidRDefault="009A6057" w:rsidP="009E6B3C">
      <w:pPr>
        <w:pStyle w:val="ListParagraph"/>
        <w:rPr>
          <w:rFonts w:ascii="Arial" w:hAnsi="Arial" w:cs="Arial"/>
          <w:bCs/>
          <w:sz w:val="20"/>
          <w:szCs w:val="20"/>
        </w:rPr>
      </w:pPr>
    </w:p>
    <w:p w:rsidR="009A6057" w:rsidRPr="009E6B3C" w:rsidRDefault="009A6057" w:rsidP="009E6B3C">
      <w:pPr>
        <w:pStyle w:val="ListParagraph"/>
        <w:numPr>
          <w:ilvl w:val="2"/>
          <w:numId w:val="11"/>
        </w:numPr>
        <w:autoSpaceDE w:val="0"/>
        <w:autoSpaceDN w:val="0"/>
        <w:adjustRightInd w:val="0"/>
        <w:ind w:left="851" w:hanging="851"/>
        <w:rPr>
          <w:rFonts w:ascii="Arial" w:hAnsi="Arial" w:cs="Arial"/>
          <w:bCs/>
          <w:sz w:val="20"/>
          <w:szCs w:val="20"/>
        </w:rPr>
      </w:pPr>
      <w:r w:rsidRPr="009E6B3C">
        <w:rPr>
          <w:rFonts w:ascii="Arial" w:hAnsi="Arial" w:cs="Arial"/>
          <w:bCs/>
          <w:sz w:val="20"/>
          <w:szCs w:val="20"/>
        </w:rPr>
        <w:t xml:space="preserve">In addition, </w:t>
      </w:r>
      <w:r w:rsidR="00D17BCC" w:rsidRPr="009E6B3C">
        <w:rPr>
          <w:rFonts w:ascii="Arial" w:hAnsi="Arial" w:cs="Arial"/>
          <w:bCs/>
          <w:sz w:val="20"/>
          <w:szCs w:val="20"/>
        </w:rPr>
        <w:t>the</w:t>
      </w:r>
      <w:r w:rsidRPr="009E6B3C">
        <w:rPr>
          <w:rFonts w:ascii="Arial" w:hAnsi="Arial" w:cs="Arial"/>
          <w:bCs/>
          <w:sz w:val="20"/>
          <w:szCs w:val="20"/>
        </w:rPr>
        <w:t xml:space="preserve"> </w:t>
      </w:r>
      <w:r w:rsidR="00D17BCC" w:rsidRPr="009E6B3C">
        <w:rPr>
          <w:rFonts w:ascii="Arial" w:hAnsi="Arial" w:cs="Arial"/>
          <w:bCs/>
          <w:sz w:val="20"/>
          <w:szCs w:val="20"/>
        </w:rPr>
        <w:t xml:space="preserve">MTSF identifies a </w:t>
      </w:r>
      <w:r w:rsidRPr="009E6B3C">
        <w:rPr>
          <w:rFonts w:ascii="Arial" w:hAnsi="Arial" w:cs="Arial"/>
          <w:bCs/>
          <w:sz w:val="20"/>
          <w:szCs w:val="20"/>
        </w:rPr>
        <w:t>lack of access to resources and opportunity for Women, Youth and People with Disabilities as cutting</w:t>
      </w:r>
      <w:r w:rsidR="00D17BCC" w:rsidRPr="009E6B3C">
        <w:rPr>
          <w:rFonts w:ascii="Arial" w:hAnsi="Arial" w:cs="Arial"/>
          <w:bCs/>
          <w:sz w:val="20"/>
          <w:szCs w:val="20"/>
        </w:rPr>
        <w:t xml:space="preserve"> across all sectors</w:t>
      </w:r>
      <w:r w:rsidRPr="009E6B3C">
        <w:rPr>
          <w:rFonts w:ascii="Arial" w:hAnsi="Arial" w:cs="Arial"/>
          <w:bCs/>
          <w:sz w:val="20"/>
          <w:szCs w:val="20"/>
        </w:rPr>
        <w:t xml:space="preserve">, requiring a variety of interventions, including legislative amendments. </w:t>
      </w:r>
    </w:p>
    <w:p w:rsidR="009A6057" w:rsidRPr="009E6B3C" w:rsidRDefault="009A6057" w:rsidP="009E6B3C">
      <w:pPr>
        <w:pStyle w:val="ListParagraph"/>
        <w:rPr>
          <w:rFonts w:ascii="Arial" w:hAnsi="Arial" w:cs="Arial"/>
          <w:bCs/>
          <w:sz w:val="20"/>
          <w:szCs w:val="20"/>
        </w:rPr>
      </w:pPr>
    </w:p>
    <w:p w:rsidR="009A6057" w:rsidRPr="009E6B3C" w:rsidRDefault="009A6057" w:rsidP="009E6B3C">
      <w:pPr>
        <w:pStyle w:val="ListParagraph"/>
        <w:numPr>
          <w:ilvl w:val="2"/>
          <w:numId w:val="11"/>
        </w:numPr>
        <w:autoSpaceDE w:val="0"/>
        <w:autoSpaceDN w:val="0"/>
        <w:adjustRightInd w:val="0"/>
        <w:ind w:left="851" w:hanging="851"/>
        <w:rPr>
          <w:rFonts w:ascii="Arial" w:hAnsi="Arial" w:cs="Arial"/>
          <w:bCs/>
          <w:sz w:val="20"/>
          <w:szCs w:val="20"/>
        </w:rPr>
      </w:pPr>
      <w:r w:rsidRPr="009E6B3C">
        <w:rPr>
          <w:rFonts w:ascii="Arial" w:hAnsi="Arial" w:cs="Arial"/>
          <w:bCs/>
          <w:sz w:val="20"/>
          <w:szCs w:val="20"/>
        </w:rPr>
        <w:t xml:space="preserve">Key interventions for which the Justice Department </w:t>
      </w:r>
      <w:r w:rsidR="007F5FF5" w:rsidRPr="009E6B3C">
        <w:rPr>
          <w:rFonts w:ascii="Arial" w:hAnsi="Arial" w:cs="Arial"/>
          <w:bCs/>
          <w:sz w:val="20"/>
          <w:szCs w:val="20"/>
        </w:rPr>
        <w:t xml:space="preserve">is responsible </w:t>
      </w:r>
      <w:r w:rsidRPr="009E6B3C">
        <w:rPr>
          <w:rFonts w:ascii="Arial" w:hAnsi="Arial" w:cs="Arial"/>
          <w:bCs/>
          <w:sz w:val="20"/>
          <w:szCs w:val="20"/>
        </w:rPr>
        <w:t>for the MTSF period include:</w:t>
      </w:r>
    </w:p>
    <w:p w:rsidR="009A6057" w:rsidRPr="009E6B3C" w:rsidRDefault="009A6057"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Instituting a programme to prevent and fight corruption in government</w:t>
      </w:r>
      <w:r w:rsidR="007F5FF5" w:rsidRPr="009E6B3C">
        <w:rPr>
          <w:rFonts w:ascii="Arial" w:hAnsi="Arial" w:cs="Arial"/>
          <w:sz w:val="20"/>
          <w:szCs w:val="20"/>
          <w:lang w:val="en-US"/>
        </w:rPr>
        <w:t>,</w:t>
      </w:r>
      <w:r w:rsidRPr="009E6B3C">
        <w:rPr>
          <w:rFonts w:ascii="Arial" w:hAnsi="Arial" w:cs="Arial"/>
          <w:sz w:val="20"/>
          <w:szCs w:val="20"/>
          <w:lang w:val="en-US"/>
        </w:rPr>
        <w:t xml:space="preserve"> in partnership with anti-corruption agencies and non-state actors</w:t>
      </w:r>
      <w:r w:rsidR="007F5FF5" w:rsidRPr="009E6B3C">
        <w:rPr>
          <w:rFonts w:ascii="Arial" w:hAnsi="Arial" w:cs="Arial"/>
          <w:sz w:val="20"/>
          <w:szCs w:val="20"/>
          <w:lang w:val="en-US"/>
        </w:rPr>
        <w:t>,</w:t>
      </w:r>
      <w:r w:rsidRPr="009E6B3C">
        <w:rPr>
          <w:rFonts w:ascii="Arial" w:hAnsi="Arial" w:cs="Arial"/>
          <w:sz w:val="20"/>
          <w:szCs w:val="20"/>
          <w:lang w:val="en-US"/>
        </w:rPr>
        <w:t xml:space="preserve"> to resolve reported incidents of corruption in the Government through disciplinary measures and criminal interventions.</w:t>
      </w:r>
    </w:p>
    <w:p w:rsidR="009A6057" w:rsidRPr="009E6B3C" w:rsidRDefault="009A6057"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 xml:space="preserve">Coordinating engagements between the leadership of the executive, legislature and judiciary in order to develop and implement </w:t>
      </w:r>
      <w:r w:rsidR="00E7290E" w:rsidRPr="009E6B3C">
        <w:rPr>
          <w:rFonts w:ascii="Arial" w:hAnsi="Arial" w:cs="Arial"/>
          <w:sz w:val="20"/>
          <w:szCs w:val="20"/>
          <w:lang w:val="en-US"/>
        </w:rPr>
        <w:t xml:space="preserve">a social </w:t>
      </w:r>
      <w:r w:rsidRPr="009E6B3C">
        <w:rPr>
          <w:rFonts w:ascii="Arial" w:hAnsi="Arial" w:cs="Arial"/>
          <w:sz w:val="20"/>
          <w:szCs w:val="20"/>
          <w:lang w:val="en-US"/>
        </w:rPr>
        <w:t xml:space="preserve">compact by 2024. </w:t>
      </w:r>
    </w:p>
    <w:p w:rsidR="009A6057" w:rsidRPr="009E6B3C" w:rsidRDefault="009A6057"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Developing a system to ensure consistent barrier-free access to justice for persons with disabilities across the justice value chain.</w:t>
      </w:r>
    </w:p>
    <w:p w:rsidR="009A6057" w:rsidRPr="009E6B3C" w:rsidRDefault="00531EC8"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Coordinating the i</w:t>
      </w:r>
      <w:r w:rsidR="009A6057" w:rsidRPr="009E6B3C">
        <w:rPr>
          <w:rFonts w:ascii="Arial" w:hAnsi="Arial" w:cs="Arial"/>
          <w:sz w:val="20"/>
          <w:szCs w:val="20"/>
          <w:lang w:val="en-US"/>
        </w:rPr>
        <w:t>mplementation of the National Action Plan (NAP) to Combat Racism, Racial Discrimination, Xenophobia and Related Intolerance.</w:t>
      </w:r>
    </w:p>
    <w:p w:rsidR="009A6057" w:rsidRPr="009E6B3C" w:rsidRDefault="009A6057"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 xml:space="preserve">Establishing Specialised Commercial Crime Courts (SCCC’s) in </w:t>
      </w:r>
      <w:r w:rsidR="00E7290E" w:rsidRPr="009E6B3C">
        <w:rPr>
          <w:rFonts w:ascii="Arial" w:hAnsi="Arial" w:cs="Arial"/>
          <w:sz w:val="20"/>
          <w:szCs w:val="20"/>
          <w:lang w:val="en-US"/>
        </w:rPr>
        <w:t>all provinces.</w:t>
      </w:r>
    </w:p>
    <w:p w:rsidR="00395423" w:rsidRPr="009E6B3C" w:rsidRDefault="009A6057" w:rsidP="009E6B3C">
      <w:pPr>
        <w:pStyle w:val="ListParagraph"/>
        <w:numPr>
          <w:ilvl w:val="0"/>
          <w:numId w:val="7"/>
        </w:numPr>
        <w:ind w:left="1276" w:hanging="425"/>
        <w:rPr>
          <w:rFonts w:ascii="Arial" w:hAnsi="Arial" w:cs="Arial"/>
          <w:bCs/>
          <w:sz w:val="20"/>
          <w:szCs w:val="20"/>
        </w:rPr>
      </w:pPr>
      <w:r w:rsidRPr="009E6B3C">
        <w:rPr>
          <w:rFonts w:ascii="Arial" w:hAnsi="Arial" w:cs="Arial"/>
          <w:sz w:val="20"/>
          <w:szCs w:val="20"/>
          <w:lang w:val="en-US"/>
        </w:rPr>
        <w:t>Ensuring an efficient, modernised and co-ordinated criminal justice system through integrated</w:t>
      </w:r>
      <w:r w:rsidRPr="009E6B3C">
        <w:rPr>
          <w:rFonts w:ascii="Arial" w:hAnsi="Arial" w:cs="Arial"/>
          <w:bCs/>
          <w:sz w:val="20"/>
          <w:szCs w:val="20"/>
        </w:rPr>
        <w:t xml:space="preserve"> digital information systems.</w:t>
      </w:r>
    </w:p>
    <w:p w:rsidR="00505B01" w:rsidRPr="009E6B3C" w:rsidRDefault="00505B01" w:rsidP="009E6B3C">
      <w:pPr>
        <w:pStyle w:val="ListParagraph"/>
        <w:ind w:left="1440"/>
        <w:rPr>
          <w:rFonts w:ascii="Arial" w:hAnsi="Arial" w:cs="Arial"/>
          <w:bCs/>
          <w:sz w:val="20"/>
          <w:szCs w:val="20"/>
        </w:rPr>
      </w:pPr>
    </w:p>
    <w:p w:rsidR="00BC473F" w:rsidRPr="009E6B3C" w:rsidRDefault="00BC473F" w:rsidP="009E6B3C">
      <w:pPr>
        <w:pStyle w:val="ListParagraph"/>
        <w:numPr>
          <w:ilvl w:val="1"/>
          <w:numId w:val="11"/>
        </w:numPr>
        <w:ind w:left="851" w:hanging="851"/>
        <w:rPr>
          <w:rFonts w:ascii="Arial" w:hAnsi="Arial" w:cs="Arial"/>
          <w:bCs/>
          <w:sz w:val="20"/>
          <w:szCs w:val="20"/>
        </w:rPr>
      </w:pPr>
      <w:r w:rsidRPr="009E6B3C">
        <w:rPr>
          <w:rFonts w:ascii="Arial" w:hAnsi="Arial" w:cs="Arial"/>
          <w:b/>
          <w:bCs/>
          <w:i/>
          <w:sz w:val="20"/>
          <w:szCs w:val="20"/>
        </w:rPr>
        <w:t>National Strategic Plan on Gender-Based Violence and Femicide (NSP on GBVF)</w:t>
      </w:r>
      <w:r w:rsidRPr="009E6B3C">
        <w:rPr>
          <w:rFonts w:ascii="Arial" w:hAnsi="Arial" w:cs="Arial"/>
          <w:bCs/>
          <w:sz w:val="20"/>
          <w:szCs w:val="20"/>
        </w:rPr>
        <w:t>. Pillar 3 of the NSP-GBVF provides for Justice, Safety and Protection and seeks to address the systemic challenges that have resulted in an inadequate response to the management of GBVF cases, particularly domestic violence, sexual offences, child homicide, human trafficking, and other related matters. Departments are required to integrate related NSP-GBVF outcomes in their five-year strategic plans and annual performance plans</w:t>
      </w:r>
      <w:r w:rsidR="00100D53" w:rsidRPr="009E6B3C">
        <w:rPr>
          <w:rFonts w:ascii="Arial" w:hAnsi="Arial" w:cs="Arial"/>
          <w:bCs/>
          <w:sz w:val="20"/>
          <w:szCs w:val="20"/>
        </w:rPr>
        <w:t>. For Justice this includes ensuring:</w:t>
      </w:r>
    </w:p>
    <w:p w:rsidR="00BC473F" w:rsidRPr="009E6B3C" w:rsidRDefault="00BC473F"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 xml:space="preserve">Infrastructural alterations to court buildings </w:t>
      </w:r>
      <w:r w:rsidR="00100D53" w:rsidRPr="009E6B3C">
        <w:rPr>
          <w:rFonts w:ascii="Arial" w:hAnsi="Arial" w:cs="Arial"/>
          <w:sz w:val="20"/>
          <w:szCs w:val="20"/>
          <w:lang w:val="en-US"/>
        </w:rPr>
        <w:t xml:space="preserve">so </w:t>
      </w:r>
      <w:r w:rsidRPr="009E6B3C">
        <w:rPr>
          <w:rFonts w:ascii="Arial" w:hAnsi="Arial" w:cs="Arial"/>
          <w:sz w:val="20"/>
          <w:szCs w:val="20"/>
          <w:lang w:val="en-US"/>
        </w:rPr>
        <w:t xml:space="preserve">that they are victim-friendly, disability friendly and child friendly. </w:t>
      </w:r>
    </w:p>
    <w:p w:rsidR="00BC473F" w:rsidRPr="009E6B3C" w:rsidRDefault="00100D53"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That c</w:t>
      </w:r>
      <w:r w:rsidR="00BC473F" w:rsidRPr="009E6B3C">
        <w:rPr>
          <w:rFonts w:ascii="Arial" w:hAnsi="Arial" w:cs="Arial"/>
          <w:sz w:val="20"/>
          <w:szCs w:val="20"/>
          <w:lang w:val="en-US"/>
        </w:rPr>
        <w:t>ourt-based victim support services and witness protection are made available, particularly in rural areas.</w:t>
      </w:r>
    </w:p>
    <w:p w:rsidR="00BC473F" w:rsidRPr="009E6B3C" w:rsidRDefault="00100D53"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lastRenderedPageBreak/>
        <w:t>That q</w:t>
      </w:r>
      <w:r w:rsidR="00BC473F" w:rsidRPr="009E6B3C">
        <w:rPr>
          <w:rFonts w:ascii="Arial" w:hAnsi="Arial" w:cs="Arial"/>
          <w:sz w:val="20"/>
          <w:szCs w:val="20"/>
          <w:lang w:val="en-US"/>
        </w:rPr>
        <w:t>uality legal aid support is readily accessible for women and LGBTQIA+ persons who cannot afford litigation.</w:t>
      </w:r>
    </w:p>
    <w:p w:rsidR="00BC473F" w:rsidRPr="009E6B3C" w:rsidRDefault="00100D53"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That i</w:t>
      </w:r>
      <w:r w:rsidR="00BC473F" w:rsidRPr="009E6B3C">
        <w:rPr>
          <w:rFonts w:ascii="Arial" w:hAnsi="Arial" w:cs="Arial"/>
          <w:sz w:val="20"/>
          <w:szCs w:val="20"/>
          <w:lang w:val="en-US"/>
        </w:rPr>
        <w:t>nformation on GBV laws and policies and how these can assist is made widely available.</w:t>
      </w:r>
    </w:p>
    <w:p w:rsidR="00BC473F" w:rsidRPr="009E6B3C" w:rsidRDefault="00100D53"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That e</w:t>
      </w:r>
      <w:r w:rsidR="00BC473F" w:rsidRPr="009E6B3C">
        <w:rPr>
          <w:rFonts w:ascii="Arial" w:hAnsi="Arial" w:cs="Arial"/>
          <w:sz w:val="20"/>
          <w:szCs w:val="20"/>
          <w:lang w:val="en-US"/>
        </w:rPr>
        <w:t>-services are available to survivors to ensure quick access to justice.</w:t>
      </w:r>
    </w:p>
    <w:p w:rsidR="00BC473F" w:rsidRPr="009E6B3C" w:rsidRDefault="00100D53"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That i</w:t>
      </w:r>
      <w:r w:rsidR="00BC473F" w:rsidRPr="009E6B3C">
        <w:rPr>
          <w:rFonts w:ascii="Arial" w:hAnsi="Arial" w:cs="Arial"/>
          <w:sz w:val="20"/>
          <w:szCs w:val="20"/>
          <w:lang w:val="en-US"/>
        </w:rPr>
        <w:t xml:space="preserve">nformation on cases is readily available for victims to access and track. </w:t>
      </w:r>
    </w:p>
    <w:p w:rsidR="00BC473F" w:rsidRPr="009E6B3C" w:rsidRDefault="00100D53"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That t</w:t>
      </w:r>
      <w:r w:rsidR="00BC473F" w:rsidRPr="009E6B3C">
        <w:rPr>
          <w:rFonts w:ascii="Arial" w:hAnsi="Arial" w:cs="Arial"/>
          <w:sz w:val="20"/>
          <w:szCs w:val="20"/>
          <w:lang w:val="en-US"/>
        </w:rPr>
        <w:t>he backlog of GBVF cases is cleared.</w:t>
      </w:r>
    </w:p>
    <w:p w:rsidR="00BC473F" w:rsidRPr="009E6B3C" w:rsidRDefault="00BC473F"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The effective implementation of GBV legislation with adequate resourcing and budget.</w:t>
      </w:r>
    </w:p>
    <w:p w:rsidR="00BC473F" w:rsidRPr="009E6B3C" w:rsidRDefault="00BC473F" w:rsidP="009E6B3C">
      <w:pPr>
        <w:pStyle w:val="ListParagraph"/>
        <w:numPr>
          <w:ilvl w:val="0"/>
          <w:numId w:val="7"/>
        </w:numPr>
        <w:ind w:left="1276" w:hanging="425"/>
        <w:rPr>
          <w:rFonts w:ascii="Arial" w:hAnsi="Arial" w:cs="Arial"/>
          <w:bCs/>
          <w:sz w:val="20"/>
          <w:szCs w:val="20"/>
        </w:rPr>
      </w:pPr>
      <w:r w:rsidRPr="009E6B3C">
        <w:rPr>
          <w:rFonts w:ascii="Arial" w:hAnsi="Arial" w:cs="Arial"/>
          <w:sz w:val="20"/>
          <w:szCs w:val="20"/>
          <w:lang w:val="en-US"/>
        </w:rPr>
        <w:t>The ongoing vetting of officials providing services to children and mentally</w:t>
      </w:r>
      <w:r w:rsidRPr="009E6B3C">
        <w:rPr>
          <w:rFonts w:ascii="Arial" w:hAnsi="Arial" w:cs="Arial"/>
          <w:bCs/>
          <w:sz w:val="20"/>
          <w:szCs w:val="20"/>
        </w:rPr>
        <w:t xml:space="preserve"> disabled persons.</w:t>
      </w:r>
    </w:p>
    <w:p w:rsidR="00BC473F" w:rsidRPr="009E6B3C" w:rsidRDefault="00BC473F" w:rsidP="009E6B3C">
      <w:pPr>
        <w:autoSpaceDE w:val="0"/>
        <w:autoSpaceDN w:val="0"/>
        <w:adjustRightInd w:val="0"/>
        <w:rPr>
          <w:rFonts w:ascii="Arial" w:hAnsi="Arial" w:cs="Arial"/>
          <w:sz w:val="20"/>
          <w:szCs w:val="20"/>
        </w:rPr>
      </w:pPr>
    </w:p>
    <w:p w:rsidR="00505B01" w:rsidRPr="009E6B3C" w:rsidRDefault="00893290" w:rsidP="009E6B3C">
      <w:pPr>
        <w:pStyle w:val="ListParagraph"/>
        <w:numPr>
          <w:ilvl w:val="1"/>
          <w:numId w:val="11"/>
        </w:numPr>
        <w:ind w:left="851" w:hanging="851"/>
        <w:rPr>
          <w:rFonts w:ascii="Arial" w:hAnsi="Arial" w:cs="Arial"/>
          <w:b/>
          <w:i/>
          <w:sz w:val="20"/>
          <w:szCs w:val="20"/>
        </w:rPr>
      </w:pPr>
      <w:r w:rsidRPr="009E6B3C">
        <w:rPr>
          <w:rFonts w:ascii="Arial" w:hAnsi="Arial" w:cs="Arial"/>
          <w:b/>
          <w:i/>
          <w:sz w:val="20"/>
          <w:szCs w:val="20"/>
        </w:rPr>
        <w:t>Fiscal P</w:t>
      </w:r>
      <w:r w:rsidR="00505B01" w:rsidRPr="009E6B3C">
        <w:rPr>
          <w:rFonts w:ascii="Arial" w:hAnsi="Arial" w:cs="Arial"/>
          <w:b/>
          <w:i/>
          <w:sz w:val="20"/>
          <w:szCs w:val="20"/>
        </w:rPr>
        <w:t>olicy</w:t>
      </w:r>
    </w:p>
    <w:p w:rsidR="00505B01" w:rsidRPr="009E6B3C" w:rsidRDefault="00505B01" w:rsidP="009E6B3C">
      <w:pPr>
        <w:rPr>
          <w:rFonts w:ascii="Arial" w:hAnsi="Arial" w:cs="Arial"/>
          <w:sz w:val="20"/>
          <w:szCs w:val="20"/>
          <w:highlight w:val="yellow"/>
        </w:rPr>
      </w:pPr>
    </w:p>
    <w:p w:rsidR="00505B01" w:rsidRPr="009E6B3C" w:rsidRDefault="00505B01" w:rsidP="009E6B3C">
      <w:pPr>
        <w:pStyle w:val="ListParagraph"/>
        <w:numPr>
          <w:ilvl w:val="2"/>
          <w:numId w:val="11"/>
        </w:numPr>
        <w:autoSpaceDE w:val="0"/>
        <w:autoSpaceDN w:val="0"/>
        <w:adjustRightInd w:val="0"/>
        <w:ind w:left="851" w:hanging="851"/>
        <w:rPr>
          <w:rFonts w:ascii="Arial" w:hAnsi="Arial" w:cs="Arial"/>
          <w:sz w:val="20"/>
          <w:szCs w:val="20"/>
        </w:rPr>
      </w:pPr>
      <w:r w:rsidRPr="009E6B3C">
        <w:rPr>
          <w:rFonts w:ascii="Arial" w:hAnsi="Arial" w:cs="Arial"/>
          <w:bCs/>
          <w:sz w:val="20"/>
          <w:szCs w:val="20"/>
        </w:rPr>
        <w:t>Medium</w:t>
      </w:r>
      <w:r w:rsidRPr="009E6B3C">
        <w:rPr>
          <w:rFonts w:cs="Arial"/>
          <w:sz w:val="20"/>
          <w:szCs w:val="20"/>
        </w:rPr>
        <w:t>‐</w:t>
      </w:r>
      <w:r w:rsidRPr="009E6B3C">
        <w:rPr>
          <w:rFonts w:ascii="Arial" w:hAnsi="Arial" w:cs="Arial"/>
          <w:sz w:val="20"/>
          <w:szCs w:val="20"/>
        </w:rPr>
        <w:t xml:space="preserve">term fiscal policy </w:t>
      </w:r>
      <w:r w:rsidR="00CA4A4C" w:rsidRPr="009E6B3C">
        <w:rPr>
          <w:rFonts w:ascii="Arial" w:hAnsi="Arial" w:cs="Arial"/>
          <w:sz w:val="20"/>
          <w:szCs w:val="20"/>
        </w:rPr>
        <w:t xml:space="preserve">has </w:t>
      </w:r>
      <w:r w:rsidRPr="009E6B3C">
        <w:rPr>
          <w:rFonts w:ascii="Arial" w:hAnsi="Arial" w:cs="Arial"/>
          <w:sz w:val="20"/>
          <w:szCs w:val="20"/>
        </w:rPr>
        <w:t>focused on reducing the budget deficit and stabilising the debt</w:t>
      </w:r>
      <w:r w:rsidRPr="009E6B3C">
        <w:rPr>
          <w:rFonts w:cs="Arial"/>
          <w:sz w:val="20"/>
          <w:szCs w:val="20"/>
        </w:rPr>
        <w:t>‐</w:t>
      </w:r>
      <w:r w:rsidRPr="009E6B3C">
        <w:rPr>
          <w:rFonts w:ascii="Arial" w:hAnsi="Arial" w:cs="Arial"/>
          <w:sz w:val="20"/>
          <w:szCs w:val="20"/>
        </w:rPr>
        <w:t>to</w:t>
      </w:r>
      <w:r w:rsidRPr="009E6B3C">
        <w:rPr>
          <w:rFonts w:cs="Arial"/>
          <w:sz w:val="20"/>
          <w:szCs w:val="20"/>
        </w:rPr>
        <w:t>‐</w:t>
      </w:r>
      <w:r w:rsidRPr="009E6B3C">
        <w:rPr>
          <w:rFonts w:ascii="Arial" w:hAnsi="Arial" w:cs="Arial"/>
          <w:sz w:val="20"/>
          <w:szCs w:val="20"/>
        </w:rPr>
        <w:t>GDP ratio. Government has attempted to slow expenditure growth by reducing baseline budgets and setting ceilings on compensation spending. Despite this, the gap between revenue and expenditure has widened, as much of the increased budget has been absorbed by rising public</w:t>
      </w:r>
      <w:r w:rsidRPr="009E6B3C">
        <w:rPr>
          <w:rFonts w:cs="Arial"/>
          <w:sz w:val="20"/>
          <w:szCs w:val="20"/>
        </w:rPr>
        <w:t>‐</w:t>
      </w:r>
      <w:r w:rsidRPr="009E6B3C">
        <w:rPr>
          <w:rFonts w:ascii="Arial" w:hAnsi="Arial" w:cs="Arial"/>
          <w:sz w:val="20"/>
          <w:szCs w:val="20"/>
        </w:rPr>
        <w:t>service salaries and debt</w:t>
      </w:r>
      <w:r w:rsidRPr="009E6B3C">
        <w:rPr>
          <w:rFonts w:cs="Arial"/>
          <w:sz w:val="20"/>
          <w:szCs w:val="20"/>
        </w:rPr>
        <w:t>‐</w:t>
      </w:r>
      <w:r w:rsidRPr="009E6B3C">
        <w:rPr>
          <w:rFonts w:ascii="Arial" w:hAnsi="Arial" w:cs="Arial"/>
          <w:sz w:val="20"/>
          <w:szCs w:val="20"/>
        </w:rPr>
        <w:t xml:space="preserve">service costs. </w:t>
      </w:r>
    </w:p>
    <w:p w:rsidR="00505B01" w:rsidRPr="009E6B3C" w:rsidRDefault="00505B01" w:rsidP="009E6B3C">
      <w:pPr>
        <w:pStyle w:val="ListParagraph"/>
        <w:autoSpaceDE w:val="0"/>
        <w:autoSpaceDN w:val="0"/>
        <w:adjustRightInd w:val="0"/>
        <w:rPr>
          <w:rFonts w:ascii="Arial" w:hAnsi="Arial" w:cs="Arial"/>
          <w:sz w:val="20"/>
          <w:szCs w:val="20"/>
        </w:rPr>
      </w:pPr>
    </w:p>
    <w:p w:rsidR="00505B01" w:rsidRPr="009E6B3C" w:rsidRDefault="00505B01" w:rsidP="009E6B3C">
      <w:pPr>
        <w:pStyle w:val="ListParagraph"/>
        <w:numPr>
          <w:ilvl w:val="2"/>
          <w:numId w:val="11"/>
        </w:numPr>
        <w:autoSpaceDE w:val="0"/>
        <w:autoSpaceDN w:val="0"/>
        <w:adjustRightInd w:val="0"/>
        <w:ind w:left="851" w:hanging="851"/>
        <w:rPr>
          <w:rFonts w:ascii="Arial" w:hAnsi="Arial" w:cs="Arial"/>
          <w:sz w:val="20"/>
          <w:szCs w:val="20"/>
        </w:rPr>
      </w:pPr>
      <w:r w:rsidRPr="009E6B3C">
        <w:rPr>
          <w:rFonts w:ascii="Arial" w:hAnsi="Arial" w:cs="Arial"/>
          <w:bCs/>
          <w:sz w:val="20"/>
          <w:szCs w:val="20"/>
        </w:rPr>
        <w:t>The</w:t>
      </w:r>
      <w:r w:rsidRPr="009E6B3C">
        <w:rPr>
          <w:rFonts w:ascii="Arial" w:hAnsi="Arial" w:cs="Arial"/>
          <w:sz w:val="20"/>
          <w:szCs w:val="20"/>
        </w:rPr>
        <w:t xml:space="preserve"> 2021 Budget proposed to reduce expenditure over the MTEF period by R264.9 billion, or 4.6% of GDP. Most of the proposed adjustments were to the public sector wage bill.</w:t>
      </w:r>
    </w:p>
    <w:p w:rsidR="00505B01" w:rsidRPr="009E6B3C" w:rsidRDefault="00505B01" w:rsidP="009E6B3C">
      <w:pPr>
        <w:pStyle w:val="ListParagraph"/>
        <w:rPr>
          <w:rFonts w:ascii="Arial" w:hAnsi="Arial" w:cs="Arial"/>
          <w:sz w:val="20"/>
          <w:szCs w:val="20"/>
        </w:rPr>
      </w:pPr>
    </w:p>
    <w:p w:rsidR="00505B01" w:rsidRPr="009E6B3C" w:rsidRDefault="00505B01" w:rsidP="009E6B3C">
      <w:pPr>
        <w:pStyle w:val="ListParagraph"/>
        <w:numPr>
          <w:ilvl w:val="2"/>
          <w:numId w:val="11"/>
        </w:numPr>
        <w:autoSpaceDE w:val="0"/>
        <w:autoSpaceDN w:val="0"/>
        <w:adjustRightInd w:val="0"/>
        <w:ind w:left="851" w:hanging="851"/>
        <w:rPr>
          <w:rFonts w:ascii="Arial" w:hAnsi="Arial" w:cs="Arial"/>
          <w:sz w:val="20"/>
          <w:szCs w:val="20"/>
        </w:rPr>
      </w:pPr>
      <w:r w:rsidRPr="009E6B3C">
        <w:rPr>
          <w:rFonts w:ascii="Arial" w:hAnsi="Arial" w:cs="Arial"/>
          <w:sz w:val="20"/>
          <w:szCs w:val="20"/>
        </w:rPr>
        <w:t>The 2022 Budget respond</w:t>
      </w:r>
      <w:r w:rsidR="00BE7B9C" w:rsidRPr="009E6B3C">
        <w:rPr>
          <w:rFonts w:ascii="Arial" w:hAnsi="Arial" w:cs="Arial"/>
          <w:sz w:val="20"/>
          <w:szCs w:val="20"/>
        </w:rPr>
        <w:t>s</w:t>
      </w:r>
      <w:r w:rsidRPr="009E6B3C">
        <w:rPr>
          <w:rFonts w:ascii="Arial" w:hAnsi="Arial" w:cs="Arial"/>
          <w:sz w:val="20"/>
          <w:szCs w:val="20"/>
        </w:rPr>
        <w:t xml:space="preserve"> directly to the effects of the </w:t>
      </w:r>
      <w:r w:rsidR="00BE7B9C" w:rsidRPr="009E6B3C">
        <w:rPr>
          <w:rFonts w:ascii="Arial" w:hAnsi="Arial" w:cs="Arial"/>
          <w:sz w:val="20"/>
          <w:szCs w:val="20"/>
        </w:rPr>
        <w:t xml:space="preserve">Covid-19 </w:t>
      </w:r>
      <w:r w:rsidRPr="009E6B3C">
        <w:rPr>
          <w:rFonts w:ascii="Arial" w:hAnsi="Arial" w:cs="Arial"/>
          <w:sz w:val="20"/>
          <w:szCs w:val="20"/>
        </w:rPr>
        <w:t>pandemic while aiming to grow the economy. The allocation to functions that employ large numbers of staff, such as Peace and Security, (continue</w:t>
      </w:r>
      <w:r w:rsidR="00BE7B9C" w:rsidRPr="009E6B3C">
        <w:rPr>
          <w:rFonts w:ascii="Arial" w:hAnsi="Arial" w:cs="Arial"/>
          <w:sz w:val="20"/>
          <w:szCs w:val="20"/>
        </w:rPr>
        <w:t xml:space="preserve"> to</w:t>
      </w:r>
      <w:r w:rsidRPr="009E6B3C">
        <w:rPr>
          <w:rFonts w:ascii="Arial" w:hAnsi="Arial" w:cs="Arial"/>
          <w:sz w:val="20"/>
          <w:szCs w:val="20"/>
        </w:rPr>
        <w:t>) decline in real terms over the MTEF due to compensation ceilings and baseline reductions to fund the Covid-19 spending response in 2021/22</w:t>
      </w:r>
      <w:r w:rsidR="00100D53" w:rsidRPr="009E6B3C">
        <w:rPr>
          <w:rFonts w:ascii="Arial" w:hAnsi="Arial" w:cs="Arial"/>
          <w:sz w:val="20"/>
          <w:szCs w:val="20"/>
        </w:rPr>
        <w:t>.</w:t>
      </w:r>
    </w:p>
    <w:p w:rsidR="00D9576C" w:rsidRPr="009E6B3C" w:rsidRDefault="00D9576C" w:rsidP="009E6B3C">
      <w:pPr>
        <w:pStyle w:val="Default"/>
        <w:rPr>
          <w:sz w:val="20"/>
          <w:szCs w:val="20"/>
        </w:rPr>
      </w:pPr>
    </w:p>
    <w:p w:rsidR="00100D53" w:rsidRPr="009E6B3C" w:rsidRDefault="00100D53" w:rsidP="009E6B3C">
      <w:pPr>
        <w:pStyle w:val="ListParagraph"/>
        <w:numPr>
          <w:ilvl w:val="2"/>
          <w:numId w:val="11"/>
        </w:numPr>
        <w:autoSpaceDE w:val="0"/>
        <w:autoSpaceDN w:val="0"/>
        <w:adjustRightInd w:val="0"/>
        <w:ind w:left="851" w:hanging="851"/>
        <w:rPr>
          <w:rFonts w:ascii="Arial" w:hAnsi="Arial" w:cs="Arial"/>
          <w:sz w:val="20"/>
          <w:szCs w:val="20"/>
          <w:lang w:val="en-US"/>
        </w:rPr>
      </w:pPr>
      <w:r w:rsidRPr="009E6B3C">
        <w:rPr>
          <w:rFonts w:ascii="Arial" w:hAnsi="Arial" w:cs="Arial"/>
          <w:sz w:val="20"/>
          <w:szCs w:val="20"/>
          <w:lang w:val="en-US"/>
        </w:rPr>
        <w:t>Notably spending on Peace and Security has declined on average by -8.5% between 2012/13 and 2021/22 and will continue to decrease over the 2022 MTEF by -3.1%.</w:t>
      </w:r>
    </w:p>
    <w:p w:rsidR="00100D53" w:rsidRPr="009E6B3C" w:rsidRDefault="00100D53" w:rsidP="009E6B3C">
      <w:pPr>
        <w:pStyle w:val="ListParagraph"/>
        <w:autoSpaceDE w:val="0"/>
        <w:autoSpaceDN w:val="0"/>
        <w:adjustRightInd w:val="0"/>
        <w:ind w:left="851"/>
        <w:rPr>
          <w:rFonts w:ascii="Arial" w:hAnsi="Arial" w:cs="Arial"/>
          <w:sz w:val="20"/>
          <w:szCs w:val="20"/>
          <w:lang w:val="en-US"/>
        </w:rPr>
      </w:pPr>
    </w:p>
    <w:p w:rsidR="00100D53" w:rsidRPr="009E6B3C" w:rsidRDefault="00100D53" w:rsidP="009E6B3C">
      <w:pPr>
        <w:pStyle w:val="ListParagraph"/>
        <w:numPr>
          <w:ilvl w:val="2"/>
          <w:numId w:val="11"/>
        </w:numPr>
        <w:autoSpaceDE w:val="0"/>
        <w:autoSpaceDN w:val="0"/>
        <w:adjustRightInd w:val="0"/>
        <w:ind w:left="851" w:hanging="851"/>
        <w:rPr>
          <w:rFonts w:ascii="Arial" w:hAnsi="Arial" w:cs="Arial"/>
          <w:sz w:val="20"/>
          <w:szCs w:val="20"/>
          <w:lang w:val="en-US"/>
        </w:rPr>
      </w:pPr>
      <w:r w:rsidRPr="009E6B3C">
        <w:rPr>
          <w:rFonts w:ascii="Arial" w:hAnsi="Arial" w:cs="Arial"/>
          <w:sz w:val="20"/>
          <w:szCs w:val="20"/>
          <w:lang w:val="en-US"/>
        </w:rPr>
        <w:t xml:space="preserve">Approximately 23% of the overall allocation for Peace and Security goes to ‘Law courts and prisons’. Specifically, the Justice and Constitutional Development Vote receives 10.14% of the overall allocation to the function (including magistrates’ salaries). </w:t>
      </w:r>
    </w:p>
    <w:p w:rsidR="00100D53" w:rsidRPr="009E6B3C" w:rsidRDefault="00100D53" w:rsidP="009E6B3C">
      <w:pPr>
        <w:pStyle w:val="ListParagraph"/>
        <w:numPr>
          <w:ilvl w:val="2"/>
          <w:numId w:val="11"/>
        </w:numPr>
        <w:autoSpaceDE w:val="0"/>
        <w:autoSpaceDN w:val="0"/>
        <w:adjustRightInd w:val="0"/>
        <w:ind w:left="851" w:hanging="851"/>
        <w:rPr>
          <w:rFonts w:ascii="Arial" w:hAnsi="Arial" w:cs="Arial"/>
          <w:sz w:val="20"/>
          <w:szCs w:val="20"/>
          <w:lang w:val="en-US"/>
        </w:rPr>
      </w:pPr>
      <w:r w:rsidRPr="009E6B3C">
        <w:rPr>
          <w:rFonts w:ascii="Arial" w:hAnsi="Arial" w:cs="Arial"/>
          <w:sz w:val="20"/>
          <w:szCs w:val="20"/>
          <w:lang w:val="en-US"/>
        </w:rPr>
        <w:t>Over the next three years, this function will focus on intensifying the fight against crime and corruption, and implementing personnel reforms to contain departmental compensation within the expenditure ceiling.</w:t>
      </w:r>
    </w:p>
    <w:p w:rsidR="00100D53" w:rsidRPr="009E6B3C" w:rsidRDefault="00100D53" w:rsidP="009E6B3C">
      <w:pPr>
        <w:pStyle w:val="ListParagraph"/>
        <w:autoSpaceDE w:val="0"/>
        <w:autoSpaceDN w:val="0"/>
        <w:adjustRightInd w:val="0"/>
        <w:ind w:left="851"/>
        <w:rPr>
          <w:rFonts w:ascii="Arial" w:hAnsi="Arial" w:cs="Arial"/>
          <w:sz w:val="20"/>
          <w:szCs w:val="20"/>
          <w:lang w:val="en-US"/>
        </w:rPr>
      </w:pPr>
    </w:p>
    <w:p w:rsidR="00100D53" w:rsidRPr="009E6B3C" w:rsidRDefault="00100D53" w:rsidP="009E6B3C">
      <w:pPr>
        <w:pStyle w:val="ListParagraph"/>
        <w:numPr>
          <w:ilvl w:val="2"/>
          <w:numId w:val="11"/>
        </w:numPr>
        <w:autoSpaceDE w:val="0"/>
        <w:autoSpaceDN w:val="0"/>
        <w:adjustRightInd w:val="0"/>
        <w:ind w:left="851" w:hanging="851"/>
        <w:rPr>
          <w:rFonts w:ascii="Arial" w:hAnsi="Arial" w:cs="Arial"/>
          <w:sz w:val="20"/>
          <w:szCs w:val="20"/>
          <w:lang w:val="en-US"/>
        </w:rPr>
      </w:pPr>
      <w:r w:rsidRPr="009E6B3C">
        <w:rPr>
          <w:rFonts w:ascii="Arial" w:hAnsi="Arial" w:cs="Arial"/>
          <w:sz w:val="20"/>
          <w:szCs w:val="20"/>
          <w:lang w:val="en-US"/>
        </w:rPr>
        <w:t xml:space="preserve">A total of R36 million is reprioritised in 2022/23 to invest in information and communication technology in the Office of the Chief Justice, NPA’s Investigating Directorate, PPSA, SAHRC and Financial Intelligence Centre. </w:t>
      </w:r>
    </w:p>
    <w:p w:rsidR="00100D53" w:rsidRPr="009E6B3C" w:rsidRDefault="00100D53" w:rsidP="009E6B3C">
      <w:pPr>
        <w:pStyle w:val="ListParagraph"/>
        <w:rPr>
          <w:rFonts w:ascii="Arial" w:hAnsi="Arial" w:cs="Arial"/>
          <w:sz w:val="20"/>
          <w:szCs w:val="20"/>
          <w:lang w:val="en-US"/>
        </w:rPr>
      </w:pPr>
    </w:p>
    <w:p w:rsidR="00100D53" w:rsidRPr="009E6B3C" w:rsidRDefault="00100D53" w:rsidP="009E6B3C">
      <w:pPr>
        <w:pStyle w:val="ListParagraph"/>
        <w:autoSpaceDE w:val="0"/>
        <w:autoSpaceDN w:val="0"/>
        <w:adjustRightInd w:val="0"/>
        <w:ind w:left="851"/>
        <w:rPr>
          <w:rFonts w:ascii="Arial" w:hAnsi="Arial" w:cs="Arial"/>
          <w:sz w:val="20"/>
          <w:szCs w:val="20"/>
          <w:lang w:val="en-US"/>
        </w:rPr>
      </w:pPr>
    </w:p>
    <w:p w:rsidR="00100D53" w:rsidRPr="009E6B3C" w:rsidRDefault="00100D53" w:rsidP="009E6B3C">
      <w:pPr>
        <w:pStyle w:val="ListParagraph"/>
        <w:numPr>
          <w:ilvl w:val="2"/>
          <w:numId w:val="11"/>
        </w:numPr>
        <w:autoSpaceDE w:val="0"/>
        <w:autoSpaceDN w:val="0"/>
        <w:adjustRightInd w:val="0"/>
        <w:ind w:left="851" w:hanging="851"/>
        <w:rPr>
          <w:rFonts w:ascii="Arial" w:hAnsi="Arial" w:cs="Arial"/>
          <w:sz w:val="20"/>
          <w:szCs w:val="20"/>
          <w:lang w:val="en-US"/>
        </w:rPr>
      </w:pPr>
      <w:r w:rsidRPr="009E6B3C">
        <w:rPr>
          <w:rFonts w:ascii="Arial" w:hAnsi="Arial" w:cs="Arial"/>
          <w:sz w:val="20"/>
          <w:szCs w:val="20"/>
          <w:lang w:val="en-US"/>
        </w:rPr>
        <w:t>Over the medium term, R426 million is allocated to the Investigating Directorate in the National Prosecuting Authority and the Financial Intelligence Centre to intensify the fight against corruption and ensure sufficient capacity for the investigation and prosecution of criminal cases emanating from the State Capture Commission. This allocation – of which R262.1 million is from reprioritisation within the function – will provide for the permanent appointment of an estimated 90 staff in the Investigating Directorate and 68 staff in the Financial Intelligence Centre.</w:t>
      </w:r>
    </w:p>
    <w:p w:rsidR="00100D53" w:rsidRPr="009E6B3C" w:rsidRDefault="00100D53" w:rsidP="009E6B3C">
      <w:pPr>
        <w:pStyle w:val="ListParagraph"/>
        <w:autoSpaceDE w:val="0"/>
        <w:autoSpaceDN w:val="0"/>
        <w:adjustRightInd w:val="0"/>
        <w:ind w:left="851"/>
        <w:rPr>
          <w:rFonts w:ascii="Arial" w:hAnsi="Arial" w:cs="Arial"/>
          <w:sz w:val="20"/>
          <w:szCs w:val="20"/>
          <w:lang w:val="en-US"/>
        </w:rPr>
      </w:pPr>
    </w:p>
    <w:p w:rsidR="00100D53" w:rsidRPr="009E6B3C" w:rsidRDefault="00100D53" w:rsidP="009E6B3C">
      <w:pPr>
        <w:pStyle w:val="ListParagraph"/>
        <w:numPr>
          <w:ilvl w:val="2"/>
          <w:numId w:val="11"/>
        </w:numPr>
        <w:autoSpaceDE w:val="0"/>
        <w:autoSpaceDN w:val="0"/>
        <w:adjustRightInd w:val="0"/>
        <w:ind w:left="851" w:hanging="851"/>
        <w:rPr>
          <w:rFonts w:ascii="Arial" w:hAnsi="Arial" w:cs="Arial"/>
          <w:sz w:val="20"/>
          <w:szCs w:val="20"/>
        </w:rPr>
      </w:pPr>
      <w:r w:rsidRPr="009E6B3C">
        <w:rPr>
          <w:rFonts w:ascii="Arial" w:hAnsi="Arial" w:cs="Arial"/>
          <w:sz w:val="20"/>
          <w:szCs w:val="20"/>
          <w:lang w:val="en-US"/>
        </w:rPr>
        <w:t>An amount of R34.3 million is reprioritised to Legal Aid SA over the MTEF period to capacitate the six newly established Specialised Commercial Crimes Courts in Limpopo</w:t>
      </w:r>
      <w:r w:rsidRPr="009E6B3C">
        <w:rPr>
          <w:rFonts w:ascii="Arial" w:hAnsi="Arial" w:cs="Arial"/>
          <w:sz w:val="20"/>
          <w:szCs w:val="20"/>
        </w:rPr>
        <w:t>, Mpumalanga, North West and the Northern Cape.</w:t>
      </w:r>
    </w:p>
    <w:p w:rsidR="008D17CE" w:rsidRPr="009E6B3C" w:rsidRDefault="008D17CE" w:rsidP="009E6B3C">
      <w:pPr>
        <w:autoSpaceDE w:val="0"/>
        <w:autoSpaceDN w:val="0"/>
        <w:adjustRightInd w:val="0"/>
        <w:rPr>
          <w:rFonts w:ascii="Arial" w:hAnsi="Arial" w:cs="Arial"/>
          <w:sz w:val="20"/>
          <w:szCs w:val="20"/>
          <w:lang/>
        </w:rPr>
      </w:pPr>
    </w:p>
    <w:p w:rsidR="00531EC8" w:rsidRPr="009E6B3C" w:rsidRDefault="009D5D91" w:rsidP="009E6B3C">
      <w:pPr>
        <w:numPr>
          <w:ilvl w:val="0"/>
          <w:numId w:val="1"/>
        </w:numPr>
        <w:tabs>
          <w:tab w:val="num" w:pos="851"/>
        </w:tabs>
        <w:ind w:left="851" w:hanging="851"/>
        <w:rPr>
          <w:rFonts w:ascii="Arial" w:hAnsi="Arial" w:cs="Arial"/>
          <w:b/>
          <w:sz w:val="20"/>
          <w:szCs w:val="20"/>
        </w:rPr>
      </w:pPr>
      <w:r w:rsidRPr="009E6B3C">
        <w:rPr>
          <w:rFonts w:ascii="Arial" w:hAnsi="Arial" w:cs="Arial"/>
          <w:b/>
          <w:sz w:val="20"/>
          <w:szCs w:val="20"/>
        </w:rPr>
        <w:t>Overview of audit o</w:t>
      </w:r>
      <w:r w:rsidR="00531EC8" w:rsidRPr="009E6B3C">
        <w:rPr>
          <w:rFonts w:ascii="Arial" w:hAnsi="Arial" w:cs="Arial"/>
          <w:b/>
          <w:sz w:val="20"/>
          <w:szCs w:val="20"/>
        </w:rPr>
        <w:t>utcome</w:t>
      </w:r>
      <w:r w:rsidRPr="009E6B3C">
        <w:rPr>
          <w:rFonts w:ascii="Arial" w:hAnsi="Arial" w:cs="Arial"/>
          <w:b/>
          <w:sz w:val="20"/>
          <w:szCs w:val="20"/>
        </w:rPr>
        <w:t>s 2021/22</w:t>
      </w:r>
    </w:p>
    <w:p w:rsidR="009D5D91" w:rsidRPr="009E6B3C" w:rsidRDefault="009D5D91" w:rsidP="009E6B3C">
      <w:pPr>
        <w:autoSpaceDE w:val="0"/>
        <w:autoSpaceDN w:val="0"/>
        <w:adjustRightInd w:val="0"/>
        <w:rPr>
          <w:rFonts w:ascii="Arial" w:eastAsiaTheme="minorHAnsi" w:hAnsi="Arial" w:cs="Arial"/>
          <w:b/>
          <w:color w:val="000000"/>
          <w:sz w:val="20"/>
          <w:szCs w:val="20"/>
          <w:highlight w:val="green"/>
          <w:lang w:eastAsia="en-US"/>
        </w:rPr>
      </w:pPr>
    </w:p>
    <w:p w:rsidR="00BE7B9C" w:rsidRPr="009E6B3C" w:rsidRDefault="009D5D91" w:rsidP="009E6B3C">
      <w:pPr>
        <w:pStyle w:val="ListParagraph"/>
        <w:numPr>
          <w:ilvl w:val="1"/>
          <w:numId w:val="43"/>
        </w:numPr>
        <w:ind w:left="851" w:hanging="851"/>
        <w:rPr>
          <w:rFonts w:ascii="Arial" w:eastAsiaTheme="minorHAnsi" w:hAnsi="Arial" w:cs="Arial"/>
          <w:color w:val="000000"/>
          <w:sz w:val="20"/>
          <w:szCs w:val="20"/>
          <w:lang w:eastAsia="en-US"/>
        </w:rPr>
      </w:pPr>
      <w:r w:rsidRPr="009E6B3C">
        <w:rPr>
          <w:rFonts w:ascii="Arial" w:hAnsi="Arial" w:cs="Arial"/>
          <w:sz w:val="20"/>
          <w:szCs w:val="20"/>
        </w:rPr>
        <w:t>The</w:t>
      </w:r>
      <w:r w:rsidRPr="009E6B3C">
        <w:rPr>
          <w:rFonts w:ascii="Arial" w:eastAsiaTheme="minorHAnsi" w:hAnsi="Arial" w:cs="Arial"/>
          <w:color w:val="000000"/>
          <w:sz w:val="20"/>
          <w:szCs w:val="20"/>
          <w:lang w:eastAsia="en-US"/>
        </w:rPr>
        <w:t xml:space="preserve"> Guardian’s Fund; President’s Fund; Justice Administration Fund; Legal Aid SA; PPSA; and SIU sustained an unqualified with no findings or ‘clean’ audit opinion for 2021/22.</w:t>
      </w:r>
      <w:r w:rsidR="00BE7B9C" w:rsidRPr="009E6B3C">
        <w:rPr>
          <w:rFonts w:ascii="Arial" w:eastAsiaTheme="minorHAnsi" w:hAnsi="Arial" w:cs="Arial"/>
          <w:color w:val="000000"/>
          <w:sz w:val="20"/>
          <w:szCs w:val="20"/>
          <w:lang w:eastAsia="en-US"/>
        </w:rPr>
        <w:t xml:space="preserve"> </w:t>
      </w:r>
    </w:p>
    <w:p w:rsidR="00BE7B9C" w:rsidRPr="009E6B3C" w:rsidRDefault="00BE7B9C" w:rsidP="009E6B3C">
      <w:pPr>
        <w:autoSpaceDE w:val="0"/>
        <w:autoSpaceDN w:val="0"/>
        <w:adjustRightInd w:val="0"/>
        <w:ind w:left="851"/>
        <w:rPr>
          <w:rFonts w:ascii="Arial" w:eastAsiaTheme="minorHAnsi" w:hAnsi="Arial" w:cs="Arial"/>
          <w:color w:val="000000"/>
          <w:sz w:val="20"/>
          <w:szCs w:val="20"/>
          <w:lang w:eastAsia="en-US"/>
        </w:rPr>
      </w:pPr>
    </w:p>
    <w:p w:rsidR="009D5D91" w:rsidRPr="009E6B3C" w:rsidRDefault="009D5D91" w:rsidP="009E6B3C">
      <w:pPr>
        <w:pStyle w:val="ListParagraph"/>
        <w:numPr>
          <w:ilvl w:val="1"/>
          <w:numId w:val="43"/>
        </w:numPr>
        <w:ind w:left="851" w:hanging="851"/>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Department received a repeat qualified audit opinion on contingent liabilities, with </w:t>
      </w:r>
      <w:r w:rsidR="00B50034" w:rsidRPr="009E6B3C">
        <w:rPr>
          <w:rFonts w:ascii="Arial" w:eastAsiaTheme="minorHAnsi" w:hAnsi="Arial" w:cs="Arial"/>
          <w:color w:val="000000"/>
          <w:sz w:val="20"/>
          <w:szCs w:val="20"/>
          <w:lang w:eastAsia="en-US"/>
        </w:rPr>
        <w:t xml:space="preserve">material </w:t>
      </w:r>
      <w:r w:rsidRPr="009E6B3C">
        <w:rPr>
          <w:rFonts w:ascii="Arial" w:eastAsiaTheme="minorHAnsi" w:hAnsi="Arial" w:cs="Arial"/>
          <w:color w:val="000000"/>
          <w:sz w:val="20"/>
          <w:szCs w:val="20"/>
          <w:lang w:eastAsia="en-US"/>
        </w:rPr>
        <w:t xml:space="preserve">findings on compliance and on performance information. </w:t>
      </w:r>
    </w:p>
    <w:p w:rsidR="009D5D91" w:rsidRPr="009E6B3C" w:rsidRDefault="009D5D91" w:rsidP="009E6B3C">
      <w:pPr>
        <w:pStyle w:val="ListParagraph"/>
        <w:autoSpaceDE w:val="0"/>
        <w:autoSpaceDN w:val="0"/>
        <w:adjustRightInd w:val="0"/>
        <w:ind w:left="851"/>
        <w:rPr>
          <w:rFonts w:ascii="Arial" w:eastAsiaTheme="minorHAnsi" w:hAnsi="Arial" w:cs="Arial"/>
          <w:color w:val="000000"/>
          <w:sz w:val="20"/>
          <w:szCs w:val="20"/>
          <w:lang w:eastAsia="en-US"/>
        </w:rPr>
      </w:pPr>
    </w:p>
    <w:p w:rsidR="009D5D91" w:rsidRPr="009E6B3C" w:rsidRDefault="009D5D91" w:rsidP="009E6B3C">
      <w:pPr>
        <w:pStyle w:val="ListParagraph"/>
        <w:numPr>
          <w:ilvl w:val="1"/>
          <w:numId w:val="43"/>
        </w:numPr>
        <w:ind w:left="851" w:hanging="851"/>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SAHRC once more received an unqualified audit opinion, with </w:t>
      </w:r>
      <w:r w:rsidR="00B50034" w:rsidRPr="009E6B3C">
        <w:rPr>
          <w:rFonts w:ascii="Arial" w:eastAsiaTheme="minorHAnsi" w:hAnsi="Arial" w:cs="Arial"/>
          <w:color w:val="000000"/>
          <w:sz w:val="20"/>
          <w:szCs w:val="20"/>
          <w:lang w:eastAsia="en-US"/>
        </w:rPr>
        <w:t xml:space="preserve">material </w:t>
      </w:r>
      <w:r w:rsidRPr="009E6B3C">
        <w:rPr>
          <w:rFonts w:ascii="Arial" w:eastAsiaTheme="minorHAnsi" w:hAnsi="Arial" w:cs="Arial"/>
          <w:color w:val="000000"/>
          <w:sz w:val="20"/>
          <w:szCs w:val="20"/>
          <w:lang w:eastAsia="en-US"/>
        </w:rPr>
        <w:t>findings on compliance and performance information.</w:t>
      </w:r>
    </w:p>
    <w:p w:rsidR="009D5D91" w:rsidRPr="009E6B3C" w:rsidRDefault="009D5D91" w:rsidP="009E6B3C">
      <w:pPr>
        <w:autoSpaceDE w:val="0"/>
        <w:autoSpaceDN w:val="0"/>
        <w:adjustRightInd w:val="0"/>
        <w:rPr>
          <w:rFonts w:ascii="Arial" w:eastAsiaTheme="minorHAnsi" w:hAnsi="Arial" w:cs="Arial"/>
          <w:color w:val="000000"/>
          <w:sz w:val="20"/>
          <w:szCs w:val="20"/>
          <w:highlight w:val="green"/>
          <w:lang w:eastAsia="en-US"/>
        </w:rPr>
      </w:pPr>
    </w:p>
    <w:p w:rsidR="009D5D91" w:rsidRPr="009E6B3C" w:rsidRDefault="009D5D91" w:rsidP="009E6B3C">
      <w:pPr>
        <w:pStyle w:val="ListParagraph"/>
        <w:numPr>
          <w:ilvl w:val="1"/>
          <w:numId w:val="43"/>
        </w:numPr>
        <w:ind w:left="851" w:hanging="851"/>
        <w:rPr>
          <w:rFonts w:ascii="Arial" w:eastAsiaTheme="minorHAnsi" w:hAnsi="Arial" w:cs="Arial"/>
          <w:i/>
          <w:color w:val="000000"/>
          <w:sz w:val="20"/>
          <w:szCs w:val="20"/>
          <w:lang w:eastAsia="en-US"/>
        </w:rPr>
      </w:pPr>
      <w:r w:rsidRPr="009E6B3C">
        <w:rPr>
          <w:rFonts w:ascii="Arial" w:eastAsiaTheme="minorHAnsi" w:hAnsi="Arial" w:cs="Arial"/>
          <w:i/>
          <w:color w:val="000000"/>
          <w:sz w:val="20"/>
          <w:szCs w:val="20"/>
          <w:lang w:eastAsia="en-US"/>
        </w:rPr>
        <w:t>Irregular expenditure</w:t>
      </w:r>
      <w:r w:rsidR="00D725AE" w:rsidRPr="009E6B3C">
        <w:rPr>
          <w:rFonts w:ascii="Arial" w:eastAsiaTheme="minorHAnsi" w:hAnsi="Arial" w:cs="Arial"/>
          <w:i/>
          <w:color w:val="000000"/>
          <w:sz w:val="20"/>
          <w:szCs w:val="20"/>
          <w:lang w:eastAsia="en-US"/>
        </w:rPr>
        <w:t xml:space="preserve"> 2021/22</w:t>
      </w:r>
    </w:p>
    <w:p w:rsidR="00977350" w:rsidRPr="009E6B3C" w:rsidRDefault="00977350" w:rsidP="009E6B3C">
      <w:pPr>
        <w:pStyle w:val="ListParagraph"/>
        <w:rPr>
          <w:rFonts w:ascii="Arial" w:eastAsiaTheme="minorHAnsi" w:hAnsi="Arial" w:cs="Arial"/>
          <w:color w:val="000000"/>
          <w:sz w:val="20"/>
          <w:szCs w:val="20"/>
          <w:lang w:eastAsia="en-US"/>
        </w:rPr>
      </w:pPr>
    </w:p>
    <w:p w:rsidR="009D5D91" w:rsidRPr="009E6B3C" w:rsidRDefault="00977350" w:rsidP="009E6B3C">
      <w:pPr>
        <w:pStyle w:val="ListParagraph"/>
        <w:numPr>
          <w:ilvl w:val="2"/>
          <w:numId w:val="43"/>
        </w:numPr>
        <w:autoSpaceDE w:val="0"/>
        <w:autoSpaceDN w:val="0"/>
        <w:adjustRightInd w:val="0"/>
        <w:ind w:left="851" w:hanging="851"/>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The following irregular expenditure was identified:</w:t>
      </w:r>
    </w:p>
    <w:p w:rsidR="00D725AE" w:rsidRPr="009E6B3C" w:rsidRDefault="00D725AE" w:rsidP="009E6B3C">
      <w:pPr>
        <w:autoSpaceDE w:val="0"/>
        <w:autoSpaceDN w:val="0"/>
        <w:adjustRightInd w:val="0"/>
        <w:rPr>
          <w:rFonts w:ascii="Arial" w:eastAsiaTheme="minorHAnsi" w:hAnsi="Arial" w:cs="Arial"/>
          <w:b/>
          <w:color w:val="000000"/>
          <w:sz w:val="20"/>
          <w:szCs w:val="20"/>
          <w:lang w:eastAsia="en-US"/>
        </w:rPr>
      </w:pPr>
    </w:p>
    <w:p w:rsidR="00977350" w:rsidRPr="009E6B3C" w:rsidRDefault="00D725AE" w:rsidP="009E6B3C">
      <w:pPr>
        <w:autoSpaceDE w:val="0"/>
        <w:autoSpaceDN w:val="0"/>
        <w:adjustRightInd w:val="0"/>
        <w:rPr>
          <w:rFonts w:ascii="Arial" w:eastAsiaTheme="minorHAnsi" w:hAnsi="Arial" w:cs="Arial"/>
          <w:b/>
          <w:i/>
          <w:color w:val="000000"/>
          <w:sz w:val="20"/>
          <w:szCs w:val="20"/>
          <w:lang w:eastAsia="en-US"/>
        </w:rPr>
      </w:pPr>
      <w:r w:rsidRPr="009E6B3C">
        <w:rPr>
          <w:rFonts w:ascii="Arial" w:eastAsiaTheme="minorHAnsi" w:hAnsi="Arial" w:cs="Arial"/>
          <w:b/>
          <w:i/>
          <w:color w:val="000000"/>
          <w:sz w:val="20"/>
          <w:szCs w:val="20"/>
          <w:lang w:eastAsia="en-US"/>
        </w:rPr>
        <w:t>Table 1: Irregular expenditure incurred 2021/22</w:t>
      </w:r>
    </w:p>
    <w:tbl>
      <w:tblPr>
        <w:tblStyle w:val="TableGrid"/>
        <w:tblW w:w="5000" w:type="pct"/>
        <w:tblLook w:val="04A0"/>
      </w:tblPr>
      <w:tblGrid>
        <w:gridCol w:w="1929"/>
        <w:gridCol w:w="1960"/>
        <w:gridCol w:w="1808"/>
        <w:gridCol w:w="1914"/>
        <w:gridCol w:w="2016"/>
      </w:tblGrid>
      <w:tr w:rsidR="009D5D91" w:rsidRPr="009E6B3C" w:rsidTr="006E3564">
        <w:tc>
          <w:tcPr>
            <w:tcW w:w="1002" w:type="pct"/>
            <w:shd w:val="clear" w:color="auto" w:fill="D9D9D9" w:themeFill="background1" w:themeFillShade="D9"/>
          </w:tcPr>
          <w:p w:rsidR="009D5D91" w:rsidRPr="009E6B3C" w:rsidRDefault="009D5D91" w:rsidP="009E6B3C">
            <w:pPr>
              <w:autoSpaceDE w:val="0"/>
              <w:autoSpaceDN w:val="0"/>
              <w:adjustRightInd w:val="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Auditee</w:t>
            </w:r>
          </w:p>
        </w:tc>
        <w:tc>
          <w:tcPr>
            <w:tcW w:w="1018" w:type="pct"/>
            <w:shd w:val="clear" w:color="auto" w:fill="D9D9D9" w:themeFill="background1" w:themeFillShade="D9"/>
          </w:tcPr>
          <w:p w:rsidR="009D5D91" w:rsidRPr="009E6B3C" w:rsidRDefault="009D5D91" w:rsidP="009E6B3C">
            <w:pPr>
              <w:autoSpaceDE w:val="0"/>
              <w:autoSpaceDN w:val="0"/>
              <w:adjustRightInd w:val="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Description</w:t>
            </w:r>
          </w:p>
        </w:tc>
        <w:tc>
          <w:tcPr>
            <w:tcW w:w="939" w:type="pct"/>
            <w:shd w:val="clear" w:color="auto" w:fill="D9D9D9" w:themeFill="background1" w:themeFillShade="D9"/>
          </w:tcPr>
          <w:p w:rsidR="009D5D91" w:rsidRPr="009E6B3C" w:rsidRDefault="009D5D91" w:rsidP="009E6B3C">
            <w:pPr>
              <w:autoSpaceDE w:val="0"/>
              <w:autoSpaceDN w:val="0"/>
              <w:adjustRightInd w:val="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Amount</w:t>
            </w:r>
          </w:p>
        </w:tc>
        <w:tc>
          <w:tcPr>
            <w:tcW w:w="994" w:type="pct"/>
            <w:shd w:val="clear" w:color="auto" w:fill="D9D9D9" w:themeFill="background1" w:themeFillShade="D9"/>
          </w:tcPr>
          <w:p w:rsidR="009D5D91" w:rsidRPr="009E6B3C" w:rsidRDefault="009D5D91" w:rsidP="009E6B3C">
            <w:pPr>
              <w:autoSpaceDE w:val="0"/>
              <w:autoSpaceDN w:val="0"/>
              <w:adjustRightInd w:val="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Cause</w:t>
            </w:r>
          </w:p>
        </w:tc>
        <w:tc>
          <w:tcPr>
            <w:tcW w:w="1047" w:type="pct"/>
            <w:shd w:val="clear" w:color="auto" w:fill="D9D9D9" w:themeFill="background1" w:themeFillShade="D9"/>
          </w:tcPr>
          <w:p w:rsidR="009D5D91" w:rsidRPr="009E6B3C" w:rsidRDefault="009D5D91" w:rsidP="009E6B3C">
            <w:pPr>
              <w:autoSpaceDE w:val="0"/>
              <w:autoSpaceDN w:val="0"/>
              <w:adjustRightInd w:val="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Impact</w:t>
            </w:r>
          </w:p>
        </w:tc>
      </w:tr>
      <w:tr w:rsidR="009D5D91" w:rsidRPr="009E6B3C" w:rsidTr="006E3564">
        <w:tc>
          <w:tcPr>
            <w:tcW w:w="1002"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Department</w:t>
            </w:r>
          </w:p>
        </w:tc>
        <w:tc>
          <w:tcPr>
            <w:tcW w:w="1018"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Bids which did not comply with the stipulated qualifying criteria were not disqualified.</w:t>
            </w:r>
          </w:p>
        </w:tc>
        <w:tc>
          <w:tcPr>
            <w:tcW w:w="939"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R859 million</w:t>
            </w:r>
          </w:p>
        </w:tc>
        <w:tc>
          <w:tcPr>
            <w:tcW w:w="994"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Bidders submitted fabricated documents.</w:t>
            </w:r>
          </w:p>
        </w:tc>
        <w:tc>
          <w:tcPr>
            <w:tcW w:w="104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Evaluation committee did not identify the discrepancies in the submitted records.</w:t>
            </w:r>
          </w:p>
        </w:tc>
      </w:tr>
      <w:tr w:rsidR="009D5D91" w:rsidRPr="009E6B3C" w:rsidTr="006E3564">
        <w:tc>
          <w:tcPr>
            <w:tcW w:w="1002"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SAHRC</w:t>
            </w:r>
          </w:p>
        </w:tc>
        <w:tc>
          <w:tcPr>
            <w:tcW w:w="1018"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Evaluation and adjudication criteria not applied consistently.</w:t>
            </w:r>
          </w:p>
        </w:tc>
        <w:tc>
          <w:tcPr>
            <w:tcW w:w="939"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R10.7 million</w:t>
            </w:r>
          </w:p>
        </w:tc>
        <w:tc>
          <w:tcPr>
            <w:tcW w:w="994"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Non-adherence to policies and procedure</w:t>
            </w:r>
            <w:r w:rsidR="00FD66CA" w:rsidRPr="009E6B3C">
              <w:rPr>
                <w:rFonts w:ascii="Arial" w:eastAsiaTheme="minorHAnsi" w:hAnsi="Arial" w:cs="Arial"/>
                <w:color w:val="000000"/>
                <w:sz w:val="20"/>
                <w:szCs w:val="20"/>
                <w:lang w:eastAsia="en-US"/>
              </w:rPr>
              <w:t>s.</w:t>
            </w:r>
          </w:p>
        </w:tc>
        <w:tc>
          <w:tcPr>
            <w:tcW w:w="104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Investigations are yet to be conducted</w:t>
            </w:r>
            <w:r w:rsidR="00FD66CA" w:rsidRPr="009E6B3C">
              <w:rPr>
                <w:rFonts w:ascii="Arial" w:eastAsiaTheme="minorHAnsi" w:hAnsi="Arial" w:cs="Arial"/>
                <w:color w:val="000000"/>
                <w:sz w:val="20"/>
                <w:szCs w:val="20"/>
                <w:lang w:eastAsia="en-US"/>
              </w:rPr>
              <w:t>.</w:t>
            </w:r>
          </w:p>
        </w:tc>
      </w:tr>
    </w:tbl>
    <w:p w:rsidR="009D5D91" w:rsidRPr="009E6B3C" w:rsidRDefault="009D5D91" w:rsidP="009E6B3C">
      <w:pPr>
        <w:autoSpaceDE w:val="0"/>
        <w:autoSpaceDN w:val="0"/>
        <w:adjustRightInd w:val="0"/>
        <w:rPr>
          <w:rFonts w:ascii="Arial" w:eastAsiaTheme="minorHAnsi" w:hAnsi="Arial" w:cs="Arial"/>
          <w:b/>
          <w:color w:val="000000"/>
          <w:sz w:val="20"/>
          <w:szCs w:val="20"/>
          <w:lang w:eastAsia="en-US"/>
        </w:rPr>
      </w:pPr>
    </w:p>
    <w:p w:rsidR="009D5D91" w:rsidRPr="009E6B3C" w:rsidRDefault="009D5D91" w:rsidP="009E6B3C">
      <w:pPr>
        <w:pStyle w:val="ListParagraph"/>
        <w:numPr>
          <w:ilvl w:val="2"/>
          <w:numId w:val="43"/>
        </w:numPr>
        <w:autoSpaceDE w:val="0"/>
        <w:autoSpaceDN w:val="0"/>
        <w:adjustRightInd w:val="0"/>
        <w:ind w:left="851" w:hanging="851"/>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w:t>
      </w:r>
      <w:r w:rsidR="007A0C1F" w:rsidRPr="009E6B3C">
        <w:rPr>
          <w:rFonts w:ascii="Arial" w:eastAsiaTheme="minorHAnsi" w:hAnsi="Arial" w:cs="Arial"/>
          <w:color w:val="000000"/>
          <w:sz w:val="20"/>
          <w:szCs w:val="20"/>
          <w:lang w:eastAsia="en-US"/>
        </w:rPr>
        <w:t>A</w:t>
      </w:r>
      <w:r w:rsidR="00FD66CA" w:rsidRPr="009E6B3C">
        <w:rPr>
          <w:rFonts w:ascii="Arial" w:eastAsiaTheme="minorHAnsi" w:hAnsi="Arial" w:cs="Arial"/>
          <w:color w:val="000000"/>
          <w:sz w:val="20"/>
          <w:szCs w:val="20"/>
          <w:lang w:eastAsia="en-US"/>
        </w:rPr>
        <w:t xml:space="preserve">uditor-General </w:t>
      </w:r>
      <w:r w:rsidRPr="009E6B3C">
        <w:rPr>
          <w:rFonts w:ascii="Arial" w:eastAsiaTheme="minorHAnsi" w:hAnsi="Arial" w:cs="Arial"/>
          <w:color w:val="000000"/>
          <w:sz w:val="20"/>
          <w:szCs w:val="20"/>
          <w:lang w:eastAsia="en-US"/>
        </w:rPr>
        <w:t>also report</w:t>
      </w:r>
      <w:r w:rsidR="00FD66CA" w:rsidRPr="009E6B3C">
        <w:rPr>
          <w:rFonts w:ascii="Arial" w:eastAsiaTheme="minorHAnsi" w:hAnsi="Arial" w:cs="Arial"/>
          <w:color w:val="000000"/>
          <w:sz w:val="20"/>
          <w:szCs w:val="20"/>
          <w:lang w:eastAsia="en-US"/>
        </w:rPr>
        <w:t>ed</w:t>
      </w:r>
      <w:r w:rsidRPr="009E6B3C">
        <w:rPr>
          <w:rFonts w:ascii="Arial" w:eastAsiaTheme="minorHAnsi" w:hAnsi="Arial" w:cs="Arial"/>
          <w:color w:val="000000"/>
          <w:sz w:val="20"/>
          <w:szCs w:val="20"/>
          <w:lang w:eastAsia="en-US"/>
        </w:rPr>
        <w:t xml:space="preserve"> that </w:t>
      </w:r>
      <w:r w:rsidR="00FD66CA" w:rsidRPr="009E6B3C">
        <w:rPr>
          <w:rFonts w:ascii="Arial" w:eastAsiaTheme="minorHAnsi" w:hAnsi="Arial" w:cs="Arial"/>
          <w:color w:val="000000"/>
          <w:sz w:val="20"/>
          <w:szCs w:val="20"/>
          <w:lang w:eastAsia="en-US"/>
        </w:rPr>
        <w:t xml:space="preserve">the Department’s </w:t>
      </w:r>
      <w:r w:rsidRPr="009E6B3C">
        <w:rPr>
          <w:rFonts w:ascii="Arial" w:eastAsiaTheme="minorHAnsi" w:hAnsi="Arial" w:cs="Arial"/>
          <w:color w:val="000000"/>
          <w:sz w:val="20"/>
          <w:szCs w:val="20"/>
          <w:lang w:eastAsia="en-US"/>
        </w:rPr>
        <w:t>investigation of irregular expenditure is not yet complete</w:t>
      </w:r>
      <w:r w:rsidR="00400729" w:rsidRPr="009E6B3C">
        <w:rPr>
          <w:rFonts w:ascii="Arial" w:eastAsiaTheme="minorHAnsi" w:hAnsi="Arial" w:cs="Arial"/>
          <w:color w:val="000000"/>
          <w:sz w:val="20"/>
          <w:szCs w:val="20"/>
          <w:lang w:eastAsia="en-US"/>
        </w:rPr>
        <w:t>, specifically</w:t>
      </w:r>
      <w:r w:rsidRPr="009E6B3C">
        <w:rPr>
          <w:rFonts w:ascii="Arial" w:eastAsiaTheme="minorHAnsi" w:hAnsi="Arial" w:cs="Arial"/>
          <w:color w:val="000000"/>
          <w:sz w:val="20"/>
          <w:szCs w:val="20"/>
          <w:lang w:eastAsia="en-US"/>
        </w:rPr>
        <w:t xml:space="preserve">: </w:t>
      </w:r>
    </w:p>
    <w:p w:rsidR="009D5D91" w:rsidRPr="009E6B3C" w:rsidRDefault="00D725AE" w:rsidP="009E6B3C">
      <w:pPr>
        <w:pStyle w:val="ListParagraph"/>
        <w:numPr>
          <w:ilvl w:val="0"/>
          <w:numId w:val="7"/>
        </w:numPr>
        <w:ind w:left="1276" w:hanging="425"/>
        <w:rPr>
          <w:rFonts w:ascii="Arial" w:hAnsi="Arial" w:cs="Arial"/>
          <w:sz w:val="20"/>
          <w:szCs w:val="20"/>
          <w:lang w:val="en-US"/>
        </w:rPr>
      </w:pPr>
      <w:r w:rsidRPr="009E6B3C">
        <w:rPr>
          <w:rFonts w:ascii="Arial" w:hAnsi="Arial" w:cs="Arial"/>
          <w:sz w:val="20"/>
          <w:szCs w:val="20"/>
          <w:lang w:val="en-US"/>
        </w:rPr>
        <w:t xml:space="preserve">For 2021/22, the Department </w:t>
      </w:r>
      <w:r w:rsidR="009D5D91" w:rsidRPr="009E6B3C">
        <w:rPr>
          <w:rFonts w:ascii="Arial" w:hAnsi="Arial" w:cs="Arial"/>
          <w:sz w:val="20"/>
          <w:szCs w:val="20"/>
          <w:lang w:val="en-US"/>
        </w:rPr>
        <w:t xml:space="preserve">reported instances of irregular </w:t>
      </w:r>
      <w:r w:rsidR="00FD66CA" w:rsidRPr="009E6B3C">
        <w:rPr>
          <w:rFonts w:ascii="Arial" w:hAnsi="Arial" w:cs="Arial"/>
          <w:sz w:val="20"/>
          <w:szCs w:val="20"/>
          <w:lang w:val="en-US"/>
        </w:rPr>
        <w:t>expenditure of R49.7 million</w:t>
      </w:r>
      <w:r w:rsidR="009D5D91" w:rsidRPr="009E6B3C">
        <w:rPr>
          <w:rFonts w:ascii="Arial" w:hAnsi="Arial" w:cs="Arial"/>
          <w:sz w:val="20"/>
          <w:szCs w:val="20"/>
          <w:lang w:val="en-US"/>
        </w:rPr>
        <w:t xml:space="preserve"> </w:t>
      </w:r>
      <w:r w:rsidR="00FD66CA" w:rsidRPr="009E6B3C">
        <w:rPr>
          <w:rFonts w:ascii="Arial" w:hAnsi="Arial" w:cs="Arial"/>
          <w:sz w:val="20"/>
          <w:szCs w:val="20"/>
          <w:lang w:val="en-US"/>
        </w:rPr>
        <w:t xml:space="preserve">that </w:t>
      </w:r>
      <w:r w:rsidR="00400729" w:rsidRPr="009E6B3C">
        <w:rPr>
          <w:rFonts w:ascii="Arial" w:hAnsi="Arial" w:cs="Arial"/>
          <w:sz w:val="20"/>
          <w:szCs w:val="20"/>
          <w:lang w:val="en-US"/>
        </w:rPr>
        <w:t xml:space="preserve">is under investigation </w:t>
      </w:r>
      <w:r w:rsidR="009D5D91" w:rsidRPr="009E6B3C">
        <w:rPr>
          <w:rFonts w:ascii="Arial" w:hAnsi="Arial" w:cs="Arial"/>
          <w:sz w:val="20"/>
          <w:szCs w:val="20"/>
          <w:lang w:val="en-US"/>
        </w:rPr>
        <w:t xml:space="preserve">relating to procurement processes not followed and renewal of contracts without obtaining necessary approvals. </w:t>
      </w:r>
    </w:p>
    <w:p w:rsidR="009D5D91" w:rsidRPr="009E6B3C" w:rsidRDefault="009D5D91" w:rsidP="009E6B3C">
      <w:pPr>
        <w:pStyle w:val="ListParagraph"/>
        <w:numPr>
          <w:ilvl w:val="0"/>
          <w:numId w:val="7"/>
        </w:numPr>
        <w:ind w:left="1276" w:hanging="425"/>
        <w:rPr>
          <w:rFonts w:ascii="Arial" w:hAnsi="Arial" w:cs="Arial"/>
          <w:bCs/>
          <w:sz w:val="20"/>
          <w:szCs w:val="20"/>
        </w:rPr>
      </w:pPr>
      <w:r w:rsidRPr="009E6B3C">
        <w:rPr>
          <w:rFonts w:ascii="Arial" w:hAnsi="Arial" w:cs="Arial"/>
          <w:sz w:val="20"/>
          <w:szCs w:val="20"/>
          <w:lang w:val="en-US"/>
        </w:rPr>
        <w:t>In addition, possible irregular expenditure for 2020/21</w:t>
      </w:r>
      <w:r w:rsidR="00FD66CA" w:rsidRPr="009E6B3C">
        <w:rPr>
          <w:rFonts w:ascii="Arial" w:hAnsi="Arial" w:cs="Arial"/>
          <w:sz w:val="20"/>
          <w:szCs w:val="20"/>
          <w:lang w:val="en-US"/>
        </w:rPr>
        <w:t>,</w:t>
      </w:r>
      <w:r w:rsidRPr="009E6B3C">
        <w:rPr>
          <w:rFonts w:ascii="Arial" w:hAnsi="Arial" w:cs="Arial"/>
          <w:sz w:val="20"/>
          <w:szCs w:val="20"/>
          <w:lang w:val="en-US"/>
        </w:rPr>
        <w:t xml:space="preserve"> amounting to R999 million is being</w:t>
      </w:r>
      <w:r w:rsidRPr="009E6B3C">
        <w:rPr>
          <w:rFonts w:ascii="Arial" w:hAnsi="Arial" w:cs="Arial"/>
          <w:bCs/>
          <w:sz w:val="20"/>
          <w:szCs w:val="20"/>
        </w:rPr>
        <w:t xml:space="preserve"> investigated.</w:t>
      </w:r>
    </w:p>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p>
    <w:p w:rsidR="009D5D91" w:rsidRPr="009E6B3C" w:rsidRDefault="009D5D91" w:rsidP="009E6B3C">
      <w:pPr>
        <w:pStyle w:val="ListParagraph"/>
        <w:numPr>
          <w:ilvl w:val="2"/>
          <w:numId w:val="43"/>
        </w:numPr>
        <w:autoSpaceDE w:val="0"/>
        <w:autoSpaceDN w:val="0"/>
        <w:adjustRightInd w:val="0"/>
        <w:ind w:left="851" w:hanging="851"/>
        <w:rPr>
          <w:rFonts w:ascii="Arial" w:eastAsiaTheme="minorHAnsi" w:hAnsi="Arial" w:cs="Arial"/>
          <w:color w:val="000000"/>
          <w:sz w:val="20"/>
          <w:szCs w:val="20"/>
          <w:lang w:eastAsia="en-US"/>
        </w:rPr>
      </w:pPr>
      <w:r w:rsidRPr="009E6B3C">
        <w:rPr>
          <w:rFonts w:ascii="Arial" w:eastAsiaTheme="minorHAnsi" w:hAnsi="Arial" w:cs="Arial"/>
          <w:i/>
          <w:color w:val="000000"/>
          <w:sz w:val="20"/>
          <w:szCs w:val="20"/>
          <w:lang w:eastAsia="en-US"/>
        </w:rPr>
        <w:t xml:space="preserve">Commitments proposed to </w:t>
      </w:r>
      <w:r w:rsidR="00B50034" w:rsidRPr="009E6B3C">
        <w:rPr>
          <w:rFonts w:ascii="Arial" w:eastAsiaTheme="minorHAnsi" w:hAnsi="Arial" w:cs="Arial"/>
          <w:i/>
          <w:color w:val="000000"/>
          <w:sz w:val="20"/>
          <w:szCs w:val="20"/>
          <w:lang w:eastAsia="en-US"/>
        </w:rPr>
        <w:t>the Committee</w:t>
      </w:r>
      <w:r w:rsidR="00B50034" w:rsidRPr="009E6B3C">
        <w:rPr>
          <w:rFonts w:ascii="Arial" w:eastAsiaTheme="minorHAnsi" w:hAnsi="Arial" w:cs="Arial"/>
          <w:b/>
          <w:color w:val="000000"/>
          <w:sz w:val="20"/>
          <w:szCs w:val="20"/>
          <w:lang w:eastAsia="en-US"/>
        </w:rPr>
        <w:t xml:space="preserve">. </w:t>
      </w:r>
      <w:r w:rsidRPr="009E6B3C">
        <w:rPr>
          <w:rFonts w:ascii="Arial" w:eastAsiaTheme="minorHAnsi" w:hAnsi="Arial" w:cs="Arial"/>
          <w:color w:val="000000"/>
          <w:sz w:val="20"/>
          <w:szCs w:val="20"/>
          <w:lang w:eastAsia="en-US"/>
        </w:rPr>
        <w:t>The A</w:t>
      </w:r>
      <w:r w:rsidR="00FD66CA" w:rsidRPr="009E6B3C">
        <w:rPr>
          <w:rFonts w:ascii="Arial" w:eastAsiaTheme="minorHAnsi" w:hAnsi="Arial" w:cs="Arial"/>
          <w:color w:val="000000"/>
          <w:sz w:val="20"/>
          <w:szCs w:val="20"/>
          <w:lang w:eastAsia="en-US"/>
        </w:rPr>
        <w:t>uditor-</w:t>
      </w:r>
      <w:r w:rsidR="0058074D" w:rsidRPr="009E6B3C">
        <w:rPr>
          <w:rFonts w:ascii="Arial" w:eastAsiaTheme="minorHAnsi" w:hAnsi="Arial" w:cs="Arial"/>
          <w:color w:val="000000"/>
          <w:sz w:val="20"/>
          <w:szCs w:val="20"/>
          <w:lang w:eastAsia="en-US"/>
        </w:rPr>
        <w:t>G</w:t>
      </w:r>
      <w:r w:rsidR="00FD66CA" w:rsidRPr="009E6B3C">
        <w:rPr>
          <w:rFonts w:ascii="Arial" w:eastAsiaTheme="minorHAnsi" w:hAnsi="Arial" w:cs="Arial"/>
          <w:color w:val="000000"/>
          <w:sz w:val="20"/>
          <w:szCs w:val="20"/>
          <w:lang w:eastAsia="en-US"/>
        </w:rPr>
        <w:t xml:space="preserve">eneral </w:t>
      </w:r>
      <w:r w:rsidRPr="009E6B3C">
        <w:rPr>
          <w:rFonts w:ascii="Arial" w:eastAsiaTheme="minorHAnsi" w:hAnsi="Arial" w:cs="Arial"/>
          <w:color w:val="000000"/>
          <w:sz w:val="20"/>
          <w:szCs w:val="20"/>
          <w:lang w:eastAsia="en-US"/>
        </w:rPr>
        <w:t>proposes that the Committee make the following commitments to strengthen the effectiveness of its oversight function:</w:t>
      </w:r>
    </w:p>
    <w:p w:rsidR="00FD66CA" w:rsidRPr="009E6B3C" w:rsidRDefault="00FD66CA" w:rsidP="009E6B3C">
      <w:pPr>
        <w:pStyle w:val="ListParagraph"/>
        <w:autoSpaceDE w:val="0"/>
        <w:autoSpaceDN w:val="0"/>
        <w:adjustRightInd w:val="0"/>
        <w:ind w:left="851"/>
        <w:rPr>
          <w:rFonts w:ascii="Arial" w:eastAsiaTheme="minorHAnsi" w:hAnsi="Arial" w:cs="Arial"/>
          <w:color w:val="000000"/>
          <w:sz w:val="20"/>
          <w:szCs w:val="20"/>
          <w:lang w:eastAsia="en-US"/>
        </w:rPr>
      </w:pPr>
    </w:p>
    <w:p w:rsidR="009D5D91" w:rsidRPr="009E6B3C" w:rsidRDefault="00FD66CA" w:rsidP="009E6B3C">
      <w:pPr>
        <w:autoSpaceDE w:val="0"/>
        <w:autoSpaceDN w:val="0"/>
        <w:adjustRightInd w:val="0"/>
        <w:rPr>
          <w:rFonts w:ascii="Arial" w:eastAsiaTheme="minorHAnsi" w:hAnsi="Arial" w:cs="Arial"/>
          <w:b/>
          <w:i/>
          <w:color w:val="000000"/>
          <w:sz w:val="20"/>
          <w:szCs w:val="20"/>
          <w:lang w:eastAsia="en-US"/>
        </w:rPr>
      </w:pPr>
      <w:r w:rsidRPr="009E6B3C">
        <w:rPr>
          <w:rFonts w:ascii="Arial" w:eastAsiaTheme="minorHAnsi" w:hAnsi="Arial" w:cs="Arial"/>
          <w:b/>
          <w:i/>
          <w:color w:val="000000"/>
          <w:sz w:val="20"/>
          <w:szCs w:val="20"/>
          <w:lang w:eastAsia="en-US"/>
        </w:rPr>
        <w:t xml:space="preserve">Table 2: Table of proposed </w:t>
      </w:r>
      <w:r w:rsidR="007C1CAE" w:rsidRPr="009E6B3C">
        <w:rPr>
          <w:rFonts w:ascii="Arial" w:eastAsiaTheme="minorHAnsi" w:hAnsi="Arial" w:cs="Arial"/>
          <w:b/>
          <w:i/>
          <w:color w:val="000000"/>
          <w:sz w:val="20"/>
          <w:szCs w:val="20"/>
          <w:lang w:eastAsia="en-US"/>
        </w:rPr>
        <w:t xml:space="preserve">Committee </w:t>
      </w:r>
      <w:r w:rsidRPr="009E6B3C">
        <w:rPr>
          <w:rFonts w:ascii="Arial" w:eastAsiaTheme="minorHAnsi" w:hAnsi="Arial" w:cs="Arial"/>
          <w:b/>
          <w:i/>
          <w:color w:val="000000"/>
          <w:sz w:val="20"/>
          <w:szCs w:val="20"/>
          <w:lang w:eastAsia="en-US"/>
        </w:rPr>
        <w:t>commitments</w:t>
      </w:r>
    </w:p>
    <w:tbl>
      <w:tblPr>
        <w:tblStyle w:val="TableGrid"/>
        <w:tblW w:w="5000" w:type="pct"/>
        <w:tblLook w:val="04A0"/>
      </w:tblPr>
      <w:tblGrid>
        <w:gridCol w:w="1989"/>
        <w:gridCol w:w="7638"/>
      </w:tblGrid>
      <w:tr w:rsidR="009D5D91" w:rsidRPr="009E6B3C" w:rsidTr="00D725AE">
        <w:trPr>
          <w:tblHeader/>
        </w:trPr>
        <w:tc>
          <w:tcPr>
            <w:tcW w:w="1033" w:type="pct"/>
            <w:shd w:val="clear" w:color="auto" w:fill="D9D9D9" w:themeFill="background1" w:themeFillShade="D9"/>
          </w:tcPr>
          <w:p w:rsidR="009D5D91" w:rsidRPr="009E6B3C" w:rsidRDefault="009D5D91" w:rsidP="009E6B3C">
            <w:pPr>
              <w:autoSpaceDE w:val="0"/>
              <w:autoSpaceDN w:val="0"/>
              <w:adjustRightInd w:val="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Institution</w:t>
            </w:r>
          </w:p>
        </w:tc>
        <w:tc>
          <w:tcPr>
            <w:tcW w:w="3967" w:type="pct"/>
            <w:shd w:val="clear" w:color="auto" w:fill="D9D9D9" w:themeFill="background1" w:themeFillShade="D9"/>
          </w:tcPr>
          <w:p w:rsidR="009D5D91" w:rsidRPr="009E6B3C" w:rsidRDefault="009D5D91" w:rsidP="009E6B3C">
            <w:pPr>
              <w:autoSpaceDE w:val="0"/>
              <w:autoSpaceDN w:val="0"/>
              <w:adjustRightInd w:val="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Proposed commitment</w:t>
            </w:r>
          </w:p>
        </w:tc>
      </w:tr>
      <w:tr w:rsidR="009D5D91" w:rsidRPr="009E6B3C" w:rsidTr="00D725AE">
        <w:tc>
          <w:tcPr>
            <w:tcW w:w="1033" w:type="pct"/>
            <w:vMerge w:val="restar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Department</w:t>
            </w:r>
          </w:p>
        </w:tc>
        <w:tc>
          <w:tcPr>
            <w:tcW w:w="396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Monitor the implementation of record keeping management in the State Attorney’s office, that is the development of </w:t>
            </w:r>
            <w:r w:rsidR="00FD66CA" w:rsidRPr="009E6B3C">
              <w:rPr>
                <w:rFonts w:ascii="Arial" w:eastAsiaTheme="minorHAnsi" w:hAnsi="Arial" w:cs="Arial"/>
                <w:color w:val="000000"/>
                <w:sz w:val="20"/>
                <w:szCs w:val="20"/>
                <w:lang w:eastAsia="en-US"/>
              </w:rPr>
              <w:t>a</w:t>
            </w:r>
            <w:r w:rsidRPr="009E6B3C">
              <w:rPr>
                <w:rFonts w:ascii="Arial" w:eastAsiaTheme="minorHAnsi" w:hAnsi="Arial" w:cs="Arial"/>
                <w:color w:val="000000"/>
                <w:sz w:val="20"/>
                <w:szCs w:val="20"/>
                <w:lang w:eastAsia="en-US"/>
              </w:rPr>
              <w:t xml:space="preserve"> consolidated state litigations</w:t>
            </w:r>
            <w:r w:rsidR="00FD66CA" w:rsidRPr="009E6B3C">
              <w:rPr>
                <w:rFonts w:ascii="Arial" w:eastAsiaTheme="minorHAnsi" w:hAnsi="Arial" w:cs="Arial"/>
                <w:color w:val="000000"/>
                <w:sz w:val="20"/>
                <w:szCs w:val="20"/>
                <w:lang w:eastAsia="en-US"/>
              </w:rPr>
              <w:t>’</w:t>
            </w:r>
            <w:r w:rsidRPr="009E6B3C">
              <w:rPr>
                <w:rFonts w:ascii="Arial" w:eastAsiaTheme="minorHAnsi" w:hAnsi="Arial" w:cs="Arial"/>
                <w:color w:val="000000"/>
                <w:sz w:val="20"/>
                <w:szCs w:val="20"/>
                <w:lang w:eastAsia="en-US"/>
              </w:rPr>
              <w:t xml:space="preserve"> register.</w:t>
            </w:r>
          </w:p>
        </w:tc>
      </w:tr>
      <w:tr w:rsidR="009D5D91" w:rsidRPr="009E6B3C" w:rsidTr="00D725AE">
        <w:tc>
          <w:tcPr>
            <w:tcW w:w="1033" w:type="pct"/>
            <w:vMerge/>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p>
        </w:tc>
        <w:tc>
          <w:tcPr>
            <w:tcW w:w="396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Monitor the progress of the implementation of the strategy for reducing state litigations.</w:t>
            </w:r>
          </w:p>
        </w:tc>
      </w:tr>
      <w:tr w:rsidR="009D5D91" w:rsidRPr="009E6B3C" w:rsidTr="00D725AE">
        <w:tc>
          <w:tcPr>
            <w:tcW w:w="1033" w:type="pct"/>
            <w:vMerge/>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p>
        </w:tc>
        <w:tc>
          <w:tcPr>
            <w:tcW w:w="396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Obtain regular feedback from the Department on the action plan to address the findings on the contingent liabilities and performance management issues.</w:t>
            </w:r>
          </w:p>
        </w:tc>
      </w:tr>
      <w:tr w:rsidR="009D5D91" w:rsidRPr="009E6B3C" w:rsidTr="00D725AE">
        <w:tc>
          <w:tcPr>
            <w:tcW w:w="1033"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SAHRC</w:t>
            </w:r>
          </w:p>
        </w:tc>
        <w:tc>
          <w:tcPr>
            <w:tcW w:w="396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Monitor the vacancies at the SAHRC, especially in key positions such as the that of the CFO.</w:t>
            </w:r>
          </w:p>
        </w:tc>
      </w:tr>
      <w:tr w:rsidR="009D5D91" w:rsidRPr="009E6B3C" w:rsidTr="00D725AE">
        <w:tc>
          <w:tcPr>
            <w:tcW w:w="1033"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PPSA</w:t>
            </w:r>
          </w:p>
        </w:tc>
        <w:tc>
          <w:tcPr>
            <w:tcW w:w="396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Obtain quarterly updates on the implementation of remedial actions, which the Committee could share with relevant committees for monitoring and follow-ups on implementation.</w:t>
            </w:r>
          </w:p>
        </w:tc>
      </w:tr>
      <w:tr w:rsidR="009D5D91" w:rsidRPr="009E6B3C" w:rsidTr="00D725AE">
        <w:tc>
          <w:tcPr>
            <w:tcW w:w="1033"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SIU</w:t>
            </w:r>
          </w:p>
        </w:tc>
        <w:tc>
          <w:tcPr>
            <w:tcW w:w="3967" w:type="pct"/>
          </w:tcPr>
          <w:p w:rsidR="009D5D91" w:rsidRPr="009E6B3C" w:rsidRDefault="009D5D91" w:rsidP="009E6B3C">
            <w:p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Share the details of long outstanding debts at the SIU with relevant committees so that these committees also follow-up on non-payment.</w:t>
            </w:r>
          </w:p>
        </w:tc>
      </w:tr>
    </w:tbl>
    <w:p w:rsidR="009D5D91" w:rsidRPr="009E6B3C" w:rsidRDefault="009D5D91" w:rsidP="009E6B3C">
      <w:pPr>
        <w:autoSpaceDE w:val="0"/>
        <w:autoSpaceDN w:val="0"/>
        <w:adjustRightInd w:val="0"/>
        <w:rPr>
          <w:rFonts w:ascii="Arial" w:eastAsiaTheme="minorHAnsi" w:hAnsi="Arial" w:cs="Arial"/>
          <w:b/>
          <w:color w:val="000000"/>
          <w:sz w:val="20"/>
          <w:szCs w:val="20"/>
          <w:lang w:eastAsia="en-US"/>
        </w:rPr>
      </w:pPr>
    </w:p>
    <w:p w:rsidR="00B50034" w:rsidRPr="009E6B3C" w:rsidRDefault="00B50034" w:rsidP="009E6B3C">
      <w:pPr>
        <w:pStyle w:val="ListParagraph"/>
        <w:numPr>
          <w:ilvl w:val="1"/>
          <w:numId w:val="43"/>
        </w:numPr>
        <w:ind w:left="851" w:hanging="851"/>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Further details</w:t>
      </w:r>
      <w:r w:rsidR="00D725AE" w:rsidRPr="009E6B3C">
        <w:rPr>
          <w:rFonts w:ascii="Arial" w:eastAsiaTheme="minorHAnsi" w:hAnsi="Arial" w:cs="Arial"/>
          <w:color w:val="000000"/>
          <w:sz w:val="20"/>
          <w:szCs w:val="20"/>
          <w:lang w:eastAsia="en-US"/>
        </w:rPr>
        <w:t xml:space="preserve"> of </w:t>
      </w:r>
      <w:r w:rsidRPr="009E6B3C">
        <w:rPr>
          <w:rFonts w:ascii="Arial" w:eastAsiaTheme="minorHAnsi" w:hAnsi="Arial" w:cs="Arial"/>
          <w:color w:val="000000"/>
          <w:sz w:val="20"/>
          <w:szCs w:val="20"/>
          <w:lang w:eastAsia="en-US"/>
        </w:rPr>
        <w:t>the A</w:t>
      </w:r>
      <w:r w:rsidR="00FD66CA" w:rsidRPr="009E6B3C">
        <w:rPr>
          <w:rFonts w:ascii="Arial" w:eastAsiaTheme="minorHAnsi" w:hAnsi="Arial" w:cs="Arial"/>
          <w:color w:val="000000"/>
          <w:sz w:val="20"/>
          <w:szCs w:val="20"/>
          <w:lang w:eastAsia="en-US"/>
        </w:rPr>
        <w:t>uditor-General’s</w:t>
      </w:r>
      <w:r w:rsidRPr="009E6B3C">
        <w:rPr>
          <w:rFonts w:ascii="Arial" w:eastAsiaTheme="minorHAnsi" w:hAnsi="Arial" w:cs="Arial"/>
          <w:color w:val="000000"/>
          <w:sz w:val="20"/>
          <w:szCs w:val="20"/>
          <w:lang w:eastAsia="en-US"/>
        </w:rPr>
        <w:t xml:space="preserve"> findings are contained under the relevant institution.</w:t>
      </w:r>
    </w:p>
    <w:p w:rsidR="00531EC8" w:rsidRPr="009E6B3C" w:rsidRDefault="00B50034" w:rsidP="009E6B3C">
      <w:pPr>
        <w:pStyle w:val="ListParagraph"/>
        <w:autoSpaceDE w:val="0"/>
        <w:autoSpaceDN w:val="0"/>
        <w:adjustRightInd w:val="0"/>
        <w:ind w:left="851"/>
        <w:rPr>
          <w:rFonts w:ascii="Arial" w:eastAsiaTheme="minorHAnsi" w:hAnsi="Arial" w:cs="Arial"/>
          <w:color w:val="000000"/>
          <w:sz w:val="20"/>
          <w:szCs w:val="20"/>
          <w:highlight w:val="green"/>
          <w:lang w:eastAsia="en-US"/>
        </w:rPr>
      </w:pPr>
      <w:r w:rsidRPr="009E6B3C">
        <w:rPr>
          <w:rFonts w:ascii="Arial" w:eastAsiaTheme="minorHAnsi" w:hAnsi="Arial" w:cs="Arial"/>
          <w:color w:val="000000"/>
          <w:sz w:val="20"/>
          <w:szCs w:val="20"/>
          <w:highlight w:val="green"/>
          <w:lang w:eastAsia="en-US"/>
        </w:rPr>
        <w:t xml:space="preserve"> </w:t>
      </w:r>
    </w:p>
    <w:p w:rsidR="006D6E27" w:rsidRPr="009E6B3C" w:rsidRDefault="006D6E27" w:rsidP="009E6B3C">
      <w:pPr>
        <w:numPr>
          <w:ilvl w:val="0"/>
          <w:numId w:val="1"/>
        </w:numPr>
        <w:tabs>
          <w:tab w:val="num" w:pos="851"/>
        </w:tabs>
        <w:ind w:left="851" w:hanging="851"/>
        <w:rPr>
          <w:rFonts w:ascii="Arial" w:hAnsi="Arial" w:cs="Arial"/>
          <w:b/>
          <w:sz w:val="20"/>
          <w:szCs w:val="20"/>
        </w:rPr>
      </w:pPr>
      <w:r w:rsidRPr="009E6B3C">
        <w:rPr>
          <w:rFonts w:ascii="Arial" w:hAnsi="Arial" w:cs="Arial"/>
          <w:b/>
          <w:sz w:val="20"/>
          <w:szCs w:val="20"/>
        </w:rPr>
        <w:t>Budgetary Review and Recommendation Report (BRRR) (2021) and Minister of Finance’s response to Parliament</w:t>
      </w:r>
    </w:p>
    <w:p w:rsidR="006D6E27" w:rsidRPr="009E6B3C" w:rsidRDefault="006D6E27" w:rsidP="009E6B3C">
      <w:pPr>
        <w:autoSpaceDE w:val="0"/>
        <w:autoSpaceDN w:val="0"/>
        <w:adjustRightInd w:val="0"/>
        <w:ind w:left="720"/>
        <w:rPr>
          <w:rFonts w:ascii="Arial" w:hAnsi="Arial" w:cs="Arial"/>
          <w:b/>
          <w:sz w:val="20"/>
          <w:szCs w:val="20"/>
        </w:rPr>
      </w:pPr>
    </w:p>
    <w:p w:rsidR="006D6E27" w:rsidRPr="009E6B3C" w:rsidRDefault="006D6E27" w:rsidP="009E6B3C">
      <w:pPr>
        <w:pStyle w:val="ListParagraph"/>
        <w:numPr>
          <w:ilvl w:val="1"/>
          <w:numId w:val="44"/>
        </w:numPr>
        <w:ind w:left="851" w:hanging="851"/>
        <w:rPr>
          <w:rFonts w:ascii="Arial" w:hAnsi="Arial" w:cs="Arial"/>
          <w:sz w:val="20"/>
          <w:szCs w:val="20"/>
        </w:rPr>
      </w:pPr>
      <w:r w:rsidRPr="009E6B3C">
        <w:rPr>
          <w:rFonts w:ascii="Arial" w:eastAsiaTheme="minorHAnsi" w:hAnsi="Arial" w:cs="Arial"/>
          <w:color w:val="000000"/>
          <w:sz w:val="20"/>
          <w:szCs w:val="20"/>
          <w:lang w:eastAsia="en-US"/>
        </w:rPr>
        <w:lastRenderedPageBreak/>
        <w:t>In</w:t>
      </w:r>
      <w:r w:rsidRPr="009E6B3C">
        <w:rPr>
          <w:rFonts w:ascii="Arial" w:hAnsi="Arial" w:cs="Arial"/>
          <w:sz w:val="20"/>
          <w:szCs w:val="20"/>
        </w:rPr>
        <w:t xml:space="preserve"> the Budgetary Review and Recommendation Report (BRRR) (December 2021), the Committee expressed concern that the reduced salaries’ budget will affect the overall effectiveness of the legal system, which relies heavily on warm bodies to deliver a wide range of services. The Committee was especially concerned that a reduced staff establishment would undermine the work needed to create a transformed and responsive justice system. </w:t>
      </w:r>
    </w:p>
    <w:p w:rsidR="006D6E27" w:rsidRPr="009E6B3C" w:rsidRDefault="006D6E27" w:rsidP="009E6B3C">
      <w:pPr>
        <w:pStyle w:val="ListParagraph"/>
        <w:rPr>
          <w:rFonts w:ascii="Arial" w:hAnsi="Arial" w:cs="Arial"/>
          <w:sz w:val="20"/>
          <w:szCs w:val="20"/>
        </w:rPr>
      </w:pPr>
    </w:p>
    <w:p w:rsidR="006D6E27" w:rsidRPr="009E6B3C" w:rsidRDefault="006D6E27" w:rsidP="009E6B3C">
      <w:pPr>
        <w:pStyle w:val="ListParagraph"/>
        <w:numPr>
          <w:ilvl w:val="1"/>
          <w:numId w:val="44"/>
        </w:numPr>
        <w:ind w:left="851" w:hanging="851"/>
        <w:rPr>
          <w:rFonts w:ascii="Arial" w:hAnsi="Arial" w:cs="Arial"/>
          <w:sz w:val="20"/>
          <w:szCs w:val="20"/>
        </w:rPr>
      </w:pPr>
      <w:r w:rsidRPr="009E6B3C">
        <w:rPr>
          <w:rFonts w:ascii="Arial" w:eastAsiaTheme="minorHAnsi" w:hAnsi="Arial" w:cs="Arial"/>
          <w:color w:val="000000"/>
          <w:sz w:val="20"/>
          <w:szCs w:val="20"/>
          <w:lang w:eastAsia="en-US"/>
        </w:rPr>
        <w:t>Specifically</w:t>
      </w:r>
      <w:r w:rsidRPr="009E6B3C">
        <w:rPr>
          <w:rFonts w:ascii="Arial" w:hAnsi="Arial" w:cs="Arial"/>
          <w:sz w:val="20"/>
          <w:szCs w:val="20"/>
        </w:rPr>
        <w:t>, the Committee did not support budget reductions in the case of the NPA, Legal Aid SA, and the SIU; and also recommended that additional funding be allocated to the NPA, for the Independent Directorate and for Witness Protection; the Information Regulator, for capacity and to fund its responsibilities in terms of PAIA; and Legal Aid SA for land matters; as well as to the PPSA and SAHRC.</w:t>
      </w:r>
    </w:p>
    <w:p w:rsidR="006D6E27" w:rsidRPr="009E6B3C" w:rsidRDefault="006D6E27" w:rsidP="009E6B3C">
      <w:pPr>
        <w:autoSpaceDE w:val="0"/>
        <w:autoSpaceDN w:val="0"/>
        <w:adjustRightInd w:val="0"/>
        <w:ind w:left="1353"/>
        <w:rPr>
          <w:rFonts w:ascii="Arial" w:hAnsi="Arial" w:cs="Arial"/>
          <w:sz w:val="20"/>
          <w:szCs w:val="20"/>
        </w:rPr>
      </w:pPr>
    </w:p>
    <w:p w:rsidR="006D6E27" w:rsidRPr="009E6B3C" w:rsidRDefault="006D6E27" w:rsidP="009E6B3C">
      <w:pPr>
        <w:pStyle w:val="ListParagraph"/>
        <w:numPr>
          <w:ilvl w:val="1"/>
          <w:numId w:val="44"/>
        </w:numPr>
        <w:ind w:left="851" w:hanging="851"/>
        <w:rPr>
          <w:rFonts w:ascii="Arial" w:hAnsi="Arial" w:cs="Arial"/>
          <w:sz w:val="20"/>
          <w:szCs w:val="20"/>
        </w:rPr>
      </w:pPr>
      <w:r w:rsidRPr="009E6B3C">
        <w:rPr>
          <w:rFonts w:ascii="Arial" w:eastAsiaTheme="minorHAnsi" w:hAnsi="Arial" w:cs="Arial"/>
          <w:color w:val="000000"/>
          <w:sz w:val="20"/>
          <w:szCs w:val="20"/>
          <w:lang w:eastAsia="en-US"/>
        </w:rPr>
        <w:t>The</w:t>
      </w:r>
      <w:r w:rsidRPr="009E6B3C">
        <w:rPr>
          <w:rFonts w:ascii="Arial" w:hAnsi="Arial" w:cs="Arial"/>
          <w:sz w:val="20"/>
          <w:szCs w:val="20"/>
        </w:rPr>
        <w:t xml:space="preserve"> Committee also observed that an appropriate funding model for the Chapter 9 institutions is necessary. </w:t>
      </w:r>
    </w:p>
    <w:p w:rsidR="006D6E27" w:rsidRPr="009E6B3C" w:rsidRDefault="006D6E27" w:rsidP="009E6B3C">
      <w:pPr>
        <w:autoSpaceDE w:val="0"/>
        <w:autoSpaceDN w:val="0"/>
        <w:adjustRightInd w:val="0"/>
        <w:ind w:left="851"/>
        <w:rPr>
          <w:rFonts w:ascii="Arial" w:hAnsi="Arial" w:cs="Arial"/>
          <w:sz w:val="20"/>
          <w:szCs w:val="20"/>
        </w:rPr>
      </w:pPr>
    </w:p>
    <w:p w:rsidR="006D6E27" w:rsidRPr="009E6B3C" w:rsidRDefault="006D6E27" w:rsidP="009E6B3C">
      <w:pPr>
        <w:pStyle w:val="ListParagraph"/>
        <w:numPr>
          <w:ilvl w:val="1"/>
          <w:numId w:val="44"/>
        </w:numPr>
        <w:ind w:left="851" w:hanging="851"/>
        <w:rPr>
          <w:rFonts w:ascii="Arial" w:hAnsi="Arial" w:cs="Arial"/>
          <w:sz w:val="20"/>
          <w:szCs w:val="20"/>
          <w:lang/>
        </w:rPr>
      </w:pPr>
      <w:r w:rsidRPr="009E6B3C">
        <w:rPr>
          <w:rFonts w:ascii="Arial" w:hAnsi="Arial" w:cs="Arial"/>
          <w:sz w:val="20"/>
          <w:szCs w:val="20"/>
        </w:rPr>
        <w:t xml:space="preserve">The Minister of Finance responded to the recommendations as follows: </w:t>
      </w:r>
    </w:p>
    <w:p w:rsidR="006D6E27" w:rsidRPr="009E6B3C" w:rsidRDefault="006D6E27" w:rsidP="009E6B3C">
      <w:pPr>
        <w:autoSpaceDE w:val="0"/>
        <w:autoSpaceDN w:val="0"/>
        <w:adjustRightInd w:val="0"/>
        <w:ind w:left="851"/>
        <w:rPr>
          <w:rFonts w:ascii="Arial" w:hAnsi="Arial" w:cs="Arial"/>
          <w:sz w:val="20"/>
          <w:szCs w:val="20"/>
          <w:lang/>
        </w:rPr>
      </w:pPr>
      <w:r w:rsidRPr="009E6B3C">
        <w:rPr>
          <w:rFonts w:ascii="Arial" w:hAnsi="Arial" w:cs="Arial"/>
          <w:sz w:val="20"/>
          <w:szCs w:val="20"/>
        </w:rPr>
        <w:t>“</w:t>
      </w:r>
      <w:r w:rsidRPr="009E6B3C">
        <w:rPr>
          <w:rFonts w:ascii="Arial" w:hAnsi="Arial" w:cs="Arial"/>
          <w:i/>
          <w:sz w:val="20"/>
          <w:szCs w:val="20"/>
        </w:rPr>
        <w:t>The baseline budgets for justice</w:t>
      </w:r>
      <w:r w:rsidRPr="009E6B3C">
        <w:rPr>
          <w:rFonts w:cs="Arial"/>
          <w:i/>
          <w:sz w:val="20"/>
          <w:szCs w:val="20"/>
        </w:rPr>
        <w:t>‐</w:t>
      </w:r>
      <w:r w:rsidRPr="009E6B3C">
        <w:rPr>
          <w:rFonts w:ascii="Arial" w:hAnsi="Arial" w:cs="Arial"/>
          <w:i/>
          <w:sz w:val="20"/>
          <w:szCs w:val="20"/>
        </w:rPr>
        <w:t>related institutions are not reduced in the 2022 Budget. Additional funding has been allocated through reprioritisation ... Funds will also be transferred to Legal Aid South Africa, in line with current budget processes, to enable the entity to provide the specified legal services upon receipt of a formal request to facilitate such a transfer from the institutions involved. No additional funding is allocated to the Information Regulator, although R105 million was provided in the 2021 Budget to enable it to grow and meet its legislative mandate</w:t>
      </w:r>
      <w:r w:rsidRPr="009E6B3C">
        <w:rPr>
          <w:rFonts w:ascii="Arial" w:hAnsi="Arial" w:cs="Arial"/>
          <w:sz w:val="20"/>
          <w:szCs w:val="20"/>
        </w:rPr>
        <w:t xml:space="preserve">”. </w:t>
      </w:r>
    </w:p>
    <w:p w:rsidR="006D6E27" w:rsidRPr="009E6B3C" w:rsidRDefault="006D6E27" w:rsidP="009E6B3C">
      <w:pPr>
        <w:rPr>
          <w:rFonts w:ascii="Arial" w:hAnsi="Arial" w:cs="Arial"/>
          <w:b/>
          <w:sz w:val="20"/>
          <w:szCs w:val="20"/>
        </w:rPr>
      </w:pPr>
    </w:p>
    <w:p w:rsidR="006D6E27" w:rsidRPr="009E6B3C" w:rsidRDefault="006D6E27" w:rsidP="009E6B3C">
      <w:pPr>
        <w:pStyle w:val="ListParagraph"/>
        <w:numPr>
          <w:ilvl w:val="1"/>
          <w:numId w:val="44"/>
        </w:numPr>
        <w:ind w:left="851" w:hanging="851"/>
        <w:rPr>
          <w:rFonts w:ascii="Arial" w:hAnsi="Arial" w:cs="Arial"/>
          <w:sz w:val="20"/>
          <w:szCs w:val="20"/>
        </w:rPr>
      </w:pPr>
      <w:r w:rsidRPr="009E6B3C">
        <w:rPr>
          <w:rFonts w:ascii="Arial" w:hAnsi="Arial" w:cs="Arial"/>
          <w:sz w:val="20"/>
          <w:szCs w:val="20"/>
        </w:rPr>
        <w:t xml:space="preserve">Details of the reprioritised funds referred to by the Minister of Finance in his response include: </w:t>
      </w:r>
    </w:p>
    <w:p w:rsidR="006D6E27" w:rsidRPr="009E6B3C" w:rsidRDefault="006D6E27" w:rsidP="009E6B3C">
      <w:pPr>
        <w:numPr>
          <w:ilvl w:val="0"/>
          <w:numId w:val="4"/>
        </w:numPr>
        <w:autoSpaceDE w:val="0"/>
        <w:autoSpaceDN w:val="0"/>
        <w:adjustRightInd w:val="0"/>
        <w:ind w:left="1353" w:hanging="502"/>
        <w:rPr>
          <w:rFonts w:ascii="Arial" w:hAnsi="Arial" w:cs="Arial"/>
          <w:sz w:val="20"/>
          <w:szCs w:val="20"/>
        </w:rPr>
      </w:pPr>
      <w:r w:rsidRPr="009E6B3C">
        <w:rPr>
          <w:rFonts w:ascii="Arial" w:hAnsi="Arial" w:cs="Arial"/>
          <w:sz w:val="20"/>
          <w:szCs w:val="20"/>
        </w:rPr>
        <w:t>A total of R36 million, in 2022/23, to invest in ICT in institutions that include the Investigating Directorate, P</w:t>
      </w:r>
      <w:r w:rsidR="00FD66CA" w:rsidRPr="009E6B3C">
        <w:rPr>
          <w:rFonts w:ascii="Arial" w:hAnsi="Arial" w:cs="Arial"/>
          <w:sz w:val="20"/>
          <w:szCs w:val="20"/>
        </w:rPr>
        <w:t>PSA</w:t>
      </w:r>
      <w:r w:rsidRPr="009E6B3C">
        <w:rPr>
          <w:rFonts w:ascii="Arial" w:hAnsi="Arial" w:cs="Arial"/>
          <w:sz w:val="20"/>
          <w:szCs w:val="20"/>
        </w:rPr>
        <w:t xml:space="preserve"> and S</w:t>
      </w:r>
      <w:r w:rsidR="00FD66CA" w:rsidRPr="009E6B3C">
        <w:rPr>
          <w:rFonts w:ascii="Arial" w:hAnsi="Arial" w:cs="Arial"/>
          <w:sz w:val="20"/>
          <w:szCs w:val="20"/>
        </w:rPr>
        <w:t>AHRC</w:t>
      </w:r>
      <w:r w:rsidRPr="009E6B3C">
        <w:rPr>
          <w:rFonts w:ascii="Arial" w:hAnsi="Arial" w:cs="Arial"/>
          <w:sz w:val="20"/>
          <w:szCs w:val="20"/>
        </w:rPr>
        <w:t xml:space="preserve">. </w:t>
      </w:r>
    </w:p>
    <w:p w:rsidR="006D6E27" w:rsidRPr="009E6B3C" w:rsidRDefault="006D6E27" w:rsidP="009E6B3C">
      <w:pPr>
        <w:numPr>
          <w:ilvl w:val="0"/>
          <w:numId w:val="4"/>
        </w:numPr>
        <w:autoSpaceDE w:val="0"/>
        <w:autoSpaceDN w:val="0"/>
        <w:adjustRightInd w:val="0"/>
        <w:ind w:left="1353" w:hanging="502"/>
        <w:rPr>
          <w:rFonts w:ascii="Arial" w:hAnsi="Arial" w:cs="Arial"/>
          <w:sz w:val="20"/>
          <w:szCs w:val="20"/>
        </w:rPr>
      </w:pPr>
      <w:r w:rsidRPr="009E6B3C">
        <w:rPr>
          <w:rFonts w:ascii="Arial" w:hAnsi="Arial" w:cs="Arial"/>
          <w:sz w:val="20"/>
          <w:szCs w:val="20"/>
        </w:rPr>
        <w:t>A total of R426 million over the medium term to intensify the fight against corruption and ensure sufficient capacity for the investigation and prosecution of criminal cases emanating from the State Capture Commission. Among others, this will allow the Independent Directorate to appoint an estimated 90 staff members in a permanent capacity.</w:t>
      </w:r>
    </w:p>
    <w:p w:rsidR="006D6E27" w:rsidRPr="009E6B3C" w:rsidRDefault="006D6E27" w:rsidP="009E6B3C">
      <w:pPr>
        <w:numPr>
          <w:ilvl w:val="0"/>
          <w:numId w:val="4"/>
        </w:numPr>
        <w:autoSpaceDE w:val="0"/>
        <w:autoSpaceDN w:val="0"/>
        <w:adjustRightInd w:val="0"/>
        <w:ind w:left="1353" w:hanging="502"/>
        <w:rPr>
          <w:rFonts w:ascii="Arial" w:hAnsi="Arial" w:cs="Arial"/>
          <w:sz w:val="20"/>
          <w:szCs w:val="20"/>
        </w:rPr>
      </w:pPr>
      <w:r w:rsidRPr="009E6B3C">
        <w:rPr>
          <w:rFonts w:ascii="Arial" w:hAnsi="Arial" w:cs="Arial"/>
          <w:sz w:val="20"/>
          <w:szCs w:val="20"/>
        </w:rPr>
        <w:t>An amount of R34.3 million is reprioritised to Legal Aid S</w:t>
      </w:r>
      <w:r w:rsidR="00FD66CA" w:rsidRPr="009E6B3C">
        <w:rPr>
          <w:rFonts w:ascii="Arial" w:hAnsi="Arial" w:cs="Arial"/>
          <w:sz w:val="20"/>
          <w:szCs w:val="20"/>
        </w:rPr>
        <w:t>A</w:t>
      </w:r>
      <w:r w:rsidRPr="009E6B3C">
        <w:rPr>
          <w:rFonts w:ascii="Arial" w:hAnsi="Arial" w:cs="Arial"/>
          <w:sz w:val="20"/>
          <w:szCs w:val="20"/>
        </w:rPr>
        <w:t xml:space="preserve"> over the MTEF period to capacitate the six newly established Specialised Commercial Crimes Courts in Limpopo, Mpumalanga, North West and the Northern Cape.</w:t>
      </w:r>
    </w:p>
    <w:p w:rsidR="006D6E27" w:rsidRPr="009E6B3C" w:rsidRDefault="006D6E27" w:rsidP="009E6B3C">
      <w:pPr>
        <w:ind w:left="851"/>
        <w:rPr>
          <w:rFonts w:ascii="Arial" w:hAnsi="Arial" w:cs="Arial"/>
          <w:b/>
          <w:sz w:val="20"/>
          <w:szCs w:val="20"/>
        </w:rPr>
      </w:pPr>
    </w:p>
    <w:p w:rsidR="006D6E27" w:rsidRPr="009E6B3C" w:rsidRDefault="006D6E27" w:rsidP="009E6B3C">
      <w:pPr>
        <w:ind w:left="851"/>
        <w:rPr>
          <w:rFonts w:ascii="Arial" w:hAnsi="Arial" w:cs="Arial"/>
          <w:b/>
          <w:sz w:val="20"/>
          <w:szCs w:val="20"/>
        </w:rPr>
      </w:pPr>
    </w:p>
    <w:p w:rsidR="00106280" w:rsidRPr="009E6B3C" w:rsidRDefault="00596AA5" w:rsidP="009E6B3C">
      <w:pPr>
        <w:numPr>
          <w:ilvl w:val="0"/>
          <w:numId w:val="1"/>
        </w:numPr>
        <w:tabs>
          <w:tab w:val="num" w:pos="851"/>
        </w:tabs>
        <w:ind w:left="851" w:hanging="851"/>
        <w:rPr>
          <w:rFonts w:ascii="Arial" w:hAnsi="Arial" w:cs="Arial"/>
          <w:b/>
          <w:sz w:val="20"/>
          <w:szCs w:val="20"/>
        </w:rPr>
      </w:pPr>
      <w:r w:rsidRPr="009E6B3C">
        <w:rPr>
          <w:rFonts w:ascii="Arial" w:hAnsi="Arial" w:cs="Arial"/>
          <w:b/>
          <w:sz w:val="20"/>
          <w:szCs w:val="20"/>
        </w:rPr>
        <w:t xml:space="preserve">Financial performance </w:t>
      </w:r>
    </w:p>
    <w:p w:rsidR="00347ECD" w:rsidRPr="009E6B3C" w:rsidRDefault="00347ECD" w:rsidP="009E6B3C">
      <w:pPr>
        <w:ind w:left="851"/>
        <w:rPr>
          <w:rFonts w:ascii="Arial" w:hAnsi="Arial" w:cs="Arial"/>
          <w:b/>
          <w:sz w:val="20"/>
          <w:szCs w:val="20"/>
        </w:rPr>
      </w:pPr>
    </w:p>
    <w:p w:rsidR="00596AA5" w:rsidRPr="009E6B3C" w:rsidRDefault="00A32BC1" w:rsidP="009E6B3C">
      <w:pPr>
        <w:pStyle w:val="ListParagraph"/>
        <w:numPr>
          <w:ilvl w:val="1"/>
          <w:numId w:val="1"/>
        </w:numPr>
        <w:ind w:left="851" w:hanging="851"/>
        <w:rPr>
          <w:rFonts w:ascii="Arial" w:hAnsi="Arial" w:cs="Arial"/>
          <w:b/>
          <w:i/>
          <w:sz w:val="20"/>
          <w:szCs w:val="20"/>
          <w:lang/>
        </w:rPr>
      </w:pPr>
      <w:r w:rsidRPr="009E6B3C">
        <w:rPr>
          <w:rFonts w:ascii="Arial" w:hAnsi="Arial" w:cs="Arial"/>
          <w:b/>
          <w:i/>
          <w:sz w:val="20"/>
          <w:szCs w:val="20"/>
        </w:rPr>
        <w:t xml:space="preserve">Vote </w:t>
      </w:r>
      <w:r w:rsidR="00596AA5" w:rsidRPr="009E6B3C">
        <w:rPr>
          <w:rFonts w:ascii="Arial" w:hAnsi="Arial" w:cs="Arial"/>
          <w:b/>
          <w:i/>
          <w:sz w:val="20"/>
          <w:szCs w:val="20"/>
        </w:rPr>
        <w:t xml:space="preserve">expenditure </w:t>
      </w:r>
      <w:r w:rsidRPr="009E6B3C">
        <w:rPr>
          <w:rFonts w:ascii="Arial" w:hAnsi="Arial" w:cs="Arial"/>
          <w:b/>
          <w:i/>
          <w:sz w:val="20"/>
          <w:szCs w:val="20"/>
        </w:rPr>
        <w:t>202</w:t>
      </w:r>
      <w:r w:rsidR="00C664D6" w:rsidRPr="009E6B3C">
        <w:rPr>
          <w:rFonts w:ascii="Arial" w:hAnsi="Arial" w:cs="Arial"/>
          <w:b/>
          <w:i/>
          <w:sz w:val="20"/>
          <w:szCs w:val="20"/>
        </w:rPr>
        <w:t>1/22</w:t>
      </w:r>
    </w:p>
    <w:p w:rsidR="0074479A" w:rsidRPr="009E6B3C" w:rsidRDefault="0074479A" w:rsidP="009E6B3C">
      <w:pPr>
        <w:pStyle w:val="ListParagraph"/>
        <w:ind w:left="851"/>
        <w:rPr>
          <w:rFonts w:ascii="Arial" w:hAnsi="Arial" w:cs="Arial"/>
          <w:b/>
          <w:i/>
          <w:sz w:val="20"/>
          <w:szCs w:val="20"/>
          <w:lang/>
        </w:rPr>
      </w:pPr>
    </w:p>
    <w:p w:rsidR="00AF52B9" w:rsidRPr="009E6B3C" w:rsidRDefault="00E011A5" w:rsidP="009E6B3C">
      <w:pPr>
        <w:pStyle w:val="ListParagraph"/>
        <w:numPr>
          <w:ilvl w:val="2"/>
          <w:numId w:val="8"/>
        </w:numPr>
        <w:autoSpaceDE w:val="0"/>
        <w:autoSpaceDN w:val="0"/>
        <w:adjustRightInd w:val="0"/>
        <w:ind w:left="851" w:hanging="851"/>
        <w:rPr>
          <w:rFonts w:ascii="Arial" w:hAnsi="Arial" w:cs="Arial"/>
          <w:sz w:val="20"/>
          <w:szCs w:val="20"/>
          <w:lang/>
        </w:rPr>
      </w:pPr>
      <w:r w:rsidRPr="009E6B3C">
        <w:rPr>
          <w:rFonts w:ascii="Arial" w:hAnsi="Arial" w:cs="Arial"/>
          <w:sz w:val="20"/>
          <w:szCs w:val="20"/>
        </w:rPr>
        <w:t xml:space="preserve">The Vote was allocated </w:t>
      </w:r>
      <w:r w:rsidR="00B22C92" w:rsidRPr="009E6B3C">
        <w:rPr>
          <w:rFonts w:ascii="Arial" w:hAnsi="Arial" w:cs="Arial"/>
          <w:sz w:val="20"/>
          <w:szCs w:val="20"/>
        </w:rPr>
        <w:t>R</w:t>
      </w:r>
      <w:r w:rsidR="00CE3875" w:rsidRPr="009E6B3C">
        <w:rPr>
          <w:rFonts w:ascii="Arial" w:hAnsi="Arial" w:cs="Arial"/>
          <w:sz w:val="20"/>
          <w:szCs w:val="20"/>
        </w:rPr>
        <w:t>21.9 billion for 2021/22, compared with R21.1 billion in 2020</w:t>
      </w:r>
      <w:r w:rsidRPr="009E6B3C">
        <w:rPr>
          <w:rFonts w:ascii="Arial" w:hAnsi="Arial" w:cs="Arial"/>
          <w:sz w:val="20"/>
          <w:szCs w:val="20"/>
        </w:rPr>
        <w:t>/21, inclusive of Magistrates</w:t>
      </w:r>
      <w:r w:rsidR="00AF52B9" w:rsidRPr="009E6B3C">
        <w:rPr>
          <w:rFonts w:ascii="Arial" w:hAnsi="Arial" w:cs="Arial"/>
          <w:sz w:val="20"/>
          <w:szCs w:val="20"/>
        </w:rPr>
        <w:t>’</w:t>
      </w:r>
      <w:r w:rsidRPr="009E6B3C">
        <w:rPr>
          <w:rFonts w:ascii="Arial" w:hAnsi="Arial" w:cs="Arial"/>
          <w:sz w:val="20"/>
          <w:szCs w:val="20"/>
        </w:rPr>
        <w:t xml:space="preserve"> salaries. </w:t>
      </w:r>
      <w:r w:rsidR="00CE3875" w:rsidRPr="009E6B3C">
        <w:rPr>
          <w:rFonts w:ascii="Arial" w:hAnsi="Arial" w:cs="Arial"/>
          <w:sz w:val="20"/>
          <w:szCs w:val="20"/>
        </w:rPr>
        <w:t>The allocation to programmes was R19.5 billion.</w:t>
      </w:r>
    </w:p>
    <w:p w:rsidR="00A32BC1" w:rsidRPr="009E6B3C" w:rsidRDefault="00A32BC1" w:rsidP="009E6B3C">
      <w:pPr>
        <w:pStyle w:val="ListParagraph"/>
        <w:ind w:left="851"/>
        <w:rPr>
          <w:rFonts w:ascii="Arial" w:hAnsi="Arial" w:cs="Arial"/>
          <w:sz w:val="20"/>
          <w:szCs w:val="20"/>
          <w:lang/>
        </w:rPr>
      </w:pPr>
    </w:p>
    <w:p w:rsidR="007050FF" w:rsidRPr="009E6B3C" w:rsidRDefault="00CE3875" w:rsidP="009E6B3C">
      <w:pPr>
        <w:pStyle w:val="ListParagraph"/>
        <w:numPr>
          <w:ilvl w:val="2"/>
          <w:numId w:val="8"/>
        </w:numPr>
        <w:autoSpaceDE w:val="0"/>
        <w:autoSpaceDN w:val="0"/>
        <w:adjustRightInd w:val="0"/>
        <w:ind w:left="851" w:hanging="851"/>
        <w:rPr>
          <w:rFonts w:ascii="Arial" w:hAnsi="Arial" w:cs="Arial"/>
          <w:sz w:val="20"/>
          <w:szCs w:val="20"/>
          <w:lang/>
        </w:rPr>
      </w:pPr>
      <w:r w:rsidRPr="009E6B3C">
        <w:rPr>
          <w:rFonts w:ascii="Arial" w:hAnsi="Arial" w:cs="Arial"/>
          <w:sz w:val="20"/>
          <w:szCs w:val="20"/>
        </w:rPr>
        <w:t>T</w:t>
      </w:r>
      <w:r w:rsidR="006E5740" w:rsidRPr="009E6B3C">
        <w:rPr>
          <w:rFonts w:ascii="Arial" w:hAnsi="Arial" w:cs="Arial"/>
          <w:sz w:val="20"/>
          <w:szCs w:val="20"/>
        </w:rPr>
        <w:t xml:space="preserve">he final Vote expenditure for </w:t>
      </w:r>
      <w:r w:rsidRPr="009E6B3C">
        <w:rPr>
          <w:rFonts w:ascii="Arial" w:hAnsi="Arial" w:cs="Arial"/>
          <w:sz w:val="20"/>
          <w:szCs w:val="20"/>
        </w:rPr>
        <w:t xml:space="preserve">2021/22 was R21.3 billion or 97% of the final appropriation, compared with </w:t>
      </w:r>
      <w:r w:rsidR="006E5740" w:rsidRPr="009E6B3C">
        <w:rPr>
          <w:rFonts w:ascii="Arial" w:hAnsi="Arial" w:cs="Arial"/>
          <w:sz w:val="20"/>
          <w:szCs w:val="20"/>
        </w:rPr>
        <w:t xml:space="preserve">R20.03 billion or 94.9% of the final appropriation </w:t>
      </w:r>
      <w:r w:rsidR="00FD66CA" w:rsidRPr="009E6B3C">
        <w:rPr>
          <w:rFonts w:ascii="Arial" w:hAnsi="Arial" w:cs="Arial"/>
          <w:sz w:val="20"/>
          <w:szCs w:val="20"/>
        </w:rPr>
        <w:t>in 2020/21</w:t>
      </w:r>
      <w:r w:rsidRPr="009E6B3C">
        <w:rPr>
          <w:rFonts w:ascii="Arial" w:hAnsi="Arial" w:cs="Arial"/>
          <w:sz w:val="20"/>
          <w:szCs w:val="20"/>
        </w:rPr>
        <w:t xml:space="preserve">. </w:t>
      </w:r>
    </w:p>
    <w:p w:rsidR="00091D45" w:rsidRPr="009E6B3C" w:rsidRDefault="00091D45" w:rsidP="009E6B3C">
      <w:pPr>
        <w:pStyle w:val="ListParagraph"/>
        <w:autoSpaceDE w:val="0"/>
        <w:autoSpaceDN w:val="0"/>
        <w:adjustRightInd w:val="0"/>
        <w:ind w:left="851"/>
        <w:rPr>
          <w:rFonts w:ascii="Arial" w:hAnsi="Arial" w:cs="Arial"/>
          <w:sz w:val="20"/>
          <w:szCs w:val="20"/>
          <w:lang/>
        </w:rPr>
      </w:pPr>
    </w:p>
    <w:p w:rsidR="00091D45" w:rsidRPr="009E6B3C" w:rsidRDefault="00091D45" w:rsidP="009E6B3C">
      <w:pPr>
        <w:pStyle w:val="ListParagraph"/>
        <w:numPr>
          <w:ilvl w:val="2"/>
          <w:numId w:val="8"/>
        </w:numPr>
        <w:autoSpaceDE w:val="0"/>
        <w:autoSpaceDN w:val="0"/>
        <w:adjustRightInd w:val="0"/>
        <w:ind w:left="851" w:hanging="851"/>
        <w:rPr>
          <w:rFonts w:ascii="Arial" w:hAnsi="Arial" w:cs="Arial"/>
          <w:sz w:val="20"/>
          <w:szCs w:val="20"/>
          <w:lang/>
        </w:rPr>
      </w:pPr>
      <w:r w:rsidRPr="009E6B3C">
        <w:rPr>
          <w:rFonts w:ascii="Arial" w:hAnsi="Arial" w:cs="Arial"/>
          <w:sz w:val="20"/>
          <w:szCs w:val="20"/>
        </w:rPr>
        <w:t>Programme expenditure for 2021/22 was R19.1 billion or 98% of the final appropriation of R19.5 billion</w:t>
      </w:r>
      <w:r w:rsidR="006A4366" w:rsidRPr="009E6B3C">
        <w:rPr>
          <w:rFonts w:ascii="Arial" w:hAnsi="Arial" w:cs="Arial"/>
          <w:sz w:val="20"/>
          <w:szCs w:val="20"/>
        </w:rPr>
        <w:t xml:space="preserve"> (compared with 95.8% in 2020/21)</w:t>
      </w:r>
      <w:r w:rsidRPr="009E6B3C">
        <w:rPr>
          <w:rFonts w:ascii="Arial" w:hAnsi="Arial" w:cs="Arial"/>
          <w:sz w:val="20"/>
          <w:szCs w:val="20"/>
        </w:rPr>
        <w:t>.</w:t>
      </w:r>
    </w:p>
    <w:p w:rsidR="000F6A27" w:rsidRPr="009E6B3C" w:rsidRDefault="000F6A27" w:rsidP="009E6B3C">
      <w:pPr>
        <w:pStyle w:val="ListParagraph"/>
        <w:ind w:left="851"/>
        <w:rPr>
          <w:rFonts w:ascii="Arial" w:hAnsi="Arial" w:cs="Arial"/>
          <w:sz w:val="20"/>
          <w:szCs w:val="20"/>
          <w:lang/>
        </w:rPr>
      </w:pPr>
    </w:p>
    <w:p w:rsidR="00853E54" w:rsidRPr="009E6B3C" w:rsidRDefault="00347ECD" w:rsidP="009E6B3C">
      <w:pPr>
        <w:rPr>
          <w:rFonts w:ascii="Arial" w:hAnsi="Arial" w:cs="Arial"/>
          <w:b/>
          <w:i/>
          <w:sz w:val="20"/>
          <w:szCs w:val="20"/>
        </w:rPr>
      </w:pPr>
      <w:r w:rsidRPr="009E6B3C">
        <w:rPr>
          <w:rFonts w:ascii="Arial" w:hAnsi="Arial" w:cs="Arial"/>
          <w:b/>
          <w:i/>
          <w:sz w:val="20"/>
          <w:szCs w:val="20"/>
        </w:rPr>
        <w:t xml:space="preserve">Table </w:t>
      </w:r>
      <w:r w:rsidR="00FD66CA" w:rsidRPr="009E6B3C">
        <w:rPr>
          <w:rFonts w:ascii="Arial" w:hAnsi="Arial" w:cs="Arial"/>
          <w:b/>
          <w:i/>
          <w:sz w:val="20"/>
          <w:szCs w:val="20"/>
        </w:rPr>
        <w:t>3</w:t>
      </w:r>
      <w:r w:rsidRPr="009E6B3C">
        <w:rPr>
          <w:rFonts w:ascii="Arial" w:hAnsi="Arial" w:cs="Arial"/>
          <w:b/>
          <w:i/>
          <w:sz w:val="20"/>
          <w:szCs w:val="20"/>
        </w:rPr>
        <w:t xml:space="preserve">: </w:t>
      </w:r>
      <w:r w:rsidR="00977350" w:rsidRPr="009E6B3C">
        <w:rPr>
          <w:rFonts w:ascii="Arial" w:hAnsi="Arial" w:cs="Arial"/>
          <w:b/>
          <w:i/>
          <w:sz w:val="20"/>
          <w:szCs w:val="20"/>
        </w:rPr>
        <w:t xml:space="preserve">Vote 25 </w:t>
      </w:r>
      <w:r w:rsidRPr="009E6B3C">
        <w:rPr>
          <w:rFonts w:ascii="Arial" w:hAnsi="Arial" w:cs="Arial"/>
          <w:b/>
          <w:i/>
          <w:sz w:val="20"/>
          <w:szCs w:val="20"/>
        </w:rPr>
        <w:t>Justice and Constitutional Development –</w:t>
      </w:r>
      <w:r w:rsidR="00977350" w:rsidRPr="009E6B3C">
        <w:rPr>
          <w:rFonts w:ascii="Arial" w:hAnsi="Arial" w:cs="Arial"/>
          <w:b/>
          <w:i/>
          <w:sz w:val="20"/>
          <w:szCs w:val="20"/>
        </w:rPr>
        <w:t xml:space="preserve"> </w:t>
      </w:r>
      <w:r w:rsidR="0003153F" w:rsidRPr="009E6B3C">
        <w:rPr>
          <w:rFonts w:ascii="Arial" w:hAnsi="Arial" w:cs="Arial"/>
          <w:b/>
          <w:i/>
          <w:sz w:val="20"/>
          <w:szCs w:val="20"/>
        </w:rPr>
        <w:t xml:space="preserve">Final Allocation </w:t>
      </w:r>
      <w:r w:rsidRPr="009E6B3C">
        <w:rPr>
          <w:rFonts w:ascii="Arial" w:hAnsi="Arial" w:cs="Arial"/>
          <w:b/>
          <w:i/>
          <w:sz w:val="20"/>
          <w:szCs w:val="20"/>
        </w:rPr>
        <w:t>vs Actual Expenditure 20</w:t>
      </w:r>
      <w:r w:rsidR="00091D45" w:rsidRPr="009E6B3C">
        <w:rPr>
          <w:rFonts w:ascii="Arial" w:hAnsi="Arial" w:cs="Arial"/>
          <w:b/>
          <w:i/>
          <w:sz w:val="20"/>
          <w:szCs w:val="20"/>
        </w:rPr>
        <w:t>21/22 (with a comparison to 2020/21</w:t>
      </w:r>
      <w:r w:rsidR="00FC5E18" w:rsidRPr="009E6B3C">
        <w:rPr>
          <w:rFonts w:ascii="Arial" w:hAnsi="Arial" w:cs="Arial"/>
          <w:b/>
          <w:i/>
          <w:sz w:val="20"/>
          <w:szCs w:val="20"/>
        </w:rPr>
        <w:t>)</w:t>
      </w:r>
    </w:p>
    <w:tbl>
      <w:tblPr>
        <w:tblW w:w="5264" w:type="pct"/>
        <w:tblLook w:val="0000"/>
      </w:tblPr>
      <w:tblGrid>
        <w:gridCol w:w="1958"/>
        <w:gridCol w:w="1545"/>
        <w:gridCol w:w="1571"/>
        <w:gridCol w:w="906"/>
        <w:gridCol w:w="1662"/>
        <w:gridCol w:w="1660"/>
        <w:gridCol w:w="833"/>
      </w:tblGrid>
      <w:tr w:rsidR="00C54895" w:rsidRPr="009E6B3C" w:rsidTr="00FC5E18">
        <w:trPr>
          <w:trHeight w:val="593"/>
          <w:tblHeader/>
        </w:trPr>
        <w:tc>
          <w:tcPr>
            <w:tcW w:w="966" w:type="pct"/>
            <w:vMerge w:val="restart"/>
            <w:tcBorders>
              <w:top w:val="single" w:sz="2" w:space="0" w:color="000000"/>
              <w:left w:val="single" w:sz="2" w:space="0" w:color="000000"/>
              <w:right w:val="single" w:sz="2" w:space="0" w:color="000000"/>
            </w:tcBorders>
            <w:shd w:val="clear" w:color="auto" w:fill="D9D9D9" w:themeFill="background1" w:themeFillShade="D9"/>
          </w:tcPr>
          <w:p w:rsidR="00C54895" w:rsidRPr="009E6B3C" w:rsidRDefault="00C54895" w:rsidP="009E6B3C">
            <w:pPr>
              <w:autoSpaceDE w:val="0"/>
              <w:autoSpaceDN w:val="0"/>
              <w:adjustRightInd w:val="0"/>
              <w:rPr>
                <w:rFonts w:ascii="Arial" w:eastAsia="Calibri" w:hAnsi="Arial" w:cs="Arial"/>
                <w:b/>
                <w:caps/>
                <w:sz w:val="20"/>
                <w:szCs w:val="20"/>
                <w:lang w:eastAsia="en-US"/>
              </w:rPr>
            </w:pPr>
            <w:r w:rsidRPr="009E6B3C">
              <w:rPr>
                <w:rFonts w:ascii="Arial" w:eastAsia="Calibri" w:hAnsi="Arial" w:cs="Arial"/>
                <w:b/>
                <w:caps/>
                <w:sz w:val="20"/>
                <w:szCs w:val="20"/>
                <w:lang w:eastAsia="en-US"/>
              </w:rPr>
              <w:t>Programme</w:t>
            </w:r>
          </w:p>
          <w:p w:rsidR="00C54895" w:rsidRPr="009E6B3C" w:rsidRDefault="00C54895" w:rsidP="009E6B3C">
            <w:pPr>
              <w:autoSpaceDE w:val="0"/>
              <w:autoSpaceDN w:val="0"/>
              <w:adjustRightInd w:val="0"/>
              <w:rPr>
                <w:rFonts w:ascii="Arial" w:eastAsia="Calibri" w:hAnsi="Arial" w:cs="Arial"/>
                <w:b/>
                <w:caps/>
                <w:sz w:val="20"/>
                <w:szCs w:val="20"/>
                <w:lang w:eastAsia="en-US"/>
              </w:rPr>
            </w:pPr>
          </w:p>
          <w:p w:rsidR="00C54895" w:rsidRPr="009E6B3C" w:rsidRDefault="00C54895" w:rsidP="009E6B3C">
            <w:pPr>
              <w:autoSpaceDE w:val="0"/>
              <w:autoSpaceDN w:val="0"/>
              <w:adjustRightInd w:val="0"/>
              <w:rPr>
                <w:rFonts w:ascii="Arial" w:eastAsia="Calibri" w:hAnsi="Arial" w:cs="Arial"/>
                <w:b/>
                <w:caps/>
                <w:sz w:val="20"/>
                <w:szCs w:val="20"/>
                <w:lang w:eastAsia="en-US"/>
              </w:rPr>
            </w:pPr>
            <w:r w:rsidRPr="009E6B3C">
              <w:rPr>
                <w:rFonts w:ascii="Arial" w:eastAsia="Calibri" w:hAnsi="Arial" w:cs="Arial"/>
                <w:b/>
                <w:caps/>
                <w:sz w:val="20"/>
                <w:szCs w:val="20"/>
                <w:lang w:eastAsia="en-US"/>
              </w:rPr>
              <w:t>(R’000)</w:t>
            </w:r>
          </w:p>
        </w:tc>
        <w:tc>
          <w:tcPr>
            <w:tcW w:w="4034" w:type="pct"/>
            <w:gridSpan w:val="6"/>
            <w:tcBorders>
              <w:top w:val="single" w:sz="2" w:space="0" w:color="000000"/>
              <w:left w:val="single" w:sz="2" w:space="0" w:color="000000"/>
              <w:bottom w:val="single" w:sz="4" w:space="0" w:color="auto"/>
              <w:right w:val="single" w:sz="2" w:space="0" w:color="000000"/>
            </w:tcBorders>
            <w:shd w:val="clear" w:color="auto" w:fill="D9D9D9"/>
          </w:tcPr>
          <w:p w:rsidR="00C54895" w:rsidRPr="009E6B3C" w:rsidRDefault="0003153F" w:rsidP="009E6B3C">
            <w:pPr>
              <w:autoSpaceDE w:val="0"/>
              <w:autoSpaceDN w:val="0"/>
              <w:adjustRightInd w:val="0"/>
              <w:rPr>
                <w:rFonts w:ascii="Arial" w:eastAsia="Calibri" w:hAnsi="Arial" w:cs="Arial"/>
                <w:b/>
                <w:caps/>
                <w:sz w:val="20"/>
                <w:szCs w:val="20"/>
                <w:lang w:eastAsia="en-US"/>
              </w:rPr>
            </w:pPr>
            <w:r w:rsidRPr="009E6B3C">
              <w:rPr>
                <w:rFonts w:ascii="Arial" w:eastAsia="Calibri" w:hAnsi="Arial" w:cs="Arial"/>
                <w:b/>
                <w:caps/>
                <w:sz w:val="20"/>
                <w:szCs w:val="20"/>
                <w:lang w:eastAsia="en-US"/>
              </w:rPr>
              <w:t>Final Allocation v Actual Expenditure</w:t>
            </w:r>
          </w:p>
        </w:tc>
      </w:tr>
      <w:tr w:rsidR="00C54895" w:rsidRPr="009E6B3C" w:rsidTr="00FC5E18">
        <w:trPr>
          <w:trHeight w:val="592"/>
          <w:tblHeader/>
        </w:trPr>
        <w:tc>
          <w:tcPr>
            <w:tcW w:w="966" w:type="pct"/>
            <w:vMerge/>
            <w:tcBorders>
              <w:left w:val="single" w:sz="2" w:space="0" w:color="000000"/>
              <w:bottom w:val="single" w:sz="2" w:space="0" w:color="000000"/>
              <w:right w:val="single" w:sz="2" w:space="0" w:color="000000"/>
            </w:tcBorders>
            <w:shd w:val="clear" w:color="auto" w:fill="D9D9D9" w:themeFill="background1" w:themeFillShade="D9"/>
          </w:tcPr>
          <w:p w:rsidR="00C54895" w:rsidRPr="009E6B3C" w:rsidRDefault="00C54895" w:rsidP="009E6B3C">
            <w:pPr>
              <w:autoSpaceDE w:val="0"/>
              <w:autoSpaceDN w:val="0"/>
              <w:adjustRightInd w:val="0"/>
              <w:rPr>
                <w:rFonts w:ascii="Arial" w:eastAsia="Calibri" w:hAnsi="Arial" w:cs="Arial"/>
                <w:b/>
                <w:caps/>
                <w:sz w:val="20"/>
                <w:szCs w:val="20"/>
                <w:lang w:eastAsia="en-US"/>
              </w:rPr>
            </w:pPr>
          </w:p>
        </w:tc>
        <w:tc>
          <w:tcPr>
            <w:tcW w:w="1984" w:type="pct"/>
            <w:gridSpan w:val="3"/>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rsidR="00C54895" w:rsidRPr="009E6B3C" w:rsidRDefault="003B58A3" w:rsidP="009E6B3C">
            <w:pPr>
              <w:autoSpaceDE w:val="0"/>
              <w:autoSpaceDN w:val="0"/>
              <w:adjustRightInd w:val="0"/>
              <w:rPr>
                <w:rFonts w:ascii="Arial" w:hAnsi="Arial" w:cs="Arial"/>
                <w:b/>
                <w:caps/>
                <w:sz w:val="20"/>
                <w:szCs w:val="20"/>
              </w:rPr>
            </w:pPr>
            <w:r w:rsidRPr="009E6B3C">
              <w:rPr>
                <w:rFonts w:ascii="Arial" w:hAnsi="Arial" w:cs="Arial"/>
                <w:b/>
                <w:caps/>
                <w:sz w:val="20"/>
                <w:szCs w:val="20"/>
              </w:rPr>
              <w:t>2021/22</w:t>
            </w:r>
          </w:p>
        </w:tc>
        <w:tc>
          <w:tcPr>
            <w:tcW w:w="20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895" w:rsidRPr="009E6B3C" w:rsidRDefault="003B58A3" w:rsidP="009E6B3C">
            <w:pPr>
              <w:autoSpaceDE w:val="0"/>
              <w:autoSpaceDN w:val="0"/>
              <w:adjustRightInd w:val="0"/>
              <w:rPr>
                <w:rFonts w:ascii="Arial" w:hAnsi="Arial" w:cs="Arial"/>
                <w:b/>
                <w:caps/>
                <w:sz w:val="20"/>
                <w:szCs w:val="20"/>
              </w:rPr>
            </w:pPr>
            <w:r w:rsidRPr="009E6B3C">
              <w:rPr>
                <w:rFonts w:ascii="Arial" w:hAnsi="Arial" w:cs="Arial"/>
                <w:b/>
                <w:caps/>
                <w:sz w:val="20"/>
                <w:szCs w:val="20"/>
              </w:rPr>
              <w:t>2020/21</w:t>
            </w:r>
          </w:p>
        </w:tc>
      </w:tr>
      <w:tr w:rsidR="000F1F5D" w:rsidRPr="009E6B3C" w:rsidTr="00FC5E18">
        <w:trPr>
          <w:trHeight w:val="592"/>
          <w:tblHeader/>
        </w:trPr>
        <w:tc>
          <w:tcPr>
            <w:tcW w:w="966" w:type="pct"/>
            <w:vMerge/>
            <w:tcBorders>
              <w:left w:val="single" w:sz="2" w:space="0" w:color="000000"/>
              <w:bottom w:val="single" w:sz="2" w:space="0" w:color="000000"/>
              <w:right w:val="single" w:sz="2" w:space="0" w:color="000000"/>
            </w:tcBorders>
            <w:shd w:val="clear" w:color="auto" w:fill="D9D9D9" w:themeFill="background1" w:themeFillShade="D9"/>
          </w:tcPr>
          <w:p w:rsidR="00C54895" w:rsidRPr="009E6B3C" w:rsidRDefault="00C54895" w:rsidP="009E6B3C">
            <w:pPr>
              <w:autoSpaceDE w:val="0"/>
              <w:autoSpaceDN w:val="0"/>
              <w:adjustRightInd w:val="0"/>
              <w:rPr>
                <w:rFonts w:ascii="Arial" w:eastAsia="Calibri" w:hAnsi="Arial" w:cs="Arial"/>
                <w:b/>
                <w:caps/>
                <w:sz w:val="20"/>
                <w:szCs w:val="20"/>
                <w:lang w:eastAsia="en-US"/>
              </w:rPr>
            </w:pPr>
          </w:p>
        </w:tc>
        <w:tc>
          <w:tcPr>
            <w:tcW w:w="76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54895" w:rsidRPr="009E6B3C" w:rsidRDefault="00C54895" w:rsidP="009E6B3C">
            <w:pPr>
              <w:autoSpaceDE w:val="0"/>
              <w:autoSpaceDN w:val="0"/>
              <w:adjustRightInd w:val="0"/>
              <w:rPr>
                <w:rFonts w:ascii="Arial" w:hAnsi="Arial" w:cs="Arial"/>
                <w:b/>
                <w:caps/>
                <w:sz w:val="20"/>
                <w:szCs w:val="20"/>
              </w:rPr>
            </w:pPr>
            <w:r w:rsidRPr="009E6B3C">
              <w:rPr>
                <w:rFonts w:ascii="Arial" w:hAnsi="Arial" w:cs="Arial"/>
                <w:b/>
                <w:caps/>
                <w:sz w:val="20"/>
                <w:szCs w:val="20"/>
              </w:rPr>
              <w:t>Final</w:t>
            </w:r>
          </w:p>
        </w:tc>
        <w:tc>
          <w:tcPr>
            <w:tcW w:w="775" w:type="pct"/>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rsidR="00C54895" w:rsidRPr="009E6B3C" w:rsidRDefault="00C54895" w:rsidP="009E6B3C">
            <w:pPr>
              <w:autoSpaceDE w:val="0"/>
              <w:autoSpaceDN w:val="0"/>
              <w:adjustRightInd w:val="0"/>
              <w:rPr>
                <w:rFonts w:ascii="Arial" w:hAnsi="Arial" w:cs="Arial"/>
                <w:b/>
                <w:caps/>
                <w:sz w:val="20"/>
                <w:szCs w:val="20"/>
              </w:rPr>
            </w:pPr>
            <w:r w:rsidRPr="009E6B3C">
              <w:rPr>
                <w:rFonts w:ascii="Arial" w:hAnsi="Arial" w:cs="Arial"/>
                <w:b/>
                <w:caps/>
                <w:sz w:val="20"/>
                <w:szCs w:val="20"/>
              </w:rPr>
              <w:t>Actual</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895" w:rsidRPr="009E6B3C" w:rsidRDefault="00C54895" w:rsidP="009E6B3C">
            <w:pPr>
              <w:autoSpaceDE w:val="0"/>
              <w:autoSpaceDN w:val="0"/>
              <w:adjustRightInd w:val="0"/>
              <w:rPr>
                <w:rFonts w:ascii="Arial" w:hAnsi="Arial" w:cs="Arial"/>
                <w:b/>
                <w:caps/>
                <w:sz w:val="20"/>
                <w:szCs w:val="20"/>
              </w:rPr>
            </w:pPr>
            <w:r w:rsidRPr="009E6B3C">
              <w:rPr>
                <w:rFonts w:ascii="Arial" w:hAnsi="Arial" w:cs="Arial"/>
                <w:b/>
                <w:caps/>
                <w:sz w:val="20"/>
                <w:szCs w:val="20"/>
              </w:rPr>
              <w:t>%</w:t>
            </w:r>
          </w:p>
        </w:tc>
        <w:tc>
          <w:tcPr>
            <w:tcW w:w="8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895" w:rsidRPr="009E6B3C" w:rsidRDefault="00C54895" w:rsidP="009E6B3C">
            <w:pPr>
              <w:autoSpaceDE w:val="0"/>
              <w:autoSpaceDN w:val="0"/>
              <w:adjustRightInd w:val="0"/>
              <w:rPr>
                <w:rFonts w:ascii="Arial" w:hAnsi="Arial" w:cs="Arial"/>
                <w:b/>
                <w:caps/>
                <w:sz w:val="20"/>
                <w:szCs w:val="20"/>
              </w:rPr>
            </w:pPr>
            <w:r w:rsidRPr="009E6B3C">
              <w:rPr>
                <w:rFonts w:ascii="Arial" w:hAnsi="Arial" w:cs="Arial"/>
                <w:b/>
                <w:caps/>
                <w:sz w:val="20"/>
                <w:szCs w:val="20"/>
              </w:rPr>
              <w:t>Final</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895" w:rsidRPr="009E6B3C" w:rsidRDefault="00C54895" w:rsidP="009E6B3C">
            <w:pPr>
              <w:autoSpaceDE w:val="0"/>
              <w:autoSpaceDN w:val="0"/>
              <w:adjustRightInd w:val="0"/>
              <w:rPr>
                <w:rFonts w:ascii="Arial" w:hAnsi="Arial" w:cs="Arial"/>
                <w:b/>
                <w:caps/>
                <w:sz w:val="20"/>
                <w:szCs w:val="20"/>
              </w:rPr>
            </w:pPr>
            <w:r w:rsidRPr="009E6B3C">
              <w:rPr>
                <w:rFonts w:ascii="Arial" w:hAnsi="Arial" w:cs="Arial"/>
                <w:b/>
                <w:caps/>
                <w:sz w:val="20"/>
                <w:szCs w:val="20"/>
              </w:rPr>
              <w:t>Actual</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895" w:rsidRPr="009E6B3C" w:rsidRDefault="00C54895" w:rsidP="009E6B3C">
            <w:pPr>
              <w:autoSpaceDE w:val="0"/>
              <w:autoSpaceDN w:val="0"/>
              <w:adjustRightInd w:val="0"/>
              <w:rPr>
                <w:rFonts w:ascii="Arial" w:hAnsi="Arial" w:cs="Arial"/>
                <w:b/>
                <w:caps/>
                <w:sz w:val="20"/>
                <w:szCs w:val="20"/>
              </w:rPr>
            </w:pPr>
            <w:r w:rsidRPr="009E6B3C">
              <w:rPr>
                <w:rFonts w:ascii="Arial" w:hAnsi="Arial" w:cs="Arial"/>
                <w:b/>
                <w:caps/>
                <w:sz w:val="20"/>
                <w:szCs w:val="20"/>
              </w:rPr>
              <w:t>%</w:t>
            </w:r>
          </w:p>
        </w:tc>
      </w:tr>
      <w:tr w:rsidR="003B58A3" w:rsidRPr="009E6B3C" w:rsidTr="002631C6">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 xml:space="preserve">Administration </w:t>
            </w:r>
          </w:p>
        </w:tc>
        <w:tc>
          <w:tcPr>
            <w:tcW w:w="762" w:type="pct"/>
            <w:tcBorders>
              <w:top w:val="single" w:sz="2" w:space="0" w:color="000000"/>
              <w:left w:val="single" w:sz="2" w:space="0" w:color="000000"/>
              <w:bottom w:val="single" w:sz="2" w:space="0" w:color="000000"/>
              <w:right w:val="single" w:sz="2" w:space="0" w:color="000000"/>
            </w:tcBorders>
          </w:tcPr>
          <w:p w:rsidR="003B58A3"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985</w:t>
            </w:r>
            <w:r w:rsidR="00FE6881" w:rsidRPr="009E6B3C">
              <w:rPr>
                <w:rFonts w:ascii="Arial" w:eastAsia="Calibri" w:hAnsi="Arial" w:cs="Arial"/>
                <w:sz w:val="20"/>
                <w:szCs w:val="20"/>
                <w:lang w:eastAsia="en-US"/>
              </w:rPr>
              <w:t>.6</w:t>
            </w:r>
          </w:p>
        </w:tc>
        <w:tc>
          <w:tcPr>
            <w:tcW w:w="775" w:type="pct"/>
            <w:tcBorders>
              <w:top w:val="single" w:sz="4" w:space="0" w:color="auto"/>
              <w:left w:val="single" w:sz="2" w:space="0" w:color="000000"/>
              <w:bottom w:val="single" w:sz="2" w:space="0" w:color="000000"/>
              <w:right w:val="single" w:sz="2" w:space="0" w:color="000000"/>
            </w:tcBorders>
          </w:tcPr>
          <w:p w:rsidR="003B58A3"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754</w:t>
            </w:r>
            <w:r w:rsidR="00FE6881" w:rsidRPr="009E6B3C">
              <w:rPr>
                <w:rFonts w:ascii="Arial" w:eastAsia="Calibri" w:hAnsi="Arial" w:cs="Arial"/>
                <w:sz w:val="20"/>
                <w:szCs w:val="20"/>
                <w:lang w:eastAsia="en-US"/>
              </w:rPr>
              <w:t>.7</w:t>
            </w:r>
          </w:p>
        </w:tc>
        <w:tc>
          <w:tcPr>
            <w:tcW w:w="447" w:type="pct"/>
            <w:tcBorders>
              <w:top w:val="single" w:sz="4" w:space="0" w:color="auto"/>
              <w:left w:val="single" w:sz="2" w:space="0" w:color="000000"/>
              <w:bottom w:val="single" w:sz="2" w:space="0" w:color="000000"/>
              <w:right w:val="single" w:sz="2" w:space="0" w:color="000000"/>
            </w:tcBorders>
            <w:shd w:val="clear" w:color="auto" w:fill="D9D9D9"/>
          </w:tcPr>
          <w:p w:rsidR="003B58A3"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92</w:t>
            </w:r>
          </w:p>
        </w:tc>
        <w:tc>
          <w:tcPr>
            <w:tcW w:w="820" w:type="pct"/>
            <w:tcBorders>
              <w:top w:val="single" w:sz="2" w:space="0" w:color="000000"/>
              <w:left w:val="single" w:sz="2" w:space="0" w:color="000000"/>
              <w:bottom w:val="single" w:sz="2" w:space="0" w:color="000000"/>
              <w:right w:val="single" w:sz="2" w:space="0" w:color="000000"/>
            </w:tcBorders>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920</w:t>
            </w:r>
            <w:r w:rsidR="00FE6881" w:rsidRPr="009E6B3C">
              <w:rPr>
                <w:rFonts w:ascii="Arial" w:eastAsia="Calibri" w:hAnsi="Arial" w:cs="Arial"/>
                <w:sz w:val="20"/>
                <w:szCs w:val="20"/>
                <w:lang w:eastAsia="en-US"/>
              </w:rPr>
              <w:t>.7</w:t>
            </w:r>
          </w:p>
        </w:tc>
        <w:tc>
          <w:tcPr>
            <w:tcW w:w="819" w:type="pct"/>
            <w:tcBorders>
              <w:top w:val="single" w:sz="4" w:space="0" w:color="auto"/>
              <w:left w:val="single" w:sz="2" w:space="0" w:color="000000"/>
              <w:bottom w:val="single" w:sz="2" w:space="0" w:color="000000"/>
              <w:right w:val="single" w:sz="2" w:space="0" w:color="000000"/>
            </w:tcBorders>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704</w:t>
            </w:r>
            <w:r w:rsidR="00FE6881" w:rsidRPr="009E6B3C">
              <w:rPr>
                <w:rFonts w:ascii="Arial" w:eastAsia="Calibri" w:hAnsi="Arial" w:cs="Arial"/>
                <w:sz w:val="20"/>
                <w:szCs w:val="20"/>
                <w:lang w:eastAsia="en-US"/>
              </w:rPr>
              <w:t>.7</w:t>
            </w:r>
          </w:p>
        </w:tc>
        <w:tc>
          <w:tcPr>
            <w:tcW w:w="411" w:type="pct"/>
            <w:tcBorders>
              <w:top w:val="single" w:sz="4" w:space="0" w:color="auto"/>
              <w:left w:val="single" w:sz="2" w:space="0" w:color="000000"/>
              <w:bottom w:val="single" w:sz="2" w:space="0" w:color="000000"/>
              <w:right w:val="single" w:sz="2" w:space="0" w:color="000000"/>
            </w:tcBorders>
            <w:shd w:val="clear" w:color="auto" w:fill="D9D9D9"/>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92.6</w:t>
            </w:r>
          </w:p>
        </w:tc>
      </w:tr>
      <w:tr w:rsidR="003B58A3" w:rsidRPr="009E6B3C" w:rsidTr="002631C6">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Court Services</w:t>
            </w:r>
          </w:p>
        </w:tc>
        <w:tc>
          <w:tcPr>
            <w:tcW w:w="762" w:type="pct"/>
            <w:tcBorders>
              <w:top w:val="single" w:sz="2" w:space="0" w:color="000000"/>
              <w:left w:val="single" w:sz="2" w:space="0" w:color="000000"/>
              <w:bottom w:val="single" w:sz="2" w:space="0" w:color="000000"/>
              <w:right w:val="single" w:sz="2" w:space="0" w:color="000000"/>
            </w:tcBorders>
          </w:tcPr>
          <w:p w:rsidR="003B58A3"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6</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751</w:t>
            </w:r>
            <w:r w:rsidR="00FE6881" w:rsidRPr="009E6B3C">
              <w:rPr>
                <w:rFonts w:ascii="Arial" w:eastAsia="Calibri" w:hAnsi="Arial" w:cs="Arial"/>
                <w:sz w:val="20"/>
                <w:szCs w:val="20"/>
                <w:lang w:eastAsia="en-US"/>
              </w:rPr>
              <w:t>.6</w:t>
            </w:r>
          </w:p>
        </w:tc>
        <w:tc>
          <w:tcPr>
            <w:tcW w:w="775" w:type="pct"/>
            <w:tcBorders>
              <w:top w:val="single" w:sz="2" w:space="0" w:color="000000"/>
              <w:left w:val="single" w:sz="2" w:space="0" w:color="000000"/>
              <w:bottom w:val="single" w:sz="2" w:space="0" w:color="000000"/>
              <w:right w:val="single" w:sz="2" w:space="0" w:color="000000"/>
            </w:tcBorders>
          </w:tcPr>
          <w:p w:rsidR="003B58A3"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6</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680</w:t>
            </w:r>
            <w:r w:rsidR="00FE6881" w:rsidRPr="009E6B3C">
              <w:rPr>
                <w:rFonts w:ascii="Arial" w:eastAsia="Calibri" w:hAnsi="Arial" w:cs="Arial"/>
                <w:sz w:val="20"/>
                <w:szCs w:val="20"/>
                <w:lang w:eastAsia="en-US"/>
              </w:rPr>
              <w:t>.2</w:t>
            </w:r>
          </w:p>
        </w:tc>
        <w:tc>
          <w:tcPr>
            <w:tcW w:w="447" w:type="pct"/>
            <w:tcBorders>
              <w:top w:val="single" w:sz="2" w:space="0" w:color="000000"/>
              <w:left w:val="single" w:sz="2" w:space="0" w:color="000000"/>
              <w:bottom w:val="single" w:sz="2" w:space="0" w:color="000000"/>
              <w:right w:val="single" w:sz="2" w:space="0" w:color="000000"/>
            </w:tcBorders>
            <w:shd w:val="clear" w:color="auto" w:fill="D9D9D9"/>
          </w:tcPr>
          <w:p w:rsidR="003B58A3"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99</w:t>
            </w:r>
          </w:p>
        </w:tc>
        <w:tc>
          <w:tcPr>
            <w:tcW w:w="820" w:type="pct"/>
            <w:tcBorders>
              <w:top w:val="single" w:sz="2" w:space="0" w:color="000000"/>
              <w:left w:val="single" w:sz="2" w:space="0" w:color="000000"/>
              <w:bottom w:val="single" w:sz="2" w:space="0" w:color="000000"/>
              <w:right w:val="single" w:sz="2" w:space="0" w:color="000000"/>
            </w:tcBorders>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6</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373</w:t>
            </w:r>
            <w:r w:rsidR="00FE6881" w:rsidRPr="009E6B3C">
              <w:rPr>
                <w:rFonts w:ascii="Arial" w:eastAsia="Calibri" w:hAnsi="Arial" w:cs="Arial"/>
                <w:sz w:val="20"/>
                <w:szCs w:val="20"/>
                <w:lang w:eastAsia="en-US"/>
              </w:rPr>
              <w:t>.3</w:t>
            </w:r>
          </w:p>
        </w:tc>
        <w:tc>
          <w:tcPr>
            <w:tcW w:w="819" w:type="pct"/>
            <w:tcBorders>
              <w:top w:val="single" w:sz="2" w:space="0" w:color="000000"/>
              <w:left w:val="single" w:sz="2" w:space="0" w:color="000000"/>
              <w:bottom w:val="single" w:sz="2" w:space="0" w:color="000000"/>
              <w:right w:val="single" w:sz="2" w:space="0" w:color="000000"/>
            </w:tcBorders>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6</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204</w:t>
            </w:r>
            <w:r w:rsidR="00FE6881" w:rsidRPr="009E6B3C">
              <w:rPr>
                <w:rFonts w:ascii="Arial" w:eastAsia="Calibri" w:hAnsi="Arial" w:cs="Arial"/>
                <w:sz w:val="20"/>
                <w:szCs w:val="20"/>
                <w:lang w:eastAsia="en-US"/>
              </w:rPr>
              <w:t>.6</w:t>
            </w:r>
          </w:p>
        </w:tc>
        <w:tc>
          <w:tcPr>
            <w:tcW w:w="411" w:type="pct"/>
            <w:tcBorders>
              <w:top w:val="single" w:sz="2" w:space="0" w:color="000000"/>
              <w:left w:val="single" w:sz="2" w:space="0" w:color="000000"/>
              <w:bottom w:val="single" w:sz="2" w:space="0" w:color="000000"/>
              <w:right w:val="single" w:sz="2" w:space="0" w:color="000000"/>
            </w:tcBorders>
            <w:shd w:val="clear" w:color="auto" w:fill="D9D9D9"/>
          </w:tcPr>
          <w:p w:rsidR="003B58A3" w:rsidRPr="009E6B3C" w:rsidRDefault="003B58A3"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97.4</w:t>
            </w:r>
          </w:p>
        </w:tc>
      </w:tr>
      <w:tr w:rsidR="00CE3875" w:rsidRPr="009E6B3C" w:rsidTr="00091D45">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State Legal Services</w:t>
            </w:r>
          </w:p>
        </w:tc>
        <w:tc>
          <w:tcPr>
            <w:tcW w:w="762"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457</w:t>
            </w:r>
            <w:r w:rsidR="00FE6881" w:rsidRPr="009E6B3C">
              <w:rPr>
                <w:rFonts w:ascii="Arial" w:eastAsia="Calibri" w:hAnsi="Arial" w:cs="Arial"/>
                <w:sz w:val="20"/>
                <w:szCs w:val="20"/>
                <w:lang w:eastAsia="en-US"/>
              </w:rPr>
              <w:t>.</w:t>
            </w:r>
            <w:r w:rsidRPr="009E6B3C">
              <w:rPr>
                <w:rFonts w:ascii="Arial" w:eastAsia="Calibri" w:hAnsi="Arial" w:cs="Arial"/>
                <w:sz w:val="20"/>
                <w:szCs w:val="20"/>
                <w:lang w:eastAsia="en-US"/>
              </w:rPr>
              <w:t>0</w:t>
            </w:r>
          </w:p>
        </w:tc>
        <w:tc>
          <w:tcPr>
            <w:tcW w:w="775"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372</w:t>
            </w:r>
            <w:r w:rsidR="00FE6881" w:rsidRPr="009E6B3C">
              <w:rPr>
                <w:rFonts w:ascii="Arial" w:eastAsia="Calibri" w:hAnsi="Arial" w:cs="Arial"/>
                <w:sz w:val="20"/>
                <w:szCs w:val="20"/>
                <w:lang w:eastAsia="en-US"/>
              </w:rPr>
              <w:t>.8</w:t>
            </w:r>
          </w:p>
        </w:tc>
        <w:tc>
          <w:tcPr>
            <w:tcW w:w="447"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94</w:t>
            </w:r>
          </w:p>
        </w:tc>
        <w:tc>
          <w:tcPr>
            <w:tcW w:w="820"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454</w:t>
            </w:r>
            <w:r w:rsidR="00FE6881" w:rsidRPr="009E6B3C">
              <w:rPr>
                <w:rFonts w:ascii="Arial" w:eastAsia="Calibri" w:hAnsi="Arial" w:cs="Arial"/>
                <w:sz w:val="20"/>
                <w:szCs w:val="20"/>
                <w:lang w:eastAsia="en-US"/>
              </w:rPr>
              <w:t>.8</w:t>
            </w:r>
          </w:p>
        </w:tc>
        <w:tc>
          <w:tcPr>
            <w:tcW w:w="819"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374</w:t>
            </w:r>
            <w:r w:rsidR="00FE6881" w:rsidRPr="009E6B3C">
              <w:rPr>
                <w:rFonts w:ascii="Arial" w:eastAsia="Calibri" w:hAnsi="Arial" w:cs="Arial"/>
                <w:sz w:val="20"/>
                <w:szCs w:val="20"/>
                <w:lang w:eastAsia="en-US"/>
              </w:rPr>
              <w:t>.7</w:t>
            </w:r>
          </w:p>
        </w:tc>
        <w:tc>
          <w:tcPr>
            <w:tcW w:w="411"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94.5</w:t>
            </w:r>
          </w:p>
        </w:tc>
      </w:tr>
      <w:tr w:rsidR="00CE3875" w:rsidRPr="009E6B3C" w:rsidTr="00091D45">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NPA</w:t>
            </w:r>
          </w:p>
        </w:tc>
        <w:tc>
          <w:tcPr>
            <w:tcW w:w="762"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FE6881"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4 691.2</w:t>
            </w:r>
          </w:p>
        </w:tc>
        <w:tc>
          <w:tcPr>
            <w:tcW w:w="775"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4</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690</w:t>
            </w:r>
            <w:r w:rsidR="00FE6881" w:rsidRPr="009E6B3C">
              <w:rPr>
                <w:rFonts w:ascii="Arial" w:eastAsia="Calibri" w:hAnsi="Arial" w:cs="Arial"/>
                <w:sz w:val="20"/>
                <w:szCs w:val="20"/>
                <w:lang w:eastAsia="en-US"/>
              </w:rPr>
              <w:t>.9</w:t>
            </w:r>
          </w:p>
        </w:tc>
        <w:tc>
          <w:tcPr>
            <w:tcW w:w="447"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100</w:t>
            </w:r>
          </w:p>
        </w:tc>
        <w:tc>
          <w:tcPr>
            <w:tcW w:w="820"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4</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300</w:t>
            </w:r>
            <w:r w:rsidR="00FE6881" w:rsidRPr="009E6B3C">
              <w:rPr>
                <w:rFonts w:ascii="Arial" w:eastAsia="Calibri" w:hAnsi="Arial" w:cs="Arial"/>
                <w:sz w:val="20"/>
                <w:szCs w:val="20"/>
                <w:lang w:eastAsia="en-US"/>
              </w:rPr>
              <w:t>.8</w:t>
            </w:r>
          </w:p>
        </w:tc>
        <w:tc>
          <w:tcPr>
            <w:tcW w:w="819"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4</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196</w:t>
            </w:r>
            <w:r w:rsidR="00FE6881" w:rsidRPr="009E6B3C">
              <w:rPr>
                <w:rFonts w:ascii="Arial" w:eastAsia="Calibri" w:hAnsi="Arial" w:cs="Arial"/>
                <w:sz w:val="20"/>
                <w:szCs w:val="20"/>
                <w:lang w:eastAsia="en-US"/>
              </w:rPr>
              <w:t>.9</w:t>
            </w:r>
          </w:p>
        </w:tc>
        <w:tc>
          <w:tcPr>
            <w:tcW w:w="411"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97.6</w:t>
            </w:r>
          </w:p>
        </w:tc>
      </w:tr>
      <w:tr w:rsidR="00CE3875" w:rsidRPr="009E6B3C" w:rsidTr="00091D45">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Auxiliary and Associated Services</w:t>
            </w:r>
          </w:p>
        </w:tc>
        <w:tc>
          <w:tcPr>
            <w:tcW w:w="762"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3</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623</w:t>
            </w:r>
            <w:r w:rsidR="00FE6881" w:rsidRPr="009E6B3C">
              <w:rPr>
                <w:rFonts w:ascii="Arial" w:eastAsia="Calibri" w:hAnsi="Arial" w:cs="Arial"/>
                <w:sz w:val="20"/>
                <w:szCs w:val="20"/>
                <w:lang w:eastAsia="en-US"/>
              </w:rPr>
              <w:t>.3</w:t>
            </w:r>
          </w:p>
        </w:tc>
        <w:tc>
          <w:tcPr>
            <w:tcW w:w="775"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3</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601</w:t>
            </w:r>
            <w:r w:rsidR="00FE6881" w:rsidRPr="009E6B3C">
              <w:rPr>
                <w:rFonts w:ascii="Arial" w:eastAsia="Calibri" w:hAnsi="Arial" w:cs="Arial"/>
                <w:sz w:val="20"/>
                <w:szCs w:val="20"/>
                <w:lang w:eastAsia="en-US"/>
              </w:rPr>
              <w:t>.6</w:t>
            </w:r>
          </w:p>
        </w:tc>
        <w:tc>
          <w:tcPr>
            <w:tcW w:w="447"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99</w:t>
            </w:r>
          </w:p>
        </w:tc>
        <w:tc>
          <w:tcPr>
            <w:tcW w:w="820"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3</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616</w:t>
            </w:r>
            <w:r w:rsidR="00FE6881" w:rsidRPr="009E6B3C">
              <w:rPr>
                <w:rFonts w:ascii="Arial" w:eastAsia="Calibri" w:hAnsi="Arial" w:cs="Arial"/>
                <w:sz w:val="20"/>
                <w:szCs w:val="20"/>
                <w:lang w:eastAsia="en-US"/>
              </w:rPr>
              <w:t>.7</w:t>
            </w:r>
          </w:p>
        </w:tc>
        <w:tc>
          <w:tcPr>
            <w:tcW w:w="819"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3</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404</w:t>
            </w:r>
            <w:r w:rsidR="00FE6881" w:rsidRPr="009E6B3C">
              <w:rPr>
                <w:rFonts w:ascii="Arial" w:eastAsia="Calibri" w:hAnsi="Arial" w:cs="Arial"/>
                <w:sz w:val="20"/>
                <w:szCs w:val="20"/>
                <w:lang w:eastAsia="en-US"/>
              </w:rPr>
              <w:t>.6</w:t>
            </w:r>
          </w:p>
        </w:tc>
        <w:tc>
          <w:tcPr>
            <w:tcW w:w="411"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94.1</w:t>
            </w:r>
          </w:p>
        </w:tc>
      </w:tr>
      <w:tr w:rsidR="00091D45" w:rsidRPr="009E6B3C" w:rsidTr="00091D45">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91D4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 xml:space="preserve">Sub </w:t>
            </w:r>
            <w:r w:rsidR="00531EC8" w:rsidRPr="009E6B3C">
              <w:rPr>
                <w:rFonts w:ascii="Arial" w:eastAsia="Calibri" w:hAnsi="Arial" w:cs="Arial"/>
                <w:sz w:val="20"/>
                <w:szCs w:val="20"/>
                <w:lang w:eastAsia="en-US"/>
              </w:rPr>
              <w:t>-T</w:t>
            </w:r>
            <w:r w:rsidRPr="009E6B3C">
              <w:rPr>
                <w:rFonts w:ascii="Arial" w:eastAsia="Calibri" w:hAnsi="Arial" w:cs="Arial"/>
                <w:sz w:val="20"/>
                <w:szCs w:val="20"/>
                <w:lang w:eastAsia="en-US"/>
              </w:rPr>
              <w:t>otal</w:t>
            </w:r>
          </w:p>
        </w:tc>
        <w:tc>
          <w:tcPr>
            <w:tcW w:w="762" w:type="pct"/>
            <w:tcBorders>
              <w:top w:val="single" w:sz="8" w:space="0" w:color="000000"/>
              <w:left w:val="single" w:sz="8" w:space="0" w:color="000000"/>
              <w:bottom w:val="single" w:sz="8" w:space="0" w:color="000000"/>
              <w:right w:val="single" w:sz="8" w:space="0" w:color="000000"/>
            </w:tcBorders>
            <w:shd w:val="clear" w:color="auto" w:fill="auto"/>
          </w:tcPr>
          <w:p w:rsidR="00091D4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19</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508</w:t>
            </w:r>
            <w:r w:rsidR="00FE6881" w:rsidRPr="009E6B3C">
              <w:rPr>
                <w:rFonts w:ascii="Arial" w:eastAsia="Calibri" w:hAnsi="Arial" w:cs="Arial"/>
                <w:sz w:val="20"/>
                <w:szCs w:val="20"/>
                <w:lang w:eastAsia="en-US"/>
              </w:rPr>
              <w:t>.7</w:t>
            </w:r>
          </w:p>
        </w:tc>
        <w:tc>
          <w:tcPr>
            <w:tcW w:w="775" w:type="pct"/>
            <w:tcBorders>
              <w:top w:val="single" w:sz="8" w:space="0" w:color="000000"/>
              <w:left w:val="single" w:sz="8" w:space="0" w:color="000000"/>
              <w:bottom w:val="single" w:sz="8" w:space="0" w:color="000000"/>
              <w:right w:val="single" w:sz="8" w:space="0" w:color="000000"/>
            </w:tcBorders>
            <w:shd w:val="clear" w:color="auto" w:fill="auto"/>
          </w:tcPr>
          <w:p w:rsidR="00091D4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19</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100</w:t>
            </w:r>
            <w:r w:rsidR="00FE6881" w:rsidRPr="009E6B3C">
              <w:rPr>
                <w:rFonts w:ascii="Arial" w:eastAsia="Calibri" w:hAnsi="Arial" w:cs="Arial"/>
                <w:sz w:val="20"/>
                <w:szCs w:val="20"/>
                <w:lang w:eastAsia="en-US"/>
              </w:rPr>
              <w:t>.3</w:t>
            </w:r>
          </w:p>
        </w:tc>
        <w:tc>
          <w:tcPr>
            <w:tcW w:w="447" w:type="pct"/>
            <w:tcBorders>
              <w:top w:val="single" w:sz="2" w:space="0" w:color="000000"/>
              <w:left w:val="single" w:sz="2" w:space="0" w:color="000000"/>
              <w:bottom w:val="single" w:sz="2" w:space="0" w:color="000000"/>
              <w:right w:val="single" w:sz="2" w:space="0" w:color="000000"/>
            </w:tcBorders>
            <w:shd w:val="clear" w:color="auto" w:fill="D9D9D9"/>
          </w:tcPr>
          <w:p w:rsidR="00091D4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98</w:t>
            </w:r>
          </w:p>
        </w:tc>
        <w:tc>
          <w:tcPr>
            <w:tcW w:w="820" w:type="pct"/>
            <w:tcBorders>
              <w:top w:val="single" w:sz="2" w:space="0" w:color="000000"/>
              <w:left w:val="single" w:sz="2" w:space="0" w:color="000000"/>
              <w:bottom w:val="single" w:sz="2" w:space="0" w:color="000000"/>
              <w:right w:val="single" w:sz="2" w:space="0" w:color="000000"/>
            </w:tcBorders>
          </w:tcPr>
          <w:p w:rsidR="00091D45" w:rsidRPr="009E6B3C" w:rsidRDefault="00CA4A4C"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18 666.3</w:t>
            </w:r>
          </w:p>
        </w:tc>
        <w:tc>
          <w:tcPr>
            <w:tcW w:w="819" w:type="pct"/>
            <w:tcBorders>
              <w:top w:val="single" w:sz="2" w:space="0" w:color="000000"/>
              <w:left w:val="single" w:sz="2" w:space="0" w:color="000000"/>
              <w:bottom w:val="single" w:sz="2" w:space="0" w:color="000000"/>
              <w:right w:val="single" w:sz="2" w:space="0" w:color="000000"/>
            </w:tcBorders>
          </w:tcPr>
          <w:p w:rsidR="00091D45" w:rsidRPr="009E6B3C" w:rsidRDefault="006A4366"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17 885.6</w:t>
            </w:r>
          </w:p>
        </w:tc>
        <w:tc>
          <w:tcPr>
            <w:tcW w:w="411" w:type="pct"/>
            <w:tcBorders>
              <w:top w:val="single" w:sz="2" w:space="0" w:color="000000"/>
              <w:left w:val="single" w:sz="2" w:space="0" w:color="000000"/>
              <w:bottom w:val="single" w:sz="2" w:space="0" w:color="000000"/>
              <w:right w:val="single" w:sz="2" w:space="0" w:color="000000"/>
            </w:tcBorders>
            <w:shd w:val="clear" w:color="auto" w:fill="D9D9D9"/>
          </w:tcPr>
          <w:p w:rsidR="00091D45" w:rsidRPr="009E6B3C" w:rsidRDefault="006A4366"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95.8</w:t>
            </w:r>
          </w:p>
        </w:tc>
      </w:tr>
      <w:tr w:rsidR="00CE3875" w:rsidRPr="009E6B3C" w:rsidTr="00091D45">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Magistrates’ Salaries</w:t>
            </w:r>
          </w:p>
        </w:tc>
        <w:tc>
          <w:tcPr>
            <w:tcW w:w="762"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FE6881"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2 396.5</w:t>
            </w:r>
          </w:p>
        </w:tc>
        <w:tc>
          <w:tcPr>
            <w:tcW w:w="775"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174</w:t>
            </w:r>
            <w:r w:rsidR="00FE6881" w:rsidRPr="009E6B3C">
              <w:rPr>
                <w:rFonts w:ascii="Arial" w:eastAsia="Calibri" w:hAnsi="Arial" w:cs="Arial"/>
                <w:sz w:val="20"/>
                <w:szCs w:val="20"/>
                <w:lang w:eastAsia="en-US"/>
              </w:rPr>
              <w:t>.5</w:t>
            </w:r>
          </w:p>
        </w:tc>
        <w:tc>
          <w:tcPr>
            <w:tcW w:w="447"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091D4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91</w:t>
            </w:r>
          </w:p>
        </w:tc>
        <w:tc>
          <w:tcPr>
            <w:tcW w:w="820"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442</w:t>
            </w:r>
            <w:r w:rsidR="00FE6881" w:rsidRPr="009E6B3C">
              <w:rPr>
                <w:rFonts w:ascii="Arial" w:eastAsia="Calibri" w:hAnsi="Arial" w:cs="Arial"/>
                <w:sz w:val="20"/>
                <w:szCs w:val="20"/>
                <w:lang w:eastAsia="en-US"/>
              </w:rPr>
              <w:t>.6</w:t>
            </w:r>
          </w:p>
        </w:tc>
        <w:tc>
          <w:tcPr>
            <w:tcW w:w="819" w:type="pct"/>
            <w:tcBorders>
              <w:top w:val="single" w:sz="2" w:space="0" w:color="000000"/>
              <w:left w:val="single" w:sz="2" w:space="0" w:color="000000"/>
              <w:bottom w:val="single" w:sz="2" w:space="0" w:color="000000"/>
              <w:right w:val="single" w:sz="2" w:space="0" w:color="000000"/>
            </w:tcBorders>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2</w:t>
            </w:r>
            <w:r w:rsidR="00FE6881" w:rsidRPr="009E6B3C">
              <w:rPr>
                <w:rFonts w:ascii="Arial" w:eastAsia="Calibri" w:hAnsi="Arial" w:cs="Arial"/>
                <w:sz w:val="20"/>
                <w:szCs w:val="20"/>
                <w:lang w:eastAsia="en-US"/>
              </w:rPr>
              <w:t> </w:t>
            </w:r>
            <w:r w:rsidRPr="009E6B3C">
              <w:rPr>
                <w:rFonts w:ascii="Arial" w:eastAsia="Calibri" w:hAnsi="Arial" w:cs="Arial"/>
                <w:sz w:val="20"/>
                <w:szCs w:val="20"/>
                <w:lang w:eastAsia="en-US"/>
              </w:rPr>
              <w:t>146</w:t>
            </w:r>
            <w:r w:rsidR="00FE6881" w:rsidRPr="009E6B3C">
              <w:rPr>
                <w:rFonts w:ascii="Arial" w:eastAsia="Calibri" w:hAnsi="Arial" w:cs="Arial"/>
                <w:sz w:val="20"/>
                <w:szCs w:val="20"/>
                <w:lang w:eastAsia="en-US"/>
              </w:rPr>
              <w:t>.8</w:t>
            </w:r>
          </w:p>
        </w:tc>
        <w:tc>
          <w:tcPr>
            <w:tcW w:w="411" w:type="pct"/>
            <w:tcBorders>
              <w:top w:val="single" w:sz="2" w:space="0" w:color="000000"/>
              <w:left w:val="single" w:sz="2" w:space="0" w:color="000000"/>
              <w:bottom w:val="single" w:sz="2" w:space="0" w:color="000000"/>
              <w:right w:val="single" w:sz="2" w:space="0" w:color="000000"/>
            </w:tcBorders>
            <w:shd w:val="clear" w:color="auto" w:fill="D9D9D9"/>
          </w:tcPr>
          <w:p w:rsidR="00CE3875" w:rsidRPr="009E6B3C" w:rsidRDefault="00CE3875"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87.9</w:t>
            </w:r>
          </w:p>
        </w:tc>
      </w:tr>
      <w:tr w:rsidR="00CE3875" w:rsidRPr="009E6B3C" w:rsidTr="00091D45">
        <w:trPr>
          <w:trHeight w:val="247"/>
        </w:trPr>
        <w:tc>
          <w:tcPr>
            <w:tcW w:w="96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b/>
                <w:caps/>
                <w:sz w:val="20"/>
                <w:szCs w:val="20"/>
                <w:lang w:eastAsia="en-US"/>
              </w:rPr>
            </w:pPr>
            <w:r w:rsidRPr="009E6B3C">
              <w:rPr>
                <w:rFonts w:ascii="Arial" w:eastAsia="Calibri" w:hAnsi="Arial" w:cs="Arial"/>
                <w:b/>
                <w:caps/>
                <w:sz w:val="20"/>
                <w:szCs w:val="20"/>
                <w:lang w:eastAsia="en-US"/>
              </w:rPr>
              <w:t>Total</w:t>
            </w:r>
          </w:p>
        </w:tc>
        <w:tc>
          <w:tcPr>
            <w:tcW w:w="762"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FE6881" w:rsidP="009E6B3C">
            <w:pPr>
              <w:autoSpaceDE w:val="0"/>
              <w:autoSpaceDN w:val="0"/>
              <w:adjustRightInd w:val="0"/>
              <w:rPr>
                <w:rFonts w:ascii="Arial" w:eastAsia="Calibri" w:hAnsi="Arial" w:cs="Arial"/>
                <w:b/>
                <w:sz w:val="20"/>
                <w:szCs w:val="20"/>
                <w:lang w:eastAsia="en-US"/>
              </w:rPr>
            </w:pPr>
            <w:r w:rsidRPr="009E6B3C">
              <w:rPr>
                <w:rFonts w:ascii="Arial" w:eastAsia="Calibri" w:hAnsi="Arial" w:cs="Arial"/>
                <w:b/>
                <w:sz w:val="20"/>
                <w:szCs w:val="20"/>
                <w:lang w:eastAsia="en-US"/>
              </w:rPr>
              <w:t>21 905.2</w:t>
            </w:r>
          </w:p>
        </w:tc>
        <w:tc>
          <w:tcPr>
            <w:tcW w:w="775" w:type="pct"/>
            <w:tcBorders>
              <w:top w:val="single" w:sz="8" w:space="0" w:color="000000"/>
              <w:left w:val="single" w:sz="8" w:space="0" w:color="000000"/>
              <w:bottom w:val="single" w:sz="8" w:space="0" w:color="000000"/>
              <w:right w:val="single" w:sz="8" w:space="0" w:color="000000"/>
            </w:tcBorders>
            <w:shd w:val="clear" w:color="auto" w:fill="auto"/>
          </w:tcPr>
          <w:p w:rsidR="00CE3875" w:rsidRPr="009E6B3C" w:rsidRDefault="00FE6881" w:rsidP="009E6B3C">
            <w:pPr>
              <w:autoSpaceDE w:val="0"/>
              <w:autoSpaceDN w:val="0"/>
              <w:adjustRightInd w:val="0"/>
              <w:rPr>
                <w:rFonts w:ascii="Arial" w:eastAsia="Calibri" w:hAnsi="Arial" w:cs="Arial"/>
                <w:b/>
                <w:sz w:val="20"/>
                <w:szCs w:val="20"/>
                <w:lang w:eastAsia="en-US"/>
              </w:rPr>
            </w:pPr>
            <w:r w:rsidRPr="009E6B3C">
              <w:rPr>
                <w:rFonts w:ascii="Arial" w:eastAsia="Calibri" w:hAnsi="Arial" w:cs="Arial"/>
                <w:b/>
                <w:sz w:val="20"/>
                <w:szCs w:val="20"/>
                <w:lang w:eastAsia="en-US"/>
              </w:rPr>
              <w:t>21 274.7</w:t>
            </w:r>
          </w:p>
        </w:tc>
        <w:tc>
          <w:tcPr>
            <w:tcW w:w="447"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091D45" w:rsidP="009E6B3C">
            <w:pPr>
              <w:autoSpaceDE w:val="0"/>
              <w:autoSpaceDN w:val="0"/>
              <w:adjustRightInd w:val="0"/>
              <w:rPr>
                <w:rFonts w:ascii="Arial" w:eastAsia="Calibri" w:hAnsi="Arial" w:cs="Arial"/>
                <w:b/>
                <w:sz w:val="20"/>
                <w:szCs w:val="20"/>
                <w:lang w:eastAsia="en-US"/>
              </w:rPr>
            </w:pPr>
            <w:r w:rsidRPr="009E6B3C">
              <w:rPr>
                <w:rFonts w:ascii="Arial" w:eastAsia="Calibri" w:hAnsi="Arial" w:cs="Arial"/>
                <w:b/>
                <w:sz w:val="20"/>
                <w:szCs w:val="20"/>
                <w:lang w:eastAsia="en-US"/>
              </w:rPr>
              <w:t>97</w:t>
            </w:r>
          </w:p>
        </w:tc>
        <w:tc>
          <w:tcPr>
            <w:tcW w:w="820"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b/>
                <w:sz w:val="20"/>
                <w:szCs w:val="20"/>
                <w:lang w:eastAsia="en-US"/>
              </w:rPr>
            </w:pPr>
            <w:r w:rsidRPr="009E6B3C">
              <w:rPr>
                <w:rFonts w:ascii="Arial" w:eastAsia="Calibri" w:hAnsi="Arial" w:cs="Arial"/>
                <w:b/>
                <w:sz w:val="20"/>
                <w:szCs w:val="20"/>
                <w:lang w:eastAsia="en-US"/>
              </w:rPr>
              <w:t>21</w:t>
            </w:r>
            <w:r w:rsidR="00853E54" w:rsidRPr="009E6B3C">
              <w:rPr>
                <w:rFonts w:ascii="Arial" w:eastAsia="Calibri" w:hAnsi="Arial" w:cs="Arial"/>
                <w:b/>
                <w:sz w:val="20"/>
                <w:szCs w:val="20"/>
                <w:lang w:eastAsia="en-US"/>
              </w:rPr>
              <w:t> </w:t>
            </w:r>
            <w:r w:rsidRPr="009E6B3C">
              <w:rPr>
                <w:rFonts w:ascii="Arial" w:eastAsia="Calibri" w:hAnsi="Arial" w:cs="Arial"/>
                <w:b/>
                <w:sz w:val="20"/>
                <w:szCs w:val="20"/>
                <w:lang w:eastAsia="en-US"/>
              </w:rPr>
              <w:t>108</w:t>
            </w:r>
            <w:r w:rsidR="00853E54" w:rsidRPr="009E6B3C">
              <w:rPr>
                <w:rFonts w:ascii="Arial" w:eastAsia="Calibri" w:hAnsi="Arial" w:cs="Arial"/>
                <w:b/>
                <w:sz w:val="20"/>
                <w:szCs w:val="20"/>
                <w:lang w:eastAsia="en-US"/>
              </w:rPr>
              <w:t>.</w:t>
            </w:r>
            <w:r w:rsidRPr="009E6B3C">
              <w:rPr>
                <w:rFonts w:ascii="Arial" w:eastAsia="Calibri" w:hAnsi="Arial" w:cs="Arial"/>
                <w:b/>
                <w:sz w:val="20"/>
                <w:szCs w:val="20"/>
                <w:lang w:eastAsia="en-US"/>
              </w:rPr>
              <w:t>7</w:t>
            </w:r>
          </w:p>
        </w:tc>
        <w:tc>
          <w:tcPr>
            <w:tcW w:w="81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b/>
                <w:sz w:val="20"/>
                <w:szCs w:val="20"/>
                <w:lang w:eastAsia="en-US"/>
              </w:rPr>
            </w:pPr>
            <w:r w:rsidRPr="009E6B3C">
              <w:rPr>
                <w:rFonts w:ascii="Arial" w:eastAsia="Calibri" w:hAnsi="Arial" w:cs="Arial"/>
                <w:b/>
                <w:sz w:val="20"/>
                <w:szCs w:val="20"/>
                <w:lang w:eastAsia="en-US"/>
              </w:rPr>
              <w:t>20</w:t>
            </w:r>
            <w:r w:rsidR="00FE6881" w:rsidRPr="009E6B3C">
              <w:rPr>
                <w:rFonts w:ascii="Arial" w:eastAsia="Calibri" w:hAnsi="Arial" w:cs="Arial"/>
                <w:b/>
                <w:sz w:val="20"/>
                <w:szCs w:val="20"/>
                <w:lang w:eastAsia="en-US"/>
              </w:rPr>
              <w:t> </w:t>
            </w:r>
            <w:r w:rsidRPr="009E6B3C">
              <w:rPr>
                <w:rFonts w:ascii="Arial" w:eastAsia="Calibri" w:hAnsi="Arial" w:cs="Arial"/>
                <w:b/>
                <w:sz w:val="20"/>
                <w:szCs w:val="20"/>
                <w:lang w:eastAsia="en-US"/>
              </w:rPr>
              <w:t>032</w:t>
            </w:r>
            <w:r w:rsidR="00FE6881" w:rsidRPr="009E6B3C">
              <w:rPr>
                <w:rFonts w:ascii="Arial" w:eastAsia="Calibri" w:hAnsi="Arial" w:cs="Arial"/>
                <w:b/>
                <w:sz w:val="20"/>
                <w:szCs w:val="20"/>
                <w:lang w:eastAsia="en-US"/>
              </w:rPr>
              <w:t>.2</w:t>
            </w:r>
          </w:p>
        </w:tc>
        <w:tc>
          <w:tcPr>
            <w:tcW w:w="41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E3875" w:rsidRPr="009E6B3C" w:rsidRDefault="00CE3875" w:rsidP="009E6B3C">
            <w:pPr>
              <w:autoSpaceDE w:val="0"/>
              <w:autoSpaceDN w:val="0"/>
              <w:adjustRightInd w:val="0"/>
              <w:rPr>
                <w:rFonts w:ascii="Arial" w:eastAsia="Calibri" w:hAnsi="Arial" w:cs="Arial"/>
                <w:b/>
                <w:sz w:val="20"/>
                <w:szCs w:val="20"/>
                <w:lang w:eastAsia="en-US"/>
              </w:rPr>
            </w:pPr>
            <w:r w:rsidRPr="009E6B3C">
              <w:rPr>
                <w:rFonts w:ascii="Arial" w:eastAsia="Calibri" w:hAnsi="Arial" w:cs="Arial"/>
                <w:b/>
                <w:sz w:val="20"/>
                <w:szCs w:val="20"/>
                <w:lang w:eastAsia="en-US"/>
              </w:rPr>
              <w:t>94.9</w:t>
            </w:r>
          </w:p>
        </w:tc>
      </w:tr>
    </w:tbl>
    <w:p w:rsidR="00347ECD" w:rsidRPr="009E6B3C" w:rsidRDefault="00347ECD" w:rsidP="009E6B3C">
      <w:pPr>
        <w:autoSpaceDE w:val="0"/>
        <w:autoSpaceDN w:val="0"/>
        <w:adjustRightInd w:val="0"/>
        <w:rPr>
          <w:rFonts w:ascii="Arial" w:eastAsiaTheme="minorHAnsi" w:hAnsi="Arial" w:cs="Arial"/>
          <w:color w:val="000000"/>
          <w:sz w:val="20"/>
          <w:szCs w:val="20"/>
          <w:highlight w:val="yellow"/>
          <w:lang w:eastAsia="en-US"/>
        </w:rPr>
      </w:pPr>
    </w:p>
    <w:p w:rsidR="003F3C16" w:rsidRPr="009E6B3C" w:rsidRDefault="003F3C16" w:rsidP="009E6B3C">
      <w:pPr>
        <w:pStyle w:val="ListParagraph"/>
        <w:numPr>
          <w:ilvl w:val="2"/>
          <w:numId w:val="8"/>
        </w:numPr>
        <w:autoSpaceDE w:val="0"/>
        <w:autoSpaceDN w:val="0"/>
        <w:adjustRightInd w:val="0"/>
        <w:ind w:left="851" w:hanging="851"/>
        <w:rPr>
          <w:rFonts w:ascii="Arial" w:hAnsi="Arial" w:cs="Arial"/>
          <w:sz w:val="20"/>
          <w:szCs w:val="20"/>
        </w:rPr>
      </w:pPr>
      <w:r w:rsidRPr="009E6B3C">
        <w:rPr>
          <w:rFonts w:ascii="Arial" w:hAnsi="Arial" w:cs="Arial"/>
          <w:sz w:val="20"/>
          <w:szCs w:val="20"/>
        </w:rPr>
        <w:t xml:space="preserve">Reported key cost drivers in 2021/22 </w:t>
      </w:r>
      <w:r w:rsidR="00531EC8" w:rsidRPr="009E6B3C">
        <w:rPr>
          <w:rFonts w:ascii="Arial" w:hAnsi="Arial" w:cs="Arial"/>
          <w:sz w:val="20"/>
          <w:szCs w:val="20"/>
        </w:rPr>
        <w:t>include</w:t>
      </w:r>
      <w:r w:rsidRPr="009E6B3C">
        <w:rPr>
          <w:rFonts w:ascii="Arial" w:hAnsi="Arial" w:cs="Arial"/>
          <w:sz w:val="20"/>
          <w:szCs w:val="20"/>
        </w:rPr>
        <w:t>:</w:t>
      </w:r>
      <w:r w:rsidRPr="009E6B3C">
        <w:rPr>
          <w:rFonts w:ascii="Arial" w:hAnsi="Arial" w:cs="Arial"/>
          <w:sz w:val="20"/>
          <w:szCs w:val="20"/>
          <w:vertAlign w:val="superscript"/>
        </w:rPr>
        <w:t xml:space="preserve"> </w:t>
      </w:r>
    </w:p>
    <w:p w:rsidR="003F3C16" w:rsidRPr="009E6B3C" w:rsidRDefault="003F3C1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i/>
          <w:color w:val="000000"/>
          <w:sz w:val="20"/>
          <w:szCs w:val="20"/>
          <w:lang w:eastAsia="en-US"/>
        </w:rPr>
        <w:t>Compensation of employees</w:t>
      </w:r>
      <w:r w:rsidRPr="009E6B3C">
        <w:rPr>
          <w:rFonts w:ascii="Arial" w:eastAsiaTheme="minorHAnsi" w:hAnsi="Arial" w:cs="Arial"/>
          <w:color w:val="000000"/>
          <w:sz w:val="20"/>
          <w:szCs w:val="20"/>
          <w:lang w:eastAsia="en-US"/>
        </w:rPr>
        <w:t xml:space="preserve">. R12.21 billion (96.8% expenditure with under-expenditure of R558.43 million). (In 2020/21, there was expenditure of R11.52 billion, with under-expenditure of R591 million). </w:t>
      </w:r>
    </w:p>
    <w:p w:rsidR="003F3C16" w:rsidRPr="009E6B3C" w:rsidRDefault="003F3C1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i/>
          <w:color w:val="000000"/>
          <w:sz w:val="20"/>
          <w:szCs w:val="20"/>
          <w:lang w:eastAsia="en-US"/>
        </w:rPr>
        <w:t>Goods and Services</w:t>
      </w:r>
      <w:r w:rsidRPr="009E6B3C">
        <w:rPr>
          <w:rFonts w:ascii="Arial" w:eastAsiaTheme="minorHAnsi" w:hAnsi="Arial" w:cs="Arial"/>
          <w:color w:val="000000"/>
          <w:sz w:val="20"/>
          <w:szCs w:val="20"/>
          <w:lang w:eastAsia="en-US"/>
        </w:rPr>
        <w:t xml:space="preserve">. R4.79 billion (95.6% expenditure with under-expenditure of R21.7 million). (In 2020/21, expenditure of R4.61 billion with under-expenditure of R375.72 million). </w:t>
      </w:r>
    </w:p>
    <w:p w:rsidR="003F3C16" w:rsidRPr="009E6B3C" w:rsidRDefault="003F3C1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i/>
          <w:color w:val="000000"/>
          <w:sz w:val="20"/>
          <w:szCs w:val="20"/>
          <w:lang w:eastAsia="en-US"/>
        </w:rPr>
        <w:t>Property payments</w:t>
      </w:r>
      <w:r w:rsidRPr="009E6B3C">
        <w:rPr>
          <w:rFonts w:ascii="Arial" w:eastAsiaTheme="minorHAnsi" w:hAnsi="Arial" w:cs="Arial"/>
          <w:color w:val="000000"/>
          <w:sz w:val="20"/>
          <w:szCs w:val="20"/>
          <w:lang w:eastAsia="en-US"/>
        </w:rPr>
        <w:t>. R1.32 billion (R1.38 billion in 2020/21.)</w:t>
      </w:r>
    </w:p>
    <w:p w:rsidR="003F3C16" w:rsidRPr="009E6B3C" w:rsidRDefault="003F3C1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i/>
          <w:color w:val="000000"/>
          <w:sz w:val="20"/>
          <w:szCs w:val="20"/>
          <w:lang w:eastAsia="en-US"/>
        </w:rPr>
        <w:t>Operating leases</w:t>
      </w:r>
      <w:r w:rsidRPr="009E6B3C">
        <w:rPr>
          <w:rFonts w:ascii="Arial" w:eastAsiaTheme="minorHAnsi" w:hAnsi="Arial" w:cs="Arial"/>
          <w:color w:val="000000"/>
          <w:sz w:val="20"/>
          <w:szCs w:val="20"/>
          <w:lang w:eastAsia="en-US"/>
        </w:rPr>
        <w:t>. R930.79 million (R944.23 million in 2020/21.)</w:t>
      </w:r>
    </w:p>
    <w:p w:rsidR="003F3C16" w:rsidRPr="009E6B3C" w:rsidRDefault="00531EC8"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eastAsiaTheme="minorHAnsi" w:hAnsi="Arial" w:cs="Arial"/>
          <w:i/>
          <w:color w:val="000000"/>
          <w:sz w:val="20"/>
          <w:szCs w:val="20"/>
          <w:lang w:eastAsia="en-US"/>
        </w:rPr>
        <w:t>Buildings</w:t>
      </w:r>
      <w:r w:rsidRPr="009E6B3C">
        <w:rPr>
          <w:rFonts w:ascii="Arial" w:eastAsiaTheme="minorHAnsi" w:hAnsi="Arial" w:cs="Arial"/>
          <w:color w:val="000000"/>
          <w:sz w:val="20"/>
          <w:szCs w:val="20"/>
          <w:lang w:eastAsia="en-US"/>
        </w:rPr>
        <w:t>. R609.2</w:t>
      </w:r>
      <w:r w:rsidR="003F3C16" w:rsidRPr="009E6B3C">
        <w:rPr>
          <w:rFonts w:ascii="Arial" w:eastAsiaTheme="minorHAnsi" w:hAnsi="Arial" w:cs="Arial"/>
          <w:color w:val="000000"/>
          <w:sz w:val="20"/>
          <w:szCs w:val="20"/>
          <w:lang w:eastAsia="en-US"/>
        </w:rPr>
        <w:t xml:space="preserve"> million (R290.58 million in 2020/21</w:t>
      </w:r>
      <w:r w:rsidR="003F3C16" w:rsidRPr="009E6B3C">
        <w:rPr>
          <w:rFonts w:ascii="Arial" w:hAnsi="Arial" w:cs="Arial"/>
          <w:sz w:val="20"/>
          <w:szCs w:val="20"/>
        </w:rPr>
        <w:t>.)</w:t>
      </w:r>
    </w:p>
    <w:p w:rsidR="003F3C16" w:rsidRPr="009E6B3C" w:rsidRDefault="003F3C16" w:rsidP="009E6B3C">
      <w:pPr>
        <w:pStyle w:val="ListParagraph"/>
        <w:autoSpaceDE w:val="0"/>
        <w:autoSpaceDN w:val="0"/>
        <w:adjustRightInd w:val="0"/>
        <w:ind w:left="851"/>
        <w:rPr>
          <w:rFonts w:ascii="Arial" w:hAnsi="Arial" w:cs="Arial"/>
          <w:sz w:val="20"/>
          <w:szCs w:val="20"/>
        </w:rPr>
      </w:pPr>
    </w:p>
    <w:p w:rsidR="003F3C16" w:rsidRPr="009E6B3C" w:rsidRDefault="003F3C16" w:rsidP="009E6B3C">
      <w:pPr>
        <w:pStyle w:val="ListParagraph"/>
        <w:numPr>
          <w:ilvl w:val="2"/>
          <w:numId w:val="8"/>
        </w:numPr>
        <w:autoSpaceDE w:val="0"/>
        <w:autoSpaceDN w:val="0"/>
        <w:adjustRightInd w:val="0"/>
        <w:ind w:left="851" w:hanging="851"/>
        <w:rPr>
          <w:rFonts w:ascii="Arial" w:hAnsi="Arial" w:cs="Arial"/>
          <w:i/>
          <w:iCs/>
          <w:sz w:val="20"/>
          <w:szCs w:val="20"/>
        </w:rPr>
      </w:pPr>
      <w:r w:rsidRPr="009E6B3C">
        <w:rPr>
          <w:rFonts w:ascii="Arial" w:hAnsi="Arial" w:cs="Arial"/>
          <w:sz w:val="20"/>
          <w:szCs w:val="20"/>
        </w:rPr>
        <w:t>In respect of specific line items, the following was spent:</w:t>
      </w:r>
    </w:p>
    <w:p w:rsidR="003F3C16" w:rsidRPr="009E6B3C" w:rsidRDefault="003F3C1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R128 million on contractors</w:t>
      </w:r>
      <w:r w:rsidR="006D6E27" w:rsidRPr="009E6B3C">
        <w:rPr>
          <w:rFonts w:ascii="Arial" w:eastAsiaTheme="minorHAnsi" w:hAnsi="Arial" w:cs="Arial"/>
          <w:color w:val="000000"/>
          <w:sz w:val="20"/>
          <w:szCs w:val="20"/>
          <w:lang w:eastAsia="en-US"/>
        </w:rPr>
        <w:t xml:space="preserve">, comprising of </w:t>
      </w:r>
      <w:r w:rsidRPr="009E6B3C">
        <w:rPr>
          <w:rFonts w:ascii="Arial" w:eastAsiaTheme="minorHAnsi" w:hAnsi="Arial" w:cs="Arial"/>
          <w:color w:val="000000"/>
          <w:sz w:val="20"/>
          <w:szCs w:val="20"/>
          <w:lang w:eastAsia="en-US"/>
        </w:rPr>
        <w:t>day</w:t>
      </w:r>
      <w:r w:rsidR="006D6E27" w:rsidRPr="009E6B3C">
        <w:rPr>
          <w:rFonts w:ascii="Arial" w:eastAsiaTheme="minorHAnsi" w:hAnsi="Arial" w:cs="Arial"/>
          <w:color w:val="000000"/>
          <w:sz w:val="20"/>
          <w:szCs w:val="20"/>
          <w:lang w:eastAsia="en-US"/>
        </w:rPr>
        <w:t>-to-</w:t>
      </w:r>
      <w:r w:rsidRPr="009E6B3C">
        <w:rPr>
          <w:rFonts w:ascii="Arial" w:eastAsiaTheme="minorHAnsi" w:hAnsi="Arial" w:cs="Arial"/>
          <w:color w:val="000000"/>
          <w:sz w:val="20"/>
          <w:szCs w:val="20"/>
          <w:lang w:eastAsia="en-US"/>
        </w:rPr>
        <w:t>day maintenance and repairs (R72.7 million), security services (R24.2 million), forensic investigators (R19 million) and curator fees (NPA - R3.3 million).</w:t>
      </w:r>
    </w:p>
    <w:p w:rsidR="003F3C16" w:rsidRPr="009E6B3C" w:rsidRDefault="003F3C1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R857.8 million on computer services</w:t>
      </w:r>
      <w:r w:rsidR="006D6E27" w:rsidRPr="009E6B3C">
        <w:rPr>
          <w:rFonts w:ascii="Arial" w:eastAsiaTheme="minorHAnsi" w:hAnsi="Arial" w:cs="Arial"/>
          <w:color w:val="000000"/>
          <w:sz w:val="20"/>
          <w:szCs w:val="20"/>
          <w:lang w:eastAsia="en-US"/>
        </w:rPr>
        <w:t xml:space="preserve">, comprising of </w:t>
      </w:r>
      <w:r w:rsidRPr="009E6B3C">
        <w:rPr>
          <w:rFonts w:ascii="Arial" w:eastAsiaTheme="minorHAnsi" w:hAnsi="Arial" w:cs="Arial"/>
          <w:color w:val="000000"/>
          <w:sz w:val="20"/>
          <w:szCs w:val="20"/>
          <w:lang w:eastAsia="en-US"/>
        </w:rPr>
        <w:t>R464.5 on SITA</w:t>
      </w:r>
      <w:r w:rsidR="00853E54" w:rsidRPr="009E6B3C">
        <w:rPr>
          <w:rFonts w:ascii="Arial" w:eastAsiaTheme="minorHAnsi" w:hAnsi="Arial" w:cs="Arial"/>
          <w:color w:val="000000"/>
          <w:sz w:val="20"/>
          <w:szCs w:val="20"/>
          <w:lang w:eastAsia="en-US"/>
        </w:rPr>
        <w:t>’</w:t>
      </w:r>
      <w:r w:rsidRPr="009E6B3C">
        <w:rPr>
          <w:rFonts w:ascii="Arial" w:eastAsiaTheme="minorHAnsi" w:hAnsi="Arial" w:cs="Arial"/>
          <w:color w:val="000000"/>
          <w:sz w:val="20"/>
          <w:szCs w:val="20"/>
          <w:lang w:eastAsia="en-US"/>
        </w:rPr>
        <w:t xml:space="preserve"> computer services and R393.3 million on exte</w:t>
      </w:r>
      <w:r w:rsidR="006D6E27" w:rsidRPr="009E6B3C">
        <w:rPr>
          <w:rFonts w:ascii="Arial" w:eastAsiaTheme="minorHAnsi" w:hAnsi="Arial" w:cs="Arial"/>
          <w:color w:val="000000"/>
          <w:sz w:val="20"/>
          <w:szCs w:val="20"/>
          <w:lang w:eastAsia="en-US"/>
        </w:rPr>
        <w:t>rnal computer service providers.</w:t>
      </w:r>
    </w:p>
    <w:p w:rsidR="003F3C16" w:rsidRPr="009E6B3C" w:rsidRDefault="006D6E27" w:rsidP="009E6B3C">
      <w:pPr>
        <w:pStyle w:val="ListParagraph"/>
        <w:numPr>
          <w:ilvl w:val="0"/>
          <w:numId w:val="6"/>
        </w:numPr>
        <w:autoSpaceDE w:val="0"/>
        <w:autoSpaceDN w:val="0"/>
        <w:adjustRightInd w:val="0"/>
        <w:ind w:left="1276" w:hanging="425"/>
        <w:rPr>
          <w:rFonts w:ascii="Arial" w:hAnsi="Arial" w:cs="Arial"/>
          <w:i/>
          <w:iCs/>
          <w:sz w:val="20"/>
          <w:szCs w:val="20"/>
        </w:rPr>
      </w:pPr>
      <w:r w:rsidRPr="009E6B3C">
        <w:rPr>
          <w:rFonts w:ascii="Arial" w:eastAsiaTheme="minorHAnsi" w:hAnsi="Arial" w:cs="Arial"/>
          <w:color w:val="000000"/>
          <w:sz w:val="20"/>
          <w:szCs w:val="20"/>
          <w:lang w:eastAsia="en-US"/>
        </w:rPr>
        <w:t>E</w:t>
      </w:r>
      <w:r w:rsidR="003F3C16" w:rsidRPr="009E6B3C">
        <w:rPr>
          <w:rFonts w:ascii="Arial" w:eastAsiaTheme="minorHAnsi" w:hAnsi="Arial" w:cs="Arial"/>
          <w:color w:val="000000"/>
          <w:sz w:val="20"/>
          <w:szCs w:val="20"/>
          <w:lang w:eastAsia="en-US"/>
        </w:rPr>
        <w:t>xpenditure on Covid-19 protective per</w:t>
      </w:r>
      <w:r w:rsidRPr="009E6B3C">
        <w:rPr>
          <w:rFonts w:ascii="Arial" w:eastAsiaTheme="minorHAnsi" w:hAnsi="Arial" w:cs="Arial"/>
          <w:color w:val="000000"/>
          <w:sz w:val="20"/>
          <w:szCs w:val="20"/>
          <w:lang w:eastAsia="en-US"/>
        </w:rPr>
        <w:t>sonal equipment: R16.81 million.</w:t>
      </w:r>
    </w:p>
    <w:p w:rsidR="003F3C16" w:rsidRPr="009E6B3C" w:rsidRDefault="003F3C16" w:rsidP="009E6B3C">
      <w:pPr>
        <w:pStyle w:val="ListParagraph"/>
        <w:autoSpaceDE w:val="0"/>
        <w:autoSpaceDN w:val="0"/>
        <w:adjustRightInd w:val="0"/>
        <w:rPr>
          <w:rFonts w:ascii="Arial" w:hAnsi="Arial" w:cs="Arial"/>
          <w:sz w:val="20"/>
          <w:szCs w:val="20"/>
        </w:rPr>
      </w:pPr>
    </w:p>
    <w:p w:rsidR="00FB236C" w:rsidRPr="009E6B3C" w:rsidRDefault="00FB236C" w:rsidP="009E6B3C">
      <w:pPr>
        <w:pStyle w:val="ListParagraph"/>
        <w:numPr>
          <w:ilvl w:val="2"/>
          <w:numId w:val="8"/>
        </w:numPr>
        <w:autoSpaceDE w:val="0"/>
        <w:autoSpaceDN w:val="0"/>
        <w:adjustRightInd w:val="0"/>
        <w:ind w:left="851" w:hanging="851"/>
        <w:rPr>
          <w:rFonts w:ascii="Arial" w:hAnsi="Arial" w:cs="Arial"/>
          <w:sz w:val="20"/>
          <w:szCs w:val="20"/>
        </w:rPr>
      </w:pPr>
      <w:r w:rsidRPr="009E6B3C">
        <w:rPr>
          <w:rFonts w:ascii="Arial" w:hAnsi="Arial" w:cs="Arial"/>
          <w:sz w:val="20"/>
          <w:szCs w:val="20"/>
        </w:rPr>
        <w:t xml:space="preserve">The most significant under-expenditure occurred as follows: </w:t>
      </w:r>
    </w:p>
    <w:p w:rsidR="00FB236C" w:rsidRPr="009E6B3C" w:rsidRDefault="00FB236C"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Administration programme</w:t>
      </w:r>
      <w:r w:rsidR="00853E54" w:rsidRPr="009E6B3C">
        <w:rPr>
          <w:rFonts w:ascii="Arial" w:eastAsiaTheme="minorHAnsi" w:hAnsi="Arial" w:cs="Arial"/>
          <w:color w:val="000000"/>
          <w:sz w:val="20"/>
          <w:szCs w:val="20"/>
          <w:lang w:eastAsia="en-US"/>
        </w:rPr>
        <w:t xml:space="preserve"> -</w:t>
      </w:r>
      <w:r w:rsidRPr="009E6B3C">
        <w:rPr>
          <w:rFonts w:ascii="Arial" w:eastAsiaTheme="minorHAnsi" w:hAnsi="Arial" w:cs="Arial"/>
          <w:color w:val="000000"/>
          <w:sz w:val="20"/>
          <w:szCs w:val="20"/>
          <w:lang w:eastAsia="en-US"/>
        </w:rPr>
        <w:t xml:space="preserve"> 92</w:t>
      </w:r>
      <w:r w:rsidR="00531EC8" w:rsidRPr="009E6B3C">
        <w:rPr>
          <w:rFonts w:ascii="Arial" w:eastAsiaTheme="minorHAnsi" w:hAnsi="Arial" w:cs="Arial"/>
          <w:color w:val="000000"/>
          <w:sz w:val="20"/>
          <w:szCs w:val="20"/>
          <w:lang w:eastAsia="en-US"/>
        </w:rPr>
        <w:t>%</w:t>
      </w:r>
      <w:r w:rsidRPr="009E6B3C">
        <w:rPr>
          <w:rFonts w:ascii="Arial" w:eastAsiaTheme="minorHAnsi" w:hAnsi="Arial" w:cs="Arial"/>
          <w:color w:val="000000"/>
          <w:sz w:val="20"/>
          <w:szCs w:val="20"/>
          <w:lang w:eastAsia="en-US"/>
        </w:rPr>
        <w:t xml:space="preserve"> of the budget was spent, with an under-expenditure of R230.8 million.</w:t>
      </w:r>
    </w:p>
    <w:p w:rsidR="00FB236C" w:rsidRPr="009E6B3C" w:rsidRDefault="00FB236C"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eastAsiaTheme="minorHAnsi" w:hAnsi="Arial" w:cs="Arial"/>
          <w:color w:val="000000"/>
          <w:sz w:val="20"/>
          <w:szCs w:val="20"/>
          <w:lang w:eastAsia="en-US"/>
        </w:rPr>
        <w:t>State Legal Services programme</w:t>
      </w:r>
      <w:r w:rsidR="00853E54" w:rsidRPr="009E6B3C">
        <w:rPr>
          <w:rFonts w:ascii="Arial" w:eastAsiaTheme="minorHAnsi" w:hAnsi="Arial" w:cs="Arial"/>
          <w:color w:val="000000"/>
          <w:sz w:val="20"/>
          <w:szCs w:val="20"/>
          <w:lang w:eastAsia="en-US"/>
        </w:rPr>
        <w:t xml:space="preserve"> -</w:t>
      </w:r>
      <w:r w:rsidRPr="009E6B3C">
        <w:rPr>
          <w:rFonts w:ascii="Arial" w:eastAsiaTheme="minorHAnsi" w:hAnsi="Arial" w:cs="Arial"/>
          <w:color w:val="000000"/>
          <w:sz w:val="20"/>
          <w:szCs w:val="20"/>
          <w:lang w:eastAsia="en-US"/>
        </w:rPr>
        <w:t xml:space="preserve"> 94% of the budget spent with an under-expenditure of</w:t>
      </w:r>
      <w:r w:rsidRPr="009E6B3C">
        <w:rPr>
          <w:rFonts w:ascii="Arial" w:hAnsi="Arial" w:cs="Arial"/>
          <w:sz w:val="20"/>
          <w:szCs w:val="20"/>
        </w:rPr>
        <w:t xml:space="preserve"> R84.1 million.</w:t>
      </w:r>
    </w:p>
    <w:p w:rsidR="00BE7B9C" w:rsidRPr="009E6B3C" w:rsidRDefault="00BE7B9C"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Magistrates salaries</w:t>
      </w:r>
      <w:r w:rsidR="00853E54" w:rsidRPr="009E6B3C">
        <w:rPr>
          <w:rFonts w:ascii="Arial" w:eastAsiaTheme="minorHAnsi" w:hAnsi="Arial" w:cs="Arial"/>
          <w:color w:val="000000"/>
          <w:sz w:val="20"/>
          <w:szCs w:val="20"/>
          <w:lang w:eastAsia="en-US"/>
        </w:rPr>
        <w:t xml:space="preserve"> -</w:t>
      </w:r>
      <w:r w:rsidRPr="009E6B3C">
        <w:rPr>
          <w:rFonts w:ascii="Arial" w:eastAsiaTheme="minorHAnsi" w:hAnsi="Arial" w:cs="Arial"/>
          <w:color w:val="000000"/>
          <w:sz w:val="20"/>
          <w:szCs w:val="20"/>
          <w:lang w:eastAsia="en-US"/>
        </w:rPr>
        <w:t xml:space="preserve"> 91% of the budget was spent, with an under-expenditure of R221.9 million.</w:t>
      </w:r>
    </w:p>
    <w:p w:rsidR="00FB236C" w:rsidRPr="009E6B3C" w:rsidRDefault="00FB236C" w:rsidP="009E6B3C">
      <w:pPr>
        <w:pStyle w:val="ListParagraph"/>
        <w:autoSpaceDE w:val="0"/>
        <w:autoSpaceDN w:val="0"/>
        <w:adjustRightInd w:val="0"/>
        <w:ind w:left="851"/>
        <w:rPr>
          <w:rFonts w:ascii="Arial" w:hAnsi="Arial" w:cs="Arial"/>
          <w:sz w:val="20"/>
          <w:szCs w:val="20"/>
        </w:rPr>
      </w:pPr>
    </w:p>
    <w:p w:rsidR="00764129" w:rsidRPr="009E6B3C" w:rsidRDefault="0080679F" w:rsidP="009E6B3C">
      <w:pPr>
        <w:pStyle w:val="ListParagraph"/>
        <w:numPr>
          <w:ilvl w:val="2"/>
          <w:numId w:val="8"/>
        </w:numPr>
        <w:autoSpaceDE w:val="0"/>
        <w:autoSpaceDN w:val="0"/>
        <w:adjustRightInd w:val="0"/>
        <w:ind w:left="851" w:hanging="851"/>
        <w:rPr>
          <w:rFonts w:ascii="Arial" w:hAnsi="Arial" w:cs="Arial"/>
          <w:sz w:val="20"/>
          <w:szCs w:val="20"/>
        </w:rPr>
      </w:pPr>
      <w:r w:rsidRPr="009E6B3C">
        <w:rPr>
          <w:rFonts w:ascii="Arial" w:hAnsi="Arial" w:cs="Arial"/>
          <w:sz w:val="20"/>
          <w:szCs w:val="20"/>
        </w:rPr>
        <w:t>The underspending is attributed to:</w:t>
      </w:r>
    </w:p>
    <w:p w:rsidR="00D64317" w:rsidRPr="009E6B3C" w:rsidRDefault="00A266A2"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Vacant posts across all programmes, magistrates’ salaries and lower than anticipated</w:t>
      </w:r>
      <w:r w:rsidR="0080679F" w:rsidRPr="009E6B3C">
        <w:rPr>
          <w:rFonts w:ascii="Arial" w:eastAsiaTheme="minorHAnsi" w:hAnsi="Arial" w:cs="Arial"/>
          <w:color w:val="000000"/>
          <w:sz w:val="20"/>
          <w:szCs w:val="20"/>
          <w:lang w:eastAsia="en-US"/>
        </w:rPr>
        <w:t xml:space="preserve"> payment of performance bonuses.</w:t>
      </w:r>
    </w:p>
    <w:p w:rsidR="00D64317" w:rsidRPr="009E6B3C" w:rsidRDefault="00A266A2"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Less than anticipated expenditure on private leases and municipal services</w:t>
      </w:r>
      <w:r w:rsidR="00853E54" w:rsidRPr="009E6B3C">
        <w:rPr>
          <w:rFonts w:ascii="Arial" w:eastAsiaTheme="minorHAnsi" w:hAnsi="Arial" w:cs="Arial"/>
          <w:color w:val="000000"/>
          <w:sz w:val="20"/>
          <w:szCs w:val="20"/>
          <w:lang w:eastAsia="en-US"/>
        </w:rPr>
        <w:t xml:space="preserve"> and</w:t>
      </w:r>
      <w:r w:rsidRPr="009E6B3C">
        <w:rPr>
          <w:rFonts w:ascii="Arial" w:eastAsiaTheme="minorHAnsi" w:hAnsi="Arial" w:cs="Arial"/>
          <w:color w:val="000000"/>
          <w:sz w:val="20"/>
          <w:szCs w:val="20"/>
          <w:lang w:eastAsia="en-US"/>
        </w:rPr>
        <w:t xml:space="preserve"> delays in awarding the procurement of ICT licenses (Citrix and Trend) and ICT Services (ICT Central Support, Service Desk and Security Support Services)</w:t>
      </w:r>
      <w:r w:rsidR="00853E54" w:rsidRPr="009E6B3C">
        <w:rPr>
          <w:rFonts w:ascii="Arial" w:eastAsiaTheme="minorHAnsi" w:hAnsi="Arial" w:cs="Arial"/>
          <w:color w:val="000000"/>
          <w:sz w:val="20"/>
          <w:szCs w:val="20"/>
          <w:lang w:eastAsia="en-US"/>
        </w:rPr>
        <w:t>,</w:t>
      </w:r>
      <w:r w:rsidRPr="009E6B3C">
        <w:rPr>
          <w:rFonts w:ascii="Arial" w:eastAsiaTheme="minorHAnsi" w:hAnsi="Arial" w:cs="Arial"/>
          <w:color w:val="000000"/>
          <w:sz w:val="20"/>
          <w:szCs w:val="20"/>
          <w:lang w:eastAsia="en-US"/>
        </w:rPr>
        <w:t xml:space="preserve"> as well as the underperformance of </w:t>
      </w:r>
      <w:r w:rsidR="0080679F" w:rsidRPr="009E6B3C">
        <w:rPr>
          <w:rFonts w:ascii="Arial" w:eastAsiaTheme="minorHAnsi" w:hAnsi="Arial" w:cs="Arial"/>
          <w:color w:val="000000"/>
          <w:sz w:val="20"/>
          <w:szCs w:val="20"/>
          <w:lang w:eastAsia="en-US"/>
        </w:rPr>
        <w:t>the IJS/CJS (Transversal).</w:t>
      </w:r>
    </w:p>
    <w:p w:rsidR="0080679F" w:rsidRPr="009E6B3C" w:rsidRDefault="00A266A2"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Lower than anticipated payments for leave gratuity resulting from na</w:t>
      </w:r>
      <w:r w:rsidR="0080679F" w:rsidRPr="009E6B3C">
        <w:rPr>
          <w:rFonts w:ascii="Arial" w:eastAsiaTheme="minorHAnsi" w:hAnsi="Arial" w:cs="Arial"/>
          <w:color w:val="000000"/>
          <w:sz w:val="20"/>
          <w:szCs w:val="20"/>
          <w:lang w:eastAsia="en-US"/>
        </w:rPr>
        <w:t>tural attrition for magistrates.</w:t>
      </w:r>
    </w:p>
    <w:p w:rsidR="0080679F" w:rsidRPr="009E6B3C" w:rsidRDefault="0080679F"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Slow progress by the Department of Public Works and Infrastructure </w:t>
      </w:r>
      <w:r w:rsidR="00853E54" w:rsidRPr="009E6B3C">
        <w:rPr>
          <w:rFonts w:ascii="Arial" w:eastAsiaTheme="minorHAnsi" w:hAnsi="Arial" w:cs="Arial"/>
          <w:color w:val="000000"/>
          <w:sz w:val="20"/>
          <w:szCs w:val="20"/>
          <w:lang w:eastAsia="en-US"/>
        </w:rPr>
        <w:t xml:space="preserve">(DPWI) </w:t>
      </w:r>
      <w:r w:rsidRPr="009E6B3C">
        <w:rPr>
          <w:rFonts w:ascii="Arial" w:eastAsiaTheme="minorHAnsi" w:hAnsi="Arial" w:cs="Arial"/>
          <w:color w:val="000000"/>
          <w:sz w:val="20"/>
          <w:szCs w:val="20"/>
          <w:lang w:eastAsia="en-US"/>
        </w:rPr>
        <w:t>in implementing planned court infrastructure projects.</w:t>
      </w:r>
    </w:p>
    <w:p w:rsidR="00596AA5" w:rsidRPr="009E6B3C" w:rsidRDefault="00596AA5" w:rsidP="009E6B3C">
      <w:pPr>
        <w:autoSpaceDE w:val="0"/>
        <w:autoSpaceDN w:val="0"/>
        <w:adjustRightInd w:val="0"/>
        <w:rPr>
          <w:rFonts w:ascii="Arial" w:hAnsi="Arial" w:cs="Arial"/>
          <w:sz w:val="20"/>
          <w:szCs w:val="20"/>
        </w:rPr>
      </w:pPr>
    </w:p>
    <w:p w:rsidR="00BC473F" w:rsidRPr="009E6B3C" w:rsidRDefault="00977350" w:rsidP="009E6B3C">
      <w:pPr>
        <w:pStyle w:val="ListParagraph"/>
        <w:numPr>
          <w:ilvl w:val="1"/>
          <w:numId w:val="1"/>
        </w:numPr>
        <w:ind w:left="851" w:hanging="851"/>
        <w:rPr>
          <w:rFonts w:ascii="Arial" w:hAnsi="Arial" w:cs="Arial"/>
          <w:i/>
          <w:sz w:val="20"/>
          <w:szCs w:val="20"/>
          <w:lang w:eastAsia="en-ZA"/>
        </w:rPr>
      </w:pPr>
      <w:r w:rsidRPr="009E6B3C">
        <w:rPr>
          <w:rFonts w:ascii="Arial" w:hAnsi="Arial" w:cs="Arial"/>
          <w:b/>
          <w:i/>
          <w:sz w:val="20"/>
          <w:szCs w:val="20"/>
        </w:rPr>
        <w:t>Vote a</w:t>
      </w:r>
      <w:r w:rsidR="00BC473F" w:rsidRPr="009E6B3C">
        <w:rPr>
          <w:rFonts w:ascii="Arial" w:hAnsi="Arial" w:cs="Arial"/>
          <w:b/>
          <w:i/>
          <w:sz w:val="20"/>
          <w:szCs w:val="20"/>
        </w:rPr>
        <w:t>llocation 2022/23</w:t>
      </w:r>
    </w:p>
    <w:p w:rsidR="005A3C00" w:rsidRPr="009E6B3C" w:rsidRDefault="005A3C00" w:rsidP="009E6B3C">
      <w:pPr>
        <w:pStyle w:val="ListParagraph"/>
        <w:ind w:left="851"/>
        <w:rPr>
          <w:rFonts w:ascii="Arial" w:hAnsi="Arial" w:cs="Arial"/>
          <w:sz w:val="20"/>
          <w:szCs w:val="20"/>
          <w:lang w:eastAsia="en-ZA"/>
        </w:rPr>
      </w:pPr>
    </w:p>
    <w:p w:rsidR="005A3C00" w:rsidRPr="009E6B3C" w:rsidRDefault="00BC473F" w:rsidP="009E6B3C">
      <w:pPr>
        <w:pStyle w:val="ListParagraph"/>
        <w:numPr>
          <w:ilvl w:val="2"/>
          <w:numId w:val="45"/>
        </w:numPr>
        <w:autoSpaceDE w:val="0"/>
        <w:autoSpaceDN w:val="0"/>
        <w:adjustRightInd w:val="0"/>
        <w:ind w:left="851" w:hanging="851"/>
        <w:rPr>
          <w:rFonts w:ascii="Arial" w:hAnsi="Arial" w:cs="Arial"/>
          <w:sz w:val="20"/>
          <w:szCs w:val="20"/>
        </w:rPr>
      </w:pPr>
      <w:r w:rsidRPr="009E6B3C">
        <w:rPr>
          <w:rFonts w:ascii="Arial" w:hAnsi="Arial" w:cs="Arial"/>
          <w:sz w:val="20"/>
          <w:szCs w:val="20"/>
        </w:rPr>
        <w:t>The overall allocation to the Justice and Constitutional Development Vote (Vote 25) for 2022/23, including the Direct Transfer for Magistrate’s salaries</w:t>
      </w:r>
      <w:r w:rsidR="00FE6881" w:rsidRPr="009E6B3C">
        <w:rPr>
          <w:rFonts w:ascii="Arial" w:hAnsi="Arial" w:cs="Arial"/>
          <w:sz w:val="20"/>
          <w:szCs w:val="20"/>
        </w:rPr>
        <w:t>,</w:t>
      </w:r>
      <w:r w:rsidRPr="009E6B3C">
        <w:rPr>
          <w:rFonts w:ascii="Arial" w:hAnsi="Arial" w:cs="Arial"/>
          <w:sz w:val="20"/>
          <w:szCs w:val="20"/>
        </w:rPr>
        <w:t xml:space="preserve"> is R22.4 billion (compared with the </w:t>
      </w:r>
      <w:r w:rsidR="00531EC8" w:rsidRPr="009E6B3C">
        <w:rPr>
          <w:rFonts w:ascii="Arial" w:hAnsi="Arial" w:cs="Arial"/>
          <w:sz w:val="20"/>
          <w:szCs w:val="20"/>
        </w:rPr>
        <w:t xml:space="preserve">final allocation </w:t>
      </w:r>
      <w:r w:rsidRPr="009E6B3C">
        <w:rPr>
          <w:rFonts w:ascii="Arial" w:hAnsi="Arial" w:cs="Arial"/>
          <w:sz w:val="20"/>
          <w:szCs w:val="20"/>
        </w:rPr>
        <w:t xml:space="preserve">of R21.9 billion in 2021/22). </w:t>
      </w:r>
      <w:r w:rsidR="00FE6881" w:rsidRPr="009E6B3C">
        <w:rPr>
          <w:rFonts w:ascii="Arial" w:hAnsi="Arial" w:cs="Arial"/>
          <w:sz w:val="20"/>
          <w:szCs w:val="20"/>
        </w:rPr>
        <w:t>The allocation to the Vote decreases in real terms by -2.06% compared with 2021/22.</w:t>
      </w:r>
    </w:p>
    <w:p w:rsidR="00BC473F" w:rsidRPr="009E6B3C" w:rsidRDefault="00BC473F" w:rsidP="009E6B3C">
      <w:pPr>
        <w:pStyle w:val="ListParagraph"/>
        <w:rPr>
          <w:rFonts w:ascii="Arial" w:hAnsi="Arial" w:cs="Arial"/>
          <w:sz w:val="20"/>
          <w:szCs w:val="20"/>
          <w:highlight w:val="green"/>
        </w:rPr>
      </w:pPr>
    </w:p>
    <w:p w:rsidR="00BC473F" w:rsidRPr="009E6B3C" w:rsidRDefault="00CD68E3" w:rsidP="009E6B3C">
      <w:pPr>
        <w:pStyle w:val="ListParagraph"/>
        <w:numPr>
          <w:ilvl w:val="2"/>
          <w:numId w:val="45"/>
        </w:numPr>
        <w:autoSpaceDE w:val="0"/>
        <w:autoSpaceDN w:val="0"/>
        <w:adjustRightInd w:val="0"/>
        <w:ind w:left="851" w:hanging="851"/>
        <w:rPr>
          <w:rFonts w:ascii="Arial" w:hAnsi="Arial" w:cs="Arial"/>
          <w:sz w:val="20"/>
          <w:szCs w:val="20"/>
          <w:lang w:eastAsia="en-ZA"/>
        </w:rPr>
      </w:pPr>
      <w:r w:rsidRPr="009E6B3C">
        <w:rPr>
          <w:rFonts w:ascii="Arial" w:hAnsi="Arial" w:cs="Arial"/>
          <w:sz w:val="20"/>
          <w:szCs w:val="20"/>
        </w:rPr>
        <w:t>T</w:t>
      </w:r>
      <w:r w:rsidR="00BC473F" w:rsidRPr="009E6B3C">
        <w:rPr>
          <w:rFonts w:ascii="Arial" w:hAnsi="Arial" w:cs="Arial"/>
          <w:sz w:val="20"/>
          <w:szCs w:val="20"/>
        </w:rPr>
        <w:t xml:space="preserve">he total allocation for programmes, excluding the direct charge for magistrates’ salaries, is R20.0 </w:t>
      </w:r>
      <w:r w:rsidR="00091D45" w:rsidRPr="009E6B3C">
        <w:rPr>
          <w:rFonts w:ascii="Arial" w:hAnsi="Arial" w:cs="Arial"/>
          <w:sz w:val="20"/>
          <w:szCs w:val="20"/>
        </w:rPr>
        <w:t>billion</w:t>
      </w:r>
      <w:r w:rsidR="00BC473F" w:rsidRPr="009E6B3C">
        <w:rPr>
          <w:rFonts w:ascii="Arial" w:hAnsi="Arial" w:cs="Arial"/>
          <w:sz w:val="20"/>
          <w:szCs w:val="20"/>
        </w:rPr>
        <w:t xml:space="preserve">. This allocation decreases in real terms by -1.79% from 2021/22. </w:t>
      </w:r>
    </w:p>
    <w:p w:rsidR="00FE6881" w:rsidRPr="009E6B3C" w:rsidRDefault="00FE6881" w:rsidP="009E6B3C">
      <w:pPr>
        <w:pStyle w:val="ListParagraph"/>
        <w:ind w:left="862"/>
        <w:rPr>
          <w:rFonts w:ascii="Arial" w:hAnsi="Arial" w:cs="Arial"/>
          <w:b/>
          <w:sz w:val="20"/>
          <w:szCs w:val="20"/>
        </w:rPr>
      </w:pPr>
    </w:p>
    <w:p w:rsidR="00FE6881" w:rsidRPr="009E6B3C" w:rsidRDefault="00FE6881" w:rsidP="009E6B3C">
      <w:pPr>
        <w:pStyle w:val="ListParagraph"/>
        <w:numPr>
          <w:ilvl w:val="2"/>
          <w:numId w:val="45"/>
        </w:numPr>
        <w:autoSpaceDE w:val="0"/>
        <w:autoSpaceDN w:val="0"/>
        <w:adjustRightInd w:val="0"/>
        <w:ind w:left="851" w:hanging="851"/>
        <w:rPr>
          <w:rFonts w:ascii="Arial" w:hAnsi="Arial" w:cs="Arial"/>
          <w:sz w:val="20"/>
          <w:szCs w:val="20"/>
          <w:lang/>
        </w:rPr>
      </w:pPr>
      <w:r w:rsidRPr="009E6B3C">
        <w:rPr>
          <w:rFonts w:ascii="Arial" w:hAnsi="Arial" w:cs="Arial"/>
          <w:sz w:val="20"/>
          <w:szCs w:val="20"/>
        </w:rPr>
        <w:t>The three Justice administered programmes (Administration, Court Services and State Legal Services), as well as the Justice Modernisation sub</w:t>
      </w:r>
      <w:r w:rsidR="007C1CAE" w:rsidRPr="009E6B3C">
        <w:rPr>
          <w:rFonts w:ascii="Arial" w:hAnsi="Arial" w:cs="Arial"/>
          <w:sz w:val="20"/>
          <w:szCs w:val="20"/>
        </w:rPr>
        <w:t>-</w:t>
      </w:r>
      <w:r w:rsidRPr="009E6B3C">
        <w:rPr>
          <w:rFonts w:ascii="Arial" w:hAnsi="Arial" w:cs="Arial"/>
          <w:sz w:val="20"/>
          <w:szCs w:val="20"/>
        </w:rPr>
        <w:t>programme under Programme 5, are allocated R11.9 billion for 2022/23.</w:t>
      </w:r>
    </w:p>
    <w:p w:rsidR="00FE6881" w:rsidRPr="009E6B3C" w:rsidRDefault="00FE6881" w:rsidP="009E6B3C">
      <w:pPr>
        <w:ind w:left="375"/>
        <w:rPr>
          <w:rFonts w:ascii="Arial" w:hAnsi="Arial" w:cs="Arial"/>
          <w:b/>
          <w:sz w:val="20"/>
          <w:szCs w:val="20"/>
        </w:rPr>
      </w:pPr>
    </w:p>
    <w:p w:rsidR="00BC473F" w:rsidRPr="009E6B3C" w:rsidRDefault="00400729" w:rsidP="009E6B3C">
      <w:pPr>
        <w:rPr>
          <w:rFonts w:ascii="Arial" w:hAnsi="Arial" w:cs="Arial"/>
          <w:b/>
          <w:i/>
          <w:sz w:val="20"/>
          <w:szCs w:val="20"/>
        </w:rPr>
      </w:pPr>
      <w:r w:rsidRPr="009E6B3C">
        <w:rPr>
          <w:rFonts w:ascii="Arial" w:hAnsi="Arial" w:cs="Arial"/>
          <w:b/>
          <w:i/>
          <w:sz w:val="20"/>
          <w:szCs w:val="20"/>
        </w:rPr>
        <w:t xml:space="preserve">Table </w:t>
      </w:r>
      <w:r w:rsidR="00853E54" w:rsidRPr="009E6B3C">
        <w:rPr>
          <w:rFonts w:ascii="Arial" w:hAnsi="Arial" w:cs="Arial"/>
          <w:b/>
          <w:i/>
          <w:sz w:val="20"/>
          <w:szCs w:val="20"/>
        </w:rPr>
        <w:t>4</w:t>
      </w:r>
      <w:r w:rsidR="00977350" w:rsidRPr="009E6B3C">
        <w:rPr>
          <w:rFonts w:ascii="Arial" w:hAnsi="Arial" w:cs="Arial"/>
          <w:b/>
          <w:i/>
          <w:sz w:val="20"/>
          <w:szCs w:val="20"/>
        </w:rPr>
        <w:t xml:space="preserve">: </w:t>
      </w:r>
      <w:r w:rsidR="00BC473F" w:rsidRPr="009E6B3C">
        <w:rPr>
          <w:rFonts w:ascii="Arial" w:hAnsi="Arial" w:cs="Arial"/>
          <w:b/>
          <w:i/>
          <w:sz w:val="20"/>
          <w:szCs w:val="20"/>
        </w:rPr>
        <w:t>Vote 25 - Justice and Constitutional Development – Allocation for the 2022 MTEF per programme</w:t>
      </w:r>
    </w:p>
    <w:tbl>
      <w:tblPr>
        <w:tblW w:w="0" w:type="auto"/>
        <w:tblLook w:val="0000"/>
      </w:tblPr>
      <w:tblGrid>
        <w:gridCol w:w="2265"/>
        <w:gridCol w:w="1057"/>
        <w:gridCol w:w="1071"/>
        <w:gridCol w:w="1133"/>
        <w:gridCol w:w="1274"/>
        <w:gridCol w:w="1350"/>
        <w:gridCol w:w="1150"/>
      </w:tblGrid>
      <w:tr w:rsidR="00BC473F" w:rsidRPr="009E6B3C" w:rsidTr="00531EC8">
        <w:trPr>
          <w:trHeight w:val="861"/>
          <w:tblHeader/>
        </w:trPr>
        <w:tc>
          <w:tcPr>
            <w:tcW w:w="2265" w:type="dxa"/>
            <w:vMerge w:val="restart"/>
            <w:tcBorders>
              <w:top w:val="single" w:sz="2" w:space="0" w:color="000000"/>
              <w:left w:val="single" w:sz="2" w:space="0" w:color="000000"/>
              <w:right w:val="single" w:sz="6"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Programme</w:t>
            </w:r>
          </w:p>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(R ‘million)</w:t>
            </w:r>
          </w:p>
        </w:tc>
        <w:tc>
          <w:tcPr>
            <w:tcW w:w="4535" w:type="dxa"/>
            <w:gridSpan w:val="4"/>
            <w:tcBorders>
              <w:top w:val="single" w:sz="6" w:space="0" w:color="auto"/>
              <w:left w:val="single" w:sz="6" w:space="0" w:color="auto"/>
              <w:bottom w:val="single" w:sz="2" w:space="0" w:color="000000"/>
              <w:right w:val="single" w:sz="6" w:space="0" w:color="auto"/>
            </w:tcBorders>
            <w:shd w:val="clear" w:color="auto" w:fill="D9D9D9"/>
          </w:tcPr>
          <w:p w:rsidR="00853E54"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Budget</w:t>
            </w:r>
          </w:p>
          <w:p w:rsidR="00BC473F" w:rsidRPr="009E6B3C" w:rsidRDefault="00853E54"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2022 MTEF</w:t>
            </w:r>
          </w:p>
        </w:tc>
        <w:tc>
          <w:tcPr>
            <w:tcW w:w="1341" w:type="dxa"/>
            <w:vMerge w:val="restart"/>
            <w:tcBorders>
              <w:top w:val="single" w:sz="6" w:space="0" w:color="auto"/>
              <w:left w:val="single" w:sz="6" w:space="0" w:color="auto"/>
              <w:right w:val="single" w:sz="6"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w:t>
            </w:r>
          </w:p>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Total expenditure</w:t>
            </w:r>
          </w:p>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2021/22-2024/25</w:t>
            </w:r>
          </w:p>
        </w:tc>
        <w:tc>
          <w:tcPr>
            <w:tcW w:w="0" w:type="auto"/>
            <w:vMerge w:val="restart"/>
            <w:tcBorders>
              <w:top w:val="single" w:sz="6" w:space="0" w:color="auto"/>
              <w:left w:val="single" w:sz="6" w:space="0" w:color="auto"/>
              <w:right w:val="single" w:sz="6" w:space="0" w:color="auto"/>
            </w:tcBorders>
            <w:shd w:val="clear" w:color="auto" w:fill="D9D9D9"/>
          </w:tcPr>
          <w:p w:rsidR="00853E54"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 xml:space="preserve">Real </w:t>
            </w:r>
          </w:p>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 change</w:t>
            </w:r>
          </w:p>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2022/23</w:t>
            </w:r>
          </w:p>
        </w:tc>
      </w:tr>
      <w:tr w:rsidR="00BC473F" w:rsidRPr="009E6B3C" w:rsidTr="00531EC8">
        <w:trPr>
          <w:trHeight w:val="247"/>
          <w:tblHeader/>
        </w:trPr>
        <w:tc>
          <w:tcPr>
            <w:tcW w:w="2265" w:type="dxa"/>
            <w:vMerge/>
            <w:tcBorders>
              <w:left w:val="single" w:sz="2" w:space="0" w:color="000000"/>
              <w:bottom w:val="single" w:sz="2" w:space="0" w:color="000000"/>
              <w:right w:val="single" w:sz="6" w:space="0" w:color="auto"/>
            </w:tcBorders>
          </w:tcPr>
          <w:p w:rsidR="00BC473F" w:rsidRPr="009E6B3C" w:rsidRDefault="00BC473F" w:rsidP="009E6B3C">
            <w:pPr>
              <w:autoSpaceDE w:val="0"/>
              <w:autoSpaceDN w:val="0"/>
              <w:adjustRightInd w:val="0"/>
              <w:rPr>
                <w:rFonts w:ascii="Arial" w:eastAsia="Calibri" w:hAnsi="Arial" w:cs="Arial"/>
                <w:b/>
                <w:bCs/>
                <w:sz w:val="20"/>
                <w:szCs w:val="20"/>
                <w:lang w:eastAsia="en-US"/>
              </w:rPr>
            </w:pPr>
          </w:p>
        </w:tc>
        <w:tc>
          <w:tcPr>
            <w:tcW w:w="1057" w:type="dxa"/>
            <w:tcBorders>
              <w:top w:val="single" w:sz="2" w:space="0" w:color="000000"/>
              <w:left w:val="single" w:sz="6" w:space="0" w:color="auto"/>
              <w:bottom w:val="single" w:sz="6" w:space="0" w:color="auto"/>
              <w:right w:val="single" w:sz="4"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2021/22</w:t>
            </w:r>
          </w:p>
        </w:tc>
        <w:tc>
          <w:tcPr>
            <w:tcW w:w="1071" w:type="dxa"/>
            <w:tcBorders>
              <w:top w:val="single" w:sz="4" w:space="0" w:color="auto"/>
              <w:left w:val="single" w:sz="4" w:space="0" w:color="auto"/>
              <w:bottom w:val="single" w:sz="4" w:space="0" w:color="auto"/>
              <w:right w:val="single" w:sz="4"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2022/23</w:t>
            </w:r>
          </w:p>
        </w:tc>
        <w:tc>
          <w:tcPr>
            <w:tcW w:w="1133" w:type="dxa"/>
            <w:tcBorders>
              <w:top w:val="single" w:sz="4" w:space="0" w:color="auto"/>
              <w:left w:val="single" w:sz="4" w:space="0" w:color="auto"/>
              <w:bottom w:val="single" w:sz="4" w:space="0" w:color="auto"/>
              <w:right w:val="single" w:sz="4"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2023/24</w:t>
            </w:r>
          </w:p>
        </w:tc>
        <w:tc>
          <w:tcPr>
            <w:tcW w:w="1274" w:type="dxa"/>
            <w:tcBorders>
              <w:top w:val="single" w:sz="4" w:space="0" w:color="auto"/>
              <w:left w:val="single" w:sz="4" w:space="0" w:color="auto"/>
              <w:bottom w:val="single" w:sz="4" w:space="0" w:color="auto"/>
              <w:right w:val="single" w:sz="6"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r w:rsidRPr="009E6B3C">
              <w:rPr>
                <w:rFonts w:ascii="Arial" w:eastAsia="Calibri" w:hAnsi="Arial" w:cs="Arial"/>
                <w:b/>
                <w:bCs/>
                <w:sz w:val="20"/>
                <w:szCs w:val="20"/>
                <w:lang w:eastAsia="en-US"/>
              </w:rPr>
              <w:t>2024/25</w:t>
            </w:r>
          </w:p>
        </w:tc>
        <w:tc>
          <w:tcPr>
            <w:tcW w:w="1341" w:type="dxa"/>
            <w:vMerge/>
            <w:tcBorders>
              <w:left w:val="single" w:sz="6" w:space="0" w:color="auto"/>
              <w:bottom w:val="single" w:sz="4" w:space="0" w:color="auto"/>
              <w:right w:val="single" w:sz="6"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p>
        </w:tc>
        <w:tc>
          <w:tcPr>
            <w:tcW w:w="0" w:type="auto"/>
            <w:vMerge/>
            <w:tcBorders>
              <w:left w:val="single" w:sz="6" w:space="0" w:color="auto"/>
              <w:bottom w:val="single" w:sz="4" w:space="0" w:color="auto"/>
              <w:right w:val="single" w:sz="6" w:space="0" w:color="auto"/>
            </w:tcBorders>
            <w:shd w:val="clear" w:color="auto" w:fill="D9D9D9"/>
          </w:tcPr>
          <w:p w:rsidR="00BC473F" w:rsidRPr="009E6B3C" w:rsidRDefault="00BC473F" w:rsidP="009E6B3C">
            <w:pPr>
              <w:autoSpaceDE w:val="0"/>
              <w:autoSpaceDN w:val="0"/>
              <w:adjustRightInd w:val="0"/>
              <w:rPr>
                <w:rFonts w:ascii="Arial" w:eastAsia="Calibri" w:hAnsi="Arial" w:cs="Arial"/>
                <w:b/>
                <w:bCs/>
                <w:sz w:val="20"/>
                <w:szCs w:val="20"/>
                <w:lang w:eastAsia="en-US"/>
              </w:rPr>
            </w:pPr>
          </w:p>
        </w:tc>
      </w:tr>
      <w:tr w:rsidR="00BC473F" w:rsidRPr="009E6B3C" w:rsidTr="00531EC8">
        <w:trPr>
          <w:trHeight w:val="563"/>
        </w:trPr>
        <w:tc>
          <w:tcPr>
            <w:tcW w:w="2265" w:type="dxa"/>
            <w:tcBorders>
              <w:top w:val="single" w:sz="4" w:space="0" w:color="auto"/>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 xml:space="preserve">Administration </w:t>
            </w:r>
          </w:p>
        </w:tc>
        <w:tc>
          <w:tcPr>
            <w:tcW w:w="1057" w:type="dxa"/>
            <w:tcBorders>
              <w:top w:val="single" w:sz="4" w:space="0" w:color="auto"/>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3 140.7</w:t>
            </w:r>
          </w:p>
        </w:tc>
        <w:tc>
          <w:tcPr>
            <w:tcW w:w="1071" w:type="dxa"/>
            <w:tcBorders>
              <w:top w:val="single" w:sz="4" w:space="0" w:color="auto"/>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2 988.9</w:t>
            </w:r>
          </w:p>
        </w:tc>
        <w:tc>
          <w:tcPr>
            <w:tcW w:w="1133" w:type="dxa"/>
            <w:tcBorders>
              <w:top w:val="single" w:sz="4" w:space="0" w:color="auto"/>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3 059.4</w:t>
            </w:r>
          </w:p>
        </w:tc>
        <w:tc>
          <w:tcPr>
            <w:tcW w:w="1274" w:type="dxa"/>
            <w:tcBorders>
              <w:top w:val="single" w:sz="4" w:space="0" w:color="auto"/>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3 200.5</w:t>
            </w:r>
          </w:p>
        </w:tc>
        <w:tc>
          <w:tcPr>
            <w:tcW w:w="1341" w:type="dxa"/>
            <w:tcBorders>
              <w:top w:val="single" w:sz="4" w:space="0" w:color="auto"/>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13.8%</w:t>
            </w:r>
          </w:p>
        </w:tc>
        <w:tc>
          <w:tcPr>
            <w:tcW w:w="0" w:type="auto"/>
            <w:tcBorders>
              <w:top w:val="single" w:sz="4" w:space="0" w:color="auto"/>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-8.9%</w:t>
            </w:r>
          </w:p>
        </w:tc>
      </w:tr>
      <w:tr w:rsidR="00BC473F" w:rsidRPr="009E6B3C" w:rsidTr="00531EC8">
        <w:trPr>
          <w:trHeight w:val="247"/>
        </w:trPr>
        <w:tc>
          <w:tcPr>
            <w:tcW w:w="2265"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Court Services</w:t>
            </w:r>
          </w:p>
        </w:tc>
        <w:tc>
          <w:tcPr>
            <w:tcW w:w="1057"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6 767.4</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6 809.6</w:t>
            </w:r>
          </w:p>
        </w:tc>
        <w:tc>
          <w:tcPr>
            <w:tcW w:w="1133"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6 516.0</w:t>
            </w:r>
          </w:p>
        </w:tc>
        <w:tc>
          <w:tcPr>
            <w:tcW w:w="1274"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6 808.0</w:t>
            </w:r>
          </w:p>
        </w:tc>
        <w:tc>
          <w:tcPr>
            <w:tcW w:w="1341"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30%</w:t>
            </w:r>
          </w:p>
        </w:tc>
        <w:tc>
          <w:tcPr>
            <w:tcW w:w="0" w:type="auto"/>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-3.71%</w:t>
            </w:r>
          </w:p>
        </w:tc>
      </w:tr>
      <w:tr w:rsidR="00BC473F" w:rsidRPr="009E6B3C" w:rsidTr="00531EC8">
        <w:trPr>
          <w:trHeight w:val="247"/>
        </w:trPr>
        <w:tc>
          <w:tcPr>
            <w:tcW w:w="2265"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State Legal Services</w:t>
            </w:r>
          </w:p>
        </w:tc>
        <w:tc>
          <w:tcPr>
            <w:tcW w:w="1057"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1 330.8</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1 322.7</w:t>
            </w:r>
          </w:p>
        </w:tc>
        <w:tc>
          <w:tcPr>
            <w:tcW w:w="1133"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1 303.3</w:t>
            </w:r>
          </w:p>
        </w:tc>
        <w:tc>
          <w:tcPr>
            <w:tcW w:w="1274"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1 362.0</w:t>
            </w:r>
          </w:p>
        </w:tc>
        <w:tc>
          <w:tcPr>
            <w:tcW w:w="1341"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5.9%</w:t>
            </w:r>
          </w:p>
        </w:tc>
        <w:tc>
          <w:tcPr>
            <w:tcW w:w="0" w:type="auto"/>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-4.89%</w:t>
            </w:r>
          </w:p>
        </w:tc>
      </w:tr>
      <w:tr w:rsidR="00BC473F" w:rsidRPr="009E6B3C" w:rsidTr="00531EC8">
        <w:trPr>
          <w:trHeight w:val="247"/>
        </w:trPr>
        <w:tc>
          <w:tcPr>
            <w:tcW w:w="2265"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National Prosecuting Authority</w:t>
            </w:r>
          </w:p>
        </w:tc>
        <w:tc>
          <w:tcPr>
            <w:tcW w:w="1057"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4 535.6</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4 910.3</w:t>
            </w:r>
          </w:p>
        </w:tc>
        <w:tc>
          <w:tcPr>
            <w:tcW w:w="1133"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4 870.9</w:t>
            </w:r>
          </w:p>
        </w:tc>
        <w:tc>
          <w:tcPr>
            <w:tcW w:w="1274"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5 089.6</w:t>
            </w:r>
          </w:p>
        </w:tc>
        <w:tc>
          <w:tcPr>
            <w:tcW w:w="1341"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21.6%</w:t>
            </w:r>
          </w:p>
        </w:tc>
        <w:tc>
          <w:tcPr>
            <w:tcW w:w="0" w:type="auto"/>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3.6%</w:t>
            </w:r>
          </w:p>
        </w:tc>
      </w:tr>
      <w:tr w:rsidR="00BC473F" w:rsidRPr="009E6B3C" w:rsidTr="00531EC8">
        <w:trPr>
          <w:trHeight w:val="247"/>
        </w:trPr>
        <w:tc>
          <w:tcPr>
            <w:tcW w:w="2265"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Auxiliary and Associated Services</w:t>
            </w:r>
          </w:p>
        </w:tc>
        <w:tc>
          <w:tcPr>
            <w:tcW w:w="1057"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3 734.2</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3 990.4</w:t>
            </w:r>
          </w:p>
        </w:tc>
        <w:tc>
          <w:tcPr>
            <w:tcW w:w="1133"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4 052.7</w:t>
            </w:r>
          </w:p>
        </w:tc>
        <w:tc>
          <w:tcPr>
            <w:tcW w:w="1274"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4 232.2</w:t>
            </w:r>
          </w:p>
        </w:tc>
        <w:tc>
          <w:tcPr>
            <w:tcW w:w="1341"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17.8%</w:t>
            </w:r>
          </w:p>
        </w:tc>
        <w:tc>
          <w:tcPr>
            <w:tcW w:w="0" w:type="auto"/>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2.26%</w:t>
            </w:r>
          </w:p>
        </w:tc>
      </w:tr>
      <w:tr w:rsidR="00BC473F" w:rsidRPr="009E6B3C" w:rsidTr="00531EC8">
        <w:trPr>
          <w:trHeight w:val="247"/>
        </w:trPr>
        <w:tc>
          <w:tcPr>
            <w:tcW w:w="2265"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b/>
                <w:sz w:val="20"/>
                <w:szCs w:val="20"/>
                <w:lang w:eastAsia="en-US"/>
              </w:rPr>
            </w:pPr>
            <w:r w:rsidRPr="009E6B3C">
              <w:rPr>
                <w:rFonts w:ascii="Arial" w:eastAsia="Calibri" w:hAnsi="Arial" w:cs="Arial"/>
                <w:b/>
                <w:sz w:val="20"/>
                <w:szCs w:val="20"/>
                <w:lang w:eastAsia="en-US"/>
              </w:rPr>
              <w:t>TOTAL</w:t>
            </w:r>
          </w:p>
        </w:tc>
        <w:tc>
          <w:tcPr>
            <w:tcW w:w="1057"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19 508.7</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20 021.9</w:t>
            </w:r>
          </w:p>
        </w:tc>
        <w:tc>
          <w:tcPr>
            <w:tcW w:w="1133"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19 802.2</w:t>
            </w:r>
          </w:p>
        </w:tc>
        <w:tc>
          <w:tcPr>
            <w:tcW w:w="1274"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20 692.4</w:t>
            </w:r>
          </w:p>
        </w:tc>
        <w:tc>
          <w:tcPr>
            <w:tcW w:w="1341"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89.2%</w:t>
            </w:r>
          </w:p>
        </w:tc>
        <w:tc>
          <w:tcPr>
            <w:tcW w:w="0" w:type="auto"/>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-1.79%</w:t>
            </w:r>
          </w:p>
        </w:tc>
      </w:tr>
      <w:tr w:rsidR="00BC473F" w:rsidRPr="009E6B3C" w:rsidTr="00531EC8">
        <w:trPr>
          <w:trHeight w:val="247"/>
        </w:trPr>
        <w:tc>
          <w:tcPr>
            <w:tcW w:w="2265"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Magistrates’ Salaries</w:t>
            </w:r>
          </w:p>
        </w:tc>
        <w:tc>
          <w:tcPr>
            <w:tcW w:w="1057"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2 396.5</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2 398.5</w:t>
            </w:r>
          </w:p>
        </w:tc>
        <w:tc>
          <w:tcPr>
            <w:tcW w:w="1133"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2 408.7</w:t>
            </w:r>
          </w:p>
        </w:tc>
        <w:tc>
          <w:tcPr>
            <w:tcW w:w="1274"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2 516.9</w:t>
            </w:r>
          </w:p>
        </w:tc>
        <w:tc>
          <w:tcPr>
            <w:tcW w:w="1341"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10.8%</w:t>
            </w:r>
          </w:p>
        </w:tc>
        <w:tc>
          <w:tcPr>
            <w:tcW w:w="0" w:type="auto"/>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-4.23%</w:t>
            </w:r>
          </w:p>
        </w:tc>
      </w:tr>
      <w:tr w:rsidR="00BC473F" w:rsidRPr="009E6B3C" w:rsidTr="00400729">
        <w:trPr>
          <w:trHeight w:val="247"/>
        </w:trPr>
        <w:tc>
          <w:tcPr>
            <w:tcW w:w="226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C473F" w:rsidRPr="009E6B3C" w:rsidRDefault="00BC473F" w:rsidP="009E6B3C">
            <w:pPr>
              <w:autoSpaceDE w:val="0"/>
              <w:autoSpaceDN w:val="0"/>
              <w:adjustRightInd w:val="0"/>
              <w:rPr>
                <w:rFonts w:ascii="Arial" w:eastAsia="Calibri" w:hAnsi="Arial" w:cs="Arial"/>
                <w:b/>
                <w:caps/>
                <w:sz w:val="20"/>
                <w:szCs w:val="20"/>
                <w:lang w:eastAsia="en-US"/>
              </w:rPr>
            </w:pPr>
            <w:r w:rsidRPr="009E6B3C">
              <w:rPr>
                <w:rFonts w:ascii="Arial" w:eastAsia="Calibri" w:hAnsi="Arial" w:cs="Arial"/>
                <w:b/>
                <w:caps/>
                <w:sz w:val="20"/>
                <w:szCs w:val="20"/>
                <w:lang w:eastAsia="en-US"/>
              </w:rPr>
              <w:t>Total</w:t>
            </w:r>
          </w:p>
        </w:tc>
        <w:tc>
          <w:tcPr>
            <w:tcW w:w="105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C473F" w:rsidRPr="009E6B3C" w:rsidRDefault="00BC473F" w:rsidP="009E6B3C">
            <w:pPr>
              <w:rPr>
                <w:rFonts w:ascii="Arial" w:hAnsi="Arial" w:cs="Arial"/>
                <w:b/>
                <w:sz w:val="20"/>
                <w:szCs w:val="20"/>
              </w:rPr>
            </w:pPr>
            <w:r w:rsidRPr="009E6B3C">
              <w:rPr>
                <w:rFonts w:ascii="Arial" w:hAnsi="Arial" w:cs="Arial"/>
                <w:b/>
                <w:sz w:val="20"/>
                <w:szCs w:val="20"/>
              </w:rPr>
              <w:t>21 905.2</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C473F" w:rsidRPr="009E6B3C" w:rsidRDefault="00BC473F" w:rsidP="009E6B3C">
            <w:pPr>
              <w:rPr>
                <w:rFonts w:ascii="Arial" w:hAnsi="Arial" w:cs="Arial"/>
                <w:b/>
                <w:sz w:val="20"/>
                <w:szCs w:val="20"/>
              </w:rPr>
            </w:pPr>
            <w:r w:rsidRPr="009E6B3C">
              <w:rPr>
                <w:rFonts w:ascii="Arial" w:hAnsi="Arial" w:cs="Arial"/>
                <w:b/>
                <w:sz w:val="20"/>
                <w:szCs w:val="20"/>
              </w:rPr>
              <w:t>22 420.5</w:t>
            </w:r>
          </w:p>
        </w:tc>
        <w:tc>
          <w:tcPr>
            <w:tcW w:w="113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C473F" w:rsidRPr="009E6B3C" w:rsidRDefault="00BC473F" w:rsidP="009E6B3C">
            <w:pPr>
              <w:rPr>
                <w:rFonts w:ascii="Arial" w:hAnsi="Arial" w:cs="Arial"/>
                <w:b/>
                <w:sz w:val="20"/>
                <w:szCs w:val="20"/>
              </w:rPr>
            </w:pPr>
            <w:r w:rsidRPr="009E6B3C">
              <w:rPr>
                <w:rFonts w:ascii="Arial" w:hAnsi="Arial" w:cs="Arial"/>
                <w:b/>
                <w:sz w:val="20"/>
                <w:szCs w:val="20"/>
              </w:rPr>
              <w:t>22 211.0</w:t>
            </w:r>
          </w:p>
        </w:tc>
        <w:tc>
          <w:tcPr>
            <w:tcW w:w="127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C473F" w:rsidRPr="009E6B3C" w:rsidRDefault="00BC473F" w:rsidP="009E6B3C">
            <w:pPr>
              <w:rPr>
                <w:rFonts w:ascii="Arial" w:hAnsi="Arial" w:cs="Arial"/>
                <w:b/>
                <w:sz w:val="20"/>
                <w:szCs w:val="20"/>
              </w:rPr>
            </w:pPr>
            <w:r w:rsidRPr="009E6B3C">
              <w:rPr>
                <w:rFonts w:ascii="Arial" w:hAnsi="Arial" w:cs="Arial"/>
                <w:b/>
                <w:sz w:val="20"/>
                <w:szCs w:val="20"/>
              </w:rPr>
              <w:t>23 209.3</w:t>
            </w:r>
          </w:p>
        </w:tc>
        <w:tc>
          <w:tcPr>
            <w:tcW w:w="134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C473F" w:rsidRPr="009E6B3C" w:rsidRDefault="00BC473F" w:rsidP="009E6B3C">
            <w:pPr>
              <w:rPr>
                <w:rFonts w:ascii="Arial" w:hAnsi="Arial" w:cs="Arial"/>
                <w:b/>
                <w:sz w:val="20"/>
                <w:szCs w:val="20"/>
              </w:rPr>
            </w:pPr>
            <w:r w:rsidRPr="009E6B3C">
              <w:rPr>
                <w:rFonts w:ascii="Arial" w:hAnsi="Arial" w:cs="Arial"/>
                <w:b/>
                <w:sz w:val="20"/>
                <w:szCs w:val="20"/>
              </w:rPr>
              <w:t>100%</w:t>
            </w:r>
          </w:p>
        </w:tc>
        <w:tc>
          <w:tcPr>
            <w:tcW w:w="0" w:type="auto"/>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BC473F" w:rsidRPr="009E6B3C" w:rsidRDefault="00BC473F" w:rsidP="009E6B3C">
            <w:pPr>
              <w:rPr>
                <w:rFonts w:ascii="Arial" w:hAnsi="Arial" w:cs="Arial"/>
                <w:b/>
                <w:sz w:val="20"/>
                <w:szCs w:val="20"/>
              </w:rPr>
            </w:pPr>
            <w:r w:rsidRPr="009E6B3C">
              <w:rPr>
                <w:rFonts w:ascii="Arial" w:hAnsi="Arial" w:cs="Arial"/>
                <w:b/>
                <w:sz w:val="20"/>
                <w:szCs w:val="20"/>
              </w:rPr>
              <w:t>-2.06%</w:t>
            </w:r>
          </w:p>
        </w:tc>
      </w:tr>
      <w:tr w:rsidR="00BC473F" w:rsidRPr="009E6B3C" w:rsidTr="00531EC8">
        <w:trPr>
          <w:trHeight w:val="247"/>
        </w:trPr>
        <w:tc>
          <w:tcPr>
            <w:tcW w:w="2265"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autoSpaceDE w:val="0"/>
              <w:autoSpaceDN w:val="0"/>
              <w:adjustRightInd w:val="0"/>
              <w:rPr>
                <w:rFonts w:ascii="Arial" w:eastAsia="Calibri" w:hAnsi="Arial" w:cs="Arial"/>
                <w:sz w:val="20"/>
                <w:szCs w:val="20"/>
                <w:lang w:eastAsia="en-US"/>
              </w:rPr>
            </w:pPr>
            <w:r w:rsidRPr="009E6B3C">
              <w:rPr>
                <w:rFonts w:ascii="Arial" w:eastAsia="Calibri" w:hAnsi="Arial" w:cs="Arial"/>
                <w:sz w:val="20"/>
                <w:szCs w:val="20"/>
                <w:lang w:eastAsia="en-US"/>
              </w:rPr>
              <w:t>Change to 2021 Budget estimate</w:t>
            </w:r>
          </w:p>
        </w:tc>
        <w:tc>
          <w:tcPr>
            <w:tcW w:w="1057"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358.9</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BC473F" w:rsidRPr="009E6B3C" w:rsidRDefault="00BC473F" w:rsidP="009E6B3C">
            <w:pPr>
              <w:rPr>
                <w:rFonts w:ascii="Arial" w:hAnsi="Arial" w:cs="Arial"/>
                <w:sz w:val="20"/>
                <w:szCs w:val="20"/>
              </w:rPr>
            </w:pPr>
            <w:r w:rsidRPr="009E6B3C">
              <w:rPr>
                <w:rFonts w:ascii="Arial" w:hAnsi="Arial" w:cs="Arial"/>
                <w:sz w:val="20"/>
                <w:szCs w:val="20"/>
              </w:rPr>
              <w:t>607.5</w:t>
            </w:r>
          </w:p>
        </w:tc>
        <w:tc>
          <w:tcPr>
            <w:tcW w:w="1133"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259.9</w:t>
            </w:r>
          </w:p>
        </w:tc>
        <w:tc>
          <w:tcPr>
            <w:tcW w:w="1274"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272.3</w:t>
            </w:r>
          </w:p>
        </w:tc>
        <w:tc>
          <w:tcPr>
            <w:tcW w:w="1341" w:type="dxa"/>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w:t>
            </w:r>
          </w:p>
        </w:tc>
        <w:tc>
          <w:tcPr>
            <w:tcW w:w="0" w:type="auto"/>
            <w:tcBorders>
              <w:top w:val="single" w:sz="2" w:space="0" w:color="000000"/>
              <w:left w:val="single" w:sz="2" w:space="0" w:color="000000"/>
              <w:bottom w:val="single" w:sz="2" w:space="0" w:color="000000"/>
              <w:right w:val="single" w:sz="2" w:space="0" w:color="000000"/>
            </w:tcBorders>
          </w:tcPr>
          <w:p w:rsidR="00BC473F" w:rsidRPr="009E6B3C" w:rsidRDefault="00BC473F" w:rsidP="009E6B3C">
            <w:pPr>
              <w:rPr>
                <w:rFonts w:ascii="Arial" w:hAnsi="Arial" w:cs="Arial"/>
                <w:sz w:val="20"/>
                <w:szCs w:val="20"/>
              </w:rPr>
            </w:pPr>
            <w:r w:rsidRPr="009E6B3C">
              <w:rPr>
                <w:rFonts w:ascii="Arial" w:hAnsi="Arial" w:cs="Arial"/>
                <w:sz w:val="20"/>
                <w:szCs w:val="20"/>
              </w:rPr>
              <w:t>-</w:t>
            </w:r>
          </w:p>
        </w:tc>
      </w:tr>
    </w:tbl>
    <w:p w:rsidR="00576554" w:rsidRPr="009E6B3C" w:rsidRDefault="00576554" w:rsidP="009E6B3C">
      <w:pPr>
        <w:autoSpaceDE w:val="0"/>
        <w:autoSpaceDN w:val="0"/>
        <w:adjustRightInd w:val="0"/>
        <w:rPr>
          <w:rFonts w:ascii="Arial" w:hAnsi="Arial" w:cs="Arial"/>
          <w:sz w:val="20"/>
          <w:szCs w:val="20"/>
          <w:lang w:eastAsia="en-ZA"/>
        </w:rPr>
      </w:pPr>
    </w:p>
    <w:p w:rsidR="00091D45" w:rsidRPr="009E6B3C" w:rsidRDefault="00665308" w:rsidP="009E6B3C">
      <w:pPr>
        <w:pStyle w:val="ListParagraph"/>
        <w:numPr>
          <w:ilvl w:val="1"/>
          <w:numId w:val="1"/>
        </w:numPr>
        <w:ind w:left="851" w:hanging="851"/>
        <w:rPr>
          <w:rFonts w:ascii="Arial" w:hAnsi="Arial" w:cs="Arial"/>
          <w:b/>
          <w:i/>
          <w:sz w:val="20"/>
          <w:szCs w:val="20"/>
          <w:lang w:eastAsia="en-ZA"/>
        </w:rPr>
      </w:pPr>
      <w:r w:rsidRPr="009E6B3C">
        <w:rPr>
          <w:rFonts w:ascii="Arial" w:hAnsi="Arial" w:cs="Arial"/>
          <w:b/>
          <w:i/>
          <w:sz w:val="20"/>
          <w:szCs w:val="20"/>
        </w:rPr>
        <w:t>Vote</w:t>
      </w:r>
      <w:r w:rsidRPr="009E6B3C">
        <w:rPr>
          <w:rFonts w:ascii="Arial" w:hAnsi="Arial" w:cs="Arial"/>
          <w:b/>
          <w:i/>
          <w:sz w:val="20"/>
          <w:szCs w:val="20"/>
          <w:lang w:eastAsia="en-ZA"/>
        </w:rPr>
        <w:t xml:space="preserve"> expenditure for Quarter 1 </w:t>
      </w:r>
      <w:r w:rsidR="00091D45" w:rsidRPr="009E6B3C">
        <w:rPr>
          <w:rFonts w:ascii="Arial" w:hAnsi="Arial" w:cs="Arial"/>
          <w:b/>
          <w:i/>
          <w:sz w:val="20"/>
          <w:szCs w:val="20"/>
          <w:lang w:eastAsia="en-ZA"/>
        </w:rPr>
        <w:t>2022/23</w:t>
      </w:r>
    </w:p>
    <w:p w:rsidR="00CD68E3" w:rsidRPr="009E6B3C" w:rsidRDefault="00CD68E3" w:rsidP="009E6B3C">
      <w:pPr>
        <w:pStyle w:val="ListParagraph"/>
        <w:ind w:left="851"/>
        <w:rPr>
          <w:rFonts w:ascii="Arial" w:hAnsi="Arial" w:cs="Arial"/>
          <w:sz w:val="20"/>
          <w:szCs w:val="20"/>
          <w:lang w:eastAsia="en-ZA"/>
        </w:rPr>
      </w:pPr>
    </w:p>
    <w:p w:rsidR="00091D45" w:rsidRPr="009E6B3C" w:rsidRDefault="006D6E27" w:rsidP="009E6B3C">
      <w:pPr>
        <w:pStyle w:val="ListParagraph"/>
        <w:numPr>
          <w:ilvl w:val="2"/>
          <w:numId w:val="22"/>
        </w:numPr>
        <w:autoSpaceDE w:val="0"/>
        <w:autoSpaceDN w:val="0"/>
        <w:adjustRightInd w:val="0"/>
        <w:ind w:left="851" w:hanging="851"/>
        <w:rPr>
          <w:rFonts w:ascii="Arial" w:hAnsi="Arial" w:cs="Arial"/>
          <w:sz w:val="20"/>
          <w:szCs w:val="20"/>
          <w:lang w:eastAsia="en-ZA"/>
        </w:rPr>
      </w:pPr>
      <w:r w:rsidRPr="009E6B3C">
        <w:rPr>
          <w:rFonts w:ascii="Arial" w:hAnsi="Arial" w:cs="Arial"/>
          <w:sz w:val="20"/>
          <w:szCs w:val="20"/>
          <w:lang w:eastAsia="en-ZA"/>
        </w:rPr>
        <w:t>Inclusive of direct charges, at the end of June 2022, R3.7</w:t>
      </w:r>
      <w:r w:rsidR="00CD68E3" w:rsidRPr="009E6B3C">
        <w:rPr>
          <w:rFonts w:ascii="Arial" w:hAnsi="Arial" w:cs="Arial"/>
          <w:sz w:val="20"/>
          <w:szCs w:val="20"/>
          <w:lang w:eastAsia="en-ZA"/>
        </w:rPr>
        <w:t xml:space="preserve"> </w:t>
      </w:r>
      <w:r w:rsidRPr="009E6B3C">
        <w:rPr>
          <w:rFonts w:ascii="Arial" w:hAnsi="Arial" w:cs="Arial"/>
          <w:sz w:val="20"/>
          <w:szCs w:val="20"/>
          <w:lang w:eastAsia="en-ZA"/>
        </w:rPr>
        <w:t>billion (or 16.4</w:t>
      </w:r>
      <w:r w:rsidR="00CD68E3" w:rsidRPr="009E6B3C">
        <w:rPr>
          <w:rFonts w:ascii="Arial" w:hAnsi="Arial" w:cs="Arial"/>
          <w:sz w:val="20"/>
          <w:szCs w:val="20"/>
          <w:lang w:eastAsia="en-ZA"/>
        </w:rPr>
        <w:t>%</w:t>
      </w:r>
      <w:r w:rsidRPr="009E6B3C">
        <w:rPr>
          <w:rFonts w:ascii="Arial" w:hAnsi="Arial" w:cs="Arial"/>
          <w:sz w:val="20"/>
          <w:szCs w:val="20"/>
          <w:lang w:eastAsia="en-ZA"/>
        </w:rPr>
        <w:t>) of the available budget of R22.4</w:t>
      </w:r>
      <w:r w:rsidR="00CD68E3" w:rsidRPr="009E6B3C">
        <w:rPr>
          <w:rFonts w:ascii="Arial" w:hAnsi="Arial" w:cs="Arial"/>
          <w:sz w:val="20"/>
          <w:szCs w:val="20"/>
          <w:lang w:eastAsia="en-ZA"/>
        </w:rPr>
        <w:t xml:space="preserve"> </w:t>
      </w:r>
      <w:r w:rsidRPr="009E6B3C">
        <w:rPr>
          <w:rFonts w:ascii="Arial" w:hAnsi="Arial" w:cs="Arial"/>
          <w:sz w:val="20"/>
          <w:szCs w:val="20"/>
          <w:lang w:eastAsia="en-ZA"/>
        </w:rPr>
        <w:t>billion</w:t>
      </w:r>
      <w:r w:rsidR="00CD68E3" w:rsidRPr="009E6B3C">
        <w:rPr>
          <w:rFonts w:ascii="Arial" w:hAnsi="Arial" w:cs="Arial"/>
          <w:sz w:val="20"/>
          <w:szCs w:val="20"/>
          <w:lang w:eastAsia="en-ZA"/>
        </w:rPr>
        <w:t xml:space="preserve"> had been spent</w:t>
      </w:r>
      <w:r w:rsidRPr="009E6B3C">
        <w:rPr>
          <w:rFonts w:ascii="Arial" w:hAnsi="Arial" w:cs="Arial"/>
          <w:sz w:val="20"/>
          <w:szCs w:val="20"/>
          <w:lang w:eastAsia="en-ZA"/>
        </w:rPr>
        <w:t>. This spending is lower by R</w:t>
      </w:r>
      <w:r w:rsidR="00CD68E3" w:rsidRPr="009E6B3C">
        <w:rPr>
          <w:rFonts w:ascii="Arial" w:hAnsi="Arial" w:cs="Arial"/>
          <w:sz w:val="20"/>
          <w:szCs w:val="20"/>
          <w:lang w:eastAsia="en-ZA"/>
        </w:rPr>
        <w:t xml:space="preserve">1.6 </w:t>
      </w:r>
      <w:r w:rsidRPr="009E6B3C">
        <w:rPr>
          <w:rFonts w:ascii="Arial" w:hAnsi="Arial" w:cs="Arial"/>
          <w:sz w:val="20"/>
          <w:szCs w:val="20"/>
          <w:lang w:eastAsia="en-ZA"/>
        </w:rPr>
        <w:t>billion when compared with the projection to spend R</w:t>
      </w:r>
      <w:r w:rsidR="00CD68E3" w:rsidRPr="009E6B3C">
        <w:rPr>
          <w:rFonts w:ascii="Arial" w:hAnsi="Arial" w:cs="Arial"/>
          <w:sz w:val="20"/>
          <w:szCs w:val="20"/>
          <w:lang w:eastAsia="en-ZA"/>
        </w:rPr>
        <w:t xml:space="preserve">5.3 </w:t>
      </w:r>
      <w:r w:rsidRPr="009E6B3C">
        <w:rPr>
          <w:rFonts w:ascii="Arial" w:hAnsi="Arial" w:cs="Arial"/>
          <w:sz w:val="20"/>
          <w:szCs w:val="20"/>
          <w:lang w:eastAsia="en-ZA"/>
        </w:rPr>
        <w:t xml:space="preserve">billion, and is mainly due to lower than planned spending on goods and services and payments for capital assets under </w:t>
      </w:r>
      <w:r w:rsidR="00853E54" w:rsidRPr="009E6B3C">
        <w:rPr>
          <w:rFonts w:ascii="Arial" w:hAnsi="Arial" w:cs="Arial"/>
          <w:sz w:val="20"/>
          <w:szCs w:val="20"/>
          <w:lang w:eastAsia="en-ZA"/>
        </w:rPr>
        <w:t xml:space="preserve">the </w:t>
      </w:r>
      <w:r w:rsidRPr="009E6B3C">
        <w:rPr>
          <w:rFonts w:ascii="Arial" w:hAnsi="Arial" w:cs="Arial"/>
          <w:sz w:val="20"/>
          <w:szCs w:val="20"/>
          <w:lang w:eastAsia="en-ZA"/>
        </w:rPr>
        <w:t>Administration and Court Services</w:t>
      </w:r>
      <w:r w:rsidR="00853E54" w:rsidRPr="009E6B3C">
        <w:rPr>
          <w:rFonts w:ascii="Arial" w:hAnsi="Arial" w:cs="Arial"/>
          <w:sz w:val="20"/>
          <w:szCs w:val="20"/>
          <w:lang w:eastAsia="en-ZA"/>
        </w:rPr>
        <w:t xml:space="preserve"> programmes</w:t>
      </w:r>
      <w:r w:rsidRPr="009E6B3C">
        <w:rPr>
          <w:rFonts w:ascii="Arial" w:hAnsi="Arial" w:cs="Arial"/>
          <w:sz w:val="20"/>
          <w:szCs w:val="20"/>
          <w:lang w:eastAsia="en-ZA"/>
        </w:rPr>
        <w:t xml:space="preserve">. </w:t>
      </w:r>
      <w:r w:rsidR="00CD68E3" w:rsidRPr="009E6B3C">
        <w:rPr>
          <w:rFonts w:ascii="Arial" w:hAnsi="Arial" w:cs="Arial"/>
          <w:sz w:val="20"/>
          <w:szCs w:val="20"/>
          <w:lang w:eastAsia="en-ZA"/>
        </w:rPr>
        <w:t xml:space="preserve">The underspending is </w:t>
      </w:r>
      <w:r w:rsidRPr="009E6B3C">
        <w:rPr>
          <w:rFonts w:ascii="Arial" w:hAnsi="Arial" w:cs="Arial"/>
          <w:sz w:val="20"/>
          <w:szCs w:val="20"/>
          <w:lang w:eastAsia="en-ZA"/>
        </w:rPr>
        <w:t>attributed to a payment rejection encountered on the Basic Accounting System (BAS) when processing invoices for private leases in June 2022, and underperformance by the DPWI on courts infrastructure projects, respectively.</w:t>
      </w:r>
    </w:p>
    <w:p w:rsidR="006D6E27" w:rsidRPr="009E6B3C" w:rsidRDefault="006D6E27" w:rsidP="009E6B3C">
      <w:pPr>
        <w:autoSpaceDE w:val="0"/>
        <w:autoSpaceDN w:val="0"/>
        <w:adjustRightInd w:val="0"/>
        <w:rPr>
          <w:rFonts w:ascii="Arial" w:hAnsi="Arial" w:cs="Arial"/>
          <w:sz w:val="20"/>
          <w:szCs w:val="20"/>
        </w:rPr>
      </w:pPr>
    </w:p>
    <w:p w:rsidR="006D6E27" w:rsidRPr="009E6B3C" w:rsidRDefault="006D6E27" w:rsidP="009E6B3C">
      <w:pPr>
        <w:pStyle w:val="ListParagraph"/>
        <w:numPr>
          <w:ilvl w:val="2"/>
          <w:numId w:val="22"/>
        </w:numPr>
        <w:autoSpaceDE w:val="0"/>
        <w:autoSpaceDN w:val="0"/>
        <w:adjustRightInd w:val="0"/>
        <w:ind w:left="851" w:hanging="851"/>
        <w:rPr>
          <w:rFonts w:ascii="Arial" w:hAnsi="Arial" w:cs="Arial"/>
          <w:sz w:val="20"/>
          <w:szCs w:val="20"/>
          <w:lang w:eastAsia="en-ZA"/>
        </w:rPr>
      </w:pPr>
      <w:r w:rsidRPr="009E6B3C">
        <w:rPr>
          <w:rFonts w:ascii="Arial" w:hAnsi="Arial" w:cs="Arial"/>
          <w:sz w:val="20"/>
          <w:szCs w:val="20"/>
          <w:lang w:eastAsia="en-ZA"/>
        </w:rPr>
        <w:t>Programme 1: Administration</w:t>
      </w:r>
      <w:r w:rsidR="00CD68E3" w:rsidRPr="009E6B3C">
        <w:rPr>
          <w:rFonts w:ascii="Arial" w:hAnsi="Arial" w:cs="Arial"/>
          <w:sz w:val="20"/>
          <w:szCs w:val="20"/>
          <w:lang w:eastAsia="en-ZA"/>
        </w:rPr>
        <w:t xml:space="preserve">: </w:t>
      </w:r>
      <w:r w:rsidRPr="009E6B3C">
        <w:rPr>
          <w:rFonts w:ascii="Arial" w:hAnsi="Arial" w:cs="Arial"/>
          <w:sz w:val="20"/>
          <w:szCs w:val="20"/>
          <w:lang w:eastAsia="en-ZA"/>
        </w:rPr>
        <w:t>Expenditure under this programme is lower by R</w:t>
      </w:r>
      <w:r w:rsidR="00CD68E3" w:rsidRPr="009E6B3C">
        <w:rPr>
          <w:rFonts w:ascii="Arial" w:hAnsi="Arial" w:cs="Arial"/>
          <w:sz w:val="20"/>
          <w:szCs w:val="20"/>
          <w:lang w:eastAsia="en-ZA"/>
        </w:rPr>
        <w:t xml:space="preserve">1.5 </w:t>
      </w:r>
      <w:r w:rsidRPr="009E6B3C">
        <w:rPr>
          <w:rFonts w:ascii="Arial" w:hAnsi="Arial" w:cs="Arial"/>
          <w:sz w:val="20"/>
          <w:szCs w:val="20"/>
          <w:lang w:eastAsia="en-ZA"/>
        </w:rPr>
        <w:t>billion, mainly on goods and services, due to</w:t>
      </w:r>
      <w:r w:rsidR="00CD68E3" w:rsidRPr="009E6B3C">
        <w:rPr>
          <w:rFonts w:ascii="Arial" w:hAnsi="Arial" w:cs="Arial"/>
          <w:sz w:val="20"/>
          <w:szCs w:val="20"/>
          <w:lang w:eastAsia="en-ZA"/>
        </w:rPr>
        <w:t xml:space="preserve"> challenges experienced by the D</w:t>
      </w:r>
      <w:r w:rsidRPr="009E6B3C">
        <w:rPr>
          <w:rFonts w:ascii="Arial" w:hAnsi="Arial" w:cs="Arial"/>
          <w:sz w:val="20"/>
          <w:szCs w:val="20"/>
          <w:lang w:eastAsia="en-ZA"/>
        </w:rPr>
        <w:t xml:space="preserve">epartment in the processing of invoices for private leases, which resulted in a negative expenditure. </w:t>
      </w:r>
      <w:r w:rsidR="00CD68E3" w:rsidRPr="009E6B3C">
        <w:rPr>
          <w:rFonts w:ascii="Arial" w:hAnsi="Arial" w:cs="Arial"/>
          <w:sz w:val="20"/>
          <w:szCs w:val="20"/>
          <w:lang w:eastAsia="en-ZA"/>
        </w:rPr>
        <w:t xml:space="preserve">The Department is </w:t>
      </w:r>
      <w:r w:rsidRPr="009E6B3C">
        <w:rPr>
          <w:rFonts w:ascii="Arial" w:hAnsi="Arial" w:cs="Arial"/>
          <w:sz w:val="20"/>
          <w:szCs w:val="20"/>
          <w:lang w:eastAsia="en-ZA"/>
        </w:rPr>
        <w:t xml:space="preserve">in the process of rectifying the payment error. </w:t>
      </w:r>
    </w:p>
    <w:p w:rsidR="00CD68E3" w:rsidRPr="009E6B3C" w:rsidRDefault="00CD68E3" w:rsidP="009E6B3C">
      <w:pPr>
        <w:pStyle w:val="ListParagraph"/>
        <w:rPr>
          <w:rFonts w:ascii="Arial" w:hAnsi="Arial" w:cs="Arial"/>
          <w:sz w:val="20"/>
          <w:szCs w:val="20"/>
          <w:lang w:eastAsia="en-ZA"/>
        </w:rPr>
      </w:pPr>
    </w:p>
    <w:p w:rsidR="006D6E27" w:rsidRPr="009E6B3C" w:rsidRDefault="006D6E27" w:rsidP="009E6B3C">
      <w:pPr>
        <w:pStyle w:val="ListParagraph"/>
        <w:numPr>
          <w:ilvl w:val="2"/>
          <w:numId w:val="22"/>
        </w:numPr>
        <w:autoSpaceDE w:val="0"/>
        <w:autoSpaceDN w:val="0"/>
        <w:adjustRightInd w:val="0"/>
        <w:ind w:left="851" w:hanging="851"/>
        <w:rPr>
          <w:rFonts w:ascii="Arial" w:hAnsi="Arial" w:cs="Arial"/>
          <w:sz w:val="20"/>
          <w:szCs w:val="20"/>
          <w:lang w:eastAsia="en-ZA"/>
        </w:rPr>
      </w:pPr>
      <w:r w:rsidRPr="009E6B3C">
        <w:rPr>
          <w:rFonts w:ascii="Arial" w:hAnsi="Arial" w:cs="Arial"/>
          <w:sz w:val="20"/>
          <w:szCs w:val="20"/>
          <w:lang w:eastAsia="en-ZA"/>
        </w:rPr>
        <w:t>Programme 2: Court Services</w:t>
      </w:r>
      <w:r w:rsidR="00CD68E3" w:rsidRPr="009E6B3C">
        <w:rPr>
          <w:rFonts w:ascii="Arial" w:hAnsi="Arial" w:cs="Arial"/>
          <w:sz w:val="20"/>
          <w:szCs w:val="20"/>
          <w:lang w:eastAsia="en-ZA"/>
        </w:rPr>
        <w:t xml:space="preserve">: </w:t>
      </w:r>
      <w:r w:rsidRPr="009E6B3C">
        <w:rPr>
          <w:rFonts w:ascii="Arial" w:hAnsi="Arial" w:cs="Arial"/>
          <w:sz w:val="20"/>
          <w:szCs w:val="20"/>
          <w:lang w:eastAsia="en-ZA"/>
        </w:rPr>
        <w:t>Expenditure under this programme is lower by R84.6</w:t>
      </w:r>
      <w:r w:rsidR="00CD68E3" w:rsidRPr="009E6B3C">
        <w:rPr>
          <w:rFonts w:ascii="Arial" w:hAnsi="Arial" w:cs="Arial"/>
          <w:sz w:val="20"/>
          <w:szCs w:val="20"/>
          <w:lang w:eastAsia="en-ZA"/>
        </w:rPr>
        <w:t xml:space="preserve"> </w:t>
      </w:r>
      <w:r w:rsidRPr="009E6B3C">
        <w:rPr>
          <w:rFonts w:ascii="Arial" w:hAnsi="Arial" w:cs="Arial"/>
          <w:sz w:val="20"/>
          <w:szCs w:val="20"/>
          <w:lang w:eastAsia="en-ZA"/>
        </w:rPr>
        <w:t xml:space="preserve">million, mainly on goods and services and payments for capital assets (buildings and other fixed structures). The slow spending is </w:t>
      </w:r>
      <w:r w:rsidR="00CD68E3" w:rsidRPr="009E6B3C">
        <w:rPr>
          <w:rFonts w:ascii="Arial" w:hAnsi="Arial" w:cs="Arial"/>
          <w:sz w:val="20"/>
          <w:szCs w:val="20"/>
          <w:lang w:eastAsia="en-ZA"/>
        </w:rPr>
        <w:t xml:space="preserve">attributed </w:t>
      </w:r>
      <w:r w:rsidRPr="009E6B3C">
        <w:rPr>
          <w:rFonts w:ascii="Arial" w:hAnsi="Arial" w:cs="Arial"/>
          <w:sz w:val="20"/>
          <w:szCs w:val="20"/>
          <w:lang w:eastAsia="en-ZA"/>
        </w:rPr>
        <w:t>primarily due to lower than anticipated expenditure on security services, late receipt of invoices for the virtual library, and lower than anticipated expenditure on court infrastructure projects implemented by the DPWI.</w:t>
      </w:r>
    </w:p>
    <w:p w:rsidR="00CD68E3" w:rsidRPr="009E6B3C" w:rsidRDefault="00CD68E3" w:rsidP="009E6B3C">
      <w:pPr>
        <w:pStyle w:val="ListParagraph"/>
        <w:autoSpaceDE w:val="0"/>
        <w:autoSpaceDN w:val="0"/>
        <w:adjustRightInd w:val="0"/>
        <w:ind w:left="851"/>
        <w:rPr>
          <w:rFonts w:ascii="Arial" w:hAnsi="Arial" w:cs="Arial"/>
          <w:sz w:val="20"/>
          <w:szCs w:val="20"/>
          <w:lang w:eastAsia="en-ZA"/>
        </w:rPr>
      </w:pPr>
    </w:p>
    <w:p w:rsidR="006D6E27" w:rsidRPr="009E6B3C" w:rsidRDefault="006D6E27" w:rsidP="009E6B3C">
      <w:pPr>
        <w:pStyle w:val="ListParagraph"/>
        <w:numPr>
          <w:ilvl w:val="2"/>
          <w:numId w:val="22"/>
        </w:numPr>
        <w:autoSpaceDE w:val="0"/>
        <w:autoSpaceDN w:val="0"/>
        <w:adjustRightInd w:val="0"/>
        <w:ind w:left="851" w:hanging="851"/>
        <w:rPr>
          <w:rFonts w:ascii="Arial" w:hAnsi="Arial" w:cs="Arial"/>
          <w:sz w:val="20"/>
          <w:szCs w:val="20"/>
          <w:lang w:eastAsia="en-ZA"/>
        </w:rPr>
      </w:pPr>
      <w:r w:rsidRPr="009E6B3C">
        <w:rPr>
          <w:rFonts w:ascii="Arial" w:hAnsi="Arial" w:cs="Arial"/>
          <w:sz w:val="20"/>
          <w:szCs w:val="20"/>
          <w:lang w:eastAsia="en-ZA"/>
        </w:rPr>
        <w:lastRenderedPageBreak/>
        <w:t>Programme 3: State Legal Services</w:t>
      </w:r>
      <w:r w:rsidR="00CD68E3" w:rsidRPr="009E6B3C">
        <w:rPr>
          <w:rFonts w:ascii="Arial" w:hAnsi="Arial" w:cs="Arial"/>
          <w:sz w:val="20"/>
          <w:szCs w:val="20"/>
          <w:lang w:eastAsia="en-ZA"/>
        </w:rPr>
        <w:t xml:space="preserve">: </w:t>
      </w:r>
      <w:bookmarkStart w:id="0" w:name="_Hlk54687316"/>
      <w:r w:rsidRPr="009E6B3C">
        <w:rPr>
          <w:rFonts w:ascii="Arial" w:hAnsi="Arial" w:cs="Arial"/>
          <w:sz w:val="20"/>
          <w:szCs w:val="20"/>
          <w:lang w:eastAsia="en-ZA"/>
        </w:rPr>
        <w:t xml:space="preserve">Expenditure on this programme is higher </w:t>
      </w:r>
      <w:r w:rsidR="00CD68E3" w:rsidRPr="009E6B3C">
        <w:rPr>
          <w:rFonts w:ascii="Arial" w:hAnsi="Arial" w:cs="Arial"/>
          <w:sz w:val="20"/>
          <w:szCs w:val="20"/>
          <w:lang w:eastAsia="en-ZA"/>
        </w:rPr>
        <w:t xml:space="preserve">than planned </w:t>
      </w:r>
      <w:r w:rsidRPr="009E6B3C">
        <w:rPr>
          <w:rFonts w:ascii="Arial" w:hAnsi="Arial" w:cs="Arial"/>
          <w:sz w:val="20"/>
          <w:szCs w:val="20"/>
          <w:lang w:eastAsia="en-ZA"/>
        </w:rPr>
        <w:t>by R27.1</w:t>
      </w:r>
      <w:r w:rsidR="00CD68E3" w:rsidRPr="009E6B3C">
        <w:rPr>
          <w:rFonts w:ascii="Arial" w:hAnsi="Arial" w:cs="Arial"/>
          <w:sz w:val="20"/>
          <w:szCs w:val="20"/>
          <w:lang w:eastAsia="en-ZA"/>
        </w:rPr>
        <w:t xml:space="preserve"> </w:t>
      </w:r>
      <w:r w:rsidRPr="009E6B3C">
        <w:rPr>
          <w:rFonts w:ascii="Arial" w:hAnsi="Arial" w:cs="Arial"/>
          <w:sz w:val="20"/>
          <w:szCs w:val="20"/>
          <w:lang w:eastAsia="en-ZA"/>
        </w:rPr>
        <w:t xml:space="preserve">million, mainly on </w:t>
      </w:r>
      <w:bookmarkEnd w:id="0"/>
      <w:r w:rsidRPr="009E6B3C">
        <w:rPr>
          <w:rFonts w:ascii="Arial" w:hAnsi="Arial" w:cs="Arial"/>
          <w:sz w:val="20"/>
          <w:szCs w:val="20"/>
          <w:lang w:eastAsia="en-ZA"/>
        </w:rPr>
        <w:t>goods and services under the Litigation and Legal Services subprogramme, due to an accrual invoice from the previous financial year being processed in this financial year for the Legal Practice Council. Plans are underway to address the budget shortfall in the 2022 Adjustments Budget.</w:t>
      </w:r>
    </w:p>
    <w:p w:rsidR="00BE7B9C" w:rsidRPr="009E6B3C" w:rsidRDefault="00BE7B9C" w:rsidP="009E6B3C">
      <w:pPr>
        <w:autoSpaceDE w:val="0"/>
        <w:autoSpaceDN w:val="0"/>
        <w:adjustRightInd w:val="0"/>
        <w:rPr>
          <w:rFonts w:ascii="Arial" w:hAnsi="Arial" w:cs="Arial"/>
          <w:sz w:val="20"/>
          <w:szCs w:val="20"/>
          <w:lang w:eastAsia="en-ZA"/>
        </w:rPr>
      </w:pPr>
    </w:p>
    <w:p w:rsidR="00CD68E3" w:rsidRPr="009E6B3C" w:rsidRDefault="006D6E27" w:rsidP="009E6B3C">
      <w:pPr>
        <w:pStyle w:val="ListParagraph"/>
        <w:numPr>
          <w:ilvl w:val="2"/>
          <w:numId w:val="22"/>
        </w:numPr>
        <w:autoSpaceDE w:val="0"/>
        <w:autoSpaceDN w:val="0"/>
        <w:adjustRightInd w:val="0"/>
        <w:ind w:left="851" w:hanging="851"/>
        <w:rPr>
          <w:rFonts w:ascii="Arial" w:hAnsi="Arial" w:cs="Arial"/>
          <w:sz w:val="20"/>
          <w:szCs w:val="20"/>
          <w:lang w:eastAsia="en-ZA"/>
        </w:rPr>
      </w:pPr>
      <w:r w:rsidRPr="009E6B3C">
        <w:rPr>
          <w:rFonts w:ascii="Arial" w:hAnsi="Arial" w:cs="Arial"/>
          <w:sz w:val="20"/>
          <w:szCs w:val="20"/>
          <w:lang w:eastAsia="en-ZA"/>
        </w:rPr>
        <w:t>Programme 4: National Prosecuting Authority</w:t>
      </w:r>
      <w:r w:rsidR="00CD68E3" w:rsidRPr="009E6B3C">
        <w:rPr>
          <w:rFonts w:ascii="Arial" w:hAnsi="Arial" w:cs="Arial"/>
          <w:sz w:val="20"/>
          <w:szCs w:val="20"/>
          <w:lang w:eastAsia="en-ZA"/>
        </w:rPr>
        <w:t xml:space="preserve">: </w:t>
      </w:r>
      <w:r w:rsidRPr="009E6B3C">
        <w:rPr>
          <w:rFonts w:ascii="Arial" w:hAnsi="Arial" w:cs="Arial"/>
          <w:sz w:val="20"/>
          <w:szCs w:val="20"/>
          <w:lang w:eastAsia="en-ZA"/>
        </w:rPr>
        <w:t>Expenditure under this programme is lower by R24</w:t>
      </w:r>
      <w:r w:rsidR="00CD68E3" w:rsidRPr="009E6B3C">
        <w:rPr>
          <w:rFonts w:ascii="Arial" w:hAnsi="Arial" w:cs="Arial"/>
          <w:sz w:val="20"/>
          <w:szCs w:val="20"/>
          <w:lang w:eastAsia="en-ZA"/>
        </w:rPr>
        <w:t xml:space="preserve"> </w:t>
      </w:r>
      <w:r w:rsidRPr="009E6B3C">
        <w:rPr>
          <w:rFonts w:ascii="Arial" w:hAnsi="Arial" w:cs="Arial"/>
          <w:sz w:val="20"/>
          <w:szCs w:val="20"/>
          <w:lang w:eastAsia="en-ZA"/>
        </w:rPr>
        <w:t>million, mainly on goods and services under the Investigating Directorate subprogramme, due to delays in receipt of invoices for operating leases, training, and forensic investigations and equipment</w:t>
      </w:r>
      <w:r w:rsidR="00CD68E3" w:rsidRPr="009E6B3C">
        <w:rPr>
          <w:rFonts w:ascii="Arial" w:hAnsi="Arial" w:cs="Arial"/>
          <w:sz w:val="20"/>
          <w:szCs w:val="20"/>
          <w:lang w:eastAsia="en-ZA"/>
        </w:rPr>
        <w:t>.</w:t>
      </w:r>
    </w:p>
    <w:p w:rsidR="00BE7B9C" w:rsidRPr="009E6B3C" w:rsidRDefault="00BE7B9C" w:rsidP="009E6B3C">
      <w:pPr>
        <w:pStyle w:val="ListParagraph"/>
        <w:rPr>
          <w:rFonts w:ascii="Arial" w:hAnsi="Arial" w:cs="Arial"/>
          <w:sz w:val="20"/>
          <w:szCs w:val="20"/>
          <w:lang w:eastAsia="en-ZA"/>
        </w:rPr>
      </w:pPr>
    </w:p>
    <w:p w:rsidR="006D6E27" w:rsidRPr="009E6B3C" w:rsidRDefault="006D6E27" w:rsidP="009E6B3C">
      <w:pPr>
        <w:pStyle w:val="ListParagraph"/>
        <w:numPr>
          <w:ilvl w:val="2"/>
          <w:numId w:val="22"/>
        </w:numPr>
        <w:autoSpaceDE w:val="0"/>
        <w:autoSpaceDN w:val="0"/>
        <w:adjustRightInd w:val="0"/>
        <w:ind w:left="851" w:hanging="851"/>
        <w:rPr>
          <w:rFonts w:ascii="Arial" w:hAnsi="Arial" w:cs="Arial"/>
          <w:sz w:val="20"/>
          <w:szCs w:val="20"/>
          <w:lang w:eastAsia="en-ZA"/>
        </w:rPr>
      </w:pPr>
      <w:r w:rsidRPr="009E6B3C">
        <w:rPr>
          <w:rFonts w:ascii="Arial" w:hAnsi="Arial" w:cs="Arial"/>
          <w:sz w:val="20"/>
          <w:szCs w:val="20"/>
          <w:lang w:eastAsia="en-ZA"/>
        </w:rPr>
        <w:t>Programme 5: Auxiliary and Associated Services</w:t>
      </w:r>
      <w:r w:rsidR="00CD68E3" w:rsidRPr="009E6B3C">
        <w:rPr>
          <w:rFonts w:ascii="Arial" w:hAnsi="Arial" w:cs="Arial"/>
          <w:sz w:val="20"/>
          <w:szCs w:val="20"/>
          <w:lang w:eastAsia="en-ZA"/>
        </w:rPr>
        <w:t xml:space="preserve">: </w:t>
      </w:r>
      <w:r w:rsidRPr="009E6B3C">
        <w:rPr>
          <w:rFonts w:ascii="Arial" w:hAnsi="Arial" w:cs="Arial"/>
          <w:sz w:val="20"/>
          <w:szCs w:val="20"/>
          <w:lang w:eastAsia="en-ZA"/>
        </w:rPr>
        <w:t>Expenditure under this programme is lower by R16.8</w:t>
      </w:r>
      <w:r w:rsidR="00CD68E3" w:rsidRPr="009E6B3C">
        <w:rPr>
          <w:rFonts w:ascii="Arial" w:hAnsi="Arial" w:cs="Arial"/>
          <w:sz w:val="20"/>
          <w:szCs w:val="20"/>
          <w:lang w:eastAsia="en-ZA"/>
        </w:rPr>
        <w:t xml:space="preserve"> </w:t>
      </w:r>
      <w:r w:rsidRPr="009E6B3C">
        <w:rPr>
          <w:rFonts w:ascii="Arial" w:hAnsi="Arial" w:cs="Arial"/>
          <w:sz w:val="20"/>
          <w:szCs w:val="20"/>
          <w:lang w:eastAsia="en-ZA"/>
        </w:rPr>
        <w:t>million, mainly on goods and services, due to delayed acquisition of tools of trade by the Information Regulator and underperformance by the IJS programme.</w:t>
      </w:r>
    </w:p>
    <w:p w:rsidR="00506F91" w:rsidRPr="009E6B3C" w:rsidRDefault="00506F91" w:rsidP="009E6B3C">
      <w:pPr>
        <w:rPr>
          <w:rFonts w:ascii="Arial" w:hAnsi="Arial" w:cs="Arial"/>
          <w:b/>
          <w:sz w:val="20"/>
          <w:szCs w:val="20"/>
        </w:rPr>
      </w:pPr>
    </w:p>
    <w:p w:rsidR="00506F91" w:rsidRPr="009E6B3C" w:rsidRDefault="00506F91" w:rsidP="009E6B3C">
      <w:pPr>
        <w:rPr>
          <w:rFonts w:ascii="Arial" w:hAnsi="Arial" w:cs="Arial"/>
          <w:b/>
          <w:sz w:val="20"/>
          <w:szCs w:val="20"/>
        </w:rPr>
      </w:pPr>
    </w:p>
    <w:p w:rsidR="00E77A38" w:rsidRPr="009E6B3C" w:rsidRDefault="002C3BE7" w:rsidP="009E6B3C">
      <w:pPr>
        <w:numPr>
          <w:ilvl w:val="0"/>
          <w:numId w:val="1"/>
        </w:numPr>
        <w:tabs>
          <w:tab w:val="num" w:pos="851"/>
        </w:tabs>
        <w:ind w:left="851" w:hanging="851"/>
        <w:rPr>
          <w:rFonts w:ascii="Arial" w:hAnsi="Arial" w:cs="Arial"/>
          <w:b/>
          <w:sz w:val="20"/>
          <w:szCs w:val="20"/>
        </w:rPr>
      </w:pPr>
      <w:r w:rsidRPr="009E6B3C">
        <w:rPr>
          <w:rFonts w:ascii="Arial" w:hAnsi="Arial" w:cs="Arial"/>
          <w:b/>
          <w:sz w:val="20"/>
          <w:szCs w:val="20"/>
        </w:rPr>
        <w:t>Department of Justice and Constitutional Development</w:t>
      </w:r>
    </w:p>
    <w:p w:rsidR="00106280" w:rsidRPr="009E6B3C" w:rsidRDefault="00106280" w:rsidP="009E6B3C">
      <w:pPr>
        <w:rPr>
          <w:rFonts w:ascii="Arial" w:hAnsi="Arial" w:cs="Arial"/>
          <w:sz w:val="20"/>
          <w:szCs w:val="20"/>
        </w:rPr>
      </w:pPr>
    </w:p>
    <w:p w:rsidR="00675CF4" w:rsidRPr="009E6B3C" w:rsidRDefault="00D417F9" w:rsidP="009E6B3C">
      <w:pPr>
        <w:pStyle w:val="ListParagraph"/>
        <w:numPr>
          <w:ilvl w:val="1"/>
          <w:numId w:val="1"/>
        </w:numPr>
        <w:ind w:left="851" w:hanging="851"/>
        <w:rPr>
          <w:rFonts w:ascii="Arial" w:hAnsi="Arial" w:cs="Arial"/>
          <w:b/>
          <w:i/>
          <w:sz w:val="20"/>
          <w:szCs w:val="20"/>
        </w:rPr>
      </w:pPr>
      <w:r w:rsidRPr="009E6B3C">
        <w:rPr>
          <w:rFonts w:ascii="Arial" w:hAnsi="Arial" w:cs="Arial"/>
          <w:sz w:val="20"/>
          <w:szCs w:val="20"/>
        </w:rPr>
        <w:t>The Department’s s</w:t>
      </w:r>
      <w:r w:rsidR="00675CF4" w:rsidRPr="009E6B3C">
        <w:rPr>
          <w:rFonts w:ascii="Arial" w:hAnsi="Arial" w:cs="Arial"/>
          <w:sz w:val="20"/>
          <w:szCs w:val="20"/>
        </w:rPr>
        <w:t xml:space="preserve">trategic focus </w:t>
      </w:r>
      <w:r w:rsidRPr="009E6B3C">
        <w:rPr>
          <w:rFonts w:ascii="Arial" w:hAnsi="Arial" w:cs="Arial"/>
          <w:sz w:val="20"/>
          <w:szCs w:val="20"/>
        </w:rPr>
        <w:t>is as follows:</w:t>
      </w:r>
    </w:p>
    <w:p w:rsidR="00675CF4"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Modernising and increasing access to justice services. </w:t>
      </w:r>
    </w:p>
    <w:p w:rsidR="00675CF4" w:rsidRPr="009E6B3C" w:rsidRDefault="00BA7082"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B</w:t>
      </w:r>
      <w:r w:rsidR="00675CF4" w:rsidRPr="009E6B3C">
        <w:rPr>
          <w:rFonts w:ascii="Arial" w:eastAsiaTheme="minorHAnsi" w:hAnsi="Arial" w:cs="Arial"/>
          <w:color w:val="000000"/>
          <w:sz w:val="20"/>
          <w:szCs w:val="20"/>
          <w:lang w:eastAsia="en-US"/>
        </w:rPr>
        <w:t>uild</w:t>
      </w:r>
      <w:r w:rsidRPr="009E6B3C">
        <w:rPr>
          <w:rFonts w:ascii="Arial" w:eastAsiaTheme="minorHAnsi" w:hAnsi="Arial" w:cs="Arial"/>
          <w:color w:val="000000"/>
          <w:sz w:val="20"/>
          <w:szCs w:val="20"/>
          <w:lang w:eastAsia="en-US"/>
        </w:rPr>
        <w:t>ing</w:t>
      </w:r>
      <w:r w:rsidR="00675CF4" w:rsidRPr="009E6B3C">
        <w:rPr>
          <w:rFonts w:ascii="Arial" w:eastAsiaTheme="minorHAnsi" w:hAnsi="Arial" w:cs="Arial"/>
          <w:color w:val="000000"/>
          <w:sz w:val="20"/>
          <w:szCs w:val="20"/>
          <w:lang w:eastAsia="en-US"/>
        </w:rPr>
        <w:t xml:space="preserve"> and deepen</w:t>
      </w:r>
      <w:r w:rsidRPr="009E6B3C">
        <w:rPr>
          <w:rFonts w:ascii="Arial" w:eastAsiaTheme="minorHAnsi" w:hAnsi="Arial" w:cs="Arial"/>
          <w:color w:val="000000"/>
          <w:sz w:val="20"/>
          <w:szCs w:val="20"/>
          <w:lang w:eastAsia="en-US"/>
        </w:rPr>
        <w:t>ing</w:t>
      </w:r>
      <w:r w:rsidR="00675CF4" w:rsidRPr="009E6B3C">
        <w:rPr>
          <w:rFonts w:ascii="Arial" w:eastAsiaTheme="minorHAnsi" w:hAnsi="Arial" w:cs="Arial"/>
          <w:color w:val="000000"/>
          <w:sz w:val="20"/>
          <w:szCs w:val="20"/>
          <w:lang w:eastAsia="en-US"/>
        </w:rPr>
        <w:t xml:space="preserve"> constitutionalism, respect for human rights and rule of law.</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Review</w:t>
      </w:r>
      <w:r w:rsidR="00BA7082" w:rsidRPr="009E6B3C">
        <w:rPr>
          <w:rFonts w:ascii="Arial" w:eastAsiaTheme="minorHAnsi" w:hAnsi="Arial" w:cs="Arial"/>
          <w:color w:val="000000"/>
          <w:sz w:val="20"/>
          <w:szCs w:val="20"/>
          <w:lang w:eastAsia="en-US"/>
        </w:rPr>
        <w:t>ing</w:t>
      </w:r>
      <w:r w:rsidRPr="009E6B3C">
        <w:rPr>
          <w:rFonts w:ascii="Arial" w:eastAsiaTheme="minorHAnsi" w:hAnsi="Arial" w:cs="Arial"/>
          <w:color w:val="000000"/>
          <w:sz w:val="20"/>
          <w:szCs w:val="20"/>
          <w:lang w:eastAsia="en-US"/>
        </w:rPr>
        <w:t xml:space="preserve"> justice</w:t>
      </w:r>
      <w:r w:rsidR="00BA7082" w:rsidRPr="009E6B3C">
        <w:rPr>
          <w:rFonts w:ascii="Arial" w:eastAsiaTheme="minorHAnsi" w:hAnsi="Arial" w:cs="Arial"/>
          <w:color w:val="000000"/>
          <w:sz w:val="20"/>
          <w:szCs w:val="20"/>
          <w:lang w:eastAsia="en-US"/>
        </w:rPr>
        <w:t>-</w:t>
      </w:r>
      <w:r w:rsidRPr="009E6B3C">
        <w:rPr>
          <w:rFonts w:ascii="Arial" w:eastAsiaTheme="minorHAnsi" w:hAnsi="Arial" w:cs="Arial"/>
          <w:color w:val="000000"/>
          <w:sz w:val="20"/>
          <w:szCs w:val="20"/>
          <w:lang w:eastAsia="en-US"/>
        </w:rPr>
        <w:t>related colonial and apartheid</w:t>
      </w:r>
      <w:r w:rsidR="00BA7082" w:rsidRPr="009E6B3C">
        <w:rPr>
          <w:rFonts w:ascii="Arial" w:eastAsiaTheme="minorHAnsi" w:hAnsi="Arial" w:cs="Arial"/>
          <w:color w:val="000000"/>
          <w:sz w:val="20"/>
          <w:szCs w:val="20"/>
          <w:lang w:eastAsia="en-US"/>
        </w:rPr>
        <w:t>-</w:t>
      </w:r>
      <w:r w:rsidRPr="009E6B3C">
        <w:rPr>
          <w:rFonts w:ascii="Arial" w:eastAsiaTheme="minorHAnsi" w:hAnsi="Arial" w:cs="Arial"/>
          <w:color w:val="000000"/>
          <w:sz w:val="20"/>
          <w:szCs w:val="20"/>
          <w:lang w:eastAsia="en-US"/>
        </w:rPr>
        <w:t xml:space="preserve">era legislation with the aim of aligning this legislation with the Constitution of the Republic of South Africa, 1996 (Constitution). </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Implement</w:t>
      </w:r>
      <w:r w:rsidR="00BA7082" w:rsidRPr="009E6B3C">
        <w:rPr>
          <w:rFonts w:ascii="Arial" w:eastAsiaTheme="minorHAnsi" w:hAnsi="Arial" w:cs="Arial"/>
          <w:color w:val="000000"/>
          <w:sz w:val="20"/>
          <w:szCs w:val="20"/>
          <w:lang w:eastAsia="en-US"/>
        </w:rPr>
        <w:t>ing</w:t>
      </w:r>
      <w:r w:rsidRPr="009E6B3C">
        <w:rPr>
          <w:rFonts w:ascii="Arial" w:eastAsiaTheme="minorHAnsi" w:hAnsi="Arial" w:cs="Arial"/>
          <w:color w:val="000000"/>
          <w:sz w:val="20"/>
          <w:szCs w:val="20"/>
          <w:lang w:eastAsia="en-US"/>
        </w:rPr>
        <w:t xml:space="preserve"> the National Action Plan to combat Racism, Racial Discrimination, Xenophobia and Related Intolerance in order to advance constitutionalism, human rights and the rule of law</w:t>
      </w:r>
      <w:r w:rsidR="00D417F9" w:rsidRPr="009E6B3C">
        <w:rPr>
          <w:rFonts w:ascii="Arial" w:eastAsiaTheme="minorHAnsi" w:hAnsi="Arial" w:cs="Arial"/>
          <w:color w:val="000000"/>
          <w:sz w:val="20"/>
          <w:szCs w:val="20"/>
          <w:lang w:eastAsia="en-US"/>
        </w:rPr>
        <w:t>.</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Addressing the scourge of gender-based violence and femicide (GBVF) and violen</w:t>
      </w:r>
      <w:r w:rsidR="00D417F9" w:rsidRPr="009E6B3C">
        <w:rPr>
          <w:rFonts w:ascii="Arial" w:eastAsiaTheme="minorHAnsi" w:hAnsi="Arial" w:cs="Arial"/>
          <w:color w:val="000000"/>
          <w:sz w:val="20"/>
          <w:szCs w:val="20"/>
          <w:lang w:eastAsia="en-US"/>
        </w:rPr>
        <w:t xml:space="preserve">ce against women and children. </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Transform</w:t>
      </w:r>
      <w:r w:rsidR="00BA7082" w:rsidRPr="009E6B3C">
        <w:rPr>
          <w:rFonts w:ascii="Arial" w:eastAsiaTheme="minorHAnsi" w:hAnsi="Arial" w:cs="Arial"/>
          <w:color w:val="000000"/>
          <w:sz w:val="20"/>
          <w:szCs w:val="20"/>
          <w:lang w:eastAsia="en-US"/>
        </w:rPr>
        <w:t>ing</w:t>
      </w:r>
      <w:r w:rsidRPr="009E6B3C">
        <w:rPr>
          <w:rFonts w:ascii="Arial" w:eastAsiaTheme="minorHAnsi" w:hAnsi="Arial" w:cs="Arial"/>
          <w:color w:val="000000"/>
          <w:sz w:val="20"/>
          <w:szCs w:val="20"/>
          <w:lang w:eastAsia="en-US"/>
        </w:rPr>
        <w:t xml:space="preserve"> state legal services to improve effectiveness and efficiency through the implementation of the State Attorney Amendment A</w:t>
      </w:r>
      <w:r w:rsidR="00D417F9" w:rsidRPr="009E6B3C">
        <w:rPr>
          <w:rFonts w:ascii="Arial" w:eastAsiaTheme="minorHAnsi" w:hAnsi="Arial" w:cs="Arial"/>
          <w:color w:val="000000"/>
          <w:sz w:val="20"/>
          <w:szCs w:val="20"/>
          <w:lang w:eastAsia="en-US"/>
        </w:rPr>
        <w:t xml:space="preserve">ct, 2014 (Act No.13 of 2014). </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Transform</w:t>
      </w:r>
      <w:r w:rsidR="00BA7082" w:rsidRPr="009E6B3C">
        <w:rPr>
          <w:rFonts w:ascii="Arial" w:eastAsiaTheme="minorHAnsi" w:hAnsi="Arial" w:cs="Arial"/>
          <w:color w:val="000000"/>
          <w:sz w:val="20"/>
          <w:szCs w:val="20"/>
          <w:lang w:eastAsia="en-US"/>
        </w:rPr>
        <w:t>ing</w:t>
      </w:r>
      <w:r w:rsidRPr="009E6B3C">
        <w:rPr>
          <w:rFonts w:ascii="Arial" w:eastAsiaTheme="minorHAnsi" w:hAnsi="Arial" w:cs="Arial"/>
          <w:color w:val="000000"/>
          <w:sz w:val="20"/>
          <w:szCs w:val="20"/>
          <w:lang w:eastAsia="en-US"/>
        </w:rPr>
        <w:t xml:space="preserve"> the legal profession. </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Provi</w:t>
      </w:r>
      <w:r w:rsidR="00BA7082" w:rsidRPr="009E6B3C">
        <w:rPr>
          <w:rFonts w:ascii="Arial" w:eastAsiaTheme="minorHAnsi" w:hAnsi="Arial" w:cs="Arial"/>
          <w:color w:val="000000"/>
          <w:sz w:val="20"/>
          <w:szCs w:val="20"/>
          <w:lang w:eastAsia="en-US"/>
        </w:rPr>
        <w:t>ding</w:t>
      </w:r>
      <w:r w:rsidRPr="009E6B3C">
        <w:rPr>
          <w:rFonts w:ascii="Arial" w:eastAsiaTheme="minorHAnsi" w:hAnsi="Arial" w:cs="Arial"/>
          <w:color w:val="000000"/>
          <w:sz w:val="20"/>
          <w:szCs w:val="20"/>
          <w:lang w:eastAsia="en-US"/>
        </w:rPr>
        <w:t xml:space="preserve"> facilities (offices/courts/service points) that are accessible to persons with disabilities as required b</w:t>
      </w:r>
      <w:r w:rsidR="00D417F9" w:rsidRPr="009E6B3C">
        <w:rPr>
          <w:rFonts w:ascii="Arial" w:eastAsiaTheme="minorHAnsi" w:hAnsi="Arial" w:cs="Arial"/>
          <w:color w:val="000000"/>
          <w:sz w:val="20"/>
          <w:szCs w:val="20"/>
          <w:lang w:eastAsia="en-US"/>
        </w:rPr>
        <w:t xml:space="preserve">y building regulations. </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Implement</w:t>
      </w:r>
      <w:r w:rsidR="00BA7082" w:rsidRPr="009E6B3C">
        <w:rPr>
          <w:rFonts w:ascii="Arial" w:eastAsiaTheme="minorHAnsi" w:hAnsi="Arial" w:cs="Arial"/>
          <w:color w:val="000000"/>
          <w:sz w:val="20"/>
          <w:szCs w:val="20"/>
          <w:lang w:eastAsia="en-US"/>
        </w:rPr>
        <w:t xml:space="preserve">ing </w:t>
      </w:r>
      <w:r w:rsidRPr="009E6B3C">
        <w:rPr>
          <w:rFonts w:ascii="Arial" w:eastAsiaTheme="minorHAnsi" w:hAnsi="Arial" w:cs="Arial"/>
          <w:color w:val="000000"/>
          <w:sz w:val="20"/>
          <w:szCs w:val="20"/>
          <w:lang w:eastAsia="en-US"/>
        </w:rPr>
        <w:t xml:space="preserve">an integrated education campaign that will profile justice services through the use of variety of multimedia communication mediums to improve </w:t>
      </w:r>
      <w:r w:rsidR="00D417F9" w:rsidRPr="009E6B3C">
        <w:rPr>
          <w:rFonts w:ascii="Arial" w:eastAsiaTheme="minorHAnsi" w:hAnsi="Arial" w:cs="Arial"/>
          <w:color w:val="000000"/>
          <w:sz w:val="20"/>
          <w:szCs w:val="20"/>
          <w:lang w:eastAsia="en-US"/>
        </w:rPr>
        <w:t xml:space="preserve">citizens experience of justice services. </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Improv</w:t>
      </w:r>
      <w:r w:rsidR="00BA7082" w:rsidRPr="009E6B3C">
        <w:rPr>
          <w:rFonts w:ascii="Arial" w:eastAsiaTheme="minorHAnsi" w:hAnsi="Arial" w:cs="Arial"/>
          <w:color w:val="000000"/>
          <w:sz w:val="20"/>
          <w:szCs w:val="20"/>
          <w:lang w:eastAsia="en-US"/>
        </w:rPr>
        <w:t>ing</w:t>
      </w:r>
      <w:r w:rsidRPr="009E6B3C">
        <w:rPr>
          <w:rFonts w:ascii="Arial" w:eastAsiaTheme="minorHAnsi" w:hAnsi="Arial" w:cs="Arial"/>
          <w:color w:val="000000"/>
          <w:sz w:val="20"/>
          <w:szCs w:val="20"/>
          <w:lang w:eastAsia="en-US"/>
        </w:rPr>
        <w:t xml:space="preserve"> audit outcomes in respect of the vote account and pre-determined objectives. </w:t>
      </w:r>
    </w:p>
    <w:p w:rsidR="00D417F9" w:rsidRPr="009E6B3C" w:rsidRDefault="00675CF4"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Improving</w:t>
      </w:r>
      <w:r w:rsidR="00D417F9" w:rsidRPr="009E6B3C">
        <w:rPr>
          <w:rFonts w:ascii="Arial" w:eastAsiaTheme="minorHAnsi" w:hAnsi="Arial" w:cs="Arial"/>
          <w:color w:val="000000"/>
          <w:sz w:val="20"/>
          <w:szCs w:val="20"/>
          <w:lang w:eastAsia="en-US"/>
        </w:rPr>
        <w:t xml:space="preserve"> the departmental performance. </w:t>
      </w:r>
    </w:p>
    <w:p w:rsidR="00D417F9" w:rsidRPr="009E6B3C" w:rsidRDefault="00D417F9"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S</w:t>
      </w:r>
      <w:r w:rsidR="00675CF4" w:rsidRPr="009E6B3C">
        <w:rPr>
          <w:rFonts w:ascii="Arial" w:eastAsiaTheme="minorHAnsi" w:hAnsi="Arial" w:cs="Arial"/>
          <w:color w:val="000000"/>
          <w:sz w:val="20"/>
          <w:szCs w:val="20"/>
          <w:lang w:eastAsia="en-US"/>
        </w:rPr>
        <w:t xml:space="preserve">trengthening the fight against fraud and corruption, by ensuring that the Specialised Commercial Crime Courts (SCCCs) are extended to all provinces in the country </w:t>
      </w:r>
      <w:r w:rsidRPr="009E6B3C">
        <w:rPr>
          <w:rFonts w:ascii="Arial" w:eastAsiaTheme="minorHAnsi" w:hAnsi="Arial" w:cs="Arial"/>
          <w:color w:val="000000"/>
          <w:sz w:val="20"/>
          <w:szCs w:val="20"/>
          <w:lang w:eastAsia="en-US"/>
        </w:rPr>
        <w:t xml:space="preserve">which do not yet have a SCCC. </w:t>
      </w:r>
    </w:p>
    <w:p w:rsidR="00D417F9" w:rsidRPr="009E6B3C" w:rsidRDefault="00BA708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eastAsiaTheme="minorHAnsi" w:hAnsi="Arial" w:cs="Arial"/>
          <w:color w:val="000000"/>
          <w:sz w:val="20"/>
          <w:szCs w:val="20"/>
          <w:lang w:eastAsia="en-US"/>
        </w:rPr>
        <w:t>Transforming</w:t>
      </w:r>
      <w:r w:rsidR="00675CF4" w:rsidRPr="009E6B3C">
        <w:rPr>
          <w:rFonts w:ascii="Arial" w:hAnsi="Arial" w:cs="Arial"/>
          <w:sz w:val="20"/>
          <w:szCs w:val="20"/>
        </w:rPr>
        <w:t xml:space="preserve"> Master</w:t>
      </w:r>
      <w:r w:rsidRPr="009E6B3C">
        <w:rPr>
          <w:rFonts w:ascii="Arial" w:hAnsi="Arial" w:cs="Arial"/>
          <w:sz w:val="20"/>
          <w:szCs w:val="20"/>
        </w:rPr>
        <w:t>’</w:t>
      </w:r>
      <w:r w:rsidR="00675CF4" w:rsidRPr="009E6B3C">
        <w:rPr>
          <w:rFonts w:ascii="Arial" w:hAnsi="Arial" w:cs="Arial"/>
          <w:sz w:val="20"/>
          <w:szCs w:val="20"/>
        </w:rPr>
        <w:t>s services to allow effective and optimal operation</w:t>
      </w:r>
      <w:r w:rsidR="00A73A28" w:rsidRPr="009E6B3C">
        <w:rPr>
          <w:rFonts w:ascii="Arial" w:hAnsi="Arial" w:cs="Arial"/>
          <w:sz w:val="20"/>
          <w:szCs w:val="20"/>
        </w:rPr>
        <w:t>.</w:t>
      </w:r>
      <w:r w:rsidR="00675CF4" w:rsidRPr="009E6B3C">
        <w:rPr>
          <w:rFonts w:ascii="Arial" w:hAnsi="Arial" w:cs="Arial"/>
          <w:sz w:val="20"/>
          <w:szCs w:val="20"/>
        </w:rPr>
        <w:t xml:space="preserve"> </w:t>
      </w:r>
    </w:p>
    <w:p w:rsidR="00D417F9" w:rsidRPr="009E6B3C" w:rsidRDefault="00D417F9" w:rsidP="009E6B3C">
      <w:pPr>
        <w:pStyle w:val="ListParagraph"/>
        <w:ind w:left="862"/>
        <w:rPr>
          <w:rFonts w:ascii="Arial" w:hAnsi="Arial" w:cs="Arial"/>
          <w:b/>
          <w:i/>
          <w:sz w:val="20"/>
          <w:szCs w:val="20"/>
        </w:rPr>
      </w:pPr>
    </w:p>
    <w:p w:rsidR="007728DD" w:rsidRPr="009E6B3C" w:rsidRDefault="00BA7082" w:rsidP="009E6B3C">
      <w:pPr>
        <w:pStyle w:val="ListParagraph"/>
        <w:numPr>
          <w:ilvl w:val="1"/>
          <w:numId w:val="1"/>
        </w:numPr>
        <w:ind w:left="851" w:hanging="851"/>
        <w:rPr>
          <w:rFonts w:ascii="Arial" w:hAnsi="Arial" w:cs="Arial"/>
          <w:color w:val="000000"/>
          <w:spacing w:val="6"/>
          <w:sz w:val="20"/>
          <w:szCs w:val="20"/>
          <w:lang w:val="en-GB"/>
        </w:rPr>
      </w:pPr>
      <w:r w:rsidRPr="009E6B3C">
        <w:rPr>
          <w:rFonts w:ascii="Arial" w:hAnsi="Arial" w:cs="Arial"/>
          <w:sz w:val="20"/>
          <w:szCs w:val="20"/>
        </w:rPr>
        <w:t>Identified p</w:t>
      </w:r>
      <w:r w:rsidR="007728DD" w:rsidRPr="009E6B3C">
        <w:rPr>
          <w:rFonts w:ascii="Arial" w:hAnsi="Arial" w:cs="Arial"/>
          <w:sz w:val="20"/>
          <w:szCs w:val="20"/>
        </w:rPr>
        <w:t>rio</w:t>
      </w:r>
      <w:r w:rsidR="006A4366" w:rsidRPr="009E6B3C">
        <w:rPr>
          <w:rFonts w:ascii="Arial" w:hAnsi="Arial" w:cs="Arial"/>
          <w:sz w:val="20"/>
          <w:szCs w:val="20"/>
        </w:rPr>
        <w:t>rities</w:t>
      </w:r>
      <w:r w:rsidR="006A4366" w:rsidRPr="009E6B3C">
        <w:rPr>
          <w:rFonts w:ascii="Arial" w:hAnsi="Arial" w:cs="Arial"/>
          <w:color w:val="000000"/>
          <w:spacing w:val="6"/>
          <w:sz w:val="20"/>
          <w:szCs w:val="20"/>
          <w:lang w:val="en-GB"/>
        </w:rPr>
        <w:t xml:space="preserve"> for 2021/22 were</w:t>
      </w:r>
      <w:r w:rsidR="007728DD" w:rsidRPr="009E6B3C">
        <w:rPr>
          <w:rFonts w:ascii="Arial" w:hAnsi="Arial" w:cs="Arial"/>
          <w:color w:val="000000"/>
          <w:spacing w:val="6"/>
          <w:sz w:val="20"/>
          <w:szCs w:val="20"/>
          <w:lang w:val="en-GB"/>
        </w:rPr>
        <w:t xml:space="preserve"> as follows:</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A series of programmes would take place to commemorate the 25th anniversary of the Constitution to mark this milestone. </w:t>
      </w:r>
    </w:p>
    <w:p w:rsidR="007728DD" w:rsidRPr="009E6B3C" w:rsidRDefault="00BA7082"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w:t>
      </w:r>
      <w:r w:rsidR="007728DD" w:rsidRPr="009E6B3C">
        <w:rPr>
          <w:rFonts w:ascii="Arial" w:eastAsiaTheme="minorHAnsi" w:hAnsi="Arial" w:cs="Arial"/>
          <w:color w:val="000000"/>
          <w:sz w:val="20"/>
          <w:szCs w:val="20"/>
          <w:lang w:eastAsia="en-US"/>
        </w:rPr>
        <w:t xml:space="preserve">filling of critical vacancies at the very highest level, with more to follow. </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The turnaround of Justice College would allow for better capacitated justice officials through training and, in addition, position Justice College as a service provider to other departments and the continent.</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The Department would invest in integration and modernisation programmes through the use of technology. Also, more effort w</w:t>
      </w:r>
      <w:r w:rsidR="00A73A28" w:rsidRPr="009E6B3C">
        <w:rPr>
          <w:rFonts w:ascii="Arial" w:eastAsiaTheme="minorHAnsi" w:hAnsi="Arial" w:cs="Arial"/>
          <w:color w:val="000000"/>
          <w:sz w:val="20"/>
          <w:szCs w:val="20"/>
          <w:lang w:eastAsia="en-US"/>
        </w:rPr>
        <w:t>o</w:t>
      </w:r>
      <w:r w:rsidRPr="009E6B3C">
        <w:rPr>
          <w:rFonts w:ascii="Arial" w:eastAsiaTheme="minorHAnsi" w:hAnsi="Arial" w:cs="Arial"/>
          <w:color w:val="000000"/>
          <w:sz w:val="20"/>
          <w:szCs w:val="20"/>
          <w:lang w:eastAsia="en-US"/>
        </w:rPr>
        <w:t>uld be directed towards the Integrated Justice System (IJS), as part of accelerating the digitisation and modernisation of the justice system. This would take place through a variety of ICT projects implemented across the security cluster.</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lastRenderedPageBreak/>
        <w:t xml:space="preserve">The process to operationalise the State Attorney Amendment Act would continue with the appointment of regional heads to the Office of the State Attorney at all High Courts to ensure better management of state litigation. </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Publication of a legal sector code for comment would take place in the near future as part of transformation efforts. </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The fight against fraud and corruption would continue.</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NPA would continue with its Aspirant Prosecutors’ programme in which young graduates are recruited to the NPA. </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NPA would also establish an office of complaints in line with international best practice and to institutionalise the NPA’s commitment to ethics and accountability. </w:t>
      </w:r>
    </w:p>
    <w:p w:rsidR="007728DD" w:rsidRPr="009E6B3C" w:rsidRDefault="007728D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w:t>
      </w:r>
      <w:r w:rsidR="00BA7082" w:rsidRPr="009E6B3C">
        <w:rPr>
          <w:rFonts w:ascii="Arial" w:eastAsiaTheme="minorHAnsi" w:hAnsi="Arial" w:cs="Arial"/>
          <w:color w:val="000000"/>
          <w:sz w:val="20"/>
          <w:szCs w:val="20"/>
          <w:lang w:eastAsia="en-US"/>
        </w:rPr>
        <w:t xml:space="preserve">Judicial </w:t>
      </w:r>
      <w:r w:rsidRPr="009E6B3C">
        <w:rPr>
          <w:rFonts w:ascii="Arial" w:eastAsiaTheme="minorHAnsi" w:hAnsi="Arial" w:cs="Arial"/>
          <w:color w:val="000000"/>
          <w:sz w:val="20"/>
          <w:szCs w:val="20"/>
          <w:lang w:eastAsia="en-US"/>
        </w:rPr>
        <w:t xml:space="preserve">Commission </w:t>
      </w:r>
      <w:r w:rsidR="00BA7082" w:rsidRPr="009E6B3C">
        <w:rPr>
          <w:rFonts w:ascii="Arial" w:eastAsiaTheme="minorHAnsi" w:hAnsi="Arial" w:cs="Arial"/>
          <w:color w:val="000000"/>
          <w:sz w:val="20"/>
          <w:szCs w:val="20"/>
          <w:lang w:eastAsia="en-US"/>
        </w:rPr>
        <w:t xml:space="preserve">of Inquiry into State Capture (Zondo Commission) </w:t>
      </w:r>
      <w:r w:rsidRPr="009E6B3C">
        <w:rPr>
          <w:rFonts w:ascii="Arial" w:eastAsiaTheme="minorHAnsi" w:hAnsi="Arial" w:cs="Arial"/>
          <w:color w:val="000000"/>
          <w:sz w:val="20"/>
          <w:szCs w:val="20"/>
          <w:lang w:eastAsia="en-US"/>
        </w:rPr>
        <w:t>would be assisted to comp</w:t>
      </w:r>
      <w:r w:rsidR="00A73A28" w:rsidRPr="009E6B3C">
        <w:rPr>
          <w:rFonts w:ascii="Arial" w:eastAsiaTheme="minorHAnsi" w:hAnsi="Arial" w:cs="Arial"/>
          <w:color w:val="000000"/>
          <w:sz w:val="20"/>
          <w:szCs w:val="20"/>
          <w:lang w:eastAsia="en-US"/>
        </w:rPr>
        <w:t>l</w:t>
      </w:r>
      <w:r w:rsidRPr="009E6B3C">
        <w:rPr>
          <w:rFonts w:ascii="Arial" w:eastAsiaTheme="minorHAnsi" w:hAnsi="Arial" w:cs="Arial"/>
          <w:color w:val="000000"/>
          <w:sz w:val="20"/>
          <w:szCs w:val="20"/>
          <w:lang w:eastAsia="en-US"/>
        </w:rPr>
        <w:t xml:space="preserve">ete its work. </w:t>
      </w:r>
    </w:p>
    <w:p w:rsidR="007728DD" w:rsidRPr="009E6B3C" w:rsidRDefault="007728DD" w:rsidP="009E6B3C">
      <w:pPr>
        <w:pStyle w:val="ListParagraph"/>
        <w:numPr>
          <w:ilvl w:val="0"/>
          <w:numId w:val="6"/>
        </w:numPr>
        <w:autoSpaceDE w:val="0"/>
        <w:autoSpaceDN w:val="0"/>
        <w:adjustRightInd w:val="0"/>
        <w:ind w:left="1276" w:hanging="425"/>
        <w:rPr>
          <w:rFonts w:ascii="Arial" w:hAnsi="Arial" w:cs="Arial"/>
          <w:color w:val="000000"/>
          <w:spacing w:val="6"/>
          <w:sz w:val="20"/>
          <w:szCs w:val="20"/>
        </w:rPr>
      </w:pPr>
      <w:r w:rsidRPr="009E6B3C">
        <w:rPr>
          <w:rFonts w:ascii="Arial" w:eastAsiaTheme="minorHAnsi" w:hAnsi="Arial" w:cs="Arial"/>
          <w:color w:val="000000"/>
          <w:sz w:val="20"/>
          <w:szCs w:val="20"/>
          <w:lang w:eastAsia="en-US"/>
        </w:rPr>
        <w:t>With effect from 1 April 2021, the process to transfer the legal representation function and related budget from the Land Rights Management Facility in the Department of Agriculture, Land Reform and Rural Development</w:t>
      </w:r>
      <w:r w:rsidRPr="009E6B3C">
        <w:rPr>
          <w:rFonts w:ascii="Arial" w:hAnsi="Arial" w:cs="Arial"/>
          <w:color w:val="000000"/>
          <w:spacing w:val="6"/>
          <w:sz w:val="20"/>
          <w:szCs w:val="20"/>
        </w:rPr>
        <w:t xml:space="preserve"> to Legal Aid SA would begin.</w:t>
      </w:r>
    </w:p>
    <w:p w:rsidR="00D417F9" w:rsidRPr="009E6B3C" w:rsidRDefault="00D417F9" w:rsidP="009E6B3C">
      <w:pPr>
        <w:pStyle w:val="ListParagraph"/>
        <w:ind w:left="862"/>
        <w:rPr>
          <w:rFonts w:ascii="Arial" w:hAnsi="Arial" w:cs="Arial"/>
          <w:b/>
          <w:i/>
          <w:sz w:val="20"/>
          <w:szCs w:val="20"/>
        </w:rPr>
      </w:pPr>
    </w:p>
    <w:p w:rsidR="0038100B" w:rsidRPr="009E6B3C" w:rsidRDefault="0038100B" w:rsidP="009E6B3C">
      <w:pPr>
        <w:pStyle w:val="ListParagraph"/>
        <w:numPr>
          <w:ilvl w:val="1"/>
          <w:numId w:val="1"/>
        </w:numPr>
        <w:ind w:left="851" w:hanging="851"/>
        <w:rPr>
          <w:rFonts w:ascii="Arial" w:eastAsia="MyriadPro-Light" w:hAnsi="Arial" w:cs="Arial"/>
          <w:b/>
          <w:i/>
          <w:sz w:val="20"/>
          <w:szCs w:val="20"/>
        </w:rPr>
      </w:pPr>
      <w:r w:rsidRPr="009E6B3C">
        <w:rPr>
          <w:rFonts w:ascii="Arial" w:eastAsia="MyriadPro-Light" w:hAnsi="Arial" w:cs="Arial"/>
          <w:b/>
          <w:i/>
          <w:sz w:val="20"/>
          <w:szCs w:val="20"/>
        </w:rPr>
        <w:t>Human Resources</w:t>
      </w:r>
    </w:p>
    <w:p w:rsidR="0038100B" w:rsidRPr="009E6B3C" w:rsidRDefault="0038100B" w:rsidP="009E6B3C">
      <w:pPr>
        <w:autoSpaceDE w:val="0"/>
        <w:autoSpaceDN w:val="0"/>
        <w:adjustRightInd w:val="0"/>
        <w:rPr>
          <w:rFonts w:ascii="Arial" w:eastAsia="MyriadPro-Light" w:hAnsi="Arial" w:cs="Arial"/>
          <w:sz w:val="20"/>
          <w:szCs w:val="20"/>
        </w:rPr>
      </w:pPr>
    </w:p>
    <w:p w:rsidR="0038100B" w:rsidRPr="009E6B3C" w:rsidRDefault="0038100B" w:rsidP="009E6B3C">
      <w:pPr>
        <w:pStyle w:val="ListParagraph"/>
        <w:numPr>
          <w:ilvl w:val="2"/>
          <w:numId w:val="47"/>
        </w:numPr>
        <w:ind w:left="851" w:hanging="851"/>
        <w:rPr>
          <w:rFonts w:ascii="Arial" w:eastAsia="MyriadPro-Light" w:hAnsi="Arial" w:cs="Arial"/>
          <w:sz w:val="20"/>
          <w:szCs w:val="20"/>
        </w:rPr>
      </w:pPr>
      <w:r w:rsidRPr="009E6B3C">
        <w:rPr>
          <w:rFonts w:ascii="Arial" w:eastAsia="MyriadPro-Light" w:hAnsi="Arial" w:cs="Arial"/>
          <w:sz w:val="20"/>
          <w:szCs w:val="20"/>
        </w:rPr>
        <w:t xml:space="preserve">The Department reports on a review and alignment of the organisational structure in 2021/22, estimating that the additional funding required to implement the structure is </w:t>
      </w:r>
      <w:r w:rsidRPr="009E6B3C">
        <w:rPr>
          <w:rFonts w:ascii="Arial" w:eastAsia="MyriadPro-Light" w:hAnsi="Arial" w:cs="Arial"/>
          <w:bCs/>
          <w:sz w:val="20"/>
          <w:szCs w:val="20"/>
        </w:rPr>
        <w:t>R53.46 million.</w:t>
      </w:r>
    </w:p>
    <w:p w:rsidR="0038100B" w:rsidRPr="009E6B3C" w:rsidRDefault="0038100B" w:rsidP="009E6B3C">
      <w:pPr>
        <w:pStyle w:val="ListParagraph"/>
        <w:autoSpaceDE w:val="0"/>
        <w:autoSpaceDN w:val="0"/>
        <w:adjustRightInd w:val="0"/>
        <w:ind w:left="851"/>
        <w:rPr>
          <w:rFonts w:ascii="Arial" w:eastAsia="MyriadPro-Light" w:hAnsi="Arial" w:cs="Arial"/>
          <w:sz w:val="20"/>
          <w:szCs w:val="20"/>
        </w:rPr>
      </w:pPr>
    </w:p>
    <w:p w:rsidR="0038100B" w:rsidRPr="009E6B3C" w:rsidRDefault="0038100B" w:rsidP="009E6B3C">
      <w:pPr>
        <w:pStyle w:val="ListParagraph"/>
        <w:numPr>
          <w:ilvl w:val="2"/>
          <w:numId w:val="47"/>
        </w:numPr>
        <w:ind w:left="851" w:hanging="851"/>
        <w:rPr>
          <w:rFonts w:ascii="Arial" w:eastAsia="MyriadPro-Light" w:hAnsi="Arial" w:cs="Arial"/>
          <w:sz w:val="20"/>
          <w:szCs w:val="20"/>
        </w:rPr>
      </w:pPr>
      <w:r w:rsidRPr="009E6B3C">
        <w:rPr>
          <w:rFonts w:ascii="Arial" w:eastAsia="MyriadPro-Light" w:hAnsi="Arial" w:cs="Arial"/>
          <w:sz w:val="20"/>
          <w:szCs w:val="20"/>
        </w:rPr>
        <w:t>As at 31 March 2022, the Department had a total workforce (excluding magistrates) of 16 150 (77.8% of employees are concentrated in programme 2 (</w:t>
      </w:r>
      <w:r w:rsidR="00BA7082" w:rsidRPr="009E6B3C">
        <w:rPr>
          <w:rFonts w:ascii="Arial" w:eastAsia="MyriadPro-Light" w:hAnsi="Arial" w:cs="Arial"/>
          <w:sz w:val="20"/>
          <w:szCs w:val="20"/>
        </w:rPr>
        <w:t>C</w:t>
      </w:r>
      <w:r w:rsidRPr="009E6B3C">
        <w:rPr>
          <w:rFonts w:ascii="Arial" w:eastAsia="MyriadPro-Light" w:hAnsi="Arial" w:cs="Arial"/>
          <w:sz w:val="20"/>
          <w:szCs w:val="20"/>
        </w:rPr>
        <w:t xml:space="preserve">ourt </w:t>
      </w:r>
      <w:r w:rsidR="00BA7082" w:rsidRPr="009E6B3C">
        <w:rPr>
          <w:rFonts w:ascii="Arial" w:eastAsia="MyriadPro-Light" w:hAnsi="Arial" w:cs="Arial"/>
          <w:sz w:val="20"/>
          <w:szCs w:val="20"/>
        </w:rPr>
        <w:t>S</w:t>
      </w:r>
      <w:r w:rsidRPr="009E6B3C">
        <w:rPr>
          <w:rFonts w:ascii="Arial" w:eastAsia="MyriadPro-Light" w:hAnsi="Arial" w:cs="Arial"/>
          <w:sz w:val="20"/>
          <w:szCs w:val="20"/>
        </w:rPr>
        <w:t xml:space="preserve">ervices)). </w:t>
      </w:r>
    </w:p>
    <w:p w:rsidR="0038100B" w:rsidRPr="009E6B3C" w:rsidRDefault="0038100B" w:rsidP="009E6B3C">
      <w:pPr>
        <w:pStyle w:val="ListParagraph"/>
        <w:autoSpaceDE w:val="0"/>
        <w:autoSpaceDN w:val="0"/>
        <w:adjustRightInd w:val="0"/>
        <w:rPr>
          <w:rFonts w:ascii="Arial" w:eastAsia="MyriadPro-Light" w:hAnsi="Arial" w:cs="Arial"/>
          <w:sz w:val="20"/>
          <w:szCs w:val="20"/>
        </w:rPr>
      </w:pPr>
    </w:p>
    <w:p w:rsidR="0038100B" w:rsidRPr="009E6B3C" w:rsidRDefault="0038100B" w:rsidP="009E6B3C">
      <w:pPr>
        <w:pStyle w:val="ListParagraph"/>
        <w:numPr>
          <w:ilvl w:val="2"/>
          <w:numId w:val="47"/>
        </w:numPr>
        <w:ind w:left="851" w:hanging="851"/>
        <w:rPr>
          <w:rFonts w:ascii="Arial" w:eastAsia="MyriadPro-Light" w:hAnsi="Arial" w:cs="Arial"/>
          <w:sz w:val="20"/>
          <w:szCs w:val="20"/>
        </w:rPr>
      </w:pPr>
      <w:r w:rsidRPr="009E6B3C">
        <w:rPr>
          <w:rFonts w:ascii="Arial" w:eastAsia="MyriadPro-Light" w:hAnsi="Arial" w:cs="Arial"/>
          <w:sz w:val="20"/>
          <w:szCs w:val="20"/>
        </w:rPr>
        <w:t>The overall vacancy rate was 8.6% (compared with 10%</w:t>
      </w:r>
      <w:r w:rsidR="00BA7082" w:rsidRPr="009E6B3C">
        <w:rPr>
          <w:rFonts w:ascii="Arial" w:eastAsia="MyriadPro-Light" w:hAnsi="Arial" w:cs="Arial"/>
          <w:sz w:val="20"/>
          <w:szCs w:val="20"/>
        </w:rPr>
        <w:t xml:space="preserve"> </w:t>
      </w:r>
      <w:r w:rsidRPr="009E6B3C">
        <w:rPr>
          <w:rFonts w:ascii="Arial" w:eastAsia="MyriadPro-Light" w:hAnsi="Arial" w:cs="Arial"/>
          <w:sz w:val="20"/>
          <w:szCs w:val="20"/>
        </w:rPr>
        <w:t xml:space="preserve">in 2020/21 and 7.1% in 2019/20). The SMS vacancy rate was at 15% (as opposed to the target of 10%), improving from 22.5% </w:t>
      </w:r>
      <w:r w:rsidR="00BA7082" w:rsidRPr="009E6B3C">
        <w:rPr>
          <w:rFonts w:ascii="Arial" w:eastAsia="MyriadPro-Light" w:hAnsi="Arial" w:cs="Arial"/>
          <w:sz w:val="20"/>
          <w:szCs w:val="20"/>
        </w:rPr>
        <w:t>at</w:t>
      </w:r>
      <w:r w:rsidRPr="009E6B3C">
        <w:rPr>
          <w:rFonts w:ascii="Arial" w:eastAsia="MyriadPro-Light" w:hAnsi="Arial" w:cs="Arial"/>
          <w:sz w:val="20"/>
          <w:szCs w:val="20"/>
        </w:rPr>
        <w:t xml:space="preserve"> 31 March 2021.</w:t>
      </w:r>
    </w:p>
    <w:p w:rsidR="0038100B" w:rsidRPr="009E6B3C" w:rsidRDefault="0038100B" w:rsidP="009E6B3C">
      <w:pPr>
        <w:pStyle w:val="ListParagraph"/>
        <w:rPr>
          <w:rFonts w:ascii="Arial" w:eastAsia="MyriadPro-Light" w:hAnsi="Arial" w:cs="Arial"/>
          <w:sz w:val="20"/>
          <w:szCs w:val="20"/>
        </w:rPr>
      </w:pPr>
    </w:p>
    <w:p w:rsidR="00762159" w:rsidRPr="009E6B3C" w:rsidRDefault="00762159" w:rsidP="009E6B3C">
      <w:pPr>
        <w:pStyle w:val="ListParagraph"/>
        <w:numPr>
          <w:ilvl w:val="1"/>
          <w:numId w:val="1"/>
        </w:numPr>
        <w:ind w:left="851" w:hanging="851"/>
        <w:rPr>
          <w:rFonts w:ascii="Arial" w:hAnsi="Arial" w:cs="Arial"/>
          <w:b/>
          <w:i/>
          <w:sz w:val="20"/>
          <w:szCs w:val="20"/>
          <w:lang w:val="en-US"/>
        </w:rPr>
      </w:pPr>
      <w:r w:rsidRPr="009E6B3C">
        <w:rPr>
          <w:rFonts w:ascii="Arial" w:hAnsi="Arial" w:cs="Arial"/>
          <w:b/>
          <w:i/>
          <w:sz w:val="20"/>
          <w:szCs w:val="20"/>
        </w:rPr>
        <w:t>Fi</w:t>
      </w:r>
      <w:r w:rsidR="00400729" w:rsidRPr="009E6B3C">
        <w:rPr>
          <w:rFonts w:ascii="Arial" w:hAnsi="Arial" w:cs="Arial"/>
          <w:b/>
          <w:i/>
          <w:sz w:val="20"/>
          <w:szCs w:val="20"/>
        </w:rPr>
        <w:t xml:space="preserve">nancial </w:t>
      </w:r>
      <w:r w:rsidRPr="009E6B3C">
        <w:rPr>
          <w:rFonts w:ascii="Arial" w:hAnsi="Arial" w:cs="Arial"/>
          <w:b/>
          <w:i/>
          <w:sz w:val="20"/>
          <w:szCs w:val="20"/>
          <w:lang w:val="en-US"/>
        </w:rPr>
        <w:t>performance</w:t>
      </w:r>
      <w:r w:rsidR="00977350" w:rsidRPr="009E6B3C">
        <w:rPr>
          <w:rFonts w:ascii="Arial" w:hAnsi="Arial" w:cs="Arial"/>
          <w:b/>
          <w:i/>
          <w:sz w:val="20"/>
          <w:szCs w:val="20"/>
          <w:lang w:val="en-US"/>
        </w:rPr>
        <w:t xml:space="preserve"> 2021/22</w:t>
      </w:r>
    </w:p>
    <w:p w:rsidR="00762159" w:rsidRPr="009E6B3C" w:rsidRDefault="00762159" w:rsidP="009E6B3C">
      <w:pPr>
        <w:rPr>
          <w:rFonts w:ascii="Arial" w:hAnsi="Arial" w:cs="Arial"/>
          <w:sz w:val="20"/>
          <w:szCs w:val="20"/>
          <w:lang w:val="en-US"/>
        </w:rPr>
      </w:pPr>
    </w:p>
    <w:p w:rsidR="00762159" w:rsidRPr="009E6B3C" w:rsidRDefault="00762159" w:rsidP="009E6B3C">
      <w:pPr>
        <w:pStyle w:val="ListParagraph"/>
        <w:numPr>
          <w:ilvl w:val="2"/>
          <w:numId w:val="48"/>
        </w:numPr>
        <w:ind w:left="851" w:hanging="851"/>
        <w:rPr>
          <w:rFonts w:ascii="Arial" w:hAnsi="Arial" w:cs="Arial"/>
          <w:sz w:val="20"/>
          <w:szCs w:val="20"/>
          <w:lang w:val="en-US"/>
        </w:rPr>
      </w:pPr>
      <w:r w:rsidRPr="009E6B3C">
        <w:rPr>
          <w:rFonts w:ascii="Arial" w:hAnsi="Arial" w:cs="Arial"/>
          <w:sz w:val="20"/>
          <w:szCs w:val="20"/>
          <w:lang w:val="en-US"/>
        </w:rPr>
        <w:t>The Department</w:t>
      </w:r>
      <w:r w:rsidR="0009094C" w:rsidRPr="009E6B3C">
        <w:rPr>
          <w:rFonts w:ascii="Arial" w:hAnsi="Arial" w:cs="Arial"/>
          <w:sz w:val="20"/>
          <w:szCs w:val="20"/>
          <w:lang w:val="en-US"/>
        </w:rPr>
        <w:t xml:space="preserve">’s three programmes </w:t>
      </w:r>
      <w:r w:rsidR="00961A09" w:rsidRPr="009E6B3C">
        <w:rPr>
          <w:rFonts w:ascii="Arial" w:hAnsi="Arial" w:cs="Arial"/>
          <w:sz w:val="20"/>
          <w:szCs w:val="20"/>
          <w:lang w:val="en-US"/>
        </w:rPr>
        <w:t xml:space="preserve">- </w:t>
      </w:r>
      <w:r w:rsidR="0009094C" w:rsidRPr="009E6B3C">
        <w:rPr>
          <w:rFonts w:ascii="Arial" w:hAnsi="Arial" w:cs="Arial"/>
          <w:sz w:val="20"/>
          <w:szCs w:val="20"/>
          <w:lang w:val="en-US"/>
        </w:rPr>
        <w:t>Administration, Court Services and State Legal Services, as well as the Justice Modernisation sub</w:t>
      </w:r>
      <w:r w:rsidR="007C1CAE" w:rsidRPr="009E6B3C">
        <w:rPr>
          <w:rFonts w:ascii="Arial" w:hAnsi="Arial" w:cs="Arial"/>
          <w:sz w:val="20"/>
          <w:szCs w:val="20"/>
          <w:lang w:val="en-US"/>
        </w:rPr>
        <w:t>-</w:t>
      </w:r>
      <w:r w:rsidR="0009094C" w:rsidRPr="009E6B3C">
        <w:rPr>
          <w:rFonts w:ascii="Arial" w:hAnsi="Arial" w:cs="Arial"/>
          <w:sz w:val="20"/>
          <w:szCs w:val="20"/>
          <w:lang w:val="en-US"/>
        </w:rPr>
        <w:t>programme under Programme 5</w:t>
      </w:r>
      <w:r w:rsidRPr="009E6B3C">
        <w:rPr>
          <w:rFonts w:ascii="Arial" w:hAnsi="Arial" w:cs="Arial"/>
          <w:sz w:val="20"/>
          <w:szCs w:val="20"/>
          <w:lang w:val="en-US"/>
        </w:rPr>
        <w:t xml:space="preserve"> </w:t>
      </w:r>
      <w:r w:rsidR="00961A09" w:rsidRPr="009E6B3C">
        <w:rPr>
          <w:rFonts w:ascii="Arial" w:hAnsi="Arial" w:cs="Arial"/>
          <w:sz w:val="20"/>
          <w:szCs w:val="20"/>
          <w:lang w:val="en-US"/>
        </w:rPr>
        <w:t xml:space="preserve">- </w:t>
      </w:r>
      <w:r w:rsidRPr="009E6B3C">
        <w:rPr>
          <w:rFonts w:ascii="Arial" w:hAnsi="Arial" w:cs="Arial"/>
          <w:sz w:val="20"/>
          <w:szCs w:val="20"/>
          <w:lang w:val="en-US"/>
        </w:rPr>
        <w:t>w</w:t>
      </w:r>
      <w:r w:rsidR="0009094C" w:rsidRPr="009E6B3C">
        <w:rPr>
          <w:rFonts w:ascii="Arial" w:hAnsi="Arial" w:cs="Arial"/>
          <w:sz w:val="20"/>
          <w:szCs w:val="20"/>
          <w:lang w:val="en-US"/>
        </w:rPr>
        <w:t>ere</w:t>
      </w:r>
      <w:r w:rsidRPr="009E6B3C">
        <w:rPr>
          <w:rFonts w:ascii="Arial" w:hAnsi="Arial" w:cs="Arial"/>
          <w:sz w:val="20"/>
          <w:szCs w:val="20"/>
          <w:lang w:val="en-US"/>
        </w:rPr>
        <w:t xml:space="preserve"> allocated </w:t>
      </w:r>
      <w:r w:rsidR="0009094C" w:rsidRPr="009E6B3C">
        <w:rPr>
          <w:rFonts w:ascii="Arial" w:hAnsi="Arial" w:cs="Arial"/>
          <w:sz w:val="20"/>
          <w:szCs w:val="20"/>
          <w:lang w:val="en-US"/>
        </w:rPr>
        <w:t>R11.8 billion</w:t>
      </w:r>
      <w:r w:rsidRPr="009E6B3C">
        <w:rPr>
          <w:rFonts w:ascii="Arial" w:hAnsi="Arial" w:cs="Arial"/>
          <w:sz w:val="20"/>
          <w:szCs w:val="20"/>
          <w:lang w:val="en-US"/>
        </w:rPr>
        <w:t xml:space="preserve"> in 2021/22</w:t>
      </w:r>
      <w:r w:rsidR="00BA7082" w:rsidRPr="009E6B3C">
        <w:rPr>
          <w:rFonts w:ascii="Arial" w:hAnsi="Arial" w:cs="Arial"/>
          <w:sz w:val="20"/>
          <w:szCs w:val="20"/>
          <w:lang w:val="en-US"/>
        </w:rPr>
        <w:t>,</w:t>
      </w:r>
      <w:r w:rsidRPr="009E6B3C">
        <w:rPr>
          <w:rFonts w:ascii="Arial" w:hAnsi="Arial" w:cs="Arial"/>
          <w:sz w:val="20"/>
          <w:szCs w:val="20"/>
          <w:lang w:val="en-US"/>
        </w:rPr>
        <w:t xml:space="preserve"> and spent </w:t>
      </w:r>
      <w:r w:rsidR="0009094C" w:rsidRPr="009E6B3C">
        <w:rPr>
          <w:rFonts w:ascii="Arial" w:hAnsi="Arial" w:cs="Arial"/>
          <w:sz w:val="20"/>
          <w:szCs w:val="20"/>
          <w:lang w:val="en-US"/>
        </w:rPr>
        <w:t>R11.4 billion</w:t>
      </w:r>
      <w:r w:rsidR="00AA0793" w:rsidRPr="009E6B3C">
        <w:rPr>
          <w:rFonts w:ascii="Arial" w:hAnsi="Arial" w:cs="Arial"/>
          <w:sz w:val="20"/>
          <w:szCs w:val="20"/>
          <w:lang w:val="en-US"/>
        </w:rPr>
        <w:t xml:space="preserve"> or 96.6% of the final allocation</w:t>
      </w:r>
      <w:r w:rsidRPr="009E6B3C">
        <w:rPr>
          <w:rFonts w:ascii="Arial" w:hAnsi="Arial" w:cs="Arial"/>
          <w:sz w:val="20"/>
          <w:szCs w:val="20"/>
          <w:lang w:val="en-US"/>
        </w:rPr>
        <w:t>.</w:t>
      </w:r>
    </w:p>
    <w:p w:rsidR="00762159" w:rsidRPr="009E6B3C" w:rsidRDefault="00762159" w:rsidP="009E6B3C">
      <w:pPr>
        <w:pStyle w:val="ListParagraph"/>
        <w:ind w:left="851"/>
        <w:rPr>
          <w:rFonts w:ascii="Arial" w:hAnsi="Arial" w:cs="Arial"/>
          <w:sz w:val="20"/>
          <w:szCs w:val="20"/>
          <w:lang w:val="en-US"/>
        </w:rPr>
      </w:pPr>
    </w:p>
    <w:p w:rsidR="000D72FB" w:rsidRPr="009E6B3C" w:rsidRDefault="000D72FB" w:rsidP="009E6B3C">
      <w:pPr>
        <w:pStyle w:val="ListParagraph"/>
        <w:numPr>
          <w:ilvl w:val="2"/>
          <w:numId w:val="48"/>
        </w:numPr>
        <w:ind w:left="851" w:hanging="851"/>
        <w:rPr>
          <w:rFonts w:ascii="Arial" w:hAnsi="Arial" w:cs="Arial"/>
          <w:sz w:val="20"/>
          <w:szCs w:val="20"/>
          <w:lang w:val="en-US"/>
        </w:rPr>
      </w:pPr>
      <w:r w:rsidRPr="009E6B3C">
        <w:rPr>
          <w:rFonts w:ascii="Arial" w:hAnsi="Arial" w:cs="Arial"/>
          <w:sz w:val="20"/>
          <w:szCs w:val="20"/>
          <w:lang w:val="en-US"/>
        </w:rPr>
        <w:t>Irregular expenditure increased in 2021</w:t>
      </w:r>
      <w:r w:rsidR="00961A09" w:rsidRPr="009E6B3C">
        <w:rPr>
          <w:rFonts w:ascii="Arial" w:hAnsi="Arial" w:cs="Arial"/>
          <w:sz w:val="20"/>
          <w:szCs w:val="20"/>
          <w:lang w:val="en-US"/>
        </w:rPr>
        <w:t>/</w:t>
      </w:r>
      <w:r w:rsidRPr="009E6B3C">
        <w:rPr>
          <w:rFonts w:ascii="Arial" w:hAnsi="Arial" w:cs="Arial"/>
          <w:sz w:val="20"/>
          <w:szCs w:val="20"/>
          <w:lang w:val="en-US"/>
        </w:rPr>
        <w:t>22 by R900.2 billion</w:t>
      </w:r>
      <w:r w:rsidR="0038100B" w:rsidRPr="009E6B3C">
        <w:rPr>
          <w:rFonts w:ascii="Arial" w:hAnsi="Arial" w:cs="Arial"/>
          <w:sz w:val="20"/>
          <w:szCs w:val="20"/>
          <w:lang w:val="en-US"/>
        </w:rPr>
        <w:t>,</w:t>
      </w:r>
      <w:r w:rsidR="00AA0793" w:rsidRPr="009E6B3C">
        <w:rPr>
          <w:rFonts w:ascii="Arial" w:hAnsi="Arial" w:cs="Arial"/>
          <w:sz w:val="20"/>
          <w:szCs w:val="20"/>
          <w:lang w:val="en-US"/>
        </w:rPr>
        <w:t xml:space="preserve"> from R2.06 billion to R2.92 billion</w:t>
      </w:r>
      <w:r w:rsidRPr="009E6B3C">
        <w:rPr>
          <w:rFonts w:ascii="Arial" w:hAnsi="Arial" w:cs="Arial"/>
          <w:sz w:val="20"/>
          <w:szCs w:val="20"/>
          <w:lang w:val="en-US"/>
        </w:rPr>
        <w:t xml:space="preserve">: </w:t>
      </w:r>
    </w:p>
    <w:p w:rsidR="00DF0364" w:rsidRPr="009E6B3C" w:rsidRDefault="00DF0364" w:rsidP="009E6B3C">
      <w:pPr>
        <w:pStyle w:val="ListParagraph"/>
        <w:rPr>
          <w:rFonts w:ascii="Arial" w:hAnsi="Arial" w:cs="Arial"/>
          <w:sz w:val="20"/>
          <w:szCs w:val="20"/>
          <w:lang w:val="en-US"/>
        </w:rPr>
      </w:pPr>
    </w:p>
    <w:p w:rsidR="006A6DF3" w:rsidRPr="009E6B3C" w:rsidRDefault="00400729" w:rsidP="009E6B3C">
      <w:pPr>
        <w:rPr>
          <w:rFonts w:ascii="Arial" w:hAnsi="Arial" w:cs="Arial"/>
          <w:b/>
          <w:i/>
          <w:sz w:val="20"/>
          <w:szCs w:val="20"/>
          <w:lang w:val="en-US"/>
        </w:rPr>
      </w:pPr>
      <w:r w:rsidRPr="009E6B3C">
        <w:rPr>
          <w:rFonts w:ascii="Arial" w:hAnsi="Arial" w:cs="Arial"/>
          <w:b/>
          <w:i/>
          <w:sz w:val="20"/>
          <w:szCs w:val="20"/>
          <w:lang w:val="en-US"/>
        </w:rPr>
        <w:t>Table</w:t>
      </w:r>
      <w:r w:rsidR="007C1CAE" w:rsidRPr="009E6B3C">
        <w:rPr>
          <w:rFonts w:ascii="Arial" w:hAnsi="Arial" w:cs="Arial"/>
          <w:b/>
          <w:i/>
          <w:sz w:val="20"/>
          <w:szCs w:val="20"/>
          <w:lang w:val="en-US"/>
        </w:rPr>
        <w:t xml:space="preserve"> </w:t>
      </w:r>
      <w:r w:rsidR="00BA7082" w:rsidRPr="009E6B3C">
        <w:rPr>
          <w:rFonts w:ascii="Arial" w:hAnsi="Arial" w:cs="Arial"/>
          <w:b/>
          <w:i/>
          <w:sz w:val="20"/>
          <w:szCs w:val="20"/>
          <w:lang w:val="en-US"/>
        </w:rPr>
        <w:t>5</w:t>
      </w:r>
      <w:r w:rsidRPr="009E6B3C">
        <w:rPr>
          <w:rFonts w:ascii="Arial" w:hAnsi="Arial" w:cs="Arial"/>
          <w:b/>
          <w:i/>
          <w:sz w:val="20"/>
          <w:szCs w:val="20"/>
          <w:lang w:val="en-US"/>
        </w:rPr>
        <w:t>:</w:t>
      </w:r>
      <w:r w:rsidR="007C1CAE" w:rsidRPr="009E6B3C">
        <w:rPr>
          <w:rFonts w:ascii="Arial" w:hAnsi="Arial" w:cs="Arial"/>
          <w:b/>
          <w:i/>
          <w:sz w:val="20"/>
          <w:szCs w:val="20"/>
          <w:lang w:val="en-US"/>
        </w:rPr>
        <w:t xml:space="preserve"> Department </w:t>
      </w:r>
      <w:r w:rsidR="007C1CAE" w:rsidRPr="009E6B3C">
        <w:rPr>
          <w:rFonts w:ascii="Arial" w:hAnsi="Arial" w:cs="Arial"/>
          <w:b/>
          <w:sz w:val="20"/>
          <w:szCs w:val="20"/>
        </w:rPr>
        <w:t xml:space="preserve">of </w:t>
      </w:r>
      <w:r w:rsidR="007C1CAE" w:rsidRPr="009E6B3C">
        <w:rPr>
          <w:rFonts w:ascii="Arial" w:hAnsi="Arial" w:cs="Arial"/>
          <w:b/>
          <w:i/>
          <w:sz w:val="20"/>
          <w:szCs w:val="20"/>
        </w:rPr>
        <w:t>Justice and Constitutional Development</w:t>
      </w:r>
      <w:r w:rsidR="007C1CAE" w:rsidRPr="009E6B3C">
        <w:rPr>
          <w:rFonts w:ascii="Arial" w:hAnsi="Arial" w:cs="Arial"/>
          <w:b/>
          <w:sz w:val="20"/>
          <w:szCs w:val="20"/>
        </w:rPr>
        <w:t xml:space="preserve"> </w:t>
      </w:r>
      <w:r w:rsidR="007C1CAE" w:rsidRPr="009E6B3C">
        <w:rPr>
          <w:rFonts w:ascii="Arial" w:hAnsi="Arial" w:cs="Arial"/>
          <w:b/>
          <w:i/>
          <w:sz w:val="20"/>
          <w:szCs w:val="20"/>
          <w:lang w:val="en-US"/>
        </w:rPr>
        <w:t>- Overview of i</w:t>
      </w:r>
      <w:r w:rsidRPr="009E6B3C">
        <w:rPr>
          <w:rFonts w:ascii="Arial" w:hAnsi="Arial" w:cs="Arial"/>
          <w:b/>
          <w:i/>
          <w:sz w:val="20"/>
          <w:szCs w:val="20"/>
          <w:lang w:val="en-US"/>
        </w:rPr>
        <w:t xml:space="preserve">rregular expenditure </w:t>
      </w:r>
    </w:p>
    <w:tbl>
      <w:tblPr>
        <w:tblStyle w:val="TableGrid"/>
        <w:tblW w:w="0" w:type="auto"/>
        <w:tblLook w:val="04A0"/>
      </w:tblPr>
      <w:tblGrid>
        <w:gridCol w:w="2592"/>
        <w:gridCol w:w="2104"/>
        <w:gridCol w:w="2076"/>
        <w:gridCol w:w="2855"/>
      </w:tblGrid>
      <w:tr w:rsidR="000D72FB" w:rsidRPr="009E6B3C" w:rsidTr="00DF0364">
        <w:trPr>
          <w:tblHeader/>
        </w:trPr>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b/>
                <w:caps/>
                <w:sz w:val="20"/>
                <w:szCs w:val="20"/>
              </w:rPr>
            </w:pPr>
            <w:r w:rsidRPr="009E6B3C">
              <w:rPr>
                <w:rFonts w:ascii="Arial" w:hAnsi="Arial" w:cs="Arial"/>
                <w:b/>
                <w:bCs/>
                <w:caps/>
                <w:sz w:val="20"/>
                <w:szCs w:val="20"/>
              </w:rPr>
              <w:t>IRREGULAR EXPENDITURE</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b/>
                <w:caps/>
                <w:sz w:val="20"/>
                <w:szCs w:val="20"/>
              </w:rPr>
            </w:pPr>
            <w:r w:rsidRPr="009E6B3C">
              <w:rPr>
                <w:rFonts w:ascii="Arial" w:hAnsi="Arial" w:cs="Arial"/>
                <w:b/>
                <w:caps/>
                <w:sz w:val="20"/>
                <w:szCs w:val="20"/>
              </w:rPr>
              <w:t>2019/20</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b/>
                <w:caps/>
                <w:sz w:val="20"/>
                <w:szCs w:val="20"/>
              </w:rPr>
            </w:pPr>
            <w:r w:rsidRPr="009E6B3C">
              <w:rPr>
                <w:rFonts w:ascii="Arial" w:hAnsi="Arial" w:cs="Arial"/>
                <w:b/>
                <w:caps/>
                <w:sz w:val="20"/>
                <w:szCs w:val="20"/>
              </w:rPr>
              <w:t>2020/21</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b/>
                <w:caps/>
                <w:sz w:val="20"/>
                <w:szCs w:val="20"/>
              </w:rPr>
            </w:pPr>
            <w:r w:rsidRPr="009E6B3C">
              <w:rPr>
                <w:rFonts w:ascii="Arial" w:hAnsi="Arial" w:cs="Arial"/>
                <w:b/>
                <w:caps/>
                <w:sz w:val="20"/>
                <w:szCs w:val="20"/>
              </w:rPr>
              <w:t>2021/22</w:t>
            </w:r>
          </w:p>
        </w:tc>
      </w:tr>
      <w:tr w:rsidR="000D72FB" w:rsidRPr="009E6B3C" w:rsidTr="00DF1414">
        <w:tc>
          <w:tcPr>
            <w:tcW w:w="0" w:type="auto"/>
          </w:tcPr>
          <w:p w:rsidR="000D72FB" w:rsidRPr="009E6B3C" w:rsidRDefault="000D72FB" w:rsidP="009E6B3C">
            <w:pPr>
              <w:pStyle w:val="NormalWeb"/>
              <w:spacing w:before="0" w:after="0"/>
              <w:rPr>
                <w:rFonts w:ascii="Arial" w:hAnsi="Arial" w:cs="Arial"/>
                <w:b/>
                <w:sz w:val="20"/>
                <w:szCs w:val="20"/>
              </w:rPr>
            </w:pPr>
            <w:r w:rsidRPr="009E6B3C">
              <w:rPr>
                <w:rFonts w:ascii="Arial" w:hAnsi="Arial" w:cs="Arial"/>
                <w:b/>
                <w:sz w:val="20"/>
                <w:szCs w:val="20"/>
              </w:rPr>
              <w:t>Closing balance</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R1.66 billion</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R2.06 billion</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R2.92 billion</w:t>
            </w:r>
          </w:p>
        </w:tc>
      </w:tr>
      <w:tr w:rsidR="000D72FB" w:rsidRPr="009E6B3C" w:rsidTr="00DF1414">
        <w:tc>
          <w:tcPr>
            <w:tcW w:w="0" w:type="auto"/>
          </w:tcPr>
          <w:p w:rsidR="000D72FB" w:rsidRPr="009E6B3C" w:rsidRDefault="000D72FB" w:rsidP="009E6B3C">
            <w:pPr>
              <w:pStyle w:val="NormalWeb"/>
              <w:spacing w:before="0" w:after="0"/>
              <w:rPr>
                <w:rFonts w:ascii="Arial" w:hAnsi="Arial" w:cs="Arial"/>
                <w:b/>
                <w:sz w:val="20"/>
                <w:szCs w:val="20"/>
              </w:rPr>
            </w:pPr>
            <w:r w:rsidRPr="009E6B3C">
              <w:rPr>
                <w:rFonts w:ascii="Arial" w:hAnsi="Arial" w:cs="Arial"/>
                <w:b/>
                <w:sz w:val="20"/>
                <w:szCs w:val="20"/>
              </w:rPr>
              <w:t>Increase</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R563.2 million</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R401.6 million</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R900.2 million</w:t>
            </w:r>
          </w:p>
        </w:tc>
      </w:tr>
      <w:tr w:rsidR="000D72FB" w:rsidRPr="009E6B3C" w:rsidTr="00DF1414">
        <w:tc>
          <w:tcPr>
            <w:tcW w:w="0" w:type="auto"/>
          </w:tcPr>
          <w:p w:rsidR="000D72FB" w:rsidRPr="009E6B3C" w:rsidRDefault="000D72FB" w:rsidP="009E6B3C">
            <w:pPr>
              <w:pStyle w:val="NormalWeb"/>
              <w:spacing w:before="0" w:after="0"/>
              <w:rPr>
                <w:rFonts w:ascii="Arial" w:hAnsi="Arial" w:cs="Arial"/>
                <w:b/>
                <w:sz w:val="20"/>
                <w:szCs w:val="20"/>
              </w:rPr>
            </w:pPr>
            <w:r w:rsidRPr="009E6B3C">
              <w:rPr>
                <w:rFonts w:ascii="Arial" w:hAnsi="Arial" w:cs="Arial"/>
                <w:b/>
                <w:sz w:val="20"/>
                <w:szCs w:val="20"/>
              </w:rPr>
              <w:t>New cases detected</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35 new cases to the value of R543 million were detected.</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34 new cases to the value of R75 million were detected.</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26 new cases to the value of R867 million, of which two cases relate to the prior year.</w:t>
            </w:r>
          </w:p>
        </w:tc>
      </w:tr>
      <w:tr w:rsidR="000D72FB" w:rsidRPr="009E6B3C" w:rsidTr="00DF1414">
        <w:tc>
          <w:tcPr>
            <w:tcW w:w="0" w:type="auto"/>
          </w:tcPr>
          <w:p w:rsidR="000D72FB" w:rsidRPr="009E6B3C" w:rsidRDefault="000D72FB" w:rsidP="009E6B3C">
            <w:pPr>
              <w:pStyle w:val="NormalWeb"/>
              <w:spacing w:before="0" w:after="0"/>
              <w:rPr>
                <w:rFonts w:ascii="Arial" w:hAnsi="Arial" w:cs="Arial"/>
                <w:b/>
                <w:sz w:val="20"/>
                <w:szCs w:val="20"/>
              </w:rPr>
            </w:pPr>
            <w:r w:rsidRPr="009E6B3C">
              <w:rPr>
                <w:rFonts w:ascii="Arial" w:hAnsi="Arial" w:cs="Arial"/>
                <w:b/>
                <w:bCs/>
                <w:sz w:val="20"/>
                <w:szCs w:val="20"/>
              </w:rPr>
              <w:t>Forensic investigation for possible fraud and collusion</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 xml:space="preserve">R968 million </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 xml:space="preserve">R667 million </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 xml:space="preserve">R667 million </w:t>
            </w:r>
          </w:p>
        </w:tc>
      </w:tr>
      <w:tr w:rsidR="000D72FB" w:rsidRPr="009E6B3C" w:rsidTr="00DF1414">
        <w:tc>
          <w:tcPr>
            <w:tcW w:w="0" w:type="auto"/>
          </w:tcPr>
          <w:p w:rsidR="000D72FB" w:rsidRPr="009E6B3C" w:rsidRDefault="000D72FB" w:rsidP="009E6B3C">
            <w:pPr>
              <w:pStyle w:val="NormalWeb"/>
              <w:spacing w:before="0" w:after="0"/>
              <w:rPr>
                <w:rFonts w:ascii="Arial" w:hAnsi="Arial" w:cs="Arial"/>
                <w:b/>
                <w:sz w:val="20"/>
                <w:szCs w:val="20"/>
              </w:rPr>
            </w:pPr>
            <w:r w:rsidRPr="009E6B3C">
              <w:rPr>
                <w:rFonts w:ascii="Arial" w:hAnsi="Arial" w:cs="Arial"/>
                <w:b/>
                <w:sz w:val="20"/>
                <w:szCs w:val="20"/>
              </w:rPr>
              <w:t>Discipline</w:t>
            </w:r>
          </w:p>
        </w:tc>
        <w:tc>
          <w:tcPr>
            <w:tcW w:w="0" w:type="auto"/>
          </w:tcPr>
          <w:p w:rsidR="000D72FB" w:rsidRPr="009E6B3C" w:rsidRDefault="000D72FB" w:rsidP="009E6B3C">
            <w:pPr>
              <w:pStyle w:val="NormalWeb"/>
              <w:spacing w:before="0" w:after="0"/>
              <w:rPr>
                <w:rFonts w:ascii="Arial" w:hAnsi="Arial" w:cs="Arial"/>
                <w:sz w:val="20"/>
                <w:szCs w:val="20"/>
              </w:rPr>
            </w:pP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Thirty-three cases to the value of R429 million.</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 xml:space="preserve">Twenty-two cases to the value of R668 million under disciplinary process </w:t>
            </w:r>
          </w:p>
        </w:tc>
      </w:tr>
      <w:tr w:rsidR="000D72FB" w:rsidRPr="009E6B3C" w:rsidTr="00DF1414">
        <w:tc>
          <w:tcPr>
            <w:tcW w:w="0" w:type="auto"/>
          </w:tcPr>
          <w:p w:rsidR="000D72FB" w:rsidRPr="009E6B3C" w:rsidRDefault="000D72FB" w:rsidP="009E6B3C">
            <w:pPr>
              <w:pStyle w:val="NormalWeb"/>
              <w:spacing w:before="0" w:after="0"/>
              <w:rPr>
                <w:rFonts w:ascii="Arial" w:hAnsi="Arial" w:cs="Arial"/>
                <w:b/>
                <w:sz w:val="20"/>
                <w:szCs w:val="20"/>
              </w:rPr>
            </w:pPr>
            <w:r w:rsidRPr="009E6B3C">
              <w:rPr>
                <w:rFonts w:ascii="Arial" w:hAnsi="Arial" w:cs="Arial"/>
                <w:b/>
                <w:sz w:val="20"/>
                <w:szCs w:val="20"/>
              </w:rPr>
              <w:t>Under assessment</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R867.7 million</w:t>
            </w:r>
          </w:p>
        </w:tc>
        <w:tc>
          <w:tcPr>
            <w:tcW w:w="0" w:type="auto"/>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R999 million</w:t>
            </w:r>
          </w:p>
        </w:tc>
        <w:tc>
          <w:tcPr>
            <w:tcW w:w="0" w:type="auto"/>
            <w:shd w:val="clear" w:color="auto" w:fill="D9D9D9" w:themeFill="background1" w:themeFillShade="D9"/>
          </w:tcPr>
          <w:p w:rsidR="000D72FB" w:rsidRPr="009E6B3C" w:rsidRDefault="000D72FB" w:rsidP="009E6B3C">
            <w:pPr>
              <w:pStyle w:val="NormalWeb"/>
              <w:spacing w:before="0" w:after="0"/>
              <w:rPr>
                <w:rFonts w:ascii="Arial" w:hAnsi="Arial" w:cs="Arial"/>
                <w:sz w:val="20"/>
                <w:szCs w:val="20"/>
              </w:rPr>
            </w:pPr>
            <w:r w:rsidRPr="009E6B3C">
              <w:rPr>
                <w:rFonts w:ascii="Arial" w:hAnsi="Arial" w:cs="Arial"/>
                <w:sz w:val="20"/>
                <w:szCs w:val="20"/>
              </w:rPr>
              <w:t>R49.7 million</w:t>
            </w:r>
          </w:p>
        </w:tc>
      </w:tr>
    </w:tbl>
    <w:p w:rsidR="000D72FB" w:rsidRPr="009E6B3C" w:rsidRDefault="000D72FB" w:rsidP="009E6B3C">
      <w:pPr>
        <w:pStyle w:val="NormalWeb"/>
        <w:spacing w:before="0" w:after="0"/>
        <w:rPr>
          <w:rFonts w:ascii="Arial" w:hAnsi="Arial" w:cs="Arial"/>
          <w:sz w:val="20"/>
          <w:szCs w:val="20"/>
          <w:lang w:val="en-US"/>
        </w:rPr>
      </w:pPr>
    </w:p>
    <w:p w:rsidR="000D72FB" w:rsidRPr="009E6B3C" w:rsidRDefault="000D72FB" w:rsidP="009E6B3C">
      <w:pPr>
        <w:pStyle w:val="ListParagraph"/>
        <w:numPr>
          <w:ilvl w:val="2"/>
          <w:numId w:val="48"/>
        </w:numPr>
        <w:ind w:left="851" w:hanging="851"/>
        <w:rPr>
          <w:rFonts w:ascii="Arial" w:hAnsi="Arial" w:cs="Arial"/>
          <w:sz w:val="20"/>
          <w:szCs w:val="20"/>
        </w:rPr>
      </w:pPr>
      <w:r w:rsidRPr="009E6B3C">
        <w:rPr>
          <w:rFonts w:ascii="Arial" w:hAnsi="Arial" w:cs="Arial"/>
          <w:sz w:val="20"/>
          <w:szCs w:val="20"/>
        </w:rPr>
        <w:t>According to the Department, the increase in irr</w:t>
      </w:r>
      <w:r w:rsidR="00893290" w:rsidRPr="009E6B3C">
        <w:rPr>
          <w:rFonts w:ascii="Arial" w:hAnsi="Arial" w:cs="Arial"/>
          <w:sz w:val="20"/>
          <w:szCs w:val="20"/>
        </w:rPr>
        <w:t xml:space="preserve">egular expenditure relates </w:t>
      </w:r>
      <w:r w:rsidRPr="009E6B3C">
        <w:rPr>
          <w:rFonts w:ascii="Arial" w:hAnsi="Arial" w:cs="Arial"/>
          <w:sz w:val="20"/>
          <w:szCs w:val="20"/>
        </w:rPr>
        <w:t xml:space="preserve">to: </w:t>
      </w:r>
    </w:p>
    <w:p w:rsidR="000D72FB" w:rsidRPr="009E6B3C" w:rsidRDefault="000D72FB"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non-adherence </w:t>
      </w:r>
      <w:r w:rsidR="00BA7082" w:rsidRPr="009E6B3C">
        <w:rPr>
          <w:rFonts w:ascii="Arial" w:eastAsiaTheme="minorHAnsi" w:hAnsi="Arial" w:cs="Arial"/>
          <w:color w:val="000000"/>
          <w:sz w:val="20"/>
          <w:szCs w:val="20"/>
          <w:lang w:eastAsia="en-US"/>
        </w:rPr>
        <w:t>to</w:t>
      </w:r>
      <w:r w:rsidRPr="009E6B3C">
        <w:rPr>
          <w:rFonts w:ascii="Arial" w:eastAsiaTheme="minorHAnsi" w:hAnsi="Arial" w:cs="Arial"/>
          <w:color w:val="000000"/>
          <w:sz w:val="20"/>
          <w:szCs w:val="20"/>
          <w:lang w:eastAsia="en-US"/>
        </w:rPr>
        <w:t xml:space="preserve"> bid requirements with the appointment of Security Guarding Services to the value of R863 million (prior years’ expenditure).</w:t>
      </w:r>
    </w:p>
    <w:p w:rsidR="000D72FB" w:rsidRPr="009E6B3C" w:rsidRDefault="000D72FB"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lastRenderedPageBreak/>
        <w:t>Prior approval not obtained to deviat</w:t>
      </w:r>
      <w:r w:rsidR="00BA7082" w:rsidRPr="009E6B3C">
        <w:rPr>
          <w:rFonts w:ascii="Arial" w:eastAsiaTheme="minorHAnsi" w:hAnsi="Arial" w:cs="Arial"/>
          <w:color w:val="000000"/>
          <w:sz w:val="20"/>
          <w:szCs w:val="20"/>
          <w:lang w:eastAsia="en-US"/>
        </w:rPr>
        <w:t>e</w:t>
      </w:r>
      <w:r w:rsidRPr="009E6B3C">
        <w:rPr>
          <w:rFonts w:ascii="Arial" w:eastAsiaTheme="minorHAnsi" w:hAnsi="Arial" w:cs="Arial"/>
          <w:color w:val="000000"/>
          <w:sz w:val="20"/>
          <w:szCs w:val="20"/>
          <w:lang w:eastAsia="en-US"/>
        </w:rPr>
        <w:t xml:space="preserve"> from a competitive bidding process when procuring online library services to the value of R2.7 million. </w:t>
      </w:r>
    </w:p>
    <w:p w:rsidR="000D72FB" w:rsidRPr="009E6B3C" w:rsidRDefault="000D72FB"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Contract extension without approval from National Treasury which resulted in irregular expenditure to the value of R922 000. </w:t>
      </w:r>
    </w:p>
    <w:p w:rsidR="000D72FB" w:rsidRPr="009E6B3C" w:rsidRDefault="000D72FB"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Three quotations not obtained when procuring accommodation to the value of R834</w:t>
      </w:r>
      <w:r w:rsidR="00BA7082" w:rsidRPr="009E6B3C">
        <w:rPr>
          <w:rFonts w:ascii="Arial" w:eastAsiaTheme="minorHAnsi" w:hAnsi="Arial" w:cs="Arial"/>
          <w:color w:val="000000"/>
          <w:sz w:val="20"/>
          <w:szCs w:val="20"/>
          <w:lang w:eastAsia="en-US"/>
        </w:rPr>
        <w:t> </w:t>
      </w:r>
      <w:r w:rsidRPr="009E6B3C">
        <w:rPr>
          <w:rFonts w:ascii="Arial" w:eastAsiaTheme="minorHAnsi" w:hAnsi="Arial" w:cs="Arial"/>
          <w:color w:val="000000"/>
          <w:sz w:val="20"/>
          <w:szCs w:val="20"/>
          <w:lang w:eastAsia="en-US"/>
        </w:rPr>
        <w:t>000</w:t>
      </w:r>
      <w:r w:rsidR="00BA7082" w:rsidRPr="009E6B3C">
        <w:rPr>
          <w:rFonts w:ascii="Arial" w:eastAsiaTheme="minorHAnsi" w:hAnsi="Arial" w:cs="Arial"/>
          <w:color w:val="000000"/>
          <w:sz w:val="20"/>
          <w:szCs w:val="20"/>
          <w:lang w:eastAsia="en-US"/>
        </w:rPr>
        <w:t>.</w:t>
      </w:r>
    </w:p>
    <w:p w:rsidR="000D72FB" w:rsidRPr="009E6B3C" w:rsidRDefault="000D72FB"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eastAsiaTheme="minorHAnsi" w:hAnsi="Arial" w:cs="Arial"/>
          <w:color w:val="000000"/>
          <w:sz w:val="20"/>
          <w:szCs w:val="20"/>
          <w:lang w:eastAsia="en-US"/>
        </w:rPr>
        <w:t>R32.7</w:t>
      </w:r>
      <w:r w:rsidRPr="009E6B3C">
        <w:rPr>
          <w:rFonts w:ascii="Arial" w:hAnsi="Arial" w:cs="Arial"/>
          <w:sz w:val="20"/>
          <w:szCs w:val="20"/>
        </w:rPr>
        <w:t xml:space="preserve"> million when S</w:t>
      </w:r>
      <w:r w:rsidR="00B55500" w:rsidRPr="009E6B3C">
        <w:rPr>
          <w:rFonts w:ascii="Arial" w:hAnsi="Arial" w:cs="Arial"/>
          <w:sz w:val="20"/>
          <w:szCs w:val="20"/>
        </w:rPr>
        <w:t xml:space="preserve">upply </w:t>
      </w:r>
      <w:r w:rsidRPr="009E6B3C">
        <w:rPr>
          <w:rFonts w:ascii="Arial" w:hAnsi="Arial" w:cs="Arial"/>
          <w:sz w:val="20"/>
          <w:szCs w:val="20"/>
        </w:rPr>
        <w:t>C</w:t>
      </w:r>
      <w:r w:rsidR="00B55500" w:rsidRPr="009E6B3C">
        <w:rPr>
          <w:rFonts w:ascii="Arial" w:hAnsi="Arial" w:cs="Arial"/>
          <w:sz w:val="20"/>
          <w:szCs w:val="20"/>
        </w:rPr>
        <w:t xml:space="preserve">hain </w:t>
      </w:r>
      <w:r w:rsidRPr="009E6B3C">
        <w:rPr>
          <w:rFonts w:ascii="Arial" w:hAnsi="Arial" w:cs="Arial"/>
          <w:sz w:val="20"/>
          <w:szCs w:val="20"/>
        </w:rPr>
        <w:t>M</w:t>
      </w:r>
      <w:r w:rsidR="00B55500" w:rsidRPr="009E6B3C">
        <w:rPr>
          <w:rFonts w:ascii="Arial" w:hAnsi="Arial" w:cs="Arial"/>
          <w:sz w:val="20"/>
          <w:szCs w:val="20"/>
        </w:rPr>
        <w:t>anagement</w:t>
      </w:r>
      <w:r w:rsidRPr="009E6B3C">
        <w:rPr>
          <w:rFonts w:ascii="Arial" w:hAnsi="Arial" w:cs="Arial"/>
          <w:sz w:val="20"/>
          <w:szCs w:val="20"/>
        </w:rPr>
        <w:t xml:space="preserve"> processes were not followed by the State Attorney</w:t>
      </w:r>
      <w:r w:rsidR="00B55500" w:rsidRPr="009E6B3C">
        <w:rPr>
          <w:rFonts w:ascii="Arial" w:hAnsi="Arial" w:cs="Arial"/>
          <w:sz w:val="20"/>
          <w:szCs w:val="20"/>
        </w:rPr>
        <w:t>’s</w:t>
      </w:r>
      <w:r w:rsidRPr="009E6B3C">
        <w:rPr>
          <w:rFonts w:ascii="Arial" w:hAnsi="Arial" w:cs="Arial"/>
          <w:sz w:val="20"/>
          <w:szCs w:val="20"/>
        </w:rPr>
        <w:t xml:space="preserve"> offices.</w:t>
      </w:r>
    </w:p>
    <w:p w:rsidR="000D72FB" w:rsidRPr="009E6B3C" w:rsidRDefault="000D72FB" w:rsidP="009E6B3C">
      <w:pPr>
        <w:autoSpaceDE w:val="0"/>
        <w:autoSpaceDN w:val="0"/>
        <w:adjustRightInd w:val="0"/>
        <w:contextualSpacing/>
        <w:rPr>
          <w:rFonts w:ascii="Arial" w:hAnsi="Arial" w:cs="Arial"/>
          <w:sz w:val="20"/>
          <w:szCs w:val="20"/>
        </w:rPr>
      </w:pPr>
    </w:p>
    <w:p w:rsidR="000D72FB" w:rsidRPr="009E6B3C" w:rsidRDefault="000D72FB" w:rsidP="009E6B3C">
      <w:pPr>
        <w:pStyle w:val="ListParagraph"/>
        <w:numPr>
          <w:ilvl w:val="2"/>
          <w:numId w:val="48"/>
        </w:numPr>
        <w:ind w:left="851" w:hanging="851"/>
        <w:rPr>
          <w:rFonts w:ascii="Arial" w:hAnsi="Arial" w:cs="Arial"/>
          <w:sz w:val="20"/>
          <w:szCs w:val="20"/>
          <w:lang w:val="en-US"/>
        </w:rPr>
      </w:pPr>
      <w:r w:rsidRPr="009E6B3C">
        <w:rPr>
          <w:rFonts w:ascii="Arial" w:hAnsi="Arial" w:cs="Arial"/>
          <w:sz w:val="20"/>
          <w:szCs w:val="20"/>
        </w:rPr>
        <w:t xml:space="preserve">Fruitless and wasteful expenditure: </w:t>
      </w:r>
    </w:p>
    <w:p w:rsidR="006A6DF3" w:rsidRPr="009E6B3C" w:rsidRDefault="000D72FB"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Thirteen new cases of Fruitless and Wasteful Expenditure to the value of R23 000 were detected and reported to National Treasury during 2021/22. </w:t>
      </w:r>
      <w:r w:rsidR="006A6DF3" w:rsidRPr="009E6B3C">
        <w:rPr>
          <w:rFonts w:ascii="Arial" w:eastAsiaTheme="minorHAnsi" w:hAnsi="Arial" w:cs="Arial"/>
          <w:color w:val="000000"/>
          <w:sz w:val="20"/>
          <w:szCs w:val="20"/>
          <w:lang w:eastAsia="en-US"/>
        </w:rPr>
        <w:t xml:space="preserve">The fruitless and wasteful expenditure incurred were </w:t>
      </w:r>
      <w:r w:rsidR="00DF1414" w:rsidRPr="009E6B3C">
        <w:rPr>
          <w:rFonts w:ascii="Arial" w:eastAsiaTheme="minorHAnsi" w:hAnsi="Arial" w:cs="Arial"/>
          <w:color w:val="000000"/>
          <w:sz w:val="20"/>
          <w:szCs w:val="20"/>
          <w:lang w:eastAsia="en-US"/>
        </w:rPr>
        <w:t xml:space="preserve">reportedly </w:t>
      </w:r>
      <w:r w:rsidR="006A6DF3" w:rsidRPr="009E6B3C">
        <w:rPr>
          <w:rFonts w:ascii="Arial" w:eastAsiaTheme="minorHAnsi" w:hAnsi="Arial" w:cs="Arial"/>
          <w:color w:val="000000"/>
          <w:sz w:val="20"/>
          <w:szCs w:val="20"/>
          <w:lang w:eastAsia="en-US"/>
        </w:rPr>
        <w:t>primarily the result of cancelled bookings or no shows related to transportation and accommodation on official trips.</w:t>
      </w:r>
    </w:p>
    <w:p w:rsidR="000D72FB" w:rsidRPr="009E6B3C" w:rsidRDefault="00DF1414" w:rsidP="009E6B3C">
      <w:pPr>
        <w:pStyle w:val="ListParagraph"/>
        <w:numPr>
          <w:ilvl w:val="0"/>
          <w:numId w:val="6"/>
        </w:numPr>
        <w:autoSpaceDE w:val="0"/>
        <w:autoSpaceDN w:val="0"/>
        <w:adjustRightInd w:val="0"/>
        <w:ind w:left="1276" w:hanging="425"/>
        <w:rPr>
          <w:rFonts w:ascii="Arial" w:hAnsi="Arial" w:cs="Arial"/>
          <w:sz w:val="20"/>
          <w:szCs w:val="20"/>
          <w:lang w:val="en-US"/>
        </w:rPr>
      </w:pPr>
      <w:r w:rsidRPr="009E6B3C">
        <w:rPr>
          <w:rFonts w:ascii="Arial" w:eastAsiaTheme="minorHAnsi" w:hAnsi="Arial" w:cs="Arial"/>
          <w:color w:val="000000"/>
          <w:sz w:val="20"/>
          <w:szCs w:val="20"/>
          <w:lang w:eastAsia="en-US"/>
        </w:rPr>
        <w:t xml:space="preserve">The Department resolved </w:t>
      </w:r>
      <w:r w:rsidR="000D72FB" w:rsidRPr="009E6B3C">
        <w:rPr>
          <w:rFonts w:ascii="Arial" w:eastAsiaTheme="minorHAnsi" w:hAnsi="Arial" w:cs="Arial"/>
          <w:color w:val="000000"/>
          <w:sz w:val="20"/>
          <w:szCs w:val="20"/>
          <w:lang w:eastAsia="en-US"/>
        </w:rPr>
        <w:t>333 cases of fruitless and wasteful expenditure to the value of R1.</w:t>
      </w:r>
      <w:r w:rsidR="006A6DF3" w:rsidRPr="009E6B3C">
        <w:rPr>
          <w:rFonts w:ascii="Arial" w:eastAsiaTheme="minorHAnsi" w:hAnsi="Arial" w:cs="Arial"/>
          <w:color w:val="000000"/>
          <w:sz w:val="20"/>
          <w:szCs w:val="20"/>
          <w:lang w:eastAsia="en-US"/>
        </w:rPr>
        <w:t xml:space="preserve">7 million during 2021/22, </w:t>
      </w:r>
      <w:r w:rsidR="000D72FB" w:rsidRPr="009E6B3C">
        <w:rPr>
          <w:rFonts w:ascii="Arial" w:eastAsiaTheme="minorHAnsi" w:hAnsi="Arial" w:cs="Arial"/>
          <w:color w:val="000000"/>
          <w:sz w:val="20"/>
          <w:szCs w:val="20"/>
          <w:lang w:eastAsia="en-US"/>
        </w:rPr>
        <w:t>which ma</w:t>
      </w:r>
      <w:r w:rsidR="006A6DF3" w:rsidRPr="009E6B3C">
        <w:rPr>
          <w:rFonts w:ascii="Arial" w:eastAsiaTheme="minorHAnsi" w:hAnsi="Arial" w:cs="Arial"/>
          <w:color w:val="000000"/>
          <w:sz w:val="20"/>
          <w:szCs w:val="20"/>
          <w:lang w:eastAsia="en-US"/>
        </w:rPr>
        <w:t>de</w:t>
      </w:r>
      <w:r w:rsidR="000D72FB" w:rsidRPr="009E6B3C">
        <w:rPr>
          <w:rFonts w:ascii="Arial" w:eastAsiaTheme="minorHAnsi" w:hAnsi="Arial" w:cs="Arial"/>
          <w:color w:val="000000"/>
          <w:sz w:val="20"/>
          <w:szCs w:val="20"/>
          <w:lang w:eastAsia="en-US"/>
        </w:rPr>
        <w:t xml:space="preserve"> up 93% of the value of cases on the </w:t>
      </w:r>
      <w:r w:rsidR="00B55500" w:rsidRPr="009E6B3C">
        <w:rPr>
          <w:rFonts w:ascii="Arial" w:eastAsiaTheme="minorHAnsi" w:hAnsi="Arial" w:cs="Arial"/>
          <w:color w:val="000000"/>
          <w:sz w:val="20"/>
          <w:szCs w:val="20"/>
          <w:lang w:eastAsia="en-US"/>
        </w:rPr>
        <w:t>R</w:t>
      </w:r>
      <w:r w:rsidR="000D72FB" w:rsidRPr="009E6B3C">
        <w:rPr>
          <w:rFonts w:ascii="Arial" w:eastAsiaTheme="minorHAnsi" w:hAnsi="Arial" w:cs="Arial"/>
          <w:color w:val="000000"/>
          <w:sz w:val="20"/>
          <w:szCs w:val="20"/>
          <w:lang w:eastAsia="en-US"/>
        </w:rPr>
        <w:t xml:space="preserve">egister: 30 cases to the value of R1.4 million were written off </w:t>
      </w:r>
      <w:r w:rsidR="00B55500" w:rsidRPr="009E6B3C">
        <w:rPr>
          <w:rFonts w:ascii="Arial" w:eastAsiaTheme="minorHAnsi" w:hAnsi="Arial" w:cs="Arial"/>
          <w:color w:val="000000"/>
          <w:sz w:val="20"/>
          <w:szCs w:val="20"/>
          <w:lang w:eastAsia="en-US"/>
        </w:rPr>
        <w:t xml:space="preserve">as </w:t>
      </w:r>
      <w:r w:rsidR="000D72FB" w:rsidRPr="009E6B3C">
        <w:rPr>
          <w:rFonts w:ascii="Arial" w:eastAsiaTheme="minorHAnsi" w:hAnsi="Arial" w:cs="Arial"/>
          <w:color w:val="000000"/>
          <w:sz w:val="20"/>
          <w:szCs w:val="20"/>
          <w:lang w:eastAsia="en-US"/>
        </w:rPr>
        <w:t>it was concluded that the Department incurred no loss</w:t>
      </w:r>
      <w:r w:rsidR="00B55500" w:rsidRPr="009E6B3C">
        <w:rPr>
          <w:rFonts w:ascii="Arial" w:eastAsiaTheme="minorHAnsi" w:hAnsi="Arial" w:cs="Arial"/>
          <w:color w:val="000000"/>
          <w:sz w:val="20"/>
          <w:szCs w:val="20"/>
          <w:lang w:eastAsia="en-US"/>
        </w:rPr>
        <w:t>,</w:t>
      </w:r>
      <w:r w:rsidR="000D72FB" w:rsidRPr="009E6B3C">
        <w:rPr>
          <w:rFonts w:ascii="Arial" w:eastAsiaTheme="minorHAnsi" w:hAnsi="Arial" w:cs="Arial"/>
          <w:color w:val="000000"/>
          <w:sz w:val="20"/>
          <w:szCs w:val="20"/>
          <w:lang w:eastAsia="en-US"/>
        </w:rPr>
        <w:t xml:space="preserve"> and 303 cases to the value of R210 000 were resolved as not </w:t>
      </w:r>
      <w:r w:rsidR="000D72FB" w:rsidRPr="009E6B3C">
        <w:rPr>
          <w:rFonts w:ascii="Arial" w:hAnsi="Arial" w:cs="Arial"/>
          <w:sz w:val="20"/>
          <w:szCs w:val="20"/>
        </w:rPr>
        <w:t>fruitless or wasteful.</w:t>
      </w:r>
    </w:p>
    <w:p w:rsidR="009A1469" w:rsidRPr="009E6B3C" w:rsidRDefault="009A1469" w:rsidP="009E6B3C">
      <w:pPr>
        <w:autoSpaceDE w:val="0"/>
        <w:autoSpaceDN w:val="0"/>
        <w:adjustRightInd w:val="0"/>
        <w:rPr>
          <w:rFonts w:ascii="Arial" w:hAnsi="Arial" w:cs="Arial"/>
          <w:b/>
          <w:i/>
          <w:sz w:val="20"/>
          <w:szCs w:val="20"/>
        </w:rPr>
      </w:pPr>
    </w:p>
    <w:p w:rsidR="00106280" w:rsidRPr="009E6B3C" w:rsidRDefault="00FE6881" w:rsidP="009E6B3C">
      <w:pPr>
        <w:pStyle w:val="ListParagraph"/>
        <w:numPr>
          <w:ilvl w:val="1"/>
          <w:numId w:val="1"/>
        </w:numPr>
        <w:ind w:left="851" w:hanging="851"/>
        <w:rPr>
          <w:rFonts w:ascii="Arial" w:hAnsi="Arial" w:cs="Arial"/>
          <w:b/>
          <w:sz w:val="20"/>
          <w:szCs w:val="20"/>
        </w:rPr>
      </w:pPr>
      <w:r w:rsidRPr="009E6B3C">
        <w:rPr>
          <w:rFonts w:ascii="Arial" w:hAnsi="Arial" w:cs="Arial"/>
          <w:b/>
          <w:i/>
          <w:sz w:val="20"/>
          <w:szCs w:val="20"/>
        </w:rPr>
        <w:t>N</w:t>
      </w:r>
      <w:r w:rsidR="000C66E7" w:rsidRPr="009E6B3C">
        <w:rPr>
          <w:rFonts w:ascii="Arial" w:hAnsi="Arial" w:cs="Arial"/>
          <w:b/>
          <w:i/>
          <w:sz w:val="20"/>
          <w:szCs w:val="20"/>
        </w:rPr>
        <w:t>on-</w:t>
      </w:r>
      <w:r w:rsidR="004C56E0" w:rsidRPr="009E6B3C">
        <w:rPr>
          <w:rFonts w:ascii="Arial" w:hAnsi="Arial" w:cs="Arial"/>
          <w:b/>
          <w:i/>
          <w:sz w:val="20"/>
          <w:szCs w:val="20"/>
        </w:rPr>
        <w:t>financial p</w:t>
      </w:r>
      <w:r w:rsidR="0025335E" w:rsidRPr="009E6B3C">
        <w:rPr>
          <w:rFonts w:ascii="Arial" w:hAnsi="Arial" w:cs="Arial"/>
          <w:b/>
          <w:i/>
          <w:sz w:val="20"/>
          <w:szCs w:val="20"/>
        </w:rPr>
        <w:t>erformance</w:t>
      </w:r>
      <w:r w:rsidR="00475C8B" w:rsidRPr="009E6B3C">
        <w:rPr>
          <w:rFonts w:ascii="Arial" w:hAnsi="Arial" w:cs="Arial"/>
          <w:b/>
          <w:i/>
          <w:sz w:val="20"/>
          <w:szCs w:val="20"/>
        </w:rPr>
        <w:t xml:space="preserve"> </w:t>
      </w:r>
      <w:r w:rsidR="007D296F" w:rsidRPr="009E6B3C">
        <w:rPr>
          <w:rFonts w:ascii="Arial" w:hAnsi="Arial" w:cs="Arial"/>
          <w:b/>
          <w:i/>
          <w:sz w:val="20"/>
          <w:szCs w:val="20"/>
        </w:rPr>
        <w:t>202</w:t>
      </w:r>
      <w:r w:rsidR="003B58A3" w:rsidRPr="009E6B3C">
        <w:rPr>
          <w:rFonts w:ascii="Arial" w:hAnsi="Arial" w:cs="Arial"/>
          <w:b/>
          <w:i/>
          <w:sz w:val="20"/>
          <w:szCs w:val="20"/>
        </w:rPr>
        <w:t>1/22</w:t>
      </w:r>
    </w:p>
    <w:p w:rsidR="00106280" w:rsidRPr="009E6B3C" w:rsidRDefault="00106280" w:rsidP="009E6B3C">
      <w:pPr>
        <w:rPr>
          <w:rFonts w:ascii="Arial" w:hAnsi="Arial" w:cs="Arial"/>
          <w:b/>
          <w:sz w:val="20"/>
          <w:szCs w:val="20"/>
        </w:rPr>
      </w:pPr>
    </w:p>
    <w:p w:rsidR="00DF0364" w:rsidRPr="009E6B3C" w:rsidRDefault="00DF0364" w:rsidP="009E6B3C">
      <w:pPr>
        <w:pStyle w:val="ListParagraph"/>
        <w:numPr>
          <w:ilvl w:val="2"/>
          <w:numId w:val="49"/>
        </w:numPr>
        <w:ind w:left="851" w:hanging="851"/>
        <w:rPr>
          <w:rFonts w:ascii="Arial" w:hAnsi="Arial" w:cs="Arial"/>
          <w:sz w:val="20"/>
          <w:szCs w:val="20"/>
        </w:rPr>
      </w:pPr>
      <w:r w:rsidRPr="009E6B3C">
        <w:rPr>
          <w:rFonts w:ascii="Arial" w:hAnsi="Arial" w:cs="Arial"/>
          <w:sz w:val="20"/>
          <w:szCs w:val="20"/>
        </w:rPr>
        <w:t>T</w:t>
      </w:r>
      <w:r w:rsidR="00134452" w:rsidRPr="009E6B3C">
        <w:rPr>
          <w:rFonts w:ascii="Arial" w:hAnsi="Arial" w:cs="Arial"/>
          <w:sz w:val="20"/>
          <w:szCs w:val="20"/>
        </w:rPr>
        <w:t xml:space="preserve">he Department reports that it achieved </w:t>
      </w:r>
      <w:r w:rsidR="00DD3768" w:rsidRPr="009E6B3C">
        <w:rPr>
          <w:rFonts w:ascii="Arial" w:hAnsi="Arial" w:cs="Arial"/>
          <w:sz w:val="20"/>
          <w:szCs w:val="20"/>
        </w:rPr>
        <w:t>79% of its indicators</w:t>
      </w:r>
      <w:r w:rsidRPr="009E6B3C">
        <w:rPr>
          <w:rFonts w:ascii="Arial" w:hAnsi="Arial" w:cs="Arial"/>
          <w:sz w:val="20"/>
          <w:szCs w:val="20"/>
        </w:rPr>
        <w:t xml:space="preserve"> in 2021/22</w:t>
      </w:r>
      <w:r w:rsidR="002631C6" w:rsidRPr="009E6B3C">
        <w:rPr>
          <w:rFonts w:ascii="Arial" w:hAnsi="Arial" w:cs="Arial"/>
          <w:sz w:val="20"/>
          <w:szCs w:val="20"/>
        </w:rPr>
        <w:t xml:space="preserve">, compared with </w:t>
      </w:r>
      <w:r w:rsidR="00134452" w:rsidRPr="009E6B3C">
        <w:rPr>
          <w:rFonts w:ascii="Arial" w:hAnsi="Arial" w:cs="Arial"/>
          <w:sz w:val="20"/>
          <w:szCs w:val="20"/>
        </w:rPr>
        <w:t xml:space="preserve">66% </w:t>
      </w:r>
      <w:r w:rsidR="002631C6" w:rsidRPr="009E6B3C">
        <w:rPr>
          <w:rFonts w:ascii="Arial" w:hAnsi="Arial" w:cs="Arial"/>
          <w:sz w:val="20"/>
          <w:szCs w:val="20"/>
        </w:rPr>
        <w:t xml:space="preserve">in 2020/21 </w:t>
      </w:r>
      <w:r w:rsidRPr="009E6B3C">
        <w:rPr>
          <w:rFonts w:ascii="Arial" w:hAnsi="Arial" w:cs="Arial"/>
          <w:sz w:val="20"/>
          <w:szCs w:val="20"/>
        </w:rPr>
        <w:t>(</w:t>
      </w:r>
      <w:r w:rsidR="002631C6" w:rsidRPr="009E6B3C">
        <w:rPr>
          <w:rFonts w:ascii="Arial" w:hAnsi="Arial" w:cs="Arial"/>
          <w:sz w:val="20"/>
          <w:szCs w:val="20"/>
        </w:rPr>
        <w:t xml:space="preserve">and 51% in </w:t>
      </w:r>
      <w:r w:rsidR="0093717E" w:rsidRPr="009E6B3C">
        <w:rPr>
          <w:rFonts w:ascii="Arial" w:hAnsi="Arial" w:cs="Arial"/>
          <w:sz w:val="20"/>
          <w:szCs w:val="20"/>
        </w:rPr>
        <w:t>201</w:t>
      </w:r>
      <w:r w:rsidR="00A07907" w:rsidRPr="009E6B3C">
        <w:rPr>
          <w:rFonts w:ascii="Arial" w:hAnsi="Arial" w:cs="Arial"/>
          <w:sz w:val="20"/>
          <w:szCs w:val="20"/>
        </w:rPr>
        <w:t>9/20</w:t>
      </w:r>
      <w:r w:rsidRPr="009E6B3C">
        <w:rPr>
          <w:rFonts w:ascii="Arial" w:hAnsi="Arial" w:cs="Arial"/>
          <w:sz w:val="20"/>
          <w:szCs w:val="20"/>
        </w:rPr>
        <w:t>)</w:t>
      </w:r>
      <w:r w:rsidR="007D296F" w:rsidRPr="009E6B3C">
        <w:rPr>
          <w:rFonts w:ascii="Arial" w:hAnsi="Arial" w:cs="Arial"/>
          <w:sz w:val="20"/>
          <w:szCs w:val="20"/>
        </w:rPr>
        <w:t xml:space="preserve">. </w:t>
      </w:r>
      <w:r w:rsidR="00C068D1" w:rsidRPr="009E6B3C">
        <w:rPr>
          <w:rFonts w:ascii="Arial" w:hAnsi="Arial" w:cs="Arial"/>
          <w:sz w:val="20"/>
          <w:szCs w:val="20"/>
        </w:rPr>
        <w:t xml:space="preserve">If the </w:t>
      </w:r>
      <w:r w:rsidR="00DA4434" w:rsidRPr="009E6B3C">
        <w:rPr>
          <w:rFonts w:ascii="Arial" w:hAnsi="Arial" w:cs="Arial"/>
          <w:sz w:val="20"/>
          <w:szCs w:val="20"/>
        </w:rPr>
        <w:t xml:space="preserve">indicators for </w:t>
      </w:r>
      <w:r w:rsidR="00C068D1" w:rsidRPr="009E6B3C">
        <w:rPr>
          <w:rFonts w:ascii="Arial" w:hAnsi="Arial" w:cs="Arial"/>
          <w:sz w:val="20"/>
          <w:szCs w:val="20"/>
        </w:rPr>
        <w:t xml:space="preserve">the NPA are removed, the Department achieved </w:t>
      </w:r>
      <w:r w:rsidR="00B27E43" w:rsidRPr="009E6B3C">
        <w:rPr>
          <w:rFonts w:ascii="Arial" w:hAnsi="Arial" w:cs="Arial"/>
          <w:sz w:val="20"/>
          <w:szCs w:val="20"/>
        </w:rPr>
        <w:t>81</w:t>
      </w:r>
      <w:r w:rsidR="00134452" w:rsidRPr="009E6B3C">
        <w:rPr>
          <w:rFonts w:ascii="Arial" w:hAnsi="Arial" w:cs="Arial"/>
          <w:sz w:val="20"/>
          <w:szCs w:val="20"/>
        </w:rPr>
        <w:t>% of planned indicators</w:t>
      </w:r>
      <w:r w:rsidRPr="009E6B3C">
        <w:rPr>
          <w:rFonts w:ascii="Arial" w:hAnsi="Arial" w:cs="Arial"/>
          <w:sz w:val="20"/>
          <w:szCs w:val="20"/>
        </w:rPr>
        <w:t>.</w:t>
      </w:r>
    </w:p>
    <w:p w:rsidR="00E55C7D" w:rsidRPr="009E6B3C" w:rsidRDefault="00DF0364" w:rsidP="009E6B3C">
      <w:pPr>
        <w:pStyle w:val="ListParagraph"/>
        <w:ind w:left="851"/>
        <w:rPr>
          <w:rFonts w:ascii="Arial" w:hAnsi="Arial" w:cs="Arial"/>
          <w:sz w:val="20"/>
          <w:szCs w:val="20"/>
        </w:rPr>
      </w:pPr>
      <w:r w:rsidRPr="009E6B3C">
        <w:rPr>
          <w:rFonts w:ascii="Arial" w:hAnsi="Arial" w:cs="Arial"/>
          <w:sz w:val="20"/>
          <w:szCs w:val="20"/>
        </w:rPr>
        <w:t xml:space="preserve"> </w:t>
      </w:r>
    </w:p>
    <w:p w:rsidR="00CD6371" w:rsidRPr="009E6B3C" w:rsidRDefault="00CD6371" w:rsidP="009E6B3C">
      <w:pPr>
        <w:rPr>
          <w:rFonts w:ascii="Arial" w:hAnsi="Arial" w:cs="Arial"/>
          <w:b/>
          <w:sz w:val="20"/>
          <w:szCs w:val="20"/>
        </w:rPr>
      </w:pPr>
      <w:r w:rsidRPr="009E6B3C">
        <w:rPr>
          <w:rFonts w:ascii="Arial" w:hAnsi="Arial" w:cs="Arial"/>
          <w:b/>
          <w:sz w:val="20"/>
          <w:szCs w:val="20"/>
        </w:rPr>
        <w:t>Table</w:t>
      </w:r>
      <w:r w:rsidR="00DF0364" w:rsidRPr="009E6B3C">
        <w:rPr>
          <w:rFonts w:ascii="Arial" w:hAnsi="Arial" w:cs="Arial"/>
          <w:b/>
          <w:sz w:val="20"/>
          <w:szCs w:val="20"/>
        </w:rPr>
        <w:t xml:space="preserve"> </w:t>
      </w:r>
      <w:r w:rsidR="00B55500" w:rsidRPr="009E6B3C">
        <w:rPr>
          <w:rFonts w:ascii="Arial" w:hAnsi="Arial" w:cs="Arial"/>
          <w:b/>
          <w:sz w:val="20"/>
          <w:szCs w:val="20"/>
        </w:rPr>
        <w:t>6</w:t>
      </w:r>
      <w:r w:rsidRPr="009E6B3C">
        <w:rPr>
          <w:rFonts w:ascii="Arial" w:hAnsi="Arial" w:cs="Arial"/>
          <w:b/>
          <w:sz w:val="20"/>
          <w:szCs w:val="20"/>
        </w:rPr>
        <w:t>: Department of Justice and Constitutional Develo</w:t>
      </w:r>
      <w:r w:rsidR="008E5CEB" w:rsidRPr="009E6B3C">
        <w:rPr>
          <w:rFonts w:ascii="Arial" w:hAnsi="Arial" w:cs="Arial"/>
          <w:b/>
          <w:sz w:val="20"/>
          <w:szCs w:val="20"/>
        </w:rPr>
        <w:t>pment - overall performance 2021/22</w:t>
      </w:r>
      <w:r w:rsidR="006A6DF3" w:rsidRPr="009E6B3C">
        <w:rPr>
          <w:rFonts w:ascii="Arial" w:hAnsi="Arial" w:cs="Arial"/>
          <w:b/>
          <w:sz w:val="20"/>
          <w:szCs w:val="20"/>
        </w:rPr>
        <w:t xml:space="preserve"> (with a comparison to 20</w:t>
      </w:r>
      <w:r w:rsidR="008E5CEB" w:rsidRPr="009E6B3C">
        <w:rPr>
          <w:rFonts w:ascii="Arial" w:hAnsi="Arial" w:cs="Arial"/>
          <w:b/>
          <w:sz w:val="20"/>
          <w:szCs w:val="20"/>
        </w:rPr>
        <w:t>20/21</w:t>
      </w:r>
      <w:r w:rsidRPr="009E6B3C">
        <w:rPr>
          <w:rFonts w:ascii="Arial" w:hAnsi="Arial" w:cs="Arial"/>
          <w:b/>
          <w:sz w:val="20"/>
          <w:szCs w:val="20"/>
        </w:rPr>
        <w:t>)</w:t>
      </w:r>
    </w:p>
    <w:tbl>
      <w:tblPr>
        <w:tblStyle w:val="TableGrid"/>
        <w:tblW w:w="5000" w:type="pct"/>
        <w:tblLook w:val="04A0"/>
      </w:tblPr>
      <w:tblGrid>
        <w:gridCol w:w="2020"/>
        <w:gridCol w:w="1783"/>
        <w:gridCol w:w="1388"/>
        <w:gridCol w:w="1217"/>
        <w:gridCol w:w="1831"/>
        <w:gridCol w:w="1388"/>
      </w:tblGrid>
      <w:tr w:rsidR="002631C6" w:rsidRPr="009E6B3C" w:rsidTr="007C1CAE">
        <w:trPr>
          <w:tblHeader/>
        </w:trPr>
        <w:tc>
          <w:tcPr>
            <w:tcW w:w="1053" w:type="pct"/>
            <w:vMerge w:val="restart"/>
            <w:shd w:val="clear" w:color="auto" w:fill="D9D9D9" w:themeFill="background1" w:themeFillShade="D9"/>
          </w:tcPr>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Programme</w:t>
            </w:r>
          </w:p>
        </w:tc>
        <w:tc>
          <w:tcPr>
            <w:tcW w:w="2269" w:type="pct"/>
            <w:gridSpan w:val="3"/>
            <w:shd w:val="clear" w:color="auto" w:fill="D9D9D9" w:themeFill="background1" w:themeFillShade="D9"/>
          </w:tcPr>
          <w:p w:rsidR="002631C6" w:rsidRPr="009E6B3C" w:rsidRDefault="008E5CEB" w:rsidP="009E6B3C">
            <w:pPr>
              <w:pStyle w:val="ListParagraph"/>
              <w:ind w:left="0"/>
              <w:rPr>
                <w:rFonts w:ascii="Arial" w:hAnsi="Arial" w:cs="Arial"/>
                <w:b/>
                <w:caps/>
                <w:sz w:val="20"/>
                <w:szCs w:val="20"/>
              </w:rPr>
            </w:pPr>
            <w:r w:rsidRPr="009E6B3C">
              <w:rPr>
                <w:rFonts w:ascii="Arial" w:hAnsi="Arial" w:cs="Arial"/>
                <w:b/>
                <w:caps/>
                <w:sz w:val="20"/>
                <w:szCs w:val="20"/>
              </w:rPr>
              <w:t>2021/22</w:t>
            </w:r>
          </w:p>
        </w:tc>
        <w:tc>
          <w:tcPr>
            <w:tcW w:w="1678" w:type="pct"/>
            <w:gridSpan w:val="2"/>
            <w:shd w:val="clear" w:color="auto" w:fill="D9D9D9" w:themeFill="background1" w:themeFillShade="D9"/>
          </w:tcPr>
          <w:p w:rsidR="002631C6" w:rsidRPr="009E6B3C" w:rsidRDefault="008E5CEB" w:rsidP="009E6B3C">
            <w:pPr>
              <w:pStyle w:val="ListParagraph"/>
              <w:ind w:left="0"/>
              <w:rPr>
                <w:rFonts w:ascii="Arial" w:hAnsi="Arial" w:cs="Arial"/>
                <w:b/>
                <w:caps/>
                <w:sz w:val="20"/>
                <w:szCs w:val="20"/>
              </w:rPr>
            </w:pPr>
            <w:r w:rsidRPr="009E6B3C">
              <w:rPr>
                <w:rFonts w:ascii="Arial" w:hAnsi="Arial" w:cs="Arial"/>
                <w:b/>
                <w:caps/>
                <w:sz w:val="20"/>
                <w:szCs w:val="20"/>
              </w:rPr>
              <w:t>2020/21</w:t>
            </w:r>
          </w:p>
        </w:tc>
      </w:tr>
      <w:tr w:rsidR="002631C6" w:rsidRPr="009E6B3C" w:rsidTr="007C1CAE">
        <w:trPr>
          <w:tblHeader/>
        </w:trPr>
        <w:tc>
          <w:tcPr>
            <w:tcW w:w="1053" w:type="pct"/>
            <w:vMerge/>
            <w:shd w:val="clear" w:color="auto" w:fill="D9D9D9" w:themeFill="background1" w:themeFillShade="D9"/>
          </w:tcPr>
          <w:p w:rsidR="002631C6" w:rsidRPr="009E6B3C" w:rsidRDefault="002631C6" w:rsidP="009E6B3C">
            <w:pPr>
              <w:pStyle w:val="ListParagraph"/>
              <w:ind w:left="0"/>
              <w:rPr>
                <w:rFonts w:ascii="Arial" w:hAnsi="Arial" w:cs="Arial"/>
                <w:b/>
                <w:caps/>
                <w:sz w:val="20"/>
                <w:szCs w:val="20"/>
              </w:rPr>
            </w:pPr>
          </w:p>
        </w:tc>
        <w:tc>
          <w:tcPr>
            <w:tcW w:w="910" w:type="pct"/>
            <w:shd w:val="clear" w:color="auto" w:fill="D9D9D9" w:themeFill="background1" w:themeFillShade="D9"/>
          </w:tcPr>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Percentage performance</w:t>
            </w:r>
          </w:p>
        </w:tc>
        <w:tc>
          <w:tcPr>
            <w:tcW w:w="724" w:type="pct"/>
            <w:shd w:val="clear" w:color="auto" w:fill="D9D9D9" w:themeFill="background1" w:themeFillShade="D9"/>
          </w:tcPr>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Targets achieved</w:t>
            </w:r>
          </w:p>
        </w:tc>
        <w:tc>
          <w:tcPr>
            <w:tcW w:w="635" w:type="pct"/>
            <w:shd w:val="clear" w:color="auto" w:fill="D9D9D9" w:themeFill="background1" w:themeFillShade="D9"/>
          </w:tcPr>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Planned Targets</w:t>
            </w:r>
          </w:p>
        </w:tc>
        <w:tc>
          <w:tcPr>
            <w:tcW w:w="954" w:type="pct"/>
            <w:shd w:val="clear" w:color="auto" w:fill="D9D9D9" w:themeFill="background1" w:themeFillShade="D9"/>
          </w:tcPr>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Percentage performance</w:t>
            </w:r>
          </w:p>
        </w:tc>
        <w:tc>
          <w:tcPr>
            <w:tcW w:w="724" w:type="pct"/>
            <w:shd w:val="clear" w:color="auto" w:fill="D9D9D9" w:themeFill="background1" w:themeFillShade="D9"/>
          </w:tcPr>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Actual</w:t>
            </w:r>
            <w:r w:rsidR="007C1CAE" w:rsidRPr="009E6B3C">
              <w:rPr>
                <w:rFonts w:ascii="Arial" w:hAnsi="Arial" w:cs="Arial"/>
                <w:b/>
                <w:caps/>
                <w:sz w:val="20"/>
                <w:szCs w:val="20"/>
              </w:rPr>
              <w:t>/</w:t>
            </w:r>
          </w:p>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Planned</w:t>
            </w:r>
          </w:p>
          <w:p w:rsidR="002631C6" w:rsidRPr="009E6B3C" w:rsidRDefault="002631C6" w:rsidP="009E6B3C">
            <w:pPr>
              <w:pStyle w:val="ListParagraph"/>
              <w:ind w:left="0"/>
              <w:rPr>
                <w:rFonts w:ascii="Arial" w:hAnsi="Arial" w:cs="Arial"/>
                <w:b/>
                <w:caps/>
                <w:sz w:val="20"/>
                <w:szCs w:val="20"/>
              </w:rPr>
            </w:pPr>
            <w:r w:rsidRPr="009E6B3C">
              <w:rPr>
                <w:rFonts w:ascii="Arial" w:hAnsi="Arial" w:cs="Arial"/>
                <w:b/>
                <w:caps/>
                <w:sz w:val="20"/>
                <w:szCs w:val="20"/>
              </w:rPr>
              <w:t>Targets</w:t>
            </w:r>
          </w:p>
        </w:tc>
      </w:tr>
      <w:tr w:rsidR="002631C6" w:rsidRPr="009E6B3C" w:rsidTr="007C1CAE">
        <w:tc>
          <w:tcPr>
            <w:tcW w:w="1053"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Administration</w:t>
            </w:r>
          </w:p>
        </w:tc>
        <w:tc>
          <w:tcPr>
            <w:tcW w:w="910" w:type="pct"/>
            <w:shd w:val="clear" w:color="auto" w:fill="D9D9D9" w:themeFill="background1" w:themeFillShade="D9"/>
          </w:tcPr>
          <w:p w:rsidR="002631C6" w:rsidRPr="009E6B3C" w:rsidRDefault="008E5CEB" w:rsidP="009E6B3C">
            <w:pPr>
              <w:pStyle w:val="ListParagraph"/>
              <w:ind w:left="0"/>
              <w:rPr>
                <w:rFonts w:ascii="Arial" w:hAnsi="Arial" w:cs="Arial"/>
                <w:sz w:val="20"/>
                <w:szCs w:val="20"/>
              </w:rPr>
            </w:pPr>
            <w:r w:rsidRPr="009E6B3C">
              <w:rPr>
                <w:rFonts w:ascii="Arial" w:hAnsi="Arial" w:cs="Arial"/>
                <w:sz w:val="20"/>
                <w:szCs w:val="20"/>
              </w:rPr>
              <w:t>77%</w:t>
            </w:r>
          </w:p>
        </w:tc>
        <w:tc>
          <w:tcPr>
            <w:tcW w:w="724" w:type="pct"/>
          </w:tcPr>
          <w:p w:rsidR="002631C6" w:rsidRPr="009E6B3C" w:rsidRDefault="008E5CEB" w:rsidP="009E6B3C">
            <w:pPr>
              <w:pStyle w:val="ListParagraph"/>
              <w:ind w:left="0"/>
              <w:rPr>
                <w:rFonts w:ascii="Arial" w:hAnsi="Arial" w:cs="Arial"/>
                <w:sz w:val="20"/>
                <w:szCs w:val="20"/>
              </w:rPr>
            </w:pPr>
            <w:r w:rsidRPr="009E6B3C">
              <w:rPr>
                <w:rFonts w:ascii="Arial" w:hAnsi="Arial" w:cs="Arial"/>
                <w:sz w:val="20"/>
                <w:szCs w:val="20"/>
              </w:rPr>
              <w:t>24</w:t>
            </w:r>
          </w:p>
        </w:tc>
        <w:tc>
          <w:tcPr>
            <w:tcW w:w="635" w:type="pct"/>
          </w:tcPr>
          <w:p w:rsidR="002631C6" w:rsidRPr="009E6B3C" w:rsidRDefault="008E5CEB" w:rsidP="009E6B3C">
            <w:pPr>
              <w:pStyle w:val="ListParagraph"/>
              <w:ind w:left="0"/>
              <w:rPr>
                <w:rFonts w:ascii="Arial" w:hAnsi="Arial" w:cs="Arial"/>
                <w:sz w:val="20"/>
                <w:szCs w:val="20"/>
              </w:rPr>
            </w:pPr>
            <w:r w:rsidRPr="009E6B3C">
              <w:rPr>
                <w:rFonts w:ascii="Arial" w:hAnsi="Arial" w:cs="Arial"/>
                <w:sz w:val="20"/>
                <w:szCs w:val="20"/>
              </w:rPr>
              <w:t>31</w:t>
            </w:r>
          </w:p>
        </w:tc>
        <w:tc>
          <w:tcPr>
            <w:tcW w:w="95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40%</w:t>
            </w:r>
          </w:p>
        </w:tc>
        <w:tc>
          <w:tcPr>
            <w:tcW w:w="72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6/15</w:t>
            </w:r>
          </w:p>
        </w:tc>
      </w:tr>
      <w:tr w:rsidR="002631C6" w:rsidRPr="009E6B3C" w:rsidTr="007C1CAE">
        <w:tc>
          <w:tcPr>
            <w:tcW w:w="1053"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Court Services</w:t>
            </w:r>
          </w:p>
        </w:tc>
        <w:tc>
          <w:tcPr>
            <w:tcW w:w="910" w:type="pct"/>
            <w:shd w:val="clear" w:color="auto" w:fill="D9D9D9" w:themeFill="background1" w:themeFillShade="D9"/>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87%</w:t>
            </w:r>
          </w:p>
        </w:tc>
        <w:tc>
          <w:tcPr>
            <w:tcW w:w="724"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15</w:t>
            </w:r>
          </w:p>
        </w:tc>
        <w:tc>
          <w:tcPr>
            <w:tcW w:w="635"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17</w:t>
            </w:r>
          </w:p>
        </w:tc>
        <w:tc>
          <w:tcPr>
            <w:tcW w:w="95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81%</w:t>
            </w:r>
          </w:p>
        </w:tc>
        <w:tc>
          <w:tcPr>
            <w:tcW w:w="72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13/16</w:t>
            </w:r>
          </w:p>
        </w:tc>
      </w:tr>
      <w:tr w:rsidR="002631C6" w:rsidRPr="009E6B3C" w:rsidTr="007C1CAE">
        <w:tc>
          <w:tcPr>
            <w:tcW w:w="1053"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State Legal Services</w:t>
            </w:r>
          </w:p>
        </w:tc>
        <w:tc>
          <w:tcPr>
            <w:tcW w:w="910" w:type="pct"/>
            <w:shd w:val="clear" w:color="auto" w:fill="D9D9D9" w:themeFill="background1" w:themeFillShade="D9"/>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79%</w:t>
            </w:r>
          </w:p>
        </w:tc>
        <w:tc>
          <w:tcPr>
            <w:tcW w:w="724"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22</w:t>
            </w:r>
          </w:p>
        </w:tc>
        <w:tc>
          <w:tcPr>
            <w:tcW w:w="635"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28</w:t>
            </w:r>
          </w:p>
        </w:tc>
        <w:tc>
          <w:tcPr>
            <w:tcW w:w="95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75%</w:t>
            </w:r>
          </w:p>
        </w:tc>
        <w:tc>
          <w:tcPr>
            <w:tcW w:w="72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33/44</w:t>
            </w:r>
          </w:p>
        </w:tc>
      </w:tr>
      <w:tr w:rsidR="002631C6" w:rsidRPr="009E6B3C" w:rsidTr="007C1CAE">
        <w:tc>
          <w:tcPr>
            <w:tcW w:w="1053"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NPA</w:t>
            </w:r>
          </w:p>
        </w:tc>
        <w:tc>
          <w:tcPr>
            <w:tcW w:w="910" w:type="pct"/>
            <w:shd w:val="clear" w:color="auto" w:fill="D9D9D9" w:themeFill="background1" w:themeFillShade="D9"/>
          </w:tcPr>
          <w:p w:rsidR="002631C6" w:rsidRPr="009E6B3C" w:rsidRDefault="00B27E43" w:rsidP="009E6B3C">
            <w:pPr>
              <w:pStyle w:val="ListParagraph"/>
              <w:ind w:left="0"/>
              <w:rPr>
                <w:rFonts w:ascii="Arial" w:hAnsi="Arial" w:cs="Arial"/>
                <w:sz w:val="20"/>
                <w:szCs w:val="20"/>
              </w:rPr>
            </w:pPr>
            <w:r w:rsidRPr="009E6B3C">
              <w:rPr>
                <w:rFonts w:ascii="Arial" w:hAnsi="Arial" w:cs="Arial"/>
                <w:sz w:val="20"/>
                <w:szCs w:val="20"/>
              </w:rPr>
              <w:t>71.4%</w:t>
            </w:r>
          </w:p>
        </w:tc>
        <w:tc>
          <w:tcPr>
            <w:tcW w:w="724"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10</w:t>
            </w:r>
          </w:p>
        </w:tc>
        <w:tc>
          <w:tcPr>
            <w:tcW w:w="635"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14</w:t>
            </w:r>
          </w:p>
        </w:tc>
        <w:tc>
          <w:tcPr>
            <w:tcW w:w="95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50%</w:t>
            </w:r>
          </w:p>
        </w:tc>
        <w:tc>
          <w:tcPr>
            <w:tcW w:w="72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7/14</w:t>
            </w:r>
          </w:p>
        </w:tc>
      </w:tr>
      <w:tr w:rsidR="002631C6" w:rsidRPr="009E6B3C" w:rsidTr="007C1CAE">
        <w:tc>
          <w:tcPr>
            <w:tcW w:w="1053"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Justice Modernisation</w:t>
            </w:r>
          </w:p>
        </w:tc>
        <w:tc>
          <w:tcPr>
            <w:tcW w:w="910" w:type="pct"/>
            <w:shd w:val="clear" w:color="auto" w:fill="D9D9D9" w:themeFill="background1" w:themeFillShade="D9"/>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100%</w:t>
            </w:r>
          </w:p>
        </w:tc>
        <w:tc>
          <w:tcPr>
            <w:tcW w:w="724"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3</w:t>
            </w:r>
          </w:p>
        </w:tc>
        <w:tc>
          <w:tcPr>
            <w:tcW w:w="635" w:type="pct"/>
          </w:tcPr>
          <w:p w:rsidR="002631C6" w:rsidRPr="009E6B3C" w:rsidRDefault="009536FE" w:rsidP="009E6B3C">
            <w:pPr>
              <w:pStyle w:val="ListParagraph"/>
              <w:ind w:left="0"/>
              <w:rPr>
                <w:rFonts w:ascii="Arial" w:hAnsi="Arial" w:cs="Arial"/>
                <w:sz w:val="20"/>
                <w:szCs w:val="20"/>
              </w:rPr>
            </w:pPr>
            <w:r w:rsidRPr="009E6B3C">
              <w:rPr>
                <w:rFonts w:ascii="Arial" w:hAnsi="Arial" w:cs="Arial"/>
                <w:sz w:val="20"/>
                <w:szCs w:val="20"/>
              </w:rPr>
              <w:t>3</w:t>
            </w:r>
          </w:p>
        </w:tc>
        <w:tc>
          <w:tcPr>
            <w:tcW w:w="95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67%</w:t>
            </w:r>
          </w:p>
        </w:tc>
        <w:tc>
          <w:tcPr>
            <w:tcW w:w="724" w:type="pct"/>
          </w:tcPr>
          <w:p w:rsidR="002631C6" w:rsidRPr="009E6B3C" w:rsidRDefault="002631C6" w:rsidP="009E6B3C">
            <w:pPr>
              <w:pStyle w:val="ListParagraph"/>
              <w:ind w:left="0"/>
              <w:rPr>
                <w:rFonts w:ascii="Arial" w:hAnsi="Arial" w:cs="Arial"/>
                <w:sz w:val="20"/>
                <w:szCs w:val="20"/>
              </w:rPr>
            </w:pPr>
            <w:r w:rsidRPr="009E6B3C">
              <w:rPr>
                <w:rFonts w:ascii="Arial" w:hAnsi="Arial" w:cs="Arial"/>
                <w:sz w:val="20"/>
                <w:szCs w:val="20"/>
              </w:rPr>
              <w:t>2/3</w:t>
            </w:r>
          </w:p>
        </w:tc>
      </w:tr>
      <w:tr w:rsidR="002631C6" w:rsidRPr="009E6B3C" w:rsidTr="007C1CAE">
        <w:tc>
          <w:tcPr>
            <w:tcW w:w="1053" w:type="pct"/>
          </w:tcPr>
          <w:p w:rsidR="002631C6" w:rsidRPr="009E6B3C" w:rsidRDefault="002631C6" w:rsidP="009E6B3C">
            <w:pPr>
              <w:pStyle w:val="ListParagraph"/>
              <w:ind w:left="0"/>
              <w:rPr>
                <w:rFonts w:ascii="Arial" w:hAnsi="Arial" w:cs="Arial"/>
                <w:b/>
                <w:sz w:val="20"/>
                <w:szCs w:val="20"/>
              </w:rPr>
            </w:pPr>
            <w:r w:rsidRPr="009E6B3C">
              <w:rPr>
                <w:rFonts w:ascii="Arial" w:hAnsi="Arial" w:cs="Arial"/>
                <w:b/>
                <w:sz w:val="20"/>
                <w:szCs w:val="20"/>
              </w:rPr>
              <w:t>Overall</w:t>
            </w:r>
          </w:p>
        </w:tc>
        <w:tc>
          <w:tcPr>
            <w:tcW w:w="910" w:type="pct"/>
            <w:shd w:val="clear" w:color="auto" w:fill="D9D9D9" w:themeFill="background1" w:themeFillShade="D9"/>
          </w:tcPr>
          <w:p w:rsidR="002631C6" w:rsidRPr="009E6B3C" w:rsidRDefault="009536FE" w:rsidP="009E6B3C">
            <w:pPr>
              <w:pStyle w:val="ListParagraph"/>
              <w:ind w:left="0"/>
              <w:rPr>
                <w:rFonts w:ascii="Arial" w:hAnsi="Arial" w:cs="Arial"/>
                <w:b/>
                <w:sz w:val="20"/>
                <w:szCs w:val="20"/>
              </w:rPr>
            </w:pPr>
            <w:r w:rsidRPr="009E6B3C">
              <w:rPr>
                <w:rFonts w:ascii="Arial" w:hAnsi="Arial" w:cs="Arial"/>
                <w:b/>
                <w:sz w:val="20"/>
                <w:szCs w:val="20"/>
              </w:rPr>
              <w:t>79%</w:t>
            </w:r>
          </w:p>
        </w:tc>
        <w:tc>
          <w:tcPr>
            <w:tcW w:w="724" w:type="pct"/>
          </w:tcPr>
          <w:p w:rsidR="002631C6" w:rsidRPr="009E6B3C" w:rsidRDefault="00B27E43" w:rsidP="009E6B3C">
            <w:pPr>
              <w:pStyle w:val="ListParagraph"/>
              <w:ind w:left="0"/>
              <w:rPr>
                <w:rFonts w:ascii="Arial" w:hAnsi="Arial" w:cs="Arial"/>
                <w:b/>
                <w:sz w:val="20"/>
                <w:szCs w:val="20"/>
              </w:rPr>
            </w:pPr>
            <w:r w:rsidRPr="009E6B3C">
              <w:rPr>
                <w:rFonts w:ascii="Arial" w:hAnsi="Arial" w:cs="Arial"/>
                <w:b/>
                <w:sz w:val="20"/>
                <w:szCs w:val="20"/>
              </w:rPr>
              <w:t>74</w:t>
            </w:r>
          </w:p>
        </w:tc>
        <w:tc>
          <w:tcPr>
            <w:tcW w:w="635" w:type="pct"/>
          </w:tcPr>
          <w:p w:rsidR="002631C6" w:rsidRPr="009E6B3C" w:rsidRDefault="00B27E43" w:rsidP="009E6B3C">
            <w:pPr>
              <w:pStyle w:val="ListParagraph"/>
              <w:ind w:left="0"/>
              <w:rPr>
                <w:rFonts w:ascii="Arial" w:hAnsi="Arial" w:cs="Arial"/>
                <w:b/>
                <w:sz w:val="20"/>
                <w:szCs w:val="20"/>
              </w:rPr>
            </w:pPr>
            <w:r w:rsidRPr="009E6B3C">
              <w:rPr>
                <w:rFonts w:ascii="Arial" w:hAnsi="Arial" w:cs="Arial"/>
                <w:b/>
                <w:sz w:val="20"/>
                <w:szCs w:val="20"/>
              </w:rPr>
              <w:t>93</w:t>
            </w:r>
          </w:p>
        </w:tc>
        <w:tc>
          <w:tcPr>
            <w:tcW w:w="954" w:type="pct"/>
          </w:tcPr>
          <w:p w:rsidR="002631C6" w:rsidRPr="009E6B3C" w:rsidRDefault="002631C6" w:rsidP="009E6B3C">
            <w:pPr>
              <w:pStyle w:val="ListParagraph"/>
              <w:ind w:left="0"/>
              <w:rPr>
                <w:rFonts w:ascii="Arial" w:hAnsi="Arial" w:cs="Arial"/>
                <w:b/>
                <w:sz w:val="20"/>
                <w:szCs w:val="20"/>
              </w:rPr>
            </w:pPr>
            <w:r w:rsidRPr="009E6B3C">
              <w:rPr>
                <w:rFonts w:ascii="Arial" w:hAnsi="Arial" w:cs="Arial"/>
                <w:b/>
                <w:sz w:val="20"/>
                <w:szCs w:val="20"/>
              </w:rPr>
              <w:t>66%</w:t>
            </w:r>
          </w:p>
        </w:tc>
        <w:tc>
          <w:tcPr>
            <w:tcW w:w="724" w:type="pct"/>
          </w:tcPr>
          <w:p w:rsidR="002631C6" w:rsidRPr="009E6B3C" w:rsidRDefault="002631C6" w:rsidP="009E6B3C">
            <w:pPr>
              <w:pStyle w:val="ListParagraph"/>
              <w:ind w:left="0"/>
              <w:rPr>
                <w:rFonts w:ascii="Arial" w:hAnsi="Arial" w:cs="Arial"/>
                <w:b/>
                <w:sz w:val="20"/>
                <w:szCs w:val="20"/>
              </w:rPr>
            </w:pPr>
            <w:r w:rsidRPr="009E6B3C">
              <w:rPr>
                <w:rFonts w:ascii="Arial" w:hAnsi="Arial" w:cs="Arial"/>
                <w:b/>
                <w:sz w:val="20"/>
                <w:szCs w:val="20"/>
              </w:rPr>
              <w:t>61/92</w:t>
            </w:r>
          </w:p>
        </w:tc>
      </w:tr>
    </w:tbl>
    <w:p w:rsidR="00CD6371" w:rsidRPr="009E6B3C" w:rsidRDefault="00CD6371" w:rsidP="009E6B3C">
      <w:pPr>
        <w:pStyle w:val="ListParagraph"/>
        <w:ind w:left="540"/>
        <w:rPr>
          <w:rFonts w:ascii="Arial" w:hAnsi="Arial" w:cs="Arial"/>
          <w:sz w:val="20"/>
          <w:szCs w:val="20"/>
        </w:rPr>
      </w:pPr>
    </w:p>
    <w:p w:rsidR="00AB09DA" w:rsidRPr="009E6B3C" w:rsidRDefault="002631C6" w:rsidP="009E6B3C">
      <w:pPr>
        <w:pStyle w:val="ListParagraph"/>
        <w:numPr>
          <w:ilvl w:val="2"/>
          <w:numId w:val="49"/>
        </w:numPr>
        <w:ind w:left="851" w:hanging="851"/>
        <w:rPr>
          <w:rFonts w:ascii="Arial" w:hAnsi="Arial" w:cs="Arial"/>
          <w:sz w:val="20"/>
          <w:szCs w:val="20"/>
        </w:rPr>
      </w:pPr>
      <w:r w:rsidRPr="009E6B3C">
        <w:rPr>
          <w:rFonts w:ascii="Arial" w:hAnsi="Arial" w:cs="Arial"/>
          <w:sz w:val="20"/>
          <w:szCs w:val="20"/>
        </w:rPr>
        <w:t xml:space="preserve">Key achievements </w:t>
      </w:r>
      <w:r w:rsidR="00AB09DA" w:rsidRPr="009E6B3C">
        <w:rPr>
          <w:rFonts w:ascii="Arial" w:hAnsi="Arial" w:cs="Arial"/>
          <w:sz w:val="20"/>
          <w:szCs w:val="20"/>
        </w:rPr>
        <w:t>include:</w:t>
      </w:r>
    </w:p>
    <w:p w:rsidR="00804383" w:rsidRPr="009E6B3C" w:rsidRDefault="0080438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Establishing a further three (3) new Special Commercial Crime Courts (SCCCs)</w:t>
      </w:r>
      <w:r w:rsidR="00B55500" w:rsidRPr="009E6B3C">
        <w:rPr>
          <w:rFonts w:ascii="Arial" w:hAnsi="Arial" w:cs="Arial"/>
          <w:sz w:val="20"/>
          <w:szCs w:val="20"/>
        </w:rPr>
        <w:t>, two</w:t>
      </w:r>
      <w:r w:rsidRPr="009E6B3C">
        <w:rPr>
          <w:rFonts w:ascii="Arial" w:hAnsi="Arial" w:cs="Arial"/>
          <w:sz w:val="20"/>
          <w:szCs w:val="20"/>
        </w:rPr>
        <w:t xml:space="preserve"> in the Eastern Cape (Mthatha and East London) and </w:t>
      </w:r>
      <w:r w:rsidR="00B55500" w:rsidRPr="009E6B3C">
        <w:rPr>
          <w:rFonts w:ascii="Arial" w:hAnsi="Arial" w:cs="Arial"/>
          <w:sz w:val="20"/>
          <w:szCs w:val="20"/>
        </w:rPr>
        <w:t xml:space="preserve">one court </w:t>
      </w:r>
      <w:r w:rsidRPr="009E6B3C">
        <w:rPr>
          <w:rFonts w:ascii="Arial" w:hAnsi="Arial" w:cs="Arial"/>
          <w:sz w:val="20"/>
          <w:szCs w:val="20"/>
        </w:rPr>
        <w:t>in KwaZulu-Natal (Pietermaritzburg). To date, eight (8) SCCCs have been established.</w:t>
      </w:r>
    </w:p>
    <w:p w:rsidR="00804383" w:rsidRPr="009E6B3C" w:rsidRDefault="0080438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Establishing 78 courts to comply with the strategy on universal access for persons with disabilities.</w:t>
      </w:r>
    </w:p>
    <w:p w:rsidR="00804383" w:rsidRPr="009E6B3C" w:rsidRDefault="0080438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Converting six branch courts to full-service courts, as follows: Bityi and Dimbaza courts in the Eastern Cape, Booysens and Lenasia courts in Gauteng, and Magudu and Nsuze courts in KwaZulu-Natal.</w:t>
      </w:r>
    </w:p>
    <w:p w:rsidR="00804383" w:rsidRPr="009E6B3C" w:rsidRDefault="0080438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Making use of the Person Identification and Verification Application (PIVA) to check more than 122 339 accused persons. In near real-time</w:t>
      </w:r>
      <w:r w:rsidR="00B55500" w:rsidRPr="009E6B3C">
        <w:rPr>
          <w:rFonts w:ascii="Arial" w:hAnsi="Arial" w:cs="Arial"/>
          <w:sz w:val="20"/>
          <w:szCs w:val="20"/>
        </w:rPr>
        <w:t>,</w:t>
      </w:r>
      <w:r w:rsidRPr="009E6B3C">
        <w:rPr>
          <w:rFonts w:ascii="Arial" w:hAnsi="Arial" w:cs="Arial"/>
          <w:sz w:val="20"/>
          <w:szCs w:val="20"/>
        </w:rPr>
        <w:t xml:space="preserve"> 46 479 of these individuals (38%) were found to have prior criminal records. Further, 3 379 (2.8%) wanted persons could be identified as persons of interest in other cases.</w:t>
      </w:r>
    </w:p>
    <w:p w:rsidR="00804383" w:rsidRPr="009E6B3C" w:rsidRDefault="0080438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Processing 1 989 246 cases through the IJS Transversal Hub using IJS system integrations between the SAPS, NPA and the Department.</w:t>
      </w:r>
    </w:p>
    <w:p w:rsidR="00804383" w:rsidRPr="009E6B3C" w:rsidRDefault="0080438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lastRenderedPageBreak/>
        <w:t>Developing, testing and piloting the following online services: Maintenance; Expungement of Criminal Records; N</w:t>
      </w:r>
      <w:r w:rsidR="00B55500" w:rsidRPr="009E6B3C">
        <w:rPr>
          <w:rFonts w:ascii="Arial" w:hAnsi="Arial" w:cs="Arial"/>
          <w:sz w:val="20"/>
          <w:szCs w:val="20"/>
        </w:rPr>
        <w:t xml:space="preserve">ational </w:t>
      </w:r>
      <w:r w:rsidRPr="009E6B3C">
        <w:rPr>
          <w:rFonts w:ascii="Arial" w:hAnsi="Arial" w:cs="Arial"/>
          <w:sz w:val="20"/>
          <w:szCs w:val="20"/>
        </w:rPr>
        <w:t>R</w:t>
      </w:r>
      <w:r w:rsidR="00B55500" w:rsidRPr="009E6B3C">
        <w:rPr>
          <w:rFonts w:ascii="Arial" w:hAnsi="Arial" w:cs="Arial"/>
          <w:sz w:val="20"/>
          <w:szCs w:val="20"/>
        </w:rPr>
        <w:t xml:space="preserve">egister of </w:t>
      </w:r>
      <w:r w:rsidRPr="009E6B3C">
        <w:rPr>
          <w:rFonts w:ascii="Arial" w:hAnsi="Arial" w:cs="Arial"/>
          <w:sz w:val="20"/>
          <w:szCs w:val="20"/>
        </w:rPr>
        <w:t>S</w:t>
      </w:r>
      <w:r w:rsidR="00B55500" w:rsidRPr="009E6B3C">
        <w:rPr>
          <w:rFonts w:ascii="Arial" w:hAnsi="Arial" w:cs="Arial"/>
          <w:sz w:val="20"/>
          <w:szCs w:val="20"/>
        </w:rPr>
        <w:t xml:space="preserve">ex </w:t>
      </w:r>
      <w:r w:rsidRPr="009E6B3C">
        <w:rPr>
          <w:rFonts w:ascii="Arial" w:hAnsi="Arial" w:cs="Arial"/>
          <w:sz w:val="20"/>
          <w:szCs w:val="20"/>
        </w:rPr>
        <w:t>O</w:t>
      </w:r>
      <w:r w:rsidR="00B55500" w:rsidRPr="009E6B3C">
        <w:rPr>
          <w:rFonts w:ascii="Arial" w:hAnsi="Arial" w:cs="Arial"/>
          <w:sz w:val="20"/>
          <w:szCs w:val="20"/>
        </w:rPr>
        <w:t>ffenders (NSRO)</w:t>
      </w:r>
      <w:r w:rsidRPr="009E6B3C">
        <w:rPr>
          <w:rFonts w:ascii="Arial" w:hAnsi="Arial" w:cs="Arial"/>
          <w:sz w:val="20"/>
          <w:szCs w:val="20"/>
        </w:rPr>
        <w:t>; Civil Online; and Deceased Estates and Trust. However, the prolonged departmental procurement processes, as well as SITA procurement processes, have negatively impacted on delivery of some modernised projects and service delivery. As a result, the target for Courts Audio-Visual Solution (CAVS) was not achieved</w:t>
      </w:r>
      <w:r w:rsidR="00B55500" w:rsidRPr="009E6B3C">
        <w:rPr>
          <w:rFonts w:ascii="Arial" w:hAnsi="Arial" w:cs="Arial"/>
          <w:sz w:val="20"/>
          <w:szCs w:val="20"/>
        </w:rPr>
        <w:t xml:space="preserve">. The </w:t>
      </w:r>
      <w:r w:rsidRPr="009E6B3C">
        <w:rPr>
          <w:rFonts w:ascii="Arial" w:hAnsi="Arial" w:cs="Arial"/>
          <w:sz w:val="20"/>
          <w:szCs w:val="20"/>
        </w:rPr>
        <w:t>Court Recording Systems</w:t>
      </w:r>
      <w:r w:rsidR="00B55500" w:rsidRPr="009E6B3C">
        <w:rPr>
          <w:rFonts w:ascii="Arial" w:hAnsi="Arial" w:cs="Arial"/>
          <w:sz w:val="20"/>
          <w:szCs w:val="20"/>
        </w:rPr>
        <w:t xml:space="preserve"> </w:t>
      </w:r>
      <w:r w:rsidRPr="009E6B3C">
        <w:rPr>
          <w:rFonts w:ascii="Arial" w:hAnsi="Arial" w:cs="Arial"/>
          <w:sz w:val="20"/>
          <w:szCs w:val="20"/>
        </w:rPr>
        <w:t xml:space="preserve">(CRT) were also affected, resulting in postponement of cases. </w:t>
      </w:r>
    </w:p>
    <w:p w:rsidR="00804383" w:rsidRPr="009E6B3C" w:rsidRDefault="0080438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Deploying 443 cashless solutions to reduce the amount of money processed through points of service and, therefore, to minimise the risk of theft and robberies.</w:t>
      </w:r>
    </w:p>
    <w:p w:rsidR="004848CA" w:rsidRPr="009E6B3C" w:rsidRDefault="004848CA" w:rsidP="009E6B3C">
      <w:pPr>
        <w:pStyle w:val="ListParagraph"/>
        <w:ind w:left="851"/>
        <w:rPr>
          <w:rFonts w:ascii="Arial" w:hAnsi="Arial" w:cs="Arial"/>
          <w:sz w:val="20"/>
          <w:szCs w:val="20"/>
        </w:rPr>
      </w:pPr>
    </w:p>
    <w:p w:rsidR="00A32BC1" w:rsidRPr="009E6B3C" w:rsidRDefault="00A32BC1" w:rsidP="009E6B3C">
      <w:pPr>
        <w:pStyle w:val="ListParagraph"/>
        <w:numPr>
          <w:ilvl w:val="2"/>
          <w:numId w:val="49"/>
        </w:numPr>
        <w:ind w:left="851" w:hanging="851"/>
        <w:rPr>
          <w:rFonts w:ascii="Arial" w:hAnsi="Arial" w:cs="Arial"/>
          <w:sz w:val="20"/>
          <w:szCs w:val="20"/>
        </w:rPr>
      </w:pPr>
      <w:r w:rsidRPr="009E6B3C">
        <w:rPr>
          <w:rFonts w:ascii="Arial" w:hAnsi="Arial" w:cs="Arial"/>
          <w:sz w:val="20"/>
          <w:szCs w:val="20"/>
        </w:rPr>
        <w:t xml:space="preserve">Key </w:t>
      </w:r>
      <w:r w:rsidR="00804383" w:rsidRPr="009E6B3C">
        <w:rPr>
          <w:rFonts w:ascii="Arial" w:hAnsi="Arial" w:cs="Arial"/>
          <w:sz w:val="20"/>
          <w:szCs w:val="20"/>
        </w:rPr>
        <w:t xml:space="preserve">reported </w:t>
      </w:r>
      <w:r w:rsidRPr="009E6B3C">
        <w:rPr>
          <w:rFonts w:ascii="Arial" w:hAnsi="Arial" w:cs="Arial"/>
          <w:sz w:val="20"/>
          <w:szCs w:val="20"/>
        </w:rPr>
        <w:t xml:space="preserve">challenges </w:t>
      </w:r>
      <w:r w:rsidR="00804383" w:rsidRPr="009E6B3C">
        <w:rPr>
          <w:rFonts w:ascii="Arial" w:hAnsi="Arial" w:cs="Arial"/>
          <w:sz w:val="20"/>
          <w:szCs w:val="20"/>
        </w:rPr>
        <w:t xml:space="preserve">for 2021/22 </w:t>
      </w:r>
      <w:r w:rsidR="008E5CEB" w:rsidRPr="009E6B3C">
        <w:rPr>
          <w:rFonts w:ascii="Arial" w:hAnsi="Arial" w:cs="Arial"/>
          <w:sz w:val="20"/>
          <w:szCs w:val="20"/>
        </w:rPr>
        <w:t>were t</w:t>
      </w:r>
      <w:r w:rsidRPr="009E6B3C">
        <w:rPr>
          <w:rFonts w:ascii="Arial" w:hAnsi="Arial" w:cs="Arial"/>
          <w:sz w:val="20"/>
          <w:szCs w:val="20"/>
        </w:rPr>
        <w:t>he negative audit outcome</w:t>
      </w:r>
      <w:r w:rsidR="008E5CEB" w:rsidRPr="009E6B3C">
        <w:rPr>
          <w:rFonts w:ascii="Arial" w:hAnsi="Arial" w:cs="Arial"/>
          <w:sz w:val="20"/>
          <w:szCs w:val="20"/>
        </w:rPr>
        <w:t>; the high vacancy rate and t</w:t>
      </w:r>
      <w:r w:rsidR="00804383" w:rsidRPr="009E6B3C">
        <w:rPr>
          <w:rFonts w:ascii="Arial" w:hAnsi="Arial" w:cs="Arial"/>
          <w:sz w:val="20"/>
          <w:szCs w:val="20"/>
        </w:rPr>
        <w:t>he aging ICT infrastructure.</w:t>
      </w:r>
    </w:p>
    <w:p w:rsidR="00DD350C" w:rsidRPr="009E6B3C" w:rsidRDefault="00DD350C" w:rsidP="009E6B3C">
      <w:pPr>
        <w:pStyle w:val="ListParagraph"/>
        <w:ind w:left="862"/>
        <w:rPr>
          <w:rFonts w:ascii="Arial" w:hAnsi="Arial" w:cs="Arial"/>
          <w:b/>
          <w:sz w:val="20"/>
          <w:szCs w:val="20"/>
        </w:rPr>
      </w:pPr>
    </w:p>
    <w:p w:rsidR="0038100B" w:rsidRPr="009E6B3C" w:rsidRDefault="00C85FDE" w:rsidP="009E6B3C">
      <w:pPr>
        <w:pStyle w:val="ListParagraph"/>
        <w:numPr>
          <w:ilvl w:val="1"/>
          <w:numId w:val="1"/>
        </w:numPr>
        <w:ind w:left="851" w:hanging="851"/>
        <w:rPr>
          <w:rFonts w:ascii="Arial" w:hAnsi="Arial" w:cs="Arial"/>
          <w:sz w:val="20"/>
          <w:szCs w:val="20"/>
          <w:lang w:val="en-US"/>
        </w:rPr>
      </w:pPr>
      <w:r w:rsidRPr="009E6B3C">
        <w:rPr>
          <w:rFonts w:ascii="Arial" w:eastAsia="MyriadPro-Light" w:hAnsi="Arial" w:cs="Arial"/>
          <w:b/>
          <w:i/>
          <w:sz w:val="20"/>
          <w:szCs w:val="20"/>
        </w:rPr>
        <w:t>Audit</w:t>
      </w:r>
      <w:r w:rsidRPr="009E6B3C">
        <w:rPr>
          <w:rFonts w:ascii="Arial" w:hAnsi="Arial" w:cs="Arial"/>
          <w:b/>
          <w:i/>
          <w:sz w:val="20"/>
          <w:szCs w:val="20"/>
        </w:rPr>
        <w:t xml:space="preserve"> outcome 2021/22</w:t>
      </w:r>
    </w:p>
    <w:p w:rsidR="0038100B" w:rsidRPr="009E6B3C" w:rsidRDefault="0038100B" w:rsidP="009E6B3C">
      <w:pPr>
        <w:pStyle w:val="ListParagraph"/>
        <w:ind w:left="851"/>
        <w:rPr>
          <w:rFonts w:ascii="Arial" w:hAnsi="Arial" w:cs="Arial"/>
          <w:sz w:val="20"/>
          <w:szCs w:val="20"/>
          <w:lang w:val="en-US"/>
        </w:rPr>
      </w:pPr>
    </w:p>
    <w:p w:rsidR="00DD350C" w:rsidRPr="009E6B3C" w:rsidRDefault="00DD350C" w:rsidP="009E6B3C">
      <w:pPr>
        <w:pStyle w:val="ListParagraph"/>
        <w:numPr>
          <w:ilvl w:val="2"/>
          <w:numId w:val="46"/>
        </w:numPr>
        <w:ind w:left="851" w:hanging="851"/>
        <w:rPr>
          <w:rFonts w:ascii="Arial" w:hAnsi="Arial" w:cs="Arial"/>
          <w:sz w:val="20"/>
          <w:szCs w:val="20"/>
          <w:lang w:val="en-US"/>
        </w:rPr>
      </w:pPr>
      <w:r w:rsidRPr="009E6B3C">
        <w:rPr>
          <w:rFonts w:ascii="Arial" w:hAnsi="Arial" w:cs="Arial"/>
          <w:sz w:val="20"/>
          <w:szCs w:val="20"/>
          <w:lang w:val="en-US"/>
        </w:rPr>
        <w:t xml:space="preserve">This is the sixth consecutive year in which the Department has received a qualified audit opinion. As in 2020/21, the audit qualification for 2021/22 relates to significant deficiencies in the accounting of contingent liabilities. </w:t>
      </w:r>
    </w:p>
    <w:p w:rsidR="00DD350C" w:rsidRPr="009E6B3C" w:rsidRDefault="00DD350C" w:rsidP="009E6B3C">
      <w:pPr>
        <w:pStyle w:val="ListParagraph"/>
        <w:ind w:left="851"/>
        <w:rPr>
          <w:rFonts w:ascii="Arial" w:hAnsi="Arial" w:cs="Arial"/>
          <w:sz w:val="20"/>
          <w:szCs w:val="20"/>
          <w:lang w:val="en-US"/>
        </w:rPr>
      </w:pPr>
    </w:p>
    <w:p w:rsidR="00DD350C" w:rsidRPr="009E6B3C" w:rsidRDefault="00DD350C" w:rsidP="009E6B3C">
      <w:pPr>
        <w:pStyle w:val="ListParagraph"/>
        <w:numPr>
          <w:ilvl w:val="2"/>
          <w:numId w:val="46"/>
        </w:numPr>
        <w:ind w:left="851" w:hanging="851"/>
        <w:rPr>
          <w:rFonts w:ascii="Arial" w:hAnsi="Arial" w:cs="Arial"/>
          <w:sz w:val="20"/>
          <w:szCs w:val="20"/>
        </w:rPr>
      </w:pPr>
      <w:r w:rsidRPr="009E6B3C">
        <w:rPr>
          <w:rFonts w:ascii="Arial" w:hAnsi="Arial" w:cs="Arial"/>
          <w:i/>
          <w:sz w:val="20"/>
          <w:szCs w:val="20"/>
          <w:lang w:val="en-US"/>
        </w:rPr>
        <w:t>Contingent</w:t>
      </w:r>
      <w:r w:rsidRPr="009E6B3C">
        <w:rPr>
          <w:rFonts w:ascii="Arial" w:hAnsi="Arial" w:cs="Arial"/>
          <w:i/>
          <w:sz w:val="20"/>
          <w:szCs w:val="20"/>
        </w:rPr>
        <w:t xml:space="preserve"> liabilities</w:t>
      </w:r>
      <w:r w:rsidR="0038100B" w:rsidRPr="009E6B3C">
        <w:rPr>
          <w:rFonts w:ascii="Arial" w:hAnsi="Arial" w:cs="Arial"/>
          <w:sz w:val="20"/>
          <w:szCs w:val="20"/>
        </w:rPr>
        <w:t xml:space="preserve">: </w:t>
      </w:r>
    </w:p>
    <w:p w:rsidR="00DD350C" w:rsidRPr="009E6B3C" w:rsidRDefault="00DD350C" w:rsidP="009E6B3C">
      <w:pPr>
        <w:rPr>
          <w:rFonts w:ascii="Arial" w:hAnsi="Arial" w:cs="Arial"/>
          <w:sz w:val="20"/>
          <w:szCs w:val="20"/>
        </w:rPr>
      </w:pPr>
    </w:p>
    <w:p w:rsidR="00DD350C" w:rsidRPr="009E6B3C" w:rsidRDefault="00DD350C" w:rsidP="009E6B3C">
      <w:pPr>
        <w:pStyle w:val="ListParagraph"/>
        <w:numPr>
          <w:ilvl w:val="0"/>
          <w:numId w:val="9"/>
        </w:numPr>
        <w:ind w:left="851" w:hanging="851"/>
        <w:rPr>
          <w:rFonts w:ascii="Arial" w:hAnsi="Arial" w:cs="Arial"/>
          <w:sz w:val="20"/>
          <w:szCs w:val="20"/>
        </w:rPr>
      </w:pPr>
      <w:r w:rsidRPr="009E6B3C">
        <w:rPr>
          <w:rFonts w:ascii="Arial" w:hAnsi="Arial" w:cs="Arial"/>
          <w:sz w:val="20"/>
          <w:szCs w:val="20"/>
        </w:rPr>
        <w:t>The A</w:t>
      </w:r>
      <w:r w:rsidR="007D72D8" w:rsidRPr="009E6B3C">
        <w:rPr>
          <w:rFonts w:ascii="Arial" w:hAnsi="Arial" w:cs="Arial"/>
          <w:sz w:val="20"/>
          <w:szCs w:val="20"/>
        </w:rPr>
        <w:t xml:space="preserve">uditor-General </w:t>
      </w:r>
      <w:r w:rsidRPr="009E6B3C">
        <w:rPr>
          <w:rFonts w:ascii="Arial" w:hAnsi="Arial" w:cs="Arial"/>
          <w:sz w:val="20"/>
          <w:szCs w:val="20"/>
        </w:rPr>
        <w:t>found that the Department did not have ade</w:t>
      </w:r>
      <w:r w:rsidR="00BF7E42" w:rsidRPr="009E6B3C">
        <w:rPr>
          <w:rFonts w:ascii="Arial" w:hAnsi="Arial" w:cs="Arial"/>
          <w:sz w:val="20"/>
          <w:szCs w:val="20"/>
        </w:rPr>
        <w:t>quate processes in place to prev</w:t>
      </w:r>
      <w:r w:rsidRPr="009E6B3C">
        <w:rPr>
          <w:rFonts w:ascii="Arial" w:hAnsi="Arial" w:cs="Arial"/>
          <w:sz w:val="20"/>
          <w:szCs w:val="20"/>
        </w:rPr>
        <w:t xml:space="preserve">ent contingent liabilities in accordance with the requirements of the accounting framework and the CFO vacancy had contributed to the breakdown of internal controls. Further, the Department did not determine the possible outcomes of the litigations in support of the disclosure. </w:t>
      </w:r>
    </w:p>
    <w:p w:rsidR="00DD350C" w:rsidRPr="009E6B3C" w:rsidRDefault="00DD350C" w:rsidP="009E6B3C">
      <w:pPr>
        <w:pStyle w:val="ListParagraph"/>
        <w:ind w:left="1080"/>
        <w:rPr>
          <w:rFonts w:ascii="Arial" w:hAnsi="Arial" w:cs="Arial"/>
          <w:sz w:val="20"/>
          <w:szCs w:val="20"/>
        </w:rPr>
      </w:pPr>
    </w:p>
    <w:p w:rsidR="00DD350C" w:rsidRPr="009E6B3C" w:rsidRDefault="00DD350C" w:rsidP="009E6B3C">
      <w:pPr>
        <w:pStyle w:val="ListParagraph"/>
        <w:numPr>
          <w:ilvl w:val="0"/>
          <w:numId w:val="9"/>
        </w:numPr>
        <w:ind w:left="851" w:hanging="851"/>
        <w:rPr>
          <w:rFonts w:ascii="Arial" w:hAnsi="Arial" w:cs="Arial"/>
          <w:sz w:val="20"/>
          <w:szCs w:val="20"/>
        </w:rPr>
      </w:pPr>
      <w:r w:rsidRPr="009E6B3C">
        <w:rPr>
          <w:rFonts w:ascii="Arial" w:hAnsi="Arial" w:cs="Arial"/>
          <w:sz w:val="20"/>
          <w:szCs w:val="20"/>
        </w:rPr>
        <w:t>The A</w:t>
      </w:r>
      <w:r w:rsidR="007D72D8" w:rsidRPr="009E6B3C">
        <w:rPr>
          <w:rFonts w:ascii="Arial" w:hAnsi="Arial" w:cs="Arial"/>
          <w:sz w:val="20"/>
          <w:szCs w:val="20"/>
        </w:rPr>
        <w:t>uditor-</w:t>
      </w:r>
      <w:r w:rsidR="007C1CAE" w:rsidRPr="009E6B3C">
        <w:rPr>
          <w:rFonts w:ascii="Arial" w:hAnsi="Arial" w:cs="Arial"/>
          <w:sz w:val="20"/>
          <w:szCs w:val="20"/>
        </w:rPr>
        <w:t>General recommended</w:t>
      </w:r>
      <w:r w:rsidRPr="009E6B3C">
        <w:rPr>
          <w:rFonts w:ascii="Arial" w:hAnsi="Arial" w:cs="Arial"/>
          <w:sz w:val="20"/>
          <w:szCs w:val="20"/>
        </w:rPr>
        <w:t xml:space="preserve"> that the Department employ temporal staff to capture the voluminous historical information on the litigations and claims register. Then, update the status of each litigation matter and claim throughout the year, where applicable. The Department’s legal department should assess and record the possible outcome of each claim at year-end, based on progress, for disclosure of the contingent liabilities to the Annual Financial Statement (AFS). The finalisation of the revised population should be concluded for review by internal and external auditor</w:t>
      </w:r>
      <w:r w:rsidR="00BF7E42" w:rsidRPr="009E6B3C">
        <w:rPr>
          <w:rFonts w:ascii="Arial" w:hAnsi="Arial" w:cs="Arial"/>
          <w:sz w:val="20"/>
          <w:szCs w:val="20"/>
        </w:rPr>
        <w:t>s</w:t>
      </w:r>
      <w:r w:rsidRPr="009E6B3C">
        <w:rPr>
          <w:rFonts w:ascii="Arial" w:hAnsi="Arial" w:cs="Arial"/>
          <w:sz w:val="20"/>
          <w:szCs w:val="20"/>
        </w:rPr>
        <w:t xml:space="preserve"> prior to the official submission of the AFS.</w:t>
      </w:r>
    </w:p>
    <w:p w:rsidR="00DD350C" w:rsidRPr="009E6B3C" w:rsidRDefault="00DD350C" w:rsidP="009E6B3C">
      <w:pPr>
        <w:rPr>
          <w:rFonts w:ascii="Arial" w:hAnsi="Arial" w:cs="Arial"/>
          <w:b/>
          <w:sz w:val="20"/>
          <w:szCs w:val="20"/>
        </w:rPr>
      </w:pPr>
    </w:p>
    <w:p w:rsidR="00DD350C" w:rsidRPr="009E6B3C" w:rsidRDefault="00DD350C" w:rsidP="009E6B3C">
      <w:pPr>
        <w:pStyle w:val="ListParagraph"/>
        <w:numPr>
          <w:ilvl w:val="2"/>
          <w:numId w:val="46"/>
        </w:numPr>
        <w:ind w:left="851" w:hanging="851"/>
        <w:rPr>
          <w:rFonts w:ascii="Arial" w:hAnsi="Arial" w:cs="Arial"/>
          <w:sz w:val="20"/>
          <w:szCs w:val="20"/>
        </w:rPr>
      </w:pPr>
      <w:r w:rsidRPr="009E6B3C">
        <w:rPr>
          <w:rFonts w:ascii="Arial" w:hAnsi="Arial" w:cs="Arial"/>
          <w:i/>
          <w:sz w:val="20"/>
          <w:szCs w:val="20"/>
        </w:rPr>
        <w:t>Material findings on compliance</w:t>
      </w:r>
      <w:r w:rsidRPr="009E6B3C">
        <w:rPr>
          <w:rFonts w:ascii="Arial" w:hAnsi="Arial" w:cs="Arial"/>
          <w:sz w:val="20"/>
          <w:szCs w:val="20"/>
        </w:rPr>
        <w:t xml:space="preserve"> were as follows</w:t>
      </w:r>
    </w:p>
    <w:p w:rsidR="00DD350C" w:rsidRPr="009E6B3C" w:rsidRDefault="00DD350C" w:rsidP="009E6B3C">
      <w:pPr>
        <w:pStyle w:val="ListParagraph"/>
        <w:ind w:left="862"/>
        <w:rPr>
          <w:rFonts w:ascii="Arial" w:hAnsi="Arial" w:cs="Arial"/>
          <w:sz w:val="20"/>
          <w:szCs w:val="20"/>
        </w:rPr>
      </w:pPr>
    </w:p>
    <w:p w:rsidR="0060403C" w:rsidRPr="009E6B3C" w:rsidRDefault="0060403C" w:rsidP="009E6B3C">
      <w:pPr>
        <w:rPr>
          <w:rFonts w:ascii="Arial" w:hAnsi="Arial" w:cs="Arial"/>
          <w:b/>
          <w:i/>
          <w:sz w:val="20"/>
          <w:szCs w:val="20"/>
        </w:rPr>
      </w:pPr>
      <w:r w:rsidRPr="009E6B3C">
        <w:rPr>
          <w:rFonts w:ascii="Arial" w:hAnsi="Arial" w:cs="Arial"/>
          <w:b/>
          <w:i/>
          <w:sz w:val="20"/>
          <w:szCs w:val="20"/>
        </w:rPr>
        <w:t xml:space="preserve">Table 7: </w:t>
      </w:r>
      <w:r w:rsidR="007C1CAE" w:rsidRPr="009E6B3C">
        <w:rPr>
          <w:rFonts w:ascii="Arial" w:hAnsi="Arial" w:cs="Arial"/>
          <w:b/>
          <w:i/>
          <w:sz w:val="20"/>
          <w:szCs w:val="20"/>
        </w:rPr>
        <w:t>Department of Justice and Constitutional Development</w:t>
      </w:r>
      <w:r w:rsidR="007C1CAE" w:rsidRPr="009E6B3C">
        <w:rPr>
          <w:rFonts w:ascii="Arial" w:hAnsi="Arial" w:cs="Arial"/>
          <w:b/>
          <w:sz w:val="20"/>
          <w:szCs w:val="20"/>
        </w:rPr>
        <w:t xml:space="preserve"> </w:t>
      </w:r>
      <w:r w:rsidR="007C1CAE" w:rsidRPr="009E6B3C">
        <w:rPr>
          <w:rFonts w:ascii="Arial" w:hAnsi="Arial" w:cs="Arial"/>
          <w:b/>
          <w:i/>
          <w:sz w:val="20"/>
          <w:szCs w:val="20"/>
        </w:rPr>
        <w:t xml:space="preserve">- </w:t>
      </w:r>
      <w:r w:rsidRPr="009E6B3C">
        <w:rPr>
          <w:rFonts w:ascii="Arial" w:hAnsi="Arial" w:cs="Arial"/>
          <w:b/>
          <w:i/>
          <w:sz w:val="20"/>
          <w:szCs w:val="20"/>
        </w:rPr>
        <w:t>Material findings on compliance</w:t>
      </w:r>
    </w:p>
    <w:tbl>
      <w:tblPr>
        <w:tblStyle w:val="TableGrid"/>
        <w:tblW w:w="5000" w:type="pct"/>
        <w:tblLook w:val="04A0"/>
      </w:tblPr>
      <w:tblGrid>
        <w:gridCol w:w="4810"/>
        <w:gridCol w:w="4817"/>
      </w:tblGrid>
      <w:tr w:rsidR="00DD350C" w:rsidRPr="009E6B3C" w:rsidTr="006A4366">
        <w:trPr>
          <w:tblHeader/>
        </w:trPr>
        <w:tc>
          <w:tcPr>
            <w:tcW w:w="2498" w:type="pct"/>
            <w:shd w:val="clear" w:color="auto" w:fill="D9D9D9" w:themeFill="background1" w:themeFillShade="D9"/>
          </w:tcPr>
          <w:p w:rsidR="00DD350C" w:rsidRPr="009E6B3C" w:rsidRDefault="00DD350C" w:rsidP="009E6B3C">
            <w:pPr>
              <w:rPr>
                <w:rFonts w:ascii="Arial" w:hAnsi="Arial" w:cs="Arial"/>
                <w:b/>
                <w:caps/>
                <w:sz w:val="20"/>
                <w:szCs w:val="20"/>
              </w:rPr>
            </w:pPr>
            <w:r w:rsidRPr="009E6B3C">
              <w:rPr>
                <w:rFonts w:ascii="Arial" w:hAnsi="Arial" w:cs="Arial"/>
                <w:b/>
                <w:caps/>
                <w:sz w:val="20"/>
                <w:szCs w:val="20"/>
              </w:rPr>
              <w:t>Description</w:t>
            </w:r>
          </w:p>
        </w:tc>
        <w:tc>
          <w:tcPr>
            <w:tcW w:w="2502" w:type="pct"/>
            <w:shd w:val="clear" w:color="auto" w:fill="D9D9D9" w:themeFill="background1" w:themeFillShade="D9"/>
          </w:tcPr>
          <w:p w:rsidR="00DD350C" w:rsidRPr="009E6B3C" w:rsidRDefault="00DD350C" w:rsidP="009E6B3C">
            <w:pPr>
              <w:rPr>
                <w:rFonts w:ascii="Arial" w:hAnsi="Arial" w:cs="Arial"/>
                <w:b/>
                <w:caps/>
                <w:sz w:val="20"/>
                <w:szCs w:val="20"/>
              </w:rPr>
            </w:pPr>
            <w:r w:rsidRPr="009E6B3C">
              <w:rPr>
                <w:rFonts w:ascii="Arial" w:hAnsi="Arial" w:cs="Arial"/>
                <w:b/>
                <w:caps/>
                <w:sz w:val="20"/>
                <w:szCs w:val="20"/>
              </w:rPr>
              <w:t>Root cause</w:t>
            </w:r>
          </w:p>
        </w:tc>
      </w:tr>
      <w:tr w:rsidR="00DD350C" w:rsidRPr="009E6B3C" w:rsidTr="006A4366">
        <w:tc>
          <w:tcPr>
            <w:tcW w:w="2498" w:type="pct"/>
          </w:tcPr>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t>Some of the goods and services were procured without obtaining at least three written price quotations.</w:t>
            </w:r>
          </w:p>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t xml:space="preserve">The AFS included material misstatements on contingent liabilities. </w:t>
            </w:r>
          </w:p>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t xml:space="preserve">The Department incurred and reported irregular expenditure worth R900.9 million in 2021/22, indicating that the process was not effective and appropriate to prevent irregular expenditure. </w:t>
            </w:r>
          </w:p>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t xml:space="preserve">R857 million of the reported irregular expenditure originates from prior years’ security contract payments. The non-compliance investigation was, however concluded in 2021/22. </w:t>
            </w:r>
          </w:p>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t xml:space="preserve">There was no evidence to confirm that investigations were conducted into allegations of financial misconduct by officials and/or that </w:t>
            </w:r>
            <w:r w:rsidRPr="009E6B3C">
              <w:rPr>
                <w:rFonts w:ascii="Arial" w:hAnsi="Arial" w:cs="Arial"/>
                <w:sz w:val="20"/>
                <w:szCs w:val="20"/>
              </w:rPr>
              <w:lastRenderedPageBreak/>
              <w:t xml:space="preserve">disciplinary steps were taken against officials who had incurred irregular expenditure. </w:t>
            </w:r>
          </w:p>
        </w:tc>
        <w:tc>
          <w:tcPr>
            <w:tcW w:w="2502" w:type="pct"/>
          </w:tcPr>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lastRenderedPageBreak/>
              <w:t xml:space="preserve">There is no framework for the procurement of legal services in the Department. Consequently, procurement processes were not followed by State Attorney offices. </w:t>
            </w:r>
          </w:p>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t xml:space="preserve">The CFO position was vacant for the duration of 2021/22. The position is critical </w:t>
            </w:r>
            <w:r w:rsidR="007D72D8" w:rsidRPr="009E6B3C">
              <w:rPr>
                <w:rFonts w:ascii="Arial" w:hAnsi="Arial" w:cs="Arial"/>
                <w:sz w:val="20"/>
                <w:szCs w:val="20"/>
              </w:rPr>
              <w:t>to</w:t>
            </w:r>
            <w:r w:rsidRPr="009E6B3C">
              <w:rPr>
                <w:rFonts w:ascii="Arial" w:hAnsi="Arial" w:cs="Arial"/>
                <w:sz w:val="20"/>
                <w:szCs w:val="20"/>
              </w:rPr>
              <w:t xml:space="preserve"> reporting within the requirements of the reporting accounting framework. </w:t>
            </w:r>
          </w:p>
          <w:p w:rsidR="00DD350C" w:rsidRPr="009E6B3C" w:rsidRDefault="00DD350C" w:rsidP="009E6B3C">
            <w:pPr>
              <w:pStyle w:val="ListParagraph"/>
              <w:numPr>
                <w:ilvl w:val="0"/>
                <w:numId w:val="10"/>
              </w:numPr>
              <w:rPr>
                <w:rFonts w:ascii="Arial" w:hAnsi="Arial" w:cs="Arial"/>
                <w:sz w:val="20"/>
                <w:szCs w:val="20"/>
              </w:rPr>
            </w:pPr>
            <w:r w:rsidRPr="009E6B3C">
              <w:rPr>
                <w:rFonts w:ascii="Arial" w:hAnsi="Arial" w:cs="Arial"/>
                <w:sz w:val="20"/>
                <w:szCs w:val="20"/>
              </w:rPr>
              <w:t>There is slow progress i</w:t>
            </w:r>
            <w:r w:rsidR="00A73A28" w:rsidRPr="009E6B3C">
              <w:rPr>
                <w:rFonts w:ascii="Arial" w:hAnsi="Arial" w:cs="Arial"/>
                <w:sz w:val="20"/>
                <w:szCs w:val="20"/>
              </w:rPr>
              <w:t>n</w:t>
            </w:r>
            <w:r w:rsidRPr="009E6B3C">
              <w:rPr>
                <w:rFonts w:ascii="Arial" w:hAnsi="Arial" w:cs="Arial"/>
                <w:sz w:val="20"/>
                <w:szCs w:val="20"/>
              </w:rPr>
              <w:t xml:space="preserve"> concluding the backlog of investigations by the Department.</w:t>
            </w:r>
          </w:p>
        </w:tc>
      </w:tr>
    </w:tbl>
    <w:p w:rsidR="00DD350C" w:rsidRPr="009E6B3C" w:rsidRDefault="00DD350C" w:rsidP="009E6B3C">
      <w:pPr>
        <w:pStyle w:val="ListParagraph"/>
        <w:autoSpaceDE w:val="0"/>
        <w:autoSpaceDN w:val="0"/>
        <w:adjustRightInd w:val="0"/>
        <w:rPr>
          <w:rFonts w:ascii="Arial" w:hAnsi="Arial" w:cs="Arial"/>
          <w:sz w:val="20"/>
          <w:szCs w:val="20"/>
          <w:highlight w:val="yellow"/>
          <w:lang w:val="en-US"/>
        </w:rPr>
      </w:pPr>
    </w:p>
    <w:p w:rsidR="00DD350C" w:rsidRPr="009E6B3C" w:rsidRDefault="00DD350C" w:rsidP="009E6B3C">
      <w:pPr>
        <w:pStyle w:val="ListParagraph"/>
        <w:numPr>
          <w:ilvl w:val="2"/>
          <w:numId w:val="46"/>
        </w:numPr>
        <w:ind w:left="851" w:hanging="851"/>
        <w:rPr>
          <w:rFonts w:ascii="Arial" w:hAnsi="Arial" w:cs="Arial"/>
          <w:sz w:val="20"/>
          <w:szCs w:val="20"/>
          <w:lang w:val="en-US"/>
        </w:rPr>
      </w:pPr>
      <w:r w:rsidRPr="009E6B3C">
        <w:rPr>
          <w:rFonts w:ascii="Arial" w:hAnsi="Arial" w:cs="Arial"/>
          <w:i/>
          <w:sz w:val="20"/>
          <w:szCs w:val="20"/>
          <w:lang w:val="en-US"/>
        </w:rPr>
        <w:t>Findings on the quality of the performance information</w:t>
      </w:r>
      <w:r w:rsidRPr="009E6B3C">
        <w:rPr>
          <w:rFonts w:ascii="Arial" w:hAnsi="Arial" w:cs="Arial"/>
          <w:sz w:val="20"/>
          <w:szCs w:val="20"/>
          <w:lang w:val="en-US"/>
        </w:rPr>
        <w:t>: The Department had material findings in the usefulness and reliability of the performance information reported under State Legal Services, as a result of inad</w:t>
      </w:r>
      <w:r w:rsidR="00BF7E42" w:rsidRPr="009E6B3C">
        <w:rPr>
          <w:rFonts w:ascii="Arial" w:hAnsi="Arial" w:cs="Arial"/>
          <w:sz w:val="20"/>
          <w:szCs w:val="20"/>
          <w:lang w:val="en-US"/>
        </w:rPr>
        <w:t>equate monitoring and reporting</w:t>
      </w:r>
      <w:r w:rsidRPr="009E6B3C">
        <w:rPr>
          <w:rFonts w:ascii="Arial" w:hAnsi="Arial" w:cs="Arial"/>
          <w:sz w:val="20"/>
          <w:szCs w:val="20"/>
          <w:lang w:val="en-US"/>
        </w:rPr>
        <w:t>.</w:t>
      </w:r>
    </w:p>
    <w:p w:rsidR="00DD350C" w:rsidRPr="009E6B3C" w:rsidRDefault="00DD350C" w:rsidP="009E6B3C">
      <w:pPr>
        <w:pStyle w:val="ListParagraph"/>
        <w:autoSpaceDE w:val="0"/>
        <w:autoSpaceDN w:val="0"/>
        <w:adjustRightInd w:val="0"/>
        <w:ind w:left="851"/>
        <w:rPr>
          <w:rFonts w:ascii="Arial" w:hAnsi="Arial" w:cs="Arial"/>
          <w:sz w:val="20"/>
          <w:szCs w:val="20"/>
          <w:lang w:val="en-US"/>
        </w:rPr>
      </w:pPr>
    </w:p>
    <w:p w:rsidR="00DD350C" w:rsidRPr="009E6B3C" w:rsidRDefault="00DD350C" w:rsidP="009E6B3C">
      <w:pPr>
        <w:pStyle w:val="ListParagraph"/>
        <w:numPr>
          <w:ilvl w:val="2"/>
          <w:numId w:val="46"/>
        </w:numPr>
        <w:ind w:left="851" w:hanging="851"/>
        <w:rPr>
          <w:rFonts w:ascii="Arial" w:hAnsi="Arial" w:cs="Arial"/>
          <w:i/>
          <w:sz w:val="20"/>
          <w:szCs w:val="20"/>
        </w:rPr>
      </w:pPr>
      <w:r w:rsidRPr="009E6B3C">
        <w:rPr>
          <w:rFonts w:ascii="Arial" w:hAnsi="Arial" w:cs="Arial"/>
          <w:i/>
          <w:sz w:val="20"/>
          <w:szCs w:val="20"/>
          <w:lang w:val="en-US"/>
        </w:rPr>
        <w:t xml:space="preserve">Integrated Justice System: </w:t>
      </w:r>
      <w:r w:rsidRPr="009E6B3C">
        <w:rPr>
          <w:rFonts w:ascii="Arial" w:hAnsi="Arial" w:cs="Arial"/>
          <w:i/>
          <w:sz w:val="20"/>
          <w:szCs w:val="20"/>
        </w:rPr>
        <w:t>Integrated Justice System (IJS)</w:t>
      </w:r>
    </w:p>
    <w:p w:rsidR="00DD350C" w:rsidRPr="009E6B3C" w:rsidRDefault="00DD350C" w:rsidP="009E6B3C">
      <w:pPr>
        <w:pStyle w:val="ListParagraph"/>
        <w:ind w:left="540"/>
        <w:rPr>
          <w:rFonts w:ascii="Arial" w:hAnsi="Arial" w:cs="Arial"/>
          <w:sz w:val="20"/>
          <w:szCs w:val="20"/>
        </w:rPr>
      </w:pPr>
    </w:p>
    <w:p w:rsidR="00DD350C" w:rsidRPr="009E6B3C" w:rsidRDefault="00DD350C" w:rsidP="009E6B3C">
      <w:pPr>
        <w:pStyle w:val="ListParagraph"/>
        <w:numPr>
          <w:ilvl w:val="0"/>
          <w:numId w:val="50"/>
        </w:numPr>
        <w:ind w:left="851" w:hanging="851"/>
        <w:rPr>
          <w:rFonts w:ascii="Arial" w:hAnsi="Arial" w:cs="Arial"/>
          <w:sz w:val="20"/>
          <w:szCs w:val="20"/>
        </w:rPr>
      </w:pPr>
      <w:r w:rsidRPr="009E6B3C">
        <w:rPr>
          <w:rFonts w:ascii="Arial" w:hAnsi="Arial" w:cs="Arial"/>
          <w:sz w:val="20"/>
          <w:szCs w:val="20"/>
        </w:rPr>
        <w:t>The A</w:t>
      </w:r>
      <w:r w:rsidR="007D72D8" w:rsidRPr="009E6B3C">
        <w:rPr>
          <w:rFonts w:ascii="Arial" w:hAnsi="Arial" w:cs="Arial"/>
          <w:sz w:val="20"/>
          <w:szCs w:val="20"/>
        </w:rPr>
        <w:t xml:space="preserve">uditor-General </w:t>
      </w:r>
      <w:r w:rsidRPr="009E6B3C">
        <w:rPr>
          <w:rFonts w:ascii="Arial" w:hAnsi="Arial" w:cs="Arial"/>
          <w:sz w:val="20"/>
          <w:szCs w:val="20"/>
        </w:rPr>
        <w:t>found that the goal to fully modernise the Criminal Justice System (CJS) has not been fully realised in line with resources and investments made over the years. A total of R8</w:t>
      </w:r>
      <w:r w:rsidR="007D72D8" w:rsidRPr="009E6B3C">
        <w:rPr>
          <w:rFonts w:ascii="Arial" w:hAnsi="Arial" w:cs="Arial"/>
          <w:sz w:val="20"/>
          <w:szCs w:val="20"/>
        </w:rPr>
        <w:t>.</w:t>
      </w:r>
      <w:r w:rsidRPr="009E6B3C">
        <w:rPr>
          <w:rFonts w:ascii="Arial" w:hAnsi="Arial" w:cs="Arial"/>
          <w:sz w:val="20"/>
          <w:szCs w:val="20"/>
        </w:rPr>
        <w:t xml:space="preserve">65 billion has been allocated to fund the IJS programme from inception to date, while total expenditure is R7.84 billion. </w:t>
      </w:r>
    </w:p>
    <w:p w:rsidR="00DD350C" w:rsidRPr="009E6B3C" w:rsidRDefault="00DD350C" w:rsidP="009E6B3C">
      <w:pPr>
        <w:pStyle w:val="ListParagraph"/>
        <w:ind w:left="851"/>
        <w:rPr>
          <w:rFonts w:ascii="Arial" w:hAnsi="Arial" w:cs="Arial"/>
          <w:sz w:val="20"/>
          <w:szCs w:val="20"/>
        </w:rPr>
      </w:pPr>
    </w:p>
    <w:p w:rsidR="00DD350C" w:rsidRPr="009E6B3C" w:rsidRDefault="00DD350C" w:rsidP="009E6B3C">
      <w:pPr>
        <w:pStyle w:val="ListParagraph"/>
        <w:numPr>
          <w:ilvl w:val="0"/>
          <w:numId w:val="50"/>
        </w:numPr>
        <w:ind w:left="851" w:hanging="851"/>
        <w:rPr>
          <w:rFonts w:ascii="Arial" w:hAnsi="Arial" w:cs="Arial"/>
          <w:sz w:val="20"/>
          <w:szCs w:val="20"/>
        </w:rPr>
      </w:pPr>
      <w:r w:rsidRPr="009E6B3C">
        <w:rPr>
          <w:rFonts w:ascii="Arial" w:hAnsi="Arial" w:cs="Arial"/>
          <w:sz w:val="20"/>
          <w:szCs w:val="20"/>
        </w:rPr>
        <w:t xml:space="preserve">Although the reconstituted programme governance structures are in operation and are overseeing implementation of projects outlined in the 2019-2024 MTEF, some projects are faced with challenges that range from procurement, resource constraints, contract management and vendor management. This has caused major project delivery delays that have impacted on the project timelines and budgets. </w:t>
      </w:r>
    </w:p>
    <w:p w:rsidR="00DD350C" w:rsidRPr="009E6B3C" w:rsidRDefault="00DD350C" w:rsidP="009E6B3C">
      <w:pPr>
        <w:pStyle w:val="ListParagraph"/>
        <w:ind w:left="851"/>
        <w:rPr>
          <w:rFonts w:ascii="Arial" w:hAnsi="Arial" w:cs="Arial"/>
          <w:sz w:val="20"/>
          <w:szCs w:val="20"/>
        </w:rPr>
      </w:pPr>
    </w:p>
    <w:p w:rsidR="00DD350C" w:rsidRPr="009E6B3C" w:rsidRDefault="00DD350C" w:rsidP="009E6B3C">
      <w:pPr>
        <w:pStyle w:val="ListParagraph"/>
        <w:numPr>
          <w:ilvl w:val="0"/>
          <w:numId w:val="50"/>
        </w:numPr>
        <w:ind w:left="851" w:hanging="851"/>
        <w:rPr>
          <w:rFonts w:ascii="Arial" w:hAnsi="Arial" w:cs="Arial"/>
          <w:sz w:val="20"/>
          <w:szCs w:val="20"/>
        </w:rPr>
      </w:pPr>
      <w:r w:rsidRPr="009E6B3C">
        <w:rPr>
          <w:rFonts w:ascii="Arial" w:hAnsi="Arial" w:cs="Arial"/>
          <w:sz w:val="20"/>
          <w:szCs w:val="20"/>
        </w:rPr>
        <w:t>The drivers for the modernisation of the CJS depend on a fully Integrated Case Management System (ICMS), Integrated Person Management System (IPMS) and Business Intelligence (BI) platform. The integration status for the ICMS, IPMS and BI is at 100%, 40%, 80%, respectively. The delay in the implementation of the IPMS 9at 40%) is attributed to delays in individual projects at the Department of Home Affairs (DHA), South African Police Services (SAPS) and Department of Correctional Services (DCS).</w:t>
      </w:r>
    </w:p>
    <w:p w:rsidR="00DD350C" w:rsidRPr="009E6B3C" w:rsidRDefault="00DD350C" w:rsidP="009E6B3C">
      <w:pPr>
        <w:autoSpaceDE w:val="0"/>
        <w:autoSpaceDN w:val="0"/>
        <w:adjustRightInd w:val="0"/>
        <w:rPr>
          <w:rFonts w:ascii="Arial" w:hAnsi="Arial" w:cs="Arial"/>
          <w:sz w:val="20"/>
          <w:szCs w:val="20"/>
          <w:highlight w:val="yellow"/>
        </w:rPr>
      </w:pPr>
    </w:p>
    <w:p w:rsidR="000F1F5D" w:rsidRPr="009E6B3C" w:rsidRDefault="000F1F5D" w:rsidP="009E6B3C">
      <w:pPr>
        <w:pStyle w:val="ListParagraph"/>
        <w:numPr>
          <w:ilvl w:val="1"/>
          <w:numId w:val="1"/>
        </w:numPr>
        <w:ind w:left="851" w:hanging="851"/>
        <w:rPr>
          <w:rFonts w:ascii="Arial" w:hAnsi="Arial" w:cs="Arial"/>
          <w:sz w:val="20"/>
          <w:szCs w:val="20"/>
        </w:rPr>
      </w:pPr>
      <w:r w:rsidRPr="009E6B3C">
        <w:rPr>
          <w:rFonts w:ascii="Arial" w:eastAsia="MyriadPro-Light" w:hAnsi="Arial" w:cs="Arial"/>
          <w:b/>
          <w:i/>
          <w:sz w:val="20"/>
          <w:szCs w:val="20"/>
        </w:rPr>
        <w:t>Linking</w:t>
      </w:r>
      <w:r w:rsidRPr="009E6B3C">
        <w:rPr>
          <w:rFonts w:ascii="Arial" w:hAnsi="Arial" w:cs="Arial"/>
          <w:b/>
          <w:i/>
          <w:sz w:val="20"/>
          <w:szCs w:val="20"/>
        </w:rPr>
        <w:t xml:space="preserve"> financial and non-financial performance information</w:t>
      </w:r>
      <w:r w:rsidR="007C1CAE" w:rsidRPr="009E6B3C">
        <w:rPr>
          <w:rFonts w:ascii="Arial" w:hAnsi="Arial" w:cs="Arial"/>
          <w:sz w:val="20"/>
          <w:szCs w:val="20"/>
        </w:rPr>
        <w:t>:</w:t>
      </w:r>
    </w:p>
    <w:p w:rsidR="000F1F5D" w:rsidRPr="009E6B3C" w:rsidRDefault="000F1F5D"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Department spent 94.9% of the overall </w:t>
      </w:r>
      <w:r w:rsidR="00AA0793" w:rsidRPr="009E6B3C">
        <w:rPr>
          <w:rFonts w:ascii="Arial" w:hAnsi="Arial" w:cs="Arial"/>
          <w:sz w:val="20"/>
          <w:szCs w:val="20"/>
        </w:rPr>
        <w:t>budget</w:t>
      </w:r>
      <w:r w:rsidR="00BF7E42" w:rsidRPr="009E6B3C">
        <w:rPr>
          <w:rFonts w:ascii="Arial" w:hAnsi="Arial" w:cs="Arial"/>
          <w:sz w:val="20"/>
          <w:szCs w:val="20"/>
        </w:rPr>
        <w:t xml:space="preserve"> for 2021/22</w:t>
      </w:r>
      <w:r w:rsidR="00AA0793" w:rsidRPr="009E6B3C">
        <w:rPr>
          <w:rFonts w:ascii="Arial" w:hAnsi="Arial" w:cs="Arial"/>
          <w:sz w:val="20"/>
          <w:szCs w:val="20"/>
        </w:rPr>
        <w:t>, while achieving 79</w:t>
      </w:r>
      <w:r w:rsidRPr="009E6B3C">
        <w:rPr>
          <w:rFonts w:ascii="Arial" w:hAnsi="Arial" w:cs="Arial"/>
          <w:sz w:val="20"/>
          <w:szCs w:val="20"/>
        </w:rPr>
        <w:t>%</w:t>
      </w:r>
      <w:r w:rsidR="00E011A5" w:rsidRPr="009E6B3C">
        <w:rPr>
          <w:rFonts w:ascii="Arial" w:hAnsi="Arial" w:cs="Arial"/>
          <w:sz w:val="20"/>
          <w:szCs w:val="20"/>
        </w:rPr>
        <w:t xml:space="preserve"> </w:t>
      </w:r>
      <w:r w:rsidR="00675A6A" w:rsidRPr="009E6B3C">
        <w:rPr>
          <w:rFonts w:ascii="Arial" w:hAnsi="Arial" w:cs="Arial"/>
          <w:sz w:val="20"/>
          <w:szCs w:val="20"/>
        </w:rPr>
        <w:t xml:space="preserve">of </w:t>
      </w:r>
      <w:r w:rsidR="00DD350C" w:rsidRPr="009E6B3C">
        <w:rPr>
          <w:rFonts w:ascii="Arial" w:hAnsi="Arial" w:cs="Arial"/>
          <w:sz w:val="20"/>
          <w:szCs w:val="20"/>
        </w:rPr>
        <w:t xml:space="preserve">planned </w:t>
      </w:r>
      <w:r w:rsidR="00AA0793" w:rsidRPr="009E6B3C">
        <w:rPr>
          <w:rFonts w:ascii="Arial" w:hAnsi="Arial" w:cs="Arial"/>
          <w:sz w:val="20"/>
          <w:szCs w:val="20"/>
        </w:rPr>
        <w:t>targets</w:t>
      </w:r>
      <w:r w:rsidR="00DD350C" w:rsidRPr="009E6B3C">
        <w:rPr>
          <w:rFonts w:ascii="Arial" w:hAnsi="Arial" w:cs="Arial"/>
          <w:sz w:val="20"/>
          <w:szCs w:val="20"/>
        </w:rPr>
        <w:t>.</w:t>
      </w:r>
      <w:r w:rsidR="00CD6371" w:rsidRPr="009E6B3C">
        <w:rPr>
          <w:rFonts w:ascii="Arial" w:hAnsi="Arial" w:cs="Arial"/>
          <w:sz w:val="20"/>
          <w:szCs w:val="20"/>
        </w:rPr>
        <w:t xml:space="preserve"> </w:t>
      </w:r>
    </w:p>
    <w:p w:rsidR="00EB1F4E" w:rsidRPr="009E6B3C" w:rsidRDefault="00BF7E4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However, t</w:t>
      </w:r>
      <w:r w:rsidR="00DD350C" w:rsidRPr="009E6B3C">
        <w:rPr>
          <w:rFonts w:ascii="Arial" w:hAnsi="Arial" w:cs="Arial"/>
          <w:sz w:val="20"/>
          <w:szCs w:val="20"/>
        </w:rPr>
        <w:t xml:space="preserve">he Department </w:t>
      </w:r>
      <w:r w:rsidR="00EB1F4E" w:rsidRPr="009E6B3C">
        <w:rPr>
          <w:rFonts w:ascii="Arial" w:hAnsi="Arial" w:cs="Arial"/>
          <w:sz w:val="20"/>
          <w:szCs w:val="20"/>
        </w:rPr>
        <w:t>amended its 2021/22 Annual Performance Plan (APP) in January 2021/22, revising certain targets downwards.</w:t>
      </w:r>
    </w:p>
    <w:p w:rsidR="00DD350C" w:rsidRPr="009E6B3C" w:rsidRDefault="00EB1F4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Further, the Department did not meet certain targets</w:t>
      </w:r>
      <w:r w:rsidR="009B7EB9" w:rsidRPr="009E6B3C">
        <w:rPr>
          <w:rFonts w:ascii="Arial" w:hAnsi="Arial" w:cs="Arial"/>
          <w:sz w:val="20"/>
          <w:szCs w:val="20"/>
        </w:rPr>
        <w:t xml:space="preserve"> which relate to priority areas, specifically indicators relating </w:t>
      </w:r>
      <w:r w:rsidR="007D72D8" w:rsidRPr="009E6B3C">
        <w:rPr>
          <w:rFonts w:ascii="Arial" w:hAnsi="Arial" w:cs="Arial"/>
          <w:sz w:val="20"/>
          <w:szCs w:val="20"/>
        </w:rPr>
        <w:t xml:space="preserve">to combatting </w:t>
      </w:r>
      <w:r w:rsidRPr="009E6B3C">
        <w:rPr>
          <w:rFonts w:ascii="Arial" w:hAnsi="Arial" w:cs="Arial"/>
          <w:sz w:val="20"/>
          <w:szCs w:val="20"/>
        </w:rPr>
        <w:t xml:space="preserve">gender-based violence, </w:t>
      </w:r>
      <w:r w:rsidR="009B7EB9" w:rsidRPr="009E6B3C">
        <w:rPr>
          <w:rFonts w:ascii="Arial" w:hAnsi="Arial" w:cs="Arial"/>
          <w:sz w:val="20"/>
          <w:szCs w:val="20"/>
        </w:rPr>
        <w:t xml:space="preserve">reducing </w:t>
      </w:r>
      <w:r w:rsidRPr="009E6B3C">
        <w:rPr>
          <w:rFonts w:ascii="Arial" w:hAnsi="Arial" w:cs="Arial"/>
          <w:sz w:val="20"/>
          <w:szCs w:val="20"/>
        </w:rPr>
        <w:t xml:space="preserve">case backlogs, </w:t>
      </w:r>
      <w:r w:rsidR="009B7EB9" w:rsidRPr="009E6B3C">
        <w:rPr>
          <w:rFonts w:ascii="Arial" w:hAnsi="Arial" w:cs="Arial"/>
          <w:sz w:val="20"/>
          <w:szCs w:val="20"/>
        </w:rPr>
        <w:t>the modernisation of justice services</w:t>
      </w:r>
      <w:r w:rsidRPr="009E6B3C">
        <w:rPr>
          <w:rFonts w:ascii="Arial" w:hAnsi="Arial" w:cs="Arial"/>
          <w:sz w:val="20"/>
          <w:szCs w:val="20"/>
        </w:rPr>
        <w:t>, and improved organisational capability</w:t>
      </w:r>
      <w:r w:rsidR="009B7EB9" w:rsidRPr="009E6B3C">
        <w:rPr>
          <w:rFonts w:ascii="Arial" w:hAnsi="Arial" w:cs="Arial"/>
          <w:sz w:val="20"/>
          <w:szCs w:val="20"/>
        </w:rPr>
        <w:t xml:space="preserve"> and good governance</w:t>
      </w:r>
      <w:r w:rsidRPr="009E6B3C">
        <w:rPr>
          <w:rFonts w:ascii="Arial" w:hAnsi="Arial" w:cs="Arial"/>
          <w:sz w:val="20"/>
          <w:szCs w:val="20"/>
        </w:rPr>
        <w:t>.</w:t>
      </w:r>
    </w:p>
    <w:p w:rsidR="00675A6A" w:rsidRPr="009E6B3C" w:rsidRDefault="009B7EB9"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Concerning the audit outcome, t</w:t>
      </w:r>
      <w:r w:rsidR="00DD350C" w:rsidRPr="009E6B3C">
        <w:rPr>
          <w:rFonts w:ascii="Arial" w:hAnsi="Arial" w:cs="Arial"/>
          <w:sz w:val="20"/>
          <w:szCs w:val="20"/>
        </w:rPr>
        <w:t>he Department has remained qualified, with a repeat finding on contingent liabilities, as well as material findings on compliance with legislation in the supply chain environment.</w:t>
      </w:r>
      <w:r w:rsidRPr="009E6B3C">
        <w:rPr>
          <w:rFonts w:ascii="Arial" w:hAnsi="Arial" w:cs="Arial"/>
          <w:sz w:val="20"/>
          <w:szCs w:val="20"/>
        </w:rPr>
        <w:t xml:space="preserve"> </w:t>
      </w:r>
    </w:p>
    <w:p w:rsidR="007D72D8" w:rsidRPr="009E6B3C" w:rsidRDefault="007D72D8"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Irregular expenditure incurred increased by R900.2 million.</w:t>
      </w:r>
    </w:p>
    <w:p w:rsidR="00DB1272" w:rsidRPr="009E6B3C" w:rsidRDefault="009B7EB9"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The A</w:t>
      </w:r>
      <w:r w:rsidR="007D72D8" w:rsidRPr="009E6B3C">
        <w:rPr>
          <w:rFonts w:ascii="Arial" w:hAnsi="Arial" w:cs="Arial"/>
          <w:sz w:val="20"/>
          <w:szCs w:val="20"/>
        </w:rPr>
        <w:t xml:space="preserve">uditor-General </w:t>
      </w:r>
      <w:r w:rsidR="00DD350C" w:rsidRPr="009E6B3C">
        <w:rPr>
          <w:rFonts w:ascii="Arial" w:hAnsi="Arial" w:cs="Arial"/>
          <w:sz w:val="20"/>
          <w:szCs w:val="20"/>
        </w:rPr>
        <w:t xml:space="preserve">also </w:t>
      </w:r>
      <w:r w:rsidR="000F1F5D" w:rsidRPr="009E6B3C">
        <w:rPr>
          <w:rFonts w:ascii="Arial" w:hAnsi="Arial" w:cs="Arial"/>
          <w:sz w:val="20"/>
          <w:szCs w:val="20"/>
        </w:rPr>
        <w:t xml:space="preserve">queried the usefulness and reliability of certain performance information under the </w:t>
      </w:r>
      <w:r w:rsidR="00961A09" w:rsidRPr="009E6B3C">
        <w:rPr>
          <w:rFonts w:ascii="Arial" w:hAnsi="Arial" w:cs="Arial"/>
          <w:sz w:val="20"/>
          <w:szCs w:val="20"/>
        </w:rPr>
        <w:t xml:space="preserve">State </w:t>
      </w:r>
      <w:r w:rsidR="00B22C92" w:rsidRPr="009E6B3C">
        <w:rPr>
          <w:rFonts w:ascii="Arial" w:hAnsi="Arial" w:cs="Arial"/>
          <w:sz w:val="20"/>
          <w:szCs w:val="20"/>
        </w:rPr>
        <w:t>L</w:t>
      </w:r>
      <w:r w:rsidR="00961A09" w:rsidRPr="009E6B3C">
        <w:rPr>
          <w:rFonts w:ascii="Arial" w:hAnsi="Arial" w:cs="Arial"/>
          <w:sz w:val="20"/>
          <w:szCs w:val="20"/>
        </w:rPr>
        <w:t>egal Services</w:t>
      </w:r>
      <w:r w:rsidR="000F1F5D" w:rsidRPr="009E6B3C">
        <w:rPr>
          <w:rFonts w:ascii="Arial" w:hAnsi="Arial" w:cs="Arial"/>
          <w:sz w:val="20"/>
          <w:szCs w:val="20"/>
        </w:rPr>
        <w:t xml:space="preserve"> programme.</w:t>
      </w:r>
    </w:p>
    <w:p w:rsidR="00F73778" w:rsidRPr="009E6B3C" w:rsidRDefault="00F73778" w:rsidP="009E6B3C">
      <w:pPr>
        <w:rPr>
          <w:rFonts w:ascii="Arial" w:hAnsi="Arial" w:cs="Arial"/>
          <w:sz w:val="20"/>
          <w:szCs w:val="20"/>
        </w:rPr>
      </w:pPr>
    </w:p>
    <w:p w:rsidR="00106280" w:rsidRPr="009E6B3C" w:rsidRDefault="00DA4434" w:rsidP="009E6B3C">
      <w:pPr>
        <w:numPr>
          <w:ilvl w:val="0"/>
          <w:numId w:val="1"/>
        </w:numPr>
        <w:tabs>
          <w:tab w:val="num" w:pos="851"/>
        </w:tabs>
        <w:ind w:left="851" w:hanging="851"/>
        <w:rPr>
          <w:rFonts w:ascii="Arial" w:hAnsi="Arial" w:cs="Arial"/>
          <w:b/>
          <w:sz w:val="20"/>
          <w:szCs w:val="20"/>
          <w:lang w:val="en-US"/>
        </w:rPr>
      </w:pPr>
      <w:r w:rsidRPr="009E6B3C">
        <w:rPr>
          <w:rFonts w:ascii="Arial" w:hAnsi="Arial" w:cs="Arial"/>
          <w:b/>
          <w:sz w:val="20"/>
          <w:szCs w:val="20"/>
          <w:lang w:val="en-US"/>
        </w:rPr>
        <w:t xml:space="preserve">Programme 1 - </w:t>
      </w:r>
      <w:r w:rsidR="00106280" w:rsidRPr="009E6B3C">
        <w:rPr>
          <w:rFonts w:ascii="Arial" w:hAnsi="Arial" w:cs="Arial"/>
          <w:b/>
          <w:sz w:val="20"/>
          <w:szCs w:val="20"/>
          <w:lang w:val="en-US"/>
        </w:rPr>
        <w:t>Administration</w:t>
      </w:r>
    </w:p>
    <w:p w:rsidR="003F3C16" w:rsidRPr="009E6B3C" w:rsidRDefault="003F3C16" w:rsidP="009E6B3C">
      <w:pPr>
        <w:rPr>
          <w:rFonts w:ascii="Arial" w:hAnsi="Arial" w:cs="Arial"/>
          <w:sz w:val="20"/>
          <w:szCs w:val="20"/>
        </w:rPr>
      </w:pPr>
    </w:p>
    <w:p w:rsidR="00C56697" w:rsidRPr="009E6B3C" w:rsidRDefault="00106280" w:rsidP="009E6B3C">
      <w:pPr>
        <w:pStyle w:val="ListParagraph"/>
        <w:numPr>
          <w:ilvl w:val="1"/>
          <w:numId w:val="1"/>
        </w:numPr>
        <w:ind w:left="851" w:hanging="851"/>
        <w:rPr>
          <w:rFonts w:ascii="Arial" w:hAnsi="Arial" w:cs="Arial"/>
          <w:sz w:val="20"/>
          <w:szCs w:val="20"/>
        </w:rPr>
      </w:pPr>
      <w:r w:rsidRPr="009E6B3C">
        <w:rPr>
          <w:rFonts w:ascii="Arial" w:eastAsia="MyriadPro-Light" w:hAnsi="Arial" w:cs="Arial"/>
          <w:sz w:val="20"/>
          <w:szCs w:val="20"/>
        </w:rPr>
        <w:t>The</w:t>
      </w:r>
      <w:r w:rsidRPr="009E6B3C">
        <w:rPr>
          <w:rFonts w:ascii="Arial" w:hAnsi="Arial" w:cs="Arial"/>
          <w:bCs/>
          <w:sz w:val="20"/>
          <w:szCs w:val="20"/>
        </w:rPr>
        <w:t xml:space="preserve"> </w:t>
      </w:r>
      <w:r w:rsidRPr="009E6B3C">
        <w:rPr>
          <w:rFonts w:ascii="Arial" w:hAnsi="Arial" w:cs="Arial"/>
          <w:sz w:val="20"/>
          <w:szCs w:val="20"/>
        </w:rPr>
        <w:t xml:space="preserve">Administration programme </w:t>
      </w:r>
      <w:r w:rsidR="00961A09" w:rsidRPr="009E6B3C">
        <w:rPr>
          <w:rFonts w:ascii="Arial" w:hAnsi="Arial" w:cs="Arial"/>
          <w:sz w:val="20"/>
          <w:szCs w:val="20"/>
        </w:rPr>
        <w:t>provides</w:t>
      </w:r>
      <w:r w:rsidR="003F3C16" w:rsidRPr="009E6B3C">
        <w:rPr>
          <w:rFonts w:ascii="Arial" w:hAnsi="Arial" w:cs="Arial"/>
          <w:color w:val="000000" w:themeColor="text1"/>
          <w:sz w:val="20"/>
          <w:szCs w:val="20"/>
          <w:lang w:eastAsia="en-ZA"/>
        </w:rPr>
        <w:t xml:space="preserve"> strategic leadership, management and support services to the Department.</w:t>
      </w:r>
      <w:r w:rsidR="00C56697" w:rsidRPr="009E6B3C">
        <w:rPr>
          <w:rFonts w:ascii="Arial" w:hAnsi="Arial" w:cs="Arial"/>
          <w:color w:val="000000" w:themeColor="text1"/>
          <w:sz w:val="20"/>
          <w:szCs w:val="20"/>
          <w:lang w:eastAsia="en-ZA"/>
        </w:rPr>
        <w:t xml:space="preserve"> </w:t>
      </w:r>
    </w:p>
    <w:p w:rsidR="00C56697" w:rsidRPr="009E6B3C" w:rsidRDefault="00C56697" w:rsidP="009E6B3C">
      <w:pPr>
        <w:pStyle w:val="ListParagraph"/>
        <w:autoSpaceDE w:val="0"/>
        <w:autoSpaceDN w:val="0"/>
        <w:adjustRightInd w:val="0"/>
        <w:ind w:left="0"/>
        <w:rPr>
          <w:rFonts w:ascii="Arial" w:hAnsi="Arial" w:cs="Arial"/>
          <w:sz w:val="20"/>
          <w:szCs w:val="20"/>
        </w:rPr>
      </w:pPr>
    </w:p>
    <w:p w:rsidR="00106280" w:rsidRPr="009E6B3C" w:rsidRDefault="00C56697"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lang w:val="en-US"/>
        </w:rPr>
        <w:t>There</w:t>
      </w:r>
      <w:r w:rsidRPr="009E6B3C">
        <w:rPr>
          <w:rFonts w:ascii="Arial" w:hAnsi="Arial" w:cs="Arial"/>
          <w:color w:val="000000" w:themeColor="text1"/>
          <w:sz w:val="20"/>
          <w:szCs w:val="20"/>
          <w:lang w:eastAsia="en-ZA"/>
        </w:rPr>
        <w:t xml:space="preserve"> are </w:t>
      </w:r>
      <w:r w:rsidR="003F3C16" w:rsidRPr="009E6B3C">
        <w:rPr>
          <w:rFonts w:ascii="Arial" w:hAnsi="Arial" w:cs="Arial"/>
          <w:color w:val="000000" w:themeColor="text1"/>
          <w:sz w:val="20"/>
          <w:szCs w:val="20"/>
          <w:lang w:eastAsia="en-ZA"/>
        </w:rPr>
        <w:t>six sub</w:t>
      </w:r>
      <w:r w:rsidR="00865C67" w:rsidRPr="009E6B3C">
        <w:rPr>
          <w:rFonts w:ascii="Arial" w:hAnsi="Arial" w:cs="Arial"/>
          <w:color w:val="000000" w:themeColor="text1"/>
          <w:sz w:val="20"/>
          <w:szCs w:val="20"/>
          <w:lang w:eastAsia="en-ZA"/>
        </w:rPr>
        <w:t>-</w:t>
      </w:r>
      <w:r w:rsidR="003F3C16" w:rsidRPr="009E6B3C">
        <w:rPr>
          <w:rFonts w:ascii="Arial" w:hAnsi="Arial" w:cs="Arial"/>
          <w:color w:val="000000" w:themeColor="text1"/>
          <w:sz w:val="20"/>
          <w:szCs w:val="20"/>
          <w:lang w:eastAsia="en-ZA"/>
        </w:rPr>
        <w:t>programmes</w:t>
      </w:r>
      <w:r w:rsidR="00BF7E42" w:rsidRPr="009E6B3C">
        <w:rPr>
          <w:rFonts w:ascii="Arial" w:hAnsi="Arial" w:cs="Arial"/>
          <w:color w:val="000000" w:themeColor="text1"/>
          <w:sz w:val="20"/>
          <w:szCs w:val="20"/>
          <w:lang w:eastAsia="en-ZA"/>
        </w:rPr>
        <w:t>:</w:t>
      </w:r>
      <w:r w:rsidR="003F3C16" w:rsidRPr="009E6B3C">
        <w:rPr>
          <w:rFonts w:ascii="Arial" w:hAnsi="Arial" w:cs="Arial"/>
          <w:color w:val="000000" w:themeColor="text1"/>
          <w:sz w:val="20"/>
          <w:szCs w:val="20"/>
          <w:lang w:eastAsia="en-ZA"/>
        </w:rPr>
        <w:t xml:space="preserve"> Ministry, Management, Corporate Services, Financial Administration, Internal Audit and Office Accommodation.</w:t>
      </w:r>
    </w:p>
    <w:p w:rsidR="003F3C16" w:rsidRPr="009E6B3C" w:rsidRDefault="003F3C16" w:rsidP="009E6B3C">
      <w:pPr>
        <w:pStyle w:val="ListParagraph"/>
        <w:autoSpaceDE w:val="0"/>
        <w:autoSpaceDN w:val="0"/>
        <w:adjustRightInd w:val="0"/>
        <w:ind w:left="851" w:hanging="851"/>
        <w:rPr>
          <w:rFonts w:ascii="Arial" w:hAnsi="Arial" w:cs="Arial"/>
          <w:sz w:val="20"/>
          <w:szCs w:val="20"/>
        </w:rPr>
      </w:pPr>
    </w:p>
    <w:p w:rsidR="009332E2" w:rsidRPr="009E6B3C" w:rsidRDefault="00816700" w:rsidP="009E6B3C">
      <w:pPr>
        <w:pStyle w:val="ListParagraph"/>
        <w:numPr>
          <w:ilvl w:val="1"/>
          <w:numId w:val="1"/>
        </w:numPr>
        <w:ind w:left="851" w:hanging="851"/>
        <w:rPr>
          <w:rFonts w:ascii="Arial" w:hAnsi="Arial" w:cs="Arial"/>
          <w:bCs/>
          <w:sz w:val="20"/>
          <w:szCs w:val="20"/>
        </w:rPr>
      </w:pPr>
      <w:r w:rsidRPr="009E6B3C">
        <w:rPr>
          <w:rFonts w:ascii="Arial" w:hAnsi="Arial" w:cs="Arial"/>
          <w:sz w:val="20"/>
          <w:szCs w:val="20"/>
          <w:lang w:val="en-US"/>
        </w:rPr>
        <w:t>In 20</w:t>
      </w:r>
      <w:r w:rsidR="003F3C16" w:rsidRPr="009E6B3C">
        <w:rPr>
          <w:rFonts w:ascii="Arial" w:hAnsi="Arial" w:cs="Arial"/>
          <w:sz w:val="20"/>
          <w:szCs w:val="20"/>
          <w:lang w:val="en-US"/>
        </w:rPr>
        <w:t xml:space="preserve">21/22, </w:t>
      </w:r>
      <w:r w:rsidRPr="009E6B3C">
        <w:rPr>
          <w:rFonts w:ascii="Arial" w:hAnsi="Arial" w:cs="Arial"/>
          <w:sz w:val="20"/>
          <w:szCs w:val="20"/>
          <w:lang w:val="en-US"/>
        </w:rPr>
        <w:t>t</w:t>
      </w:r>
      <w:r w:rsidR="009332E2" w:rsidRPr="009E6B3C">
        <w:rPr>
          <w:rFonts w:ascii="Arial" w:hAnsi="Arial" w:cs="Arial"/>
          <w:sz w:val="20"/>
          <w:szCs w:val="20"/>
          <w:lang w:val="en-US"/>
        </w:rPr>
        <w:t>he</w:t>
      </w:r>
      <w:r w:rsidR="009332E2" w:rsidRPr="009E6B3C">
        <w:rPr>
          <w:rFonts w:ascii="Arial" w:eastAsia="MS PGothic" w:hAnsi="Arial" w:cs="Arial"/>
          <w:kern w:val="24"/>
          <w:sz w:val="20"/>
          <w:szCs w:val="20"/>
        </w:rPr>
        <w:t xml:space="preserve"> Administrat</w:t>
      </w:r>
      <w:r w:rsidR="00CA6C22" w:rsidRPr="009E6B3C">
        <w:rPr>
          <w:rFonts w:ascii="Arial" w:eastAsia="MS PGothic" w:hAnsi="Arial" w:cs="Arial"/>
          <w:kern w:val="24"/>
          <w:sz w:val="20"/>
          <w:szCs w:val="20"/>
        </w:rPr>
        <w:t xml:space="preserve">ion programme </w:t>
      </w:r>
      <w:r w:rsidR="003F3C16" w:rsidRPr="009E6B3C">
        <w:rPr>
          <w:rFonts w:ascii="Arial" w:eastAsia="MS PGothic" w:hAnsi="Arial" w:cs="Arial"/>
          <w:kern w:val="24"/>
          <w:sz w:val="20"/>
          <w:szCs w:val="20"/>
        </w:rPr>
        <w:t xml:space="preserve">spent </w:t>
      </w:r>
      <w:r w:rsidR="00C56697" w:rsidRPr="009E6B3C">
        <w:rPr>
          <w:rFonts w:ascii="Arial" w:eastAsia="MS PGothic" w:hAnsi="Arial" w:cs="Arial"/>
          <w:kern w:val="24"/>
          <w:sz w:val="20"/>
          <w:szCs w:val="20"/>
        </w:rPr>
        <w:t>92.3% of the final appropriation</w:t>
      </w:r>
      <w:r w:rsidR="003F3C16" w:rsidRPr="009E6B3C">
        <w:rPr>
          <w:rFonts w:ascii="Arial" w:eastAsia="MS PGothic" w:hAnsi="Arial" w:cs="Arial"/>
          <w:kern w:val="24"/>
          <w:sz w:val="20"/>
          <w:szCs w:val="20"/>
        </w:rPr>
        <w:t xml:space="preserve">, compared with </w:t>
      </w:r>
      <w:r w:rsidR="00925E6F" w:rsidRPr="009E6B3C">
        <w:rPr>
          <w:rFonts w:ascii="Arial" w:eastAsia="MS PGothic" w:hAnsi="Arial" w:cs="Arial"/>
          <w:kern w:val="24"/>
          <w:sz w:val="20"/>
          <w:szCs w:val="20"/>
        </w:rPr>
        <w:t>92.6% appropriated to the programme</w:t>
      </w:r>
      <w:r w:rsidR="00C56697" w:rsidRPr="009E6B3C">
        <w:rPr>
          <w:rFonts w:ascii="Arial" w:eastAsia="MS PGothic" w:hAnsi="Arial" w:cs="Arial"/>
          <w:kern w:val="24"/>
          <w:sz w:val="20"/>
          <w:szCs w:val="20"/>
        </w:rPr>
        <w:t xml:space="preserve"> in 2020/21</w:t>
      </w:r>
      <w:r w:rsidR="00925E6F" w:rsidRPr="009E6B3C">
        <w:rPr>
          <w:rFonts w:ascii="Arial" w:eastAsia="MS PGothic" w:hAnsi="Arial" w:cs="Arial"/>
          <w:kern w:val="24"/>
          <w:sz w:val="20"/>
          <w:szCs w:val="20"/>
        </w:rPr>
        <w:t xml:space="preserve">. </w:t>
      </w:r>
    </w:p>
    <w:p w:rsidR="00FF5D02" w:rsidRPr="009E6B3C" w:rsidRDefault="00FF5D02" w:rsidP="009E6B3C">
      <w:pPr>
        <w:pStyle w:val="ListParagraph"/>
        <w:rPr>
          <w:rFonts w:ascii="Arial" w:hAnsi="Arial" w:cs="Arial"/>
          <w:bCs/>
          <w:sz w:val="20"/>
          <w:szCs w:val="20"/>
        </w:rPr>
      </w:pPr>
    </w:p>
    <w:p w:rsidR="00FF5D02" w:rsidRPr="009E6B3C" w:rsidRDefault="00FF5D02" w:rsidP="009E6B3C">
      <w:pPr>
        <w:pStyle w:val="ListParagraph"/>
        <w:numPr>
          <w:ilvl w:val="1"/>
          <w:numId w:val="1"/>
        </w:numPr>
        <w:ind w:left="851" w:hanging="851"/>
        <w:rPr>
          <w:rFonts w:ascii="Arial" w:hAnsi="Arial" w:cs="Arial"/>
          <w:bCs/>
          <w:sz w:val="20"/>
          <w:szCs w:val="20"/>
        </w:rPr>
      </w:pPr>
      <w:r w:rsidRPr="009E6B3C">
        <w:rPr>
          <w:rFonts w:ascii="Arial" w:hAnsi="Arial" w:cs="Arial"/>
          <w:bCs/>
          <w:sz w:val="20"/>
          <w:szCs w:val="20"/>
        </w:rPr>
        <w:lastRenderedPageBreak/>
        <w:t xml:space="preserve">The underspending of </w:t>
      </w:r>
      <w:r w:rsidR="00C56697" w:rsidRPr="009E6B3C">
        <w:rPr>
          <w:rFonts w:ascii="Arial" w:hAnsi="Arial" w:cs="Arial"/>
          <w:bCs/>
          <w:sz w:val="20"/>
          <w:szCs w:val="20"/>
        </w:rPr>
        <w:t xml:space="preserve">R230.8 </w:t>
      </w:r>
      <w:r w:rsidRPr="009E6B3C">
        <w:rPr>
          <w:rFonts w:ascii="Arial" w:hAnsi="Arial" w:cs="Arial"/>
          <w:bCs/>
          <w:sz w:val="20"/>
          <w:szCs w:val="20"/>
        </w:rPr>
        <w:t>million is attributed to</w:t>
      </w:r>
      <w:r w:rsidR="00C56697" w:rsidRPr="009E6B3C">
        <w:rPr>
          <w:rFonts w:ascii="Arial" w:hAnsi="Arial" w:cs="Arial"/>
          <w:color w:val="000000" w:themeColor="text1"/>
          <w:sz w:val="20"/>
          <w:szCs w:val="20"/>
          <w:lang w:eastAsia="en-ZA"/>
        </w:rPr>
        <w:t xml:space="preserve"> delays in </w:t>
      </w:r>
      <w:r w:rsidR="00BC7C96" w:rsidRPr="009E6B3C">
        <w:rPr>
          <w:rFonts w:ascii="Arial" w:hAnsi="Arial" w:cs="Arial"/>
          <w:color w:val="000000" w:themeColor="text1"/>
          <w:sz w:val="20"/>
          <w:szCs w:val="20"/>
          <w:lang w:eastAsia="en-ZA"/>
        </w:rPr>
        <w:t xml:space="preserve">the </w:t>
      </w:r>
      <w:r w:rsidR="00C56697" w:rsidRPr="009E6B3C">
        <w:rPr>
          <w:rFonts w:ascii="Arial" w:hAnsi="Arial" w:cs="Arial"/>
          <w:color w:val="000000" w:themeColor="text1"/>
          <w:sz w:val="20"/>
          <w:szCs w:val="20"/>
          <w:lang w:eastAsia="en-ZA"/>
        </w:rPr>
        <w:t>filling of vacant posts and implementation of the youth programme, less than anticipated expenditure on accommodation charges, private leases and municipal services</w:t>
      </w:r>
      <w:r w:rsidR="00BC7C96" w:rsidRPr="009E6B3C">
        <w:rPr>
          <w:rFonts w:ascii="Arial" w:hAnsi="Arial" w:cs="Arial"/>
          <w:color w:val="000000" w:themeColor="text1"/>
          <w:sz w:val="20"/>
          <w:szCs w:val="20"/>
          <w:lang w:eastAsia="en-ZA"/>
        </w:rPr>
        <w:t>, and</w:t>
      </w:r>
      <w:r w:rsidR="00865C67" w:rsidRPr="009E6B3C">
        <w:rPr>
          <w:rFonts w:ascii="Arial" w:hAnsi="Arial" w:cs="Arial"/>
          <w:color w:val="000000" w:themeColor="text1"/>
          <w:sz w:val="20"/>
          <w:szCs w:val="20"/>
          <w:lang w:eastAsia="en-ZA"/>
        </w:rPr>
        <w:t xml:space="preserve"> </w:t>
      </w:r>
      <w:r w:rsidR="00C56697" w:rsidRPr="009E6B3C">
        <w:rPr>
          <w:rFonts w:ascii="Arial" w:hAnsi="Arial" w:cs="Arial"/>
          <w:color w:val="000000" w:themeColor="text1"/>
          <w:sz w:val="20"/>
          <w:szCs w:val="20"/>
          <w:lang w:eastAsia="en-ZA"/>
        </w:rPr>
        <w:t>delays in awarding the procurement of ICT licenses and services (ICT central support, service desk and security support services)</w:t>
      </w:r>
      <w:r w:rsidRPr="009E6B3C">
        <w:rPr>
          <w:rFonts w:ascii="Arial" w:hAnsi="Arial" w:cs="Arial"/>
          <w:bCs/>
          <w:sz w:val="20"/>
          <w:szCs w:val="20"/>
        </w:rPr>
        <w:t>.</w:t>
      </w:r>
    </w:p>
    <w:p w:rsidR="009332E2" w:rsidRPr="009E6B3C" w:rsidRDefault="009332E2" w:rsidP="009E6B3C">
      <w:pPr>
        <w:pStyle w:val="ListParagraph"/>
        <w:rPr>
          <w:rFonts w:ascii="Arial" w:hAnsi="Arial" w:cs="Arial"/>
          <w:i/>
          <w:sz w:val="20"/>
          <w:szCs w:val="20"/>
        </w:rPr>
      </w:pPr>
    </w:p>
    <w:p w:rsidR="00C56697" w:rsidRPr="009E6B3C" w:rsidRDefault="00C56697" w:rsidP="009E6B3C">
      <w:pPr>
        <w:pStyle w:val="ListParagraph"/>
        <w:numPr>
          <w:ilvl w:val="1"/>
          <w:numId w:val="1"/>
        </w:numPr>
        <w:ind w:left="851" w:hanging="851"/>
        <w:rPr>
          <w:rFonts w:ascii="Arial" w:hAnsi="Arial" w:cs="Arial"/>
          <w:color w:val="000000" w:themeColor="text1"/>
          <w:sz w:val="20"/>
          <w:szCs w:val="20"/>
          <w:lang w:eastAsia="en-ZA"/>
        </w:rPr>
      </w:pPr>
      <w:r w:rsidRPr="009E6B3C">
        <w:rPr>
          <w:rFonts w:ascii="Arial" w:hAnsi="Arial" w:cs="Arial"/>
          <w:bCs/>
          <w:sz w:val="20"/>
          <w:szCs w:val="20"/>
        </w:rPr>
        <w:t>The</w:t>
      </w:r>
      <w:r w:rsidRPr="009E6B3C">
        <w:rPr>
          <w:rFonts w:ascii="Arial" w:hAnsi="Arial" w:cs="Arial"/>
          <w:color w:val="000000" w:themeColor="text1"/>
          <w:sz w:val="20"/>
          <w:szCs w:val="20"/>
          <w:lang w:eastAsia="en-ZA"/>
        </w:rPr>
        <w:t xml:space="preserve"> programme had three outcomes for</w:t>
      </w:r>
      <w:r w:rsidR="009B7EB9" w:rsidRPr="009E6B3C">
        <w:rPr>
          <w:rFonts w:ascii="Arial" w:hAnsi="Arial" w:cs="Arial"/>
          <w:color w:val="000000" w:themeColor="text1"/>
          <w:sz w:val="20"/>
          <w:szCs w:val="20"/>
          <w:lang w:eastAsia="en-ZA"/>
        </w:rPr>
        <w:t xml:space="preserve"> </w:t>
      </w:r>
      <w:r w:rsidR="00A9228D" w:rsidRPr="009E6B3C">
        <w:rPr>
          <w:rFonts w:ascii="Arial" w:hAnsi="Arial" w:cs="Arial"/>
          <w:color w:val="000000" w:themeColor="text1"/>
          <w:sz w:val="20"/>
          <w:szCs w:val="20"/>
          <w:lang w:eastAsia="en-ZA"/>
        </w:rPr>
        <w:t>2021/22</w:t>
      </w:r>
      <w:r w:rsidRPr="009E6B3C">
        <w:rPr>
          <w:rFonts w:ascii="Arial" w:hAnsi="Arial" w:cs="Arial"/>
          <w:color w:val="000000" w:themeColor="text1"/>
          <w:sz w:val="20"/>
          <w:szCs w:val="20"/>
          <w:lang w:eastAsia="en-ZA"/>
        </w:rPr>
        <w:t>:</w:t>
      </w:r>
    </w:p>
    <w:p w:rsidR="00C56697" w:rsidRPr="009E6B3C" w:rsidRDefault="00C56697"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Modernised and digitised justice services platforms</w:t>
      </w:r>
      <w:r w:rsidR="00A9228D" w:rsidRPr="009E6B3C">
        <w:rPr>
          <w:rFonts w:ascii="Arial" w:hAnsi="Arial" w:cs="Arial"/>
          <w:sz w:val="20"/>
          <w:szCs w:val="20"/>
        </w:rPr>
        <w:t>.</w:t>
      </w:r>
    </w:p>
    <w:p w:rsidR="00C56697" w:rsidRPr="009E6B3C" w:rsidRDefault="00C56697"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Improved organisational capability and good governance</w:t>
      </w:r>
      <w:r w:rsidR="00A9228D" w:rsidRPr="009E6B3C">
        <w:rPr>
          <w:rFonts w:ascii="Arial" w:hAnsi="Arial" w:cs="Arial"/>
          <w:sz w:val="20"/>
          <w:szCs w:val="20"/>
        </w:rPr>
        <w:t>.</w:t>
      </w:r>
    </w:p>
    <w:p w:rsidR="00C56697" w:rsidRPr="009E6B3C" w:rsidRDefault="00C56697"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Improved awareness of justice services and constitutionalism</w:t>
      </w:r>
      <w:r w:rsidR="00A9228D" w:rsidRPr="009E6B3C">
        <w:rPr>
          <w:rFonts w:ascii="Arial" w:hAnsi="Arial" w:cs="Arial"/>
          <w:sz w:val="20"/>
          <w:szCs w:val="20"/>
        </w:rPr>
        <w:t>.</w:t>
      </w:r>
    </w:p>
    <w:p w:rsidR="00C56697" w:rsidRPr="009E6B3C" w:rsidRDefault="00C56697" w:rsidP="009E6B3C">
      <w:pPr>
        <w:pStyle w:val="ListParagraph"/>
        <w:rPr>
          <w:rFonts w:ascii="Arial" w:hAnsi="Arial" w:cs="Arial"/>
          <w:b/>
          <w:color w:val="538135" w:themeColor="accent6" w:themeShade="BF"/>
          <w:sz w:val="20"/>
          <w:szCs w:val="20"/>
        </w:rPr>
      </w:pPr>
    </w:p>
    <w:p w:rsidR="0060403C" w:rsidRPr="009E6B3C" w:rsidRDefault="0060403C"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following indicators and related targets were revised in-year:</w:t>
      </w:r>
    </w:p>
    <w:p w:rsidR="00C56697" w:rsidRPr="009E6B3C" w:rsidRDefault="00C56697" w:rsidP="009E6B3C">
      <w:pPr>
        <w:rPr>
          <w:rFonts w:ascii="Arial" w:hAnsi="Arial" w:cs="Arial"/>
          <w:color w:val="000000" w:themeColor="text1"/>
          <w:sz w:val="20"/>
          <w:szCs w:val="20"/>
          <w:lang w:eastAsia="en-ZA"/>
        </w:rPr>
      </w:pPr>
    </w:p>
    <w:p w:rsidR="00675A6A" w:rsidRPr="009E6B3C" w:rsidRDefault="007C1CAE" w:rsidP="009E6B3C">
      <w:pPr>
        <w:rPr>
          <w:rFonts w:ascii="Arial" w:hAnsi="Arial" w:cs="Arial"/>
          <w:b/>
          <w:i/>
          <w:color w:val="000000" w:themeColor="text1"/>
          <w:sz w:val="20"/>
          <w:szCs w:val="20"/>
          <w:lang w:eastAsia="en-ZA"/>
        </w:rPr>
      </w:pPr>
      <w:r w:rsidRPr="009E6B3C">
        <w:rPr>
          <w:rFonts w:ascii="Arial" w:hAnsi="Arial" w:cs="Arial"/>
          <w:b/>
          <w:i/>
          <w:color w:val="000000" w:themeColor="text1"/>
          <w:sz w:val="20"/>
          <w:szCs w:val="20"/>
          <w:lang w:eastAsia="en-ZA"/>
        </w:rPr>
        <w:t>Table 8: Administration programme – revised indicators and targets</w:t>
      </w:r>
    </w:p>
    <w:tbl>
      <w:tblPr>
        <w:tblStyle w:val="TableGrid"/>
        <w:tblW w:w="0" w:type="auto"/>
        <w:tblLook w:val="04A0"/>
      </w:tblPr>
      <w:tblGrid>
        <w:gridCol w:w="5259"/>
        <w:gridCol w:w="4368"/>
      </w:tblGrid>
      <w:tr w:rsidR="00675A6A" w:rsidRPr="009E6B3C" w:rsidTr="00A9228D">
        <w:tc>
          <w:tcPr>
            <w:tcW w:w="0" w:type="auto"/>
            <w:shd w:val="clear" w:color="auto" w:fill="DBDBDB" w:themeFill="accent3" w:themeFillTint="66"/>
          </w:tcPr>
          <w:p w:rsidR="00C56697" w:rsidRPr="009E6B3C" w:rsidRDefault="00C56697" w:rsidP="009E6B3C">
            <w:pPr>
              <w:pStyle w:val="NormalWeb"/>
              <w:spacing w:before="0" w:after="0"/>
              <w:rPr>
                <w:rFonts w:ascii="Arial" w:hAnsi="Arial" w:cs="Arial"/>
                <w:b/>
                <w:color w:val="000000" w:themeColor="text1"/>
                <w:sz w:val="20"/>
                <w:szCs w:val="20"/>
                <w:lang w:val="en-ZA" w:eastAsia="en-ZA"/>
              </w:rPr>
            </w:pPr>
            <w:r w:rsidRPr="009E6B3C">
              <w:rPr>
                <w:rFonts w:ascii="Arial" w:hAnsi="Arial" w:cs="Arial"/>
                <w:b/>
                <w:color w:val="000000" w:themeColor="text1"/>
                <w:sz w:val="20"/>
                <w:szCs w:val="20"/>
                <w:lang w:val="en-ZA" w:eastAsia="en-ZA"/>
              </w:rPr>
              <w:t>ORIGINAL INDICATORS</w:t>
            </w:r>
          </w:p>
        </w:tc>
        <w:tc>
          <w:tcPr>
            <w:tcW w:w="0" w:type="auto"/>
            <w:shd w:val="clear" w:color="auto" w:fill="DBDBDB" w:themeFill="accent3" w:themeFillTint="66"/>
          </w:tcPr>
          <w:p w:rsidR="00C56697" w:rsidRPr="009E6B3C" w:rsidRDefault="00C56697" w:rsidP="009E6B3C">
            <w:pPr>
              <w:pStyle w:val="NormalWeb"/>
              <w:spacing w:before="0" w:after="0"/>
              <w:rPr>
                <w:rFonts w:ascii="Arial" w:hAnsi="Arial" w:cs="Arial"/>
                <w:b/>
                <w:color w:val="000000" w:themeColor="text1"/>
                <w:sz w:val="20"/>
                <w:szCs w:val="20"/>
                <w:lang w:val="en-ZA" w:eastAsia="en-ZA"/>
              </w:rPr>
            </w:pPr>
            <w:r w:rsidRPr="009E6B3C">
              <w:rPr>
                <w:rFonts w:ascii="Arial" w:hAnsi="Arial" w:cs="Arial"/>
                <w:b/>
                <w:color w:val="000000" w:themeColor="text1"/>
                <w:sz w:val="20"/>
                <w:szCs w:val="20"/>
                <w:lang w:val="en-ZA" w:eastAsia="en-ZA"/>
              </w:rPr>
              <w:t>REVISED INDICATORS AND TARGETS</w:t>
            </w:r>
          </w:p>
        </w:tc>
      </w:tr>
      <w:tr w:rsidR="00675A6A" w:rsidRPr="009E6B3C" w:rsidTr="00A9228D">
        <w:tc>
          <w:tcPr>
            <w:tcW w:w="0" w:type="auto"/>
            <w:shd w:val="clear" w:color="auto" w:fill="FFFFFF" w:themeFill="background1"/>
          </w:tcPr>
          <w:p w:rsidR="00C56697" w:rsidRPr="009E6B3C" w:rsidRDefault="00C56697" w:rsidP="009E6B3C">
            <w:pPr>
              <w:pStyle w:val="NormalWeb"/>
              <w:spacing w:before="0" w:after="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N</w:t>
            </w:r>
            <w:r w:rsidR="00A9228D" w:rsidRPr="009E6B3C">
              <w:rPr>
                <w:rFonts w:ascii="Arial" w:hAnsi="Arial" w:cs="Arial"/>
                <w:color w:val="000000" w:themeColor="text1"/>
                <w:sz w:val="20"/>
                <w:szCs w:val="20"/>
                <w:lang w:val="en-ZA" w:eastAsia="en-ZA"/>
              </w:rPr>
              <w:t>umber o</w:t>
            </w:r>
            <w:r w:rsidRPr="009E6B3C">
              <w:rPr>
                <w:rFonts w:ascii="Arial" w:hAnsi="Arial" w:cs="Arial"/>
                <w:color w:val="000000" w:themeColor="text1"/>
                <w:sz w:val="20"/>
                <w:szCs w:val="20"/>
                <w:lang w:val="en-ZA" w:eastAsia="en-ZA"/>
              </w:rPr>
              <w:t xml:space="preserve">f justice services available on the </w:t>
            </w:r>
            <w:r w:rsidR="00675A6A" w:rsidRPr="009E6B3C">
              <w:rPr>
                <w:rFonts w:ascii="Arial" w:hAnsi="Arial" w:cs="Arial"/>
                <w:color w:val="000000" w:themeColor="text1"/>
                <w:sz w:val="20"/>
                <w:szCs w:val="20"/>
                <w:lang w:val="en-ZA" w:eastAsia="en-ZA"/>
              </w:rPr>
              <w:t xml:space="preserve">Department’s </w:t>
            </w:r>
            <w:r w:rsidRPr="009E6B3C">
              <w:rPr>
                <w:rFonts w:ascii="Arial" w:hAnsi="Arial" w:cs="Arial"/>
                <w:color w:val="000000" w:themeColor="text1"/>
                <w:sz w:val="20"/>
                <w:szCs w:val="20"/>
                <w:lang w:val="en-ZA" w:eastAsia="en-ZA"/>
              </w:rPr>
              <w:t>Internet Portal (online) i.e. Maintenance applications, Protection Orders applications, Deceased estate, Trusts and Expungement of Criminal Records.</w:t>
            </w:r>
          </w:p>
        </w:tc>
        <w:tc>
          <w:tcPr>
            <w:tcW w:w="0" w:type="auto"/>
            <w:shd w:val="clear" w:color="auto" w:fill="FFFFFF" w:themeFill="background1"/>
          </w:tcPr>
          <w:p w:rsidR="00C56697" w:rsidRPr="009E6B3C" w:rsidRDefault="00C56697" w:rsidP="009E6B3C">
            <w:pPr>
              <w:autoSpaceDE w:val="0"/>
              <w:autoSpaceDN w:val="0"/>
              <w:adjustRightInd w:val="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 xml:space="preserve">The annual target </w:t>
            </w:r>
            <w:r w:rsidR="00675CF4" w:rsidRPr="009E6B3C">
              <w:rPr>
                <w:rFonts w:ascii="Arial" w:hAnsi="Arial" w:cs="Arial"/>
                <w:color w:val="000000" w:themeColor="text1"/>
                <w:sz w:val="20"/>
                <w:szCs w:val="20"/>
                <w:lang w:val="en-ZA" w:eastAsia="en-ZA"/>
              </w:rPr>
              <w:t xml:space="preserve">was revised from achievement by </w:t>
            </w:r>
            <w:r w:rsidRPr="009E6B3C">
              <w:rPr>
                <w:rFonts w:ascii="Arial" w:hAnsi="Arial" w:cs="Arial"/>
                <w:color w:val="000000" w:themeColor="text1"/>
                <w:sz w:val="20"/>
                <w:szCs w:val="20"/>
                <w:lang w:val="en-ZA" w:eastAsia="en-ZA"/>
              </w:rPr>
              <w:t xml:space="preserve">31 September 2021 </w:t>
            </w:r>
            <w:r w:rsidR="00675CF4" w:rsidRPr="009E6B3C">
              <w:rPr>
                <w:rFonts w:ascii="Arial" w:hAnsi="Arial" w:cs="Arial"/>
                <w:color w:val="000000" w:themeColor="text1"/>
                <w:sz w:val="20"/>
                <w:szCs w:val="20"/>
                <w:lang w:val="en-ZA" w:eastAsia="en-ZA"/>
              </w:rPr>
              <w:t xml:space="preserve">to </w:t>
            </w:r>
            <w:r w:rsidRPr="009E6B3C">
              <w:rPr>
                <w:rFonts w:ascii="Arial" w:hAnsi="Arial" w:cs="Arial"/>
                <w:color w:val="000000" w:themeColor="text1"/>
                <w:sz w:val="20"/>
                <w:szCs w:val="20"/>
                <w:lang w:val="en-ZA" w:eastAsia="en-ZA"/>
              </w:rPr>
              <w:t>piloted in February 2022 be</w:t>
            </w:r>
            <w:r w:rsidR="00675CF4" w:rsidRPr="009E6B3C">
              <w:rPr>
                <w:rFonts w:ascii="Arial" w:hAnsi="Arial" w:cs="Arial"/>
                <w:color w:val="000000" w:themeColor="text1"/>
                <w:sz w:val="20"/>
                <w:szCs w:val="20"/>
                <w:lang w:val="en-ZA" w:eastAsia="en-ZA"/>
              </w:rPr>
              <w:t>cause of the ransomware attack.</w:t>
            </w:r>
          </w:p>
        </w:tc>
      </w:tr>
      <w:tr w:rsidR="00675A6A" w:rsidRPr="009E6B3C" w:rsidTr="00A9228D">
        <w:tc>
          <w:tcPr>
            <w:tcW w:w="0" w:type="auto"/>
            <w:shd w:val="clear" w:color="auto" w:fill="FFFFFF" w:themeFill="background1"/>
          </w:tcPr>
          <w:p w:rsidR="00C56697" w:rsidRPr="009E6B3C" w:rsidRDefault="00C56697" w:rsidP="009E6B3C">
            <w:pPr>
              <w:pStyle w:val="NormalWeb"/>
              <w:spacing w:before="0" w:after="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Number of sites rolled-out with the Courts Audio-Visual Solution (CAVS).</w:t>
            </w:r>
          </w:p>
          <w:p w:rsidR="00C56697" w:rsidRPr="009E6B3C" w:rsidRDefault="00C56697" w:rsidP="009E6B3C">
            <w:pPr>
              <w:pStyle w:val="NormalWeb"/>
              <w:spacing w:before="0" w:after="0"/>
              <w:rPr>
                <w:rFonts w:ascii="Arial" w:hAnsi="Arial" w:cs="Arial"/>
                <w:color w:val="000000" w:themeColor="text1"/>
                <w:sz w:val="20"/>
                <w:szCs w:val="20"/>
                <w:lang w:val="en-ZA" w:eastAsia="en-ZA"/>
              </w:rPr>
            </w:pPr>
          </w:p>
        </w:tc>
        <w:tc>
          <w:tcPr>
            <w:tcW w:w="0" w:type="auto"/>
            <w:shd w:val="clear" w:color="auto" w:fill="FFFFFF" w:themeFill="background1"/>
          </w:tcPr>
          <w:p w:rsidR="00C56697" w:rsidRPr="009E6B3C" w:rsidRDefault="00C56697" w:rsidP="009E6B3C">
            <w:pPr>
              <w:autoSpaceDE w:val="0"/>
              <w:autoSpaceDN w:val="0"/>
              <w:adjustRightInd w:val="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The target for the CAVS solution to be rolled out at 45 courts was revised to Procurement of Courts Audio-Visual Solution (CAVS) completed by target date.</w:t>
            </w:r>
          </w:p>
        </w:tc>
      </w:tr>
      <w:tr w:rsidR="00675A6A" w:rsidRPr="009E6B3C" w:rsidTr="00A9228D">
        <w:tc>
          <w:tcPr>
            <w:tcW w:w="0" w:type="auto"/>
            <w:shd w:val="clear" w:color="auto" w:fill="FFFFFF" w:themeFill="background1"/>
          </w:tcPr>
          <w:p w:rsidR="00C56697" w:rsidRPr="009E6B3C" w:rsidRDefault="00C56697" w:rsidP="009E6B3C">
            <w:pPr>
              <w:pStyle w:val="NormalWeb"/>
              <w:spacing w:before="0" w:after="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Percentage of women occupying senior management services</w:t>
            </w:r>
          </w:p>
        </w:tc>
        <w:tc>
          <w:tcPr>
            <w:tcW w:w="0" w:type="auto"/>
            <w:shd w:val="clear" w:color="auto" w:fill="FFFFFF" w:themeFill="background1"/>
          </w:tcPr>
          <w:p w:rsidR="00C56697" w:rsidRPr="009E6B3C" w:rsidRDefault="00C56697" w:rsidP="009E6B3C">
            <w:pPr>
              <w:autoSpaceDE w:val="0"/>
              <w:autoSpaceDN w:val="0"/>
              <w:adjustRightInd w:val="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The target for 50% women occupying senior management services was revised to 50% of women occupying senior management services and LP10 positions.</w:t>
            </w:r>
          </w:p>
        </w:tc>
      </w:tr>
      <w:tr w:rsidR="00675A6A" w:rsidRPr="009E6B3C" w:rsidTr="00A9228D">
        <w:tc>
          <w:tcPr>
            <w:tcW w:w="0" w:type="auto"/>
            <w:shd w:val="clear" w:color="auto" w:fill="FFFFFF" w:themeFill="background1"/>
          </w:tcPr>
          <w:p w:rsidR="00C56697" w:rsidRPr="009E6B3C" w:rsidRDefault="00C56697" w:rsidP="009E6B3C">
            <w:pPr>
              <w:pStyle w:val="NormalWeb"/>
              <w:spacing w:before="0" w:after="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Disciplinary hearings finalised within 90 days</w:t>
            </w:r>
            <w:r w:rsidR="00675A6A" w:rsidRPr="009E6B3C">
              <w:rPr>
                <w:rFonts w:ascii="Arial" w:hAnsi="Arial" w:cs="Arial"/>
                <w:color w:val="000000" w:themeColor="text1"/>
                <w:sz w:val="20"/>
                <w:szCs w:val="20"/>
                <w:lang w:val="en-ZA" w:eastAsia="en-ZA"/>
              </w:rPr>
              <w:t>.</w:t>
            </w:r>
          </w:p>
        </w:tc>
        <w:tc>
          <w:tcPr>
            <w:tcW w:w="0" w:type="auto"/>
            <w:shd w:val="clear" w:color="auto" w:fill="FFFFFF" w:themeFill="background1"/>
          </w:tcPr>
          <w:p w:rsidR="00C56697" w:rsidRPr="009E6B3C" w:rsidRDefault="00C56697" w:rsidP="009E6B3C">
            <w:pPr>
              <w:autoSpaceDE w:val="0"/>
              <w:autoSpaceDN w:val="0"/>
              <w:adjustRightInd w:val="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The target was revised from 60% to 55%.</w:t>
            </w:r>
          </w:p>
        </w:tc>
      </w:tr>
      <w:tr w:rsidR="00675A6A" w:rsidRPr="009E6B3C" w:rsidTr="00A9228D">
        <w:tc>
          <w:tcPr>
            <w:tcW w:w="0" w:type="auto"/>
            <w:shd w:val="clear" w:color="auto" w:fill="FFFFFF" w:themeFill="background1"/>
          </w:tcPr>
          <w:p w:rsidR="00C56697" w:rsidRPr="009E6B3C" w:rsidRDefault="00C56697" w:rsidP="009E6B3C">
            <w:pPr>
              <w:pStyle w:val="NormalWeb"/>
              <w:spacing w:before="0" w:after="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Programmes to commemorate the 25th anniversary of the constitution implemented</w:t>
            </w:r>
            <w:r w:rsidR="00675A6A" w:rsidRPr="009E6B3C">
              <w:rPr>
                <w:rFonts w:ascii="Arial" w:hAnsi="Arial" w:cs="Arial"/>
                <w:color w:val="000000" w:themeColor="text1"/>
                <w:sz w:val="20"/>
                <w:szCs w:val="20"/>
                <w:lang w:val="en-ZA" w:eastAsia="en-ZA"/>
              </w:rPr>
              <w:t>.</w:t>
            </w:r>
          </w:p>
        </w:tc>
        <w:tc>
          <w:tcPr>
            <w:tcW w:w="0" w:type="auto"/>
            <w:shd w:val="clear" w:color="auto" w:fill="FFFFFF" w:themeFill="background1"/>
          </w:tcPr>
          <w:p w:rsidR="00C56697" w:rsidRPr="009E6B3C" w:rsidRDefault="00C56697" w:rsidP="009E6B3C">
            <w:pPr>
              <w:autoSpaceDE w:val="0"/>
              <w:autoSpaceDN w:val="0"/>
              <w:adjustRightInd w:val="0"/>
              <w:rPr>
                <w:rFonts w:ascii="Arial" w:hAnsi="Arial" w:cs="Arial"/>
                <w:color w:val="000000" w:themeColor="text1"/>
                <w:sz w:val="20"/>
                <w:szCs w:val="20"/>
                <w:lang w:val="en-ZA" w:eastAsia="en-ZA"/>
              </w:rPr>
            </w:pPr>
            <w:r w:rsidRPr="009E6B3C">
              <w:rPr>
                <w:rFonts w:ascii="Arial" w:hAnsi="Arial" w:cs="Arial"/>
                <w:color w:val="000000" w:themeColor="text1"/>
                <w:sz w:val="20"/>
                <w:szCs w:val="20"/>
                <w:lang w:val="en-ZA" w:eastAsia="en-ZA"/>
              </w:rPr>
              <w:t>Number of reports on the implementation of programmes to commemorate the 25th anniversary of the Constitution submitted to the Minister for approval</w:t>
            </w:r>
            <w:r w:rsidR="00675A6A" w:rsidRPr="009E6B3C">
              <w:rPr>
                <w:rFonts w:ascii="Arial" w:hAnsi="Arial" w:cs="Arial"/>
                <w:color w:val="000000" w:themeColor="text1"/>
                <w:sz w:val="20"/>
                <w:szCs w:val="20"/>
                <w:lang w:val="en-ZA" w:eastAsia="en-ZA"/>
              </w:rPr>
              <w:t>.</w:t>
            </w:r>
          </w:p>
        </w:tc>
      </w:tr>
    </w:tbl>
    <w:p w:rsidR="00C56697" w:rsidRPr="009E6B3C" w:rsidRDefault="00C56697" w:rsidP="009E6B3C">
      <w:pPr>
        <w:pStyle w:val="ListParagraph"/>
        <w:rPr>
          <w:rFonts w:ascii="Arial" w:hAnsi="Arial" w:cs="Arial"/>
          <w:sz w:val="20"/>
          <w:szCs w:val="20"/>
        </w:rPr>
      </w:pPr>
    </w:p>
    <w:p w:rsidR="00F41FC7" w:rsidRPr="009E6B3C" w:rsidRDefault="003423BA"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Overall, the </w:t>
      </w:r>
      <w:r w:rsidR="009B6563" w:rsidRPr="009E6B3C">
        <w:rPr>
          <w:rFonts w:ascii="Arial" w:hAnsi="Arial" w:cs="Arial"/>
          <w:sz w:val="20"/>
          <w:szCs w:val="20"/>
        </w:rPr>
        <w:t>Programme m</w:t>
      </w:r>
      <w:r w:rsidR="00106280" w:rsidRPr="009E6B3C">
        <w:rPr>
          <w:rFonts w:ascii="Arial" w:hAnsi="Arial" w:cs="Arial"/>
          <w:sz w:val="20"/>
          <w:szCs w:val="20"/>
        </w:rPr>
        <w:t xml:space="preserve">et or exceeded </w:t>
      </w:r>
      <w:r w:rsidR="00C56697" w:rsidRPr="009E6B3C">
        <w:rPr>
          <w:rFonts w:ascii="Arial" w:hAnsi="Arial" w:cs="Arial"/>
          <w:sz w:val="20"/>
          <w:szCs w:val="20"/>
        </w:rPr>
        <w:t xml:space="preserve">24 of 31 or 77% of planned targets (compared with </w:t>
      </w:r>
      <w:r w:rsidR="00807A00" w:rsidRPr="009E6B3C">
        <w:rPr>
          <w:rFonts w:ascii="Arial" w:hAnsi="Arial" w:cs="Arial"/>
          <w:sz w:val="20"/>
          <w:szCs w:val="20"/>
        </w:rPr>
        <w:t xml:space="preserve">6 of 15 or </w:t>
      </w:r>
      <w:r w:rsidR="009C725F" w:rsidRPr="009E6B3C">
        <w:rPr>
          <w:rFonts w:ascii="Arial" w:hAnsi="Arial" w:cs="Arial"/>
          <w:sz w:val="20"/>
          <w:szCs w:val="20"/>
        </w:rPr>
        <w:t>40</w:t>
      </w:r>
      <w:r w:rsidRPr="009E6B3C">
        <w:rPr>
          <w:rFonts w:ascii="Arial" w:hAnsi="Arial" w:cs="Arial"/>
          <w:sz w:val="20"/>
          <w:szCs w:val="20"/>
        </w:rPr>
        <w:t xml:space="preserve">% of the </w:t>
      </w:r>
      <w:r w:rsidR="00CA6C22" w:rsidRPr="009E6B3C">
        <w:rPr>
          <w:rFonts w:ascii="Arial" w:hAnsi="Arial" w:cs="Arial"/>
          <w:sz w:val="20"/>
          <w:szCs w:val="20"/>
        </w:rPr>
        <w:t xml:space="preserve">planned </w:t>
      </w:r>
      <w:r w:rsidR="00807A00" w:rsidRPr="009E6B3C">
        <w:rPr>
          <w:rFonts w:ascii="Arial" w:hAnsi="Arial" w:cs="Arial"/>
          <w:sz w:val="20"/>
          <w:szCs w:val="20"/>
        </w:rPr>
        <w:t>targets</w:t>
      </w:r>
      <w:r w:rsidR="00CA6C22" w:rsidRPr="009E6B3C">
        <w:rPr>
          <w:rFonts w:ascii="Arial" w:hAnsi="Arial" w:cs="Arial"/>
          <w:sz w:val="20"/>
          <w:szCs w:val="20"/>
        </w:rPr>
        <w:t xml:space="preserve"> </w:t>
      </w:r>
      <w:r w:rsidR="00C56697" w:rsidRPr="009E6B3C">
        <w:rPr>
          <w:rFonts w:ascii="Arial" w:hAnsi="Arial" w:cs="Arial"/>
          <w:sz w:val="20"/>
          <w:szCs w:val="20"/>
        </w:rPr>
        <w:t>for 2020/21)</w:t>
      </w:r>
      <w:r w:rsidR="002D172B" w:rsidRPr="009E6B3C">
        <w:rPr>
          <w:rFonts w:ascii="Arial" w:hAnsi="Arial" w:cs="Arial"/>
          <w:sz w:val="20"/>
          <w:szCs w:val="20"/>
        </w:rPr>
        <w:t>.</w:t>
      </w:r>
      <w:r w:rsidR="001D680D" w:rsidRPr="009E6B3C">
        <w:rPr>
          <w:rFonts w:ascii="Arial" w:hAnsi="Arial" w:cs="Arial"/>
          <w:sz w:val="20"/>
          <w:szCs w:val="20"/>
        </w:rPr>
        <w:t xml:space="preserve"> </w:t>
      </w:r>
    </w:p>
    <w:p w:rsidR="00256B4D" w:rsidRPr="009E6B3C" w:rsidRDefault="00256B4D" w:rsidP="009E6B3C">
      <w:pPr>
        <w:pStyle w:val="ListParagraph"/>
        <w:rPr>
          <w:rFonts w:ascii="Arial" w:hAnsi="Arial" w:cs="Arial"/>
          <w:sz w:val="20"/>
          <w:szCs w:val="20"/>
        </w:rPr>
      </w:pPr>
    </w:p>
    <w:p w:rsidR="00256B4D" w:rsidRPr="009E6B3C" w:rsidRDefault="00256B4D"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Areas of underperformance were as follows:</w:t>
      </w:r>
    </w:p>
    <w:p w:rsidR="00C34846" w:rsidRPr="009E6B3C" w:rsidRDefault="00C3484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Protection order services available on the internet portal (online) by 28 February 2022 (Phase 1 (for legally represented complainants) developed and tested)</w:t>
      </w:r>
      <w:r w:rsidR="00675A6A" w:rsidRPr="009E6B3C">
        <w:rPr>
          <w:rFonts w:ascii="Arial" w:hAnsi="Arial" w:cs="Arial"/>
          <w:sz w:val="20"/>
          <w:szCs w:val="20"/>
        </w:rPr>
        <w:t>.</w:t>
      </w:r>
    </w:p>
    <w:p w:rsidR="00C34846" w:rsidRPr="009E6B3C" w:rsidRDefault="00C3484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Procurement of Courts Audio-Visual Solution (CAVS) completed by 28 February 2022 (Bid specifications completed and approved for publication through SITA).</w:t>
      </w:r>
    </w:p>
    <w:p w:rsidR="00C34846" w:rsidRPr="009E6B3C" w:rsidRDefault="00C3484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Percentage of vacancy posts at SMS level (Vacancy rate) (15% against a target of 10%).</w:t>
      </w:r>
    </w:p>
    <w:p w:rsidR="00C34846" w:rsidRPr="009E6B3C" w:rsidRDefault="00C3484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Percentage of irregular expenditure reduced (43% increase against a target of 70% decrease).</w:t>
      </w:r>
    </w:p>
    <w:p w:rsidR="00C34846" w:rsidRPr="009E6B3C" w:rsidRDefault="00C3484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Percentage of undisputed and valid invoices paid within 30 days from date of receipt (99% of invoices paid of a target of 100%).</w:t>
      </w:r>
    </w:p>
    <w:p w:rsidR="00C34846" w:rsidRPr="009E6B3C" w:rsidRDefault="00C3484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Percentage of Rand value of discretionary procurement allocated to exempted micro enterprises (EMEs) and qualifying small enterprises (QSEs) (31% against a target of 40%).</w:t>
      </w:r>
    </w:p>
    <w:p w:rsidR="00596AA5" w:rsidRPr="009E6B3C" w:rsidRDefault="00596AA5" w:rsidP="009E6B3C">
      <w:pPr>
        <w:pStyle w:val="ListParagraph"/>
        <w:rPr>
          <w:rFonts w:ascii="Arial" w:hAnsi="Arial" w:cs="Arial"/>
          <w:sz w:val="20"/>
          <w:szCs w:val="20"/>
        </w:rPr>
      </w:pPr>
    </w:p>
    <w:p w:rsidR="00C34846" w:rsidRPr="009E6B3C" w:rsidRDefault="00370403" w:rsidP="009E6B3C">
      <w:pPr>
        <w:pStyle w:val="ListParagraph"/>
        <w:numPr>
          <w:ilvl w:val="1"/>
          <w:numId w:val="1"/>
        </w:numPr>
        <w:ind w:left="851" w:hanging="851"/>
        <w:rPr>
          <w:rFonts w:ascii="Arial" w:hAnsi="Arial" w:cs="Arial"/>
          <w:sz w:val="20"/>
          <w:szCs w:val="20"/>
        </w:rPr>
      </w:pPr>
      <w:r w:rsidRPr="009E6B3C">
        <w:rPr>
          <w:rFonts w:ascii="Arial" w:hAnsi="Arial" w:cs="Arial"/>
          <w:b/>
          <w:i/>
          <w:sz w:val="20"/>
          <w:szCs w:val="20"/>
        </w:rPr>
        <w:t>Linking financial and non-financial performance information</w:t>
      </w:r>
      <w:r w:rsidRPr="009E6B3C">
        <w:rPr>
          <w:rFonts w:ascii="Arial" w:hAnsi="Arial" w:cs="Arial"/>
          <w:sz w:val="20"/>
          <w:szCs w:val="20"/>
        </w:rPr>
        <w:t xml:space="preserve">: </w:t>
      </w:r>
    </w:p>
    <w:p w:rsidR="00370403" w:rsidRPr="009E6B3C" w:rsidRDefault="001C39C7"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programme achieved </w:t>
      </w:r>
      <w:r w:rsidR="00C56697" w:rsidRPr="009E6B3C">
        <w:rPr>
          <w:rFonts w:ascii="Arial" w:hAnsi="Arial" w:cs="Arial"/>
          <w:sz w:val="20"/>
          <w:szCs w:val="20"/>
        </w:rPr>
        <w:t xml:space="preserve">77% </w:t>
      </w:r>
      <w:r w:rsidR="009C725F" w:rsidRPr="009E6B3C">
        <w:rPr>
          <w:rFonts w:ascii="Arial" w:hAnsi="Arial" w:cs="Arial"/>
          <w:sz w:val="20"/>
          <w:szCs w:val="20"/>
        </w:rPr>
        <w:t xml:space="preserve">of planned </w:t>
      </w:r>
      <w:r w:rsidR="00807A00" w:rsidRPr="009E6B3C">
        <w:rPr>
          <w:rFonts w:ascii="Arial" w:hAnsi="Arial" w:cs="Arial"/>
          <w:sz w:val="20"/>
          <w:szCs w:val="20"/>
        </w:rPr>
        <w:t xml:space="preserve">targets </w:t>
      </w:r>
      <w:r w:rsidR="009C725F" w:rsidRPr="009E6B3C">
        <w:rPr>
          <w:rFonts w:ascii="Arial" w:hAnsi="Arial" w:cs="Arial"/>
          <w:sz w:val="20"/>
          <w:szCs w:val="20"/>
        </w:rPr>
        <w:t>for 202</w:t>
      </w:r>
      <w:r w:rsidR="00C56697" w:rsidRPr="009E6B3C">
        <w:rPr>
          <w:rFonts w:ascii="Arial" w:hAnsi="Arial" w:cs="Arial"/>
          <w:sz w:val="20"/>
          <w:szCs w:val="20"/>
        </w:rPr>
        <w:t>1/22, improving from 40% in 2020/21</w:t>
      </w:r>
      <w:r w:rsidR="00860BE9" w:rsidRPr="009E6B3C">
        <w:rPr>
          <w:rFonts w:ascii="Arial" w:hAnsi="Arial" w:cs="Arial"/>
          <w:sz w:val="20"/>
          <w:szCs w:val="20"/>
        </w:rPr>
        <w:t>,</w:t>
      </w:r>
      <w:r w:rsidR="009C725F" w:rsidRPr="009E6B3C">
        <w:rPr>
          <w:rFonts w:ascii="Arial" w:hAnsi="Arial" w:cs="Arial"/>
          <w:sz w:val="20"/>
          <w:szCs w:val="20"/>
        </w:rPr>
        <w:t xml:space="preserve"> and </w:t>
      </w:r>
      <w:r w:rsidR="00C56697" w:rsidRPr="009E6B3C">
        <w:rPr>
          <w:rFonts w:ascii="Arial" w:hAnsi="Arial" w:cs="Arial"/>
          <w:sz w:val="20"/>
          <w:szCs w:val="20"/>
        </w:rPr>
        <w:t>spent 92.3% of the allocation, underspending by –R230.8</w:t>
      </w:r>
      <w:r w:rsidR="009C725F" w:rsidRPr="009E6B3C">
        <w:rPr>
          <w:rFonts w:ascii="Arial" w:hAnsi="Arial" w:cs="Arial"/>
          <w:sz w:val="20"/>
          <w:szCs w:val="20"/>
        </w:rPr>
        <w:t xml:space="preserve"> million.</w:t>
      </w:r>
      <w:r w:rsidR="006B1AFD" w:rsidRPr="009E6B3C">
        <w:rPr>
          <w:rFonts w:ascii="Arial" w:hAnsi="Arial" w:cs="Arial"/>
          <w:sz w:val="20"/>
          <w:szCs w:val="20"/>
        </w:rPr>
        <w:t xml:space="preserve"> </w:t>
      </w:r>
    </w:p>
    <w:p w:rsidR="00844C4C" w:rsidRPr="009E6B3C" w:rsidRDefault="00844C4C" w:rsidP="009E6B3C">
      <w:pPr>
        <w:autoSpaceDE w:val="0"/>
        <w:autoSpaceDN w:val="0"/>
        <w:adjustRightInd w:val="0"/>
        <w:rPr>
          <w:rFonts w:ascii="Arial" w:hAnsi="Arial" w:cs="Arial"/>
          <w:sz w:val="20"/>
          <w:szCs w:val="20"/>
        </w:rPr>
      </w:pPr>
    </w:p>
    <w:p w:rsidR="00BF7E42" w:rsidRPr="009E6B3C" w:rsidRDefault="00BF7E42" w:rsidP="009E6B3C">
      <w:pPr>
        <w:autoSpaceDE w:val="0"/>
        <w:autoSpaceDN w:val="0"/>
        <w:adjustRightInd w:val="0"/>
        <w:rPr>
          <w:rFonts w:ascii="Arial" w:hAnsi="Arial" w:cs="Arial"/>
          <w:sz w:val="20"/>
          <w:szCs w:val="20"/>
        </w:rPr>
      </w:pPr>
    </w:p>
    <w:p w:rsidR="00106280" w:rsidRPr="009E6B3C" w:rsidRDefault="00106280" w:rsidP="009E6B3C">
      <w:pPr>
        <w:numPr>
          <w:ilvl w:val="0"/>
          <w:numId w:val="1"/>
        </w:numPr>
        <w:tabs>
          <w:tab w:val="num" w:pos="851"/>
        </w:tabs>
        <w:ind w:left="851" w:hanging="851"/>
        <w:rPr>
          <w:rFonts w:ascii="Arial" w:hAnsi="Arial" w:cs="Arial"/>
          <w:b/>
          <w:sz w:val="20"/>
          <w:szCs w:val="20"/>
        </w:rPr>
      </w:pPr>
      <w:r w:rsidRPr="009E6B3C">
        <w:rPr>
          <w:rFonts w:ascii="Arial" w:hAnsi="Arial" w:cs="Arial"/>
          <w:b/>
          <w:sz w:val="20"/>
          <w:szCs w:val="20"/>
        </w:rPr>
        <w:t>Programme 2 - Court Services</w:t>
      </w:r>
    </w:p>
    <w:p w:rsidR="00106280" w:rsidRPr="009E6B3C" w:rsidRDefault="00106280" w:rsidP="009E6B3C">
      <w:pPr>
        <w:ind w:left="720"/>
        <w:rPr>
          <w:rFonts w:ascii="Arial" w:hAnsi="Arial" w:cs="Arial"/>
          <w:b/>
          <w:sz w:val="20"/>
          <w:szCs w:val="20"/>
        </w:rPr>
      </w:pPr>
    </w:p>
    <w:p w:rsidR="00106280" w:rsidRPr="009E6B3C" w:rsidRDefault="00106280"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lastRenderedPageBreak/>
        <w:t xml:space="preserve">The Court Services programme facilitates the </w:t>
      </w:r>
      <w:r w:rsidR="008E4ED1" w:rsidRPr="009E6B3C">
        <w:rPr>
          <w:rFonts w:ascii="Arial" w:hAnsi="Arial" w:cs="Arial"/>
          <w:sz w:val="20"/>
          <w:szCs w:val="20"/>
        </w:rPr>
        <w:t xml:space="preserve">speedy </w:t>
      </w:r>
      <w:r w:rsidRPr="009E6B3C">
        <w:rPr>
          <w:rFonts w:ascii="Arial" w:hAnsi="Arial" w:cs="Arial"/>
          <w:sz w:val="20"/>
          <w:szCs w:val="20"/>
        </w:rPr>
        <w:t xml:space="preserve">resolution of criminal, civil and family law disputes by providing accessible, efficient and quality administrative support </w:t>
      </w:r>
      <w:r w:rsidR="008E4ED1" w:rsidRPr="009E6B3C">
        <w:rPr>
          <w:rFonts w:ascii="Arial" w:hAnsi="Arial" w:cs="Arial"/>
          <w:sz w:val="20"/>
          <w:szCs w:val="20"/>
        </w:rPr>
        <w:t xml:space="preserve">functions </w:t>
      </w:r>
      <w:r w:rsidRPr="009E6B3C">
        <w:rPr>
          <w:rFonts w:ascii="Arial" w:hAnsi="Arial" w:cs="Arial"/>
          <w:sz w:val="20"/>
          <w:szCs w:val="20"/>
        </w:rPr>
        <w:t xml:space="preserve">to the </w:t>
      </w:r>
      <w:r w:rsidR="008E4ED1" w:rsidRPr="009E6B3C">
        <w:rPr>
          <w:rFonts w:ascii="Arial" w:hAnsi="Arial" w:cs="Arial"/>
          <w:sz w:val="20"/>
          <w:szCs w:val="20"/>
        </w:rPr>
        <w:t xml:space="preserve">lower </w:t>
      </w:r>
      <w:r w:rsidRPr="009E6B3C">
        <w:rPr>
          <w:rFonts w:ascii="Arial" w:hAnsi="Arial" w:cs="Arial"/>
          <w:sz w:val="20"/>
          <w:szCs w:val="20"/>
        </w:rPr>
        <w:t>courts</w:t>
      </w:r>
      <w:r w:rsidR="0007248A" w:rsidRPr="009E6B3C">
        <w:rPr>
          <w:rFonts w:ascii="Arial" w:hAnsi="Arial" w:cs="Arial"/>
          <w:sz w:val="20"/>
          <w:szCs w:val="20"/>
        </w:rPr>
        <w:t>;</w:t>
      </w:r>
      <w:r w:rsidRPr="009E6B3C">
        <w:rPr>
          <w:rFonts w:ascii="Arial" w:hAnsi="Arial" w:cs="Arial"/>
          <w:sz w:val="20"/>
          <w:szCs w:val="20"/>
        </w:rPr>
        <w:t xml:space="preserve"> </w:t>
      </w:r>
      <w:r w:rsidR="00F5284D" w:rsidRPr="009E6B3C">
        <w:rPr>
          <w:rFonts w:ascii="Arial" w:hAnsi="Arial" w:cs="Arial"/>
          <w:sz w:val="20"/>
          <w:szCs w:val="20"/>
        </w:rPr>
        <w:t xml:space="preserve">and </w:t>
      </w:r>
      <w:r w:rsidRPr="009E6B3C">
        <w:rPr>
          <w:rFonts w:ascii="Arial" w:hAnsi="Arial" w:cs="Arial"/>
          <w:sz w:val="20"/>
          <w:szCs w:val="20"/>
        </w:rPr>
        <w:t>manages court facilities</w:t>
      </w:r>
      <w:r w:rsidR="00F5284D" w:rsidRPr="009E6B3C">
        <w:rPr>
          <w:rFonts w:ascii="Arial" w:hAnsi="Arial" w:cs="Arial"/>
          <w:sz w:val="20"/>
          <w:szCs w:val="20"/>
        </w:rPr>
        <w:t xml:space="preserve"> and justice security services</w:t>
      </w:r>
      <w:r w:rsidRPr="009E6B3C">
        <w:rPr>
          <w:rFonts w:ascii="Arial" w:hAnsi="Arial" w:cs="Arial"/>
          <w:sz w:val="20"/>
          <w:szCs w:val="20"/>
        </w:rPr>
        <w:t>.</w:t>
      </w:r>
    </w:p>
    <w:p w:rsidR="00106280" w:rsidRPr="009E6B3C" w:rsidRDefault="00106280" w:rsidP="009E6B3C">
      <w:pPr>
        <w:pStyle w:val="BodySingle"/>
        <w:jc w:val="left"/>
        <w:rPr>
          <w:rFonts w:cs="Arial"/>
          <w:i w:val="0"/>
          <w:lang w:val="en-ZA" w:eastAsia="en-GB"/>
        </w:rPr>
      </w:pPr>
    </w:p>
    <w:p w:rsidR="007A6FF7" w:rsidRPr="009E6B3C" w:rsidRDefault="007A6FF7" w:rsidP="009E6B3C">
      <w:pPr>
        <w:pStyle w:val="ListParagraph"/>
        <w:numPr>
          <w:ilvl w:val="1"/>
          <w:numId w:val="1"/>
        </w:numPr>
        <w:ind w:left="851" w:hanging="851"/>
        <w:rPr>
          <w:rFonts w:ascii="Arial" w:hAnsi="Arial" w:cs="Arial"/>
          <w:bCs/>
          <w:sz w:val="20"/>
          <w:szCs w:val="20"/>
        </w:rPr>
      </w:pPr>
      <w:r w:rsidRPr="009E6B3C">
        <w:rPr>
          <w:rFonts w:ascii="Arial" w:hAnsi="Arial" w:cs="Arial"/>
          <w:bCs/>
          <w:sz w:val="20"/>
          <w:szCs w:val="20"/>
        </w:rPr>
        <w:t xml:space="preserve">The </w:t>
      </w:r>
      <w:r w:rsidR="003423BA" w:rsidRPr="009E6B3C">
        <w:rPr>
          <w:rFonts w:ascii="Arial" w:hAnsi="Arial" w:cs="Arial"/>
          <w:bCs/>
          <w:sz w:val="20"/>
          <w:szCs w:val="20"/>
        </w:rPr>
        <w:t xml:space="preserve">Programme has the following </w:t>
      </w:r>
      <w:r w:rsidR="00EF307C" w:rsidRPr="009E6B3C">
        <w:rPr>
          <w:rFonts w:ascii="Arial" w:hAnsi="Arial" w:cs="Arial"/>
          <w:bCs/>
          <w:sz w:val="20"/>
          <w:szCs w:val="20"/>
        </w:rPr>
        <w:t>outcomes</w:t>
      </w:r>
      <w:r w:rsidRPr="009E6B3C">
        <w:rPr>
          <w:rFonts w:ascii="Arial" w:hAnsi="Arial" w:cs="Arial"/>
          <w:bCs/>
          <w:sz w:val="20"/>
          <w:szCs w:val="20"/>
        </w:rPr>
        <w:t xml:space="preserve">: </w:t>
      </w:r>
    </w:p>
    <w:p w:rsidR="00EF307C" w:rsidRPr="009E6B3C" w:rsidRDefault="007A6FF7"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Increased access to </w:t>
      </w:r>
      <w:r w:rsidR="00EF307C" w:rsidRPr="009E6B3C">
        <w:rPr>
          <w:rFonts w:ascii="Arial" w:eastAsiaTheme="minorHAnsi" w:hAnsi="Arial" w:cs="Arial"/>
          <w:color w:val="000000"/>
          <w:sz w:val="20"/>
          <w:szCs w:val="20"/>
          <w:lang w:eastAsia="en-US"/>
        </w:rPr>
        <w:t>justice.</w:t>
      </w:r>
    </w:p>
    <w:p w:rsidR="00EF307C" w:rsidRPr="009E6B3C" w:rsidRDefault="00EF307C" w:rsidP="009E6B3C">
      <w:pPr>
        <w:pStyle w:val="ListParagraph"/>
        <w:numPr>
          <w:ilvl w:val="0"/>
          <w:numId w:val="6"/>
        </w:numPr>
        <w:autoSpaceDE w:val="0"/>
        <w:autoSpaceDN w:val="0"/>
        <w:adjustRightInd w:val="0"/>
        <w:ind w:left="1276" w:hanging="425"/>
        <w:rPr>
          <w:rFonts w:ascii="Arial" w:hAnsi="Arial" w:cs="Arial"/>
          <w:bCs/>
          <w:sz w:val="20"/>
          <w:szCs w:val="20"/>
        </w:rPr>
      </w:pPr>
      <w:r w:rsidRPr="009E6B3C">
        <w:rPr>
          <w:rFonts w:ascii="Arial" w:eastAsiaTheme="minorHAnsi" w:hAnsi="Arial" w:cs="Arial"/>
          <w:color w:val="000000"/>
          <w:sz w:val="20"/>
          <w:szCs w:val="20"/>
          <w:lang w:eastAsia="en-US"/>
        </w:rPr>
        <w:t>Crime and corruption reduced through effective prosecution.</w:t>
      </w:r>
    </w:p>
    <w:p w:rsidR="00AD7A03" w:rsidRPr="009E6B3C" w:rsidRDefault="00AD7A03" w:rsidP="009E6B3C">
      <w:pPr>
        <w:pStyle w:val="ListParagraph"/>
        <w:autoSpaceDE w:val="0"/>
        <w:autoSpaceDN w:val="0"/>
        <w:adjustRightInd w:val="0"/>
        <w:ind w:left="851"/>
        <w:rPr>
          <w:rFonts w:ascii="Arial" w:hAnsi="Arial" w:cs="Arial"/>
          <w:sz w:val="20"/>
          <w:szCs w:val="20"/>
        </w:rPr>
      </w:pPr>
    </w:p>
    <w:p w:rsidR="00AD7A03" w:rsidRPr="009E6B3C" w:rsidRDefault="00AD7A03"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following indicators and related targets were revised in-year:</w:t>
      </w:r>
    </w:p>
    <w:p w:rsidR="007C1CAE" w:rsidRPr="009E6B3C" w:rsidRDefault="007C1CAE" w:rsidP="009E6B3C">
      <w:pPr>
        <w:pStyle w:val="ListParagraph"/>
        <w:autoSpaceDE w:val="0"/>
        <w:autoSpaceDN w:val="0"/>
        <w:adjustRightInd w:val="0"/>
        <w:ind w:left="851"/>
        <w:rPr>
          <w:rFonts w:ascii="Arial" w:hAnsi="Arial" w:cs="Arial"/>
          <w:sz w:val="20"/>
          <w:szCs w:val="20"/>
        </w:rPr>
      </w:pPr>
    </w:p>
    <w:p w:rsidR="007C1CAE" w:rsidRPr="009E6B3C" w:rsidRDefault="007C1CAE" w:rsidP="009E6B3C">
      <w:pPr>
        <w:rPr>
          <w:rFonts w:ascii="Arial" w:hAnsi="Arial" w:cs="Arial"/>
          <w:b/>
          <w:i/>
          <w:color w:val="000000" w:themeColor="text1"/>
          <w:sz w:val="20"/>
          <w:szCs w:val="20"/>
          <w:lang w:eastAsia="en-ZA"/>
        </w:rPr>
      </w:pPr>
      <w:r w:rsidRPr="009E6B3C">
        <w:rPr>
          <w:rFonts w:ascii="Arial" w:hAnsi="Arial" w:cs="Arial"/>
          <w:b/>
          <w:i/>
          <w:color w:val="000000" w:themeColor="text1"/>
          <w:sz w:val="20"/>
          <w:szCs w:val="20"/>
          <w:lang w:eastAsia="en-ZA"/>
        </w:rPr>
        <w:t>Table 9: Court Services programme – revised indicators and targets</w:t>
      </w:r>
    </w:p>
    <w:tbl>
      <w:tblPr>
        <w:tblStyle w:val="TableGrid"/>
        <w:tblW w:w="0" w:type="auto"/>
        <w:tblLook w:val="04A0"/>
      </w:tblPr>
      <w:tblGrid>
        <w:gridCol w:w="4819"/>
        <w:gridCol w:w="4808"/>
      </w:tblGrid>
      <w:tr w:rsidR="00AD7A03" w:rsidRPr="009E6B3C" w:rsidTr="00961A09">
        <w:trPr>
          <w:tblHeader/>
        </w:trPr>
        <w:tc>
          <w:tcPr>
            <w:tcW w:w="0" w:type="auto"/>
            <w:shd w:val="clear" w:color="auto" w:fill="DBDBDB" w:themeFill="accent3" w:themeFillTint="66"/>
          </w:tcPr>
          <w:p w:rsidR="00AD7A03" w:rsidRPr="009E6B3C" w:rsidRDefault="00AD7A03" w:rsidP="009E6B3C">
            <w:pPr>
              <w:pStyle w:val="ListParagraph"/>
              <w:autoSpaceDE w:val="0"/>
              <w:autoSpaceDN w:val="0"/>
              <w:adjustRightInd w:val="0"/>
              <w:ind w:left="22"/>
              <w:rPr>
                <w:rFonts w:ascii="Arial" w:hAnsi="Arial" w:cs="Arial"/>
                <w:b/>
                <w:sz w:val="20"/>
                <w:szCs w:val="20"/>
                <w:lang w:val="en-ZA"/>
              </w:rPr>
            </w:pPr>
            <w:r w:rsidRPr="009E6B3C">
              <w:rPr>
                <w:rFonts w:ascii="Arial" w:hAnsi="Arial" w:cs="Arial"/>
                <w:b/>
                <w:sz w:val="20"/>
                <w:szCs w:val="20"/>
                <w:lang w:val="en-ZA"/>
              </w:rPr>
              <w:t>INDICATOR</w:t>
            </w:r>
          </w:p>
        </w:tc>
        <w:tc>
          <w:tcPr>
            <w:tcW w:w="0" w:type="auto"/>
            <w:shd w:val="clear" w:color="auto" w:fill="DBDBDB" w:themeFill="accent3" w:themeFillTint="66"/>
          </w:tcPr>
          <w:p w:rsidR="00AD7A03" w:rsidRPr="009E6B3C" w:rsidRDefault="00AD7A03" w:rsidP="009E6B3C">
            <w:pPr>
              <w:pStyle w:val="ListParagraph"/>
              <w:autoSpaceDE w:val="0"/>
              <w:autoSpaceDN w:val="0"/>
              <w:adjustRightInd w:val="0"/>
              <w:ind w:left="0"/>
              <w:rPr>
                <w:rFonts w:ascii="Arial" w:hAnsi="Arial" w:cs="Arial"/>
                <w:b/>
                <w:sz w:val="20"/>
                <w:szCs w:val="20"/>
                <w:lang w:val="en-ZA"/>
              </w:rPr>
            </w:pPr>
            <w:r w:rsidRPr="009E6B3C">
              <w:rPr>
                <w:rFonts w:ascii="Arial" w:hAnsi="Arial" w:cs="Arial"/>
                <w:b/>
                <w:sz w:val="20"/>
                <w:szCs w:val="20"/>
                <w:lang w:val="en-ZA"/>
              </w:rPr>
              <w:t xml:space="preserve">REVISED  </w:t>
            </w:r>
            <w:r w:rsidR="00675A6A" w:rsidRPr="009E6B3C">
              <w:rPr>
                <w:rFonts w:ascii="Arial" w:hAnsi="Arial" w:cs="Arial"/>
                <w:b/>
                <w:sz w:val="20"/>
                <w:szCs w:val="20"/>
                <w:lang w:val="en-ZA"/>
              </w:rPr>
              <w:t xml:space="preserve">INDICATOR AND </w:t>
            </w:r>
            <w:r w:rsidRPr="009E6B3C">
              <w:rPr>
                <w:rFonts w:ascii="Arial" w:hAnsi="Arial" w:cs="Arial"/>
                <w:b/>
                <w:sz w:val="20"/>
                <w:szCs w:val="20"/>
                <w:lang w:val="en-ZA"/>
              </w:rPr>
              <w:t>TARGET</w:t>
            </w:r>
          </w:p>
        </w:tc>
      </w:tr>
      <w:tr w:rsidR="00AD7A03" w:rsidRPr="009E6B3C" w:rsidTr="00961A09">
        <w:tc>
          <w:tcPr>
            <w:tcW w:w="0" w:type="auto"/>
            <w:shd w:val="clear" w:color="auto" w:fill="auto"/>
          </w:tcPr>
          <w:p w:rsidR="00AD7A03" w:rsidRPr="009E6B3C" w:rsidRDefault="00AD7A03" w:rsidP="009E6B3C">
            <w:pPr>
              <w:pStyle w:val="ListParagraph"/>
              <w:autoSpaceDE w:val="0"/>
              <w:autoSpaceDN w:val="0"/>
              <w:adjustRightInd w:val="0"/>
              <w:ind w:left="0"/>
              <w:rPr>
                <w:rFonts w:ascii="Arial" w:hAnsi="Arial" w:cs="Arial"/>
                <w:sz w:val="20"/>
                <w:szCs w:val="20"/>
                <w:lang w:val="en-ZA"/>
              </w:rPr>
            </w:pPr>
            <w:r w:rsidRPr="009E6B3C">
              <w:rPr>
                <w:rFonts w:ascii="Arial" w:hAnsi="Arial" w:cs="Arial"/>
                <w:sz w:val="20"/>
                <w:szCs w:val="20"/>
                <w:lang w:val="en-ZA"/>
              </w:rPr>
              <w:t>Phase 4 Functional Femicide Watch dashboard with available data</w:t>
            </w:r>
            <w:r w:rsidR="00675A6A" w:rsidRPr="009E6B3C">
              <w:rPr>
                <w:rFonts w:ascii="Arial" w:hAnsi="Arial" w:cs="Arial"/>
                <w:sz w:val="20"/>
                <w:szCs w:val="20"/>
                <w:lang w:val="en-ZA"/>
              </w:rPr>
              <w:t>.</w:t>
            </w:r>
          </w:p>
        </w:tc>
        <w:tc>
          <w:tcPr>
            <w:tcW w:w="0" w:type="auto"/>
            <w:shd w:val="clear" w:color="auto" w:fill="auto"/>
          </w:tcPr>
          <w:p w:rsidR="00AD7A03" w:rsidRPr="009E6B3C" w:rsidRDefault="00AD7A03" w:rsidP="009E6B3C">
            <w:pPr>
              <w:pStyle w:val="ListParagraph"/>
              <w:autoSpaceDE w:val="0"/>
              <w:autoSpaceDN w:val="0"/>
              <w:adjustRightInd w:val="0"/>
              <w:ind w:left="31"/>
              <w:rPr>
                <w:rFonts w:ascii="Arial" w:hAnsi="Arial" w:cs="Arial"/>
                <w:sz w:val="20"/>
                <w:szCs w:val="20"/>
                <w:lang w:val="en-ZA"/>
              </w:rPr>
            </w:pPr>
            <w:r w:rsidRPr="009E6B3C">
              <w:rPr>
                <w:rFonts w:ascii="Arial" w:hAnsi="Arial" w:cs="Arial"/>
                <w:sz w:val="20"/>
                <w:szCs w:val="20"/>
                <w:lang w:val="en-ZA"/>
              </w:rPr>
              <w:t xml:space="preserve">The </w:t>
            </w:r>
            <w:r w:rsidR="00740DE6" w:rsidRPr="009E6B3C">
              <w:rPr>
                <w:rFonts w:ascii="Arial" w:hAnsi="Arial" w:cs="Arial"/>
                <w:sz w:val="20"/>
                <w:szCs w:val="20"/>
                <w:lang w:val="en-ZA"/>
              </w:rPr>
              <w:t>i</w:t>
            </w:r>
            <w:r w:rsidRPr="009E6B3C">
              <w:rPr>
                <w:rFonts w:ascii="Arial" w:hAnsi="Arial" w:cs="Arial"/>
                <w:sz w:val="20"/>
                <w:szCs w:val="20"/>
                <w:lang w:val="en-ZA"/>
              </w:rPr>
              <w:t>ndicator was revised to “approved report on available dat</w:t>
            </w:r>
            <w:r w:rsidR="00BF7E42" w:rsidRPr="009E6B3C">
              <w:rPr>
                <w:rFonts w:ascii="Arial" w:hAnsi="Arial" w:cs="Arial"/>
                <w:sz w:val="20"/>
                <w:szCs w:val="20"/>
                <w:lang w:val="en-ZA"/>
              </w:rPr>
              <w:t>a for P</w:t>
            </w:r>
            <w:r w:rsidRPr="009E6B3C">
              <w:rPr>
                <w:rFonts w:ascii="Arial" w:hAnsi="Arial" w:cs="Arial"/>
                <w:sz w:val="20"/>
                <w:szCs w:val="20"/>
                <w:lang w:val="en-ZA"/>
              </w:rPr>
              <w:t xml:space="preserve">hase 4 Femicide Watch dashboard” </w:t>
            </w:r>
          </w:p>
        </w:tc>
      </w:tr>
      <w:tr w:rsidR="00AD7A03" w:rsidRPr="009E6B3C" w:rsidTr="00961A09">
        <w:tc>
          <w:tcPr>
            <w:tcW w:w="0" w:type="auto"/>
            <w:shd w:val="clear" w:color="auto" w:fill="auto"/>
          </w:tcPr>
          <w:p w:rsidR="00AD7A03" w:rsidRPr="009E6B3C" w:rsidRDefault="00AD7A03" w:rsidP="009E6B3C">
            <w:pPr>
              <w:pStyle w:val="ListParagraph"/>
              <w:autoSpaceDE w:val="0"/>
              <w:autoSpaceDN w:val="0"/>
              <w:adjustRightInd w:val="0"/>
              <w:ind w:left="0"/>
              <w:rPr>
                <w:rFonts w:ascii="Arial" w:hAnsi="Arial" w:cs="Arial"/>
                <w:sz w:val="20"/>
                <w:szCs w:val="20"/>
                <w:lang w:val="en-ZA"/>
              </w:rPr>
            </w:pPr>
            <w:r w:rsidRPr="009E6B3C">
              <w:rPr>
                <w:rFonts w:ascii="Arial" w:hAnsi="Arial" w:cs="Arial"/>
                <w:sz w:val="20"/>
                <w:szCs w:val="20"/>
                <w:lang w:val="en-ZA"/>
              </w:rPr>
              <w:t>Criminal cases postponed due to unavailability of court administration staff</w:t>
            </w:r>
            <w:r w:rsidR="00675A6A" w:rsidRPr="009E6B3C">
              <w:rPr>
                <w:rFonts w:ascii="Arial" w:hAnsi="Arial" w:cs="Arial"/>
                <w:sz w:val="20"/>
                <w:szCs w:val="20"/>
                <w:lang w:val="en-ZA"/>
              </w:rPr>
              <w:t>.</w:t>
            </w:r>
          </w:p>
        </w:tc>
        <w:tc>
          <w:tcPr>
            <w:tcW w:w="0" w:type="auto"/>
            <w:shd w:val="clear" w:color="auto" w:fill="auto"/>
          </w:tcPr>
          <w:p w:rsidR="00AD7A03" w:rsidRPr="009E6B3C" w:rsidRDefault="00AD7A03" w:rsidP="009E6B3C">
            <w:pPr>
              <w:pStyle w:val="ListParagraph"/>
              <w:autoSpaceDE w:val="0"/>
              <w:autoSpaceDN w:val="0"/>
              <w:adjustRightInd w:val="0"/>
              <w:ind w:left="31"/>
              <w:rPr>
                <w:rFonts w:ascii="Arial" w:hAnsi="Arial" w:cs="Arial"/>
                <w:sz w:val="20"/>
                <w:szCs w:val="20"/>
                <w:lang w:val="en-ZA"/>
              </w:rPr>
            </w:pPr>
            <w:r w:rsidRPr="009E6B3C">
              <w:rPr>
                <w:rFonts w:ascii="Arial" w:hAnsi="Arial" w:cs="Arial"/>
                <w:sz w:val="20"/>
                <w:szCs w:val="20"/>
                <w:lang w:val="en-ZA"/>
              </w:rPr>
              <w:t>The annual target was revised downwards from ≤0.3% to ≤0.2%</w:t>
            </w:r>
          </w:p>
        </w:tc>
      </w:tr>
      <w:tr w:rsidR="00AD7A03" w:rsidRPr="009E6B3C" w:rsidTr="00961A09">
        <w:tc>
          <w:tcPr>
            <w:tcW w:w="0" w:type="auto"/>
            <w:shd w:val="clear" w:color="auto" w:fill="auto"/>
          </w:tcPr>
          <w:p w:rsidR="00AD7A03" w:rsidRPr="009E6B3C" w:rsidRDefault="00AD7A03" w:rsidP="009E6B3C">
            <w:pPr>
              <w:pStyle w:val="ListParagraph"/>
              <w:autoSpaceDE w:val="0"/>
              <w:autoSpaceDN w:val="0"/>
              <w:adjustRightInd w:val="0"/>
              <w:ind w:left="22"/>
              <w:rPr>
                <w:rFonts w:ascii="Arial" w:hAnsi="Arial" w:cs="Arial"/>
                <w:sz w:val="20"/>
                <w:szCs w:val="20"/>
                <w:lang w:val="en-ZA"/>
              </w:rPr>
            </w:pPr>
            <w:r w:rsidRPr="009E6B3C">
              <w:rPr>
                <w:rFonts w:ascii="Arial" w:hAnsi="Arial" w:cs="Arial"/>
                <w:sz w:val="20"/>
                <w:szCs w:val="20"/>
                <w:lang w:val="en-ZA"/>
              </w:rPr>
              <w:t>Number of additional courts designated in terms of section 55(A)of the Criminal Law (Sexual Offences and Related Matters) Amendment</w:t>
            </w:r>
            <w:r w:rsidR="00675A6A" w:rsidRPr="009E6B3C">
              <w:rPr>
                <w:rFonts w:ascii="Arial" w:hAnsi="Arial" w:cs="Arial"/>
                <w:sz w:val="20"/>
                <w:szCs w:val="20"/>
                <w:lang w:val="en-ZA"/>
              </w:rPr>
              <w:t xml:space="preserve"> Act, 2007.</w:t>
            </w:r>
          </w:p>
        </w:tc>
        <w:tc>
          <w:tcPr>
            <w:tcW w:w="0" w:type="auto"/>
            <w:shd w:val="clear" w:color="auto" w:fill="auto"/>
          </w:tcPr>
          <w:p w:rsidR="00AD7A03" w:rsidRPr="009E6B3C" w:rsidRDefault="00AD7A03" w:rsidP="009E6B3C">
            <w:pPr>
              <w:pStyle w:val="ListParagraph"/>
              <w:autoSpaceDE w:val="0"/>
              <w:autoSpaceDN w:val="0"/>
              <w:adjustRightInd w:val="0"/>
              <w:ind w:left="0"/>
              <w:rPr>
                <w:rFonts w:ascii="Arial" w:hAnsi="Arial" w:cs="Arial"/>
                <w:sz w:val="20"/>
                <w:szCs w:val="20"/>
                <w:lang w:val="en-ZA"/>
              </w:rPr>
            </w:pPr>
            <w:r w:rsidRPr="009E6B3C">
              <w:rPr>
                <w:rFonts w:ascii="Arial" w:hAnsi="Arial" w:cs="Arial"/>
                <w:sz w:val="20"/>
                <w:szCs w:val="20"/>
                <w:lang w:val="en-ZA"/>
              </w:rPr>
              <w:t xml:space="preserve">The original indicator was revised to “number of sexual offences courts established at designated courts.” </w:t>
            </w:r>
          </w:p>
        </w:tc>
      </w:tr>
      <w:tr w:rsidR="00AD7A03" w:rsidRPr="009E6B3C" w:rsidTr="00961A09">
        <w:tc>
          <w:tcPr>
            <w:tcW w:w="0" w:type="auto"/>
            <w:shd w:val="clear" w:color="auto" w:fill="auto"/>
          </w:tcPr>
          <w:p w:rsidR="00AD7A03" w:rsidRPr="009E6B3C" w:rsidRDefault="00AD7A03" w:rsidP="009E6B3C">
            <w:pPr>
              <w:pStyle w:val="ListParagraph"/>
              <w:autoSpaceDE w:val="0"/>
              <w:autoSpaceDN w:val="0"/>
              <w:adjustRightInd w:val="0"/>
              <w:ind w:left="22"/>
              <w:rPr>
                <w:rFonts w:ascii="Arial" w:hAnsi="Arial" w:cs="Arial"/>
                <w:sz w:val="20"/>
                <w:szCs w:val="20"/>
                <w:lang w:val="en-ZA"/>
              </w:rPr>
            </w:pPr>
            <w:r w:rsidRPr="009E6B3C">
              <w:rPr>
                <w:rFonts w:ascii="Arial" w:hAnsi="Arial" w:cs="Arial"/>
                <w:sz w:val="20"/>
                <w:szCs w:val="20"/>
                <w:lang w:val="en-ZA"/>
              </w:rPr>
              <w:t>Percentage of NRSO clearance certificates issued within 10 working days</w:t>
            </w:r>
            <w:r w:rsidR="00675A6A" w:rsidRPr="009E6B3C">
              <w:rPr>
                <w:rFonts w:ascii="Arial" w:hAnsi="Arial" w:cs="Arial"/>
                <w:sz w:val="20"/>
                <w:szCs w:val="20"/>
                <w:lang w:val="en-ZA"/>
              </w:rPr>
              <w:t>.</w:t>
            </w:r>
          </w:p>
        </w:tc>
        <w:tc>
          <w:tcPr>
            <w:tcW w:w="0" w:type="auto"/>
            <w:shd w:val="clear" w:color="auto" w:fill="auto"/>
          </w:tcPr>
          <w:p w:rsidR="00AD7A03" w:rsidRPr="009E6B3C" w:rsidRDefault="00AD7A03" w:rsidP="009E6B3C">
            <w:pPr>
              <w:pStyle w:val="ListParagraph"/>
              <w:autoSpaceDE w:val="0"/>
              <w:autoSpaceDN w:val="0"/>
              <w:adjustRightInd w:val="0"/>
              <w:ind w:left="0"/>
              <w:rPr>
                <w:rFonts w:ascii="Arial" w:hAnsi="Arial" w:cs="Arial"/>
                <w:sz w:val="20"/>
                <w:szCs w:val="20"/>
                <w:lang w:val="en-ZA"/>
              </w:rPr>
            </w:pPr>
            <w:r w:rsidRPr="009E6B3C">
              <w:rPr>
                <w:rFonts w:ascii="Arial" w:hAnsi="Arial" w:cs="Arial"/>
                <w:sz w:val="20"/>
                <w:szCs w:val="20"/>
                <w:lang w:val="en-ZA"/>
              </w:rPr>
              <w:t>The annual target was revised downwards from 65% to 50%.</w:t>
            </w:r>
          </w:p>
        </w:tc>
      </w:tr>
      <w:tr w:rsidR="00AD7A03" w:rsidRPr="009E6B3C" w:rsidTr="00961A09">
        <w:tc>
          <w:tcPr>
            <w:tcW w:w="0" w:type="auto"/>
            <w:shd w:val="clear" w:color="auto" w:fill="auto"/>
          </w:tcPr>
          <w:p w:rsidR="00AD7A03" w:rsidRPr="009E6B3C" w:rsidRDefault="00AD7A03" w:rsidP="009E6B3C">
            <w:pPr>
              <w:pStyle w:val="ListParagraph"/>
              <w:autoSpaceDE w:val="0"/>
              <w:autoSpaceDN w:val="0"/>
              <w:adjustRightInd w:val="0"/>
              <w:ind w:left="22"/>
              <w:rPr>
                <w:rFonts w:ascii="Arial" w:hAnsi="Arial" w:cs="Arial"/>
                <w:sz w:val="20"/>
                <w:szCs w:val="20"/>
                <w:lang w:val="en-ZA"/>
              </w:rPr>
            </w:pPr>
            <w:r w:rsidRPr="009E6B3C">
              <w:rPr>
                <w:rFonts w:ascii="Arial" w:hAnsi="Arial" w:cs="Arial"/>
                <w:sz w:val="20"/>
                <w:szCs w:val="20"/>
                <w:lang w:val="en-ZA"/>
              </w:rPr>
              <w:t>Number of courts compliant with the strategy on universal access for persons with disabilities</w:t>
            </w:r>
          </w:p>
        </w:tc>
        <w:tc>
          <w:tcPr>
            <w:tcW w:w="0" w:type="auto"/>
            <w:shd w:val="clear" w:color="auto" w:fill="auto"/>
          </w:tcPr>
          <w:p w:rsidR="00AD7A03" w:rsidRPr="009E6B3C" w:rsidRDefault="00AD7A03" w:rsidP="009E6B3C">
            <w:pPr>
              <w:pStyle w:val="ListParagraph"/>
              <w:autoSpaceDE w:val="0"/>
              <w:autoSpaceDN w:val="0"/>
              <w:adjustRightInd w:val="0"/>
              <w:ind w:left="0"/>
              <w:rPr>
                <w:rFonts w:ascii="Arial" w:hAnsi="Arial" w:cs="Arial"/>
                <w:sz w:val="20"/>
                <w:szCs w:val="20"/>
                <w:lang w:val="en-ZA"/>
              </w:rPr>
            </w:pPr>
            <w:r w:rsidRPr="009E6B3C">
              <w:rPr>
                <w:rFonts w:ascii="Arial" w:hAnsi="Arial" w:cs="Arial"/>
                <w:sz w:val="20"/>
                <w:szCs w:val="20"/>
                <w:lang w:val="en-ZA"/>
              </w:rPr>
              <w:t>The original indicator was revised to “number of courts compliant with the minimum standard on universal access for persons with disabilities”.</w:t>
            </w:r>
          </w:p>
        </w:tc>
      </w:tr>
      <w:tr w:rsidR="00AD7A03" w:rsidRPr="009E6B3C" w:rsidTr="00961A09">
        <w:tc>
          <w:tcPr>
            <w:tcW w:w="0" w:type="auto"/>
            <w:shd w:val="clear" w:color="auto" w:fill="auto"/>
          </w:tcPr>
          <w:p w:rsidR="00AD7A03" w:rsidRPr="009E6B3C" w:rsidRDefault="00AD7A03" w:rsidP="009E6B3C">
            <w:pPr>
              <w:autoSpaceDE w:val="0"/>
              <w:autoSpaceDN w:val="0"/>
              <w:adjustRightInd w:val="0"/>
              <w:rPr>
                <w:rFonts w:ascii="Arial" w:hAnsi="Arial" w:cs="Arial"/>
                <w:sz w:val="20"/>
                <w:szCs w:val="20"/>
              </w:rPr>
            </w:pPr>
            <w:r w:rsidRPr="009E6B3C">
              <w:rPr>
                <w:rFonts w:ascii="Arial" w:hAnsi="Arial" w:cs="Arial"/>
                <w:sz w:val="20"/>
                <w:szCs w:val="20"/>
              </w:rPr>
              <w:t>Maintenance matters finalised within 90 days from the date of proper service of process</w:t>
            </w:r>
            <w:r w:rsidR="00675A6A" w:rsidRPr="009E6B3C">
              <w:rPr>
                <w:rFonts w:ascii="Arial" w:hAnsi="Arial" w:cs="Arial"/>
                <w:sz w:val="20"/>
                <w:szCs w:val="20"/>
              </w:rPr>
              <w:t>.</w:t>
            </w:r>
          </w:p>
        </w:tc>
        <w:tc>
          <w:tcPr>
            <w:tcW w:w="0" w:type="auto"/>
            <w:shd w:val="clear" w:color="auto" w:fill="auto"/>
          </w:tcPr>
          <w:p w:rsidR="00AD7A03" w:rsidRPr="009E6B3C" w:rsidRDefault="00AD7A03" w:rsidP="009E6B3C">
            <w:pPr>
              <w:pStyle w:val="NormalWeb"/>
              <w:spacing w:before="0" w:after="0"/>
              <w:rPr>
                <w:rFonts w:ascii="Arial" w:hAnsi="Arial" w:cs="Arial"/>
                <w:sz w:val="20"/>
                <w:szCs w:val="20"/>
              </w:rPr>
            </w:pPr>
            <w:r w:rsidRPr="009E6B3C">
              <w:rPr>
                <w:rFonts w:ascii="Arial" w:hAnsi="Arial" w:cs="Arial"/>
                <w:sz w:val="20"/>
                <w:szCs w:val="20"/>
              </w:rPr>
              <w:t>The annual target was revised downwards from 80% to 75%.</w:t>
            </w:r>
          </w:p>
        </w:tc>
      </w:tr>
      <w:tr w:rsidR="00AD7A03" w:rsidRPr="009E6B3C" w:rsidTr="00961A09">
        <w:tc>
          <w:tcPr>
            <w:tcW w:w="0" w:type="auto"/>
            <w:shd w:val="clear" w:color="auto" w:fill="auto"/>
          </w:tcPr>
          <w:p w:rsidR="00AD7A03" w:rsidRPr="009E6B3C" w:rsidRDefault="00AD7A03" w:rsidP="009E6B3C">
            <w:pPr>
              <w:autoSpaceDE w:val="0"/>
              <w:autoSpaceDN w:val="0"/>
              <w:adjustRightInd w:val="0"/>
              <w:rPr>
                <w:rFonts w:ascii="Arial" w:hAnsi="Arial" w:cs="Arial"/>
                <w:sz w:val="20"/>
                <w:szCs w:val="20"/>
              </w:rPr>
            </w:pPr>
            <w:r w:rsidRPr="009E6B3C">
              <w:rPr>
                <w:rFonts w:ascii="Arial" w:hAnsi="Arial" w:cs="Arial"/>
                <w:sz w:val="20"/>
                <w:szCs w:val="20"/>
              </w:rPr>
              <w:t>Social compact discussion document submitted to Cabinet by 31 December 2021</w:t>
            </w:r>
            <w:r w:rsidR="00675A6A" w:rsidRPr="009E6B3C">
              <w:rPr>
                <w:rFonts w:ascii="Arial" w:hAnsi="Arial" w:cs="Arial"/>
                <w:sz w:val="20"/>
                <w:szCs w:val="20"/>
              </w:rPr>
              <w:t>.</w:t>
            </w:r>
          </w:p>
        </w:tc>
        <w:tc>
          <w:tcPr>
            <w:tcW w:w="0" w:type="auto"/>
            <w:shd w:val="clear" w:color="auto" w:fill="auto"/>
          </w:tcPr>
          <w:p w:rsidR="00AD7A03" w:rsidRPr="009E6B3C" w:rsidRDefault="00AD7A03" w:rsidP="009E6B3C">
            <w:pPr>
              <w:autoSpaceDE w:val="0"/>
              <w:autoSpaceDN w:val="0"/>
              <w:adjustRightInd w:val="0"/>
              <w:rPr>
                <w:rFonts w:ascii="Arial" w:hAnsi="Arial" w:cs="Arial"/>
                <w:sz w:val="20"/>
                <w:szCs w:val="20"/>
              </w:rPr>
            </w:pPr>
            <w:r w:rsidRPr="009E6B3C">
              <w:rPr>
                <w:rFonts w:ascii="Arial" w:hAnsi="Arial" w:cs="Arial"/>
                <w:sz w:val="20"/>
                <w:szCs w:val="20"/>
              </w:rPr>
              <w:t>The original indicator was revised to “social compact discussion document submitted to Minister for approval by 31 March 2022”.</w:t>
            </w:r>
          </w:p>
        </w:tc>
      </w:tr>
      <w:tr w:rsidR="00AD7A03" w:rsidRPr="009E6B3C" w:rsidTr="00961A09">
        <w:tc>
          <w:tcPr>
            <w:tcW w:w="0" w:type="auto"/>
            <w:shd w:val="clear" w:color="auto" w:fill="auto"/>
          </w:tcPr>
          <w:p w:rsidR="00AD7A03" w:rsidRPr="009E6B3C" w:rsidRDefault="00AD7A03" w:rsidP="009E6B3C">
            <w:pPr>
              <w:autoSpaceDE w:val="0"/>
              <w:autoSpaceDN w:val="0"/>
              <w:adjustRightInd w:val="0"/>
              <w:rPr>
                <w:rFonts w:ascii="Arial" w:hAnsi="Arial" w:cs="Arial"/>
                <w:sz w:val="20"/>
                <w:szCs w:val="20"/>
              </w:rPr>
            </w:pPr>
            <w:r w:rsidRPr="009E6B3C">
              <w:rPr>
                <w:rFonts w:ascii="Arial" w:hAnsi="Arial" w:cs="Arial"/>
                <w:sz w:val="20"/>
                <w:szCs w:val="20"/>
              </w:rPr>
              <w:t>Maintenance improvement framework developed and submitted to the Minister for approval by 31 December 2021</w:t>
            </w:r>
            <w:r w:rsidR="00675A6A" w:rsidRPr="009E6B3C">
              <w:rPr>
                <w:rFonts w:ascii="Arial" w:hAnsi="Arial" w:cs="Arial"/>
                <w:sz w:val="20"/>
                <w:szCs w:val="20"/>
              </w:rPr>
              <w:t>.</w:t>
            </w:r>
          </w:p>
        </w:tc>
        <w:tc>
          <w:tcPr>
            <w:tcW w:w="0" w:type="auto"/>
            <w:shd w:val="clear" w:color="auto" w:fill="auto"/>
          </w:tcPr>
          <w:p w:rsidR="00AD7A03" w:rsidRPr="009E6B3C" w:rsidRDefault="00AD7A03" w:rsidP="009E6B3C">
            <w:pPr>
              <w:autoSpaceDE w:val="0"/>
              <w:autoSpaceDN w:val="0"/>
              <w:adjustRightInd w:val="0"/>
              <w:rPr>
                <w:rFonts w:ascii="Arial" w:hAnsi="Arial" w:cs="Arial"/>
                <w:sz w:val="20"/>
                <w:szCs w:val="20"/>
              </w:rPr>
            </w:pPr>
            <w:r w:rsidRPr="009E6B3C">
              <w:rPr>
                <w:rFonts w:ascii="Arial" w:hAnsi="Arial" w:cs="Arial"/>
                <w:sz w:val="20"/>
                <w:szCs w:val="20"/>
              </w:rPr>
              <w:t>The original indicator was revised to “Maintenance improvement framework developed and submitted to the Minister for approval by 31 March 2022.</w:t>
            </w:r>
          </w:p>
        </w:tc>
      </w:tr>
      <w:tr w:rsidR="00AD7A03" w:rsidRPr="009E6B3C" w:rsidTr="00961A09">
        <w:tc>
          <w:tcPr>
            <w:tcW w:w="0" w:type="auto"/>
            <w:shd w:val="clear" w:color="auto" w:fill="auto"/>
          </w:tcPr>
          <w:p w:rsidR="00AD7A03" w:rsidRPr="009E6B3C" w:rsidRDefault="00AD7A03" w:rsidP="009E6B3C">
            <w:pPr>
              <w:autoSpaceDE w:val="0"/>
              <w:autoSpaceDN w:val="0"/>
              <w:adjustRightInd w:val="0"/>
              <w:rPr>
                <w:rFonts w:ascii="Arial" w:hAnsi="Arial" w:cs="Arial"/>
                <w:sz w:val="20"/>
                <w:szCs w:val="20"/>
              </w:rPr>
            </w:pPr>
            <w:r w:rsidRPr="009E6B3C">
              <w:rPr>
                <w:rFonts w:ascii="Arial" w:hAnsi="Arial" w:cs="Arial"/>
                <w:sz w:val="20"/>
                <w:szCs w:val="20"/>
              </w:rPr>
              <w:t>Case backlogs reduction framework adopted by 31 March 2022</w:t>
            </w:r>
            <w:r w:rsidR="00675A6A" w:rsidRPr="009E6B3C">
              <w:rPr>
                <w:rFonts w:ascii="Arial" w:hAnsi="Arial" w:cs="Arial"/>
                <w:sz w:val="20"/>
                <w:szCs w:val="20"/>
              </w:rPr>
              <w:t>.</w:t>
            </w:r>
          </w:p>
        </w:tc>
        <w:tc>
          <w:tcPr>
            <w:tcW w:w="0" w:type="auto"/>
            <w:shd w:val="clear" w:color="auto" w:fill="auto"/>
          </w:tcPr>
          <w:p w:rsidR="00AD7A03" w:rsidRPr="009E6B3C" w:rsidRDefault="00AD7A03" w:rsidP="009E6B3C">
            <w:pPr>
              <w:autoSpaceDE w:val="0"/>
              <w:autoSpaceDN w:val="0"/>
              <w:adjustRightInd w:val="0"/>
              <w:rPr>
                <w:rFonts w:ascii="Arial" w:hAnsi="Arial" w:cs="Arial"/>
                <w:sz w:val="20"/>
                <w:szCs w:val="20"/>
              </w:rPr>
            </w:pPr>
            <w:r w:rsidRPr="009E6B3C">
              <w:rPr>
                <w:rFonts w:ascii="Arial" w:hAnsi="Arial" w:cs="Arial"/>
                <w:sz w:val="20"/>
                <w:szCs w:val="20"/>
              </w:rPr>
              <w:t>Case backlogs reduction framework submitted to the Minister for approval by 31 March 2022</w:t>
            </w:r>
            <w:r w:rsidR="00675A6A" w:rsidRPr="009E6B3C">
              <w:rPr>
                <w:rFonts w:ascii="Arial" w:hAnsi="Arial" w:cs="Arial"/>
                <w:sz w:val="20"/>
                <w:szCs w:val="20"/>
              </w:rPr>
              <w:t>.</w:t>
            </w:r>
          </w:p>
        </w:tc>
      </w:tr>
    </w:tbl>
    <w:p w:rsidR="00C8340E" w:rsidRPr="009E6B3C" w:rsidRDefault="00C8340E" w:rsidP="009E6B3C">
      <w:pPr>
        <w:pStyle w:val="ListParagraph"/>
        <w:rPr>
          <w:rFonts w:ascii="Arial" w:hAnsi="Arial" w:cs="Arial"/>
          <w:sz w:val="20"/>
          <w:szCs w:val="20"/>
        </w:rPr>
      </w:pPr>
    </w:p>
    <w:p w:rsidR="00AD7A03" w:rsidRPr="009E6B3C" w:rsidRDefault="00AD7A03"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In 2021/22, the Programme met or exceeded 15 or 87% of 17 planned targets (compared to 81% or 13/16 targets in 2020/21).</w:t>
      </w:r>
    </w:p>
    <w:p w:rsidR="00AD7A03" w:rsidRPr="009E6B3C" w:rsidRDefault="00AD7A03" w:rsidP="009E6B3C">
      <w:pPr>
        <w:pStyle w:val="ListParagraph"/>
        <w:autoSpaceDE w:val="0"/>
        <w:autoSpaceDN w:val="0"/>
        <w:adjustRightInd w:val="0"/>
        <w:ind w:left="851"/>
        <w:rPr>
          <w:rFonts w:ascii="Arial" w:hAnsi="Arial" w:cs="Arial"/>
          <w:sz w:val="20"/>
          <w:szCs w:val="20"/>
        </w:rPr>
      </w:pPr>
    </w:p>
    <w:p w:rsidR="00F5284D" w:rsidRPr="009E6B3C" w:rsidRDefault="00F5284D"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Areas of underperformance include:</w:t>
      </w:r>
    </w:p>
    <w:p w:rsidR="00F5284D" w:rsidRPr="009E6B3C" w:rsidRDefault="00F5284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No additional courts were designated in terms of section 55A of the Criminal Law (Sexual Offences and Related Matters) Amendment Act</w:t>
      </w:r>
      <w:r w:rsidR="00675A6A" w:rsidRPr="009E6B3C">
        <w:rPr>
          <w:rFonts w:ascii="Arial" w:eastAsiaTheme="minorHAnsi" w:hAnsi="Arial" w:cs="Arial"/>
          <w:color w:val="000000"/>
          <w:sz w:val="20"/>
          <w:szCs w:val="20"/>
          <w:lang w:eastAsia="en-US"/>
        </w:rPr>
        <w:t>,</w:t>
      </w:r>
      <w:r w:rsidRPr="009E6B3C">
        <w:rPr>
          <w:rFonts w:ascii="Arial" w:eastAsiaTheme="minorHAnsi" w:hAnsi="Arial" w:cs="Arial"/>
          <w:color w:val="000000"/>
          <w:sz w:val="20"/>
          <w:szCs w:val="20"/>
          <w:lang w:eastAsia="en-US"/>
        </w:rPr>
        <w:t xml:space="preserve"> 2007, against an annual target of 27.</w:t>
      </w:r>
    </w:p>
    <w:p w:rsidR="00AD7A03" w:rsidRPr="009E6B3C" w:rsidRDefault="00AD7A03"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w:t>
      </w:r>
      <w:r w:rsidR="0060403C" w:rsidRPr="009E6B3C">
        <w:rPr>
          <w:rFonts w:ascii="Arial" w:eastAsiaTheme="minorHAnsi" w:hAnsi="Arial" w:cs="Arial"/>
          <w:color w:val="000000"/>
          <w:sz w:val="20"/>
          <w:szCs w:val="20"/>
          <w:lang w:eastAsia="en-US"/>
        </w:rPr>
        <w:t>C</w:t>
      </w:r>
      <w:r w:rsidRPr="009E6B3C">
        <w:rPr>
          <w:rFonts w:ascii="Arial" w:eastAsiaTheme="minorHAnsi" w:hAnsi="Arial" w:cs="Arial"/>
          <w:color w:val="000000"/>
          <w:sz w:val="20"/>
          <w:szCs w:val="20"/>
          <w:lang w:eastAsia="en-US"/>
        </w:rPr>
        <w:t xml:space="preserve">ase </w:t>
      </w:r>
      <w:r w:rsidR="0060403C" w:rsidRPr="009E6B3C">
        <w:rPr>
          <w:rFonts w:ascii="Arial" w:eastAsiaTheme="minorHAnsi" w:hAnsi="Arial" w:cs="Arial"/>
          <w:color w:val="000000"/>
          <w:sz w:val="20"/>
          <w:szCs w:val="20"/>
          <w:lang w:eastAsia="en-US"/>
        </w:rPr>
        <w:t>B</w:t>
      </w:r>
      <w:r w:rsidRPr="009E6B3C">
        <w:rPr>
          <w:rFonts w:ascii="Arial" w:eastAsiaTheme="minorHAnsi" w:hAnsi="Arial" w:cs="Arial"/>
          <w:color w:val="000000"/>
          <w:sz w:val="20"/>
          <w:szCs w:val="20"/>
          <w:lang w:eastAsia="en-US"/>
        </w:rPr>
        <w:t xml:space="preserve">acklog </w:t>
      </w:r>
      <w:r w:rsidR="0060403C" w:rsidRPr="009E6B3C">
        <w:rPr>
          <w:rFonts w:ascii="Arial" w:eastAsiaTheme="minorHAnsi" w:hAnsi="Arial" w:cs="Arial"/>
          <w:color w:val="000000"/>
          <w:sz w:val="20"/>
          <w:szCs w:val="20"/>
          <w:lang w:eastAsia="en-US"/>
        </w:rPr>
        <w:t>R</w:t>
      </w:r>
      <w:r w:rsidRPr="009E6B3C">
        <w:rPr>
          <w:rFonts w:ascii="Arial" w:eastAsiaTheme="minorHAnsi" w:hAnsi="Arial" w:cs="Arial"/>
          <w:color w:val="000000"/>
          <w:sz w:val="20"/>
          <w:szCs w:val="20"/>
          <w:lang w:eastAsia="en-US"/>
        </w:rPr>
        <w:t xml:space="preserve">eduction </w:t>
      </w:r>
      <w:r w:rsidR="0060403C" w:rsidRPr="009E6B3C">
        <w:rPr>
          <w:rFonts w:ascii="Arial" w:eastAsiaTheme="minorHAnsi" w:hAnsi="Arial" w:cs="Arial"/>
          <w:color w:val="000000"/>
          <w:sz w:val="20"/>
          <w:szCs w:val="20"/>
          <w:lang w:eastAsia="en-US"/>
        </w:rPr>
        <w:t>F</w:t>
      </w:r>
      <w:r w:rsidRPr="009E6B3C">
        <w:rPr>
          <w:rFonts w:ascii="Arial" w:eastAsiaTheme="minorHAnsi" w:hAnsi="Arial" w:cs="Arial"/>
          <w:color w:val="000000"/>
          <w:sz w:val="20"/>
          <w:szCs w:val="20"/>
          <w:lang w:eastAsia="en-US"/>
        </w:rPr>
        <w:t>ramework was not submitted to the Minister for approval by 31 March 2022 but, instead, was returned by the Deputy Minister with amendments to be made and an action plan developed.</w:t>
      </w:r>
    </w:p>
    <w:p w:rsidR="00FF5D02" w:rsidRPr="009E6B3C" w:rsidRDefault="00FF5D02" w:rsidP="009E6B3C">
      <w:pPr>
        <w:pStyle w:val="ListParagraph"/>
        <w:autoSpaceDE w:val="0"/>
        <w:autoSpaceDN w:val="0"/>
        <w:adjustRightInd w:val="0"/>
        <w:ind w:left="1276"/>
        <w:rPr>
          <w:rFonts w:ascii="Arial" w:eastAsiaTheme="minorHAnsi" w:hAnsi="Arial" w:cs="Arial"/>
          <w:color w:val="000000"/>
          <w:sz w:val="20"/>
          <w:szCs w:val="20"/>
          <w:lang w:eastAsia="en-US"/>
        </w:rPr>
      </w:pPr>
    </w:p>
    <w:p w:rsidR="00700105" w:rsidRPr="009E6B3C" w:rsidRDefault="00700105" w:rsidP="009E6B3C">
      <w:pPr>
        <w:pStyle w:val="ListParagraph"/>
        <w:numPr>
          <w:ilvl w:val="1"/>
          <w:numId w:val="1"/>
        </w:numPr>
        <w:ind w:left="851" w:hanging="851"/>
        <w:rPr>
          <w:rFonts w:ascii="Arial" w:eastAsiaTheme="minorHAnsi" w:hAnsi="Arial" w:cs="Arial"/>
          <w:b/>
          <w:i/>
          <w:color w:val="000000"/>
          <w:sz w:val="20"/>
          <w:szCs w:val="20"/>
          <w:lang w:eastAsia="en-US"/>
        </w:rPr>
      </w:pPr>
      <w:r w:rsidRPr="009E6B3C">
        <w:rPr>
          <w:rFonts w:ascii="Arial" w:eastAsiaTheme="minorHAnsi" w:hAnsi="Arial" w:cs="Arial"/>
          <w:b/>
          <w:i/>
          <w:color w:val="000000"/>
          <w:sz w:val="20"/>
          <w:szCs w:val="20"/>
          <w:lang w:eastAsia="en-US"/>
        </w:rPr>
        <w:t>Facilities Management / Court infrastructure</w:t>
      </w:r>
    </w:p>
    <w:p w:rsidR="001436E7" w:rsidRPr="009E6B3C" w:rsidRDefault="001436E7" w:rsidP="009E6B3C">
      <w:pPr>
        <w:pStyle w:val="NormalWeb"/>
        <w:spacing w:before="0" w:after="0"/>
        <w:rPr>
          <w:rFonts w:ascii="Arial" w:eastAsiaTheme="minorHAnsi" w:hAnsi="Arial" w:cs="Arial"/>
          <w:color w:val="000000"/>
          <w:sz w:val="20"/>
          <w:szCs w:val="20"/>
          <w:lang w:eastAsia="en-US"/>
        </w:rPr>
      </w:pPr>
    </w:p>
    <w:p w:rsidR="005A25C7" w:rsidRPr="009E6B3C" w:rsidRDefault="005A25C7" w:rsidP="009E6B3C">
      <w:pPr>
        <w:pStyle w:val="NormalWeb"/>
        <w:spacing w:before="0" w:after="0"/>
        <w:rPr>
          <w:rFonts w:ascii="Arial" w:eastAsiaTheme="minorHAnsi" w:hAnsi="Arial" w:cs="Arial"/>
          <w:b/>
          <w:i/>
          <w:color w:val="000000"/>
          <w:sz w:val="20"/>
          <w:szCs w:val="20"/>
          <w:lang w:eastAsia="en-US"/>
        </w:rPr>
      </w:pPr>
      <w:r w:rsidRPr="009E6B3C">
        <w:rPr>
          <w:rFonts w:ascii="Arial" w:eastAsiaTheme="minorHAnsi" w:hAnsi="Arial" w:cs="Arial"/>
          <w:b/>
          <w:i/>
          <w:color w:val="000000"/>
          <w:sz w:val="20"/>
          <w:szCs w:val="20"/>
          <w:lang w:eastAsia="en-US"/>
        </w:rPr>
        <w:t xml:space="preserve">Table </w:t>
      </w:r>
      <w:r w:rsidR="007C1CAE" w:rsidRPr="009E6B3C">
        <w:rPr>
          <w:rFonts w:ascii="Arial" w:eastAsiaTheme="minorHAnsi" w:hAnsi="Arial" w:cs="Arial"/>
          <w:b/>
          <w:i/>
          <w:color w:val="000000"/>
          <w:sz w:val="20"/>
          <w:szCs w:val="20"/>
          <w:lang w:eastAsia="en-US"/>
        </w:rPr>
        <w:t>10</w:t>
      </w:r>
      <w:r w:rsidRPr="009E6B3C">
        <w:rPr>
          <w:rFonts w:ascii="Arial" w:eastAsiaTheme="minorHAnsi" w:hAnsi="Arial" w:cs="Arial"/>
          <w:b/>
          <w:i/>
          <w:color w:val="000000"/>
          <w:sz w:val="20"/>
          <w:szCs w:val="20"/>
          <w:lang w:eastAsia="en-US"/>
        </w:rPr>
        <w:t xml:space="preserve">: Court infrastructure - Appropriation and expenditure </w:t>
      </w:r>
      <w:r w:rsidR="001436E7" w:rsidRPr="009E6B3C">
        <w:rPr>
          <w:rFonts w:ascii="Arial" w:eastAsiaTheme="minorHAnsi" w:hAnsi="Arial" w:cs="Arial"/>
          <w:b/>
          <w:i/>
          <w:color w:val="000000"/>
          <w:sz w:val="20"/>
          <w:szCs w:val="20"/>
          <w:lang w:eastAsia="en-US"/>
        </w:rPr>
        <w:t>2021/22</w:t>
      </w:r>
    </w:p>
    <w:tbl>
      <w:tblPr>
        <w:tblStyle w:val="TableGrid"/>
        <w:tblW w:w="5000" w:type="pct"/>
        <w:shd w:val="clear" w:color="auto" w:fill="D9D9D9" w:themeFill="background1" w:themeFillShade="D9"/>
        <w:tblLook w:val="04A0"/>
      </w:tblPr>
      <w:tblGrid>
        <w:gridCol w:w="1747"/>
        <w:gridCol w:w="1281"/>
        <w:gridCol w:w="1608"/>
        <w:gridCol w:w="1281"/>
        <w:gridCol w:w="1282"/>
        <w:gridCol w:w="1261"/>
        <w:gridCol w:w="1167"/>
      </w:tblGrid>
      <w:tr w:rsidR="005A25C7" w:rsidRPr="009E6B3C" w:rsidTr="001436E7">
        <w:trPr>
          <w:trHeight w:val="622"/>
          <w:tblHeader/>
        </w:trPr>
        <w:tc>
          <w:tcPr>
            <w:tcW w:w="911" w:type="pct"/>
            <w:vMerge w:val="restart"/>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val="en-ZA" w:eastAsia="en-US"/>
              </w:rPr>
              <w:t>‘R million</w:t>
            </w:r>
          </w:p>
        </w:tc>
        <w:tc>
          <w:tcPr>
            <w:tcW w:w="2176" w:type="pct"/>
            <w:gridSpan w:val="3"/>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Appropriation</w:t>
            </w:r>
          </w:p>
        </w:tc>
        <w:tc>
          <w:tcPr>
            <w:tcW w:w="1913" w:type="pct"/>
            <w:gridSpan w:val="3"/>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Expenditure</w:t>
            </w:r>
          </w:p>
        </w:tc>
      </w:tr>
      <w:tr w:rsidR="005A25C7" w:rsidRPr="009E6B3C" w:rsidTr="001436E7">
        <w:trPr>
          <w:trHeight w:val="477"/>
          <w:tblHeader/>
        </w:trPr>
        <w:tc>
          <w:tcPr>
            <w:tcW w:w="911" w:type="pct"/>
            <w:vMerge/>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val="en-ZA" w:eastAsia="en-US"/>
              </w:rPr>
            </w:pPr>
          </w:p>
        </w:tc>
        <w:tc>
          <w:tcPr>
            <w:tcW w:w="669" w:type="pct"/>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val="en-ZA" w:eastAsia="en-US"/>
              </w:rPr>
            </w:pPr>
            <w:r w:rsidRPr="009E6B3C">
              <w:rPr>
                <w:rFonts w:ascii="Arial" w:eastAsiaTheme="minorHAnsi" w:hAnsi="Arial" w:cs="Arial"/>
                <w:b/>
                <w:caps/>
                <w:color w:val="000000"/>
                <w:sz w:val="20"/>
                <w:szCs w:val="20"/>
                <w:lang w:val="en-ZA" w:eastAsia="en-US"/>
              </w:rPr>
              <w:t>Main</w:t>
            </w:r>
          </w:p>
        </w:tc>
        <w:tc>
          <w:tcPr>
            <w:tcW w:w="839" w:type="pct"/>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val="en-ZA" w:eastAsia="en-US"/>
              </w:rPr>
            </w:pPr>
            <w:r w:rsidRPr="009E6B3C">
              <w:rPr>
                <w:rFonts w:ascii="Arial" w:eastAsiaTheme="minorHAnsi" w:hAnsi="Arial" w:cs="Arial"/>
                <w:b/>
                <w:caps/>
                <w:color w:val="000000"/>
                <w:sz w:val="20"/>
                <w:szCs w:val="20"/>
                <w:lang w:val="en-ZA" w:eastAsia="en-US"/>
              </w:rPr>
              <w:t>Adjusted</w:t>
            </w:r>
          </w:p>
        </w:tc>
        <w:tc>
          <w:tcPr>
            <w:tcW w:w="669" w:type="pct"/>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val="en-ZA" w:eastAsia="en-US"/>
              </w:rPr>
            </w:pPr>
            <w:r w:rsidRPr="009E6B3C">
              <w:rPr>
                <w:rFonts w:ascii="Arial" w:eastAsiaTheme="minorHAnsi" w:hAnsi="Arial" w:cs="Arial"/>
                <w:b/>
                <w:caps/>
                <w:color w:val="000000"/>
                <w:sz w:val="20"/>
                <w:szCs w:val="20"/>
                <w:lang w:val="en-ZA" w:eastAsia="en-US"/>
              </w:rPr>
              <w:t>Final</w:t>
            </w:r>
          </w:p>
        </w:tc>
        <w:tc>
          <w:tcPr>
            <w:tcW w:w="669" w:type="pct"/>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val="en-ZA" w:eastAsia="en-US"/>
              </w:rPr>
            </w:pPr>
            <w:r w:rsidRPr="009E6B3C">
              <w:rPr>
                <w:rFonts w:ascii="Arial" w:eastAsiaTheme="minorHAnsi" w:hAnsi="Arial" w:cs="Arial"/>
                <w:b/>
                <w:caps/>
                <w:color w:val="000000"/>
                <w:sz w:val="20"/>
                <w:szCs w:val="20"/>
                <w:lang w:val="en-ZA" w:eastAsia="en-US"/>
              </w:rPr>
              <w:t>Actual</w:t>
            </w:r>
          </w:p>
        </w:tc>
        <w:tc>
          <w:tcPr>
            <w:tcW w:w="634" w:type="pct"/>
            <w:shd w:val="clear" w:color="auto" w:fill="D9D9D9" w:themeFill="background1" w:themeFillShade="D9"/>
          </w:tcPr>
          <w:p w:rsidR="005A25C7" w:rsidRPr="009E6B3C" w:rsidRDefault="00675A6A" w:rsidP="009E6B3C">
            <w:pPr>
              <w:rPr>
                <w:rFonts w:ascii="Arial" w:eastAsiaTheme="minorHAnsi" w:hAnsi="Arial" w:cs="Arial"/>
                <w:b/>
                <w:caps/>
                <w:color w:val="000000"/>
                <w:sz w:val="20"/>
                <w:szCs w:val="20"/>
                <w:lang w:val="en-ZA" w:eastAsia="en-US"/>
              </w:rPr>
            </w:pPr>
            <w:r w:rsidRPr="009E6B3C">
              <w:rPr>
                <w:rFonts w:ascii="Arial" w:eastAsiaTheme="minorHAnsi" w:hAnsi="Arial" w:cs="Arial"/>
                <w:b/>
                <w:caps/>
                <w:color w:val="000000"/>
                <w:sz w:val="20"/>
                <w:szCs w:val="20"/>
                <w:lang w:val="en-ZA" w:eastAsia="en-US"/>
              </w:rPr>
              <w:t>Variance</w:t>
            </w:r>
          </w:p>
        </w:tc>
        <w:tc>
          <w:tcPr>
            <w:tcW w:w="610" w:type="pct"/>
            <w:shd w:val="clear" w:color="auto" w:fill="D9D9D9" w:themeFill="background1" w:themeFillShade="D9"/>
          </w:tcPr>
          <w:p w:rsidR="005A25C7" w:rsidRPr="009E6B3C" w:rsidRDefault="005A25C7" w:rsidP="009E6B3C">
            <w:pPr>
              <w:rPr>
                <w:rFonts w:ascii="Arial" w:eastAsiaTheme="minorHAnsi" w:hAnsi="Arial" w:cs="Arial"/>
                <w:b/>
                <w:caps/>
                <w:color w:val="000000"/>
                <w:sz w:val="20"/>
                <w:szCs w:val="20"/>
                <w:lang w:val="en-ZA" w:eastAsia="en-US"/>
              </w:rPr>
            </w:pPr>
            <w:r w:rsidRPr="009E6B3C">
              <w:rPr>
                <w:rFonts w:ascii="Arial" w:eastAsiaTheme="minorHAnsi" w:hAnsi="Arial" w:cs="Arial"/>
                <w:b/>
                <w:caps/>
                <w:color w:val="000000"/>
                <w:sz w:val="20"/>
                <w:szCs w:val="20"/>
                <w:lang w:val="en-ZA" w:eastAsia="en-US"/>
              </w:rPr>
              <w:t>%</w:t>
            </w:r>
          </w:p>
        </w:tc>
      </w:tr>
      <w:tr w:rsidR="005A25C7" w:rsidRPr="009E6B3C" w:rsidTr="00905DF7">
        <w:tc>
          <w:tcPr>
            <w:tcW w:w="911"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2019/20</w:t>
            </w:r>
          </w:p>
        </w:tc>
        <w:tc>
          <w:tcPr>
            <w:tcW w:w="66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R855.6</w:t>
            </w:r>
          </w:p>
        </w:tc>
        <w:tc>
          <w:tcPr>
            <w:tcW w:w="83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R510.8</w:t>
            </w:r>
          </w:p>
        </w:tc>
        <w:tc>
          <w:tcPr>
            <w:tcW w:w="66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R328.0</w:t>
            </w:r>
          </w:p>
        </w:tc>
        <w:tc>
          <w:tcPr>
            <w:tcW w:w="66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R305.4</w:t>
            </w:r>
          </w:p>
        </w:tc>
        <w:tc>
          <w:tcPr>
            <w:tcW w:w="634"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R22.6</w:t>
            </w:r>
          </w:p>
        </w:tc>
        <w:tc>
          <w:tcPr>
            <w:tcW w:w="610"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93.1%</w:t>
            </w:r>
          </w:p>
        </w:tc>
      </w:tr>
      <w:tr w:rsidR="005A25C7" w:rsidRPr="009E6B3C" w:rsidTr="00905DF7">
        <w:tc>
          <w:tcPr>
            <w:tcW w:w="911"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2020/21</w:t>
            </w:r>
          </w:p>
        </w:tc>
        <w:tc>
          <w:tcPr>
            <w:tcW w:w="66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R874.4</w:t>
            </w:r>
          </w:p>
        </w:tc>
        <w:tc>
          <w:tcPr>
            <w:tcW w:w="83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R456.9</w:t>
            </w:r>
          </w:p>
        </w:tc>
        <w:tc>
          <w:tcPr>
            <w:tcW w:w="66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R343.4</w:t>
            </w:r>
          </w:p>
        </w:tc>
        <w:tc>
          <w:tcPr>
            <w:tcW w:w="669"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R290.6</w:t>
            </w:r>
          </w:p>
        </w:tc>
        <w:tc>
          <w:tcPr>
            <w:tcW w:w="634"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R52.7</w:t>
            </w:r>
          </w:p>
        </w:tc>
        <w:tc>
          <w:tcPr>
            <w:tcW w:w="610" w:type="pct"/>
            <w:shd w:val="clear" w:color="auto" w:fill="auto"/>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84.6%</w:t>
            </w:r>
          </w:p>
        </w:tc>
      </w:tr>
      <w:tr w:rsidR="005A25C7" w:rsidRPr="009E6B3C" w:rsidTr="00905DF7">
        <w:tc>
          <w:tcPr>
            <w:tcW w:w="911" w:type="pct"/>
            <w:shd w:val="clear" w:color="auto" w:fill="D9D9D9" w:themeFill="background1" w:themeFillShade="D9"/>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lastRenderedPageBreak/>
              <w:t>2021/22</w:t>
            </w:r>
          </w:p>
        </w:tc>
        <w:tc>
          <w:tcPr>
            <w:tcW w:w="669" w:type="pct"/>
            <w:shd w:val="clear" w:color="auto" w:fill="D9D9D9" w:themeFill="background1" w:themeFillShade="D9"/>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R703.3</w:t>
            </w:r>
          </w:p>
        </w:tc>
        <w:tc>
          <w:tcPr>
            <w:tcW w:w="839" w:type="pct"/>
            <w:shd w:val="clear" w:color="auto" w:fill="D9D9D9" w:themeFill="background1" w:themeFillShade="D9"/>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R666.2</w:t>
            </w:r>
          </w:p>
        </w:tc>
        <w:tc>
          <w:tcPr>
            <w:tcW w:w="669" w:type="pct"/>
            <w:shd w:val="clear" w:color="auto" w:fill="D9D9D9" w:themeFill="background1" w:themeFillShade="D9"/>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R660.7</w:t>
            </w:r>
          </w:p>
        </w:tc>
        <w:tc>
          <w:tcPr>
            <w:tcW w:w="669" w:type="pct"/>
            <w:shd w:val="clear" w:color="auto" w:fill="D9D9D9" w:themeFill="background1" w:themeFillShade="D9"/>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R609.1</w:t>
            </w:r>
          </w:p>
        </w:tc>
        <w:tc>
          <w:tcPr>
            <w:tcW w:w="634" w:type="pct"/>
            <w:shd w:val="clear" w:color="auto" w:fill="D9D9D9" w:themeFill="background1" w:themeFillShade="D9"/>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R51.6</w:t>
            </w:r>
          </w:p>
        </w:tc>
        <w:tc>
          <w:tcPr>
            <w:tcW w:w="610" w:type="pct"/>
            <w:shd w:val="clear" w:color="auto" w:fill="D9D9D9" w:themeFill="background1" w:themeFillShade="D9"/>
          </w:tcPr>
          <w:p w:rsidR="005A25C7" w:rsidRPr="009E6B3C" w:rsidRDefault="005A25C7" w:rsidP="009E6B3C">
            <w:pPr>
              <w:rPr>
                <w:rFonts w:ascii="Arial" w:eastAsiaTheme="minorHAnsi" w:hAnsi="Arial" w:cs="Arial"/>
                <w:color w:val="000000"/>
                <w:sz w:val="20"/>
                <w:szCs w:val="20"/>
                <w:lang w:val="en-ZA" w:eastAsia="en-US"/>
              </w:rPr>
            </w:pPr>
            <w:r w:rsidRPr="009E6B3C">
              <w:rPr>
                <w:rFonts w:ascii="Arial" w:eastAsiaTheme="minorHAnsi" w:hAnsi="Arial" w:cs="Arial"/>
                <w:color w:val="000000"/>
                <w:sz w:val="20"/>
                <w:szCs w:val="20"/>
                <w:lang w:val="en-ZA" w:eastAsia="en-US"/>
              </w:rPr>
              <w:t>92.2%</w:t>
            </w:r>
          </w:p>
        </w:tc>
      </w:tr>
    </w:tbl>
    <w:p w:rsidR="005A25C7" w:rsidRPr="009E6B3C" w:rsidRDefault="005A25C7" w:rsidP="009E6B3C">
      <w:pPr>
        <w:rPr>
          <w:rFonts w:ascii="Arial" w:eastAsiaTheme="minorHAnsi" w:hAnsi="Arial" w:cs="Arial"/>
          <w:color w:val="000000"/>
          <w:sz w:val="20"/>
          <w:szCs w:val="20"/>
          <w:lang w:eastAsia="en-US"/>
        </w:rPr>
      </w:pPr>
    </w:p>
    <w:p w:rsidR="00700105" w:rsidRPr="009E6B3C" w:rsidRDefault="00700105" w:rsidP="009E6B3C">
      <w:pPr>
        <w:pStyle w:val="ListParagraph"/>
        <w:numPr>
          <w:ilvl w:val="0"/>
          <w:numId w:val="51"/>
        </w:numPr>
        <w:ind w:left="851" w:hanging="851"/>
        <w:rPr>
          <w:rFonts w:ascii="Arial" w:hAnsi="Arial" w:cs="Arial"/>
          <w:sz w:val="20"/>
          <w:szCs w:val="20"/>
        </w:rPr>
      </w:pPr>
      <w:r w:rsidRPr="009E6B3C">
        <w:rPr>
          <w:rFonts w:ascii="Arial" w:hAnsi="Arial" w:cs="Arial"/>
          <w:sz w:val="20"/>
          <w:szCs w:val="20"/>
        </w:rPr>
        <w:t>In 2021/</w:t>
      </w:r>
      <w:r w:rsidR="000062A0" w:rsidRPr="009E6B3C">
        <w:rPr>
          <w:rFonts w:ascii="Arial" w:hAnsi="Arial" w:cs="Arial"/>
          <w:sz w:val="20"/>
          <w:szCs w:val="20"/>
        </w:rPr>
        <w:t>22, the Department continued</w:t>
      </w:r>
      <w:r w:rsidRPr="009E6B3C">
        <w:rPr>
          <w:rFonts w:ascii="Arial" w:hAnsi="Arial" w:cs="Arial"/>
          <w:sz w:val="20"/>
          <w:szCs w:val="20"/>
        </w:rPr>
        <w:t xml:space="preserve"> to report under-expenditure as a result of slow progress by the D</w:t>
      </w:r>
      <w:r w:rsidR="0060403C" w:rsidRPr="009E6B3C">
        <w:rPr>
          <w:rFonts w:ascii="Arial" w:hAnsi="Arial" w:cs="Arial"/>
          <w:sz w:val="20"/>
          <w:szCs w:val="20"/>
        </w:rPr>
        <w:t>PWI’s</w:t>
      </w:r>
      <w:r w:rsidR="000062A0" w:rsidRPr="009E6B3C">
        <w:rPr>
          <w:rFonts w:ascii="Arial" w:hAnsi="Arial" w:cs="Arial"/>
          <w:sz w:val="20"/>
          <w:szCs w:val="20"/>
        </w:rPr>
        <w:t xml:space="preserve"> implementation of </w:t>
      </w:r>
      <w:r w:rsidRPr="009E6B3C">
        <w:rPr>
          <w:rFonts w:ascii="Arial" w:hAnsi="Arial" w:cs="Arial"/>
          <w:sz w:val="20"/>
          <w:szCs w:val="20"/>
        </w:rPr>
        <w:t>planned court infrastructure projects</w:t>
      </w:r>
      <w:r w:rsidR="00880CCF" w:rsidRPr="009E6B3C">
        <w:rPr>
          <w:rFonts w:ascii="Arial" w:hAnsi="Arial" w:cs="Arial"/>
          <w:sz w:val="20"/>
          <w:szCs w:val="20"/>
        </w:rPr>
        <w:t xml:space="preserve">. However, </w:t>
      </w:r>
      <w:r w:rsidRPr="009E6B3C">
        <w:rPr>
          <w:rFonts w:ascii="Arial" w:hAnsi="Arial" w:cs="Arial"/>
          <w:sz w:val="20"/>
          <w:szCs w:val="20"/>
        </w:rPr>
        <w:t xml:space="preserve">actual expenditure of R609 million in 2021/22 is a significant improvement </w:t>
      </w:r>
      <w:r w:rsidR="000062A0" w:rsidRPr="009E6B3C">
        <w:rPr>
          <w:rFonts w:ascii="Arial" w:hAnsi="Arial" w:cs="Arial"/>
          <w:sz w:val="20"/>
          <w:szCs w:val="20"/>
        </w:rPr>
        <w:t xml:space="preserve">on spending </w:t>
      </w:r>
      <w:r w:rsidRPr="009E6B3C">
        <w:rPr>
          <w:rFonts w:ascii="Arial" w:hAnsi="Arial" w:cs="Arial"/>
          <w:sz w:val="20"/>
          <w:szCs w:val="20"/>
        </w:rPr>
        <w:t>in the two previous financial years.</w:t>
      </w:r>
    </w:p>
    <w:p w:rsidR="001436E7" w:rsidRPr="009E6B3C" w:rsidRDefault="001436E7" w:rsidP="009E6B3C">
      <w:pPr>
        <w:pStyle w:val="ListParagraph"/>
        <w:ind w:left="851"/>
        <w:rPr>
          <w:rFonts w:ascii="Arial" w:hAnsi="Arial" w:cs="Arial"/>
          <w:sz w:val="20"/>
          <w:szCs w:val="20"/>
        </w:rPr>
      </w:pPr>
    </w:p>
    <w:p w:rsidR="00DD66C5" w:rsidRPr="009E6B3C" w:rsidRDefault="000062A0" w:rsidP="009E6B3C">
      <w:pPr>
        <w:pStyle w:val="ListParagraph"/>
        <w:numPr>
          <w:ilvl w:val="0"/>
          <w:numId w:val="51"/>
        </w:numPr>
        <w:ind w:left="851" w:hanging="851"/>
        <w:rPr>
          <w:rFonts w:ascii="Arial" w:eastAsiaTheme="minorHAnsi" w:hAnsi="Arial" w:cs="Arial"/>
          <w:color w:val="000000"/>
          <w:sz w:val="20"/>
          <w:szCs w:val="20"/>
          <w:lang w:eastAsia="en-US"/>
        </w:rPr>
      </w:pPr>
      <w:r w:rsidRPr="009E6B3C">
        <w:rPr>
          <w:rFonts w:ascii="Arial" w:hAnsi="Arial" w:cs="Arial"/>
          <w:sz w:val="20"/>
          <w:szCs w:val="20"/>
        </w:rPr>
        <w:t xml:space="preserve">Reported </w:t>
      </w:r>
      <w:r w:rsidR="00700105" w:rsidRPr="009E6B3C">
        <w:rPr>
          <w:rFonts w:ascii="Arial" w:hAnsi="Arial" w:cs="Arial"/>
          <w:sz w:val="20"/>
          <w:szCs w:val="20"/>
        </w:rPr>
        <w:t>challenges in respect of ongoing construction and renovation</w:t>
      </w:r>
      <w:r w:rsidR="00700105" w:rsidRPr="009E6B3C">
        <w:rPr>
          <w:rFonts w:ascii="Arial" w:eastAsiaTheme="minorHAnsi" w:hAnsi="Arial" w:cs="Arial"/>
          <w:color w:val="000000"/>
          <w:sz w:val="20"/>
          <w:szCs w:val="20"/>
          <w:lang w:eastAsia="en-US"/>
        </w:rPr>
        <w:t>/refurbishment projects</w:t>
      </w:r>
      <w:r w:rsidR="00DD66C5" w:rsidRPr="009E6B3C">
        <w:rPr>
          <w:rFonts w:ascii="Arial" w:eastAsiaTheme="minorHAnsi" w:hAnsi="Arial" w:cs="Arial"/>
          <w:color w:val="000000"/>
          <w:sz w:val="20"/>
          <w:szCs w:val="20"/>
          <w:lang w:eastAsia="en-US"/>
        </w:rPr>
        <w:t xml:space="preserve">, </w:t>
      </w:r>
      <w:r w:rsidRPr="009E6B3C">
        <w:rPr>
          <w:rFonts w:ascii="Arial" w:eastAsiaTheme="minorHAnsi" w:hAnsi="Arial" w:cs="Arial"/>
          <w:color w:val="000000"/>
          <w:sz w:val="20"/>
          <w:szCs w:val="20"/>
          <w:lang w:eastAsia="en-US"/>
        </w:rPr>
        <w:t>include</w:t>
      </w:r>
      <w:r w:rsidR="00DD66C5" w:rsidRPr="009E6B3C">
        <w:rPr>
          <w:rFonts w:ascii="Arial" w:eastAsiaTheme="minorHAnsi" w:hAnsi="Arial" w:cs="Arial"/>
          <w:color w:val="000000"/>
          <w:sz w:val="20"/>
          <w:szCs w:val="20"/>
          <w:lang w:eastAsia="en-US"/>
        </w:rPr>
        <w:t xml:space="preserve">: </w:t>
      </w:r>
    </w:p>
    <w:p w:rsidR="00700105" w:rsidRPr="009E6B3C" w:rsidRDefault="00700105"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Mamelodi Magistrates Court - The project, which began in 2014, </w:t>
      </w:r>
      <w:r w:rsidR="000062A0" w:rsidRPr="009E6B3C">
        <w:rPr>
          <w:rFonts w:ascii="Arial" w:eastAsiaTheme="minorHAnsi" w:hAnsi="Arial" w:cs="Arial"/>
          <w:color w:val="000000"/>
          <w:sz w:val="20"/>
          <w:szCs w:val="20"/>
          <w:lang w:eastAsia="en-US"/>
        </w:rPr>
        <w:t>is d</w:t>
      </w:r>
      <w:r w:rsidRPr="009E6B3C">
        <w:rPr>
          <w:rFonts w:ascii="Arial" w:eastAsiaTheme="minorHAnsi" w:hAnsi="Arial" w:cs="Arial"/>
          <w:color w:val="000000"/>
          <w:sz w:val="20"/>
          <w:szCs w:val="20"/>
          <w:lang w:eastAsia="en-US"/>
        </w:rPr>
        <w:t xml:space="preserve">elayed due to failure to appoint specialist subcontractors. </w:t>
      </w:r>
    </w:p>
    <w:p w:rsidR="00700105" w:rsidRPr="009E6B3C" w:rsidRDefault="00DD66C5"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Port Shepstone Magistrates Court - </w:t>
      </w:r>
      <w:r w:rsidR="00700105" w:rsidRPr="009E6B3C">
        <w:rPr>
          <w:rFonts w:ascii="Arial" w:eastAsiaTheme="minorHAnsi" w:hAnsi="Arial" w:cs="Arial"/>
          <w:color w:val="000000"/>
          <w:sz w:val="20"/>
          <w:szCs w:val="20"/>
          <w:lang w:eastAsia="en-US"/>
        </w:rPr>
        <w:t>The project was cancelled due to the contractor being placed on voluntary business rescue. Litigation is under way. Busines</w:t>
      </w:r>
      <w:r w:rsidRPr="009E6B3C">
        <w:rPr>
          <w:rFonts w:ascii="Arial" w:eastAsiaTheme="minorHAnsi" w:hAnsi="Arial" w:cs="Arial"/>
          <w:color w:val="000000"/>
          <w:sz w:val="20"/>
          <w:szCs w:val="20"/>
          <w:lang w:eastAsia="en-US"/>
        </w:rPr>
        <w:t>s forums are also a challenge.</w:t>
      </w:r>
    </w:p>
    <w:p w:rsidR="00700105" w:rsidRPr="009E6B3C" w:rsidRDefault="00DD66C5"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Pretoria Magistrate’s Court: Refurbishment of Burnt Building </w:t>
      </w:r>
      <w:r w:rsidR="00700105" w:rsidRPr="009E6B3C">
        <w:rPr>
          <w:rFonts w:ascii="Arial" w:eastAsiaTheme="minorHAnsi" w:hAnsi="Arial" w:cs="Arial"/>
          <w:color w:val="000000"/>
          <w:sz w:val="20"/>
          <w:szCs w:val="20"/>
          <w:lang w:eastAsia="en-US"/>
        </w:rPr>
        <w:t>Project</w:t>
      </w:r>
      <w:r w:rsidR="000062A0" w:rsidRPr="009E6B3C">
        <w:rPr>
          <w:rFonts w:ascii="Arial" w:eastAsiaTheme="minorHAnsi" w:hAnsi="Arial" w:cs="Arial"/>
          <w:color w:val="000000"/>
          <w:sz w:val="20"/>
          <w:szCs w:val="20"/>
          <w:lang w:eastAsia="en-US"/>
        </w:rPr>
        <w:t xml:space="preserve"> - </w:t>
      </w:r>
      <w:r w:rsidRPr="009E6B3C">
        <w:rPr>
          <w:rFonts w:ascii="Arial" w:eastAsiaTheme="minorHAnsi" w:hAnsi="Arial" w:cs="Arial"/>
          <w:color w:val="000000"/>
          <w:sz w:val="20"/>
          <w:szCs w:val="20"/>
          <w:lang w:eastAsia="en-US"/>
        </w:rPr>
        <w:t xml:space="preserve">The project, which began in 2015, was </w:t>
      </w:r>
      <w:r w:rsidR="00700105" w:rsidRPr="009E6B3C">
        <w:rPr>
          <w:rFonts w:ascii="Arial" w:eastAsiaTheme="minorHAnsi" w:hAnsi="Arial" w:cs="Arial"/>
          <w:color w:val="000000"/>
          <w:sz w:val="20"/>
          <w:szCs w:val="20"/>
          <w:lang w:eastAsia="en-US"/>
        </w:rPr>
        <w:t xml:space="preserve">re-advertised for appointment of a replacement contractor. </w:t>
      </w:r>
    </w:p>
    <w:p w:rsidR="00700105" w:rsidRPr="009E6B3C" w:rsidRDefault="00DD66C5"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Vulamehlo Magistrates Court – The project began in 2015. </w:t>
      </w:r>
      <w:r w:rsidR="00700105" w:rsidRPr="009E6B3C">
        <w:rPr>
          <w:rFonts w:ascii="Arial" w:eastAsiaTheme="minorHAnsi" w:hAnsi="Arial" w:cs="Arial"/>
          <w:color w:val="000000"/>
          <w:sz w:val="20"/>
          <w:szCs w:val="20"/>
          <w:lang w:eastAsia="en-US"/>
        </w:rPr>
        <w:t>The Contractor was placed on terms for non-performance with the intention to cancel the contract. The project has been interrupted several times by Business Forums demanding 30% of subcontracting work.</w:t>
      </w:r>
    </w:p>
    <w:p w:rsidR="00700105" w:rsidRPr="009E6B3C" w:rsidRDefault="00DD66C5"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Klerksdorp/ Jouberton Magistrate Office: Additional Accommodation</w:t>
      </w:r>
      <w:r w:rsidR="000062A0" w:rsidRPr="009E6B3C">
        <w:rPr>
          <w:rFonts w:ascii="Arial" w:eastAsiaTheme="minorHAnsi" w:hAnsi="Arial" w:cs="Arial"/>
          <w:color w:val="000000"/>
          <w:sz w:val="20"/>
          <w:szCs w:val="20"/>
          <w:lang w:eastAsia="en-US"/>
        </w:rPr>
        <w:t xml:space="preserve"> -</w:t>
      </w:r>
      <w:r w:rsidRPr="009E6B3C">
        <w:rPr>
          <w:rFonts w:ascii="Arial" w:eastAsiaTheme="minorHAnsi" w:hAnsi="Arial" w:cs="Arial"/>
          <w:color w:val="000000"/>
          <w:sz w:val="20"/>
          <w:szCs w:val="20"/>
          <w:lang w:eastAsia="en-US"/>
        </w:rPr>
        <w:t xml:space="preserve"> All work is behind schedule. </w:t>
      </w:r>
    </w:p>
    <w:p w:rsidR="00700105" w:rsidRPr="009E6B3C" w:rsidRDefault="00700105" w:rsidP="009E6B3C">
      <w:pPr>
        <w:pStyle w:val="ListParagraph"/>
        <w:autoSpaceDE w:val="0"/>
        <w:autoSpaceDN w:val="0"/>
        <w:adjustRightInd w:val="0"/>
        <w:ind w:left="851"/>
        <w:rPr>
          <w:rFonts w:ascii="Arial" w:eastAsiaTheme="minorHAnsi" w:hAnsi="Arial" w:cs="Arial"/>
          <w:color w:val="000000"/>
          <w:sz w:val="20"/>
          <w:szCs w:val="20"/>
          <w:lang w:eastAsia="en-US"/>
        </w:rPr>
      </w:pPr>
    </w:p>
    <w:p w:rsidR="00075B29" w:rsidRPr="009E6B3C" w:rsidRDefault="00757614" w:rsidP="009E6B3C">
      <w:pPr>
        <w:pStyle w:val="ListParagraph"/>
        <w:numPr>
          <w:ilvl w:val="1"/>
          <w:numId w:val="1"/>
        </w:numPr>
        <w:ind w:left="851" w:hanging="851"/>
        <w:rPr>
          <w:rFonts w:ascii="Arial" w:eastAsiaTheme="minorHAnsi" w:hAnsi="Arial" w:cs="Arial"/>
          <w:b/>
          <w:color w:val="000000"/>
          <w:sz w:val="20"/>
          <w:szCs w:val="20"/>
          <w:lang w:eastAsia="en-US"/>
        </w:rPr>
      </w:pPr>
      <w:r w:rsidRPr="009E6B3C">
        <w:rPr>
          <w:rFonts w:ascii="Arial" w:eastAsiaTheme="minorHAnsi" w:hAnsi="Arial" w:cs="Arial"/>
          <w:b/>
          <w:i/>
          <w:color w:val="000000"/>
          <w:sz w:val="20"/>
          <w:szCs w:val="20"/>
          <w:lang w:eastAsia="en-US"/>
        </w:rPr>
        <w:t>Linking financial and non-financial performance information</w:t>
      </w:r>
      <w:r w:rsidRPr="009E6B3C">
        <w:rPr>
          <w:rFonts w:ascii="Arial" w:eastAsiaTheme="minorHAnsi" w:hAnsi="Arial" w:cs="Arial"/>
          <w:b/>
          <w:color w:val="000000"/>
          <w:sz w:val="20"/>
          <w:szCs w:val="20"/>
          <w:lang w:eastAsia="en-US"/>
        </w:rPr>
        <w:t xml:space="preserve">: </w:t>
      </w:r>
    </w:p>
    <w:p w:rsidR="00AD7A03" w:rsidRPr="009E6B3C" w:rsidRDefault="00700105"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The Programme a</w:t>
      </w:r>
      <w:r w:rsidR="00AD7A03" w:rsidRPr="009E6B3C">
        <w:rPr>
          <w:rFonts w:ascii="Arial" w:eastAsiaTheme="minorHAnsi" w:hAnsi="Arial" w:cs="Arial"/>
          <w:color w:val="000000"/>
          <w:sz w:val="20"/>
          <w:szCs w:val="20"/>
          <w:lang w:eastAsia="en-US"/>
        </w:rPr>
        <w:t xml:space="preserve">chieved or exceeded 87% (15 of 17) </w:t>
      </w:r>
      <w:r w:rsidRPr="009E6B3C">
        <w:rPr>
          <w:rFonts w:ascii="Arial" w:eastAsiaTheme="minorHAnsi" w:hAnsi="Arial" w:cs="Arial"/>
          <w:color w:val="000000"/>
          <w:sz w:val="20"/>
          <w:szCs w:val="20"/>
          <w:lang w:eastAsia="en-US"/>
        </w:rPr>
        <w:t xml:space="preserve">of the </w:t>
      </w:r>
      <w:r w:rsidR="00AD7A03" w:rsidRPr="009E6B3C">
        <w:rPr>
          <w:rFonts w:ascii="Arial" w:eastAsiaTheme="minorHAnsi" w:hAnsi="Arial" w:cs="Arial"/>
          <w:color w:val="000000"/>
          <w:sz w:val="20"/>
          <w:szCs w:val="20"/>
          <w:lang w:eastAsia="en-US"/>
        </w:rPr>
        <w:t>performance targets (compared to 81% (13 of 16) in 2020/21</w:t>
      </w:r>
      <w:r w:rsidR="00740DE6" w:rsidRPr="009E6B3C">
        <w:rPr>
          <w:rFonts w:ascii="Arial" w:eastAsiaTheme="minorHAnsi" w:hAnsi="Arial" w:cs="Arial"/>
          <w:color w:val="000000"/>
          <w:sz w:val="20"/>
          <w:szCs w:val="20"/>
          <w:lang w:eastAsia="en-US"/>
        </w:rPr>
        <w:t xml:space="preserve">) and spent </w:t>
      </w:r>
      <w:r w:rsidR="00AD7A03" w:rsidRPr="009E6B3C">
        <w:rPr>
          <w:rFonts w:ascii="Arial" w:eastAsiaTheme="minorHAnsi" w:hAnsi="Arial" w:cs="Arial"/>
          <w:color w:val="000000"/>
          <w:sz w:val="20"/>
          <w:szCs w:val="20"/>
          <w:lang w:eastAsia="en-US"/>
        </w:rPr>
        <w:t xml:space="preserve">98.9% </w:t>
      </w:r>
      <w:r w:rsidR="00740DE6" w:rsidRPr="009E6B3C">
        <w:rPr>
          <w:rFonts w:ascii="Arial" w:eastAsiaTheme="minorHAnsi" w:hAnsi="Arial" w:cs="Arial"/>
          <w:color w:val="000000"/>
          <w:sz w:val="20"/>
          <w:szCs w:val="20"/>
          <w:lang w:eastAsia="en-US"/>
        </w:rPr>
        <w:t xml:space="preserve">of the programme budget </w:t>
      </w:r>
      <w:r w:rsidR="00AD7A03" w:rsidRPr="009E6B3C">
        <w:rPr>
          <w:rFonts w:ascii="Arial" w:eastAsiaTheme="minorHAnsi" w:hAnsi="Arial" w:cs="Arial"/>
          <w:color w:val="000000"/>
          <w:sz w:val="20"/>
          <w:szCs w:val="20"/>
          <w:lang w:eastAsia="en-US"/>
        </w:rPr>
        <w:t>(compared to 97.4</w:t>
      </w:r>
      <w:r w:rsidR="00740DE6" w:rsidRPr="009E6B3C">
        <w:rPr>
          <w:rFonts w:ascii="Arial" w:eastAsiaTheme="minorHAnsi" w:hAnsi="Arial" w:cs="Arial"/>
          <w:color w:val="000000"/>
          <w:sz w:val="20"/>
          <w:szCs w:val="20"/>
          <w:lang w:eastAsia="en-US"/>
        </w:rPr>
        <w:t>%</w:t>
      </w:r>
      <w:r w:rsidR="00AD7A03" w:rsidRPr="009E6B3C">
        <w:rPr>
          <w:rFonts w:ascii="Arial" w:eastAsiaTheme="minorHAnsi" w:hAnsi="Arial" w:cs="Arial"/>
          <w:color w:val="000000"/>
          <w:sz w:val="20"/>
          <w:szCs w:val="20"/>
          <w:lang w:eastAsia="en-US"/>
        </w:rPr>
        <w:t xml:space="preserve"> </w:t>
      </w:r>
      <w:r w:rsidR="00740DE6" w:rsidRPr="009E6B3C">
        <w:rPr>
          <w:rFonts w:ascii="Arial" w:eastAsiaTheme="minorHAnsi" w:hAnsi="Arial" w:cs="Arial"/>
          <w:color w:val="000000"/>
          <w:sz w:val="20"/>
          <w:szCs w:val="20"/>
          <w:lang w:eastAsia="en-US"/>
        </w:rPr>
        <w:t>in 2020/21).</w:t>
      </w:r>
    </w:p>
    <w:p w:rsidR="00AD7A03" w:rsidRPr="009E6B3C" w:rsidRDefault="00740DE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w:t>
      </w:r>
      <w:r w:rsidR="00AD7A03" w:rsidRPr="009E6B3C">
        <w:rPr>
          <w:rFonts w:ascii="Arial" w:eastAsiaTheme="minorHAnsi" w:hAnsi="Arial" w:cs="Arial"/>
          <w:color w:val="000000"/>
          <w:sz w:val="20"/>
          <w:szCs w:val="20"/>
          <w:lang w:eastAsia="en-US"/>
        </w:rPr>
        <w:t xml:space="preserve">under-expenditure of R71.4 million </w:t>
      </w:r>
      <w:r w:rsidRPr="009E6B3C">
        <w:rPr>
          <w:rFonts w:ascii="Arial" w:eastAsiaTheme="minorHAnsi" w:hAnsi="Arial" w:cs="Arial"/>
          <w:color w:val="000000"/>
          <w:sz w:val="20"/>
          <w:szCs w:val="20"/>
          <w:lang w:eastAsia="en-US"/>
        </w:rPr>
        <w:t xml:space="preserve">is attributed to </w:t>
      </w:r>
      <w:r w:rsidR="00AD7A03" w:rsidRPr="009E6B3C">
        <w:rPr>
          <w:rFonts w:ascii="Arial" w:eastAsiaTheme="minorHAnsi" w:hAnsi="Arial" w:cs="Arial"/>
          <w:color w:val="000000"/>
          <w:sz w:val="20"/>
          <w:szCs w:val="20"/>
          <w:lang w:eastAsia="en-US"/>
        </w:rPr>
        <w:t xml:space="preserve">delays in filling vacant posts and implementation of the youth programme, and low spending of </w:t>
      </w:r>
      <w:r w:rsidR="00700105" w:rsidRPr="009E6B3C">
        <w:rPr>
          <w:rFonts w:ascii="Arial" w:eastAsiaTheme="minorHAnsi" w:hAnsi="Arial" w:cs="Arial"/>
          <w:color w:val="000000"/>
          <w:sz w:val="20"/>
          <w:szCs w:val="20"/>
          <w:lang w:eastAsia="en-US"/>
        </w:rPr>
        <w:t xml:space="preserve">the </w:t>
      </w:r>
      <w:r w:rsidR="00AD7A03" w:rsidRPr="009E6B3C">
        <w:rPr>
          <w:rFonts w:ascii="Arial" w:eastAsiaTheme="minorHAnsi" w:hAnsi="Arial" w:cs="Arial"/>
          <w:color w:val="000000"/>
          <w:sz w:val="20"/>
          <w:szCs w:val="20"/>
          <w:lang w:eastAsia="en-US"/>
        </w:rPr>
        <w:t>court infrastructure budget by DPWI.</w:t>
      </w:r>
    </w:p>
    <w:p w:rsidR="00740DE6" w:rsidRPr="009E6B3C" w:rsidRDefault="00740DE6"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Despite the reported improved performance, the following </w:t>
      </w:r>
      <w:r w:rsidR="001436E7" w:rsidRPr="009E6B3C">
        <w:rPr>
          <w:rFonts w:ascii="Arial" w:eastAsiaTheme="minorHAnsi" w:hAnsi="Arial" w:cs="Arial"/>
          <w:color w:val="000000"/>
          <w:sz w:val="20"/>
          <w:szCs w:val="20"/>
          <w:lang w:eastAsia="en-US"/>
        </w:rPr>
        <w:t>is n</w:t>
      </w:r>
      <w:r w:rsidRPr="009E6B3C">
        <w:rPr>
          <w:rFonts w:ascii="Arial" w:eastAsiaTheme="minorHAnsi" w:hAnsi="Arial" w:cs="Arial"/>
          <w:color w:val="000000"/>
          <w:sz w:val="20"/>
          <w:szCs w:val="20"/>
          <w:lang w:eastAsia="en-US"/>
        </w:rPr>
        <w:t>oted:</w:t>
      </w:r>
    </w:p>
    <w:p w:rsidR="00740DE6" w:rsidRPr="009E6B3C" w:rsidRDefault="00740DE6" w:rsidP="009E6B3C">
      <w:pPr>
        <w:pStyle w:val="ListParagraph"/>
        <w:numPr>
          <w:ilvl w:val="0"/>
          <w:numId w:val="12"/>
        </w:num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9 of 17 indicators were revised in-year.</w:t>
      </w:r>
    </w:p>
    <w:p w:rsidR="00740DE6" w:rsidRPr="009E6B3C" w:rsidRDefault="00700105" w:rsidP="009E6B3C">
      <w:pPr>
        <w:pStyle w:val="ListParagraph"/>
        <w:numPr>
          <w:ilvl w:val="0"/>
          <w:numId w:val="12"/>
        </w:num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There are c</w:t>
      </w:r>
      <w:r w:rsidR="00740DE6" w:rsidRPr="009E6B3C">
        <w:rPr>
          <w:rFonts w:ascii="Arial" w:eastAsiaTheme="minorHAnsi" w:hAnsi="Arial" w:cs="Arial"/>
          <w:color w:val="000000"/>
          <w:sz w:val="20"/>
          <w:szCs w:val="20"/>
          <w:lang w:eastAsia="en-US"/>
        </w:rPr>
        <w:t xml:space="preserve">oncerns about </w:t>
      </w:r>
      <w:r w:rsidRPr="009E6B3C">
        <w:rPr>
          <w:rFonts w:ascii="Arial" w:eastAsiaTheme="minorHAnsi" w:hAnsi="Arial" w:cs="Arial"/>
          <w:color w:val="000000"/>
          <w:sz w:val="20"/>
          <w:szCs w:val="20"/>
          <w:lang w:eastAsia="en-US"/>
        </w:rPr>
        <w:t xml:space="preserve">the resourcing of the lower courts </w:t>
      </w:r>
      <w:r w:rsidR="00740DE6" w:rsidRPr="009E6B3C">
        <w:rPr>
          <w:rFonts w:ascii="Arial" w:eastAsiaTheme="minorHAnsi" w:hAnsi="Arial" w:cs="Arial"/>
          <w:color w:val="000000"/>
          <w:sz w:val="20"/>
          <w:szCs w:val="20"/>
          <w:lang w:eastAsia="en-US"/>
        </w:rPr>
        <w:t>resulting in a lack of essential equipment, IT infrastructure and general resources for lower court staff.</w:t>
      </w:r>
    </w:p>
    <w:p w:rsidR="005F43B7" w:rsidRPr="009E6B3C" w:rsidRDefault="005F43B7" w:rsidP="009E6B3C">
      <w:pPr>
        <w:pStyle w:val="ListParagraph"/>
        <w:numPr>
          <w:ilvl w:val="0"/>
          <w:numId w:val="12"/>
        </w:num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At many courts, the infrastructure is poor or unsuitable to the administration of justice.</w:t>
      </w:r>
      <w:r w:rsidR="00675A6A" w:rsidRPr="009E6B3C">
        <w:rPr>
          <w:rFonts w:ascii="Arial" w:eastAsiaTheme="minorHAnsi" w:hAnsi="Arial" w:cs="Arial"/>
          <w:color w:val="000000"/>
          <w:sz w:val="20"/>
          <w:szCs w:val="20"/>
          <w:lang w:eastAsia="en-US"/>
        </w:rPr>
        <w:t xml:space="preserve"> Some c</w:t>
      </w:r>
      <w:r w:rsidR="000062A0" w:rsidRPr="009E6B3C">
        <w:rPr>
          <w:rFonts w:ascii="Arial" w:eastAsiaTheme="minorHAnsi" w:hAnsi="Arial" w:cs="Arial"/>
          <w:color w:val="000000"/>
          <w:sz w:val="20"/>
          <w:szCs w:val="20"/>
          <w:lang w:eastAsia="en-US"/>
        </w:rPr>
        <w:t>ourts have been closed because of their poor state of repair/</w:t>
      </w:r>
      <w:r w:rsidR="00675A6A" w:rsidRPr="009E6B3C">
        <w:rPr>
          <w:rFonts w:ascii="Arial" w:eastAsiaTheme="minorHAnsi" w:hAnsi="Arial" w:cs="Arial"/>
          <w:color w:val="000000"/>
          <w:sz w:val="20"/>
          <w:szCs w:val="20"/>
          <w:lang w:eastAsia="en-US"/>
        </w:rPr>
        <w:t xml:space="preserve">the </w:t>
      </w:r>
      <w:r w:rsidR="000062A0" w:rsidRPr="009E6B3C">
        <w:rPr>
          <w:rFonts w:ascii="Arial" w:eastAsiaTheme="minorHAnsi" w:hAnsi="Arial" w:cs="Arial"/>
          <w:color w:val="000000"/>
          <w:sz w:val="20"/>
          <w:szCs w:val="20"/>
          <w:lang w:eastAsia="en-US"/>
        </w:rPr>
        <w:t>dangerous working conditions.</w:t>
      </w:r>
    </w:p>
    <w:p w:rsidR="00740DE6" w:rsidRPr="009E6B3C" w:rsidRDefault="00740DE6" w:rsidP="009E6B3C">
      <w:pPr>
        <w:pStyle w:val="ListParagraph"/>
        <w:numPr>
          <w:ilvl w:val="0"/>
          <w:numId w:val="12"/>
        </w:num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Internet connectivity on the </w:t>
      </w:r>
      <w:r w:rsidR="00700105" w:rsidRPr="009E6B3C">
        <w:rPr>
          <w:rFonts w:ascii="Arial" w:eastAsiaTheme="minorHAnsi" w:hAnsi="Arial" w:cs="Arial"/>
          <w:color w:val="000000"/>
          <w:sz w:val="20"/>
          <w:szCs w:val="20"/>
          <w:lang w:eastAsia="en-US"/>
        </w:rPr>
        <w:t xml:space="preserve">Department’s </w:t>
      </w:r>
      <w:r w:rsidRPr="009E6B3C">
        <w:rPr>
          <w:rFonts w:ascii="Arial" w:eastAsiaTheme="minorHAnsi" w:hAnsi="Arial" w:cs="Arial"/>
          <w:color w:val="000000"/>
          <w:sz w:val="20"/>
          <w:szCs w:val="20"/>
          <w:lang w:eastAsia="en-US"/>
        </w:rPr>
        <w:t xml:space="preserve">network at the lower courts is a challenge. </w:t>
      </w:r>
    </w:p>
    <w:p w:rsidR="005F43B7" w:rsidRPr="009E6B3C" w:rsidRDefault="005F43B7" w:rsidP="009E6B3C">
      <w:pPr>
        <w:pStyle w:val="ListParagraph"/>
        <w:numPr>
          <w:ilvl w:val="0"/>
          <w:numId w:val="12"/>
        </w:numPr>
        <w:autoSpaceDE w:val="0"/>
        <w:autoSpaceDN w:val="0"/>
        <w:adjustRightInd w:val="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 xml:space="preserve">The case backlogs </w:t>
      </w:r>
      <w:r w:rsidR="001436E7" w:rsidRPr="009E6B3C">
        <w:rPr>
          <w:rFonts w:ascii="Arial" w:eastAsiaTheme="minorHAnsi" w:hAnsi="Arial" w:cs="Arial"/>
          <w:color w:val="000000"/>
          <w:sz w:val="20"/>
          <w:szCs w:val="20"/>
          <w:lang w:eastAsia="en-US"/>
        </w:rPr>
        <w:t xml:space="preserve">are </w:t>
      </w:r>
      <w:r w:rsidR="009B7EB9" w:rsidRPr="009E6B3C">
        <w:rPr>
          <w:rFonts w:ascii="Arial" w:eastAsiaTheme="minorHAnsi" w:hAnsi="Arial" w:cs="Arial"/>
          <w:color w:val="000000"/>
          <w:sz w:val="20"/>
          <w:szCs w:val="20"/>
          <w:lang w:eastAsia="en-US"/>
        </w:rPr>
        <w:t>d</w:t>
      </w:r>
      <w:r w:rsidRPr="009E6B3C">
        <w:rPr>
          <w:rFonts w:ascii="Arial" w:eastAsiaTheme="minorHAnsi" w:hAnsi="Arial" w:cs="Arial"/>
          <w:color w:val="000000"/>
          <w:sz w:val="20"/>
          <w:szCs w:val="20"/>
          <w:lang w:eastAsia="en-US"/>
        </w:rPr>
        <w:t>escribed as insurmountable.</w:t>
      </w:r>
    </w:p>
    <w:p w:rsidR="005F43B7" w:rsidRPr="009E6B3C" w:rsidRDefault="005F43B7" w:rsidP="009E6B3C">
      <w:pPr>
        <w:pStyle w:val="ListParagraph"/>
        <w:autoSpaceDE w:val="0"/>
        <w:autoSpaceDN w:val="0"/>
        <w:adjustRightInd w:val="0"/>
        <w:ind w:left="1276"/>
        <w:rPr>
          <w:rFonts w:ascii="Arial" w:eastAsiaTheme="minorHAnsi" w:hAnsi="Arial" w:cs="Arial"/>
          <w:color w:val="000000"/>
          <w:sz w:val="20"/>
          <w:szCs w:val="20"/>
          <w:lang w:eastAsia="en-US"/>
        </w:rPr>
      </w:pPr>
    </w:p>
    <w:p w:rsidR="00740DE6" w:rsidRPr="009E6B3C" w:rsidRDefault="00740DE6" w:rsidP="009E6B3C">
      <w:pPr>
        <w:pStyle w:val="ListParagraph"/>
        <w:autoSpaceDE w:val="0"/>
        <w:autoSpaceDN w:val="0"/>
        <w:adjustRightInd w:val="0"/>
        <w:ind w:left="1276"/>
        <w:rPr>
          <w:rFonts w:ascii="Arial" w:eastAsiaTheme="minorHAnsi" w:hAnsi="Arial" w:cs="Arial"/>
          <w:color w:val="000000"/>
          <w:sz w:val="20"/>
          <w:szCs w:val="20"/>
          <w:lang w:eastAsia="en-US"/>
        </w:rPr>
      </w:pPr>
    </w:p>
    <w:p w:rsidR="00106280" w:rsidRPr="009E6B3C" w:rsidRDefault="00106280" w:rsidP="009E6B3C">
      <w:pPr>
        <w:numPr>
          <w:ilvl w:val="0"/>
          <w:numId w:val="1"/>
        </w:numPr>
        <w:tabs>
          <w:tab w:val="num" w:pos="851"/>
        </w:tabs>
        <w:ind w:left="851" w:hanging="851"/>
        <w:rPr>
          <w:rFonts w:ascii="Arial" w:hAnsi="Arial" w:cs="Arial"/>
          <w:b/>
          <w:sz w:val="20"/>
          <w:szCs w:val="20"/>
        </w:rPr>
      </w:pPr>
      <w:r w:rsidRPr="009E6B3C">
        <w:rPr>
          <w:rFonts w:ascii="Arial" w:hAnsi="Arial" w:cs="Arial"/>
          <w:b/>
          <w:sz w:val="20"/>
          <w:szCs w:val="20"/>
        </w:rPr>
        <w:t>Programme 3 - State Legal Services</w:t>
      </w:r>
    </w:p>
    <w:p w:rsidR="00106280" w:rsidRPr="009E6B3C" w:rsidRDefault="00106280" w:rsidP="009E6B3C">
      <w:pPr>
        <w:rPr>
          <w:rFonts w:ascii="Arial" w:hAnsi="Arial" w:cs="Arial"/>
          <w:sz w:val="20"/>
          <w:szCs w:val="20"/>
        </w:rPr>
      </w:pPr>
    </w:p>
    <w:p w:rsidR="00106280" w:rsidRPr="009E6B3C" w:rsidRDefault="00106280" w:rsidP="009E6B3C">
      <w:pPr>
        <w:pStyle w:val="ListParagraph"/>
        <w:numPr>
          <w:ilvl w:val="1"/>
          <w:numId w:val="1"/>
        </w:numPr>
        <w:ind w:left="851" w:hanging="851"/>
        <w:rPr>
          <w:rFonts w:ascii="Arial" w:hAnsi="Arial" w:cs="Arial"/>
          <w:i/>
          <w:sz w:val="20"/>
          <w:szCs w:val="20"/>
        </w:rPr>
      </w:pPr>
      <w:r w:rsidRPr="009E6B3C">
        <w:rPr>
          <w:rFonts w:ascii="Arial" w:hAnsi="Arial" w:cs="Arial"/>
          <w:sz w:val="20"/>
          <w:szCs w:val="20"/>
        </w:rPr>
        <w:t xml:space="preserve">This Programme provides legal and legislative services to </w:t>
      </w:r>
      <w:r w:rsidR="00F5284D" w:rsidRPr="009E6B3C">
        <w:rPr>
          <w:rFonts w:ascii="Arial" w:hAnsi="Arial" w:cs="Arial"/>
          <w:sz w:val="20"/>
          <w:szCs w:val="20"/>
        </w:rPr>
        <w:t xml:space="preserve">the Department </w:t>
      </w:r>
      <w:r w:rsidRPr="009E6B3C">
        <w:rPr>
          <w:rFonts w:ascii="Arial" w:hAnsi="Arial" w:cs="Arial"/>
          <w:sz w:val="20"/>
          <w:szCs w:val="20"/>
        </w:rPr>
        <w:t>government</w:t>
      </w:r>
      <w:r w:rsidR="00F5284D" w:rsidRPr="009E6B3C">
        <w:rPr>
          <w:rFonts w:ascii="Arial" w:hAnsi="Arial" w:cs="Arial"/>
          <w:sz w:val="20"/>
          <w:szCs w:val="20"/>
        </w:rPr>
        <w:t xml:space="preserve"> broadly</w:t>
      </w:r>
      <w:r w:rsidR="00D17B44" w:rsidRPr="009E6B3C">
        <w:rPr>
          <w:rFonts w:ascii="Arial" w:hAnsi="Arial" w:cs="Arial"/>
          <w:sz w:val="20"/>
          <w:szCs w:val="20"/>
        </w:rPr>
        <w:t>;</w:t>
      </w:r>
      <w:r w:rsidRPr="009E6B3C">
        <w:rPr>
          <w:rFonts w:ascii="Arial" w:hAnsi="Arial" w:cs="Arial"/>
          <w:sz w:val="20"/>
          <w:szCs w:val="20"/>
        </w:rPr>
        <w:t xml:space="preserve"> supervises the administration of deceased and insolvent estates</w:t>
      </w:r>
      <w:r w:rsidR="00D17B44" w:rsidRPr="009E6B3C">
        <w:rPr>
          <w:rFonts w:ascii="Arial" w:hAnsi="Arial" w:cs="Arial"/>
          <w:sz w:val="20"/>
          <w:szCs w:val="20"/>
        </w:rPr>
        <w:t>;</w:t>
      </w:r>
      <w:r w:rsidRPr="009E6B3C">
        <w:rPr>
          <w:rFonts w:ascii="Arial" w:hAnsi="Arial" w:cs="Arial"/>
          <w:sz w:val="20"/>
          <w:szCs w:val="20"/>
        </w:rPr>
        <w:t xml:space="preserve"> registers </w:t>
      </w:r>
      <w:r w:rsidR="004633EC" w:rsidRPr="009E6B3C">
        <w:rPr>
          <w:rFonts w:ascii="Arial" w:hAnsi="Arial" w:cs="Arial"/>
          <w:sz w:val="20"/>
          <w:szCs w:val="20"/>
        </w:rPr>
        <w:t>trusts</w:t>
      </w:r>
      <w:r w:rsidRPr="009E6B3C">
        <w:rPr>
          <w:rFonts w:ascii="Arial" w:hAnsi="Arial" w:cs="Arial"/>
          <w:sz w:val="20"/>
          <w:szCs w:val="20"/>
        </w:rPr>
        <w:t xml:space="preserve"> and manages the Guardian’s Fund</w:t>
      </w:r>
      <w:r w:rsidR="00D17B44" w:rsidRPr="009E6B3C">
        <w:rPr>
          <w:rFonts w:ascii="Arial" w:hAnsi="Arial" w:cs="Arial"/>
          <w:sz w:val="20"/>
          <w:szCs w:val="20"/>
        </w:rPr>
        <w:t>;</w:t>
      </w:r>
      <w:r w:rsidRPr="009E6B3C">
        <w:rPr>
          <w:rFonts w:ascii="Arial" w:hAnsi="Arial" w:cs="Arial"/>
          <w:sz w:val="20"/>
          <w:szCs w:val="20"/>
        </w:rPr>
        <w:t xml:space="preserve"> and prepares and promotes legislation. </w:t>
      </w:r>
      <w:r w:rsidR="002713DE" w:rsidRPr="009E6B3C">
        <w:rPr>
          <w:rFonts w:ascii="Arial" w:hAnsi="Arial" w:cs="Arial"/>
          <w:sz w:val="20"/>
          <w:szCs w:val="20"/>
        </w:rPr>
        <w:t xml:space="preserve">In addition, the Programme </w:t>
      </w:r>
      <w:r w:rsidR="00B95CC9" w:rsidRPr="009E6B3C">
        <w:rPr>
          <w:rFonts w:ascii="Arial" w:hAnsi="Arial" w:cs="Arial"/>
          <w:sz w:val="20"/>
          <w:szCs w:val="20"/>
        </w:rPr>
        <w:t>facilitates</w:t>
      </w:r>
      <w:r w:rsidR="002713DE" w:rsidRPr="009E6B3C">
        <w:rPr>
          <w:rFonts w:ascii="Arial" w:hAnsi="Arial" w:cs="Arial"/>
          <w:sz w:val="20"/>
          <w:szCs w:val="20"/>
        </w:rPr>
        <w:t xml:space="preserve"> constitutional development and undertakes research in support of this</w:t>
      </w:r>
      <w:r w:rsidR="002713DE" w:rsidRPr="009E6B3C">
        <w:rPr>
          <w:rFonts w:ascii="Arial" w:hAnsi="Arial" w:cs="Arial"/>
          <w:i/>
          <w:sz w:val="20"/>
          <w:szCs w:val="20"/>
        </w:rPr>
        <w:t>.</w:t>
      </w:r>
    </w:p>
    <w:p w:rsidR="00106280" w:rsidRPr="009E6B3C" w:rsidRDefault="00106280" w:rsidP="009E6B3C">
      <w:pPr>
        <w:pStyle w:val="BodySingle"/>
        <w:ind w:left="0"/>
        <w:jc w:val="left"/>
        <w:rPr>
          <w:rFonts w:cs="Arial"/>
          <w:i w:val="0"/>
        </w:rPr>
      </w:pPr>
    </w:p>
    <w:p w:rsidR="00F5284D" w:rsidRPr="009E6B3C" w:rsidRDefault="00F5284D" w:rsidP="009E6B3C">
      <w:pPr>
        <w:pStyle w:val="ListParagraph"/>
        <w:numPr>
          <w:ilvl w:val="1"/>
          <w:numId w:val="1"/>
        </w:numPr>
        <w:ind w:left="851" w:hanging="851"/>
        <w:rPr>
          <w:rFonts w:ascii="Arial" w:hAnsi="Arial" w:cs="Arial"/>
          <w:bCs/>
          <w:sz w:val="20"/>
          <w:szCs w:val="20"/>
        </w:rPr>
      </w:pPr>
      <w:r w:rsidRPr="009E6B3C">
        <w:rPr>
          <w:rFonts w:ascii="Arial" w:hAnsi="Arial" w:cs="Arial"/>
          <w:sz w:val="20"/>
          <w:szCs w:val="20"/>
        </w:rPr>
        <w:t>The</w:t>
      </w:r>
      <w:r w:rsidRPr="009E6B3C">
        <w:rPr>
          <w:rFonts w:ascii="Arial" w:hAnsi="Arial" w:cs="Arial"/>
          <w:bCs/>
          <w:sz w:val="20"/>
          <w:szCs w:val="20"/>
        </w:rPr>
        <w:t xml:space="preserve"> Programme has the following outcomes: </w:t>
      </w:r>
    </w:p>
    <w:p w:rsidR="00F5284D" w:rsidRPr="009E6B3C" w:rsidRDefault="00F5284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Transformed Masters services.</w:t>
      </w:r>
    </w:p>
    <w:p w:rsidR="00F5284D" w:rsidRPr="009E6B3C" w:rsidRDefault="00F5284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Colonial/Apartheid-era justice-related legislation reviewed and repealed or replaced.</w:t>
      </w:r>
    </w:p>
    <w:p w:rsidR="00F5284D" w:rsidRPr="009E6B3C" w:rsidRDefault="00F5284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Transformed state litigation services.</w:t>
      </w:r>
    </w:p>
    <w:p w:rsidR="00F5284D" w:rsidRPr="009E6B3C" w:rsidRDefault="00F5284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lastRenderedPageBreak/>
        <w:t>Transformed legal profession.</w:t>
      </w:r>
    </w:p>
    <w:p w:rsidR="00F5284D" w:rsidRPr="009E6B3C" w:rsidRDefault="00F5284D"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Advancement of constitutionalism, human rights and the rule of law.</w:t>
      </w:r>
    </w:p>
    <w:p w:rsidR="00F5284D" w:rsidRPr="009E6B3C" w:rsidRDefault="00F5284D" w:rsidP="009E6B3C">
      <w:pPr>
        <w:pStyle w:val="ListParagraph"/>
        <w:autoSpaceDE w:val="0"/>
        <w:autoSpaceDN w:val="0"/>
        <w:adjustRightInd w:val="0"/>
        <w:ind w:left="1276"/>
        <w:rPr>
          <w:rFonts w:ascii="Arial" w:eastAsiaTheme="minorHAnsi" w:hAnsi="Arial" w:cs="Arial"/>
          <w:color w:val="000000"/>
          <w:sz w:val="20"/>
          <w:szCs w:val="20"/>
          <w:lang w:eastAsia="en-US"/>
        </w:rPr>
      </w:pPr>
    </w:p>
    <w:p w:rsidR="00BA1919" w:rsidRPr="009E6B3C" w:rsidRDefault="00BA1919"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w:t>
      </w:r>
      <w:r w:rsidRPr="009E6B3C">
        <w:rPr>
          <w:rFonts w:ascii="Arial" w:hAnsi="Arial" w:cs="Arial"/>
          <w:bCs/>
          <w:sz w:val="20"/>
          <w:szCs w:val="20"/>
        </w:rPr>
        <w:t xml:space="preserve"> following indicators were </w:t>
      </w:r>
      <w:r w:rsidRPr="009E6B3C">
        <w:rPr>
          <w:rFonts w:ascii="Arial" w:hAnsi="Arial" w:cs="Arial"/>
          <w:sz w:val="20"/>
          <w:szCs w:val="20"/>
        </w:rPr>
        <w:t>revised in-year:</w:t>
      </w:r>
    </w:p>
    <w:p w:rsidR="00012D16" w:rsidRPr="009E6B3C" w:rsidRDefault="00012D16" w:rsidP="009E6B3C">
      <w:pPr>
        <w:rPr>
          <w:rFonts w:ascii="Arial" w:hAnsi="Arial" w:cs="Arial"/>
          <w:b/>
          <w:i/>
          <w:color w:val="000000" w:themeColor="text1"/>
          <w:sz w:val="20"/>
          <w:szCs w:val="20"/>
          <w:lang w:eastAsia="en-ZA"/>
        </w:rPr>
      </w:pPr>
    </w:p>
    <w:p w:rsidR="00012D16" w:rsidRPr="009E6B3C" w:rsidRDefault="00012D16" w:rsidP="009E6B3C">
      <w:pPr>
        <w:rPr>
          <w:rFonts w:ascii="Arial" w:hAnsi="Arial" w:cs="Arial"/>
          <w:b/>
          <w:i/>
          <w:color w:val="000000" w:themeColor="text1"/>
          <w:sz w:val="20"/>
          <w:szCs w:val="20"/>
          <w:lang w:eastAsia="en-ZA"/>
        </w:rPr>
      </w:pPr>
      <w:r w:rsidRPr="009E6B3C">
        <w:rPr>
          <w:rFonts w:ascii="Arial" w:hAnsi="Arial" w:cs="Arial"/>
          <w:b/>
          <w:i/>
          <w:color w:val="000000" w:themeColor="text1"/>
          <w:sz w:val="20"/>
          <w:szCs w:val="20"/>
          <w:lang w:eastAsia="en-ZA"/>
        </w:rPr>
        <w:t>Table 11: State Legal Services – revised indicators and targets</w:t>
      </w:r>
    </w:p>
    <w:tbl>
      <w:tblPr>
        <w:tblStyle w:val="TableGrid"/>
        <w:tblW w:w="0" w:type="auto"/>
        <w:tblLook w:val="04A0"/>
      </w:tblPr>
      <w:tblGrid>
        <w:gridCol w:w="4475"/>
        <w:gridCol w:w="5152"/>
      </w:tblGrid>
      <w:tr w:rsidR="00BA1919" w:rsidRPr="009E6B3C" w:rsidTr="001436E7">
        <w:trPr>
          <w:tblHeader/>
        </w:trPr>
        <w:tc>
          <w:tcPr>
            <w:tcW w:w="0" w:type="auto"/>
            <w:shd w:val="clear" w:color="auto" w:fill="DBDBDB" w:themeFill="accent3" w:themeFillTint="66"/>
          </w:tcPr>
          <w:p w:rsidR="00BA1919" w:rsidRPr="009E6B3C" w:rsidRDefault="00BA1919" w:rsidP="009E6B3C">
            <w:pPr>
              <w:pStyle w:val="NormalWeb"/>
              <w:spacing w:before="0" w:after="0"/>
              <w:rPr>
                <w:rFonts w:ascii="Arial" w:hAnsi="Arial" w:cs="Arial"/>
                <w:b/>
                <w:sz w:val="20"/>
                <w:szCs w:val="20"/>
              </w:rPr>
            </w:pPr>
            <w:r w:rsidRPr="009E6B3C">
              <w:rPr>
                <w:rFonts w:ascii="Arial" w:hAnsi="Arial" w:cs="Arial"/>
                <w:b/>
                <w:sz w:val="20"/>
                <w:szCs w:val="20"/>
              </w:rPr>
              <w:t>ORIGINAL INDICATOR</w:t>
            </w:r>
          </w:p>
        </w:tc>
        <w:tc>
          <w:tcPr>
            <w:tcW w:w="0" w:type="auto"/>
            <w:shd w:val="clear" w:color="auto" w:fill="DBDBDB" w:themeFill="accent3" w:themeFillTint="66"/>
          </w:tcPr>
          <w:p w:rsidR="00BA1919" w:rsidRPr="009E6B3C" w:rsidRDefault="00BA1919" w:rsidP="009E6B3C">
            <w:pPr>
              <w:pStyle w:val="NormalWeb"/>
              <w:spacing w:before="0" w:after="0"/>
              <w:rPr>
                <w:rFonts w:ascii="Arial" w:hAnsi="Arial" w:cs="Arial"/>
                <w:b/>
                <w:sz w:val="20"/>
                <w:szCs w:val="20"/>
              </w:rPr>
            </w:pPr>
            <w:r w:rsidRPr="009E6B3C">
              <w:rPr>
                <w:rFonts w:ascii="Arial" w:hAnsi="Arial" w:cs="Arial"/>
                <w:b/>
                <w:sz w:val="20"/>
                <w:szCs w:val="20"/>
              </w:rPr>
              <w:t>REVISED INDICATOR AND TARGETS</w:t>
            </w:r>
          </w:p>
        </w:tc>
      </w:tr>
      <w:tr w:rsidR="00A70190" w:rsidRPr="009E6B3C" w:rsidTr="001436E7">
        <w:trPr>
          <w:trHeight w:val="711"/>
        </w:trPr>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Percentage of Liquidation and distribution accounts in large estates (&gt;250 000) examined within 15 days from receipt of all required document</w:t>
            </w:r>
          </w:p>
        </w:tc>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The original 2021/22 target was 75% and was reduced to 70%.</w:t>
            </w:r>
          </w:p>
        </w:tc>
      </w:tr>
      <w:tr w:rsidR="00A70190" w:rsidRPr="009E6B3C" w:rsidTr="001436E7">
        <w:trPr>
          <w:trHeight w:val="711"/>
        </w:trPr>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Percentage of letters of appointment issued in deceased estates within 15 days from receipt of all required documents.</w:t>
            </w:r>
          </w:p>
        </w:tc>
        <w:tc>
          <w:tcPr>
            <w:tcW w:w="0" w:type="auto"/>
            <w:shd w:val="clear" w:color="auto" w:fill="auto"/>
          </w:tcPr>
          <w:p w:rsidR="00A70190" w:rsidRPr="009E6B3C" w:rsidRDefault="00A70190" w:rsidP="009E6B3C">
            <w:pPr>
              <w:rPr>
                <w:rFonts w:ascii="Arial" w:hAnsi="Arial" w:cs="Arial"/>
                <w:sz w:val="20"/>
                <w:szCs w:val="20"/>
              </w:rPr>
            </w:pPr>
            <w:r w:rsidRPr="009E6B3C">
              <w:rPr>
                <w:rFonts w:ascii="Arial" w:hAnsi="Arial" w:cs="Arial"/>
                <w:sz w:val="20"/>
                <w:szCs w:val="20"/>
              </w:rPr>
              <w:t>The indictor was amended to provide for the issuing of letters within 21 days).</w:t>
            </w:r>
          </w:p>
          <w:p w:rsidR="00A70190" w:rsidRPr="009E6B3C" w:rsidRDefault="00A70190" w:rsidP="009E6B3C">
            <w:pPr>
              <w:rPr>
                <w:rFonts w:ascii="Arial" w:hAnsi="Arial" w:cs="Arial"/>
                <w:sz w:val="20"/>
                <w:szCs w:val="20"/>
              </w:rPr>
            </w:pPr>
          </w:p>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The original 2021/22 target of 75% was reduced to 65%.</w:t>
            </w:r>
          </w:p>
        </w:tc>
      </w:tr>
      <w:tr w:rsidR="00A70190" w:rsidRPr="009E6B3C" w:rsidTr="001436E7">
        <w:trPr>
          <w:trHeight w:val="711"/>
        </w:trPr>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Percentage of beneficiaries in receipt of services within 40 days from receipt of all required documents (Guardian’s Fund).</w:t>
            </w:r>
          </w:p>
        </w:tc>
        <w:tc>
          <w:tcPr>
            <w:tcW w:w="0" w:type="auto"/>
            <w:shd w:val="clear" w:color="auto" w:fill="auto"/>
          </w:tcPr>
          <w:p w:rsidR="00A70190" w:rsidRPr="009E6B3C" w:rsidRDefault="00A70190" w:rsidP="009E6B3C">
            <w:pPr>
              <w:rPr>
                <w:rFonts w:ascii="Arial" w:hAnsi="Arial" w:cs="Arial"/>
                <w:sz w:val="20"/>
                <w:szCs w:val="20"/>
              </w:rPr>
            </w:pPr>
            <w:r w:rsidRPr="009E6B3C">
              <w:rPr>
                <w:rFonts w:ascii="Arial" w:hAnsi="Arial" w:cs="Arial"/>
                <w:sz w:val="20"/>
                <w:szCs w:val="20"/>
              </w:rPr>
              <w:t>The original 2021/22 target of 80% was reduced to 70%.</w:t>
            </w:r>
          </w:p>
        </w:tc>
      </w:tr>
      <w:tr w:rsidR="00A70190" w:rsidRPr="009E6B3C" w:rsidTr="001436E7">
        <w:trPr>
          <w:trHeight w:val="711"/>
        </w:trPr>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Percentage of certificates of appointment issued in all bankruptcy matters within 10 days from receipt of all required documents.</w:t>
            </w:r>
          </w:p>
        </w:tc>
        <w:tc>
          <w:tcPr>
            <w:tcW w:w="0" w:type="auto"/>
            <w:shd w:val="clear" w:color="auto" w:fill="auto"/>
          </w:tcPr>
          <w:p w:rsidR="00A70190" w:rsidRPr="009E6B3C" w:rsidRDefault="00A70190" w:rsidP="009E6B3C">
            <w:pPr>
              <w:rPr>
                <w:rFonts w:ascii="Arial" w:hAnsi="Arial" w:cs="Arial"/>
                <w:sz w:val="20"/>
                <w:szCs w:val="20"/>
              </w:rPr>
            </w:pPr>
            <w:r w:rsidRPr="009E6B3C">
              <w:rPr>
                <w:rFonts w:ascii="Arial" w:hAnsi="Arial" w:cs="Arial"/>
                <w:sz w:val="20"/>
                <w:szCs w:val="20"/>
              </w:rPr>
              <w:t>The original 2021/22 target of 75% was reduced to 70%.</w:t>
            </w:r>
          </w:p>
        </w:tc>
      </w:tr>
      <w:tr w:rsidR="00A70190" w:rsidRPr="009E6B3C" w:rsidTr="001436E7">
        <w:trPr>
          <w:trHeight w:val="711"/>
        </w:trPr>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Percentage of liquidation and distribution accounts in bankruptcy matters examined within 15 days from receipt of all required documents.</w:t>
            </w:r>
          </w:p>
        </w:tc>
        <w:tc>
          <w:tcPr>
            <w:tcW w:w="0" w:type="auto"/>
            <w:shd w:val="clear" w:color="auto" w:fill="auto"/>
          </w:tcPr>
          <w:p w:rsidR="00A70190" w:rsidRPr="009E6B3C" w:rsidRDefault="00A70190" w:rsidP="009E6B3C">
            <w:pPr>
              <w:rPr>
                <w:rFonts w:ascii="Arial" w:hAnsi="Arial" w:cs="Arial"/>
                <w:sz w:val="20"/>
                <w:szCs w:val="20"/>
              </w:rPr>
            </w:pPr>
            <w:r w:rsidRPr="009E6B3C">
              <w:rPr>
                <w:rFonts w:ascii="Arial" w:hAnsi="Arial" w:cs="Arial"/>
                <w:sz w:val="20"/>
                <w:szCs w:val="20"/>
              </w:rPr>
              <w:t>The indicator was amended to provide for the issuing of letters within 21 days.</w:t>
            </w:r>
          </w:p>
          <w:p w:rsidR="00A70190" w:rsidRPr="009E6B3C" w:rsidRDefault="00A70190" w:rsidP="009E6B3C">
            <w:pPr>
              <w:autoSpaceDE w:val="0"/>
              <w:autoSpaceDN w:val="0"/>
              <w:adjustRightInd w:val="0"/>
              <w:rPr>
                <w:rFonts w:ascii="Arial" w:hAnsi="Arial" w:cs="Arial"/>
                <w:sz w:val="20"/>
                <w:szCs w:val="20"/>
              </w:rPr>
            </w:pPr>
          </w:p>
        </w:tc>
      </w:tr>
      <w:tr w:rsidR="00A70190" w:rsidRPr="009E6B3C" w:rsidTr="001436E7">
        <w:trPr>
          <w:trHeight w:val="711"/>
        </w:trPr>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Percentage of letters of authority issued in trusts within 14 days from receipt of all required documents.</w:t>
            </w:r>
          </w:p>
        </w:tc>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 xml:space="preserve">The original 2021/22 target of 70% was reduced to 60% </w:t>
            </w:r>
          </w:p>
        </w:tc>
      </w:tr>
      <w:tr w:rsidR="00A70190" w:rsidRPr="009E6B3C" w:rsidTr="001436E7">
        <w:trPr>
          <w:trHeight w:val="711"/>
        </w:trPr>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Percentage of briefs allocated to previously disadvantaged female legal practitioners</w:t>
            </w:r>
            <w:r w:rsidR="0060403C" w:rsidRPr="009E6B3C">
              <w:rPr>
                <w:rFonts w:ascii="Arial" w:hAnsi="Arial" w:cs="Arial"/>
                <w:sz w:val="20"/>
                <w:szCs w:val="20"/>
              </w:rPr>
              <w:t>.</w:t>
            </w:r>
          </w:p>
        </w:tc>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The indicator was revised to “percentage of briefs allocated to female legal practitioners”</w:t>
            </w:r>
            <w:r w:rsidR="0060403C" w:rsidRPr="009E6B3C">
              <w:rPr>
                <w:rFonts w:ascii="Arial" w:hAnsi="Arial" w:cs="Arial"/>
                <w:sz w:val="20"/>
                <w:szCs w:val="20"/>
              </w:rPr>
              <w:t>.</w:t>
            </w:r>
          </w:p>
        </w:tc>
      </w:tr>
      <w:tr w:rsidR="00A70190" w:rsidRPr="009E6B3C" w:rsidTr="001436E7">
        <w:tc>
          <w:tcPr>
            <w:tcW w:w="0" w:type="auto"/>
            <w:shd w:val="clear" w:color="auto" w:fill="auto"/>
          </w:tcPr>
          <w:p w:rsidR="00A70190" w:rsidRPr="009E6B3C" w:rsidRDefault="00A70190" w:rsidP="009E6B3C">
            <w:pPr>
              <w:autoSpaceDE w:val="0"/>
              <w:autoSpaceDN w:val="0"/>
              <w:adjustRightInd w:val="0"/>
              <w:rPr>
                <w:rFonts w:ascii="Arial" w:hAnsi="Arial" w:cs="Arial"/>
                <w:sz w:val="20"/>
                <w:szCs w:val="20"/>
              </w:rPr>
            </w:pPr>
            <w:r w:rsidRPr="009E6B3C">
              <w:rPr>
                <w:rFonts w:ascii="Arial" w:hAnsi="Arial" w:cs="Arial"/>
                <w:sz w:val="20"/>
                <w:szCs w:val="20"/>
              </w:rPr>
              <w:t>Policy framework on the transformation of senior counsel status to advocate attorneys to the legal professionals who practice outside the courts developed by 31 March 2022</w:t>
            </w:r>
            <w:r w:rsidR="0060403C" w:rsidRPr="009E6B3C">
              <w:rPr>
                <w:rFonts w:ascii="Arial" w:hAnsi="Arial" w:cs="Arial"/>
                <w:sz w:val="20"/>
                <w:szCs w:val="20"/>
              </w:rPr>
              <w:t>.</w:t>
            </w:r>
          </w:p>
        </w:tc>
        <w:tc>
          <w:tcPr>
            <w:tcW w:w="0" w:type="auto"/>
            <w:shd w:val="clear" w:color="auto" w:fill="auto"/>
          </w:tcPr>
          <w:p w:rsidR="00A70190" w:rsidRPr="009E6B3C" w:rsidRDefault="00A70190" w:rsidP="009E6B3C">
            <w:pPr>
              <w:rPr>
                <w:rFonts w:ascii="Arial" w:hAnsi="Arial" w:cs="Arial"/>
                <w:sz w:val="20"/>
                <w:szCs w:val="20"/>
              </w:rPr>
            </w:pPr>
            <w:r w:rsidRPr="009E6B3C">
              <w:rPr>
                <w:rFonts w:ascii="Arial" w:hAnsi="Arial" w:cs="Arial"/>
                <w:sz w:val="20"/>
                <w:szCs w:val="20"/>
              </w:rPr>
              <w:t>The indicator was revised to “Draft policy framework and accompanying Regulations on the conferral of senior legal practitioner (advocates and attorney) submitted to the Minister for approval by 31 March 2022</w:t>
            </w:r>
            <w:r w:rsidR="0060403C" w:rsidRPr="009E6B3C">
              <w:rPr>
                <w:rFonts w:ascii="Arial" w:hAnsi="Arial" w:cs="Arial"/>
                <w:sz w:val="20"/>
                <w:szCs w:val="20"/>
              </w:rPr>
              <w:t>”</w:t>
            </w:r>
            <w:r w:rsidRPr="009E6B3C">
              <w:rPr>
                <w:rFonts w:ascii="Arial" w:hAnsi="Arial" w:cs="Arial"/>
                <w:sz w:val="20"/>
                <w:szCs w:val="20"/>
              </w:rPr>
              <w:t>.</w:t>
            </w:r>
          </w:p>
        </w:tc>
      </w:tr>
      <w:tr w:rsidR="00A70190" w:rsidRPr="009E6B3C" w:rsidTr="001436E7">
        <w:tc>
          <w:tcPr>
            <w:tcW w:w="0" w:type="auto"/>
            <w:shd w:val="clear" w:color="auto" w:fill="auto"/>
          </w:tcPr>
          <w:p w:rsidR="00A70190" w:rsidRPr="009E6B3C" w:rsidRDefault="00A70190" w:rsidP="009E6B3C">
            <w:pPr>
              <w:rPr>
                <w:rFonts w:ascii="Arial" w:hAnsi="Arial" w:cs="Arial"/>
                <w:sz w:val="20"/>
                <w:szCs w:val="20"/>
              </w:rPr>
            </w:pPr>
            <w:r w:rsidRPr="009E6B3C">
              <w:rPr>
                <w:rFonts w:ascii="Arial" w:hAnsi="Arial" w:cs="Arial"/>
                <w:sz w:val="20"/>
                <w:szCs w:val="20"/>
              </w:rPr>
              <w:t>Draft framework on treaty obligations developed and submitted to the Minister for approval by 31 December 2021</w:t>
            </w:r>
            <w:r w:rsidR="0060403C" w:rsidRPr="009E6B3C">
              <w:rPr>
                <w:rFonts w:ascii="Arial" w:hAnsi="Arial" w:cs="Arial"/>
                <w:sz w:val="20"/>
                <w:szCs w:val="20"/>
              </w:rPr>
              <w:t>.</w:t>
            </w:r>
          </w:p>
          <w:p w:rsidR="00A70190" w:rsidRPr="009E6B3C" w:rsidRDefault="00A70190" w:rsidP="009E6B3C">
            <w:pPr>
              <w:rPr>
                <w:rFonts w:ascii="Arial" w:hAnsi="Arial" w:cs="Arial"/>
                <w:sz w:val="20"/>
                <w:szCs w:val="20"/>
              </w:rPr>
            </w:pPr>
          </w:p>
        </w:tc>
        <w:tc>
          <w:tcPr>
            <w:tcW w:w="0" w:type="auto"/>
            <w:shd w:val="clear" w:color="auto" w:fill="auto"/>
          </w:tcPr>
          <w:p w:rsidR="00A70190" w:rsidRPr="009E6B3C" w:rsidRDefault="00A70190" w:rsidP="009E6B3C">
            <w:pPr>
              <w:rPr>
                <w:rFonts w:ascii="Arial" w:hAnsi="Arial" w:cs="Arial"/>
                <w:sz w:val="20"/>
                <w:szCs w:val="20"/>
              </w:rPr>
            </w:pPr>
            <w:r w:rsidRPr="009E6B3C">
              <w:rPr>
                <w:rFonts w:ascii="Arial" w:hAnsi="Arial" w:cs="Arial"/>
                <w:sz w:val="20"/>
                <w:szCs w:val="20"/>
              </w:rPr>
              <w:t>The indicator was revised to “draft framework on treaty obligations developed and submitted to the Minister for approval by 28 February 2022”.</w:t>
            </w:r>
          </w:p>
        </w:tc>
      </w:tr>
    </w:tbl>
    <w:p w:rsidR="00BA1919" w:rsidRPr="009E6B3C" w:rsidRDefault="00BA1919" w:rsidP="009E6B3C">
      <w:pPr>
        <w:pStyle w:val="ListParagraph"/>
        <w:autoSpaceDE w:val="0"/>
        <w:autoSpaceDN w:val="0"/>
        <w:adjustRightInd w:val="0"/>
        <w:ind w:left="851"/>
        <w:rPr>
          <w:rFonts w:ascii="Arial" w:hAnsi="Arial" w:cs="Arial"/>
          <w:sz w:val="20"/>
          <w:szCs w:val="20"/>
        </w:rPr>
      </w:pPr>
    </w:p>
    <w:p w:rsidR="00106280" w:rsidRPr="009E6B3C" w:rsidRDefault="00DD74BA"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In </w:t>
      </w:r>
      <w:r w:rsidR="00882603" w:rsidRPr="009E6B3C">
        <w:rPr>
          <w:rFonts w:ascii="Arial" w:hAnsi="Arial" w:cs="Arial"/>
          <w:sz w:val="20"/>
          <w:szCs w:val="20"/>
        </w:rPr>
        <w:t>20</w:t>
      </w:r>
      <w:r w:rsidR="00B27E43" w:rsidRPr="009E6B3C">
        <w:rPr>
          <w:rFonts w:ascii="Arial" w:hAnsi="Arial" w:cs="Arial"/>
          <w:sz w:val="20"/>
          <w:szCs w:val="20"/>
        </w:rPr>
        <w:t>21/22</w:t>
      </w:r>
      <w:r w:rsidR="00882603" w:rsidRPr="009E6B3C">
        <w:rPr>
          <w:rFonts w:ascii="Arial" w:hAnsi="Arial" w:cs="Arial"/>
          <w:sz w:val="20"/>
          <w:szCs w:val="20"/>
        </w:rPr>
        <w:t xml:space="preserve">, </w:t>
      </w:r>
      <w:r w:rsidRPr="009E6B3C">
        <w:rPr>
          <w:rFonts w:ascii="Arial" w:hAnsi="Arial" w:cs="Arial"/>
          <w:sz w:val="20"/>
          <w:szCs w:val="20"/>
        </w:rPr>
        <w:t>t</w:t>
      </w:r>
      <w:r w:rsidR="009B6563" w:rsidRPr="009E6B3C">
        <w:rPr>
          <w:rFonts w:ascii="Arial" w:hAnsi="Arial" w:cs="Arial"/>
          <w:sz w:val="20"/>
          <w:szCs w:val="20"/>
        </w:rPr>
        <w:t>he programme m</w:t>
      </w:r>
      <w:r w:rsidR="00106280" w:rsidRPr="009E6B3C">
        <w:rPr>
          <w:rFonts w:ascii="Arial" w:hAnsi="Arial" w:cs="Arial"/>
          <w:sz w:val="20"/>
          <w:szCs w:val="20"/>
        </w:rPr>
        <w:t xml:space="preserve">et or exceeded </w:t>
      </w:r>
      <w:r w:rsidR="00B27E43" w:rsidRPr="009E6B3C">
        <w:rPr>
          <w:rFonts w:ascii="Arial" w:hAnsi="Arial" w:cs="Arial"/>
          <w:sz w:val="20"/>
          <w:szCs w:val="20"/>
        </w:rPr>
        <w:t>22</w:t>
      </w:r>
      <w:r w:rsidR="00807A00" w:rsidRPr="009E6B3C">
        <w:rPr>
          <w:rFonts w:ascii="Arial" w:hAnsi="Arial" w:cs="Arial"/>
          <w:sz w:val="20"/>
          <w:szCs w:val="20"/>
        </w:rPr>
        <w:t xml:space="preserve"> or </w:t>
      </w:r>
      <w:r w:rsidR="00B27E43" w:rsidRPr="009E6B3C">
        <w:rPr>
          <w:rFonts w:ascii="Arial" w:hAnsi="Arial" w:cs="Arial"/>
          <w:sz w:val="20"/>
          <w:szCs w:val="20"/>
        </w:rPr>
        <w:t>79</w:t>
      </w:r>
      <w:r w:rsidR="00961A09" w:rsidRPr="009E6B3C">
        <w:rPr>
          <w:rFonts w:ascii="Arial" w:hAnsi="Arial" w:cs="Arial"/>
          <w:sz w:val="20"/>
          <w:szCs w:val="20"/>
        </w:rPr>
        <w:t>%</w:t>
      </w:r>
      <w:r w:rsidR="009629D6" w:rsidRPr="009E6B3C">
        <w:rPr>
          <w:rFonts w:ascii="Arial" w:hAnsi="Arial" w:cs="Arial"/>
          <w:sz w:val="20"/>
          <w:szCs w:val="20"/>
        </w:rPr>
        <w:t xml:space="preserve"> of its </w:t>
      </w:r>
      <w:r w:rsidR="00B27E43" w:rsidRPr="009E6B3C">
        <w:rPr>
          <w:rFonts w:ascii="Arial" w:hAnsi="Arial" w:cs="Arial"/>
          <w:sz w:val="20"/>
          <w:szCs w:val="20"/>
        </w:rPr>
        <w:t xml:space="preserve">28 </w:t>
      </w:r>
      <w:r w:rsidR="002713DE" w:rsidRPr="009E6B3C">
        <w:rPr>
          <w:rFonts w:ascii="Arial" w:hAnsi="Arial" w:cs="Arial"/>
          <w:sz w:val="20"/>
          <w:szCs w:val="20"/>
        </w:rPr>
        <w:t xml:space="preserve">planned </w:t>
      </w:r>
      <w:r w:rsidR="00807A00" w:rsidRPr="009E6B3C">
        <w:rPr>
          <w:rFonts w:ascii="Arial" w:hAnsi="Arial" w:cs="Arial"/>
          <w:sz w:val="20"/>
          <w:szCs w:val="20"/>
        </w:rPr>
        <w:t xml:space="preserve">targets </w:t>
      </w:r>
      <w:r w:rsidR="002713DE" w:rsidRPr="009E6B3C">
        <w:rPr>
          <w:rFonts w:ascii="Arial" w:hAnsi="Arial" w:cs="Arial"/>
          <w:sz w:val="20"/>
          <w:szCs w:val="20"/>
        </w:rPr>
        <w:t xml:space="preserve">(compared with </w:t>
      </w:r>
      <w:r w:rsidR="00B27E43" w:rsidRPr="009E6B3C">
        <w:rPr>
          <w:rFonts w:ascii="Arial" w:hAnsi="Arial" w:cs="Arial"/>
          <w:sz w:val="20"/>
          <w:szCs w:val="20"/>
        </w:rPr>
        <w:t>75</w:t>
      </w:r>
      <w:r w:rsidR="00844C4C" w:rsidRPr="009E6B3C">
        <w:rPr>
          <w:rFonts w:ascii="Arial" w:hAnsi="Arial" w:cs="Arial"/>
          <w:sz w:val="20"/>
          <w:szCs w:val="20"/>
        </w:rPr>
        <w:t>% in 20</w:t>
      </w:r>
      <w:r w:rsidR="00B27E43" w:rsidRPr="009E6B3C">
        <w:rPr>
          <w:rFonts w:ascii="Arial" w:hAnsi="Arial" w:cs="Arial"/>
          <w:sz w:val="20"/>
          <w:szCs w:val="20"/>
        </w:rPr>
        <w:t>20/21</w:t>
      </w:r>
      <w:r w:rsidR="002713DE" w:rsidRPr="009E6B3C">
        <w:rPr>
          <w:rFonts w:ascii="Arial" w:hAnsi="Arial" w:cs="Arial"/>
          <w:sz w:val="20"/>
          <w:szCs w:val="20"/>
        </w:rPr>
        <w:t>)</w:t>
      </w:r>
      <w:r w:rsidR="002629A3" w:rsidRPr="009E6B3C">
        <w:rPr>
          <w:rFonts w:ascii="Arial" w:hAnsi="Arial" w:cs="Arial"/>
          <w:sz w:val="20"/>
          <w:szCs w:val="20"/>
        </w:rPr>
        <w:t>.</w:t>
      </w:r>
    </w:p>
    <w:p w:rsidR="002629A3" w:rsidRPr="009E6B3C" w:rsidRDefault="002629A3" w:rsidP="009E6B3C">
      <w:pPr>
        <w:pStyle w:val="BodySingle"/>
        <w:jc w:val="left"/>
        <w:rPr>
          <w:rFonts w:cs="Arial"/>
          <w:i w:val="0"/>
          <w:lang w:val="en-ZA" w:eastAsia="en-GB"/>
        </w:rPr>
      </w:pPr>
    </w:p>
    <w:p w:rsidR="00807A00" w:rsidRPr="009E6B3C" w:rsidRDefault="00807A00"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Areas of underperformance include</w:t>
      </w:r>
      <w:r w:rsidR="00BA1919" w:rsidRPr="009E6B3C">
        <w:rPr>
          <w:rFonts w:ascii="Arial" w:hAnsi="Arial" w:cs="Arial"/>
          <w:sz w:val="20"/>
          <w:szCs w:val="20"/>
        </w:rPr>
        <w:t>d</w:t>
      </w:r>
      <w:r w:rsidRPr="009E6B3C">
        <w:rPr>
          <w:rFonts w:ascii="Arial" w:hAnsi="Arial" w:cs="Arial"/>
          <w:sz w:val="20"/>
          <w:szCs w:val="20"/>
        </w:rPr>
        <w:t>:</w:t>
      </w:r>
    </w:p>
    <w:p w:rsidR="00961A09" w:rsidRPr="009E6B3C" w:rsidRDefault="00BA1919"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Percentage of Liquidation and Distribution accounts in large estates (&gt;250 000) examined within 15 days from receipt of all required document</w:t>
      </w:r>
      <w:r w:rsidR="004633EC" w:rsidRPr="009E6B3C">
        <w:rPr>
          <w:rFonts w:ascii="Arial" w:hAnsi="Arial" w:cs="Arial"/>
          <w:sz w:val="20"/>
          <w:szCs w:val="20"/>
        </w:rPr>
        <w:t xml:space="preserve"> (</w:t>
      </w:r>
      <w:r w:rsidRPr="009E6B3C">
        <w:rPr>
          <w:rFonts w:ascii="Arial" w:hAnsi="Arial" w:cs="Arial"/>
          <w:sz w:val="20"/>
          <w:szCs w:val="20"/>
        </w:rPr>
        <w:t>74% achieved against a target of 70%</w:t>
      </w:r>
      <w:r w:rsidR="004633EC" w:rsidRPr="009E6B3C">
        <w:rPr>
          <w:rFonts w:ascii="Arial" w:hAnsi="Arial" w:cs="Arial"/>
          <w:sz w:val="20"/>
          <w:szCs w:val="20"/>
        </w:rPr>
        <w:t>).</w:t>
      </w:r>
    </w:p>
    <w:p w:rsidR="00BA1919" w:rsidRPr="009E6B3C" w:rsidRDefault="00BA1919"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Number of Colonial/ Apartheid era justice-related legislation approved by the Minister for submission to Cabinet</w:t>
      </w:r>
      <w:r w:rsidR="004633EC" w:rsidRPr="009E6B3C">
        <w:rPr>
          <w:rFonts w:ascii="Arial" w:hAnsi="Arial" w:cs="Arial"/>
          <w:sz w:val="20"/>
          <w:szCs w:val="20"/>
        </w:rPr>
        <w:t xml:space="preserve"> (</w:t>
      </w:r>
      <w:r w:rsidRPr="009E6B3C">
        <w:rPr>
          <w:rFonts w:ascii="Arial" w:hAnsi="Arial" w:cs="Arial"/>
          <w:sz w:val="20"/>
          <w:szCs w:val="20"/>
          <w:lang w:val="en-US"/>
        </w:rPr>
        <w:t>1 against a target of 4.</w:t>
      </w:r>
      <w:r w:rsidR="004633EC" w:rsidRPr="009E6B3C">
        <w:rPr>
          <w:rFonts w:ascii="Arial" w:hAnsi="Arial" w:cs="Arial"/>
          <w:sz w:val="20"/>
          <w:szCs w:val="20"/>
          <w:lang w:val="en-US"/>
        </w:rPr>
        <w:t>)</w:t>
      </w:r>
    </w:p>
    <w:p w:rsidR="00BA1919" w:rsidRPr="009E6B3C" w:rsidRDefault="00961A09"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Percentage of briefs allocated to female legal practitioners</w:t>
      </w:r>
      <w:r w:rsidR="00BA1919" w:rsidRPr="009E6B3C">
        <w:rPr>
          <w:rFonts w:ascii="Arial" w:hAnsi="Arial" w:cs="Arial"/>
          <w:sz w:val="20"/>
          <w:szCs w:val="20"/>
        </w:rPr>
        <w:t xml:space="preserve"> (40% against a target of 41%).</w:t>
      </w:r>
    </w:p>
    <w:p w:rsidR="00BA1919" w:rsidRPr="009E6B3C" w:rsidRDefault="00BA1919"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Percentage of valid requests for extradition and mutual legal assistance in criminal matters processed and submitted to the Director-General within 20 days from the date of receipt</w:t>
      </w:r>
      <w:r w:rsidR="004633EC" w:rsidRPr="009E6B3C">
        <w:rPr>
          <w:rFonts w:ascii="Arial" w:hAnsi="Arial" w:cs="Arial"/>
          <w:sz w:val="20"/>
          <w:szCs w:val="20"/>
        </w:rPr>
        <w:t xml:space="preserve"> (57% against a target of 80%)</w:t>
      </w:r>
      <w:r w:rsidRPr="009E6B3C">
        <w:rPr>
          <w:rFonts w:ascii="Arial" w:hAnsi="Arial" w:cs="Arial"/>
          <w:sz w:val="20"/>
          <w:szCs w:val="20"/>
        </w:rPr>
        <w:t>.</w:t>
      </w:r>
    </w:p>
    <w:p w:rsidR="00BA1919" w:rsidRPr="009E6B3C" w:rsidRDefault="00BA1919" w:rsidP="009E6B3C">
      <w:pPr>
        <w:pStyle w:val="ListParagraph"/>
        <w:rPr>
          <w:rFonts w:ascii="Arial" w:hAnsi="Arial" w:cs="Arial"/>
          <w:sz w:val="20"/>
          <w:szCs w:val="20"/>
        </w:rPr>
      </w:pPr>
    </w:p>
    <w:p w:rsidR="00C40F6B" w:rsidRPr="009E6B3C" w:rsidRDefault="00C40F6B" w:rsidP="009E6B3C">
      <w:pPr>
        <w:pStyle w:val="ListParagraph"/>
        <w:numPr>
          <w:ilvl w:val="1"/>
          <w:numId w:val="1"/>
        </w:numPr>
        <w:ind w:left="851" w:hanging="851"/>
        <w:rPr>
          <w:rFonts w:ascii="Arial" w:hAnsi="Arial" w:cs="Arial"/>
          <w:sz w:val="20"/>
          <w:szCs w:val="20"/>
        </w:rPr>
      </w:pPr>
      <w:r w:rsidRPr="009E6B3C">
        <w:rPr>
          <w:rFonts w:ascii="Arial" w:hAnsi="Arial" w:cs="Arial"/>
          <w:b/>
          <w:i/>
          <w:sz w:val="20"/>
          <w:szCs w:val="20"/>
        </w:rPr>
        <w:t>Linking financial and non-financial performance information</w:t>
      </w:r>
      <w:r w:rsidRPr="009E6B3C">
        <w:rPr>
          <w:rFonts w:ascii="Arial" w:hAnsi="Arial" w:cs="Arial"/>
          <w:sz w:val="20"/>
          <w:szCs w:val="20"/>
        </w:rPr>
        <w:t xml:space="preserve">: </w:t>
      </w:r>
    </w:p>
    <w:p w:rsidR="00BA1919" w:rsidRPr="009E6B3C" w:rsidRDefault="004633EC"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lastRenderedPageBreak/>
        <w:t>The Programme a</w:t>
      </w:r>
      <w:r w:rsidR="00961A09" w:rsidRPr="009E6B3C">
        <w:rPr>
          <w:rFonts w:ascii="Arial" w:hAnsi="Arial" w:cs="Arial"/>
          <w:sz w:val="20"/>
          <w:szCs w:val="20"/>
        </w:rPr>
        <w:t>chieved 79% (22 out of 28) performance targets (compared to 75% in 2020/21)</w:t>
      </w:r>
      <w:r w:rsidRPr="009E6B3C">
        <w:rPr>
          <w:rFonts w:ascii="Arial" w:hAnsi="Arial" w:cs="Arial"/>
          <w:sz w:val="20"/>
          <w:szCs w:val="20"/>
        </w:rPr>
        <w:t xml:space="preserve"> and </w:t>
      </w:r>
      <w:r w:rsidR="00BA1919" w:rsidRPr="009E6B3C">
        <w:rPr>
          <w:rFonts w:ascii="Arial" w:hAnsi="Arial" w:cs="Arial"/>
          <w:sz w:val="20"/>
          <w:szCs w:val="20"/>
        </w:rPr>
        <w:t>spen</w:t>
      </w:r>
      <w:r w:rsidRPr="009E6B3C">
        <w:rPr>
          <w:rFonts w:ascii="Arial" w:hAnsi="Arial" w:cs="Arial"/>
          <w:sz w:val="20"/>
          <w:szCs w:val="20"/>
        </w:rPr>
        <w:t>t</w:t>
      </w:r>
      <w:r w:rsidR="00BA1919" w:rsidRPr="009E6B3C">
        <w:rPr>
          <w:rFonts w:ascii="Arial" w:hAnsi="Arial" w:cs="Arial"/>
          <w:sz w:val="20"/>
          <w:szCs w:val="20"/>
        </w:rPr>
        <w:t xml:space="preserve"> 94% of its budget (compared with 94.5% in 2020/21)</w:t>
      </w:r>
      <w:r w:rsidR="00961A09" w:rsidRPr="009E6B3C">
        <w:rPr>
          <w:rFonts w:ascii="Arial" w:hAnsi="Arial" w:cs="Arial"/>
          <w:sz w:val="20"/>
          <w:szCs w:val="20"/>
        </w:rPr>
        <w:t xml:space="preserve">. </w:t>
      </w:r>
    </w:p>
    <w:p w:rsidR="00534B8A" w:rsidRPr="009E6B3C" w:rsidRDefault="00534B8A" w:rsidP="009E6B3C">
      <w:pPr>
        <w:pStyle w:val="ListParagraph"/>
        <w:numPr>
          <w:ilvl w:val="0"/>
          <w:numId w:val="6"/>
        </w:numPr>
        <w:autoSpaceDE w:val="0"/>
        <w:autoSpaceDN w:val="0"/>
        <w:adjustRightInd w:val="0"/>
        <w:ind w:left="1276" w:hanging="425"/>
        <w:rPr>
          <w:rFonts w:ascii="Arial" w:hAnsi="Arial" w:cs="Arial"/>
          <w:iCs/>
          <w:sz w:val="20"/>
          <w:szCs w:val="20"/>
        </w:rPr>
      </w:pPr>
      <w:r w:rsidRPr="009E6B3C">
        <w:rPr>
          <w:rFonts w:ascii="Arial" w:hAnsi="Arial" w:cs="Arial"/>
          <w:sz w:val="20"/>
          <w:szCs w:val="20"/>
        </w:rPr>
        <w:t>The reported underspending of R84.19 million (compared to R80.1 million in 2020/21) is attributed to delays in filling vacant posts and the implementation of the youth programme; less than anticipated spending of the Information Regulator budget; and lower spending on foreign government</w:t>
      </w:r>
      <w:r w:rsidRPr="009E6B3C">
        <w:rPr>
          <w:rFonts w:ascii="Arial" w:hAnsi="Arial" w:cs="Arial"/>
          <w:iCs/>
          <w:sz w:val="20"/>
          <w:szCs w:val="20"/>
        </w:rPr>
        <w:t xml:space="preserve"> subscriptions.</w:t>
      </w:r>
    </w:p>
    <w:p w:rsidR="004633EC" w:rsidRPr="009E6B3C" w:rsidRDefault="00BA1919"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Notably, </w:t>
      </w:r>
      <w:r w:rsidR="00961A09" w:rsidRPr="009E6B3C">
        <w:rPr>
          <w:rFonts w:ascii="Arial" w:hAnsi="Arial" w:cs="Arial"/>
          <w:sz w:val="20"/>
          <w:szCs w:val="20"/>
        </w:rPr>
        <w:t xml:space="preserve">the </w:t>
      </w:r>
      <w:r w:rsidR="00323FB2" w:rsidRPr="009E6B3C">
        <w:rPr>
          <w:rFonts w:ascii="Arial" w:hAnsi="Arial" w:cs="Arial"/>
          <w:sz w:val="20"/>
          <w:szCs w:val="20"/>
        </w:rPr>
        <w:t>A</w:t>
      </w:r>
      <w:r w:rsidR="0060403C" w:rsidRPr="009E6B3C">
        <w:rPr>
          <w:rFonts w:ascii="Arial" w:hAnsi="Arial" w:cs="Arial"/>
          <w:sz w:val="20"/>
          <w:szCs w:val="20"/>
        </w:rPr>
        <w:t xml:space="preserve">uditor-General </w:t>
      </w:r>
      <w:r w:rsidR="00323FB2" w:rsidRPr="009E6B3C">
        <w:rPr>
          <w:rFonts w:ascii="Arial" w:hAnsi="Arial" w:cs="Arial"/>
          <w:sz w:val="20"/>
          <w:szCs w:val="20"/>
        </w:rPr>
        <w:t>r</w:t>
      </w:r>
      <w:r w:rsidR="00961A09" w:rsidRPr="009E6B3C">
        <w:rPr>
          <w:rFonts w:ascii="Arial" w:hAnsi="Arial" w:cs="Arial"/>
          <w:sz w:val="20"/>
          <w:szCs w:val="20"/>
        </w:rPr>
        <w:t>eports that for six indicators</w:t>
      </w:r>
      <w:r w:rsidR="001436E7" w:rsidRPr="009E6B3C">
        <w:rPr>
          <w:rFonts w:ascii="Arial" w:hAnsi="Arial" w:cs="Arial"/>
          <w:sz w:val="20"/>
          <w:szCs w:val="20"/>
        </w:rPr>
        <w:t>, the</w:t>
      </w:r>
      <w:r w:rsidR="00961A09" w:rsidRPr="009E6B3C">
        <w:rPr>
          <w:rFonts w:ascii="Arial" w:hAnsi="Arial" w:cs="Arial"/>
          <w:sz w:val="20"/>
          <w:szCs w:val="20"/>
        </w:rPr>
        <w:t xml:space="preserve"> </w:t>
      </w:r>
      <w:r w:rsidR="001436E7" w:rsidRPr="009E6B3C">
        <w:rPr>
          <w:rFonts w:ascii="Arial" w:hAnsi="Arial" w:cs="Arial"/>
          <w:sz w:val="20"/>
          <w:szCs w:val="20"/>
        </w:rPr>
        <w:t xml:space="preserve">reported </w:t>
      </w:r>
      <w:r w:rsidR="00961A09" w:rsidRPr="009E6B3C">
        <w:rPr>
          <w:rFonts w:ascii="Arial" w:hAnsi="Arial" w:cs="Arial"/>
          <w:sz w:val="20"/>
          <w:szCs w:val="20"/>
        </w:rPr>
        <w:t>achievements materially differed from the supporting evidence provided</w:t>
      </w:r>
      <w:r w:rsidR="004633EC" w:rsidRPr="009E6B3C">
        <w:rPr>
          <w:rFonts w:ascii="Arial" w:hAnsi="Arial" w:cs="Arial"/>
          <w:sz w:val="20"/>
          <w:szCs w:val="20"/>
        </w:rPr>
        <w:t xml:space="preserve"> as a result of poor record keeping in the State Attorney’s </w:t>
      </w:r>
      <w:r w:rsidR="009B7EB9" w:rsidRPr="009E6B3C">
        <w:rPr>
          <w:rFonts w:ascii="Arial" w:hAnsi="Arial" w:cs="Arial"/>
          <w:sz w:val="20"/>
          <w:szCs w:val="20"/>
        </w:rPr>
        <w:t>environment</w:t>
      </w:r>
      <w:r w:rsidR="004633EC" w:rsidRPr="009E6B3C">
        <w:rPr>
          <w:rFonts w:ascii="Arial" w:hAnsi="Arial" w:cs="Arial"/>
          <w:sz w:val="20"/>
          <w:szCs w:val="20"/>
        </w:rPr>
        <w:t>.</w:t>
      </w:r>
    </w:p>
    <w:p w:rsidR="004633EC" w:rsidRPr="009E6B3C" w:rsidRDefault="004633EC"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w:t>
      </w:r>
      <w:r w:rsidR="00323FB2" w:rsidRPr="009E6B3C">
        <w:rPr>
          <w:rFonts w:ascii="Arial" w:hAnsi="Arial" w:cs="Arial"/>
          <w:sz w:val="20"/>
          <w:szCs w:val="20"/>
        </w:rPr>
        <w:t>A</w:t>
      </w:r>
      <w:r w:rsidR="0060403C" w:rsidRPr="009E6B3C">
        <w:rPr>
          <w:rFonts w:ascii="Arial" w:hAnsi="Arial" w:cs="Arial"/>
          <w:sz w:val="20"/>
          <w:szCs w:val="20"/>
        </w:rPr>
        <w:t>uditor-General</w:t>
      </w:r>
      <w:r w:rsidRPr="009E6B3C">
        <w:rPr>
          <w:rFonts w:ascii="Arial" w:hAnsi="Arial" w:cs="Arial"/>
          <w:sz w:val="20"/>
          <w:szCs w:val="20"/>
        </w:rPr>
        <w:t xml:space="preserve"> also noted that</w:t>
      </w:r>
      <w:r w:rsidR="00534B8A" w:rsidRPr="009E6B3C">
        <w:rPr>
          <w:rFonts w:ascii="Arial" w:hAnsi="Arial" w:cs="Arial"/>
          <w:sz w:val="20"/>
          <w:szCs w:val="20"/>
        </w:rPr>
        <w:t>,</w:t>
      </w:r>
      <w:r w:rsidRPr="009E6B3C">
        <w:rPr>
          <w:rFonts w:ascii="Arial" w:hAnsi="Arial" w:cs="Arial"/>
          <w:sz w:val="20"/>
          <w:szCs w:val="20"/>
        </w:rPr>
        <w:t xml:space="preserve"> </w:t>
      </w:r>
      <w:r w:rsidR="00534B8A" w:rsidRPr="009E6B3C">
        <w:rPr>
          <w:rFonts w:ascii="Arial" w:hAnsi="Arial" w:cs="Arial"/>
          <w:sz w:val="20"/>
          <w:szCs w:val="20"/>
        </w:rPr>
        <w:t xml:space="preserve">as </w:t>
      </w:r>
      <w:r w:rsidRPr="009E6B3C">
        <w:rPr>
          <w:rFonts w:ascii="Arial" w:hAnsi="Arial" w:cs="Arial"/>
          <w:sz w:val="20"/>
          <w:szCs w:val="20"/>
        </w:rPr>
        <w:t xml:space="preserve">there is no framework for </w:t>
      </w:r>
      <w:r w:rsidR="00534B8A" w:rsidRPr="009E6B3C">
        <w:rPr>
          <w:rFonts w:ascii="Arial" w:hAnsi="Arial" w:cs="Arial"/>
          <w:sz w:val="20"/>
          <w:szCs w:val="20"/>
        </w:rPr>
        <w:t xml:space="preserve">the </w:t>
      </w:r>
      <w:r w:rsidRPr="009E6B3C">
        <w:rPr>
          <w:rFonts w:ascii="Arial" w:hAnsi="Arial" w:cs="Arial"/>
          <w:sz w:val="20"/>
          <w:szCs w:val="20"/>
        </w:rPr>
        <w:t xml:space="preserve">procurement of state legal services, </w:t>
      </w:r>
      <w:r w:rsidR="00534B8A" w:rsidRPr="009E6B3C">
        <w:rPr>
          <w:rFonts w:ascii="Arial" w:hAnsi="Arial" w:cs="Arial"/>
          <w:sz w:val="20"/>
          <w:szCs w:val="20"/>
        </w:rPr>
        <w:t xml:space="preserve">the </w:t>
      </w:r>
      <w:r w:rsidRPr="009E6B3C">
        <w:rPr>
          <w:rFonts w:ascii="Arial" w:hAnsi="Arial" w:cs="Arial"/>
          <w:sz w:val="20"/>
          <w:szCs w:val="20"/>
        </w:rPr>
        <w:t xml:space="preserve">procurement of legal services is </w:t>
      </w:r>
      <w:r w:rsidR="001436E7" w:rsidRPr="009E6B3C">
        <w:rPr>
          <w:rFonts w:ascii="Arial" w:hAnsi="Arial" w:cs="Arial"/>
          <w:sz w:val="20"/>
          <w:szCs w:val="20"/>
        </w:rPr>
        <w:t xml:space="preserve">currently </w:t>
      </w:r>
      <w:r w:rsidRPr="009E6B3C">
        <w:rPr>
          <w:rFonts w:ascii="Arial" w:hAnsi="Arial" w:cs="Arial"/>
          <w:sz w:val="20"/>
          <w:szCs w:val="20"/>
        </w:rPr>
        <w:t>not fair, transparent and equitable (as required by the Constitution) and it is not possible to tell whether the rates paid for legal services by government are economical. The lack of a procurement framework is also a challenge for the Department in planning and realising the transformation agenda.</w:t>
      </w:r>
    </w:p>
    <w:p w:rsidR="00534B8A" w:rsidRPr="009E6B3C" w:rsidRDefault="00534B8A" w:rsidP="009E6B3C">
      <w:pPr>
        <w:autoSpaceDE w:val="0"/>
        <w:autoSpaceDN w:val="0"/>
        <w:adjustRightInd w:val="0"/>
        <w:rPr>
          <w:rFonts w:ascii="Arial" w:hAnsi="Arial" w:cs="Arial"/>
          <w:sz w:val="20"/>
          <w:szCs w:val="20"/>
        </w:rPr>
      </w:pPr>
    </w:p>
    <w:p w:rsidR="00106280" w:rsidRPr="009E6B3C" w:rsidRDefault="00106280" w:rsidP="009E6B3C">
      <w:pPr>
        <w:numPr>
          <w:ilvl w:val="0"/>
          <w:numId w:val="1"/>
        </w:numPr>
        <w:tabs>
          <w:tab w:val="num" w:pos="851"/>
        </w:tabs>
        <w:ind w:left="851" w:hanging="851"/>
        <w:rPr>
          <w:rFonts w:ascii="Arial" w:hAnsi="Arial" w:cs="Arial"/>
          <w:color w:val="000000" w:themeColor="text1"/>
          <w:sz w:val="20"/>
          <w:szCs w:val="20"/>
        </w:rPr>
      </w:pPr>
      <w:r w:rsidRPr="009E6B3C">
        <w:rPr>
          <w:rFonts w:ascii="Arial" w:hAnsi="Arial" w:cs="Arial"/>
          <w:b/>
          <w:sz w:val="20"/>
          <w:szCs w:val="20"/>
        </w:rPr>
        <w:t>Programme</w:t>
      </w:r>
      <w:r w:rsidRPr="009E6B3C">
        <w:rPr>
          <w:rFonts w:ascii="Arial" w:hAnsi="Arial" w:cs="Arial"/>
          <w:b/>
          <w:color w:val="000000" w:themeColor="text1"/>
          <w:sz w:val="20"/>
          <w:szCs w:val="20"/>
        </w:rPr>
        <w:t xml:space="preserve"> 5: Auxiliary and Associated Services Programme - Justice Modernisation </w:t>
      </w:r>
      <w:r w:rsidR="00AF20E0" w:rsidRPr="009E6B3C">
        <w:rPr>
          <w:rFonts w:ascii="Arial" w:hAnsi="Arial" w:cs="Arial"/>
          <w:b/>
          <w:color w:val="000000" w:themeColor="text1"/>
          <w:sz w:val="20"/>
          <w:szCs w:val="20"/>
        </w:rPr>
        <w:t>sub-programme</w:t>
      </w:r>
      <w:r w:rsidRPr="009E6B3C">
        <w:rPr>
          <w:rFonts w:ascii="Arial" w:hAnsi="Arial" w:cs="Arial"/>
          <w:color w:val="000000" w:themeColor="text1"/>
          <w:sz w:val="20"/>
          <w:szCs w:val="20"/>
        </w:rPr>
        <w:t xml:space="preserve"> </w:t>
      </w:r>
    </w:p>
    <w:p w:rsidR="00534B8A" w:rsidRPr="009E6B3C" w:rsidRDefault="00534B8A" w:rsidP="009E6B3C">
      <w:pPr>
        <w:pStyle w:val="ListParagraph"/>
        <w:ind w:left="480"/>
        <w:contextualSpacing/>
        <w:rPr>
          <w:rFonts w:ascii="Arial" w:hAnsi="Arial" w:cs="Arial"/>
          <w:color w:val="000000" w:themeColor="text1"/>
          <w:sz w:val="20"/>
          <w:szCs w:val="20"/>
        </w:rPr>
      </w:pPr>
    </w:p>
    <w:p w:rsidR="00106280" w:rsidRPr="009E6B3C" w:rsidRDefault="00106280" w:rsidP="009E6B3C">
      <w:pPr>
        <w:pStyle w:val="ListParagraph"/>
        <w:numPr>
          <w:ilvl w:val="1"/>
          <w:numId w:val="1"/>
        </w:numPr>
        <w:ind w:left="851" w:hanging="851"/>
        <w:rPr>
          <w:rFonts w:ascii="Arial" w:hAnsi="Arial" w:cs="Arial"/>
          <w:color w:val="000000" w:themeColor="text1"/>
          <w:sz w:val="20"/>
          <w:szCs w:val="20"/>
        </w:rPr>
      </w:pPr>
      <w:r w:rsidRPr="009E6B3C">
        <w:rPr>
          <w:rFonts w:ascii="Arial" w:hAnsi="Arial" w:cs="Arial"/>
          <w:i/>
          <w:sz w:val="20"/>
          <w:szCs w:val="20"/>
        </w:rPr>
        <w:t>Programme</w:t>
      </w:r>
      <w:r w:rsidRPr="009E6B3C">
        <w:rPr>
          <w:rFonts w:ascii="Arial" w:hAnsi="Arial" w:cs="Arial"/>
          <w:color w:val="000000" w:themeColor="text1"/>
          <w:sz w:val="20"/>
          <w:szCs w:val="20"/>
        </w:rPr>
        <w:t xml:space="preserve"> 5 contains the Justice Modernisation </w:t>
      </w:r>
      <w:r w:rsidR="00AF20E0" w:rsidRPr="009E6B3C">
        <w:rPr>
          <w:rFonts w:ascii="Arial" w:hAnsi="Arial" w:cs="Arial"/>
          <w:color w:val="000000" w:themeColor="text1"/>
          <w:sz w:val="20"/>
          <w:szCs w:val="20"/>
        </w:rPr>
        <w:t>sub-programme</w:t>
      </w:r>
      <w:r w:rsidRPr="009E6B3C">
        <w:rPr>
          <w:rFonts w:ascii="Arial" w:hAnsi="Arial" w:cs="Arial"/>
          <w:color w:val="000000" w:themeColor="text1"/>
          <w:sz w:val="20"/>
          <w:szCs w:val="20"/>
        </w:rPr>
        <w:t xml:space="preserve"> which has funds for the implementation of IT infrastructure for the Department and also includes the earmarked funds for IJS integration across the Cluster.</w:t>
      </w:r>
      <w:r w:rsidR="00424E86" w:rsidRPr="009E6B3C">
        <w:rPr>
          <w:rFonts w:ascii="Arial" w:hAnsi="Arial" w:cs="Arial"/>
          <w:color w:val="000000" w:themeColor="text1"/>
          <w:sz w:val="20"/>
          <w:szCs w:val="20"/>
        </w:rPr>
        <w:t xml:space="preserve"> The Justice Modernisation sub</w:t>
      </w:r>
      <w:r w:rsidR="00012D16" w:rsidRPr="009E6B3C">
        <w:rPr>
          <w:rFonts w:ascii="Arial" w:hAnsi="Arial" w:cs="Arial"/>
          <w:color w:val="000000" w:themeColor="text1"/>
          <w:sz w:val="20"/>
          <w:szCs w:val="20"/>
        </w:rPr>
        <w:t>-</w:t>
      </w:r>
      <w:r w:rsidR="00424E86" w:rsidRPr="009E6B3C">
        <w:rPr>
          <w:rFonts w:ascii="Arial" w:hAnsi="Arial" w:cs="Arial"/>
          <w:color w:val="000000" w:themeColor="text1"/>
          <w:sz w:val="20"/>
          <w:szCs w:val="20"/>
        </w:rPr>
        <w:t xml:space="preserve">programme designs and </w:t>
      </w:r>
      <w:r w:rsidR="00BB6802" w:rsidRPr="009E6B3C">
        <w:rPr>
          <w:rFonts w:ascii="Arial" w:hAnsi="Arial" w:cs="Arial"/>
          <w:color w:val="000000" w:themeColor="text1"/>
          <w:sz w:val="20"/>
          <w:szCs w:val="20"/>
        </w:rPr>
        <w:t>i</w:t>
      </w:r>
      <w:r w:rsidR="00424E86" w:rsidRPr="009E6B3C">
        <w:rPr>
          <w:rFonts w:ascii="Arial" w:hAnsi="Arial" w:cs="Arial"/>
          <w:color w:val="000000" w:themeColor="text1"/>
          <w:sz w:val="20"/>
          <w:szCs w:val="20"/>
        </w:rPr>
        <w:t xml:space="preserve">mplements IT </w:t>
      </w:r>
      <w:r w:rsidR="00BB6802" w:rsidRPr="009E6B3C">
        <w:rPr>
          <w:rFonts w:ascii="Arial" w:hAnsi="Arial" w:cs="Arial"/>
          <w:color w:val="000000" w:themeColor="text1"/>
          <w:sz w:val="20"/>
          <w:szCs w:val="20"/>
        </w:rPr>
        <w:t>infrastructure</w:t>
      </w:r>
      <w:r w:rsidR="00424E86" w:rsidRPr="009E6B3C">
        <w:rPr>
          <w:rFonts w:ascii="Arial" w:hAnsi="Arial" w:cs="Arial"/>
          <w:color w:val="000000" w:themeColor="text1"/>
          <w:sz w:val="20"/>
          <w:szCs w:val="20"/>
        </w:rPr>
        <w:t xml:space="preserve"> and networks, reengineers, automates and integrates business processes for the admin</w:t>
      </w:r>
      <w:r w:rsidR="00BB6802" w:rsidRPr="009E6B3C">
        <w:rPr>
          <w:rFonts w:ascii="Arial" w:hAnsi="Arial" w:cs="Arial"/>
          <w:color w:val="000000" w:themeColor="text1"/>
          <w:sz w:val="20"/>
          <w:szCs w:val="20"/>
        </w:rPr>
        <w:t xml:space="preserve">istration </w:t>
      </w:r>
      <w:r w:rsidR="00424E86" w:rsidRPr="009E6B3C">
        <w:rPr>
          <w:rFonts w:ascii="Arial" w:hAnsi="Arial" w:cs="Arial"/>
          <w:color w:val="000000" w:themeColor="text1"/>
          <w:sz w:val="20"/>
          <w:szCs w:val="20"/>
        </w:rPr>
        <w:t xml:space="preserve">of civil </w:t>
      </w:r>
      <w:r w:rsidR="00BB6802" w:rsidRPr="009E6B3C">
        <w:rPr>
          <w:rFonts w:ascii="Arial" w:hAnsi="Arial" w:cs="Arial"/>
          <w:color w:val="000000" w:themeColor="text1"/>
          <w:sz w:val="20"/>
          <w:szCs w:val="20"/>
        </w:rPr>
        <w:t>a</w:t>
      </w:r>
      <w:r w:rsidR="00424E86" w:rsidRPr="009E6B3C">
        <w:rPr>
          <w:rFonts w:ascii="Arial" w:hAnsi="Arial" w:cs="Arial"/>
          <w:color w:val="000000" w:themeColor="text1"/>
          <w:sz w:val="20"/>
          <w:szCs w:val="20"/>
        </w:rPr>
        <w:t>nd criminal justice in the integrated justice system,</w:t>
      </w:r>
    </w:p>
    <w:p w:rsidR="0084099C" w:rsidRPr="009E6B3C" w:rsidRDefault="0084099C" w:rsidP="009E6B3C">
      <w:pPr>
        <w:pStyle w:val="ListParagraph"/>
        <w:autoSpaceDE w:val="0"/>
        <w:autoSpaceDN w:val="0"/>
        <w:adjustRightInd w:val="0"/>
        <w:ind w:left="851"/>
        <w:rPr>
          <w:rFonts w:ascii="Arial" w:hAnsi="Arial" w:cs="Arial"/>
          <w:color w:val="000000" w:themeColor="text1"/>
          <w:sz w:val="20"/>
          <w:szCs w:val="20"/>
        </w:rPr>
      </w:pPr>
    </w:p>
    <w:p w:rsidR="00FC13C6" w:rsidRPr="009E6B3C" w:rsidRDefault="00FC13C6"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Department is currently accountable for the overall delivery of the IJS programme and accounts for the entire IJS budget. The revised governance of the IJS programme aims at clarifying and strengthening the roles of the Director-General (DG) as the accounting officer of the programme, and that of the Minister as the executive authority of the programme</w:t>
      </w:r>
    </w:p>
    <w:p w:rsidR="00FC13C6" w:rsidRPr="009E6B3C" w:rsidRDefault="00FC13C6" w:rsidP="009E6B3C">
      <w:pPr>
        <w:pStyle w:val="ListParagraph"/>
        <w:rPr>
          <w:rFonts w:ascii="Arial" w:hAnsi="Arial" w:cs="Arial"/>
          <w:sz w:val="20"/>
          <w:szCs w:val="20"/>
        </w:rPr>
      </w:pPr>
    </w:p>
    <w:p w:rsidR="00A44544" w:rsidRPr="009E6B3C" w:rsidRDefault="00DE16A4"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w:t>
      </w:r>
      <w:r w:rsidR="007D18C1" w:rsidRPr="009E6B3C">
        <w:rPr>
          <w:rFonts w:ascii="Arial" w:hAnsi="Arial" w:cs="Arial"/>
          <w:sz w:val="20"/>
          <w:szCs w:val="20"/>
        </w:rPr>
        <w:t>he Justi</w:t>
      </w:r>
      <w:r w:rsidR="00E83A13" w:rsidRPr="009E6B3C">
        <w:rPr>
          <w:rFonts w:ascii="Arial" w:hAnsi="Arial" w:cs="Arial"/>
          <w:sz w:val="20"/>
          <w:szCs w:val="20"/>
        </w:rPr>
        <w:t>c</w:t>
      </w:r>
      <w:r w:rsidR="007D18C1" w:rsidRPr="009E6B3C">
        <w:rPr>
          <w:rFonts w:ascii="Arial" w:hAnsi="Arial" w:cs="Arial"/>
          <w:sz w:val="20"/>
          <w:szCs w:val="20"/>
        </w:rPr>
        <w:t xml:space="preserve">e Modernisation sub-programme has the </w:t>
      </w:r>
      <w:r w:rsidR="00424E86" w:rsidRPr="009E6B3C">
        <w:rPr>
          <w:rFonts w:ascii="Arial" w:hAnsi="Arial" w:cs="Arial"/>
          <w:sz w:val="20"/>
          <w:szCs w:val="20"/>
        </w:rPr>
        <w:t>following outcome: Modernised and digitised justice services platforms.</w:t>
      </w:r>
    </w:p>
    <w:p w:rsidR="00A44544" w:rsidRPr="009E6B3C" w:rsidRDefault="00A44544" w:rsidP="009E6B3C">
      <w:pPr>
        <w:pStyle w:val="ListParagraph"/>
        <w:rPr>
          <w:rFonts w:ascii="Arial" w:hAnsi="Arial" w:cs="Arial"/>
          <w:sz w:val="20"/>
          <w:szCs w:val="20"/>
        </w:rPr>
      </w:pPr>
    </w:p>
    <w:p w:rsidR="00FC13C6" w:rsidRPr="009E6B3C" w:rsidRDefault="00A44544"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The </w:t>
      </w:r>
      <w:r w:rsidR="00AF20E0" w:rsidRPr="009E6B3C">
        <w:rPr>
          <w:rFonts w:ascii="Arial" w:hAnsi="Arial" w:cs="Arial"/>
          <w:sz w:val="20"/>
          <w:szCs w:val="20"/>
        </w:rPr>
        <w:t>sub-programme</w:t>
      </w:r>
      <w:r w:rsidRPr="009E6B3C">
        <w:rPr>
          <w:rFonts w:ascii="Arial" w:hAnsi="Arial" w:cs="Arial"/>
          <w:sz w:val="20"/>
          <w:szCs w:val="20"/>
        </w:rPr>
        <w:t xml:space="preserve"> met</w:t>
      </w:r>
      <w:r w:rsidR="00F04098" w:rsidRPr="009E6B3C">
        <w:rPr>
          <w:rFonts w:ascii="Arial" w:hAnsi="Arial" w:cs="Arial"/>
          <w:sz w:val="20"/>
          <w:szCs w:val="20"/>
        </w:rPr>
        <w:t xml:space="preserve"> </w:t>
      </w:r>
      <w:r w:rsidR="00B27E43" w:rsidRPr="009E6B3C">
        <w:rPr>
          <w:rFonts w:ascii="Arial" w:hAnsi="Arial" w:cs="Arial"/>
          <w:sz w:val="20"/>
          <w:szCs w:val="20"/>
        </w:rPr>
        <w:t xml:space="preserve">100% or 3 of </w:t>
      </w:r>
      <w:r w:rsidR="00F04098" w:rsidRPr="009E6B3C">
        <w:rPr>
          <w:rFonts w:ascii="Arial" w:hAnsi="Arial" w:cs="Arial"/>
          <w:sz w:val="20"/>
          <w:szCs w:val="20"/>
        </w:rPr>
        <w:t xml:space="preserve">3 </w:t>
      </w:r>
      <w:r w:rsidR="00A5096E" w:rsidRPr="009E6B3C">
        <w:rPr>
          <w:rFonts w:ascii="Arial" w:hAnsi="Arial" w:cs="Arial"/>
          <w:sz w:val="20"/>
          <w:szCs w:val="20"/>
        </w:rPr>
        <w:t>indicators</w:t>
      </w:r>
      <w:r w:rsidR="00F04098" w:rsidRPr="009E6B3C">
        <w:rPr>
          <w:rFonts w:ascii="Arial" w:hAnsi="Arial" w:cs="Arial"/>
          <w:sz w:val="20"/>
          <w:szCs w:val="20"/>
        </w:rPr>
        <w:t xml:space="preserve"> (compared to </w:t>
      </w:r>
      <w:r w:rsidR="00B27E43" w:rsidRPr="009E6B3C">
        <w:rPr>
          <w:rFonts w:ascii="Arial" w:hAnsi="Arial" w:cs="Arial"/>
          <w:sz w:val="20"/>
          <w:szCs w:val="20"/>
        </w:rPr>
        <w:t>67% in 2020/2</w:t>
      </w:r>
      <w:r w:rsidR="00534B8A" w:rsidRPr="009E6B3C">
        <w:rPr>
          <w:rFonts w:ascii="Arial" w:hAnsi="Arial" w:cs="Arial"/>
          <w:sz w:val="20"/>
          <w:szCs w:val="20"/>
        </w:rPr>
        <w:t>1</w:t>
      </w:r>
      <w:r w:rsidR="00BB6802" w:rsidRPr="009E6B3C">
        <w:rPr>
          <w:rFonts w:ascii="Arial" w:hAnsi="Arial" w:cs="Arial"/>
          <w:sz w:val="20"/>
          <w:szCs w:val="20"/>
        </w:rPr>
        <w:t>.</w:t>
      </w:r>
      <w:r w:rsidR="001436E7" w:rsidRPr="009E6B3C">
        <w:rPr>
          <w:rFonts w:ascii="Arial" w:hAnsi="Arial" w:cs="Arial"/>
          <w:sz w:val="20"/>
          <w:szCs w:val="20"/>
        </w:rPr>
        <w:t xml:space="preserve"> </w:t>
      </w:r>
      <w:r w:rsidR="00FC13C6" w:rsidRPr="009E6B3C">
        <w:rPr>
          <w:rFonts w:ascii="Arial" w:hAnsi="Arial" w:cs="Arial"/>
          <w:sz w:val="20"/>
          <w:szCs w:val="20"/>
        </w:rPr>
        <w:t xml:space="preserve">The following achievements are reported: </w:t>
      </w:r>
    </w:p>
    <w:p w:rsidR="00FC13C6" w:rsidRPr="009E6B3C" w:rsidRDefault="00FC13C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As at 31 March 2022, ten (10) government departments/entities were connected to the IJS hub and able to electronically exchange information.</w:t>
      </w:r>
    </w:p>
    <w:p w:rsidR="00FC13C6" w:rsidRPr="009E6B3C" w:rsidRDefault="00FC13C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During 2021/22, court services and Masters related modules SMS notifications have been developed, tested and will be implemented in 2022/23.</w:t>
      </w:r>
    </w:p>
    <w:p w:rsidR="00FC13C6" w:rsidRPr="009E6B3C" w:rsidRDefault="00FC13C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The Person Identification and Verification Application (PIVA) used to check more than 122,339 accused persons, and in near real-time it was determined that over 46 479 of these individuals (38%) have prior criminal records.</w:t>
      </w:r>
    </w:p>
    <w:p w:rsidR="00FC13C6" w:rsidRPr="009E6B3C" w:rsidRDefault="00FC13C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989 246 cases were electronically processed via the IJS Transversal Hub using IJS system integrations between the SAPS, NPA and the D</w:t>
      </w:r>
      <w:r w:rsidR="00865C67" w:rsidRPr="009E6B3C">
        <w:rPr>
          <w:rFonts w:ascii="Arial" w:hAnsi="Arial" w:cs="Arial"/>
          <w:sz w:val="20"/>
          <w:szCs w:val="20"/>
        </w:rPr>
        <w:t>epartment.</w:t>
      </w:r>
    </w:p>
    <w:p w:rsidR="00FC13C6" w:rsidRPr="009E6B3C" w:rsidRDefault="00FC13C6" w:rsidP="009E6B3C">
      <w:pPr>
        <w:pStyle w:val="NormalWeb"/>
        <w:spacing w:before="0" w:after="0"/>
        <w:ind w:left="720"/>
        <w:rPr>
          <w:rFonts w:ascii="Arial" w:hAnsi="Arial" w:cs="Arial"/>
          <w:sz w:val="20"/>
          <w:szCs w:val="20"/>
        </w:rPr>
      </w:pPr>
    </w:p>
    <w:p w:rsidR="00A70190" w:rsidRPr="009E6B3C" w:rsidRDefault="00A70190"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The sub-programme spent </w:t>
      </w:r>
      <w:r w:rsidR="00590EE1" w:rsidRPr="009E6B3C">
        <w:rPr>
          <w:rFonts w:ascii="Arial" w:hAnsi="Arial" w:cs="Arial"/>
          <w:sz w:val="20"/>
          <w:szCs w:val="20"/>
        </w:rPr>
        <w:t>R</w:t>
      </w:r>
      <w:r w:rsidRPr="009E6B3C">
        <w:rPr>
          <w:rFonts w:ascii="Arial" w:hAnsi="Arial" w:cs="Arial"/>
          <w:sz w:val="20"/>
          <w:szCs w:val="20"/>
        </w:rPr>
        <w:t>575.7 million of the final allocation of R</w:t>
      </w:r>
      <w:r w:rsidR="00887C75" w:rsidRPr="009E6B3C">
        <w:rPr>
          <w:rFonts w:ascii="Arial" w:hAnsi="Arial" w:cs="Arial"/>
          <w:sz w:val="20"/>
          <w:szCs w:val="20"/>
        </w:rPr>
        <w:t>597.4</w:t>
      </w:r>
      <w:r w:rsidRPr="009E6B3C">
        <w:rPr>
          <w:rFonts w:ascii="Arial" w:hAnsi="Arial" w:cs="Arial"/>
          <w:sz w:val="20"/>
          <w:szCs w:val="20"/>
        </w:rPr>
        <w:t xml:space="preserve"> million in 2021/22. The underspending is attributed to delays in awarding the procurement of ICT licenses (Citrix and Trend) and ICT Services (ICT Central Support, Service Desk and Security Support Services)</w:t>
      </w:r>
      <w:r w:rsidR="0060403C" w:rsidRPr="009E6B3C">
        <w:rPr>
          <w:rFonts w:ascii="Arial" w:hAnsi="Arial" w:cs="Arial"/>
          <w:sz w:val="20"/>
          <w:szCs w:val="20"/>
        </w:rPr>
        <w:t>,</w:t>
      </w:r>
      <w:r w:rsidRPr="009E6B3C">
        <w:rPr>
          <w:rFonts w:ascii="Arial" w:hAnsi="Arial" w:cs="Arial"/>
          <w:sz w:val="20"/>
          <w:szCs w:val="20"/>
        </w:rPr>
        <w:t xml:space="preserve"> as well as the underperformance of IJS/CJS (Transversal).</w:t>
      </w:r>
    </w:p>
    <w:p w:rsidR="009D3EE3" w:rsidRPr="009E6B3C" w:rsidRDefault="009D3EE3" w:rsidP="009E6B3C">
      <w:pPr>
        <w:pStyle w:val="ListParagraph"/>
        <w:ind w:left="851"/>
        <w:rPr>
          <w:rFonts w:ascii="Arial" w:hAnsi="Arial" w:cs="Arial"/>
          <w:sz w:val="20"/>
          <w:szCs w:val="20"/>
        </w:rPr>
      </w:pPr>
    </w:p>
    <w:p w:rsidR="00887C75" w:rsidRPr="009E6B3C" w:rsidRDefault="00255735" w:rsidP="009E6B3C">
      <w:pPr>
        <w:rPr>
          <w:rFonts w:ascii="Arial" w:hAnsi="Arial" w:cs="Arial"/>
          <w:b/>
          <w:i/>
          <w:sz w:val="20"/>
          <w:szCs w:val="20"/>
        </w:rPr>
      </w:pPr>
      <w:r w:rsidRPr="009E6B3C">
        <w:rPr>
          <w:rFonts w:ascii="Arial" w:hAnsi="Arial" w:cs="Arial"/>
          <w:b/>
          <w:i/>
          <w:sz w:val="20"/>
          <w:szCs w:val="20"/>
        </w:rPr>
        <w:t xml:space="preserve">Table </w:t>
      </w:r>
      <w:r w:rsidR="00012D16" w:rsidRPr="009E6B3C">
        <w:rPr>
          <w:rFonts w:ascii="Arial" w:hAnsi="Arial" w:cs="Arial"/>
          <w:b/>
          <w:i/>
          <w:sz w:val="20"/>
          <w:szCs w:val="20"/>
        </w:rPr>
        <w:t>12</w:t>
      </w:r>
      <w:r w:rsidRPr="009E6B3C">
        <w:rPr>
          <w:rFonts w:ascii="Arial" w:hAnsi="Arial" w:cs="Arial"/>
          <w:b/>
          <w:i/>
          <w:sz w:val="20"/>
          <w:szCs w:val="20"/>
        </w:rPr>
        <w:t xml:space="preserve">: </w:t>
      </w:r>
      <w:r w:rsidR="009D3EE3" w:rsidRPr="009E6B3C">
        <w:rPr>
          <w:rFonts w:ascii="Arial" w:hAnsi="Arial" w:cs="Arial"/>
          <w:b/>
          <w:i/>
          <w:sz w:val="20"/>
          <w:szCs w:val="20"/>
        </w:rPr>
        <w:t xml:space="preserve">Appropriation and expenditure 2020/21-2021/22 </w:t>
      </w:r>
    </w:p>
    <w:tbl>
      <w:tblPr>
        <w:tblStyle w:val="TableGrid"/>
        <w:tblW w:w="0" w:type="auto"/>
        <w:shd w:val="clear" w:color="auto" w:fill="FFFFFF" w:themeFill="background1"/>
        <w:tblLook w:val="04A0"/>
      </w:tblPr>
      <w:tblGrid>
        <w:gridCol w:w="939"/>
        <w:gridCol w:w="1192"/>
        <w:gridCol w:w="1294"/>
        <w:gridCol w:w="1450"/>
        <w:gridCol w:w="973"/>
        <w:gridCol w:w="1473"/>
        <w:gridCol w:w="1522"/>
        <w:gridCol w:w="784"/>
      </w:tblGrid>
      <w:tr w:rsidR="00880CCF" w:rsidRPr="009E6B3C" w:rsidTr="00880CCF">
        <w:trPr>
          <w:trHeight w:val="832"/>
        </w:trPr>
        <w:tc>
          <w:tcPr>
            <w:tcW w:w="0" w:type="auto"/>
            <w:vMerge w:val="restart"/>
            <w:shd w:val="clear" w:color="auto" w:fill="D9D9D9" w:themeFill="background1" w:themeFillShade="D9"/>
          </w:tcPr>
          <w:p w:rsidR="00880CCF" w:rsidRPr="009E6B3C" w:rsidRDefault="00490485"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year</w:t>
            </w:r>
          </w:p>
        </w:tc>
        <w:tc>
          <w:tcPr>
            <w:tcW w:w="0" w:type="auto"/>
            <w:gridSpan w:val="4"/>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Appropriation</w:t>
            </w:r>
          </w:p>
        </w:tc>
        <w:tc>
          <w:tcPr>
            <w:tcW w:w="0" w:type="auto"/>
            <w:gridSpan w:val="3"/>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Expediture</w:t>
            </w:r>
          </w:p>
        </w:tc>
      </w:tr>
      <w:tr w:rsidR="00880CCF" w:rsidRPr="009E6B3C" w:rsidTr="00880CCF">
        <w:trPr>
          <w:trHeight w:val="832"/>
        </w:trPr>
        <w:tc>
          <w:tcPr>
            <w:tcW w:w="0" w:type="auto"/>
            <w:vMerge/>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p>
        </w:tc>
        <w:tc>
          <w:tcPr>
            <w:tcW w:w="0" w:type="auto"/>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Main</w:t>
            </w:r>
          </w:p>
        </w:tc>
        <w:tc>
          <w:tcPr>
            <w:tcW w:w="0" w:type="auto"/>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Adjusted</w:t>
            </w:r>
          </w:p>
        </w:tc>
        <w:tc>
          <w:tcPr>
            <w:tcW w:w="0" w:type="auto"/>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Virement</w:t>
            </w:r>
          </w:p>
        </w:tc>
        <w:tc>
          <w:tcPr>
            <w:tcW w:w="0" w:type="auto"/>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Final</w:t>
            </w:r>
          </w:p>
        </w:tc>
        <w:tc>
          <w:tcPr>
            <w:tcW w:w="0" w:type="auto"/>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Actual</w:t>
            </w:r>
          </w:p>
          <w:p w:rsidR="00880CCF" w:rsidRPr="009E6B3C" w:rsidRDefault="00880CCF" w:rsidP="009E6B3C">
            <w:pPr>
              <w:rPr>
                <w:rFonts w:ascii="Arial" w:hAnsi="Arial" w:cs="Arial"/>
                <w:b/>
                <w:caps/>
                <w:color w:val="000000" w:themeColor="text1"/>
                <w:sz w:val="20"/>
                <w:szCs w:val="20"/>
                <w:lang w:eastAsia="en-ZA"/>
              </w:rPr>
            </w:pPr>
          </w:p>
        </w:tc>
        <w:tc>
          <w:tcPr>
            <w:tcW w:w="0" w:type="auto"/>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Variance</w:t>
            </w:r>
          </w:p>
        </w:tc>
        <w:tc>
          <w:tcPr>
            <w:tcW w:w="0" w:type="auto"/>
            <w:shd w:val="clear" w:color="auto" w:fill="D9D9D9" w:themeFill="background1" w:themeFillShade="D9"/>
          </w:tcPr>
          <w:p w:rsidR="00880CCF" w:rsidRPr="009E6B3C" w:rsidRDefault="00880CCF" w:rsidP="009E6B3C">
            <w:pPr>
              <w:rPr>
                <w:rFonts w:ascii="Arial" w:hAnsi="Arial" w:cs="Arial"/>
                <w:b/>
                <w:caps/>
                <w:color w:val="000000" w:themeColor="text1"/>
                <w:sz w:val="20"/>
                <w:szCs w:val="20"/>
                <w:lang w:eastAsia="en-ZA"/>
              </w:rPr>
            </w:pPr>
            <w:r w:rsidRPr="009E6B3C">
              <w:rPr>
                <w:rFonts w:ascii="Arial" w:hAnsi="Arial" w:cs="Arial"/>
                <w:b/>
                <w:caps/>
                <w:color w:val="000000" w:themeColor="text1"/>
                <w:sz w:val="20"/>
                <w:szCs w:val="20"/>
                <w:lang w:eastAsia="en-ZA"/>
              </w:rPr>
              <w:t>%</w:t>
            </w:r>
          </w:p>
        </w:tc>
      </w:tr>
      <w:tr w:rsidR="00880CCF" w:rsidRPr="009E6B3C" w:rsidTr="00880CCF">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2020/21</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R1.22 billion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R1.03</w:t>
            </w:r>
          </w:p>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billion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(R345 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R690.88</w:t>
            </w:r>
          </w:p>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R478.86</w:t>
            </w:r>
          </w:p>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R212.01 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69.3%</w:t>
            </w:r>
          </w:p>
        </w:tc>
      </w:tr>
      <w:tr w:rsidR="00880CCF" w:rsidRPr="009E6B3C" w:rsidTr="00880CCF">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2021/22</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R1.15 billion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R621.1</w:t>
            </w:r>
          </w:p>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(R23.7 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R597.38</w:t>
            </w:r>
          </w:p>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R575.67 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R21.71 million</w:t>
            </w:r>
          </w:p>
        </w:tc>
        <w:tc>
          <w:tcPr>
            <w:tcW w:w="0" w:type="auto"/>
            <w:shd w:val="clear" w:color="auto" w:fill="FFFFFF" w:themeFill="background1"/>
          </w:tcPr>
          <w:p w:rsidR="00880CCF" w:rsidRPr="009E6B3C" w:rsidRDefault="00880CCF" w:rsidP="009E6B3C">
            <w:pPr>
              <w:rPr>
                <w:rFonts w:ascii="Arial" w:hAnsi="Arial" w:cs="Arial"/>
                <w:color w:val="000000" w:themeColor="text1"/>
                <w:sz w:val="20"/>
                <w:szCs w:val="20"/>
                <w:lang w:eastAsia="en-ZA"/>
              </w:rPr>
            </w:pPr>
            <w:r w:rsidRPr="009E6B3C">
              <w:rPr>
                <w:rFonts w:ascii="Arial" w:hAnsi="Arial" w:cs="Arial"/>
                <w:color w:val="000000" w:themeColor="text1"/>
                <w:sz w:val="20"/>
                <w:szCs w:val="20"/>
                <w:lang w:eastAsia="en-ZA"/>
              </w:rPr>
              <w:t>96.4%</w:t>
            </w:r>
          </w:p>
        </w:tc>
      </w:tr>
    </w:tbl>
    <w:p w:rsidR="00887C75" w:rsidRPr="009E6B3C" w:rsidRDefault="00887C75" w:rsidP="009E6B3C">
      <w:pPr>
        <w:pStyle w:val="ListParagraph"/>
        <w:autoSpaceDE w:val="0"/>
        <w:autoSpaceDN w:val="0"/>
        <w:adjustRightInd w:val="0"/>
        <w:ind w:left="851"/>
        <w:rPr>
          <w:rFonts w:ascii="Arial" w:hAnsi="Arial" w:cs="Arial"/>
          <w:sz w:val="20"/>
          <w:szCs w:val="20"/>
        </w:rPr>
      </w:pPr>
    </w:p>
    <w:p w:rsidR="00534B8A" w:rsidRPr="009E6B3C" w:rsidRDefault="00534B8A" w:rsidP="009E6B3C">
      <w:pPr>
        <w:pStyle w:val="ListParagraph"/>
        <w:rPr>
          <w:rFonts w:ascii="Arial" w:hAnsi="Arial" w:cs="Arial"/>
          <w:sz w:val="20"/>
          <w:szCs w:val="20"/>
        </w:rPr>
      </w:pPr>
    </w:p>
    <w:p w:rsidR="001754C5" w:rsidRPr="009E6B3C" w:rsidRDefault="001754C5" w:rsidP="009E6B3C">
      <w:pPr>
        <w:pStyle w:val="ListParagraph"/>
        <w:numPr>
          <w:ilvl w:val="1"/>
          <w:numId w:val="1"/>
        </w:numPr>
        <w:ind w:left="851" w:hanging="851"/>
        <w:rPr>
          <w:rFonts w:ascii="Arial" w:hAnsi="Arial" w:cs="Arial"/>
          <w:sz w:val="20"/>
          <w:szCs w:val="20"/>
        </w:rPr>
      </w:pPr>
      <w:r w:rsidRPr="009E6B3C">
        <w:rPr>
          <w:rFonts w:ascii="Arial" w:hAnsi="Arial" w:cs="Arial"/>
          <w:b/>
          <w:i/>
          <w:sz w:val="20"/>
          <w:szCs w:val="20"/>
        </w:rPr>
        <w:t>Linking financial and non-financial performance information</w:t>
      </w:r>
      <w:r w:rsidRPr="009E6B3C">
        <w:rPr>
          <w:rFonts w:ascii="Arial" w:hAnsi="Arial" w:cs="Arial"/>
          <w:sz w:val="20"/>
          <w:szCs w:val="20"/>
        </w:rPr>
        <w:t xml:space="preserve">: </w:t>
      </w:r>
    </w:p>
    <w:p w:rsidR="00FC13C6" w:rsidRPr="009E6B3C" w:rsidRDefault="00887C75"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T</w:t>
      </w:r>
      <w:r w:rsidR="001754C5" w:rsidRPr="009E6B3C">
        <w:rPr>
          <w:rFonts w:ascii="Arial" w:hAnsi="Arial" w:cs="Arial"/>
          <w:sz w:val="20"/>
          <w:szCs w:val="20"/>
        </w:rPr>
        <w:t>he sub</w:t>
      </w:r>
      <w:r w:rsidR="00012D16" w:rsidRPr="009E6B3C">
        <w:rPr>
          <w:rFonts w:ascii="Arial" w:hAnsi="Arial" w:cs="Arial"/>
          <w:sz w:val="20"/>
          <w:szCs w:val="20"/>
        </w:rPr>
        <w:t>-</w:t>
      </w:r>
      <w:r w:rsidR="001754C5" w:rsidRPr="009E6B3C">
        <w:rPr>
          <w:rFonts w:ascii="Arial" w:hAnsi="Arial" w:cs="Arial"/>
          <w:sz w:val="20"/>
          <w:szCs w:val="20"/>
        </w:rPr>
        <w:t>programme met all targets while spending all but R</w:t>
      </w:r>
      <w:r w:rsidR="00590EE1" w:rsidRPr="009E6B3C">
        <w:rPr>
          <w:rFonts w:ascii="Arial" w:hAnsi="Arial" w:cs="Arial"/>
          <w:sz w:val="20"/>
          <w:szCs w:val="20"/>
        </w:rPr>
        <w:t>21.7</w:t>
      </w:r>
      <w:r w:rsidR="001754C5" w:rsidRPr="009E6B3C">
        <w:rPr>
          <w:rFonts w:ascii="Arial" w:hAnsi="Arial" w:cs="Arial"/>
          <w:sz w:val="20"/>
          <w:szCs w:val="20"/>
        </w:rPr>
        <w:t xml:space="preserve"> mill</w:t>
      </w:r>
      <w:r w:rsidRPr="009E6B3C">
        <w:rPr>
          <w:rFonts w:ascii="Arial" w:hAnsi="Arial" w:cs="Arial"/>
          <w:sz w:val="20"/>
          <w:szCs w:val="20"/>
        </w:rPr>
        <w:t xml:space="preserve">ion of the allocated budget. </w:t>
      </w:r>
    </w:p>
    <w:p w:rsidR="00887C75" w:rsidRPr="009E6B3C" w:rsidRDefault="00887C75"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However, </w:t>
      </w:r>
      <w:r w:rsidR="00590EE1" w:rsidRPr="009E6B3C">
        <w:rPr>
          <w:rFonts w:ascii="Arial" w:hAnsi="Arial" w:cs="Arial"/>
          <w:sz w:val="20"/>
          <w:szCs w:val="20"/>
        </w:rPr>
        <w:t>although</w:t>
      </w:r>
      <w:r w:rsidRPr="009E6B3C">
        <w:rPr>
          <w:rFonts w:ascii="Arial" w:hAnsi="Arial" w:cs="Arial"/>
          <w:sz w:val="20"/>
          <w:szCs w:val="20"/>
        </w:rPr>
        <w:t xml:space="preserve"> </w:t>
      </w:r>
      <w:r w:rsidR="00490485" w:rsidRPr="009E6B3C">
        <w:rPr>
          <w:rFonts w:ascii="Arial" w:hAnsi="Arial" w:cs="Arial"/>
          <w:sz w:val="20"/>
          <w:szCs w:val="20"/>
        </w:rPr>
        <w:t xml:space="preserve">the </w:t>
      </w:r>
      <w:r w:rsidRPr="009E6B3C">
        <w:rPr>
          <w:rFonts w:ascii="Arial" w:hAnsi="Arial" w:cs="Arial"/>
          <w:sz w:val="20"/>
          <w:szCs w:val="20"/>
        </w:rPr>
        <w:t>sub</w:t>
      </w:r>
      <w:r w:rsidR="00FC13C6" w:rsidRPr="009E6B3C">
        <w:rPr>
          <w:rFonts w:ascii="Arial" w:hAnsi="Arial" w:cs="Arial"/>
          <w:sz w:val="20"/>
          <w:szCs w:val="20"/>
        </w:rPr>
        <w:t>-</w:t>
      </w:r>
      <w:r w:rsidRPr="009E6B3C">
        <w:rPr>
          <w:rFonts w:ascii="Arial" w:hAnsi="Arial" w:cs="Arial"/>
          <w:sz w:val="20"/>
          <w:szCs w:val="20"/>
        </w:rPr>
        <w:t>programme was allocated R1.15 billion in the Main Appropriation</w:t>
      </w:r>
      <w:r w:rsidR="00590EE1" w:rsidRPr="009E6B3C">
        <w:rPr>
          <w:rFonts w:ascii="Arial" w:hAnsi="Arial" w:cs="Arial"/>
          <w:sz w:val="20"/>
          <w:szCs w:val="20"/>
        </w:rPr>
        <w:t>, this</w:t>
      </w:r>
      <w:r w:rsidRPr="009E6B3C">
        <w:rPr>
          <w:rFonts w:ascii="Arial" w:hAnsi="Arial" w:cs="Arial"/>
          <w:sz w:val="20"/>
          <w:szCs w:val="20"/>
        </w:rPr>
        <w:t xml:space="preserve"> </w:t>
      </w:r>
      <w:r w:rsidR="00FC13C6" w:rsidRPr="009E6B3C">
        <w:rPr>
          <w:rFonts w:ascii="Arial" w:hAnsi="Arial" w:cs="Arial"/>
          <w:sz w:val="20"/>
          <w:szCs w:val="20"/>
        </w:rPr>
        <w:t xml:space="preserve">amount </w:t>
      </w:r>
      <w:r w:rsidRPr="009E6B3C">
        <w:rPr>
          <w:rFonts w:ascii="Arial" w:hAnsi="Arial" w:cs="Arial"/>
          <w:sz w:val="20"/>
          <w:szCs w:val="20"/>
        </w:rPr>
        <w:t xml:space="preserve">was adjusted </w:t>
      </w:r>
      <w:r w:rsidR="00FC13C6" w:rsidRPr="009E6B3C">
        <w:rPr>
          <w:rFonts w:ascii="Arial" w:hAnsi="Arial" w:cs="Arial"/>
          <w:sz w:val="20"/>
          <w:szCs w:val="20"/>
        </w:rPr>
        <w:t xml:space="preserve">downwards </w:t>
      </w:r>
      <w:r w:rsidRPr="009E6B3C">
        <w:rPr>
          <w:rFonts w:ascii="Arial" w:hAnsi="Arial" w:cs="Arial"/>
          <w:sz w:val="20"/>
          <w:szCs w:val="20"/>
        </w:rPr>
        <w:t>to R621.1 million</w:t>
      </w:r>
      <w:r w:rsidR="00FC13C6" w:rsidRPr="009E6B3C">
        <w:rPr>
          <w:rFonts w:ascii="Arial" w:hAnsi="Arial" w:cs="Arial"/>
          <w:sz w:val="20"/>
          <w:szCs w:val="20"/>
        </w:rPr>
        <w:t xml:space="preserve"> </w:t>
      </w:r>
      <w:r w:rsidR="00590EE1" w:rsidRPr="009E6B3C">
        <w:rPr>
          <w:rFonts w:ascii="Arial" w:hAnsi="Arial" w:cs="Arial"/>
          <w:sz w:val="20"/>
          <w:szCs w:val="20"/>
        </w:rPr>
        <w:t xml:space="preserve">and there was </w:t>
      </w:r>
      <w:r w:rsidR="00FC13C6" w:rsidRPr="009E6B3C">
        <w:rPr>
          <w:rFonts w:ascii="Arial" w:hAnsi="Arial" w:cs="Arial"/>
          <w:sz w:val="20"/>
          <w:szCs w:val="20"/>
        </w:rPr>
        <w:t>a</w:t>
      </w:r>
      <w:r w:rsidR="00590EE1" w:rsidRPr="009E6B3C">
        <w:rPr>
          <w:rFonts w:ascii="Arial" w:hAnsi="Arial" w:cs="Arial"/>
          <w:sz w:val="20"/>
          <w:szCs w:val="20"/>
        </w:rPr>
        <w:t xml:space="preserve">n additional </w:t>
      </w:r>
      <w:r w:rsidR="00FC13C6" w:rsidRPr="009E6B3C">
        <w:rPr>
          <w:rFonts w:ascii="Arial" w:hAnsi="Arial" w:cs="Arial"/>
          <w:i/>
          <w:sz w:val="20"/>
          <w:szCs w:val="20"/>
        </w:rPr>
        <w:t>virement</w:t>
      </w:r>
      <w:r w:rsidR="00FC13C6" w:rsidRPr="009E6B3C">
        <w:rPr>
          <w:rFonts w:ascii="Arial" w:hAnsi="Arial" w:cs="Arial"/>
          <w:sz w:val="20"/>
          <w:szCs w:val="20"/>
        </w:rPr>
        <w:t xml:space="preserve"> of </w:t>
      </w:r>
      <w:r w:rsidR="00590EE1" w:rsidRPr="009E6B3C">
        <w:rPr>
          <w:rFonts w:ascii="Arial" w:hAnsi="Arial" w:cs="Arial"/>
          <w:sz w:val="20"/>
          <w:szCs w:val="20"/>
        </w:rPr>
        <w:t>-</w:t>
      </w:r>
      <w:r w:rsidR="00FC13C6" w:rsidRPr="009E6B3C">
        <w:rPr>
          <w:rFonts w:ascii="Arial" w:hAnsi="Arial" w:cs="Arial"/>
          <w:sz w:val="20"/>
          <w:szCs w:val="20"/>
        </w:rPr>
        <w:t xml:space="preserve">R23.7 million. The </w:t>
      </w:r>
      <w:r w:rsidRPr="009E6B3C">
        <w:rPr>
          <w:rFonts w:ascii="Arial" w:hAnsi="Arial" w:cs="Arial"/>
          <w:sz w:val="20"/>
          <w:szCs w:val="20"/>
        </w:rPr>
        <w:t>final allocation to the sub</w:t>
      </w:r>
      <w:r w:rsidR="00012D16" w:rsidRPr="009E6B3C">
        <w:rPr>
          <w:rFonts w:ascii="Arial" w:hAnsi="Arial" w:cs="Arial"/>
          <w:sz w:val="20"/>
          <w:szCs w:val="20"/>
        </w:rPr>
        <w:t>-</w:t>
      </w:r>
      <w:r w:rsidRPr="009E6B3C">
        <w:rPr>
          <w:rFonts w:ascii="Arial" w:hAnsi="Arial" w:cs="Arial"/>
          <w:sz w:val="20"/>
          <w:szCs w:val="20"/>
        </w:rPr>
        <w:t>programme was R597.4 million.</w:t>
      </w:r>
      <w:r w:rsidR="00FC13C6" w:rsidRPr="009E6B3C">
        <w:rPr>
          <w:rFonts w:ascii="Arial" w:hAnsi="Arial" w:cs="Arial"/>
          <w:sz w:val="20"/>
          <w:szCs w:val="20"/>
        </w:rPr>
        <w:t xml:space="preserve"> Notably, i</w:t>
      </w:r>
      <w:r w:rsidRPr="009E6B3C">
        <w:rPr>
          <w:rFonts w:ascii="Arial" w:hAnsi="Arial" w:cs="Arial"/>
          <w:sz w:val="20"/>
          <w:szCs w:val="20"/>
        </w:rPr>
        <w:t>n October 2021</w:t>
      </w:r>
      <w:r w:rsidR="00FC13C6" w:rsidRPr="009E6B3C">
        <w:rPr>
          <w:rFonts w:ascii="Arial" w:hAnsi="Arial" w:cs="Arial"/>
          <w:sz w:val="20"/>
          <w:szCs w:val="20"/>
        </w:rPr>
        <w:t>,</w:t>
      </w:r>
      <w:r w:rsidRPr="009E6B3C">
        <w:rPr>
          <w:rFonts w:ascii="Arial" w:hAnsi="Arial" w:cs="Arial"/>
          <w:sz w:val="20"/>
          <w:szCs w:val="20"/>
        </w:rPr>
        <w:t xml:space="preserve"> R421.</w:t>
      </w:r>
      <w:r w:rsidR="00FC13C6" w:rsidRPr="009E6B3C">
        <w:rPr>
          <w:rFonts w:ascii="Arial" w:hAnsi="Arial" w:cs="Arial"/>
          <w:sz w:val="20"/>
          <w:szCs w:val="20"/>
        </w:rPr>
        <w:t>9</w:t>
      </w:r>
      <w:r w:rsidRPr="009E6B3C">
        <w:rPr>
          <w:rFonts w:ascii="Arial" w:hAnsi="Arial" w:cs="Arial"/>
          <w:sz w:val="20"/>
          <w:szCs w:val="20"/>
        </w:rPr>
        <w:t xml:space="preserve"> million was reallocated from the Justice modernisation program to the Administration programme for ICT maintenance</w:t>
      </w:r>
      <w:r w:rsidR="00FC13C6" w:rsidRPr="009E6B3C">
        <w:rPr>
          <w:rFonts w:ascii="Arial" w:hAnsi="Arial" w:cs="Arial"/>
          <w:sz w:val="20"/>
          <w:szCs w:val="20"/>
        </w:rPr>
        <w:t>.</w:t>
      </w:r>
    </w:p>
    <w:p w:rsidR="00AB3530" w:rsidRPr="009E6B3C" w:rsidRDefault="00FC13C6"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w:t>
      </w:r>
      <w:r w:rsidR="001754C5" w:rsidRPr="009E6B3C">
        <w:rPr>
          <w:rFonts w:ascii="Arial" w:hAnsi="Arial" w:cs="Arial"/>
          <w:sz w:val="20"/>
          <w:szCs w:val="20"/>
        </w:rPr>
        <w:t>A</w:t>
      </w:r>
      <w:r w:rsidR="00AB3530" w:rsidRPr="009E6B3C">
        <w:rPr>
          <w:rFonts w:ascii="Arial" w:hAnsi="Arial" w:cs="Arial"/>
          <w:sz w:val="20"/>
          <w:szCs w:val="20"/>
        </w:rPr>
        <w:t xml:space="preserve">uditor-General found that the goal to fully modernise the Criminal Justice System (CJS) has not been fully realised in line with resources and investments made over the years. A total of R8.65 billion has been allocated to fund the IJS programme from inception to date, while total expenditure is R7.84 billion. </w:t>
      </w:r>
    </w:p>
    <w:p w:rsidR="00553738" w:rsidRPr="009E6B3C" w:rsidRDefault="00553738" w:rsidP="009E6B3C">
      <w:pPr>
        <w:pStyle w:val="ListParagraph"/>
        <w:rPr>
          <w:rFonts w:ascii="Arial" w:hAnsi="Arial" w:cs="Arial"/>
          <w:sz w:val="20"/>
          <w:szCs w:val="20"/>
        </w:rPr>
      </w:pPr>
    </w:p>
    <w:p w:rsidR="00AD0A0B" w:rsidRPr="009E6B3C" w:rsidRDefault="00AD0A0B" w:rsidP="009E6B3C">
      <w:pPr>
        <w:pStyle w:val="ListParagraph"/>
        <w:rPr>
          <w:rFonts w:ascii="Arial" w:hAnsi="Arial" w:cs="Arial"/>
          <w:sz w:val="20"/>
          <w:szCs w:val="20"/>
        </w:rPr>
      </w:pPr>
    </w:p>
    <w:p w:rsidR="00B22C92" w:rsidRPr="009E6B3C" w:rsidRDefault="00B22C92" w:rsidP="009E6B3C">
      <w:pPr>
        <w:pStyle w:val="BodySingle"/>
        <w:numPr>
          <w:ilvl w:val="0"/>
          <w:numId w:val="1"/>
        </w:numPr>
        <w:tabs>
          <w:tab w:val="num" w:pos="851"/>
        </w:tabs>
        <w:ind w:left="851" w:hanging="851"/>
        <w:jc w:val="left"/>
        <w:rPr>
          <w:rFonts w:cs="Arial"/>
          <w:b/>
          <w:i w:val="0"/>
          <w:color w:val="000000" w:themeColor="text1"/>
          <w:lang w:val="en-ZA" w:eastAsia="en-GB"/>
        </w:rPr>
      </w:pPr>
      <w:r w:rsidRPr="009E6B3C">
        <w:rPr>
          <w:rFonts w:cs="Arial"/>
          <w:b/>
          <w:i w:val="0"/>
          <w:color w:val="000000" w:themeColor="text1"/>
          <w:lang w:val="en-ZA" w:eastAsia="en-GB"/>
        </w:rPr>
        <w:t>Information Regulator</w:t>
      </w:r>
    </w:p>
    <w:p w:rsidR="00B22C92" w:rsidRPr="009E6B3C" w:rsidRDefault="00B22C92" w:rsidP="009E6B3C">
      <w:pPr>
        <w:ind w:left="862"/>
        <w:rPr>
          <w:rFonts w:ascii="Arial" w:hAnsi="Arial" w:cs="Arial"/>
          <w:sz w:val="20"/>
          <w:szCs w:val="20"/>
        </w:rPr>
      </w:pPr>
    </w:p>
    <w:p w:rsidR="00B22C92" w:rsidRPr="009E6B3C" w:rsidRDefault="00B22C92"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Information Regulator is established in terms of section 39 of the Protection of Personal Information Act, 2013, (POPIA) and has a wide range of powers and functions regarding promoting and enforcing the right to privacy.</w:t>
      </w:r>
    </w:p>
    <w:p w:rsidR="00B22C92" w:rsidRPr="009E6B3C" w:rsidRDefault="00B22C92" w:rsidP="009E6B3C">
      <w:pPr>
        <w:ind w:left="720"/>
        <w:rPr>
          <w:rFonts w:ascii="Arial" w:hAnsi="Arial" w:cs="Arial"/>
          <w:sz w:val="20"/>
          <w:szCs w:val="20"/>
        </w:rPr>
      </w:pPr>
    </w:p>
    <w:p w:rsidR="00B22C92" w:rsidRPr="009E6B3C" w:rsidRDefault="00B22C92"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POPIA also transfers certain key responsibilities concerning the Promotion of Access to Information Act, 2000, (PAIA) to the Information Regulator. These include the handling of complaints, conducting investigations, and making assessments about compliance by public and private bodies. </w:t>
      </w:r>
    </w:p>
    <w:p w:rsidR="00B22C92" w:rsidRPr="009E6B3C" w:rsidRDefault="00B22C92" w:rsidP="009E6B3C">
      <w:pPr>
        <w:autoSpaceDE w:val="0"/>
        <w:autoSpaceDN w:val="0"/>
        <w:adjustRightInd w:val="0"/>
        <w:rPr>
          <w:rFonts w:ascii="Arial" w:eastAsiaTheme="minorHAnsi" w:hAnsi="Arial" w:cs="Arial"/>
          <w:color w:val="000000"/>
          <w:sz w:val="20"/>
          <w:szCs w:val="20"/>
          <w:lang w:eastAsia="en-US"/>
        </w:rPr>
      </w:pPr>
    </w:p>
    <w:p w:rsidR="00B22C92" w:rsidRPr="009E6B3C" w:rsidRDefault="00B22C92" w:rsidP="009E6B3C">
      <w:pPr>
        <w:pStyle w:val="ListParagraph"/>
        <w:numPr>
          <w:ilvl w:val="1"/>
          <w:numId w:val="1"/>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The full enforcement powers of the Regulator, in terms of both </w:t>
      </w:r>
      <w:r w:rsidR="00880CCF" w:rsidRPr="009E6B3C">
        <w:rPr>
          <w:rFonts w:ascii="Arial" w:hAnsi="Arial" w:cs="Arial"/>
          <w:color w:val="000000" w:themeColor="text1"/>
          <w:sz w:val="20"/>
          <w:szCs w:val="20"/>
        </w:rPr>
        <w:t>PAIA</w:t>
      </w:r>
      <w:r w:rsidRPr="009E6B3C">
        <w:rPr>
          <w:rFonts w:ascii="Arial" w:hAnsi="Arial" w:cs="Arial"/>
          <w:color w:val="000000" w:themeColor="text1"/>
          <w:sz w:val="20"/>
          <w:szCs w:val="20"/>
        </w:rPr>
        <w:t xml:space="preserve"> </w:t>
      </w:r>
      <w:r w:rsidR="00880CCF" w:rsidRPr="009E6B3C">
        <w:rPr>
          <w:rFonts w:ascii="Arial" w:hAnsi="Arial" w:cs="Arial"/>
          <w:color w:val="000000" w:themeColor="text1"/>
          <w:sz w:val="20"/>
          <w:szCs w:val="20"/>
        </w:rPr>
        <w:t>and POPIA</w:t>
      </w:r>
      <w:r w:rsidRPr="009E6B3C">
        <w:rPr>
          <w:rFonts w:ascii="Arial" w:hAnsi="Arial" w:cs="Arial"/>
          <w:color w:val="000000" w:themeColor="text1"/>
          <w:sz w:val="20"/>
          <w:szCs w:val="20"/>
        </w:rPr>
        <w:t>, came into effect in the 2021/22 financial year, on 30 June 2021 and 1 July 2021, respectively.</w:t>
      </w:r>
    </w:p>
    <w:p w:rsidR="00B22C92" w:rsidRPr="009E6B3C" w:rsidRDefault="00B22C92" w:rsidP="009E6B3C">
      <w:pPr>
        <w:pStyle w:val="ListParagraph"/>
        <w:ind w:left="851"/>
        <w:rPr>
          <w:rFonts w:ascii="Arial" w:hAnsi="Arial" w:cs="Arial"/>
          <w:color w:val="000000" w:themeColor="text1"/>
          <w:sz w:val="20"/>
          <w:szCs w:val="20"/>
        </w:rPr>
      </w:pPr>
    </w:p>
    <w:p w:rsidR="00B22C92" w:rsidRPr="009E6B3C" w:rsidRDefault="00B22C92" w:rsidP="009E6B3C">
      <w:pPr>
        <w:pStyle w:val="ListParagraph"/>
        <w:numPr>
          <w:ilvl w:val="1"/>
          <w:numId w:val="1"/>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Exemptions of certain private bodies from compiling PAIA Manuals came to an end on 31 December 2021. Accordingly, effective from 1 January 2022, every public and private body is required to compile a PAIA Manual. </w:t>
      </w:r>
    </w:p>
    <w:p w:rsidR="00B22C92" w:rsidRPr="009E6B3C" w:rsidRDefault="00B22C92" w:rsidP="009E6B3C">
      <w:pPr>
        <w:pStyle w:val="ListParagraph"/>
        <w:ind w:left="851"/>
        <w:rPr>
          <w:rFonts w:ascii="Arial" w:hAnsi="Arial" w:cs="Arial"/>
          <w:color w:val="000000" w:themeColor="text1"/>
          <w:sz w:val="20"/>
          <w:szCs w:val="20"/>
        </w:rPr>
      </w:pPr>
    </w:p>
    <w:p w:rsidR="00B22C92" w:rsidRPr="009E6B3C" w:rsidRDefault="00B22C92" w:rsidP="009E6B3C">
      <w:pPr>
        <w:pStyle w:val="ListParagraph"/>
        <w:numPr>
          <w:ilvl w:val="1"/>
          <w:numId w:val="1"/>
        </w:numPr>
        <w:tabs>
          <w:tab w:val="num" w:pos="1146"/>
        </w:tabs>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The matter of </w:t>
      </w:r>
      <w:r w:rsidR="00255735" w:rsidRPr="009E6B3C">
        <w:rPr>
          <w:rFonts w:ascii="Arial" w:hAnsi="Arial" w:cs="Arial"/>
          <w:color w:val="000000" w:themeColor="text1"/>
          <w:sz w:val="20"/>
          <w:szCs w:val="20"/>
        </w:rPr>
        <w:t xml:space="preserve">the </w:t>
      </w:r>
      <w:r w:rsidRPr="009E6B3C">
        <w:rPr>
          <w:rFonts w:ascii="Arial" w:hAnsi="Arial" w:cs="Arial"/>
          <w:color w:val="000000" w:themeColor="text1"/>
          <w:sz w:val="20"/>
          <w:szCs w:val="20"/>
        </w:rPr>
        <w:t xml:space="preserve">listing the Regulator in terms of the Public Finance Management Act, 1999, is unresolved. </w:t>
      </w:r>
      <w:r w:rsidRPr="009E6B3C">
        <w:rPr>
          <w:rFonts w:ascii="Arial" w:hAnsi="Arial" w:cs="Arial"/>
          <w:color w:val="000000" w:themeColor="text1"/>
          <w:sz w:val="20"/>
          <w:szCs w:val="20"/>
          <w:lang w:val="en-US"/>
        </w:rPr>
        <w:t>The separation of the Regulator from the Department is dependent on this classification.</w:t>
      </w:r>
    </w:p>
    <w:p w:rsidR="00B22C92" w:rsidRPr="009E6B3C" w:rsidRDefault="00B22C92" w:rsidP="009E6B3C">
      <w:pPr>
        <w:pStyle w:val="ListParagraph"/>
        <w:ind w:left="851"/>
        <w:rPr>
          <w:rFonts w:ascii="Arial" w:hAnsi="Arial" w:cs="Arial"/>
          <w:color w:val="000000" w:themeColor="text1"/>
          <w:sz w:val="20"/>
          <w:szCs w:val="20"/>
        </w:rPr>
      </w:pPr>
    </w:p>
    <w:p w:rsidR="00B22C92" w:rsidRPr="009E6B3C" w:rsidRDefault="00B22C92" w:rsidP="009E6B3C">
      <w:pPr>
        <w:pStyle w:val="ListParagraph"/>
        <w:numPr>
          <w:ilvl w:val="1"/>
          <w:numId w:val="1"/>
        </w:numPr>
        <w:tabs>
          <w:tab w:val="num" w:pos="1146"/>
        </w:tabs>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Human Resources</w:t>
      </w:r>
    </w:p>
    <w:p w:rsidR="00B22C92" w:rsidRPr="009E6B3C" w:rsidRDefault="00B22C92" w:rsidP="009E6B3C">
      <w:pPr>
        <w:rPr>
          <w:rFonts w:ascii="Arial" w:hAnsi="Arial" w:cs="Arial"/>
          <w:color w:val="000000" w:themeColor="text1"/>
          <w:sz w:val="20"/>
          <w:szCs w:val="20"/>
        </w:rPr>
      </w:pPr>
    </w:p>
    <w:p w:rsidR="00B22C92" w:rsidRPr="009E6B3C" w:rsidRDefault="00B22C92" w:rsidP="009E6B3C">
      <w:pPr>
        <w:pStyle w:val="ListParagraph"/>
        <w:numPr>
          <w:ilvl w:val="2"/>
          <w:numId w:val="23"/>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During 2018/19, the Regulator approved its first organisational structure of 378 positions. This structure, which is being implemented in a phased approach. During 2021/22, the Regulator reports the following: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A total of 55 posts were filled in line with the implementation of Phase Three (3), and Phase Four (4) of the organisational structure, bringing the staff complement to 89.</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vacancy rate is 3%.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A total of 23 of 26 SMS posts are filled with a vacancy rate of 12%. In respect of key SMS positions: Mr. M Mosala, was appointed as C</w:t>
      </w:r>
      <w:r w:rsidR="00255735" w:rsidRPr="009E6B3C">
        <w:rPr>
          <w:rFonts w:ascii="Arial" w:hAnsi="Arial" w:cs="Arial"/>
          <w:sz w:val="20"/>
          <w:szCs w:val="20"/>
        </w:rPr>
        <w:t>EO</w:t>
      </w:r>
      <w:r w:rsidRPr="009E6B3C">
        <w:rPr>
          <w:rFonts w:ascii="Arial" w:hAnsi="Arial" w:cs="Arial"/>
          <w:sz w:val="20"/>
          <w:szCs w:val="20"/>
        </w:rPr>
        <w:t xml:space="preserve"> in July 2021</w:t>
      </w:r>
      <w:r w:rsidR="00255735" w:rsidRPr="009E6B3C">
        <w:rPr>
          <w:rFonts w:ascii="Arial" w:hAnsi="Arial" w:cs="Arial"/>
          <w:sz w:val="20"/>
          <w:szCs w:val="20"/>
        </w:rPr>
        <w:t xml:space="preserve"> and </w:t>
      </w:r>
      <w:r w:rsidRPr="009E6B3C">
        <w:rPr>
          <w:rFonts w:ascii="Arial" w:hAnsi="Arial" w:cs="Arial"/>
          <w:sz w:val="20"/>
          <w:szCs w:val="20"/>
        </w:rPr>
        <w:t>Ms</w:t>
      </w:r>
      <w:r w:rsidR="00255735" w:rsidRPr="009E6B3C">
        <w:rPr>
          <w:rFonts w:ascii="Arial" w:hAnsi="Arial" w:cs="Arial"/>
          <w:sz w:val="20"/>
          <w:szCs w:val="20"/>
        </w:rPr>
        <w:t>.</w:t>
      </w:r>
      <w:r w:rsidRPr="009E6B3C">
        <w:rPr>
          <w:rFonts w:ascii="Arial" w:hAnsi="Arial" w:cs="Arial"/>
          <w:sz w:val="20"/>
          <w:szCs w:val="20"/>
        </w:rPr>
        <w:t xml:space="preserve"> G</w:t>
      </w:r>
      <w:r w:rsidR="00255735" w:rsidRPr="009E6B3C">
        <w:rPr>
          <w:rFonts w:ascii="Arial" w:hAnsi="Arial" w:cs="Arial"/>
          <w:sz w:val="20"/>
          <w:szCs w:val="20"/>
        </w:rPr>
        <w:t xml:space="preserve"> </w:t>
      </w:r>
      <w:r w:rsidRPr="009E6B3C">
        <w:rPr>
          <w:rFonts w:ascii="Arial" w:hAnsi="Arial" w:cs="Arial"/>
          <w:sz w:val="20"/>
          <w:szCs w:val="20"/>
        </w:rPr>
        <w:t xml:space="preserve">Zulu was </w:t>
      </w:r>
      <w:r w:rsidRPr="009E6B3C">
        <w:rPr>
          <w:rFonts w:ascii="Arial" w:hAnsi="Arial" w:cs="Arial"/>
          <w:sz w:val="20"/>
          <w:szCs w:val="20"/>
        </w:rPr>
        <w:lastRenderedPageBreak/>
        <w:t>appointed as C</w:t>
      </w:r>
      <w:r w:rsidR="00255735" w:rsidRPr="009E6B3C">
        <w:rPr>
          <w:rFonts w:ascii="Arial" w:hAnsi="Arial" w:cs="Arial"/>
          <w:sz w:val="20"/>
          <w:szCs w:val="20"/>
        </w:rPr>
        <w:t>FO</w:t>
      </w:r>
      <w:r w:rsidRPr="009E6B3C">
        <w:rPr>
          <w:rFonts w:ascii="Arial" w:hAnsi="Arial" w:cs="Arial"/>
          <w:sz w:val="20"/>
          <w:szCs w:val="20"/>
        </w:rPr>
        <w:t xml:space="preserve"> as from July 2022. A key SMS position that remains vacant is the Executive for </w:t>
      </w:r>
      <w:r w:rsidR="00880CCF" w:rsidRPr="009E6B3C">
        <w:rPr>
          <w:rFonts w:ascii="Arial" w:hAnsi="Arial" w:cs="Arial"/>
          <w:sz w:val="20"/>
          <w:szCs w:val="20"/>
        </w:rPr>
        <w:t>POPIA.</w:t>
      </w:r>
      <w:r w:rsidRPr="009E6B3C">
        <w:rPr>
          <w:rFonts w:ascii="Arial" w:hAnsi="Arial" w:cs="Arial"/>
          <w:sz w:val="20"/>
          <w:szCs w:val="20"/>
        </w:rPr>
        <w:t xml:space="preserve"> (This post was advertised on 25 April 2022.)</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turnover rate was 20% (9 resignations).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In respect of employment equity, 54% of employees are African women but there are no employees with disabilities</w:t>
      </w:r>
      <w:r w:rsidR="00255735" w:rsidRPr="009E6B3C">
        <w:rPr>
          <w:rFonts w:ascii="Arial" w:hAnsi="Arial" w:cs="Arial"/>
          <w:sz w:val="20"/>
          <w:szCs w:val="20"/>
        </w:rPr>
        <w:t>.</w:t>
      </w:r>
      <w:r w:rsidRPr="009E6B3C">
        <w:rPr>
          <w:rFonts w:ascii="Arial" w:hAnsi="Arial" w:cs="Arial"/>
          <w:sz w:val="20"/>
          <w:szCs w:val="20"/>
        </w:rPr>
        <w:t xml:space="preserve"> (</w:t>
      </w:r>
      <w:r w:rsidR="00255735" w:rsidRPr="009E6B3C">
        <w:rPr>
          <w:rFonts w:ascii="Arial" w:hAnsi="Arial" w:cs="Arial"/>
          <w:sz w:val="20"/>
          <w:szCs w:val="20"/>
        </w:rPr>
        <w:t>T</w:t>
      </w:r>
      <w:r w:rsidRPr="009E6B3C">
        <w:rPr>
          <w:rFonts w:ascii="Arial" w:hAnsi="Arial" w:cs="Arial"/>
          <w:sz w:val="20"/>
          <w:szCs w:val="20"/>
        </w:rPr>
        <w:t>his was also the case in the previous financial year</w:t>
      </w:r>
      <w:r w:rsidR="00255735" w:rsidRPr="009E6B3C">
        <w:rPr>
          <w:rFonts w:ascii="Arial" w:hAnsi="Arial" w:cs="Arial"/>
          <w:sz w:val="20"/>
          <w:szCs w:val="20"/>
        </w:rPr>
        <w:t>.</w:t>
      </w:r>
      <w:r w:rsidRPr="009E6B3C">
        <w:rPr>
          <w:rFonts w:ascii="Arial" w:hAnsi="Arial" w:cs="Arial"/>
          <w:sz w:val="20"/>
          <w:szCs w:val="20"/>
        </w:rPr>
        <w:t xml:space="preserve">) </w:t>
      </w:r>
    </w:p>
    <w:p w:rsidR="00B22C92" w:rsidRPr="009E6B3C" w:rsidRDefault="00B22C92" w:rsidP="009E6B3C">
      <w:pPr>
        <w:rPr>
          <w:rFonts w:ascii="Arial" w:hAnsi="Arial" w:cs="Arial"/>
          <w:color w:val="000000" w:themeColor="text1"/>
          <w:sz w:val="20"/>
          <w:szCs w:val="20"/>
        </w:rPr>
      </w:pPr>
    </w:p>
    <w:p w:rsidR="00B22C92" w:rsidRPr="009E6B3C" w:rsidRDefault="00B22C92" w:rsidP="009E6B3C">
      <w:pPr>
        <w:pStyle w:val="ListParagraph"/>
        <w:numPr>
          <w:ilvl w:val="2"/>
          <w:numId w:val="23"/>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Four consultants were employed at a total cost of R431 250. 84 (This was for two projects</w:t>
      </w:r>
      <w:r w:rsidR="00255735"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the recruitment of executives (30 days) and the recruitment of employees (30 days).) </w:t>
      </w:r>
    </w:p>
    <w:p w:rsidR="00B22C92" w:rsidRPr="009E6B3C" w:rsidRDefault="00B22C92" w:rsidP="009E6B3C">
      <w:pPr>
        <w:rPr>
          <w:rFonts w:ascii="Arial" w:hAnsi="Arial" w:cs="Arial"/>
          <w:b/>
          <w:color w:val="000000" w:themeColor="text1"/>
          <w:sz w:val="20"/>
          <w:szCs w:val="20"/>
        </w:rPr>
      </w:pPr>
    </w:p>
    <w:p w:rsidR="00B22C92" w:rsidRPr="009E6B3C" w:rsidRDefault="00B22C92" w:rsidP="009E6B3C">
      <w:pPr>
        <w:pStyle w:val="ListParagraph"/>
        <w:numPr>
          <w:ilvl w:val="1"/>
          <w:numId w:val="1"/>
        </w:numPr>
        <w:tabs>
          <w:tab w:val="num" w:pos="851"/>
        </w:tabs>
        <w:ind w:left="851" w:hanging="851"/>
        <w:rPr>
          <w:rFonts w:ascii="Arial" w:hAnsi="Arial" w:cs="Arial"/>
          <w:b/>
          <w:color w:val="000000" w:themeColor="text1"/>
          <w:sz w:val="20"/>
          <w:szCs w:val="20"/>
        </w:rPr>
      </w:pPr>
      <w:r w:rsidRPr="009E6B3C">
        <w:rPr>
          <w:rFonts w:ascii="Arial" w:hAnsi="Arial" w:cs="Arial"/>
          <w:b/>
          <w:i/>
          <w:color w:val="000000" w:themeColor="text1"/>
          <w:sz w:val="20"/>
          <w:szCs w:val="20"/>
        </w:rPr>
        <w:t>ICT environment</w:t>
      </w:r>
      <w:r w:rsidRPr="009E6B3C">
        <w:rPr>
          <w:rFonts w:ascii="Arial" w:hAnsi="Arial" w:cs="Arial"/>
          <w:b/>
          <w:color w:val="000000" w:themeColor="text1"/>
          <w:sz w:val="20"/>
          <w:szCs w:val="20"/>
        </w:rPr>
        <w:t xml:space="preserve">. </w:t>
      </w:r>
      <w:r w:rsidRPr="009E6B3C">
        <w:rPr>
          <w:rFonts w:ascii="Arial" w:hAnsi="Arial" w:cs="Arial"/>
          <w:color w:val="000000" w:themeColor="text1"/>
          <w:sz w:val="20"/>
          <w:szCs w:val="20"/>
        </w:rPr>
        <w:t>The Regulator has migrated all its ICT systems from the Department’s environment. A key aspects of the ICT environment includes an Automated Complaints Management System. On 18 March 2021</w:t>
      </w:r>
      <w:r w:rsidR="00255735"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the Department issued an invitation to bid for the appointment of a suitably qualified service provider for the development, implementation, support and maintenance of a web</w:t>
      </w:r>
      <w:r w:rsidR="00255735"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based automated Complaints Management System (CMC) for the Information Regulator for a period of three years. The 2020/21 Annual Report noted delays in contracting the Automated Complaints System service provider and the Regulator then engaged with </w:t>
      </w:r>
      <w:r w:rsidR="00255735" w:rsidRPr="009E6B3C">
        <w:rPr>
          <w:rFonts w:ascii="Arial" w:hAnsi="Arial" w:cs="Arial"/>
          <w:color w:val="000000" w:themeColor="text1"/>
          <w:sz w:val="20"/>
          <w:szCs w:val="20"/>
        </w:rPr>
        <w:t>SITA</w:t>
      </w:r>
      <w:r w:rsidRPr="009E6B3C">
        <w:rPr>
          <w:rFonts w:ascii="Arial" w:hAnsi="Arial" w:cs="Arial"/>
          <w:color w:val="000000" w:themeColor="text1"/>
          <w:sz w:val="20"/>
          <w:szCs w:val="20"/>
        </w:rPr>
        <w:t>. The Regulator does not report on this item for 2021/22.</w:t>
      </w:r>
    </w:p>
    <w:p w:rsidR="00B22C92" w:rsidRPr="009E6B3C" w:rsidRDefault="00B22C92" w:rsidP="009E6B3C">
      <w:pPr>
        <w:rPr>
          <w:rFonts w:ascii="Arial" w:hAnsi="Arial" w:cs="Arial"/>
          <w:b/>
          <w:color w:val="000000" w:themeColor="text1"/>
          <w:sz w:val="20"/>
          <w:szCs w:val="20"/>
        </w:rPr>
      </w:pPr>
    </w:p>
    <w:p w:rsidR="00B22C92" w:rsidRPr="009E6B3C" w:rsidRDefault="00B22C92" w:rsidP="009E6B3C">
      <w:pPr>
        <w:pStyle w:val="ListParagraph"/>
        <w:numPr>
          <w:ilvl w:val="1"/>
          <w:numId w:val="1"/>
        </w:numPr>
        <w:tabs>
          <w:tab w:val="num" w:pos="1146"/>
        </w:tabs>
        <w:ind w:left="851" w:hanging="851"/>
        <w:rPr>
          <w:rFonts w:ascii="Arial" w:hAnsi="Arial" w:cs="Arial"/>
          <w:color w:val="000000" w:themeColor="text1"/>
          <w:sz w:val="20"/>
          <w:szCs w:val="20"/>
          <w:lang w:val="en-US"/>
        </w:rPr>
      </w:pPr>
      <w:r w:rsidRPr="009E6B3C">
        <w:rPr>
          <w:rFonts w:ascii="Arial" w:hAnsi="Arial" w:cs="Arial"/>
          <w:b/>
          <w:i/>
          <w:color w:val="000000" w:themeColor="text1"/>
          <w:sz w:val="20"/>
          <w:szCs w:val="20"/>
        </w:rPr>
        <w:t>Audit performance</w:t>
      </w:r>
      <w:r w:rsidRPr="009E6B3C">
        <w:rPr>
          <w:rFonts w:ascii="Arial" w:hAnsi="Arial" w:cs="Arial"/>
          <w:b/>
          <w:color w:val="000000" w:themeColor="text1"/>
          <w:sz w:val="20"/>
          <w:szCs w:val="20"/>
        </w:rPr>
        <w:t xml:space="preserve">: </w:t>
      </w:r>
      <w:r w:rsidRPr="009E6B3C">
        <w:rPr>
          <w:rFonts w:ascii="Arial" w:hAnsi="Arial" w:cs="Arial"/>
          <w:color w:val="000000" w:themeColor="text1"/>
          <w:sz w:val="20"/>
          <w:szCs w:val="20"/>
          <w:lang w:val="en-US"/>
        </w:rPr>
        <w:t xml:space="preserve">The Regulator did not produce </w:t>
      </w:r>
      <w:r w:rsidR="00865C67" w:rsidRPr="009E6B3C">
        <w:rPr>
          <w:rFonts w:ascii="Arial" w:hAnsi="Arial" w:cs="Arial"/>
          <w:color w:val="000000" w:themeColor="text1"/>
          <w:sz w:val="20"/>
          <w:szCs w:val="20"/>
          <w:lang w:val="en-US"/>
        </w:rPr>
        <w:t xml:space="preserve">a </w:t>
      </w:r>
      <w:r w:rsidRPr="009E6B3C">
        <w:rPr>
          <w:rFonts w:ascii="Arial" w:hAnsi="Arial" w:cs="Arial"/>
          <w:color w:val="000000" w:themeColor="text1"/>
          <w:sz w:val="20"/>
          <w:szCs w:val="20"/>
          <w:lang w:val="en-US"/>
        </w:rPr>
        <w:t>separate A</w:t>
      </w:r>
      <w:r w:rsidR="00865C67" w:rsidRPr="009E6B3C">
        <w:rPr>
          <w:rFonts w:ascii="Arial" w:hAnsi="Arial" w:cs="Arial"/>
          <w:color w:val="000000" w:themeColor="text1"/>
          <w:sz w:val="20"/>
          <w:szCs w:val="20"/>
          <w:lang w:val="en-US"/>
        </w:rPr>
        <w:t xml:space="preserve">nnual </w:t>
      </w:r>
      <w:r w:rsidR="00255735" w:rsidRPr="009E6B3C">
        <w:rPr>
          <w:rFonts w:ascii="Arial" w:hAnsi="Arial" w:cs="Arial"/>
          <w:color w:val="000000" w:themeColor="text1"/>
          <w:sz w:val="20"/>
          <w:szCs w:val="20"/>
          <w:lang w:val="en-US"/>
        </w:rPr>
        <w:t>F</w:t>
      </w:r>
      <w:r w:rsidR="00865C67" w:rsidRPr="009E6B3C">
        <w:rPr>
          <w:rFonts w:ascii="Arial" w:hAnsi="Arial" w:cs="Arial"/>
          <w:color w:val="000000" w:themeColor="text1"/>
          <w:sz w:val="20"/>
          <w:szCs w:val="20"/>
          <w:lang w:val="en-US"/>
        </w:rPr>
        <w:t xml:space="preserve">inancial </w:t>
      </w:r>
      <w:r w:rsidR="00255735" w:rsidRPr="009E6B3C">
        <w:rPr>
          <w:rFonts w:ascii="Arial" w:hAnsi="Arial" w:cs="Arial"/>
          <w:color w:val="000000" w:themeColor="text1"/>
          <w:sz w:val="20"/>
          <w:szCs w:val="20"/>
          <w:lang w:val="en-US"/>
        </w:rPr>
        <w:t>S</w:t>
      </w:r>
      <w:r w:rsidR="00865C67" w:rsidRPr="009E6B3C">
        <w:rPr>
          <w:rFonts w:ascii="Arial" w:hAnsi="Arial" w:cs="Arial"/>
          <w:color w:val="000000" w:themeColor="text1"/>
          <w:sz w:val="20"/>
          <w:szCs w:val="20"/>
          <w:lang w:val="en-US"/>
        </w:rPr>
        <w:t xml:space="preserve">tatement (AFS) </w:t>
      </w:r>
      <w:r w:rsidR="00255735" w:rsidRPr="009E6B3C">
        <w:rPr>
          <w:rFonts w:ascii="Arial" w:hAnsi="Arial" w:cs="Arial"/>
          <w:color w:val="000000" w:themeColor="text1"/>
          <w:sz w:val="20"/>
          <w:szCs w:val="20"/>
          <w:lang w:val="en-US"/>
        </w:rPr>
        <w:t xml:space="preserve"> </w:t>
      </w:r>
      <w:r w:rsidRPr="009E6B3C">
        <w:rPr>
          <w:rFonts w:ascii="Arial" w:hAnsi="Arial" w:cs="Arial"/>
          <w:color w:val="000000" w:themeColor="text1"/>
          <w:sz w:val="20"/>
          <w:szCs w:val="20"/>
          <w:lang w:val="en-US"/>
        </w:rPr>
        <w:t>for the 2021/22 financial year, as its financial records still form part of the Department’s AFS and are audited as such.</w:t>
      </w:r>
    </w:p>
    <w:p w:rsidR="00B22C92" w:rsidRPr="009E6B3C" w:rsidRDefault="00B22C92" w:rsidP="009E6B3C">
      <w:pPr>
        <w:rPr>
          <w:rFonts w:ascii="Arial" w:hAnsi="Arial" w:cs="Arial"/>
          <w:color w:val="000000" w:themeColor="text1"/>
          <w:sz w:val="20"/>
          <w:szCs w:val="20"/>
          <w:lang w:val="en-US"/>
        </w:rPr>
      </w:pPr>
    </w:p>
    <w:p w:rsidR="00B22C92" w:rsidRPr="009E6B3C" w:rsidRDefault="00B22C92" w:rsidP="009E6B3C">
      <w:pPr>
        <w:pStyle w:val="ListParagraph"/>
        <w:numPr>
          <w:ilvl w:val="1"/>
          <w:numId w:val="1"/>
        </w:numPr>
        <w:tabs>
          <w:tab w:val="num" w:pos="1146"/>
        </w:tabs>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Financial performance</w:t>
      </w:r>
      <w:r w:rsidR="00590EE1" w:rsidRPr="009E6B3C">
        <w:rPr>
          <w:rFonts w:ascii="Arial" w:hAnsi="Arial" w:cs="Arial"/>
          <w:b/>
          <w:i/>
          <w:color w:val="000000" w:themeColor="text1"/>
          <w:sz w:val="20"/>
          <w:szCs w:val="20"/>
        </w:rPr>
        <w:t xml:space="preserve"> 2021/22</w:t>
      </w:r>
    </w:p>
    <w:p w:rsidR="00B22C92" w:rsidRPr="009E6B3C" w:rsidRDefault="00B22C92" w:rsidP="009E6B3C">
      <w:pPr>
        <w:pStyle w:val="ListParagraph"/>
        <w:ind w:left="851"/>
        <w:rPr>
          <w:rFonts w:ascii="Arial" w:hAnsi="Arial" w:cs="Arial"/>
          <w:b/>
          <w:color w:val="000000" w:themeColor="text1"/>
          <w:sz w:val="20"/>
          <w:szCs w:val="20"/>
        </w:rPr>
      </w:pPr>
    </w:p>
    <w:p w:rsidR="00B22C92" w:rsidRPr="009E6B3C" w:rsidRDefault="00B22C92" w:rsidP="009E6B3C">
      <w:pPr>
        <w:pStyle w:val="ListParagraph"/>
        <w:numPr>
          <w:ilvl w:val="2"/>
          <w:numId w:val="24"/>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The Information Regulator was allocated R87.2 million for 2021/22, compared with R45 million in 2020/21. An additional R105 million was </w:t>
      </w:r>
      <w:r w:rsidR="00255735" w:rsidRPr="009E6B3C">
        <w:rPr>
          <w:rFonts w:ascii="Arial" w:hAnsi="Arial" w:cs="Arial"/>
          <w:color w:val="000000" w:themeColor="text1"/>
          <w:sz w:val="20"/>
          <w:szCs w:val="20"/>
        </w:rPr>
        <w:t xml:space="preserve">made available to </w:t>
      </w:r>
      <w:r w:rsidRPr="009E6B3C">
        <w:rPr>
          <w:rFonts w:ascii="Arial" w:hAnsi="Arial" w:cs="Arial"/>
          <w:color w:val="000000" w:themeColor="text1"/>
          <w:sz w:val="20"/>
          <w:szCs w:val="20"/>
        </w:rPr>
        <w:t>the Information Regulator over the medium term to appoint 54 new personnel to enforce compliance with the POPIA and the PAIA.</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2"/>
          <w:numId w:val="24"/>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In 2021/22, the Regulator spent R66.2 million or 76% of its allocated budget, with under-expenditure of R22.89 million. The under-expenditure was </w:t>
      </w:r>
      <w:r w:rsidR="00255735" w:rsidRPr="009E6B3C">
        <w:rPr>
          <w:rFonts w:ascii="Arial" w:hAnsi="Arial" w:cs="Arial"/>
          <w:color w:val="000000" w:themeColor="text1"/>
          <w:sz w:val="20"/>
          <w:szCs w:val="20"/>
        </w:rPr>
        <w:t>attributed to the following</w:t>
      </w:r>
      <w:r w:rsidRPr="009E6B3C">
        <w:rPr>
          <w:rFonts w:ascii="Arial" w:hAnsi="Arial" w:cs="Arial"/>
          <w:color w:val="000000" w:themeColor="text1"/>
          <w:sz w:val="20"/>
          <w:szCs w:val="20"/>
        </w:rPr>
        <w:t>:</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R15.5 million on Compensation of Employees due to delays in the appointment of employees during the first quarter of the financial year.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R3.6 million for the appointment of the </w:t>
      </w:r>
      <w:r w:rsidR="00255735" w:rsidRPr="009E6B3C">
        <w:rPr>
          <w:rFonts w:ascii="Arial" w:hAnsi="Arial" w:cs="Arial"/>
          <w:sz w:val="20"/>
          <w:szCs w:val="20"/>
        </w:rPr>
        <w:t>SITA</w:t>
      </w:r>
      <w:r w:rsidRPr="009E6B3C">
        <w:rPr>
          <w:rFonts w:ascii="Arial" w:hAnsi="Arial" w:cs="Arial"/>
          <w:sz w:val="20"/>
          <w:szCs w:val="20"/>
        </w:rPr>
        <w:t xml:space="preserve"> for the development of the hosting of the Registration Portal and moving the Regulator to the SITA VPN. This was not completed due to delays in appointing SITA for these services.</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2"/>
          <w:numId w:val="24"/>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The Regulator’s key cost drivers for 2021/22 were: R46.17 million on Compensation of Employees and R15.12 million on Goods and Services.</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1"/>
          <w:numId w:val="1"/>
        </w:numPr>
        <w:tabs>
          <w:tab w:val="num" w:pos="851"/>
        </w:tabs>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Non-financial performance</w:t>
      </w:r>
      <w:r w:rsidR="00590EE1" w:rsidRPr="009E6B3C">
        <w:rPr>
          <w:rFonts w:ascii="Arial" w:hAnsi="Arial" w:cs="Arial"/>
          <w:b/>
          <w:i/>
          <w:color w:val="000000" w:themeColor="text1"/>
          <w:sz w:val="20"/>
          <w:szCs w:val="20"/>
        </w:rPr>
        <w:t xml:space="preserve"> 2021/22</w:t>
      </w:r>
    </w:p>
    <w:p w:rsidR="00B22C92" w:rsidRPr="009E6B3C" w:rsidRDefault="00B22C92" w:rsidP="009E6B3C">
      <w:pPr>
        <w:pStyle w:val="ListParagraph"/>
        <w:ind w:left="851"/>
        <w:rPr>
          <w:rFonts w:ascii="Arial" w:hAnsi="Arial" w:cs="Arial"/>
          <w:b/>
          <w:color w:val="000000" w:themeColor="text1"/>
          <w:sz w:val="20"/>
          <w:szCs w:val="20"/>
        </w:rPr>
      </w:pPr>
    </w:p>
    <w:p w:rsidR="00B22C92" w:rsidRPr="009E6B3C" w:rsidRDefault="00B22C92" w:rsidP="009E6B3C">
      <w:pPr>
        <w:pStyle w:val="ListParagraph"/>
        <w:numPr>
          <w:ilvl w:val="2"/>
          <w:numId w:val="25"/>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The Regulator reported an overall performance of 68% (19 out of 28 indicators) for 2021/22, compared with 61% (11 out of 18 targets) in 2020/21:</w:t>
      </w:r>
    </w:p>
    <w:p w:rsidR="00255735" w:rsidRPr="009E6B3C" w:rsidRDefault="00255735" w:rsidP="009E6B3C">
      <w:pPr>
        <w:rPr>
          <w:rFonts w:ascii="Arial" w:hAnsi="Arial" w:cs="Arial"/>
          <w:color w:val="000000" w:themeColor="text1"/>
          <w:sz w:val="20"/>
          <w:szCs w:val="20"/>
        </w:rPr>
      </w:pPr>
    </w:p>
    <w:p w:rsidR="00B22C92" w:rsidRPr="009E6B3C" w:rsidRDefault="00255735" w:rsidP="009E6B3C">
      <w:pPr>
        <w:rPr>
          <w:rFonts w:ascii="Arial" w:hAnsi="Arial" w:cs="Arial"/>
          <w:b/>
          <w:i/>
          <w:color w:val="000000" w:themeColor="text1"/>
          <w:sz w:val="20"/>
          <w:szCs w:val="20"/>
        </w:rPr>
      </w:pPr>
      <w:r w:rsidRPr="009E6B3C">
        <w:rPr>
          <w:rFonts w:ascii="Arial" w:hAnsi="Arial" w:cs="Arial"/>
          <w:b/>
          <w:i/>
          <w:color w:val="000000" w:themeColor="text1"/>
          <w:sz w:val="20"/>
          <w:szCs w:val="20"/>
        </w:rPr>
        <w:t xml:space="preserve">Table </w:t>
      </w:r>
      <w:r w:rsidR="00012D16" w:rsidRPr="009E6B3C">
        <w:rPr>
          <w:rFonts w:ascii="Arial" w:hAnsi="Arial" w:cs="Arial"/>
          <w:b/>
          <w:i/>
          <w:color w:val="000000" w:themeColor="text1"/>
          <w:sz w:val="20"/>
          <w:szCs w:val="20"/>
        </w:rPr>
        <w:t>13</w:t>
      </w:r>
      <w:r w:rsidRPr="009E6B3C">
        <w:rPr>
          <w:rFonts w:ascii="Arial" w:hAnsi="Arial" w:cs="Arial"/>
          <w:b/>
          <w:i/>
          <w:color w:val="000000" w:themeColor="text1"/>
          <w:sz w:val="20"/>
          <w:szCs w:val="20"/>
        </w:rPr>
        <w:t xml:space="preserve">: </w:t>
      </w:r>
      <w:r w:rsidR="009D3EE3" w:rsidRPr="009E6B3C">
        <w:rPr>
          <w:rFonts w:ascii="Arial" w:hAnsi="Arial" w:cs="Arial"/>
          <w:b/>
          <w:i/>
          <w:color w:val="000000" w:themeColor="text1"/>
          <w:sz w:val="20"/>
          <w:szCs w:val="20"/>
        </w:rPr>
        <w:t xml:space="preserve">Information Regulator - </w:t>
      </w:r>
      <w:r w:rsidRPr="009E6B3C">
        <w:rPr>
          <w:rFonts w:ascii="Arial" w:hAnsi="Arial" w:cs="Arial"/>
          <w:b/>
          <w:i/>
          <w:color w:val="000000" w:themeColor="text1"/>
          <w:sz w:val="20"/>
          <w:szCs w:val="20"/>
        </w:rPr>
        <w:t xml:space="preserve">Programme performance </w:t>
      </w:r>
      <w:r w:rsidR="009D3EE3" w:rsidRPr="009E6B3C">
        <w:rPr>
          <w:rFonts w:ascii="Arial" w:hAnsi="Arial" w:cs="Arial"/>
          <w:b/>
          <w:i/>
          <w:color w:val="000000" w:themeColor="text1"/>
          <w:sz w:val="20"/>
          <w:szCs w:val="20"/>
        </w:rPr>
        <w:t>2021/22</w:t>
      </w:r>
    </w:p>
    <w:tbl>
      <w:tblPr>
        <w:tblStyle w:val="TableGrid"/>
        <w:tblW w:w="5000" w:type="pct"/>
        <w:tblLook w:val="04A0"/>
      </w:tblPr>
      <w:tblGrid>
        <w:gridCol w:w="3331"/>
        <w:gridCol w:w="3142"/>
        <w:gridCol w:w="3154"/>
      </w:tblGrid>
      <w:tr w:rsidR="00B22C92" w:rsidRPr="009E6B3C" w:rsidTr="00590EE1">
        <w:trPr>
          <w:tblHeader/>
        </w:trPr>
        <w:tc>
          <w:tcPr>
            <w:tcW w:w="1730" w:type="pct"/>
            <w:shd w:val="clear" w:color="auto" w:fill="D9D9D9" w:themeFill="background1" w:themeFillShade="D9"/>
          </w:tcPr>
          <w:p w:rsidR="00B22C92" w:rsidRPr="009E6B3C" w:rsidRDefault="00B22C92" w:rsidP="009E6B3C">
            <w:pPr>
              <w:pStyle w:val="ListParagraph"/>
              <w:ind w:left="0"/>
              <w:rPr>
                <w:rFonts w:ascii="Arial" w:hAnsi="Arial" w:cs="Arial"/>
                <w:b/>
                <w:caps/>
                <w:color w:val="000000" w:themeColor="text1"/>
                <w:sz w:val="20"/>
                <w:szCs w:val="20"/>
              </w:rPr>
            </w:pPr>
            <w:r w:rsidRPr="009E6B3C">
              <w:rPr>
                <w:rFonts w:ascii="Arial" w:hAnsi="Arial" w:cs="Arial"/>
                <w:b/>
                <w:caps/>
                <w:color w:val="000000" w:themeColor="text1"/>
                <w:sz w:val="20"/>
                <w:szCs w:val="20"/>
              </w:rPr>
              <w:t>Programme</w:t>
            </w:r>
          </w:p>
        </w:tc>
        <w:tc>
          <w:tcPr>
            <w:tcW w:w="1632" w:type="pct"/>
            <w:shd w:val="clear" w:color="auto" w:fill="D9D9D9" w:themeFill="background1" w:themeFillShade="D9"/>
          </w:tcPr>
          <w:p w:rsidR="00B22C92" w:rsidRPr="009E6B3C" w:rsidRDefault="00B22C92" w:rsidP="009E6B3C">
            <w:pPr>
              <w:pStyle w:val="ListParagraph"/>
              <w:ind w:left="0"/>
              <w:rPr>
                <w:rFonts w:ascii="Arial" w:hAnsi="Arial" w:cs="Arial"/>
                <w:b/>
                <w:caps/>
                <w:color w:val="000000" w:themeColor="text1"/>
                <w:sz w:val="20"/>
                <w:szCs w:val="20"/>
              </w:rPr>
            </w:pPr>
            <w:r w:rsidRPr="009E6B3C">
              <w:rPr>
                <w:rFonts w:ascii="Arial" w:hAnsi="Arial" w:cs="Arial"/>
                <w:b/>
                <w:caps/>
                <w:color w:val="000000" w:themeColor="text1"/>
                <w:sz w:val="20"/>
                <w:szCs w:val="20"/>
              </w:rPr>
              <w:t>Target</w:t>
            </w:r>
          </w:p>
        </w:tc>
        <w:tc>
          <w:tcPr>
            <w:tcW w:w="1639" w:type="pct"/>
            <w:shd w:val="clear" w:color="auto" w:fill="D9D9D9" w:themeFill="background1" w:themeFillShade="D9"/>
          </w:tcPr>
          <w:p w:rsidR="00B22C92" w:rsidRPr="009E6B3C" w:rsidRDefault="00B22C92" w:rsidP="009E6B3C">
            <w:pPr>
              <w:pStyle w:val="ListParagraph"/>
              <w:ind w:left="0"/>
              <w:rPr>
                <w:rFonts w:ascii="Arial" w:hAnsi="Arial" w:cs="Arial"/>
                <w:b/>
                <w:caps/>
                <w:color w:val="000000" w:themeColor="text1"/>
                <w:sz w:val="20"/>
                <w:szCs w:val="20"/>
              </w:rPr>
            </w:pPr>
            <w:r w:rsidRPr="009E6B3C">
              <w:rPr>
                <w:rFonts w:ascii="Arial" w:hAnsi="Arial" w:cs="Arial"/>
                <w:b/>
                <w:caps/>
                <w:color w:val="000000" w:themeColor="text1"/>
                <w:sz w:val="20"/>
                <w:szCs w:val="20"/>
              </w:rPr>
              <w:t>Actual</w:t>
            </w:r>
          </w:p>
        </w:tc>
      </w:tr>
      <w:tr w:rsidR="00B22C92" w:rsidRPr="009E6B3C" w:rsidTr="006A6DF3">
        <w:tc>
          <w:tcPr>
            <w:tcW w:w="1730"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Protection of Personal Information</w:t>
            </w:r>
          </w:p>
        </w:tc>
        <w:tc>
          <w:tcPr>
            <w:tcW w:w="1632"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7</w:t>
            </w:r>
          </w:p>
        </w:tc>
        <w:tc>
          <w:tcPr>
            <w:tcW w:w="1639" w:type="pct"/>
            <w:shd w:val="clear" w:color="auto" w:fill="D9D9D9" w:themeFill="background1" w:themeFillShade="D9"/>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1 (14%)</w:t>
            </w:r>
          </w:p>
        </w:tc>
      </w:tr>
      <w:tr w:rsidR="00B22C92" w:rsidRPr="009E6B3C" w:rsidTr="006A6DF3">
        <w:tc>
          <w:tcPr>
            <w:tcW w:w="1730"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Promotion of Access to Information</w:t>
            </w:r>
          </w:p>
        </w:tc>
        <w:tc>
          <w:tcPr>
            <w:tcW w:w="1632"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3</w:t>
            </w:r>
          </w:p>
        </w:tc>
        <w:tc>
          <w:tcPr>
            <w:tcW w:w="1639" w:type="pct"/>
            <w:shd w:val="clear" w:color="auto" w:fill="D9D9D9" w:themeFill="background1" w:themeFillShade="D9"/>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3 (100%)</w:t>
            </w:r>
          </w:p>
        </w:tc>
      </w:tr>
      <w:tr w:rsidR="00B22C92" w:rsidRPr="009E6B3C" w:rsidTr="006A6DF3">
        <w:tc>
          <w:tcPr>
            <w:tcW w:w="1730"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Education and Communication</w:t>
            </w:r>
          </w:p>
        </w:tc>
        <w:tc>
          <w:tcPr>
            <w:tcW w:w="1632"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6</w:t>
            </w:r>
          </w:p>
        </w:tc>
        <w:tc>
          <w:tcPr>
            <w:tcW w:w="1639" w:type="pct"/>
            <w:shd w:val="clear" w:color="auto" w:fill="D9D9D9" w:themeFill="background1" w:themeFillShade="D9"/>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6 (100%)</w:t>
            </w:r>
          </w:p>
        </w:tc>
      </w:tr>
      <w:tr w:rsidR="00B22C92" w:rsidRPr="009E6B3C" w:rsidTr="006A6DF3">
        <w:tc>
          <w:tcPr>
            <w:tcW w:w="1730"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 xml:space="preserve">Legal Services, Policy, Research </w:t>
            </w:r>
            <w:r w:rsidR="00583895" w:rsidRPr="009E6B3C">
              <w:rPr>
                <w:rFonts w:ascii="Arial" w:hAnsi="Arial" w:cs="Arial"/>
                <w:color w:val="000000" w:themeColor="text1"/>
                <w:sz w:val="20"/>
                <w:szCs w:val="20"/>
              </w:rPr>
              <w:t>and</w:t>
            </w:r>
            <w:r w:rsidRPr="009E6B3C">
              <w:rPr>
                <w:rFonts w:ascii="Arial" w:hAnsi="Arial" w:cs="Arial"/>
                <w:color w:val="000000" w:themeColor="text1"/>
                <w:sz w:val="20"/>
                <w:szCs w:val="20"/>
              </w:rPr>
              <w:t xml:space="preserve"> Information Technology Analysis</w:t>
            </w:r>
          </w:p>
        </w:tc>
        <w:tc>
          <w:tcPr>
            <w:tcW w:w="1632"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6</w:t>
            </w:r>
          </w:p>
        </w:tc>
        <w:tc>
          <w:tcPr>
            <w:tcW w:w="1639" w:type="pct"/>
            <w:shd w:val="clear" w:color="auto" w:fill="D9D9D9" w:themeFill="background1" w:themeFillShade="D9"/>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4 (67%)</w:t>
            </w:r>
          </w:p>
        </w:tc>
      </w:tr>
      <w:tr w:rsidR="00B22C92" w:rsidRPr="009E6B3C" w:rsidTr="006A6DF3">
        <w:tc>
          <w:tcPr>
            <w:tcW w:w="1730"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Administration</w:t>
            </w:r>
          </w:p>
        </w:tc>
        <w:tc>
          <w:tcPr>
            <w:tcW w:w="1632" w:type="pct"/>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6</w:t>
            </w:r>
          </w:p>
        </w:tc>
        <w:tc>
          <w:tcPr>
            <w:tcW w:w="1639" w:type="pct"/>
            <w:shd w:val="clear" w:color="auto" w:fill="D9D9D9" w:themeFill="background1" w:themeFillShade="D9"/>
          </w:tcPr>
          <w:p w:rsidR="00B22C92" w:rsidRPr="009E6B3C" w:rsidRDefault="00B22C92" w:rsidP="009E6B3C">
            <w:pPr>
              <w:pStyle w:val="ListParagraph"/>
              <w:ind w:left="0"/>
              <w:rPr>
                <w:rFonts w:ascii="Arial" w:hAnsi="Arial" w:cs="Arial"/>
                <w:color w:val="000000" w:themeColor="text1"/>
                <w:sz w:val="20"/>
                <w:szCs w:val="20"/>
              </w:rPr>
            </w:pPr>
            <w:r w:rsidRPr="009E6B3C">
              <w:rPr>
                <w:rFonts w:ascii="Arial" w:hAnsi="Arial" w:cs="Arial"/>
                <w:color w:val="000000" w:themeColor="text1"/>
                <w:sz w:val="20"/>
                <w:szCs w:val="20"/>
              </w:rPr>
              <w:t>5 (87%)</w:t>
            </w:r>
          </w:p>
        </w:tc>
      </w:tr>
    </w:tbl>
    <w:p w:rsidR="00B22C92" w:rsidRPr="009E6B3C" w:rsidRDefault="00B22C92" w:rsidP="009E6B3C">
      <w:pPr>
        <w:pStyle w:val="ListParagraph"/>
        <w:rPr>
          <w:rFonts w:ascii="Arial" w:hAnsi="Arial" w:cs="Arial"/>
          <w:b/>
          <w:color w:val="000000" w:themeColor="text1"/>
          <w:sz w:val="20"/>
          <w:szCs w:val="20"/>
        </w:rPr>
      </w:pPr>
    </w:p>
    <w:p w:rsidR="00B22C92" w:rsidRPr="009E6B3C" w:rsidRDefault="00B22C92" w:rsidP="009E6B3C">
      <w:pPr>
        <w:pStyle w:val="ListParagraph"/>
        <w:numPr>
          <w:ilvl w:val="2"/>
          <w:numId w:val="25"/>
        </w:numPr>
        <w:ind w:left="851" w:hanging="851"/>
        <w:rPr>
          <w:rFonts w:ascii="Arial" w:hAnsi="Arial" w:cs="Arial"/>
          <w:b/>
          <w:color w:val="000000" w:themeColor="text1"/>
          <w:sz w:val="20"/>
          <w:szCs w:val="20"/>
        </w:rPr>
      </w:pPr>
      <w:r w:rsidRPr="009E6B3C">
        <w:rPr>
          <w:rFonts w:ascii="Arial" w:hAnsi="Arial" w:cs="Arial"/>
          <w:color w:val="000000" w:themeColor="text1"/>
          <w:sz w:val="20"/>
          <w:szCs w:val="20"/>
        </w:rPr>
        <w:t xml:space="preserve">Only 1 of 7 targets (14%) was achieved in the Protection of Personal Information Programme. Challenges that affected performance for the programme are identified as (i) a lack of leadership </w:t>
      </w:r>
      <w:r w:rsidRPr="009E6B3C">
        <w:rPr>
          <w:rFonts w:ascii="Arial" w:hAnsi="Arial" w:cs="Arial"/>
          <w:color w:val="000000" w:themeColor="text1"/>
          <w:sz w:val="20"/>
          <w:szCs w:val="20"/>
        </w:rPr>
        <w:lastRenderedPageBreak/>
        <w:t>in the Division after the resignation of the first POPIA Executive; and (ii) general institutional inexperience in POPIA work</w:t>
      </w:r>
      <w:r w:rsidRPr="009E6B3C">
        <w:rPr>
          <w:rFonts w:ascii="Arial" w:hAnsi="Arial" w:cs="Arial"/>
          <w:b/>
          <w:color w:val="000000" w:themeColor="text1"/>
          <w:sz w:val="20"/>
          <w:szCs w:val="20"/>
        </w:rPr>
        <w:t>.</w:t>
      </w:r>
    </w:p>
    <w:p w:rsidR="00B22C92" w:rsidRPr="009E6B3C" w:rsidRDefault="00B22C92" w:rsidP="009E6B3C">
      <w:pPr>
        <w:pStyle w:val="ListParagraph"/>
        <w:rPr>
          <w:rFonts w:ascii="Arial" w:hAnsi="Arial" w:cs="Arial"/>
          <w:b/>
          <w:color w:val="000000" w:themeColor="text1"/>
          <w:sz w:val="20"/>
          <w:szCs w:val="20"/>
        </w:rPr>
      </w:pPr>
    </w:p>
    <w:p w:rsidR="00B22C92" w:rsidRPr="009E6B3C" w:rsidRDefault="00B22C92" w:rsidP="009E6B3C">
      <w:pPr>
        <w:pStyle w:val="ListParagraph"/>
        <w:numPr>
          <w:ilvl w:val="2"/>
          <w:numId w:val="25"/>
        </w:numPr>
        <w:ind w:left="851" w:hanging="851"/>
        <w:rPr>
          <w:rFonts w:ascii="Arial" w:hAnsi="Arial" w:cs="Arial"/>
          <w:sz w:val="20"/>
          <w:szCs w:val="20"/>
        </w:rPr>
      </w:pPr>
      <w:r w:rsidRPr="009E6B3C">
        <w:rPr>
          <w:rFonts w:ascii="Arial" w:hAnsi="Arial" w:cs="Arial"/>
          <w:color w:val="000000" w:themeColor="text1"/>
          <w:sz w:val="20"/>
          <w:szCs w:val="20"/>
        </w:rPr>
        <w:t>The</w:t>
      </w:r>
      <w:r w:rsidRPr="009E6B3C">
        <w:rPr>
          <w:rFonts w:ascii="Arial" w:hAnsi="Arial" w:cs="Arial"/>
          <w:sz w:val="20"/>
          <w:szCs w:val="20"/>
        </w:rPr>
        <w:t xml:space="preserve"> Regulator has identified various strategies to overcome the under-performance in Programme 1: Protection of Personal Information, including:</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Recruitment of </w:t>
      </w:r>
      <w:r w:rsidR="009D3EE3" w:rsidRPr="009E6B3C">
        <w:rPr>
          <w:rFonts w:ascii="Arial" w:hAnsi="Arial" w:cs="Arial"/>
          <w:sz w:val="20"/>
          <w:szCs w:val="20"/>
        </w:rPr>
        <w:t xml:space="preserve">the </w:t>
      </w:r>
      <w:r w:rsidRPr="009E6B3C">
        <w:rPr>
          <w:rFonts w:ascii="Arial" w:hAnsi="Arial" w:cs="Arial"/>
          <w:sz w:val="20"/>
          <w:szCs w:val="20"/>
        </w:rPr>
        <w:t xml:space="preserve">POPIA Executive is at an advanced stage.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Members to transfer skills to the Executive and the Executive will in</w:t>
      </w:r>
      <w:r w:rsidR="009D3EE3" w:rsidRPr="009E6B3C">
        <w:rPr>
          <w:rFonts w:ascii="Arial" w:hAnsi="Arial" w:cs="Arial"/>
          <w:sz w:val="20"/>
          <w:szCs w:val="20"/>
        </w:rPr>
        <w:t>-</w:t>
      </w:r>
      <w:r w:rsidRPr="009E6B3C">
        <w:rPr>
          <w:rFonts w:ascii="Arial" w:hAnsi="Arial" w:cs="Arial"/>
          <w:sz w:val="20"/>
          <w:szCs w:val="20"/>
        </w:rPr>
        <w:t>turn transfer skills to officials.</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Officials have been enrolled in a POPIA course with the University of Cape Town.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outstanding documents in the Readiness Plan will be developed and implemented in 2022/23.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Concerning the percentage of Information Officers registered as prescribed, the online registration portal in the Regulator’s own ICT domain has been developed and will go live in the financial year 2022/2023. </w:t>
      </w:r>
    </w:p>
    <w:p w:rsidR="00B22C92" w:rsidRPr="009E6B3C" w:rsidRDefault="00B22C92" w:rsidP="009E6B3C">
      <w:pPr>
        <w:pStyle w:val="ListParagraph"/>
        <w:rPr>
          <w:rFonts w:ascii="Arial" w:hAnsi="Arial" w:cs="Arial"/>
          <w:sz w:val="20"/>
          <w:szCs w:val="20"/>
        </w:rPr>
      </w:pPr>
    </w:p>
    <w:p w:rsidR="00B22C92" w:rsidRPr="009E6B3C" w:rsidRDefault="00B22C92" w:rsidP="009E6B3C">
      <w:pPr>
        <w:pStyle w:val="ListParagraph"/>
        <w:numPr>
          <w:ilvl w:val="2"/>
          <w:numId w:val="25"/>
        </w:numPr>
        <w:ind w:left="851" w:hanging="851"/>
        <w:rPr>
          <w:rFonts w:ascii="Arial" w:hAnsi="Arial" w:cs="Arial"/>
          <w:b/>
          <w:color w:val="000000" w:themeColor="text1"/>
          <w:sz w:val="20"/>
          <w:szCs w:val="20"/>
        </w:rPr>
      </w:pPr>
      <w:r w:rsidRPr="009E6B3C">
        <w:rPr>
          <w:rFonts w:ascii="Arial" w:hAnsi="Arial" w:cs="Arial"/>
          <w:sz w:val="20"/>
          <w:szCs w:val="20"/>
        </w:rPr>
        <w:t xml:space="preserve">The Regulator highlights the following achievements for 2021/22: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Conducted over one-hundred and three (103) stakeholder engagements with various sectors. The engagements were utilised to provide guidance on compliance with POPIA and PAIA.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Developed the PAIA guides in all official languages and in braille and also published the Regulator’s PAIA manual in three (3) official languages and in braille.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Developed guiding templates for the development of PAIA manuals to equip public and private bodies with the ability to develop their PAIA manuals.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Developed an international cooperation policy which is intended to inform its participation on the global stage. </w:t>
      </w:r>
    </w:p>
    <w:p w:rsidR="00B22C92" w:rsidRPr="009E6B3C" w:rsidRDefault="00B22C92" w:rsidP="009E6B3C">
      <w:pPr>
        <w:pStyle w:val="ListParagraph"/>
        <w:numPr>
          <w:ilvl w:val="0"/>
          <w:numId w:val="6"/>
        </w:numPr>
        <w:autoSpaceDE w:val="0"/>
        <w:autoSpaceDN w:val="0"/>
        <w:adjustRightInd w:val="0"/>
        <w:ind w:left="1276" w:hanging="425"/>
        <w:rPr>
          <w:rFonts w:ascii="Arial" w:hAnsi="Arial" w:cs="Arial"/>
          <w:b/>
          <w:color w:val="000000" w:themeColor="text1"/>
          <w:sz w:val="20"/>
          <w:szCs w:val="20"/>
        </w:rPr>
      </w:pPr>
      <w:r w:rsidRPr="009E6B3C">
        <w:rPr>
          <w:rFonts w:ascii="Arial" w:hAnsi="Arial" w:cs="Arial"/>
          <w:sz w:val="20"/>
          <w:szCs w:val="20"/>
        </w:rPr>
        <w:t>Initiated the establishment of a Security Compromises Unit within the Regulator.</w:t>
      </w:r>
    </w:p>
    <w:p w:rsidR="00B22C92" w:rsidRPr="009E6B3C" w:rsidRDefault="00B22C92" w:rsidP="009E6B3C">
      <w:pPr>
        <w:pStyle w:val="ListParagraph"/>
        <w:rPr>
          <w:rFonts w:ascii="Arial" w:hAnsi="Arial" w:cs="Arial"/>
          <w:b/>
          <w:color w:val="000000" w:themeColor="text1"/>
          <w:sz w:val="20"/>
          <w:szCs w:val="20"/>
        </w:rPr>
      </w:pPr>
    </w:p>
    <w:p w:rsidR="00D3207A" w:rsidRPr="009E6B3C" w:rsidRDefault="0000436F" w:rsidP="009E6B3C">
      <w:pPr>
        <w:pStyle w:val="ListParagraph"/>
        <w:numPr>
          <w:ilvl w:val="1"/>
          <w:numId w:val="1"/>
        </w:numPr>
        <w:tabs>
          <w:tab w:val="num" w:pos="851"/>
        </w:tabs>
        <w:ind w:left="851" w:hanging="851"/>
        <w:rPr>
          <w:rFonts w:ascii="Arial" w:hAnsi="Arial" w:cs="Arial"/>
          <w:sz w:val="20"/>
          <w:szCs w:val="20"/>
          <w:lang/>
        </w:rPr>
      </w:pPr>
      <w:r w:rsidRPr="009E6B3C">
        <w:rPr>
          <w:rFonts w:ascii="Arial" w:hAnsi="Arial" w:cs="Arial"/>
          <w:b/>
          <w:i/>
          <w:color w:val="000000" w:themeColor="text1"/>
          <w:sz w:val="20"/>
          <w:szCs w:val="20"/>
        </w:rPr>
        <w:t xml:space="preserve">Committee’s BRRR 2021 </w:t>
      </w:r>
      <w:r w:rsidR="00D3207A" w:rsidRPr="009E6B3C">
        <w:rPr>
          <w:rFonts w:ascii="Arial" w:hAnsi="Arial" w:cs="Arial"/>
          <w:b/>
          <w:i/>
          <w:color w:val="000000" w:themeColor="text1"/>
          <w:sz w:val="20"/>
          <w:szCs w:val="20"/>
        </w:rPr>
        <w:t>observations</w:t>
      </w:r>
      <w:r w:rsidR="001B2801" w:rsidRPr="009E6B3C">
        <w:rPr>
          <w:rFonts w:ascii="Arial" w:hAnsi="Arial" w:cs="Arial"/>
          <w:b/>
          <w:color w:val="000000" w:themeColor="text1"/>
          <w:sz w:val="20"/>
          <w:szCs w:val="20"/>
        </w:rPr>
        <w:t xml:space="preserve">. </w:t>
      </w:r>
      <w:r w:rsidR="00D3207A" w:rsidRPr="009E6B3C">
        <w:rPr>
          <w:rFonts w:ascii="Arial" w:hAnsi="Arial" w:cs="Arial"/>
          <w:sz w:val="20"/>
          <w:szCs w:val="20"/>
          <w:lang/>
        </w:rPr>
        <w:t xml:space="preserve">Key issues identified in the </w:t>
      </w:r>
      <w:r w:rsidR="001B2801" w:rsidRPr="009E6B3C">
        <w:rPr>
          <w:rFonts w:ascii="Arial" w:hAnsi="Arial" w:cs="Arial"/>
          <w:sz w:val="20"/>
          <w:szCs w:val="20"/>
          <w:lang/>
        </w:rPr>
        <w:t>Committee’s 2021 BRR</w:t>
      </w:r>
      <w:r w:rsidR="00D3207A" w:rsidRPr="009E6B3C">
        <w:rPr>
          <w:rFonts w:ascii="Arial" w:hAnsi="Arial" w:cs="Arial"/>
          <w:sz w:val="20"/>
          <w:szCs w:val="20"/>
          <w:lang/>
        </w:rPr>
        <w:t>R include:</w:t>
      </w:r>
    </w:p>
    <w:p w:rsidR="00D3207A" w:rsidRPr="009E6B3C" w:rsidRDefault="009D3EE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The Committee welcomed the commencement of the remaining sections of POPIA with effect from 1 July 2021.</w:t>
      </w:r>
    </w:p>
    <w:p w:rsidR="009D3EE3" w:rsidRPr="009E6B3C" w:rsidRDefault="009D3EE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Funding. The Committee regards it as vital that the Information Regulator be adequately funded so that it is able to provide guidance as South Africa goes about establishing its data protection regime. A well-functioning data protection regime is essential to international trade and, therefore, will contribute to South Africa’s access to economic opportunities and growth. At the same time, the Regulator’s continued under-expenditure was concerning as it suggests difficulties in its capacitation.</w:t>
      </w:r>
    </w:p>
    <w:p w:rsidR="009D3EE3" w:rsidRPr="009E6B3C" w:rsidRDefault="009D3EE3" w:rsidP="009E6B3C">
      <w:pPr>
        <w:pStyle w:val="ListParagraph"/>
        <w:numPr>
          <w:ilvl w:val="0"/>
          <w:numId w:val="6"/>
        </w:numPr>
        <w:autoSpaceDE w:val="0"/>
        <w:autoSpaceDN w:val="0"/>
        <w:adjustRightInd w:val="0"/>
        <w:ind w:left="1276" w:hanging="425"/>
        <w:rPr>
          <w:rFonts w:ascii="Arial" w:hAnsi="Arial" w:cs="Arial"/>
          <w:sz w:val="20"/>
          <w:szCs w:val="20"/>
          <w:lang/>
        </w:rPr>
      </w:pPr>
      <w:r w:rsidRPr="009E6B3C">
        <w:rPr>
          <w:rFonts w:ascii="Arial" w:hAnsi="Arial" w:cs="Arial"/>
          <w:sz w:val="20"/>
          <w:szCs w:val="20"/>
        </w:rPr>
        <w:t>Legal status. The Committee queried why it is taking so long to resolve the Information Regulator’s status in terms of the PFMA. The resolution of this issue is key to the Regulator being able to function independently from the Department and is a blockage in the Information Regulator’s attempts to adequately capacitate itself and to its operations. The Committee intended to arrange a meeting with the Ministers of Justice and Finance in an attempt to fast-track a solution.</w:t>
      </w:r>
    </w:p>
    <w:p w:rsidR="00D3207A" w:rsidRPr="009E6B3C" w:rsidRDefault="00D3207A" w:rsidP="009E6B3C">
      <w:pPr>
        <w:pStyle w:val="NormalWeb"/>
        <w:spacing w:before="0" w:after="0"/>
        <w:rPr>
          <w:rFonts w:ascii="Arial" w:hAnsi="Arial" w:cs="Arial"/>
          <w:sz w:val="20"/>
          <w:szCs w:val="20"/>
        </w:rPr>
      </w:pPr>
    </w:p>
    <w:p w:rsidR="00B22C92" w:rsidRPr="009E6B3C" w:rsidRDefault="00B22C92" w:rsidP="009E6B3C">
      <w:pPr>
        <w:pStyle w:val="ListParagraph"/>
        <w:numPr>
          <w:ilvl w:val="1"/>
          <w:numId w:val="1"/>
        </w:numPr>
        <w:tabs>
          <w:tab w:val="num" w:pos="851"/>
        </w:tabs>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 xml:space="preserve">Linking </w:t>
      </w:r>
      <w:r w:rsidR="0063237E" w:rsidRPr="009E6B3C">
        <w:rPr>
          <w:rFonts w:ascii="Arial" w:hAnsi="Arial" w:cs="Arial"/>
          <w:b/>
          <w:i/>
          <w:color w:val="000000" w:themeColor="text1"/>
          <w:sz w:val="20"/>
          <w:szCs w:val="20"/>
        </w:rPr>
        <w:t xml:space="preserve">financial and non-financial </w:t>
      </w:r>
      <w:r w:rsidRPr="009E6B3C">
        <w:rPr>
          <w:rFonts w:ascii="Arial" w:hAnsi="Arial" w:cs="Arial"/>
          <w:b/>
          <w:i/>
          <w:color w:val="000000" w:themeColor="text1"/>
          <w:sz w:val="20"/>
          <w:szCs w:val="20"/>
        </w:rPr>
        <w:t>performance</w:t>
      </w:r>
      <w:r w:rsidR="00012D16" w:rsidRPr="009E6B3C">
        <w:rPr>
          <w:rFonts w:ascii="Arial" w:hAnsi="Arial" w:cs="Arial"/>
          <w:b/>
          <w:i/>
          <w:color w:val="000000" w:themeColor="text1"/>
          <w:sz w:val="20"/>
          <w:szCs w:val="20"/>
        </w:rPr>
        <w:t>:</w:t>
      </w:r>
    </w:p>
    <w:p w:rsidR="00B22C92" w:rsidRPr="009E6B3C" w:rsidRDefault="00AB3530"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The Information Regulator achieved 68% of its targets and spent R66.2 million or 76% of its allocated budget.</w:t>
      </w:r>
    </w:p>
    <w:p w:rsidR="009D3EE3" w:rsidRPr="009E6B3C" w:rsidRDefault="009D3EE3"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The Information Regulator reports that its dependence on the Department’s policies and processes, which will continue until the matter of its listing within the PFMA is resolved, contributes to the procurement delays it has experienced.</w:t>
      </w:r>
    </w:p>
    <w:p w:rsidR="0000436F" w:rsidRPr="009E6B3C" w:rsidRDefault="00984CD3" w:rsidP="009E6B3C">
      <w:pPr>
        <w:pStyle w:val="ListParagraph"/>
        <w:numPr>
          <w:ilvl w:val="0"/>
          <w:numId w:val="6"/>
        </w:numPr>
        <w:autoSpaceDE w:val="0"/>
        <w:autoSpaceDN w:val="0"/>
        <w:adjustRightInd w:val="0"/>
        <w:ind w:left="1276" w:hanging="425"/>
        <w:rPr>
          <w:rFonts w:ascii="Arial" w:hAnsi="Arial" w:cs="Arial"/>
          <w:color w:val="000000" w:themeColor="text1"/>
          <w:sz w:val="20"/>
          <w:szCs w:val="20"/>
        </w:rPr>
      </w:pPr>
      <w:r w:rsidRPr="009E6B3C">
        <w:rPr>
          <w:rFonts w:ascii="Arial" w:hAnsi="Arial" w:cs="Arial"/>
          <w:sz w:val="20"/>
          <w:szCs w:val="20"/>
        </w:rPr>
        <w:t>T</w:t>
      </w:r>
      <w:r w:rsidR="0000436F" w:rsidRPr="009E6B3C">
        <w:rPr>
          <w:rFonts w:ascii="Arial" w:hAnsi="Arial" w:cs="Arial"/>
          <w:sz w:val="20"/>
          <w:szCs w:val="20"/>
        </w:rPr>
        <w:t>he reported underperformance falls largely within the Protection of Personal Information programme and is attributed to the lack of leadership in the Division and a general</w:t>
      </w:r>
      <w:r w:rsidR="0000436F" w:rsidRPr="009E6B3C">
        <w:rPr>
          <w:rFonts w:ascii="Arial" w:hAnsi="Arial" w:cs="Arial"/>
          <w:color w:val="000000" w:themeColor="text1"/>
          <w:sz w:val="20"/>
          <w:szCs w:val="20"/>
        </w:rPr>
        <w:t xml:space="preserve"> lack of institutional expertise in POPIA.</w:t>
      </w:r>
    </w:p>
    <w:p w:rsidR="00AB3530" w:rsidRPr="009E6B3C" w:rsidRDefault="00AB3530" w:rsidP="009E6B3C">
      <w:pPr>
        <w:rPr>
          <w:rFonts w:ascii="Arial" w:hAnsi="Arial" w:cs="Arial"/>
          <w:color w:val="000000" w:themeColor="text1"/>
          <w:sz w:val="20"/>
          <w:szCs w:val="20"/>
        </w:rPr>
      </w:pPr>
    </w:p>
    <w:p w:rsidR="00AB3530" w:rsidRPr="009E6B3C" w:rsidRDefault="00AB3530" w:rsidP="009E6B3C">
      <w:pPr>
        <w:rPr>
          <w:rFonts w:ascii="Arial" w:hAnsi="Arial" w:cs="Arial"/>
          <w:color w:val="000000" w:themeColor="text1"/>
          <w:sz w:val="20"/>
          <w:szCs w:val="20"/>
        </w:rPr>
      </w:pPr>
    </w:p>
    <w:p w:rsidR="0060278E" w:rsidRPr="009E6B3C" w:rsidRDefault="0060278E" w:rsidP="009E6B3C">
      <w:pPr>
        <w:pStyle w:val="BodySingle"/>
        <w:numPr>
          <w:ilvl w:val="0"/>
          <w:numId w:val="1"/>
        </w:numPr>
        <w:tabs>
          <w:tab w:val="num" w:pos="851"/>
        </w:tabs>
        <w:ind w:left="851" w:hanging="851"/>
        <w:jc w:val="left"/>
        <w:rPr>
          <w:rFonts w:cs="Arial"/>
          <w:b/>
          <w:i w:val="0"/>
        </w:rPr>
      </w:pPr>
      <w:r w:rsidRPr="009E6B3C">
        <w:rPr>
          <w:rFonts w:cs="Arial"/>
          <w:b/>
          <w:i w:val="0"/>
        </w:rPr>
        <w:t>NPA</w:t>
      </w:r>
    </w:p>
    <w:p w:rsidR="0060278E" w:rsidRPr="009E6B3C" w:rsidRDefault="0060278E" w:rsidP="009E6B3C">
      <w:pPr>
        <w:pStyle w:val="BodySingle"/>
        <w:ind w:left="851"/>
        <w:jc w:val="left"/>
        <w:rPr>
          <w:rFonts w:cs="Arial"/>
          <w:b/>
          <w:i w:val="0"/>
        </w:rPr>
      </w:pPr>
    </w:p>
    <w:p w:rsidR="0060278E" w:rsidRPr="009E6B3C" w:rsidRDefault="0060278E" w:rsidP="009E6B3C">
      <w:pPr>
        <w:pStyle w:val="ListParagraph"/>
        <w:numPr>
          <w:ilvl w:val="1"/>
          <w:numId w:val="1"/>
        </w:numPr>
        <w:tabs>
          <w:tab w:val="num" w:pos="851"/>
        </w:tabs>
        <w:ind w:left="851" w:hanging="851"/>
        <w:rPr>
          <w:rFonts w:ascii="Arial" w:hAnsi="Arial" w:cs="Arial"/>
          <w:sz w:val="20"/>
          <w:szCs w:val="20"/>
        </w:rPr>
      </w:pPr>
      <w:r w:rsidRPr="009E6B3C">
        <w:rPr>
          <w:rFonts w:ascii="Arial" w:hAnsi="Arial" w:cs="Arial"/>
          <w:sz w:val="20"/>
          <w:szCs w:val="20"/>
        </w:rPr>
        <w:t xml:space="preserve">In line with its constitutional mandate, the NPA provides a co-ordinated prosecuting service to ensure that justice is delivered to the victims of crime through general and specialised prosecutions, certain witnesses </w:t>
      </w:r>
      <w:r w:rsidR="0063237E" w:rsidRPr="009E6B3C">
        <w:rPr>
          <w:rFonts w:ascii="Arial" w:hAnsi="Arial" w:cs="Arial"/>
          <w:sz w:val="20"/>
          <w:szCs w:val="20"/>
        </w:rPr>
        <w:t xml:space="preserve">are protected </w:t>
      </w:r>
      <w:r w:rsidRPr="009E6B3C">
        <w:rPr>
          <w:rFonts w:ascii="Arial" w:hAnsi="Arial" w:cs="Arial"/>
          <w:sz w:val="20"/>
          <w:szCs w:val="20"/>
        </w:rPr>
        <w:t xml:space="preserve">and </w:t>
      </w:r>
      <w:r w:rsidR="0063237E" w:rsidRPr="009E6B3C">
        <w:rPr>
          <w:rFonts w:ascii="Arial" w:hAnsi="Arial" w:cs="Arial"/>
          <w:sz w:val="20"/>
          <w:szCs w:val="20"/>
        </w:rPr>
        <w:t xml:space="preserve">profit is removed from </w:t>
      </w:r>
      <w:r w:rsidRPr="009E6B3C">
        <w:rPr>
          <w:rFonts w:ascii="Arial" w:hAnsi="Arial" w:cs="Arial"/>
          <w:sz w:val="20"/>
          <w:szCs w:val="20"/>
        </w:rPr>
        <w:t xml:space="preserve">crime. </w:t>
      </w:r>
    </w:p>
    <w:p w:rsidR="0060278E" w:rsidRPr="009E6B3C" w:rsidRDefault="0060278E" w:rsidP="009E6B3C">
      <w:pPr>
        <w:pStyle w:val="BodySingle"/>
        <w:jc w:val="left"/>
        <w:rPr>
          <w:rFonts w:cs="Arial"/>
          <w:i w:val="0"/>
        </w:rPr>
      </w:pPr>
    </w:p>
    <w:p w:rsidR="0060278E" w:rsidRPr="009E6B3C" w:rsidRDefault="0060278E" w:rsidP="009E6B3C">
      <w:pPr>
        <w:pStyle w:val="ListParagraph"/>
        <w:numPr>
          <w:ilvl w:val="1"/>
          <w:numId w:val="1"/>
        </w:numPr>
        <w:tabs>
          <w:tab w:val="num" w:pos="851"/>
        </w:tabs>
        <w:ind w:left="851" w:hanging="851"/>
        <w:rPr>
          <w:rFonts w:ascii="Arial" w:hAnsi="Arial" w:cs="Arial"/>
          <w:sz w:val="20"/>
          <w:szCs w:val="20"/>
        </w:rPr>
      </w:pPr>
      <w:r w:rsidRPr="009E6B3C">
        <w:rPr>
          <w:rFonts w:ascii="Arial" w:hAnsi="Arial" w:cs="Arial"/>
          <w:sz w:val="20"/>
          <w:szCs w:val="20"/>
        </w:rPr>
        <w:t xml:space="preserve">The NPA’s strategic outcomes for 2020-2025 are: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Increased feelings of safety and security for all South Africans.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Improved investor confidence in South Africa through high-impact prosecutions.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Improved access to NPA services for all. </w:t>
      </w:r>
    </w:p>
    <w:p w:rsidR="0060278E" w:rsidRPr="009E6B3C" w:rsidRDefault="0060278E" w:rsidP="009E6B3C">
      <w:pPr>
        <w:pStyle w:val="ListParagraph"/>
        <w:ind w:left="851"/>
        <w:rPr>
          <w:rFonts w:ascii="Arial" w:hAnsi="Arial" w:cs="Arial"/>
          <w:sz w:val="20"/>
          <w:szCs w:val="20"/>
        </w:rPr>
      </w:pPr>
    </w:p>
    <w:p w:rsidR="0060278E" w:rsidRPr="009E6B3C" w:rsidRDefault="0060278E" w:rsidP="009E6B3C">
      <w:pPr>
        <w:pStyle w:val="ListParagraph"/>
        <w:numPr>
          <w:ilvl w:val="1"/>
          <w:numId w:val="1"/>
        </w:numPr>
        <w:tabs>
          <w:tab w:val="num" w:pos="851"/>
        </w:tabs>
        <w:ind w:left="851" w:hanging="851"/>
        <w:rPr>
          <w:rFonts w:ascii="Arial" w:hAnsi="Arial" w:cs="Arial"/>
          <w:sz w:val="20"/>
          <w:szCs w:val="20"/>
        </w:rPr>
      </w:pPr>
      <w:r w:rsidRPr="009E6B3C">
        <w:rPr>
          <w:rFonts w:ascii="Arial" w:hAnsi="Arial" w:cs="Arial"/>
          <w:sz w:val="20"/>
          <w:szCs w:val="20"/>
        </w:rPr>
        <w:t xml:space="preserve">To achieve these outcomes, the NPA commenced with the implementation of several strategic initiatives: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Enhancing internal accountability through the development of an Office for Complaints and Ethics.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Capacitating the NPA and ensuring that all regions and business units have the requisite specialist capacity.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Increasing the use of information technology and digitisation.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Institutionalising the Innovation and Policy Support Office.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Implementing a countrywide Community Prosecution Initiative.</w:t>
      </w:r>
    </w:p>
    <w:p w:rsidR="0060278E" w:rsidRPr="009E6B3C" w:rsidRDefault="0060278E" w:rsidP="009E6B3C">
      <w:pPr>
        <w:pStyle w:val="ListParagraph"/>
        <w:ind w:left="1560"/>
        <w:rPr>
          <w:rFonts w:ascii="Arial" w:hAnsi="Arial" w:cs="Arial"/>
          <w:sz w:val="20"/>
          <w:szCs w:val="20"/>
        </w:rPr>
      </w:pPr>
    </w:p>
    <w:p w:rsidR="0060278E" w:rsidRPr="009E6B3C" w:rsidRDefault="0060278E" w:rsidP="009E6B3C">
      <w:pPr>
        <w:pStyle w:val="ListParagraph"/>
        <w:numPr>
          <w:ilvl w:val="1"/>
          <w:numId w:val="1"/>
        </w:numPr>
        <w:tabs>
          <w:tab w:val="num" w:pos="851"/>
        </w:tabs>
        <w:ind w:left="851" w:hanging="851"/>
        <w:rPr>
          <w:rFonts w:ascii="Arial" w:hAnsi="Arial" w:cs="Arial"/>
          <w:sz w:val="20"/>
          <w:szCs w:val="20"/>
        </w:rPr>
      </w:pPr>
      <w:r w:rsidRPr="009E6B3C">
        <w:rPr>
          <w:rFonts w:ascii="Arial" w:hAnsi="Arial" w:cs="Arial"/>
          <w:sz w:val="20"/>
          <w:szCs w:val="20"/>
        </w:rPr>
        <w:t xml:space="preserve">The NPA reported the following progress: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2"/>
        </w:numPr>
        <w:ind w:left="851" w:hanging="851"/>
        <w:rPr>
          <w:rFonts w:ascii="Arial" w:hAnsi="Arial" w:cs="Arial"/>
          <w:sz w:val="20"/>
          <w:szCs w:val="20"/>
        </w:rPr>
      </w:pPr>
      <w:r w:rsidRPr="009E6B3C">
        <w:rPr>
          <w:rFonts w:ascii="Arial" w:hAnsi="Arial" w:cs="Arial"/>
          <w:i/>
          <w:sz w:val="20"/>
          <w:szCs w:val="20"/>
        </w:rPr>
        <w:t>Office for Ethics and Accountability</w:t>
      </w:r>
      <w:r w:rsidRPr="009E6B3C">
        <w:rPr>
          <w:rFonts w:ascii="Arial" w:hAnsi="Arial" w:cs="Arial"/>
          <w:sz w:val="20"/>
          <w:szCs w:val="20"/>
        </w:rPr>
        <w:t>: As the NPA has a zero-tolerance approach to corruption and dishonesty in the workplace, it decided to establish an office to promote ethical conduct and effectively respond to legitimate complaints against NPA staff, at all levels. The Office for Ethics and Accountability is being established in terms of section 22(5) of the National Prosecuting Authority Act, 1998, to replace the Integrity Management Unit (IMU). The regulations have been drafted and submitted to the Minister for consideration. The relevant consultations were undertaken to facilitate this transition and the NPA intends for the new office to commence operations in 2022/23</w:t>
      </w:r>
      <w:r w:rsidR="0063237E" w:rsidRPr="009E6B3C">
        <w:rPr>
          <w:rFonts w:ascii="Arial" w:hAnsi="Arial" w:cs="Arial"/>
          <w:sz w:val="20"/>
          <w:szCs w:val="20"/>
        </w:rPr>
        <w:t xml:space="preserve"> once the Minister has approved the Regulations.</w:t>
      </w:r>
      <w:r w:rsidRPr="009E6B3C">
        <w:rPr>
          <w:rFonts w:ascii="Arial" w:hAnsi="Arial" w:cs="Arial"/>
          <w:sz w:val="20"/>
          <w:szCs w:val="20"/>
        </w:rPr>
        <w:t xml:space="preserve"> </w:t>
      </w:r>
    </w:p>
    <w:p w:rsidR="0060278E" w:rsidRPr="009E6B3C" w:rsidRDefault="0060278E" w:rsidP="009E6B3C">
      <w:pPr>
        <w:pStyle w:val="ListParagraph"/>
        <w:ind w:left="851"/>
        <w:rPr>
          <w:rFonts w:ascii="Arial" w:hAnsi="Arial" w:cs="Arial"/>
          <w:sz w:val="20"/>
          <w:szCs w:val="20"/>
        </w:rPr>
      </w:pPr>
    </w:p>
    <w:p w:rsidR="0060278E" w:rsidRPr="009E6B3C" w:rsidRDefault="0060278E" w:rsidP="009E6B3C">
      <w:pPr>
        <w:pStyle w:val="ListParagraph"/>
        <w:numPr>
          <w:ilvl w:val="2"/>
          <w:numId w:val="52"/>
        </w:numPr>
        <w:ind w:left="851" w:hanging="851"/>
        <w:rPr>
          <w:rFonts w:ascii="Arial" w:hAnsi="Arial" w:cs="Arial"/>
          <w:sz w:val="20"/>
          <w:szCs w:val="20"/>
        </w:rPr>
      </w:pPr>
      <w:r w:rsidRPr="009E6B3C">
        <w:rPr>
          <w:rFonts w:ascii="Arial" w:hAnsi="Arial" w:cs="Arial"/>
          <w:i/>
          <w:sz w:val="20"/>
          <w:szCs w:val="20"/>
        </w:rPr>
        <w:t>Donor Oversight Committee</w:t>
      </w:r>
      <w:r w:rsidRPr="009E6B3C">
        <w:rPr>
          <w:rFonts w:ascii="Arial" w:hAnsi="Arial" w:cs="Arial"/>
          <w:sz w:val="20"/>
          <w:szCs w:val="20"/>
        </w:rPr>
        <w:t xml:space="preserve">: The provision of funds and in-kind services to the NPA by civil society organisations (CSOs), the private sector and others can significantly enhance the capabilities of the NPA to deliver on its mandate. However, this also poses the risk that outside parties may seek to compromise the independence of the institution. In 2020, the NPA proposed establishing a structure to oversee the process of accepting donations. The NPA is working closely with the Department and National Treasury to establish this oversight committee. </w:t>
      </w:r>
    </w:p>
    <w:p w:rsidR="0060278E" w:rsidRPr="009E6B3C" w:rsidRDefault="0060278E" w:rsidP="009E6B3C">
      <w:pPr>
        <w:pStyle w:val="ListParagraph"/>
        <w:ind w:left="851"/>
        <w:rPr>
          <w:rFonts w:ascii="Arial" w:hAnsi="Arial" w:cs="Arial"/>
          <w:sz w:val="20"/>
          <w:szCs w:val="20"/>
        </w:rPr>
      </w:pPr>
    </w:p>
    <w:p w:rsidR="0060278E" w:rsidRPr="009E6B3C" w:rsidRDefault="0060278E" w:rsidP="009E6B3C">
      <w:pPr>
        <w:pStyle w:val="ListParagraph"/>
        <w:numPr>
          <w:ilvl w:val="2"/>
          <w:numId w:val="52"/>
        </w:numPr>
        <w:ind w:left="851" w:hanging="851"/>
        <w:rPr>
          <w:rFonts w:ascii="Arial" w:hAnsi="Arial" w:cs="Arial"/>
          <w:sz w:val="20"/>
          <w:szCs w:val="20"/>
        </w:rPr>
      </w:pPr>
      <w:r w:rsidRPr="009E6B3C">
        <w:rPr>
          <w:rFonts w:ascii="Arial" w:hAnsi="Arial" w:cs="Arial"/>
          <w:i/>
          <w:sz w:val="20"/>
          <w:szCs w:val="20"/>
        </w:rPr>
        <w:t>Community Prosecution Initiative</w:t>
      </w:r>
      <w:r w:rsidRPr="009E6B3C">
        <w:rPr>
          <w:rFonts w:ascii="Arial" w:hAnsi="Arial" w:cs="Arial"/>
          <w:sz w:val="20"/>
          <w:szCs w:val="20"/>
        </w:rPr>
        <w:t>: This initiative involves prosecutors partnering with local stakeholders to collectively find long term sustainable solutions to specific crimes that most concern those communities. Working with communities to address the risk factors associated with the identified crimes is key, as is conducting strategic prosecutions. Twenty-three community prosecution sites were established across the country, focussing on various community irritants. Community prosecutor posts were created and are in the process of being filled. The NPA has undertaken training for community prosecutors and has commissioned an external service provider to conduct independent monitoring and evaluation of the initiative</w:t>
      </w:r>
      <w:r w:rsidR="0063237E" w:rsidRPr="009E6B3C">
        <w:rPr>
          <w:rFonts w:ascii="Arial" w:hAnsi="Arial" w:cs="Arial"/>
          <w:sz w:val="20"/>
          <w:szCs w:val="20"/>
        </w:rPr>
        <w:t>.</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2"/>
        </w:numPr>
        <w:ind w:left="851" w:hanging="851"/>
        <w:rPr>
          <w:rFonts w:ascii="Arial" w:hAnsi="Arial" w:cs="Arial"/>
          <w:sz w:val="20"/>
          <w:szCs w:val="20"/>
        </w:rPr>
      </w:pPr>
      <w:r w:rsidRPr="009E6B3C">
        <w:rPr>
          <w:rFonts w:ascii="Arial" w:hAnsi="Arial" w:cs="Arial"/>
          <w:i/>
          <w:sz w:val="20"/>
          <w:szCs w:val="20"/>
        </w:rPr>
        <w:t>Building a culture of innovation</w:t>
      </w:r>
      <w:r w:rsidRPr="009E6B3C">
        <w:rPr>
          <w:rFonts w:ascii="Arial" w:hAnsi="Arial" w:cs="Arial"/>
          <w:sz w:val="20"/>
          <w:szCs w:val="20"/>
        </w:rPr>
        <w:t xml:space="preserve">: The NPA has sought to entrench a culture of innovation and local problem-solving in its divisions across the country. Committed and vibrant individuals were nominated to form part of the divisional innovation teams. These teams were trained and supported to conceptualise practical innovation initiatives to implement in their divisions to resolve local problems. Some of these innovations include improving the use of court preparation officers, enhancing </w:t>
      </w:r>
      <w:r w:rsidR="0063237E" w:rsidRPr="009E6B3C">
        <w:rPr>
          <w:rFonts w:ascii="Arial" w:hAnsi="Arial" w:cs="Arial"/>
          <w:sz w:val="20"/>
          <w:szCs w:val="20"/>
        </w:rPr>
        <w:t xml:space="preserve">staff </w:t>
      </w:r>
      <w:r w:rsidRPr="009E6B3C">
        <w:rPr>
          <w:rFonts w:ascii="Arial" w:hAnsi="Arial" w:cs="Arial"/>
          <w:sz w:val="20"/>
          <w:szCs w:val="20"/>
        </w:rPr>
        <w:t>wellness, improving divisional communications, improving skills transfer and instituting non-monetary recognition of good performance.</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2"/>
        </w:numPr>
        <w:ind w:left="851" w:hanging="851"/>
        <w:rPr>
          <w:rFonts w:ascii="Arial" w:hAnsi="Arial" w:cs="Arial"/>
          <w:sz w:val="20"/>
          <w:szCs w:val="20"/>
        </w:rPr>
      </w:pPr>
      <w:r w:rsidRPr="009E6B3C">
        <w:rPr>
          <w:rFonts w:ascii="Arial" w:hAnsi="Arial" w:cs="Arial"/>
          <w:i/>
          <w:sz w:val="20"/>
          <w:szCs w:val="20"/>
        </w:rPr>
        <w:t>Strengthening communications</w:t>
      </w:r>
      <w:r w:rsidRPr="009E6B3C">
        <w:rPr>
          <w:rFonts w:ascii="Arial" w:hAnsi="Arial" w:cs="Arial"/>
          <w:sz w:val="20"/>
          <w:szCs w:val="20"/>
        </w:rPr>
        <w:t xml:space="preserve">: Improving public understanding of the NPA’s functions, activities and achievements is central to rebuilding its credibility. The NPA has continued to implement </w:t>
      </w:r>
      <w:r w:rsidRPr="009E6B3C">
        <w:rPr>
          <w:rFonts w:ascii="Arial" w:hAnsi="Arial" w:cs="Arial"/>
          <w:sz w:val="20"/>
          <w:szCs w:val="20"/>
        </w:rPr>
        <w:lastRenderedPageBreak/>
        <w:t xml:space="preserve">proactive communication initiatives, with a particular focus on anti-corruption and asset recovery efforts. The NPA’s website has also been redesigned and a dedicated communications initiative was launched to demonstrate impact on high-level corruption matters. Internal communication has also been significantly improved to ensure that all NPA colleagues are up-to-date with </w:t>
      </w:r>
      <w:r w:rsidR="0063237E" w:rsidRPr="009E6B3C">
        <w:rPr>
          <w:rFonts w:ascii="Arial" w:hAnsi="Arial" w:cs="Arial"/>
          <w:sz w:val="20"/>
          <w:szCs w:val="20"/>
        </w:rPr>
        <w:t xml:space="preserve">the </w:t>
      </w:r>
      <w:r w:rsidRPr="009E6B3C">
        <w:rPr>
          <w:rFonts w:ascii="Arial" w:hAnsi="Arial" w:cs="Arial"/>
          <w:sz w:val="20"/>
          <w:szCs w:val="20"/>
        </w:rPr>
        <w:t>latest developments, and progress on strategy implementation.</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2"/>
        </w:numPr>
        <w:ind w:left="851" w:hanging="851"/>
        <w:rPr>
          <w:rFonts w:ascii="Arial" w:hAnsi="Arial" w:cs="Arial"/>
          <w:sz w:val="20"/>
          <w:szCs w:val="20"/>
        </w:rPr>
      </w:pPr>
      <w:r w:rsidRPr="009E6B3C">
        <w:rPr>
          <w:rFonts w:ascii="Arial" w:hAnsi="Arial" w:cs="Arial"/>
          <w:i/>
          <w:sz w:val="20"/>
          <w:szCs w:val="20"/>
        </w:rPr>
        <w:t>Non-prosecution decisions (NPDs)</w:t>
      </w:r>
      <w:r w:rsidRPr="009E6B3C">
        <w:rPr>
          <w:rFonts w:ascii="Arial" w:hAnsi="Arial" w:cs="Arial"/>
          <w:sz w:val="20"/>
          <w:szCs w:val="20"/>
        </w:rPr>
        <w:t xml:space="preserve">: The Organisation for Economic Co-operation and Development (OECD) recommends that countries make strategic and appropriate use of NPDs to resolve corruption cases involving corporate entities and not individual directors. Globally, NPDs in the form of negotiated settlements are increasingly used to resolve complex corruption cases. In return for leniency, implicated entities are required to admit responsibility for a set of facts, disclose evidence that can be used to prosecute responsible individuals, make financial restitution and improve continued anti-corruption compliance measures. The NPA is at an advanced stage of developing a policy that provides for a simple and tailored form of NPD.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2"/>
        </w:numPr>
        <w:ind w:left="851" w:hanging="851"/>
        <w:rPr>
          <w:rFonts w:ascii="Arial" w:hAnsi="Arial" w:cs="Arial"/>
          <w:sz w:val="20"/>
          <w:szCs w:val="20"/>
        </w:rPr>
      </w:pPr>
      <w:r w:rsidRPr="009E6B3C">
        <w:rPr>
          <w:rFonts w:ascii="Arial" w:hAnsi="Arial" w:cs="Arial"/>
          <w:i/>
          <w:sz w:val="20"/>
          <w:szCs w:val="20"/>
        </w:rPr>
        <w:t>NPA independence</w:t>
      </w:r>
      <w:r w:rsidRPr="009E6B3C">
        <w:rPr>
          <w:rFonts w:ascii="Arial" w:hAnsi="Arial" w:cs="Arial"/>
          <w:sz w:val="20"/>
          <w:szCs w:val="20"/>
        </w:rPr>
        <w:t xml:space="preserve">: The NPA remains focused on strengthening the independence of the prosecution authority. The Minister has proposed the establishment </w:t>
      </w:r>
      <w:r w:rsidR="00DB6AB8" w:rsidRPr="009E6B3C">
        <w:rPr>
          <w:rFonts w:ascii="Arial" w:hAnsi="Arial" w:cs="Arial"/>
          <w:sz w:val="20"/>
          <w:szCs w:val="20"/>
        </w:rPr>
        <w:t xml:space="preserve">of </w:t>
      </w:r>
      <w:r w:rsidRPr="009E6B3C">
        <w:rPr>
          <w:rFonts w:ascii="Arial" w:hAnsi="Arial" w:cs="Arial"/>
          <w:sz w:val="20"/>
          <w:szCs w:val="20"/>
        </w:rPr>
        <w:t xml:space="preserve">a task team to assess the options and agree on way forward. The NPA also submitted its views to the Zondo Commission, and these were shared with the Minister.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2"/>
        </w:numPr>
        <w:ind w:left="851" w:hanging="851"/>
        <w:rPr>
          <w:rFonts w:ascii="Arial" w:eastAsiaTheme="minorHAnsi" w:hAnsi="Arial" w:cs="Arial"/>
          <w:color w:val="000000"/>
          <w:sz w:val="20"/>
          <w:szCs w:val="20"/>
          <w:lang w:eastAsia="en-US"/>
        </w:rPr>
      </w:pPr>
      <w:r w:rsidRPr="009E6B3C">
        <w:rPr>
          <w:rFonts w:ascii="Arial" w:hAnsi="Arial" w:cs="Arial"/>
          <w:i/>
          <w:sz w:val="20"/>
          <w:szCs w:val="20"/>
        </w:rPr>
        <w:t>Prioritising</w:t>
      </w:r>
      <w:r w:rsidRPr="009E6B3C">
        <w:rPr>
          <w:rFonts w:ascii="Arial" w:hAnsi="Arial" w:cs="Arial"/>
          <w:sz w:val="20"/>
          <w:szCs w:val="20"/>
        </w:rPr>
        <w:t xml:space="preserve"> for impact: To make demonstrable progress on priority matters in a short space of time, the NPA approved the following short-term, clear and measurable priorities:</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Expediting high-profile corruption cases nationally and provincially.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A stronger focus on serious violent and organised crime, and crimes that disproportionately undermine public safety.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Capacitating the NPA to respond to existing and emerging priorities through recruiting crucial additional skills, expertise and capabilities.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Enhancing staff morale and well-being. </w:t>
      </w:r>
    </w:p>
    <w:p w:rsidR="0060278E" w:rsidRPr="009E6B3C" w:rsidRDefault="0060278E" w:rsidP="009E6B3C">
      <w:pPr>
        <w:pStyle w:val="ListParagraph"/>
        <w:autoSpaceDE w:val="0"/>
        <w:autoSpaceDN w:val="0"/>
        <w:adjustRightInd w:val="0"/>
        <w:ind w:left="1276"/>
        <w:rPr>
          <w:rFonts w:ascii="Arial" w:hAnsi="Arial" w:cs="Arial"/>
          <w:sz w:val="20"/>
          <w:szCs w:val="20"/>
        </w:rPr>
      </w:pPr>
    </w:p>
    <w:p w:rsidR="0060278E" w:rsidRPr="009E6B3C" w:rsidRDefault="0060278E" w:rsidP="009E6B3C">
      <w:pPr>
        <w:pStyle w:val="ListParagraph"/>
        <w:numPr>
          <w:ilvl w:val="1"/>
          <w:numId w:val="1"/>
        </w:numPr>
        <w:tabs>
          <w:tab w:val="num" w:pos="851"/>
        </w:tabs>
        <w:ind w:left="851" w:hanging="851"/>
        <w:rPr>
          <w:rFonts w:ascii="Arial" w:eastAsiaTheme="minorHAnsi" w:hAnsi="Arial" w:cs="Arial"/>
          <w:color w:val="000000"/>
          <w:sz w:val="20"/>
          <w:szCs w:val="20"/>
          <w:lang w:eastAsia="en-US"/>
        </w:rPr>
      </w:pPr>
      <w:r w:rsidRPr="009E6B3C">
        <w:rPr>
          <w:rFonts w:ascii="Arial" w:hAnsi="Arial" w:cs="Arial"/>
          <w:sz w:val="20"/>
          <w:szCs w:val="20"/>
        </w:rPr>
        <w:t xml:space="preserve">Regarding the expedition of high-profile corruption cases, the following noteworthy cases were prioritised: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Gauteng High Court granted an order to seize assets worth R1.4 billion belonging to accused implicated in the corruption scandal involving the construction of Eskom’s Kusile power station. The extradition hearing of former Eskom contractor </w:t>
      </w:r>
      <w:r w:rsidR="004A729D" w:rsidRPr="009E6B3C">
        <w:rPr>
          <w:rFonts w:ascii="Arial" w:hAnsi="Arial" w:cs="Arial"/>
          <w:sz w:val="20"/>
          <w:szCs w:val="20"/>
        </w:rPr>
        <w:t xml:space="preserve">Mr </w:t>
      </w:r>
      <w:r w:rsidRPr="009E6B3C">
        <w:rPr>
          <w:rFonts w:ascii="Arial" w:hAnsi="Arial" w:cs="Arial"/>
          <w:sz w:val="20"/>
          <w:szCs w:val="20"/>
        </w:rPr>
        <w:t xml:space="preserve">Michael Lomas is being heard in London, United Kingdom (UK).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Former Transnet board member </w:t>
      </w:r>
      <w:r w:rsidR="004A729D" w:rsidRPr="009E6B3C">
        <w:rPr>
          <w:rFonts w:ascii="Arial" w:hAnsi="Arial" w:cs="Arial"/>
          <w:sz w:val="20"/>
          <w:szCs w:val="20"/>
        </w:rPr>
        <w:t xml:space="preserve">Mr </w:t>
      </w:r>
      <w:r w:rsidRPr="009E6B3C">
        <w:rPr>
          <w:rFonts w:ascii="Arial" w:hAnsi="Arial" w:cs="Arial"/>
          <w:sz w:val="20"/>
          <w:szCs w:val="20"/>
        </w:rPr>
        <w:t xml:space="preserve">Iqbal Sharma and former senior members of the Free State Department of Agriculture were charged with contraventions of the Public Finance Management Act, 1999, fraud and money laundering.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Bloemfontein High Court granted an unlimited restraint order to the value of R520 million for assets belonging to </w:t>
      </w:r>
      <w:r w:rsidR="004A729D" w:rsidRPr="009E6B3C">
        <w:rPr>
          <w:rFonts w:ascii="Arial" w:hAnsi="Arial" w:cs="Arial"/>
          <w:sz w:val="20"/>
          <w:szCs w:val="20"/>
        </w:rPr>
        <w:t xml:space="preserve">Mr </w:t>
      </w:r>
      <w:r w:rsidRPr="009E6B3C">
        <w:rPr>
          <w:rFonts w:ascii="Arial" w:hAnsi="Arial" w:cs="Arial"/>
          <w:sz w:val="20"/>
          <w:szCs w:val="20"/>
        </w:rPr>
        <w:t xml:space="preserve">Sharma, his company Nulane Investment, and the Gupta family through their company Islandsite.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Free State High Court confirmed a provisional restraint order against </w:t>
      </w:r>
      <w:r w:rsidR="004A729D" w:rsidRPr="009E6B3C">
        <w:rPr>
          <w:rFonts w:ascii="Arial" w:hAnsi="Arial" w:cs="Arial"/>
          <w:sz w:val="20"/>
          <w:szCs w:val="20"/>
        </w:rPr>
        <w:t xml:space="preserve">Mr </w:t>
      </w:r>
      <w:r w:rsidRPr="009E6B3C">
        <w:rPr>
          <w:rFonts w:ascii="Arial" w:hAnsi="Arial" w:cs="Arial"/>
          <w:sz w:val="20"/>
          <w:szCs w:val="20"/>
        </w:rPr>
        <w:t xml:space="preserve">Edwin Sodi and his companies, as well as other accused, to the value of almost R300 million.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The Nelson Mandela Bay Municipality matter, which resulted from a contract with a consultancy firm from the Eastern Cape, was enrolled in July 2021 involving an amount in excess of R25 million.</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The Free State Housing matter involving the Free State Department of Human Settlements was enrolled in August 2021. The value of purchases made are approximately R500 million.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One of the legs of the investigation into the Steinhoff matter has been finalised. </w:t>
      </w:r>
    </w:p>
    <w:p w:rsidR="0060278E" w:rsidRPr="009E6B3C" w:rsidRDefault="0060278E" w:rsidP="009E6B3C">
      <w:pPr>
        <w:pStyle w:val="ListParagraph"/>
        <w:numPr>
          <w:ilvl w:val="0"/>
          <w:numId w:val="6"/>
        </w:numPr>
        <w:autoSpaceDE w:val="0"/>
        <w:autoSpaceDN w:val="0"/>
        <w:adjustRightInd w:val="0"/>
        <w:ind w:left="1276" w:hanging="425"/>
        <w:rPr>
          <w:rFonts w:ascii="Arial" w:eastAsiaTheme="minorHAnsi" w:hAnsi="Arial" w:cs="Arial"/>
          <w:color w:val="000000"/>
          <w:sz w:val="20"/>
          <w:szCs w:val="20"/>
          <w:lang w:eastAsia="en-US"/>
        </w:rPr>
      </w:pPr>
      <w:r w:rsidRPr="009E6B3C">
        <w:rPr>
          <w:rFonts w:ascii="Arial" w:hAnsi="Arial" w:cs="Arial"/>
          <w:sz w:val="20"/>
          <w:szCs w:val="20"/>
        </w:rPr>
        <w:t xml:space="preserve">A Mutual Legal Assistance (MLA) request to one of the foreign authorities was submitted; another MLA, to a different foreign authority, is in the process of being transmitted. </w:t>
      </w:r>
    </w:p>
    <w:p w:rsidR="0060278E" w:rsidRPr="009E6B3C" w:rsidRDefault="0060278E" w:rsidP="009E6B3C">
      <w:pPr>
        <w:pStyle w:val="ListParagraph"/>
        <w:ind w:left="1145"/>
        <w:rPr>
          <w:rFonts w:ascii="Arial" w:eastAsiaTheme="minorHAnsi" w:hAnsi="Arial" w:cs="Arial"/>
          <w:color w:val="000000"/>
          <w:sz w:val="20"/>
          <w:szCs w:val="20"/>
          <w:lang w:eastAsia="en-US"/>
        </w:rPr>
      </w:pPr>
    </w:p>
    <w:p w:rsidR="0060278E" w:rsidRPr="009E6B3C" w:rsidRDefault="0060278E" w:rsidP="009E6B3C">
      <w:pPr>
        <w:pStyle w:val="ListParagraph"/>
        <w:numPr>
          <w:ilvl w:val="1"/>
          <w:numId w:val="1"/>
        </w:numPr>
        <w:tabs>
          <w:tab w:val="num" w:pos="851"/>
        </w:tabs>
        <w:ind w:left="851" w:hanging="851"/>
        <w:rPr>
          <w:rFonts w:ascii="Arial" w:hAnsi="Arial" w:cs="Arial"/>
          <w:sz w:val="20"/>
          <w:szCs w:val="20"/>
        </w:rPr>
      </w:pPr>
      <w:r w:rsidRPr="009E6B3C">
        <w:rPr>
          <w:rFonts w:ascii="Arial" w:hAnsi="Arial" w:cs="Arial"/>
          <w:sz w:val="20"/>
          <w:szCs w:val="20"/>
        </w:rPr>
        <w:t>The I</w:t>
      </w:r>
      <w:r w:rsidR="00772219" w:rsidRPr="009E6B3C">
        <w:rPr>
          <w:rFonts w:ascii="Arial" w:hAnsi="Arial" w:cs="Arial"/>
          <w:sz w:val="20"/>
          <w:szCs w:val="20"/>
        </w:rPr>
        <w:t xml:space="preserve">ndependent </w:t>
      </w:r>
      <w:r w:rsidRPr="009E6B3C">
        <w:rPr>
          <w:rFonts w:ascii="Arial" w:hAnsi="Arial" w:cs="Arial"/>
          <w:sz w:val="20"/>
          <w:szCs w:val="20"/>
        </w:rPr>
        <w:t>D</w:t>
      </w:r>
      <w:r w:rsidR="00772219" w:rsidRPr="009E6B3C">
        <w:rPr>
          <w:rFonts w:ascii="Arial" w:hAnsi="Arial" w:cs="Arial"/>
          <w:sz w:val="20"/>
          <w:szCs w:val="20"/>
        </w:rPr>
        <w:t>irectorate (ID</w:t>
      </w:r>
      <w:r w:rsidR="003B7029" w:rsidRPr="009E6B3C">
        <w:rPr>
          <w:rFonts w:ascii="Arial" w:hAnsi="Arial" w:cs="Arial"/>
          <w:sz w:val="20"/>
          <w:szCs w:val="20"/>
        </w:rPr>
        <w:t xml:space="preserve">) </w:t>
      </w:r>
      <w:r w:rsidRPr="009E6B3C">
        <w:rPr>
          <w:rFonts w:ascii="Arial" w:hAnsi="Arial" w:cs="Arial"/>
          <w:sz w:val="20"/>
          <w:szCs w:val="20"/>
        </w:rPr>
        <w:t>and the D</w:t>
      </w:r>
      <w:r w:rsidR="003B7029" w:rsidRPr="009E6B3C">
        <w:rPr>
          <w:rFonts w:ascii="Arial" w:hAnsi="Arial" w:cs="Arial"/>
          <w:sz w:val="20"/>
          <w:szCs w:val="20"/>
        </w:rPr>
        <w:t xml:space="preserve">irectorate for </w:t>
      </w:r>
      <w:r w:rsidRPr="009E6B3C">
        <w:rPr>
          <w:rFonts w:ascii="Arial" w:hAnsi="Arial" w:cs="Arial"/>
          <w:sz w:val="20"/>
          <w:szCs w:val="20"/>
        </w:rPr>
        <w:t>P</w:t>
      </w:r>
      <w:r w:rsidR="003B7029" w:rsidRPr="009E6B3C">
        <w:rPr>
          <w:rFonts w:ascii="Arial" w:hAnsi="Arial" w:cs="Arial"/>
          <w:sz w:val="20"/>
          <w:szCs w:val="20"/>
        </w:rPr>
        <w:t xml:space="preserve">riority </w:t>
      </w:r>
      <w:r w:rsidRPr="009E6B3C">
        <w:rPr>
          <w:rFonts w:ascii="Arial" w:hAnsi="Arial" w:cs="Arial"/>
          <w:sz w:val="20"/>
          <w:szCs w:val="20"/>
        </w:rPr>
        <w:t>C</w:t>
      </w:r>
      <w:r w:rsidR="003B7029" w:rsidRPr="009E6B3C">
        <w:rPr>
          <w:rFonts w:ascii="Arial" w:hAnsi="Arial" w:cs="Arial"/>
          <w:sz w:val="20"/>
          <w:szCs w:val="20"/>
        </w:rPr>
        <w:t xml:space="preserve">rime </w:t>
      </w:r>
      <w:r w:rsidRPr="009E6B3C">
        <w:rPr>
          <w:rFonts w:ascii="Arial" w:hAnsi="Arial" w:cs="Arial"/>
          <w:sz w:val="20"/>
          <w:szCs w:val="20"/>
        </w:rPr>
        <w:t>I</w:t>
      </w:r>
      <w:r w:rsidR="003B7029" w:rsidRPr="009E6B3C">
        <w:rPr>
          <w:rFonts w:ascii="Arial" w:hAnsi="Arial" w:cs="Arial"/>
          <w:sz w:val="20"/>
          <w:szCs w:val="20"/>
        </w:rPr>
        <w:t>nvestigation</w:t>
      </w:r>
      <w:r w:rsidRPr="009E6B3C">
        <w:rPr>
          <w:rFonts w:ascii="Arial" w:hAnsi="Arial" w:cs="Arial"/>
          <w:sz w:val="20"/>
          <w:szCs w:val="20"/>
        </w:rPr>
        <w:t>, working closely with prosecutors in the S</w:t>
      </w:r>
      <w:r w:rsidR="003B7029" w:rsidRPr="009E6B3C">
        <w:rPr>
          <w:rFonts w:ascii="Arial" w:hAnsi="Arial" w:cs="Arial"/>
          <w:sz w:val="20"/>
          <w:szCs w:val="20"/>
        </w:rPr>
        <w:t xml:space="preserve">pecialised </w:t>
      </w:r>
      <w:r w:rsidRPr="009E6B3C">
        <w:rPr>
          <w:rFonts w:ascii="Arial" w:hAnsi="Arial" w:cs="Arial"/>
          <w:sz w:val="20"/>
          <w:szCs w:val="20"/>
        </w:rPr>
        <w:t>C</w:t>
      </w:r>
      <w:r w:rsidR="003B7029" w:rsidRPr="009E6B3C">
        <w:rPr>
          <w:rFonts w:ascii="Arial" w:hAnsi="Arial" w:cs="Arial"/>
          <w:sz w:val="20"/>
          <w:szCs w:val="20"/>
        </w:rPr>
        <w:t xml:space="preserve">ommercial Crime </w:t>
      </w:r>
      <w:r w:rsidRPr="009E6B3C">
        <w:rPr>
          <w:rFonts w:ascii="Arial" w:hAnsi="Arial" w:cs="Arial"/>
          <w:sz w:val="20"/>
          <w:szCs w:val="20"/>
        </w:rPr>
        <w:t>U</w:t>
      </w:r>
      <w:r w:rsidR="003B7029" w:rsidRPr="009E6B3C">
        <w:rPr>
          <w:rFonts w:ascii="Arial" w:hAnsi="Arial" w:cs="Arial"/>
          <w:sz w:val="20"/>
          <w:szCs w:val="20"/>
        </w:rPr>
        <w:t>nit</w:t>
      </w:r>
      <w:r w:rsidRPr="009E6B3C">
        <w:rPr>
          <w:rFonts w:ascii="Arial" w:hAnsi="Arial" w:cs="Arial"/>
          <w:sz w:val="20"/>
          <w:szCs w:val="20"/>
        </w:rPr>
        <w:t xml:space="preserve">, are investigating the matters arising from the Zondo Commission reports. The NPA Task Force is coordinating activities and responses between the various role players. The NPA has made submissions to the Minister on creating a permanent ID in the NPA focusing on high profile and complex corruption-related </w:t>
      </w:r>
      <w:r w:rsidRPr="009E6B3C">
        <w:rPr>
          <w:rFonts w:ascii="Arial" w:hAnsi="Arial" w:cs="Arial"/>
          <w:sz w:val="20"/>
          <w:szCs w:val="20"/>
        </w:rPr>
        <w:lastRenderedPageBreak/>
        <w:t xml:space="preserve">matters, and for the creation of permanent investigator posts, where </w:t>
      </w:r>
      <w:r w:rsidR="003B7029" w:rsidRPr="009E6B3C">
        <w:rPr>
          <w:rFonts w:ascii="Arial" w:hAnsi="Arial" w:cs="Arial"/>
          <w:sz w:val="20"/>
          <w:szCs w:val="20"/>
        </w:rPr>
        <w:t>the</w:t>
      </w:r>
      <w:r w:rsidRPr="009E6B3C">
        <w:rPr>
          <w:rFonts w:ascii="Arial" w:hAnsi="Arial" w:cs="Arial"/>
          <w:sz w:val="20"/>
          <w:szCs w:val="20"/>
        </w:rPr>
        <w:t xml:space="preserve"> investigators have full criminal investigating powers in terms of the Criminal Procedure Act, 1977 (CPA). In this way, the ID can effectively deal with investigations authorised by the Investigating Director. </w:t>
      </w:r>
    </w:p>
    <w:p w:rsidR="0060278E" w:rsidRPr="009E6B3C" w:rsidRDefault="0060278E" w:rsidP="009E6B3C">
      <w:pPr>
        <w:pStyle w:val="ListParagraph"/>
        <w:ind w:left="851"/>
        <w:rPr>
          <w:rFonts w:ascii="Arial" w:hAnsi="Arial" w:cs="Arial"/>
          <w:sz w:val="20"/>
          <w:szCs w:val="20"/>
        </w:rPr>
      </w:pPr>
    </w:p>
    <w:p w:rsidR="0060278E" w:rsidRPr="009E6B3C" w:rsidRDefault="0060278E" w:rsidP="009E6B3C">
      <w:pPr>
        <w:pStyle w:val="ListParagraph"/>
        <w:numPr>
          <w:ilvl w:val="1"/>
          <w:numId w:val="1"/>
        </w:numPr>
        <w:tabs>
          <w:tab w:val="num" w:pos="851"/>
        </w:tabs>
        <w:ind w:left="851" w:hanging="851"/>
        <w:rPr>
          <w:rFonts w:ascii="Arial" w:hAnsi="Arial" w:cs="Arial"/>
          <w:sz w:val="20"/>
          <w:szCs w:val="20"/>
        </w:rPr>
      </w:pPr>
      <w:r w:rsidRPr="009E6B3C">
        <w:rPr>
          <w:rFonts w:ascii="Arial" w:hAnsi="Arial" w:cs="Arial"/>
          <w:sz w:val="20"/>
          <w:szCs w:val="20"/>
        </w:rPr>
        <w:t>In addition to prioritising high-level corruption matters, the NPA has maintained its focus on several other serious violent and organised crimes, including:</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A Gender Based Violent Crimes training module and strategic plan was developed.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A National Organised Crime strategy was approved after extensive consultation.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A list of priority organised crime cases was developed.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A Sexual Offences and Community Affairs (SOCA) media plan was formulated and activated nationally.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Five additional Thuthuzela Care Centres (TCCs) were established bringing the total to 60.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Femicide, child murder and lesbian, gay, bisexual, transgender, queer and intersexed (LGBTQI+) databases were maintained. </w:t>
      </w:r>
      <w:r w:rsidR="004A729D" w:rsidRPr="009E6B3C">
        <w:rPr>
          <w:rFonts w:ascii="Arial" w:hAnsi="Arial" w:cs="Arial"/>
          <w:sz w:val="20"/>
          <w:szCs w:val="20"/>
        </w:rPr>
        <w:t xml:space="preserve">The NPA’s </w:t>
      </w:r>
      <w:r w:rsidRPr="009E6B3C">
        <w:rPr>
          <w:rFonts w:ascii="Arial" w:hAnsi="Arial" w:cs="Arial"/>
          <w:sz w:val="20"/>
          <w:szCs w:val="20"/>
        </w:rPr>
        <w:t>S</w:t>
      </w:r>
      <w:r w:rsidR="004A729D" w:rsidRPr="009E6B3C">
        <w:rPr>
          <w:rFonts w:ascii="Arial" w:hAnsi="Arial" w:cs="Arial"/>
          <w:sz w:val="20"/>
          <w:szCs w:val="20"/>
        </w:rPr>
        <w:t xml:space="preserve">exual </w:t>
      </w:r>
      <w:r w:rsidRPr="009E6B3C">
        <w:rPr>
          <w:rFonts w:ascii="Arial" w:hAnsi="Arial" w:cs="Arial"/>
          <w:sz w:val="20"/>
          <w:szCs w:val="20"/>
        </w:rPr>
        <w:t>O</w:t>
      </w:r>
      <w:r w:rsidR="004A729D" w:rsidRPr="009E6B3C">
        <w:rPr>
          <w:rFonts w:ascii="Arial" w:hAnsi="Arial" w:cs="Arial"/>
          <w:sz w:val="20"/>
          <w:szCs w:val="20"/>
        </w:rPr>
        <w:t xml:space="preserve">ffences </w:t>
      </w:r>
      <w:r w:rsidRPr="009E6B3C">
        <w:rPr>
          <w:rFonts w:ascii="Arial" w:hAnsi="Arial" w:cs="Arial"/>
          <w:sz w:val="20"/>
          <w:szCs w:val="20"/>
        </w:rPr>
        <w:t>C</w:t>
      </w:r>
      <w:r w:rsidR="004A729D" w:rsidRPr="009E6B3C">
        <w:rPr>
          <w:rFonts w:ascii="Arial" w:hAnsi="Arial" w:cs="Arial"/>
          <w:sz w:val="20"/>
          <w:szCs w:val="20"/>
        </w:rPr>
        <w:t xml:space="preserve">ommunity </w:t>
      </w:r>
      <w:r w:rsidRPr="009E6B3C">
        <w:rPr>
          <w:rFonts w:ascii="Arial" w:hAnsi="Arial" w:cs="Arial"/>
          <w:sz w:val="20"/>
          <w:szCs w:val="20"/>
        </w:rPr>
        <w:t>A</w:t>
      </w:r>
      <w:r w:rsidR="004A729D" w:rsidRPr="009E6B3C">
        <w:rPr>
          <w:rFonts w:ascii="Arial" w:hAnsi="Arial" w:cs="Arial"/>
          <w:sz w:val="20"/>
          <w:szCs w:val="20"/>
        </w:rPr>
        <w:t>ffairs Unit</w:t>
      </w:r>
      <w:r w:rsidRPr="009E6B3C">
        <w:rPr>
          <w:rFonts w:ascii="Arial" w:hAnsi="Arial" w:cs="Arial"/>
          <w:sz w:val="20"/>
          <w:szCs w:val="20"/>
        </w:rPr>
        <w:t xml:space="preserve"> is monitoring case progress, finalised prosecutions and the conviction rate</w:t>
      </w:r>
      <w:r w:rsidR="007A7737" w:rsidRPr="009E6B3C">
        <w:rPr>
          <w:rFonts w:ascii="Arial" w:hAnsi="Arial" w:cs="Arial"/>
          <w:sz w:val="20"/>
          <w:szCs w:val="20"/>
        </w:rPr>
        <w:t>s</w:t>
      </w:r>
      <w:r w:rsidRPr="009E6B3C">
        <w:rPr>
          <w:rFonts w:ascii="Arial" w:hAnsi="Arial" w:cs="Arial"/>
          <w:sz w:val="20"/>
          <w:szCs w:val="20"/>
        </w:rPr>
        <w:t xml:space="preserve">. </w:t>
      </w:r>
    </w:p>
    <w:p w:rsidR="0060278E" w:rsidRPr="009E6B3C" w:rsidRDefault="0060278E" w:rsidP="009E6B3C">
      <w:pPr>
        <w:pStyle w:val="ListParagraph"/>
        <w:numPr>
          <w:ilvl w:val="0"/>
          <w:numId w:val="6"/>
        </w:numPr>
        <w:autoSpaceDE w:val="0"/>
        <w:autoSpaceDN w:val="0"/>
        <w:adjustRightInd w:val="0"/>
        <w:ind w:left="1276" w:hanging="425"/>
        <w:rPr>
          <w:rFonts w:ascii="Arial" w:hAnsi="Arial" w:cs="Arial"/>
          <w:sz w:val="20"/>
          <w:szCs w:val="20"/>
        </w:rPr>
      </w:pPr>
      <w:r w:rsidRPr="009E6B3C">
        <w:rPr>
          <w:rFonts w:ascii="Arial" w:hAnsi="Arial" w:cs="Arial"/>
          <w:sz w:val="20"/>
          <w:szCs w:val="20"/>
        </w:rPr>
        <w:t xml:space="preserve">A Deoxyribonucleic Acid (DNA) prioritisation task team was established. A DNA protocol was developed and is in place to ensure the acceleration of the backlog of DNA matters on the court roll. The project has been very successful, as reported under the activities of the National Prosecutions Service (NPS). </w:t>
      </w:r>
    </w:p>
    <w:p w:rsidR="00984CD3" w:rsidRPr="009E6B3C" w:rsidRDefault="00984CD3" w:rsidP="009E6B3C">
      <w:pPr>
        <w:pStyle w:val="ListParagraph"/>
        <w:ind w:left="851"/>
        <w:rPr>
          <w:rFonts w:ascii="Arial" w:hAnsi="Arial" w:cs="Arial"/>
          <w:sz w:val="20"/>
          <w:szCs w:val="20"/>
        </w:rPr>
      </w:pPr>
    </w:p>
    <w:p w:rsidR="0060278E" w:rsidRPr="009E6B3C" w:rsidRDefault="0060278E" w:rsidP="009E6B3C">
      <w:pPr>
        <w:pStyle w:val="ListParagraph"/>
        <w:numPr>
          <w:ilvl w:val="1"/>
          <w:numId w:val="1"/>
        </w:numPr>
        <w:tabs>
          <w:tab w:val="num" w:pos="851"/>
        </w:tabs>
        <w:ind w:left="851" w:hanging="851"/>
        <w:rPr>
          <w:rFonts w:ascii="Arial" w:hAnsi="Arial" w:cs="Arial"/>
          <w:b/>
          <w:i/>
          <w:sz w:val="20"/>
          <w:szCs w:val="20"/>
        </w:rPr>
      </w:pPr>
      <w:r w:rsidRPr="009E6B3C">
        <w:rPr>
          <w:rFonts w:ascii="Arial" w:hAnsi="Arial" w:cs="Arial"/>
          <w:b/>
          <w:i/>
          <w:sz w:val="20"/>
          <w:szCs w:val="20"/>
        </w:rPr>
        <w:t>Human Resources</w:t>
      </w:r>
    </w:p>
    <w:p w:rsidR="0060278E" w:rsidRPr="009E6B3C" w:rsidRDefault="0060278E" w:rsidP="009E6B3C">
      <w:pPr>
        <w:pStyle w:val="ListParagraph"/>
        <w:ind w:left="851"/>
        <w:rPr>
          <w:rFonts w:ascii="Arial" w:hAnsi="Arial" w:cs="Arial"/>
          <w:sz w:val="20"/>
          <w:szCs w:val="20"/>
        </w:rPr>
      </w:pPr>
    </w:p>
    <w:p w:rsidR="0060278E" w:rsidRPr="009E6B3C" w:rsidRDefault="0060278E" w:rsidP="009E6B3C">
      <w:pPr>
        <w:pStyle w:val="ListParagraph"/>
        <w:numPr>
          <w:ilvl w:val="2"/>
          <w:numId w:val="53"/>
        </w:numPr>
        <w:ind w:left="851" w:hanging="851"/>
        <w:rPr>
          <w:rFonts w:ascii="Arial" w:hAnsi="Arial" w:cs="Arial"/>
          <w:sz w:val="20"/>
          <w:szCs w:val="20"/>
        </w:rPr>
      </w:pPr>
      <w:r w:rsidRPr="009E6B3C">
        <w:rPr>
          <w:rFonts w:ascii="Arial" w:hAnsi="Arial" w:cs="Arial"/>
          <w:sz w:val="20"/>
          <w:szCs w:val="20"/>
        </w:rPr>
        <w:t>As at 31 March 2022, the NPA had an establishment of 5 990 of which 5 473 have been filled, resulting in an 8.6% vacancy rate.</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3"/>
        </w:numPr>
        <w:ind w:left="851" w:hanging="851"/>
        <w:rPr>
          <w:rFonts w:ascii="Arial" w:hAnsi="Arial" w:cs="Arial"/>
          <w:sz w:val="20"/>
          <w:szCs w:val="20"/>
        </w:rPr>
      </w:pPr>
      <w:r w:rsidRPr="009E6B3C">
        <w:rPr>
          <w:rFonts w:ascii="Arial" w:hAnsi="Arial" w:cs="Arial"/>
          <w:sz w:val="20"/>
          <w:szCs w:val="20"/>
        </w:rPr>
        <w:t xml:space="preserve">From the start of the recruitment drive during October 2019 until 31 May 2022, the NPA has advertised 2473 permanent posts and made 1 890 permanent appointments. Of the 1 890 permanent appointments made, 942 were external appointments, while 948 internal employees were promoted or transferred. During the same period, 406 contract appointments were made.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3"/>
        </w:numPr>
        <w:ind w:left="851" w:hanging="851"/>
        <w:rPr>
          <w:rFonts w:ascii="Arial" w:hAnsi="Arial" w:cs="Arial"/>
          <w:sz w:val="20"/>
          <w:szCs w:val="20"/>
        </w:rPr>
      </w:pPr>
      <w:r w:rsidRPr="009E6B3C">
        <w:rPr>
          <w:rFonts w:ascii="Arial" w:hAnsi="Arial" w:cs="Arial"/>
          <w:sz w:val="20"/>
          <w:szCs w:val="20"/>
        </w:rPr>
        <w:t xml:space="preserve">Concerning the Aspirant Prosecutor Programme, there was an intake of 425 </w:t>
      </w:r>
      <w:r w:rsidR="007A7737" w:rsidRPr="009E6B3C">
        <w:rPr>
          <w:rFonts w:ascii="Arial" w:hAnsi="Arial" w:cs="Arial"/>
          <w:sz w:val="20"/>
          <w:szCs w:val="20"/>
        </w:rPr>
        <w:t xml:space="preserve">aspirant prosecutors </w:t>
      </w:r>
      <w:r w:rsidRPr="009E6B3C">
        <w:rPr>
          <w:rFonts w:ascii="Arial" w:hAnsi="Arial" w:cs="Arial"/>
          <w:sz w:val="20"/>
          <w:szCs w:val="20"/>
        </w:rPr>
        <w:t xml:space="preserve">in January 2021. Of this number, 286 were absorbed permanently as District Court Prosecutors. The 2022 Aspirant Prosecutor intake is 308 </w:t>
      </w:r>
      <w:r w:rsidR="007A7737" w:rsidRPr="009E6B3C">
        <w:rPr>
          <w:rFonts w:ascii="Arial" w:hAnsi="Arial" w:cs="Arial"/>
          <w:sz w:val="20"/>
          <w:szCs w:val="20"/>
        </w:rPr>
        <w:t>a</w:t>
      </w:r>
      <w:r w:rsidRPr="009E6B3C">
        <w:rPr>
          <w:rFonts w:ascii="Arial" w:hAnsi="Arial" w:cs="Arial"/>
          <w:sz w:val="20"/>
          <w:szCs w:val="20"/>
        </w:rPr>
        <w:t>spirant</w:t>
      </w:r>
      <w:r w:rsidR="007A7737" w:rsidRPr="009E6B3C">
        <w:rPr>
          <w:rFonts w:ascii="Arial" w:hAnsi="Arial" w:cs="Arial"/>
          <w:sz w:val="20"/>
          <w:szCs w:val="20"/>
        </w:rPr>
        <w:t xml:space="preserve"> prosecutors.</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1"/>
          <w:numId w:val="1"/>
        </w:numPr>
        <w:tabs>
          <w:tab w:val="num" w:pos="851"/>
        </w:tabs>
        <w:ind w:left="851" w:hanging="851"/>
        <w:rPr>
          <w:rFonts w:ascii="Arial" w:hAnsi="Arial" w:cs="Arial"/>
          <w:i/>
          <w:sz w:val="20"/>
          <w:szCs w:val="20"/>
        </w:rPr>
      </w:pPr>
      <w:r w:rsidRPr="009E6B3C">
        <w:rPr>
          <w:rFonts w:ascii="Arial" w:hAnsi="Arial" w:cs="Arial"/>
          <w:b/>
          <w:i/>
          <w:sz w:val="20"/>
          <w:szCs w:val="20"/>
        </w:rPr>
        <w:t xml:space="preserve">Allocation and </w:t>
      </w:r>
      <w:r w:rsidR="00012D16" w:rsidRPr="009E6B3C">
        <w:rPr>
          <w:rFonts w:ascii="Arial" w:hAnsi="Arial" w:cs="Arial"/>
          <w:b/>
          <w:i/>
          <w:sz w:val="20"/>
          <w:szCs w:val="20"/>
        </w:rPr>
        <w:t>expenditure</w:t>
      </w:r>
      <w:r w:rsidRPr="009E6B3C">
        <w:rPr>
          <w:rFonts w:ascii="Arial" w:hAnsi="Arial" w:cs="Arial"/>
          <w:b/>
          <w:i/>
          <w:sz w:val="20"/>
          <w:szCs w:val="20"/>
        </w:rPr>
        <w:t xml:space="preserve"> 2021/22</w:t>
      </w:r>
      <w:r w:rsidR="008A4AC6" w:rsidRPr="009E6B3C">
        <w:rPr>
          <w:rFonts w:ascii="Arial" w:hAnsi="Arial" w:cs="Arial"/>
          <w:b/>
          <w:i/>
          <w:sz w:val="20"/>
          <w:szCs w:val="20"/>
        </w:rPr>
        <w:t xml:space="preserve"> and 2022/23</w:t>
      </w:r>
    </w:p>
    <w:p w:rsidR="007A7737" w:rsidRPr="009E6B3C" w:rsidRDefault="007A7737" w:rsidP="009E6B3C">
      <w:pPr>
        <w:pStyle w:val="ListParagraph"/>
        <w:ind w:left="851"/>
        <w:rPr>
          <w:rFonts w:ascii="Arial" w:hAnsi="Arial" w:cs="Arial"/>
          <w:sz w:val="20"/>
          <w:szCs w:val="20"/>
        </w:rPr>
      </w:pPr>
    </w:p>
    <w:p w:rsidR="0060278E" w:rsidRPr="009E6B3C" w:rsidRDefault="0060278E" w:rsidP="009E6B3C">
      <w:pPr>
        <w:pStyle w:val="ListParagraph"/>
        <w:numPr>
          <w:ilvl w:val="2"/>
          <w:numId w:val="58"/>
        </w:numPr>
        <w:ind w:left="851"/>
        <w:rPr>
          <w:rFonts w:ascii="Arial" w:hAnsi="Arial" w:cs="Arial"/>
          <w:sz w:val="20"/>
          <w:szCs w:val="20"/>
        </w:rPr>
      </w:pPr>
      <w:r w:rsidRPr="009E6B3C">
        <w:rPr>
          <w:rFonts w:ascii="Arial" w:hAnsi="Arial" w:cs="Arial"/>
          <w:sz w:val="20"/>
          <w:szCs w:val="20"/>
        </w:rPr>
        <w:t>The NPA was allocated R4.62 billion in 2021/22, compared to R4.3 billion in 2020/21, and spent R4.61 billion (or 99.72%) of the final budget, underspending by R13.2 million.</w:t>
      </w:r>
    </w:p>
    <w:p w:rsidR="0060278E" w:rsidRPr="009E6B3C" w:rsidRDefault="0060278E" w:rsidP="009E6B3C">
      <w:pPr>
        <w:pStyle w:val="ListParagraph"/>
        <w:ind w:left="851"/>
        <w:rPr>
          <w:rFonts w:ascii="Arial" w:hAnsi="Arial" w:cs="Arial"/>
          <w:sz w:val="20"/>
          <w:szCs w:val="20"/>
        </w:rPr>
      </w:pPr>
    </w:p>
    <w:p w:rsidR="0060278E" w:rsidRPr="009E6B3C" w:rsidRDefault="0060278E" w:rsidP="009E6B3C">
      <w:pPr>
        <w:pStyle w:val="ListParagraph"/>
        <w:numPr>
          <w:ilvl w:val="2"/>
          <w:numId w:val="58"/>
        </w:numPr>
        <w:ind w:left="851"/>
        <w:rPr>
          <w:rFonts w:ascii="Arial" w:hAnsi="Arial" w:cs="Arial"/>
          <w:sz w:val="20"/>
          <w:szCs w:val="20"/>
        </w:rPr>
      </w:pPr>
      <w:r w:rsidRPr="009E6B3C">
        <w:rPr>
          <w:rFonts w:ascii="Arial" w:hAnsi="Arial" w:cs="Arial"/>
          <w:sz w:val="20"/>
          <w:szCs w:val="20"/>
        </w:rPr>
        <w:t xml:space="preserve">R74 million was shifted from the Department to the NPA in respect of </w:t>
      </w:r>
      <w:r w:rsidRPr="009E6B3C">
        <w:rPr>
          <w:rFonts w:ascii="Arial" w:hAnsi="Arial" w:cs="Arial"/>
          <w:i/>
          <w:sz w:val="20"/>
          <w:szCs w:val="20"/>
        </w:rPr>
        <w:t>Goods and Services</w:t>
      </w:r>
      <w:r w:rsidRPr="009E6B3C">
        <w:rPr>
          <w:rFonts w:ascii="Arial" w:hAnsi="Arial" w:cs="Arial"/>
          <w:sz w:val="20"/>
          <w:szCs w:val="20"/>
        </w:rPr>
        <w:t xml:space="preserve"> related to overspending due to State Attorney payments.</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8"/>
        </w:numPr>
        <w:ind w:left="851"/>
        <w:rPr>
          <w:rFonts w:ascii="Arial" w:hAnsi="Arial" w:cs="Arial"/>
          <w:sz w:val="20"/>
          <w:szCs w:val="20"/>
        </w:rPr>
      </w:pPr>
      <w:r w:rsidRPr="009E6B3C">
        <w:rPr>
          <w:rFonts w:ascii="Arial" w:hAnsi="Arial" w:cs="Arial"/>
          <w:sz w:val="20"/>
          <w:szCs w:val="20"/>
        </w:rPr>
        <w:t xml:space="preserve">The R13.2 million underspending largely relates to </w:t>
      </w:r>
      <w:r w:rsidRPr="009E6B3C">
        <w:rPr>
          <w:rFonts w:ascii="Arial" w:hAnsi="Arial" w:cs="Arial"/>
          <w:i/>
          <w:sz w:val="20"/>
          <w:szCs w:val="20"/>
        </w:rPr>
        <w:t>Machinery and Equipment</w:t>
      </w:r>
      <w:r w:rsidRPr="009E6B3C">
        <w:rPr>
          <w:rFonts w:ascii="Arial" w:hAnsi="Arial" w:cs="Arial"/>
          <w:sz w:val="20"/>
          <w:szCs w:val="20"/>
        </w:rPr>
        <w:t xml:space="preserve"> (R12 million) due to delays by the service provider in the delivering laptops before the end of the financial year.</w:t>
      </w:r>
    </w:p>
    <w:p w:rsidR="0060278E" w:rsidRPr="009E6B3C" w:rsidRDefault="0060278E" w:rsidP="009E6B3C">
      <w:pPr>
        <w:pStyle w:val="ListParagraph"/>
        <w:ind w:left="851"/>
        <w:rPr>
          <w:rFonts w:ascii="Arial" w:hAnsi="Arial" w:cs="Arial"/>
          <w:sz w:val="20"/>
          <w:szCs w:val="20"/>
        </w:rPr>
      </w:pPr>
    </w:p>
    <w:p w:rsidR="0060278E" w:rsidRPr="009E6B3C" w:rsidRDefault="0060278E" w:rsidP="009E6B3C">
      <w:pPr>
        <w:pStyle w:val="ListParagraph"/>
        <w:numPr>
          <w:ilvl w:val="2"/>
          <w:numId w:val="58"/>
        </w:numPr>
        <w:ind w:left="851"/>
        <w:rPr>
          <w:rFonts w:ascii="Arial" w:hAnsi="Arial" w:cs="Arial"/>
          <w:sz w:val="20"/>
          <w:szCs w:val="20"/>
        </w:rPr>
      </w:pPr>
      <w:r w:rsidRPr="009E6B3C">
        <w:rPr>
          <w:rFonts w:ascii="Arial" w:hAnsi="Arial" w:cs="Arial"/>
          <w:sz w:val="20"/>
          <w:szCs w:val="20"/>
        </w:rPr>
        <w:t xml:space="preserve">The budget reflects the focus of the NPA on its core mandate, with 79.34% of the total budget allocation spent on the NPS. The SOC provides centralised support services, such as security, fleet and ITC services, for which 12.58% of the total budget allocation was spent.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58"/>
        </w:numPr>
        <w:ind w:left="851"/>
        <w:rPr>
          <w:rFonts w:ascii="Arial" w:hAnsi="Arial" w:cs="Arial"/>
          <w:sz w:val="20"/>
          <w:szCs w:val="20"/>
        </w:rPr>
      </w:pPr>
      <w:r w:rsidRPr="009E6B3C">
        <w:rPr>
          <w:rFonts w:ascii="Arial" w:hAnsi="Arial" w:cs="Arial"/>
          <w:sz w:val="20"/>
          <w:szCs w:val="20"/>
        </w:rPr>
        <w:t>Additional funding of R1.8 billion has been requested through the MTEF process to enable the NPA to continue with the fight against crime and corruption.</w:t>
      </w:r>
    </w:p>
    <w:p w:rsidR="0060278E" w:rsidRPr="009E6B3C" w:rsidRDefault="0060278E" w:rsidP="009E6B3C">
      <w:pPr>
        <w:rPr>
          <w:rFonts w:ascii="Arial" w:hAnsi="Arial" w:cs="Arial"/>
          <w:sz w:val="20"/>
          <w:szCs w:val="20"/>
        </w:rPr>
      </w:pPr>
    </w:p>
    <w:p w:rsidR="0060278E" w:rsidRPr="009E6B3C" w:rsidRDefault="0060278E" w:rsidP="009E6B3C">
      <w:pPr>
        <w:pStyle w:val="ListParagraph"/>
        <w:numPr>
          <w:ilvl w:val="2"/>
          <w:numId w:val="58"/>
        </w:numPr>
        <w:ind w:left="851"/>
        <w:rPr>
          <w:rFonts w:ascii="Arial" w:hAnsi="Arial" w:cs="Arial"/>
          <w:bCs/>
          <w:sz w:val="20"/>
          <w:szCs w:val="20"/>
        </w:rPr>
      </w:pPr>
      <w:r w:rsidRPr="009E6B3C">
        <w:rPr>
          <w:rFonts w:ascii="Arial" w:hAnsi="Arial" w:cs="Arial"/>
          <w:bCs/>
          <w:sz w:val="20"/>
          <w:szCs w:val="20"/>
        </w:rPr>
        <w:t xml:space="preserve">The NPA is allocated R4.9 billion for 2022/23, compared with R4.6 billion in 2021/22. The NPA receives an additional R1.1 billion over the medium term, as follows: R422.7 million in 2022/23; R327.3 million in 2023/24 and R342.05 million in 2024/25. Specifically, an allocation of R393 million over the medium term is made to the Investigating Directorate sub-programme. The NPS sub-programme accounts for 77.21% of the 2022/23 budget. </w:t>
      </w:r>
    </w:p>
    <w:p w:rsidR="0060278E" w:rsidRPr="009E6B3C" w:rsidRDefault="0060278E" w:rsidP="009E6B3C">
      <w:pPr>
        <w:pStyle w:val="ListParagraph"/>
        <w:rPr>
          <w:rFonts w:ascii="Arial" w:hAnsi="Arial" w:cs="Arial"/>
          <w:bCs/>
          <w:sz w:val="20"/>
          <w:szCs w:val="20"/>
        </w:rPr>
      </w:pPr>
    </w:p>
    <w:p w:rsidR="0060278E" w:rsidRPr="009E6B3C" w:rsidRDefault="00012D16" w:rsidP="009E6B3C">
      <w:pPr>
        <w:rPr>
          <w:rFonts w:ascii="Arial" w:hAnsi="Arial" w:cs="Arial"/>
          <w:b/>
          <w:bCs/>
          <w:i/>
          <w:sz w:val="20"/>
          <w:szCs w:val="20"/>
        </w:rPr>
      </w:pPr>
      <w:r w:rsidRPr="009E6B3C">
        <w:rPr>
          <w:rFonts w:ascii="Arial" w:hAnsi="Arial" w:cs="Arial"/>
          <w:b/>
          <w:bCs/>
          <w:i/>
          <w:sz w:val="20"/>
          <w:szCs w:val="20"/>
        </w:rPr>
        <w:t>Table 14</w:t>
      </w:r>
      <w:r w:rsidR="008A4AC6" w:rsidRPr="009E6B3C">
        <w:rPr>
          <w:rFonts w:ascii="Arial" w:hAnsi="Arial" w:cs="Arial"/>
          <w:b/>
          <w:bCs/>
          <w:i/>
          <w:sz w:val="20"/>
          <w:szCs w:val="20"/>
        </w:rPr>
        <w:t xml:space="preserve">: </w:t>
      </w:r>
      <w:r w:rsidR="0060278E" w:rsidRPr="009E6B3C">
        <w:rPr>
          <w:rFonts w:ascii="Arial" w:hAnsi="Arial" w:cs="Arial"/>
          <w:b/>
          <w:bCs/>
          <w:i/>
          <w:sz w:val="20"/>
          <w:szCs w:val="20"/>
        </w:rPr>
        <w:t>NPA: Allocation for 2022 MTEF</w:t>
      </w:r>
    </w:p>
    <w:tbl>
      <w:tblPr>
        <w:tblStyle w:val="TableGrid"/>
        <w:tblW w:w="5000" w:type="pct"/>
        <w:tblLook w:val="04A0"/>
      </w:tblPr>
      <w:tblGrid>
        <w:gridCol w:w="3978"/>
        <w:gridCol w:w="1854"/>
        <w:gridCol w:w="1265"/>
        <w:gridCol w:w="1265"/>
        <w:gridCol w:w="1265"/>
      </w:tblGrid>
      <w:tr w:rsidR="0060278E" w:rsidRPr="009E6B3C" w:rsidTr="007A0C1F">
        <w:tc>
          <w:tcPr>
            <w:tcW w:w="2066" w:type="pct"/>
            <w:vMerge w:val="restart"/>
            <w:shd w:val="clear" w:color="auto" w:fill="D9D9D9" w:themeFill="background1" w:themeFillShade="D9"/>
          </w:tcPr>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Sub-programme</w:t>
            </w:r>
          </w:p>
          <w:p w:rsidR="0060278E" w:rsidRPr="009E6B3C" w:rsidRDefault="0060278E" w:rsidP="009E6B3C">
            <w:pPr>
              <w:pStyle w:val="ListParagraph"/>
              <w:ind w:left="0"/>
              <w:rPr>
                <w:rFonts w:ascii="Arial" w:hAnsi="Arial" w:cs="Arial"/>
                <w:b/>
                <w:bCs/>
                <w:caps/>
                <w:sz w:val="20"/>
                <w:szCs w:val="20"/>
              </w:rPr>
            </w:pPr>
          </w:p>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R’000</w:t>
            </w:r>
            <w:r w:rsidR="003B7029" w:rsidRPr="009E6B3C">
              <w:rPr>
                <w:rFonts w:ascii="Arial" w:hAnsi="Arial" w:cs="Arial"/>
                <w:b/>
                <w:bCs/>
                <w:caps/>
                <w:sz w:val="20"/>
                <w:szCs w:val="20"/>
              </w:rPr>
              <w:t xml:space="preserve"> 000</w:t>
            </w:r>
          </w:p>
        </w:tc>
        <w:tc>
          <w:tcPr>
            <w:tcW w:w="2934" w:type="pct"/>
            <w:gridSpan w:val="4"/>
            <w:shd w:val="clear" w:color="auto" w:fill="D9D9D9" w:themeFill="background1" w:themeFillShade="D9"/>
          </w:tcPr>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Budget</w:t>
            </w:r>
          </w:p>
        </w:tc>
      </w:tr>
      <w:tr w:rsidR="0060278E" w:rsidRPr="009E6B3C" w:rsidTr="007A0C1F">
        <w:tc>
          <w:tcPr>
            <w:tcW w:w="2066" w:type="pct"/>
            <w:vMerge/>
            <w:shd w:val="clear" w:color="auto" w:fill="D9D9D9" w:themeFill="background1" w:themeFillShade="D9"/>
          </w:tcPr>
          <w:p w:rsidR="0060278E" w:rsidRPr="009E6B3C" w:rsidRDefault="0060278E" w:rsidP="009E6B3C">
            <w:pPr>
              <w:pStyle w:val="ListParagraph"/>
              <w:ind w:left="0"/>
              <w:rPr>
                <w:rFonts w:ascii="Arial" w:hAnsi="Arial" w:cs="Arial"/>
                <w:bCs/>
                <w:caps/>
                <w:sz w:val="20"/>
                <w:szCs w:val="20"/>
              </w:rPr>
            </w:pPr>
          </w:p>
        </w:tc>
        <w:tc>
          <w:tcPr>
            <w:tcW w:w="963" w:type="pct"/>
            <w:shd w:val="clear" w:color="auto" w:fill="D9D9D9" w:themeFill="background1" w:themeFillShade="D9"/>
          </w:tcPr>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2021/22</w:t>
            </w:r>
          </w:p>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Adjusted</w:t>
            </w:r>
          </w:p>
        </w:tc>
        <w:tc>
          <w:tcPr>
            <w:tcW w:w="657" w:type="pct"/>
            <w:shd w:val="clear" w:color="auto" w:fill="D9D9D9" w:themeFill="background1" w:themeFillShade="D9"/>
          </w:tcPr>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2022/23</w:t>
            </w:r>
          </w:p>
        </w:tc>
        <w:tc>
          <w:tcPr>
            <w:tcW w:w="657" w:type="pct"/>
            <w:shd w:val="clear" w:color="auto" w:fill="D9D9D9" w:themeFill="background1" w:themeFillShade="D9"/>
          </w:tcPr>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2023/24</w:t>
            </w:r>
          </w:p>
        </w:tc>
        <w:tc>
          <w:tcPr>
            <w:tcW w:w="658" w:type="pct"/>
            <w:shd w:val="clear" w:color="auto" w:fill="D9D9D9" w:themeFill="background1" w:themeFillShade="D9"/>
          </w:tcPr>
          <w:p w:rsidR="0060278E" w:rsidRPr="009E6B3C" w:rsidRDefault="0060278E" w:rsidP="009E6B3C">
            <w:pPr>
              <w:pStyle w:val="ListParagraph"/>
              <w:ind w:left="0"/>
              <w:rPr>
                <w:rFonts w:ascii="Arial" w:hAnsi="Arial" w:cs="Arial"/>
                <w:b/>
                <w:bCs/>
                <w:caps/>
                <w:sz w:val="20"/>
                <w:szCs w:val="20"/>
              </w:rPr>
            </w:pPr>
            <w:r w:rsidRPr="009E6B3C">
              <w:rPr>
                <w:rFonts w:ascii="Arial" w:hAnsi="Arial" w:cs="Arial"/>
                <w:b/>
                <w:bCs/>
                <w:caps/>
                <w:sz w:val="20"/>
                <w:szCs w:val="20"/>
              </w:rPr>
              <w:t>2024/25</w:t>
            </w:r>
          </w:p>
        </w:tc>
      </w:tr>
      <w:tr w:rsidR="0060278E" w:rsidRPr="009E6B3C" w:rsidTr="007A0C1F">
        <w:tc>
          <w:tcPr>
            <w:tcW w:w="2066"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National Prosecutions Service</w:t>
            </w:r>
          </w:p>
        </w:tc>
        <w:tc>
          <w:tcPr>
            <w:tcW w:w="963"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3 507.3</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3 706.4</w:t>
            </w:r>
          </w:p>
        </w:tc>
        <w:tc>
          <w:tcPr>
            <w:tcW w:w="657"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3 666.7</w:t>
            </w:r>
          </w:p>
        </w:tc>
        <w:tc>
          <w:tcPr>
            <w:tcW w:w="658"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3 871.4</w:t>
            </w:r>
          </w:p>
        </w:tc>
      </w:tr>
      <w:tr w:rsidR="0060278E" w:rsidRPr="009E6B3C" w:rsidTr="007A0C1F">
        <w:tc>
          <w:tcPr>
            <w:tcW w:w="2066"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Investigating Directorate</w:t>
            </w:r>
          </w:p>
        </w:tc>
        <w:tc>
          <w:tcPr>
            <w:tcW w:w="963"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106.4</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243.6</w:t>
            </w:r>
          </w:p>
        </w:tc>
        <w:tc>
          <w:tcPr>
            <w:tcW w:w="657"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236.1</w:t>
            </w:r>
          </w:p>
        </w:tc>
        <w:tc>
          <w:tcPr>
            <w:tcW w:w="658"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246.7</w:t>
            </w:r>
          </w:p>
        </w:tc>
      </w:tr>
      <w:tr w:rsidR="0060278E" w:rsidRPr="009E6B3C" w:rsidTr="007A0C1F">
        <w:tc>
          <w:tcPr>
            <w:tcW w:w="2066"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Asset Forfeiture Unit</w:t>
            </w:r>
          </w:p>
        </w:tc>
        <w:tc>
          <w:tcPr>
            <w:tcW w:w="963"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195.2</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212.4</w:t>
            </w:r>
          </w:p>
        </w:tc>
        <w:tc>
          <w:tcPr>
            <w:tcW w:w="657"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210.2</w:t>
            </w:r>
          </w:p>
        </w:tc>
        <w:tc>
          <w:tcPr>
            <w:tcW w:w="658"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219.7</w:t>
            </w:r>
          </w:p>
        </w:tc>
      </w:tr>
      <w:tr w:rsidR="0060278E" w:rsidRPr="009E6B3C" w:rsidTr="007A0C1F">
        <w:tc>
          <w:tcPr>
            <w:tcW w:w="2066"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Office of Witness Protection</w:t>
            </w:r>
          </w:p>
        </w:tc>
        <w:tc>
          <w:tcPr>
            <w:tcW w:w="963"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196.6</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219.9</w:t>
            </w:r>
          </w:p>
        </w:tc>
        <w:tc>
          <w:tcPr>
            <w:tcW w:w="657"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221.5</w:t>
            </w:r>
          </w:p>
        </w:tc>
        <w:tc>
          <w:tcPr>
            <w:tcW w:w="658"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231.4</w:t>
            </w:r>
          </w:p>
        </w:tc>
      </w:tr>
      <w:tr w:rsidR="0060278E" w:rsidRPr="009E6B3C" w:rsidTr="007A0C1F">
        <w:tc>
          <w:tcPr>
            <w:tcW w:w="2066"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Support Services</w:t>
            </w:r>
          </w:p>
        </w:tc>
        <w:tc>
          <w:tcPr>
            <w:tcW w:w="963"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467.-</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528.0</w:t>
            </w:r>
          </w:p>
        </w:tc>
        <w:tc>
          <w:tcPr>
            <w:tcW w:w="657"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536.5</w:t>
            </w:r>
          </w:p>
        </w:tc>
        <w:tc>
          <w:tcPr>
            <w:tcW w:w="658"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560.4</w:t>
            </w:r>
          </w:p>
        </w:tc>
      </w:tr>
      <w:tr w:rsidR="0060278E" w:rsidRPr="009E6B3C" w:rsidTr="007A0C1F">
        <w:tc>
          <w:tcPr>
            <w:tcW w:w="2066"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Total</w:t>
            </w:r>
          </w:p>
        </w:tc>
        <w:tc>
          <w:tcPr>
            <w:tcW w:w="963"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4535.6</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4 910.3</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4 870.9</w:t>
            </w:r>
          </w:p>
        </w:tc>
        <w:tc>
          <w:tcPr>
            <w:tcW w:w="658"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5 089.6</w:t>
            </w:r>
          </w:p>
        </w:tc>
      </w:tr>
      <w:tr w:rsidR="0060278E" w:rsidRPr="009E6B3C" w:rsidTr="007A0C1F">
        <w:tc>
          <w:tcPr>
            <w:tcW w:w="2066"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Change to 2021 estimate</w:t>
            </w:r>
          </w:p>
        </w:tc>
        <w:tc>
          <w:tcPr>
            <w:tcW w:w="963"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w:t>
            </w:r>
          </w:p>
        </w:tc>
        <w:tc>
          <w:tcPr>
            <w:tcW w:w="657" w:type="pct"/>
          </w:tcPr>
          <w:p w:rsidR="0060278E" w:rsidRPr="009E6B3C" w:rsidRDefault="0060278E" w:rsidP="009E6B3C">
            <w:pPr>
              <w:pStyle w:val="ListParagraph"/>
              <w:ind w:left="0"/>
              <w:rPr>
                <w:rFonts w:ascii="Arial" w:hAnsi="Arial" w:cs="Arial"/>
                <w:b/>
                <w:bCs/>
                <w:sz w:val="20"/>
                <w:szCs w:val="20"/>
              </w:rPr>
            </w:pPr>
            <w:r w:rsidRPr="009E6B3C">
              <w:rPr>
                <w:rFonts w:ascii="Arial" w:hAnsi="Arial" w:cs="Arial"/>
                <w:b/>
                <w:bCs/>
                <w:sz w:val="20"/>
                <w:szCs w:val="20"/>
              </w:rPr>
              <w:t>89.4</w:t>
            </w:r>
          </w:p>
        </w:tc>
        <w:tc>
          <w:tcPr>
            <w:tcW w:w="657"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422.7</w:t>
            </w:r>
          </w:p>
        </w:tc>
        <w:tc>
          <w:tcPr>
            <w:tcW w:w="658" w:type="pct"/>
          </w:tcPr>
          <w:p w:rsidR="0060278E" w:rsidRPr="009E6B3C" w:rsidRDefault="0060278E" w:rsidP="009E6B3C">
            <w:pPr>
              <w:pStyle w:val="ListParagraph"/>
              <w:ind w:left="0"/>
              <w:rPr>
                <w:rFonts w:ascii="Arial" w:hAnsi="Arial" w:cs="Arial"/>
                <w:bCs/>
                <w:sz w:val="20"/>
                <w:szCs w:val="20"/>
              </w:rPr>
            </w:pPr>
            <w:r w:rsidRPr="009E6B3C">
              <w:rPr>
                <w:rFonts w:ascii="Arial" w:hAnsi="Arial" w:cs="Arial"/>
                <w:bCs/>
                <w:sz w:val="20"/>
                <w:szCs w:val="20"/>
              </w:rPr>
              <w:t>342.0</w:t>
            </w:r>
          </w:p>
        </w:tc>
      </w:tr>
    </w:tbl>
    <w:p w:rsidR="0060278E" w:rsidRPr="009E6B3C" w:rsidRDefault="0060278E" w:rsidP="009E6B3C">
      <w:pPr>
        <w:pStyle w:val="ListParagraph"/>
        <w:rPr>
          <w:rFonts w:ascii="Arial" w:hAnsi="Arial" w:cs="Arial"/>
          <w:bCs/>
          <w:sz w:val="20"/>
          <w:szCs w:val="20"/>
        </w:rPr>
      </w:pPr>
    </w:p>
    <w:p w:rsidR="0060278E" w:rsidRPr="009E6B3C" w:rsidRDefault="0060278E" w:rsidP="009E6B3C">
      <w:pPr>
        <w:pStyle w:val="ListParagraph"/>
        <w:rPr>
          <w:rFonts w:ascii="Arial" w:hAnsi="Arial" w:cs="Arial"/>
          <w:sz w:val="20"/>
          <w:szCs w:val="20"/>
          <w:lang w:eastAsia="en-ZA"/>
        </w:rPr>
      </w:pPr>
    </w:p>
    <w:p w:rsidR="0060278E" w:rsidRPr="009E6B3C" w:rsidRDefault="0060278E" w:rsidP="009E6B3C">
      <w:pPr>
        <w:pStyle w:val="ListParagraph"/>
        <w:numPr>
          <w:ilvl w:val="2"/>
          <w:numId w:val="58"/>
        </w:numPr>
        <w:ind w:left="851"/>
        <w:rPr>
          <w:rFonts w:ascii="Arial" w:hAnsi="Arial" w:cs="Arial"/>
          <w:bCs/>
          <w:sz w:val="20"/>
          <w:szCs w:val="20"/>
        </w:rPr>
      </w:pPr>
      <w:r w:rsidRPr="009E6B3C">
        <w:rPr>
          <w:rFonts w:ascii="Arial" w:hAnsi="Arial" w:cs="Arial"/>
          <w:bCs/>
          <w:sz w:val="20"/>
          <w:szCs w:val="20"/>
        </w:rPr>
        <w:t>The NPA has registered that it requires a further R750 million per annum and R1 billion per annum for it to respond to the Zondo Commission reports and for longer term ‘structural needs’ to strengthen the NPA’s capacity as part of the criminal justice system’s response to rising crime levels.</w:t>
      </w:r>
    </w:p>
    <w:p w:rsidR="0060278E" w:rsidRPr="009E6B3C" w:rsidRDefault="0060278E" w:rsidP="009E6B3C">
      <w:pPr>
        <w:pStyle w:val="ListParagraph"/>
        <w:ind w:left="851"/>
        <w:rPr>
          <w:rFonts w:ascii="Arial" w:hAnsi="Arial" w:cs="Arial"/>
          <w:bCs/>
          <w:sz w:val="20"/>
          <w:szCs w:val="20"/>
        </w:rPr>
      </w:pPr>
    </w:p>
    <w:p w:rsidR="0060278E" w:rsidRPr="009E6B3C" w:rsidRDefault="0060278E" w:rsidP="009E6B3C">
      <w:pPr>
        <w:pStyle w:val="ListParagraph"/>
        <w:numPr>
          <w:ilvl w:val="1"/>
          <w:numId w:val="1"/>
        </w:numPr>
        <w:tabs>
          <w:tab w:val="num" w:pos="851"/>
        </w:tabs>
        <w:ind w:left="851" w:hanging="851"/>
        <w:rPr>
          <w:rFonts w:ascii="Arial" w:hAnsi="Arial" w:cs="Arial"/>
          <w:b/>
          <w:sz w:val="20"/>
          <w:szCs w:val="20"/>
        </w:rPr>
      </w:pPr>
      <w:r w:rsidRPr="009E6B3C">
        <w:rPr>
          <w:rFonts w:ascii="Arial" w:hAnsi="Arial" w:cs="Arial"/>
          <w:b/>
          <w:sz w:val="20"/>
          <w:szCs w:val="20"/>
        </w:rPr>
        <w:t xml:space="preserve">Non-financial performance </w:t>
      </w:r>
    </w:p>
    <w:p w:rsidR="0060278E" w:rsidRPr="009E6B3C" w:rsidRDefault="0060278E" w:rsidP="009E6B3C">
      <w:pPr>
        <w:pStyle w:val="ListParagraph"/>
        <w:numPr>
          <w:ilvl w:val="2"/>
          <w:numId w:val="59"/>
        </w:numPr>
        <w:ind w:left="851" w:hanging="851"/>
        <w:rPr>
          <w:rFonts w:ascii="Arial" w:hAnsi="Arial" w:cs="Arial"/>
          <w:sz w:val="20"/>
          <w:szCs w:val="20"/>
        </w:rPr>
      </w:pPr>
      <w:r w:rsidRPr="009E6B3C">
        <w:rPr>
          <w:rFonts w:ascii="Arial" w:hAnsi="Arial" w:cs="Arial"/>
          <w:sz w:val="20"/>
          <w:szCs w:val="20"/>
        </w:rPr>
        <w:t xml:space="preserve">Overall, in 2021/22, the NPA achieved 10 of 14 or 71% of indicators, compared to 50% of indicators in 2020/21. </w:t>
      </w:r>
    </w:p>
    <w:p w:rsidR="0060278E" w:rsidRPr="009E6B3C" w:rsidRDefault="0060278E" w:rsidP="009E6B3C">
      <w:pPr>
        <w:pStyle w:val="ListParagraph"/>
        <w:ind w:left="851"/>
        <w:rPr>
          <w:rFonts w:ascii="Arial" w:hAnsi="Arial" w:cs="Arial"/>
          <w:sz w:val="20"/>
          <w:szCs w:val="20"/>
          <w:highlight w:val="yellow"/>
        </w:rPr>
      </w:pPr>
    </w:p>
    <w:p w:rsidR="0060278E" w:rsidRPr="009E6B3C" w:rsidRDefault="0060278E" w:rsidP="009E6B3C">
      <w:pPr>
        <w:pStyle w:val="ListParagraph"/>
        <w:numPr>
          <w:ilvl w:val="2"/>
          <w:numId w:val="59"/>
        </w:numPr>
        <w:ind w:left="851" w:hanging="851"/>
        <w:rPr>
          <w:rFonts w:ascii="Arial" w:hAnsi="Arial" w:cs="Arial"/>
          <w:sz w:val="20"/>
          <w:szCs w:val="20"/>
        </w:rPr>
      </w:pPr>
      <w:r w:rsidRPr="009E6B3C">
        <w:rPr>
          <w:rFonts w:ascii="Arial" w:hAnsi="Arial" w:cs="Arial"/>
          <w:sz w:val="20"/>
          <w:szCs w:val="20"/>
        </w:rPr>
        <w:t>Areas of underperformance were as follows:</w:t>
      </w:r>
    </w:p>
    <w:p w:rsidR="0060278E" w:rsidRPr="009E6B3C" w:rsidRDefault="0060278E" w:rsidP="009E6B3C">
      <w:pPr>
        <w:pStyle w:val="ListParagraph"/>
        <w:numPr>
          <w:ilvl w:val="0"/>
          <w:numId w:val="6"/>
        </w:numPr>
        <w:autoSpaceDE w:val="0"/>
        <w:autoSpaceDN w:val="0"/>
        <w:adjustRightInd w:val="0"/>
        <w:ind w:left="1276" w:hanging="425"/>
        <w:rPr>
          <w:rFonts w:ascii="Arial" w:eastAsiaTheme="minorHAnsi" w:hAnsi="Arial" w:cs="Arial"/>
          <w:bCs/>
          <w:color w:val="000000"/>
          <w:sz w:val="20"/>
          <w:szCs w:val="20"/>
          <w:lang w:eastAsia="en-US"/>
        </w:rPr>
      </w:pPr>
      <w:r w:rsidRPr="009E6B3C">
        <w:rPr>
          <w:rFonts w:ascii="Arial" w:eastAsiaTheme="minorHAnsi" w:hAnsi="Arial" w:cs="Arial"/>
          <w:bCs/>
          <w:color w:val="000000"/>
          <w:sz w:val="20"/>
          <w:szCs w:val="20"/>
          <w:lang w:val="en-US" w:eastAsia="en-US"/>
        </w:rPr>
        <w:t xml:space="preserve">Conviction Rate in Complex Commercial Crime (ENE Indicator): The conviction rate was 90.5% against a target of 93%. The reasons for the failure to reach the target are listed as the failing memory of witnesses, uncertainty in evidence, contradictions and uncorroborated evidence. Interventions include </w:t>
      </w:r>
      <w:r w:rsidR="006E6049" w:rsidRPr="009E6B3C">
        <w:rPr>
          <w:rFonts w:ascii="Arial" w:eastAsiaTheme="minorHAnsi" w:hAnsi="Arial" w:cs="Arial"/>
          <w:bCs/>
          <w:color w:val="000000"/>
          <w:sz w:val="20"/>
          <w:szCs w:val="20"/>
          <w:lang w:eastAsia="en-US"/>
        </w:rPr>
        <w:t>e</w:t>
      </w:r>
      <w:r w:rsidRPr="009E6B3C">
        <w:rPr>
          <w:rFonts w:ascii="Arial" w:eastAsiaTheme="minorHAnsi" w:hAnsi="Arial" w:cs="Arial"/>
          <w:bCs/>
          <w:color w:val="000000"/>
          <w:sz w:val="20"/>
          <w:szCs w:val="20"/>
          <w:lang w:eastAsia="en-US"/>
        </w:rPr>
        <w:t>xpediting high-profile corruption cases nationally and provincially</w:t>
      </w:r>
      <w:r w:rsidR="006E6049" w:rsidRPr="009E6B3C">
        <w:rPr>
          <w:rFonts w:ascii="Arial" w:eastAsiaTheme="minorHAnsi" w:hAnsi="Arial" w:cs="Arial"/>
          <w:bCs/>
          <w:color w:val="000000"/>
          <w:sz w:val="20"/>
          <w:szCs w:val="20"/>
          <w:lang w:eastAsia="en-US"/>
        </w:rPr>
        <w:t>; f</w:t>
      </w:r>
      <w:r w:rsidRPr="009E6B3C">
        <w:rPr>
          <w:rFonts w:ascii="Arial" w:eastAsiaTheme="minorHAnsi" w:hAnsi="Arial" w:cs="Arial"/>
          <w:bCs/>
          <w:color w:val="000000"/>
          <w:sz w:val="20"/>
          <w:szCs w:val="20"/>
          <w:lang w:eastAsia="en-US"/>
        </w:rPr>
        <w:t>ocused attention on cases longer</w:t>
      </w:r>
      <w:r w:rsidR="006E6049" w:rsidRPr="009E6B3C">
        <w:rPr>
          <w:rFonts w:ascii="Arial" w:eastAsiaTheme="minorHAnsi" w:hAnsi="Arial" w:cs="Arial"/>
          <w:bCs/>
          <w:color w:val="000000"/>
          <w:sz w:val="20"/>
          <w:szCs w:val="20"/>
          <w:lang w:eastAsia="en-US"/>
        </w:rPr>
        <w:t xml:space="preserve"> than 2 years on the court roll; p</w:t>
      </w:r>
      <w:r w:rsidRPr="009E6B3C">
        <w:rPr>
          <w:rFonts w:ascii="Arial" w:eastAsiaTheme="minorHAnsi" w:hAnsi="Arial" w:cs="Arial"/>
          <w:bCs/>
          <w:color w:val="000000"/>
          <w:sz w:val="20"/>
          <w:szCs w:val="20"/>
          <w:lang w:eastAsia="en-US"/>
        </w:rPr>
        <w:t>rioritisin</w:t>
      </w:r>
      <w:r w:rsidR="006E6049" w:rsidRPr="009E6B3C">
        <w:rPr>
          <w:rFonts w:ascii="Arial" w:eastAsiaTheme="minorHAnsi" w:hAnsi="Arial" w:cs="Arial"/>
          <w:bCs/>
          <w:color w:val="000000"/>
          <w:sz w:val="20"/>
          <w:szCs w:val="20"/>
          <w:lang w:eastAsia="en-US"/>
        </w:rPr>
        <w:t>g high-level corruption matters;</w:t>
      </w:r>
      <w:r w:rsidRPr="009E6B3C">
        <w:rPr>
          <w:rFonts w:ascii="Arial" w:eastAsiaTheme="minorHAnsi" w:hAnsi="Arial" w:cs="Arial"/>
          <w:bCs/>
          <w:color w:val="000000"/>
          <w:sz w:val="20"/>
          <w:szCs w:val="20"/>
          <w:lang w:eastAsia="en-US"/>
        </w:rPr>
        <w:t xml:space="preserve"> and closely monitoring progress.</w:t>
      </w:r>
    </w:p>
    <w:p w:rsidR="0060278E" w:rsidRPr="009E6B3C" w:rsidRDefault="0060278E" w:rsidP="009E6B3C">
      <w:pPr>
        <w:pStyle w:val="ListParagraph"/>
        <w:numPr>
          <w:ilvl w:val="0"/>
          <w:numId w:val="6"/>
        </w:numPr>
        <w:autoSpaceDE w:val="0"/>
        <w:autoSpaceDN w:val="0"/>
        <w:adjustRightInd w:val="0"/>
        <w:ind w:left="1276" w:hanging="425"/>
        <w:rPr>
          <w:rFonts w:ascii="Arial" w:eastAsiaTheme="minorHAnsi" w:hAnsi="Arial" w:cs="Arial"/>
          <w:bCs/>
          <w:color w:val="000000"/>
          <w:sz w:val="20"/>
          <w:szCs w:val="20"/>
          <w:lang w:eastAsia="en-US"/>
        </w:rPr>
      </w:pPr>
      <w:r w:rsidRPr="009E6B3C">
        <w:rPr>
          <w:rFonts w:ascii="Arial" w:eastAsiaTheme="minorHAnsi" w:hAnsi="Arial" w:cs="Arial"/>
          <w:bCs/>
          <w:color w:val="000000"/>
          <w:sz w:val="20"/>
          <w:szCs w:val="20"/>
          <w:lang w:val="en-US" w:eastAsia="en-US"/>
        </w:rPr>
        <w:t xml:space="preserve">Number of government officials convicted of corruption and/or offenses related to corruption (ENE Indicator). A total of 130 government officials were convicted of corruption and/or offenses related to corruption against a target of 232. </w:t>
      </w:r>
      <w:r w:rsidRPr="009E6B3C">
        <w:rPr>
          <w:rFonts w:ascii="Arial" w:eastAsiaTheme="minorHAnsi" w:hAnsi="Arial" w:cs="Arial"/>
          <w:bCs/>
          <w:color w:val="000000"/>
          <w:sz w:val="20"/>
          <w:szCs w:val="20"/>
          <w:lang w:eastAsia="en-US"/>
        </w:rPr>
        <w:t xml:space="preserve">The NPA does not have control over the number of cases received. The cases were intricate and there were several legal challenges causing delays. </w:t>
      </w:r>
    </w:p>
    <w:p w:rsidR="0060278E" w:rsidRPr="009E6B3C" w:rsidRDefault="0060278E" w:rsidP="009E6B3C">
      <w:pPr>
        <w:pStyle w:val="ListParagraph"/>
        <w:numPr>
          <w:ilvl w:val="0"/>
          <w:numId w:val="6"/>
        </w:numPr>
        <w:autoSpaceDE w:val="0"/>
        <w:autoSpaceDN w:val="0"/>
        <w:adjustRightInd w:val="0"/>
        <w:ind w:left="1276" w:hanging="425"/>
        <w:rPr>
          <w:rFonts w:ascii="Arial" w:eastAsiaTheme="minorHAnsi" w:hAnsi="Arial" w:cs="Arial"/>
          <w:bCs/>
          <w:color w:val="000000"/>
          <w:sz w:val="20"/>
          <w:szCs w:val="20"/>
          <w:lang w:val="en-US" w:eastAsia="en-US"/>
        </w:rPr>
      </w:pPr>
      <w:r w:rsidRPr="009E6B3C">
        <w:rPr>
          <w:rFonts w:ascii="Arial" w:eastAsiaTheme="minorHAnsi" w:hAnsi="Arial" w:cs="Arial"/>
          <w:bCs/>
          <w:color w:val="000000"/>
          <w:sz w:val="20"/>
          <w:szCs w:val="20"/>
          <w:lang w:val="en-US" w:eastAsia="en-US"/>
        </w:rPr>
        <w:t>Number of cases involving money laundering. There were 86 money laundering cases against a target of 100. The target</w:t>
      </w:r>
      <w:r w:rsidR="006E6049" w:rsidRPr="009E6B3C">
        <w:rPr>
          <w:rFonts w:ascii="Arial" w:eastAsiaTheme="minorHAnsi" w:hAnsi="Arial" w:cs="Arial"/>
          <w:bCs/>
          <w:color w:val="000000"/>
          <w:sz w:val="20"/>
          <w:szCs w:val="20"/>
          <w:lang w:val="en-US" w:eastAsia="en-US"/>
        </w:rPr>
        <w:t xml:space="preserve"> was not achieved because </w:t>
      </w:r>
      <w:r w:rsidRPr="009E6B3C">
        <w:rPr>
          <w:rFonts w:ascii="Arial" w:eastAsiaTheme="minorHAnsi" w:hAnsi="Arial" w:cs="Arial"/>
          <w:bCs/>
          <w:color w:val="000000"/>
          <w:sz w:val="20"/>
          <w:szCs w:val="20"/>
          <w:lang w:val="en-US" w:eastAsia="en-US"/>
        </w:rPr>
        <w:t>money laundering matters usually consist of several charges and intricate financial investigations, which are time consuming, and trials are protracted with several legal challenges. A lack of skills and capacity to dedicate staff to highly complex and voluminous matters is still a challenge in the NPA and in the criminal justice system.</w:t>
      </w:r>
    </w:p>
    <w:p w:rsidR="0060278E" w:rsidRPr="009E6B3C" w:rsidRDefault="0060278E" w:rsidP="009E6B3C">
      <w:pPr>
        <w:pStyle w:val="ListParagraph"/>
        <w:autoSpaceDE w:val="0"/>
        <w:autoSpaceDN w:val="0"/>
        <w:adjustRightInd w:val="0"/>
        <w:ind w:left="1080"/>
        <w:rPr>
          <w:rFonts w:ascii="Arial" w:eastAsiaTheme="minorHAnsi" w:hAnsi="Arial" w:cs="Arial"/>
          <w:bCs/>
          <w:color w:val="000000"/>
          <w:sz w:val="20"/>
          <w:szCs w:val="20"/>
          <w:lang w:eastAsia="en-US"/>
        </w:rPr>
      </w:pPr>
      <w:r w:rsidRPr="009E6B3C">
        <w:rPr>
          <w:rFonts w:ascii="Arial" w:eastAsiaTheme="minorHAnsi" w:hAnsi="Arial" w:cs="Arial"/>
          <w:bCs/>
          <w:color w:val="000000"/>
          <w:sz w:val="20"/>
          <w:szCs w:val="20"/>
          <w:lang w:val="en-US" w:eastAsia="en-US"/>
        </w:rPr>
        <w:t xml:space="preserve">Value of recoveries relating to corruption or related offences (ENE </w:t>
      </w:r>
      <w:r w:rsidR="006E6049" w:rsidRPr="009E6B3C">
        <w:rPr>
          <w:rFonts w:ascii="Arial" w:eastAsiaTheme="minorHAnsi" w:hAnsi="Arial" w:cs="Arial"/>
          <w:bCs/>
          <w:color w:val="000000"/>
          <w:sz w:val="20"/>
          <w:szCs w:val="20"/>
          <w:lang w:val="en-US" w:eastAsia="en-US"/>
        </w:rPr>
        <w:t>and</w:t>
      </w:r>
      <w:r w:rsidRPr="009E6B3C">
        <w:rPr>
          <w:rFonts w:ascii="Arial" w:eastAsiaTheme="minorHAnsi" w:hAnsi="Arial" w:cs="Arial"/>
          <w:bCs/>
          <w:color w:val="000000"/>
          <w:sz w:val="20"/>
          <w:szCs w:val="20"/>
          <w:lang w:val="en-US" w:eastAsia="en-US"/>
        </w:rPr>
        <w:t xml:space="preserve"> MTSF Indicators</w:t>
      </w:r>
      <w:r w:rsidRPr="009E6B3C">
        <w:rPr>
          <w:rFonts w:ascii="Arial" w:eastAsiaTheme="minorHAnsi" w:hAnsi="Arial" w:cs="Arial"/>
          <w:bCs/>
          <w:color w:val="000000"/>
          <w:sz w:val="20"/>
          <w:szCs w:val="20"/>
          <w:lang w:eastAsia="en-US"/>
        </w:rPr>
        <w:t xml:space="preserve">). R3.3 million was recovered relating to corruption or related offences against a target of R311 million. Serious corruption cases take a long time to finalise. In many cases, huge amounts are under restraint and will remain so until the accused are convicted. Accused in high-value corruption cases have the means to vigorously oppose all actions, which leads to delays in the finalisation of cases. </w:t>
      </w:r>
    </w:p>
    <w:p w:rsidR="00012D16" w:rsidRPr="009E6B3C" w:rsidRDefault="00012D16" w:rsidP="009E6B3C">
      <w:pPr>
        <w:autoSpaceDE w:val="0"/>
        <w:autoSpaceDN w:val="0"/>
        <w:adjustRightInd w:val="0"/>
        <w:rPr>
          <w:rFonts w:ascii="Arial" w:eastAsiaTheme="minorHAnsi" w:hAnsi="Arial" w:cs="Arial"/>
          <w:color w:val="000000"/>
          <w:sz w:val="20"/>
          <w:szCs w:val="20"/>
          <w:lang w:eastAsia="en-US"/>
        </w:rPr>
      </w:pPr>
    </w:p>
    <w:p w:rsidR="0060278E" w:rsidRPr="009E6B3C" w:rsidRDefault="0060278E" w:rsidP="009E6B3C">
      <w:pPr>
        <w:pStyle w:val="ListParagraph"/>
        <w:numPr>
          <w:ilvl w:val="1"/>
          <w:numId w:val="1"/>
        </w:numPr>
        <w:tabs>
          <w:tab w:val="num" w:pos="851"/>
        </w:tabs>
        <w:ind w:left="851" w:hanging="851"/>
        <w:rPr>
          <w:rFonts w:ascii="Arial" w:hAnsi="Arial" w:cs="Arial"/>
          <w:noProof/>
          <w:sz w:val="20"/>
          <w:szCs w:val="20"/>
          <w:lang w:val="en-US" w:eastAsia="en-US"/>
        </w:rPr>
      </w:pPr>
      <w:r w:rsidRPr="009E6B3C">
        <w:rPr>
          <w:rFonts w:ascii="Arial" w:hAnsi="Arial" w:cs="Arial"/>
          <w:b/>
          <w:i/>
          <w:sz w:val="20"/>
          <w:szCs w:val="20"/>
        </w:rPr>
        <w:t xml:space="preserve">Committee’s observations </w:t>
      </w:r>
      <w:r w:rsidR="00DB6AB8" w:rsidRPr="009E6B3C">
        <w:rPr>
          <w:rFonts w:ascii="Arial" w:hAnsi="Arial" w:cs="Arial"/>
          <w:b/>
          <w:i/>
          <w:sz w:val="20"/>
          <w:szCs w:val="20"/>
        </w:rPr>
        <w:t xml:space="preserve">in the </w:t>
      </w:r>
      <w:r w:rsidRPr="009E6B3C">
        <w:rPr>
          <w:rFonts w:ascii="Arial" w:hAnsi="Arial" w:cs="Arial"/>
          <w:b/>
          <w:i/>
          <w:sz w:val="20"/>
          <w:szCs w:val="20"/>
        </w:rPr>
        <w:t>2021 BRRR</w:t>
      </w:r>
      <w:r w:rsidRPr="009E6B3C">
        <w:rPr>
          <w:rFonts w:ascii="Arial" w:hAnsi="Arial" w:cs="Arial"/>
          <w:sz w:val="20"/>
          <w:szCs w:val="20"/>
        </w:rPr>
        <w:t>: The Committee observed as follows: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Budget reductions. The Committee opposed any attempt to reduce the NPA’s budget</w:t>
      </w:r>
      <w:r w:rsidR="006E6049" w:rsidRPr="009E6B3C">
        <w:rPr>
          <w:rFonts w:ascii="Arial" w:hAnsi="Arial" w:cs="Arial"/>
          <w:sz w:val="20"/>
          <w:szCs w:val="20"/>
        </w:rPr>
        <w:t xml:space="preserve">, highlighting </w:t>
      </w:r>
      <w:r w:rsidRPr="009E6B3C">
        <w:rPr>
          <w:rFonts w:ascii="Arial" w:hAnsi="Arial" w:cs="Arial"/>
          <w:sz w:val="20"/>
          <w:szCs w:val="20"/>
        </w:rPr>
        <w:t xml:space="preserve">the NPA’s key role in efforts to rebuild </w:t>
      </w:r>
      <w:r w:rsidR="006E6049" w:rsidRPr="009E6B3C">
        <w:rPr>
          <w:rFonts w:ascii="Arial" w:hAnsi="Arial" w:cs="Arial"/>
          <w:sz w:val="20"/>
          <w:szCs w:val="20"/>
        </w:rPr>
        <w:t>the</w:t>
      </w:r>
      <w:r w:rsidRPr="009E6B3C">
        <w:rPr>
          <w:rFonts w:ascii="Arial" w:hAnsi="Arial" w:cs="Arial"/>
          <w:sz w:val="20"/>
          <w:szCs w:val="20"/>
        </w:rPr>
        <w:t xml:space="preserve"> economy and society. An under-resourced NPA will render the JCPS Economic Recovery Plan ineffective, as the NPA will be unable to address corruption, GBV and organised crime. The Committee noted th</w:t>
      </w:r>
      <w:r w:rsidR="00865C67" w:rsidRPr="009E6B3C">
        <w:rPr>
          <w:rFonts w:ascii="Arial" w:hAnsi="Arial" w:cs="Arial"/>
          <w:sz w:val="20"/>
          <w:szCs w:val="20"/>
        </w:rPr>
        <w:t>a</w:t>
      </w:r>
      <w:r w:rsidRPr="009E6B3C">
        <w:rPr>
          <w:rFonts w:ascii="Arial" w:hAnsi="Arial" w:cs="Arial"/>
          <w:sz w:val="20"/>
          <w:szCs w:val="20"/>
        </w:rPr>
        <w:t xml:space="preserve">t </w:t>
      </w:r>
      <w:r w:rsidR="00865C67" w:rsidRPr="009E6B3C">
        <w:rPr>
          <w:rFonts w:ascii="Arial" w:hAnsi="Arial" w:cs="Arial"/>
          <w:sz w:val="20"/>
          <w:szCs w:val="20"/>
        </w:rPr>
        <w:t xml:space="preserve">there are </w:t>
      </w:r>
      <w:r w:rsidRPr="009E6B3C">
        <w:rPr>
          <w:rFonts w:ascii="Arial" w:hAnsi="Arial" w:cs="Arial"/>
          <w:sz w:val="20"/>
          <w:szCs w:val="20"/>
        </w:rPr>
        <w:t>various initiatives underway to strengthen the NPA</w:t>
      </w:r>
      <w:r w:rsidR="006E6049" w:rsidRPr="009E6B3C">
        <w:rPr>
          <w:rFonts w:ascii="Arial" w:hAnsi="Arial" w:cs="Arial"/>
          <w:sz w:val="20"/>
          <w:szCs w:val="20"/>
        </w:rPr>
        <w:t>.</w:t>
      </w:r>
      <w:r w:rsidRPr="009E6B3C">
        <w:rPr>
          <w:rFonts w:ascii="Arial" w:hAnsi="Arial" w:cs="Arial"/>
          <w:sz w:val="20"/>
          <w:szCs w:val="20"/>
        </w:rPr>
        <w:t xml:space="preserve">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NPA’s performance. The Committee welcomed the NDPP’s honesty about the NPA’s performance not being as </w:t>
      </w:r>
      <w:r w:rsidR="006E6049" w:rsidRPr="009E6B3C">
        <w:rPr>
          <w:rFonts w:ascii="Arial" w:hAnsi="Arial" w:cs="Arial"/>
          <w:sz w:val="20"/>
          <w:szCs w:val="20"/>
        </w:rPr>
        <w:t xml:space="preserve">it </w:t>
      </w:r>
      <w:r w:rsidRPr="009E6B3C">
        <w:rPr>
          <w:rFonts w:ascii="Arial" w:hAnsi="Arial" w:cs="Arial"/>
          <w:sz w:val="20"/>
          <w:szCs w:val="20"/>
        </w:rPr>
        <w:t xml:space="preserve">should be for the reasons that were presented. The Committee </w:t>
      </w:r>
      <w:r w:rsidRPr="009E6B3C">
        <w:rPr>
          <w:rFonts w:ascii="Arial" w:hAnsi="Arial" w:cs="Arial"/>
          <w:sz w:val="20"/>
          <w:szCs w:val="20"/>
        </w:rPr>
        <w:lastRenderedPageBreak/>
        <w:t xml:space="preserve">also acknowledged that the NPA had previously warned the Committee that Covid-19 would affect the NPS’ performance, in particular. Although the Committee was disappointed, it accepted that it would need to be patient.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Asset Forfeiture Unit. The Committee noted the AFU’s poor performance. Many of the AFU’s prosecutors and investigators were moved to the </w:t>
      </w:r>
      <w:r w:rsidR="004A729D" w:rsidRPr="009E6B3C">
        <w:rPr>
          <w:rFonts w:ascii="Arial" w:hAnsi="Arial" w:cs="Arial"/>
          <w:sz w:val="20"/>
          <w:szCs w:val="20"/>
        </w:rPr>
        <w:t>ID</w:t>
      </w:r>
      <w:r w:rsidRPr="009E6B3C">
        <w:rPr>
          <w:rFonts w:ascii="Arial" w:hAnsi="Arial" w:cs="Arial"/>
          <w:sz w:val="20"/>
          <w:szCs w:val="20"/>
        </w:rPr>
        <w:t>, and therefore, the AFU has a high vacancy rate for both prosecutors and investigators. The appointment of Adv. R Rasethaba to head the AFU was the first step in addressing the situation</w:t>
      </w:r>
      <w:r w:rsidR="003D18A1" w:rsidRPr="009E6B3C">
        <w:rPr>
          <w:rFonts w:ascii="Arial" w:hAnsi="Arial" w:cs="Arial"/>
          <w:sz w:val="20"/>
          <w:szCs w:val="20"/>
        </w:rPr>
        <w:t>,</w:t>
      </w:r>
      <w:r w:rsidRPr="009E6B3C">
        <w:rPr>
          <w:rFonts w:ascii="Arial" w:hAnsi="Arial" w:cs="Arial"/>
          <w:sz w:val="20"/>
          <w:szCs w:val="20"/>
        </w:rPr>
        <w:t xml:space="preserve"> and there is a process underway to develop a turnaround strategy.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Strengthening the independence of the NPA. The Committee requested that it be kept updated on the progress of discussions to give effect to the NPA’s operational independence.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Recruitment. The Committee requested that it be provided with an update on the progress of the NPA’s recruitment drive.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Corruption-related cases. The Committee welcomed the continued prioritisation of corruption cases for </w:t>
      </w:r>
      <w:r w:rsidR="00D162BE" w:rsidRPr="009E6B3C">
        <w:rPr>
          <w:rFonts w:ascii="Arial" w:hAnsi="Arial" w:cs="Arial"/>
          <w:sz w:val="20"/>
          <w:szCs w:val="20"/>
        </w:rPr>
        <w:t xml:space="preserve">their </w:t>
      </w:r>
      <w:r w:rsidRPr="009E6B3C">
        <w:rPr>
          <w:rFonts w:ascii="Arial" w:hAnsi="Arial" w:cs="Arial"/>
          <w:sz w:val="20"/>
          <w:szCs w:val="20"/>
        </w:rPr>
        <w:t>swift finalisation and the reorganisation of resources to that end.</w:t>
      </w:r>
    </w:p>
    <w:p w:rsidR="0060278E" w:rsidRPr="009E6B3C" w:rsidRDefault="0060278E" w:rsidP="009E6B3C">
      <w:pPr>
        <w:pStyle w:val="ListParagraph"/>
        <w:ind w:left="851"/>
        <w:rPr>
          <w:rFonts w:ascii="Arial" w:hAnsi="Arial" w:cs="Arial"/>
          <w:noProof/>
          <w:sz w:val="20"/>
          <w:szCs w:val="20"/>
          <w:lang w:val="en-US" w:eastAsia="en-US"/>
        </w:rPr>
      </w:pPr>
    </w:p>
    <w:p w:rsidR="0060278E" w:rsidRPr="009E6B3C" w:rsidRDefault="0060278E" w:rsidP="009E6B3C">
      <w:pPr>
        <w:pStyle w:val="ListParagraph"/>
        <w:numPr>
          <w:ilvl w:val="1"/>
          <w:numId w:val="1"/>
        </w:numPr>
        <w:tabs>
          <w:tab w:val="num" w:pos="851"/>
        </w:tabs>
        <w:ind w:left="851" w:hanging="851"/>
        <w:rPr>
          <w:rFonts w:ascii="Arial" w:hAnsi="Arial" w:cs="Arial"/>
          <w:noProof/>
          <w:sz w:val="20"/>
          <w:szCs w:val="20"/>
          <w:lang w:val="en-US" w:eastAsia="en-US"/>
        </w:rPr>
      </w:pPr>
      <w:r w:rsidRPr="009E6B3C">
        <w:rPr>
          <w:rFonts w:ascii="Arial" w:hAnsi="Arial" w:cs="Arial"/>
          <w:b/>
          <w:i/>
          <w:sz w:val="20"/>
          <w:szCs w:val="20"/>
        </w:rPr>
        <w:t>Linking financial and non-financial performance information</w:t>
      </w:r>
      <w:r w:rsidRPr="009E6B3C">
        <w:rPr>
          <w:rFonts w:ascii="Arial" w:hAnsi="Arial" w:cs="Arial"/>
          <w:b/>
          <w:sz w:val="20"/>
          <w:szCs w:val="20"/>
        </w:rPr>
        <w:t xml:space="preserve">. </w:t>
      </w:r>
      <w:r w:rsidRPr="009E6B3C">
        <w:rPr>
          <w:rFonts w:ascii="Arial" w:eastAsia="Calibri" w:hAnsi="Arial" w:cs="Arial"/>
          <w:bCs/>
          <w:sz w:val="20"/>
          <w:szCs w:val="20"/>
          <w:lang w:val="en-US" w:eastAsia="en-US"/>
        </w:rPr>
        <w:t>In</w:t>
      </w:r>
      <w:r w:rsidRPr="009E6B3C">
        <w:rPr>
          <w:rFonts w:ascii="Arial" w:hAnsi="Arial" w:cs="Arial"/>
          <w:noProof/>
          <w:sz w:val="20"/>
          <w:szCs w:val="20"/>
          <w:lang w:val="en-US" w:eastAsia="en-US"/>
        </w:rPr>
        <w:t xml:space="preserve"> 2021/22, the NPA achieved 71% of its targets, compared with 50% in 2020/21, and spent 99.7% of the allocated budget.</w:t>
      </w:r>
    </w:p>
    <w:p w:rsidR="0060278E" w:rsidRPr="009E6B3C" w:rsidRDefault="0060278E" w:rsidP="009E6B3C">
      <w:pPr>
        <w:rPr>
          <w:rFonts w:ascii="Arial" w:hAnsi="Arial" w:cs="Arial"/>
          <w:noProof/>
          <w:sz w:val="20"/>
          <w:szCs w:val="20"/>
          <w:lang w:val="en-US" w:eastAsia="en-US"/>
        </w:rPr>
      </w:pPr>
    </w:p>
    <w:p w:rsidR="0060278E" w:rsidRPr="009E6B3C" w:rsidRDefault="0060278E" w:rsidP="009E6B3C">
      <w:pPr>
        <w:rPr>
          <w:rFonts w:ascii="Arial" w:hAnsi="Arial" w:cs="Arial"/>
          <w:sz w:val="20"/>
          <w:szCs w:val="20"/>
        </w:rPr>
      </w:pPr>
    </w:p>
    <w:p w:rsidR="00B22C92" w:rsidRPr="009E6B3C" w:rsidRDefault="00B22C92" w:rsidP="009E6B3C">
      <w:pPr>
        <w:pStyle w:val="BodySingle"/>
        <w:numPr>
          <w:ilvl w:val="0"/>
          <w:numId w:val="1"/>
        </w:numPr>
        <w:tabs>
          <w:tab w:val="num" w:pos="851"/>
        </w:tabs>
        <w:ind w:left="851" w:hanging="851"/>
        <w:jc w:val="left"/>
        <w:rPr>
          <w:rStyle w:val="AGHeading1blueCharChar"/>
          <w:rFonts w:ascii="Arial" w:hAnsi="Arial" w:cs="Arial"/>
          <w:b/>
          <w:caps w:val="0"/>
          <w:color w:val="000000" w:themeColor="text1"/>
          <w:sz w:val="20"/>
          <w:szCs w:val="20"/>
          <w:lang w:eastAsia="en-US"/>
        </w:rPr>
      </w:pPr>
      <w:r w:rsidRPr="009E6B3C">
        <w:rPr>
          <w:rFonts w:cs="Arial"/>
          <w:b/>
          <w:i w:val="0"/>
        </w:rPr>
        <w:t>Legal</w:t>
      </w:r>
      <w:r w:rsidR="006C2E28" w:rsidRPr="009E6B3C">
        <w:rPr>
          <w:rStyle w:val="AGHeading1blueCharChar"/>
          <w:rFonts w:ascii="Arial" w:eastAsia="Batang" w:hAnsi="Arial" w:cs="Arial"/>
          <w:b/>
          <w:color w:val="000000" w:themeColor="text1"/>
          <w:sz w:val="20"/>
          <w:szCs w:val="20"/>
        </w:rPr>
        <w:t xml:space="preserve"> </w:t>
      </w:r>
      <w:r w:rsidR="006C2E28" w:rsidRPr="009E6B3C">
        <w:rPr>
          <w:rStyle w:val="AGHeading1blueCharChar"/>
          <w:rFonts w:ascii="Arial" w:eastAsia="Batang" w:hAnsi="Arial" w:cs="Arial"/>
          <w:b/>
          <w:i w:val="0"/>
          <w:caps w:val="0"/>
          <w:color w:val="000000" w:themeColor="text1"/>
          <w:sz w:val="20"/>
          <w:szCs w:val="20"/>
        </w:rPr>
        <w:t>Aid South Africa</w:t>
      </w:r>
    </w:p>
    <w:p w:rsidR="006C2E28" w:rsidRPr="009E6B3C" w:rsidRDefault="006C2E28" w:rsidP="009E6B3C">
      <w:pPr>
        <w:pStyle w:val="BodySingle"/>
        <w:ind w:left="851"/>
        <w:jc w:val="left"/>
        <w:rPr>
          <w:rFonts w:cs="Arial"/>
          <w:b/>
          <w:color w:val="000000" w:themeColor="text1"/>
        </w:rPr>
      </w:pPr>
    </w:p>
    <w:p w:rsidR="00B22C92" w:rsidRPr="009E6B3C" w:rsidRDefault="00B22C92" w:rsidP="009E6B3C">
      <w:pPr>
        <w:pStyle w:val="ListParagraph"/>
        <w:numPr>
          <w:ilvl w:val="1"/>
          <w:numId w:val="1"/>
        </w:numPr>
        <w:tabs>
          <w:tab w:val="num" w:pos="851"/>
        </w:tabs>
        <w:ind w:left="851" w:hanging="851"/>
        <w:rPr>
          <w:rFonts w:ascii="Arial" w:eastAsiaTheme="minorHAnsi" w:hAnsi="Arial" w:cs="Arial"/>
          <w:color w:val="000000"/>
          <w:sz w:val="20"/>
          <w:szCs w:val="20"/>
        </w:rPr>
      </w:pPr>
      <w:r w:rsidRPr="009E6B3C">
        <w:rPr>
          <w:rFonts w:ascii="Arial" w:hAnsi="Arial" w:cs="Arial"/>
          <w:sz w:val="20"/>
          <w:szCs w:val="20"/>
        </w:rPr>
        <w:t>Legal</w:t>
      </w:r>
      <w:r w:rsidRPr="009E6B3C">
        <w:rPr>
          <w:rFonts w:ascii="Arial" w:hAnsi="Arial" w:cs="Arial"/>
          <w:color w:val="000000" w:themeColor="text1"/>
          <w:sz w:val="20"/>
          <w:szCs w:val="20"/>
        </w:rPr>
        <w:t xml:space="preserve"> Aid SA is an autonomous statutory body that derives its mandate from the Constitution, 1996; the Legal Aid South Africa Act 39 of 2014; and other legislation requiring the government to provide legal assistance to the indigent. Its main objective is to make legal representation available to indigent persons at State expense, ensuring the right of all citizens to access to justice. Notably, the Legal Aid South Africa Act, 2014, provides that Legal Aid SA must render or make available legal aid and legal advice; provide legal representation at state expense; and provide education and information concerning legal rights and obligations, as envisaged in the Constitution.</w:t>
      </w:r>
      <w:r w:rsidRPr="009E6B3C">
        <w:rPr>
          <w:rFonts w:ascii="Arial" w:eastAsiaTheme="minorHAnsi" w:hAnsi="Arial" w:cs="Arial"/>
          <w:color w:val="000000" w:themeColor="text1"/>
          <w:sz w:val="20"/>
          <w:szCs w:val="20"/>
        </w:rPr>
        <w:t xml:space="preserve"> </w:t>
      </w:r>
    </w:p>
    <w:p w:rsidR="00B22C92" w:rsidRPr="009E6B3C" w:rsidRDefault="00B22C92" w:rsidP="009E6B3C">
      <w:pPr>
        <w:ind w:left="720"/>
        <w:rPr>
          <w:rFonts w:ascii="Arial" w:hAnsi="Arial" w:cs="Arial"/>
          <w:color w:val="000000" w:themeColor="text1"/>
          <w:sz w:val="20"/>
          <w:szCs w:val="20"/>
          <w:highlight w:val="yellow"/>
        </w:rPr>
      </w:pPr>
    </w:p>
    <w:p w:rsidR="00B22C92" w:rsidRPr="009E6B3C" w:rsidRDefault="00B22C92" w:rsidP="009E6B3C">
      <w:pPr>
        <w:pStyle w:val="ListParagraph"/>
        <w:numPr>
          <w:ilvl w:val="1"/>
          <w:numId w:val="1"/>
        </w:numPr>
        <w:tabs>
          <w:tab w:val="num" w:pos="1146"/>
        </w:tabs>
        <w:ind w:left="851" w:hanging="851"/>
        <w:rPr>
          <w:rFonts w:ascii="Arial" w:hAnsi="Arial" w:cs="Arial"/>
          <w:color w:val="000000" w:themeColor="text1"/>
          <w:sz w:val="20"/>
          <w:szCs w:val="20"/>
        </w:rPr>
      </w:pPr>
      <w:r w:rsidRPr="009E6B3C">
        <w:rPr>
          <w:rFonts w:ascii="Arial" w:hAnsi="Arial" w:cs="Arial"/>
          <w:sz w:val="20"/>
          <w:szCs w:val="20"/>
        </w:rPr>
        <w:t xml:space="preserve">In line with its mandate, Legal Aid SA continues to identify the following priority groups: </w:t>
      </w:r>
      <w:r w:rsidR="006E6049" w:rsidRPr="009E6B3C">
        <w:rPr>
          <w:rFonts w:ascii="Arial" w:hAnsi="Arial" w:cs="Arial"/>
          <w:sz w:val="20"/>
          <w:szCs w:val="20"/>
        </w:rPr>
        <w:t>c</w:t>
      </w:r>
      <w:r w:rsidRPr="009E6B3C">
        <w:rPr>
          <w:rFonts w:ascii="Arial" w:hAnsi="Arial" w:cs="Arial"/>
          <w:sz w:val="20"/>
          <w:szCs w:val="20"/>
        </w:rPr>
        <w:t>hildren; every detained person, including sentenced prisoners; every accused person who wishes to appeal or review a court decision in a higher court; women, particularly in divorces, maintenance and domestic violence cases; and the landless, especially eviction cases.</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1"/>
          <w:numId w:val="1"/>
        </w:numPr>
        <w:tabs>
          <w:tab w:val="num" w:pos="1146"/>
        </w:tabs>
        <w:ind w:left="851" w:hanging="851"/>
        <w:rPr>
          <w:rFonts w:ascii="Arial" w:hAnsi="Arial" w:cs="Arial"/>
          <w:sz w:val="20"/>
          <w:szCs w:val="20"/>
        </w:rPr>
      </w:pPr>
      <w:r w:rsidRPr="009E6B3C">
        <w:rPr>
          <w:rFonts w:ascii="Arial" w:hAnsi="Arial" w:cs="Arial"/>
          <w:sz w:val="20"/>
          <w:szCs w:val="20"/>
        </w:rPr>
        <w:t>In the last quarter of 2021/22, management of the legal representation function of the Land Rights Management Facility (LRMF) of the Department of Agriculture, Land Reform and Rural Development was transferred to Legal Aid SA. Through the newly established Land Management Unit, Legal Aid SA now provides legal representation and advice services in land disputes for those who cannot afford legal representation. Most legal practitioners who were previously providing legal representation to farm occupiers, labour tenants and restitution claimants through the LRMF have accredited with Legal Aid SA on the Judicare system and continue to provide legal services as required.</w:t>
      </w:r>
    </w:p>
    <w:p w:rsidR="00B22C92" w:rsidRPr="009E6B3C" w:rsidRDefault="00B22C92" w:rsidP="009E6B3C">
      <w:pPr>
        <w:pStyle w:val="ListParagraph"/>
        <w:rPr>
          <w:rFonts w:ascii="Arial" w:hAnsi="Arial" w:cs="Arial"/>
          <w:color w:val="000000" w:themeColor="text1"/>
          <w:sz w:val="20"/>
          <w:szCs w:val="20"/>
          <w:highlight w:val="yellow"/>
        </w:rPr>
      </w:pPr>
    </w:p>
    <w:p w:rsidR="00B22C92" w:rsidRPr="009E6B3C" w:rsidRDefault="00B22C92" w:rsidP="009E6B3C">
      <w:pPr>
        <w:pStyle w:val="ListParagraph"/>
        <w:numPr>
          <w:ilvl w:val="1"/>
          <w:numId w:val="1"/>
        </w:numPr>
        <w:tabs>
          <w:tab w:val="num" w:pos="1146"/>
        </w:tabs>
        <w:ind w:left="851" w:hanging="851"/>
        <w:rPr>
          <w:rFonts w:ascii="Arial" w:hAnsi="Arial" w:cs="Arial"/>
          <w:sz w:val="20"/>
          <w:szCs w:val="20"/>
        </w:rPr>
      </w:pPr>
      <w:r w:rsidRPr="009E6B3C">
        <w:rPr>
          <w:rFonts w:ascii="Arial" w:hAnsi="Arial" w:cs="Arial"/>
          <w:bCs/>
          <w:sz w:val="20"/>
          <w:szCs w:val="20"/>
        </w:rPr>
        <w:t>The financial year 2021/22 is the second year of the S</w:t>
      </w:r>
      <w:r w:rsidRPr="009E6B3C">
        <w:rPr>
          <w:rFonts w:ascii="Arial" w:hAnsi="Arial" w:cs="Arial"/>
          <w:sz w:val="20"/>
          <w:szCs w:val="20"/>
        </w:rPr>
        <w:t xml:space="preserve">trategic Plan 2020-2025. </w:t>
      </w:r>
      <w:r w:rsidRPr="009E6B3C">
        <w:rPr>
          <w:rFonts w:ascii="Arial" w:hAnsi="Arial" w:cs="Arial"/>
          <w:bCs/>
          <w:sz w:val="20"/>
          <w:szCs w:val="20"/>
        </w:rPr>
        <w:t>Legal Aid SA’s plans are aligned with the MTSF priority ‘Social cohesion and safer communities’. The strategic outcomes for 2020-2025 are to provide quality justice for all, especially, the poor and vulnerable, and to be a respected, high performance, sustainable and accessible public entity that will have a positive impact on society, the economy and the environment.</w:t>
      </w:r>
    </w:p>
    <w:p w:rsidR="00B22C92" w:rsidRPr="009E6B3C" w:rsidRDefault="00B22C92" w:rsidP="009E6B3C">
      <w:pPr>
        <w:pStyle w:val="ListParagraph"/>
        <w:rPr>
          <w:rFonts w:ascii="Arial" w:hAnsi="Arial" w:cs="Arial"/>
          <w:sz w:val="20"/>
          <w:szCs w:val="20"/>
        </w:rPr>
      </w:pPr>
    </w:p>
    <w:p w:rsidR="00B22C92" w:rsidRPr="009E6B3C" w:rsidRDefault="00B22C92" w:rsidP="009E6B3C">
      <w:pPr>
        <w:pStyle w:val="ListParagraph"/>
        <w:numPr>
          <w:ilvl w:val="1"/>
          <w:numId w:val="1"/>
        </w:numPr>
        <w:tabs>
          <w:tab w:val="num" w:pos="1146"/>
        </w:tabs>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Delivery continues to occur nationwide through 64 Local Offices, 64 Satellite Offices, 6 Provincial Offices and the National Office. In addition, Legal Aid SA makes use of accredited Judicare partners; co-operation partners and agency agreements with private law firms to deliver services. This ensured a mixed model delivery system in which 96% of all new matters were </w:t>
      </w:r>
      <w:r w:rsidRPr="009E6B3C">
        <w:rPr>
          <w:rFonts w:ascii="Arial" w:hAnsi="Arial" w:cs="Arial"/>
          <w:color w:val="000000" w:themeColor="text1"/>
          <w:sz w:val="20"/>
          <w:szCs w:val="20"/>
        </w:rPr>
        <w:lastRenderedPageBreak/>
        <w:t>handled by the Local Offices; approximately 3% by Judicare practitioners and through Agency Agreements; and 1% by co-operation partners.</w:t>
      </w:r>
    </w:p>
    <w:p w:rsidR="00B22C92" w:rsidRPr="009E6B3C" w:rsidRDefault="00B22C92" w:rsidP="009E6B3C">
      <w:pPr>
        <w:pStyle w:val="ListParagraph"/>
        <w:rPr>
          <w:rFonts w:ascii="Arial" w:hAnsi="Arial" w:cs="Arial"/>
          <w:sz w:val="20"/>
          <w:szCs w:val="20"/>
        </w:rPr>
      </w:pPr>
    </w:p>
    <w:p w:rsidR="00B22C92" w:rsidRPr="009E6B3C" w:rsidRDefault="00B22C92" w:rsidP="009E6B3C">
      <w:pPr>
        <w:pStyle w:val="ListParagraph"/>
        <w:numPr>
          <w:ilvl w:val="1"/>
          <w:numId w:val="1"/>
        </w:numPr>
        <w:tabs>
          <w:tab w:val="num" w:pos="851"/>
        </w:tabs>
        <w:ind w:left="851" w:hanging="851"/>
        <w:rPr>
          <w:rFonts w:ascii="Arial" w:hAnsi="Arial" w:cs="Arial"/>
          <w:i/>
          <w:color w:val="000000" w:themeColor="text1"/>
          <w:sz w:val="20"/>
          <w:szCs w:val="20"/>
        </w:rPr>
      </w:pPr>
      <w:r w:rsidRPr="009E6B3C">
        <w:rPr>
          <w:rFonts w:ascii="Arial" w:hAnsi="Arial" w:cs="Arial"/>
          <w:b/>
          <w:i/>
          <w:color w:val="000000" w:themeColor="text1"/>
          <w:sz w:val="20"/>
          <w:szCs w:val="20"/>
        </w:rPr>
        <w:t>Human</w:t>
      </w:r>
      <w:r w:rsidRPr="009E6B3C">
        <w:rPr>
          <w:rFonts w:ascii="Arial" w:hAnsi="Arial" w:cs="Arial"/>
          <w:b/>
          <w:i/>
          <w:sz w:val="20"/>
          <w:szCs w:val="20"/>
        </w:rPr>
        <w:t xml:space="preserve"> resources</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2"/>
          <w:numId w:val="54"/>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For 2021/22, Legal Aid SA report</w:t>
      </w:r>
      <w:r w:rsidR="00626385" w:rsidRPr="009E6B3C">
        <w:rPr>
          <w:rFonts w:ascii="Arial" w:hAnsi="Arial" w:cs="Arial"/>
          <w:color w:val="000000" w:themeColor="text1"/>
          <w:sz w:val="20"/>
          <w:szCs w:val="20"/>
        </w:rPr>
        <w:t>ed</w:t>
      </w:r>
      <w:r w:rsidRPr="009E6B3C">
        <w:rPr>
          <w:rFonts w:ascii="Arial" w:hAnsi="Arial" w:cs="Arial"/>
          <w:color w:val="000000" w:themeColor="text1"/>
          <w:sz w:val="20"/>
          <w:szCs w:val="20"/>
        </w:rPr>
        <w:t xml:space="preserve"> a staff establishment of 2 468 recruited staff with 2 689 budgeted posts; compared to 2 551 recruited staff with budgeted posts at 2 799 in 2020/21. Legal staff, including paralegals, account for 77% of recruited staff. Recruitment was at 91.8% compared to the annual target of 95%. Legal Aid SA advises that budget cuts have impacted on staffing and recruitment</w:t>
      </w:r>
      <w:r w:rsidR="006E6049"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as a moratorium has been placed on staff recruitment over the MTEF period.</w:t>
      </w:r>
    </w:p>
    <w:p w:rsidR="00B22C92" w:rsidRPr="009E6B3C" w:rsidRDefault="00B22C92" w:rsidP="009E6B3C">
      <w:pPr>
        <w:pStyle w:val="ListParagraph"/>
        <w:rPr>
          <w:rFonts w:ascii="Arial" w:hAnsi="Arial" w:cs="Arial"/>
          <w:color w:val="000000" w:themeColor="text1"/>
          <w:sz w:val="20"/>
          <w:szCs w:val="20"/>
          <w:highlight w:val="yellow"/>
        </w:rPr>
      </w:pPr>
    </w:p>
    <w:p w:rsidR="00B22C92" w:rsidRPr="009E6B3C" w:rsidRDefault="00B22C92" w:rsidP="009E6B3C">
      <w:pPr>
        <w:pStyle w:val="ListParagraph"/>
        <w:numPr>
          <w:ilvl w:val="2"/>
          <w:numId w:val="54"/>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At management level, Legal Aid SA reports that it had experienced two key changes at the Executive level in 2021/22, namely the Chief Financial Officer position became vacant when Ms P Mbingo resigned on 31 July 2021, and the National Operations Executive position became vacant due to the retirement of Adv</w:t>
      </w:r>
      <w:r w:rsidR="006E6049"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B Nair on </w:t>
      </w:r>
      <w:r w:rsidR="00EA1469" w:rsidRPr="009E6B3C">
        <w:rPr>
          <w:rFonts w:ascii="Arial" w:hAnsi="Arial" w:cs="Arial"/>
          <w:color w:val="000000" w:themeColor="text1"/>
          <w:sz w:val="20"/>
          <w:szCs w:val="20"/>
        </w:rPr>
        <w:t>31 January 2022</w:t>
      </w:r>
      <w:r w:rsidRPr="009E6B3C">
        <w:rPr>
          <w:rFonts w:ascii="Arial" w:hAnsi="Arial" w:cs="Arial"/>
          <w:color w:val="000000" w:themeColor="text1"/>
          <w:sz w:val="20"/>
          <w:szCs w:val="20"/>
        </w:rPr>
        <w:t>. Both positions have been filled: Ms T Mofokeng is appointed as the Chief Financial Officer with effect from 1 January 2022; and Mr T Mtati was appointed as the National Operations Executive with effect from 1 January 2022.</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2"/>
          <w:numId w:val="54"/>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In terms of employment equity targets for overall total staff, Legal Aid SA reports the following for 2021/22:</w:t>
      </w:r>
    </w:p>
    <w:p w:rsidR="00012D16" w:rsidRPr="009E6B3C" w:rsidRDefault="00012D16" w:rsidP="009E6B3C">
      <w:pPr>
        <w:pStyle w:val="ListParagraph"/>
        <w:rPr>
          <w:rFonts w:ascii="Arial" w:hAnsi="Arial" w:cs="Arial"/>
          <w:color w:val="000000" w:themeColor="text1"/>
          <w:sz w:val="20"/>
          <w:szCs w:val="20"/>
        </w:rPr>
      </w:pPr>
    </w:p>
    <w:p w:rsidR="00012D16" w:rsidRPr="009E6B3C" w:rsidRDefault="00012D16" w:rsidP="009E6B3C">
      <w:pPr>
        <w:rPr>
          <w:rFonts w:ascii="Arial" w:hAnsi="Arial" w:cs="Arial"/>
          <w:b/>
          <w:i/>
          <w:color w:val="000000" w:themeColor="text1"/>
          <w:sz w:val="20"/>
          <w:szCs w:val="20"/>
        </w:rPr>
      </w:pPr>
      <w:r w:rsidRPr="009E6B3C">
        <w:rPr>
          <w:rFonts w:ascii="Arial" w:hAnsi="Arial" w:cs="Arial"/>
          <w:b/>
          <w:i/>
          <w:color w:val="000000" w:themeColor="text1"/>
          <w:sz w:val="20"/>
          <w:szCs w:val="20"/>
        </w:rPr>
        <w:t>Table 15: Legal Aid SA – Employment equity targets for total staff</w:t>
      </w:r>
    </w:p>
    <w:p w:rsidR="00012D16" w:rsidRPr="009E6B3C" w:rsidRDefault="00012D16" w:rsidP="009E6B3C">
      <w:pPr>
        <w:rPr>
          <w:rFonts w:ascii="Arial" w:hAnsi="Arial" w:cs="Arial"/>
          <w:b/>
          <w:i/>
          <w:color w:val="000000" w:themeColor="text1"/>
          <w:sz w:val="20"/>
          <w:szCs w:val="20"/>
        </w:rPr>
      </w:pPr>
    </w:p>
    <w:tbl>
      <w:tblPr>
        <w:tblStyle w:val="TableGrid"/>
        <w:tblW w:w="5000" w:type="pct"/>
        <w:tblLook w:val="04A0"/>
      </w:tblPr>
      <w:tblGrid>
        <w:gridCol w:w="3254"/>
        <w:gridCol w:w="3185"/>
        <w:gridCol w:w="3188"/>
      </w:tblGrid>
      <w:tr w:rsidR="00B22C92" w:rsidRPr="009E6B3C" w:rsidTr="00012D16">
        <w:tc>
          <w:tcPr>
            <w:tcW w:w="1690" w:type="pct"/>
            <w:shd w:val="clear" w:color="auto" w:fill="D9D9D9" w:themeFill="background1" w:themeFillShade="D9"/>
          </w:tcPr>
          <w:p w:rsidR="00B22C92" w:rsidRPr="009E6B3C" w:rsidRDefault="00B22C92" w:rsidP="009E6B3C">
            <w:pPr>
              <w:rPr>
                <w:rFonts w:ascii="Arial" w:hAnsi="Arial" w:cs="Arial"/>
                <w:b/>
                <w:color w:val="000000" w:themeColor="text1"/>
                <w:sz w:val="20"/>
                <w:szCs w:val="20"/>
              </w:rPr>
            </w:pPr>
            <w:r w:rsidRPr="009E6B3C">
              <w:rPr>
                <w:rFonts w:ascii="Arial" w:hAnsi="Arial" w:cs="Arial"/>
                <w:b/>
                <w:color w:val="000000" w:themeColor="text1"/>
                <w:sz w:val="20"/>
                <w:szCs w:val="20"/>
              </w:rPr>
              <w:t>Total staff</w:t>
            </w:r>
          </w:p>
        </w:tc>
        <w:tc>
          <w:tcPr>
            <w:tcW w:w="1654" w:type="pct"/>
            <w:shd w:val="clear" w:color="auto" w:fill="D9D9D9" w:themeFill="background1" w:themeFillShade="D9"/>
          </w:tcPr>
          <w:p w:rsidR="00B22C92" w:rsidRPr="009E6B3C" w:rsidRDefault="00B22C92" w:rsidP="009E6B3C">
            <w:pPr>
              <w:rPr>
                <w:rFonts w:ascii="Arial" w:hAnsi="Arial" w:cs="Arial"/>
                <w:b/>
                <w:color w:val="000000" w:themeColor="text1"/>
                <w:sz w:val="20"/>
                <w:szCs w:val="20"/>
              </w:rPr>
            </w:pPr>
            <w:r w:rsidRPr="009E6B3C">
              <w:rPr>
                <w:rFonts w:ascii="Arial" w:hAnsi="Arial" w:cs="Arial"/>
                <w:b/>
                <w:color w:val="000000" w:themeColor="text1"/>
                <w:sz w:val="20"/>
                <w:szCs w:val="20"/>
              </w:rPr>
              <w:t>Target</w:t>
            </w:r>
          </w:p>
        </w:tc>
        <w:tc>
          <w:tcPr>
            <w:tcW w:w="1656" w:type="pct"/>
            <w:shd w:val="clear" w:color="auto" w:fill="D9D9D9" w:themeFill="background1" w:themeFillShade="D9"/>
          </w:tcPr>
          <w:p w:rsidR="00B22C92" w:rsidRPr="009E6B3C" w:rsidRDefault="00B22C92" w:rsidP="009E6B3C">
            <w:pPr>
              <w:rPr>
                <w:rFonts w:ascii="Arial" w:hAnsi="Arial" w:cs="Arial"/>
                <w:b/>
                <w:color w:val="000000" w:themeColor="text1"/>
                <w:sz w:val="20"/>
                <w:szCs w:val="20"/>
              </w:rPr>
            </w:pPr>
            <w:r w:rsidRPr="009E6B3C">
              <w:rPr>
                <w:rFonts w:ascii="Arial" w:hAnsi="Arial" w:cs="Arial"/>
                <w:b/>
                <w:color w:val="000000" w:themeColor="text1"/>
                <w:sz w:val="20"/>
                <w:szCs w:val="20"/>
              </w:rPr>
              <w:t>Actual</w:t>
            </w:r>
          </w:p>
        </w:tc>
      </w:tr>
      <w:tr w:rsidR="00B22C92" w:rsidRPr="009E6B3C" w:rsidTr="00012D16">
        <w:tc>
          <w:tcPr>
            <w:tcW w:w="1690"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Black</w:t>
            </w:r>
          </w:p>
        </w:tc>
        <w:tc>
          <w:tcPr>
            <w:tcW w:w="1654"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91%</w:t>
            </w:r>
          </w:p>
        </w:tc>
        <w:tc>
          <w:tcPr>
            <w:tcW w:w="1656" w:type="pct"/>
            <w:shd w:val="clear" w:color="auto" w:fill="D9D9D9" w:themeFill="background1" w:themeFillShade="D9"/>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90.8%</w:t>
            </w:r>
          </w:p>
        </w:tc>
      </w:tr>
      <w:tr w:rsidR="00B22C92" w:rsidRPr="009E6B3C" w:rsidTr="00012D16">
        <w:tc>
          <w:tcPr>
            <w:tcW w:w="1690"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African</w:t>
            </w:r>
          </w:p>
        </w:tc>
        <w:tc>
          <w:tcPr>
            <w:tcW w:w="1654"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79%</w:t>
            </w:r>
          </w:p>
        </w:tc>
        <w:tc>
          <w:tcPr>
            <w:tcW w:w="1656" w:type="pct"/>
            <w:shd w:val="clear" w:color="auto" w:fill="D9D9D9" w:themeFill="background1" w:themeFillShade="D9"/>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76.2%</w:t>
            </w:r>
          </w:p>
        </w:tc>
      </w:tr>
      <w:tr w:rsidR="00B22C92" w:rsidRPr="009E6B3C" w:rsidTr="00012D16">
        <w:tc>
          <w:tcPr>
            <w:tcW w:w="1690"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People with disabilities</w:t>
            </w:r>
          </w:p>
        </w:tc>
        <w:tc>
          <w:tcPr>
            <w:tcW w:w="1654"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2%</w:t>
            </w:r>
          </w:p>
        </w:tc>
        <w:tc>
          <w:tcPr>
            <w:tcW w:w="1656" w:type="pct"/>
            <w:shd w:val="clear" w:color="auto" w:fill="D9D9D9" w:themeFill="background1" w:themeFillShade="D9"/>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1.6%</w:t>
            </w:r>
          </w:p>
        </w:tc>
      </w:tr>
    </w:tbl>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2"/>
          <w:numId w:val="54"/>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Targets for Senior Management: </w:t>
      </w:r>
    </w:p>
    <w:p w:rsidR="00012D16" w:rsidRPr="009E6B3C" w:rsidRDefault="00012D16" w:rsidP="009E6B3C">
      <w:pPr>
        <w:pStyle w:val="ListParagraph"/>
        <w:ind w:left="851"/>
        <w:rPr>
          <w:rFonts w:ascii="Arial" w:hAnsi="Arial" w:cs="Arial"/>
          <w:color w:val="000000" w:themeColor="text1"/>
          <w:sz w:val="20"/>
          <w:szCs w:val="20"/>
        </w:rPr>
      </w:pPr>
    </w:p>
    <w:p w:rsidR="00012D16" w:rsidRPr="009E6B3C" w:rsidRDefault="00012D16" w:rsidP="009E6B3C">
      <w:pPr>
        <w:rPr>
          <w:rFonts w:ascii="Arial" w:hAnsi="Arial" w:cs="Arial"/>
          <w:b/>
          <w:i/>
          <w:color w:val="000000" w:themeColor="text1"/>
          <w:sz w:val="20"/>
          <w:szCs w:val="20"/>
        </w:rPr>
      </w:pPr>
      <w:r w:rsidRPr="009E6B3C">
        <w:rPr>
          <w:rFonts w:ascii="Arial" w:hAnsi="Arial" w:cs="Arial"/>
          <w:b/>
          <w:i/>
          <w:color w:val="000000" w:themeColor="text1"/>
          <w:sz w:val="20"/>
          <w:szCs w:val="20"/>
        </w:rPr>
        <w:t>Table 16: Legal Aid SA – Employment equity targets for senior management</w:t>
      </w:r>
    </w:p>
    <w:p w:rsidR="00012D16" w:rsidRPr="009E6B3C" w:rsidRDefault="00012D16" w:rsidP="009E6B3C">
      <w:pPr>
        <w:pStyle w:val="ListParagraph"/>
        <w:ind w:left="851"/>
        <w:rPr>
          <w:rFonts w:ascii="Arial" w:hAnsi="Arial" w:cs="Arial"/>
          <w:color w:val="000000" w:themeColor="text1"/>
          <w:sz w:val="20"/>
          <w:szCs w:val="20"/>
        </w:rPr>
      </w:pPr>
    </w:p>
    <w:tbl>
      <w:tblPr>
        <w:tblStyle w:val="TableGrid"/>
        <w:tblW w:w="5000" w:type="pct"/>
        <w:tblLook w:val="04A0"/>
      </w:tblPr>
      <w:tblGrid>
        <w:gridCol w:w="3272"/>
        <w:gridCol w:w="3167"/>
        <w:gridCol w:w="3188"/>
      </w:tblGrid>
      <w:tr w:rsidR="00B22C92" w:rsidRPr="009E6B3C" w:rsidTr="00012D16">
        <w:tc>
          <w:tcPr>
            <w:tcW w:w="1699" w:type="pct"/>
            <w:shd w:val="clear" w:color="auto" w:fill="D9D9D9" w:themeFill="background1" w:themeFillShade="D9"/>
          </w:tcPr>
          <w:p w:rsidR="00B22C92" w:rsidRPr="009E6B3C" w:rsidRDefault="00B22C92" w:rsidP="009E6B3C">
            <w:pPr>
              <w:rPr>
                <w:rFonts w:ascii="Arial" w:hAnsi="Arial" w:cs="Arial"/>
                <w:b/>
                <w:color w:val="000000" w:themeColor="text1"/>
                <w:sz w:val="20"/>
                <w:szCs w:val="20"/>
              </w:rPr>
            </w:pPr>
            <w:r w:rsidRPr="009E6B3C">
              <w:rPr>
                <w:rFonts w:ascii="Arial" w:hAnsi="Arial" w:cs="Arial"/>
                <w:b/>
                <w:color w:val="000000" w:themeColor="text1"/>
                <w:sz w:val="20"/>
                <w:szCs w:val="20"/>
              </w:rPr>
              <w:t>Senior management</w:t>
            </w:r>
          </w:p>
        </w:tc>
        <w:tc>
          <w:tcPr>
            <w:tcW w:w="1645" w:type="pct"/>
            <w:shd w:val="clear" w:color="auto" w:fill="D9D9D9" w:themeFill="background1" w:themeFillShade="D9"/>
          </w:tcPr>
          <w:p w:rsidR="00B22C92" w:rsidRPr="009E6B3C" w:rsidRDefault="00B22C92" w:rsidP="009E6B3C">
            <w:pPr>
              <w:rPr>
                <w:rFonts w:ascii="Arial" w:hAnsi="Arial" w:cs="Arial"/>
                <w:b/>
                <w:color w:val="000000" w:themeColor="text1"/>
                <w:sz w:val="20"/>
                <w:szCs w:val="20"/>
              </w:rPr>
            </w:pPr>
            <w:r w:rsidRPr="009E6B3C">
              <w:rPr>
                <w:rFonts w:ascii="Arial" w:hAnsi="Arial" w:cs="Arial"/>
                <w:b/>
                <w:color w:val="000000" w:themeColor="text1"/>
                <w:sz w:val="20"/>
                <w:szCs w:val="20"/>
              </w:rPr>
              <w:t>Target</w:t>
            </w:r>
          </w:p>
        </w:tc>
        <w:tc>
          <w:tcPr>
            <w:tcW w:w="1656" w:type="pct"/>
            <w:shd w:val="clear" w:color="auto" w:fill="D9D9D9" w:themeFill="background1" w:themeFillShade="D9"/>
          </w:tcPr>
          <w:p w:rsidR="00B22C92" w:rsidRPr="009E6B3C" w:rsidRDefault="00B22C92" w:rsidP="009E6B3C">
            <w:pPr>
              <w:rPr>
                <w:rFonts w:ascii="Arial" w:hAnsi="Arial" w:cs="Arial"/>
                <w:b/>
                <w:color w:val="000000" w:themeColor="text1"/>
                <w:sz w:val="20"/>
                <w:szCs w:val="20"/>
              </w:rPr>
            </w:pPr>
            <w:r w:rsidRPr="009E6B3C">
              <w:rPr>
                <w:rFonts w:ascii="Arial" w:hAnsi="Arial" w:cs="Arial"/>
                <w:b/>
                <w:color w:val="000000" w:themeColor="text1"/>
                <w:sz w:val="20"/>
                <w:szCs w:val="20"/>
              </w:rPr>
              <w:t>Actual</w:t>
            </w:r>
          </w:p>
        </w:tc>
      </w:tr>
      <w:tr w:rsidR="00B22C92" w:rsidRPr="009E6B3C" w:rsidTr="00012D16">
        <w:tc>
          <w:tcPr>
            <w:tcW w:w="1699"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Black</w:t>
            </w:r>
          </w:p>
        </w:tc>
        <w:tc>
          <w:tcPr>
            <w:tcW w:w="1645"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91%</w:t>
            </w:r>
          </w:p>
        </w:tc>
        <w:tc>
          <w:tcPr>
            <w:tcW w:w="1656" w:type="pct"/>
            <w:shd w:val="clear" w:color="auto" w:fill="D9D9D9" w:themeFill="background1" w:themeFillShade="D9"/>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80.17%</w:t>
            </w:r>
          </w:p>
        </w:tc>
      </w:tr>
      <w:tr w:rsidR="00B22C92" w:rsidRPr="009E6B3C" w:rsidTr="00012D16">
        <w:tc>
          <w:tcPr>
            <w:tcW w:w="1699"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African</w:t>
            </w:r>
          </w:p>
        </w:tc>
        <w:tc>
          <w:tcPr>
            <w:tcW w:w="1645"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79%</w:t>
            </w:r>
          </w:p>
        </w:tc>
        <w:tc>
          <w:tcPr>
            <w:tcW w:w="1656" w:type="pct"/>
            <w:shd w:val="clear" w:color="auto" w:fill="D9D9D9" w:themeFill="background1" w:themeFillShade="D9"/>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64.4</w:t>
            </w:r>
            <w:r w:rsidR="00626385" w:rsidRPr="009E6B3C">
              <w:rPr>
                <w:rFonts w:ascii="Arial" w:hAnsi="Arial" w:cs="Arial"/>
                <w:color w:val="000000" w:themeColor="text1"/>
                <w:sz w:val="20"/>
                <w:szCs w:val="20"/>
              </w:rPr>
              <w:t>%</w:t>
            </w:r>
          </w:p>
        </w:tc>
      </w:tr>
      <w:tr w:rsidR="00B22C92" w:rsidRPr="009E6B3C" w:rsidTr="00012D16">
        <w:tc>
          <w:tcPr>
            <w:tcW w:w="1699"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Women</w:t>
            </w:r>
          </w:p>
        </w:tc>
        <w:tc>
          <w:tcPr>
            <w:tcW w:w="1645" w:type="pct"/>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45%</w:t>
            </w:r>
          </w:p>
        </w:tc>
        <w:tc>
          <w:tcPr>
            <w:tcW w:w="1656" w:type="pct"/>
            <w:shd w:val="clear" w:color="auto" w:fill="D9D9D9" w:themeFill="background1" w:themeFillShade="D9"/>
          </w:tcPr>
          <w:p w:rsidR="00B22C92" w:rsidRPr="009E6B3C" w:rsidRDefault="00B22C92" w:rsidP="009E6B3C">
            <w:pPr>
              <w:rPr>
                <w:rFonts w:ascii="Arial" w:hAnsi="Arial" w:cs="Arial"/>
                <w:color w:val="000000" w:themeColor="text1"/>
                <w:sz w:val="20"/>
                <w:szCs w:val="20"/>
              </w:rPr>
            </w:pPr>
            <w:r w:rsidRPr="009E6B3C">
              <w:rPr>
                <w:rFonts w:ascii="Arial" w:hAnsi="Arial" w:cs="Arial"/>
                <w:color w:val="000000" w:themeColor="text1"/>
                <w:sz w:val="20"/>
                <w:szCs w:val="20"/>
              </w:rPr>
              <w:t>42.24%</w:t>
            </w:r>
          </w:p>
        </w:tc>
      </w:tr>
    </w:tbl>
    <w:p w:rsidR="00B22C92" w:rsidRPr="009E6B3C" w:rsidRDefault="00B22C92" w:rsidP="009E6B3C">
      <w:pPr>
        <w:rPr>
          <w:rFonts w:ascii="Arial" w:hAnsi="Arial" w:cs="Arial"/>
          <w:color w:val="000000" w:themeColor="text1"/>
          <w:sz w:val="20"/>
          <w:szCs w:val="20"/>
        </w:rPr>
      </w:pPr>
    </w:p>
    <w:p w:rsidR="00B22C92" w:rsidRPr="009E6B3C" w:rsidRDefault="00B22C92" w:rsidP="009E6B3C">
      <w:pPr>
        <w:pStyle w:val="ListParagraph"/>
        <w:numPr>
          <w:ilvl w:val="1"/>
          <w:numId w:val="1"/>
        </w:numPr>
        <w:tabs>
          <w:tab w:val="num" w:pos="851"/>
        </w:tabs>
        <w:ind w:left="851" w:hanging="851"/>
        <w:rPr>
          <w:rFonts w:ascii="Arial" w:hAnsi="Arial" w:cs="Arial"/>
          <w:b/>
          <w:bCs/>
          <w:i/>
          <w:sz w:val="20"/>
          <w:szCs w:val="20"/>
        </w:rPr>
      </w:pPr>
      <w:r w:rsidRPr="009E6B3C">
        <w:rPr>
          <w:rFonts w:ascii="Arial" w:hAnsi="Arial" w:cs="Arial"/>
          <w:b/>
          <w:bCs/>
          <w:i/>
          <w:sz w:val="20"/>
          <w:szCs w:val="20"/>
        </w:rPr>
        <w:t>Financial performance</w:t>
      </w:r>
      <w:r w:rsidR="00626385" w:rsidRPr="009E6B3C">
        <w:rPr>
          <w:rFonts w:ascii="Arial" w:hAnsi="Arial" w:cs="Arial"/>
          <w:b/>
          <w:bCs/>
          <w:i/>
          <w:sz w:val="20"/>
          <w:szCs w:val="20"/>
        </w:rPr>
        <w:t xml:space="preserve"> 2021/22</w:t>
      </w:r>
    </w:p>
    <w:p w:rsidR="00B22C92" w:rsidRPr="009E6B3C" w:rsidRDefault="00B22C92" w:rsidP="009E6B3C">
      <w:pPr>
        <w:pStyle w:val="ListParagraph"/>
        <w:rPr>
          <w:rFonts w:ascii="Arial" w:hAnsi="Arial" w:cs="Arial"/>
          <w:sz w:val="20"/>
          <w:szCs w:val="20"/>
        </w:rPr>
      </w:pPr>
    </w:p>
    <w:p w:rsidR="00B22C92" w:rsidRPr="009E6B3C" w:rsidRDefault="00B22C92" w:rsidP="009E6B3C">
      <w:pPr>
        <w:pStyle w:val="ListParagraph"/>
        <w:numPr>
          <w:ilvl w:val="2"/>
          <w:numId w:val="55"/>
        </w:numPr>
        <w:ind w:left="851" w:hanging="851"/>
        <w:rPr>
          <w:rFonts w:ascii="Arial" w:hAnsi="Arial" w:cs="Arial"/>
          <w:sz w:val="20"/>
          <w:szCs w:val="20"/>
        </w:rPr>
      </w:pPr>
      <w:r w:rsidRPr="009E6B3C">
        <w:rPr>
          <w:rFonts w:ascii="Arial" w:hAnsi="Arial" w:cs="Arial"/>
          <w:sz w:val="20"/>
          <w:szCs w:val="20"/>
        </w:rPr>
        <w:t xml:space="preserve">Legal Aid SA had </w:t>
      </w:r>
      <w:r w:rsidR="00626385" w:rsidRPr="009E6B3C">
        <w:rPr>
          <w:rFonts w:ascii="Arial" w:hAnsi="Arial" w:cs="Arial"/>
          <w:sz w:val="20"/>
          <w:szCs w:val="20"/>
        </w:rPr>
        <w:t xml:space="preserve">a final </w:t>
      </w:r>
      <w:r w:rsidRPr="009E6B3C">
        <w:rPr>
          <w:rFonts w:ascii="Arial" w:hAnsi="Arial" w:cs="Arial"/>
          <w:sz w:val="20"/>
          <w:szCs w:val="20"/>
        </w:rPr>
        <w:t>budget of R2.13 billion for 2021/22 (compared with R1.9 billion in 2020/21):</w:t>
      </w:r>
      <w:r w:rsidR="001F1F85" w:rsidRPr="009E6B3C">
        <w:rPr>
          <w:rFonts w:ascii="Arial" w:hAnsi="Arial" w:cs="Arial"/>
          <w:sz w:val="20"/>
          <w:szCs w:val="20"/>
        </w:rPr>
        <w:t xml:space="preserve"> </w:t>
      </w:r>
      <w:r w:rsidRPr="009E6B3C">
        <w:rPr>
          <w:rFonts w:ascii="Arial" w:hAnsi="Arial" w:cs="Arial"/>
          <w:sz w:val="20"/>
          <w:szCs w:val="20"/>
        </w:rPr>
        <w:t xml:space="preserve">Of this, an amount of R2.03 billion was in grant funding and subsidies. In addition, Legal Aid SA received funds for the Land Rights Management Unit </w:t>
      </w:r>
      <w:r w:rsidR="00626385" w:rsidRPr="009E6B3C">
        <w:rPr>
          <w:rFonts w:ascii="Arial" w:hAnsi="Arial" w:cs="Arial"/>
          <w:sz w:val="20"/>
          <w:szCs w:val="20"/>
        </w:rPr>
        <w:t xml:space="preserve">(LMRU) </w:t>
      </w:r>
      <w:r w:rsidRPr="009E6B3C">
        <w:rPr>
          <w:rFonts w:ascii="Arial" w:hAnsi="Arial" w:cs="Arial"/>
          <w:sz w:val="20"/>
          <w:szCs w:val="20"/>
        </w:rPr>
        <w:t xml:space="preserve">from the Department of Agriculture, Land Reform </w:t>
      </w:r>
      <w:r w:rsidR="001F050E" w:rsidRPr="009E6B3C">
        <w:rPr>
          <w:rFonts w:ascii="Arial" w:hAnsi="Arial" w:cs="Arial"/>
          <w:sz w:val="20"/>
          <w:szCs w:val="20"/>
        </w:rPr>
        <w:t>and</w:t>
      </w:r>
      <w:r w:rsidRPr="009E6B3C">
        <w:rPr>
          <w:rFonts w:ascii="Arial" w:hAnsi="Arial" w:cs="Arial"/>
          <w:sz w:val="20"/>
          <w:szCs w:val="20"/>
        </w:rPr>
        <w:t xml:space="preserve"> Rural Development </w:t>
      </w:r>
      <w:r w:rsidR="001F050E" w:rsidRPr="009E6B3C">
        <w:rPr>
          <w:rFonts w:ascii="Arial" w:hAnsi="Arial" w:cs="Arial"/>
          <w:sz w:val="20"/>
          <w:szCs w:val="20"/>
        </w:rPr>
        <w:t>(DALRRD)</w:t>
      </w:r>
      <w:r w:rsidRPr="009E6B3C">
        <w:rPr>
          <w:rFonts w:ascii="Arial" w:hAnsi="Arial" w:cs="Arial"/>
          <w:sz w:val="20"/>
          <w:szCs w:val="20"/>
        </w:rPr>
        <w:t xml:space="preserve">of R33 million, </w:t>
      </w:r>
      <w:r w:rsidR="001F050E" w:rsidRPr="009E6B3C">
        <w:rPr>
          <w:rFonts w:ascii="Arial" w:hAnsi="Arial" w:cs="Arial"/>
          <w:sz w:val="20"/>
          <w:szCs w:val="20"/>
        </w:rPr>
        <w:t xml:space="preserve">R11 million </w:t>
      </w:r>
      <w:r w:rsidR="00626385" w:rsidRPr="009E6B3C">
        <w:rPr>
          <w:rFonts w:ascii="Arial" w:hAnsi="Arial" w:cs="Arial"/>
          <w:sz w:val="20"/>
          <w:szCs w:val="20"/>
        </w:rPr>
        <w:t xml:space="preserve">for the </w:t>
      </w:r>
      <w:r w:rsidRPr="009E6B3C">
        <w:rPr>
          <w:rFonts w:ascii="Arial" w:hAnsi="Arial" w:cs="Arial"/>
          <w:sz w:val="20"/>
          <w:szCs w:val="20"/>
        </w:rPr>
        <w:t xml:space="preserve">Specialised Commercial Crimes Court (SCCC) and </w:t>
      </w:r>
      <w:r w:rsidR="001F050E" w:rsidRPr="009E6B3C">
        <w:rPr>
          <w:rFonts w:ascii="Arial" w:hAnsi="Arial" w:cs="Arial"/>
          <w:sz w:val="20"/>
          <w:szCs w:val="20"/>
        </w:rPr>
        <w:t xml:space="preserve">R3.5 million </w:t>
      </w:r>
      <w:r w:rsidRPr="009E6B3C">
        <w:rPr>
          <w:rFonts w:ascii="Arial" w:hAnsi="Arial" w:cs="Arial"/>
          <w:sz w:val="20"/>
          <w:szCs w:val="20"/>
        </w:rPr>
        <w:t>for the development of the eLAA system.</w:t>
      </w:r>
    </w:p>
    <w:p w:rsidR="00B22C92" w:rsidRPr="009E6B3C" w:rsidRDefault="00B22C92" w:rsidP="009E6B3C">
      <w:pPr>
        <w:pStyle w:val="ListParagraph"/>
        <w:ind w:left="851"/>
        <w:rPr>
          <w:rFonts w:ascii="Arial" w:hAnsi="Arial" w:cs="Arial"/>
          <w:sz w:val="20"/>
          <w:szCs w:val="20"/>
        </w:rPr>
      </w:pPr>
    </w:p>
    <w:p w:rsidR="00B22C92" w:rsidRPr="009E6B3C" w:rsidRDefault="00B22C92" w:rsidP="009E6B3C">
      <w:pPr>
        <w:pStyle w:val="ListParagraph"/>
        <w:numPr>
          <w:ilvl w:val="2"/>
          <w:numId w:val="55"/>
        </w:numPr>
        <w:ind w:left="851" w:hanging="851"/>
        <w:rPr>
          <w:rFonts w:ascii="Arial" w:hAnsi="Arial" w:cs="Arial"/>
          <w:sz w:val="20"/>
          <w:szCs w:val="20"/>
        </w:rPr>
      </w:pPr>
      <w:r w:rsidRPr="009E6B3C">
        <w:rPr>
          <w:rFonts w:ascii="Arial" w:hAnsi="Arial" w:cs="Arial"/>
          <w:sz w:val="20"/>
          <w:szCs w:val="20"/>
        </w:rPr>
        <w:t xml:space="preserve">National Treasury approved a retention of surplus funds from 2020/21 of R39.7 million and a portion was used to fund the Land Rights Management </w:t>
      </w:r>
      <w:r w:rsidR="00012D16" w:rsidRPr="009E6B3C">
        <w:rPr>
          <w:rFonts w:ascii="Arial" w:hAnsi="Arial" w:cs="Arial"/>
          <w:sz w:val="20"/>
          <w:szCs w:val="20"/>
        </w:rPr>
        <w:t>Unit that</w:t>
      </w:r>
      <w:r w:rsidRPr="009E6B3C">
        <w:rPr>
          <w:rFonts w:ascii="Arial" w:hAnsi="Arial" w:cs="Arial"/>
          <w:sz w:val="20"/>
          <w:szCs w:val="20"/>
        </w:rPr>
        <w:t xml:space="preserve"> </w:t>
      </w:r>
      <w:r w:rsidR="00012D16" w:rsidRPr="009E6B3C">
        <w:rPr>
          <w:rFonts w:ascii="Arial" w:hAnsi="Arial" w:cs="Arial"/>
          <w:sz w:val="20"/>
          <w:szCs w:val="20"/>
        </w:rPr>
        <w:t xml:space="preserve">was </w:t>
      </w:r>
      <w:r w:rsidRPr="009E6B3C">
        <w:rPr>
          <w:rFonts w:ascii="Arial" w:hAnsi="Arial" w:cs="Arial"/>
          <w:sz w:val="20"/>
          <w:szCs w:val="20"/>
        </w:rPr>
        <w:t>transferred from the D</w:t>
      </w:r>
      <w:r w:rsidR="001F050E" w:rsidRPr="009E6B3C">
        <w:rPr>
          <w:rFonts w:ascii="Arial" w:hAnsi="Arial" w:cs="Arial"/>
          <w:sz w:val="20"/>
          <w:szCs w:val="20"/>
        </w:rPr>
        <w:t>ALRRD</w:t>
      </w:r>
      <w:r w:rsidRPr="009E6B3C">
        <w:rPr>
          <w:rFonts w:ascii="Arial" w:hAnsi="Arial" w:cs="Arial"/>
          <w:sz w:val="20"/>
          <w:szCs w:val="20"/>
        </w:rPr>
        <w:t xml:space="preserve"> in the last quarter of 2021/22. The retained surplus allowed for the interim establishment of the function and the taking over of matters. The funding for the last quarter of 2021/22 was received from the DALRRD in April 2022. The function is established within Legal Aid SA and the budget allocation will be received after the Medium Term Budget Policy Statement.</w:t>
      </w:r>
    </w:p>
    <w:p w:rsidR="00B22C92" w:rsidRPr="009E6B3C" w:rsidRDefault="00B22C92" w:rsidP="009E6B3C">
      <w:pPr>
        <w:pStyle w:val="ListParagraph"/>
        <w:rPr>
          <w:rFonts w:ascii="Arial" w:hAnsi="Arial" w:cs="Arial"/>
          <w:sz w:val="20"/>
          <w:szCs w:val="20"/>
        </w:rPr>
      </w:pPr>
    </w:p>
    <w:p w:rsidR="00B22C92" w:rsidRPr="009E6B3C" w:rsidRDefault="00B22C92" w:rsidP="009E6B3C">
      <w:pPr>
        <w:pStyle w:val="ListParagraph"/>
        <w:numPr>
          <w:ilvl w:val="2"/>
          <w:numId w:val="55"/>
        </w:numPr>
        <w:ind w:left="851" w:hanging="851"/>
        <w:rPr>
          <w:rFonts w:ascii="Arial" w:hAnsi="Arial" w:cs="Arial"/>
          <w:sz w:val="20"/>
          <w:szCs w:val="20"/>
        </w:rPr>
      </w:pPr>
      <w:r w:rsidRPr="009E6B3C">
        <w:rPr>
          <w:rFonts w:ascii="Arial" w:hAnsi="Arial" w:cs="Arial"/>
          <w:sz w:val="20"/>
          <w:szCs w:val="20"/>
        </w:rPr>
        <w:t xml:space="preserve">Legal Aid spent R1.97 billion or 95% of the budget, which is below the targeted expenditure trend of 98%. </w:t>
      </w:r>
    </w:p>
    <w:p w:rsidR="00B22C92" w:rsidRPr="009E6B3C" w:rsidRDefault="00B22C92" w:rsidP="009E6B3C">
      <w:pPr>
        <w:pStyle w:val="ListParagraph"/>
        <w:rPr>
          <w:rFonts w:ascii="Arial" w:hAnsi="Arial" w:cs="Arial"/>
          <w:sz w:val="20"/>
          <w:szCs w:val="20"/>
          <w:highlight w:val="green"/>
        </w:rPr>
      </w:pPr>
    </w:p>
    <w:p w:rsidR="00B22C92" w:rsidRPr="009E6B3C" w:rsidRDefault="00B22C92" w:rsidP="009E6B3C">
      <w:pPr>
        <w:pStyle w:val="ListParagraph"/>
        <w:numPr>
          <w:ilvl w:val="2"/>
          <w:numId w:val="55"/>
        </w:numPr>
        <w:ind w:left="851" w:hanging="851"/>
        <w:rPr>
          <w:rFonts w:ascii="Arial" w:hAnsi="Arial" w:cs="Arial"/>
          <w:sz w:val="20"/>
          <w:szCs w:val="20"/>
        </w:rPr>
      </w:pPr>
      <w:r w:rsidRPr="009E6B3C">
        <w:rPr>
          <w:rFonts w:ascii="Arial" w:hAnsi="Arial" w:cs="Arial"/>
          <w:sz w:val="20"/>
          <w:szCs w:val="20"/>
        </w:rPr>
        <w:t xml:space="preserve">Salary and related costs are the main cost drivers, accounting for 79% of the allocation. The staff rationalisation initiative contributed towards the increase in surplus funds and an amount of R9.4 million </w:t>
      </w:r>
      <w:r w:rsidR="00626385" w:rsidRPr="009E6B3C">
        <w:rPr>
          <w:rFonts w:ascii="Arial" w:hAnsi="Arial" w:cs="Arial"/>
          <w:sz w:val="20"/>
          <w:szCs w:val="20"/>
        </w:rPr>
        <w:t xml:space="preserve">unspent </w:t>
      </w:r>
      <w:r w:rsidRPr="009E6B3C">
        <w:rPr>
          <w:rFonts w:ascii="Arial" w:hAnsi="Arial" w:cs="Arial"/>
          <w:sz w:val="20"/>
          <w:szCs w:val="20"/>
        </w:rPr>
        <w:t xml:space="preserve">is related to the vacancies in the approved structure. </w:t>
      </w:r>
    </w:p>
    <w:p w:rsidR="00B22C92" w:rsidRPr="009E6B3C" w:rsidRDefault="00B22C92" w:rsidP="009E6B3C">
      <w:pPr>
        <w:pStyle w:val="ListParagraph"/>
        <w:rPr>
          <w:rFonts w:ascii="Arial" w:hAnsi="Arial" w:cs="Arial"/>
          <w:sz w:val="20"/>
          <w:szCs w:val="20"/>
        </w:rPr>
      </w:pPr>
    </w:p>
    <w:p w:rsidR="00B22C92" w:rsidRPr="009E6B3C" w:rsidRDefault="00B22C92" w:rsidP="009E6B3C">
      <w:pPr>
        <w:pStyle w:val="ListParagraph"/>
        <w:numPr>
          <w:ilvl w:val="2"/>
          <w:numId w:val="55"/>
        </w:numPr>
        <w:ind w:left="851" w:hanging="851"/>
        <w:rPr>
          <w:rFonts w:ascii="Arial" w:hAnsi="Arial" w:cs="Arial"/>
          <w:sz w:val="20"/>
          <w:szCs w:val="20"/>
        </w:rPr>
      </w:pPr>
      <w:r w:rsidRPr="009E6B3C">
        <w:rPr>
          <w:rFonts w:ascii="Arial" w:hAnsi="Arial" w:cs="Arial"/>
          <w:sz w:val="20"/>
          <w:szCs w:val="20"/>
        </w:rPr>
        <w:t xml:space="preserve">The operational budget </w:t>
      </w:r>
      <w:r w:rsidR="00626385" w:rsidRPr="009E6B3C">
        <w:rPr>
          <w:rFonts w:ascii="Arial" w:hAnsi="Arial" w:cs="Arial"/>
          <w:sz w:val="20"/>
          <w:szCs w:val="20"/>
        </w:rPr>
        <w:t xml:space="preserve">makes up </w:t>
      </w:r>
      <w:r w:rsidRPr="009E6B3C">
        <w:rPr>
          <w:rFonts w:ascii="Arial" w:hAnsi="Arial" w:cs="Arial"/>
          <w:sz w:val="20"/>
          <w:szCs w:val="20"/>
        </w:rPr>
        <w:t xml:space="preserve">12% of the allocation and is </w:t>
      </w:r>
      <w:r w:rsidR="00626385" w:rsidRPr="009E6B3C">
        <w:rPr>
          <w:rFonts w:ascii="Arial" w:hAnsi="Arial" w:cs="Arial"/>
          <w:sz w:val="20"/>
          <w:szCs w:val="20"/>
        </w:rPr>
        <w:t>used</w:t>
      </w:r>
      <w:r w:rsidRPr="009E6B3C">
        <w:rPr>
          <w:rFonts w:ascii="Arial" w:hAnsi="Arial" w:cs="Arial"/>
          <w:sz w:val="20"/>
          <w:szCs w:val="20"/>
        </w:rPr>
        <w:t xml:space="preserve"> </w:t>
      </w:r>
      <w:r w:rsidR="00626385" w:rsidRPr="009E6B3C">
        <w:rPr>
          <w:rFonts w:ascii="Arial" w:hAnsi="Arial" w:cs="Arial"/>
          <w:sz w:val="20"/>
          <w:szCs w:val="20"/>
        </w:rPr>
        <w:t xml:space="preserve">for </w:t>
      </w:r>
      <w:r w:rsidR="001F050E" w:rsidRPr="009E6B3C">
        <w:rPr>
          <w:rFonts w:ascii="Arial" w:hAnsi="Arial" w:cs="Arial"/>
          <w:sz w:val="20"/>
          <w:szCs w:val="20"/>
        </w:rPr>
        <w:t>g</w:t>
      </w:r>
      <w:r w:rsidRPr="009E6B3C">
        <w:rPr>
          <w:rFonts w:ascii="Arial" w:hAnsi="Arial" w:cs="Arial"/>
          <w:sz w:val="20"/>
          <w:szCs w:val="20"/>
        </w:rPr>
        <w:t>o</w:t>
      </w:r>
      <w:r w:rsidR="00626385" w:rsidRPr="009E6B3C">
        <w:rPr>
          <w:rFonts w:ascii="Arial" w:hAnsi="Arial" w:cs="Arial"/>
          <w:sz w:val="20"/>
          <w:szCs w:val="20"/>
        </w:rPr>
        <w:t xml:space="preserve">ods and </w:t>
      </w:r>
      <w:r w:rsidR="001F050E" w:rsidRPr="009E6B3C">
        <w:rPr>
          <w:rFonts w:ascii="Arial" w:hAnsi="Arial" w:cs="Arial"/>
          <w:sz w:val="20"/>
          <w:szCs w:val="20"/>
        </w:rPr>
        <w:t>s</w:t>
      </w:r>
      <w:r w:rsidRPr="009E6B3C">
        <w:rPr>
          <w:rFonts w:ascii="Arial" w:hAnsi="Arial" w:cs="Arial"/>
          <w:sz w:val="20"/>
          <w:szCs w:val="20"/>
        </w:rPr>
        <w:t>ervices. The delays in finalising procurement processes and suspension of procurement by the National Treasury resulted in underspending of R60.5 million (16.5%) in the operational budget.</w:t>
      </w:r>
    </w:p>
    <w:p w:rsidR="00B22C92" w:rsidRPr="009E6B3C" w:rsidRDefault="00B22C92" w:rsidP="009E6B3C">
      <w:pPr>
        <w:pStyle w:val="ListParagraph"/>
        <w:rPr>
          <w:rFonts w:ascii="Arial" w:hAnsi="Arial" w:cs="Arial"/>
          <w:sz w:val="20"/>
          <w:szCs w:val="20"/>
        </w:rPr>
      </w:pPr>
    </w:p>
    <w:p w:rsidR="00B22C92" w:rsidRPr="009E6B3C" w:rsidRDefault="00B22C92" w:rsidP="009E6B3C">
      <w:pPr>
        <w:pStyle w:val="ListParagraph"/>
        <w:numPr>
          <w:ilvl w:val="2"/>
          <w:numId w:val="55"/>
        </w:numPr>
        <w:ind w:left="851" w:hanging="851"/>
        <w:rPr>
          <w:rFonts w:ascii="Arial" w:hAnsi="Arial" w:cs="Arial"/>
          <w:sz w:val="20"/>
          <w:szCs w:val="20"/>
        </w:rPr>
      </w:pPr>
      <w:r w:rsidRPr="009E6B3C">
        <w:rPr>
          <w:rFonts w:ascii="Arial" w:hAnsi="Arial" w:cs="Arial"/>
          <w:sz w:val="20"/>
          <w:szCs w:val="20"/>
        </w:rPr>
        <w:t>The capital budget is 2% of the allocation</w:t>
      </w:r>
      <w:r w:rsidR="00626385" w:rsidRPr="009E6B3C">
        <w:rPr>
          <w:rFonts w:ascii="Arial" w:hAnsi="Arial" w:cs="Arial"/>
          <w:sz w:val="20"/>
          <w:szCs w:val="20"/>
        </w:rPr>
        <w:t xml:space="preserve">: </w:t>
      </w:r>
      <w:r w:rsidRPr="009E6B3C">
        <w:rPr>
          <w:rFonts w:ascii="Arial" w:hAnsi="Arial" w:cs="Arial"/>
          <w:sz w:val="20"/>
          <w:szCs w:val="20"/>
        </w:rPr>
        <w:t>R10 million</w:t>
      </w:r>
      <w:r w:rsidR="00626385" w:rsidRPr="009E6B3C">
        <w:rPr>
          <w:rFonts w:ascii="Arial" w:hAnsi="Arial" w:cs="Arial"/>
          <w:sz w:val="20"/>
          <w:szCs w:val="20"/>
        </w:rPr>
        <w:t xml:space="preserve"> of the budget went </w:t>
      </w:r>
      <w:r w:rsidRPr="009E6B3C">
        <w:rPr>
          <w:rFonts w:ascii="Arial" w:hAnsi="Arial" w:cs="Arial"/>
          <w:sz w:val="20"/>
          <w:szCs w:val="20"/>
        </w:rPr>
        <w:t>unspent because of global supply chain constraints aggravated by the C</w:t>
      </w:r>
      <w:r w:rsidR="001F050E" w:rsidRPr="009E6B3C">
        <w:rPr>
          <w:rFonts w:ascii="Arial" w:hAnsi="Arial" w:cs="Arial"/>
          <w:sz w:val="20"/>
          <w:szCs w:val="20"/>
        </w:rPr>
        <w:t>ovid-19</w:t>
      </w:r>
      <w:r w:rsidRPr="009E6B3C">
        <w:rPr>
          <w:rFonts w:ascii="Arial" w:hAnsi="Arial" w:cs="Arial"/>
          <w:sz w:val="20"/>
          <w:szCs w:val="20"/>
        </w:rPr>
        <w:t xml:space="preserve"> pandemic and the delay in securing service providers for the refurbishment of newly acquired office accommodation</w:t>
      </w:r>
    </w:p>
    <w:p w:rsidR="00B22C92" w:rsidRPr="009E6B3C" w:rsidRDefault="00B22C92" w:rsidP="009E6B3C">
      <w:pPr>
        <w:pStyle w:val="ListParagraph"/>
        <w:rPr>
          <w:rFonts w:ascii="Arial" w:hAnsi="Arial" w:cs="Arial"/>
          <w:sz w:val="20"/>
          <w:szCs w:val="20"/>
          <w:highlight w:val="yellow"/>
        </w:rPr>
      </w:pPr>
    </w:p>
    <w:p w:rsidR="00B22C92" w:rsidRPr="009E6B3C" w:rsidRDefault="00B22C92" w:rsidP="009E6B3C">
      <w:pPr>
        <w:pStyle w:val="ListParagraph"/>
        <w:numPr>
          <w:ilvl w:val="2"/>
          <w:numId w:val="55"/>
        </w:numPr>
        <w:ind w:left="851" w:hanging="851"/>
        <w:rPr>
          <w:rFonts w:ascii="Arial" w:hAnsi="Arial" w:cs="Arial"/>
          <w:bCs/>
          <w:sz w:val="20"/>
          <w:szCs w:val="20"/>
        </w:rPr>
      </w:pPr>
      <w:r w:rsidRPr="009E6B3C">
        <w:rPr>
          <w:rFonts w:ascii="Arial" w:hAnsi="Arial" w:cs="Arial"/>
          <w:bCs/>
          <w:sz w:val="20"/>
          <w:szCs w:val="20"/>
        </w:rPr>
        <w:t>Payments to creditors and Judicare payments within 30 days were recorded at 97.3% and 99.1% respectively</w:t>
      </w:r>
      <w:r w:rsidR="001F050E" w:rsidRPr="009E6B3C">
        <w:rPr>
          <w:rFonts w:ascii="Arial" w:hAnsi="Arial" w:cs="Arial"/>
          <w:bCs/>
          <w:sz w:val="20"/>
          <w:szCs w:val="20"/>
        </w:rPr>
        <w:t>,</w:t>
      </w:r>
      <w:r w:rsidR="001F1F85" w:rsidRPr="009E6B3C">
        <w:rPr>
          <w:rFonts w:ascii="Arial" w:hAnsi="Arial" w:cs="Arial"/>
          <w:bCs/>
          <w:sz w:val="20"/>
          <w:szCs w:val="20"/>
        </w:rPr>
        <w:t xml:space="preserve"> with </w:t>
      </w:r>
      <w:r w:rsidRPr="009E6B3C">
        <w:rPr>
          <w:rFonts w:ascii="Arial" w:hAnsi="Arial" w:cs="Arial"/>
          <w:bCs/>
          <w:sz w:val="20"/>
          <w:szCs w:val="20"/>
        </w:rPr>
        <w:t xml:space="preserve">the target of 100% for each </w:t>
      </w:r>
      <w:r w:rsidR="001F1F85" w:rsidRPr="009E6B3C">
        <w:rPr>
          <w:rFonts w:ascii="Arial" w:hAnsi="Arial" w:cs="Arial"/>
          <w:bCs/>
          <w:sz w:val="20"/>
          <w:szCs w:val="20"/>
        </w:rPr>
        <w:t>n</w:t>
      </w:r>
      <w:r w:rsidRPr="009E6B3C">
        <w:rPr>
          <w:rFonts w:ascii="Arial" w:hAnsi="Arial" w:cs="Arial"/>
          <w:bCs/>
          <w:sz w:val="20"/>
          <w:szCs w:val="20"/>
        </w:rPr>
        <w:t>ot met.</w:t>
      </w:r>
    </w:p>
    <w:p w:rsidR="00B22C92" w:rsidRPr="009E6B3C" w:rsidRDefault="00B22C92" w:rsidP="009E6B3C">
      <w:pPr>
        <w:pStyle w:val="ListParagraph"/>
        <w:rPr>
          <w:rFonts w:ascii="Arial" w:hAnsi="Arial" w:cs="Arial"/>
          <w:bCs/>
          <w:sz w:val="20"/>
          <w:szCs w:val="20"/>
        </w:rPr>
      </w:pPr>
    </w:p>
    <w:p w:rsidR="00B22C92" w:rsidRPr="009E6B3C" w:rsidRDefault="00B22C92" w:rsidP="009E6B3C">
      <w:pPr>
        <w:pStyle w:val="ListParagraph"/>
        <w:numPr>
          <w:ilvl w:val="2"/>
          <w:numId w:val="55"/>
        </w:numPr>
        <w:ind w:left="851" w:hanging="851"/>
        <w:rPr>
          <w:rFonts w:ascii="Arial" w:hAnsi="Arial" w:cs="Arial"/>
          <w:bCs/>
          <w:sz w:val="20"/>
          <w:szCs w:val="20"/>
        </w:rPr>
      </w:pPr>
      <w:r w:rsidRPr="009E6B3C">
        <w:rPr>
          <w:rFonts w:ascii="Arial" w:hAnsi="Arial" w:cs="Arial"/>
          <w:bCs/>
          <w:sz w:val="20"/>
          <w:szCs w:val="20"/>
        </w:rPr>
        <w:t xml:space="preserve">There was irregular expenditure of R566 322 identified in 2021/22 relating to the current and prior period. </w:t>
      </w:r>
    </w:p>
    <w:p w:rsidR="00B22C92" w:rsidRPr="009E6B3C" w:rsidRDefault="00B22C92" w:rsidP="009E6B3C">
      <w:pPr>
        <w:pStyle w:val="ListParagraph"/>
        <w:rPr>
          <w:rFonts w:ascii="Arial" w:hAnsi="Arial" w:cs="Arial"/>
          <w:bCs/>
          <w:sz w:val="20"/>
          <w:szCs w:val="20"/>
        </w:rPr>
      </w:pPr>
    </w:p>
    <w:p w:rsidR="00B22C92" w:rsidRPr="009E6B3C" w:rsidRDefault="00B22C92" w:rsidP="009E6B3C">
      <w:pPr>
        <w:pStyle w:val="ListParagraph"/>
        <w:numPr>
          <w:ilvl w:val="2"/>
          <w:numId w:val="55"/>
        </w:numPr>
        <w:ind w:left="851" w:hanging="851"/>
        <w:rPr>
          <w:rFonts w:ascii="Arial" w:hAnsi="Arial" w:cs="Arial"/>
          <w:bCs/>
          <w:sz w:val="20"/>
          <w:szCs w:val="20"/>
        </w:rPr>
      </w:pPr>
      <w:r w:rsidRPr="009E6B3C">
        <w:rPr>
          <w:rFonts w:ascii="Arial" w:hAnsi="Arial" w:cs="Arial"/>
          <w:bCs/>
          <w:sz w:val="20"/>
          <w:szCs w:val="20"/>
        </w:rPr>
        <w:t xml:space="preserve">Of </w:t>
      </w:r>
      <w:r w:rsidR="00F8402F" w:rsidRPr="009E6B3C">
        <w:rPr>
          <w:rFonts w:ascii="Arial" w:hAnsi="Arial" w:cs="Arial"/>
          <w:bCs/>
          <w:sz w:val="20"/>
          <w:szCs w:val="20"/>
        </w:rPr>
        <w:t>the R50 754 in</w:t>
      </w:r>
      <w:r w:rsidRPr="009E6B3C">
        <w:rPr>
          <w:rFonts w:ascii="Arial" w:hAnsi="Arial" w:cs="Arial"/>
          <w:bCs/>
          <w:sz w:val="20"/>
          <w:szCs w:val="20"/>
        </w:rPr>
        <w:t xml:space="preserve"> fruitless and wasteful expenditure identified for the current and previous period, R25 751 was recovered.</w:t>
      </w:r>
    </w:p>
    <w:p w:rsidR="00B22C92" w:rsidRPr="009E6B3C" w:rsidRDefault="00B22C92" w:rsidP="009E6B3C">
      <w:pPr>
        <w:pStyle w:val="ListParagraph"/>
        <w:rPr>
          <w:rFonts w:ascii="Arial" w:hAnsi="Arial" w:cs="Arial"/>
          <w:bCs/>
          <w:sz w:val="20"/>
          <w:szCs w:val="20"/>
        </w:rPr>
      </w:pPr>
    </w:p>
    <w:p w:rsidR="00B22C92" w:rsidRPr="009E6B3C" w:rsidRDefault="00B22C92" w:rsidP="009E6B3C">
      <w:pPr>
        <w:pStyle w:val="ListParagraph"/>
        <w:numPr>
          <w:ilvl w:val="2"/>
          <w:numId w:val="55"/>
        </w:numPr>
        <w:ind w:left="851" w:hanging="851"/>
        <w:rPr>
          <w:rFonts w:ascii="Arial" w:hAnsi="Arial" w:cs="Arial"/>
          <w:bCs/>
          <w:sz w:val="20"/>
          <w:szCs w:val="20"/>
        </w:rPr>
      </w:pPr>
      <w:r w:rsidRPr="009E6B3C">
        <w:rPr>
          <w:rFonts w:ascii="Arial" w:hAnsi="Arial" w:cs="Arial"/>
          <w:bCs/>
          <w:sz w:val="20"/>
          <w:szCs w:val="20"/>
        </w:rPr>
        <w:t>Notably, the Minister has recently approved that Legal Aid SA be permitted to purchase office buildings</w:t>
      </w:r>
      <w:r w:rsidR="00F8402F" w:rsidRPr="009E6B3C">
        <w:rPr>
          <w:rFonts w:ascii="Arial" w:hAnsi="Arial" w:cs="Arial"/>
          <w:bCs/>
          <w:sz w:val="20"/>
          <w:szCs w:val="20"/>
        </w:rPr>
        <w:t>. The E</w:t>
      </w:r>
      <w:r w:rsidRPr="009E6B3C">
        <w:rPr>
          <w:rFonts w:ascii="Arial" w:hAnsi="Arial" w:cs="Arial"/>
          <w:bCs/>
          <w:sz w:val="20"/>
          <w:szCs w:val="20"/>
        </w:rPr>
        <w:t>ntity will commence with this procurement from 2022/23. A recent tender for proposals to conduct research and development on lease and acquisition of office building accommodation and develop a detailed geographical model execution plan for Legal Aid S</w:t>
      </w:r>
      <w:r w:rsidR="00F8402F" w:rsidRPr="009E6B3C">
        <w:rPr>
          <w:rFonts w:ascii="Arial" w:hAnsi="Arial" w:cs="Arial"/>
          <w:bCs/>
          <w:sz w:val="20"/>
          <w:szCs w:val="20"/>
        </w:rPr>
        <w:t>A</w:t>
      </w:r>
      <w:r w:rsidRPr="009E6B3C">
        <w:rPr>
          <w:rFonts w:ascii="Arial" w:hAnsi="Arial" w:cs="Arial"/>
          <w:bCs/>
          <w:sz w:val="20"/>
          <w:szCs w:val="20"/>
        </w:rPr>
        <w:t xml:space="preserve"> was published on 13 September 2022.</w:t>
      </w:r>
    </w:p>
    <w:p w:rsidR="00B22C92" w:rsidRPr="009E6B3C" w:rsidRDefault="00B22C92" w:rsidP="009E6B3C">
      <w:pPr>
        <w:pStyle w:val="ListParagraph"/>
        <w:rPr>
          <w:rFonts w:ascii="Arial" w:hAnsi="Arial" w:cs="Arial"/>
          <w:sz w:val="20"/>
          <w:szCs w:val="20"/>
          <w:highlight w:val="green"/>
        </w:rPr>
      </w:pPr>
    </w:p>
    <w:p w:rsidR="006C2E28" w:rsidRPr="009E6B3C" w:rsidRDefault="00B22C92" w:rsidP="009E6B3C">
      <w:pPr>
        <w:pStyle w:val="ListParagraph"/>
        <w:numPr>
          <w:ilvl w:val="2"/>
          <w:numId w:val="55"/>
        </w:numPr>
        <w:ind w:left="851" w:hanging="851"/>
        <w:rPr>
          <w:rFonts w:ascii="Arial" w:hAnsi="Arial" w:cs="Arial"/>
          <w:sz w:val="20"/>
          <w:szCs w:val="20"/>
        </w:rPr>
      </w:pPr>
      <w:r w:rsidRPr="009E6B3C">
        <w:rPr>
          <w:rFonts w:ascii="Arial" w:hAnsi="Arial" w:cs="Arial"/>
          <w:sz w:val="20"/>
          <w:szCs w:val="20"/>
        </w:rPr>
        <w:t>Legal Aid SA is allocated R2.11 billion for 2022/23 in grant funding.</w:t>
      </w:r>
      <w:r w:rsidR="001F1F85" w:rsidRPr="009E6B3C">
        <w:rPr>
          <w:rFonts w:ascii="Arial" w:hAnsi="Arial" w:cs="Arial"/>
          <w:sz w:val="20"/>
          <w:szCs w:val="20"/>
        </w:rPr>
        <w:t xml:space="preserve"> </w:t>
      </w:r>
      <w:r w:rsidR="006C2E28" w:rsidRPr="009E6B3C">
        <w:rPr>
          <w:rFonts w:ascii="Arial" w:hAnsi="Arial" w:cs="Arial"/>
          <w:sz w:val="20"/>
          <w:szCs w:val="20"/>
        </w:rPr>
        <w:t xml:space="preserve">There are additional allocations of R11.2 million in 2022/23, R11.3 million in 2023/24 and R11.8 million in 2024/25 to fund the cost of 15 legal practitioners appointed in 2021/22 to service newly established Specialised Commercial Crimes Courts in Limpopo, Mpumalanga, North West and </w:t>
      </w:r>
      <w:r w:rsidR="00F8402F" w:rsidRPr="009E6B3C">
        <w:rPr>
          <w:rFonts w:ascii="Arial" w:hAnsi="Arial" w:cs="Arial"/>
          <w:sz w:val="20"/>
          <w:szCs w:val="20"/>
        </w:rPr>
        <w:t xml:space="preserve">the </w:t>
      </w:r>
      <w:r w:rsidR="006C2E28" w:rsidRPr="009E6B3C">
        <w:rPr>
          <w:rFonts w:ascii="Arial" w:hAnsi="Arial" w:cs="Arial"/>
          <w:sz w:val="20"/>
          <w:szCs w:val="20"/>
        </w:rPr>
        <w:t>Northern Cape.</w:t>
      </w:r>
    </w:p>
    <w:p w:rsidR="006C2E28" w:rsidRPr="009E6B3C" w:rsidRDefault="006C2E28" w:rsidP="009E6B3C">
      <w:pPr>
        <w:pStyle w:val="ListParagraph"/>
        <w:ind w:left="851"/>
        <w:rPr>
          <w:rFonts w:ascii="Arial" w:hAnsi="Arial" w:cs="Arial"/>
          <w:b/>
          <w:bCs/>
          <w:sz w:val="20"/>
          <w:szCs w:val="20"/>
        </w:rPr>
      </w:pPr>
    </w:p>
    <w:p w:rsidR="006C2E28" w:rsidRPr="009E6B3C" w:rsidRDefault="006C2E28" w:rsidP="009E6B3C">
      <w:pPr>
        <w:pStyle w:val="ListParagraph"/>
        <w:numPr>
          <w:ilvl w:val="2"/>
          <w:numId w:val="55"/>
        </w:numPr>
        <w:ind w:left="851" w:hanging="851"/>
        <w:rPr>
          <w:rFonts w:ascii="Arial" w:hAnsi="Arial" w:cs="Arial"/>
          <w:bCs/>
          <w:sz w:val="20"/>
          <w:szCs w:val="20"/>
        </w:rPr>
      </w:pPr>
      <w:r w:rsidRPr="009E6B3C">
        <w:rPr>
          <w:rFonts w:ascii="Arial" w:hAnsi="Arial" w:cs="Arial"/>
          <w:sz w:val="20"/>
          <w:szCs w:val="20"/>
        </w:rPr>
        <w:t>Legal Aid SA’s baseline is reduced by R352 million or 15% over the MTEF</w:t>
      </w:r>
      <w:r w:rsidR="001F050E" w:rsidRPr="009E6B3C">
        <w:rPr>
          <w:rFonts w:ascii="Arial" w:hAnsi="Arial" w:cs="Arial"/>
          <w:bCs/>
          <w:sz w:val="20"/>
          <w:szCs w:val="20"/>
        </w:rPr>
        <w:t xml:space="preserve"> of 2021/22 to 2024/25, with the expectation that it reduces compensation to employees by R125 million and goods and services expenditure by R227.6 million during this time. </w:t>
      </w:r>
      <w:r w:rsidRPr="009E6B3C">
        <w:rPr>
          <w:rFonts w:ascii="Arial" w:hAnsi="Arial" w:cs="Arial"/>
          <w:sz w:val="20"/>
          <w:szCs w:val="20"/>
        </w:rPr>
        <w:t>This has had a negative impact on service delivery</w:t>
      </w:r>
      <w:r w:rsidR="00F8402F" w:rsidRPr="009E6B3C">
        <w:rPr>
          <w:rFonts w:ascii="Arial" w:hAnsi="Arial" w:cs="Arial"/>
          <w:sz w:val="20"/>
          <w:szCs w:val="20"/>
        </w:rPr>
        <w:t>,</w:t>
      </w:r>
      <w:r w:rsidRPr="009E6B3C">
        <w:rPr>
          <w:rFonts w:ascii="Arial" w:hAnsi="Arial" w:cs="Arial"/>
          <w:sz w:val="20"/>
          <w:szCs w:val="20"/>
        </w:rPr>
        <w:t xml:space="preserve"> as 80% of the budget is spent on employee costs and legal practitioners make up 79% of the total staff component. Vacant permanent positions have not been filled due to lack of certainty </w:t>
      </w:r>
      <w:r w:rsidR="00F8402F" w:rsidRPr="009E6B3C">
        <w:rPr>
          <w:rFonts w:ascii="Arial" w:hAnsi="Arial" w:cs="Arial"/>
          <w:sz w:val="20"/>
          <w:szCs w:val="20"/>
        </w:rPr>
        <w:t xml:space="preserve">regarding </w:t>
      </w:r>
      <w:r w:rsidRPr="009E6B3C">
        <w:rPr>
          <w:rFonts w:ascii="Arial" w:hAnsi="Arial" w:cs="Arial"/>
          <w:sz w:val="20"/>
          <w:szCs w:val="20"/>
        </w:rPr>
        <w:t>future funding requirements</w:t>
      </w:r>
      <w:r w:rsidRPr="009E6B3C">
        <w:rPr>
          <w:rFonts w:ascii="Arial" w:hAnsi="Arial" w:cs="Arial"/>
          <w:b/>
          <w:bCs/>
          <w:sz w:val="20"/>
          <w:szCs w:val="20"/>
          <w:lang w:val="en-US"/>
        </w:rPr>
        <w:t>.</w:t>
      </w:r>
      <w:r w:rsidR="001F1F85" w:rsidRPr="009E6B3C">
        <w:rPr>
          <w:rFonts w:ascii="Arial" w:hAnsi="Arial" w:cs="Arial"/>
          <w:b/>
          <w:bCs/>
          <w:sz w:val="20"/>
          <w:szCs w:val="20"/>
          <w:lang w:val="en-US"/>
        </w:rPr>
        <w:t xml:space="preserve"> </w:t>
      </w:r>
      <w:r w:rsidRPr="009E6B3C">
        <w:rPr>
          <w:rFonts w:ascii="Arial" w:hAnsi="Arial" w:cs="Arial"/>
          <w:sz w:val="20"/>
          <w:szCs w:val="20"/>
        </w:rPr>
        <w:t>The</w:t>
      </w:r>
      <w:r w:rsidRPr="009E6B3C">
        <w:rPr>
          <w:rFonts w:ascii="Arial" w:hAnsi="Arial" w:cs="Arial"/>
          <w:bCs/>
          <w:sz w:val="20"/>
          <w:szCs w:val="20"/>
          <w:lang w:val="en-US"/>
        </w:rPr>
        <w:t xml:space="preserve"> impact of the baseline reduction on Judicare, staffing, service delivery and coverage is as follows:</w:t>
      </w:r>
    </w:p>
    <w:p w:rsidR="001F050E" w:rsidRPr="009E6B3C" w:rsidRDefault="001F050E" w:rsidP="009E6B3C">
      <w:pPr>
        <w:pStyle w:val="ListParagraph"/>
        <w:ind w:left="851"/>
        <w:rPr>
          <w:rFonts w:ascii="Arial" w:hAnsi="Arial" w:cs="Arial"/>
          <w:bCs/>
          <w:sz w:val="20"/>
          <w:szCs w:val="20"/>
        </w:rPr>
      </w:pPr>
    </w:p>
    <w:p w:rsidR="006C2E28" w:rsidRPr="009E6B3C" w:rsidRDefault="001F050E" w:rsidP="009E6B3C">
      <w:pPr>
        <w:rPr>
          <w:rFonts w:ascii="Arial" w:hAnsi="Arial" w:cs="Arial"/>
          <w:b/>
          <w:bCs/>
          <w:i/>
          <w:sz w:val="20"/>
          <w:szCs w:val="20"/>
        </w:rPr>
      </w:pPr>
      <w:r w:rsidRPr="009E6B3C">
        <w:rPr>
          <w:rFonts w:ascii="Arial" w:hAnsi="Arial" w:cs="Arial"/>
          <w:b/>
          <w:bCs/>
          <w:i/>
          <w:sz w:val="20"/>
          <w:szCs w:val="20"/>
        </w:rPr>
        <w:t>Table</w:t>
      </w:r>
      <w:r w:rsidR="00012D16" w:rsidRPr="009E6B3C">
        <w:rPr>
          <w:rFonts w:ascii="Arial" w:hAnsi="Arial" w:cs="Arial"/>
          <w:b/>
          <w:bCs/>
          <w:i/>
          <w:sz w:val="20"/>
          <w:szCs w:val="20"/>
        </w:rPr>
        <w:t xml:space="preserve"> 17</w:t>
      </w:r>
      <w:r w:rsidRPr="009E6B3C">
        <w:rPr>
          <w:rFonts w:ascii="Arial" w:hAnsi="Arial" w:cs="Arial"/>
          <w:b/>
          <w:bCs/>
          <w:i/>
          <w:sz w:val="20"/>
          <w:szCs w:val="20"/>
        </w:rPr>
        <w:t>: Legal Aid SA – Impact of Budget reductions</w:t>
      </w:r>
    </w:p>
    <w:tbl>
      <w:tblPr>
        <w:tblStyle w:val="TableGrid"/>
        <w:tblW w:w="5000" w:type="pct"/>
        <w:tblLook w:val="04A0"/>
      </w:tblPr>
      <w:tblGrid>
        <w:gridCol w:w="3257"/>
        <w:gridCol w:w="3185"/>
        <w:gridCol w:w="3185"/>
      </w:tblGrid>
      <w:tr w:rsidR="006C2E28" w:rsidRPr="009E6B3C" w:rsidTr="006A6DF3">
        <w:tc>
          <w:tcPr>
            <w:tcW w:w="1692" w:type="pct"/>
            <w:shd w:val="clear" w:color="auto" w:fill="D9D9D9" w:themeFill="background1" w:themeFillShade="D9"/>
          </w:tcPr>
          <w:p w:rsidR="006C2E28" w:rsidRPr="009E6B3C" w:rsidRDefault="006C2E28" w:rsidP="009E6B3C">
            <w:pPr>
              <w:pStyle w:val="ListParagraph"/>
              <w:ind w:left="0"/>
              <w:rPr>
                <w:rFonts w:ascii="Arial" w:hAnsi="Arial" w:cs="Arial"/>
                <w:b/>
                <w:bCs/>
                <w:sz w:val="20"/>
                <w:szCs w:val="20"/>
                <w:lang w:val="en-ZA"/>
              </w:rPr>
            </w:pPr>
          </w:p>
        </w:tc>
        <w:tc>
          <w:tcPr>
            <w:tcW w:w="1654" w:type="pct"/>
            <w:shd w:val="clear" w:color="auto" w:fill="D9D9D9" w:themeFill="background1" w:themeFillShade="D9"/>
          </w:tcPr>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2021/22</w:t>
            </w:r>
          </w:p>
        </w:tc>
        <w:tc>
          <w:tcPr>
            <w:tcW w:w="1654" w:type="pct"/>
            <w:shd w:val="clear" w:color="auto" w:fill="D9D9D9" w:themeFill="background1" w:themeFillShade="D9"/>
          </w:tcPr>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2022/23</w:t>
            </w:r>
          </w:p>
        </w:tc>
      </w:tr>
      <w:tr w:rsidR="006C2E28" w:rsidRPr="009E6B3C" w:rsidTr="006A6DF3">
        <w:tc>
          <w:tcPr>
            <w:tcW w:w="1692" w:type="pct"/>
          </w:tcPr>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Judicare</w:t>
            </w:r>
          </w:p>
        </w:tc>
        <w:tc>
          <w:tcPr>
            <w:tcW w:w="1654" w:type="pct"/>
          </w:tcPr>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-R8.8 million</w:t>
            </w:r>
          </w:p>
        </w:tc>
        <w:tc>
          <w:tcPr>
            <w:tcW w:w="1654" w:type="pct"/>
          </w:tcPr>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-R7.6 million</w:t>
            </w:r>
          </w:p>
        </w:tc>
      </w:tr>
      <w:tr w:rsidR="006C2E28" w:rsidRPr="009E6B3C" w:rsidTr="006A6DF3">
        <w:tc>
          <w:tcPr>
            <w:tcW w:w="1692" w:type="pct"/>
          </w:tcPr>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Staff</w:t>
            </w:r>
          </w:p>
        </w:tc>
        <w:tc>
          <w:tcPr>
            <w:tcW w:w="1654" w:type="pct"/>
          </w:tcPr>
          <w:p w:rsidR="006C2E28" w:rsidRPr="009E6B3C" w:rsidRDefault="006C2E28" w:rsidP="009E6B3C">
            <w:pPr>
              <w:rPr>
                <w:rFonts w:ascii="Arial" w:hAnsi="Arial" w:cs="Arial"/>
                <w:bCs/>
                <w:sz w:val="20"/>
                <w:szCs w:val="20"/>
                <w:lang w:val="en-ZA"/>
              </w:rPr>
            </w:pPr>
            <w:r w:rsidRPr="009E6B3C">
              <w:rPr>
                <w:rFonts w:ascii="Arial" w:hAnsi="Arial" w:cs="Arial"/>
                <w:bCs/>
                <w:sz w:val="20"/>
                <w:szCs w:val="20"/>
                <w:lang w:val="en-ZA"/>
              </w:rPr>
              <w:t>-131</w:t>
            </w:r>
          </w:p>
        </w:tc>
        <w:tc>
          <w:tcPr>
            <w:tcW w:w="1654" w:type="pct"/>
          </w:tcPr>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-171</w:t>
            </w:r>
          </w:p>
        </w:tc>
      </w:tr>
      <w:tr w:rsidR="006C2E28" w:rsidRPr="009E6B3C" w:rsidTr="006A6DF3">
        <w:tc>
          <w:tcPr>
            <w:tcW w:w="1692" w:type="pct"/>
          </w:tcPr>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Criminal matters</w:t>
            </w:r>
          </w:p>
        </w:tc>
        <w:tc>
          <w:tcPr>
            <w:tcW w:w="1654" w:type="pct"/>
          </w:tcPr>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-33 945</w:t>
            </w:r>
          </w:p>
        </w:tc>
        <w:tc>
          <w:tcPr>
            <w:tcW w:w="1654" w:type="pct"/>
          </w:tcPr>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-52850</w:t>
            </w:r>
          </w:p>
        </w:tc>
      </w:tr>
      <w:tr w:rsidR="006C2E28" w:rsidRPr="009E6B3C" w:rsidTr="006A6DF3">
        <w:tc>
          <w:tcPr>
            <w:tcW w:w="1692" w:type="pct"/>
          </w:tcPr>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Coverage</w:t>
            </w:r>
          </w:p>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District Court</w:t>
            </w:r>
          </w:p>
          <w:p w:rsidR="006C2E28" w:rsidRPr="009E6B3C" w:rsidRDefault="006C2E28" w:rsidP="009E6B3C">
            <w:pPr>
              <w:pStyle w:val="ListParagraph"/>
              <w:ind w:left="0"/>
              <w:rPr>
                <w:rFonts w:ascii="Arial" w:hAnsi="Arial" w:cs="Arial"/>
                <w:b/>
                <w:bCs/>
                <w:sz w:val="20"/>
                <w:szCs w:val="20"/>
                <w:lang w:val="en-ZA"/>
              </w:rPr>
            </w:pPr>
          </w:p>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Regional Court</w:t>
            </w:r>
          </w:p>
        </w:tc>
        <w:tc>
          <w:tcPr>
            <w:tcW w:w="1654" w:type="pct"/>
          </w:tcPr>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82.1%</w:t>
            </w:r>
          </w:p>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90.8%</w:t>
            </w:r>
          </w:p>
        </w:tc>
        <w:tc>
          <w:tcPr>
            <w:tcW w:w="1654" w:type="pct"/>
          </w:tcPr>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76.5%</w:t>
            </w:r>
          </w:p>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85.4%</w:t>
            </w:r>
          </w:p>
        </w:tc>
      </w:tr>
      <w:tr w:rsidR="006C2E28" w:rsidRPr="009E6B3C" w:rsidTr="006A6DF3">
        <w:tc>
          <w:tcPr>
            <w:tcW w:w="1692" w:type="pct"/>
          </w:tcPr>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Civil matters</w:t>
            </w:r>
          </w:p>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Advice</w:t>
            </w:r>
          </w:p>
          <w:p w:rsidR="006C2E28" w:rsidRPr="009E6B3C" w:rsidRDefault="006C2E28" w:rsidP="009E6B3C">
            <w:pPr>
              <w:pStyle w:val="ListParagraph"/>
              <w:ind w:left="0"/>
              <w:rPr>
                <w:rFonts w:ascii="Arial" w:hAnsi="Arial" w:cs="Arial"/>
                <w:b/>
                <w:bCs/>
                <w:sz w:val="20"/>
                <w:szCs w:val="20"/>
                <w:lang w:val="en-ZA"/>
              </w:rPr>
            </w:pPr>
          </w:p>
          <w:p w:rsidR="006C2E28" w:rsidRPr="009E6B3C" w:rsidRDefault="006C2E28" w:rsidP="009E6B3C">
            <w:pPr>
              <w:pStyle w:val="ListParagraph"/>
              <w:ind w:left="0"/>
              <w:rPr>
                <w:rFonts w:ascii="Arial" w:hAnsi="Arial" w:cs="Arial"/>
                <w:b/>
                <w:bCs/>
                <w:sz w:val="20"/>
                <w:szCs w:val="20"/>
                <w:lang w:val="en-ZA"/>
              </w:rPr>
            </w:pPr>
            <w:r w:rsidRPr="009E6B3C">
              <w:rPr>
                <w:rFonts w:ascii="Arial" w:hAnsi="Arial" w:cs="Arial"/>
                <w:b/>
                <w:bCs/>
                <w:sz w:val="20"/>
                <w:szCs w:val="20"/>
                <w:lang w:val="en-ZA"/>
              </w:rPr>
              <w:t>Civil matters</w:t>
            </w:r>
          </w:p>
        </w:tc>
        <w:tc>
          <w:tcPr>
            <w:tcW w:w="1654" w:type="pct"/>
          </w:tcPr>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236 355 (-11%)</w:t>
            </w:r>
          </w:p>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40 034</w:t>
            </w:r>
          </w:p>
        </w:tc>
        <w:tc>
          <w:tcPr>
            <w:tcW w:w="1654" w:type="pct"/>
          </w:tcPr>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209 985 (-10%)</w:t>
            </w:r>
          </w:p>
          <w:p w:rsidR="006C2E28" w:rsidRPr="009E6B3C" w:rsidRDefault="006C2E28" w:rsidP="009E6B3C">
            <w:pPr>
              <w:pStyle w:val="ListParagraph"/>
              <w:ind w:left="0"/>
              <w:rPr>
                <w:rFonts w:ascii="Arial" w:hAnsi="Arial" w:cs="Arial"/>
                <w:bCs/>
                <w:sz w:val="20"/>
                <w:szCs w:val="20"/>
                <w:lang w:val="en-ZA"/>
              </w:rPr>
            </w:pPr>
          </w:p>
          <w:p w:rsidR="006C2E28" w:rsidRPr="009E6B3C" w:rsidRDefault="006C2E28" w:rsidP="009E6B3C">
            <w:pPr>
              <w:pStyle w:val="ListParagraph"/>
              <w:ind w:left="0"/>
              <w:rPr>
                <w:rFonts w:ascii="Arial" w:hAnsi="Arial" w:cs="Arial"/>
                <w:bCs/>
                <w:sz w:val="20"/>
                <w:szCs w:val="20"/>
                <w:lang w:val="en-ZA"/>
              </w:rPr>
            </w:pPr>
            <w:r w:rsidRPr="009E6B3C">
              <w:rPr>
                <w:rFonts w:ascii="Arial" w:hAnsi="Arial" w:cs="Arial"/>
                <w:bCs/>
                <w:sz w:val="20"/>
                <w:szCs w:val="20"/>
                <w:lang w:val="en-ZA"/>
              </w:rPr>
              <w:t>36 034 (-8%)</w:t>
            </w:r>
          </w:p>
        </w:tc>
      </w:tr>
    </w:tbl>
    <w:p w:rsidR="00B22C92" w:rsidRPr="009E6B3C" w:rsidRDefault="00B22C92" w:rsidP="009E6B3C">
      <w:pPr>
        <w:pStyle w:val="ListParagraph"/>
        <w:autoSpaceDE w:val="0"/>
        <w:autoSpaceDN w:val="0"/>
        <w:adjustRightInd w:val="0"/>
        <w:ind w:left="375"/>
        <w:rPr>
          <w:rFonts w:ascii="Arial" w:hAnsi="Arial" w:cs="Arial"/>
          <w:b/>
          <w:bCs/>
          <w:sz w:val="20"/>
          <w:szCs w:val="20"/>
          <w:highlight w:val="yellow"/>
        </w:rPr>
      </w:pPr>
    </w:p>
    <w:p w:rsidR="00B22C92" w:rsidRPr="009E6B3C" w:rsidRDefault="00B22C92" w:rsidP="009E6B3C">
      <w:pPr>
        <w:pStyle w:val="ListParagraph"/>
        <w:numPr>
          <w:ilvl w:val="1"/>
          <w:numId w:val="1"/>
        </w:numPr>
        <w:tabs>
          <w:tab w:val="num" w:pos="851"/>
        </w:tabs>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 xml:space="preserve">Non-financial performance </w:t>
      </w:r>
    </w:p>
    <w:p w:rsidR="00B22C92" w:rsidRPr="009E6B3C" w:rsidRDefault="00B22C92" w:rsidP="009E6B3C">
      <w:pPr>
        <w:pStyle w:val="ListParagraph"/>
        <w:ind w:left="780"/>
        <w:rPr>
          <w:rFonts w:ascii="Arial" w:hAnsi="Arial" w:cs="Arial"/>
          <w:b/>
          <w:color w:val="000000" w:themeColor="text1"/>
          <w:sz w:val="20"/>
          <w:szCs w:val="20"/>
          <w:highlight w:val="yellow"/>
        </w:rPr>
      </w:pPr>
    </w:p>
    <w:p w:rsidR="00B22C92" w:rsidRPr="009E6B3C" w:rsidRDefault="00B22C92" w:rsidP="009E6B3C">
      <w:pPr>
        <w:pStyle w:val="ListParagraph"/>
        <w:numPr>
          <w:ilvl w:val="2"/>
          <w:numId w:val="56"/>
        </w:numPr>
        <w:ind w:left="851" w:hanging="851"/>
        <w:rPr>
          <w:rFonts w:ascii="Arial" w:hAnsi="Arial" w:cs="Arial"/>
          <w:color w:val="000000" w:themeColor="text1"/>
          <w:sz w:val="20"/>
          <w:szCs w:val="20"/>
        </w:rPr>
      </w:pPr>
      <w:r w:rsidRPr="009E6B3C">
        <w:rPr>
          <w:rFonts w:ascii="Arial" w:eastAsiaTheme="minorEastAsia" w:hAnsi="Arial" w:cs="Arial"/>
          <w:bCs/>
          <w:sz w:val="20"/>
          <w:szCs w:val="20"/>
          <w:lang w:val="en-US"/>
        </w:rPr>
        <w:t>Legal Aid SA reports that a</w:t>
      </w:r>
      <w:r w:rsidRPr="009E6B3C">
        <w:rPr>
          <w:rFonts w:ascii="Arial" w:hAnsi="Arial" w:cs="Arial"/>
          <w:color w:val="000000" w:themeColor="text1"/>
          <w:sz w:val="20"/>
          <w:szCs w:val="20"/>
        </w:rPr>
        <w:t xml:space="preserve"> total of 487 552 people were provided with legal representation and legal advice in 2021/22, which is a 31% increase when compared with 2020/21. This </w:t>
      </w:r>
      <w:r w:rsidR="00F8402F" w:rsidRPr="009E6B3C">
        <w:rPr>
          <w:rFonts w:ascii="Arial" w:hAnsi="Arial" w:cs="Arial"/>
          <w:color w:val="000000" w:themeColor="text1"/>
          <w:sz w:val="20"/>
          <w:szCs w:val="20"/>
        </w:rPr>
        <w:t>consists of</w:t>
      </w:r>
      <w:r w:rsidRPr="009E6B3C">
        <w:rPr>
          <w:rFonts w:ascii="Arial" w:hAnsi="Arial" w:cs="Arial"/>
          <w:color w:val="000000" w:themeColor="text1"/>
          <w:sz w:val="20"/>
          <w:szCs w:val="20"/>
        </w:rPr>
        <w:t xml:space="preserve"> 314 998 (89%) new criminal matters, 40 143 (11%) new civil matters and 132 411 legal advice matters. </w:t>
      </w:r>
    </w:p>
    <w:p w:rsidR="00B22C92" w:rsidRPr="009E6B3C" w:rsidRDefault="00B22C92" w:rsidP="009E6B3C">
      <w:pPr>
        <w:pStyle w:val="ListParagraph"/>
        <w:ind w:left="851"/>
        <w:rPr>
          <w:rFonts w:ascii="Arial" w:hAnsi="Arial" w:cs="Arial"/>
          <w:color w:val="000000" w:themeColor="text1"/>
          <w:sz w:val="20"/>
          <w:szCs w:val="20"/>
        </w:rPr>
      </w:pPr>
    </w:p>
    <w:p w:rsidR="00B22C92" w:rsidRPr="009E6B3C" w:rsidRDefault="00F8402F" w:rsidP="009E6B3C">
      <w:pPr>
        <w:pStyle w:val="ListParagraph"/>
        <w:numPr>
          <w:ilvl w:val="2"/>
          <w:numId w:val="56"/>
        </w:numPr>
        <w:ind w:left="851" w:hanging="851"/>
        <w:rPr>
          <w:rFonts w:ascii="Arial" w:hAnsi="Arial" w:cs="Arial"/>
          <w:color w:val="000000" w:themeColor="text1"/>
          <w:sz w:val="20"/>
          <w:szCs w:val="20"/>
        </w:rPr>
      </w:pPr>
      <w:r w:rsidRPr="009E6B3C">
        <w:rPr>
          <w:rFonts w:ascii="Arial" w:eastAsiaTheme="minorEastAsia" w:hAnsi="Arial" w:cs="Arial"/>
          <w:bCs/>
          <w:sz w:val="20"/>
          <w:szCs w:val="20"/>
          <w:lang w:val="en-US"/>
        </w:rPr>
        <w:t>A</w:t>
      </w:r>
      <w:r w:rsidR="00B22C92" w:rsidRPr="009E6B3C">
        <w:rPr>
          <w:rFonts w:ascii="Arial" w:eastAsiaTheme="minorEastAsia" w:hAnsi="Arial" w:cs="Arial"/>
          <w:bCs/>
          <w:sz w:val="20"/>
          <w:szCs w:val="20"/>
          <w:lang w:val="en-US"/>
        </w:rPr>
        <w:t xml:space="preserve">lthough the number of legal advice matters increased from 75 624 in 2020/21 to 132 411 in 2021/22, this is </w:t>
      </w:r>
      <w:r w:rsidRPr="009E6B3C">
        <w:rPr>
          <w:rFonts w:ascii="Arial" w:eastAsiaTheme="minorEastAsia" w:hAnsi="Arial" w:cs="Arial"/>
          <w:bCs/>
          <w:sz w:val="20"/>
          <w:szCs w:val="20"/>
          <w:lang w:val="en-US"/>
        </w:rPr>
        <w:t xml:space="preserve">still </w:t>
      </w:r>
      <w:r w:rsidR="00B22C92" w:rsidRPr="009E6B3C">
        <w:rPr>
          <w:rFonts w:ascii="Arial" w:eastAsiaTheme="minorEastAsia" w:hAnsi="Arial" w:cs="Arial"/>
          <w:bCs/>
          <w:sz w:val="20"/>
          <w:szCs w:val="20"/>
          <w:lang w:val="en-US"/>
        </w:rPr>
        <w:t>57% below the target of 305 050 matters for 2021/22, and is considerably less than the 266 055 legal advice matters achieved in 2019/20.</w:t>
      </w:r>
    </w:p>
    <w:p w:rsidR="00B22C92" w:rsidRPr="009E6B3C" w:rsidRDefault="00B22C92" w:rsidP="009E6B3C">
      <w:pPr>
        <w:pStyle w:val="ListParagraph"/>
        <w:ind w:left="851"/>
        <w:rPr>
          <w:rFonts w:ascii="Arial" w:hAnsi="Arial" w:cs="Arial"/>
          <w:color w:val="000000" w:themeColor="text1"/>
          <w:sz w:val="20"/>
          <w:szCs w:val="20"/>
        </w:rPr>
      </w:pPr>
    </w:p>
    <w:p w:rsidR="00B22C92" w:rsidRPr="009E6B3C" w:rsidRDefault="00B22C92" w:rsidP="009E6B3C">
      <w:pPr>
        <w:pStyle w:val="ListParagraph"/>
        <w:numPr>
          <w:ilvl w:val="2"/>
          <w:numId w:val="56"/>
        </w:numPr>
        <w:ind w:left="851" w:hanging="851"/>
        <w:rPr>
          <w:rFonts w:ascii="Arial" w:hAnsi="Arial" w:cs="Arial"/>
          <w:color w:val="000000" w:themeColor="text1"/>
          <w:sz w:val="20"/>
          <w:szCs w:val="20"/>
        </w:rPr>
      </w:pPr>
      <w:r w:rsidRPr="009E6B3C">
        <w:rPr>
          <w:rFonts w:ascii="Arial" w:eastAsiaTheme="minorEastAsia" w:hAnsi="Arial" w:cs="Arial"/>
          <w:bCs/>
          <w:sz w:val="20"/>
          <w:szCs w:val="20"/>
          <w:lang w:val="en-US"/>
        </w:rPr>
        <w:t>Overall, Legal</w:t>
      </w:r>
      <w:r w:rsidRPr="009E6B3C">
        <w:rPr>
          <w:rFonts w:ascii="Arial" w:hAnsi="Arial" w:cs="Arial"/>
          <w:color w:val="000000" w:themeColor="text1"/>
          <w:sz w:val="20"/>
          <w:szCs w:val="20"/>
        </w:rPr>
        <w:t xml:space="preserve"> Aid SA finalised 360 655 matters, comprising of 317 546 (88%) criminal matters and 43 109 (12%) civil matters. This is 9% more finalised matters than in 2020/21. </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2"/>
          <w:numId w:val="56"/>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 xml:space="preserve">Legal Aid SA assisted 11 686 children in 2021/22, of which 6 935 (59%) were children in conflict with the law and 4 751 (41%) children involved in civil matters. </w:t>
      </w:r>
    </w:p>
    <w:p w:rsidR="00B22C92" w:rsidRPr="009E6B3C" w:rsidRDefault="00B22C92" w:rsidP="009E6B3C">
      <w:pPr>
        <w:pStyle w:val="ListParagraph"/>
        <w:rPr>
          <w:rFonts w:ascii="Arial" w:hAnsi="Arial" w:cs="Arial"/>
          <w:color w:val="000000" w:themeColor="text1"/>
          <w:sz w:val="20"/>
          <w:szCs w:val="20"/>
        </w:rPr>
      </w:pPr>
    </w:p>
    <w:p w:rsidR="00B22C92" w:rsidRPr="009E6B3C" w:rsidRDefault="00B22C92" w:rsidP="009E6B3C">
      <w:pPr>
        <w:pStyle w:val="ListParagraph"/>
        <w:numPr>
          <w:ilvl w:val="2"/>
          <w:numId w:val="56"/>
        </w:numPr>
        <w:ind w:left="851" w:hanging="851"/>
        <w:rPr>
          <w:rFonts w:ascii="Arial" w:hAnsi="Arial" w:cs="Arial"/>
          <w:color w:val="000000" w:themeColor="text1"/>
          <w:sz w:val="20"/>
          <w:szCs w:val="20"/>
        </w:rPr>
      </w:pPr>
      <w:r w:rsidRPr="009E6B3C">
        <w:rPr>
          <w:rFonts w:ascii="Arial" w:hAnsi="Arial" w:cs="Arial"/>
          <w:color w:val="000000" w:themeColor="text1"/>
          <w:sz w:val="20"/>
          <w:szCs w:val="20"/>
        </w:rPr>
        <w:t>A total of 49 matters were assessed for recognition as strategic litigation matters in 2021/22, and 19 were approved. A success rate of 93% was achieved for the 13 finalised matters</w:t>
      </w:r>
      <w:r w:rsidR="00845EA0"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12 </w:t>
      </w:r>
      <w:r w:rsidR="00845EA0" w:rsidRPr="009E6B3C">
        <w:rPr>
          <w:rFonts w:ascii="Arial" w:hAnsi="Arial" w:cs="Arial"/>
          <w:color w:val="000000" w:themeColor="text1"/>
          <w:sz w:val="20"/>
          <w:szCs w:val="20"/>
        </w:rPr>
        <w:t xml:space="preserve">matters </w:t>
      </w:r>
      <w:r w:rsidRPr="009E6B3C">
        <w:rPr>
          <w:rFonts w:ascii="Arial" w:hAnsi="Arial" w:cs="Arial"/>
          <w:color w:val="000000" w:themeColor="text1"/>
          <w:sz w:val="20"/>
          <w:szCs w:val="20"/>
        </w:rPr>
        <w:t>had a positive outcome and one had a negative outcome.</w:t>
      </w:r>
    </w:p>
    <w:p w:rsidR="00B22C92" w:rsidRPr="009E6B3C" w:rsidRDefault="00B22C92" w:rsidP="009E6B3C">
      <w:pPr>
        <w:rPr>
          <w:rFonts w:ascii="Arial" w:hAnsi="Arial" w:cs="Arial"/>
          <w:b/>
          <w:sz w:val="20"/>
          <w:szCs w:val="20"/>
        </w:rPr>
      </w:pPr>
    </w:p>
    <w:p w:rsidR="00626385" w:rsidRPr="009E6B3C" w:rsidRDefault="00626385" w:rsidP="009E6B3C">
      <w:pPr>
        <w:pStyle w:val="ListParagraph"/>
        <w:numPr>
          <w:ilvl w:val="1"/>
          <w:numId w:val="1"/>
        </w:numPr>
        <w:tabs>
          <w:tab w:val="num" w:pos="851"/>
        </w:tabs>
        <w:ind w:left="851" w:hanging="851"/>
        <w:rPr>
          <w:rFonts w:ascii="Arial" w:hAnsi="Arial" w:cs="Arial"/>
          <w:b/>
          <w:bCs/>
          <w:sz w:val="20"/>
          <w:szCs w:val="20"/>
        </w:rPr>
      </w:pPr>
      <w:r w:rsidRPr="009E6B3C">
        <w:rPr>
          <w:rFonts w:ascii="Arial" w:hAnsi="Arial" w:cs="Arial"/>
          <w:b/>
          <w:bCs/>
          <w:i/>
          <w:sz w:val="20"/>
          <w:szCs w:val="20"/>
        </w:rPr>
        <w:t>Audit performance.</w:t>
      </w:r>
      <w:r w:rsidRPr="009E6B3C">
        <w:rPr>
          <w:rFonts w:ascii="Arial" w:hAnsi="Arial" w:cs="Arial"/>
          <w:b/>
          <w:bCs/>
          <w:sz w:val="20"/>
          <w:szCs w:val="20"/>
        </w:rPr>
        <w:t xml:space="preserve"> </w:t>
      </w:r>
      <w:r w:rsidRPr="009E6B3C">
        <w:rPr>
          <w:rFonts w:ascii="Arial" w:hAnsi="Arial" w:cs="Arial"/>
          <w:color w:val="000000" w:themeColor="text1"/>
          <w:sz w:val="20"/>
          <w:szCs w:val="20"/>
        </w:rPr>
        <w:t xml:space="preserve">In 2021/22, Legal Aid SA achieved an unqualified audit opinion for the twenty-first consecutive year and </w:t>
      </w:r>
      <w:r w:rsidR="00845EA0" w:rsidRPr="009E6B3C">
        <w:rPr>
          <w:rFonts w:ascii="Arial" w:hAnsi="Arial" w:cs="Arial"/>
          <w:color w:val="000000" w:themeColor="text1"/>
          <w:sz w:val="20"/>
          <w:szCs w:val="20"/>
        </w:rPr>
        <w:t xml:space="preserve">a clean audit outcome for </w:t>
      </w:r>
      <w:r w:rsidRPr="009E6B3C">
        <w:rPr>
          <w:rFonts w:ascii="Arial" w:hAnsi="Arial" w:cs="Arial"/>
          <w:color w:val="000000" w:themeColor="text1"/>
          <w:sz w:val="20"/>
          <w:szCs w:val="20"/>
        </w:rPr>
        <w:t xml:space="preserve">the fourteenth year. </w:t>
      </w:r>
    </w:p>
    <w:p w:rsidR="00626385" w:rsidRPr="009E6B3C" w:rsidRDefault="00626385" w:rsidP="009E6B3C">
      <w:pPr>
        <w:pStyle w:val="ListParagraph"/>
        <w:ind w:left="851"/>
        <w:rPr>
          <w:rFonts w:ascii="Arial" w:hAnsi="Arial" w:cs="Arial"/>
          <w:b/>
          <w:bCs/>
          <w:sz w:val="20"/>
          <w:szCs w:val="20"/>
        </w:rPr>
      </w:pPr>
    </w:p>
    <w:p w:rsidR="00B22C92" w:rsidRPr="009E6B3C" w:rsidRDefault="00B22C92" w:rsidP="009E6B3C">
      <w:pPr>
        <w:pStyle w:val="ListParagraph"/>
        <w:numPr>
          <w:ilvl w:val="1"/>
          <w:numId w:val="1"/>
        </w:numPr>
        <w:tabs>
          <w:tab w:val="num" w:pos="851"/>
        </w:tabs>
        <w:ind w:left="851" w:hanging="851"/>
        <w:rPr>
          <w:rFonts w:ascii="Arial" w:hAnsi="Arial" w:cs="Arial"/>
          <w:b/>
          <w:i/>
          <w:sz w:val="20"/>
          <w:szCs w:val="20"/>
        </w:rPr>
      </w:pPr>
      <w:r w:rsidRPr="009E6B3C">
        <w:rPr>
          <w:rFonts w:ascii="Arial" w:hAnsi="Arial" w:cs="Arial"/>
          <w:b/>
          <w:i/>
          <w:sz w:val="20"/>
          <w:szCs w:val="20"/>
        </w:rPr>
        <w:t xml:space="preserve">Linking </w:t>
      </w:r>
      <w:r w:rsidR="00F8402F" w:rsidRPr="009E6B3C">
        <w:rPr>
          <w:rFonts w:ascii="Arial" w:hAnsi="Arial" w:cs="Arial"/>
          <w:b/>
          <w:i/>
          <w:sz w:val="20"/>
          <w:szCs w:val="20"/>
        </w:rPr>
        <w:t>financial and non</w:t>
      </w:r>
      <w:r w:rsidR="00323C1D" w:rsidRPr="009E6B3C">
        <w:rPr>
          <w:rFonts w:ascii="Arial" w:hAnsi="Arial" w:cs="Arial"/>
          <w:b/>
          <w:i/>
          <w:sz w:val="20"/>
          <w:szCs w:val="20"/>
        </w:rPr>
        <w:t>-</w:t>
      </w:r>
      <w:r w:rsidR="00F8402F" w:rsidRPr="009E6B3C">
        <w:rPr>
          <w:rFonts w:ascii="Arial" w:hAnsi="Arial" w:cs="Arial"/>
          <w:b/>
          <w:i/>
          <w:sz w:val="20"/>
          <w:szCs w:val="20"/>
        </w:rPr>
        <w:t>financial performance</w:t>
      </w:r>
      <w:r w:rsidRPr="009E6B3C">
        <w:rPr>
          <w:rFonts w:ascii="Arial" w:hAnsi="Arial" w:cs="Arial"/>
          <w:b/>
          <w:i/>
          <w:sz w:val="20"/>
          <w:szCs w:val="20"/>
        </w:rPr>
        <w:t xml:space="preserve"> </w:t>
      </w:r>
    </w:p>
    <w:p w:rsidR="00B22C92" w:rsidRPr="009E6B3C" w:rsidRDefault="00B22C92"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Overall, Legal Aid SA provided 487 552 persons with legal aid; finalised 360 655 matters; achieved 84% of predetermined objectives for 2021/22; and achieved a clean audit outcome.</w:t>
      </w:r>
    </w:p>
    <w:p w:rsidR="00B22C92" w:rsidRPr="009E6B3C" w:rsidRDefault="00B22C92"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However, </w:t>
      </w:r>
      <w:r w:rsidR="00AD0A0B" w:rsidRPr="009E6B3C">
        <w:rPr>
          <w:rFonts w:ascii="Arial" w:hAnsi="Arial" w:cs="Arial"/>
          <w:sz w:val="20"/>
          <w:szCs w:val="20"/>
        </w:rPr>
        <w:t xml:space="preserve">Legal Aid SA reports spending only </w:t>
      </w:r>
      <w:r w:rsidRPr="009E6B3C">
        <w:rPr>
          <w:rFonts w:ascii="Arial" w:hAnsi="Arial" w:cs="Arial"/>
          <w:sz w:val="20"/>
          <w:szCs w:val="20"/>
        </w:rPr>
        <w:t xml:space="preserve">95% (R2.02 billion) of its allocated budget of R2.13 billion, which is 3% less than planned expenditure. </w:t>
      </w:r>
    </w:p>
    <w:p w:rsidR="00B22C92" w:rsidRPr="009E6B3C" w:rsidRDefault="00B22C92"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A total of 79% of the budget is spent on employee costs, and legal practitioners make up 77% of the total staff component. Vacant permanent positions have not been filled due to lack of certainty on future funding requirements. Recruitment for 2021/22 was at 91%, which is considerably less than the target of 95%. There is no relief capacity.</w:t>
      </w:r>
    </w:p>
    <w:p w:rsidR="00B22C92" w:rsidRPr="009E6B3C" w:rsidRDefault="00B22C92"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It should be noted that although the number of new matters has increased when compared to 2020/21, the number of new matters remain fewer than before the Covid-19 pandemic.</w:t>
      </w:r>
    </w:p>
    <w:p w:rsidR="00B22C92" w:rsidRPr="009E6B3C" w:rsidRDefault="00B22C92"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In terms of court coverage, actual court coverage was 84% in the District Courts, against a target of ≥ 80%, and 81% in the Regional Courts, against a target of ≥ 90%. </w:t>
      </w:r>
    </w:p>
    <w:p w:rsidR="00B22C92" w:rsidRPr="009E6B3C" w:rsidRDefault="00B22C92" w:rsidP="009E6B3C">
      <w:pPr>
        <w:pStyle w:val="ListParagraph"/>
        <w:numPr>
          <w:ilvl w:val="1"/>
          <w:numId w:val="13"/>
        </w:numPr>
        <w:tabs>
          <w:tab w:val="clear" w:pos="1146"/>
          <w:tab w:val="num" w:pos="1276"/>
        </w:tabs>
        <w:ind w:left="1276" w:hanging="425"/>
        <w:rPr>
          <w:rFonts w:ascii="Arial" w:hAnsi="Arial" w:cs="Arial"/>
          <w:color w:val="000000" w:themeColor="text1"/>
          <w:sz w:val="20"/>
          <w:szCs w:val="20"/>
        </w:rPr>
      </w:pPr>
      <w:r w:rsidRPr="009E6B3C">
        <w:rPr>
          <w:rFonts w:ascii="Arial" w:hAnsi="Arial" w:cs="Arial"/>
          <w:sz w:val="20"/>
          <w:szCs w:val="20"/>
        </w:rPr>
        <w:t>Regarding civil matters, the number of legal advice matters is sign</w:t>
      </w:r>
      <w:r w:rsidRPr="009E6B3C">
        <w:rPr>
          <w:rFonts w:ascii="Arial" w:hAnsi="Arial" w:cs="Arial"/>
          <w:color w:val="000000" w:themeColor="text1"/>
          <w:sz w:val="20"/>
          <w:szCs w:val="20"/>
        </w:rPr>
        <w:t>ificantly below the target.</w:t>
      </w:r>
    </w:p>
    <w:p w:rsidR="00B22C92" w:rsidRPr="009E6B3C" w:rsidRDefault="00B22C92" w:rsidP="009E6B3C">
      <w:pPr>
        <w:pStyle w:val="BodySingle"/>
        <w:ind w:left="0"/>
        <w:jc w:val="left"/>
        <w:rPr>
          <w:rFonts w:cs="Arial"/>
          <w:b/>
          <w:i w:val="0"/>
        </w:rPr>
      </w:pPr>
    </w:p>
    <w:p w:rsidR="0060278E" w:rsidRPr="009E6B3C" w:rsidRDefault="0060278E" w:rsidP="009E6B3C">
      <w:pPr>
        <w:pStyle w:val="BodySingle"/>
        <w:ind w:left="0"/>
        <w:jc w:val="left"/>
        <w:rPr>
          <w:rFonts w:cs="Arial"/>
          <w:b/>
          <w:i w:val="0"/>
        </w:rPr>
      </w:pPr>
    </w:p>
    <w:p w:rsidR="0060278E" w:rsidRPr="009E6B3C" w:rsidRDefault="0060278E" w:rsidP="009E6B3C">
      <w:pPr>
        <w:pStyle w:val="BodySingle"/>
        <w:numPr>
          <w:ilvl w:val="0"/>
          <w:numId w:val="1"/>
        </w:numPr>
        <w:tabs>
          <w:tab w:val="num" w:pos="851"/>
        </w:tabs>
        <w:ind w:left="851" w:hanging="851"/>
        <w:jc w:val="left"/>
        <w:rPr>
          <w:rFonts w:cs="Arial"/>
          <w:b/>
          <w:i w:val="0"/>
        </w:rPr>
      </w:pPr>
      <w:r w:rsidRPr="009E6B3C">
        <w:rPr>
          <w:rFonts w:cs="Arial"/>
          <w:b/>
          <w:i w:val="0"/>
        </w:rPr>
        <w:t>Special Investigating Unit (SIU)</w:t>
      </w:r>
    </w:p>
    <w:p w:rsidR="0060278E" w:rsidRPr="009E6B3C" w:rsidRDefault="0060278E" w:rsidP="009E6B3C">
      <w:pPr>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sz w:val="20"/>
          <w:szCs w:val="20"/>
        </w:rPr>
      </w:pPr>
      <w:r w:rsidRPr="009E6B3C">
        <w:rPr>
          <w:rFonts w:ascii="Arial" w:hAnsi="Arial" w:cs="Arial"/>
          <w:bCs/>
          <w:sz w:val="20"/>
          <w:szCs w:val="20"/>
        </w:rPr>
        <w:t>The</w:t>
      </w:r>
      <w:r w:rsidRPr="009E6B3C">
        <w:rPr>
          <w:rFonts w:ascii="Arial" w:hAnsi="Arial" w:cs="Arial"/>
          <w:sz w:val="20"/>
          <w:szCs w:val="20"/>
        </w:rPr>
        <w:t xml:space="preserve"> legislative mandate of the Special Investigating Unit (SIU) is derived from the Special Investigating Unit and Special Tribunals Act 74 of 1996, as amended. The SIU’s principal function is to investigate serious malpractices, maladministration and corruption in connection with the administration of state institutions, state assets and public money, as well as any conduct, which may seriously harm the interests of the public. Matters are referred to the SIU through presidential proclamations that set out the scope of the investigation. The SIU also: </w:t>
      </w:r>
    </w:p>
    <w:p w:rsidR="0060278E" w:rsidRPr="009E6B3C" w:rsidRDefault="0060278E" w:rsidP="009E6B3C">
      <w:pPr>
        <w:pStyle w:val="ListParagraph"/>
        <w:numPr>
          <w:ilvl w:val="0"/>
          <w:numId w:val="14"/>
        </w:numPr>
        <w:ind w:left="1276" w:hanging="425"/>
        <w:rPr>
          <w:rFonts w:ascii="Arial" w:hAnsi="Arial" w:cs="Arial"/>
          <w:sz w:val="20"/>
          <w:szCs w:val="20"/>
        </w:rPr>
      </w:pPr>
      <w:r w:rsidRPr="009E6B3C">
        <w:rPr>
          <w:rFonts w:ascii="Arial" w:hAnsi="Arial" w:cs="Arial"/>
          <w:sz w:val="20"/>
          <w:szCs w:val="20"/>
        </w:rPr>
        <w:t xml:space="preserve">Institutes and conducts civil proceedings in any court of law or special tribunal, in its own name or on behalf of state institutions. </w:t>
      </w:r>
    </w:p>
    <w:p w:rsidR="0060278E" w:rsidRPr="009E6B3C" w:rsidRDefault="0060278E" w:rsidP="009E6B3C">
      <w:pPr>
        <w:pStyle w:val="ListParagraph"/>
        <w:numPr>
          <w:ilvl w:val="0"/>
          <w:numId w:val="14"/>
        </w:numPr>
        <w:ind w:left="1276" w:hanging="425"/>
        <w:rPr>
          <w:rFonts w:ascii="Arial" w:hAnsi="Arial" w:cs="Arial"/>
          <w:sz w:val="20"/>
          <w:szCs w:val="20"/>
        </w:rPr>
      </w:pPr>
      <w:r w:rsidRPr="009E6B3C">
        <w:rPr>
          <w:rFonts w:ascii="Arial" w:hAnsi="Arial" w:cs="Arial"/>
          <w:sz w:val="20"/>
          <w:szCs w:val="20"/>
        </w:rPr>
        <w:t>Brings potential disciplinary matters to the attention of state institutions.</w:t>
      </w:r>
    </w:p>
    <w:p w:rsidR="0060278E" w:rsidRPr="009E6B3C" w:rsidRDefault="0060278E" w:rsidP="009E6B3C">
      <w:pPr>
        <w:pStyle w:val="ListParagraph"/>
        <w:numPr>
          <w:ilvl w:val="0"/>
          <w:numId w:val="14"/>
        </w:numPr>
        <w:ind w:left="1276" w:hanging="425"/>
        <w:rPr>
          <w:rFonts w:ascii="Arial" w:hAnsi="Arial" w:cs="Arial"/>
          <w:sz w:val="20"/>
          <w:szCs w:val="20"/>
          <w:lang/>
        </w:rPr>
      </w:pPr>
      <w:r w:rsidRPr="009E6B3C">
        <w:rPr>
          <w:rFonts w:ascii="Arial" w:hAnsi="Arial" w:cs="Arial"/>
          <w:sz w:val="20"/>
          <w:szCs w:val="20"/>
        </w:rPr>
        <w:t>Provides</w:t>
      </w:r>
      <w:r w:rsidRPr="009E6B3C">
        <w:rPr>
          <w:rFonts w:ascii="Arial" w:hAnsi="Arial" w:cs="Arial"/>
          <w:sz w:val="20"/>
          <w:szCs w:val="20"/>
          <w:lang/>
        </w:rPr>
        <w:t xml:space="preserve"> for the secondment of SIU officials to improve departmental systems. </w:t>
      </w:r>
    </w:p>
    <w:p w:rsidR="0060278E" w:rsidRPr="009E6B3C" w:rsidRDefault="0060278E" w:rsidP="009E6B3C">
      <w:pPr>
        <w:autoSpaceDE w:val="0"/>
        <w:autoSpaceDN w:val="0"/>
        <w:adjustRightInd w:val="0"/>
        <w:ind w:left="993"/>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Notably, a review of the SIU’s founding legislation during 2021/22 has revealed that amendments could enhance the efficacy and impact of the SIU. A draft Bill was drafted with the Department for inclusion in the legislative programme.</w:t>
      </w:r>
    </w:p>
    <w:p w:rsidR="0060278E" w:rsidRPr="009E6B3C" w:rsidRDefault="0060278E" w:rsidP="009E6B3C">
      <w:pPr>
        <w:ind w:left="862"/>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The SIU’s key law enforcement relationships include those with the National Prosecuting Authority, Financial Intelligence Centre, Directorate </w:t>
      </w:r>
      <w:r w:rsidR="00845EA0" w:rsidRPr="009E6B3C">
        <w:rPr>
          <w:rFonts w:ascii="Arial" w:hAnsi="Arial" w:cs="Arial"/>
          <w:sz w:val="20"/>
          <w:szCs w:val="20"/>
        </w:rPr>
        <w:t xml:space="preserve">for </w:t>
      </w:r>
      <w:r w:rsidRPr="009E6B3C">
        <w:rPr>
          <w:rFonts w:ascii="Arial" w:hAnsi="Arial" w:cs="Arial"/>
          <w:sz w:val="20"/>
          <w:szCs w:val="20"/>
        </w:rPr>
        <w:t xml:space="preserve">Priority Crime Investigation (Hawks), South African Revenue Service and South African Police Service.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Over the years, it has proved challenging to ensure the implementation of recommendations by state institutions and government departments that were investigated. To address this, the Presidency has collaborated with the SIU to set up a structure that will monitor implementation of SIU recommendations. </w:t>
      </w:r>
    </w:p>
    <w:p w:rsidR="0060278E" w:rsidRPr="009E6B3C" w:rsidRDefault="0060278E" w:rsidP="009E6B3C">
      <w:pPr>
        <w:ind w:left="862"/>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SIU is a part of the Anti-Corruption Task Team (ACTT), which was established to fast–track investigations and prosecutions of serious corruption cases; and is also part of the Fusion Centre, which was established to deal with corruption in respect of the procurement of Personal Protective Equipment.</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 xml:space="preserve">The SIU locates its role under the MTSF priorities: ‘Social Cohesion and Safe Communities’ and ‘A capable, ethical and developmental state’. The MTSF envisages an improvement in corruption perception by the end of the five-year period. The SIU is to contribute by reducing levels of fraud and corruption in the private and public sectors; freezing money and assets; establishing and strengthening the capacity of the Special Tribunal for civil recoveries; and increasing the use of the Financial Intelligence Centre’s Reports in identifying high priority cases.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sz w:val="20"/>
          <w:szCs w:val="20"/>
        </w:rPr>
      </w:pPr>
      <w:r w:rsidRPr="009E6B3C">
        <w:rPr>
          <w:rFonts w:ascii="Arial" w:hAnsi="Arial" w:cs="Arial"/>
          <w:b/>
          <w:i/>
          <w:sz w:val="20"/>
          <w:szCs w:val="20"/>
        </w:rPr>
        <w:t>Audit outcome</w:t>
      </w:r>
      <w:r w:rsidRPr="009E6B3C">
        <w:rPr>
          <w:rFonts w:ascii="Arial" w:hAnsi="Arial" w:cs="Arial"/>
          <w:b/>
          <w:sz w:val="20"/>
          <w:szCs w:val="20"/>
        </w:rPr>
        <w:t xml:space="preserve">. </w:t>
      </w:r>
      <w:r w:rsidRPr="009E6B3C">
        <w:rPr>
          <w:rFonts w:ascii="Arial" w:hAnsi="Arial" w:cs="Arial"/>
          <w:sz w:val="20"/>
          <w:szCs w:val="20"/>
        </w:rPr>
        <w:t>The SIU maintained a clean audit outcome in 2021/22 (its sixth consecutive clean audit since 2016/17)</w:t>
      </w:r>
      <w:r w:rsidR="00845EA0" w:rsidRPr="009E6B3C">
        <w:rPr>
          <w:rFonts w:ascii="Arial" w:hAnsi="Arial" w:cs="Arial"/>
          <w:sz w:val="20"/>
          <w:szCs w:val="20"/>
        </w:rPr>
        <w:t>,</w:t>
      </w:r>
      <w:r w:rsidRPr="009E6B3C">
        <w:rPr>
          <w:rFonts w:ascii="Arial" w:hAnsi="Arial" w:cs="Arial"/>
          <w:sz w:val="20"/>
          <w:szCs w:val="20"/>
        </w:rPr>
        <w:t xml:space="preserve"> although the Auditor-General did note the issue of material debt impairment.</w:t>
      </w:r>
    </w:p>
    <w:p w:rsidR="001F1F85" w:rsidRPr="009E6B3C" w:rsidRDefault="001F1F85" w:rsidP="009E6B3C">
      <w:pPr>
        <w:rPr>
          <w:rFonts w:ascii="Arial" w:hAnsi="Arial" w:cs="Arial"/>
          <w:b/>
          <w:sz w:val="20"/>
          <w:szCs w:val="20"/>
        </w:rPr>
      </w:pPr>
    </w:p>
    <w:p w:rsidR="0060278E" w:rsidRPr="009E6B3C" w:rsidRDefault="0060278E"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Human Resources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As at the end of the 2021/22, the staff complement was 587, of which 496 (86%) are permanent and 91 (14%) on fixed term contracts. Notably the staff complement has increased from 532 at the end of 2020/21, of which 509 (96%) were permanent and 23 (4%) on fixed-term contracts.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The vacancy rate as at the end of 2021/22 was 12% as compared to 15% at the end of 2020/21.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staff turnover for 2021/22 was 20 or 3.4% compared to 2.6% in 2020/21. Resignation and death accounted for 55% and 25% respectively of the staff turnover.</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Overall, male employees are at 71%, compared to 62% in the previous year; female employees are at 29%, compared to 38% in 2020/21; and 1.8% are persons with disabilities. There were 39 (31%) women employed in top and senior management positions, as well as in the professional skilled category.</w:t>
      </w:r>
    </w:p>
    <w:p w:rsidR="0060278E" w:rsidRPr="009E6B3C" w:rsidRDefault="0060278E" w:rsidP="009E6B3C">
      <w:pPr>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i/>
          <w:sz w:val="20"/>
          <w:szCs w:val="20"/>
        </w:rPr>
      </w:pPr>
      <w:r w:rsidRPr="009E6B3C">
        <w:rPr>
          <w:rFonts w:ascii="Arial" w:hAnsi="Arial" w:cs="Arial"/>
          <w:b/>
          <w:i/>
          <w:sz w:val="20"/>
          <w:szCs w:val="20"/>
        </w:rPr>
        <w:t>Financial performance</w:t>
      </w:r>
    </w:p>
    <w:p w:rsidR="0060278E" w:rsidRPr="009E6B3C" w:rsidRDefault="0060278E" w:rsidP="009E6B3C">
      <w:pPr>
        <w:pStyle w:val="ListParagraph"/>
        <w:rPr>
          <w:rFonts w:ascii="Arial" w:hAnsi="Arial" w:cs="Arial"/>
          <w:sz w:val="20"/>
          <w:szCs w:val="20"/>
          <w:lang w:eastAsia="en-ZA"/>
        </w:rPr>
      </w:pPr>
    </w:p>
    <w:p w:rsidR="0060278E" w:rsidRPr="009E6B3C" w:rsidRDefault="0060278E" w:rsidP="009E6B3C">
      <w:pPr>
        <w:pStyle w:val="ListParagraph"/>
        <w:numPr>
          <w:ilvl w:val="2"/>
          <w:numId w:val="60"/>
        </w:numPr>
        <w:ind w:left="851" w:hanging="851"/>
        <w:rPr>
          <w:rFonts w:ascii="Arial" w:hAnsi="Arial" w:cs="Arial"/>
          <w:sz w:val="20"/>
          <w:szCs w:val="20"/>
          <w:lang w:eastAsia="en-ZA"/>
        </w:rPr>
      </w:pPr>
      <w:r w:rsidRPr="009E6B3C">
        <w:rPr>
          <w:rFonts w:ascii="Arial" w:hAnsi="Arial" w:cs="Arial"/>
          <w:sz w:val="20"/>
          <w:szCs w:val="20"/>
        </w:rPr>
        <w:t>The SIU’s funding model provides for a baseline grant from National Treasury. In addition, the SIU charges state institutions for its services, thus raising additional revenue. The</w:t>
      </w:r>
      <w:r w:rsidRPr="009E6B3C">
        <w:rPr>
          <w:rFonts w:ascii="Arial" w:hAnsi="Arial" w:cs="Arial"/>
          <w:sz w:val="20"/>
          <w:szCs w:val="20"/>
          <w:lang w:val="en-US" w:eastAsia="en-US"/>
        </w:rPr>
        <w:t xml:space="preserve"> recovery of debts from state institutions for services has proven to be a challenge. The value of outstanding debtors at the end of 2021/22 was R830.2 million, compared with R618.8 million at the end of 2020/21, increasing by R211.4 million.</w:t>
      </w:r>
    </w:p>
    <w:p w:rsidR="0060278E" w:rsidRPr="009E6B3C" w:rsidRDefault="0060278E" w:rsidP="009E6B3C">
      <w:pPr>
        <w:pStyle w:val="ListParagraph"/>
        <w:rPr>
          <w:rFonts w:ascii="Arial" w:hAnsi="Arial" w:cs="Arial"/>
          <w:sz w:val="20"/>
          <w:szCs w:val="20"/>
          <w:lang w:eastAsia="en-ZA"/>
        </w:rPr>
      </w:pPr>
    </w:p>
    <w:p w:rsidR="0060278E" w:rsidRPr="009E6B3C" w:rsidRDefault="0060278E" w:rsidP="009E6B3C">
      <w:pPr>
        <w:pStyle w:val="ListParagraph"/>
        <w:numPr>
          <w:ilvl w:val="2"/>
          <w:numId w:val="60"/>
        </w:numPr>
        <w:ind w:left="851" w:hanging="851"/>
        <w:rPr>
          <w:rFonts w:ascii="Arial" w:hAnsi="Arial" w:cs="Arial"/>
          <w:sz w:val="20"/>
          <w:szCs w:val="20"/>
        </w:rPr>
      </w:pPr>
      <w:r w:rsidRPr="009E6B3C">
        <w:rPr>
          <w:rFonts w:ascii="Arial" w:hAnsi="Arial" w:cs="Arial"/>
          <w:sz w:val="20"/>
          <w:szCs w:val="20"/>
        </w:rPr>
        <w:t xml:space="preserve">The approved budget allocation for 2021/2 was R917.8 million (compared to R756 million in 2020/21), consisting of R437.9 million received from a government grant, R447.5 million in project revenue and R32.4 million in other non-tax revenue. </w:t>
      </w:r>
    </w:p>
    <w:p w:rsidR="0060278E" w:rsidRPr="009E6B3C" w:rsidRDefault="0060278E" w:rsidP="009E6B3C">
      <w:pPr>
        <w:autoSpaceDE w:val="0"/>
        <w:autoSpaceDN w:val="0"/>
        <w:adjustRightInd w:val="0"/>
        <w:rPr>
          <w:rFonts w:ascii="Arial" w:eastAsiaTheme="minorHAnsi" w:hAnsi="Arial" w:cs="Arial"/>
          <w:color w:val="000000"/>
          <w:sz w:val="20"/>
          <w:szCs w:val="20"/>
          <w:lang w:eastAsia="en-US"/>
        </w:rPr>
      </w:pPr>
    </w:p>
    <w:p w:rsidR="0060278E" w:rsidRPr="009E6B3C" w:rsidRDefault="0060278E" w:rsidP="009E6B3C">
      <w:pPr>
        <w:pStyle w:val="ListParagraph"/>
        <w:numPr>
          <w:ilvl w:val="2"/>
          <w:numId w:val="60"/>
        </w:numPr>
        <w:ind w:left="851" w:hanging="851"/>
        <w:rPr>
          <w:rFonts w:ascii="Arial" w:hAnsi="Arial" w:cs="Arial"/>
          <w:sz w:val="20"/>
          <w:szCs w:val="20"/>
          <w:lang w:eastAsia="en-ZA"/>
        </w:rPr>
      </w:pPr>
      <w:r w:rsidRPr="009E6B3C">
        <w:rPr>
          <w:rFonts w:ascii="Arial" w:hAnsi="Arial" w:cs="Arial"/>
          <w:sz w:val="20"/>
          <w:szCs w:val="20"/>
          <w:lang w:eastAsia="en-ZA"/>
        </w:rPr>
        <w:t xml:space="preserve">In 2021/22, the SIU spent R832.4 million or 91% of the projected revenue. The SIU reports that its finances are positive, despite challenges in the recovery of </w:t>
      </w:r>
      <w:r w:rsidR="00DD0272" w:rsidRPr="009E6B3C">
        <w:rPr>
          <w:rFonts w:ascii="Arial" w:hAnsi="Arial" w:cs="Arial"/>
          <w:sz w:val="20"/>
          <w:szCs w:val="20"/>
          <w:lang w:eastAsia="en-ZA"/>
        </w:rPr>
        <w:t xml:space="preserve">amounts </w:t>
      </w:r>
      <w:r w:rsidRPr="009E6B3C">
        <w:rPr>
          <w:rFonts w:ascii="Arial" w:hAnsi="Arial" w:cs="Arial"/>
          <w:sz w:val="20"/>
          <w:szCs w:val="20"/>
          <w:lang w:eastAsia="en-ZA"/>
        </w:rPr>
        <w:t xml:space="preserve">that it has invoiced for investigation and related services performed. As at 31 March 2022, the SIU had an accumulated surplus of R921.2 million that it has managed to build over past years. </w:t>
      </w:r>
    </w:p>
    <w:p w:rsidR="0060278E" w:rsidRPr="009E6B3C" w:rsidRDefault="0060278E" w:rsidP="009E6B3C">
      <w:pPr>
        <w:pStyle w:val="ListParagraph"/>
        <w:rPr>
          <w:rFonts w:ascii="Arial" w:hAnsi="Arial" w:cs="Arial"/>
          <w:sz w:val="20"/>
          <w:szCs w:val="20"/>
          <w:lang w:eastAsia="en-ZA"/>
        </w:rPr>
      </w:pPr>
    </w:p>
    <w:p w:rsidR="0060278E" w:rsidRPr="009E6B3C" w:rsidRDefault="0060278E" w:rsidP="009E6B3C">
      <w:pPr>
        <w:pStyle w:val="ListParagraph"/>
        <w:numPr>
          <w:ilvl w:val="2"/>
          <w:numId w:val="60"/>
        </w:numPr>
        <w:ind w:left="851" w:hanging="851"/>
        <w:rPr>
          <w:rFonts w:ascii="Arial" w:hAnsi="Arial" w:cs="Arial"/>
          <w:sz w:val="20"/>
          <w:szCs w:val="20"/>
        </w:rPr>
      </w:pPr>
      <w:r w:rsidRPr="009E6B3C">
        <w:rPr>
          <w:rFonts w:ascii="Arial" w:hAnsi="Arial" w:cs="Arial"/>
          <w:sz w:val="20"/>
          <w:szCs w:val="20"/>
        </w:rPr>
        <w:t xml:space="preserve">The Unit’s main cost driver is compensation of employees. The Unit reported spending R488.1 in 2021/22, compared with R431 million in 2020/21 on this item. This is 58.6% of the SIU’s total expenditure. </w:t>
      </w:r>
    </w:p>
    <w:p w:rsidR="0060278E" w:rsidRPr="009E6B3C" w:rsidRDefault="0060278E" w:rsidP="009E6B3C">
      <w:pPr>
        <w:pStyle w:val="ListParagraph"/>
        <w:rPr>
          <w:rFonts w:ascii="Arial" w:hAnsi="Arial" w:cs="Arial"/>
          <w:sz w:val="20"/>
          <w:szCs w:val="20"/>
          <w:lang w:eastAsia="en-ZA"/>
        </w:rPr>
      </w:pPr>
    </w:p>
    <w:p w:rsidR="0060278E" w:rsidRPr="009E6B3C" w:rsidRDefault="0060278E" w:rsidP="009E6B3C">
      <w:pPr>
        <w:pStyle w:val="ListParagraph"/>
        <w:numPr>
          <w:ilvl w:val="1"/>
          <w:numId w:val="1"/>
        </w:numPr>
        <w:ind w:left="851" w:hanging="851"/>
        <w:rPr>
          <w:rFonts w:ascii="Arial" w:hAnsi="Arial" w:cs="Arial"/>
          <w:b/>
          <w:color w:val="000000" w:themeColor="text1"/>
          <w:sz w:val="20"/>
          <w:szCs w:val="20"/>
        </w:rPr>
      </w:pPr>
      <w:r w:rsidRPr="009E6B3C">
        <w:rPr>
          <w:rFonts w:ascii="Arial" w:hAnsi="Arial" w:cs="Arial"/>
          <w:b/>
          <w:color w:val="000000" w:themeColor="text1"/>
          <w:sz w:val="20"/>
          <w:szCs w:val="20"/>
        </w:rPr>
        <w:t>Non-financial performance</w:t>
      </w:r>
      <w:r w:rsidR="002508B7" w:rsidRPr="009E6B3C">
        <w:rPr>
          <w:rFonts w:ascii="Arial" w:hAnsi="Arial" w:cs="Arial"/>
          <w:b/>
          <w:color w:val="000000" w:themeColor="text1"/>
          <w:sz w:val="20"/>
          <w:szCs w:val="20"/>
        </w:rPr>
        <w:t xml:space="preserve"> 2021/22</w:t>
      </w:r>
    </w:p>
    <w:p w:rsidR="0060278E" w:rsidRPr="009E6B3C" w:rsidRDefault="0060278E" w:rsidP="009E6B3C">
      <w:pPr>
        <w:ind w:left="862"/>
        <w:rPr>
          <w:rFonts w:ascii="Arial" w:hAnsi="Arial" w:cs="Arial"/>
          <w:b/>
          <w:color w:val="000000" w:themeColor="text1"/>
          <w:sz w:val="20"/>
          <w:szCs w:val="20"/>
        </w:rPr>
      </w:pPr>
    </w:p>
    <w:p w:rsidR="0060278E" w:rsidRPr="009E6B3C" w:rsidRDefault="0060278E" w:rsidP="009E6B3C">
      <w:pPr>
        <w:pStyle w:val="ListParagraph"/>
        <w:numPr>
          <w:ilvl w:val="2"/>
          <w:numId w:val="61"/>
        </w:numPr>
        <w:ind w:left="851" w:hanging="851"/>
        <w:rPr>
          <w:rFonts w:ascii="Arial" w:hAnsi="Arial" w:cs="Arial"/>
          <w:sz w:val="20"/>
          <w:szCs w:val="20"/>
        </w:rPr>
      </w:pPr>
      <w:r w:rsidRPr="009E6B3C">
        <w:rPr>
          <w:rFonts w:ascii="Arial" w:hAnsi="Arial" w:cs="Arial"/>
          <w:sz w:val="20"/>
          <w:szCs w:val="20"/>
        </w:rPr>
        <w:t>The SIU’s Strategic Plan 2020 – 2025 identifies certain high impact initiatives and interventions for the MTSF period:</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Pursuing Priority High-Impact Targets to optimise the deployment of its resources.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Rejuvenating the organisation by investing in critical parts of the business.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Differentiating the SIU through its ‘unique offerings’.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Enforcing consequence management measures through a monitoring and evaluation competency (with the Auditor General).</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Pursuing civil litigation.</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Applying cutting-edge data analytics and technology.</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Optimising the uniqueness of the Special Tribunal.</w:t>
      </w:r>
    </w:p>
    <w:p w:rsidR="0060278E" w:rsidRPr="009E6B3C" w:rsidRDefault="0060278E" w:rsidP="009E6B3C">
      <w:pPr>
        <w:autoSpaceDE w:val="0"/>
        <w:autoSpaceDN w:val="0"/>
        <w:adjustRightInd w:val="0"/>
        <w:ind w:left="1353"/>
        <w:rPr>
          <w:rFonts w:ascii="Arial" w:hAnsi="Arial" w:cs="Arial"/>
          <w:sz w:val="20"/>
          <w:szCs w:val="20"/>
        </w:rPr>
      </w:pPr>
    </w:p>
    <w:p w:rsidR="0060278E" w:rsidRPr="009E6B3C" w:rsidRDefault="0060278E" w:rsidP="009E6B3C">
      <w:pPr>
        <w:pStyle w:val="ListParagraph"/>
        <w:numPr>
          <w:ilvl w:val="2"/>
          <w:numId w:val="61"/>
        </w:numPr>
        <w:ind w:left="851" w:hanging="851"/>
        <w:rPr>
          <w:rFonts w:ascii="Arial" w:hAnsi="Arial" w:cs="Arial"/>
          <w:sz w:val="20"/>
          <w:szCs w:val="20"/>
        </w:rPr>
      </w:pPr>
      <w:r w:rsidRPr="009E6B3C">
        <w:rPr>
          <w:rFonts w:ascii="Arial" w:hAnsi="Arial" w:cs="Arial"/>
          <w:sz w:val="20"/>
          <w:szCs w:val="20"/>
        </w:rPr>
        <w:t>The SIU has three programmes:</w:t>
      </w:r>
    </w:p>
    <w:p w:rsidR="0060278E" w:rsidRPr="009E6B3C" w:rsidRDefault="0060278E" w:rsidP="009E6B3C">
      <w:pPr>
        <w:pStyle w:val="ListParagraph"/>
        <w:tabs>
          <w:tab w:val="left" w:pos="851"/>
        </w:tabs>
        <w:ind w:left="851"/>
        <w:rPr>
          <w:rFonts w:ascii="Arial" w:hAnsi="Arial" w:cs="Arial"/>
          <w:sz w:val="20"/>
          <w:szCs w:val="20"/>
        </w:rPr>
      </w:pPr>
    </w:p>
    <w:p w:rsidR="0060278E" w:rsidRPr="009E6B3C" w:rsidRDefault="0060278E" w:rsidP="009E6B3C">
      <w:pPr>
        <w:rPr>
          <w:rFonts w:ascii="Arial" w:hAnsi="Arial" w:cs="Arial"/>
          <w:b/>
          <w:i/>
          <w:sz w:val="20"/>
          <w:szCs w:val="20"/>
        </w:rPr>
      </w:pPr>
      <w:r w:rsidRPr="009E6B3C">
        <w:rPr>
          <w:rFonts w:ascii="Arial" w:hAnsi="Arial" w:cs="Arial"/>
          <w:b/>
          <w:i/>
          <w:sz w:val="20"/>
          <w:szCs w:val="20"/>
        </w:rPr>
        <w:t>Table</w:t>
      </w:r>
      <w:r w:rsidR="00B33CDE" w:rsidRPr="009E6B3C">
        <w:rPr>
          <w:rFonts w:ascii="Arial" w:hAnsi="Arial" w:cs="Arial"/>
          <w:b/>
          <w:i/>
          <w:sz w:val="20"/>
          <w:szCs w:val="20"/>
        </w:rPr>
        <w:t xml:space="preserve"> 18</w:t>
      </w:r>
      <w:r w:rsidRPr="009E6B3C">
        <w:rPr>
          <w:rFonts w:ascii="Arial" w:hAnsi="Arial" w:cs="Arial"/>
          <w:b/>
          <w:i/>
          <w:sz w:val="20"/>
          <w:szCs w:val="20"/>
        </w:rPr>
        <w:t>: SIU – programmes</w:t>
      </w:r>
    </w:p>
    <w:tbl>
      <w:tblPr>
        <w:tblStyle w:val="TableGrid"/>
        <w:tblW w:w="0" w:type="auto"/>
        <w:tblLook w:val="04A0"/>
      </w:tblPr>
      <w:tblGrid>
        <w:gridCol w:w="2112"/>
        <w:gridCol w:w="7515"/>
      </w:tblGrid>
      <w:tr w:rsidR="0060278E" w:rsidRPr="009E6B3C" w:rsidTr="007A0C1F">
        <w:trPr>
          <w:tblHeader/>
        </w:trPr>
        <w:tc>
          <w:tcPr>
            <w:tcW w:w="0" w:type="auto"/>
            <w:shd w:val="clear" w:color="auto" w:fill="D9D9D9" w:themeFill="background1" w:themeFillShade="D9"/>
          </w:tcPr>
          <w:p w:rsidR="0060278E" w:rsidRPr="009E6B3C" w:rsidRDefault="0060278E" w:rsidP="009E6B3C">
            <w:pPr>
              <w:pStyle w:val="ListParagraph"/>
              <w:ind w:left="0"/>
              <w:rPr>
                <w:rFonts w:ascii="Arial" w:hAnsi="Arial" w:cs="Arial"/>
                <w:b/>
                <w:caps/>
                <w:sz w:val="20"/>
                <w:szCs w:val="20"/>
                <w:lang w:val="en-ZA" w:eastAsia="en-ZA"/>
              </w:rPr>
            </w:pPr>
            <w:r w:rsidRPr="009E6B3C">
              <w:rPr>
                <w:rFonts w:ascii="Arial" w:hAnsi="Arial" w:cs="Arial"/>
                <w:b/>
                <w:caps/>
                <w:sz w:val="20"/>
                <w:szCs w:val="20"/>
                <w:lang w:val="en-ZA" w:eastAsia="en-ZA"/>
              </w:rPr>
              <w:t>Programme</w:t>
            </w:r>
          </w:p>
        </w:tc>
        <w:tc>
          <w:tcPr>
            <w:tcW w:w="0" w:type="auto"/>
            <w:shd w:val="clear" w:color="auto" w:fill="D9D9D9" w:themeFill="background1" w:themeFillShade="D9"/>
          </w:tcPr>
          <w:p w:rsidR="0060278E" w:rsidRPr="009E6B3C" w:rsidRDefault="0060278E" w:rsidP="009E6B3C">
            <w:pPr>
              <w:pStyle w:val="ListParagraph"/>
              <w:ind w:left="0"/>
              <w:rPr>
                <w:rFonts w:ascii="Arial" w:hAnsi="Arial" w:cs="Arial"/>
                <w:b/>
                <w:caps/>
                <w:sz w:val="20"/>
                <w:szCs w:val="20"/>
                <w:lang w:val="en-ZA" w:eastAsia="en-ZA"/>
              </w:rPr>
            </w:pPr>
            <w:r w:rsidRPr="009E6B3C">
              <w:rPr>
                <w:rFonts w:ascii="Arial" w:hAnsi="Arial" w:cs="Arial"/>
                <w:b/>
                <w:caps/>
                <w:sz w:val="20"/>
                <w:szCs w:val="20"/>
                <w:lang w:val="en-ZA" w:eastAsia="en-ZA"/>
              </w:rPr>
              <w:t>Responsibility</w:t>
            </w:r>
          </w:p>
        </w:tc>
      </w:tr>
      <w:tr w:rsidR="0060278E" w:rsidRPr="009E6B3C" w:rsidTr="007A0C1F">
        <w:tc>
          <w:tcPr>
            <w:tcW w:w="0" w:type="auto"/>
          </w:tcPr>
          <w:p w:rsidR="0060278E" w:rsidRPr="009E6B3C" w:rsidRDefault="0060278E" w:rsidP="009E6B3C">
            <w:pPr>
              <w:pStyle w:val="ListParagraph"/>
              <w:ind w:left="0"/>
              <w:rPr>
                <w:rFonts w:ascii="Arial" w:hAnsi="Arial" w:cs="Arial"/>
                <w:sz w:val="20"/>
                <w:szCs w:val="20"/>
                <w:lang w:val="en-ZA" w:eastAsia="en-ZA"/>
              </w:rPr>
            </w:pPr>
            <w:r w:rsidRPr="009E6B3C">
              <w:rPr>
                <w:rFonts w:ascii="Arial" w:hAnsi="Arial" w:cs="Arial"/>
                <w:sz w:val="20"/>
                <w:szCs w:val="20"/>
              </w:rPr>
              <w:t>Administration</w:t>
            </w:r>
          </w:p>
        </w:tc>
        <w:tc>
          <w:tcPr>
            <w:tcW w:w="0" w:type="auto"/>
          </w:tcPr>
          <w:p w:rsidR="0060278E" w:rsidRPr="009E6B3C" w:rsidRDefault="0060278E" w:rsidP="009E6B3C">
            <w:pPr>
              <w:pStyle w:val="ListParagraph"/>
              <w:ind w:left="0"/>
              <w:rPr>
                <w:rFonts w:ascii="Arial" w:hAnsi="Arial" w:cs="Arial"/>
                <w:sz w:val="20"/>
                <w:szCs w:val="20"/>
                <w:lang w:val="en-ZA" w:eastAsia="en-ZA"/>
              </w:rPr>
            </w:pPr>
            <w:r w:rsidRPr="009E6B3C">
              <w:rPr>
                <w:rFonts w:ascii="Arial" w:hAnsi="Arial" w:cs="Arial"/>
                <w:sz w:val="20"/>
                <w:szCs w:val="20"/>
              </w:rPr>
              <w:t>Responsible for the provision of business oversight and enablement services to the core business units of the SIU.</w:t>
            </w:r>
          </w:p>
        </w:tc>
      </w:tr>
      <w:tr w:rsidR="0060278E" w:rsidRPr="009E6B3C" w:rsidTr="007A0C1F">
        <w:tc>
          <w:tcPr>
            <w:tcW w:w="0" w:type="auto"/>
          </w:tcPr>
          <w:p w:rsidR="0060278E" w:rsidRPr="009E6B3C" w:rsidRDefault="0060278E" w:rsidP="009E6B3C">
            <w:pPr>
              <w:pStyle w:val="ListParagraph"/>
              <w:ind w:left="0"/>
              <w:rPr>
                <w:rFonts w:ascii="Arial" w:hAnsi="Arial" w:cs="Arial"/>
                <w:sz w:val="20"/>
                <w:szCs w:val="20"/>
                <w:lang w:val="en-ZA" w:eastAsia="en-ZA"/>
              </w:rPr>
            </w:pPr>
            <w:r w:rsidRPr="009E6B3C">
              <w:rPr>
                <w:rFonts w:ascii="Arial" w:hAnsi="Arial" w:cs="Arial"/>
                <w:sz w:val="20"/>
                <w:szCs w:val="20"/>
              </w:rPr>
              <w:t>Investigations and Legal Counsel</w:t>
            </w:r>
          </w:p>
        </w:tc>
        <w:tc>
          <w:tcPr>
            <w:tcW w:w="0" w:type="auto"/>
          </w:tcPr>
          <w:p w:rsidR="0060278E" w:rsidRPr="009E6B3C" w:rsidRDefault="0060278E" w:rsidP="009E6B3C">
            <w:pPr>
              <w:pStyle w:val="ListParagraph"/>
              <w:ind w:left="0"/>
              <w:rPr>
                <w:rFonts w:ascii="Arial" w:hAnsi="Arial" w:cs="Arial"/>
                <w:sz w:val="20"/>
                <w:szCs w:val="20"/>
                <w:lang w:val="en-ZA" w:eastAsia="en-ZA"/>
              </w:rPr>
            </w:pPr>
            <w:r w:rsidRPr="009E6B3C">
              <w:rPr>
                <w:rFonts w:ascii="Arial" w:hAnsi="Arial" w:cs="Arial"/>
                <w:sz w:val="20"/>
                <w:szCs w:val="20"/>
              </w:rPr>
              <w:t>Responsible for ensuring the adequate execution of the mandated service delivery of the SIU.</w:t>
            </w:r>
          </w:p>
        </w:tc>
      </w:tr>
      <w:tr w:rsidR="0060278E" w:rsidRPr="009E6B3C" w:rsidTr="007A0C1F">
        <w:tc>
          <w:tcPr>
            <w:tcW w:w="0" w:type="auto"/>
          </w:tcPr>
          <w:p w:rsidR="0060278E" w:rsidRPr="009E6B3C" w:rsidRDefault="0060278E" w:rsidP="009E6B3C">
            <w:pPr>
              <w:pStyle w:val="ListParagraph"/>
              <w:ind w:left="0"/>
              <w:rPr>
                <w:rFonts w:ascii="Arial" w:hAnsi="Arial" w:cs="Arial"/>
                <w:sz w:val="20"/>
                <w:szCs w:val="20"/>
                <w:lang w:val="en-ZA" w:eastAsia="en-ZA"/>
              </w:rPr>
            </w:pPr>
            <w:r w:rsidRPr="009E6B3C">
              <w:rPr>
                <w:rFonts w:ascii="Arial" w:hAnsi="Arial" w:cs="Arial"/>
                <w:sz w:val="20"/>
                <w:szCs w:val="20"/>
              </w:rPr>
              <w:t>Market Data Analytics and Prevention</w:t>
            </w:r>
          </w:p>
        </w:tc>
        <w:tc>
          <w:tcPr>
            <w:tcW w:w="0" w:type="auto"/>
          </w:tcPr>
          <w:p w:rsidR="0060278E" w:rsidRPr="009E6B3C" w:rsidRDefault="0060278E" w:rsidP="009E6B3C">
            <w:pPr>
              <w:pStyle w:val="ListParagraph"/>
              <w:ind w:left="0"/>
              <w:rPr>
                <w:rFonts w:ascii="Arial" w:hAnsi="Arial" w:cs="Arial"/>
                <w:sz w:val="20"/>
                <w:szCs w:val="20"/>
                <w:lang w:val="en-ZA" w:eastAsia="en-ZA"/>
              </w:rPr>
            </w:pPr>
            <w:r w:rsidRPr="009E6B3C">
              <w:rPr>
                <w:rFonts w:ascii="Arial" w:hAnsi="Arial" w:cs="Arial"/>
                <w:sz w:val="20"/>
                <w:szCs w:val="20"/>
              </w:rPr>
              <w:t>Responsible for the implementation of relevant and proactive initiatives to prevent the reoccurrence of fraud and corruption cases as a result of systemic weaknesses in the public sector and to positively influence the behaviour of South African citizens</w:t>
            </w:r>
          </w:p>
        </w:tc>
      </w:tr>
    </w:tbl>
    <w:p w:rsidR="0060278E" w:rsidRPr="009E6B3C" w:rsidRDefault="0060278E" w:rsidP="009E6B3C">
      <w:pPr>
        <w:autoSpaceDE w:val="0"/>
        <w:autoSpaceDN w:val="0"/>
        <w:adjustRightInd w:val="0"/>
        <w:rPr>
          <w:rFonts w:ascii="Arial" w:hAnsi="Arial" w:cs="Arial"/>
          <w:sz w:val="20"/>
          <w:szCs w:val="20"/>
          <w:lang w:eastAsia="en-ZA"/>
        </w:rPr>
      </w:pPr>
    </w:p>
    <w:p w:rsidR="0060278E" w:rsidRPr="009E6B3C" w:rsidRDefault="0060278E" w:rsidP="009E6B3C">
      <w:pPr>
        <w:pStyle w:val="ListParagraph"/>
        <w:numPr>
          <w:ilvl w:val="2"/>
          <w:numId w:val="61"/>
        </w:numPr>
        <w:ind w:left="851" w:hanging="851"/>
        <w:rPr>
          <w:rFonts w:ascii="Arial" w:eastAsiaTheme="minorHAnsi" w:hAnsi="Arial" w:cs="Arial"/>
          <w:sz w:val="20"/>
          <w:szCs w:val="20"/>
          <w:lang w:eastAsia="en-US"/>
        </w:rPr>
      </w:pPr>
      <w:r w:rsidRPr="009E6B3C">
        <w:rPr>
          <w:rFonts w:ascii="Arial" w:hAnsi="Arial" w:cs="Arial"/>
          <w:sz w:val="20"/>
          <w:szCs w:val="20"/>
        </w:rPr>
        <w:t>Key</w:t>
      </w:r>
      <w:r w:rsidRPr="009E6B3C">
        <w:rPr>
          <w:rFonts w:ascii="Arial" w:eastAsiaTheme="minorHAnsi" w:hAnsi="Arial" w:cs="Arial"/>
          <w:sz w:val="20"/>
          <w:szCs w:val="20"/>
          <w:lang w:eastAsia="en-US"/>
        </w:rPr>
        <w:t xml:space="preserve"> reported achievements for 2021/22 are as follows: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R5.96 billion value of potential cash and/or assets recovered.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R6.26 billion value of potential loss prevented.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570 referrals made to the relevant prosecuting authority.</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54 cases issued in the Special Tribunal.</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R436 million value of actual cash and/or assets recovered.</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469 referrals made for disciplinary action against officials and/or executives.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28 135 investigations closed under a published proclamation.</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19 reports submitted to the Presidency.</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100% centrally registered allegations assessed by the Assessment Committee.</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R5.54 billion value of contract(s) and/or administrative decision(s)/action(s) set aside or deemed invalid.</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24 786 referrals made for administrative action.</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R3.37 billion value of matters in respect of which evidence was referred for the institution or defence/opposition of civil proceedings.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100% allegations centrally registered for electronic tracking.</w:t>
      </w:r>
    </w:p>
    <w:p w:rsidR="0060278E" w:rsidRPr="009E6B3C" w:rsidRDefault="0060278E" w:rsidP="009E6B3C">
      <w:pPr>
        <w:tabs>
          <w:tab w:val="left" w:pos="851"/>
        </w:tabs>
        <w:rPr>
          <w:rFonts w:ascii="Arial" w:eastAsiaTheme="minorHAnsi" w:hAnsi="Arial" w:cs="Arial"/>
          <w:sz w:val="20"/>
          <w:szCs w:val="20"/>
          <w:lang w:eastAsia="en-US"/>
        </w:rPr>
      </w:pPr>
    </w:p>
    <w:p w:rsidR="0060278E" w:rsidRPr="009E6B3C" w:rsidRDefault="0060278E" w:rsidP="009E6B3C">
      <w:pPr>
        <w:pStyle w:val="ListParagraph"/>
        <w:numPr>
          <w:ilvl w:val="2"/>
          <w:numId w:val="61"/>
        </w:numPr>
        <w:ind w:left="851" w:hanging="851"/>
        <w:rPr>
          <w:rFonts w:ascii="Arial" w:eastAsiaTheme="minorHAnsi" w:hAnsi="Arial" w:cs="Arial"/>
          <w:sz w:val="20"/>
          <w:szCs w:val="20"/>
          <w:lang w:eastAsia="en-US"/>
        </w:rPr>
      </w:pPr>
      <w:r w:rsidRPr="009E6B3C">
        <w:rPr>
          <w:rFonts w:ascii="Arial" w:hAnsi="Arial" w:cs="Arial"/>
          <w:sz w:val="20"/>
          <w:szCs w:val="20"/>
        </w:rPr>
        <w:t>At</w:t>
      </w:r>
      <w:r w:rsidRPr="009E6B3C">
        <w:rPr>
          <w:rFonts w:ascii="Arial" w:eastAsiaTheme="minorHAnsi" w:hAnsi="Arial" w:cs="Arial"/>
          <w:sz w:val="20"/>
          <w:szCs w:val="20"/>
          <w:lang w:eastAsia="en-US"/>
        </w:rPr>
        <w:t xml:space="preserve"> programme level, the SIU reports that, in 2021/22, it achieved all 17 or 100% of planned targets (compared to 75% of targets in 2020/21 and 69% of targets in 2019/20). </w:t>
      </w:r>
    </w:p>
    <w:p w:rsidR="0060278E" w:rsidRPr="009E6B3C" w:rsidRDefault="0060278E" w:rsidP="009E6B3C">
      <w:pPr>
        <w:pStyle w:val="ListParagraph"/>
        <w:tabs>
          <w:tab w:val="left" w:pos="851"/>
        </w:tabs>
        <w:ind w:left="851"/>
        <w:rPr>
          <w:rFonts w:ascii="Arial" w:eastAsiaTheme="minorHAnsi" w:hAnsi="Arial" w:cs="Arial"/>
          <w:sz w:val="20"/>
          <w:szCs w:val="20"/>
          <w:lang w:eastAsia="en-US"/>
        </w:rPr>
      </w:pPr>
    </w:p>
    <w:p w:rsidR="0060278E" w:rsidRPr="009E6B3C" w:rsidRDefault="0060278E" w:rsidP="009E6B3C">
      <w:pPr>
        <w:pStyle w:val="ListParagraph"/>
        <w:numPr>
          <w:ilvl w:val="2"/>
          <w:numId w:val="61"/>
        </w:numPr>
        <w:ind w:left="851" w:hanging="851"/>
        <w:rPr>
          <w:rFonts w:ascii="Arial" w:eastAsiaTheme="minorHAnsi" w:hAnsi="Arial" w:cs="Arial"/>
          <w:sz w:val="20"/>
          <w:szCs w:val="20"/>
          <w:lang w:eastAsia="en-US"/>
        </w:rPr>
      </w:pPr>
      <w:r w:rsidRPr="009E6B3C">
        <w:rPr>
          <w:rFonts w:ascii="Arial" w:hAnsi="Arial" w:cs="Arial"/>
          <w:sz w:val="20"/>
          <w:szCs w:val="20"/>
        </w:rPr>
        <w:t>Notably</w:t>
      </w:r>
      <w:r w:rsidRPr="009E6B3C">
        <w:rPr>
          <w:rFonts w:ascii="Arial" w:eastAsiaTheme="minorHAnsi" w:hAnsi="Arial" w:cs="Arial"/>
          <w:sz w:val="20"/>
          <w:szCs w:val="20"/>
          <w:lang w:eastAsia="en-US"/>
        </w:rPr>
        <w:t xml:space="preserve">, under the </w:t>
      </w:r>
      <w:r w:rsidRPr="009E6B3C">
        <w:rPr>
          <w:rFonts w:ascii="Arial" w:hAnsi="Arial" w:cs="Arial"/>
          <w:sz w:val="20"/>
          <w:szCs w:val="20"/>
          <w:lang/>
        </w:rPr>
        <w:t>Investigations and Legal Counsel</w:t>
      </w:r>
      <w:r w:rsidRPr="009E6B3C">
        <w:rPr>
          <w:rFonts w:ascii="Arial" w:hAnsi="Arial" w:cs="Arial"/>
          <w:sz w:val="20"/>
          <w:szCs w:val="20"/>
        </w:rPr>
        <w:t xml:space="preserve"> programme</w:t>
      </w:r>
      <w:r w:rsidRPr="009E6B3C">
        <w:rPr>
          <w:rFonts w:ascii="Arial" w:hAnsi="Arial" w:cs="Arial"/>
          <w:sz w:val="20"/>
          <w:szCs w:val="20"/>
          <w:lang/>
        </w:rPr>
        <w:t>, the SIU far exceeded its targets</w:t>
      </w:r>
      <w:r w:rsidRPr="009E6B3C">
        <w:rPr>
          <w:rFonts w:ascii="Arial" w:hAnsi="Arial" w:cs="Arial"/>
          <w:sz w:val="20"/>
          <w:szCs w:val="20"/>
        </w:rPr>
        <w:t xml:space="preserve"> across all the 11 performance indicators. Some of the investigations that attributed to the civil litigation outcomes were the Transnet, Eskom </w:t>
      </w:r>
      <w:r w:rsidR="00DD0272" w:rsidRPr="009E6B3C">
        <w:rPr>
          <w:rFonts w:ascii="Arial" w:hAnsi="Arial" w:cs="Arial"/>
          <w:sz w:val="20"/>
          <w:szCs w:val="20"/>
        </w:rPr>
        <w:t xml:space="preserve">and </w:t>
      </w:r>
      <w:r w:rsidRPr="009E6B3C">
        <w:rPr>
          <w:rFonts w:ascii="Arial" w:hAnsi="Arial" w:cs="Arial"/>
          <w:sz w:val="20"/>
          <w:szCs w:val="20"/>
        </w:rPr>
        <w:t>the Department of Water and Sanitation investigation</w:t>
      </w:r>
      <w:r w:rsidR="00DD0272" w:rsidRPr="009E6B3C">
        <w:rPr>
          <w:rFonts w:ascii="Arial" w:hAnsi="Arial" w:cs="Arial"/>
          <w:sz w:val="20"/>
          <w:szCs w:val="20"/>
        </w:rPr>
        <w:t xml:space="preserve">s, as well as </w:t>
      </w:r>
      <w:r w:rsidRPr="009E6B3C">
        <w:rPr>
          <w:rFonts w:ascii="Arial" w:hAnsi="Arial" w:cs="Arial"/>
          <w:sz w:val="20"/>
          <w:szCs w:val="20"/>
        </w:rPr>
        <w:t xml:space="preserve">the investigations into corruption, maladministration and practice relating to PPE procurement.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61"/>
        </w:numPr>
        <w:ind w:left="851" w:hanging="851"/>
        <w:rPr>
          <w:rFonts w:ascii="Arial" w:eastAsiaTheme="minorHAnsi" w:hAnsi="Arial" w:cs="Arial"/>
          <w:sz w:val="20"/>
          <w:szCs w:val="20"/>
          <w:lang w:eastAsia="en-US"/>
        </w:rPr>
      </w:pPr>
      <w:r w:rsidRPr="009E6B3C">
        <w:rPr>
          <w:rFonts w:ascii="Arial" w:hAnsi="Arial" w:cs="Arial"/>
          <w:sz w:val="20"/>
          <w:szCs w:val="20"/>
        </w:rPr>
        <w:t>Further, the establishment of the Special Tribunal in 2019 has significantly contributed to the achievement of the civil litigation outcomes of the SIU investigations through adjudication and expediting</w:t>
      </w:r>
      <w:r w:rsidR="00DD0272" w:rsidRPr="009E6B3C">
        <w:rPr>
          <w:rFonts w:ascii="Arial" w:hAnsi="Arial" w:cs="Arial"/>
          <w:sz w:val="20"/>
          <w:szCs w:val="20"/>
        </w:rPr>
        <w:t xml:space="preserve"> the</w:t>
      </w:r>
      <w:r w:rsidRPr="009E6B3C">
        <w:rPr>
          <w:rFonts w:ascii="Arial" w:hAnsi="Arial" w:cs="Arial"/>
          <w:sz w:val="20"/>
          <w:szCs w:val="20"/>
        </w:rPr>
        <w:t xml:space="preserve"> recovery of state funds. During 2021/22, 54 cases with </w:t>
      </w:r>
      <w:r w:rsidR="00DD0272" w:rsidRPr="009E6B3C">
        <w:rPr>
          <w:rFonts w:ascii="Arial" w:hAnsi="Arial" w:cs="Arial"/>
          <w:sz w:val="20"/>
          <w:szCs w:val="20"/>
        </w:rPr>
        <w:t>a</w:t>
      </w:r>
      <w:r w:rsidRPr="009E6B3C">
        <w:rPr>
          <w:rFonts w:ascii="Arial" w:hAnsi="Arial" w:cs="Arial"/>
          <w:sz w:val="20"/>
          <w:szCs w:val="20"/>
        </w:rPr>
        <w:t xml:space="preserve"> contract value of R9.9 billion were instituted at the Special Tribunal, with another 96 cases with the contract value of R65 billion ongoing in the Special Tribunal and High Court from previous financial years. </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2"/>
          <w:numId w:val="61"/>
        </w:numPr>
        <w:ind w:left="851" w:hanging="851"/>
        <w:rPr>
          <w:rFonts w:ascii="Arial" w:eastAsiaTheme="minorHAnsi" w:hAnsi="Arial" w:cs="Arial"/>
          <w:sz w:val="20"/>
          <w:szCs w:val="20"/>
          <w:lang w:eastAsia="en-US"/>
        </w:rPr>
      </w:pPr>
      <w:r w:rsidRPr="009E6B3C">
        <w:rPr>
          <w:rFonts w:ascii="Arial" w:hAnsi="Arial" w:cs="Arial"/>
          <w:sz w:val="20"/>
          <w:szCs w:val="20"/>
        </w:rPr>
        <w:t>Another highlight is the Presidential report that</w:t>
      </w:r>
      <w:r w:rsidR="004F2099" w:rsidRPr="009E6B3C">
        <w:rPr>
          <w:rFonts w:ascii="Arial" w:hAnsi="Arial" w:cs="Arial"/>
          <w:sz w:val="20"/>
          <w:szCs w:val="20"/>
        </w:rPr>
        <w:t xml:space="preserve"> was submitted in December 2021</w:t>
      </w:r>
      <w:r w:rsidRPr="009E6B3C">
        <w:rPr>
          <w:rFonts w:ascii="Arial" w:hAnsi="Arial" w:cs="Arial"/>
          <w:sz w:val="20"/>
          <w:szCs w:val="20"/>
        </w:rPr>
        <w:t xml:space="preserve"> on the investigations into corruption, maladministration and practice relating to PPE procurement during the Covid-19 pandemic, which cut across all spheres of government. The SIU identified 5 345 questionable contracts worth R144.1 billion. Of these, 64% were found to be irregular, and civil litigation was instituted to the value of R2.1 billion, while R9.5 million was recovered and R114.2 in potential loss was prevented. Money that can potentially be returned to the state totals R82.5 million. The PPE investigation is, however, still ongoing and interim and/or final reports for outstanding investigations will continue to be submitted to the Presidency during the 2022/23 financial year.</w:t>
      </w:r>
    </w:p>
    <w:p w:rsidR="0060278E" w:rsidRPr="009E6B3C" w:rsidRDefault="0060278E" w:rsidP="009E6B3C">
      <w:pPr>
        <w:pStyle w:val="ListParagraph"/>
        <w:rPr>
          <w:rFonts w:ascii="Arial" w:hAnsi="Arial" w:cs="Arial"/>
          <w:sz w:val="20"/>
          <w:szCs w:val="20"/>
        </w:rPr>
      </w:pPr>
    </w:p>
    <w:p w:rsidR="0060278E" w:rsidRPr="009E6B3C" w:rsidRDefault="0060278E" w:rsidP="009E6B3C">
      <w:pPr>
        <w:pStyle w:val="ListParagraph"/>
        <w:numPr>
          <w:ilvl w:val="1"/>
          <w:numId w:val="1"/>
        </w:numPr>
        <w:ind w:left="851" w:hanging="851"/>
        <w:rPr>
          <w:rFonts w:ascii="Arial" w:hAnsi="Arial" w:cs="Arial"/>
          <w:b/>
          <w:sz w:val="20"/>
          <w:szCs w:val="20"/>
        </w:rPr>
      </w:pPr>
      <w:r w:rsidRPr="009E6B3C">
        <w:rPr>
          <w:rFonts w:ascii="Arial" w:hAnsi="Arial" w:cs="Arial"/>
          <w:b/>
          <w:i/>
          <w:sz w:val="20"/>
          <w:szCs w:val="20"/>
        </w:rPr>
        <w:t>Linking financial and non-financial performance</w:t>
      </w:r>
      <w:r w:rsidRPr="009E6B3C">
        <w:rPr>
          <w:rFonts w:ascii="Arial" w:hAnsi="Arial" w:cs="Arial"/>
          <w:b/>
          <w:sz w:val="20"/>
          <w:szCs w:val="20"/>
        </w:rPr>
        <w:t>:</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In 2021/22, the SIU achieved 100% of planned targets while spending 91% of the budget. </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Under the Investigations and Legal Counsel programme, the SIU far exceeded its planned targets.</w:t>
      </w:r>
    </w:p>
    <w:p w:rsidR="0060278E"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The SIU has maintained its clean audit opinion although the </w:t>
      </w:r>
      <w:r w:rsidR="00D725AE" w:rsidRPr="009E6B3C">
        <w:rPr>
          <w:rFonts w:ascii="Arial" w:hAnsi="Arial" w:cs="Arial"/>
          <w:sz w:val="20"/>
          <w:szCs w:val="20"/>
        </w:rPr>
        <w:t>AGSA</w:t>
      </w:r>
      <w:r w:rsidRPr="009E6B3C">
        <w:rPr>
          <w:rFonts w:ascii="Arial" w:hAnsi="Arial" w:cs="Arial"/>
          <w:sz w:val="20"/>
          <w:szCs w:val="20"/>
        </w:rPr>
        <w:t xml:space="preserve"> flagged the Unit’s debt impairment as concerning.</w:t>
      </w:r>
    </w:p>
    <w:p w:rsidR="00256B4D" w:rsidRPr="009E6B3C" w:rsidRDefault="0060278E"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SIU conducted a perception survey during 2021/22, which was designed to capture perception of the respondents on four crucial elements, namely investigations of allegation on maladministration and corruption, recovery of financial losses, whistleblowing and independence. Most of the respondents held an overwhelmingly positive view of the organisation, rating its work and ability to investigate allegations of corruption and maladministration highly. These perceptions were formed from media reports and from first-hand experience of the SIU’s activities. Areas for improvement included the ability of the SIU to recover the s</w:t>
      </w:r>
      <w:r w:rsidR="00F8297A" w:rsidRPr="009E6B3C">
        <w:rPr>
          <w:rFonts w:ascii="Arial" w:hAnsi="Arial" w:cs="Arial"/>
          <w:sz w:val="20"/>
          <w:szCs w:val="20"/>
        </w:rPr>
        <w:t xml:space="preserve">tate’s financial losses and its </w:t>
      </w:r>
      <w:r w:rsidRPr="009E6B3C">
        <w:rPr>
          <w:rFonts w:ascii="Arial" w:hAnsi="Arial" w:cs="Arial"/>
          <w:sz w:val="20"/>
          <w:szCs w:val="20"/>
        </w:rPr>
        <w:t>independence.</w:t>
      </w:r>
    </w:p>
    <w:p w:rsidR="00F8297A" w:rsidRPr="009E6B3C" w:rsidRDefault="00F8297A" w:rsidP="009E6B3C">
      <w:pPr>
        <w:autoSpaceDE w:val="0"/>
        <w:autoSpaceDN w:val="0"/>
        <w:adjustRightInd w:val="0"/>
        <w:ind w:left="1353"/>
        <w:rPr>
          <w:rFonts w:ascii="Arial" w:hAnsi="Arial" w:cs="Arial"/>
          <w:sz w:val="20"/>
          <w:szCs w:val="20"/>
        </w:rPr>
      </w:pPr>
    </w:p>
    <w:p w:rsidR="00B33CDE" w:rsidRPr="009E6B3C" w:rsidRDefault="00B33CDE" w:rsidP="009E6B3C">
      <w:pPr>
        <w:autoSpaceDE w:val="0"/>
        <w:autoSpaceDN w:val="0"/>
        <w:adjustRightInd w:val="0"/>
        <w:ind w:left="1353"/>
        <w:rPr>
          <w:rFonts w:ascii="Arial" w:hAnsi="Arial" w:cs="Arial"/>
          <w:sz w:val="20"/>
          <w:szCs w:val="20"/>
        </w:rPr>
      </w:pPr>
    </w:p>
    <w:p w:rsidR="00F8297A" w:rsidRPr="009E6B3C" w:rsidRDefault="00F8297A" w:rsidP="009E6B3C">
      <w:pPr>
        <w:pStyle w:val="BodySingle"/>
        <w:numPr>
          <w:ilvl w:val="0"/>
          <w:numId w:val="1"/>
        </w:numPr>
        <w:tabs>
          <w:tab w:val="num" w:pos="851"/>
        </w:tabs>
        <w:ind w:left="851" w:hanging="851"/>
        <w:jc w:val="left"/>
        <w:rPr>
          <w:rStyle w:val="AGHeading1blueCharChar"/>
          <w:rFonts w:ascii="Arial" w:eastAsia="Batang" w:hAnsi="Arial" w:cs="Arial"/>
          <w:b/>
          <w:i w:val="0"/>
          <w:caps w:val="0"/>
          <w:color w:val="000000" w:themeColor="text1"/>
          <w:sz w:val="20"/>
          <w:szCs w:val="20"/>
        </w:rPr>
      </w:pPr>
      <w:r w:rsidRPr="009E6B3C">
        <w:rPr>
          <w:rFonts w:cs="Arial"/>
          <w:b/>
          <w:i w:val="0"/>
          <w:caps/>
        </w:rPr>
        <w:t>South</w:t>
      </w:r>
      <w:r w:rsidRPr="009E6B3C">
        <w:rPr>
          <w:rStyle w:val="AGHeading1blueCharChar"/>
          <w:rFonts w:ascii="Arial" w:eastAsia="Batang" w:hAnsi="Arial" w:cs="Arial"/>
          <w:b/>
          <w:i w:val="0"/>
          <w:caps w:val="0"/>
          <w:color w:val="000000" w:themeColor="text1"/>
          <w:sz w:val="20"/>
          <w:szCs w:val="20"/>
        </w:rPr>
        <w:t xml:space="preserve"> </w:t>
      </w:r>
      <w:r w:rsidRPr="009E6B3C">
        <w:rPr>
          <w:rStyle w:val="AGHeading1blueCharChar"/>
          <w:rFonts w:ascii="Arial" w:eastAsia="Batang" w:hAnsi="Arial" w:cs="Arial"/>
          <w:b/>
          <w:i w:val="0"/>
          <w:color w:val="000000" w:themeColor="text1"/>
          <w:sz w:val="20"/>
          <w:szCs w:val="20"/>
        </w:rPr>
        <w:t>African Human Rights Commission (SAHRC)</w:t>
      </w:r>
    </w:p>
    <w:p w:rsidR="00F8297A" w:rsidRPr="009E6B3C" w:rsidRDefault="00F8297A" w:rsidP="009E6B3C">
      <w:pPr>
        <w:autoSpaceDE w:val="0"/>
        <w:autoSpaceDN w:val="0"/>
        <w:adjustRightInd w:val="0"/>
        <w:rPr>
          <w:rFonts w:ascii="Arial" w:hAnsi="Arial" w:cs="Arial"/>
          <w:color w:val="000000"/>
          <w:sz w:val="20"/>
          <w:szCs w:val="20"/>
        </w:rPr>
      </w:pPr>
    </w:p>
    <w:p w:rsidR="00F8297A" w:rsidRPr="009E6B3C" w:rsidRDefault="00F8297A" w:rsidP="009E6B3C">
      <w:pPr>
        <w:pStyle w:val="ListParagraph"/>
        <w:numPr>
          <w:ilvl w:val="1"/>
          <w:numId w:val="1"/>
        </w:numPr>
        <w:ind w:left="851" w:hanging="851"/>
        <w:rPr>
          <w:rFonts w:ascii="Arial" w:hAnsi="Arial" w:cs="Arial"/>
          <w:sz w:val="20"/>
          <w:szCs w:val="20"/>
          <w:lang w:val="en-US"/>
        </w:rPr>
      </w:pPr>
      <w:r w:rsidRPr="009E6B3C">
        <w:rPr>
          <w:rFonts w:ascii="Arial" w:hAnsi="Arial" w:cs="Arial"/>
          <w:sz w:val="20"/>
          <w:szCs w:val="20"/>
          <w:lang w:val="en-US"/>
        </w:rPr>
        <w:t xml:space="preserve">The SAHRC’s constitutional mandate is extremely wide, encompassing almost every aspect of civil, political and economic rights. It must promote respect for human rights; promote the protection, development and attainment of human rights; and monitor how well human rights are observed. The Constitution also provides that each year the Commission must require relevant organs of state to provide it with information on measures taken towards the realisation of the socio-economic rights contained in the Constitution. </w:t>
      </w:r>
    </w:p>
    <w:p w:rsidR="00F8297A" w:rsidRPr="009E6B3C" w:rsidRDefault="00F8297A" w:rsidP="009E6B3C">
      <w:pPr>
        <w:autoSpaceDE w:val="0"/>
        <w:autoSpaceDN w:val="0"/>
        <w:adjustRightInd w:val="0"/>
        <w:ind w:left="862"/>
        <w:rPr>
          <w:rFonts w:ascii="Arial" w:hAnsi="Arial" w:cs="Arial"/>
          <w:sz w:val="20"/>
          <w:szCs w:val="20"/>
          <w:lang w:val="en-US"/>
        </w:rPr>
      </w:pPr>
    </w:p>
    <w:p w:rsidR="00F8297A" w:rsidRPr="009E6B3C" w:rsidRDefault="00F8297A" w:rsidP="009E6B3C">
      <w:pPr>
        <w:pStyle w:val="ListParagraph"/>
        <w:numPr>
          <w:ilvl w:val="1"/>
          <w:numId w:val="1"/>
        </w:numPr>
        <w:ind w:left="851" w:hanging="851"/>
        <w:rPr>
          <w:rFonts w:ascii="Arial" w:hAnsi="Arial" w:cs="Arial"/>
          <w:sz w:val="20"/>
          <w:szCs w:val="20"/>
          <w:lang w:val="en-US"/>
        </w:rPr>
      </w:pPr>
      <w:r w:rsidRPr="009E6B3C">
        <w:rPr>
          <w:rFonts w:ascii="Arial" w:hAnsi="Arial" w:cs="Arial"/>
          <w:sz w:val="20"/>
          <w:szCs w:val="20"/>
          <w:lang w:val="en-US"/>
        </w:rPr>
        <w:t>The Commission has other mandates, including:</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The Promotion of Equality and Prevention of Unfair Discrimination Act, 2000 (PEPUDA).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The Promotion of Access to Information Act, 2000 (PAIA).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Coordinator and functionary of a multi-body National Preventive Mechanism (NPM) established in terms of the Optional Protocol to the Convention against Torture and Other Cruel, Inhuman or Degrading Treatment or Punishment (OPCAT).</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Monitoring and reporting on the Convention on the Rights of People with Disabilities (CRPD). The CRPD was ratified by South Africa in 2007. In September 2018, the United Nations recommended that South Africa should expedite the designation of an Independent Monitoring Mechanism (IMM). The Commission has been designated as the IMM under the CRPD. This places obligations on the Commission to fully establish and ensure the functionality of the IMM, and monitor and report on compliance with the requirements of the CRPD to the United Nations Committee on the Rights of Persons with Disabilities.</w:t>
      </w:r>
    </w:p>
    <w:p w:rsidR="00F8297A" w:rsidRPr="009E6B3C" w:rsidRDefault="00DD0272"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Monitoring and reporting on the </w:t>
      </w:r>
      <w:r w:rsidR="00F8297A" w:rsidRPr="009E6B3C">
        <w:rPr>
          <w:rFonts w:ascii="Arial" w:hAnsi="Arial" w:cs="Arial"/>
          <w:sz w:val="20"/>
          <w:szCs w:val="20"/>
        </w:rPr>
        <w:t xml:space="preserve">Convention on the Rights of the Child (CRC) and International Covenant on Economic, Social and Cultural Rights (ICESCR). </w:t>
      </w:r>
    </w:p>
    <w:p w:rsidR="00F8297A" w:rsidRPr="009E6B3C" w:rsidRDefault="00F8297A" w:rsidP="009E6B3C">
      <w:pPr>
        <w:autoSpaceDE w:val="0"/>
        <w:autoSpaceDN w:val="0"/>
        <w:adjustRightInd w:val="0"/>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MTSF specifically identifies the Commission as contributing to:</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promotion of the Constitution and its values in schools, awareness campaigns, public engagements and dialogues.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development of a system to ensure consistent barrier free access for persons with disabilities to justice across the justice value chain.</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Strengthening and expanding protection measures for children and for adults with disabilities in institutionalised settings, such as special school boarding facilities, mental health care facilities and residential facilities. </w:t>
      </w:r>
    </w:p>
    <w:p w:rsidR="00F8297A" w:rsidRPr="009E6B3C" w:rsidRDefault="00F8297A" w:rsidP="009E6B3C">
      <w:pPr>
        <w:autoSpaceDE w:val="0"/>
        <w:autoSpaceDN w:val="0"/>
        <w:adjustRightInd w:val="0"/>
        <w:rPr>
          <w:rFonts w:ascii="Arial" w:hAnsi="Arial" w:cs="Arial"/>
          <w:sz w:val="20"/>
          <w:szCs w:val="20"/>
        </w:rPr>
      </w:pPr>
    </w:p>
    <w:p w:rsidR="00F8297A" w:rsidRPr="009E6B3C" w:rsidRDefault="00F8297A" w:rsidP="009E6B3C">
      <w:pPr>
        <w:pStyle w:val="ListParagraph"/>
        <w:numPr>
          <w:ilvl w:val="1"/>
          <w:numId w:val="1"/>
        </w:numPr>
        <w:autoSpaceDE w:val="0"/>
        <w:autoSpaceDN w:val="0"/>
        <w:adjustRightInd w:val="0"/>
        <w:ind w:left="851" w:hanging="851"/>
        <w:rPr>
          <w:rFonts w:ascii="Arial" w:hAnsi="Arial" w:cs="Arial"/>
          <w:sz w:val="20"/>
          <w:szCs w:val="20"/>
        </w:rPr>
      </w:pPr>
      <w:r w:rsidRPr="009E6B3C">
        <w:rPr>
          <w:rFonts w:ascii="Arial" w:hAnsi="Arial" w:cs="Arial"/>
          <w:b/>
          <w:i/>
          <w:sz w:val="20"/>
          <w:szCs w:val="20"/>
        </w:rPr>
        <w:t>Performance planning</w:t>
      </w:r>
      <w:r w:rsidRPr="009E6B3C">
        <w:rPr>
          <w:rFonts w:ascii="Arial" w:hAnsi="Arial" w:cs="Arial"/>
          <w:i/>
          <w:sz w:val="20"/>
          <w:szCs w:val="20"/>
        </w:rPr>
        <w:t xml:space="preserve">. </w:t>
      </w:r>
      <w:r w:rsidRPr="009E6B3C">
        <w:rPr>
          <w:rFonts w:ascii="Arial" w:hAnsi="Arial" w:cs="Arial"/>
          <w:sz w:val="20"/>
          <w:szCs w:val="20"/>
        </w:rPr>
        <w:t>The SAHRC’s Strategic Plan 2020-25 provides for mandate-linked strategies: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Promotion - Enhancing human rights advocacy, visibility and awareness programmes by conducting high impact engagements to influence policy, legislation and its application; establishing strategic partnerships for capacity and collaboration; empowering communities and the public to proactively engage with human rights issues; and utilising media platforms to raise awareness and increase visibility.</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Protection – Increasingly using redress mechanisms to minimise human rights violations by instituting strategic impact litigation and proactively conducting investigative inquiries and hearings.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Monitoring – Comprehensive human rights monitoring and impact evaluation by strengthening and applying a comprehensive monitoring system to assess the state of human rights.</w:t>
      </w:r>
    </w:p>
    <w:p w:rsidR="00F8297A" w:rsidRPr="009E6B3C" w:rsidRDefault="00F8297A" w:rsidP="009E6B3C">
      <w:pPr>
        <w:pStyle w:val="ListParagraph"/>
        <w:rPr>
          <w:rFonts w:ascii="Arial" w:hAnsi="Arial" w:cs="Arial"/>
          <w:sz w:val="20"/>
          <w:szCs w:val="20"/>
        </w:rPr>
      </w:pPr>
    </w:p>
    <w:p w:rsidR="00F8297A" w:rsidRPr="009E6B3C" w:rsidRDefault="00F8297A" w:rsidP="009E6B3C">
      <w:pPr>
        <w:numPr>
          <w:ilvl w:val="1"/>
          <w:numId w:val="1"/>
        </w:numPr>
        <w:autoSpaceDE w:val="0"/>
        <w:autoSpaceDN w:val="0"/>
        <w:adjustRightInd w:val="0"/>
        <w:ind w:left="851" w:hanging="851"/>
        <w:rPr>
          <w:rFonts w:ascii="Arial" w:hAnsi="Arial" w:cs="Arial"/>
          <w:sz w:val="20"/>
          <w:szCs w:val="20"/>
        </w:rPr>
      </w:pPr>
      <w:r w:rsidRPr="009E6B3C">
        <w:rPr>
          <w:rFonts w:ascii="Arial" w:hAnsi="Arial" w:cs="Arial"/>
          <w:bCs/>
          <w:sz w:val="20"/>
          <w:szCs w:val="20"/>
        </w:rPr>
        <w:t>The Commission carries out its mandate though four programmes: Administration; Monitoring the observance of human rights; Promotion of human rights; and Protection of human rights.</w:t>
      </w:r>
      <w:r w:rsidRPr="009E6B3C">
        <w:rPr>
          <w:rFonts w:ascii="Arial" w:hAnsi="Arial" w:cs="Arial"/>
          <w:sz w:val="20"/>
          <w:szCs w:val="20"/>
        </w:rPr>
        <w:t xml:space="preserve"> </w:t>
      </w:r>
    </w:p>
    <w:p w:rsidR="00F8297A" w:rsidRPr="009E6B3C" w:rsidRDefault="00F8297A" w:rsidP="009E6B3C">
      <w:pPr>
        <w:autoSpaceDE w:val="0"/>
        <w:autoSpaceDN w:val="0"/>
        <w:adjustRightInd w:val="0"/>
        <w:rPr>
          <w:rFonts w:ascii="Arial" w:hAnsi="Arial" w:cs="Arial"/>
          <w:bCs/>
          <w:sz w:val="20"/>
          <w:szCs w:val="20"/>
        </w:rPr>
      </w:pPr>
    </w:p>
    <w:p w:rsidR="00F8297A" w:rsidRPr="009E6B3C" w:rsidRDefault="00F8297A" w:rsidP="009E6B3C">
      <w:pPr>
        <w:numPr>
          <w:ilvl w:val="1"/>
          <w:numId w:val="1"/>
        </w:numPr>
        <w:autoSpaceDE w:val="0"/>
        <w:autoSpaceDN w:val="0"/>
        <w:adjustRightInd w:val="0"/>
        <w:ind w:left="851" w:hanging="851"/>
        <w:rPr>
          <w:rFonts w:ascii="Arial" w:hAnsi="Arial" w:cs="Arial"/>
          <w:sz w:val="20"/>
          <w:szCs w:val="20"/>
        </w:rPr>
      </w:pPr>
      <w:r w:rsidRPr="009E6B3C">
        <w:rPr>
          <w:rFonts w:ascii="Arial" w:hAnsi="Arial" w:cs="Arial"/>
          <w:b/>
          <w:i/>
          <w:sz w:val="20"/>
          <w:szCs w:val="20"/>
        </w:rPr>
        <w:t>Human resources</w:t>
      </w:r>
      <w:r w:rsidRPr="009E6B3C">
        <w:rPr>
          <w:rFonts w:ascii="Arial" w:hAnsi="Arial" w:cs="Arial"/>
          <w:sz w:val="20"/>
          <w:szCs w:val="20"/>
        </w:rPr>
        <w:t xml:space="preserve">.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Commission reports an overall vacancy rate of 20% as at 31 March 2022, with 158 posts filled of 198 approved posts (The vacancy rate in 2020/21 was 19%). At senior management level, the vacancy rate is 31%. In respect of vacancies by critical occupation there is a 54% vacancy rate for research, 33% vacancy rate for advocacy and communications and 9 % vacancy rate for legal.</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turnover rate was 6% for 2021/22.</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One consultant was employed at a cost of R346 080 to develop a Balance Scorecard for managers. </w:t>
      </w:r>
    </w:p>
    <w:p w:rsidR="00F8297A" w:rsidRPr="009E6B3C" w:rsidRDefault="00F8297A" w:rsidP="009E6B3C">
      <w:pPr>
        <w:pStyle w:val="ListParagraph"/>
        <w:rPr>
          <w:rFonts w:ascii="Arial" w:hAnsi="Arial" w:cs="Arial"/>
          <w:sz w:val="20"/>
          <w:szCs w:val="20"/>
        </w:rPr>
      </w:pPr>
    </w:p>
    <w:p w:rsidR="00B33CDE" w:rsidRPr="009E6B3C" w:rsidRDefault="00F8297A" w:rsidP="009E6B3C">
      <w:pPr>
        <w:pStyle w:val="ListParagraph"/>
        <w:numPr>
          <w:ilvl w:val="1"/>
          <w:numId w:val="1"/>
        </w:numPr>
        <w:autoSpaceDE w:val="0"/>
        <w:autoSpaceDN w:val="0"/>
        <w:adjustRightInd w:val="0"/>
        <w:ind w:left="851" w:hanging="851"/>
        <w:rPr>
          <w:rFonts w:ascii="Arial" w:hAnsi="Arial" w:cs="Arial"/>
          <w:sz w:val="20"/>
          <w:szCs w:val="20"/>
        </w:rPr>
      </w:pPr>
      <w:r w:rsidRPr="009E6B3C">
        <w:rPr>
          <w:rFonts w:ascii="Arial" w:hAnsi="Arial" w:cs="Arial"/>
          <w:b/>
          <w:i/>
          <w:sz w:val="20"/>
          <w:szCs w:val="20"/>
        </w:rPr>
        <w:t>Audit outcome</w:t>
      </w:r>
      <w:r w:rsidRPr="009E6B3C">
        <w:rPr>
          <w:rFonts w:ascii="Arial" w:hAnsi="Arial" w:cs="Arial"/>
          <w:sz w:val="20"/>
          <w:szCs w:val="20"/>
        </w:rPr>
        <w:t xml:space="preserve">. </w:t>
      </w:r>
    </w:p>
    <w:p w:rsidR="00B33CDE" w:rsidRPr="009E6B3C" w:rsidRDefault="00B33CDE" w:rsidP="009E6B3C">
      <w:pPr>
        <w:autoSpaceDE w:val="0"/>
        <w:autoSpaceDN w:val="0"/>
        <w:adjustRightInd w:val="0"/>
        <w:rPr>
          <w:rFonts w:ascii="Arial" w:hAnsi="Arial" w:cs="Arial"/>
          <w:sz w:val="20"/>
          <w:szCs w:val="20"/>
        </w:rPr>
      </w:pPr>
    </w:p>
    <w:p w:rsidR="00F8297A" w:rsidRPr="009E6B3C" w:rsidRDefault="00F8297A" w:rsidP="009E6B3C">
      <w:pPr>
        <w:pStyle w:val="ListParagraph"/>
        <w:numPr>
          <w:ilvl w:val="2"/>
          <w:numId w:val="63"/>
        </w:numPr>
        <w:autoSpaceDE w:val="0"/>
        <w:autoSpaceDN w:val="0"/>
        <w:adjustRightInd w:val="0"/>
        <w:ind w:left="851" w:hanging="851"/>
        <w:rPr>
          <w:rFonts w:ascii="Arial" w:hAnsi="Arial" w:cs="Arial"/>
          <w:sz w:val="20"/>
          <w:szCs w:val="20"/>
        </w:rPr>
      </w:pPr>
      <w:r w:rsidRPr="009E6B3C">
        <w:rPr>
          <w:rFonts w:ascii="Arial" w:hAnsi="Arial" w:cs="Arial"/>
          <w:sz w:val="20"/>
          <w:szCs w:val="20"/>
        </w:rPr>
        <w:t xml:space="preserve">In 2021/22, the SAHRC received an unqualified audit opinion, with repeat findings on compliance and performance information. The </w:t>
      </w:r>
      <w:r w:rsidR="00D725AE" w:rsidRPr="009E6B3C">
        <w:rPr>
          <w:rFonts w:ascii="Arial" w:hAnsi="Arial" w:cs="Arial"/>
          <w:sz w:val="20"/>
          <w:szCs w:val="20"/>
        </w:rPr>
        <w:t>A</w:t>
      </w:r>
      <w:r w:rsidR="00DD0272" w:rsidRPr="009E6B3C">
        <w:rPr>
          <w:rFonts w:ascii="Arial" w:hAnsi="Arial" w:cs="Arial"/>
          <w:sz w:val="20"/>
          <w:szCs w:val="20"/>
        </w:rPr>
        <w:t>uditor-General</w:t>
      </w:r>
      <w:r w:rsidRPr="009E6B3C">
        <w:rPr>
          <w:rFonts w:ascii="Arial" w:hAnsi="Arial" w:cs="Arial"/>
          <w:sz w:val="20"/>
          <w:szCs w:val="20"/>
        </w:rPr>
        <w:t xml:space="preserve"> recommended that the Committee monitor the filling of vacancies, especially key positions such as the CFO. Details of the findings are provided below:</w:t>
      </w:r>
    </w:p>
    <w:p w:rsidR="00F8297A" w:rsidRPr="009E6B3C" w:rsidRDefault="00F8297A" w:rsidP="009E6B3C">
      <w:pPr>
        <w:rPr>
          <w:rFonts w:ascii="Arial" w:hAnsi="Arial" w:cs="Arial"/>
          <w:sz w:val="20"/>
          <w:szCs w:val="20"/>
        </w:rPr>
      </w:pPr>
    </w:p>
    <w:p w:rsidR="00DD0272" w:rsidRPr="009E6B3C" w:rsidRDefault="00DD0272" w:rsidP="009E6B3C">
      <w:pPr>
        <w:rPr>
          <w:rFonts w:ascii="Arial" w:hAnsi="Arial" w:cs="Arial"/>
          <w:b/>
          <w:i/>
          <w:sz w:val="20"/>
          <w:szCs w:val="20"/>
        </w:rPr>
      </w:pPr>
      <w:r w:rsidRPr="009E6B3C">
        <w:rPr>
          <w:rFonts w:ascii="Arial" w:hAnsi="Arial" w:cs="Arial"/>
          <w:b/>
          <w:i/>
          <w:sz w:val="20"/>
          <w:szCs w:val="20"/>
        </w:rPr>
        <w:t>Table</w:t>
      </w:r>
      <w:r w:rsidR="00B33CDE" w:rsidRPr="009E6B3C">
        <w:rPr>
          <w:rFonts w:ascii="Arial" w:hAnsi="Arial" w:cs="Arial"/>
          <w:b/>
          <w:i/>
          <w:sz w:val="20"/>
          <w:szCs w:val="20"/>
        </w:rPr>
        <w:t xml:space="preserve"> 19</w:t>
      </w:r>
      <w:r w:rsidRPr="009E6B3C">
        <w:rPr>
          <w:rFonts w:ascii="Arial" w:hAnsi="Arial" w:cs="Arial"/>
          <w:b/>
          <w:i/>
          <w:sz w:val="20"/>
          <w:szCs w:val="20"/>
        </w:rPr>
        <w:t>: SAHRC Audit findings 2021/22</w:t>
      </w:r>
    </w:p>
    <w:tbl>
      <w:tblPr>
        <w:tblStyle w:val="TableGrid"/>
        <w:tblW w:w="0" w:type="auto"/>
        <w:tblLook w:val="04A0"/>
      </w:tblPr>
      <w:tblGrid>
        <w:gridCol w:w="2507"/>
        <w:gridCol w:w="7120"/>
      </w:tblGrid>
      <w:tr w:rsidR="00F8297A" w:rsidRPr="009E6B3C" w:rsidTr="00905DF7">
        <w:trPr>
          <w:tblHeader/>
        </w:trPr>
        <w:tc>
          <w:tcPr>
            <w:tcW w:w="0" w:type="auto"/>
            <w:shd w:val="clear" w:color="auto" w:fill="D9D9D9" w:themeFill="background1" w:themeFillShade="D9"/>
          </w:tcPr>
          <w:p w:rsidR="00F8297A" w:rsidRPr="009E6B3C" w:rsidRDefault="00F8297A" w:rsidP="009E6B3C">
            <w:pPr>
              <w:rPr>
                <w:rFonts w:ascii="Arial" w:hAnsi="Arial" w:cs="Arial"/>
                <w:b/>
                <w:caps/>
                <w:sz w:val="20"/>
                <w:szCs w:val="20"/>
              </w:rPr>
            </w:pPr>
            <w:r w:rsidRPr="009E6B3C">
              <w:rPr>
                <w:rFonts w:ascii="Arial" w:hAnsi="Arial" w:cs="Arial"/>
                <w:b/>
                <w:caps/>
                <w:sz w:val="20"/>
                <w:szCs w:val="20"/>
              </w:rPr>
              <w:t>Finding</w:t>
            </w:r>
          </w:p>
        </w:tc>
        <w:tc>
          <w:tcPr>
            <w:tcW w:w="0" w:type="auto"/>
            <w:shd w:val="clear" w:color="auto" w:fill="D9D9D9" w:themeFill="background1" w:themeFillShade="D9"/>
          </w:tcPr>
          <w:p w:rsidR="00F8297A" w:rsidRPr="009E6B3C" w:rsidRDefault="00F8297A" w:rsidP="009E6B3C">
            <w:pPr>
              <w:pStyle w:val="ListParagraph"/>
              <w:ind w:left="360"/>
              <w:rPr>
                <w:rFonts w:ascii="Arial" w:hAnsi="Arial" w:cs="Arial"/>
                <w:b/>
                <w:caps/>
                <w:sz w:val="20"/>
                <w:szCs w:val="20"/>
              </w:rPr>
            </w:pPr>
            <w:r w:rsidRPr="009E6B3C">
              <w:rPr>
                <w:rFonts w:ascii="Arial" w:hAnsi="Arial" w:cs="Arial"/>
                <w:b/>
                <w:caps/>
                <w:sz w:val="20"/>
                <w:szCs w:val="20"/>
              </w:rPr>
              <w:t xml:space="preserve">Details </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Emphasis of matter</w:t>
            </w:r>
          </w:p>
        </w:tc>
        <w:tc>
          <w:tcPr>
            <w:tcW w:w="0" w:type="auto"/>
          </w:tcPr>
          <w:p w:rsidR="00F8297A" w:rsidRPr="009E6B3C" w:rsidRDefault="00F8297A" w:rsidP="009E6B3C">
            <w:pPr>
              <w:pStyle w:val="ListParagraph"/>
              <w:numPr>
                <w:ilvl w:val="0"/>
                <w:numId w:val="32"/>
              </w:numPr>
              <w:rPr>
                <w:rFonts w:ascii="Arial" w:hAnsi="Arial" w:cs="Arial"/>
                <w:sz w:val="20"/>
                <w:szCs w:val="20"/>
              </w:rPr>
            </w:pPr>
            <w:r w:rsidRPr="009E6B3C">
              <w:rPr>
                <w:rFonts w:ascii="Arial" w:hAnsi="Arial" w:cs="Arial"/>
                <w:sz w:val="20"/>
                <w:szCs w:val="20"/>
              </w:rPr>
              <w:t>The institution incurred irregular expenditure to the amount of R10.79 million.</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 xml:space="preserve">Procurement and contract management </w:t>
            </w:r>
          </w:p>
        </w:tc>
        <w:tc>
          <w:tcPr>
            <w:tcW w:w="0" w:type="auto"/>
          </w:tcPr>
          <w:p w:rsidR="00F8297A" w:rsidRPr="009E6B3C" w:rsidRDefault="00F8297A" w:rsidP="009E6B3C">
            <w:pPr>
              <w:pStyle w:val="ListParagraph"/>
              <w:numPr>
                <w:ilvl w:val="0"/>
                <w:numId w:val="32"/>
              </w:numPr>
              <w:rPr>
                <w:rFonts w:ascii="Arial" w:hAnsi="Arial" w:cs="Arial"/>
                <w:sz w:val="20"/>
                <w:szCs w:val="20"/>
              </w:rPr>
            </w:pPr>
            <w:r w:rsidRPr="009E6B3C">
              <w:rPr>
                <w:rFonts w:ascii="Arial" w:hAnsi="Arial" w:cs="Arial"/>
                <w:sz w:val="20"/>
                <w:szCs w:val="20"/>
              </w:rPr>
              <w:t>Some of the goods and services were procured without obtaining at least three written price quotations and some of the awarded contract prices were not market related. (REPEAT)</w:t>
            </w:r>
          </w:p>
          <w:p w:rsidR="00F8297A" w:rsidRPr="009E6B3C" w:rsidRDefault="00F8297A" w:rsidP="009E6B3C">
            <w:pPr>
              <w:pStyle w:val="ListParagraph"/>
              <w:numPr>
                <w:ilvl w:val="0"/>
                <w:numId w:val="32"/>
              </w:numPr>
              <w:rPr>
                <w:rFonts w:ascii="Arial" w:hAnsi="Arial" w:cs="Arial"/>
                <w:sz w:val="20"/>
                <w:szCs w:val="20"/>
              </w:rPr>
            </w:pPr>
            <w:r w:rsidRPr="009E6B3C">
              <w:rPr>
                <w:rFonts w:ascii="Arial" w:hAnsi="Arial" w:cs="Arial"/>
                <w:sz w:val="20"/>
                <w:szCs w:val="20"/>
              </w:rPr>
              <w:t>Some of the contracts were not awarded in an economical manner and or the prices of the goods were not reasonable (NEW).</w:t>
            </w:r>
          </w:p>
          <w:p w:rsidR="00F8297A" w:rsidRPr="009E6B3C" w:rsidRDefault="00F8297A" w:rsidP="009E6B3C">
            <w:pPr>
              <w:pStyle w:val="ListParagraph"/>
              <w:numPr>
                <w:ilvl w:val="0"/>
                <w:numId w:val="32"/>
              </w:numPr>
              <w:rPr>
                <w:rFonts w:ascii="Arial" w:hAnsi="Arial" w:cs="Arial"/>
                <w:sz w:val="20"/>
                <w:szCs w:val="20"/>
              </w:rPr>
            </w:pPr>
            <w:r w:rsidRPr="009E6B3C">
              <w:rPr>
                <w:rFonts w:ascii="Arial" w:hAnsi="Arial" w:cs="Arial"/>
                <w:sz w:val="20"/>
                <w:szCs w:val="20"/>
              </w:rPr>
              <w:t>Some of the contracts were awarded to bidders based on functionality criteria that were not stipulated in the original invitation for the bidding as required by the 2017 Preferential Procurement Regulations (NEW).</w:t>
            </w:r>
          </w:p>
          <w:p w:rsidR="00F8297A" w:rsidRPr="009E6B3C" w:rsidRDefault="00F8297A" w:rsidP="009E6B3C">
            <w:pPr>
              <w:pStyle w:val="ListParagraph"/>
              <w:numPr>
                <w:ilvl w:val="0"/>
                <w:numId w:val="32"/>
              </w:numPr>
              <w:rPr>
                <w:rFonts w:ascii="Arial" w:hAnsi="Arial" w:cs="Arial"/>
                <w:sz w:val="20"/>
                <w:szCs w:val="20"/>
              </w:rPr>
            </w:pPr>
            <w:r w:rsidRPr="009E6B3C">
              <w:rPr>
                <w:rFonts w:ascii="Arial" w:hAnsi="Arial" w:cs="Arial"/>
                <w:sz w:val="20"/>
                <w:szCs w:val="20"/>
              </w:rPr>
              <w:t>Some of the tenders which achieved the minimum qualifying score for functionality criteria were not evaluated further in accordance with the 2017 Preferential Procurement Regulation (NEW).</w:t>
            </w:r>
          </w:p>
          <w:p w:rsidR="00F8297A" w:rsidRPr="009E6B3C" w:rsidRDefault="00F8297A" w:rsidP="009E6B3C">
            <w:pPr>
              <w:pStyle w:val="ListParagraph"/>
              <w:numPr>
                <w:ilvl w:val="0"/>
                <w:numId w:val="32"/>
              </w:numPr>
              <w:rPr>
                <w:rFonts w:ascii="Arial" w:hAnsi="Arial" w:cs="Arial"/>
                <w:sz w:val="20"/>
                <w:szCs w:val="20"/>
              </w:rPr>
            </w:pPr>
            <w:r w:rsidRPr="009E6B3C">
              <w:rPr>
                <w:rFonts w:ascii="Arial" w:hAnsi="Arial" w:cs="Arial"/>
                <w:sz w:val="20"/>
                <w:szCs w:val="20"/>
              </w:rPr>
              <w:t>Some of the bid documentation/ invitation to tender for procurement of commodities designated for local content and production, did not stipulate the minimum threshold for production and content as required by the 2017 Preferential Procurement Regulation (NEW).</w:t>
            </w:r>
          </w:p>
          <w:p w:rsidR="00F8297A" w:rsidRPr="009E6B3C" w:rsidRDefault="00F8297A" w:rsidP="009E6B3C">
            <w:pPr>
              <w:pStyle w:val="ListParagraph"/>
              <w:numPr>
                <w:ilvl w:val="0"/>
                <w:numId w:val="32"/>
              </w:numPr>
              <w:rPr>
                <w:rFonts w:ascii="Arial" w:hAnsi="Arial" w:cs="Arial"/>
                <w:sz w:val="20"/>
                <w:szCs w:val="20"/>
              </w:rPr>
            </w:pPr>
            <w:r w:rsidRPr="009E6B3C">
              <w:rPr>
                <w:rFonts w:ascii="Arial" w:hAnsi="Arial" w:cs="Arial"/>
                <w:sz w:val="20"/>
                <w:szCs w:val="20"/>
              </w:rPr>
              <w:t>Payment of invoices within 30 days (new finding)</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Irregular expenditure</w:t>
            </w:r>
          </w:p>
          <w:p w:rsidR="00F8297A" w:rsidRPr="009E6B3C" w:rsidRDefault="00F8297A" w:rsidP="009E6B3C">
            <w:pPr>
              <w:rPr>
                <w:rFonts w:ascii="Arial" w:hAnsi="Arial" w:cs="Arial"/>
                <w:sz w:val="20"/>
                <w:szCs w:val="20"/>
              </w:rPr>
            </w:pPr>
            <w:r w:rsidRPr="009E6B3C">
              <w:rPr>
                <w:rFonts w:ascii="Arial" w:hAnsi="Arial" w:cs="Arial"/>
                <w:sz w:val="20"/>
                <w:szCs w:val="20"/>
              </w:rPr>
              <w:t>Non-adherence to policies and procedures</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Evaluation and adjudication criteria not applied consistently. R10.7 million (REPEAT).</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 xml:space="preserve">Payment of invoices within 30 days </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Payment were not made within 30 days or agreed period after receipt of an invoice (NEW).</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 xml:space="preserve">Consequence management </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The AG was unable to obtain sufficient appropriate audit evidence that disciplinary steps were taken against officials who had incurred irregular expenditure. This was because investigations into irregular expenditure were not performed. (REPEAT)</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Asset management</w:t>
            </w:r>
          </w:p>
        </w:tc>
        <w:tc>
          <w:tcPr>
            <w:tcW w:w="0" w:type="auto"/>
          </w:tcPr>
          <w:p w:rsidR="00F8297A" w:rsidRPr="009E6B3C" w:rsidRDefault="00323C1D" w:rsidP="009E6B3C">
            <w:pPr>
              <w:rPr>
                <w:rFonts w:ascii="Arial" w:hAnsi="Arial" w:cs="Arial"/>
                <w:sz w:val="20"/>
                <w:szCs w:val="20"/>
              </w:rPr>
            </w:pPr>
            <w:r w:rsidRPr="009E6B3C">
              <w:rPr>
                <w:rFonts w:ascii="Arial" w:hAnsi="Arial" w:cs="Arial"/>
                <w:sz w:val="20"/>
                <w:szCs w:val="20"/>
              </w:rPr>
              <w:t>T</w:t>
            </w:r>
            <w:r w:rsidR="00F8297A" w:rsidRPr="009E6B3C">
              <w:rPr>
                <w:rFonts w:ascii="Arial" w:hAnsi="Arial" w:cs="Arial"/>
                <w:sz w:val="20"/>
                <w:szCs w:val="20"/>
              </w:rPr>
              <w:t>he institution did not determine if any state institution involved in education and training required computer equipment before disposing equipment.(NEW)</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Internal control deficiencies</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The Commission did not have sufficient monitoring controls to ensure the proper implementation of the overall process of planning, implementation and reporting on financial and performance information. (REPEAT)</w:t>
            </w:r>
          </w:p>
          <w:p w:rsidR="00F8297A" w:rsidRPr="009E6B3C" w:rsidRDefault="00F8297A" w:rsidP="009E6B3C">
            <w:pPr>
              <w:rPr>
                <w:rFonts w:ascii="Arial" w:hAnsi="Arial" w:cs="Arial"/>
                <w:sz w:val="20"/>
                <w:szCs w:val="20"/>
              </w:rPr>
            </w:pPr>
            <w:r w:rsidRPr="009E6B3C">
              <w:rPr>
                <w:rFonts w:ascii="Arial" w:hAnsi="Arial" w:cs="Arial"/>
                <w:sz w:val="20"/>
                <w:szCs w:val="20"/>
              </w:rPr>
              <w:t>Although an action plan to address internal and external audit findings, is in place the appropriate level of management did not monitor adherence to the audit plan in a timely manner. There are findings long dated that remain open and not addressed (REPEAT).</w:t>
            </w:r>
          </w:p>
          <w:p w:rsidR="00F8297A" w:rsidRPr="009E6B3C" w:rsidRDefault="00F8297A" w:rsidP="009E6B3C">
            <w:pPr>
              <w:rPr>
                <w:rFonts w:ascii="Arial" w:hAnsi="Arial" w:cs="Arial"/>
                <w:sz w:val="20"/>
                <w:szCs w:val="20"/>
              </w:rPr>
            </w:pPr>
            <w:r w:rsidRPr="009E6B3C">
              <w:rPr>
                <w:rFonts w:ascii="Arial" w:hAnsi="Arial" w:cs="Arial"/>
                <w:sz w:val="20"/>
                <w:szCs w:val="20"/>
              </w:rPr>
              <w:t>The overall senior manager vacancy rate regressed from 13% to 17% in 2021/22 (NEW).</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Investigations</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The Commission conducted investigations into (i) payment in to incorrect supplier bank account; and (ii) theft of laptops. However, both investigations had limited scope and depth necessitating the services of an external service provider (approved by the Acting CEO). However, a service provider has not yet been appointed to determine any willful intent in the transgression or neglect. (NEW).</w:t>
            </w:r>
          </w:p>
        </w:tc>
      </w:tr>
      <w:tr w:rsidR="00F8297A" w:rsidRPr="009E6B3C" w:rsidTr="00905DF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 xml:space="preserve">Performance information </w:t>
            </w:r>
          </w:p>
          <w:p w:rsidR="00F8297A" w:rsidRPr="009E6B3C" w:rsidRDefault="00F8297A" w:rsidP="009E6B3C">
            <w:pPr>
              <w:rPr>
                <w:rFonts w:ascii="Arial" w:hAnsi="Arial" w:cs="Arial"/>
                <w:sz w:val="20"/>
                <w:szCs w:val="20"/>
              </w:rPr>
            </w:pPr>
            <w:r w:rsidRPr="009E6B3C">
              <w:rPr>
                <w:rFonts w:ascii="Arial" w:hAnsi="Arial" w:cs="Arial"/>
                <w:sz w:val="20"/>
                <w:szCs w:val="20"/>
              </w:rPr>
              <w:t>(concerning reported information for the Promotion of Human Rights programme)</w:t>
            </w:r>
          </w:p>
        </w:tc>
        <w:tc>
          <w:tcPr>
            <w:tcW w:w="0" w:type="auto"/>
          </w:tcPr>
          <w:p w:rsidR="00F8297A" w:rsidRPr="009E6B3C" w:rsidRDefault="00F8297A" w:rsidP="009E6B3C">
            <w:pPr>
              <w:pStyle w:val="ListParagraph"/>
              <w:numPr>
                <w:ilvl w:val="0"/>
                <w:numId w:val="31"/>
              </w:numPr>
              <w:rPr>
                <w:rFonts w:ascii="Arial" w:hAnsi="Arial" w:cs="Arial"/>
                <w:sz w:val="20"/>
                <w:szCs w:val="20"/>
              </w:rPr>
            </w:pPr>
            <w:r w:rsidRPr="009E6B3C">
              <w:rPr>
                <w:rFonts w:ascii="Arial" w:hAnsi="Arial" w:cs="Arial"/>
                <w:sz w:val="20"/>
                <w:szCs w:val="20"/>
              </w:rPr>
              <w:t>The credibility of the reported performance information questionable and, therefore, the reported targets achievement might not be a true reflection of the actual performance.</w:t>
            </w:r>
          </w:p>
          <w:p w:rsidR="00F8297A" w:rsidRPr="009E6B3C" w:rsidRDefault="00F8297A" w:rsidP="009E6B3C">
            <w:pPr>
              <w:pStyle w:val="ListParagraph"/>
              <w:numPr>
                <w:ilvl w:val="0"/>
                <w:numId w:val="31"/>
              </w:numPr>
              <w:rPr>
                <w:rFonts w:ascii="Arial" w:hAnsi="Arial" w:cs="Arial"/>
                <w:sz w:val="20"/>
                <w:szCs w:val="20"/>
              </w:rPr>
            </w:pPr>
            <w:r w:rsidRPr="009E6B3C">
              <w:rPr>
                <w:rFonts w:ascii="Arial" w:hAnsi="Arial" w:cs="Arial"/>
                <w:sz w:val="20"/>
                <w:szCs w:val="20"/>
              </w:rPr>
              <w:t>Furthermore, in the absence of supporting evidence, the service delivery to the citizens is unknown</w:t>
            </w:r>
          </w:p>
        </w:tc>
      </w:tr>
    </w:tbl>
    <w:p w:rsidR="00F8297A" w:rsidRPr="009E6B3C" w:rsidRDefault="00F8297A" w:rsidP="009E6B3C">
      <w:pPr>
        <w:pStyle w:val="ListParagraph"/>
        <w:autoSpaceDE w:val="0"/>
        <w:autoSpaceDN w:val="0"/>
        <w:adjustRightInd w:val="0"/>
        <w:ind w:left="851"/>
        <w:rPr>
          <w:rFonts w:ascii="Arial" w:hAnsi="Arial" w:cs="Arial"/>
          <w:i/>
          <w:sz w:val="20"/>
          <w:szCs w:val="20"/>
        </w:rPr>
      </w:pPr>
    </w:p>
    <w:p w:rsidR="00F8297A" w:rsidRPr="009E6B3C" w:rsidRDefault="00F8297A" w:rsidP="009E6B3C">
      <w:pPr>
        <w:pStyle w:val="ListParagraph"/>
        <w:numPr>
          <w:ilvl w:val="2"/>
          <w:numId w:val="63"/>
        </w:numPr>
        <w:autoSpaceDE w:val="0"/>
        <w:autoSpaceDN w:val="0"/>
        <w:adjustRightInd w:val="0"/>
        <w:ind w:left="851" w:hanging="851"/>
        <w:rPr>
          <w:rFonts w:ascii="Arial" w:hAnsi="Arial" w:cs="Arial"/>
          <w:sz w:val="20"/>
          <w:szCs w:val="20"/>
        </w:rPr>
      </w:pPr>
      <w:r w:rsidRPr="009E6B3C">
        <w:rPr>
          <w:rFonts w:ascii="Arial" w:hAnsi="Arial" w:cs="Arial"/>
          <w:sz w:val="20"/>
          <w:szCs w:val="20"/>
        </w:rPr>
        <w:t xml:space="preserve">The </w:t>
      </w:r>
      <w:r w:rsidR="00D725AE" w:rsidRPr="009E6B3C">
        <w:rPr>
          <w:rFonts w:ascii="Arial" w:hAnsi="Arial" w:cs="Arial"/>
          <w:sz w:val="20"/>
          <w:szCs w:val="20"/>
        </w:rPr>
        <w:t>A</w:t>
      </w:r>
      <w:r w:rsidR="00DD0272" w:rsidRPr="009E6B3C">
        <w:rPr>
          <w:rFonts w:ascii="Arial" w:hAnsi="Arial" w:cs="Arial"/>
          <w:sz w:val="20"/>
          <w:szCs w:val="20"/>
        </w:rPr>
        <w:t xml:space="preserve">uditor-General </w:t>
      </w:r>
      <w:r w:rsidRPr="009E6B3C">
        <w:rPr>
          <w:rFonts w:ascii="Arial" w:hAnsi="Arial" w:cs="Arial"/>
          <w:sz w:val="20"/>
          <w:szCs w:val="20"/>
        </w:rPr>
        <w:t>identified the following as being root causes for the findings: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Slow response in filling critical vacancies, especially in the Finance Unit, which led to a lack of segregation of duties. In particular, the CFO position is vacant.</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Inadequate monitoring of the action plan to address assurance provider findings especially on compliance with SCM legislation.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instability in the CFO position during the year led to an increase in non-compliance areas in SCM and expenditure management.</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Capacity constraints in the strategic support and governance unit</w:t>
      </w:r>
      <w:r w:rsidR="007B6D87" w:rsidRPr="009E6B3C">
        <w:rPr>
          <w:rFonts w:ascii="Arial" w:hAnsi="Arial" w:cs="Arial"/>
          <w:sz w:val="20"/>
          <w:szCs w:val="20"/>
        </w:rPr>
        <w:t>.</w:t>
      </w:r>
    </w:p>
    <w:p w:rsidR="00F8297A" w:rsidRPr="009E6B3C" w:rsidRDefault="00F8297A" w:rsidP="009E6B3C">
      <w:pPr>
        <w:pStyle w:val="ListParagraph"/>
        <w:ind w:left="360"/>
        <w:rPr>
          <w:rFonts w:ascii="Arial" w:hAnsi="Arial" w:cs="Arial"/>
          <w:sz w:val="20"/>
          <w:szCs w:val="20"/>
        </w:rPr>
      </w:pPr>
    </w:p>
    <w:p w:rsidR="00F8297A" w:rsidRPr="009E6B3C" w:rsidRDefault="00F8297A" w:rsidP="009E6B3C">
      <w:pPr>
        <w:pStyle w:val="ListParagraph"/>
        <w:numPr>
          <w:ilvl w:val="2"/>
          <w:numId w:val="63"/>
        </w:numPr>
        <w:autoSpaceDE w:val="0"/>
        <w:autoSpaceDN w:val="0"/>
        <w:adjustRightInd w:val="0"/>
        <w:ind w:left="851" w:hanging="851"/>
        <w:rPr>
          <w:rFonts w:ascii="Arial" w:hAnsi="Arial" w:cs="Arial"/>
          <w:i/>
          <w:sz w:val="20"/>
          <w:szCs w:val="20"/>
        </w:rPr>
      </w:pPr>
      <w:r w:rsidRPr="009E6B3C">
        <w:rPr>
          <w:rFonts w:ascii="Arial" w:hAnsi="Arial" w:cs="Arial"/>
          <w:i/>
          <w:sz w:val="20"/>
          <w:szCs w:val="20"/>
        </w:rPr>
        <w:t xml:space="preserve">Audit Committee: </w:t>
      </w:r>
      <w:r w:rsidRPr="009E6B3C">
        <w:rPr>
          <w:rFonts w:ascii="Arial" w:hAnsi="Arial" w:cs="Arial"/>
          <w:sz w:val="20"/>
          <w:szCs w:val="20"/>
        </w:rPr>
        <w:t xml:space="preserve">The Audit Committee expressed concern, as was the case in 2020/21, about the low implementation of action plans. The </w:t>
      </w:r>
      <w:r w:rsidR="00DD0272" w:rsidRPr="009E6B3C">
        <w:rPr>
          <w:rFonts w:ascii="Arial" w:hAnsi="Arial" w:cs="Arial"/>
          <w:sz w:val="20"/>
          <w:szCs w:val="20"/>
        </w:rPr>
        <w:t xml:space="preserve">Audit </w:t>
      </w:r>
      <w:r w:rsidRPr="009E6B3C">
        <w:rPr>
          <w:rFonts w:ascii="Arial" w:hAnsi="Arial" w:cs="Arial"/>
          <w:sz w:val="20"/>
          <w:szCs w:val="20"/>
        </w:rPr>
        <w:t>Committee also reported as follows: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Compliance. Areas of non-compliance were identified within Supply Chain Management which requires improvement in monitoring controls.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Internal Controls. The internal auditors and the Auditor-General identified significant non-compliance with policies and procedures.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Risk management. The Commission’s approach to risk management is partially adequate and effective. There is a need to improve the system of risk management through annual risk assessments and implementation of the Risk Management Strategy.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Performance management. The performance management objectives received an adverse opinion from the external auditors in the prior year due to lack of adequate performance evidence. Internal audit embarked on an exercise of performance evidence gathering using a Microsoft platform and all business units were trained in its use.</w:t>
      </w:r>
    </w:p>
    <w:p w:rsidR="00F8297A" w:rsidRPr="009E6B3C" w:rsidRDefault="00F8297A" w:rsidP="009E6B3C">
      <w:pPr>
        <w:pStyle w:val="ListParagraph"/>
        <w:ind w:left="1276"/>
        <w:rPr>
          <w:rFonts w:ascii="Arial" w:hAnsi="Arial" w:cs="Arial"/>
          <w:sz w:val="20"/>
          <w:szCs w:val="20"/>
        </w:rPr>
      </w:pPr>
    </w:p>
    <w:p w:rsidR="00F8297A" w:rsidRPr="009E6B3C" w:rsidRDefault="00F8297A" w:rsidP="009E6B3C">
      <w:pPr>
        <w:pStyle w:val="ListParagraph"/>
        <w:numPr>
          <w:ilvl w:val="2"/>
          <w:numId w:val="63"/>
        </w:numPr>
        <w:autoSpaceDE w:val="0"/>
        <w:autoSpaceDN w:val="0"/>
        <w:adjustRightInd w:val="0"/>
        <w:ind w:left="851" w:hanging="851"/>
        <w:rPr>
          <w:rFonts w:ascii="Arial" w:hAnsi="Arial" w:cs="Arial"/>
          <w:sz w:val="20"/>
          <w:szCs w:val="20"/>
        </w:rPr>
      </w:pPr>
      <w:r w:rsidRPr="009E6B3C">
        <w:rPr>
          <w:rFonts w:ascii="Arial" w:hAnsi="Arial" w:cs="Arial"/>
          <w:sz w:val="20"/>
          <w:szCs w:val="20"/>
        </w:rPr>
        <w:t>The Commission reports that it has taken the following corrective actions to address the audit findings: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The Executive Authority has engaged with the Auditor-General for strategic advice.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Information systems are being digitized and automated for improved document management and to promote efficiency and accessibility of information.</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The performance indicators have been revised to meet SMART criteria and planning information has been subjected to expert review.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services of experts have been procured to enhance internal auditing of performance information.</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Internal quarterly performance information workshops have been convened with all staff</w:t>
      </w:r>
      <w:r w:rsidRPr="009E6B3C">
        <w:rPr>
          <w:rFonts w:ascii="Arial" w:hAnsi="Arial" w:cs="Arial"/>
          <w:sz w:val="20"/>
          <w:szCs w:val="20"/>
          <w:lang w:val="en-US"/>
        </w:rPr>
        <w:t xml:space="preserve">. </w:t>
      </w:r>
    </w:p>
    <w:p w:rsidR="00F8297A" w:rsidRPr="009E6B3C" w:rsidRDefault="00F8297A" w:rsidP="009E6B3C">
      <w:pPr>
        <w:numPr>
          <w:ilvl w:val="0"/>
          <w:numId w:val="33"/>
        </w:numPr>
        <w:autoSpaceDE w:val="0"/>
        <w:autoSpaceDN w:val="0"/>
        <w:adjustRightInd w:val="0"/>
        <w:rPr>
          <w:rFonts w:ascii="Arial" w:hAnsi="Arial" w:cs="Arial"/>
          <w:sz w:val="20"/>
          <w:szCs w:val="20"/>
        </w:rPr>
      </w:pPr>
      <w:r w:rsidRPr="009E6B3C">
        <w:rPr>
          <w:rFonts w:ascii="Arial" w:hAnsi="Arial" w:cs="Arial"/>
          <w:sz w:val="20"/>
          <w:szCs w:val="20"/>
        </w:rPr>
        <w:t>A cross function Task Team has been established to assess, advise and act on the resolution</w:t>
      </w:r>
      <w:r w:rsidRPr="009E6B3C">
        <w:rPr>
          <w:rFonts w:ascii="Arial" w:hAnsi="Arial" w:cs="Arial"/>
          <w:sz w:val="20"/>
          <w:szCs w:val="20"/>
          <w:lang w:val="en-US"/>
        </w:rPr>
        <w:t xml:space="preserve"> of audit findings.</w:t>
      </w:r>
    </w:p>
    <w:p w:rsidR="00F8297A" w:rsidRPr="009E6B3C" w:rsidRDefault="00F8297A" w:rsidP="009E6B3C">
      <w:pPr>
        <w:autoSpaceDE w:val="0"/>
        <w:autoSpaceDN w:val="0"/>
        <w:adjustRightInd w:val="0"/>
        <w:rPr>
          <w:rFonts w:ascii="Arial" w:hAnsi="Arial" w:cs="Arial"/>
          <w:i/>
          <w:sz w:val="20"/>
          <w:szCs w:val="20"/>
        </w:rPr>
      </w:pPr>
    </w:p>
    <w:p w:rsidR="00F8297A" w:rsidRPr="009E6B3C" w:rsidRDefault="00F8297A" w:rsidP="009E6B3C">
      <w:pPr>
        <w:numPr>
          <w:ilvl w:val="1"/>
          <w:numId w:val="1"/>
        </w:numPr>
        <w:autoSpaceDE w:val="0"/>
        <w:autoSpaceDN w:val="0"/>
        <w:adjustRightInd w:val="0"/>
        <w:ind w:left="851" w:hanging="851"/>
        <w:rPr>
          <w:rFonts w:ascii="Arial" w:hAnsi="Arial" w:cs="Arial"/>
          <w:sz w:val="20"/>
          <w:szCs w:val="20"/>
        </w:rPr>
      </w:pPr>
      <w:r w:rsidRPr="009E6B3C">
        <w:rPr>
          <w:rFonts w:ascii="Arial" w:hAnsi="Arial" w:cs="Arial"/>
          <w:b/>
          <w:sz w:val="20"/>
          <w:szCs w:val="20"/>
        </w:rPr>
        <w:t>Financial performance</w:t>
      </w:r>
      <w:r w:rsidR="002508B7" w:rsidRPr="009E6B3C">
        <w:rPr>
          <w:rFonts w:ascii="Arial" w:hAnsi="Arial" w:cs="Arial"/>
          <w:b/>
          <w:sz w:val="20"/>
          <w:szCs w:val="20"/>
        </w:rPr>
        <w:t xml:space="preserve"> 2021/22</w:t>
      </w:r>
    </w:p>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2"/>
          <w:numId w:val="1"/>
        </w:numPr>
        <w:ind w:left="851" w:hanging="851"/>
        <w:rPr>
          <w:rFonts w:ascii="Arial" w:eastAsiaTheme="minorHAnsi" w:hAnsi="Arial" w:cs="Arial"/>
          <w:color w:val="000000"/>
          <w:sz w:val="20"/>
          <w:szCs w:val="20"/>
          <w:lang w:eastAsia="en-US"/>
        </w:rPr>
      </w:pPr>
      <w:r w:rsidRPr="009E6B3C">
        <w:rPr>
          <w:rFonts w:ascii="Arial" w:hAnsi="Arial" w:cs="Arial"/>
          <w:sz w:val="20"/>
          <w:szCs w:val="20"/>
        </w:rPr>
        <w:t xml:space="preserve">The Commission was allocated R197 million in 2021/22 and spent R196 million. Notably, the baseline was adjusted down by –R16.5 million in 2021/22; –R20.8 million in 2022/23; and –R10.4 million in 2023/24). </w:t>
      </w:r>
    </w:p>
    <w:p w:rsidR="00F8297A" w:rsidRPr="009E6B3C" w:rsidRDefault="00F8297A" w:rsidP="009E6B3C">
      <w:pPr>
        <w:pStyle w:val="ListParagraph"/>
        <w:rPr>
          <w:rFonts w:ascii="Arial" w:hAnsi="Arial" w:cs="Arial"/>
          <w:sz w:val="20"/>
          <w:szCs w:val="20"/>
        </w:rPr>
      </w:pPr>
    </w:p>
    <w:p w:rsidR="00F8297A" w:rsidRPr="009E6B3C" w:rsidRDefault="00F8297A" w:rsidP="009E6B3C">
      <w:pPr>
        <w:pStyle w:val="ListParagraph"/>
        <w:numPr>
          <w:ilvl w:val="2"/>
          <w:numId w:val="1"/>
        </w:numPr>
        <w:ind w:left="851" w:hanging="851"/>
        <w:rPr>
          <w:rFonts w:ascii="Arial" w:eastAsiaTheme="minorHAnsi" w:hAnsi="Arial" w:cs="Arial"/>
          <w:color w:val="000000"/>
          <w:sz w:val="20"/>
          <w:szCs w:val="20"/>
          <w:lang w:eastAsia="en-US"/>
        </w:rPr>
      </w:pPr>
      <w:r w:rsidRPr="009E6B3C">
        <w:rPr>
          <w:rFonts w:ascii="Arial" w:hAnsi="Arial" w:cs="Arial"/>
          <w:sz w:val="20"/>
          <w:szCs w:val="20"/>
        </w:rPr>
        <w:t>The most significant cost driver remains the compensation of employees’ budget at R140.14 million, compared with R128.54 million in 2020/21. The higher personnel costs are as a result of (i) monitors that were engaged on a contract basis but budgeted for in the provincial office budgets and (ii) extra assistance that was engaged for special projects such as the July 2021 Unrest hearing.</w:t>
      </w:r>
    </w:p>
    <w:p w:rsidR="00F8297A" w:rsidRPr="009E6B3C" w:rsidRDefault="00F8297A" w:rsidP="009E6B3C">
      <w:pPr>
        <w:pStyle w:val="ListParagraph"/>
        <w:rPr>
          <w:rFonts w:ascii="Arial" w:eastAsiaTheme="minorHAnsi" w:hAnsi="Arial" w:cs="Arial"/>
          <w:color w:val="000000"/>
          <w:sz w:val="20"/>
          <w:szCs w:val="20"/>
          <w:lang w:eastAsia="en-US"/>
        </w:rPr>
      </w:pPr>
    </w:p>
    <w:p w:rsidR="00F8297A" w:rsidRPr="009E6B3C" w:rsidRDefault="00F8297A" w:rsidP="009E6B3C">
      <w:pPr>
        <w:pStyle w:val="ListParagraph"/>
        <w:numPr>
          <w:ilvl w:val="2"/>
          <w:numId w:val="1"/>
        </w:numPr>
        <w:ind w:left="851" w:hanging="851"/>
        <w:rPr>
          <w:rFonts w:ascii="Arial" w:hAnsi="Arial" w:cs="Arial"/>
          <w:bCs/>
          <w:sz w:val="20"/>
          <w:szCs w:val="20"/>
        </w:rPr>
      </w:pPr>
      <w:r w:rsidRPr="009E6B3C">
        <w:rPr>
          <w:rFonts w:ascii="Arial" w:hAnsi="Arial" w:cs="Arial"/>
          <w:sz w:val="20"/>
          <w:szCs w:val="20"/>
        </w:rPr>
        <w:t>There was a significant increase in irregular expenditure in 2021/22 to the value of R10.79 (compared to R2.39 million in 2020/21). This was incurred due to non-adherence to policies and procedures. There was no fruitless and wasteful expenditure incurred (compared with R2.4 million in 2020/21).</w:t>
      </w:r>
    </w:p>
    <w:p w:rsidR="00F8297A" w:rsidRPr="009E6B3C" w:rsidRDefault="00F8297A" w:rsidP="009E6B3C">
      <w:pPr>
        <w:pStyle w:val="ListParagraph"/>
        <w:ind w:left="851"/>
        <w:rPr>
          <w:rFonts w:ascii="Arial" w:hAnsi="Arial" w:cs="Arial"/>
          <w:bCs/>
          <w:sz w:val="20"/>
          <w:szCs w:val="20"/>
        </w:rPr>
      </w:pPr>
    </w:p>
    <w:p w:rsidR="00F8297A" w:rsidRPr="009E6B3C" w:rsidRDefault="00F8297A" w:rsidP="009E6B3C">
      <w:pPr>
        <w:pStyle w:val="ListParagraph"/>
        <w:numPr>
          <w:ilvl w:val="2"/>
          <w:numId w:val="1"/>
        </w:numPr>
        <w:ind w:left="851" w:hanging="851"/>
        <w:rPr>
          <w:rFonts w:ascii="Arial" w:hAnsi="Arial" w:cs="Arial"/>
          <w:bCs/>
          <w:sz w:val="20"/>
          <w:szCs w:val="20"/>
        </w:rPr>
      </w:pPr>
      <w:r w:rsidRPr="009E6B3C">
        <w:rPr>
          <w:rFonts w:ascii="Arial" w:hAnsi="Arial" w:cs="Arial"/>
          <w:b/>
          <w:bCs/>
          <w:i/>
          <w:sz w:val="20"/>
          <w:szCs w:val="20"/>
        </w:rPr>
        <w:t>Allocation 2022/23</w:t>
      </w:r>
      <w:r w:rsidRPr="009E6B3C">
        <w:rPr>
          <w:rFonts w:ascii="Arial" w:hAnsi="Arial" w:cs="Arial"/>
          <w:bCs/>
          <w:sz w:val="20"/>
          <w:szCs w:val="20"/>
        </w:rPr>
        <w:t>: The Commission is allocated R209.5 million for 2022/23 but reports a surplus of R11 million, rolled over from 2021/22, which brings the available budget for 2022/23 to R220.5 million.</w:t>
      </w:r>
    </w:p>
    <w:p w:rsidR="00F8297A" w:rsidRPr="009E6B3C" w:rsidRDefault="00F8297A" w:rsidP="009E6B3C">
      <w:pPr>
        <w:autoSpaceDE w:val="0"/>
        <w:autoSpaceDN w:val="0"/>
        <w:adjustRightInd w:val="0"/>
        <w:ind w:left="851"/>
        <w:rPr>
          <w:rFonts w:ascii="Arial" w:hAnsi="Arial" w:cs="Arial"/>
          <w:bCs/>
          <w:sz w:val="20"/>
          <w:szCs w:val="20"/>
        </w:rPr>
      </w:pPr>
    </w:p>
    <w:p w:rsidR="00F8297A" w:rsidRPr="009E6B3C" w:rsidRDefault="00B33CDE" w:rsidP="009E6B3C">
      <w:pPr>
        <w:autoSpaceDE w:val="0"/>
        <w:autoSpaceDN w:val="0"/>
        <w:adjustRightInd w:val="0"/>
        <w:rPr>
          <w:rFonts w:ascii="Arial" w:hAnsi="Arial" w:cs="Arial"/>
          <w:b/>
          <w:i/>
          <w:sz w:val="20"/>
          <w:szCs w:val="20"/>
        </w:rPr>
      </w:pPr>
      <w:r w:rsidRPr="009E6B3C">
        <w:rPr>
          <w:rFonts w:ascii="Arial" w:hAnsi="Arial" w:cs="Arial"/>
          <w:b/>
          <w:i/>
          <w:sz w:val="20"/>
          <w:szCs w:val="20"/>
        </w:rPr>
        <w:t xml:space="preserve">Table 20: </w:t>
      </w:r>
      <w:r w:rsidR="00F8297A" w:rsidRPr="009E6B3C">
        <w:rPr>
          <w:rFonts w:ascii="Arial" w:hAnsi="Arial" w:cs="Arial"/>
          <w:b/>
          <w:i/>
          <w:sz w:val="20"/>
          <w:szCs w:val="20"/>
        </w:rPr>
        <w:t>SAHRC – Budget 2022 MTEF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1977"/>
        <w:gridCol w:w="1637"/>
        <w:gridCol w:w="1637"/>
        <w:gridCol w:w="1633"/>
      </w:tblGrid>
      <w:tr w:rsidR="00F8297A" w:rsidRPr="009E6B3C" w:rsidTr="00905DF7">
        <w:trPr>
          <w:tblHeader/>
        </w:trPr>
        <w:tc>
          <w:tcPr>
            <w:tcW w:w="1425" w:type="pct"/>
            <w:shd w:val="clear" w:color="auto" w:fill="D9D9D9" w:themeFill="background1" w:themeFillShade="D9"/>
          </w:tcPr>
          <w:p w:rsidR="00F8297A" w:rsidRPr="009E6B3C" w:rsidRDefault="00F8297A" w:rsidP="009E6B3C">
            <w:pPr>
              <w:autoSpaceDE w:val="0"/>
              <w:autoSpaceDN w:val="0"/>
              <w:adjustRightInd w:val="0"/>
              <w:rPr>
                <w:rFonts w:ascii="Arial" w:hAnsi="Arial" w:cs="Arial"/>
                <w:b/>
                <w:caps/>
                <w:color w:val="000000" w:themeColor="text1"/>
                <w:sz w:val="20"/>
                <w:szCs w:val="20"/>
                <w:lang w:eastAsia="en-US"/>
              </w:rPr>
            </w:pPr>
            <w:r w:rsidRPr="009E6B3C">
              <w:rPr>
                <w:rFonts w:ascii="Arial" w:hAnsi="Arial" w:cs="Arial"/>
                <w:b/>
                <w:caps/>
                <w:color w:val="000000" w:themeColor="text1"/>
                <w:sz w:val="20"/>
                <w:szCs w:val="20"/>
                <w:lang w:eastAsia="en-US"/>
              </w:rPr>
              <w:t>Programme</w:t>
            </w:r>
          </w:p>
          <w:p w:rsidR="00F8297A" w:rsidRPr="009E6B3C" w:rsidRDefault="00F8297A" w:rsidP="009E6B3C">
            <w:pPr>
              <w:autoSpaceDE w:val="0"/>
              <w:autoSpaceDN w:val="0"/>
              <w:adjustRightInd w:val="0"/>
              <w:rPr>
                <w:rFonts w:ascii="Arial" w:hAnsi="Arial" w:cs="Arial"/>
                <w:b/>
                <w:color w:val="000000" w:themeColor="text1"/>
                <w:sz w:val="20"/>
                <w:szCs w:val="20"/>
                <w:lang w:eastAsia="en-US"/>
              </w:rPr>
            </w:pPr>
            <w:r w:rsidRPr="009E6B3C">
              <w:rPr>
                <w:rFonts w:ascii="Arial" w:hAnsi="Arial" w:cs="Arial"/>
                <w:b/>
                <w:color w:val="000000" w:themeColor="text1"/>
                <w:sz w:val="20"/>
                <w:szCs w:val="20"/>
                <w:lang w:eastAsia="en-US"/>
              </w:rPr>
              <w:t>(R’million)</w:t>
            </w:r>
          </w:p>
        </w:tc>
        <w:tc>
          <w:tcPr>
            <w:tcW w:w="1027" w:type="pct"/>
            <w:shd w:val="clear" w:color="auto" w:fill="D9D9D9" w:themeFill="background1" w:themeFillShade="D9"/>
          </w:tcPr>
          <w:p w:rsidR="00F8297A" w:rsidRPr="009E6B3C" w:rsidRDefault="00F8297A" w:rsidP="009E6B3C">
            <w:pPr>
              <w:autoSpaceDE w:val="0"/>
              <w:autoSpaceDN w:val="0"/>
              <w:adjustRightInd w:val="0"/>
              <w:rPr>
                <w:rFonts w:ascii="Arial" w:hAnsi="Arial" w:cs="Arial"/>
                <w:b/>
                <w:caps/>
                <w:color w:val="000000" w:themeColor="text1"/>
                <w:sz w:val="20"/>
                <w:szCs w:val="20"/>
                <w:lang w:eastAsia="en-US"/>
              </w:rPr>
            </w:pPr>
            <w:r w:rsidRPr="009E6B3C">
              <w:rPr>
                <w:rFonts w:ascii="Arial" w:hAnsi="Arial" w:cs="Arial"/>
                <w:b/>
                <w:caps/>
                <w:color w:val="000000" w:themeColor="text1"/>
                <w:sz w:val="20"/>
                <w:szCs w:val="20"/>
                <w:lang w:eastAsia="en-US"/>
              </w:rPr>
              <w:t>2021/22</w:t>
            </w:r>
          </w:p>
          <w:p w:rsidR="00F8297A" w:rsidRPr="009E6B3C" w:rsidRDefault="00F8297A" w:rsidP="009E6B3C">
            <w:pPr>
              <w:autoSpaceDE w:val="0"/>
              <w:autoSpaceDN w:val="0"/>
              <w:adjustRightInd w:val="0"/>
              <w:rPr>
                <w:rFonts w:ascii="Arial" w:hAnsi="Arial" w:cs="Arial"/>
                <w:b/>
                <w:caps/>
                <w:color w:val="000000" w:themeColor="text1"/>
                <w:sz w:val="20"/>
                <w:szCs w:val="20"/>
                <w:lang w:eastAsia="en-US"/>
              </w:rPr>
            </w:pPr>
            <w:r w:rsidRPr="009E6B3C">
              <w:rPr>
                <w:rFonts w:ascii="Arial" w:hAnsi="Arial" w:cs="Arial"/>
                <w:b/>
                <w:caps/>
                <w:color w:val="000000" w:themeColor="text1"/>
                <w:sz w:val="20"/>
                <w:szCs w:val="20"/>
                <w:lang w:eastAsia="en-US"/>
              </w:rPr>
              <w:t>Revised</w:t>
            </w:r>
          </w:p>
        </w:tc>
        <w:tc>
          <w:tcPr>
            <w:tcW w:w="850" w:type="pct"/>
            <w:shd w:val="clear" w:color="auto" w:fill="D9D9D9" w:themeFill="background1" w:themeFillShade="D9"/>
          </w:tcPr>
          <w:p w:rsidR="00F8297A" w:rsidRPr="009E6B3C" w:rsidRDefault="00F8297A" w:rsidP="009E6B3C">
            <w:pPr>
              <w:autoSpaceDE w:val="0"/>
              <w:autoSpaceDN w:val="0"/>
              <w:adjustRightInd w:val="0"/>
              <w:rPr>
                <w:rFonts w:ascii="Arial" w:hAnsi="Arial" w:cs="Arial"/>
                <w:b/>
                <w:caps/>
                <w:color w:val="000000" w:themeColor="text1"/>
                <w:sz w:val="20"/>
                <w:szCs w:val="20"/>
                <w:lang w:eastAsia="en-US"/>
              </w:rPr>
            </w:pPr>
            <w:r w:rsidRPr="009E6B3C">
              <w:rPr>
                <w:rFonts w:ascii="Arial" w:hAnsi="Arial" w:cs="Arial"/>
                <w:b/>
                <w:caps/>
                <w:color w:val="000000" w:themeColor="text1"/>
                <w:sz w:val="20"/>
                <w:szCs w:val="20"/>
                <w:lang w:eastAsia="en-US"/>
              </w:rPr>
              <w:t>2022/23</w:t>
            </w:r>
          </w:p>
        </w:tc>
        <w:tc>
          <w:tcPr>
            <w:tcW w:w="850" w:type="pct"/>
            <w:shd w:val="clear" w:color="auto" w:fill="D9D9D9" w:themeFill="background1" w:themeFillShade="D9"/>
          </w:tcPr>
          <w:p w:rsidR="00F8297A" w:rsidRPr="009E6B3C" w:rsidRDefault="00F8297A" w:rsidP="009E6B3C">
            <w:pPr>
              <w:autoSpaceDE w:val="0"/>
              <w:autoSpaceDN w:val="0"/>
              <w:adjustRightInd w:val="0"/>
              <w:rPr>
                <w:rFonts w:ascii="Arial" w:hAnsi="Arial" w:cs="Arial"/>
                <w:b/>
                <w:caps/>
                <w:color w:val="000000" w:themeColor="text1"/>
                <w:sz w:val="20"/>
                <w:szCs w:val="20"/>
                <w:lang w:eastAsia="en-US"/>
              </w:rPr>
            </w:pPr>
            <w:r w:rsidRPr="009E6B3C">
              <w:rPr>
                <w:rFonts w:ascii="Arial" w:hAnsi="Arial" w:cs="Arial"/>
                <w:b/>
                <w:caps/>
                <w:color w:val="000000" w:themeColor="text1"/>
                <w:sz w:val="20"/>
                <w:szCs w:val="20"/>
                <w:lang w:eastAsia="en-US"/>
              </w:rPr>
              <w:t>2023/24</w:t>
            </w:r>
          </w:p>
        </w:tc>
        <w:tc>
          <w:tcPr>
            <w:tcW w:w="848" w:type="pct"/>
            <w:shd w:val="clear" w:color="auto" w:fill="D9D9D9" w:themeFill="background1" w:themeFillShade="D9"/>
          </w:tcPr>
          <w:p w:rsidR="00F8297A" w:rsidRPr="009E6B3C" w:rsidRDefault="00F8297A" w:rsidP="009E6B3C">
            <w:pPr>
              <w:autoSpaceDE w:val="0"/>
              <w:autoSpaceDN w:val="0"/>
              <w:adjustRightInd w:val="0"/>
              <w:rPr>
                <w:rFonts w:ascii="Arial" w:hAnsi="Arial" w:cs="Arial"/>
                <w:b/>
                <w:caps/>
                <w:color w:val="000000" w:themeColor="text1"/>
                <w:sz w:val="20"/>
                <w:szCs w:val="20"/>
                <w:lang w:eastAsia="en-US"/>
              </w:rPr>
            </w:pPr>
            <w:r w:rsidRPr="009E6B3C">
              <w:rPr>
                <w:rFonts w:ascii="Arial" w:hAnsi="Arial" w:cs="Arial"/>
                <w:b/>
                <w:caps/>
                <w:color w:val="000000" w:themeColor="text1"/>
                <w:sz w:val="20"/>
                <w:szCs w:val="20"/>
                <w:lang w:eastAsia="en-US"/>
              </w:rPr>
              <w:t>2024/25</w:t>
            </w:r>
          </w:p>
        </w:tc>
      </w:tr>
      <w:tr w:rsidR="00F8297A" w:rsidRPr="009E6B3C" w:rsidTr="00905DF7">
        <w:tc>
          <w:tcPr>
            <w:tcW w:w="1425" w:type="pct"/>
            <w:shd w:val="clear" w:color="auto" w:fill="auto"/>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Administration</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72.2</w:t>
            </w:r>
          </w:p>
        </w:tc>
        <w:tc>
          <w:tcPr>
            <w:tcW w:w="8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79.7</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77.7</w:t>
            </w:r>
          </w:p>
        </w:tc>
        <w:tc>
          <w:tcPr>
            <w:tcW w:w="848" w:type="pct"/>
            <w:tcBorders>
              <w:top w:val="single" w:sz="4" w:space="0" w:color="000000"/>
              <w:left w:val="single" w:sz="4" w:space="0" w:color="000000"/>
              <w:bottom w:val="single" w:sz="4" w:space="0" w:color="000000"/>
              <w:right w:val="single" w:sz="8"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82.6</w:t>
            </w:r>
          </w:p>
        </w:tc>
      </w:tr>
      <w:tr w:rsidR="00F8297A" w:rsidRPr="009E6B3C" w:rsidTr="00905DF7">
        <w:tc>
          <w:tcPr>
            <w:tcW w:w="1425" w:type="pct"/>
            <w:shd w:val="clear" w:color="auto" w:fill="auto"/>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 xml:space="preserve">Monitoring observance </w:t>
            </w:r>
            <w:r w:rsidRPr="009E6B3C">
              <w:rPr>
                <w:rFonts w:ascii="Arial" w:hAnsi="Arial" w:cs="Arial"/>
                <w:bCs/>
                <w:sz w:val="20"/>
                <w:szCs w:val="20"/>
              </w:rPr>
              <w:t>of human rights</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9.5</w:t>
            </w:r>
          </w:p>
        </w:tc>
        <w:tc>
          <w:tcPr>
            <w:tcW w:w="8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9.7</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9.8</w:t>
            </w:r>
          </w:p>
        </w:tc>
        <w:tc>
          <w:tcPr>
            <w:tcW w:w="848" w:type="pct"/>
            <w:tcBorders>
              <w:top w:val="single" w:sz="4" w:space="0" w:color="000000"/>
              <w:left w:val="single" w:sz="4" w:space="0" w:color="000000"/>
              <w:bottom w:val="single" w:sz="4" w:space="0" w:color="000000"/>
              <w:right w:val="single" w:sz="8"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10.1</w:t>
            </w:r>
          </w:p>
        </w:tc>
      </w:tr>
      <w:tr w:rsidR="00F8297A" w:rsidRPr="009E6B3C" w:rsidTr="00905DF7">
        <w:tc>
          <w:tcPr>
            <w:tcW w:w="1425" w:type="pct"/>
            <w:shd w:val="clear" w:color="auto" w:fill="auto"/>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 xml:space="preserve">Promotion </w:t>
            </w:r>
            <w:r w:rsidRPr="009E6B3C">
              <w:rPr>
                <w:rFonts w:ascii="Arial" w:hAnsi="Arial" w:cs="Arial"/>
                <w:bCs/>
                <w:sz w:val="20"/>
                <w:szCs w:val="20"/>
              </w:rPr>
              <w:t>of human rights</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106.5</w:t>
            </w:r>
          </w:p>
        </w:tc>
        <w:tc>
          <w:tcPr>
            <w:tcW w:w="8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106.8</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108.3</w:t>
            </w:r>
          </w:p>
        </w:tc>
        <w:tc>
          <w:tcPr>
            <w:tcW w:w="848" w:type="pct"/>
            <w:tcBorders>
              <w:top w:val="single" w:sz="4" w:space="0" w:color="000000"/>
              <w:left w:val="single" w:sz="4" w:space="0" w:color="000000"/>
              <w:bottom w:val="single" w:sz="4" w:space="0" w:color="000000"/>
              <w:right w:val="single" w:sz="8"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112.7</w:t>
            </w:r>
          </w:p>
        </w:tc>
      </w:tr>
      <w:tr w:rsidR="00F8297A" w:rsidRPr="009E6B3C" w:rsidTr="00905DF7">
        <w:tc>
          <w:tcPr>
            <w:tcW w:w="1425" w:type="pct"/>
            <w:shd w:val="clear" w:color="auto" w:fill="auto"/>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 xml:space="preserve">Protection </w:t>
            </w:r>
            <w:r w:rsidRPr="009E6B3C">
              <w:rPr>
                <w:rFonts w:ascii="Arial" w:hAnsi="Arial" w:cs="Arial"/>
                <w:bCs/>
                <w:sz w:val="20"/>
                <w:szCs w:val="20"/>
              </w:rPr>
              <w:t>of human rights</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9.8</w:t>
            </w:r>
          </w:p>
        </w:tc>
        <w:tc>
          <w:tcPr>
            <w:tcW w:w="8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13.3</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13.6</w:t>
            </w:r>
          </w:p>
        </w:tc>
        <w:tc>
          <w:tcPr>
            <w:tcW w:w="848" w:type="pct"/>
            <w:tcBorders>
              <w:top w:val="single" w:sz="4" w:space="0" w:color="000000"/>
              <w:left w:val="single" w:sz="4" w:space="0" w:color="000000"/>
              <w:bottom w:val="single" w:sz="4" w:space="0" w:color="000000"/>
              <w:right w:val="single" w:sz="8" w:space="0" w:color="000000"/>
            </w:tcBorders>
            <w:shd w:val="clear" w:color="auto" w:fill="auto"/>
            <w:vAlign w:val="bottom"/>
          </w:tcPr>
          <w:p w:rsidR="00F8297A" w:rsidRPr="009E6B3C" w:rsidRDefault="00F8297A" w:rsidP="009E6B3C">
            <w:pPr>
              <w:autoSpaceDE w:val="0"/>
              <w:autoSpaceDN w:val="0"/>
              <w:adjustRightInd w:val="0"/>
              <w:rPr>
                <w:rFonts w:ascii="Arial" w:hAnsi="Arial" w:cs="Arial"/>
                <w:color w:val="000000" w:themeColor="text1"/>
                <w:sz w:val="20"/>
                <w:szCs w:val="20"/>
                <w:lang w:eastAsia="en-US"/>
              </w:rPr>
            </w:pPr>
            <w:r w:rsidRPr="009E6B3C">
              <w:rPr>
                <w:rFonts w:ascii="Arial" w:hAnsi="Arial" w:cs="Arial"/>
                <w:color w:val="000000" w:themeColor="text1"/>
                <w:sz w:val="20"/>
                <w:szCs w:val="20"/>
                <w:lang w:eastAsia="en-US"/>
              </w:rPr>
              <w:t>14.1</w:t>
            </w:r>
          </w:p>
        </w:tc>
      </w:tr>
      <w:tr w:rsidR="00F8297A" w:rsidRPr="009E6B3C" w:rsidTr="00905DF7">
        <w:tc>
          <w:tcPr>
            <w:tcW w:w="1425" w:type="pct"/>
            <w:shd w:val="clear" w:color="auto" w:fill="auto"/>
          </w:tcPr>
          <w:p w:rsidR="00F8297A" w:rsidRPr="009E6B3C" w:rsidRDefault="00F8297A" w:rsidP="009E6B3C">
            <w:pPr>
              <w:autoSpaceDE w:val="0"/>
              <w:autoSpaceDN w:val="0"/>
              <w:adjustRightInd w:val="0"/>
              <w:rPr>
                <w:rFonts w:ascii="Arial" w:hAnsi="Arial" w:cs="Arial"/>
                <w:b/>
                <w:color w:val="000000" w:themeColor="text1"/>
                <w:sz w:val="20"/>
                <w:szCs w:val="20"/>
                <w:lang w:eastAsia="en-US"/>
              </w:rPr>
            </w:pPr>
            <w:r w:rsidRPr="009E6B3C">
              <w:rPr>
                <w:rFonts w:ascii="Arial" w:hAnsi="Arial" w:cs="Arial"/>
                <w:b/>
                <w:color w:val="000000" w:themeColor="text1"/>
                <w:sz w:val="20"/>
                <w:szCs w:val="20"/>
                <w:lang w:eastAsia="en-US"/>
              </w:rPr>
              <w:t>Total</w:t>
            </w:r>
          </w:p>
        </w:tc>
        <w:tc>
          <w:tcPr>
            <w:tcW w:w="1027" w:type="pct"/>
            <w:tcBorders>
              <w:top w:val="single" w:sz="8" w:space="0" w:color="000000"/>
              <w:left w:val="single" w:sz="4" w:space="0" w:color="000000"/>
              <w:bottom w:val="single" w:sz="8"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b/>
                <w:color w:val="000000" w:themeColor="text1"/>
                <w:sz w:val="20"/>
                <w:szCs w:val="20"/>
                <w:lang w:eastAsia="en-US"/>
              </w:rPr>
            </w:pPr>
            <w:r w:rsidRPr="009E6B3C">
              <w:rPr>
                <w:rFonts w:ascii="Arial" w:hAnsi="Arial" w:cs="Arial"/>
                <w:b/>
                <w:color w:val="000000" w:themeColor="text1"/>
                <w:sz w:val="20"/>
                <w:szCs w:val="20"/>
                <w:lang w:eastAsia="en-US"/>
              </w:rPr>
              <w:t>198.0</w:t>
            </w:r>
          </w:p>
        </w:tc>
        <w:tc>
          <w:tcPr>
            <w:tcW w:w="850" w:type="pct"/>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rsidR="00F8297A" w:rsidRPr="009E6B3C" w:rsidRDefault="00F8297A" w:rsidP="009E6B3C">
            <w:pPr>
              <w:autoSpaceDE w:val="0"/>
              <w:autoSpaceDN w:val="0"/>
              <w:adjustRightInd w:val="0"/>
              <w:rPr>
                <w:rFonts w:ascii="Arial" w:hAnsi="Arial" w:cs="Arial"/>
                <w:b/>
                <w:color w:val="000000" w:themeColor="text1"/>
                <w:sz w:val="20"/>
                <w:szCs w:val="20"/>
                <w:lang w:eastAsia="en-US"/>
              </w:rPr>
            </w:pPr>
            <w:r w:rsidRPr="009E6B3C">
              <w:rPr>
                <w:rFonts w:ascii="Arial" w:hAnsi="Arial" w:cs="Arial"/>
                <w:b/>
                <w:color w:val="000000" w:themeColor="text1"/>
                <w:sz w:val="20"/>
                <w:szCs w:val="20"/>
                <w:lang w:eastAsia="en-US"/>
              </w:rPr>
              <w:t>209.5</w:t>
            </w:r>
          </w:p>
        </w:tc>
        <w:tc>
          <w:tcPr>
            <w:tcW w:w="850" w:type="pct"/>
            <w:tcBorders>
              <w:top w:val="single" w:sz="8" w:space="0" w:color="000000"/>
              <w:left w:val="single" w:sz="4" w:space="0" w:color="000000"/>
              <w:bottom w:val="single" w:sz="8" w:space="0" w:color="000000"/>
              <w:right w:val="single" w:sz="4" w:space="0" w:color="000000"/>
            </w:tcBorders>
            <w:shd w:val="clear" w:color="auto" w:fill="auto"/>
            <w:vAlign w:val="bottom"/>
          </w:tcPr>
          <w:p w:rsidR="00F8297A" w:rsidRPr="009E6B3C" w:rsidRDefault="00F8297A" w:rsidP="009E6B3C">
            <w:pPr>
              <w:autoSpaceDE w:val="0"/>
              <w:autoSpaceDN w:val="0"/>
              <w:adjustRightInd w:val="0"/>
              <w:rPr>
                <w:rFonts w:ascii="Arial" w:hAnsi="Arial" w:cs="Arial"/>
                <w:b/>
                <w:color w:val="000000" w:themeColor="text1"/>
                <w:sz w:val="20"/>
                <w:szCs w:val="20"/>
                <w:lang w:eastAsia="en-US"/>
              </w:rPr>
            </w:pPr>
            <w:r w:rsidRPr="009E6B3C">
              <w:rPr>
                <w:rFonts w:ascii="Arial" w:hAnsi="Arial" w:cs="Arial"/>
                <w:b/>
                <w:color w:val="000000" w:themeColor="text1"/>
                <w:sz w:val="20"/>
                <w:szCs w:val="20"/>
                <w:lang w:eastAsia="en-US"/>
              </w:rPr>
              <w:t>209.3</w:t>
            </w:r>
          </w:p>
        </w:tc>
        <w:tc>
          <w:tcPr>
            <w:tcW w:w="848" w:type="pct"/>
            <w:tcBorders>
              <w:top w:val="single" w:sz="8" w:space="0" w:color="000000"/>
              <w:left w:val="single" w:sz="4" w:space="0" w:color="000000"/>
              <w:bottom w:val="single" w:sz="8" w:space="0" w:color="000000"/>
              <w:right w:val="single" w:sz="8" w:space="0" w:color="000000"/>
            </w:tcBorders>
            <w:shd w:val="clear" w:color="auto" w:fill="auto"/>
            <w:vAlign w:val="bottom"/>
          </w:tcPr>
          <w:p w:rsidR="00F8297A" w:rsidRPr="009E6B3C" w:rsidRDefault="00F8297A" w:rsidP="009E6B3C">
            <w:pPr>
              <w:autoSpaceDE w:val="0"/>
              <w:autoSpaceDN w:val="0"/>
              <w:adjustRightInd w:val="0"/>
              <w:rPr>
                <w:rFonts w:ascii="Arial" w:hAnsi="Arial" w:cs="Arial"/>
                <w:b/>
                <w:color w:val="000000" w:themeColor="text1"/>
                <w:sz w:val="20"/>
                <w:szCs w:val="20"/>
                <w:lang w:eastAsia="en-US"/>
              </w:rPr>
            </w:pPr>
            <w:r w:rsidRPr="009E6B3C">
              <w:rPr>
                <w:rFonts w:ascii="Arial" w:hAnsi="Arial" w:cs="Arial"/>
                <w:b/>
                <w:color w:val="000000" w:themeColor="text1"/>
                <w:sz w:val="20"/>
                <w:szCs w:val="20"/>
                <w:lang w:eastAsia="en-US"/>
              </w:rPr>
              <w:t>219.5</w:t>
            </w:r>
          </w:p>
        </w:tc>
      </w:tr>
    </w:tbl>
    <w:p w:rsidR="00F8297A" w:rsidRPr="009E6B3C" w:rsidRDefault="00F8297A" w:rsidP="009E6B3C">
      <w:pPr>
        <w:autoSpaceDE w:val="0"/>
        <w:autoSpaceDN w:val="0"/>
        <w:adjustRightInd w:val="0"/>
        <w:ind w:left="851"/>
        <w:rPr>
          <w:rFonts w:ascii="Arial" w:hAnsi="Arial" w:cs="Arial"/>
          <w:bCs/>
          <w:sz w:val="20"/>
          <w:szCs w:val="20"/>
        </w:rPr>
      </w:pPr>
    </w:p>
    <w:p w:rsidR="00F8297A" w:rsidRPr="009E6B3C" w:rsidRDefault="00F8297A" w:rsidP="009E6B3C">
      <w:pPr>
        <w:pStyle w:val="ListParagraph"/>
        <w:numPr>
          <w:ilvl w:val="2"/>
          <w:numId w:val="1"/>
        </w:numPr>
        <w:ind w:left="851" w:hanging="851"/>
        <w:rPr>
          <w:rFonts w:ascii="Arial" w:hAnsi="Arial" w:cs="Arial"/>
          <w:bCs/>
          <w:sz w:val="20"/>
          <w:szCs w:val="20"/>
        </w:rPr>
      </w:pPr>
      <w:r w:rsidRPr="009E6B3C">
        <w:rPr>
          <w:rFonts w:ascii="Arial" w:hAnsi="Arial" w:cs="Arial"/>
          <w:bCs/>
          <w:sz w:val="20"/>
          <w:szCs w:val="20"/>
        </w:rPr>
        <w:t>In previous budgets, the Commission has been affected by baseline reductions. However, in 2022/23, additional funding is allocated to the Commission, as follows: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A on</w:t>
      </w:r>
      <w:r w:rsidR="00DD0272" w:rsidRPr="009E6B3C">
        <w:rPr>
          <w:rFonts w:ascii="Arial" w:hAnsi="Arial" w:cs="Arial"/>
          <w:sz w:val="20"/>
          <w:szCs w:val="20"/>
        </w:rPr>
        <w:t>c</w:t>
      </w:r>
      <w:r w:rsidRPr="009E6B3C">
        <w:rPr>
          <w:rFonts w:ascii="Arial" w:hAnsi="Arial" w:cs="Arial"/>
          <w:sz w:val="20"/>
          <w:szCs w:val="20"/>
        </w:rPr>
        <w:t>e</w:t>
      </w:r>
      <w:r w:rsidRPr="009E6B3C">
        <w:rPr>
          <w:rFonts w:cs="Arial"/>
          <w:sz w:val="20"/>
          <w:szCs w:val="20"/>
        </w:rPr>
        <w:t>‐</w:t>
      </w:r>
      <w:r w:rsidRPr="009E6B3C">
        <w:rPr>
          <w:rFonts w:ascii="Arial" w:hAnsi="Arial" w:cs="Arial"/>
          <w:sz w:val="20"/>
          <w:szCs w:val="20"/>
        </w:rPr>
        <w:t xml:space="preserve">off allocation of R5 million in 2022/23 for ICT infrastructure. </w:t>
      </w:r>
    </w:p>
    <w:p w:rsidR="00F8297A" w:rsidRPr="009E6B3C" w:rsidRDefault="00F8297A" w:rsidP="009E6B3C">
      <w:pPr>
        <w:pStyle w:val="ListParagraph"/>
        <w:numPr>
          <w:ilvl w:val="1"/>
          <w:numId w:val="13"/>
        </w:numPr>
        <w:tabs>
          <w:tab w:val="clear" w:pos="1146"/>
          <w:tab w:val="num" w:pos="1276"/>
        </w:tabs>
        <w:ind w:left="1276" w:hanging="425"/>
        <w:rPr>
          <w:rFonts w:ascii="Arial" w:eastAsiaTheme="minorHAnsi" w:hAnsi="Arial" w:cs="Arial"/>
          <w:color w:val="000000"/>
          <w:sz w:val="20"/>
          <w:szCs w:val="20"/>
          <w:lang w:eastAsia="en-US"/>
        </w:rPr>
      </w:pPr>
      <w:r w:rsidRPr="009E6B3C">
        <w:rPr>
          <w:rFonts w:ascii="Arial" w:hAnsi="Arial" w:cs="Arial"/>
          <w:sz w:val="20"/>
          <w:szCs w:val="20"/>
        </w:rPr>
        <w:t>Additional allocations amounting to R17 million over the MTEF (R8 million in 2022/23, R4 million in 2023/23 and R5 million in 2024/25) to fulfil the Commission’s commitments to the United Nations Optional Protocol to the Convention Against Torture.</w:t>
      </w:r>
    </w:p>
    <w:p w:rsidR="00F8297A" w:rsidRPr="009E6B3C" w:rsidRDefault="00F8297A" w:rsidP="009E6B3C">
      <w:pPr>
        <w:autoSpaceDE w:val="0"/>
        <w:autoSpaceDN w:val="0"/>
        <w:adjustRightInd w:val="0"/>
        <w:ind w:left="284"/>
        <w:rPr>
          <w:rFonts w:ascii="Arial" w:eastAsiaTheme="minorHAnsi" w:hAnsi="Arial" w:cs="Arial"/>
          <w:color w:val="000000"/>
          <w:sz w:val="20"/>
          <w:szCs w:val="20"/>
          <w:lang w:eastAsia="en-US"/>
        </w:rPr>
      </w:pPr>
    </w:p>
    <w:p w:rsidR="00F8297A" w:rsidRPr="009E6B3C" w:rsidRDefault="00F8297A" w:rsidP="009E6B3C">
      <w:pPr>
        <w:pStyle w:val="ListParagraph"/>
        <w:numPr>
          <w:ilvl w:val="1"/>
          <w:numId w:val="1"/>
        </w:numPr>
        <w:autoSpaceDE w:val="0"/>
        <w:autoSpaceDN w:val="0"/>
        <w:adjustRightInd w:val="0"/>
        <w:ind w:left="851" w:hanging="851"/>
        <w:rPr>
          <w:rFonts w:ascii="Arial" w:hAnsi="Arial" w:cs="Arial"/>
          <w:b/>
          <w:sz w:val="20"/>
          <w:szCs w:val="20"/>
        </w:rPr>
      </w:pPr>
      <w:r w:rsidRPr="009E6B3C">
        <w:rPr>
          <w:rFonts w:ascii="Arial" w:hAnsi="Arial" w:cs="Arial"/>
          <w:b/>
          <w:sz w:val="20"/>
          <w:szCs w:val="20"/>
        </w:rPr>
        <w:t>Non-financial performance</w:t>
      </w:r>
      <w:r w:rsidR="002508B7" w:rsidRPr="009E6B3C">
        <w:rPr>
          <w:rFonts w:ascii="Arial" w:hAnsi="Arial" w:cs="Arial"/>
          <w:b/>
          <w:sz w:val="20"/>
          <w:szCs w:val="20"/>
        </w:rPr>
        <w:t xml:space="preserve"> 2021/22</w:t>
      </w:r>
    </w:p>
    <w:p w:rsidR="00F8297A" w:rsidRPr="009E6B3C" w:rsidRDefault="00F8297A" w:rsidP="009E6B3C">
      <w:pPr>
        <w:ind w:left="720"/>
        <w:rPr>
          <w:rFonts w:ascii="Arial" w:hAnsi="Arial" w:cs="Arial"/>
          <w:b/>
          <w:sz w:val="20"/>
          <w:szCs w:val="20"/>
        </w:rPr>
      </w:pPr>
    </w:p>
    <w:p w:rsidR="00F8297A" w:rsidRPr="009E6B3C" w:rsidRDefault="00F8297A" w:rsidP="009E6B3C">
      <w:pPr>
        <w:pStyle w:val="ListParagraph"/>
        <w:numPr>
          <w:ilvl w:val="2"/>
          <w:numId w:val="1"/>
        </w:numPr>
        <w:ind w:left="851" w:hanging="851"/>
        <w:rPr>
          <w:rFonts w:ascii="Arial" w:hAnsi="Arial" w:cs="Arial"/>
          <w:color w:val="000000" w:themeColor="text1"/>
          <w:sz w:val="20"/>
          <w:szCs w:val="20"/>
        </w:rPr>
      </w:pPr>
      <w:r w:rsidRPr="009E6B3C">
        <w:rPr>
          <w:rFonts w:ascii="Arial" w:hAnsi="Arial" w:cs="Arial"/>
          <w:sz w:val="20"/>
          <w:szCs w:val="20"/>
        </w:rPr>
        <w:t>Overall, in 2021/22, the Commission achieved 27 of 44 indicators or 61% of targets in 2021/22, compared with 64% of its targets in 2020/21. The decline in performance is attributed to delays in procurement processes, misinterpretation of the performance indicators and capacity constraints.</w:t>
      </w:r>
    </w:p>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2"/>
          <w:numId w:val="1"/>
        </w:numPr>
        <w:ind w:left="851" w:hanging="851"/>
        <w:rPr>
          <w:rFonts w:ascii="Arial" w:hAnsi="Arial" w:cs="Arial"/>
          <w:sz w:val="20"/>
          <w:szCs w:val="20"/>
        </w:rPr>
      </w:pPr>
      <w:r w:rsidRPr="009E6B3C">
        <w:rPr>
          <w:rFonts w:ascii="Arial" w:hAnsi="Arial" w:cs="Arial"/>
          <w:sz w:val="20"/>
          <w:szCs w:val="20"/>
        </w:rPr>
        <w:t>Reported achievements for 2021/22 include:</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July Unrest Hearings. The Commission responded to the July Unrest through an Imbizo. This initiative provided a platform for the public and all other stakeholders to discuss the state of human rights and challenges in the country that led to the unrest. An Investigative Hearing was held in KwaZulu</w:t>
      </w:r>
      <w:r w:rsidR="00ED159D" w:rsidRPr="009E6B3C">
        <w:rPr>
          <w:rFonts w:ascii="Arial" w:hAnsi="Arial" w:cs="Arial"/>
          <w:sz w:val="20"/>
          <w:szCs w:val="20"/>
        </w:rPr>
        <w:t>-</w:t>
      </w:r>
      <w:r w:rsidRPr="009E6B3C">
        <w:rPr>
          <w:rFonts w:ascii="Arial" w:hAnsi="Arial" w:cs="Arial"/>
          <w:sz w:val="20"/>
          <w:szCs w:val="20"/>
        </w:rPr>
        <w:t xml:space="preserve">Natal and Gauteng, with the purpose of fact finding and ensuring accountability for the unrest.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Protection of whistle</w:t>
      </w:r>
      <w:r w:rsidR="000314C6" w:rsidRPr="009E6B3C">
        <w:rPr>
          <w:rFonts w:ascii="Arial" w:hAnsi="Arial" w:cs="Arial"/>
          <w:sz w:val="20"/>
          <w:szCs w:val="20"/>
        </w:rPr>
        <w:t>-</w:t>
      </w:r>
      <w:r w:rsidRPr="009E6B3C">
        <w:rPr>
          <w:rFonts w:ascii="Arial" w:hAnsi="Arial" w:cs="Arial"/>
          <w:sz w:val="20"/>
          <w:szCs w:val="20"/>
        </w:rPr>
        <w:t xml:space="preserve">blowers. The Commission hosted a summit on the protection of whistle-blowers with local and international stakeholders.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Water and Sanitation. Provincial hearings were held in Mpumalanga and North West focusing on service delivery in relation to access to water and sanitation within communities and in schools.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School infrastructure. This was a focus in North West Province, which highlighted the dire situation and non-compliance of most schools to the Minimum Uniform Norms and Standards for Public School Infrastructure. The Commission has also decided to proceed to litigate against five provinces which still have schools that use pit latrines.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Equality Litigation. The work on equality remained a key focus for the Commission in the year. A highlight was long awaited Constitutional Court’s judgement in the </w:t>
      </w:r>
      <w:r w:rsidRPr="009E6B3C">
        <w:rPr>
          <w:rFonts w:ascii="Arial" w:hAnsi="Arial" w:cs="Arial"/>
          <w:i/>
          <w:sz w:val="20"/>
          <w:szCs w:val="20"/>
        </w:rPr>
        <w:t>Qwelane</w:t>
      </w:r>
      <w:r w:rsidRPr="009E6B3C">
        <w:rPr>
          <w:rFonts w:ascii="Arial" w:hAnsi="Arial" w:cs="Arial"/>
          <w:sz w:val="20"/>
          <w:szCs w:val="20"/>
        </w:rPr>
        <w:t xml:space="preserve"> matter.</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Equality toolkit. The KwaZulu-Natal Provincial Office, in partnership with the Justice Department, conducted advocacy interventions on the Equality Toolkit in the north of KwaZulu-Natal. The toolkit was distributed across all provinces.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Racial discrimination in advertising. The Commission convened an inquiry into allegations of racial discrimination or discrimination in advertising in South Africa.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Investigative inquiry into service delivery challenges within local municipalities in Mpumalanga. The inquiry followed service delivery complaints against various local municipalities in the province over the years. The issues raised included the failure by municipalities to provide water and housing, sewage spillages, sewage treatment challenges, electricity outages, non-collection of refuse and potholes on the roads.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National Preventative Mechanism. The Commission remains the Secretariat for the National Preventative Mechanism along with other key stakeholders. In addition to monitoring work, the NPM with other stakeholders, hosted its annual Human Rights and Policing Lecture that focused on core challenges within detention facilities.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National Schools Moot Court Competition. The Commission successfully hosted the final rounds of the National Schools Moot Court Competition. This is an annual flagship event for the Commission as its objective is to ensure human rights education.</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Complaints. The Commission finalised 7 129 complaints.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Commission met with the South African Council of Educators to discuss the integration of sexual offences registers and developments regarding the GBV Bills.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With the South Africa Local Government Association, the Commission participated in research focussing on the Service Charter on Local Government in order to set out basic standards for service delivery at local government level.</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Engaged with the Housing Development Agency and the City of Tshwane concerning a commitment to complete 2000 houses.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Entered a memorandum of understanding with the South African Depression and Anxiety Group to promote the rights of persons living with psycho-social and intellectual disabilities.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Engaged with the South African Institute of Medico-Legal Experts to discuss challenges relating to the way in the which the Road Accident Fund dealt with claimants undermining access to justice.</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Celebrated the 25th anniversary of the Commission’s establishment through various activities.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Undertook a proactive investigation of the North West Department of Health’s alleged debt to medical suppliers.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Engaged with the National Student Financial Aid Schema on backlogs in applications and expanding methods of communication including remote access.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Protected against unlawful evictions in various provinces.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Monitored the response to the Commission’s recommendations in the report on the Inquiry into the Sewerage Problem of the Vaal River.</w:t>
      </w:r>
    </w:p>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1"/>
          <w:numId w:val="1"/>
        </w:numPr>
        <w:autoSpaceDE w:val="0"/>
        <w:autoSpaceDN w:val="0"/>
        <w:adjustRightInd w:val="0"/>
        <w:ind w:left="851" w:hanging="851"/>
        <w:rPr>
          <w:rFonts w:ascii="Arial" w:hAnsi="Arial" w:cs="Arial"/>
          <w:color w:val="000000" w:themeColor="text1"/>
          <w:sz w:val="20"/>
          <w:szCs w:val="20"/>
        </w:rPr>
      </w:pPr>
      <w:r w:rsidRPr="009E6B3C">
        <w:rPr>
          <w:rFonts w:ascii="Arial" w:hAnsi="Arial" w:cs="Arial"/>
          <w:color w:val="000000" w:themeColor="text1"/>
          <w:sz w:val="20"/>
          <w:szCs w:val="20"/>
        </w:rPr>
        <w:t>At programme level, the Commission reports the following:</w:t>
      </w:r>
    </w:p>
    <w:p w:rsidR="00F8297A" w:rsidRPr="009E6B3C" w:rsidRDefault="00F8297A" w:rsidP="009E6B3C">
      <w:pPr>
        <w:rPr>
          <w:rFonts w:ascii="Arial" w:hAnsi="Arial" w:cs="Arial"/>
          <w:color w:val="000000" w:themeColor="text1"/>
          <w:sz w:val="20"/>
          <w:szCs w:val="20"/>
        </w:rPr>
      </w:pPr>
    </w:p>
    <w:p w:rsidR="00F8297A" w:rsidRPr="009E6B3C" w:rsidRDefault="00F8297A" w:rsidP="009E6B3C">
      <w:pPr>
        <w:rPr>
          <w:rFonts w:ascii="Arial" w:hAnsi="Arial" w:cs="Arial"/>
          <w:b/>
          <w:i/>
          <w:color w:val="000000" w:themeColor="text1"/>
          <w:sz w:val="20"/>
          <w:szCs w:val="20"/>
        </w:rPr>
      </w:pPr>
      <w:r w:rsidRPr="009E6B3C">
        <w:rPr>
          <w:rFonts w:ascii="Arial" w:hAnsi="Arial" w:cs="Arial"/>
          <w:b/>
          <w:i/>
          <w:color w:val="000000" w:themeColor="text1"/>
          <w:sz w:val="20"/>
          <w:szCs w:val="20"/>
        </w:rPr>
        <w:t xml:space="preserve">Table </w:t>
      </w:r>
      <w:r w:rsidR="00B33CDE" w:rsidRPr="009E6B3C">
        <w:rPr>
          <w:rFonts w:ascii="Arial" w:hAnsi="Arial" w:cs="Arial"/>
          <w:b/>
          <w:i/>
          <w:color w:val="000000" w:themeColor="text1"/>
          <w:sz w:val="20"/>
          <w:szCs w:val="20"/>
        </w:rPr>
        <w:t>21</w:t>
      </w:r>
      <w:r w:rsidRPr="009E6B3C">
        <w:rPr>
          <w:rFonts w:ascii="Arial" w:hAnsi="Arial" w:cs="Arial"/>
          <w:b/>
          <w:i/>
          <w:color w:val="000000" w:themeColor="text1"/>
          <w:sz w:val="20"/>
          <w:szCs w:val="20"/>
        </w:rPr>
        <w:t>: SAHRC – Programme performance 2021/22 (with a comparison to 2020/21)</w:t>
      </w:r>
    </w:p>
    <w:tbl>
      <w:tblPr>
        <w:tblStyle w:val="TableGrid"/>
        <w:tblW w:w="5000" w:type="pct"/>
        <w:tblLook w:val="04A0"/>
      </w:tblPr>
      <w:tblGrid>
        <w:gridCol w:w="1875"/>
        <w:gridCol w:w="1467"/>
        <w:gridCol w:w="1488"/>
        <w:gridCol w:w="1672"/>
        <w:gridCol w:w="1453"/>
        <w:gridCol w:w="1672"/>
      </w:tblGrid>
      <w:tr w:rsidR="00F8297A" w:rsidRPr="009E6B3C" w:rsidTr="00905DF7">
        <w:trPr>
          <w:tblHeader/>
        </w:trPr>
        <w:tc>
          <w:tcPr>
            <w:tcW w:w="993" w:type="pct"/>
            <w:vMerge w:val="restart"/>
            <w:shd w:val="clear" w:color="auto" w:fill="D9D9D9" w:themeFill="background1" w:themeFillShade="D9"/>
          </w:tcPr>
          <w:p w:rsidR="00F8297A" w:rsidRPr="009E6B3C" w:rsidRDefault="00F8297A" w:rsidP="009E6B3C">
            <w:pPr>
              <w:pStyle w:val="ListParagraph"/>
              <w:ind w:left="0"/>
              <w:rPr>
                <w:rFonts w:ascii="Arial" w:eastAsiaTheme="minorHAnsi" w:hAnsi="Arial" w:cs="Arial"/>
                <w:b/>
                <w:bCs/>
                <w:caps/>
                <w:color w:val="000000"/>
                <w:sz w:val="20"/>
                <w:szCs w:val="20"/>
                <w:lang w:eastAsia="en-US"/>
              </w:rPr>
            </w:pPr>
            <w:r w:rsidRPr="009E6B3C">
              <w:rPr>
                <w:rFonts w:ascii="Arial" w:eastAsiaTheme="minorHAnsi" w:hAnsi="Arial" w:cs="Arial"/>
                <w:b/>
                <w:bCs/>
                <w:caps/>
                <w:color w:val="000000"/>
                <w:sz w:val="20"/>
                <w:szCs w:val="20"/>
                <w:lang w:eastAsia="en-US"/>
              </w:rPr>
              <w:t>Programme</w:t>
            </w:r>
          </w:p>
        </w:tc>
        <w:tc>
          <w:tcPr>
            <w:tcW w:w="2404" w:type="pct"/>
            <w:gridSpan w:val="3"/>
            <w:shd w:val="clear" w:color="auto" w:fill="D9D9D9" w:themeFill="background1" w:themeFillShade="D9"/>
          </w:tcPr>
          <w:p w:rsidR="00F8297A" w:rsidRPr="009E6B3C" w:rsidRDefault="00F8297A" w:rsidP="009E6B3C">
            <w:pPr>
              <w:pStyle w:val="ListParagraph"/>
              <w:ind w:left="0"/>
              <w:rPr>
                <w:rFonts w:ascii="Arial" w:eastAsiaTheme="minorHAnsi" w:hAnsi="Arial" w:cs="Arial"/>
                <w:b/>
                <w:caps/>
                <w:color w:val="000000"/>
                <w:sz w:val="20"/>
                <w:szCs w:val="20"/>
                <w:lang w:eastAsia="en-US"/>
              </w:rPr>
            </w:pPr>
            <w:r w:rsidRPr="009E6B3C">
              <w:rPr>
                <w:rFonts w:ascii="Arial" w:eastAsiaTheme="minorHAnsi" w:hAnsi="Arial" w:cs="Arial"/>
                <w:b/>
                <w:bCs/>
                <w:caps/>
                <w:color w:val="000000"/>
                <w:sz w:val="20"/>
                <w:szCs w:val="20"/>
                <w:lang w:eastAsia="en-US"/>
              </w:rPr>
              <w:t>2021/22</w:t>
            </w:r>
          </w:p>
        </w:tc>
        <w:tc>
          <w:tcPr>
            <w:tcW w:w="1604" w:type="pct"/>
            <w:gridSpan w:val="2"/>
            <w:shd w:val="clear" w:color="auto" w:fill="D9D9D9" w:themeFill="background1" w:themeFillShade="D9"/>
          </w:tcPr>
          <w:p w:rsidR="00F8297A" w:rsidRPr="009E6B3C" w:rsidRDefault="00F8297A" w:rsidP="009E6B3C">
            <w:pPr>
              <w:pStyle w:val="ListParagraph"/>
              <w:ind w:left="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2020/21</w:t>
            </w:r>
          </w:p>
        </w:tc>
      </w:tr>
      <w:tr w:rsidR="00F8297A" w:rsidRPr="009E6B3C" w:rsidTr="00905DF7">
        <w:trPr>
          <w:tblHeader/>
        </w:trPr>
        <w:tc>
          <w:tcPr>
            <w:tcW w:w="993" w:type="pct"/>
            <w:vMerge/>
            <w:shd w:val="clear" w:color="auto" w:fill="D9D9D9" w:themeFill="background1" w:themeFillShade="D9"/>
          </w:tcPr>
          <w:p w:rsidR="00F8297A" w:rsidRPr="009E6B3C" w:rsidRDefault="00F8297A" w:rsidP="009E6B3C">
            <w:pPr>
              <w:pStyle w:val="ListParagraph"/>
              <w:ind w:left="0"/>
              <w:rPr>
                <w:rFonts w:ascii="Arial" w:eastAsiaTheme="minorHAnsi" w:hAnsi="Arial" w:cs="Arial"/>
                <w:b/>
                <w:caps/>
                <w:color w:val="000000"/>
                <w:sz w:val="20"/>
                <w:szCs w:val="20"/>
                <w:lang w:eastAsia="en-US"/>
              </w:rPr>
            </w:pPr>
          </w:p>
        </w:tc>
        <w:tc>
          <w:tcPr>
            <w:tcW w:w="78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b/>
                <w:bCs/>
                <w:caps/>
                <w:color w:val="000000"/>
                <w:sz w:val="20"/>
                <w:szCs w:val="20"/>
                <w:lang w:eastAsia="en-US"/>
              </w:rPr>
            </w:pPr>
            <w:r w:rsidRPr="009E6B3C">
              <w:rPr>
                <w:rFonts w:ascii="Arial" w:eastAsiaTheme="minorHAnsi" w:hAnsi="Arial" w:cs="Arial"/>
                <w:b/>
                <w:bCs/>
                <w:caps/>
                <w:color w:val="000000"/>
                <w:sz w:val="20"/>
                <w:szCs w:val="20"/>
                <w:lang w:eastAsia="en-US"/>
              </w:rPr>
              <w:t>Actual</w:t>
            </w:r>
          </w:p>
        </w:tc>
        <w:tc>
          <w:tcPr>
            <w:tcW w:w="792"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b/>
                <w:bCs/>
                <w:caps/>
                <w:color w:val="000000"/>
                <w:sz w:val="20"/>
                <w:szCs w:val="20"/>
                <w:lang w:eastAsia="en-US"/>
              </w:rPr>
            </w:pPr>
            <w:r w:rsidRPr="009E6B3C">
              <w:rPr>
                <w:rFonts w:ascii="Arial" w:eastAsiaTheme="minorHAnsi" w:hAnsi="Arial" w:cs="Arial"/>
                <w:b/>
                <w:bCs/>
                <w:caps/>
                <w:color w:val="000000"/>
                <w:sz w:val="20"/>
                <w:szCs w:val="20"/>
                <w:lang w:eastAsia="en-US"/>
              </w:rPr>
              <w:t>Total</w:t>
            </w:r>
          </w:p>
          <w:p w:rsidR="00F8297A" w:rsidRPr="009E6B3C" w:rsidRDefault="00F8297A" w:rsidP="009E6B3C">
            <w:pPr>
              <w:pStyle w:val="ListParagraph"/>
              <w:ind w:left="0"/>
              <w:rPr>
                <w:rFonts w:ascii="Arial" w:eastAsiaTheme="minorHAnsi" w:hAnsi="Arial" w:cs="Arial"/>
                <w:b/>
                <w:caps/>
                <w:color w:val="000000"/>
                <w:sz w:val="20"/>
                <w:szCs w:val="20"/>
                <w:lang w:eastAsia="en-US"/>
              </w:rPr>
            </w:pPr>
            <w:r w:rsidRPr="009E6B3C">
              <w:rPr>
                <w:rFonts w:ascii="Arial" w:eastAsiaTheme="minorHAnsi" w:hAnsi="Arial" w:cs="Arial"/>
                <w:b/>
                <w:bCs/>
                <w:caps/>
                <w:color w:val="000000"/>
                <w:sz w:val="20"/>
                <w:szCs w:val="20"/>
                <w:lang w:eastAsia="en-US"/>
              </w:rPr>
              <w:t>Targets</w:t>
            </w:r>
          </w:p>
        </w:tc>
        <w:tc>
          <w:tcPr>
            <w:tcW w:w="83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Percentage achievement</w:t>
            </w:r>
          </w:p>
        </w:tc>
        <w:tc>
          <w:tcPr>
            <w:tcW w:w="774"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Actual</w:t>
            </w:r>
          </w:p>
        </w:tc>
        <w:tc>
          <w:tcPr>
            <w:tcW w:w="830"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b/>
                <w:caps/>
                <w:color w:val="000000"/>
                <w:sz w:val="20"/>
                <w:szCs w:val="20"/>
                <w:lang w:eastAsia="en-US"/>
              </w:rPr>
            </w:pPr>
            <w:r w:rsidRPr="009E6B3C">
              <w:rPr>
                <w:rFonts w:ascii="Arial" w:eastAsiaTheme="minorHAnsi" w:hAnsi="Arial" w:cs="Arial"/>
                <w:b/>
                <w:caps/>
                <w:color w:val="000000"/>
                <w:sz w:val="20"/>
                <w:szCs w:val="20"/>
                <w:lang w:eastAsia="en-US"/>
              </w:rPr>
              <w:t>Percentage achievement</w:t>
            </w:r>
          </w:p>
        </w:tc>
      </w:tr>
      <w:tr w:rsidR="00F8297A" w:rsidRPr="009E6B3C" w:rsidTr="00905DF7">
        <w:tc>
          <w:tcPr>
            <w:tcW w:w="993"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b/>
                <w:bCs/>
                <w:color w:val="000000"/>
                <w:sz w:val="20"/>
                <w:szCs w:val="20"/>
                <w:lang w:eastAsia="en-US"/>
              </w:rPr>
              <w:t>Administration</w:t>
            </w:r>
          </w:p>
        </w:tc>
        <w:tc>
          <w:tcPr>
            <w:tcW w:w="781"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5</w:t>
            </w:r>
          </w:p>
        </w:tc>
        <w:tc>
          <w:tcPr>
            <w:tcW w:w="792"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13</w:t>
            </w:r>
          </w:p>
        </w:tc>
        <w:tc>
          <w:tcPr>
            <w:tcW w:w="83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38%</w:t>
            </w:r>
          </w:p>
        </w:tc>
        <w:tc>
          <w:tcPr>
            <w:tcW w:w="774"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7/12</w:t>
            </w:r>
          </w:p>
        </w:tc>
        <w:tc>
          <w:tcPr>
            <w:tcW w:w="830"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58%</w:t>
            </w:r>
          </w:p>
        </w:tc>
      </w:tr>
      <w:tr w:rsidR="00F8297A" w:rsidRPr="009E6B3C" w:rsidTr="00905DF7">
        <w:tc>
          <w:tcPr>
            <w:tcW w:w="993"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b/>
                <w:bCs/>
                <w:color w:val="000000"/>
                <w:sz w:val="20"/>
                <w:szCs w:val="20"/>
                <w:lang w:eastAsia="en-US"/>
              </w:rPr>
              <w:t>Promotion</w:t>
            </w:r>
          </w:p>
        </w:tc>
        <w:tc>
          <w:tcPr>
            <w:tcW w:w="781"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10</w:t>
            </w:r>
          </w:p>
        </w:tc>
        <w:tc>
          <w:tcPr>
            <w:tcW w:w="792"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15</w:t>
            </w:r>
          </w:p>
        </w:tc>
        <w:tc>
          <w:tcPr>
            <w:tcW w:w="83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65%</w:t>
            </w:r>
          </w:p>
        </w:tc>
        <w:tc>
          <w:tcPr>
            <w:tcW w:w="774"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6/9</w:t>
            </w:r>
          </w:p>
        </w:tc>
        <w:tc>
          <w:tcPr>
            <w:tcW w:w="830"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67%</w:t>
            </w:r>
          </w:p>
        </w:tc>
      </w:tr>
      <w:tr w:rsidR="00F8297A" w:rsidRPr="009E6B3C" w:rsidTr="00905DF7">
        <w:tc>
          <w:tcPr>
            <w:tcW w:w="993"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b/>
                <w:bCs/>
                <w:color w:val="000000"/>
                <w:sz w:val="20"/>
                <w:szCs w:val="20"/>
                <w:lang w:eastAsia="en-US"/>
              </w:rPr>
              <w:t>Protection</w:t>
            </w:r>
          </w:p>
        </w:tc>
        <w:tc>
          <w:tcPr>
            <w:tcW w:w="781"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5</w:t>
            </w:r>
          </w:p>
        </w:tc>
        <w:tc>
          <w:tcPr>
            <w:tcW w:w="792"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8</w:t>
            </w:r>
          </w:p>
        </w:tc>
        <w:tc>
          <w:tcPr>
            <w:tcW w:w="83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63%</w:t>
            </w:r>
          </w:p>
        </w:tc>
        <w:tc>
          <w:tcPr>
            <w:tcW w:w="774"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3/4</w:t>
            </w:r>
          </w:p>
        </w:tc>
        <w:tc>
          <w:tcPr>
            <w:tcW w:w="830"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75%</w:t>
            </w:r>
          </w:p>
        </w:tc>
      </w:tr>
      <w:tr w:rsidR="00F8297A" w:rsidRPr="009E6B3C" w:rsidTr="00905DF7">
        <w:tc>
          <w:tcPr>
            <w:tcW w:w="993"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b/>
                <w:bCs/>
                <w:color w:val="000000"/>
                <w:sz w:val="20"/>
                <w:szCs w:val="20"/>
                <w:lang w:eastAsia="en-US"/>
              </w:rPr>
              <w:t>Monitoring</w:t>
            </w:r>
          </w:p>
        </w:tc>
        <w:tc>
          <w:tcPr>
            <w:tcW w:w="781"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7</w:t>
            </w:r>
          </w:p>
        </w:tc>
        <w:tc>
          <w:tcPr>
            <w:tcW w:w="792"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8</w:t>
            </w:r>
          </w:p>
        </w:tc>
        <w:tc>
          <w:tcPr>
            <w:tcW w:w="83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88%</w:t>
            </w:r>
          </w:p>
        </w:tc>
        <w:tc>
          <w:tcPr>
            <w:tcW w:w="774"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7/11</w:t>
            </w:r>
          </w:p>
        </w:tc>
        <w:tc>
          <w:tcPr>
            <w:tcW w:w="830"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64%</w:t>
            </w:r>
          </w:p>
        </w:tc>
      </w:tr>
      <w:tr w:rsidR="00F8297A" w:rsidRPr="009E6B3C" w:rsidTr="00905DF7">
        <w:tc>
          <w:tcPr>
            <w:tcW w:w="993" w:type="pct"/>
          </w:tcPr>
          <w:p w:rsidR="00F8297A" w:rsidRPr="009E6B3C" w:rsidRDefault="00F8297A" w:rsidP="009E6B3C">
            <w:pPr>
              <w:pStyle w:val="ListParagraph"/>
              <w:ind w:left="0"/>
              <w:rPr>
                <w:rFonts w:ascii="Arial" w:eastAsiaTheme="minorHAnsi" w:hAnsi="Arial" w:cs="Arial"/>
                <w:b/>
                <w:color w:val="000000"/>
                <w:sz w:val="20"/>
                <w:szCs w:val="20"/>
                <w:lang w:eastAsia="en-US"/>
              </w:rPr>
            </w:pPr>
            <w:r w:rsidRPr="009E6B3C">
              <w:rPr>
                <w:rFonts w:ascii="Arial" w:eastAsiaTheme="minorHAnsi" w:hAnsi="Arial" w:cs="Arial"/>
                <w:b/>
                <w:bCs/>
                <w:color w:val="000000"/>
                <w:sz w:val="20"/>
                <w:szCs w:val="20"/>
                <w:lang w:eastAsia="en-US"/>
              </w:rPr>
              <w:t xml:space="preserve">Total </w:t>
            </w:r>
          </w:p>
        </w:tc>
        <w:tc>
          <w:tcPr>
            <w:tcW w:w="78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bCs/>
                <w:color w:val="000000"/>
                <w:sz w:val="20"/>
                <w:szCs w:val="20"/>
                <w:lang w:eastAsia="en-US"/>
              </w:rPr>
            </w:pPr>
            <w:r w:rsidRPr="009E6B3C">
              <w:rPr>
                <w:rFonts w:ascii="Arial" w:eastAsiaTheme="minorHAnsi" w:hAnsi="Arial" w:cs="Arial"/>
                <w:bCs/>
                <w:color w:val="000000"/>
                <w:sz w:val="20"/>
                <w:szCs w:val="20"/>
                <w:lang w:eastAsia="en-US"/>
              </w:rPr>
              <w:t>27</w:t>
            </w:r>
          </w:p>
        </w:tc>
        <w:tc>
          <w:tcPr>
            <w:tcW w:w="792"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bCs/>
                <w:color w:val="000000"/>
                <w:sz w:val="20"/>
                <w:szCs w:val="20"/>
                <w:lang w:eastAsia="en-US"/>
              </w:rPr>
              <w:t>44</w:t>
            </w:r>
          </w:p>
        </w:tc>
        <w:tc>
          <w:tcPr>
            <w:tcW w:w="831" w:type="pct"/>
            <w:shd w:val="clear" w:color="auto" w:fill="D9D9D9" w:themeFill="background1" w:themeFillShade="D9"/>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61%</w:t>
            </w:r>
          </w:p>
        </w:tc>
        <w:tc>
          <w:tcPr>
            <w:tcW w:w="774"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23/36</w:t>
            </w:r>
          </w:p>
        </w:tc>
        <w:tc>
          <w:tcPr>
            <w:tcW w:w="830" w:type="pct"/>
          </w:tcPr>
          <w:p w:rsidR="00F8297A" w:rsidRPr="009E6B3C" w:rsidRDefault="00F8297A" w:rsidP="009E6B3C">
            <w:pPr>
              <w:pStyle w:val="ListParagraph"/>
              <w:ind w:left="0"/>
              <w:rPr>
                <w:rFonts w:ascii="Arial" w:eastAsiaTheme="minorHAnsi" w:hAnsi="Arial" w:cs="Arial"/>
                <w:color w:val="000000"/>
                <w:sz w:val="20"/>
                <w:szCs w:val="20"/>
                <w:lang w:eastAsia="en-US"/>
              </w:rPr>
            </w:pPr>
            <w:r w:rsidRPr="009E6B3C">
              <w:rPr>
                <w:rFonts w:ascii="Arial" w:eastAsiaTheme="minorHAnsi" w:hAnsi="Arial" w:cs="Arial"/>
                <w:color w:val="000000"/>
                <w:sz w:val="20"/>
                <w:szCs w:val="20"/>
                <w:lang w:eastAsia="en-US"/>
              </w:rPr>
              <w:t>64%</w:t>
            </w:r>
          </w:p>
        </w:tc>
      </w:tr>
    </w:tbl>
    <w:p w:rsidR="00F8297A" w:rsidRPr="009E6B3C" w:rsidRDefault="00F8297A" w:rsidP="009E6B3C">
      <w:pPr>
        <w:pStyle w:val="ListParagraph"/>
        <w:ind w:left="660"/>
        <w:rPr>
          <w:rFonts w:ascii="Arial" w:eastAsiaTheme="minorHAnsi" w:hAnsi="Arial" w:cs="Arial"/>
          <w:color w:val="000000"/>
          <w:sz w:val="20"/>
          <w:szCs w:val="20"/>
          <w:lang w:eastAsia="en-US"/>
        </w:rPr>
      </w:pPr>
    </w:p>
    <w:p w:rsidR="00F8297A" w:rsidRPr="009E6B3C" w:rsidRDefault="00F8297A" w:rsidP="009E6B3C">
      <w:pPr>
        <w:pStyle w:val="ListParagraph"/>
        <w:numPr>
          <w:ilvl w:val="2"/>
          <w:numId w:val="64"/>
        </w:numPr>
        <w:ind w:left="851" w:hanging="851"/>
        <w:rPr>
          <w:rFonts w:ascii="Arial" w:hAnsi="Arial" w:cs="Arial"/>
          <w:sz w:val="20"/>
          <w:szCs w:val="20"/>
        </w:rPr>
      </w:pPr>
      <w:r w:rsidRPr="009E6B3C">
        <w:rPr>
          <w:rFonts w:ascii="Arial" w:hAnsi="Arial" w:cs="Arial"/>
          <w:color w:val="000000" w:themeColor="text1"/>
          <w:sz w:val="20"/>
          <w:szCs w:val="20"/>
        </w:rPr>
        <w:t>Administration</w:t>
      </w:r>
      <w:r w:rsidRPr="009E6B3C">
        <w:rPr>
          <w:rFonts w:ascii="Arial" w:hAnsi="Arial" w:cs="Arial"/>
          <w:sz w:val="20"/>
          <w:szCs w:val="20"/>
        </w:rPr>
        <w:t>: The Commission reports that it achieved 5 out of 13 targets in 2021/22 (38%), compared to 7 out of 12 targets (58 percent) in 2020/21. Targets that were not achieved were as follows:</w:t>
      </w:r>
    </w:p>
    <w:p w:rsidR="00B33CDE" w:rsidRPr="009E6B3C" w:rsidRDefault="00B33CDE" w:rsidP="009E6B3C">
      <w:pPr>
        <w:pStyle w:val="ListParagraph"/>
        <w:ind w:left="851"/>
        <w:rPr>
          <w:rFonts w:ascii="Arial" w:hAnsi="Arial" w:cs="Arial"/>
          <w:sz w:val="20"/>
          <w:szCs w:val="20"/>
        </w:rPr>
      </w:pPr>
    </w:p>
    <w:p w:rsidR="00F8297A" w:rsidRPr="009E6B3C" w:rsidRDefault="00B33CDE" w:rsidP="009E6B3C">
      <w:pPr>
        <w:rPr>
          <w:rFonts w:ascii="Arial" w:hAnsi="Arial" w:cs="Arial"/>
          <w:b/>
          <w:i/>
          <w:sz w:val="20"/>
          <w:szCs w:val="20"/>
        </w:rPr>
      </w:pPr>
      <w:r w:rsidRPr="009E6B3C">
        <w:rPr>
          <w:rFonts w:ascii="Arial" w:hAnsi="Arial" w:cs="Arial"/>
          <w:b/>
          <w:i/>
          <w:sz w:val="20"/>
          <w:szCs w:val="20"/>
        </w:rPr>
        <w:t>Table 21: SAHRC Administration – Targets not met</w:t>
      </w:r>
    </w:p>
    <w:tbl>
      <w:tblPr>
        <w:tblStyle w:val="TableGrid"/>
        <w:tblW w:w="0" w:type="auto"/>
        <w:tblLook w:val="04A0"/>
      </w:tblPr>
      <w:tblGrid>
        <w:gridCol w:w="6083"/>
        <w:gridCol w:w="3544"/>
      </w:tblGrid>
      <w:tr w:rsidR="00F8297A" w:rsidRPr="009E6B3C" w:rsidTr="0058074D">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Percentage expenditure against budget</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94.1% expenditure against a target of 98%- 100% expenditure</w:t>
            </w:r>
          </w:p>
        </w:tc>
      </w:tr>
      <w:tr w:rsidR="00F8297A" w:rsidRPr="009E6B3C" w:rsidTr="0058074D">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Percentage implementation of Risk Management Plan</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67.5% against a target of 80% - 100% implementation</w:t>
            </w:r>
          </w:p>
        </w:tc>
      </w:tr>
      <w:tr w:rsidR="00F8297A" w:rsidRPr="009E6B3C" w:rsidTr="0058074D">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Percentage implementation of Recommendations of 2020-21 Remuneration Structures and Conditions of Service Report</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15% against a target of 80% - 100% implementation</w:t>
            </w:r>
          </w:p>
        </w:tc>
      </w:tr>
      <w:tr w:rsidR="00F8297A" w:rsidRPr="009E6B3C" w:rsidTr="0058074D">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Percentage implementation of Internal Audit Plan</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63% against a target of 80% - 100% resolution</w:t>
            </w:r>
          </w:p>
        </w:tc>
      </w:tr>
      <w:tr w:rsidR="00F8297A" w:rsidRPr="009E6B3C" w:rsidTr="0058074D">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Percentage resolution of Audit Findings</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45% against a target o of 80% - 100% resolution</w:t>
            </w:r>
          </w:p>
        </w:tc>
      </w:tr>
      <w:tr w:rsidR="00F8297A" w:rsidRPr="009E6B3C" w:rsidTr="0058074D">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lang w:val="en-GB"/>
              </w:rPr>
              <w:t>Completion of Impact Monitoring and Evaluation report</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Report not completed.</w:t>
            </w:r>
          </w:p>
        </w:tc>
      </w:tr>
      <w:tr w:rsidR="00F8297A" w:rsidRPr="009E6B3C" w:rsidTr="0058074D">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Percentage implementation of Organisational Culture Renewal Plan</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60% against a target of 80% - 100% implementation.</w:t>
            </w:r>
          </w:p>
        </w:tc>
      </w:tr>
      <w:tr w:rsidR="00F8297A" w:rsidRPr="009E6B3C" w:rsidTr="0058074D">
        <w:tc>
          <w:tcPr>
            <w:tcW w:w="0" w:type="auto"/>
          </w:tcPr>
          <w:p w:rsidR="00F8297A" w:rsidRPr="009E6B3C" w:rsidRDefault="00F8297A" w:rsidP="009E6B3C">
            <w:pPr>
              <w:rPr>
                <w:rFonts w:ascii="Arial" w:hAnsi="Arial" w:cs="Arial"/>
                <w:sz w:val="20"/>
                <w:szCs w:val="20"/>
                <w:lang w:val="en-ZA"/>
              </w:rPr>
            </w:pPr>
            <w:r w:rsidRPr="009E6B3C">
              <w:rPr>
                <w:rFonts w:ascii="Arial" w:hAnsi="Arial" w:cs="Arial"/>
                <w:sz w:val="20"/>
                <w:szCs w:val="20"/>
                <w:lang w:val="en-GB"/>
              </w:rPr>
              <w:t xml:space="preserve">Completion of </w:t>
            </w:r>
            <w:r w:rsidRPr="009E6B3C">
              <w:rPr>
                <w:rFonts w:ascii="Arial" w:hAnsi="Arial" w:cs="Arial"/>
                <w:sz w:val="20"/>
                <w:szCs w:val="20"/>
                <w:lang w:val="en-ZA"/>
              </w:rPr>
              <w:t>report on the sufficiency of the SAHRC Budget by Sept 2021</w:t>
            </w:r>
          </w:p>
          <w:p w:rsidR="00F8297A" w:rsidRPr="009E6B3C" w:rsidRDefault="00F8297A" w:rsidP="009E6B3C">
            <w:pPr>
              <w:rPr>
                <w:rFonts w:ascii="Arial" w:hAnsi="Arial" w:cs="Arial"/>
                <w:sz w:val="20"/>
                <w:szCs w:val="20"/>
              </w:rPr>
            </w:pP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Report not completed.</w:t>
            </w:r>
          </w:p>
        </w:tc>
      </w:tr>
    </w:tbl>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2"/>
          <w:numId w:val="64"/>
        </w:numPr>
        <w:ind w:left="851" w:hanging="851"/>
        <w:rPr>
          <w:rFonts w:ascii="Arial" w:hAnsi="Arial" w:cs="Arial"/>
          <w:sz w:val="20"/>
          <w:szCs w:val="20"/>
        </w:rPr>
      </w:pPr>
      <w:r w:rsidRPr="009E6B3C">
        <w:rPr>
          <w:rFonts w:ascii="Arial" w:hAnsi="Arial" w:cs="Arial"/>
          <w:color w:val="000000" w:themeColor="text1"/>
          <w:sz w:val="20"/>
          <w:szCs w:val="20"/>
        </w:rPr>
        <w:t>Promotion</w:t>
      </w:r>
      <w:r w:rsidRPr="009E6B3C">
        <w:rPr>
          <w:rFonts w:ascii="Arial" w:hAnsi="Arial" w:cs="Arial"/>
          <w:sz w:val="20"/>
          <w:szCs w:val="20"/>
        </w:rPr>
        <w:t xml:space="preserve"> of human rights: The Commission reports that it achieved 10 out of 15 targets (66%) in 2021/22, compared to 6 out of 9 targets (67%) in 2020/21. Targets that were not achieved were as follows:</w:t>
      </w:r>
    </w:p>
    <w:p w:rsidR="00B33CDE" w:rsidRPr="009E6B3C" w:rsidRDefault="00B33CDE" w:rsidP="009E6B3C">
      <w:pPr>
        <w:rPr>
          <w:rFonts w:ascii="Arial" w:hAnsi="Arial" w:cs="Arial"/>
          <w:b/>
          <w:i/>
          <w:sz w:val="20"/>
          <w:szCs w:val="20"/>
        </w:rPr>
      </w:pPr>
    </w:p>
    <w:p w:rsidR="00B33CDE" w:rsidRPr="009E6B3C" w:rsidRDefault="00B33CDE" w:rsidP="009E6B3C">
      <w:pPr>
        <w:rPr>
          <w:rFonts w:ascii="Arial" w:hAnsi="Arial" w:cs="Arial"/>
          <w:b/>
          <w:i/>
          <w:sz w:val="20"/>
          <w:szCs w:val="20"/>
        </w:rPr>
      </w:pPr>
      <w:r w:rsidRPr="009E6B3C">
        <w:rPr>
          <w:rFonts w:ascii="Arial" w:hAnsi="Arial" w:cs="Arial"/>
          <w:b/>
          <w:i/>
          <w:sz w:val="20"/>
          <w:szCs w:val="20"/>
        </w:rPr>
        <w:t xml:space="preserve">Table 22: SAHRC </w:t>
      </w:r>
      <w:r w:rsidRPr="009E6B3C">
        <w:rPr>
          <w:rFonts w:ascii="Arial" w:hAnsi="Arial" w:cs="Arial"/>
          <w:b/>
          <w:i/>
          <w:color w:val="000000" w:themeColor="text1"/>
          <w:sz w:val="20"/>
          <w:szCs w:val="20"/>
        </w:rPr>
        <w:t>Promotion</w:t>
      </w:r>
      <w:r w:rsidRPr="009E6B3C">
        <w:rPr>
          <w:rFonts w:ascii="Arial" w:hAnsi="Arial" w:cs="Arial"/>
          <w:b/>
          <w:i/>
          <w:sz w:val="20"/>
          <w:szCs w:val="20"/>
        </w:rPr>
        <w:t xml:space="preserve"> of human rights – Targets not met</w:t>
      </w:r>
    </w:p>
    <w:tbl>
      <w:tblPr>
        <w:tblStyle w:val="TableGrid"/>
        <w:tblW w:w="5000" w:type="pct"/>
        <w:tblLook w:val="04A0"/>
      </w:tblPr>
      <w:tblGrid>
        <w:gridCol w:w="4813"/>
        <w:gridCol w:w="4814"/>
      </w:tblGrid>
      <w:tr w:rsidR="00F8297A" w:rsidRPr="009E6B3C" w:rsidTr="0058074D">
        <w:tc>
          <w:tcPr>
            <w:tcW w:w="2500" w:type="pct"/>
          </w:tcPr>
          <w:p w:rsidR="00F8297A" w:rsidRPr="009E6B3C" w:rsidRDefault="00F8297A" w:rsidP="009E6B3C">
            <w:pPr>
              <w:rPr>
                <w:rFonts w:ascii="Arial" w:hAnsi="Arial" w:cs="Arial"/>
                <w:sz w:val="20"/>
                <w:szCs w:val="20"/>
              </w:rPr>
            </w:pPr>
            <w:r w:rsidRPr="009E6B3C">
              <w:rPr>
                <w:rFonts w:ascii="Arial" w:hAnsi="Arial" w:cs="Arial"/>
                <w:sz w:val="20"/>
                <w:szCs w:val="20"/>
              </w:rPr>
              <w:t xml:space="preserve">Percentage implementation of Action Plan based on 2020-21 Racial Polarisation Conference Resolutions </w:t>
            </w:r>
          </w:p>
        </w:tc>
        <w:tc>
          <w:tcPr>
            <w:tcW w:w="2500" w:type="pct"/>
          </w:tcPr>
          <w:p w:rsidR="00F8297A" w:rsidRPr="009E6B3C" w:rsidRDefault="00F8297A" w:rsidP="009E6B3C">
            <w:pPr>
              <w:rPr>
                <w:rFonts w:ascii="Arial" w:hAnsi="Arial" w:cs="Arial"/>
                <w:sz w:val="20"/>
                <w:szCs w:val="20"/>
              </w:rPr>
            </w:pPr>
            <w:r w:rsidRPr="009E6B3C">
              <w:rPr>
                <w:rFonts w:ascii="Arial" w:hAnsi="Arial" w:cs="Arial"/>
                <w:sz w:val="20"/>
                <w:szCs w:val="20"/>
              </w:rPr>
              <w:t>Action plan not implemented against a target of implementing 80% - 100% of Action Plan on Racial Polarisation Conference</w:t>
            </w:r>
          </w:p>
        </w:tc>
      </w:tr>
      <w:tr w:rsidR="00F8297A" w:rsidRPr="009E6B3C" w:rsidTr="0058074D">
        <w:tc>
          <w:tcPr>
            <w:tcW w:w="2500" w:type="pct"/>
          </w:tcPr>
          <w:p w:rsidR="00F8297A" w:rsidRPr="009E6B3C" w:rsidRDefault="00F8297A" w:rsidP="009E6B3C">
            <w:pPr>
              <w:rPr>
                <w:rFonts w:ascii="Arial" w:hAnsi="Arial" w:cs="Arial"/>
                <w:sz w:val="20"/>
                <w:szCs w:val="20"/>
              </w:rPr>
            </w:pPr>
            <w:r w:rsidRPr="009E6B3C">
              <w:rPr>
                <w:rFonts w:ascii="Arial" w:hAnsi="Arial" w:cs="Arial"/>
                <w:sz w:val="20"/>
                <w:szCs w:val="20"/>
              </w:rPr>
              <w:t>Percentage implementation of Action Plan on Impact of Covid-19 on children and youth Conference Resolutions</w:t>
            </w:r>
          </w:p>
        </w:tc>
        <w:tc>
          <w:tcPr>
            <w:tcW w:w="2500" w:type="pct"/>
          </w:tcPr>
          <w:p w:rsidR="00F8297A" w:rsidRPr="009E6B3C" w:rsidRDefault="00F8297A" w:rsidP="009E6B3C">
            <w:pPr>
              <w:rPr>
                <w:rFonts w:ascii="Arial" w:hAnsi="Arial" w:cs="Arial"/>
                <w:sz w:val="20"/>
                <w:szCs w:val="20"/>
              </w:rPr>
            </w:pPr>
            <w:r w:rsidRPr="009E6B3C">
              <w:rPr>
                <w:rFonts w:ascii="Arial" w:hAnsi="Arial" w:cs="Arial"/>
                <w:sz w:val="20"/>
                <w:szCs w:val="20"/>
              </w:rPr>
              <w:t>0% implementation against a target of 80% - 100% implementation of Action Plan</w:t>
            </w:r>
          </w:p>
        </w:tc>
      </w:tr>
      <w:tr w:rsidR="00F8297A" w:rsidRPr="009E6B3C" w:rsidTr="0058074D">
        <w:tc>
          <w:tcPr>
            <w:tcW w:w="2500" w:type="pct"/>
          </w:tcPr>
          <w:p w:rsidR="00F8297A" w:rsidRPr="009E6B3C" w:rsidRDefault="00F8297A" w:rsidP="009E6B3C">
            <w:pPr>
              <w:rPr>
                <w:rFonts w:ascii="Arial" w:hAnsi="Arial" w:cs="Arial"/>
                <w:sz w:val="20"/>
                <w:szCs w:val="20"/>
              </w:rPr>
            </w:pPr>
            <w:r w:rsidRPr="009E6B3C">
              <w:rPr>
                <w:rFonts w:ascii="Arial" w:hAnsi="Arial" w:cs="Arial"/>
                <w:sz w:val="20"/>
                <w:szCs w:val="20"/>
              </w:rPr>
              <w:t xml:space="preserve">Percentage implementation of Action Plan on Provincial Human Rights Dialogue Resolutions </w:t>
            </w:r>
          </w:p>
        </w:tc>
        <w:tc>
          <w:tcPr>
            <w:tcW w:w="2500" w:type="pct"/>
          </w:tcPr>
          <w:p w:rsidR="00F8297A" w:rsidRPr="009E6B3C" w:rsidRDefault="00F8297A" w:rsidP="009E6B3C">
            <w:pPr>
              <w:rPr>
                <w:rFonts w:ascii="Arial" w:hAnsi="Arial" w:cs="Arial"/>
                <w:sz w:val="20"/>
                <w:szCs w:val="20"/>
              </w:rPr>
            </w:pPr>
            <w:r w:rsidRPr="009E6B3C">
              <w:rPr>
                <w:rFonts w:ascii="Arial" w:hAnsi="Arial" w:cs="Arial"/>
                <w:sz w:val="20"/>
                <w:szCs w:val="20"/>
              </w:rPr>
              <w:t>0% implementation against a target of 80% - 100% implementation of Action Plan</w:t>
            </w:r>
          </w:p>
        </w:tc>
      </w:tr>
      <w:tr w:rsidR="00F8297A" w:rsidRPr="009E6B3C" w:rsidTr="0058074D">
        <w:tc>
          <w:tcPr>
            <w:tcW w:w="2500" w:type="pct"/>
          </w:tcPr>
          <w:p w:rsidR="00F8297A" w:rsidRPr="009E6B3C" w:rsidRDefault="00F8297A" w:rsidP="009E6B3C">
            <w:pPr>
              <w:rPr>
                <w:rFonts w:ascii="Arial" w:hAnsi="Arial" w:cs="Arial"/>
                <w:sz w:val="20"/>
                <w:szCs w:val="20"/>
                <w:lang w:val="en-ZA"/>
              </w:rPr>
            </w:pPr>
            <w:r w:rsidRPr="009E6B3C">
              <w:rPr>
                <w:rFonts w:ascii="Arial" w:hAnsi="Arial" w:cs="Arial"/>
                <w:sz w:val="20"/>
                <w:szCs w:val="20"/>
                <w:lang w:val="en-ZA"/>
              </w:rPr>
              <w:t>Convening of Annual Provincial Human Rights Stakeholder Engagements</w:t>
            </w:r>
          </w:p>
          <w:p w:rsidR="00F8297A" w:rsidRPr="009E6B3C" w:rsidRDefault="00F8297A" w:rsidP="009E6B3C">
            <w:pPr>
              <w:rPr>
                <w:rFonts w:ascii="Arial" w:hAnsi="Arial" w:cs="Arial"/>
                <w:sz w:val="20"/>
                <w:szCs w:val="20"/>
              </w:rPr>
            </w:pPr>
          </w:p>
        </w:tc>
        <w:tc>
          <w:tcPr>
            <w:tcW w:w="2500" w:type="pct"/>
          </w:tcPr>
          <w:p w:rsidR="00F8297A" w:rsidRPr="009E6B3C" w:rsidRDefault="00F8297A" w:rsidP="009E6B3C">
            <w:pPr>
              <w:rPr>
                <w:rFonts w:ascii="Arial" w:hAnsi="Arial" w:cs="Arial"/>
                <w:sz w:val="20"/>
                <w:szCs w:val="20"/>
                <w:lang w:val="en-ZA"/>
              </w:rPr>
            </w:pPr>
            <w:r w:rsidRPr="009E6B3C">
              <w:rPr>
                <w:rFonts w:ascii="Arial" w:hAnsi="Arial" w:cs="Arial"/>
                <w:sz w:val="20"/>
                <w:szCs w:val="20"/>
                <w:lang w:val="en-ZA"/>
              </w:rPr>
              <w:t xml:space="preserve">Convened 22 stakeholder engagements, but most of the reported activities did </w:t>
            </w:r>
            <w:r w:rsidR="00B33CDE" w:rsidRPr="009E6B3C">
              <w:rPr>
                <w:rFonts w:ascii="Arial" w:hAnsi="Arial" w:cs="Arial"/>
                <w:sz w:val="20"/>
                <w:szCs w:val="20"/>
                <w:lang w:val="en-ZA"/>
              </w:rPr>
              <w:t xml:space="preserve">not meet indicator definition. </w:t>
            </w:r>
          </w:p>
        </w:tc>
      </w:tr>
      <w:tr w:rsidR="00F8297A" w:rsidRPr="009E6B3C" w:rsidTr="0058074D">
        <w:tc>
          <w:tcPr>
            <w:tcW w:w="2500" w:type="pct"/>
          </w:tcPr>
          <w:p w:rsidR="00F8297A" w:rsidRPr="009E6B3C" w:rsidRDefault="00F8297A" w:rsidP="009E6B3C">
            <w:pPr>
              <w:rPr>
                <w:rFonts w:ascii="Arial" w:hAnsi="Arial" w:cs="Arial"/>
                <w:sz w:val="20"/>
                <w:szCs w:val="20"/>
                <w:lang w:val="en-ZA"/>
              </w:rPr>
            </w:pPr>
            <w:r w:rsidRPr="009E6B3C">
              <w:rPr>
                <w:rFonts w:ascii="Arial" w:hAnsi="Arial" w:cs="Arial"/>
                <w:sz w:val="20"/>
                <w:szCs w:val="20"/>
                <w:lang w:val="en-ZA"/>
              </w:rPr>
              <w:t>Hosting of Virtual National Schools Moot Court Competition</w:t>
            </w:r>
          </w:p>
          <w:p w:rsidR="00F8297A" w:rsidRPr="009E6B3C" w:rsidRDefault="00F8297A" w:rsidP="009E6B3C">
            <w:pPr>
              <w:rPr>
                <w:rFonts w:ascii="Arial" w:hAnsi="Arial" w:cs="Arial"/>
                <w:sz w:val="20"/>
                <w:szCs w:val="20"/>
              </w:rPr>
            </w:pPr>
          </w:p>
        </w:tc>
        <w:tc>
          <w:tcPr>
            <w:tcW w:w="2500" w:type="pct"/>
          </w:tcPr>
          <w:p w:rsidR="00F8297A" w:rsidRPr="009E6B3C" w:rsidRDefault="00F8297A" w:rsidP="009E6B3C">
            <w:pPr>
              <w:rPr>
                <w:rFonts w:ascii="Arial" w:hAnsi="Arial" w:cs="Arial"/>
                <w:sz w:val="20"/>
                <w:szCs w:val="20"/>
              </w:rPr>
            </w:pPr>
            <w:r w:rsidRPr="009E6B3C">
              <w:rPr>
                <w:rFonts w:ascii="Arial" w:hAnsi="Arial" w:cs="Arial"/>
                <w:sz w:val="20"/>
                <w:szCs w:val="20"/>
              </w:rPr>
              <w:t>Hosted in October 2021 instead of September 2021 as planned.</w:t>
            </w:r>
          </w:p>
        </w:tc>
      </w:tr>
    </w:tbl>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2"/>
          <w:numId w:val="64"/>
        </w:numPr>
        <w:ind w:left="851" w:hanging="851"/>
        <w:rPr>
          <w:rFonts w:ascii="Arial" w:hAnsi="Arial" w:cs="Arial"/>
          <w:sz w:val="20"/>
          <w:szCs w:val="20"/>
        </w:rPr>
      </w:pPr>
      <w:r w:rsidRPr="009E6B3C">
        <w:rPr>
          <w:rFonts w:ascii="Arial" w:hAnsi="Arial" w:cs="Arial"/>
          <w:sz w:val="20"/>
          <w:szCs w:val="20"/>
        </w:rPr>
        <w:t>Protection of Human Rights: The Commission achieved 5 out of 8 targets (63%) in 2021/22, compared with 3 out of 4 targets (75 percent) in 2020/21. The following targets were not achieved:</w:t>
      </w:r>
    </w:p>
    <w:p w:rsidR="007B5746" w:rsidRPr="009E6B3C" w:rsidRDefault="007B5746" w:rsidP="009E6B3C">
      <w:pPr>
        <w:pStyle w:val="ListParagraph"/>
        <w:ind w:left="851"/>
        <w:rPr>
          <w:rFonts w:ascii="Arial" w:hAnsi="Arial" w:cs="Arial"/>
          <w:sz w:val="20"/>
          <w:szCs w:val="20"/>
        </w:rPr>
      </w:pPr>
    </w:p>
    <w:p w:rsidR="00ED159D" w:rsidRPr="009E6B3C" w:rsidRDefault="00B33CDE" w:rsidP="009E6B3C">
      <w:pPr>
        <w:rPr>
          <w:rFonts w:ascii="Arial" w:hAnsi="Arial" w:cs="Arial"/>
          <w:b/>
          <w:i/>
          <w:sz w:val="20"/>
          <w:szCs w:val="20"/>
        </w:rPr>
      </w:pPr>
      <w:r w:rsidRPr="009E6B3C">
        <w:rPr>
          <w:rFonts w:ascii="Arial" w:hAnsi="Arial" w:cs="Arial"/>
          <w:b/>
          <w:i/>
          <w:sz w:val="20"/>
          <w:szCs w:val="20"/>
        </w:rPr>
        <w:t xml:space="preserve">Table </w:t>
      </w:r>
      <w:r w:rsidR="007B5746" w:rsidRPr="009E6B3C">
        <w:rPr>
          <w:rFonts w:ascii="Arial" w:hAnsi="Arial" w:cs="Arial"/>
          <w:b/>
          <w:i/>
          <w:sz w:val="20"/>
          <w:szCs w:val="20"/>
        </w:rPr>
        <w:t>23</w:t>
      </w:r>
      <w:r w:rsidRPr="009E6B3C">
        <w:rPr>
          <w:rFonts w:ascii="Arial" w:hAnsi="Arial" w:cs="Arial"/>
          <w:b/>
          <w:i/>
          <w:sz w:val="20"/>
          <w:szCs w:val="20"/>
        </w:rPr>
        <w:t>: SAHRC Protection of Human Rights – Targets not met</w:t>
      </w:r>
    </w:p>
    <w:tbl>
      <w:tblPr>
        <w:tblStyle w:val="TableGrid"/>
        <w:tblW w:w="0" w:type="auto"/>
        <w:tblLook w:val="04A0"/>
      </w:tblPr>
      <w:tblGrid>
        <w:gridCol w:w="6121"/>
        <w:gridCol w:w="3506"/>
      </w:tblGrid>
      <w:tr w:rsidR="00F8297A" w:rsidRPr="009E6B3C" w:rsidTr="002508B7">
        <w:tc>
          <w:tcPr>
            <w:tcW w:w="0" w:type="auto"/>
            <w:shd w:val="clear" w:color="auto" w:fill="auto"/>
          </w:tcPr>
          <w:p w:rsidR="00F8297A" w:rsidRPr="009E6B3C" w:rsidRDefault="00F8297A" w:rsidP="009E6B3C">
            <w:pPr>
              <w:rPr>
                <w:rFonts w:ascii="Arial" w:hAnsi="Arial" w:cs="Arial"/>
                <w:sz w:val="20"/>
                <w:szCs w:val="20"/>
              </w:rPr>
            </w:pPr>
            <w:r w:rsidRPr="009E6B3C">
              <w:rPr>
                <w:rFonts w:ascii="Arial" w:hAnsi="Arial" w:cs="Arial"/>
                <w:sz w:val="20"/>
                <w:szCs w:val="20"/>
              </w:rPr>
              <w:t>Institute strategic impact litigation</w:t>
            </w:r>
          </w:p>
        </w:tc>
        <w:tc>
          <w:tcPr>
            <w:tcW w:w="0" w:type="auto"/>
            <w:shd w:val="clear" w:color="auto" w:fill="auto"/>
          </w:tcPr>
          <w:p w:rsidR="00F8297A" w:rsidRPr="009E6B3C" w:rsidRDefault="00F8297A" w:rsidP="009E6B3C">
            <w:pPr>
              <w:rPr>
                <w:rFonts w:ascii="Arial" w:hAnsi="Arial" w:cs="Arial"/>
                <w:sz w:val="20"/>
                <w:szCs w:val="20"/>
              </w:rPr>
            </w:pPr>
            <w:r w:rsidRPr="009E6B3C">
              <w:rPr>
                <w:rFonts w:ascii="Arial" w:hAnsi="Arial" w:cs="Arial"/>
                <w:sz w:val="20"/>
                <w:szCs w:val="20"/>
              </w:rPr>
              <w:t>11 against a target of 15</w:t>
            </w:r>
          </w:p>
        </w:tc>
      </w:tr>
      <w:tr w:rsidR="00F8297A" w:rsidRPr="009E6B3C" w:rsidTr="002508B7">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Full (100%) utilisation of the CRM System to promote efficient and effective complaints handling</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98% against target 100% utilisation of CRM System</w:t>
            </w:r>
          </w:p>
        </w:tc>
      </w:tr>
      <w:tr w:rsidR="00F8297A" w:rsidRPr="009E6B3C" w:rsidTr="002508B7">
        <w:tc>
          <w:tcPr>
            <w:tcW w:w="0" w:type="auto"/>
          </w:tcPr>
          <w:p w:rsidR="00F8297A" w:rsidRPr="009E6B3C" w:rsidRDefault="00F8297A" w:rsidP="009E6B3C">
            <w:pPr>
              <w:rPr>
                <w:rFonts w:ascii="Arial" w:hAnsi="Arial" w:cs="Arial"/>
                <w:sz w:val="20"/>
                <w:szCs w:val="20"/>
                <w:lang w:val="en-ZA"/>
              </w:rPr>
            </w:pPr>
            <w:r w:rsidRPr="009E6B3C">
              <w:rPr>
                <w:rFonts w:ascii="Arial" w:hAnsi="Arial" w:cs="Arial"/>
                <w:sz w:val="20"/>
                <w:szCs w:val="20"/>
                <w:lang w:val="en-ZA"/>
              </w:rPr>
              <w:t>Review of the SAHRC Complaints Handling Procedures</w:t>
            </w:r>
          </w:p>
        </w:tc>
        <w:tc>
          <w:tcPr>
            <w:tcW w:w="0" w:type="auto"/>
          </w:tcPr>
          <w:p w:rsidR="00F8297A" w:rsidRPr="009E6B3C" w:rsidRDefault="00F8297A" w:rsidP="009E6B3C">
            <w:pPr>
              <w:rPr>
                <w:rFonts w:ascii="Arial" w:hAnsi="Arial" w:cs="Arial"/>
                <w:sz w:val="20"/>
                <w:szCs w:val="20"/>
              </w:rPr>
            </w:pPr>
            <w:r w:rsidRPr="009E6B3C">
              <w:rPr>
                <w:rFonts w:ascii="Arial" w:hAnsi="Arial" w:cs="Arial"/>
                <w:sz w:val="20"/>
                <w:szCs w:val="20"/>
              </w:rPr>
              <w:t>Revised but awaiting approval.</w:t>
            </w:r>
          </w:p>
        </w:tc>
      </w:tr>
    </w:tbl>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2"/>
          <w:numId w:val="64"/>
        </w:numPr>
        <w:ind w:left="851" w:hanging="851"/>
        <w:rPr>
          <w:rFonts w:ascii="Arial" w:hAnsi="Arial" w:cs="Arial"/>
          <w:sz w:val="20"/>
          <w:szCs w:val="20"/>
        </w:rPr>
      </w:pPr>
      <w:r w:rsidRPr="009E6B3C">
        <w:rPr>
          <w:rFonts w:ascii="Arial" w:hAnsi="Arial" w:cs="Arial"/>
          <w:sz w:val="20"/>
          <w:szCs w:val="20"/>
        </w:rPr>
        <w:t>Monitoring of Human Rights: The Commission achieved 7 out of 8 targets (88%) in 2021/22, compared to 7 out of 11 targets (64 percent) in 2020/21. The following target was not achieved:</w:t>
      </w:r>
    </w:p>
    <w:p w:rsidR="007B5746" w:rsidRPr="009E6B3C" w:rsidRDefault="007B5746" w:rsidP="009E6B3C">
      <w:pPr>
        <w:rPr>
          <w:rFonts w:ascii="Arial" w:hAnsi="Arial" w:cs="Arial"/>
          <w:sz w:val="20"/>
          <w:szCs w:val="20"/>
        </w:rPr>
      </w:pPr>
    </w:p>
    <w:p w:rsidR="00ED159D" w:rsidRPr="009E6B3C" w:rsidRDefault="007B5746" w:rsidP="009E6B3C">
      <w:pPr>
        <w:rPr>
          <w:rFonts w:ascii="Arial" w:hAnsi="Arial" w:cs="Arial"/>
          <w:b/>
          <w:sz w:val="20"/>
          <w:szCs w:val="20"/>
        </w:rPr>
      </w:pPr>
      <w:r w:rsidRPr="009E6B3C">
        <w:rPr>
          <w:rFonts w:ascii="Arial" w:hAnsi="Arial" w:cs="Arial"/>
          <w:b/>
          <w:sz w:val="20"/>
          <w:szCs w:val="20"/>
        </w:rPr>
        <w:t>Table 24: SAHRC Monitoring of Human Rights – Target not met</w:t>
      </w:r>
    </w:p>
    <w:tbl>
      <w:tblPr>
        <w:tblStyle w:val="TableGrid"/>
        <w:tblW w:w="5000" w:type="pct"/>
        <w:tblLook w:val="04A0"/>
      </w:tblPr>
      <w:tblGrid>
        <w:gridCol w:w="4821"/>
        <w:gridCol w:w="4806"/>
      </w:tblGrid>
      <w:tr w:rsidR="00F8297A" w:rsidRPr="009E6B3C" w:rsidTr="007B6D87">
        <w:tc>
          <w:tcPr>
            <w:tcW w:w="2504" w:type="pct"/>
          </w:tcPr>
          <w:p w:rsidR="00F8297A" w:rsidRPr="009E6B3C" w:rsidRDefault="00F8297A" w:rsidP="009E6B3C">
            <w:pPr>
              <w:rPr>
                <w:rFonts w:ascii="Arial" w:hAnsi="Arial" w:cs="Arial"/>
                <w:sz w:val="20"/>
                <w:szCs w:val="20"/>
              </w:rPr>
            </w:pPr>
            <w:r w:rsidRPr="009E6B3C">
              <w:rPr>
                <w:rFonts w:ascii="Arial" w:hAnsi="Arial" w:cs="Arial"/>
                <w:sz w:val="20"/>
                <w:szCs w:val="20"/>
              </w:rPr>
              <w:t>Submission of NPM OPCAT Monitoring Report</w:t>
            </w:r>
          </w:p>
        </w:tc>
        <w:tc>
          <w:tcPr>
            <w:tcW w:w="2496" w:type="pct"/>
          </w:tcPr>
          <w:p w:rsidR="00F8297A" w:rsidRPr="009E6B3C" w:rsidRDefault="00F8297A" w:rsidP="009E6B3C">
            <w:pPr>
              <w:rPr>
                <w:rFonts w:ascii="Arial" w:hAnsi="Arial" w:cs="Arial"/>
                <w:sz w:val="20"/>
                <w:szCs w:val="20"/>
              </w:rPr>
            </w:pPr>
            <w:r w:rsidRPr="009E6B3C">
              <w:rPr>
                <w:rFonts w:ascii="Arial" w:hAnsi="Arial" w:cs="Arial"/>
                <w:sz w:val="20"/>
                <w:szCs w:val="20"/>
              </w:rPr>
              <w:t>The report was submitted in February 2022 against a target of September 2021.</w:t>
            </w:r>
          </w:p>
        </w:tc>
      </w:tr>
    </w:tbl>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1"/>
          <w:numId w:val="1"/>
        </w:numPr>
        <w:autoSpaceDE w:val="0"/>
        <w:autoSpaceDN w:val="0"/>
        <w:adjustRightInd w:val="0"/>
        <w:ind w:left="851" w:hanging="851"/>
        <w:rPr>
          <w:rFonts w:ascii="Arial" w:hAnsi="Arial" w:cs="Arial"/>
          <w:i/>
          <w:sz w:val="20"/>
          <w:szCs w:val="20"/>
        </w:rPr>
      </w:pPr>
      <w:r w:rsidRPr="009E6B3C">
        <w:rPr>
          <w:rFonts w:ascii="Arial" w:hAnsi="Arial" w:cs="Arial"/>
          <w:b/>
          <w:i/>
          <w:sz w:val="20"/>
          <w:szCs w:val="20"/>
        </w:rPr>
        <w:t xml:space="preserve">Linking </w:t>
      </w:r>
      <w:r w:rsidR="005E7077" w:rsidRPr="009E6B3C">
        <w:rPr>
          <w:rFonts w:ascii="Arial" w:hAnsi="Arial" w:cs="Arial"/>
          <w:b/>
          <w:i/>
          <w:sz w:val="20"/>
          <w:szCs w:val="20"/>
        </w:rPr>
        <w:t xml:space="preserve">financial and non-financial </w:t>
      </w:r>
      <w:r w:rsidRPr="009E6B3C">
        <w:rPr>
          <w:rFonts w:ascii="Arial" w:hAnsi="Arial" w:cs="Arial"/>
          <w:b/>
          <w:i/>
          <w:sz w:val="20"/>
          <w:szCs w:val="20"/>
        </w:rPr>
        <w:t>performance</w:t>
      </w:r>
      <w:r w:rsidRPr="009E6B3C">
        <w:rPr>
          <w:rFonts w:ascii="Arial" w:hAnsi="Arial" w:cs="Arial"/>
          <w:i/>
          <w:sz w:val="20"/>
          <w:szCs w:val="20"/>
        </w:rPr>
        <w:t>:</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Overall, the Commission’s performance has declined from 90% achieved in 2015/26 to 61% in 2021/22.</w:t>
      </w:r>
    </w:p>
    <w:p w:rsidR="00F8297A" w:rsidRPr="009E6B3C" w:rsidRDefault="007B6D87"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A</w:t>
      </w:r>
      <w:r w:rsidR="00F8297A" w:rsidRPr="009E6B3C">
        <w:rPr>
          <w:rFonts w:ascii="Arial" w:hAnsi="Arial" w:cs="Arial"/>
          <w:sz w:val="20"/>
          <w:szCs w:val="20"/>
        </w:rPr>
        <w:t xml:space="preserve"> lack of funding has led to posts being frozen to contain costs. Key vacant positions are substituted with contract and temporary assistance as a stop gap measure, which may create challenges with business continuity in coming financial years.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i/>
          <w:sz w:val="20"/>
          <w:szCs w:val="20"/>
        </w:rPr>
      </w:pPr>
      <w:r w:rsidRPr="009E6B3C">
        <w:rPr>
          <w:rFonts w:ascii="Arial" w:hAnsi="Arial" w:cs="Arial"/>
          <w:sz w:val="20"/>
          <w:szCs w:val="20"/>
        </w:rPr>
        <w:t>Although the</w:t>
      </w:r>
      <w:r w:rsidR="007B6D87" w:rsidRPr="009E6B3C">
        <w:rPr>
          <w:rFonts w:ascii="Arial" w:hAnsi="Arial" w:cs="Arial"/>
          <w:sz w:val="20"/>
          <w:szCs w:val="20"/>
        </w:rPr>
        <w:t xml:space="preserve"> </w:t>
      </w:r>
      <w:r w:rsidRPr="009E6B3C">
        <w:rPr>
          <w:rFonts w:ascii="Arial" w:hAnsi="Arial" w:cs="Arial"/>
          <w:sz w:val="20"/>
          <w:szCs w:val="20"/>
        </w:rPr>
        <w:t>Commission achieved an unqualified audit outcome, there were both repeat and new findings. The Auditor-General has highlighted key vacancies, especially within the Finance Unit and within strategic support and governance as contributing to the outcome</w:t>
      </w:r>
      <w:r w:rsidRPr="009E6B3C">
        <w:rPr>
          <w:rFonts w:ascii="Arial" w:hAnsi="Arial" w:cs="Arial"/>
          <w:i/>
          <w:sz w:val="20"/>
          <w:szCs w:val="20"/>
        </w:rPr>
        <w:t>.</w:t>
      </w:r>
    </w:p>
    <w:p w:rsidR="00F8297A" w:rsidRPr="009E6B3C" w:rsidRDefault="00F8297A" w:rsidP="009E6B3C">
      <w:pPr>
        <w:pStyle w:val="BodySingle"/>
        <w:ind w:left="0"/>
        <w:jc w:val="left"/>
        <w:rPr>
          <w:rFonts w:cs="Arial"/>
          <w:i w:val="0"/>
          <w:lang w:val="en-ZA"/>
        </w:rPr>
      </w:pPr>
    </w:p>
    <w:p w:rsidR="00F8297A" w:rsidRPr="009E6B3C" w:rsidRDefault="00F8297A" w:rsidP="009E6B3C">
      <w:pPr>
        <w:pStyle w:val="BodySingle"/>
        <w:ind w:left="0"/>
        <w:jc w:val="left"/>
        <w:rPr>
          <w:rFonts w:cs="Arial"/>
          <w:i w:val="0"/>
        </w:rPr>
      </w:pPr>
    </w:p>
    <w:p w:rsidR="00F8297A" w:rsidRPr="009E6B3C" w:rsidRDefault="00F8297A" w:rsidP="009E6B3C">
      <w:pPr>
        <w:pStyle w:val="BodySingle"/>
        <w:numPr>
          <w:ilvl w:val="0"/>
          <w:numId w:val="1"/>
        </w:numPr>
        <w:tabs>
          <w:tab w:val="num" w:pos="851"/>
        </w:tabs>
        <w:ind w:left="851" w:hanging="851"/>
        <w:jc w:val="left"/>
        <w:rPr>
          <w:rFonts w:cs="Arial"/>
          <w:i w:val="0"/>
        </w:rPr>
      </w:pPr>
      <w:r w:rsidRPr="009E6B3C">
        <w:rPr>
          <w:rFonts w:cs="Arial"/>
          <w:b/>
          <w:i w:val="0"/>
          <w:lang w:val="en-ZA"/>
        </w:rPr>
        <w:t xml:space="preserve">Public Protector South Africa (PPSA) </w:t>
      </w:r>
    </w:p>
    <w:p w:rsidR="00F8297A" w:rsidRPr="009E6B3C" w:rsidRDefault="00F8297A" w:rsidP="009E6B3C">
      <w:pPr>
        <w:rPr>
          <w:rFonts w:ascii="Arial" w:hAnsi="Arial" w:cs="Arial"/>
          <w:sz w:val="20"/>
          <w:szCs w:val="20"/>
        </w:rPr>
      </w:pPr>
    </w:p>
    <w:p w:rsidR="00F8297A" w:rsidRPr="009E6B3C" w:rsidRDefault="00F8297A" w:rsidP="009E6B3C">
      <w:pPr>
        <w:pStyle w:val="ListParagraph"/>
        <w:numPr>
          <w:ilvl w:val="1"/>
          <w:numId w:val="1"/>
        </w:numPr>
        <w:autoSpaceDE w:val="0"/>
        <w:autoSpaceDN w:val="0"/>
        <w:adjustRightInd w:val="0"/>
        <w:ind w:left="851" w:hanging="851"/>
        <w:rPr>
          <w:rFonts w:ascii="Arial" w:hAnsi="Arial" w:cs="Arial"/>
          <w:sz w:val="20"/>
          <w:szCs w:val="20"/>
        </w:rPr>
      </w:pPr>
      <w:r w:rsidRPr="009E6B3C">
        <w:rPr>
          <w:rFonts w:ascii="Arial" w:hAnsi="Arial" w:cs="Arial"/>
          <w:sz w:val="20"/>
          <w:szCs w:val="20"/>
        </w:rPr>
        <w:t>The</w:t>
      </w:r>
      <w:r w:rsidRPr="009E6B3C">
        <w:rPr>
          <w:rFonts w:ascii="Arial" w:hAnsi="Arial" w:cs="Arial"/>
          <w:bCs/>
          <w:sz w:val="20"/>
          <w:szCs w:val="20"/>
        </w:rPr>
        <w:t xml:space="preserve"> Public Protector </w:t>
      </w:r>
      <w:r w:rsidRPr="009E6B3C">
        <w:rPr>
          <w:rFonts w:ascii="Arial" w:hAnsi="Arial" w:cs="Arial"/>
          <w:sz w:val="20"/>
          <w:szCs w:val="20"/>
        </w:rPr>
        <w:t xml:space="preserve">is an </w:t>
      </w:r>
      <w:r w:rsidRPr="009E6B3C">
        <w:rPr>
          <w:rFonts w:ascii="Arial" w:hAnsi="Arial" w:cs="Arial"/>
          <w:bCs/>
          <w:sz w:val="20"/>
          <w:szCs w:val="20"/>
        </w:rPr>
        <w:t>independent constitutional institution whose mandate</w:t>
      </w:r>
      <w:r w:rsidRPr="009E6B3C">
        <w:rPr>
          <w:rFonts w:ascii="Arial" w:hAnsi="Arial" w:cs="Arial"/>
          <w:sz w:val="20"/>
          <w:szCs w:val="20"/>
        </w:rPr>
        <w:t>, broadly, is to support and strengthen constitutional democracy by investigating maladministration or improper conduct in state affairs or the public administration in any sphere of government and to take appropriate remedial action. The Constitution also states that the Public Protector must be accessible to all persons and communities.</w:t>
      </w:r>
    </w:p>
    <w:p w:rsidR="00F8297A" w:rsidRPr="009E6B3C" w:rsidRDefault="00F8297A" w:rsidP="009E6B3C">
      <w:pPr>
        <w:ind w:left="720"/>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PPSA’s Vision 2023 is underpinned by the following pillars: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Enhancing access to (PPSA) services.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Engaging targeted communities in their mother tongue.</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Expanding the (PPSA’s) footprint.</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Leveraging stakeholder relations and formalising those relationships in Memoranda of Understanding.</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Projecting the image (of the PPSA) as being a safe haven for the downtrodden.</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Empowering people to understand their rights.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Encouraging organs of state to establish effective internal complaints resolution units.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Turning communities into their own liberators.</w:t>
      </w:r>
    </w:p>
    <w:p w:rsidR="00F8297A" w:rsidRPr="009E6B3C" w:rsidRDefault="00F8297A" w:rsidP="009E6B3C">
      <w:pPr>
        <w:pStyle w:val="ListParagraph"/>
        <w:ind w:left="1276"/>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sz w:val="20"/>
          <w:szCs w:val="20"/>
        </w:rPr>
      </w:pPr>
      <w:r w:rsidRPr="009E6B3C">
        <w:rPr>
          <w:rFonts w:ascii="Arial" w:hAnsi="Arial" w:cs="Arial"/>
          <w:sz w:val="20"/>
          <w:szCs w:val="20"/>
        </w:rPr>
        <w:t>The PPSA has adopted a Strategic Plan 2020-2025 in terms of which it seeks to have the following impact: ‘Empower everyone at all levels of society to effectively engage organs of state about any injustice, service delivery failure or improper conduct and assist organs of state to establish and maintain efficient and effective governance and administration’.</w:t>
      </w:r>
    </w:p>
    <w:p w:rsidR="00F8297A" w:rsidRPr="009E6B3C" w:rsidRDefault="00F8297A" w:rsidP="009E6B3C">
      <w:pPr>
        <w:autoSpaceDE w:val="0"/>
        <w:autoSpaceDN w:val="0"/>
        <w:adjustRightInd w:val="0"/>
        <w:ind w:left="851"/>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sz w:val="20"/>
          <w:szCs w:val="20"/>
          <w:lang w:val="en-US"/>
        </w:rPr>
      </w:pPr>
      <w:r w:rsidRPr="009E6B3C">
        <w:rPr>
          <w:rFonts w:ascii="Arial" w:hAnsi="Arial" w:cs="Arial"/>
          <w:b/>
          <w:i/>
          <w:sz w:val="20"/>
          <w:szCs w:val="20"/>
        </w:rPr>
        <w:t>Human Resources</w:t>
      </w:r>
      <w:r w:rsidRPr="009E6B3C">
        <w:rPr>
          <w:rFonts w:ascii="Arial" w:hAnsi="Arial" w:cs="Arial"/>
          <w:sz w:val="20"/>
          <w:szCs w:val="20"/>
        </w:rPr>
        <w:t>: As at 31 March 2022, the PPSA had 332 employees with approved posts of 368 (compared with 31 March 2021, the PPSA had 336 employees with</w:t>
      </w:r>
      <w:r w:rsidRPr="009E6B3C">
        <w:rPr>
          <w:rFonts w:ascii="Arial" w:hAnsi="Arial" w:cs="Arial"/>
          <w:b/>
          <w:sz w:val="20"/>
          <w:szCs w:val="20"/>
          <w:lang w:val="en-US"/>
        </w:rPr>
        <w:t xml:space="preserve"> </w:t>
      </w:r>
      <w:r w:rsidRPr="009E6B3C">
        <w:rPr>
          <w:rFonts w:ascii="Arial" w:hAnsi="Arial" w:cs="Arial"/>
          <w:sz w:val="20"/>
          <w:szCs w:val="20"/>
          <w:lang w:val="en-US"/>
        </w:rPr>
        <w:t>approved posts of 356).  The vacancy rate as at 31 March 2022 was 9.78%, compared with 2020/21 at 4.8%.</w:t>
      </w:r>
    </w:p>
    <w:p w:rsidR="00F8297A" w:rsidRPr="009E6B3C" w:rsidRDefault="00F8297A" w:rsidP="009E6B3C">
      <w:pPr>
        <w:pStyle w:val="ListParagraph"/>
        <w:rPr>
          <w:rFonts w:ascii="Arial" w:hAnsi="Arial" w:cs="Arial"/>
          <w:b/>
          <w:sz w:val="20"/>
          <w:szCs w:val="20"/>
          <w:lang w:val="en-US"/>
        </w:rPr>
      </w:pPr>
    </w:p>
    <w:p w:rsidR="00F8297A" w:rsidRPr="009E6B3C" w:rsidRDefault="00F8297A" w:rsidP="009E6B3C">
      <w:pPr>
        <w:pStyle w:val="ListParagraph"/>
        <w:numPr>
          <w:ilvl w:val="1"/>
          <w:numId w:val="1"/>
        </w:numPr>
        <w:ind w:left="851" w:hanging="851"/>
        <w:rPr>
          <w:rFonts w:ascii="Arial" w:hAnsi="Arial" w:cs="Arial"/>
          <w:sz w:val="20"/>
          <w:szCs w:val="20"/>
        </w:rPr>
      </w:pPr>
      <w:r w:rsidRPr="009E6B3C">
        <w:rPr>
          <w:rFonts w:ascii="Arial" w:hAnsi="Arial" w:cs="Arial"/>
          <w:b/>
          <w:i/>
          <w:sz w:val="20"/>
          <w:szCs w:val="20"/>
          <w:lang w:val="en-US"/>
        </w:rPr>
        <w:t>Audit outcome</w:t>
      </w:r>
      <w:r w:rsidRPr="009E6B3C">
        <w:rPr>
          <w:rFonts w:ascii="Arial" w:hAnsi="Arial" w:cs="Arial"/>
          <w:b/>
          <w:sz w:val="20"/>
          <w:szCs w:val="20"/>
          <w:lang w:val="en-US"/>
        </w:rPr>
        <w:t>.</w:t>
      </w:r>
      <w:r w:rsidRPr="009E6B3C">
        <w:rPr>
          <w:rFonts w:ascii="Arial" w:hAnsi="Arial" w:cs="Arial"/>
          <w:sz w:val="20"/>
          <w:szCs w:val="20"/>
          <w:lang w:val="en-US"/>
        </w:rPr>
        <w:t xml:space="preserve"> </w:t>
      </w:r>
    </w:p>
    <w:p w:rsidR="00F8297A" w:rsidRPr="009E6B3C" w:rsidRDefault="00F8297A" w:rsidP="009E6B3C">
      <w:pPr>
        <w:pStyle w:val="ListParagraph"/>
        <w:rPr>
          <w:rFonts w:ascii="Arial" w:hAnsi="Arial" w:cs="Arial"/>
          <w:sz w:val="20"/>
          <w:szCs w:val="20"/>
          <w:lang w:val="en-US"/>
        </w:rPr>
      </w:pPr>
    </w:p>
    <w:p w:rsidR="00F8297A" w:rsidRPr="009E6B3C" w:rsidRDefault="00F8297A" w:rsidP="009E6B3C">
      <w:pPr>
        <w:pStyle w:val="ListParagraph"/>
        <w:numPr>
          <w:ilvl w:val="2"/>
          <w:numId w:val="36"/>
        </w:numPr>
        <w:ind w:left="851" w:hanging="851"/>
        <w:rPr>
          <w:rFonts w:ascii="Arial" w:hAnsi="Arial" w:cs="Arial"/>
          <w:sz w:val="20"/>
          <w:szCs w:val="20"/>
        </w:rPr>
      </w:pPr>
      <w:r w:rsidRPr="009E6B3C">
        <w:rPr>
          <w:rFonts w:ascii="Arial" w:hAnsi="Arial" w:cs="Arial"/>
          <w:sz w:val="20"/>
          <w:szCs w:val="20"/>
          <w:lang w:val="en-US"/>
        </w:rPr>
        <w:t>The PPSA once again achieved a clean audit opinion in 2021/22, although both the Auditor-General and Audit Committee identify areas of weakness.</w:t>
      </w:r>
    </w:p>
    <w:p w:rsidR="00F8297A" w:rsidRPr="009E6B3C" w:rsidRDefault="00F8297A" w:rsidP="009E6B3C">
      <w:pPr>
        <w:pStyle w:val="ListParagraph"/>
        <w:ind w:left="851"/>
        <w:rPr>
          <w:rFonts w:ascii="Arial" w:hAnsi="Arial" w:cs="Arial"/>
          <w:sz w:val="20"/>
          <w:szCs w:val="20"/>
        </w:rPr>
      </w:pPr>
    </w:p>
    <w:p w:rsidR="00F8297A" w:rsidRPr="009E6B3C" w:rsidRDefault="00F8297A" w:rsidP="009E6B3C">
      <w:pPr>
        <w:pStyle w:val="ListParagraph"/>
        <w:numPr>
          <w:ilvl w:val="2"/>
          <w:numId w:val="36"/>
        </w:numPr>
        <w:ind w:left="851" w:hanging="851"/>
        <w:rPr>
          <w:rFonts w:ascii="Arial" w:hAnsi="Arial" w:cs="Arial"/>
          <w:sz w:val="20"/>
          <w:szCs w:val="20"/>
        </w:rPr>
      </w:pPr>
      <w:r w:rsidRPr="009E6B3C">
        <w:rPr>
          <w:rFonts w:ascii="Arial" w:hAnsi="Arial" w:cs="Arial"/>
          <w:sz w:val="20"/>
          <w:szCs w:val="20"/>
          <w:lang w:val="en-US"/>
        </w:rPr>
        <w:t>The</w:t>
      </w:r>
      <w:r w:rsidRPr="009E6B3C">
        <w:rPr>
          <w:rFonts w:ascii="Arial" w:hAnsi="Arial" w:cs="Arial"/>
          <w:sz w:val="20"/>
          <w:szCs w:val="20"/>
        </w:rPr>
        <w:t xml:space="preserve"> A</w:t>
      </w:r>
      <w:r w:rsidR="00ED159D" w:rsidRPr="009E6B3C">
        <w:rPr>
          <w:rFonts w:ascii="Arial" w:hAnsi="Arial" w:cs="Arial"/>
          <w:sz w:val="20"/>
          <w:szCs w:val="20"/>
        </w:rPr>
        <w:t xml:space="preserve">uditor-General </w:t>
      </w:r>
      <w:r w:rsidRPr="009E6B3C">
        <w:rPr>
          <w:rFonts w:ascii="Arial" w:hAnsi="Arial" w:cs="Arial"/>
          <w:sz w:val="20"/>
          <w:szCs w:val="20"/>
        </w:rPr>
        <w:t>identified the following as concerning: The D</w:t>
      </w:r>
      <w:r w:rsidR="00ED159D" w:rsidRPr="009E6B3C">
        <w:rPr>
          <w:rFonts w:ascii="Arial" w:hAnsi="Arial" w:cs="Arial"/>
          <w:sz w:val="20"/>
          <w:szCs w:val="20"/>
        </w:rPr>
        <w:t>PCI</w:t>
      </w:r>
      <w:r w:rsidRPr="009E6B3C">
        <w:rPr>
          <w:rFonts w:ascii="Arial" w:hAnsi="Arial" w:cs="Arial"/>
          <w:sz w:val="20"/>
          <w:szCs w:val="20"/>
        </w:rPr>
        <w:t xml:space="preserve"> undertook an investigation at the PPSA following an anonymous complaint relating to procurement processes followed during the appointment of service providers during 2013/14 and 2014/15. The investigation has since been completed and referred to the NPA, which decided not to </w:t>
      </w:r>
      <w:r w:rsidR="00ED159D" w:rsidRPr="009E6B3C">
        <w:rPr>
          <w:rFonts w:ascii="Arial" w:hAnsi="Arial" w:cs="Arial"/>
          <w:sz w:val="20"/>
          <w:szCs w:val="20"/>
        </w:rPr>
        <w:t xml:space="preserve">prosecute the </w:t>
      </w:r>
      <w:r w:rsidRPr="009E6B3C">
        <w:rPr>
          <w:rFonts w:ascii="Arial" w:hAnsi="Arial" w:cs="Arial"/>
          <w:sz w:val="20"/>
          <w:szCs w:val="20"/>
        </w:rPr>
        <w:t xml:space="preserve">matter. </w:t>
      </w:r>
    </w:p>
    <w:p w:rsidR="00F8297A" w:rsidRPr="009E6B3C" w:rsidRDefault="00F8297A" w:rsidP="009E6B3C">
      <w:pPr>
        <w:pStyle w:val="ListParagraph"/>
        <w:ind w:left="851"/>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b/>
          <w:i/>
          <w:sz w:val="20"/>
          <w:szCs w:val="20"/>
          <w:lang w:eastAsia="en-US"/>
        </w:rPr>
      </w:pPr>
      <w:r w:rsidRPr="009E6B3C">
        <w:rPr>
          <w:rFonts w:ascii="Arial" w:hAnsi="Arial" w:cs="Arial"/>
          <w:b/>
          <w:i/>
          <w:sz w:val="20"/>
          <w:szCs w:val="20"/>
          <w:lang w:eastAsia="en-US"/>
        </w:rPr>
        <w:t xml:space="preserve">Financial performance </w:t>
      </w:r>
    </w:p>
    <w:p w:rsidR="00F8297A" w:rsidRPr="009E6B3C" w:rsidRDefault="00F8297A" w:rsidP="009E6B3C">
      <w:pPr>
        <w:pStyle w:val="ListParagraph"/>
        <w:rPr>
          <w:rFonts w:ascii="Arial" w:hAnsi="Arial" w:cs="Arial"/>
          <w:bCs/>
          <w:sz w:val="20"/>
          <w:szCs w:val="20"/>
        </w:rPr>
      </w:pPr>
    </w:p>
    <w:p w:rsidR="00F8297A" w:rsidRPr="009E6B3C" w:rsidRDefault="00F8297A" w:rsidP="009E6B3C">
      <w:pPr>
        <w:pStyle w:val="ListParagraph"/>
        <w:numPr>
          <w:ilvl w:val="2"/>
          <w:numId w:val="37"/>
        </w:numPr>
        <w:ind w:left="851" w:hanging="851"/>
        <w:rPr>
          <w:rFonts w:ascii="Arial" w:hAnsi="Arial" w:cs="Arial"/>
          <w:sz w:val="20"/>
          <w:szCs w:val="20"/>
          <w:lang w:eastAsia="en-US"/>
        </w:rPr>
      </w:pPr>
      <w:r w:rsidRPr="009E6B3C">
        <w:rPr>
          <w:rFonts w:ascii="Arial" w:hAnsi="Arial" w:cs="Arial"/>
          <w:bCs/>
          <w:sz w:val="20"/>
          <w:szCs w:val="20"/>
        </w:rPr>
        <w:t>In</w:t>
      </w:r>
      <w:r w:rsidRPr="009E6B3C">
        <w:rPr>
          <w:rFonts w:ascii="Arial" w:hAnsi="Arial" w:cs="Arial"/>
          <w:sz w:val="20"/>
          <w:szCs w:val="20"/>
        </w:rPr>
        <w:t xml:space="preserve"> 2021/22, the PPSA had a budget of R374.7 million compared with R339 million in 2020/21. A breakdown of the PPSA’s revenue is as follows: R329 million was from grant funding, R30.8 million was reprioritised from the Department in the Third-Quarter of 2021/22 and R11 million was from other income received.</w:t>
      </w:r>
    </w:p>
    <w:p w:rsidR="00F8297A" w:rsidRPr="009E6B3C" w:rsidRDefault="00F8297A" w:rsidP="009E6B3C">
      <w:pPr>
        <w:pStyle w:val="ListParagraph"/>
        <w:ind w:left="851"/>
        <w:rPr>
          <w:rFonts w:ascii="Arial" w:hAnsi="Arial" w:cs="Arial"/>
          <w:sz w:val="20"/>
          <w:szCs w:val="20"/>
          <w:lang w:eastAsia="en-US"/>
        </w:rPr>
      </w:pPr>
    </w:p>
    <w:p w:rsidR="00F8297A" w:rsidRPr="009E6B3C" w:rsidRDefault="00F8297A" w:rsidP="009E6B3C">
      <w:pPr>
        <w:pStyle w:val="ListParagraph"/>
        <w:numPr>
          <w:ilvl w:val="2"/>
          <w:numId w:val="37"/>
        </w:numPr>
        <w:ind w:left="851" w:hanging="851"/>
        <w:rPr>
          <w:rFonts w:ascii="Arial" w:hAnsi="Arial" w:cs="Arial"/>
          <w:sz w:val="20"/>
          <w:szCs w:val="20"/>
          <w:lang w:eastAsia="en-US"/>
        </w:rPr>
      </w:pPr>
      <w:r w:rsidRPr="009E6B3C">
        <w:rPr>
          <w:rFonts w:ascii="Arial" w:hAnsi="Arial" w:cs="Arial"/>
          <w:sz w:val="20"/>
          <w:szCs w:val="20"/>
        </w:rPr>
        <w:t xml:space="preserve">In 2020/21, the PPSA’s allocation was adjusted downwards by R16.1 million from its compensation of employees’ budget, which prevented the PPSA from filling critical vacancies or address ongoing issues with the aging ICT infrastructure. </w:t>
      </w:r>
    </w:p>
    <w:p w:rsidR="00F8297A" w:rsidRPr="009E6B3C" w:rsidRDefault="00F8297A" w:rsidP="009E6B3C">
      <w:pPr>
        <w:pStyle w:val="ListParagraph"/>
        <w:ind w:left="851"/>
        <w:rPr>
          <w:rFonts w:ascii="Arial" w:hAnsi="Arial" w:cs="Arial"/>
          <w:sz w:val="20"/>
          <w:szCs w:val="20"/>
          <w:lang w:eastAsia="en-US"/>
        </w:rPr>
      </w:pPr>
    </w:p>
    <w:p w:rsidR="00F8297A" w:rsidRPr="009E6B3C" w:rsidRDefault="00F8297A" w:rsidP="009E6B3C">
      <w:pPr>
        <w:pStyle w:val="ListParagraph"/>
        <w:numPr>
          <w:ilvl w:val="2"/>
          <w:numId w:val="37"/>
        </w:numPr>
        <w:ind w:left="851" w:hanging="851"/>
        <w:rPr>
          <w:rFonts w:ascii="Arial" w:hAnsi="Arial" w:cs="Arial"/>
          <w:sz w:val="20"/>
          <w:szCs w:val="20"/>
          <w:lang w:eastAsia="en-US"/>
        </w:rPr>
      </w:pPr>
      <w:r w:rsidRPr="009E6B3C">
        <w:rPr>
          <w:rFonts w:ascii="Arial" w:hAnsi="Arial" w:cs="Arial"/>
          <w:sz w:val="20"/>
          <w:szCs w:val="20"/>
        </w:rPr>
        <w:t>At already mentioned, the PPSA received funds from the Department of R30.8 million in 2021/22. This is the fifth consecutive year in which this has taken place. The PPSA reports that total amount of reprioritised funds were received too late to spend but that the PPSA was given approval by National Treasury to retain the surplus. The PPSA plans to use the money on projects</w:t>
      </w:r>
      <w:r w:rsidR="00ED159D" w:rsidRPr="009E6B3C">
        <w:rPr>
          <w:rFonts w:ascii="Arial" w:hAnsi="Arial" w:cs="Arial"/>
          <w:sz w:val="20"/>
          <w:szCs w:val="20"/>
        </w:rPr>
        <w:t>.</w:t>
      </w:r>
    </w:p>
    <w:p w:rsidR="00F8297A" w:rsidRPr="009E6B3C" w:rsidRDefault="00F8297A" w:rsidP="009E6B3C">
      <w:pPr>
        <w:pStyle w:val="ListParagraph"/>
        <w:rPr>
          <w:rFonts w:ascii="Arial" w:hAnsi="Arial" w:cs="Arial"/>
          <w:sz w:val="20"/>
          <w:szCs w:val="20"/>
        </w:rPr>
      </w:pPr>
    </w:p>
    <w:p w:rsidR="00F8297A" w:rsidRPr="009E6B3C" w:rsidRDefault="00F8297A" w:rsidP="009E6B3C">
      <w:pPr>
        <w:pStyle w:val="ListParagraph"/>
        <w:numPr>
          <w:ilvl w:val="2"/>
          <w:numId w:val="37"/>
        </w:numPr>
        <w:ind w:left="851" w:hanging="851"/>
        <w:rPr>
          <w:rFonts w:ascii="Arial" w:hAnsi="Arial" w:cs="Arial"/>
          <w:sz w:val="20"/>
          <w:szCs w:val="20"/>
          <w:lang w:eastAsia="en-US"/>
        </w:rPr>
      </w:pPr>
      <w:r w:rsidRPr="009E6B3C">
        <w:rPr>
          <w:rFonts w:ascii="Arial" w:hAnsi="Arial" w:cs="Arial"/>
          <w:sz w:val="20"/>
          <w:szCs w:val="20"/>
        </w:rPr>
        <w:t xml:space="preserve">The PPSA spent R339.6 million or 91% of the total allocation, with a surplus of R35.1 million. </w:t>
      </w:r>
    </w:p>
    <w:p w:rsidR="00F8297A" w:rsidRPr="009E6B3C" w:rsidRDefault="00F8297A" w:rsidP="009E6B3C">
      <w:pPr>
        <w:pStyle w:val="ListParagraph"/>
        <w:rPr>
          <w:rFonts w:ascii="Arial" w:hAnsi="Arial" w:cs="Arial"/>
          <w:sz w:val="20"/>
          <w:szCs w:val="20"/>
        </w:rPr>
      </w:pPr>
    </w:p>
    <w:p w:rsidR="00F8297A" w:rsidRPr="009E6B3C" w:rsidRDefault="00F8297A" w:rsidP="009E6B3C">
      <w:pPr>
        <w:pStyle w:val="ListParagraph"/>
        <w:numPr>
          <w:ilvl w:val="2"/>
          <w:numId w:val="37"/>
        </w:numPr>
        <w:rPr>
          <w:rFonts w:ascii="Arial" w:hAnsi="Arial" w:cs="Arial"/>
          <w:sz w:val="20"/>
          <w:szCs w:val="20"/>
          <w:lang w:eastAsia="en-US"/>
        </w:rPr>
      </w:pPr>
      <w:r w:rsidRPr="009E6B3C">
        <w:rPr>
          <w:rFonts w:ascii="Arial" w:hAnsi="Arial" w:cs="Arial"/>
          <w:sz w:val="20"/>
          <w:szCs w:val="20"/>
        </w:rPr>
        <w:t>Compensation of employees remains the PPSA’s main cost driver at R245.9 million or 72% of the budget, while Administrative expenses consume R87.4 million.</w:t>
      </w:r>
    </w:p>
    <w:p w:rsidR="00F8297A" w:rsidRPr="009E6B3C" w:rsidRDefault="00F8297A" w:rsidP="009E6B3C">
      <w:pPr>
        <w:pStyle w:val="ListParagraph"/>
        <w:rPr>
          <w:rFonts w:ascii="Arial" w:hAnsi="Arial" w:cs="Arial"/>
          <w:sz w:val="20"/>
          <w:szCs w:val="20"/>
          <w:lang w:eastAsia="en-US"/>
        </w:rPr>
      </w:pPr>
    </w:p>
    <w:p w:rsidR="00F8297A" w:rsidRPr="009E6B3C" w:rsidRDefault="00F8297A" w:rsidP="009E6B3C">
      <w:pPr>
        <w:pStyle w:val="ListParagraph"/>
        <w:numPr>
          <w:ilvl w:val="2"/>
          <w:numId w:val="37"/>
        </w:numPr>
        <w:rPr>
          <w:rFonts w:ascii="Arial" w:hAnsi="Arial" w:cs="Arial"/>
          <w:sz w:val="20"/>
          <w:szCs w:val="20"/>
          <w:lang w:eastAsia="en-US"/>
        </w:rPr>
      </w:pPr>
      <w:r w:rsidRPr="009E6B3C">
        <w:rPr>
          <w:rFonts w:ascii="Arial" w:hAnsi="Arial" w:cs="Arial"/>
          <w:sz w:val="20"/>
          <w:szCs w:val="20"/>
        </w:rPr>
        <w:t>Notably</w:t>
      </w:r>
      <w:r w:rsidRPr="009E6B3C">
        <w:rPr>
          <w:rFonts w:ascii="Arial" w:hAnsi="Arial" w:cs="Arial"/>
          <w:sz w:val="20"/>
          <w:szCs w:val="20"/>
          <w:lang w:eastAsia="en-US"/>
        </w:rPr>
        <w:t>, t</w:t>
      </w:r>
      <w:r w:rsidRPr="009E6B3C">
        <w:rPr>
          <w:rFonts w:ascii="Arial" w:hAnsi="Arial" w:cs="Arial"/>
          <w:sz w:val="20"/>
          <w:szCs w:val="20"/>
        </w:rPr>
        <w:t xml:space="preserve">he largest line item in the budget under administrative expenses is consulting and professional fees (this includes legal fees) in the amount of R25.1 million. </w:t>
      </w:r>
    </w:p>
    <w:p w:rsidR="00F8297A" w:rsidRPr="009E6B3C" w:rsidRDefault="00F8297A" w:rsidP="009E6B3C">
      <w:pPr>
        <w:pStyle w:val="ListParagraph"/>
        <w:rPr>
          <w:rFonts w:ascii="Arial" w:hAnsi="Arial" w:cs="Arial"/>
          <w:sz w:val="20"/>
          <w:szCs w:val="20"/>
          <w:lang w:eastAsia="en-US"/>
        </w:rPr>
      </w:pPr>
    </w:p>
    <w:p w:rsidR="00F8297A" w:rsidRPr="009E6B3C" w:rsidRDefault="00F8297A" w:rsidP="009E6B3C">
      <w:pPr>
        <w:rPr>
          <w:rFonts w:ascii="Arial" w:hAnsi="Arial" w:cs="Arial"/>
          <w:b/>
          <w:i/>
          <w:sz w:val="20"/>
          <w:szCs w:val="20"/>
          <w:lang w:eastAsia="en-US"/>
        </w:rPr>
      </w:pPr>
      <w:r w:rsidRPr="009E6B3C">
        <w:rPr>
          <w:rFonts w:ascii="Arial" w:hAnsi="Arial" w:cs="Arial"/>
          <w:b/>
          <w:i/>
          <w:sz w:val="20"/>
          <w:szCs w:val="20"/>
          <w:lang w:eastAsia="en-US"/>
        </w:rPr>
        <w:t>Table</w:t>
      </w:r>
      <w:r w:rsidR="007B5746" w:rsidRPr="009E6B3C">
        <w:rPr>
          <w:rFonts w:ascii="Arial" w:hAnsi="Arial" w:cs="Arial"/>
          <w:b/>
          <w:i/>
          <w:sz w:val="20"/>
          <w:szCs w:val="20"/>
          <w:lang w:eastAsia="en-US"/>
        </w:rPr>
        <w:t xml:space="preserve"> 25</w:t>
      </w:r>
      <w:r w:rsidRPr="009E6B3C">
        <w:rPr>
          <w:rFonts w:ascii="Arial" w:hAnsi="Arial" w:cs="Arial"/>
          <w:b/>
          <w:i/>
          <w:sz w:val="20"/>
          <w:szCs w:val="20"/>
          <w:lang w:eastAsia="en-US"/>
        </w:rPr>
        <w:t>:</w:t>
      </w:r>
      <w:r w:rsidR="007B5746" w:rsidRPr="009E6B3C">
        <w:rPr>
          <w:rFonts w:ascii="Arial" w:hAnsi="Arial" w:cs="Arial"/>
          <w:b/>
          <w:i/>
          <w:sz w:val="20"/>
          <w:szCs w:val="20"/>
          <w:lang w:eastAsia="en-US"/>
        </w:rPr>
        <w:t xml:space="preserve"> PPSA</w:t>
      </w:r>
      <w:r w:rsidRPr="009E6B3C">
        <w:rPr>
          <w:rFonts w:ascii="Arial" w:hAnsi="Arial" w:cs="Arial"/>
          <w:b/>
          <w:i/>
          <w:sz w:val="20"/>
          <w:szCs w:val="20"/>
          <w:lang w:eastAsia="en-US"/>
        </w:rPr>
        <w:t xml:space="preserve"> </w:t>
      </w:r>
      <w:r w:rsidRPr="009E6B3C">
        <w:rPr>
          <w:rFonts w:ascii="Arial" w:hAnsi="Arial" w:cs="Arial"/>
          <w:b/>
          <w:i/>
          <w:sz w:val="20"/>
          <w:szCs w:val="20"/>
        </w:rPr>
        <w:t>Consulting and professional fees</w:t>
      </w:r>
    </w:p>
    <w:tbl>
      <w:tblPr>
        <w:tblStyle w:val="TableGrid"/>
        <w:tblW w:w="5000" w:type="pct"/>
        <w:tblLook w:val="04A0"/>
      </w:tblPr>
      <w:tblGrid>
        <w:gridCol w:w="1815"/>
        <w:gridCol w:w="1954"/>
        <w:gridCol w:w="1954"/>
        <w:gridCol w:w="1954"/>
        <w:gridCol w:w="1950"/>
      </w:tblGrid>
      <w:tr w:rsidR="00F8297A" w:rsidRPr="009E6B3C" w:rsidTr="00905DF7">
        <w:tc>
          <w:tcPr>
            <w:tcW w:w="942"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2017/18</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2018/19</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2019/20</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2020/21</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2021/22</w:t>
            </w:r>
          </w:p>
        </w:tc>
      </w:tr>
      <w:tr w:rsidR="00F8297A" w:rsidRPr="009E6B3C" w:rsidTr="00905DF7">
        <w:tc>
          <w:tcPr>
            <w:tcW w:w="942"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R25.4 million</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R17.18 million</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R49.81 million</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R35.91 million</w:t>
            </w:r>
          </w:p>
        </w:tc>
        <w:tc>
          <w:tcPr>
            <w:tcW w:w="1015" w:type="pct"/>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R25.42 million</w:t>
            </w:r>
          </w:p>
        </w:tc>
      </w:tr>
    </w:tbl>
    <w:p w:rsidR="00F8297A" w:rsidRPr="009E6B3C" w:rsidRDefault="00F8297A" w:rsidP="009E6B3C">
      <w:pPr>
        <w:rPr>
          <w:rFonts w:ascii="Arial" w:hAnsi="Arial" w:cs="Arial"/>
          <w:sz w:val="20"/>
          <w:szCs w:val="20"/>
          <w:lang w:eastAsia="en-US"/>
        </w:rPr>
      </w:pPr>
    </w:p>
    <w:p w:rsidR="00F8297A" w:rsidRPr="009E6B3C" w:rsidRDefault="00F8297A"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Allocation and expenditure First Quarter 2022/23</w:t>
      </w:r>
    </w:p>
    <w:p w:rsidR="00F8297A" w:rsidRPr="009E6B3C" w:rsidRDefault="00F8297A" w:rsidP="009E6B3C">
      <w:pPr>
        <w:pStyle w:val="ListParagraph"/>
        <w:ind w:left="862"/>
        <w:rPr>
          <w:rFonts w:ascii="Arial" w:hAnsi="Arial" w:cs="Arial"/>
          <w:b/>
          <w:i/>
          <w:sz w:val="20"/>
          <w:szCs w:val="20"/>
        </w:rPr>
      </w:pPr>
    </w:p>
    <w:p w:rsidR="00F8297A" w:rsidRPr="009E6B3C" w:rsidRDefault="00F8297A" w:rsidP="009E6B3C">
      <w:pPr>
        <w:pStyle w:val="ListParagraph"/>
        <w:numPr>
          <w:ilvl w:val="2"/>
          <w:numId w:val="38"/>
        </w:numPr>
        <w:ind w:left="851" w:hanging="851"/>
        <w:rPr>
          <w:rFonts w:ascii="Arial" w:hAnsi="Arial" w:cs="Arial"/>
          <w:sz w:val="20"/>
          <w:szCs w:val="20"/>
        </w:rPr>
      </w:pPr>
      <w:r w:rsidRPr="009E6B3C">
        <w:rPr>
          <w:rFonts w:ascii="Arial" w:hAnsi="Arial" w:cs="Arial"/>
          <w:sz w:val="20"/>
          <w:szCs w:val="20"/>
        </w:rPr>
        <w:t>The</w:t>
      </w:r>
      <w:r w:rsidRPr="009E6B3C">
        <w:rPr>
          <w:rFonts w:ascii="Arial" w:hAnsi="Arial" w:cs="Arial"/>
          <w:sz w:val="20"/>
          <w:szCs w:val="20"/>
          <w:lang w:val="en-US"/>
        </w:rPr>
        <w:t xml:space="preserve"> original approved budget for the PPSA amounts to R360.9 million.</w:t>
      </w:r>
    </w:p>
    <w:p w:rsidR="00F8297A" w:rsidRPr="009E6B3C" w:rsidRDefault="00F8297A" w:rsidP="009E6B3C">
      <w:pPr>
        <w:pStyle w:val="ListParagraph"/>
        <w:ind w:left="862"/>
        <w:rPr>
          <w:rFonts w:ascii="Arial" w:hAnsi="Arial" w:cs="Arial"/>
          <w:sz w:val="20"/>
          <w:szCs w:val="20"/>
        </w:rPr>
      </w:pPr>
    </w:p>
    <w:p w:rsidR="00F8297A" w:rsidRPr="009E6B3C" w:rsidRDefault="00F8297A" w:rsidP="009E6B3C">
      <w:pPr>
        <w:pStyle w:val="ListParagraph"/>
        <w:numPr>
          <w:ilvl w:val="2"/>
          <w:numId w:val="38"/>
        </w:numPr>
        <w:ind w:left="851" w:hanging="851"/>
        <w:rPr>
          <w:rFonts w:ascii="Arial" w:hAnsi="Arial" w:cs="Arial"/>
          <w:sz w:val="20"/>
          <w:szCs w:val="20"/>
        </w:rPr>
      </w:pPr>
      <w:r w:rsidRPr="009E6B3C">
        <w:rPr>
          <w:rFonts w:ascii="Arial" w:hAnsi="Arial" w:cs="Arial"/>
          <w:sz w:val="20"/>
          <w:szCs w:val="20"/>
        </w:rPr>
        <w:t>As</w:t>
      </w:r>
      <w:r w:rsidRPr="009E6B3C">
        <w:rPr>
          <w:rFonts w:ascii="Arial" w:hAnsi="Arial" w:cs="Arial"/>
          <w:sz w:val="20"/>
          <w:szCs w:val="20"/>
          <w:lang w:val="en-US"/>
        </w:rPr>
        <w:t xml:space="preserve"> at 30 June 2022, PPSA’s total expenditure was R78.3 million with spending on employee costs of R63 million (23%) and Goods and Services R14.3 million (17%). The total expenditure trend of 22% is below average by 3%</w:t>
      </w:r>
    </w:p>
    <w:p w:rsidR="00F8297A" w:rsidRPr="009E6B3C" w:rsidRDefault="00F8297A" w:rsidP="009E6B3C">
      <w:pPr>
        <w:pStyle w:val="ListParagraph"/>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sz w:val="20"/>
          <w:szCs w:val="20"/>
        </w:rPr>
      </w:pPr>
      <w:r w:rsidRPr="009E6B3C">
        <w:rPr>
          <w:rFonts w:ascii="Arial" w:hAnsi="Arial" w:cs="Arial"/>
          <w:b/>
          <w:i/>
          <w:sz w:val="20"/>
          <w:szCs w:val="20"/>
        </w:rPr>
        <w:t>Non-financial performance</w:t>
      </w:r>
      <w:r w:rsidR="005E7077" w:rsidRPr="009E6B3C">
        <w:rPr>
          <w:rFonts w:ascii="Arial" w:hAnsi="Arial" w:cs="Arial"/>
          <w:b/>
          <w:sz w:val="20"/>
          <w:szCs w:val="20"/>
        </w:rPr>
        <w:t xml:space="preserve"> 2021/22</w:t>
      </w:r>
    </w:p>
    <w:p w:rsidR="00F8297A" w:rsidRPr="009E6B3C" w:rsidRDefault="00F8297A" w:rsidP="009E6B3C">
      <w:pPr>
        <w:pStyle w:val="ListParagraph"/>
        <w:rPr>
          <w:rFonts w:ascii="Arial" w:hAnsi="Arial" w:cs="Arial"/>
          <w:sz w:val="20"/>
          <w:szCs w:val="20"/>
        </w:rPr>
      </w:pPr>
    </w:p>
    <w:p w:rsidR="00F8297A" w:rsidRPr="009E6B3C" w:rsidRDefault="00F8297A" w:rsidP="009E6B3C">
      <w:pPr>
        <w:pStyle w:val="ListParagraph"/>
        <w:numPr>
          <w:ilvl w:val="2"/>
          <w:numId w:val="39"/>
        </w:numPr>
        <w:ind w:left="851" w:hanging="851"/>
        <w:rPr>
          <w:rFonts w:ascii="Arial" w:hAnsi="Arial" w:cs="Arial"/>
          <w:sz w:val="20"/>
          <w:szCs w:val="20"/>
        </w:rPr>
      </w:pPr>
      <w:r w:rsidRPr="009E6B3C">
        <w:rPr>
          <w:rFonts w:ascii="Arial" w:hAnsi="Arial" w:cs="Arial"/>
          <w:sz w:val="20"/>
          <w:szCs w:val="20"/>
        </w:rPr>
        <w:t>The PPSA reports that it achieved six of seven or 86% of targets in 2021/22, compared with 10 of 12 or 83% of its targets for 2020/21.</w:t>
      </w:r>
    </w:p>
    <w:p w:rsidR="00F8297A" w:rsidRPr="009E6B3C" w:rsidRDefault="00F8297A" w:rsidP="009E6B3C">
      <w:pPr>
        <w:pStyle w:val="ListParagraph"/>
        <w:rPr>
          <w:rFonts w:ascii="Arial" w:hAnsi="Arial" w:cs="Arial"/>
          <w:sz w:val="20"/>
          <w:szCs w:val="20"/>
        </w:rPr>
      </w:pPr>
    </w:p>
    <w:p w:rsidR="00F8297A" w:rsidRPr="009E6B3C" w:rsidRDefault="00F8297A" w:rsidP="009E6B3C">
      <w:pPr>
        <w:pStyle w:val="ListParagraph"/>
        <w:numPr>
          <w:ilvl w:val="2"/>
          <w:numId w:val="39"/>
        </w:numPr>
        <w:ind w:left="851" w:hanging="851"/>
        <w:rPr>
          <w:rFonts w:ascii="Arial" w:hAnsi="Arial" w:cs="Arial"/>
          <w:sz w:val="20"/>
          <w:szCs w:val="20"/>
        </w:rPr>
      </w:pPr>
      <w:r w:rsidRPr="009E6B3C">
        <w:rPr>
          <w:rFonts w:ascii="Arial" w:hAnsi="Arial" w:cs="Arial"/>
          <w:sz w:val="20"/>
          <w:szCs w:val="20"/>
        </w:rPr>
        <w:t>In terms of caseload, the PPSA received 6 826 new complaints (compared with 5 108 new complaints received in 2020/21), while finalising 6 886 matters (compared with 6 927 in 2020/21). However, 3 198 actual investigations were finalised.</w:t>
      </w:r>
    </w:p>
    <w:p w:rsidR="00ED159D" w:rsidRPr="009E6B3C" w:rsidRDefault="00ED159D" w:rsidP="009E6B3C">
      <w:pPr>
        <w:pStyle w:val="ListParagraph"/>
        <w:rPr>
          <w:rFonts w:ascii="Arial" w:hAnsi="Arial" w:cs="Arial"/>
          <w:sz w:val="20"/>
          <w:szCs w:val="20"/>
        </w:rPr>
      </w:pPr>
    </w:p>
    <w:p w:rsidR="00ED159D" w:rsidRPr="009E6B3C" w:rsidRDefault="00ED159D" w:rsidP="009E6B3C">
      <w:pPr>
        <w:pStyle w:val="ListParagraph"/>
        <w:ind w:left="851"/>
        <w:rPr>
          <w:rFonts w:ascii="Arial" w:hAnsi="Arial" w:cs="Arial"/>
          <w:sz w:val="20"/>
          <w:szCs w:val="20"/>
        </w:rPr>
      </w:pPr>
    </w:p>
    <w:p w:rsidR="00F8297A" w:rsidRPr="009E6B3C" w:rsidRDefault="007B5746" w:rsidP="009E6B3C">
      <w:pPr>
        <w:rPr>
          <w:rFonts w:ascii="Arial" w:hAnsi="Arial" w:cs="Arial"/>
          <w:b/>
          <w:i/>
          <w:sz w:val="20"/>
          <w:szCs w:val="20"/>
          <w:lang w:eastAsia="en-US"/>
        </w:rPr>
      </w:pPr>
      <w:r w:rsidRPr="009E6B3C">
        <w:rPr>
          <w:rFonts w:ascii="Arial" w:hAnsi="Arial" w:cs="Arial"/>
          <w:b/>
          <w:i/>
          <w:sz w:val="20"/>
          <w:szCs w:val="20"/>
          <w:lang w:eastAsia="en-US"/>
        </w:rPr>
        <w:t>Table 26</w:t>
      </w:r>
      <w:r w:rsidR="000314C6" w:rsidRPr="009E6B3C">
        <w:rPr>
          <w:rFonts w:ascii="Arial" w:hAnsi="Arial" w:cs="Arial"/>
          <w:b/>
          <w:i/>
          <w:sz w:val="20"/>
          <w:szCs w:val="20"/>
          <w:lang w:eastAsia="en-US"/>
        </w:rPr>
        <w:t>: PPSA – Caseload 2015/16 – 2021/22</w:t>
      </w:r>
    </w:p>
    <w:tbl>
      <w:tblPr>
        <w:tblStyle w:val="TableGrid"/>
        <w:tblW w:w="0" w:type="auto"/>
        <w:tblLook w:val="04A0"/>
      </w:tblPr>
      <w:tblGrid>
        <w:gridCol w:w="1561"/>
        <w:gridCol w:w="1082"/>
        <w:gridCol w:w="1082"/>
        <w:gridCol w:w="1082"/>
        <w:gridCol w:w="1082"/>
        <w:gridCol w:w="973"/>
        <w:gridCol w:w="1082"/>
        <w:gridCol w:w="1082"/>
      </w:tblGrid>
      <w:tr w:rsidR="00F8297A" w:rsidRPr="009E6B3C" w:rsidTr="005E7077">
        <w:trPr>
          <w:tblHeader/>
        </w:trPr>
        <w:tc>
          <w:tcPr>
            <w:tcW w:w="1551"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Cases</w:t>
            </w:r>
          </w:p>
        </w:tc>
        <w:tc>
          <w:tcPr>
            <w:tcW w:w="1082"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2015/16</w:t>
            </w:r>
          </w:p>
        </w:tc>
        <w:tc>
          <w:tcPr>
            <w:tcW w:w="1082"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2016/17</w:t>
            </w:r>
          </w:p>
        </w:tc>
        <w:tc>
          <w:tcPr>
            <w:tcW w:w="1082"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2017/18</w:t>
            </w:r>
          </w:p>
        </w:tc>
        <w:tc>
          <w:tcPr>
            <w:tcW w:w="1082"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2018/19</w:t>
            </w:r>
          </w:p>
        </w:tc>
        <w:tc>
          <w:tcPr>
            <w:tcW w:w="973"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2019/20</w:t>
            </w:r>
          </w:p>
        </w:tc>
        <w:tc>
          <w:tcPr>
            <w:tcW w:w="1082"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2020/21</w:t>
            </w:r>
          </w:p>
        </w:tc>
        <w:tc>
          <w:tcPr>
            <w:tcW w:w="1082" w:type="dxa"/>
          </w:tcPr>
          <w:p w:rsidR="00F8297A" w:rsidRPr="009E6B3C" w:rsidRDefault="00F8297A" w:rsidP="009E6B3C">
            <w:pPr>
              <w:rPr>
                <w:rFonts w:ascii="Arial" w:hAnsi="Arial" w:cs="Arial"/>
                <w:b/>
                <w:caps/>
                <w:sz w:val="20"/>
                <w:szCs w:val="20"/>
                <w:lang w:eastAsia="en-US"/>
              </w:rPr>
            </w:pPr>
            <w:r w:rsidRPr="009E6B3C">
              <w:rPr>
                <w:rFonts w:ascii="Arial" w:hAnsi="Arial" w:cs="Arial"/>
                <w:b/>
                <w:caps/>
                <w:sz w:val="20"/>
                <w:szCs w:val="20"/>
                <w:lang w:eastAsia="en-US"/>
              </w:rPr>
              <w:t>2021/22</w:t>
            </w:r>
          </w:p>
        </w:tc>
      </w:tr>
      <w:tr w:rsidR="00F8297A" w:rsidRPr="009E6B3C" w:rsidTr="00905DF7">
        <w:tc>
          <w:tcPr>
            <w:tcW w:w="1551"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Cases carried over</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5 331</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4 254</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5 255</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4 390</w:t>
            </w:r>
          </w:p>
        </w:tc>
        <w:tc>
          <w:tcPr>
            <w:tcW w:w="973"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4 089</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3 363</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1 997</w:t>
            </w:r>
          </w:p>
        </w:tc>
      </w:tr>
      <w:tr w:rsidR="00F8297A" w:rsidRPr="009E6B3C" w:rsidTr="00905DF7">
        <w:tc>
          <w:tcPr>
            <w:tcW w:w="1551"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 xml:space="preserve">New cases </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11 372</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9 563</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11 943</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8 717</w:t>
            </w:r>
          </w:p>
        </w:tc>
        <w:tc>
          <w:tcPr>
            <w:tcW w:w="973"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10 111</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5 108</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6 826</w:t>
            </w:r>
          </w:p>
        </w:tc>
      </w:tr>
      <w:tr w:rsidR="00F8297A" w:rsidRPr="009E6B3C" w:rsidTr="00905DF7">
        <w:tc>
          <w:tcPr>
            <w:tcW w:w="1551"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Sub-total</w:t>
            </w:r>
          </w:p>
        </w:tc>
        <w:tc>
          <w:tcPr>
            <w:tcW w:w="1082"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16 703</w:t>
            </w:r>
          </w:p>
        </w:tc>
        <w:tc>
          <w:tcPr>
            <w:tcW w:w="1082"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13 817</w:t>
            </w:r>
          </w:p>
        </w:tc>
        <w:tc>
          <w:tcPr>
            <w:tcW w:w="1082"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17 198</w:t>
            </w:r>
          </w:p>
        </w:tc>
        <w:tc>
          <w:tcPr>
            <w:tcW w:w="1082"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13 107</w:t>
            </w:r>
          </w:p>
        </w:tc>
        <w:tc>
          <w:tcPr>
            <w:tcW w:w="973"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14 200</w:t>
            </w:r>
          </w:p>
        </w:tc>
        <w:tc>
          <w:tcPr>
            <w:tcW w:w="1082"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8 471</w:t>
            </w:r>
          </w:p>
        </w:tc>
        <w:tc>
          <w:tcPr>
            <w:tcW w:w="1082"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8 823</w:t>
            </w:r>
          </w:p>
        </w:tc>
      </w:tr>
      <w:tr w:rsidR="00F8297A" w:rsidRPr="009E6B3C" w:rsidTr="00905DF7">
        <w:tc>
          <w:tcPr>
            <w:tcW w:w="1551"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Cases referred</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1 159</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929</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1 783</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1 100</w:t>
            </w:r>
          </w:p>
        </w:tc>
        <w:tc>
          <w:tcPr>
            <w:tcW w:w="973"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1 293</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992</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1 405</w:t>
            </w:r>
          </w:p>
        </w:tc>
      </w:tr>
      <w:tr w:rsidR="00F8297A" w:rsidRPr="009E6B3C" w:rsidTr="00905DF7">
        <w:tc>
          <w:tcPr>
            <w:tcW w:w="1551"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Non-jurisdiction cases</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580</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606</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1 251</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876</w:t>
            </w:r>
          </w:p>
        </w:tc>
        <w:tc>
          <w:tcPr>
            <w:tcW w:w="973"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911</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676</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798</w:t>
            </w:r>
          </w:p>
        </w:tc>
      </w:tr>
      <w:tr w:rsidR="00F8297A" w:rsidRPr="009E6B3C" w:rsidTr="00905DF7">
        <w:tc>
          <w:tcPr>
            <w:tcW w:w="1551"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Finalised cases</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12 735</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10 787</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13 572</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9 921</w:t>
            </w:r>
          </w:p>
        </w:tc>
        <w:tc>
          <w:tcPr>
            <w:tcW w:w="973"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11 643</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6 927</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6 886</w:t>
            </w:r>
          </w:p>
        </w:tc>
      </w:tr>
      <w:tr w:rsidR="00F8297A" w:rsidRPr="009E6B3C" w:rsidTr="00905DF7">
        <w:tc>
          <w:tcPr>
            <w:tcW w:w="1551" w:type="dxa"/>
          </w:tcPr>
          <w:p w:rsidR="00F8297A" w:rsidRPr="009E6B3C" w:rsidRDefault="00F8297A" w:rsidP="009E6B3C">
            <w:pPr>
              <w:rPr>
                <w:rFonts w:ascii="Arial" w:hAnsi="Arial" w:cs="Arial"/>
                <w:b/>
                <w:sz w:val="20"/>
                <w:szCs w:val="20"/>
                <w:lang w:eastAsia="en-US"/>
              </w:rPr>
            </w:pPr>
            <w:r w:rsidRPr="009E6B3C">
              <w:rPr>
                <w:rFonts w:ascii="Arial" w:hAnsi="Arial" w:cs="Arial"/>
                <w:b/>
                <w:sz w:val="20"/>
                <w:szCs w:val="20"/>
                <w:lang w:eastAsia="en-US"/>
              </w:rPr>
              <w:t>Total investigations finalized *</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7 874</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9 771</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8 226</w:t>
            </w:r>
          </w:p>
        </w:tc>
        <w:tc>
          <w:tcPr>
            <w:tcW w:w="973"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9 198</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5 334</w:t>
            </w:r>
          </w:p>
        </w:tc>
        <w:tc>
          <w:tcPr>
            <w:tcW w:w="1082" w:type="dxa"/>
          </w:tcPr>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3 189</w:t>
            </w:r>
          </w:p>
        </w:tc>
      </w:tr>
    </w:tbl>
    <w:p w:rsidR="00F8297A" w:rsidRPr="009E6B3C" w:rsidRDefault="00F8297A" w:rsidP="009E6B3C">
      <w:pPr>
        <w:rPr>
          <w:rFonts w:ascii="Arial" w:hAnsi="Arial" w:cs="Arial"/>
          <w:sz w:val="20"/>
          <w:szCs w:val="20"/>
          <w:lang w:eastAsia="en-US"/>
        </w:rPr>
      </w:pPr>
      <w:r w:rsidRPr="009E6B3C">
        <w:rPr>
          <w:rFonts w:ascii="Arial" w:hAnsi="Arial" w:cs="Arial"/>
          <w:sz w:val="20"/>
          <w:szCs w:val="20"/>
          <w:lang w:eastAsia="en-US"/>
        </w:rPr>
        <w:t>*Note this is finalised cases less referred and non-jurisdiction cases</w:t>
      </w:r>
    </w:p>
    <w:p w:rsidR="00F8297A" w:rsidRPr="009E6B3C" w:rsidRDefault="00F8297A" w:rsidP="009E6B3C">
      <w:pPr>
        <w:rPr>
          <w:rFonts w:ascii="Arial" w:hAnsi="Arial" w:cs="Arial"/>
          <w:sz w:val="20"/>
          <w:szCs w:val="20"/>
          <w:lang w:eastAsia="en-US"/>
        </w:rPr>
      </w:pPr>
    </w:p>
    <w:p w:rsidR="00F8297A" w:rsidRPr="009E6B3C" w:rsidRDefault="00F8297A" w:rsidP="009E6B3C">
      <w:pPr>
        <w:pStyle w:val="ListParagraph"/>
        <w:numPr>
          <w:ilvl w:val="2"/>
          <w:numId w:val="39"/>
        </w:numPr>
        <w:ind w:left="851" w:hanging="851"/>
        <w:rPr>
          <w:rFonts w:ascii="Arial" w:hAnsi="Arial" w:cs="Arial"/>
          <w:b/>
          <w:i/>
          <w:sz w:val="20"/>
          <w:szCs w:val="20"/>
          <w:lang w:eastAsia="en-US"/>
        </w:rPr>
      </w:pPr>
      <w:r w:rsidRPr="009E6B3C">
        <w:rPr>
          <w:rFonts w:ascii="Arial" w:hAnsi="Arial" w:cs="Arial"/>
          <w:b/>
          <w:i/>
          <w:sz w:val="20"/>
          <w:szCs w:val="20"/>
          <w:lang w:eastAsia="en-US"/>
        </w:rPr>
        <w:t>Programme performance</w:t>
      </w:r>
    </w:p>
    <w:p w:rsidR="00F8297A" w:rsidRPr="009E6B3C" w:rsidRDefault="00F8297A" w:rsidP="009E6B3C">
      <w:pPr>
        <w:rPr>
          <w:rFonts w:ascii="Arial" w:hAnsi="Arial" w:cs="Arial"/>
          <w:b/>
          <w:i/>
          <w:sz w:val="20"/>
          <w:szCs w:val="20"/>
          <w:lang w:eastAsia="en-US"/>
        </w:rPr>
      </w:pPr>
    </w:p>
    <w:p w:rsidR="00F8297A" w:rsidRPr="009E6B3C" w:rsidRDefault="00F8297A" w:rsidP="009E6B3C">
      <w:pPr>
        <w:pStyle w:val="ListParagraph"/>
        <w:numPr>
          <w:ilvl w:val="0"/>
          <w:numId w:val="34"/>
        </w:numPr>
        <w:ind w:left="851" w:hanging="851"/>
        <w:rPr>
          <w:rFonts w:ascii="Arial" w:hAnsi="Arial" w:cs="Arial"/>
          <w:b/>
          <w:i/>
          <w:sz w:val="20"/>
          <w:szCs w:val="20"/>
          <w:lang w:eastAsia="en-US"/>
        </w:rPr>
      </w:pPr>
      <w:r w:rsidRPr="009E6B3C">
        <w:rPr>
          <w:rFonts w:ascii="Arial" w:hAnsi="Arial" w:cs="Arial"/>
          <w:sz w:val="20"/>
          <w:szCs w:val="20"/>
        </w:rPr>
        <w:t>The Administration programme had an approved budget of R139.4 million and spent R153.18 million, largely on contractual obligations, (i.e. cleaning services, rental, buildings, parking, security and information technology). The slight under-expenditure on the administration programme was, reportedly, as a result of the implementation of cost containment measures. In respect of performance there is only one planned outcome for this programme ‘Clean audit achieved and maintained’ which was achieved.</w:t>
      </w:r>
    </w:p>
    <w:p w:rsidR="005E7077" w:rsidRPr="009E6B3C" w:rsidRDefault="005E7077" w:rsidP="009E6B3C">
      <w:pPr>
        <w:pStyle w:val="ListParagraph"/>
        <w:ind w:left="851"/>
        <w:rPr>
          <w:rFonts w:ascii="Arial" w:hAnsi="Arial" w:cs="Arial"/>
          <w:b/>
          <w:i/>
          <w:sz w:val="20"/>
          <w:szCs w:val="20"/>
          <w:lang w:eastAsia="en-US"/>
        </w:rPr>
      </w:pPr>
    </w:p>
    <w:p w:rsidR="00F8297A" w:rsidRPr="009E6B3C" w:rsidRDefault="00F8297A" w:rsidP="009E6B3C">
      <w:pPr>
        <w:pStyle w:val="ListParagraph"/>
        <w:numPr>
          <w:ilvl w:val="0"/>
          <w:numId w:val="34"/>
        </w:numPr>
        <w:ind w:left="851" w:hanging="851"/>
        <w:rPr>
          <w:rFonts w:ascii="Arial" w:hAnsi="Arial" w:cs="Arial"/>
          <w:b/>
          <w:i/>
          <w:sz w:val="20"/>
          <w:szCs w:val="20"/>
          <w:lang w:eastAsia="en-US"/>
        </w:rPr>
      </w:pPr>
      <w:r w:rsidRPr="009E6B3C">
        <w:rPr>
          <w:rFonts w:ascii="Arial" w:hAnsi="Arial" w:cs="Arial"/>
          <w:sz w:val="20"/>
          <w:szCs w:val="20"/>
        </w:rPr>
        <w:t>The Investigations programme had an approved budget of R186.2 million and spent R181.3 million. Four out of five targets were achieved or exceeded while one target – ‘Percentage of 2 years and older cases finalised’ was not achieved. In this regard, 65% of cases older than 2 years were finalised against a target of 80%.</w:t>
      </w:r>
    </w:p>
    <w:p w:rsidR="005E7077" w:rsidRPr="009E6B3C" w:rsidRDefault="005E7077" w:rsidP="009E6B3C">
      <w:pPr>
        <w:pStyle w:val="ListParagraph"/>
        <w:ind w:left="851"/>
        <w:rPr>
          <w:rFonts w:ascii="Arial" w:hAnsi="Arial" w:cs="Arial"/>
          <w:b/>
          <w:i/>
          <w:sz w:val="20"/>
          <w:szCs w:val="20"/>
          <w:lang w:eastAsia="en-US"/>
        </w:rPr>
      </w:pPr>
    </w:p>
    <w:p w:rsidR="00F8297A" w:rsidRPr="009E6B3C" w:rsidRDefault="00F8297A" w:rsidP="009E6B3C">
      <w:pPr>
        <w:pStyle w:val="ListParagraph"/>
        <w:numPr>
          <w:ilvl w:val="0"/>
          <w:numId w:val="34"/>
        </w:numPr>
        <w:ind w:left="851" w:hanging="851"/>
        <w:rPr>
          <w:rFonts w:ascii="Arial" w:hAnsi="Arial" w:cs="Arial"/>
          <w:b/>
          <w:i/>
          <w:sz w:val="20"/>
          <w:szCs w:val="20"/>
          <w:lang w:eastAsia="en-US"/>
        </w:rPr>
      </w:pPr>
      <w:r w:rsidRPr="009E6B3C">
        <w:rPr>
          <w:rFonts w:ascii="Arial" w:hAnsi="Arial" w:cs="Arial"/>
          <w:sz w:val="20"/>
          <w:szCs w:val="20"/>
        </w:rPr>
        <w:t xml:space="preserve">The Stakeholder Management Programme had an approved budget of R15.3 million and spent R11.62 million in 2021/22 The programme has one target for this programme, which it achieved. </w:t>
      </w:r>
    </w:p>
    <w:p w:rsidR="00F8297A" w:rsidRPr="009E6B3C" w:rsidRDefault="00F8297A" w:rsidP="009E6B3C">
      <w:pPr>
        <w:pStyle w:val="ListParagraph"/>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b/>
          <w:sz w:val="20"/>
          <w:szCs w:val="20"/>
        </w:rPr>
      </w:pPr>
      <w:r w:rsidRPr="009E6B3C">
        <w:rPr>
          <w:rFonts w:ascii="Arial" w:hAnsi="Arial" w:cs="Arial"/>
          <w:b/>
          <w:sz w:val="20"/>
          <w:szCs w:val="20"/>
        </w:rPr>
        <w:t>2023 MTEF requirements</w:t>
      </w:r>
    </w:p>
    <w:p w:rsidR="000314C6" w:rsidRPr="009E6B3C" w:rsidRDefault="000314C6" w:rsidP="009E6B3C">
      <w:pPr>
        <w:pStyle w:val="ListParagraph"/>
        <w:ind w:left="360"/>
        <w:rPr>
          <w:rFonts w:ascii="Arial" w:hAnsi="Arial" w:cs="Arial"/>
          <w:b/>
          <w:sz w:val="20"/>
          <w:szCs w:val="20"/>
        </w:rPr>
      </w:pPr>
    </w:p>
    <w:p w:rsidR="00323C1D" w:rsidRPr="009E6B3C" w:rsidRDefault="000314C6" w:rsidP="009E6B3C">
      <w:pPr>
        <w:rPr>
          <w:rFonts w:ascii="Arial" w:hAnsi="Arial" w:cs="Arial"/>
          <w:b/>
          <w:i/>
          <w:sz w:val="20"/>
          <w:szCs w:val="20"/>
        </w:rPr>
      </w:pPr>
      <w:r w:rsidRPr="009E6B3C">
        <w:rPr>
          <w:rFonts w:ascii="Arial" w:hAnsi="Arial" w:cs="Arial"/>
          <w:b/>
          <w:i/>
          <w:sz w:val="20"/>
          <w:szCs w:val="20"/>
        </w:rPr>
        <w:t>Table</w:t>
      </w:r>
      <w:r w:rsidR="007B5746" w:rsidRPr="009E6B3C">
        <w:rPr>
          <w:rFonts w:ascii="Arial" w:hAnsi="Arial" w:cs="Arial"/>
          <w:b/>
          <w:i/>
          <w:sz w:val="20"/>
          <w:szCs w:val="20"/>
        </w:rPr>
        <w:t xml:space="preserve"> 27</w:t>
      </w:r>
      <w:r w:rsidRPr="009E6B3C">
        <w:rPr>
          <w:rFonts w:ascii="Arial" w:hAnsi="Arial" w:cs="Arial"/>
          <w:b/>
          <w:i/>
          <w:sz w:val="20"/>
          <w:szCs w:val="20"/>
        </w:rPr>
        <w:t>: PPSA MTEF requirements</w:t>
      </w:r>
    </w:p>
    <w:tbl>
      <w:tblPr>
        <w:tblW w:w="0" w:type="auto"/>
        <w:shd w:val="clear" w:color="auto" w:fill="FFFFFF" w:themeFill="background1"/>
        <w:tblCellMar>
          <w:left w:w="0" w:type="dxa"/>
          <w:right w:w="0" w:type="dxa"/>
        </w:tblCellMar>
        <w:tblLook w:val="0420"/>
      </w:tblPr>
      <w:tblGrid>
        <w:gridCol w:w="1678"/>
        <w:gridCol w:w="743"/>
        <w:gridCol w:w="743"/>
        <w:gridCol w:w="743"/>
        <w:gridCol w:w="5524"/>
      </w:tblGrid>
      <w:tr w:rsidR="00F8297A" w:rsidRPr="009E6B3C" w:rsidTr="005E7077">
        <w:trPr>
          <w:trHeight w:val="50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hideMark/>
          </w:tcPr>
          <w:p w:rsidR="00F8297A" w:rsidRPr="009E6B3C" w:rsidRDefault="00F8297A" w:rsidP="009E6B3C">
            <w:pPr>
              <w:textAlignment w:val="center"/>
              <w:rPr>
                <w:rFonts w:ascii="Arial" w:hAnsi="Arial" w:cs="Arial"/>
                <w:caps/>
                <w:color w:val="000000" w:themeColor="text1"/>
                <w:sz w:val="20"/>
                <w:szCs w:val="20"/>
                <w:lang w:eastAsia="en-ZA"/>
              </w:rPr>
            </w:pPr>
            <w:r w:rsidRPr="009E6B3C">
              <w:rPr>
                <w:rFonts w:ascii="Arial" w:hAnsi="Arial" w:cs="Arial"/>
                <w:b/>
                <w:bCs/>
                <w:caps/>
                <w:color w:val="000000" w:themeColor="text1"/>
                <w:kern w:val="24"/>
                <w:sz w:val="20"/>
                <w:szCs w:val="20"/>
                <w:lang w:eastAsia="en-ZA"/>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hideMark/>
          </w:tcPr>
          <w:p w:rsidR="00F8297A" w:rsidRPr="009E6B3C" w:rsidRDefault="00F8297A" w:rsidP="009E6B3C">
            <w:pPr>
              <w:textAlignment w:val="center"/>
              <w:rPr>
                <w:rFonts w:ascii="Arial" w:hAnsi="Arial" w:cs="Arial"/>
                <w:caps/>
                <w:color w:val="000000" w:themeColor="text1"/>
                <w:sz w:val="20"/>
                <w:szCs w:val="20"/>
                <w:lang w:eastAsia="en-ZA"/>
              </w:rPr>
            </w:pPr>
            <w:r w:rsidRPr="009E6B3C">
              <w:rPr>
                <w:rFonts w:ascii="Arial" w:hAnsi="Arial" w:cs="Arial"/>
                <w:b/>
                <w:bCs/>
                <w:caps/>
                <w:color w:val="000000" w:themeColor="text1"/>
                <w:kern w:val="24"/>
                <w:sz w:val="20"/>
                <w:szCs w:val="20"/>
                <w:lang w:eastAsia="en-ZA"/>
              </w:rPr>
              <w:t>2022/23</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hideMark/>
          </w:tcPr>
          <w:p w:rsidR="00F8297A" w:rsidRPr="009E6B3C" w:rsidRDefault="00F8297A" w:rsidP="009E6B3C">
            <w:pPr>
              <w:textAlignment w:val="center"/>
              <w:rPr>
                <w:rFonts w:ascii="Arial" w:hAnsi="Arial" w:cs="Arial"/>
                <w:caps/>
                <w:color w:val="000000" w:themeColor="text1"/>
                <w:sz w:val="20"/>
                <w:szCs w:val="20"/>
                <w:lang w:eastAsia="en-ZA"/>
              </w:rPr>
            </w:pPr>
            <w:r w:rsidRPr="009E6B3C">
              <w:rPr>
                <w:rFonts w:ascii="Arial" w:hAnsi="Arial" w:cs="Arial"/>
                <w:b/>
                <w:bCs/>
                <w:caps/>
                <w:color w:val="000000" w:themeColor="text1"/>
                <w:kern w:val="24"/>
                <w:sz w:val="20"/>
                <w:szCs w:val="20"/>
                <w:lang w:eastAsia="en-ZA"/>
              </w:rPr>
              <w:t>2023/24</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hideMark/>
          </w:tcPr>
          <w:p w:rsidR="00F8297A" w:rsidRPr="009E6B3C" w:rsidRDefault="00F8297A" w:rsidP="009E6B3C">
            <w:pPr>
              <w:textAlignment w:val="center"/>
              <w:rPr>
                <w:rFonts w:ascii="Arial" w:hAnsi="Arial" w:cs="Arial"/>
                <w:caps/>
                <w:color w:val="000000" w:themeColor="text1"/>
                <w:sz w:val="20"/>
                <w:szCs w:val="20"/>
                <w:lang w:eastAsia="en-ZA"/>
              </w:rPr>
            </w:pPr>
            <w:r w:rsidRPr="009E6B3C">
              <w:rPr>
                <w:rFonts w:ascii="Arial" w:hAnsi="Arial" w:cs="Arial"/>
                <w:b/>
                <w:bCs/>
                <w:caps/>
                <w:color w:val="000000" w:themeColor="text1"/>
                <w:kern w:val="24"/>
                <w:sz w:val="20"/>
                <w:szCs w:val="20"/>
                <w:lang w:eastAsia="en-ZA"/>
              </w:rPr>
              <w:t>2024/25</w:t>
            </w:r>
          </w:p>
        </w:tc>
        <w:tc>
          <w:tcPr>
            <w:tcW w:w="0" w:type="auto"/>
            <w:vMerge w:val="restart"/>
            <w:tcBorders>
              <w:top w:val="single" w:sz="8" w:space="0" w:color="000000"/>
              <w:left w:val="single" w:sz="8" w:space="0" w:color="000000"/>
              <w:right w:val="single" w:sz="8" w:space="0" w:color="000000"/>
            </w:tcBorders>
            <w:shd w:val="clear" w:color="auto" w:fill="D9D9D9" w:themeFill="background1" w:themeFillShade="D9"/>
          </w:tcPr>
          <w:p w:rsidR="00F8297A" w:rsidRPr="009E6B3C" w:rsidRDefault="00F8297A" w:rsidP="009E6B3C">
            <w:pPr>
              <w:textAlignment w:val="center"/>
              <w:rPr>
                <w:rFonts w:ascii="Arial" w:hAnsi="Arial" w:cs="Arial"/>
                <w:b/>
                <w:bCs/>
                <w:caps/>
                <w:color w:val="000000" w:themeColor="text1"/>
                <w:kern w:val="24"/>
                <w:sz w:val="20"/>
                <w:szCs w:val="20"/>
                <w:lang w:eastAsia="en-ZA"/>
              </w:rPr>
            </w:pPr>
            <w:r w:rsidRPr="009E6B3C">
              <w:rPr>
                <w:rFonts w:ascii="Arial" w:hAnsi="Arial" w:cs="Arial"/>
                <w:b/>
                <w:bCs/>
                <w:caps/>
                <w:color w:val="000000" w:themeColor="text1"/>
                <w:kern w:val="24"/>
                <w:sz w:val="20"/>
                <w:szCs w:val="20"/>
                <w:lang w:eastAsia="en-ZA"/>
              </w:rPr>
              <w:t>Reason</w:t>
            </w:r>
          </w:p>
        </w:tc>
      </w:tr>
      <w:tr w:rsidR="00F8297A" w:rsidRPr="009E6B3C" w:rsidTr="005E7077">
        <w:trPr>
          <w:trHeight w:val="361"/>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F8297A" w:rsidRPr="009E6B3C" w:rsidRDefault="00F8297A" w:rsidP="009E6B3C">
            <w:pPr>
              <w:rPr>
                <w:rFonts w:ascii="Arial" w:hAnsi="Arial" w:cs="Arial"/>
                <w:caps/>
                <w:sz w:val="20"/>
                <w:szCs w:val="20"/>
                <w:lang w:eastAsia="en-ZA"/>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hideMark/>
          </w:tcPr>
          <w:p w:rsidR="00F8297A" w:rsidRPr="009E6B3C" w:rsidRDefault="00F8297A" w:rsidP="009E6B3C">
            <w:pPr>
              <w:textAlignment w:val="center"/>
              <w:rPr>
                <w:rFonts w:ascii="Arial" w:hAnsi="Arial" w:cs="Arial"/>
                <w:caps/>
                <w:color w:val="000000" w:themeColor="text1"/>
                <w:sz w:val="20"/>
                <w:szCs w:val="20"/>
                <w:lang w:eastAsia="en-ZA"/>
              </w:rPr>
            </w:pPr>
            <w:r w:rsidRPr="009E6B3C">
              <w:rPr>
                <w:rFonts w:ascii="Arial" w:hAnsi="Arial" w:cs="Arial"/>
                <w:b/>
                <w:bCs/>
                <w:caps/>
                <w:color w:val="000000" w:themeColor="text1"/>
                <w:kern w:val="24"/>
                <w:sz w:val="20"/>
                <w:szCs w:val="20"/>
                <w:lang w:eastAsia="en-ZA"/>
              </w:rPr>
              <w:t>R'000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hideMark/>
          </w:tcPr>
          <w:p w:rsidR="00F8297A" w:rsidRPr="009E6B3C" w:rsidRDefault="00F8297A" w:rsidP="009E6B3C">
            <w:pPr>
              <w:textAlignment w:val="center"/>
              <w:rPr>
                <w:rFonts w:ascii="Arial" w:hAnsi="Arial" w:cs="Arial"/>
                <w:caps/>
                <w:color w:val="000000" w:themeColor="text1"/>
                <w:sz w:val="20"/>
                <w:szCs w:val="20"/>
                <w:lang w:eastAsia="en-ZA"/>
              </w:rPr>
            </w:pPr>
            <w:r w:rsidRPr="009E6B3C">
              <w:rPr>
                <w:rFonts w:ascii="Arial" w:hAnsi="Arial" w:cs="Arial"/>
                <w:b/>
                <w:bCs/>
                <w:caps/>
                <w:color w:val="000000" w:themeColor="text1"/>
                <w:kern w:val="24"/>
                <w:sz w:val="20"/>
                <w:szCs w:val="20"/>
                <w:lang w:eastAsia="en-ZA"/>
              </w:rPr>
              <w:t>R'000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hideMark/>
          </w:tcPr>
          <w:p w:rsidR="00F8297A" w:rsidRPr="009E6B3C" w:rsidRDefault="00F8297A" w:rsidP="009E6B3C">
            <w:pPr>
              <w:textAlignment w:val="center"/>
              <w:rPr>
                <w:rFonts w:ascii="Arial" w:hAnsi="Arial" w:cs="Arial"/>
                <w:caps/>
                <w:color w:val="000000" w:themeColor="text1"/>
                <w:sz w:val="20"/>
                <w:szCs w:val="20"/>
                <w:lang w:eastAsia="en-ZA"/>
              </w:rPr>
            </w:pPr>
            <w:r w:rsidRPr="009E6B3C">
              <w:rPr>
                <w:rFonts w:ascii="Arial" w:hAnsi="Arial" w:cs="Arial"/>
                <w:b/>
                <w:bCs/>
                <w:caps/>
                <w:color w:val="000000" w:themeColor="text1"/>
                <w:kern w:val="24"/>
                <w:sz w:val="20"/>
                <w:szCs w:val="20"/>
                <w:lang w:eastAsia="en-ZA"/>
              </w:rPr>
              <w:t>R'000</w:t>
            </w:r>
          </w:p>
        </w:tc>
        <w:tc>
          <w:tcPr>
            <w:tcW w:w="0" w:type="auto"/>
            <w:vMerge/>
            <w:tcBorders>
              <w:left w:val="single" w:sz="8" w:space="0" w:color="000000"/>
              <w:bottom w:val="single" w:sz="8" w:space="0" w:color="000000"/>
              <w:right w:val="single" w:sz="8" w:space="0" w:color="000000"/>
            </w:tcBorders>
            <w:shd w:val="clear" w:color="auto" w:fill="D9D9D9" w:themeFill="background1" w:themeFillShade="D9"/>
          </w:tcPr>
          <w:p w:rsidR="00F8297A" w:rsidRPr="009E6B3C" w:rsidRDefault="00F8297A" w:rsidP="009E6B3C">
            <w:pPr>
              <w:textAlignment w:val="center"/>
              <w:rPr>
                <w:rFonts w:ascii="Arial" w:hAnsi="Arial" w:cs="Arial"/>
                <w:b/>
                <w:bCs/>
                <w:caps/>
                <w:color w:val="000000" w:themeColor="text1"/>
                <w:kern w:val="24"/>
                <w:sz w:val="20"/>
                <w:szCs w:val="20"/>
                <w:lang w:eastAsia="en-ZA"/>
              </w:rPr>
            </w:pPr>
          </w:p>
        </w:tc>
      </w:tr>
      <w:tr w:rsidR="00F8297A" w:rsidRPr="009E6B3C" w:rsidTr="005E707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textAlignment w:val="bottom"/>
              <w:rPr>
                <w:rFonts w:ascii="Arial" w:hAnsi="Arial" w:cs="Arial"/>
                <w:color w:val="000000"/>
                <w:kern w:val="24"/>
                <w:sz w:val="20"/>
                <w:szCs w:val="20"/>
                <w:lang w:eastAsia="en-ZA"/>
              </w:rPr>
            </w:pPr>
            <w:r w:rsidRPr="009E6B3C">
              <w:rPr>
                <w:rFonts w:ascii="Arial" w:hAnsi="Arial" w:cs="Arial"/>
                <w:color w:val="000000"/>
                <w:kern w:val="24"/>
                <w:sz w:val="20"/>
                <w:szCs w:val="20"/>
                <w:lang w:eastAsia="en-ZA"/>
              </w:rPr>
              <w:t xml:space="preserve">Funding of critical positions </w:t>
            </w:r>
          </w:p>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(x 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10 200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12 000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15 309</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F8297A" w:rsidRPr="009E6B3C" w:rsidRDefault="00F8297A" w:rsidP="009E6B3C">
            <w:pPr>
              <w:textAlignment w:val="bottom"/>
              <w:rPr>
                <w:rFonts w:ascii="Arial" w:hAnsi="Arial" w:cs="Arial"/>
                <w:color w:val="000000"/>
                <w:kern w:val="24"/>
                <w:sz w:val="20"/>
                <w:szCs w:val="20"/>
                <w:lang w:eastAsia="en-ZA"/>
              </w:rPr>
            </w:pPr>
            <w:r w:rsidRPr="009E6B3C">
              <w:rPr>
                <w:rFonts w:ascii="Arial" w:hAnsi="Arial" w:cs="Arial"/>
                <w:color w:val="000000"/>
                <w:kern w:val="24"/>
                <w:sz w:val="20"/>
                <w:szCs w:val="20"/>
                <w:lang w:eastAsia="en-ZA"/>
              </w:rPr>
              <w:t>There are 23 critical posts to be filled. From August 2022 to March 2023, the estimated cost is R10.2 million; R12 million in 2023/24; and R5.3 million in 2024/25.</w:t>
            </w:r>
          </w:p>
          <w:p w:rsidR="00F8297A" w:rsidRPr="009E6B3C" w:rsidRDefault="00F8297A" w:rsidP="009E6B3C">
            <w:pPr>
              <w:textAlignment w:val="bottom"/>
              <w:rPr>
                <w:rFonts w:ascii="Arial" w:hAnsi="Arial" w:cs="Arial"/>
                <w:color w:val="000000"/>
                <w:kern w:val="24"/>
                <w:sz w:val="20"/>
                <w:szCs w:val="20"/>
                <w:lang w:eastAsia="en-ZA"/>
              </w:rPr>
            </w:pPr>
            <w:r w:rsidRPr="009E6B3C">
              <w:rPr>
                <w:rFonts w:ascii="Arial" w:hAnsi="Arial" w:cs="Arial"/>
                <w:color w:val="000000"/>
                <w:kern w:val="24"/>
                <w:sz w:val="20"/>
                <w:szCs w:val="20"/>
                <w:lang w:eastAsia="en-ZA"/>
              </w:rPr>
              <w:t>Recruitment has since been expanded to ensure diversity of skills among investigators which would in turn ensure quality and prompt investigation</w:t>
            </w:r>
          </w:p>
        </w:tc>
      </w:tr>
      <w:tr w:rsidR="00F8297A" w:rsidRPr="009E6B3C" w:rsidTr="005E7077">
        <w:trPr>
          <w:trHeight w:val="396"/>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Section 194 expenses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7 000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tcPr>
          <w:p w:rsidR="00F8297A" w:rsidRPr="009E6B3C" w:rsidRDefault="00F8297A" w:rsidP="009E6B3C">
            <w:pPr>
              <w:textAlignment w:val="bottom"/>
              <w:rPr>
                <w:rFonts w:ascii="Arial" w:hAnsi="Arial" w:cs="Arial"/>
                <w:sz w:val="20"/>
                <w:szCs w:val="20"/>
                <w:lang w:eastAsia="en-ZA"/>
              </w:rPr>
            </w:pPr>
            <w:r w:rsidRPr="009E6B3C">
              <w:rPr>
                <w:rFonts w:ascii="Arial" w:hAnsi="Arial" w:cs="Arial"/>
                <w:sz w:val="20"/>
                <w:szCs w:val="20"/>
                <w:lang w:eastAsia="en-ZA"/>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tcPr>
          <w:p w:rsidR="00F8297A" w:rsidRPr="009E6B3C" w:rsidRDefault="00F8297A" w:rsidP="009E6B3C">
            <w:pPr>
              <w:textAlignment w:val="bottom"/>
              <w:rPr>
                <w:rFonts w:ascii="Arial" w:hAnsi="Arial" w:cs="Arial"/>
                <w:sz w:val="20"/>
                <w:szCs w:val="20"/>
                <w:lang w:eastAsia="en-ZA"/>
              </w:rPr>
            </w:pPr>
            <w:r w:rsidRPr="009E6B3C">
              <w:rPr>
                <w:rFonts w:ascii="Arial" w:hAnsi="Arial" w:cs="Arial"/>
                <w:sz w:val="20"/>
                <w:szCs w:val="20"/>
                <w:lang w:eastAsia="en-ZA"/>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F8297A" w:rsidRPr="009E6B3C" w:rsidRDefault="00F8297A" w:rsidP="009E6B3C">
            <w:pPr>
              <w:textAlignment w:val="bottom"/>
              <w:rPr>
                <w:rFonts w:ascii="Arial" w:hAnsi="Arial" w:cs="Arial"/>
                <w:sz w:val="20"/>
                <w:szCs w:val="20"/>
                <w:lang w:eastAsia="en-ZA"/>
              </w:rPr>
            </w:pPr>
            <w:r w:rsidRPr="009E6B3C">
              <w:rPr>
                <w:rFonts w:ascii="Arial" w:hAnsi="Arial" w:cs="Arial"/>
                <w:sz w:val="20"/>
                <w:szCs w:val="20"/>
                <w:lang w:val="en-US" w:eastAsia="en-ZA"/>
              </w:rPr>
              <w:t>On 9 June 2022, the Public Protector, Adv. Busisiwe Mkhwebane was placed on suspension by the President to pave way for the section 194 Parliamentary Committee Enquiry. The Constitutional Court ruling stated that the Public Protector is entitled to legal representation. The legal costs and travel costs must be paid by the PPSA, which was not budgeted for. The estimated cost is R 7.0 million</w:t>
            </w:r>
          </w:p>
        </w:tc>
      </w:tr>
      <w:tr w:rsidR="00F8297A" w:rsidRPr="009E6B3C" w:rsidTr="005E7077">
        <w:trPr>
          <w:trHeight w:val="516"/>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tabs>
                <w:tab w:val="left" w:pos="0"/>
              </w:tabs>
              <w:textAlignment w:val="bottom"/>
              <w:rPr>
                <w:rFonts w:ascii="Arial" w:hAnsi="Arial" w:cs="Arial"/>
                <w:sz w:val="20"/>
                <w:szCs w:val="20"/>
                <w:lang w:eastAsia="en-ZA"/>
              </w:rPr>
            </w:pPr>
            <w:r w:rsidRPr="009E6B3C">
              <w:rPr>
                <w:rFonts w:ascii="Arial" w:hAnsi="Arial" w:cs="Arial"/>
                <w:color w:val="000000"/>
                <w:kern w:val="24"/>
                <w:sz w:val="20"/>
                <w:szCs w:val="20"/>
                <w:lang w:val="en-US" w:eastAsia="en-ZA"/>
              </w:rPr>
              <w:t>Security (provincial and regional offices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pStyle w:val="ListParagraph"/>
              <w:tabs>
                <w:tab w:val="left" w:pos="0"/>
              </w:tabs>
              <w:ind w:left="91"/>
              <w:textAlignment w:val="bottom"/>
              <w:rPr>
                <w:rFonts w:ascii="Arial" w:hAnsi="Arial" w:cs="Arial"/>
                <w:sz w:val="20"/>
                <w:szCs w:val="20"/>
                <w:lang w:eastAsia="en-ZA"/>
              </w:rPr>
            </w:pPr>
            <w:r w:rsidRPr="009E6B3C">
              <w:rPr>
                <w:rFonts w:ascii="Arial" w:hAnsi="Arial" w:cs="Arial"/>
                <w:color w:val="000000"/>
                <w:kern w:val="24"/>
                <w:sz w:val="20"/>
                <w:szCs w:val="20"/>
                <w:lang w:eastAsia="en-ZA"/>
              </w:rPr>
              <w:t>6 127</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pStyle w:val="ListParagraph"/>
              <w:tabs>
                <w:tab w:val="left" w:pos="0"/>
              </w:tabs>
              <w:ind w:left="101"/>
              <w:textAlignment w:val="bottom"/>
              <w:rPr>
                <w:rFonts w:ascii="Arial" w:hAnsi="Arial" w:cs="Arial"/>
                <w:sz w:val="20"/>
                <w:szCs w:val="20"/>
                <w:lang w:eastAsia="en-ZA"/>
              </w:rPr>
            </w:pPr>
            <w:r w:rsidRPr="009E6B3C">
              <w:rPr>
                <w:rFonts w:ascii="Arial" w:hAnsi="Arial" w:cs="Arial"/>
                <w:color w:val="000000"/>
                <w:kern w:val="24"/>
                <w:sz w:val="20"/>
                <w:szCs w:val="20"/>
                <w:lang w:eastAsia="en-ZA"/>
              </w:rPr>
              <w:t>6 446</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F8297A" w:rsidRPr="009E6B3C" w:rsidRDefault="00F8297A" w:rsidP="009E6B3C">
            <w:pPr>
              <w:pStyle w:val="ListParagraph"/>
              <w:tabs>
                <w:tab w:val="left" w:pos="0"/>
              </w:tabs>
              <w:ind w:left="126"/>
              <w:textAlignment w:val="bottom"/>
              <w:rPr>
                <w:rFonts w:ascii="Arial" w:hAnsi="Arial" w:cs="Arial"/>
                <w:sz w:val="20"/>
                <w:szCs w:val="20"/>
                <w:lang w:eastAsia="en-ZA"/>
              </w:rPr>
            </w:pPr>
            <w:r w:rsidRPr="009E6B3C">
              <w:rPr>
                <w:rFonts w:ascii="Arial" w:hAnsi="Arial" w:cs="Arial"/>
                <w:color w:val="000000"/>
                <w:kern w:val="24"/>
                <w:sz w:val="20"/>
                <w:szCs w:val="20"/>
                <w:lang w:eastAsia="en-ZA"/>
              </w:rPr>
              <w:t>6 774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F8297A" w:rsidRPr="009E6B3C" w:rsidRDefault="00F8297A" w:rsidP="009E6B3C">
            <w:pPr>
              <w:textAlignment w:val="bottom"/>
              <w:rPr>
                <w:rFonts w:ascii="Arial" w:hAnsi="Arial" w:cs="Arial"/>
                <w:color w:val="000000"/>
                <w:kern w:val="24"/>
                <w:sz w:val="20"/>
                <w:szCs w:val="20"/>
                <w:lang w:eastAsia="en-ZA"/>
              </w:rPr>
            </w:pPr>
            <w:r w:rsidRPr="009E6B3C">
              <w:rPr>
                <w:rFonts w:ascii="Arial" w:hAnsi="Arial" w:cs="Arial"/>
                <w:color w:val="000000"/>
                <w:kern w:val="24"/>
                <w:sz w:val="20"/>
                <w:szCs w:val="20"/>
                <w:lang w:eastAsia="en-ZA"/>
              </w:rPr>
              <w:t xml:space="preserve">The PPSA is currently not compliant with the requirements of section 2 of the Control of Access to Public Premises and Vehicles Act 53 of 1985, which requires the deployment of security officers to conduct access control. At a minimum the PPSA, should have two security officers in each office to manage access control. </w:t>
            </w:r>
          </w:p>
          <w:p w:rsidR="00F8297A" w:rsidRPr="009E6B3C" w:rsidRDefault="00F8297A" w:rsidP="009E6B3C">
            <w:pPr>
              <w:textAlignment w:val="bottom"/>
              <w:rPr>
                <w:rFonts w:ascii="Arial" w:hAnsi="Arial" w:cs="Arial"/>
                <w:color w:val="000000"/>
                <w:kern w:val="24"/>
                <w:sz w:val="20"/>
                <w:szCs w:val="20"/>
                <w:lang w:eastAsia="en-ZA"/>
              </w:rPr>
            </w:pPr>
            <w:r w:rsidRPr="009E6B3C">
              <w:rPr>
                <w:rFonts w:ascii="Arial" w:hAnsi="Arial" w:cs="Arial"/>
                <w:color w:val="000000"/>
                <w:kern w:val="24"/>
                <w:sz w:val="20"/>
                <w:szCs w:val="20"/>
                <w:lang w:eastAsia="en-ZA"/>
              </w:rPr>
              <w:t xml:space="preserve">The PPSA does not have physical security at the 16 of its 17 offices across the country - only the Head Office has physical security services. As part of mitigation, a video alarm system was installed in the 16 offices - the contract is for 3 years. </w:t>
            </w:r>
          </w:p>
          <w:p w:rsidR="00F8297A" w:rsidRPr="009E6B3C" w:rsidRDefault="00F8297A" w:rsidP="009E6B3C">
            <w:pPr>
              <w:textAlignment w:val="bottom"/>
              <w:rPr>
                <w:rFonts w:ascii="Arial" w:hAnsi="Arial" w:cs="Arial"/>
                <w:color w:val="000000"/>
                <w:kern w:val="24"/>
                <w:sz w:val="20"/>
                <w:szCs w:val="20"/>
                <w:lang w:eastAsia="en-ZA"/>
              </w:rPr>
            </w:pPr>
            <w:r w:rsidRPr="009E6B3C">
              <w:rPr>
                <w:rFonts w:ascii="Arial" w:hAnsi="Arial" w:cs="Arial"/>
                <w:color w:val="000000"/>
                <w:kern w:val="24"/>
                <w:sz w:val="20"/>
                <w:szCs w:val="20"/>
                <w:lang w:eastAsia="en-ZA"/>
              </w:rPr>
              <w:t>Ideally, physical security guards are required at all offices. The absence of physical guards poses threats to PPSA staff members, complainants, stakeholders and assets.</w:t>
            </w:r>
          </w:p>
        </w:tc>
      </w:tr>
      <w:tr w:rsidR="00F8297A" w:rsidRPr="009E6B3C" w:rsidTr="005E7077">
        <w:trPr>
          <w:trHeight w:val="397"/>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vAlign w:val="cente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PABX</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vAlign w:val="cente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 xml:space="preserve">900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vAlign w:val="cente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 w:type="dxa"/>
              <w:left w:w="10" w:type="dxa"/>
              <w:bottom w:w="0" w:type="dxa"/>
              <w:right w:w="10" w:type="dxa"/>
            </w:tcMar>
            <w:vAlign w:val="center"/>
            <w:hideMark/>
          </w:tcPr>
          <w:p w:rsidR="00F8297A" w:rsidRPr="009E6B3C" w:rsidRDefault="00F8297A" w:rsidP="009E6B3C">
            <w:pPr>
              <w:textAlignment w:val="bottom"/>
              <w:rPr>
                <w:rFonts w:ascii="Arial" w:hAnsi="Arial" w:cs="Arial"/>
                <w:sz w:val="20"/>
                <w:szCs w:val="20"/>
                <w:lang w:eastAsia="en-ZA"/>
              </w:rPr>
            </w:pPr>
            <w:r w:rsidRPr="009E6B3C">
              <w:rPr>
                <w:rFonts w:ascii="Arial" w:hAnsi="Arial" w:cs="Arial"/>
                <w:color w:val="000000"/>
                <w:kern w:val="24"/>
                <w:sz w:val="20"/>
                <w:szCs w:val="20"/>
                <w:lang w:eastAsia="en-ZA"/>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F8297A" w:rsidRPr="009E6B3C" w:rsidRDefault="00F8297A" w:rsidP="009E6B3C">
            <w:pPr>
              <w:textAlignment w:val="bottom"/>
              <w:rPr>
                <w:rFonts w:ascii="Arial" w:hAnsi="Arial" w:cs="Arial"/>
                <w:color w:val="000000"/>
                <w:kern w:val="24"/>
                <w:sz w:val="20"/>
                <w:szCs w:val="20"/>
                <w:lang w:eastAsia="en-ZA"/>
              </w:rPr>
            </w:pPr>
            <w:r w:rsidRPr="009E6B3C">
              <w:rPr>
                <w:rFonts w:ascii="Arial" w:hAnsi="Arial" w:cs="Arial"/>
                <w:color w:val="000000"/>
                <w:kern w:val="24"/>
                <w:sz w:val="20"/>
                <w:szCs w:val="20"/>
                <w:lang w:val="en-US" w:eastAsia="en-ZA"/>
              </w:rPr>
              <w:t>Currently 6 out of 17 offices have new PABX system being installed with new telephone management systems due to relocation of offices</w:t>
            </w:r>
          </w:p>
        </w:tc>
      </w:tr>
    </w:tbl>
    <w:p w:rsidR="00F8297A" w:rsidRPr="009E6B3C" w:rsidRDefault="00F8297A" w:rsidP="009E6B3C">
      <w:pPr>
        <w:pStyle w:val="ListParagraph"/>
        <w:ind w:left="851"/>
        <w:rPr>
          <w:rFonts w:ascii="Arial" w:hAnsi="Arial" w:cs="Arial"/>
          <w:sz w:val="20"/>
          <w:szCs w:val="20"/>
        </w:rPr>
      </w:pPr>
    </w:p>
    <w:p w:rsidR="00F8297A" w:rsidRPr="009E6B3C" w:rsidRDefault="00F8297A"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Committee’s 2021 BRRR observations and recommendations:</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 xml:space="preserve">The Committee did not support budget reductions in the case of the PPSA. </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Committee noted that the PPSA continued to maintain that the current budget is inadequate. In this regard, the Committee has previously supported increased funding for the PPSA. However, in the 2022/23 Budget Report, the Committee welcomed the PPSA’s report that its funding pressures had eased as a result of additional funding. As a result, the PPSA has been able to provide for ICT infrastructure, an e-library, 22 staff posts and an electronic document management system. Current funding pressures include the filling of 22 additional positions, with estimated costs of R15.1 million.</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b/>
          <w:i/>
          <w:sz w:val="20"/>
          <w:szCs w:val="20"/>
        </w:rPr>
      </w:pPr>
      <w:r w:rsidRPr="009E6B3C">
        <w:rPr>
          <w:rFonts w:ascii="Arial" w:hAnsi="Arial" w:cs="Arial"/>
          <w:sz w:val="20"/>
          <w:szCs w:val="20"/>
        </w:rPr>
        <w:t>The Committee once more requested that the PPSA keep it informed of the number and progress of review applications and the associated litigation costs.</w:t>
      </w:r>
    </w:p>
    <w:p w:rsidR="00F8297A" w:rsidRPr="009E6B3C" w:rsidRDefault="00F8297A" w:rsidP="009E6B3C">
      <w:pPr>
        <w:rPr>
          <w:rFonts w:ascii="Arial" w:hAnsi="Arial" w:cs="Arial"/>
          <w:b/>
          <w:i/>
          <w:sz w:val="20"/>
          <w:szCs w:val="20"/>
        </w:rPr>
      </w:pPr>
    </w:p>
    <w:p w:rsidR="00F8297A" w:rsidRPr="009E6B3C" w:rsidRDefault="00F8297A"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Linking performance to spending</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In 2021/22, the PPSA achieved 86% or 6 of 7 targets and spent 91% of its budget.</w:t>
      </w:r>
    </w:p>
    <w:p w:rsidR="00F8297A" w:rsidRPr="009E6B3C" w:rsidRDefault="00F8297A" w:rsidP="009E6B3C">
      <w:pPr>
        <w:pStyle w:val="ListParagraph"/>
        <w:numPr>
          <w:ilvl w:val="1"/>
          <w:numId w:val="13"/>
        </w:numPr>
        <w:tabs>
          <w:tab w:val="clear" w:pos="1146"/>
          <w:tab w:val="num" w:pos="1276"/>
        </w:tabs>
        <w:ind w:left="1276" w:hanging="425"/>
        <w:rPr>
          <w:rFonts w:ascii="Arial" w:hAnsi="Arial" w:cs="Arial"/>
          <w:sz w:val="20"/>
          <w:szCs w:val="20"/>
        </w:rPr>
      </w:pPr>
      <w:r w:rsidRPr="009E6B3C">
        <w:rPr>
          <w:rFonts w:ascii="Arial" w:hAnsi="Arial" w:cs="Arial"/>
          <w:sz w:val="20"/>
          <w:szCs w:val="20"/>
        </w:rPr>
        <w:t>The PPSA maintained a clean audit opinion.</w:t>
      </w:r>
    </w:p>
    <w:p w:rsidR="00F8297A" w:rsidRPr="009E6B3C" w:rsidRDefault="00F8297A" w:rsidP="009E6B3C">
      <w:pPr>
        <w:autoSpaceDE w:val="0"/>
        <w:autoSpaceDN w:val="0"/>
        <w:adjustRightInd w:val="0"/>
        <w:rPr>
          <w:rFonts w:ascii="Arial" w:hAnsi="Arial" w:cs="Arial"/>
          <w:sz w:val="20"/>
          <w:szCs w:val="20"/>
        </w:rPr>
      </w:pPr>
    </w:p>
    <w:p w:rsidR="00F8297A" w:rsidRPr="009E6B3C" w:rsidRDefault="00F8297A" w:rsidP="009E6B3C">
      <w:pPr>
        <w:autoSpaceDE w:val="0"/>
        <w:autoSpaceDN w:val="0"/>
        <w:adjustRightInd w:val="0"/>
        <w:rPr>
          <w:rFonts w:ascii="Arial" w:hAnsi="Arial" w:cs="Arial"/>
          <w:sz w:val="20"/>
          <w:szCs w:val="20"/>
        </w:rPr>
      </w:pPr>
    </w:p>
    <w:p w:rsidR="000803DE" w:rsidRPr="009E6B3C" w:rsidRDefault="000803DE" w:rsidP="009E6B3C">
      <w:pPr>
        <w:pStyle w:val="BodySingle"/>
        <w:numPr>
          <w:ilvl w:val="0"/>
          <w:numId w:val="1"/>
        </w:numPr>
        <w:tabs>
          <w:tab w:val="num" w:pos="851"/>
        </w:tabs>
        <w:ind w:left="851" w:hanging="851"/>
        <w:jc w:val="left"/>
        <w:rPr>
          <w:rFonts w:cs="Arial"/>
          <w:b/>
          <w:i w:val="0"/>
        </w:rPr>
      </w:pPr>
      <w:r w:rsidRPr="009E6B3C">
        <w:rPr>
          <w:rFonts w:cs="Arial"/>
          <w:b/>
          <w:i w:val="0"/>
        </w:rPr>
        <w:t>Committee observations</w:t>
      </w:r>
    </w:p>
    <w:p w:rsidR="000803DE" w:rsidRPr="009E6B3C" w:rsidRDefault="000803DE" w:rsidP="009E6B3C">
      <w:pPr>
        <w:rPr>
          <w:rFonts w:ascii="Arial" w:hAnsi="Arial" w:cs="Arial"/>
          <w:sz w:val="20"/>
          <w:szCs w:val="20"/>
        </w:rPr>
      </w:pPr>
    </w:p>
    <w:p w:rsidR="000803DE" w:rsidRPr="009E6B3C" w:rsidRDefault="000803DE" w:rsidP="009E6B3C">
      <w:pPr>
        <w:pStyle w:val="BodySingle"/>
        <w:ind w:left="0"/>
        <w:jc w:val="left"/>
        <w:rPr>
          <w:rFonts w:cs="Arial"/>
          <w:b/>
          <w:i w:val="0"/>
          <w:lang w:val="en-ZA"/>
        </w:rPr>
      </w:pPr>
      <w:r w:rsidRPr="009E6B3C">
        <w:rPr>
          <w:rFonts w:cs="Arial"/>
          <w:i w:val="0"/>
        </w:rPr>
        <w:t xml:space="preserve">The Committee makes the following observations: </w:t>
      </w:r>
    </w:p>
    <w:p w:rsidR="000803DE" w:rsidRPr="009E6B3C" w:rsidRDefault="000803DE" w:rsidP="009E6B3C">
      <w:pPr>
        <w:pStyle w:val="BodySingle"/>
        <w:ind w:left="851"/>
        <w:jc w:val="left"/>
        <w:rPr>
          <w:rFonts w:cs="Arial"/>
          <w:b/>
          <w:i w:val="0"/>
          <w:lang w:val="en-ZA"/>
        </w:rPr>
      </w:pPr>
    </w:p>
    <w:p w:rsidR="000803DE" w:rsidRPr="009E6B3C" w:rsidRDefault="00690B7C" w:rsidP="009E6B3C">
      <w:pPr>
        <w:pStyle w:val="ListParagraph"/>
        <w:numPr>
          <w:ilvl w:val="1"/>
          <w:numId w:val="1"/>
        </w:numPr>
        <w:ind w:left="851" w:hanging="851"/>
        <w:rPr>
          <w:rFonts w:ascii="Arial" w:hAnsi="Arial" w:cs="Arial"/>
          <w:i/>
          <w:sz w:val="20"/>
          <w:szCs w:val="20"/>
        </w:rPr>
      </w:pPr>
      <w:r w:rsidRPr="009E6B3C">
        <w:rPr>
          <w:rFonts w:ascii="Arial" w:hAnsi="Arial" w:cs="Arial"/>
          <w:b/>
          <w:i/>
          <w:sz w:val="20"/>
          <w:szCs w:val="20"/>
        </w:rPr>
        <w:t>Funding</w:t>
      </w:r>
    </w:p>
    <w:p w:rsidR="00CE4DB0" w:rsidRPr="009E6B3C" w:rsidRDefault="00CE4DB0" w:rsidP="009E6B3C">
      <w:pPr>
        <w:rPr>
          <w:rFonts w:ascii="Arial" w:hAnsi="Arial" w:cs="Arial"/>
          <w:i/>
          <w:sz w:val="20"/>
          <w:szCs w:val="20"/>
        </w:rPr>
      </w:pPr>
    </w:p>
    <w:p w:rsidR="00CE4DB0" w:rsidRPr="009E6B3C" w:rsidRDefault="00CE4DB0" w:rsidP="009E6B3C">
      <w:pPr>
        <w:autoSpaceDE w:val="0"/>
        <w:autoSpaceDN w:val="0"/>
        <w:adjustRightInd w:val="0"/>
        <w:rPr>
          <w:rFonts w:ascii="Arial" w:hAnsi="Arial" w:cs="Arial"/>
          <w:sz w:val="20"/>
          <w:szCs w:val="20"/>
        </w:rPr>
      </w:pPr>
      <w:r w:rsidRPr="009E6B3C">
        <w:rPr>
          <w:rFonts w:ascii="Arial" w:hAnsi="Arial" w:cs="Arial"/>
          <w:sz w:val="20"/>
          <w:szCs w:val="20"/>
        </w:rPr>
        <w:t xml:space="preserve">The </w:t>
      </w:r>
      <w:r w:rsidR="00F6723C" w:rsidRPr="009E6B3C">
        <w:rPr>
          <w:rFonts w:ascii="Arial" w:hAnsi="Arial" w:cs="Arial"/>
          <w:sz w:val="20"/>
          <w:szCs w:val="20"/>
        </w:rPr>
        <w:t xml:space="preserve">Committee </w:t>
      </w:r>
      <w:r w:rsidR="00A254EE" w:rsidRPr="009E6B3C">
        <w:rPr>
          <w:rFonts w:ascii="Arial" w:hAnsi="Arial" w:cs="Arial"/>
          <w:sz w:val="20"/>
          <w:szCs w:val="20"/>
        </w:rPr>
        <w:t>has pr</w:t>
      </w:r>
      <w:r w:rsidR="00151902" w:rsidRPr="009E6B3C">
        <w:rPr>
          <w:rFonts w:ascii="Arial" w:hAnsi="Arial" w:cs="Arial"/>
          <w:sz w:val="20"/>
          <w:szCs w:val="20"/>
        </w:rPr>
        <w:t xml:space="preserve">eviously expressed its concern about the effect of the </w:t>
      </w:r>
      <w:r w:rsidR="00A254EE" w:rsidRPr="009E6B3C">
        <w:rPr>
          <w:rFonts w:ascii="Arial" w:hAnsi="Arial" w:cs="Arial"/>
          <w:sz w:val="20"/>
          <w:szCs w:val="20"/>
        </w:rPr>
        <w:t xml:space="preserve">budget </w:t>
      </w:r>
      <w:r w:rsidR="00151902" w:rsidRPr="009E6B3C">
        <w:rPr>
          <w:rFonts w:ascii="Arial" w:hAnsi="Arial" w:cs="Arial"/>
          <w:sz w:val="20"/>
          <w:szCs w:val="20"/>
        </w:rPr>
        <w:t xml:space="preserve">reductions </w:t>
      </w:r>
      <w:r w:rsidR="00A254EE" w:rsidRPr="009E6B3C">
        <w:rPr>
          <w:rFonts w:ascii="Arial" w:hAnsi="Arial" w:cs="Arial"/>
          <w:sz w:val="20"/>
          <w:szCs w:val="20"/>
        </w:rPr>
        <w:t xml:space="preserve">to the </w:t>
      </w:r>
      <w:r w:rsidRPr="009E6B3C">
        <w:rPr>
          <w:rFonts w:ascii="Arial" w:hAnsi="Arial" w:cs="Arial"/>
          <w:sz w:val="20"/>
          <w:szCs w:val="20"/>
        </w:rPr>
        <w:t xml:space="preserve">Vote allocation </w:t>
      </w:r>
      <w:r w:rsidR="00A254EE" w:rsidRPr="009E6B3C">
        <w:rPr>
          <w:rFonts w:ascii="Arial" w:hAnsi="Arial" w:cs="Arial"/>
          <w:sz w:val="20"/>
          <w:szCs w:val="20"/>
        </w:rPr>
        <w:t>for the MTEF</w:t>
      </w:r>
      <w:r w:rsidR="00151902" w:rsidRPr="009E6B3C">
        <w:rPr>
          <w:rFonts w:ascii="Arial" w:hAnsi="Arial" w:cs="Arial"/>
          <w:sz w:val="20"/>
          <w:szCs w:val="20"/>
        </w:rPr>
        <w:t xml:space="preserve"> on </w:t>
      </w:r>
      <w:r w:rsidR="00A254EE" w:rsidRPr="009E6B3C">
        <w:rPr>
          <w:rFonts w:ascii="Arial" w:hAnsi="Arial" w:cs="Arial"/>
          <w:sz w:val="20"/>
          <w:szCs w:val="20"/>
        </w:rPr>
        <w:t xml:space="preserve">the </w:t>
      </w:r>
      <w:r w:rsidR="00151902" w:rsidRPr="009E6B3C">
        <w:rPr>
          <w:rFonts w:ascii="Arial" w:hAnsi="Arial" w:cs="Arial"/>
          <w:sz w:val="20"/>
          <w:szCs w:val="20"/>
        </w:rPr>
        <w:t xml:space="preserve">salaries budget. These budget reductions are applied </w:t>
      </w:r>
      <w:r w:rsidR="00340084" w:rsidRPr="009E6B3C">
        <w:rPr>
          <w:rFonts w:ascii="Arial" w:hAnsi="Arial" w:cs="Arial"/>
          <w:sz w:val="20"/>
          <w:szCs w:val="20"/>
        </w:rPr>
        <w:t>in a service delivery environment</w:t>
      </w:r>
      <w:r w:rsidR="00151902" w:rsidRPr="009E6B3C">
        <w:rPr>
          <w:rFonts w:ascii="Arial" w:hAnsi="Arial" w:cs="Arial"/>
          <w:sz w:val="20"/>
          <w:szCs w:val="20"/>
        </w:rPr>
        <w:t xml:space="preserve"> and negatively </w:t>
      </w:r>
      <w:r w:rsidR="00A254EE" w:rsidRPr="009E6B3C">
        <w:rPr>
          <w:rFonts w:ascii="Arial" w:hAnsi="Arial" w:cs="Arial"/>
          <w:sz w:val="20"/>
          <w:szCs w:val="20"/>
        </w:rPr>
        <w:t>impact on the c</w:t>
      </w:r>
      <w:r w:rsidR="00A42511" w:rsidRPr="009E6B3C">
        <w:rPr>
          <w:rFonts w:ascii="Arial" w:hAnsi="Arial" w:cs="Arial"/>
          <w:sz w:val="20"/>
          <w:szCs w:val="20"/>
        </w:rPr>
        <w:t xml:space="preserve">apacity available to deliver </w:t>
      </w:r>
      <w:r w:rsidR="00340084" w:rsidRPr="009E6B3C">
        <w:rPr>
          <w:rFonts w:ascii="Arial" w:hAnsi="Arial" w:cs="Arial"/>
          <w:sz w:val="20"/>
          <w:szCs w:val="20"/>
        </w:rPr>
        <w:t xml:space="preserve">justice </w:t>
      </w:r>
      <w:r w:rsidR="00A42511" w:rsidRPr="009E6B3C">
        <w:rPr>
          <w:rFonts w:ascii="Arial" w:hAnsi="Arial" w:cs="Arial"/>
          <w:sz w:val="20"/>
          <w:szCs w:val="20"/>
        </w:rPr>
        <w:t xml:space="preserve">services. </w:t>
      </w:r>
      <w:r w:rsidR="00D0488D" w:rsidRPr="009E6B3C">
        <w:rPr>
          <w:rFonts w:ascii="Arial" w:hAnsi="Arial" w:cs="Arial"/>
          <w:sz w:val="20"/>
          <w:szCs w:val="20"/>
        </w:rPr>
        <w:t xml:space="preserve">We have also argued that </w:t>
      </w:r>
      <w:r w:rsidR="00A74ADC" w:rsidRPr="009E6B3C">
        <w:rPr>
          <w:rFonts w:ascii="Arial" w:hAnsi="Arial" w:cs="Arial"/>
          <w:sz w:val="20"/>
          <w:szCs w:val="20"/>
        </w:rPr>
        <w:t xml:space="preserve">rather than encouraging efficiency, a chronic lack of resources </w:t>
      </w:r>
      <w:r w:rsidR="00BA1673" w:rsidRPr="009E6B3C">
        <w:rPr>
          <w:rFonts w:ascii="Arial" w:hAnsi="Arial" w:cs="Arial"/>
          <w:sz w:val="20"/>
          <w:szCs w:val="20"/>
        </w:rPr>
        <w:t>can actually result in the very opposite.</w:t>
      </w:r>
    </w:p>
    <w:p w:rsidR="00CE4DB0" w:rsidRPr="009E6B3C" w:rsidRDefault="00CE4DB0" w:rsidP="009E6B3C">
      <w:pPr>
        <w:autoSpaceDE w:val="0"/>
        <w:autoSpaceDN w:val="0"/>
        <w:adjustRightInd w:val="0"/>
        <w:rPr>
          <w:rFonts w:ascii="Arial" w:hAnsi="Arial" w:cs="Arial"/>
          <w:sz w:val="20"/>
          <w:szCs w:val="20"/>
        </w:rPr>
      </w:pPr>
    </w:p>
    <w:p w:rsidR="001667B2" w:rsidRPr="009E6B3C" w:rsidRDefault="00F76E1B" w:rsidP="009E6B3C">
      <w:pPr>
        <w:kinsoku w:val="0"/>
        <w:overflowPunct w:val="0"/>
        <w:contextualSpacing/>
        <w:textAlignment w:val="baseline"/>
        <w:rPr>
          <w:rFonts w:ascii="Arial" w:eastAsiaTheme="minorEastAsia" w:hAnsi="Arial" w:cs="Arial"/>
          <w:color w:val="000000"/>
          <w:kern w:val="24"/>
          <w:sz w:val="20"/>
          <w:szCs w:val="20"/>
          <w:lang w:val="en-US" w:eastAsia="en-ZA"/>
        </w:rPr>
      </w:pPr>
      <w:r w:rsidRPr="009E6B3C">
        <w:rPr>
          <w:rFonts w:ascii="Arial" w:eastAsiaTheme="minorEastAsia" w:hAnsi="Arial" w:cs="Arial"/>
          <w:color w:val="000000"/>
          <w:kern w:val="24"/>
          <w:sz w:val="20"/>
          <w:szCs w:val="20"/>
          <w:lang w:val="en-US" w:eastAsia="en-ZA"/>
        </w:rPr>
        <w:t xml:space="preserve">We </w:t>
      </w:r>
      <w:r w:rsidR="00B93E5F" w:rsidRPr="009E6B3C">
        <w:rPr>
          <w:rFonts w:ascii="Arial" w:eastAsiaTheme="minorEastAsia" w:hAnsi="Arial" w:cs="Arial"/>
          <w:color w:val="000000"/>
          <w:kern w:val="24"/>
          <w:sz w:val="20"/>
          <w:szCs w:val="20"/>
          <w:lang w:val="en-US" w:eastAsia="en-ZA"/>
        </w:rPr>
        <w:t xml:space="preserve">have reported our </w:t>
      </w:r>
      <w:r w:rsidRPr="009E6B3C">
        <w:rPr>
          <w:rFonts w:ascii="Arial" w:eastAsiaTheme="minorEastAsia" w:hAnsi="Arial" w:cs="Arial"/>
          <w:color w:val="000000"/>
          <w:kern w:val="24"/>
          <w:sz w:val="20"/>
          <w:szCs w:val="20"/>
          <w:lang w:val="en-US" w:eastAsia="en-ZA"/>
        </w:rPr>
        <w:t xml:space="preserve">observation that officials working in the Lower Courts are not adequately resourced </w:t>
      </w:r>
      <w:r w:rsidR="00B93E5F" w:rsidRPr="009E6B3C">
        <w:rPr>
          <w:rFonts w:ascii="Arial" w:eastAsiaTheme="minorEastAsia" w:hAnsi="Arial" w:cs="Arial"/>
          <w:color w:val="000000"/>
          <w:kern w:val="24"/>
          <w:sz w:val="20"/>
          <w:szCs w:val="20"/>
          <w:lang w:val="en-US" w:eastAsia="en-ZA"/>
        </w:rPr>
        <w:t xml:space="preserve">and note that the observation is </w:t>
      </w:r>
      <w:r w:rsidRPr="009E6B3C">
        <w:rPr>
          <w:rFonts w:ascii="Arial" w:eastAsiaTheme="minorEastAsia" w:hAnsi="Arial" w:cs="Arial"/>
          <w:color w:val="000000"/>
          <w:kern w:val="24"/>
          <w:sz w:val="20"/>
          <w:szCs w:val="20"/>
          <w:lang w:val="en-US" w:eastAsia="en-ZA"/>
        </w:rPr>
        <w:t>confirmed by the NPA, which makes similar observations</w:t>
      </w:r>
      <w:r w:rsidR="00B93E5F" w:rsidRPr="009E6B3C">
        <w:rPr>
          <w:rFonts w:ascii="Arial" w:eastAsiaTheme="minorEastAsia" w:hAnsi="Arial" w:cs="Arial"/>
          <w:color w:val="000000"/>
          <w:kern w:val="24"/>
          <w:sz w:val="20"/>
          <w:szCs w:val="20"/>
          <w:lang w:val="en-US" w:eastAsia="en-ZA"/>
        </w:rPr>
        <w:t xml:space="preserve"> in its Annual Report</w:t>
      </w:r>
      <w:r w:rsidRPr="009E6B3C">
        <w:rPr>
          <w:rFonts w:ascii="Arial" w:eastAsiaTheme="minorEastAsia" w:hAnsi="Arial" w:cs="Arial"/>
          <w:color w:val="000000"/>
          <w:kern w:val="24"/>
          <w:sz w:val="20"/>
          <w:szCs w:val="20"/>
          <w:lang w:val="en-US" w:eastAsia="en-ZA"/>
        </w:rPr>
        <w:t>. The lack of available resources in respect of the Lower Courts is widely attributed to budget cuts to the Court Services programme</w:t>
      </w:r>
      <w:r w:rsidR="00B93E5F" w:rsidRPr="009E6B3C">
        <w:rPr>
          <w:rFonts w:ascii="Arial" w:eastAsiaTheme="minorEastAsia" w:hAnsi="Arial" w:cs="Arial"/>
          <w:color w:val="000000"/>
          <w:kern w:val="24"/>
          <w:sz w:val="20"/>
          <w:szCs w:val="20"/>
          <w:lang w:val="en-US" w:eastAsia="en-ZA"/>
        </w:rPr>
        <w:t xml:space="preserve">, </w:t>
      </w:r>
      <w:r w:rsidR="00BA1673" w:rsidRPr="009E6B3C">
        <w:rPr>
          <w:rFonts w:ascii="Arial" w:eastAsiaTheme="minorEastAsia" w:hAnsi="Arial" w:cs="Arial"/>
          <w:color w:val="000000"/>
          <w:kern w:val="24"/>
          <w:sz w:val="20"/>
          <w:szCs w:val="20"/>
          <w:lang w:val="en-US" w:eastAsia="en-ZA"/>
        </w:rPr>
        <w:t xml:space="preserve">despite this being </w:t>
      </w:r>
      <w:r w:rsidRPr="009E6B3C">
        <w:rPr>
          <w:rFonts w:ascii="Arial" w:eastAsiaTheme="minorEastAsia" w:hAnsi="Arial" w:cs="Arial"/>
          <w:color w:val="000000"/>
          <w:kern w:val="24"/>
          <w:sz w:val="20"/>
          <w:szCs w:val="20"/>
          <w:lang w:val="en-US" w:eastAsia="en-ZA"/>
        </w:rPr>
        <w:t xml:space="preserve">the </w:t>
      </w:r>
      <w:r w:rsidR="00BA1673" w:rsidRPr="009E6B3C">
        <w:rPr>
          <w:rFonts w:ascii="Arial" w:eastAsiaTheme="minorEastAsia" w:hAnsi="Arial" w:cs="Arial"/>
          <w:color w:val="000000"/>
          <w:kern w:val="24"/>
          <w:sz w:val="20"/>
          <w:szCs w:val="20"/>
          <w:lang w:val="en-US" w:eastAsia="en-ZA"/>
        </w:rPr>
        <w:t xml:space="preserve">programme responsible for the delivery of – or at least </w:t>
      </w:r>
      <w:r w:rsidR="00F910DE" w:rsidRPr="009E6B3C">
        <w:rPr>
          <w:rFonts w:ascii="Arial" w:eastAsiaTheme="minorEastAsia" w:hAnsi="Arial" w:cs="Arial"/>
          <w:color w:val="000000"/>
          <w:kern w:val="24"/>
          <w:sz w:val="20"/>
          <w:szCs w:val="20"/>
          <w:lang w:val="en-US" w:eastAsia="en-ZA"/>
        </w:rPr>
        <w:t xml:space="preserve">providing accommodation for </w:t>
      </w:r>
      <w:r w:rsidR="00BA1673" w:rsidRPr="009E6B3C">
        <w:rPr>
          <w:rFonts w:ascii="Arial" w:eastAsiaTheme="minorEastAsia" w:hAnsi="Arial" w:cs="Arial"/>
          <w:color w:val="000000"/>
          <w:kern w:val="24"/>
          <w:sz w:val="20"/>
          <w:szCs w:val="20"/>
          <w:lang w:val="en-US" w:eastAsia="en-ZA"/>
        </w:rPr>
        <w:t xml:space="preserve">- the </w:t>
      </w:r>
      <w:r w:rsidRPr="009E6B3C">
        <w:rPr>
          <w:rFonts w:ascii="Arial" w:eastAsiaTheme="minorEastAsia" w:hAnsi="Arial" w:cs="Arial"/>
          <w:color w:val="000000"/>
          <w:kern w:val="24"/>
          <w:sz w:val="20"/>
          <w:szCs w:val="20"/>
          <w:lang w:val="en-US" w:eastAsia="en-ZA"/>
        </w:rPr>
        <w:t xml:space="preserve">majority of </w:t>
      </w:r>
      <w:r w:rsidR="00BA1673" w:rsidRPr="009E6B3C">
        <w:rPr>
          <w:rFonts w:ascii="Arial" w:eastAsiaTheme="minorEastAsia" w:hAnsi="Arial" w:cs="Arial"/>
          <w:color w:val="000000"/>
          <w:kern w:val="24"/>
          <w:sz w:val="20"/>
          <w:szCs w:val="20"/>
          <w:lang w:val="en-US" w:eastAsia="en-ZA"/>
        </w:rPr>
        <w:t>court</w:t>
      </w:r>
      <w:r w:rsidRPr="009E6B3C">
        <w:rPr>
          <w:rFonts w:ascii="Arial" w:eastAsiaTheme="minorEastAsia" w:hAnsi="Arial" w:cs="Arial"/>
          <w:color w:val="000000"/>
          <w:kern w:val="24"/>
          <w:sz w:val="20"/>
          <w:szCs w:val="20"/>
          <w:lang w:val="en-US" w:eastAsia="en-ZA"/>
        </w:rPr>
        <w:t xml:space="preserve"> services.</w:t>
      </w:r>
    </w:p>
    <w:p w:rsidR="001667B2" w:rsidRPr="009E6B3C" w:rsidRDefault="001667B2" w:rsidP="009E6B3C">
      <w:pPr>
        <w:kinsoku w:val="0"/>
        <w:overflowPunct w:val="0"/>
        <w:contextualSpacing/>
        <w:textAlignment w:val="baseline"/>
        <w:rPr>
          <w:rFonts w:ascii="Arial" w:eastAsiaTheme="minorEastAsia" w:hAnsi="Arial" w:cs="Arial"/>
          <w:color w:val="000000"/>
          <w:kern w:val="24"/>
          <w:sz w:val="20"/>
          <w:szCs w:val="20"/>
          <w:lang w:val="en-US" w:eastAsia="en-ZA"/>
        </w:rPr>
      </w:pPr>
    </w:p>
    <w:p w:rsidR="00CE5887" w:rsidRPr="009E6B3C" w:rsidRDefault="00CE5887" w:rsidP="009E6B3C">
      <w:pPr>
        <w:rPr>
          <w:rFonts w:ascii="Arial" w:hAnsi="Arial" w:cs="Arial"/>
          <w:sz w:val="20"/>
          <w:szCs w:val="20"/>
        </w:rPr>
      </w:pPr>
      <w:r w:rsidRPr="009E6B3C">
        <w:rPr>
          <w:rFonts w:ascii="Arial" w:hAnsi="Arial" w:cs="Arial"/>
          <w:sz w:val="20"/>
          <w:szCs w:val="20"/>
        </w:rPr>
        <w:t xml:space="preserve">We note that the NPA has put forward a request for additional funding </w:t>
      </w:r>
      <w:r w:rsidR="00232832" w:rsidRPr="009E6B3C">
        <w:rPr>
          <w:rFonts w:ascii="Arial" w:hAnsi="Arial" w:cs="Arial"/>
          <w:sz w:val="20"/>
          <w:szCs w:val="20"/>
        </w:rPr>
        <w:t xml:space="preserve">over the medium term </w:t>
      </w:r>
      <w:r w:rsidRPr="009E6B3C">
        <w:rPr>
          <w:rFonts w:ascii="Arial" w:hAnsi="Arial" w:cs="Arial"/>
          <w:sz w:val="20"/>
          <w:szCs w:val="20"/>
        </w:rPr>
        <w:t xml:space="preserve">and are heartened by the Minister of Finance’s statement that </w:t>
      </w:r>
      <w:r w:rsidR="00232832" w:rsidRPr="009E6B3C">
        <w:rPr>
          <w:rFonts w:ascii="Arial" w:hAnsi="Arial" w:cs="Arial"/>
          <w:sz w:val="20"/>
          <w:szCs w:val="20"/>
        </w:rPr>
        <w:t xml:space="preserve">the NPA and SIU are among the institutions that will receive further allocations to improve the fight against corruption and advance the recommendations of the </w:t>
      </w:r>
      <w:r w:rsidR="00BA1673" w:rsidRPr="009E6B3C">
        <w:rPr>
          <w:rFonts w:ascii="Arial" w:hAnsi="Arial" w:cs="Arial"/>
          <w:sz w:val="20"/>
          <w:szCs w:val="20"/>
        </w:rPr>
        <w:t>Judicial Commission of Inquiry into State Capture (</w:t>
      </w:r>
      <w:r w:rsidR="00232832" w:rsidRPr="009E6B3C">
        <w:rPr>
          <w:rFonts w:ascii="Arial" w:hAnsi="Arial" w:cs="Arial"/>
          <w:sz w:val="20"/>
          <w:szCs w:val="20"/>
        </w:rPr>
        <w:t>Zondo Commission</w:t>
      </w:r>
      <w:r w:rsidR="00BA1673" w:rsidRPr="009E6B3C">
        <w:rPr>
          <w:rFonts w:ascii="Arial" w:hAnsi="Arial" w:cs="Arial"/>
          <w:sz w:val="20"/>
          <w:szCs w:val="20"/>
        </w:rPr>
        <w:t>)</w:t>
      </w:r>
      <w:r w:rsidR="00232832" w:rsidRPr="009E6B3C">
        <w:rPr>
          <w:rFonts w:ascii="Arial" w:hAnsi="Arial" w:cs="Arial"/>
          <w:sz w:val="20"/>
          <w:szCs w:val="20"/>
        </w:rPr>
        <w:t>. These resources will help the institutions to identify sophisticated financial crimes, prosecute offenders, and recover money and assets that are the proceeds of fraud and</w:t>
      </w:r>
      <w:r w:rsidR="008A0FDC" w:rsidRPr="009E6B3C">
        <w:rPr>
          <w:rFonts w:ascii="Arial" w:hAnsi="Arial" w:cs="Arial"/>
          <w:sz w:val="20"/>
          <w:szCs w:val="20"/>
        </w:rPr>
        <w:t xml:space="preserve"> </w:t>
      </w:r>
      <w:r w:rsidR="00232832" w:rsidRPr="009E6B3C">
        <w:rPr>
          <w:rFonts w:ascii="Arial" w:hAnsi="Arial" w:cs="Arial"/>
          <w:sz w:val="20"/>
          <w:szCs w:val="20"/>
        </w:rPr>
        <w:t xml:space="preserve">corruption. The additional resources will be outlined in 2023 budget. </w:t>
      </w:r>
      <w:r w:rsidR="00444906" w:rsidRPr="009E6B3C">
        <w:rPr>
          <w:rFonts w:ascii="Arial" w:hAnsi="Arial" w:cs="Arial"/>
          <w:sz w:val="20"/>
          <w:szCs w:val="20"/>
        </w:rPr>
        <w:t xml:space="preserve">We </w:t>
      </w:r>
      <w:r w:rsidR="00F25C86" w:rsidRPr="009E6B3C">
        <w:rPr>
          <w:rFonts w:ascii="Arial" w:hAnsi="Arial" w:cs="Arial"/>
          <w:sz w:val="20"/>
          <w:szCs w:val="20"/>
        </w:rPr>
        <w:t xml:space="preserve">unreservedly </w:t>
      </w:r>
      <w:r w:rsidR="00444906" w:rsidRPr="009E6B3C">
        <w:rPr>
          <w:rFonts w:ascii="Arial" w:hAnsi="Arial" w:cs="Arial"/>
          <w:sz w:val="20"/>
          <w:szCs w:val="20"/>
        </w:rPr>
        <w:t>support the</w:t>
      </w:r>
      <w:r w:rsidR="00F25C86" w:rsidRPr="009E6B3C">
        <w:rPr>
          <w:rFonts w:ascii="Arial" w:hAnsi="Arial" w:cs="Arial"/>
          <w:sz w:val="20"/>
          <w:szCs w:val="20"/>
        </w:rPr>
        <w:t>se</w:t>
      </w:r>
      <w:r w:rsidR="00444906" w:rsidRPr="009E6B3C">
        <w:rPr>
          <w:rFonts w:ascii="Arial" w:hAnsi="Arial" w:cs="Arial"/>
          <w:sz w:val="20"/>
          <w:szCs w:val="20"/>
        </w:rPr>
        <w:t xml:space="preserve"> additional allocations, </w:t>
      </w:r>
    </w:p>
    <w:p w:rsidR="00232832" w:rsidRPr="009E6B3C" w:rsidRDefault="00232832" w:rsidP="009E6B3C">
      <w:pPr>
        <w:rPr>
          <w:rFonts w:ascii="Arial" w:hAnsi="Arial" w:cs="Arial"/>
          <w:sz w:val="20"/>
          <w:szCs w:val="20"/>
        </w:rPr>
      </w:pPr>
    </w:p>
    <w:p w:rsidR="00CE5887" w:rsidRPr="009E6B3C" w:rsidRDefault="00CE5887" w:rsidP="009E6B3C">
      <w:pPr>
        <w:rPr>
          <w:rFonts w:ascii="Arial" w:hAnsi="Arial" w:cs="Arial"/>
          <w:sz w:val="20"/>
          <w:szCs w:val="20"/>
        </w:rPr>
      </w:pPr>
      <w:r w:rsidRPr="009E6B3C">
        <w:rPr>
          <w:rFonts w:ascii="Arial" w:hAnsi="Arial" w:cs="Arial"/>
          <w:sz w:val="20"/>
          <w:szCs w:val="20"/>
        </w:rPr>
        <w:t xml:space="preserve">As we have stated on several occasions, </w:t>
      </w:r>
      <w:r w:rsidR="001667B2" w:rsidRPr="009E6B3C">
        <w:rPr>
          <w:rFonts w:ascii="Arial" w:hAnsi="Arial" w:cs="Arial"/>
          <w:sz w:val="20"/>
          <w:szCs w:val="20"/>
        </w:rPr>
        <w:t>the Chapter 9 institutions within the portfoli</w:t>
      </w:r>
      <w:r w:rsidR="00152811" w:rsidRPr="009E6B3C">
        <w:rPr>
          <w:rFonts w:ascii="Arial" w:hAnsi="Arial" w:cs="Arial"/>
          <w:sz w:val="20"/>
          <w:szCs w:val="20"/>
        </w:rPr>
        <w:t>o are historically underfunded</w:t>
      </w:r>
      <w:r w:rsidRPr="009E6B3C">
        <w:rPr>
          <w:rFonts w:ascii="Arial" w:hAnsi="Arial" w:cs="Arial"/>
          <w:sz w:val="20"/>
          <w:szCs w:val="20"/>
        </w:rPr>
        <w:t xml:space="preserve"> and, as such, we are opposed to any cuts to their budgets</w:t>
      </w:r>
      <w:r w:rsidR="00152811" w:rsidRPr="009E6B3C">
        <w:rPr>
          <w:rFonts w:ascii="Arial" w:hAnsi="Arial" w:cs="Arial"/>
          <w:sz w:val="20"/>
          <w:szCs w:val="20"/>
        </w:rPr>
        <w:t xml:space="preserve">. </w:t>
      </w:r>
      <w:r w:rsidRPr="009E6B3C">
        <w:rPr>
          <w:rFonts w:ascii="Arial" w:hAnsi="Arial" w:cs="Arial"/>
          <w:sz w:val="20"/>
          <w:szCs w:val="20"/>
        </w:rPr>
        <w:t>It is apparent to us that funding prevents both the PPSA and the S</w:t>
      </w:r>
      <w:r w:rsidR="00F25C86" w:rsidRPr="009E6B3C">
        <w:rPr>
          <w:rFonts w:ascii="Arial" w:hAnsi="Arial" w:cs="Arial"/>
          <w:sz w:val="20"/>
          <w:szCs w:val="20"/>
        </w:rPr>
        <w:t>AHRC</w:t>
      </w:r>
      <w:r w:rsidRPr="009E6B3C">
        <w:rPr>
          <w:rFonts w:ascii="Arial" w:hAnsi="Arial" w:cs="Arial"/>
          <w:sz w:val="20"/>
          <w:szCs w:val="20"/>
        </w:rPr>
        <w:t xml:space="preserve"> from appointing the capacity they require and that this is highly prejudicial to their ability to perform the work they are constitutionally mandated to do. </w:t>
      </w:r>
    </w:p>
    <w:p w:rsidR="00CE5887" w:rsidRPr="009E6B3C" w:rsidRDefault="00CE5887" w:rsidP="009E6B3C">
      <w:pPr>
        <w:rPr>
          <w:rFonts w:ascii="Arial" w:hAnsi="Arial" w:cs="Arial"/>
          <w:sz w:val="20"/>
          <w:szCs w:val="20"/>
        </w:rPr>
      </w:pPr>
    </w:p>
    <w:p w:rsidR="00152811" w:rsidRPr="009E6B3C" w:rsidRDefault="00CE5887" w:rsidP="009E6B3C">
      <w:pPr>
        <w:rPr>
          <w:rFonts w:ascii="Arial" w:hAnsi="Arial" w:cs="Arial"/>
          <w:sz w:val="20"/>
          <w:szCs w:val="20"/>
        </w:rPr>
      </w:pPr>
      <w:r w:rsidRPr="009E6B3C">
        <w:rPr>
          <w:rFonts w:ascii="Arial" w:hAnsi="Arial" w:cs="Arial"/>
          <w:sz w:val="20"/>
          <w:szCs w:val="20"/>
        </w:rPr>
        <w:t xml:space="preserve">We repeat our view </w:t>
      </w:r>
      <w:r w:rsidR="00152811" w:rsidRPr="009E6B3C">
        <w:rPr>
          <w:rFonts w:ascii="Arial" w:hAnsi="Arial" w:cs="Arial"/>
          <w:sz w:val="20"/>
          <w:szCs w:val="20"/>
        </w:rPr>
        <w:t xml:space="preserve">that the budget arrangements to these institutions do not support their unique role within our constitutional architecture </w:t>
      </w:r>
      <w:r w:rsidRPr="009E6B3C">
        <w:rPr>
          <w:rFonts w:ascii="Arial" w:hAnsi="Arial" w:cs="Arial"/>
          <w:sz w:val="20"/>
          <w:szCs w:val="20"/>
        </w:rPr>
        <w:t xml:space="preserve">and </w:t>
      </w:r>
      <w:r w:rsidR="00A119EE" w:rsidRPr="009E6B3C">
        <w:rPr>
          <w:rFonts w:ascii="Arial" w:hAnsi="Arial" w:cs="Arial"/>
          <w:sz w:val="20"/>
          <w:szCs w:val="20"/>
        </w:rPr>
        <w:t>requires review</w:t>
      </w:r>
      <w:r w:rsidRPr="009E6B3C">
        <w:rPr>
          <w:rFonts w:ascii="Arial" w:hAnsi="Arial" w:cs="Arial"/>
          <w:sz w:val="20"/>
          <w:szCs w:val="20"/>
        </w:rPr>
        <w:t>.</w:t>
      </w:r>
      <w:r w:rsidR="00152811" w:rsidRPr="009E6B3C">
        <w:rPr>
          <w:rFonts w:ascii="Arial" w:hAnsi="Arial" w:cs="Arial"/>
          <w:sz w:val="20"/>
          <w:szCs w:val="20"/>
        </w:rPr>
        <w:t xml:space="preserve"> </w:t>
      </w:r>
    </w:p>
    <w:p w:rsidR="00152811" w:rsidRPr="009E6B3C" w:rsidRDefault="00152811" w:rsidP="009E6B3C">
      <w:pPr>
        <w:rPr>
          <w:rFonts w:ascii="Arial" w:hAnsi="Arial" w:cs="Arial"/>
          <w:sz w:val="20"/>
          <w:szCs w:val="20"/>
        </w:rPr>
      </w:pPr>
    </w:p>
    <w:p w:rsidR="00B631E9" w:rsidRPr="009E6B3C" w:rsidRDefault="00B631E9" w:rsidP="009E6B3C">
      <w:pPr>
        <w:rPr>
          <w:rFonts w:ascii="Arial" w:hAnsi="Arial" w:cs="Arial"/>
          <w:i/>
          <w:sz w:val="20"/>
          <w:szCs w:val="20"/>
        </w:rPr>
      </w:pPr>
      <w:r w:rsidRPr="009E6B3C">
        <w:rPr>
          <w:rFonts w:ascii="Arial" w:hAnsi="Arial" w:cs="Arial"/>
          <w:b/>
          <w:i/>
          <w:sz w:val="20"/>
          <w:szCs w:val="20"/>
        </w:rPr>
        <w:t>Department of Justice and Constitutional Development</w:t>
      </w:r>
    </w:p>
    <w:p w:rsidR="005A0920" w:rsidRPr="009E6B3C" w:rsidRDefault="005A0920" w:rsidP="009E6B3C">
      <w:pPr>
        <w:rPr>
          <w:rFonts w:ascii="Arial" w:hAnsi="Arial" w:cs="Arial"/>
          <w:b/>
          <w:i/>
          <w:sz w:val="20"/>
          <w:szCs w:val="20"/>
        </w:rPr>
      </w:pPr>
    </w:p>
    <w:p w:rsidR="00B631E9" w:rsidRPr="009E6B3C" w:rsidRDefault="00B631E9" w:rsidP="009E6B3C">
      <w:pPr>
        <w:pStyle w:val="ListParagraph"/>
        <w:numPr>
          <w:ilvl w:val="1"/>
          <w:numId w:val="1"/>
        </w:numPr>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Performance</w:t>
      </w:r>
    </w:p>
    <w:p w:rsidR="00B631E9" w:rsidRPr="009E6B3C" w:rsidRDefault="00B631E9" w:rsidP="009E6B3C">
      <w:pPr>
        <w:rPr>
          <w:rFonts w:ascii="Arial" w:hAnsi="Arial" w:cs="Arial"/>
          <w:color w:val="000000" w:themeColor="text1"/>
          <w:sz w:val="20"/>
          <w:szCs w:val="20"/>
        </w:rPr>
      </w:pPr>
    </w:p>
    <w:p w:rsidR="00524EF0" w:rsidRPr="009E6B3C" w:rsidRDefault="00BA1673" w:rsidP="009E6B3C">
      <w:pPr>
        <w:rPr>
          <w:rFonts w:ascii="Arial" w:hAnsi="Arial" w:cs="Arial"/>
          <w:color w:val="000000" w:themeColor="text1"/>
          <w:sz w:val="20"/>
          <w:szCs w:val="20"/>
        </w:rPr>
      </w:pPr>
      <w:r w:rsidRPr="009E6B3C">
        <w:rPr>
          <w:rFonts w:ascii="Arial" w:hAnsi="Arial" w:cs="Arial"/>
          <w:color w:val="000000" w:themeColor="text1"/>
          <w:sz w:val="20"/>
          <w:szCs w:val="20"/>
        </w:rPr>
        <w:t xml:space="preserve">We note </w:t>
      </w:r>
      <w:r w:rsidR="00B631E9" w:rsidRPr="009E6B3C">
        <w:rPr>
          <w:rFonts w:ascii="Arial" w:hAnsi="Arial" w:cs="Arial"/>
          <w:color w:val="000000" w:themeColor="text1"/>
          <w:sz w:val="20"/>
          <w:szCs w:val="20"/>
        </w:rPr>
        <w:t xml:space="preserve">the Department reports improved performance </w:t>
      </w:r>
      <w:r w:rsidR="00772C10" w:rsidRPr="009E6B3C">
        <w:rPr>
          <w:rFonts w:ascii="Arial" w:hAnsi="Arial" w:cs="Arial"/>
          <w:color w:val="000000" w:themeColor="text1"/>
          <w:sz w:val="20"/>
          <w:szCs w:val="20"/>
        </w:rPr>
        <w:t xml:space="preserve">for 2021/22 </w:t>
      </w:r>
      <w:r w:rsidR="00B631E9" w:rsidRPr="009E6B3C">
        <w:rPr>
          <w:rFonts w:ascii="Arial" w:hAnsi="Arial" w:cs="Arial"/>
          <w:color w:val="000000" w:themeColor="text1"/>
          <w:sz w:val="20"/>
          <w:szCs w:val="20"/>
        </w:rPr>
        <w:t>at 79% of planned indicators met. Although</w:t>
      </w:r>
      <w:r w:rsidRPr="009E6B3C">
        <w:rPr>
          <w:rFonts w:ascii="Arial" w:hAnsi="Arial" w:cs="Arial"/>
          <w:color w:val="000000" w:themeColor="text1"/>
          <w:sz w:val="20"/>
          <w:szCs w:val="20"/>
        </w:rPr>
        <w:t xml:space="preserve"> </w:t>
      </w:r>
      <w:r w:rsidR="00B631E9" w:rsidRPr="009E6B3C">
        <w:rPr>
          <w:rFonts w:ascii="Arial" w:hAnsi="Arial" w:cs="Arial"/>
          <w:color w:val="000000" w:themeColor="text1"/>
          <w:sz w:val="20"/>
          <w:szCs w:val="20"/>
        </w:rPr>
        <w:t xml:space="preserve">this is </w:t>
      </w:r>
      <w:r w:rsidRPr="009E6B3C">
        <w:rPr>
          <w:rFonts w:ascii="Arial" w:hAnsi="Arial" w:cs="Arial"/>
          <w:color w:val="000000" w:themeColor="text1"/>
          <w:sz w:val="20"/>
          <w:szCs w:val="20"/>
        </w:rPr>
        <w:t>c</w:t>
      </w:r>
      <w:r w:rsidR="00B631E9" w:rsidRPr="009E6B3C">
        <w:rPr>
          <w:rFonts w:ascii="Arial" w:hAnsi="Arial" w:cs="Arial"/>
          <w:color w:val="000000" w:themeColor="text1"/>
          <w:sz w:val="20"/>
          <w:szCs w:val="20"/>
        </w:rPr>
        <w:t>onsiderabl</w:t>
      </w:r>
      <w:r w:rsidRPr="009E6B3C">
        <w:rPr>
          <w:rFonts w:ascii="Arial" w:hAnsi="Arial" w:cs="Arial"/>
          <w:color w:val="000000" w:themeColor="text1"/>
          <w:sz w:val="20"/>
          <w:szCs w:val="20"/>
        </w:rPr>
        <w:t>y</w:t>
      </w:r>
      <w:r w:rsidR="00B631E9" w:rsidRPr="009E6B3C">
        <w:rPr>
          <w:rFonts w:ascii="Arial" w:hAnsi="Arial" w:cs="Arial"/>
          <w:color w:val="000000" w:themeColor="text1"/>
          <w:sz w:val="20"/>
          <w:szCs w:val="20"/>
        </w:rPr>
        <w:t xml:space="preserve"> improve</w:t>
      </w:r>
      <w:r w:rsidRPr="009E6B3C">
        <w:rPr>
          <w:rFonts w:ascii="Arial" w:hAnsi="Arial" w:cs="Arial"/>
          <w:color w:val="000000" w:themeColor="text1"/>
          <w:sz w:val="20"/>
          <w:szCs w:val="20"/>
        </w:rPr>
        <w:t>d</w:t>
      </w:r>
      <w:r w:rsidR="00B631E9" w:rsidRPr="009E6B3C">
        <w:rPr>
          <w:rFonts w:ascii="Arial" w:hAnsi="Arial" w:cs="Arial"/>
          <w:color w:val="000000" w:themeColor="text1"/>
          <w:sz w:val="20"/>
          <w:szCs w:val="20"/>
        </w:rPr>
        <w:t xml:space="preserve"> </w:t>
      </w:r>
      <w:r w:rsidR="00772C10" w:rsidRPr="009E6B3C">
        <w:rPr>
          <w:rFonts w:ascii="Arial" w:hAnsi="Arial" w:cs="Arial"/>
          <w:color w:val="000000" w:themeColor="text1"/>
          <w:sz w:val="20"/>
          <w:szCs w:val="20"/>
        </w:rPr>
        <w:t xml:space="preserve">from previous years, </w:t>
      </w:r>
      <w:r w:rsidRPr="009E6B3C">
        <w:rPr>
          <w:rFonts w:ascii="Arial" w:hAnsi="Arial" w:cs="Arial"/>
          <w:color w:val="000000" w:themeColor="text1"/>
          <w:sz w:val="20"/>
          <w:szCs w:val="20"/>
        </w:rPr>
        <w:t xml:space="preserve">we remain </w:t>
      </w:r>
      <w:r w:rsidR="00F76E1B" w:rsidRPr="009E6B3C">
        <w:rPr>
          <w:rFonts w:ascii="Arial" w:hAnsi="Arial" w:cs="Arial"/>
          <w:color w:val="000000" w:themeColor="text1"/>
          <w:sz w:val="20"/>
          <w:szCs w:val="20"/>
        </w:rPr>
        <w:t>cautious</w:t>
      </w:r>
      <w:r w:rsidR="00D72990" w:rsidRPr="009E6B3C">
        <w:rPr>
          <w:rFonts w:ascii="Arial" w:hAnsi="Arial" w:cs="Arial"/>
          <w:color w:val="000000" w:themeColor="text1"/>
          <w:sz w:val="20"/>
          <w:szCs w:val="20"/>
        </w:rPr>
        <w:t>.</w:t>
      </w:r>
      <w:r w:rsidR="00524EF0" w:rsidRPr="009E6B3C">
        <w:rPr>
          <w:rFonts w:ascii="Arial" w:hAnsi="Arial" w:cs="Arial"/>
          <w:color w:val="000000" w:themeColor="text1"/>
          <w:sz w:val="20"/>
          <w:szCs w:val="20"/>
        </w:rPr>
        <w:t xml:space="preserve"> </w:t>
      </w:r>
    </w:p>
    <w:p w:rsidR="00524EF0" w:rsidRPr="009E6B3C" w:rsidRDefault="00524EF0" w:rsidP="009E6B3C">
      <w:pPr>
        <w:rPr>
          <w:rFonts w:ascii="Arial" w:hAnsi="Arial" w:cs="Arial"/>
          <w:color w:val="000000" w:themeColor="text1"/>
          <w:sz w:val="20"/>
          <w:szCs w:val="20"/>
        </w:rPr>
      </w:pPr>
    </w:p>
    <w:p w:rsidR="00524EF0" w:rsidRPr="009E6B3C" w:rsidRDefault="00D0488D" w:rsidP="009E6B3C">
      <w:pPr>
        <w:rPr>
          <w:rFonts w:ascii="Arial" w:hAnsi="Arial" w:cs="Arial"/>
          <w:color w:val="000000" w:themeColor="text1"/>
          <w:sz w:val="20"/>
          <w:szCs w:val="20"/>
        </w:rPr>
      </w:pPr>
      <w:r w:rsidRPr="009E6B3C">
        <w:rPr>
          <w:rFonts w:ascii="Arial" w:hAnsi="Arial" w:cs="Arial"/>
          <w:color w:val="000000" w:themeColor="text1"/>
          <w:sz w:val="20"/>
          <w:szCs w:val="20"/>
        </w:rPr>
        <w:t>I</w:t>
      </w:r>
      <w:r w:rsidR="00524EF0" w:rsidRPr="009E6B3C">
        <w:rPr>
          <w:rFonts w:ascii="Arial" w:hAnsi="Arial" w:cs="Arial"/>
          <w:color w:val="000000" w:themeColor="text1"/>
          <w:sz w:val="20"/>
          <w:szCs w:val="20"/>
        </w:rPr>
        <w:t xml:space="preserve">n January 2022, the Department revised its 2021/22 Annual Performance Plan. </w:t>
      </w:r>
      <w:r w:rsidRPr="009E6B3C">
        <w:rPr>
          <w:rFonts w:ascii="Arial" w:hAnsi="Arial" w:cs="Arial"/>
          <w:color w:val="000000" w:themeColor="text1"/>
          <w:sz w:val="20"/>
          <w:szCs w:val="20"/>
        </w:rPr>
        <w:t>As such</w:t>
      </w:r>
      <w:r w:rsidR="00772C10" w:rsidRPr="009E6B3C">
        <w:rPr>
          <w:rFonts w:ascii="Arial" w:hAnsi="Arial" w:cs="Arial"/>
          <w:color w:val="000000" w:themeColor="text1"/>
          <w:sz w:val="20"/>
          <w:szCs w:val="20"/>
        </w:rPr>
        <w:t>, the Department reported against a r</w:t>
      </w:r>
      <w:r w:rsidRPr="009E6B3C">
        <w:rPr>
          <w:rFonts w:ascii="Arial" w:hAnsi="Arial" w:cs="Arial"/>
          <w:color w:val="000000" w:themeColor="text1"/>
          <w:sz w:val="20"/>
          <w:szCs w:val="20"/>
        </w:rPr>
        <w:t xml:space="preserve">evised plan. It is, </w:t>
      </w:r>
      <w:r w:rsidR="00D72990" w:rsidRPr="009E6B3C">
        <w:rPr>
          <w:rFonts w:ascii="Arial" w:hAnsi="Arial" w:cs="Arial"/>
          <w:color w:val="000000" w:themeColor="text1"/>
          <w:sz w:val="20"/>
          <w:szCs w:val="20"/>
        </w:rPr>
        <w:t xml:space="preserve">therefore, </w:t>
      </w:r>
      <w:r w:rsidRPr="009E6B3C">
        <w:rPr>
          <w:rFonts w:ascii="Arial" w:hAnsi="Arial" w:cs="Arial"/>
          <w:color w:val="000000" w:themeColor="text1"/>
          <w:sz w:val="20"/>
          <w:szCs w:val="20"/>
        </w:rPr>
        <w:t xml:space="preserve">quite possible </w:t>
      </w:r>
      <w:r w:rsidR="00772C10" w:rsidRPr="009E6B3C">
        <w:rPr>
          <w:rFonts w:ascii="Arial" w:hAnsi="Arial" w:cs="Arial"/>
          <w:color w:val="000000" w:themeColor="text1"/>
          <w:sz w:val="20"/>
          <w:szCs w:val="20"/>
        </w:rPr>
        <w:t xml:space="preserve">that </w:t>
      </w:r>
      <w:r w:rsidR="00BA1673" w:rsidRPr="009E6B3C">
        <w:rPr>
          <w:rFonts w:ascii="Arial" w:hAnsi="Arial" w:cs="Arial"/>
          <w:color w:val="000000" w:themeColor="text1"/>
          <w:sz w:val="20"/>
          <w:szCs w:val="20"/>
        </w:rPr>
        <w:t xml:space="preserve">if </w:t>
      </w:r>
      <w:r w:rsidR="00B911C9" w:rsidRPr="009E6B3C">
        <w:rPr>
          <w:rFonts w:ascii="Arial" w:hAnsi="Arial" w:cs="Arial"/>
          <w:color w:val="000000" w:themeColor="text1"/>
          <w:sz w:val="20"/>
          <w:szCs w:val="20"/>
        </w:rPr>
        <w:t>the Department h</w:t>
      </w:r>
      <w:r w:rsidR="00BA1673" w:rsidRPr="009E6B3C">
        <w:rPr>
          <w:rFonts w:ascii="Arial" w:hAnsi="Arial" w:cs="Arial"/>
          <w:color w:val="000000" w:themeColor="text1"/>
          <w:sz w:val="20"/>
          <w:szCs w:val="20"/>
        </w:rPr>
        <w:t xml:space="preserve">ad </w:t>
      </w:r>
      <w:r w:rsidR="00B911C9" w:rsidRPr="009E6B3C">
        <w:rPr>
          <w:rFonts w:ascii="Arial" w:hAnsi="Arial" w:cs="Arial"/>
          <w:color w:val="000000" w:themeColor="text1"/>
          <w:sz w:val="20"/>
          <w:szCs w:val="20"/>
        </w:rPr>
        <w:t xml:space="preserve">reported as it </w:t>
      </w:r>
      <w:r w:rsidR="00BA1673" w:rsidRPr="009E6B3C">
        <w:rPr>
          <w:rFonts w:ascii="Arial" w:hAnsi="Arial" w:cs="Arial"/>
          <w:color w:val="000000" w:themeColor="text1"/>
          <w:sz w:val="20"/>
          <w:szCs w:val="20"/>
        </w:rPr>
        <w:t xml:space="preserve">originally planned, </w:t>
      </w:r>
      <w:r w:rsidR="00B911C9" w:rsidRPr="009E6B3C">
        <w:rPr>
          <w:rFonts w:ascii="Arial" w:hAnsi="Arial" w:cs="Arial"/>
          <w:color w:val="000000" w:themeColor="text1"/>
          <w:sz w:val="20"/>
          <w:szCs w:val="20"/>
        </w:rPr>
        <w:t xml:space="preserve">it </w:t>
      </w:r>
      <w:r w:rsidRPr="009E6B3C">
        <w:rPr>
          <w:rFonts w:ascii="Arial" w:hAnsi="Arial" w:cs="Arial"/>
          <w:color w:val="000000" w:themeColor="text1"/>
          <w:sz w:val="20"/>
          <w:szCs w:val="20"/>
        </w:rPr>
        <w:t xml:space="preserve">would not have been able to report such an improvement in its performance. </w:t>
      </w:r>
      <w:r w:rsidR="00772C10" w:rsidRPr="009E6B3C">
        <w:rPr>
          <w:rFonts w:ascii="Arial" w:hAnsi="Arial" w:cs="Arial"/>
          <w:color w:val="000000" w:themeColor="text1"/>
          <w:sz w:val="20"/>
          <w:szCs w:val="20"/>
        </w:rPr>
        <w:t xml:space="preserve">The fact that the Department needed to revise its targets/indicators also highlights </w:t>
      </w:r>
      <w:r w:rsidR="00D72990" w:rsidRPr="009E6B3C">
        <w:rPr>
          <w:rFonts w:ascii="Arial" w:hAnsi="Arial" w:cs="Arial"/>
          <w:color w:val="000000" w:themeColor="text1"/>
          <w:sz w:val="20"/>
          <w:szCs w:val="20"/>
        </w:rPr>
        <w:t>difficulties</w:t>
      </w:r>
      <w:r w:rsidR="00772C10" w:rsidRPr="009E6B3C">
        <w:rPr>
          <w:rFonts w:ascii="Arial" w:hAnsi="Arial" w:cs="Arial"/>
          <w:color w:val="000000" w:themeColor="text1"/>
          <w:sz w:val="20"/>
          <w:szCs w:val="20"/>
        </w:rPr>
        <w:t xml:space="preserve"> around </w:t>
      </w:r>
      <w:r w:rsidR="00D72990" w:rsidRPr="009E6B3C">
        <w:rPr>
          <w:rFonts w:ascii="Arial" w:hAnsi="Arial" w:cs="Arial"/>
          <w:color w:val="000000" w:themeColor="text1"/>
          <w:sz w:val="20"/>
          <w:szCs w:val="20"/>
        </w:rPr>
        <w:t xml:space="preserve">its </w:t>
      </w:r>
      <w:r w:rsidR="00772C10" w:rsidRPr="009E6B3C">
        <w:rPr>
          <w:rFonts w:ascii="Arial" w:hAnsi="Arial" w:cs="Arial"/>
          <w:color w:val="000000" w:themeColor="text1"/>
          <w:sz w:val="20"/>
          <w:szCs w:val="20"/>
        </w:rPr>
        <w:t>planning and ability to manage risk.</w:t>
      </w:r>
    </w:p>
    <w:p w:rsidR="00524EF0" w:rsidRPr="009E6B3C" w:rsidRDefault="00524EF0" w:rsidP="009E6B3C">
      <w:pPr>
        <w:rPr>
          <w:rFonts w:ascii="Arial" w:hAnsi="Arial" w:cs="Arial"/>
          <w:color w:val="000000" w:themeColor="text1"/>
          <w:sz w:val="20"/>
          <w:szCs w:val="20"/>
        </w:rPr>
      </w:pPr>
    </w:p>
    <w:p w:rsidR="00524EF0" w:rsidRPr="009E6B3C" w:rsidRDefault="00F06A26" w:rsidP="009E6B3C">
      <w:pPr>
        <w:rPr>
          <w:rFonts w:ascii="Arial" w:hAnsi="Arial" w:cs="Arial"/>
          <w:color w:val="000000" w:themeColor="text1"/>
          <w:sz w:val="20"/>
          <w:szCs w:val="20"/>
        </w:rPr>
      </w:pPr>
      <w:r w:rsidRPr="009E6B3C">
        <w:rPr>
          <w:rFonts w:ascii="Arial" w:hAnsi="Arial" w:cs="Arial"/>
          <w:color w:val="000000" w:themeColor="text1"/>
          <w:sz w:val="20"/>
          <w:szCs w:val="20"/>
        </w:rPr>
        <w:t>Furthermore, the Committee notes that the A</w:t>
      </w:r>
      <w:r w:rsidR="00937080" w:rsidRPr="009E6B3C">
        <w:rPr>
          <w:rFonts w:ascii="Arial" w:hAnsi="Arial" w:cs="Arial"/>
          <w:color w:val="000000" w:themeColor="text1"/>
          <w:sz w:val="20"/>
          <w:szCs w:val="20"/>
        </w:rPr>
        <w:t xml:space="preserve">uditor-General </w:t>
      </w:r>
      <w:r w:rsidRPr="009E6B3C">
        <w:rPr>
          <w:rFonts w:ascii="Arial" w:hAnsi="Arial" w:cs="Arial"/>
          <w:color w:val="000000" w:themeColor="text1"/>
          <w:sz w:val="20"/>
          <w:szCs w:val="20"/>
        </w:rPr>
        <w:t>made a</w:t>
      </w:r>
      <w:r w:rsidR="00772C10" w:rsidRPr="009E6B3C">
        <w:rPr>
          <w:rFonts w:ascii="Arial" w:hAnsi="Arial" w:cs="Arial"/>
          <w:color w:val="000000" w:themeColor="text1"/>
          <w:sz w:val="20"/>
          <w:szCs w:val="20"/>
        </w:rPr>
        <w:t xml:space="preserve"> (repeat) </w:t>
      </w:r>
      <w:r w:rsidRPr="009E6B3C">
        <w:rPr>
          <w:rFonts w:ascii="Arial" w:hAnsi="Arial" w:cs="Arial"/>
          <w:color w:val="000000" w:themeColor="text1"/>
          <w:sz w:val="20"/>
          <w:szCs w:val="20"/>
        </w:rPr>
        <w:t xml:space="preserve">finding on the usefulness and reliability of the Department’s </w:t>
      </w:r>
      <w:r w:rsidR="00772C10" w:rsidRPr="009E6B3C">
        <w:rPr>
          <w:rFonts w:ascii="Arial" w:hAnsi="Arial" w:cs="Arial"/>
          <w:color w:val="000000" w:themeColor="text1"/>
          <w:sz w:val="20"/>
          <w:szCs w:val="20"/>
        </w:rPr>
        <w:t xml:space="preserve">reported </w:t>
      </w:r>
      <w:r w:rsidR="00B911C9" w:rsidRPr="009E6B3C">
        <w:rPr>
          <w:rFonts w:ascii="Arial" w:hAnsi="Arial" w:cs="Arial"/>
          <w:color w:val="000000" w:themeColor="text1"/>
          <w:sz w:val="20"/>
          <w:szCs w:val="20"/>
        </w:rPr>
        <w:t>performance information</w:t>
      </w:r>
      <w:r w:rsidR="00937080" w:rsidRPr="009E6B3C">
        <w:rPr>
          <w:rFonts w:ascii="Arial" w:hAnsi="Arial" w:cs="Arial"/>
          <w:color w:val="000000" w:themeColor="text1"/>
          <w:sz w:val="20"/>
          <w:szCs w:val="20"/>
        </w:rPr>
        <w:t xml:space="preserve"> under the State Legal Services programme</w:t>
      </w:r>
      <w:r w:rsidR="00B911C9" w:rsidRPr="009E6B3C">
        <w:rPr>
          <w:rFonts w:ascii="Arial" w:hAnsi="Arial" w:cs="Arial"/>
          <w:color w:val="000000" w:themeColor="text1"/>
          <w:sz w:val="20"/>
          <w:szCs w:val="20"/>
        </w:rPr>
        <w:t xml:space="preserve">, which undermine the credibility of </w:t>
      </w:r>
      <w:r w:rsidR="00937080" w:rsidRPr="009E6B3C">
        <w:rPr>
          <w:rFonts w:ascii="Arial" w:hAnsi="Arial" w:cs="Arial"/>
          <w:color w:val="000000" w:themeColor="text1"/>
          <w:sz w:val="20"/>
          <w:szCs w:val="20"/>
        </w:rPr>
        <w:t xml:space="preserve">not only that reported information but also casts doubt on the entirety of the </w:t>
      </w:r>
      <w:r w:rsidR="00B911C9" w:rsidRPr="009E6B3C">
        <w:rPr>
          <w:rFonts w:ascii="Arial" w:hAnsi="Arial" w:cs="Arial"/>
          <w:color w:val="000000" w:themeColor="text1"/>
          <w:sz w:val="20"/>
          <w:szCs w:val="20"/>
        </w:rPr>
        <w:t>Department’s reported information.</w:t>
      </w:r>
      <w:r w:rsidR="00EA32E9" w:rsidRPr="009E6B3C">
        <w:rPr>
          <w:rFonts w:ascii="Arial" w:hAnsi="Arial" w:cs="Arial"/>
          <w:color w:val="000000" w:themeColor="text1"/>
          <w:sz w:val="20"/>
          <w:szCs w:val="20"/>
        </w:rPr>
        <w:t xml:space="preserve"> </w:t>
      </w:r>
    </w:p>
    <w:p w:rsidR="00524EF0" w:rsidRPr="009E6B3C" w:rsidRDefault="00524EF0" w:rsidP="009E6B3C">
      <w:pPr>
        <w:rPr>
          <w:rFonts w:ascii="Arial" w:hAnsi="Arial" w:cs="Arial"/>
          <w:color w:val="000000" w:themeColor="text1"/>
          <w:sz w:val="20"/>
          <w:szCs w:val="20"/>
        </w:rPr>
      </w:pPr>
    </w:p>
    <w:p w:rsidR="00524EF0" w:rsidRPr="009E6B3C" w:rsidRDefault="00772C10" w:rsidP="009E6B3C">
      <w:pPr>
        <w:rPr>
          <w:rFonts w:ascii="Arial" w:hAnsi="Arial" w:cs="Arial"/>
          <w:color w:val="000000" w:themeColor="text1"/>
          <w:sz w:val="20"/>
          <w:szCs w:val="20"/>
        </w:rPr>
      </w:pPr>
      <w:r w:rsidRPr="009E6B3C">
        <w:rPr>
          <w:rFonts w:ascii="Arial" w:hAnsi="Arial" w:cs="Arial"/>
          <w:color w:val="000000" w:themeColor="text1"/>
          <w:sz w:val="20"/>
          <w:szCs w:val="20"/>
        </w:rPr>
        <w:t xml:space="preserve">The Committee </w:t>
      </w:r>
      <w:r w:rsidR="00F80864" w:rsidRPr="009E6B3C">
        <w:rPr>
          <w:rFonts w:ascii="Arial" w:hAnsi="Arial" w:cs="Arial"/>
          <w:color w:val="000000" w:themeColor="text1"/>
          <w:sz w:val="20"/>
          <w:szCs w:val="20"/>
        </w:rPr>
        <w:t xml:space="preserve">also notes that the Department did not meet targets in respect of certain key indicators, including </w:t>
      </w:r>
      <w:r w:rsidR="00EA32E9" w:rsidRPr="009E6B3C">
        <w:rPr>
          <w:rFonts w:ascii="Arial" w:hAnsi="Arial" w:cs="Arial"/>
          <w:color w:val="000000" w:themeColor="text1"/>
          <w:sz w:val="20"/>
          <w:szCs w:val="20"/>
        </w:rPr>
        <w:t xml:space="preserve">those </w:t>
      </w:r>
      <w:r w:rsidR="00B911C9" w:rsidRPr="009E6B3C">
        <w:rPr>
          <w:rFonts w:ascii="Arial" w:hAnsi="Arial" w:cs="Arial"/>
          <w:color w:val="000000" w:themeColor="text1"/>
          <w:sz w:val="20"/>
          <w:szCs w:val="20"/>
        </w:rPr>
        <w:t>intended to:</w:t>
      </w:r>
      <w:r w:rsidR="00F80864" w:rsidRPr="009E6B3C">
        <w:rPr>
          <w:rFonts w:ascii="Arial" w:hAnsi="Arial" w:cs="Arial"/>
          <w:color w:val="000000" w:themeColor="text1"/>
          <w:sz w:val="20"/>
          <w:szCs w:val="20"/>
        </w:rPr>
        <w:t xml:space="preserve"> address gender-based violence; </w:t>
      </w:r>
      <w:r w:rsidR="00524EF0" w:rsidRPr="009E6B3C">
        <w:rPr>
          <w:rFonts w:ascii="Arial" w:hAnsi="Arial" w:cs="Arial"/>
          <w:color w:val="000000" w:themeColor="text1"/>
          <w:sz w:val="20"/>
          <w:szCs w:val="20"/>
        </w:rPr>
        <w:t>modernise justice services to enhance efficiency and efficacy</w:t>
      </w:r>
      <w:r w:rsidR="00F80864" w:rsidRPr="009E6B3C">
        <w:rPr>
          <w:rFonts w:ascii="Arial" w:hAnsi="Arial" w:cs="Arial"/>
          <w:color w:val="000000" w:themeColor="text1"/>
          <w:sz w:val="20"/>
          <w:szCs w:val="20"/>
        </w:rPr>
        <w:t xml:space="preserve">; </w:t>
      </w:r>
      <w:r w:rsidR="00F80864" w:rsidRPr="009E6B3C">
        <w:rPr>
          <w:rFonts w:ascii="Arial" w:hAnsi="Arial" w:cs="Arial"/>
          <w:color w:val="000000" w:themeColor="text1"/>
          <w:sz w:val="20"/>
          <w:szCs w:val="20"/>
          <w:lang w:eastAsia="en-ZA"/>
        </w:rPr>
        <w:t xml:space="preserve">improve organisational capability and good governance; and reduce case backlogs. </w:t>
      </w:r>
    </w:p>
    <w:p w:rsidR="00B631E9" w:rsidRPr="009E6B3C" w:rsidRDefault="00B631E9" w:rsidP="009E6B3C">
      <w:pPr>
        <w:rPr>
          <w:rFonts w:ascii="Arial" w:hAnsi="Arial" w:cs="Arial"/>
          <w:color w:val="000000" w:themeColor="text1"/>
          <w:sz w:val="20"/>
          <w:szCs w:val="20"/>
        </w:rPr>
      </w:pPr>
    </w:p>
    <w:p w:rsidR="00B631E9" w:rsidRPr="009E6B3C" w:rsidRDefault="00F80864" w:rsidP="009E6B3C">
      <w:pPr>
        <w:rPr>
          <w:rFonts w:ascii="Arial" w:hAnsi="Arial" w:cs="Arial"/>
          <w:color w:val="000000" w:themeColor="text1"/>
          <w:sz w:val="20"/>
          <w:szCs w:val="20"/>
        </w:rPr>
      </w:pPr>
      <w:r w:rsidRPr="009E6B3C">
        <w:rPr>
          <w:rFonts w:ascii="Arial" w:hAnsi="Arial" w:cs="Arial"/>
          <w:color w:val="000000" w:themeColor="text1"/>
          <w:sz w:val="20"/>
          <w:szCs w:val="20"/>
        </w:rPr>
        <w:t xml:space="preserve">There are other indications that the Department is struggling, which </w:t>
      </w:r>
      <w:r w:rsidR="00B911C9" w:rsidRPr="009E6B3C">
        <w:rPr>
          <w:rFonts w:ascii="Arial" w:hAnsi="Arial" w:cs="Arial"/>
          <w:color w:val="000000" w:themeColor="text1"/>
          <w:sz w:val="20"/>
          <w:szCs w:val="20"/>
        </w:rPr>
        <w:t xml:space="preserve">we discuss </w:t>
      </w:r>
      <w:r w:rsidR="000F0944" w:rsidRPr="009E6B3C">
        <w:rPr>
          <w:rFonts w:ascii="Arial" w:hAnsi="Arial" w:cs="Arial"/>
          <w:color w:val="000000" w:themeColor="text1"/>
          <w:sz w:val="20"/>
          <w:szCs w:val="20"/>
        </w:rPr>
        <w:t>elsewhere in the report</w:t>
      </w:r>
      <w:r w:rsidR="00EA32E9" w:rsidRPr="009E6B3C">
        <w:rPr>
          <w:rFonts w:ascii="Arial" w:hAnsi="Arial" w:cs="Arial"/>
          <w:color w:val="000000" w:themeColor="text1"/>
          <w:sz w:val="20"/>
          <w:szCs w:val="20"/>
        </w:rPr>
        <w:t xml:space="preserve">. However, </w:t>
      </w:r>
      <w:r w:rsidR="00B911C9" w:rsidRPr="009E6B3C">
        <w:rPr>
          <w:rFonts w:ascii="Arial" w:hAnsi="Arial" w:cs="Arial"/>
          <w:color w:val="000000" w:themeColor="text1"/>
          <w:sz w:val="20"/>
          <w:szCs w:val="20"/>
        </w:rPr>
        <w:t>we have reported our o</w:t>
      </w:r>
      <w:r w:rsidRPr="009E6B3C">
        <w:rPr>
          <w:rFonts w:ascii="Arial" w:hAnsi="Arial" w:cs="Arial"/>
          <w:color w:val="000000" w:themeColor="text1"/>
          <w:sz w:val="20"/>
          <w:szCs w:val="20"/>
        </w:rPr>
        <w:t xml:space="preserve">bservations during </w:t>
      </w:r>
      <w:r w:rsidR="00B911C9" w:rsidRPr="009E6B3C">
        <w:rPr>
          <w:rFonts w:ascii="Arial" w:hAnsi="Arial" w:cs="Arial"/>
          <w:color w:val="000000" w:themeColor="text1"/>
          <w:sz w:val="20"/>
          <w:szCs w:val="20"/>
        </w:rPr>
        <w:t xml:space="preserve">our recent </w:t>
      </w:r>
      <w:r w:rsidRPr="009E6B3C">
        <w:rPr>
          <w:rFonts w:ascii="Arial" w:hAnsi="Arial" w:cs="Arial"/>
          <w:color w:val="000000" w:themeColor="text1"/>
          <w:sz w:val="20"/>
          <w:szCs w:val="20"/>
        </w:rPr>
        <w:t xml:space="preserve">oversight </w:t>
      </w:r>
      <w:r w:rsidR="00D932C2" w:rsidRPr="009E6B3C">
        <w:rPr>
          <w:rFonts w:ascii="Arial" w:hAnsi="Arial" w:cs="Arial"/>
          <w:color w:val="000000" w:themeColor="text1"/>
          <w:sz w:val="20"/>
          <w:szCs w:val="20"/>
        </w:rPr>
        <w:t>visits</w:t>
      </w:r>
      <w:r w:rsidR="00B911C9" w:rsidRPr="009E6B3C">
        <w:rPr>
          <w:rFonts w:ascii="Arial" w:hAnsi="Arial" w:cs="Arial"/>
          <w:color w:val="000000" w:themeColor="text1"/>
          <w:sz w:val="20"/>
          <w:szCs w:val="20"/>
        </w:rPr>
        <w:t>, which</w:t>
      </w:r>
      <w:r w:rsidR="00D932C2" w:rsidRPr="009E6B3C">
        <w:rPr>
          <w:rFonts w:ascii="Arial" w:hAnsi="Arial" w:cs="Arial"/>
          <w:color w:val="000000" w:themeColor="text1"/>
          <w:sz w:val="20"/>
          <w:szCs w:val="20"/>
        </w:rPr>
        <w:t xml:space="preserve"> do not</w:t>
      </w:r>
      <w:r w:rsidR="00EA32E9" w:rsidRPr="009E6B3C">
        <w:rPr>
          <w:rFonts w:ascii="Arial" w:hAnsi="Arial" w:cs="Arial"/>
          <w:color w:val="000000" w:themeColor="text1"/>
          <w:sz w:val="20"/>
          <w:szCs w:val="20"/>
        </w:rPr>
        <w:t xml:space="preserve"> tally </w:t>
      </w:r>
      <w:r w:rsidR="00001095" w:rsidRPr="009E6B3C">
        <w:rPr>
          <w:rFonts w:ascii="Arial" w:hAnsi="Arial" w:cs="Arial"/>
          <w:color w:val="000000" w:themeColor="text1"/>
          <w:sz w:val="20"/>
          <w:szCs w:val="20"/>
        </w:rPr>
        <w:t>the Department’s report</w:t>
      </w:r>
      <w:r w:rsidR="00EA32E9" w:rsidRPr="009E6B3C">
        <w:rPr>
          <w:rFonts w:ascii="Arial" w:hAnsi="Arial" w:cs="Arial"/>
          <w:color w:val="000000" w:themeColor="text1"/>
          <w:sz w:val="20"/>
          <w:szCs w:val="20"/>
        </w:rPr>
        <w:t xml:space="preserve"> of</w:t>
      </w:r>
      <w:r w:rsidR="00604B40" w:rsidRPr="009E6B3C">
        <w:rPr>
          <w:rFonts w:ascii="Arial" w:hAnsi="Arial" w:cs="Arial"/>
          <w:color w:val="000000" w:themeColor="text1"/>
          <w:sz w:val="20"/>
          <w:szCs w:val="20"/>
        </w:rPr>
        <w:t xml:space="preserve"> </w:t>
      </w:r>
      <w:r w:rsidR="00D932C2" w:rsidRPr="009E6B3C">
        <w:rPr>
          <w:rFonts w:ascii="Arial" w:hAnsi="Arial" w:cs="Arial"/>
          <w:color w:val="000000" w:themeColor="text1"/>
          <w:sz w:val="20"/>
          <w:szCs w:val="20"/>
        </w:rPr>
        <w:t xml:space="preserve">improved performance. </w:t>
      </w:r>
    </w:p>
    <w:p w:rsidR="00001095" w:rsidRPr="009E6B3C" w:rsidRDefault="00001095" w:rsidP="009E6B3C">
      <w:pPr>
        <w:rPr>
          <w:rFonts w:ascii="Arial" w:hAnsi="Arial" w:cs="Arial"/>
          <w:color w:val="000000" w:themeColor="text1"/>
          <w:sz w:val="20"/>
          <w:szCs w:val="20"/>
        </w:rPr>
      </w:pPr>
    </w:p>
    <w:p w:rsidR="00A3642E" w:rsidRPr="009E6B3C" w:rsidRDefault="005A0920" w:rsidP="009E6B3C">
      <w:pPr>
        <w:pStyle w:val="ListParagraph"/>
        <w:numPr>
          <w:ilvl w:val="1"/>
          <w:numId w:val="1"/>
        </w:numPr>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Audit outcome</w:t>
      </w:r>
    </w:p>
    <w:p w:rsidR="005A0920" w:rsidRPr="009E6B3C" w:rsidRDefault="005A0920" w:rsidP="009E6B3C">
      <w:pPr>
        <w:pStyle w:val="ListParagraph"/>
        <w:ind w:left="851"/>
        <w:rPr>
          <w:rFonts w:ascii="Arial" w:hAnsi="Arial" w:cs="Arial"/>
          <w:color w:val="000000" w:themeColor="text1"/>
          <w:sz w:val="20"/>
          <w:szCs w:val="20"/>
        </w:rPr>
      </w:pPr>
    </w:p>
    <w:p w:rsidR="007B4E0D" w:rsidRPr="009E6B3C" w:rsidRDefault="007A2B74" w:rsidP="009E6B3C">
      <w:pPr>
        <w:rPr>
          <w:rFonts w:ascii="Arial" w:eastAsia="Calibri" w:hAnsi="Arial" w:cs="Arial"/>
          <w:color w:val="000000" w:themeColor="text1"/>
          <w:sz w:val="20"/>
          <w:szCs w:val="20"/>
        </w:rPr>
      </w:pPr>
      <w:r w:rsidRPr="009E6B3C">
        <w:rPr>
          <w:rFonts w:ascii="Arial" w:eastAsia="Calibri" w:hAnsi="Arial" w:cs="Arial"/>
          <w:color w:val="000000" w:themeColor="text1"/>
          <w:sz w:val="20"/>
          <w:szCs w:val="20"/>
        </w:rPr>
        <w:t xml:space="preserve">We note </w:t>
      </w:r>
      <w:r w:rsidR="00EA32E9" w:rsidRPr="009E6B3C">
        <w:rPr>
          <w:rFonts w:ascii="Arial" w:eastAsia="Calibri" w:hAnsi="Arial" w:cs="Arial"/>
          <w:color w:val="000000" w:themeColor="text1"/>
          <w:sz w:val="20"/>
          <w:szCs w:val="20"/>
        </w:rPr>
        <w:t>that the Department received a qualified audit opinion for the sixth consecutive year</w:t>
      </w:r>
      <w:r w:rsidR="003F103A" w:rsidRPr="009E6B3C">
        <w:rPr>
          <w:rFonts w:ascii="Arial" w:eastAsia="Calibri" w:hAnsi="Arial" w:cs="Arial"/>
          <w:color w:val="000000" w:themeColor="text1"/>
          <w:sz w:val="20"/>
          <w:szCs w:val="20"/>
        </w:rPr>
        <w:t xml:space="preserve"> but are not surprised </w:t>
      </w:r>
      <w:r w:rsidRPr="009E6B3C">
        <w:rPr>
          <w:rFonts w:ascii="Arial" w:eastAsia="Calibri" w:hAnsi="Arial" w:cs="Arial"/>
          <w:color w:val="000000" w:themeColor="text1"/>
          <w:sz w:val="20"/>
          <w:szCs w:val="20"/>
        </w:rPr>
        <w:t xml:space="preserve">in light of </w:t>
      </w:r>
      <w:r w:rsidR="003F103A" w:rsidRPr="009E6B3C">
        <w:rPr>
          <w:rFonts w:ascii="Arial" w:eastAsia="Calibri" w:hAnsi="Arial" w:cs="Arial"/>
          <w:color w:val="000000" w:themeColor="text1"/>
          <w:sz w:val="20"/>
          <w:szCs w:val="20"/>
        </w:rPr>
        <w:t>the Department’s various challenges.</w:t>
      </w:r>
    </w:p>
    <w:p w:rsidR="00E807D0" w:rsidRPr="009E6B3C" w:rsidRDefault="00E807D0" w:rsidP="009E6B3C">
      <w:pPr>
        <w:rPr>
          <w:rFonts w:ascii="Arial" w:eastAsia="Calibri" w:hAnsi="Arial" w:cs="Arial"/>
          <w:color w:val="000000" w:themeColor="text1"/>
          <w:sz w:val="20"/>
          <w:szCs w:val="20"/>
        </w:rPr>
      </w:pPr>
    </w:p>
    <w:p w:rsidR="00D361A8" w:rsidRPr="009E6B3C" w:rsidRDefault="007A2B74" w:rsidP="009E6B3C">
      <w:pPr>
        <w:rPr>
          <w:rFonts w:ascii="Arial" w:eastAsia="Calibri" w:hAnsi="Arial" w:cs="Arial"/>
          <w:color w:val="000000" w:themeColor="text1"/>
          <w:sz w:val="20"/>
          <w:szCs w:val="20"/>
        </w:rPr>
      </w:pPr>
      <w:r w:rsidRPr="009E6B3C">
        <w:rPr>
          <w:rFonts w:ascii="Arial" w:eastAsia="Calibri" w:hAnsi="Arial" w:cs="Arial"/>
          <w:color w:val="000000" w:themeColor="text1"/>
          <w:sz w:val="20"/>
          <w:szCs w:val="20"/>
        </w:rPr>
        <w:t>T</w:t>
      </w:r>
      <w:r w:rsidR="00EA32E9" w:rsidRPr="009E6B3C">
        <w:rPr>
          <w:rFonts w:ascii="Arial" w:eastAsia="Calibri" w:hAnsi="Arial" w:cs="Arial"/>
          <w:color w:val="000000" w:themeColor="text1"/>
          <w:sz w:val="20"/>
          <w:szCs w:val="20"/>
        </w:rPr>
        <w:t>he A</w:t>
      </w:r>
      <w:r w:rsidR="00937080" w:rsidRPr="009E6B3C">
        <w:rPr>
          <w:rFonts w:ascii="Arial" w:eastAsia="Calibri" w:hAnsi="Arial" w:cs="Arial"/>
          <w:color w:val="000000" w:themeColor="text1"/>
          <w:sz w:val="20"/>
          <w:szCs w:val="20"/>
        </w:rPr>
        <w:t xml:space="preserve">uditor-General </w:t>
      </w:r>
      <w:r w:rsidRPr="009E6B3C">
        <w:rPr>
          <w:rFonts w:ascii="Arial" w:eastAsia="Calibri" w:hAnsi="Arial" w:cs="Arial"/>
          <w:color w:val="000000" w:themeColor="text1"/>
          <w:sz w:val="20"/>
          <w:szCs w:val="20"/>
        </w:rPr>
        <w:t xml:space="preserve">has once again identified </w:t>
      </w:r>
      <w:r w:rsidR="00EA32E9" w:rsidRPr="009E6B3C">
        <w:rPr>
          <w:rFonts w:ascii="Arial" w:eastAsia="Calibri" w:hAnsi="Arial" w:cs="Arial"/>
          <w:color w:val="000000" w:themeColor="text1"/>
          <w:sz w:val="20"/>
          <w:szCs w:val="20"/>
        </w:rPr>
        <w:t xml:space="preserve">significant deficiencies in the accounting </w:t>
      </w:r>
      <w:r w:rsidRPr="009E6B3C">
        <w:rPr>
          <w:rFonts w:ascii="Arial" w:eastAsia="Calibri" w:hAnsi="Arial" w:cs="Arial"/>
          <w:color w:val="000000" w:themeColor="text1"/>
          <w:sz w:val="20"/>
          <w:szCs w:val="20"/>
        </w:rPr>
        <w:t>of</w:t>
      </w:r>
      <w:r w:rsidR="00EA32E9" w:rsidRPr="009E6B3C">
        <w:rPr>
          <w:rFonts w:ascii="Arial" w:eastAsia="Calibri" w:hAnsi="Arial" w:cs="Arial"/>
          <w:color w:val="000000" w:themeColor="text1"/>
          <w:sz w:val="20"/>
          <w:szCs w:val="20"/>
        </w:rPr>
        <w:t xml:space="preserve"> contingent liabilities in the State Attorney environment. The A</w:t>
      </w:r>
      <w:r w:rsidR="00937080" w:rsidRPr="009E6B3C">
        <w:rPr>
          <w:rFonts w:ascii="Arial" w:eastAsia="Calibri" w:hAnsi="Arial" w:cs="Arial"/>
          <w:color w:val="000000" w:themeColor="text1"/>
          <w:sz w:val="20"/>
          <w:szCs w:val="20"/>
        </w:rPr>
        <w:t>uditor-General</w:t>
      </w:r>
      <w:r w:rsidR="00EA32E9" w:rsidRPr="009E6B3C">
        <w:rPr>
          <w:rFonts w:ascii="Arial" w:eastAsia="Calibri" w:hAnsi="Arial" w:cs="Arial"/>
          <w:color w:val="000000" w:themeColor="text1"/>
          <w:sz w:val="20"/>
          <w:szCs w:val="20"/>
        </w:rPr>
        <w:t xml:space="preserve"> was unable to obtain sufficient appropriate audit evidence for contingent liabilities, as the Department did not maintain accurate and complete records of the information used to determine the possibility of the outflow of litigations and claims against the Department. </w:t>
      </w:r>
      <w:r w:rsidRPr="009E6B3C">
        <w:rPr>
          <w:rFonts w:ascii="Arial" w:eastAsia="Calibri" w:hAnsi="Arial" w:cs="Arial"/>
          <w:color w:val="000000" w:themeColor="text1"/>
          <w:sz w:val="20"/>
          <w:szCs w:val="20"/>
        </w:rPr>
        <w:t>T</w:t>
      </w:r>
      <w:r w:rsidR="00EA32E9" w:rsidRPr="009E6B3C">
        <w:rPr>
          <w:rFonts w:ascii="Arial" w:eastAsia="Calibri" w:hAnsi="Arial" w:cs="Arial"/>
          <w:color w:val="000000" w:themeColor="text1"/>
          <w:sz w:val="20"/>
          <w:szCs w:val="20"/>
        </w:rPr>
        <w:t xml:space="preserve">he </w:t>
      </w:r>
      <w:r w:rsidR="005A0920" w:rsidRPr="009E6B3C">
        <w:rPr>
          <w:rFonts w:ascii="Arial" w:eastAsia="Calibri" w:hAnsi="Arial" w:cs="Arial"/>
          <w:color w:val="000000" w:themeColor="text1"/>
          <w:sz w:val="20"/>
          <w:szCs w:val="20"/>
        </w:rPr>
        <w:t>A</w:t>
      </w:r>
      <w:r w:rsidR="00937080" w:rsidRPr="009E6B3C">
        <w:rPr>
          <w:rFonts w:ascii="Arial" w:eastAsia="Calibri" w:hAnsi="Arial" w:cs="Arial"/>
          <w:color w:val="000000" w:themeColor="text1"/>
          <w:sz w:val="20"/>
          <w:szCs w:val="20"/>
        </w:rPr>
        <w:t>uditor-General</w:t>
      </w:r>
      <w:r w:rsidRPr="009E6B3C">
        <w:rPr>
          <w:rFonts w:ascii="Arial" w:eastAsia="Calibri" w:hAnsi="Arial" w:cs="Arial"/>
          <w:color w:val="000000" w:themeColor="text1"/>
          <w:sz w:val="20"/>
          <w:szCs w:val="20"/>
        </w:rPr>
        <w:t xml:space="preserve"> </w:t>
      </w:r>
      <w:r w:rsidR="00937080" w:rsidRPr="009E6B3C">
        <w:rPr>
          <w:rFonts w:ascii="Arial" w:eastAsia="Calibri" w:hAnsi="Arial" w:cs="Arial"/>
          <w:color w:val="000000" w:themeColor="text1"/>
          <w:sz w:val="20"/>
          <w:szCs w:val="20"/>
        </w:rPr>
        <w:t xml:space="preserve">once </w:t>
      </w:r>
      <w:r w:rsidRPr="009E6B3C">
        <w:rPr>
          <w:rFonts w:ascii="Arial" w:eastAsia="Calibri" w:hAnsi="Arial" w:cs="Arial"/>
          <w:color w:val="000000" w:themeColor="text1"/>
          <w:sz w:val="20"/>
          <w:szCs w:val="20"/>
        </w:rPr>
        <w:t>again advise</w:t>
      </w:r>
      <w:r w:rsidR="00937080" w:rsidRPr="009E6B3C">
        <w:rPr>
          <w:rFonts w:ascii="Arial" w:eastAsia="Calibri" w:hAnsi="Arial" w:cs="Arial"/>
          <w:color w:val="000000" w:themeColor="text1"/>
          <w:sz w:val="20"/>
          <w:szCs w:val="20"/>
        </w:rPr>
        <w:t>d</w:t>
      </w:r>
      <w:r w:rsidRPr="009E6B3C">
        <w:rPr>
          <w:rFonts w:ascii="Arial" w:eastAsia="Calibri" w:hAnsi="Arial" w:cs="Arial"/>
          <w:color w:val="000000" w:themeColor="text1"/>
          <w:sz w:val="20"/>
          <w:szCs w:val="20"/>
        </w:rPr>
        <w:t xml:space="preserve"> t</w:t>
      </w:r>
      <w:r w:rsidR="00EA32E9" w:rsidRPr="009E6B3C">
        <w:rPr>
          <w:rFonts w:ascii="Arial" w:eastAsia="Calibri" w:hAnsi="Arial" w:cs="Arial"/>
          <w:color w:val="000000" w:themeColor="text1"/>
          <w:sz w:val="20"/>
          <w:szCs w:val="20"/>
        </w:rPr>
        <w:t xml:space="preserve">hat the Department’s Legal </w:t>
      </w:r>
      <w:r w:rsidRPr="009E6B3C">
        <w:rPr>
          <w:rFonts w:ascii="Arial" w:eastAsia="Calibri" w:hAnsi="Arial" w:cs="Arial"/>
          <w:color w:val="000000" w:themeColor="text1"/>
          <w:sz w:val="20"/>
          <w:szCs w:val="20"/>
        </w:rPr>
        <w:t xml:space="preserve">Department and </w:t>
      </w:r>
      <w:r w:rsidR="00EA32E9" w:rsidRPr="009E6B3C">
        <w:rPr>
          <w:rFonts w:ascii="Arial" w:eastAsia="Calibri" w:hAnsi="Arial" w:cs="Arial"/>
          <w:color w:val="000000" w:themeColor="text1"/>
          <w:sz w:val="20"/>
          <w:szCs w:val="20"/>
        </w:rPr>
        <w:t>Finance U</w:t>
      </w:r>
      <w:r w:rsidR="005A0920" w:rsidRPr="009E6B3C">
        <w:rPr>
          <w:rFonts w:ascii="Arial" w:eastAsia="Calibri" w:hAnsi="Arial" w:cs="Arial"/>
          <w:color w:val="000000" w:themeColor="text1"/>
          <w:sz w:val="20"/>
          <w:szCs w:val="20"/>
        </w:rPr>
        <w:t>nit</w:t>
      </w:r>
      <w:r w:rsidRPr="009E6B3C">
        <w:rPr>
          <w:rFonts w:ascii="Arial" w:eastAsia="Calibri" w:hAnsi="Arial" w:cs="Arial"/>
          <w:color w:val="000000" w:themeColor="text1"/>
          <w:sz w:val="20"/>
          <w:szCs w:val="20"/>
        </w:rPr>
        <w:t xml:space="preserve"> should </w:t>
      </w:r>
      <w:r w:rsidR="00EA32E9" w:rsidRPr="009E6B3C">
        <w:rPr>
          <w:rFonts w:ascii="Arial" w:eastAsia="Calibri" w:hAnsi="Arial" w:cs="Arial"/>
          <w:color w:val="000000" w:themeColor="text1"/>
          <w:sz w:val="20"/>
          <w:szCs w:val="20"/>
        </w:rPr>
        <w:t xml:space="preserve">maintain the </w:t>
      </w:r>
      <w:r w:rsidR="005A0920" w:rsidRPr="009E6B3C">
        <w:rPr>
          <w:rFonts w:ascii="Arial" w:eastAsia="Calibri" w:hAnsi="Arial" w:cs="Arial"/>
          <w:color w:val="000000" w:themeColor="text1"/>
          <w:sz w:val="20"/>
          <w:szCs w:val="20"/>
        </w:rPr>
        <w:t>necessary</w:t>
      </w:r>
      <w:r w:rsidR="00EA32E9" w:rsidRPr="009E6B3C">
        <w:rPr>
          <w:rFonts w:ascii="Arial" w:eastAsia="Calibri" w:hAnsi="Arial" w:cs="Arial"/>
          <w:color w:val="000000" w:themeColor="text1"/>
          <w:sz w:val="20"/>
          <w:szCs w:val="20"/>
        </w:rPr>
        <w:t xml:space="preserve"> information in a database to enable assessment of litigations and claims.</w:t>
      </w:r>
      <w:r w:rsidR="005A0920" w:rsidRPr="009E6B3C">
        <w:rPr>
          <w:rFonts w:ascii="Arial" w:eastAsia="Calibri" w:hAnsi="Arial" w:cs="Arial"/>
          <w:color w:val="000000" w:themeColor="text1"/>
          <w:sz w:val="20"/>
          <w:szCs w:val="20"/>
        </w:rPr>
        <w:t xml:space="preserve"> The A</w:t>
      </w:r>
      <w:r w:rsidR="00937080" w:rsidRPr="009E6B3C">
        <w:rPr>
          <w:rFonts w:ascii="Arial" w:eastAsia="Calibri" w:hAnsi="Arial" w:cs="Arial"/>
          <w:color w:val="000000" w:themeColor="text1"/>
          <w:sz w:val="20"/>
          <w:szCs w:val="20"/>
        </w:rPr>
        <w:t xml:space="preserve">uditor-General </w:t>
      </w:r>
      <w:r w:rsidR="005A0920" w:rsidRPr="009E6B3C">
        <w:rPr>
          <w:rFonts w:ascii="Arial" w:eastAsia="Calibri" w:hAnsi="Arial" w:cs="Arial"/>
          <w:color w:val="000000" w:themeColor="text1"/>
          <w:sz w:val="20"/>
          <w:szCs w:val="20"/>
        </w:rPr>
        <w:t xml:space="preserve">also reports that </w:t>
      </w:r>
      <w:r w:rsidR="00EA32E9" w:rsidRPr="009E6B3C">
        <w:rPr>
          <w:rFonts w:ascii="Arial" w:eastAsia="Calibri" w:hAnsi="Arial" w:cs="Arial"/>
          <w:color w:val="000000" w:themeColor="text1"/>
          <w:sz w:val="20"/>
          <w:szCs w:val="20"/>
        </w:rPr>
        <w:t xml:space="preserve">the lack of a framework for </w:t>
      </w:r>
      <w:r w:rsidR="00937080" w:rsidRPr="009E6B3C">
        <w:rPr>
          <w:rFonts w:ascii="Arial" w:eastAsia="Calibri" w:hAnsi="Arial" w:cs="Arial"/>
          <w:color w:val="000000" w:themeColor="text1"/>
          <w:sz w:val="20"/>
          <w:szCs w:val="20"/>
        </w:rPr>
        <w:t xml:space="preserve">the procurement of </w:t>
      </w:r>
      <w:r w:rsidR="00EA32E9" w:rsidRPr="009E6B3C">
        <w:rPr>
          <w:rFonts w:ascii="Arial" w:eastAsia="Calibri" w:hAnsi="Arial" w:cs="Arial"/>
          <w:color w:val="000000" w:themeColor="text1"/>
          <w:sz w:val="20"/>
          <w:szCs w:val="20"/>
        </w:rPr>
        <w:t xml:space="preserve">legal services remains a critical challenge. </w:t>
      </w:r>
    </w:p>
    <w:p w:rsidR="00D361A8" w:rsidRPr="009E6B3C" w:rsidRDefault="00D361A8" w:rsidP="009E6B3C">
      <w:pPr>
        <w:rPr>
          <w:rFonts w:ascii="Arial" w:eastAsia="Calibri" w:hAnsi="Arial" w:cs="Arial"/>
          <w:color w:val="000000" w:themeColor="text1"/>
          <w:sz w:val="20"/>
          <w:szCs w:val="20"/>
        </w:rPr>
      </w:pPr>
    </w:p>
    <w:p w:rsidR="00D361A8" w:rsidRPr="009E6B3C" w:rsidRDefault="00D361A8" w:rsidP="009E6B3C">
      <w:pPr>
        <w:rPr>
          <w:rFonts w:ascii="Arial" w:eastAsia="Calibri" w:hAnsi="Arial" w:cs="Arial"/>
          <w:color w:val="000000" w:themeColor="text1"/>
          <w:sz w:val="20"/>
          <w:szCs w:val="20"/>
        </w:rPr>
      </w:pPr>
      <w:r w:rsidRPr="009E6B3C">
        <w:rPr>
          <w:rFonts w:ascii="Arial" w:eastAsia="Calibri" w:hAnsi="Arial" w:cs="Arial"/>
          <w:color w:val="000000" w:themeColor="text1"/>
          <w:sz w:val="20"/>
          <w:szCs w:val="20"/>
        </w:rPr>
        <w:t>We</w:t>
      </w:r>
      <w:r w:rsidR="00BC2B41" w:rsidRPr="009E6B3C">
        <w:rPr>
          <w:rFonts w:ascii="Arial" w:eastAsia="Calibri" w:hAnsi="Arial" w:cs="Arial"/>
          <w:color w:val="000000" w:themeColor="text1"/>
          <w:sz w:val="20"/>
          <w:szCs w:val="20"/>
        </w:rPr>
        <w:t xml:space="preserve"> acknowledge that </w:t>
      </w:r>
      <w:r w:rsidR="007A2B74" w:rsidRPr="009E6B3C">
        <w:rPr>
          <w:rFonts w:ascii="Arial" w:eastAsia="Calibri" w:hAnsi="Arial" w:cs="Arial"/>
          <w:color w:val="000000" w:themeColor="text1"/>
          <w:sz w:val="20"/>
          <w:szCs w:val="20"/>
        </w:rPr>
        <w:t>a</w:t>
      </w:r>
      <w:r w:rsidR="00BC2B41" w:rsidRPr="009E6B3C">
        <w:rPr>
          <w:rFonts w:ascii="Arial" w:eastAsia="Calibri" w:hAnsi="Arial" w:cs="Arial"/>
          <w:color w:val="000000" w:themeColor="text1"/>
          <w:sz w:val="20"/>
          <w:szCs w:val="20"/>
        </w:rPr>
        <w:t xml:space="preserve"> </w:t>
      </w:r>
      <w:r w:rsidR="003F103A" w:rsidRPr="009E6B3C">
        <w:rPr>
          <w:rFonts w:ascii="Arial" w:eastAsia="Calibri" w:hAnsi="Arial" w:cs="Arial"/>
          <w:color w:val="000000" w:themeColor="text1"/>
          <w:sz w:val="20"/>
          <w:szCs w:val="20"/>
        </w:rPr>
        <w:t xml:space="preserve">lack of senior leadership has significantly hampered the </w:t>
      </w:r>
      <w:r w:rsidR="00BC2B41" w:rsidRPr="009E6B3C">
        <w:rPr>
          <w:rFonts w:ascii="Arial" w:eastAsia="Calibri" w:hAnsi="Arial" w:cs="Arial"/>
          <w:color w:val="000000" w:themeColor="text1"/>
          <w:sz w:val="20"/>
          <w:szCs w:val="20"/>
        </w:rPr>
        <w:t xml:space="preserve">Department’s efforts to address the qualification but </w:t>
      </w:r>
      <w:r w:rsidRPr="009E6B3C">
        <w:rPr>
          <w:rFonts w:ascii="Arial" w:eastAsia="Calibri" w:hAnsi="Arial" w:cs="Arial"/>
          <w:color w:val="000000" w:themeColor="text1"/>
          <w:sz w:val="20"/>
          <w:szCs w:val="20"/>
        </w:rPr>
        <w:t>the appointment of Ms</w:t>
      </w:r>
      <w:r w:rsidR="003F103A" w:rsidRPr="009E6B3C">
        <w:rPr>
          <w:rFonts w:ascii="Arial" w:eastAsia="Calibri" w:hAnsi="Arial" w:cs="Arial"/>
          <w:color w:val="000000" w:themeColor="text1"/>
          <w:sz w:val="20"/>
          <w:szCs w:val="20"/>
        </w:rPr>
        <w:t>.</w:t>
      </w:r>
      <w:r w:rsidRPr="009E6B3C">
        <w:rPr>
          <w:rFonts w:ascii="Arial" w:eastAsia="Calibri" w:hAnsi="Arial" w:cs="Arial"/>
          <w:color w:val="000000" w:themeColor="text1"/>
          <w:sz w:val="20"/>
          <w:szCs w:val="20"/>
        </w:rPr>
        <w:t xml:space="preserve"> </w:t>
      </w:r>
      <w:r w:rsidR="00937080" w:rsidRPr="009E6B3C">
        <w:rPr>
          <w:rFonts w:ascii="Arial" w:eastAsia="Calibri" w:hAnsi="Arial" w:cs="Arial"/>
          <w:color w:val="000000" w:themeColor="text1"/>
          <w:sz w:val="20"/>
          <w:szCs w:val="20"/>
        </w:rPr>
        <w:t xml:space="preserve">R </w:t>
      </w:r>
      <w:r w:rsidRPr="009E6B3C">
        <w:rPr>
          <w:rFonts w:ascii="Arial" w:eastAsia="Calibri" w:hAnsi="Arial" w:cs="Arial"/>
          <w:color w:val="000000" w:themeColor="text1"/>
          <w:sz w:val="20"/>
          <w:szCs w:val="20"/>
        </w:rPr>
        <w:t>Singo as the Chief Financial Officer, with effect from 1 April 2022</w:t>
      </w:r>
      <w:r w:rsidR="00BC2B41" w:rsidRPr="009E6B3C">
        <w:rPr>
          <w:rFonts w:ascii="Arial" w:eastAsia="Calibri" w:hAnsi="Arial" w:cs="Arial"/>
          <w:color w:val="000000" w:themeColor="text1"/>
          <w:sz w:val="20"/>
          <w:szCs w:val="20"/>
        </w:rPr>
        <w:t xml:space="preserve">, </w:t>
      </w:r>
      <w:r w:rsidR="007A2B74" w:rsidRPr="009E6B3C">
        <w:rPr>
          <w:rFonts w:ascii="Arial" w:eastAsia="Calibri" w:hAnsi="Arial" w:cs="Arial"/>
          <w:color w:val="000000" w:themeColor="text1"/>
          <w:sz w:val="20"/>
          <w:szCs w:val="20"/>
        </w:rPr>
        <w:t xml:space="preserve">should assist greatly </w:t>
      </w:r>
      <w:r w:rsidR="00BC2B41" w:rsidRPr="009E6B3C">
        <w:rPr>
          <w:rFonts w:ascii="Arial" w:eastAsia="Calibri" w:hAnsi="Arial" w:cs="Arial"/>
          <w:color w:val="000000" w:themeColor="text1"/>
          <w:sz w:val="20"/>
          <w:szCs w:val="20"/>
        </w:rPr>
        <w:t>g</w:t>
      </w:r>
      <w:r w:rsidR="007A2B74" w:rsidRPr="009E6B3C">
        <w:rPr>
          <w:rFonts w:ascii="Arial" w:eastAsia="Calibri" w:hAnsi="Arial" w:cs="Arial"/>
          <w:color w:val="000000" w:themeColor="text1"/>
          <w:sz w:val="20"/>
          <w:szCs w:val="20"/>
        </w:rPr>
        <w:t>oing</w:t>
      </w:r>
      <w:r w:rsidR="00BC2B41" w:rsidRPr="009E6B3C">
        <w:rPr>
          <w:rFonts w:ascii="Arial" w:eastAsia="Calibri" w:hAnsi="Arial" w:cs="Arial"/>
          <w:color w:val="000000" w:themeColor="text1"/>
          <w:sz w:val="20"/>
          <w:szCs w:val="20"/>
        </w:rPr>
        <w:t xml:space="preserve"> forward. </w:t>
      </w:r>
    </w:p>
    <w:p w:rsidR="00C91ACB" w:rsidRPr="009E6B3C" w:rsidRDefault="00C91ACB" w:rsidP="009E6B3C">
      <w:pPr>
        <w:rPr>
          <w:rFonts w:ascii="Arial" w:eastAsia="Calibri" w:hAnsi="Arial" w:cs="Arial"/>
          <w:color w:val="000000" w:themeColor="text1"/>
          <w:sz w:val="20"/>
          <w:szCs w:val="20"/>
        </w:rPr>
      </w:pPr>
    </w:p>
    <w:p w:rsidR="00F6723C" w:rsidRPr="009E6B3C" w:rsidRDefault="00C91ACB" w:rsidP="009E6B3C">
      <w:pPr>
        <w:rPr>
          <w:rFonts w:ascii="Arial" w:hAnsi="Arial" w:cs="Arial"/>
          <w:color w:val="000000" w:themeColor="text1"/>
          <w:sz w:val="20"/>
          <w:szCs w:val="20"/>
        </w:rPr>
      </w:pPr>
      <w:r w:rsidRPr="009E6B3C">
        <w:rPr>
          <w:rFonts w:ascii="Arial" w:hAnsi="Arial" w:cs="Arial"/>
          <w:color w:val="000000" w:themeColor="text1"/>
          <w:sz w:val="20"/>
          <w:szCs w:val="20"/>
        </w:rPr>
        <w:t xml:space="preserve">We have </w:t>
      </w:r>
      <w:r w:rsidR="007A2B74" w:rsidRPr="009E6B3C">
        <w:rPr>
          <w:rFonts w:ascii="Arial" w:hAnsi="Arial" w:cs="Arial"/>
          <w:color w:val="000000" w:themeColor="text1"/>
          <w:sz w:val="20"/>
          <w:szCs w:val="20"/>
        </w:rPr>
        <w:t xml:space="preserve">also </w:t>
      </w:r>
      <w:r w:rsidRPr="009E6B3C">
        <w:rPr>
          <w:rFonts w:ascii="Arial" w:hAnsi="Arial" w:cs="Arial"/>
          <w:color w:val="000000" w:themeColor="text1"/>
          <w:sz w:val="20"/>
          <w:szCs w:val="20"/>
        </w:rPr>
        <w:t xml:space="preserve">noted in our 2022 Budget report that that the Department has developed an audit action plan to address challenges that have resulted in the audit qualification and also to develop sustainable systems and processes. The Department has specifically committed to no longer being qualified on the basis of contingent liabilities and has developed a Contingent Liability Plan. </w:t>
      </w:r>
    </w:p>
    <w:p w:rsidR="00F6723C" w:rsidRPr="009E6B3C" w:rsidRDefault="00F6723C" w:rsidP="009E6B3C">
      <w:pPr>
        <w:rPr>
          <w:rFonts w:ascii="Arial" w:hAnsi="Arial" w:cs="Arial"/>
          <w:color w:val="000000" w:themeColor="text1"/>
          <w:sz w:val="20"/>
          <w:szCs w:val="20"/>
        </w:rPr>
      </w:pPr>
    </w:p>
    <w:p w:rsidR="007A2B74" w:rsidRPr="009E6B3C" w:rsidRDefault="00937080" w:rsidP="009E6B3C">
      <w:pPr>
        <w:rPr>
          <w:rFonts w:ascii="Arial" w:hAnsi="Arial" w:cs="Arial"/>
          <w:color w:val="000000" w:themeColor="text1"/>
          <w:sz w:val="20"/>
          <w:szCs w:val="20"/>
        </w:rPr>
      </w:pPr>
      <w:r w:rsidRPr="009E6B3C">
        <w:rPr>
          <w:rFonts w:ascii="Arial" w:hAnsi="Arial" w:cs="Arial"/>
          <w:color w:val="000000" w:themeColor="text1"/>
          <w:sz w:val="20"/>
          <w:szCs w:val="20"/>
        </w:rPr>
        <w:t>We</w:t>
      </w:r>
      <w:r w:rsidR="00C91ACB" w:rsidRPr="009E6B3C">
        <w:rPr>
          <w:rFonts w:ascii="Arial" w:hAnsi="Arial" w:cs="Arial"/>
          <w:color w:val="000000" w:themeColor="text1"/>
          <w:sz w:val="20"/>
          <w:szCs w:val="20"/>
        </w:rPr>
        <w:t xml:space="preserve"> hope that the Department is able to make good on its commitment</w:t>
      </w:r>
      <w:r w:rsidRPr="009E6B3C">
        <w:rPr>
          <w:rFonts w:ascii="Arial" w:hAnsi="Arial" w:cs="Arial"/>
          <w:color w:val="000000" w:themeColor="text1"/>
          <w:sz w:val="20"/>
          <w:szCs w:val="20"/>
        </w:rPr>
        <w:t xml:space="preserve"> but</w:t>
      </w:r>
      <w:r w:rsidR="00D162BE" w:rsidRPr="009E6B3C">
        <w:rPr>
          <w:rFonts w:ascii="Arial" w:hAnsi="Arial" w:cs="Arial"/>
          <w:color w:val="000000" w:themeColor="text1"/>
          <w:sz w:val="20"/>
          <w:szCs w:val="20"/>
        </w:rPr>
        <w:t xml:space="preserve"> </w:t>
      </w:r>
      <w:r w:rsidR="00C91ACB" w:rsidRPr="009E6B3C">
        <w:rPr>
          <w:rFonts w:ascii="Arial" w:hAnsi="Arial" w:cs="Arial"/>
          <w:color w:val="000000" w:themeColor="text1"/>
          <w:sz w:val="20"/>
          <w:szCs w:val="20"/>
        </w:rPr>
        <w:t xml:space="preserve">would far prefer that it </w:t>
      </w:r>
      <w:r w:rsidR="007A2B74" w:rsidRPr="009E6B3C">
        <w:rPr>
          <w:rFonts w:ascii="Arial" w:hAnsi="Arial" w:cs="Arial"/>
          <w:color w:val="000000" w:themeColor="text1"/>
          <w:sz w:val="20"/>
          <w:szCs w:val="20"/>
        </w:rPr>
        <w:t>‘plays open cards’ and alert</w:t>
      </w:r>
      <w:r w:rsidR="00CB028B" w:rsidRPr="009E6B3C">
        <w:rPr>
          <w:rFonts w:ascii="Arial" w:hAnsi="Arial" w:cs="Arial"/>
          <w:color w:val="000000" w:themeColor="text1"/>
          <w:sz w:val="20"/>
          <w:szCs w:val="20"/>
        </w:rPr>
        <w:t xml:space="preserve"> us in good time should </w:t>
      </w:r>
      <w:r w:rsidR="007A2B74" w:rsidRPr="009E6B3C">
        <w:rPr>
          <w:rFonts w:ascii="Arial" w:hAnsi="Arial" w:cs="Arial"/>
          <w:color w:val="000000" w:themeColor="text1"/>
          <w:sz w:val="20"/>
          <w:szCs w:val="20"/>
        </w:rPr>
        <w:t xml:space="preserve">it realise that </w:t>
      </w:r>
      <w:r w:rsidR="00CB028B" w:rsidRPr="009E6B3C">
        <w:rPr>
          <w:rFonts w:ascii="Arial" w:hAnsi="Arial" w:cs="Arial"/>
          <w:color w:val="000000" w:themeColor="text1"/>
          <w:sz w:val="20"/>
          <w:szCs w:val="20"/>
        </w:rPr>
        <w:t xml:space="preserve">the commitment to address the qualification </w:t>
      </w:r>
      <w:r w:rsidR="007A2B74" w:rsidRPr="009E6B3C">
        <w:rPr>
          <w:rFonts w:ascii="Arial" w:hAnsi="Arial" w:cs="Arial"/>
          <w:color w:val="000000" w:themeColor="text1"/>
          <w:sz w:val="20"/>
          <w:szCs w:val="20"/>
        </w:rPr>
        <w:t xml:space="preserve">is </w:t>
      </w:r>
      <w:r w:rsidR="00CB028B" w:rsidRPr="009E6B3C">
        <w:rPr>
          <w:rFonts w:ascii="Arial" w:hAnsi="Arial" w:cs="Arial"/>
          <w:color w:val="000000" w:themeColor="text1"/>
          <w:sz w:val="20"/>
          <w:szCs w:val="20"/>
        </w:rPr>
        <w:t>unachievable. In that way, we are able to engage with the Department constructively and to provide assurance.</w:t>
      </w:r>
      <w:r w:rsidR="00F6723C" w:rsidRPr="009E6B3C">
        <w:rPr>
          <w:rFonts w:ascii="Arial" w:hAnsi="Arial" w:cs="Arial"/>
          <w:color w:val="000000" w:themeColor="text1"/>
          <w:sz w:val="20"/>
          <w:szCs w:val="20"/>
        </w:rPr>
        <w:t xml:space="preserve"> </w:t>
      </w:r>
    </w:p>
    <w:p w:rsidR="007A2B74" w:rsidRPr="009E6B3C" w:rsidRDefault="007A2B74" w:rsidP="009E6B3C">
      <w:pPr>
        <w:rPr>
          <w:rFonts w:ascii="Arial" w:hAnsi="Arial" w:cs="Arial"/>
          <w:color w:val="000000" w:themeColor="text1"/>
          <w:sz w:val="20"/>
          <w:szCs w:val="20"/>
        </w:rPr>
      </w:pPr>
    </w:p>
    <w:p w:rsidR="0054117B" w:rsidRPr="009E6B3C" w:rsidRDefault="000F0944" w:rsidP="009E6B3C">
      <w:pPr>
        <w:rPr>
          <w:rFonts w:ascii="Arial" w:hAnsi="Arial" w:cs="Arial"/>
          <w:color w:val="000000" w:themeColor="text1"/>
          <w:sz w:val="20"/>
          <w:szCs w:val="20"/>
        </w:rPr>
      </w:pPr>
      <w:r w:rsidRPr="009E6B3C">
        <w:rPr>
          <w:rFonts w:ascii="Arial" w:hAnsi="Arial" w:cs="Arial"/>
          <w:color w:val="000000" w:themeColor="text1"/>
          <w:sz w:val="20"/>
          <w:szCs w:val="20"/>
        </w:rPr>
        <w:t>We</w:t>
      </w:r>
      <w:r w:rsidR="00937080" w:rsidRPr="009E6B3C">
        <w:rPr>
          <w:rFonts w:ascii="Arial" w:hAnsi="Arial" w:cs="Arial"/>
          <w:color w:val="000000" w:themeColor="text1"/>
          <w:sz w:val="20"/>
          <w:szCs w:val="20"/>
        </w:rPr>
        <w:t xml:space="preserve"> </w:t>
      </w:r>
      <w:r w:rsidR="0054117B" w:rsidRPr="009E6B3C">
        <w:rPr>
          <w:rFonts w:ascii="Arial" w:hAnsi="Arial" w:cs="Arial"/>
          <w:color w:val="000000" w:themeColor="text1"/>
          <w:sz w:val="20"/>
          <w:szCs w:val="20"/>
        </w:rPr>
        <w:t xml:space="preserve">request a report on the progress </w:t>
      </w:r>
      <w:r w:rsidR="007A2B74" w:rsidRPr="009E6B3C">
        <w:rPr>
          <w:rFonts w:ascii="Arial" w:hAnsi="Arial" w:cs="Arial"/>
          <w:color w:val="000000" w:themeColor="text1"/>
          <w:sz w:val="20"/>
          <w:szCs w:val="20"/>
        </w:rPr>
        <w:t xml:space="preserve">made to address to address the audit findings </w:t>
      </w:r>
      <w:r w:rsidR="0054117B" w:rsidRPr="009E6B3C">
        <w:rPr>
          <w:rFonts w:ascii="Arial" w:hAnsi="Arial" w:cs="Arial"/>
          <w:color w:val="000000" w:themeColor="text1"/>
          <w:sz w:val="20"/>
          <w:szCs w:val="20"/>
        </w:rPr>
        <w:t xml:space="preserve">before </w:t>
      </w:r>
      <w:r w:rsidR="00B62E7D" w:rsidRPr="009E6B3C">
        <w:rPr>
          <w:rFonts w:ascii="Arial" w:hAnsi="Arial" w:cs="Arial"/>
          <w:color w:val="000000" w:themeColor="text1"/>
          <w:sz w:val="20"/>
          <w:szCs w:val="20"/>
        </w:rPr>
        <w:t>31 January 2023</w:t>
      </w:r>
      <w:r w:rsidR="0054117B" w:rsidRPr="009E6B3C">
        <w:rPr>
          <w:rFonts w:ascii="Arial" w:hAnsi="Arial" w:cs="Arial"/>
          <w:color w:val="000000" w:themeColor="text1"/>
          <w:sz w:val="20"/>
          <w:szCs w:val="20"/>
        </w:rPr>
        <w:t>.</w:t>
      </w:r>
    </w:p>
    <w:p w:rsidR="0054117B" w:rsidRPr="009E6B3C" w:rsidRDefault="0054117B" w:rsidP="009E6B3C">
      <w:pPr>
        <w:rPr>
          <w:rFonts w:ascii="Arial" w:hAnsi="Arial" w:cs="Arial"/>
          <w:color w:val="000000" w:themeColor="text1"/>
          <w:sz w:val="20"/>
          <w:szCs w:val="20"/>
        </w:rPr>
      </w:pPr>
    </w:p>
    <w:p w:rsidR="007B4E0D" w:rsidRPr="009E6B3C" w:rsidRDefault="007B4E0D" w:rsidP="009E6B3C">
      <w:pPr>
        <w:pStyle w:val="ListParagraph"/>
        <w:numPr>
          <w:ilvl w:val="1"/>
          <w:numId w:val="1"/>
        </w:numPr>
        <w:ind w:left="851" w:hanging="851"/>
        <w:rPr>
          <w:rFonts w:ascii="Arial" w:eastAsia="Calibri" w:hAnsi="Arial" w:cs="Arial"/>
          <w:b/>
          <w:i/>
          <w:color w:val="000000" w:themeColor="text1"/>
          <w:sz w:val="20"/>
          <w:szCs w:val="20"/>
        </w:rPr>
      </w:pPr>
      <w:r w:rsidRPr="009E6B3C">
        <w:rPr>
          <w:rFonts w:ascii="Arial" w:hAnsi="Arial" w:cs="Arial"/>
          <w:b/>
          <w:i/>
          <w:color w:val="000000" w:themeColor="text1"/>
          <w:sz w:val="20"/>
          <w:szCs w:val="20"/>
        </w:rPr>
        <w:t>Irregular</w:t>
      </w:r>
      <w:r w:rsidRPr="009E6B3C">
        <w:rPr>
          <w:rFonts w:ascii="Arial" w:eastAsia="Calibri" w:hAnsi="Arial" w:cs="Arial"/>
          <w:b/>
          <w:i/>
          <w:color w:val="000000" w:themeColor="text1"/>
          <w:sz w:val="20"/>
          <w:szCs w:val="20"/>
        </w:rPr>
        <w:t xml:space="preserve"> expenditure</w:t>
      </w:r>
    </w:p>
    <w:p w:rsidR="007B4E0D" w:rsidRPr="009E6B3C" w:rsidRDefault="007B4E0D" w:rsidP="009E6B3C">
      <w:pPr>
        <w:autoSpaceDE w:val="0"/>
        <w:autoSpaceDN w:val="0"/>
        <w:adjustRightInd w:val="0"/>
        <w:contextualSpacing/>
        <w:rPr>
          <w:rFonts w:ascii="Arial" w:hAnsi="Arial" w:cs="Arial"/>
          <w:color w:val="000000" w:themeColor="text1"/>
          <w:sz w:val="20"/>
          <w:szCs w:val="20"/>
        </w:rPr>
      </w:pPr>
    </w:p>
    <w:p w:rsidR="003F103A" w:rsidRPr="009E6B3C" w:rsidRDefault="003F103A" w:rsidP="009E6B3C">
      <w:pPr>
        <w:autoSpaceDE w:val="0"/>
        <w:autoSpaceDN w:val="0"/>
        <w:adjustRightInd w:val="0"/>
        <w:contextualSpacing/>
        <w:rPr>
          <w:rFonts w:ascii="Arial" w:hAnsi="Arial" w:cs="Arial"/>
          <w:color w:val="000000" w:themeColor="text1"/>
          <w:sz w:val="20"/>
          <w:szCs w:val="20"/>
        </w:rPr>
      </w:pPr>
      <w:r w:rsidRPr="009E6B3C">
        <w:rPr>
          <w:rFonts w:ascii="Arial" w:hAnsi="Arial" w:cs="Arial"/>
          <w:color w:val="000000" w:themeColor="text1"/>
          <w:sz w:val="20"/>
          <w:szCs w:val="20"/>
        </w:rPr>
        <w:t>We note that</w:t>
      </w:r>
      <w:r w:rsidR="007A2B74"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despite </w:t>
      </w:r>
      <w:r w:rsidR="00444906" w:rsidRPr="009E6B3C">
        <w:rPr>
          <w:rFonts w:ascii="Arial" w:hAnsi="Arial" w:cs="Arial"/>
          <w:color w:val="000000" w:themeColor="text1"/>
          <w:sz w:val="20"/>
          <w:szCs w:val="20"/>
        </w:rPr>
        <w:t xml:space="preserve">the Department’s plan </w:t>
      </w:r>
      <w:r w:rsidRPr="009E6B3C">
        <w:rPr>
          <w:rFonts w:ascii="Arial" w:hAnsi="Arial" w:cs="Arial"/>
          <w:color w:val="000000" w:themeColor="text1"/>
          <w:sz w:val="20"/>
          <w:szCs w:val="20"/>
        </w:rPr>
        <w:t>to decrease the</w:t>
      </w:r>
      <w:r w:rsidR="00444906" w:rsidRPr="009E6B3C">
        <w:rPr>
          <w:rFonts w:ascii="Arial" w:hAnsi="Arial" w:cs="Arial"/>
          <w:color w:val="000000" w:themeColor="text1"/>
          <w:sz w:val="20"/>
          <w:szCs w:val="20"/>
        </w:rPr>
        <w:t xml:space="preserve"> amount of </w:t>
      </w:r>
      <w:r w:rsidRPr="009E6B3C">
        <w:rPr>
          <w:rFonts w:ascii="Arial" w:hAnsi="Arial" w:cs="Arial"/>
          <w:color w:val="000000" w:themeColor="text1"/>
          <w:sz w:val="20"/>
          <w:szCs w:val="20"/>
        </w:rPr>
        <w:t>irregular expenditure in</w:t>
      </w:r>
      <w:r w:rsidR="00444906" w:rsidRPr="009E6B3C">
        <w:rPr>
          <w:rFonts w:ascii="Arial" w:hAnsi="Arial" w:cs="Arial"/>
          <w:color w:val="000000" w:themeColor="text1"/>
          <w:sz w:val="20"/>
          <w:szCs w:val="20"/>
        </w:rPr>
        <w:t>curred in</w:t>
      </w:r>
      <w:r w:rsidRPr="009E6B3C">
        <w:rPr>
          <w:rFonts w:ascii="Arial" w:hAnsi="Arial" w:cs="Arial"/>
          <w:color w:val="000000" w:themeColor="text1"/>
          <w:sz w:val="20"/>
          <w:szCs w:val="20"/>
        </w:rPr>
        <w:t xml:space="preserve"> 2021/22, </w:t>
      </w:r>
      <w:r w:rsidR="00937080" w:rsidRPr="009E6B3C">
        <w:rPr>
          <w:rFonts w:ascii="Arial" w:hAnsi="Arial" w:cs="Arial"/>
          <w:color w:val="000000" w:themeColor="text1"/>
          <w:sz w:val="20"/>
          <w:szCs w:val="20"/>
        </w:rPr>
        <w:t xml:space="preserve">the amount of </w:t>
      </w:r>
      <w:r w:rsidR="007A2B74" w:rsidRPr="009E6B3C">
        <w:rPr>
          <w:rFonts w:ascii="Arial" w:hAnsi="Arial" w:cs="Arial"/>
          <w:color w:val="000000" w:themeColor="text1"/>
          <w:sz w:val="20"/>
          <w:szCs w:val="20"/>
        </w:rPr>
        <w:t xml:space="preserve">irregular expenditure </w:t>
      </w:r>
      <w:r w:rsidR="00937080" w:rsidRPr="009E6B3C">
        <w:rPr>
          <w:rFonts w:ascii="Arial" w:hAnsi="Arial" w:cs="Arial"/>
          <w:color w:val="000000" w:themeColor="text1"/>
          <w:sz w:val="20"/>
          <w:szCs w:val="20"/>
        </w:rPr>
        <w:t xml:space="preserve">in fact </w:t>
      </w:r>
      <w:r w:rsidRPr="009E6B3C">
        <w:rPr>
          <w:rFonts w:ascii="Arial" w:hAnsi="Arial" w:cs="Arial"/>
          <w:color w:val="000000" w:themeColor="text1"/>
          <w:sz w:val="20"/>
          <w:szCs w:val="20"/>
        </w:rPr>
        <w:t>increased by R900.2 million</w:t>
      </w:r>
      <w:r w:rsidR="005A0920" w:rsidRPr="009E6B3C">
        <w:rPr>
          <w:rFonts w:ascii="Arial" w:hAnsi="Arial" w:cs="Arial"/>
          <w:color w:val="000000" w:themeColor="text1"/>
          <w:sz w:val="20"/>
          <w:szCs w:val="20"/>
        </w:rPr>
        <w:t xml:space="preserve">, largely as a result of </w:t>
      </w:r>
      <w:r w:rsidR="00EA32E9" w:rsidRPr="009E6B3C">
        <w:rPr>
          <w:rFonts w:ascii="Arial" w:hAnsi="Arial" w:cs="Arial"/>
          <w:color w:val="000000" w:themeColor="text1"/>
          <w:sz w:val="20"/>
          <w:szCs w:val="20"/>
        </w:rPr>
        <w:t>non-</w:t>
      </w:r>
      <w:r w:rsidR="005A0920" w:rsidRPr="009E6B3C">
        <w:rPr>
          <w:rFonts w:ascii="Arial" w:hAnsi="Arial" w:cs="Arial"/>
          <w:color w:val="000000" w:themeColor="text1"/>
          <w:sz w:val="20"/>
          <w:szCs w:val="20"/>
        </w:rPr>
        <w:t>compliance with S</w:t>
      </w:r>
      <w:r w:rsidRPr="009E6B3C">
        <w:rPr>
          <w:rFonts w:ascii="Arial" w:hAnsi="Arial" w:cs="Arial"/>
          <w:color w:val="000000" w:themeColor="text1"/>
          <w:sz w:val="20"/>
          <w:szCs w:val="20"/>
        </w:rPr>
        <w:t xml:space="preserve">upply </w:t>
      </w:r>
      <w:r w:rsidR="005A0920" w:rsidRPr="009E6B3C">
        <w:rPr>
          <w:rFonts w:ascii="Arial" w:hAnsi="Arial" w:cs="Arial"/>
          <w:color w:val="000000" w:themeColor="text1"/>
          <w:sz w:val="20"/>
          <w:szCs w:val="20"/>
        </w:rPr>
        <w:t>C</w:t>
      </w:r>
      <w:r w:rsidRPr="009E6B3C">
        <w:rPr>
          <w:rFonts w:ascii="Arial" w:hAnsi="Arial" w:cs="Arial"/>
          <w:color w:val="000000" w:themeColor="text1"/>
          <w:sz w:val="20"/>
          <w:szCs w:val="20"/>
        </w:rPr>
        <w:t>hain Management</w:t>
      </w:r>
      <w:r w:rsidR="00937080" w:rsidRPr="009E6B3C">
        <w:rPr>
          <w:rFonts w:ascii="Arial" w:hAnsi="Arial" w:cs="Arial"/>
          <w:color w:val="000000" w:themeColor="text1"/>
          <w:sz w:val="20"/>
          <w:szCs w:val="20"/>
        </w:rPr>
        <w:t xml:space="preserve"> (</w:t>
      </w:r>
      <w:r w:rsidR="007B5746" w:rsidRPr="009E6B3C">
        <w:rPr>
          <w:rFonts w:ascii="Arial" w:hAnsi="Arial" w:cs="Arial"/>
          <w:color w:val="000000" w:themeColor="text1"/>
          <w:sz w:val="20"/>
          <w:szCs w:val="20"/>
        </w:rPr>
        <w:t>SCM) regulations</w:t>
      </w:r>
      <w:r w:rsidR="00E807D0" w:rsidRPr="009E6B3C">
        <w:rPr>
          <w:rFonts w:ascii="Arial" w:hAnsi="Arial" w:cs="Arial"/>
          <w:color w:val="000000" w:themeColor="text1"/>
          <w:sz w:val="20"/>
          <w:szCs w:val="20"/>
        </w:rPr>
        <w:t xml:space="preserve">. </w:t>
      </w:r>
      <w:r w:rsidRPr="009E6B3C">
        <w:rPr>
          <w:rFonts w:ascii="Arial" w:hAnsi="Arial" w:cs="Arial"/>
          <w:color w:val="000000" w:themeColor="text1"/>
          <w:sz w:val="20"/>
          <w:szCs w:val="20"/>
        </w:rPr>
        <w:t xml:space="preserve">A total of </w:t>
      </w:r>
      <w:r w:rsidR="00966847" w:rsidRPr="009E6B3C">
        <w:rPr>
          <w:rFonts w:ascii="Arial" w:hAnsi="Arial" w:cs="Arial"/>
          <w:color w:val="000000" w:themeColor="text1"/>
          <w:sz w:val="20"/>
          <w:szCs w:val="20"/>
        </w:rPr>
        <w:t>26 new cases to the value of R867 million</w:t>
      </w:r>
      <w:r w:rsidRPr="009E6B3C">
        <w:rPr>
          <w:rFonts w:ascii="Arial" w:hAnsi="Arial" w:cs="Arial"/>
          <w:color w:val="000000" w:themeColor="text1"/>
          <w:sz w:val="20"/>
          <w:szCs w:val="20"/>
        </w:rPr>
        <w:t xml:space="preserve"> were identified</w:t>
      </w:r>
      <w:r w:rsidR="00966847" w:rsidRPr="009E6B3C">
        <w:rPr>
          <w:rFonts w:ascii="Arial" w:hAnsi="Arial" w:cs="Arial"/>
          <w:color w:val="000000" w:themeColor="text1"/>
          <w:sz w:val="20"/>
          <w:szCs w:val="20"/>
        </w:rPr>
        <w:t>, of which two cases relate</w:t>
      </w:r>
      <w:r w:rsidR="00937080" w:rsidRPr="009E6B3C">
        <w:rPr>
          <w:rFonts w:ascii="Arial" w:hAnsi="Arial" w:cs="Arial"/>
          <w:color w:val="000000" w:themeColor="text1"/>
          <w:sz w:val="20"/>
          <w:szCs w:val="20"/>
        </w:rPr>
        <w:t>d</w:t>
      </w:r>
      <w:r w:rsidR="00966847" w:rsidRPr="009E6B3C">
        <w:rPr>
          <w:rFonts w:ascii="Arial" w:hAnsi="Arial" w:cs="Arial"/>
          <w:color w:val="000000" w:themeColor="text1"/>
          <w:sz w:val="20"/>
          <w:szCs w:val="20"/>
        </w:rPr>
        <w:t xml:space="preserve"> to </w:t>
      </w:r>
      <w:r w:rsidRPr="009E6B3C">
        <w:rPr>
          <w:rFonts w:ascii="Arial" w:hAnsi="Arial" w:cs="Arial"/>
          <w:color w:val="000000" w:themeColor="text1"/>
          <w:sz w:val="20"/>
          <w:szCs w:val="20"/>
        </w:rPr>
        <w:t>2020/21</w:t>
      </w:r>
      <w:r w:rsidR="00966847"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w:t>
      </w:r>
      <w:r w:rsidR="008650F9" w:rsidRPr="009E6B3C">
        <w:rPr>
          <w:rFonts w:ascii="Arial" w:hAnsi="Arial" w:cs="Arial"/>
          <w:color w:val="000000" w:themeColor="text1"/>
          <w:sz w:val="20"/>
          <w:szCs w:val="20"/>
        </w:rPr>
        <w:t xml:space="preserve">A total of </w:t>
      </w:r>
      <w:r w:rsidRPr="009E6B3C">
        <w:rPr>
          <w:rFonts w:ascii="Arial" w:hAnsi="Arial" w:cs="Arial"/>
          <w:color w:val="000000" w:themeColor="text1"/>
          <w:sz w:val="20"/>
          <w:szCs w:val="20"/>
        </w:rPr>
        <w:t>9 cases, valuing R667 million</w:t>
      </w:r>
      <w:r w:rsidR="008650F9"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are under investigation for</w:t>
      </w:r>
      <w:r w:rsidR="00966847" w:rsidRPr="009E6B3C">
        <w:rPr>
          <w:rFonts w:ascii="Arial" w:hAnsi="Arial" w:cs="Arial"/>
          <w:color w:val="000000" w:themeColor="text1"/>
          <w:sz w:val="20"/>
          <w:szCs w:val="20"/>
        </w:rPr>
        <w:t xml:space="preserve"> possible fraud and collusion. </w:t>
      </w:r>
      <w:r w:rsidRPr="009E6B3C">
        <w:rPr>
          <w:rFonts w:ascii="Arial" w:hAnsi="Arial" w:cs="Arial"/>
          <w:color w:val="000000" w:themeColor="text1"/>
          <w:sz w:val="20"/>
          <w:szCs w:val="20"/>
        </w:rPr>
        <w:t>A further R49.7 million is reported to be under assessment.</w:t>
      </w:r>
    </w:p>
    <w:p w:rsidR="003F103A" w:rsidRPr="009E6B3C" w:rsidRDefault="003F103A" w:rsidP="009E6B3C">
      <w:pPr>
        <w:autoSpaceDE w:val="0"/>
        <w:autoSpaceDN w:val="0"/>
        <w:adjustRightInd w:val="0"/>
        <w:contextualSpacing/>
        <w:rPr>
          <w:rFonts w:ascii="Arial" w:hAnsi="Arial" w:cs="Arial"/>
          <w:color w:val="000000" w:themeColor="text1"/>
          <w:sz w:val="20"/>
          <w:szCs w:val="20"/>
        </w:rPr>
      </w:pPr>
    </w:p>
    <w:p w:rsidR="008650F9" w:rsidRPr="009E6B3C" w:rsidRDefault="00C91ACB"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w:t>
      </w:r>
      <w:r w:rsidR="008650F9" w:rsidRPr="009E6B3C">
        <w:rPr>
          <w:rFonts w:ascii="Arial" w:hAnsi="Arial" w:cs="Arial"/>
          <w:color w:val="000000" w:themeColor="text1"/>
          <w:sz w:val="20"/>
          <w:szCs w:val="20"/>
        </w:rPr>
        <w:t xml:space="preserve">believe that </w:t>
      </w:r>
      <w:r w:rsidR="00444906" w:rsidRPr="009E6B3C">
        <w:rPr>
          <w:rFonts w:ascii="Arial" w:hAnsi="Arial" w:cs="Arial"/>
          <w:color w:val="000000" w:themeColor="text1"/>
          <w:sz w:val="20"/>
          <w:szCs w:val="20"/>
        </w:rPr>
        <w:t xml:space="preserve">the </w:t>
      </w:r>
      <w:r w:rsidR="00CB028B" w:rsidRPr="009E6B3C">
        <w:rPr>
          <w:rFonts w:ascii="Arial" w:hAnsi="Arial" w:cs="Arial"/>
          <w:color w:val="000000" w:themeColor="text1"/>
          <w:sz w:val="20"/>
          <w:szCs w:val="20"/>
        </w:rPr>
        <w:t xml:space="preserve">high vacancy rate </w:t>
      </w:r>
      <w:r w:rsidR="00444906" w:rsidRPr="009E6B3C">
        <w:rPr>
          <w:rFonts w:ascii="Arial" w:hAnsi="Arial" w:cs="Arial"/>
          <w:color w:val="000000" w:themeColor="text1"/>
          <w:sz w:val="20"/>
          <w:szCs w:val="20"/>
        </w:rPr>
        <w:t xml:space="preserve">and lack of leadership </w:t>
      </w:r>
      <w:r w:rsidR="00CB028B" w:rsidRPr="009E6B3C">
        <w:rPr>
          <w:rFonts w:ascii="Arial" w:hAnsi="Arial" w:cs="Arial"/>
          <w:color w:val="000000" w:themeColor="text1"/>
          <w:sz w:val="20"/>
          <w:szCs w:val="20"/>
        </w:rPr>
        <w:t>in Supply Chain Manag</w:t>
      </w:r>
      <w:r w:rsidR="003963FD" w:rsidRPr="009E6B3C">
        <w:rPr>
          <w:rFonts w:ascii="Arial" w:hAnsi="Arial" w:cs="Arial"/>
          <w:color w:val="000000" w:themeColor="text1"/>
          <w:sz w:val="20"/>
          <w:szCs w:val="20"/>
        </w:rPr>
        <w:t>ement</w:t>
      </w:r>
      <w:r w:rsidR="00444906" w:rsidRPr="009E6B3C">
        <w:rPr>
          <w:rFonts w:ascii="Arial" w:hAnsi="Arial" w:cs="Arial"/>
          <w:color w:val="000000" w:themeColor="text1"/>
          <w:sz w:val="20"/>
          <w:szCs w:val="20"/>
        </w:rPr>
        <w:t xml:space="preserve"> </w:t>
      </w:r>
      <w:r w:rsidRPr="009E6B3C">
        <w:rPr>
          <w:rFonts w:ascii="Arial" w:hAnsi="Arial" w:cs="Arial"/>
          <w:color w:val="000000" w:themeColor="text1"/>
          <w:sz w:val="20"/>
          <w:szCs w:val="20"/>
        </w:rPr>
        <w:t xml:space="preserve">has </w:t>
      </w:r>
      <w:r w:rsidR="008650F9" w:rsidRPr="009E6B3C">
        <w:rPr>
          <w:rFonts w:ascii="Arial" w:hAnsi="Arial" w:cs="Arial"/>
          <w:color w:val="000000" w:themeColor="text1"/>
          <w:sz w:val="20"/>
          <w:szCs w:val="20"/>
        </w:rPr>
        <w:t>significantly contributed to t</w:t>
      </w:r>
      <w:r w:rsidRPr="009E6B3C">
        <w:rPr>
          <w:rFonts w:ascii="Arial" w:hAnsi="Arial" w:cs="Arial"/>
          <w:color w:val="000000" w:themeColor="text1"/>
          <w:sz w:val="20"/>
          <w:szCs w:val="20"/>
        </w:rPr>
        <w:t>he Department’s challenges</w:t>
      </w:r>
      <w:r w:rsidR="003963FD" w:rsidRPr="009E6B3C">
        <w:rPr>
          <w:rFonts w:ascii="Arial" w:hAnsi="Arial" w:cs="Arial"/>
          <w:color w:val="000000" w:themeColor="text1"/>
          <w:sz w:val="20"/>
          <w:szCs w:val="20"/>
        </w:rPr>
        <w:t xml:space="preserve"> in this environment</w:t>
      </w:r>
      <w:r w:rsidR="00CB028B" w:rsidRPr="009E6B3C">
        <w:rPr>
          <w:rFonts w:ascii="Arial" w:hAnsi="Arial" w:cs="Arial"/>
          <w:color w:val="000000" w:themeColor="text1"/>
          <w:sz w:val="20"/>
          <w:szCs w:val="20"/>
        </w:rPr>
        <w:t>.</w:t>
      </w:r>
      <w:r w:rsidR="00444906" w:rsidRPr="009E6B3C">
        <w:rPr>
          <w:rFonts w:ascii="Arial" w:hAnsi="Arial" w:cs="Arial"/>
          <w:color w:val="000000" w:themeColor="text1"/>
          <w:sz w:val="20"/>
          <w:szCs w:val="20"/>
        </w:rPr>
        <w:t xml:space="preserve"> </w:t>
      </w:r>
      <w:r w:rsidR="00CB028B" w:rsidRPr="009E6B3C">
        <w:rPr>
          <w:rFonts w:ascii="Arial" w:hAnsi="Arial" w:cs="Arial"/>
          <w:color w:val="000000" w:themeColor="text1"/>
          <w:sz w:val="20"/>
          <w:szCs w:val="20"/>
        </w:rPr>
        <w:t xml:space="preserve">Although </w:t>
      </w:r>
      <w:r w:rsidR="003963FD" w:rsidRPr="009E6B3C">
        <w:rPr>
          <w:rFonts w:ascii="Arial" w:hAnsi="Arial" w:cs="Arial"/>
          <w:color w:val="000000" w:themeColor="text1"/>
          <w:sz w:val="20"/>
          <w:szCs w:val="20"/>
        </w:rPr>
        <w:t xml:space="preserve">the Department reports that it has taken </w:t>
      </w:r>
      <w:r w:rsidR="00CB028B" w:rsidRPr="009E6B3C">
        <w:rPr>
          <w:rFonts w:ascii="Arial" w:hAnsi="Arial" w:cs="Arial"/>
          <w:color w:val="000000" w:themeColor="text1"/>
          <w:sz w:val="20"/>
          <w:szCs w:val="20"/>
        </w:rPr>
        <w:t xml:space="preserve">steps to </w:t>
      </w:r>
      <w:r w:rsidR="003963FD" w:rsidRPr="009E6B3C">
        <w:rPr>
          <w:rFonts w:ascii="Arial" w:hAnsi="Arial" w:cs="Arial"/>
          <w:color w:val="000000" w:themeColor="text1"/>
          <w:sz w:val="20"/>
          <w:szCs w:val="20"/>
        </w:rPr>
        <w:t xml:space="preserve">address the problem for now, these measures </w:t>
      </w:r>
      <w:r w:rsidR="008650F9" w:rsidRPr="009E6B3C">
        <w:rPr>
          <w:rFonts w:ascii="Arial" w:hAnsi="Arial" w:cs="Arial"/>
          <w:color w:val="000000" w:themeColor="text1"/>
          <w:sz w:val="20"/>
          <w:szCs w:val="20"/>
        </w:rPr>
        <w:t>seem t</w:t>
      </w:r>
      <w:r w:rsidR="003963FD" w:rsidRPr="009E6B3C">
        <w:rPr>
          <w:rFonts w:ascii="Arial" w:hAnsi="Arial" w:cs="Arial"/>
          <w:color w:val="000000" w:themeColor="text1"/>
          <w:sz w:val="20"/>
          <w:szCs w:val="20"/>
        </w:rPr>
        <w:t xml:space="preserve">emporary. </w:t>
      </w:r>
    </w:p>
    <w:p w:rsidR="008650F9" w:rsidRPr="009E6B3C" w:rsidRDefault="008650F9" w:rsidP="009E6B3C">
      <w:pPr>
        <w:pStyle w:val="NormalWeb"/>
        <w:spacing w:before="0" w:after="0"/>
        <w:rPr>
          <w:rFonts w:ascii="Arial" w:hAnsi="Arial" w:cs="Arial"/>
          <w:color w:val="000000" w:themeColor="text1"/>
          <w:sz w:val="20"/>
          <w:szCs w:val="20"/>
        </w:rPr>
      </w:pPr>
    </w:p>
    <w:p w:rsidR="003963FD" w:rsidRPr="009E6B3C" w:rsidRDefault="00CB028B"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therefore request further information concerning the appointment of a Chief Director: Supply Chain Management and </w:t>
      </w:r>
      <w:r w:rsidR="003963FD" w:rsidRPr="009E6B3C">
        <w:rPr>
          <w:rFonts w:ascii="Arial" w:hAnsi="Arial" w:cs="Arial"/>
          <w:color w:val="000000" w:themeColor="text1"/>
          <w:sz w:val="20"/>
          <w:szCs w:val="20"/>
        </w:rPr>
        <w:t xml:space="preserve">the progress in filling </w:t>
      </w:r>
      <w:r w:rsidRPr="009E6B3C">
        <w:rPr>
          <w:rFonts w:ascii="Arial" w:hAnsi="Arial" w:cs="Arial"/>
          <w:color w:val="000000" w:themeColor="text1"/>
          <w:sz w:val="20"/>
          <w:szCs w:val="20"/>
        </w:rPr>
        <w:t>other critical vacancies within SCM</w:t>
      </w:r>
      <w:r w:rsidR="003963FD" w:rsidRPr="009E6B3C">
        <w:rPr>
          <w:rFonts w:ascii="Arial" w:hAnsi="Arial" w:cs="Arial"/>
          <w:color w:val="000000" w:themeColor="text1"/>
          <w:sz w:val="20"/>
          <w:szCs w:val="20"/>
        </w:rPr>
        <w:t xml:space="preserve"> by </w:t>
      </w:r>
      <w:r w:rsidR="00B62E7D" w:rsidRPr="009E6B3C">
        <w:rPr>
          <w:rFonts w:ascii="Arial" w:hAnsi="Arial" w:cs="Arial"/>
          <w:color w:val="000000" w:themeColor="text1"/>
          <w:sz w:val="20"/>
          <w:szCs w:val="20"/>
        </w:rPr>
        <w:t>31 January 2023</w:t>
      </w:r>
      <w:r w:rsidR="003963FD" w:rsidRPr="009E6B3C">
        <w:rPr>
          <w:rFonts w:ascii="Arial" w:hAnsi="Arial" w:cs="Arial"/>
          <w:color w:val="000000" w:themeColor="text1"/>
          <w:sz w:val="20"/>
          <w:szCs w:val="20"/>
        </w:rPr>
        <w:t xml:space="preserve">. </w:t>
      </w:r>
    </w:p>
    <w:p w:rsidR="003963FD" w:rsidRPr="009E6B3C" w:rsidRDefault="003963FD" w:rsidP="009E6B3C">
      <w:pPr>
        <w:pStyle w:val="NormalWeb"/>
        <w:spacing w:before="0" w:after="0"/>
        <w:rPr>
          <w:rFonts w:ascii="Arial" w:hAnsi="Arial" w:cs="Arial"/>
          <w:color w:val="000000" w:themeColor="text1"/>
          <w:sz w:val="20"/>
          <w:szCs w:val="20"/>
        </w:rPr>
      </w:pPr>
    </w:p>
    <w:p w:rsidR="00B046FA" w:rsidRPr="009E6B3C" w:rsidRDefault="003963FD" w:rsidP="009E6B3C">
      <w:pPr>
        <w:autoSpaceDE w:val="0"/>
        <w:autoSpaceDN w:val="0"/>
        <w:adjustRightInd w:val="0"/>
        <w:contextualSpacing/>
        <w:rPr>
          <w:rFonts w:ascii="Arial" w:hAnsi="Arial" w:cs="Arial"/>
          <w:color w:val="000000" w:themeColor="text1"/>
          <w:sz w:val="20"/>
          <w:szCs w:val="20"/>
        </w:rPr>
      </w:pPr>
      <w:r w:rsidRPr="009E6B3C">
        <w:rPr>
          <w:rFonts w:ascii="Arial" w:hAnsi="Arial" w:cs="Arial"/>
          <w:color w:val="000000" w:themeColor="text1"/>
          <w:sz w:val="20"/>
          <w:szCs w:val="20"/>
        </w:rPr>
        <w:t xml:space="preserve">We </w:t>
      </w:r>
      <w:r w:rsidR="00615202" w:rsidRPr="009E6B3C">
        <w:rPr>
          <w:rFonts w:ascii="Arial" w:hAnsi="Arial" w:cs="Arial"/>
          <w:color w:val="000000" w:themeColor="text1"/>
          <w:sz w:val="20"/>
          <w:szCs w:val="20"/>
        </w:rPr>
        <w:t xml:space="preserve">note </w:t>
      </w:r>
      <w:r w:rsidR="008650F9" w:rsidRPr="009E6B3C">
        <w:rPr>
          <w:rFonts w:ascii="Arial" w:hAnsi="Arial" w:cs="Arial"/>
          <w:color w:val="000000" w:themeColor="text1"/>
          <w:sz w:val="20"/>
          <w:szCs w:val="20"/>
        </w:rPr>
        <w:t xml:space="preserve">that </w:t>
      </w:r>
      <w:r w:rsidRPr="009E6B3C">
        <w:rPr>
          <w:rFonts w:ascii="Arial" w:hAnsi="Arial" w:cs="Arial"/>
          <w:color w:val="000000" w:themeColor="text1"/>
          <w:sz w:val="20"/>
          <w:szCs w:val="20"/>
        </w:rPr>
        <w:t>the Department ha</w:t>
      </w:r>
      <w:r w:rsidR="008650F9" w:rsidRPr="009E6B3C">
        <w:rPr>
          <w:rFonts w:ascii="Arial" w:hAnsi="Arial" w:cs="Arial"/>
          <w:color w:val="000000" w:themeColor="text1"/>
          <w:sz w:val="20"/>
          <w:szCs w:val="20"/>
        </w:rPr>
        <w:t>d</w:t>
      </w:r>
      <w:r w:rsidRPr="009E6B3C">
        <w:rPr>
          <w:rFonts w:ascii="Arial" w:hAnsi="Arial" w:cs="Arial"/>
          <w:color w:val="000000" w:themeColor="text1"/>
          <w:sz w:val="20"/>
          <w:szCs w:val="20"/>
        </w:rPr>
        <w:t xml:space="preserve"> a </w:t>
      </w:r>
      <w:r w:rsidR="00E807D0" w:rsidRPr="009E6B3C">
        <w:rPr>
          <w:rFonts w:ascii="Arial" w:hAnsi="Arial" w:cs="Arial"/>
          <w:color w:val="000000" w:themeColor="text1"/>
          <w:sz w:val="20"/>
          <w:szCs w:val="20"/>
        </w:rPr>
        <w:t xml:space="preserve">new finding </w:t>
      </w:r>
      <w:r w:rsidR="008650F9" w:rsidRPr="009E6B3C">
        <w:rPr>
          <w:rFonts w:ascii="Arial" w:hAnsi="Arial" w:cs="Arial"/>
          <w:color w:val="000000" w:themeColor="text1"/>
          <w:sz w:val="20"/>
          <w:szCs w:val="20"/>
        </w:rPr>
        <w:t xml:space="preserve">concerning the </w:t>
      </w:r>
      <w:r w:rsidR="005A0920" w:rsidRPr="009E6B3C">
        <w:rPr>
          <w:rFonts w:ascii="Arial" w:hAnsi="Arial" w:cs="Arial"/>
          <w:color w:val="000000" w:themeColor="text1"/>
          <w:sz w:val="20"/>
          <w:szCs w:val="20"/>
        </w:rPr>
        <w:t>l</w:t>
      </w:r>
      <w:r w:rsidR="00EA32E9" w:rsidRPr="009E6B3C">
        <w:rPr>
          <w:rFonts w:ascii="Arial" w:hAnsi="Arial" w:cs="Arial"/>
          <w:color w:val="000000" w:themeColor="text1"/>
          <w:sz w:val="20"/>
          <w:szCs w:val="20"/>
        </w:rPr>
        <w:t>ack of consequence management</w:t>
      </w:r>
      <w:r w:rsidR="008650F9" w:rsidRPr="009E6B3C">
        <w:rPr>
          <w:rFonts w:ascii="Arial" w:hAnsi="Arial" w:cs="Arial"/>
          <w:color w:val="000000" w:themeColor="text1"/>
          <w:sz w:val="20"/>
          <w:szCs w:val="20"/>
        </w:rPr>
        <w:t>, as the A</w:t>
      </w:r>
      <w:r w:rsidR="00615202" w:rsidRPr="009E6B3C">
        <w:rPr>
          <w:rFonts w:ascii="Arial" w:hAnsi="Arial" w:cs="Arial"/>
          <w:color w:val="000000" w:themeColor="text1"/>
          <w:sz w:val="20"/>
          <w:szCs w:val="20"/>
        </w:rPr>
        <w:t>uditor-General</w:t>
      </w:r>
      <w:r w:rsidR="008650F9" w:rsidRPr="009E6B3C">
        <w:rPr>
          <w:rFonts w:ascii="Arial" w:hAnsi="Arial" w:cs="Arial"/>
          <w:color w:val="000000" w:themeColor="text1"/>
          <w:sz w:val="20"/>
          <w:szCs w:val="20"/>
        </w:rPr>
        <w:t xml:space="preserve"> </w:t>
      </w:r>
      <w:r w:rsidR="00B046FA" w:rsidRPr="009E6B3C">
        <w:rPr>
          <w:rFonts w:ascii="Arial" w:hAnsi="Arial" w:cs="Arial"/>
          <w:color w:val="000000" w:themeColor="text1"/>
          <w:sz w:val="20"/>
          <w:szCs w:val="20"/>
        </w:rPr>
        <w:t>was unable t</w:t>
      </w:r>
      <w:r w:rsidR="00966847" w:rsidRPr="009E6B3C">
        <w:rPr>
          <w:rFonts w:ascii="Arial" w:hAnsi="Arial" w:cs="Arial"/>
          <w:color w:val="000000" w:themeColor="text1"/>
          <w:sz w:val="20"/>
          <w:szCs w:val="20"/>
        </w:rPr>
        <w:t xml:space="preserve">o obtain sufficient appropriate audit evidence that disciplinary steps were taken against officials who had incurred irregular expenditure. This was due to a failure to ensure </w:t>
      </w:r>
      <w:r w:rsidR="008650F9" w:rsidRPr="009E6B3C">
        <w:rPr>
          <w:rFonts w:ascii="Arial" w:hAnsi="Arial" w:cs="Arial"/>
          <w:color w:val="000000" w:themeColor="text1"/>
          <w:sz w:val="20"/>
          <w:szCs w:val="20"/>
        </w:rPr>
        <w:t xml:space="preserve">that </w:t>
      </w:r>
      <w:r w:rsidR="00966847" w:rsidRPr="009E6B3C">
        <w:rPr>
          <w:rFonts w:ascii="Arial" w:hAnsi="Arial" w:cs="Arial"/>
          <w:color w:val="000000" w:themeColor="text1"/>
          <w:sz w:val="20"/>
          <w:szCs w:val="20"/>
        </w:rPr>
        <w:t xml:space="preserve">proper and complete records </w:t>
      </w:r>
      <w:r w:rsidR="008650F9" w:rsidRPr="009E6B3C">
        <w:rPr>
          <w:rFonts w:ascii="Arial" w:hAnsi="Arial" w:cs="Arial"/>
          <w:color w:val="000000" w:themeColor="text1"/>
          <w:sz w:val="20"/>
          <w:szCs w:val="20"/>
        </w:rPr>
        <w:t xml:space="preserve">were maintained </w:t>
      </w:r>
      <w:r w:rsidR="00966847" w:rsidRPr="009E6B3C">
        <w:rPr>
          <w:rFonts w:ascii="Arial" w:hAnsi="Arial" w:cs="Arial"/>
          <w:color w:val="000000" w:themeColor="text1"/>
          <w:sz w:val="20"/>
          <w:szCs w:val="20"/>
        </w:rPr>
        <w:t xml:space="preserve">as evidence to support the investigations into irregular expenditure. </w:t>
      </w:r>
    </w:p>
    <w:p w:rsidR="00B046FA" w:rsidRPr="009E6B3C" w:rsidRDefault="00B046FA" w:rsidP="009E6B3C">
      <w:pPr>
        <w:autoSpaceDE w:val="0"/>
        <w:autoSpaceDN w:val="0"/>
        <w:adjustRightInd w:val="0"/>
        <w:contextualSpacing/>
        <w:rPr>
          <w:rFonts w:ascii="Arial" w:eastAsia="Calibri" w:hAnsi="Arial" w:cs="Arial"/>
          <w:sz w:val="20"/>
          <w:szCs w:val="20"/>
        </w:rPr>
      </w:pPr>
    </w:p>
    <w:p w:rsidR="00CD22AF" w:rsidRPr="009E6B3C" w:rsidRDefault="00CD22AF" w:rsidP="009E6B3C">
      <w:pPr>
        <w:autoSpaceDE w:val="0"/>
        <w:autoSpaceDN w:val="0"/>
        <w:adjustRightInd w:val="0"/>
        <w:contextualSpacing/>
        <w:rPr>
          <w:rFonts w:ascii="Arial" w:eastAsia="Calibri" w:hAnsi="Arial" w:cs="Arial"/>
          <w:sz w:val="20"/>
          <w:szCs w:val="20"/>
        </w:rPr>
      </w:pPr>
      <w:r w:rsidRPr="009E6B3C">
        <w:rPr>
          <w:rFonts w:ascii="Arial" w:eastAsia="Calibri" w:hAnsi="Arial" w:cs="Arial"/>
          <w:sz w:val="20"/>
          <w:szCs w:val="20"/>
        </w:rPr>
        <w:t xml:space="preserve">The Committee has expressed itself very strongly on the need for consequence management in the past and the finding, therefore, is egregious. </w:t>
      </w:r>
    </w:p>
    <w:p w:rsidR="00CD22AF" w:rsidRPr="009E6B3C" w:rsidRDefault="00CD22AF" w:rsidP="009E6B3C">
      <w:pPr>
        <w:autoSpaceDE w:val="0"/>
        <w:autoSpaceDN w:val="0"/>
        <w:adjustRightInd w:val="0"/>
        <w:contextualSpacing/>
        <w:rPr>
          <w:rFonts w:ascii="Arial" w:eastAsia="Calibri" w:hAnsi="Arial" w:cs="Arial"/>
          <w:sz w:val="20"/>
          <w:szCs w:val="20"/>
        </w:rPr>
      </w:pPr>
    </w:p>
    <w:p w:rsidR="00CD22AF" w:rsidRPr="009E6B3C" w:rsidRDefault="00CD22AF" w:rsidP="009E6B3C">
      <w:pPr>
        <w:autoSpaceDE w:val="0"/>
        <w:autoSpaceDN w:val="0"/>
        <w:adjustRightInd w:val="0"/>
        <w:contextualSpacing/>
        <w:rPr>
          <w:rFonts w:ascii="Arial" w:eastAsia="Calibri" w:hAnsi="Arial" w:cs="Arial"/>
          <w:sz w:val="20"/>
          <w:szCs w:val="20"/>
        </w:rPr>
      </w:pPr>
      <w:r w:rsidRPr="009E6B3C">
        <w:rPr>
          <w:rFonts w:ascii="Arial" w:eastAsia="Calibri" w:hAnsi="Arial" w:cs="Arial"/>
          <w:sz w:val="20"/>
          <w:szCs w:val="20"/>
        </w:rPr>
        <w:t xml:space="preserve">We, therefore, request more information, in writing, before </w:t>
      </w:r>
      <w:r w:rsidR="00B62E7D" w:rsidRPr="009E6B3C">
        <w:rPr>
          <w:rFonts w:ascii="Arial" w:eastAsia="Calibri" w:hAnsi="Arial" w:cs="Arial"/>
          <w:sz w:val="20"/>
          <w:szCs w:val="20"/>
        </w:rPr>
        <w:t>31 January 2023</w:t>
      </w:r>
      <w:r w:rsidRPr="009E6B3C">
        <w:rPr>
          <w:rFonts w:ascii="Arial" w:eastAsia="Calibri" w:hAnsi="Arial" w:cs="Arial"/>
          <w:sz w:val="20"/>
          <w:szCs w:val="20"/>
        </w:rPr>
        <w:t>, concerning the following:</w:t>
      </w:r>
    </w:p>
    <w:p w:rsidR="00CD22AF" w:rsidRPr="009E6B3C" w:rsidRDefault="00CD22AF" w:rsidP="009E6B3C">
      <w:pPr>
        <w:pStyle w:val="ListParagraph"/>
        <w:numPr>
          <w:ilvl w:val="0"/>
          <w:numId w:val="40"/>
        </w:numPr>
        <w:autoSpaceDE w:val="0"/>
        <w:autoSpaceDN w:val="0"/>
        <w:adjustRightInd w:val="0"/>
        <w:contextualSpacing/>
        <w:rPr>
          <w:rFonts w:ascii="Arial" w:eastAsia="Calibri" w:hAnsi="Arial" w:cs="Arial"/>
          <w:sz w:val="20"/>
          <w:szCs w:val="20"/>
        </w:rPr>
      </w:pPr>
      <w:r w:rsidRPr="009E6B3C">
        <w:rPr>
          <w:rFonts w:ascii="Arial" w:eastAsia="Calibri" w:hAnsi="Arial" w:cs="Arial"/>
          <w:sz w:val="20"/>
          <w:szCs w:val="20"/>
        </w:rPr>
        <w:t>The steps that the Department is taking to address the root causes of and prevent the re-occurrence of irregular expenditure.</w:t>
      </w:r>
    </w:p>
    <w:p w:rsidR="00CD22AF" w:rsidRPr="009E6B3C" w:rsidRDefault="00CD22AF" w:rsidP="009E6B3C">
      <w:pPr>
        <w:pStyle w:val="ListParagraph"/>
        <w:numPr>
          <w:ilvl w:val="0"/>
          <w:numId w:val="40"/>
        </w:numPr>
        <w:autoSpaceDE w:val="0"/>
        <w:autoSpaceDN w:val="0"/>
        <w:adjustRightInd w:val="0"/>
        <w:contextualSpacing/>
        <w:rPr>
          <w:rFonts w:ascii="Arial" w:eastAsia="Calibri" w:hAnsi="Arial" w:cs="Arial"/>
          <w:sz w:val="20"/>
          <w:szCs w:val="20"/>
        </w:rPr>
      </w:pPr>
      <w:r w:rsidRPr="009E6B3C">
        <w:rPr>
          <w:rFonts w:ascii="Arial" w:eastAsia="Calibri" w:hAnsi="Arial" w:cs="Arial"/>
          <w:sz w:val="20"/>
          <w:szCs w:val="20"/>
        </w:rPr>
        <w:t>The steps that the Department is taking to improve its record-keeping so as to avoid a repeat finding by the Auditor-General on the lack of consequence management.</w:t>
      </w:r>
    </w:p>
    <w:p w:rsidR="00CD22AF" w:rsidRPr="009E6B3C" w:rsidRDefault="00CD22AF" w:rsidP="009E6B3C">
      <w:pPr>
        <w:pStyle w:val="ListParagraph"/>
        <w:numPr>
          <w:ilvl w:val="0"/>
          <w:numId w:val="40"/>
        </w:numPr>
        <w:autoSpaceDE w:val="0"/>
        <w:autoSpaceDN w:val="0"/>
        <w:adjustRightInd w:val="0"/>
        <w:contextualSpacing/>
        <w:rPr>
          <w:rFonts w:ascii="Arial" w:eastAsia="Calibri" w:hAnsi="Arial" w:cs="Arial"/>
          <w:sz w:val="20"/>
          <w:szCs w:val="20"/>
        </w:rPr>
      </w:pPr>
      <w:r w:rsidRPr="009E6B3C">
        <w:rPr>
          <w:rFonts w:ascii="Arial" w:eastAsia="Calibri" w:hAnsi="Arial" w:cs="Arial"/>
          <w:sz w:val="20"/>
          <w:szCs w:val="20"/>
        </w:rPr>
        <w:t>The progress of the nine cases under investigation by forensic auditors for possible fraud and corruption.</w:t>
      </w:r>
    </w:p>
    <w:p w:rsidR="00CD22AF" w:rsidRPr="009E6B3C" w:rsidRDefault="00CD22AF" w:rsidP="009E6B3C">
      <w:pPr>
        <w:pStyle w:val="ListParagraph"/>
        <w:numPr>
          <w:ilvl w:val="0"/>
          <w:numId w:val="40"/>
        </w:numPr>
        <w:autoSpaceDE w:val="0"/>
        <w:autoSpaceDN w:val="0"/>
        <w:adjustRightInd w:val="0"/>
        <w:contextualSpacing/>
        <w:rPr>
          <w:rFonts w:ascii="Arial" w:eastAsia="Calibri" w:hAnsi="Arial" w:cs="Arial"/>
          <w:sz w:val="20"/>
          <w:szCs w:val="20"/>
        </w:rPr>
      </w:pPr>
      <w:r w:rsidRPr="009E6B3C">
        <w:rPr>
          <w:rFonts w:ascii="Arial" w:eastAsia="Calibri" w:hAnsi="Arial" w:cs="Arial"/>
          <w:sz w:val="20"/>
          <w:szCs w:val="20"/>
        </w:rPr>
        <w:t>The progress of the cases involving irregular expenditure that were referred for disciplinary action.</w:t>
      </w:r>
    </w:p>
    <w:p w:rsidR="00CD22AF" w:rsidRPr="009E6B3C" w:rsidRDefault="00CD22AF" w:rsidP="009E6B3C">
      <w:pPr>
        <w:autoSpaceDE w:val="0"/>
        <w:autoSpaceDN w:val="0"/>
        <w:adjustRightInd w:val="0"/>
        <w:contextualSpacing/>
        <w:rPr>
          <w:rFonts w:ascii="Arial" w:eastAsia="Calibri" w:hAnsi="Arial" w:cs="Arial"/>
          <w:sz w:val="20"/>
          <w:szCs w:val="20"/>
        </w:rPr>
      </w:pPr>
    </w:p>
    <w:p w:rsidR="00CD22AF" w:rsidRPr="009E6B3C" w:rsidRDefault="00CD22AF" w:rsidP="009E6B3C">
      <w:pPr>
        <w:autoSpaceDE w:val="0"/>
        <w:autoSpaceDN w:val="0"/>
        <w:adjustRightInd w:val="0"/>
        <w:contextualSpacing/>
        <w:rPr>
          <w:rFonts w:ascii="Arial" w:eastAsia="Calibri" w:hAnsi="Arial" w:cs="Arial"/>
          <w:sz w:val="20"/>
          <w:szCs w:val="20"/>
        </w:rPr>
      </w:pPr>
      <w:r w:rsidRPr="009E6B3C">
        <w:rPr>
          <w:rFonts w:ascii="Arial" w:eastAsia="Calibri" w:hAnsi="Arial" w:cs="Arial"/>
          <w:sz w:val="20"/>
          <w:szCs w:val="20"/>
        </w:rPr>
        <w:t>Further, o</w:t>
      </w:r>
      <w:r w:rsidR="00E5501A" w:rsidRPr="009E6B3C">
        <w:rPr>
          <w:rFonts w:ascii="Arial" w:eastAsia="Calibri" w:hAnsi="Arial" w:cs="Arial"/>
          <w:sz w:val="20"/>
          <w:szCs w:val="20"/>
        </w:rPr>
        <w:t>n the issue of consequence management, we note that disciplinary proceedings were instituted in 2020/21 and continued into 2021/22</w:t>
      </w:r>
      <w:r w:rsidRPr="009E6B3C">
        <w:rPr>
          <w:rFonts w:ascii="Arial" w:eastAsia="Calibri" w:hAnsi="Arial" w:cs="Arial"/>
          <w:sz w:val="20"/>
          <w:szCs w:val="20"/>
        </w:rPr>
        <w:t>,</w:t>
      </w:r>
      <w:r w:rsidR="00E5501A" w:rsidRPr="009E6B3C">
        <w:rPr>
          <w:rFonts w:ascii="Arial" w:eastAsia="Calibri" w:hAnsi="Arial" w:cs="Arial"/>
          <w:sz w:val="20"/>
          <w:szCs w:val="20"/>
        </w:rPr>
        <w:t xml:space="preserve"> following investigations</w:t>
      </w:r>
      <w:r w:rsidRPr="009E6B3C">
        <w:rPr>
          <w:rFonts w:ascii="Arial" w:eastAsia="Calibri" w:hAnsi="Arial" w:cs="Arial"/>
          <w:sz w:val="20"/>
          <w:szCs w:val="20"/>
        </w:rPr>
        <w:t xml:space="preserve"> </w:t>
      </w:r>
      <w:r w:rsidR="00E5501A" w:rsidRPr="009E6B3C">
        <w:rPr>
          <w:rFonts w:ascii="Arial" w:eastAsia="Calibri" w:hAnsi="Arial" w:cs="Arial"/>
          <w:sz w:val="20"/>
          <w:szCs w:val="20"/>
        </w:rPr>
        <w:t>into allegations of possible procurement irregularities in the risk and security environment</w:t>
      </w:r>
      <w:r w:rsidRPr="009E6B3C">
        <w:rPr>
          <w:rFonts w:ascii="Arial" w:eastAsia="Calibri" w:hAnsi="Arial" w:cs="Arial"/>
          <w:sz w:val="20"/>
          <w:szCs w:val="20"/>
        </w:rPr>
        <w:t>. However, d</w:t>
      </w:r>
      <w:r w:rsidR="00E5501A" w:rsidRPr="009E6B3C">
        <w:rPr>
          <w:rFonts w:ascii="Arial" w:eastAsia="Calibri" w:hAnsi="Arial" w:cs="Arial"/>
          <w:sz w:val="20"/>
          <w:szCs w:val="20"/>
        </w:rPr>
        <w:t>uring the course of the proceedings, the individuals resigned and the reports were finalised</w:t>
      </w:r>
      <w:r w:rsidRPr="009E6B3C">
        <w:rPr>
          <w:rFonts w:ascii="Arial" w:eastAsia="Calibri" w:hAnsi="Arial" w:cs="Arial"/>
          <w:sz w:val="20"/>
          <w:szCs w:val="20"/>
        </w:rPr>
        <w:t xml:space="preserve">. </w:t>
      </w:r>
      <w:r w:rsidR="008650F9" w:rsidRPr="009E6B3C">
        <w:rPr>
          <w:rFonts w:ascii="Arial" w:eastAsia="Calibri" w:hAnsi="Arial" w:cs="Arial"/>
          <w:sz w:val="20"/>
          <w:szCs w:val="20"/>
        </w:rPr>
        <w:t>W</w:t>
      </w:r>
      <w:r w:rsidRPr="009E6B3C">
        <w:rPr>
          <w:rFonts w:ascii="Arial" w:eastAsia="Calibri" w:hAnsi="Arial" w:cs="Arial"/>
          <w:sz w:val="20"/>
          <w:szCs w:val="20"/>
        </w:rPr>
        <w:t>e are unclear whether the impugned officials have faced any further action and, therefore, request that the Department clarifies this</w:t>
      </w:r>
      <w:r w:rsidR="005165F1" w:rsidRPr="009E6B3C">
        <w:rPr>
          <w:rFonts w:ascii="Arial" w:eastAsia="Calibri" w:hAnsi="Arial" w:cs="Arial"/>
          <w:sz w:val="20"/>
          <w:szCs w:val="20"/>
        </w:rPr>
        <w:t xml:space="preserve">, in writing, before </w:t>
      </w:r>
      <w:r w:rsidR="00B62E7D" w:rsidRPr="009E6B3C">
        <w:rPr>
          <w:rFonts w:ascii="Arial" w:eastAsia="Calibri" w:hAnsi="Arial" w:cs="Arial"/>
          <w:sz w:val="20"/>
          <w:szCs w:val="20"/>
        </w:rPr>
        <w:t>31 January 2023</w:t>
      </w:r>
      <w:r w:rsidRPr="009E6B3C">
        <w:rPr>
          <w:rFonts w:ascii="Arial" w:eastAsia="Calibri" w:hAnsi="Arial" w:cs="Arial"/>
          <w:sz w:val="20"/>
          <w:szCs w:val="20"/>
        </w:rPr>
        <w:t xml:space="preserve">. </w:t>
      </w:r>
    </w:p>
    <w:p w:rsidR="00CD22AF" w:rsidRPr="009E6B3C" w:rsidRDefault="00CD22AF" w:rsidP="009E6B3C">
      <w:pPr>
        <w:autoSpaceDE w:val="0"/>
        <w:autoSpaceDN w:val="0"/>
        <w:adjustRightInd w:val="0"/>
        <w:contextualSpacing/>
        <w:rPr>
          <w:rFonts w:ascii="Arial" w:eastAsia="Calibri" w:hAnsi="Arial" w:cs="Arial"/>
          <w:b/>
          <w:sz w:val="20"/>
          <w:szCs w:val="20"/>
        </w:rPr>
      </w:pPr>
    </w:p>
    <w:p w:rsidR="00BC2B41" w:rsidRPr="009E6B3C" w:rsidRDefault="00667BE5" w:rsidP="009E6B3C">
      <w:pPr>
        <w:pStyle w:val="ListParagraph"/>
        <w:numPr>
          <w:ilvl w:val="1"/>
          <w:numId w:val="1"/>
        </w:numPr>
        <w:ind w:left="851" w:hanging="851"/>
        <w:rPr>
          <w:rFonts w:ascii="Arial" w:hAnsi="Arial" w:cs="Arial"/>
          <w:color w:val="000000" w:themeColor="text1"/>
          <w:sz w:val="20"/>
          <w:szCs w:val="20"/>
        </w:rPr>
      </w:pPr>
      <w:r w:rsidRPr="009E6B3C">
        <w:rPr>
          <w:rFonts w:ascii="Arial" w:hAnsi="Arial" w:cs="Arial"/>
          <w:b/>
          <w:i/>
          <w:color w:val="000000" w:themeColor="text1"/>
          <w:sz w:val="20"/>
          <w:szCs w:val="20"/>
        </w:rPr>
        <w:t xml:space="preserve">Vulnerability, procurement challenges </w:t>
      </w:r>
      <w:r w:rsidR="008722C8" w:rsidRPr="009E6B3C">
        <w:rPr>
          <w:rFonts w:ascii="Arial" w:hAnsi="Arial" w:cs="Arial"/>
          <w:b/>
          <w:i/>
          <w:color w:val="000000" w:themeColor="text1"/>
          <w:sz w:val="20"/>
          <w:szCs w:val="20"/>
        </w:rPr>
        <w:t xml:space="preserve">and </w:t>
      </w:r>
      <w:r w:rsidRPr="009E6B3C">
        <w:rPr>
          <w:rFonts w:ascii="Arial" w:hAnsi="Arial" w:cs="Arial"/>
          <w:b/>
          <w:i/>
          <w:color w:val="000000" w:themeColor="text1"/>
          <w:sz w:val="20"/>
          <w:szCs w:val="20"/>
        </w:rPr>
        <w:t xml:space="preserve">lack of </w:t>
      </w:r>
      <w:r w:rsidR="008722C8" w:rsidRPr="009E6B3C">
        <w:rPr>
          <w:rFonts w:ascii="Arial" w:hAnsi="Arial" w:cs="Arial"/>
          <w:b/>
          <w:i/>
          <w:color w:val="000000" w:themeColor="text1"/>
          <w:sz w:val="20"/>
          <w:szCs w:val="20"/>
        </w:rPr>
        <w:t>internal capacity</w:t>
      </w:r>
      <w:r w:rsidRPr="009E6B3C">
        <w:rPr>
          <w:rFonts w:ascii="Arial" w:hAnsi="Arial" w:cs="Arial"/>
          <w:b/>
          <w:i/>
          <w:color w:val="000000" w:themeColor="text1"/>
          <w:sz w:val="20"/>
          <w:szCs w:val="20"/>
        </w:rPr>
        <w:t xml:space="preserve"> in the ICT environment</w:t>
      </w:r>
    </w:p>
    <w:p w:rsidR="00BC2B41" w:rsidRPr="009E6B3C" w:rsidRDefault="00BC2B41" w:rsidP="009E6B3C">
      <w:pPr>
        <w:rPr>
          <w:rFonts w:ascii="Arial" w:hAnsi="Arial" w:cs="Arial"/>
          <w:color w:val="000000" w:themeColor="text1"/>
          <w:sz w:val="20"/>
          <w:szCs w:val="20"/>
        </w:rPr>
      </w:pPr>
    </w:p>
    <w:p w:rsidR="00DD6837" w:rsidRPr="009E6B3C" w:rsidRDefault="00C73C80" w:rsidP="009E6B3C">
      <w:pPr>
        <w:rPr>
          <w:rFonts w:ascii="Arial" w:eastAsiaTheme="minorEastAsia" w:hAnsi="Arial" w:cs="Arial"/>
          <w:color w:val="000000"/>
          <w:kern w:val="24"/>
          <w:sz w:val="20"/>
          <w:szCs w:val="20"/>
          <w:lang w:val="en-US" w:eastAsia="en-ZA"/>
        </w:rPr>
      </w:pPr>
      <w:r w:rsidRPr="009E6B3C">
        <w:rPr>
          <w:rFonts w:ascii="Arial" w:hAnsi="Arial" w:cs="Arial"/>
          <w:color w:val="000000" w:themeColor="text1"/>
          <w:sz w:val="20"/>
          <w:szCs w:val="20"/>
        </w:rPr>
        <w:t xml:space="preserve">We have responded previously </w:t>
      </w:r>
      <w:r w:rsidR="00667BE5" w:rsidRPr="009E6B3C">
        <w:rPr>
          <w:rFonts w:ascii="Arial" w:hAnsi="Arial" w:cs="Arial"/>
          <w:color w:val="000000" w:themeColor="text1"/>
          <w:sz w:val="20"/>
          <w:szCs w:val="20"/>
        </w:rPr>
        <w:t xml:space="preserve">regarding </w:t>
      </w:r>
      <w:r w:rsidRPr="009E6B3C">
        <w:rPr>
          <w:rFonts w:ascii="Arial" w:hAnsi="Arial" w:cs="Arial"/>
          <w:color w:val="000000" w:themeColor="text1"/>
          <w:sz w:val="20"/>
          <w:szCs w:val="20"/>
        </w:rPr>
        <w:t xml:space="preserve">the cyber-attack </w:t>
      </w:r>
      <w:r w:rsidR="005A7913" w:rsidRPr="009E6B3C">
        <w:rPr>
          <w:rFonts w:ascii="Arial" w:hAnsi="Arial" w:cs="Arial"/>
          <w:color w:val="000000" w:themeColor="text1"/>
          <w:sz w:val="20"/>
          <w:szCs w:val="20"/>
        </w:rPr>
        <w:t>that</w:t>
      </w:r>
      <w:r w:rsidRPr="009E6B3C">
        <w:rPr>
          <w:rFonts w:ascii="Arial" w:hAnsi="Arial" w:cs="Arial"/>
          <w:color w:val="000000" w:themeColor="text1"/>
          <w:sz w:val="20"/>
          <w:szCs w:val="20"/>
        </w:rPr>
        <w:t xml:space="preserve"> the Department experienced </w:t>
      </w:r>
      <w:r w:rsidR="005A7913" w:rsidRPr="009E6B3C">
        <w:rPr>
          <w:rFonts w:ascii="Arial" w:hAnsi="Arial" w:cs="Arial"/>
          <w:color w:val="000000" w:themeColor="text1"/>
          <w:sz w:val="20"/>
          <w:szCs w:val="20"/>
        </w:rPr>
        <w:t>i</w:t>
      </w:r>
      <w:r w:rsidR="00CE4DB0" w:rsidRPr="009E6B3C">
        <w:rPr>
          <w:rFonts w:ascii="Arial" w:hAnsi="Arial" w:cs="Arial"/>
          <w:color w:val="000000" w:themeColor="text1"/>
          <w:sz w:val="20"/>
          <w:szCs w:val="20"/>
        </w:rPr>
        <w:t>n September 2021</w:t>
      </w:r>
      <w:r w:rsidRPr="009E6B3C">
        <w:rPr>
          <w:rFonts w:ascii="Arial" w:hAnsi="Arial" w:cs="Arial"/>
          <w:color w:val="000000" w:themeColor="text1"/>
          <w:sz w:val="20"/>
          <w:szCs w:val="20"/>
        </w:rPr>
        <w:t xml:space="preserve">. The attack </w:t>
      </w:r>
      <w:r w:rsidR="00CE4DB0" w:rsidRPr="009E6B3C">
        <w:rPr>
          <w:rFonts w:ascii="Arial" w:hAnsi="Arial" w:cs="Arial"/>
          <w:color w:val="000000" w:themeColor="text1"/>
          <w:sz w:val="20"/>
          <w:szCs w:val="20"/>
        </w:rPr>
        <w:t>exposed the weaknesses of the Department’s aging I</w:t>
      </w:r>
      <w:r w:rsidR="005165F1" w:rsidRPr="009E6B3C">
        <w:rPr>
          <w:rFonts w:ascii="Arial" w:hAnsi="Arial" w:cs="Arial"/>
          <w:color w:val="000000" w:themeColor="text1"/>
          <w:sz w:val="20"/>
          <w:szCs w:val="20"/>
        </w:rPr>
        <w:t>C</w:t>
      </w:r>
      <w:r w:rsidR="00CE4DB0" w:rsidRPr="009E6B3C">
        <w:rPr>
          <w:rFonts w:ascii="Arial" w:hAnsi="Arial" w:cs="Arial"/>
          <w:color w:val="000000" w:themeColor="text1"/>
          <w:sz w:val="20"/>
          <w:szCs w:val="20"/>
        </w:rPr>
        <w:t>T infrastructure</w:t>
      </w:r>
      <w:r w:rsidRPr="009E6B3C">
        <w:rPr>
          <w:rFonts w:ascii="Arial" w:hAnsi="Arial" w:cs="Arial"/>
          <w:color w:val="000000" w:themeColor="text1"/>
          <w:sz w:val="20"/>
          <w:szCs w:val="20"/>
        </w:rPr>
        <w:t xml:space="preserve"> and </w:t>
      </w:r>
      <w:r w:rsidR="00CE4DB0" w:rsidRPr="009E6B3C">
        <w:rPr>
          <w:rFonts w:ascii="Arial" w:hAnsi="Arial" w:cs="Arial"/>
          <w:color w:val="000000" w:themeColor="text1"/>
          <w:sz w:val="20"/>
          <w:szCs w:val="20"/>
        </w:rPr>
        <w:t>impacted negatively on systems across the Justice portfolio, as well as the delivery of services enabled by technology</w:t>
      </w:r>
      <w:r w:rsidRPr="009E6B3C">
        <w:rPr>
          <w:rFonts w:ascii="Arial" w:hAnsi="Arial" w:cs="Arial"/>
          <w:color w:val="000000" w:themeColor="text1"/>
          <w:sz w:val="20"/>
          <w:szCs w:val="20"/>
        </w:rPr>
        <w:t xml:space="preserve">, and delayed the rollout of the Department’s modernisation programme. </w:t>
      </w:r>
      <w:r w:rsidR="008650F9" w:rsidRPr="009E6B3C">
        <w:rPr>
          <w:rFonts w:ascii="Arial" w:hAnsi="Arial" w:cs="Arial"/>
          <w:color w:val="000000" w:themeColor="text1"/>
          <w:sz w:val="20"/>
          <w:szCs w:val="20"/>
        </w:rPr>
        <w:t>T</w:t>
      </w:r>
      <w:r w:rsidRPr="009E6B3C">
        <w:rPr>
          <w:rFonts w:ascii="Arial" w:hAnsi="Arial" w:cs="Arial"/>
          <w:color w:val="000000" w:themeColor="text1"/>
          <w:sz w:val="20"/>
          <w:szCs w:val="20"/>
        </w:rPr>
        <w:t xml:space="preserve">he attack necessitated the revision of several of the </w:t>
      </w:r>
      <w:r w:rsidR="00CE4DB0" w:rsidRPr="009E6B3C">
        <w:rPr>
          <w:rFonts w:ascii="Arial" w:hAnsi="Arial" w:cs="Arial"/>
          <w:color w:val="000000" w:themeColor="text1"/>
          <w:sz w:val="20"/>
          <w:szCs w:val="20"/>
        </w:rPr>
        <w:t xml:space="preserve">Department’s </w:t>
      </w:r>
      <w:r w:rsidRPr="009E6B3C">
        <w:rPr>
          <w:rFonts w:ascii="Arial" w:hAnsi="Arial" w:cs="Arial"/>
          <w:color w:val="000000" w:themeColor="text1"/>
          <w:sz w:val="20"/>
          <w:szCs w:val="20"/>
        </w:rPr>
        <w:t>indicators and targets.</w:t>
      </w:r>
      <w:r w:rsidR="00CE4DB0" w:rsidRPr="009E6B3C">
        <w:rPr>
          <w:rFonts w:ascii="Arial" w:hAnsi="Arial" w:cs="Arial"/>
          <w:color w:val="000000" w:themeColor="text1"/>
          <w:sz w:val="20"/>
          <w:szCs w:val="20"/>
        </w:rPr>
        <w:t xml:space="preserve"> </w:t>
      </w:r>
      <w:r w:rsidR="00DD6837" w:rsidRPr="009E6B3C">
        <w:rPr>
          <w:rFonts w:ascii="Arial" w:hAnsi="Arial" w:cs="Arial"/>
          <w:color w:val="000000" w:themeColor="text1"/>
          <w:sz w:val="20"/>
          <w:szCs w:val="20"/>
        </w:rPr>
        <w:t>The Department has reported that it is in the process of rebuilding the ICT infrastructure</w:t>
      </w:r>
      <w:r w:rsidRPr="009E6B3C">
        <w:rPr>
          <w:rFonts w:ascii="Arial" w:hAnsi="Arial" w:cs="Arial"/>
          <w:color w:val="000000" w:themeColor="text1"/>
          <w:sz w:val="20"/>
          <w:szCs w:val="20"/>
        </w:rPr>
        <w:t xml:space="preserve"> from scratch</w:t>
      </w:r>
      <w:r w:rsidR="00DD6837" w:rsidRPr="009E6B3C">
        <w:rPr>
          <w:rFonts w:ascii="Arial" w:hAnsi="Arial" w:cs="Arial"/>
          <w:color w:val="000000" w:themeColor="text1"/>
          <w:sz w:val="20"/>
          <w:szCs w:val="20"/>
        </w:rPr>
        <w:t xml:space="preserve">. However, </w:t>
      </w:r>
      <w:r w:rsidR="00667BE5" w:rsidRPr="009E6B3C">
        <w:rPr>
          <w:rFonts w:ascii="Arial" w:hAnsi="Arial" w:cs="Arial"/>
          <w:color w:val="000000" w:themeColor="text1"/>
          <w:sz w:val="20"/>
          <w:szCs w:val="20"/>
        </w:rPr>
        <w:t>the Department report</w:t>
      </w:r>
      <w:r w:rsidR="00615202" w:rsidRPr="009E6B3C">
        <w:rPr>
          <w:rFonts w:ascii="Arial" w:hAnsi="Arial" w:cs="Arial"/>
          <w:color w:val="000000" w:themeColor="text1"/>
          <w:sz w:val="20"/>
          <w:szCs w:val="20"/>
        </w:rPr>
        <w:t>ed</w:t>
      </w:r>
      <w:r w:rsidR="00667BE5" w:rsidRPr="009E6B3C">
        <w:rPr>
          <w:rFonts w:ascii="Arial" w:hAnsi="Arial" w:cs="Arial"/>
          <w:color w:val="000000" w:themeColor="text1"/>
          <w:sz w:val="20"/>
          <w:szCs w:val="20"/>
        </w:rPr>
        <w:t xml:space="preserve"> </w:t>
      </w:r>
      <w:r w:rsidR="00DD6837" w:rsidRPr="009E6B3C">
        <w:rPr>
          <w:rFonts w:ascii="Arial" w:hAnsi="Arial" w:cs="Arial"/>
          <w:color w:val="000000" w:themeColor="text1"/>
          <w:sz w:val="20"/>
          <w:szCs w:val="20"/>
        </w:rPr>
        <w:t xml:space="preserve">delays </w:t>
      </w:r>
      <w:r w:rsidR="00DD6837" w:rsidRPr="009E6B3C">
        <w:rPr>
          <w:rFonts w:ascii="Arial" w:eastAsiaTheme="minorEastAsia" w:hAnsi="Arial" w:cs="Arial"/>
          <w:color w:val="000000"/>
          <w:kern w:val="24"/>
          <w:sz w:val="20"/>
          <w:szCs w:val="20"/>
          <w:lang w:val="en-US" w:eastAsia="en-ZA"/>
        </w:rPr>
        <w:t>in awarding the procurement of ICT licenses (Citrix and Trend) and ICT Services (ICT Central Support, Service Desk and Security Support Services)</w:t>
      </w:r>
      <w:r w:rsidR="00615202" w:rsidRPr="009E6B3C">
        <w:rPr>
          <w:rFonts w:ascii="Arial" w:eastAsiaTheme="minorEastAsia" w:hAnsi="Arial" w:cs="Arial"/>
          <w:color w:val="000000"/>
          <w:kern w:val="24"/>
          <w:sz w:val="20"/>
          <w:szCs w:val="20"/>
          <w:lang w:val="en-US" w:eastAsia="en-ZA"/>
        </w:rPr>
        <w:t xml:space="preserve">, which were concerning </w:t>
      </w:r>
      <w:r w:rsidR="00DD6837" w:rsidRPr="009E6B3C">
        <w:rPr>
          <w:rFonts w:ascii="Arial" w:eastAsiaTheme="minorEastAsia" w:hAnsi="Arial" w:cs="Arial"/>
          <w:color w:val="000000"/>
          <w:kern w:val="24"/>
          <w:sz w:val="20"/>
          <w:szCs w:val="20"/>
          <w:lang w:val="en-US" w:eastAsia="en-ZA"/>
        </w:rPr>
        <w:t xml:space="preserve">attributed to </w:t>
      </w:r>
      <w:r w:rsidR="00DD6837" w:rsidRPr="009E6B3C">
        <w:rPr>
          <w:rFonts w:ascii="Arial" w:hAnsi="Arial" w:cs="Arial"/>
          <w:color w:val="000000" w:themeColor="text1"/>
          <w:sz w:val="20"/>
          <w:szCs w:val="20"/>
        </w:rPr>
        <w:t xml:space="preserve">internal </w:t>
      </w:r>
      <w:r w:rsidR="00667BE5" w:rsidRPr="009E6B3C">
        <w:rPr>
          <w:rFonts w:ascii="Arial" w:hAnsi="Arial" w:cs="Arial"/>
          <w:color w:val="000000" w:themeColor="text1"/>
          <w:sz w:val="20"/>
          <w:szCs w:val="20"/>
        </w:rPr>
        <w:t xml:space="preserve">difficulties in </w:t>
      </w:r>
      <w:r w:rsidR="00DD6837" w:rsidRPr="009E6B3C">
        <w:rPr>
          <w:rFonts w:ascii="Arial" w:hAnsi="Arial" w:cs="Arial"/>
          <w:color w:val="000000" w:themeColor="text1"/>
          <w:sz w:val="20"/>
          <w:szCs w:val="20"/>
        </w:rPr>
        <w:t xml:space="preserve">assembling a Specifications Committee responsible for taking decisions on the procurement of ICT software licenses and services. </w:t>
      </w:r>
    </w:p>
    <w:p w:rsidR="00DD6837" w:rsidRPr="009E6B3C" w:rsidRDefault="00DD6837" w:rsidP="009E6B3C">
      <w:pPr>
        <w:rPr>
          <w:rFonts w:ascii="Arial" w:eastAsiaTheme="minorEastAsia" w:hAnsi="Arial" w:cs="Arial"/>
          <w:color w:val="000000"/>
          <w:kern w:val="24"/>
          <w:sz w:val="20"/>
          <w:szCs w:val="20"/>
          <w:lang w:val="en-US" w:eastAsia="en-ZA"/>
        </w:rPr>
      </w:pPr>
    </w:p>
    <w:p w:rsidR="005A7913" w:rsidRPr="009E6B3C" w:rsidRDefault="005A7913" w:rsidP="009E6B3C">
      <w:pPr>
        <w:rPr>
          <w:rFonts w:ascii="Arial" w:hAnsi="Arial" w:cs="Arial"/>
          <w:color w:val="000000" w:themeColor="text1"/>
          <w:sz w:val="20"/>
          <w:szCs w:val="20"/>
        </w:rPr>
      </w:pPr>
      <w:r w:rsidRPr="009E6B3C">
        <w:rPr>
          <w:rFonts w:ascii="Arial" w:hAnsi="Arial" w:cs="Arial"/>
          <w:color w:val="000000" w:themeColor="text1"/>
          <w:sz w:val="20"/>
          <w:szCs w:val="20"/>
        </w:rPr>
        <w:t>Regarding the Department’s vulnerability to attack, w</w:t>
      </w:r>
      <w:r w:rsidR="008A0FDC" w:rsidRPr="009E6B3C">
        <w:rPr>
          <w:rFonts w:ascii="Arial" w:hAnsi="Arial" w:cs="Arial"/>
          <w:color w:val="000000" w:themeColor="text1"/>
          <w:sz w:val="20"/>
          <w:szCs w:val="20"/>
        </w:rPr>
        <w:t>e note that t</w:t>
      </w:r>
      <w:r w:rsidR="00CE4DB0" w:rsidRPr="009E6B3C">
        <w:rPr>
          <w:rFonts w:ascii="Arial" w:hAnsi="Arial" w:cs="Arial"/>
          <w:color w:val="000000" w:themeColor="text1"/>
          <w:sz w:val="20"/>
          <w:szCs w:val="20"/>
        </w:rPr>
        <w:t>he A</w:t>
      </w:r>
      <w:r w:rsidR="00615202" w:rsidRPr="009E6B3C">
        <w:rPr>
          <w:rFonts w:ascii="Arial" w:hAnsi="Arial" w:cs="Arial"/>
          <w:color w:val="000000" w:themeColor="text1"/>
          <w:sz w:val="20"/>
          <w:szCs w:val="20"/>
        </w:rPr>
        <w:t xml:space="preserve">uditor-General </w:t>
      </w:r>
      <w:r w:rsidR="00DD6837" w:rsidRPr="009E6B3C">
        <w:rPr>
          <w:rFonts w:ascii="Arial" w:hAnsi="Arial" w:cs="Arial"/>
          <w:color w:val="000000" w:themeColor="text1"/>
          <w:sz w:val="20"/>
          <w:szCs w:val="20"/>
        </w:rPr>
        <w:t xml:space="preserve">has </w:t>
      </w:r>
      <w:r w:rsidR="00CE4DB0" w:rsidRPr="009E6B3C">
        <w:rPr>
          <w:rFonts w:ascii="Arial" w:hAnsi="Arial" w:cs="Arial"/>
          <w:color w:val="000000" w:themeColor="text1"/>
          <w:sz w:val="20"/>
          <w:szCs w:val="20"/>
        </w:rPr>
        <w:t xml:space="preserve">identified poor management of the IT control environment as a </w:t>
      </w:r>
      <w:r w:rsidRPr="009E6B3C">
        <w:rPr>
          <w:rFonts w:ascii="Arial" w:hAnsi="Arial" w:cs="Arial"/>
          <w:color w:val="000000" w:themeColor="text1"/>
          <w:sz w:val="20"/>
          <w:szCs w:val="20"/>
        </w:rPr>
        <w:t>contributing factor.</w:t>
      </w:r>
      <w:r w:rsidR="00CE4DB0" w:rsidRPr="009E6B3C">
        <w:rPr>
          <w:rFonts w:ascii="Arial" w:hAnsi="Arial" w:cs="Arial"/>
          <w:color w:val="000000" w:themeColor="text1"/>
          <w:sz w:val="20"/>
          <w:szCs w:val="20"/>
        </w:rPr>
        <w:t xml:space="preserve"> Also, the Department has acknowledged that contract positions for IT personnel and service providers came to an end at almost the same time, </w:t>
      </w:r>
      <w:r w:rsidR="005165F1" w:rsidRPr="009E6B3C">
        <w:rPr>
          <w:rFonts w:ascii="Arial" w:hAnsi="Arial" w:cs="Arial"/>
          <w:color w:val="000000" w:themeColor="text1"/>
          <w:sz w:val="20"/>
          <w:szCs w:val="20"/>
        </w:rPr>
        <w:t xml:space="preserve">increasing the </w:t>
      </w:r>
      <w:r w:rsidRPr="009E6B3C">
        <w:rPr>
          <w:rFonts w:ascii="Arial" w:hAnsi="Arial" w:cs="Arial"/>
          <w:color w:val="000000" w:themeColor="text1"/>
          <w:sz w:val="20"/>
          <w:szCs w:val="20"/>
        </w:rPr>
        <w:t>susceptibility</w:t>
      </w:r>
      <w:r w:rsidR="005165F1" w:rsidRPr="009E6B3C">
        <w:rPr>
          <w:rFonts w:ascii="Arial" w:hAnsi="Arial" w:cs="Arial"/>
          <w:color w:val="000000" w:themeColor="text1"/>
          <w:sz w:val="20"/>
          <w:szCs w:val="20"/>
        </w:rPr>
        <w:t xml:space="preserve"> of </w:t>
      </w:r>
      <w:r w:rsidR="00DD6837" w:rsidRPr="009E6B3C">
        <w:rPr>
          <w:rFonts w:ascii="Arial" w:hAnsi="Arial" w:cs="Arial"/>
          <w:color w:val="000000" w:themeColor="text1"/>
          <w:sz w:val="20"/>
          <w:szCs w:val="20"/>
        </w:rPr>
        <w:t>the Department’s systems to attack.</w:t>
      </w:r>
      <w:r w:rsidR="00CE4DB0" w:rsidRPr="009E6B3C">
        <w:rPr>
          <w:rFonts w:ascii="Arial" w:hAnsi="Arial" w:cs="Arial"/>
          <w:color w:val="000000" w:themeColor="text1"/>
          <w:sz w:val="20"/>
          <w:szCs w:val="20"/>
        </w:rPr>
        <w:t xml:space="preserve"> </w:t>
      </w:r>
      <w:r w:rsidRPr="009E6B3C">
        <w:rPr>
          <w:rFonts w:ascii="Arial" w:hAnsi="Arial" w:cs="Arial"/>
          <w:color w:val="000000" w:themeColor="text1"/>
          <w:sz w:val="20"/>
          <w:szCs w:val="20"/>
        </w:rPr>
        <w:t xml:space="preserve">We note further that the Audit Committee has </w:t>
      </w:r>
      <w:r w:rsidR="00615202" w:rsidRPr="009E6B3C">
        <w:rPr>
          <w:rFonts w:ascii="Arial" w:hAnsi="Arial" w:cs="Arial"/>
          <w:color w:val="000000" w:themeColor="text1"/>
          <w:sz w:val="20"/>
          <w:szCs w:val="20"/>
        </w:rPr>
        <w:t xml:space="preserve">also </w:t>
      </w:r>
      <w:r w:rsidRPr="009E6B3C">
        <w:rPr>
          <w:rFonts w:ascii="Arial" w:hAnsi="Arial" w:cs="Arial"/>
          <w:color w:val="000000" w:themeColor="text1"/>
          <w:sz w:val="20"/>
          <w:szCs w:val="20"/>
        </w:rPr>
        <w:t xml:space="preserve">expressed its concern about the level of risk in the ICT environment, recommending that the implementation of </w:t>
      </w:r>
      <w:r w:rsidR="00615202" w:rsidRPr="009E6B3C">
        <w:rPr>
          <w:rFonts w:ascii="Arial" w:hAnsi="Arial" w:cs="Arial"/>
          <w:color w:val="000000" w:themeColor="text1"/>
          <w:sz w:val="20"/>
          <w:szCs w:val="20"/>
        </w:rPr>
        <w:t xml:space="preserve">turnaround </w:t>
      </w:r>
      <w:r w:rsidRPr="009E6B3C">
        <w:rPr>
          <w:rFonts w:ascii="Arial" w:hAnsi="Arial" w:cs="Arial"/>
          <w:color w:val="000000" w:themeColor="text1"/>
          <w:sz w:val="20"/>
          <w:szCs w:val="20"/>
        </w:rPr>
        <w:t xml:space="preserve">plans and other identified shortcomings be accelerated. </w:t>
      </w:r>
    </w:p>
    <w:p w:rsidR="00DD6837" w:rsidRPr="009E6B3C" w:rsidRDefault="00DD6837" w:rsidP="009E6B3C">
      <w:pPr>
        <w:rPr>
          <w:rFonts w:ascii="Arial" w:hAnsi="Arial" w:cs="Arial"/>
          <w:color w:val="000000" w:themeColor="text1"/>
          <w:sz w:val="20"/>
          <w:szCs w:val="20"/>
        </w:rPr>
      </w:pPr>
    </w:p>
    <w:p w:rsidR="00E35773" w:rsidRPr="009E6B3C" w:rsidRDefault="00DD6837" w:rsidP="009E6B3C">
      <w:pPr>
        <w:rPr>
          <w:rFonts w:ascii="Arial" w:hAnsi="Arial" w:cs="Arial"/>
          <w:sz w:val="20"/>
          <w:szCs w:val="20"/>
        </w:rPr>
      </w:pPr>
      <w:r w:rsidRPr="009E6B3C">
        <w:rPr>
          <w:rFonts w:ascii="Arial" w:hAnsi="Arial" w:cs="Arial"/>
          <w:color w:val="000000" w:themeColor="text1"/>
          <w:sz w:val="20"/>
          <w:szCs w:val="20"/>
        </w:rPr>
        <w:t>The Committee, therefore, requests further information</w:t>
      </w:r>
      <w:r w:rsidR="00615202"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in writing, before </w:t>
      </w:r>
      <w:r w:rsidR="00B62E7D" w:rsidRPr="009E6B3C">
        <w:rPr>
          <w:rFonts w:ascii="Arial" w:hAnsi="Arial" w:cs="Arial"/>
          <w:color w:val="000000" w:themeColor="text1"/>
          <w:sz w:val="20"/>
          <w:szCs w:val="20"/>
        </w:rPr>
        <w:t>31 January 2023</w:t>
      </w:r>
      <w:r w:rsidRPr="009E6B3C">
        <w:rPr>
          <w:rFonts w:ascii="Arial" w:hAnsi="Arial" w:cs="Arial"/>
          <w:color w:val="000000" w:themeColor="text1"/>
          <w:sz w:val="20"/>
          <w:szCs w:val="20"/>
        </w:rPr>
        <w:t>, on the progress of plans to turnaround the ICT environment</w:t>
      </w:r>
      <w:r w:rsidR="00FA4208" w:rsidRPr="009E6B3C">
        <w:rPr>
          <w:rFonts w:ascii="Arial" w:hAnsi="Arial" w:cs="Arial"/>
          <w:color w:val="000000" w:themeColor="text1"/>
          <w:sz w:val="20"/>
          <w:szCs w:val="20"/>
        </w:rPr>
        <w:t xml:space="preserve"> and address other identified shortcomings</w:t>
      </w:r>
      <w:r w:rsidRPr="009E6B3C">
        <w:rPr>
          <w:rFonts w:ascii="Arial" w:hAnsi="Arial" w:cs="Arial"/>
          <w:color w:val="000000" w:themeColor="text1"/>
          <w:sz w:val="20"/>
          <w:szCs w:val="20"/>
        </w:rPr>
        <w:t>, including</w:t>
      </w:r>
      <w:r w:rsidR="00667BE5" w:rsidRPr="009E6B3C">
        <w:rPr>
          <w:rFonts w:ascii="Arial" w:hAnsi="Arial" w:cs="Arial"/>
          <w:color w:val="000000" w:themeColor="text1"/>
          <w:sz w:val="20"/>
          <w:szCs w:val="20"/>
        </w:rPr>
        <w:t xml:space="preserve"> </w:t>
      </w:r>
      <w:r w:rsidRPr="009E6B3C">
        <w:rPr>
          <w:rFonts w:ascii="Arial" w:hAnsi="Arial" w:cs="Arial"/>
          <w:sz w:val="20"/>
          <w:szCs w:val="20"/>
        </w:rPr>
        <w:t>whether the necessary permanent internal capacity in the ICT environment has been created.</w:t>
      </w:r>
      <w:r w:rsidR="00FA4208" w:rsidRPr="009E6B3C">
        <w:rPr>
          <w:rFonts w:ascii="Arial" w:hAnsi="Arial" w:cs="Arial"/>
          <w:sz w:val="20"/>
          <w:szCs w:val="20"/>
        </w:rPr>
        <w:t xml:space="preserve"> We would also be interested in more information about the role of the State Information Technology Agency (SITA) in assisting the Department with its ICT challenges.</w:t>
      </w:r>
    </w:p>
    <w:p w:rsidR="00BC2B41" w:rsidRPr="009E6B3C" w:rsidRDefault="00BC2B41" w:rsidP="009E6B3C">
      <w:pPr>
        <w:rPr>
          <w:rFonts w:ascii="Arial" w:hAnsi="Arial" w:cs="Arial"/>
          <w:color w:val="000000" w:themeColor="text1"/>
          <w:sz w:val="20"/>
          <w:szCs w:val="20"/>
        </w:rPr>
      </w:pPr>
    </w:p>
    <w:p w:rsidR="001B553C" w:rsidRPr="009E6B3C" w:rsidRDefault="00C13BF2" w:rsidP="009E6B3C">
      <w:pPr>
        <w:pStyle w:val="ListParagraph"/>
        <w:numPr>
          <w:ilvl w:val="1"/>
          <w:numId w:val="1"/>
        </w:numPr>
        <w:ind w:left="851" w:hanging="851"/>
        <w:rPr>
          <w:rFonts w:ascii="Arial" w:hAnsi="Arial" w:cs="Arial"/>
          <w:color w:val="000000" w:themeColor="text1"/>
          <w:sz w:val="20"/>
          <w:szCs w:val="20"/>
        </w:rPr>
      </w:pPr>
      <w:r w:rsidRPr="009E6B3C">
        <w:rPr>
          <w:rFonts w:ascii="Arial" w:hAnsi="Arial" w:cs="Arial"/>
          <w:b/>
          <w:i/>
          <w:color w:val="000000" w:themeColor="text1"/>
          <w:sz w:val="20"/>
          <w:szCs w:val="20"/>
        </w:rPr>
        <w:t>Court modernisation projects</w:t>
      </w:r>
    </w:p>
    <w:p w:rsidR="00667BE5" w:rsidRPr="009E6B3C" w:rsidRDefault="00667BE5" w:rsidP="009E6B3C">
      <w:pPr>
        <w:pStyle w:val="ListParagraph"/>
        <w:ind w:left="851"/>
        <w:rPr>
          <w:rFonts w:ascii="Arial" w:hAnsi="Arial" w:cs="Arial"/>
          <w:color w:val="000000" w:themeColor="text1"/>
          <w:sz w:val="20"/>
          <w:szCs w:val="20"/>
        </w:rPr>
      </w:pPr>
    </w:p>
    <w:p w:rsidR="008A0FDC" w:rsidRPr="009E6B3C" w:rsidRDefault="00667BE5" w:rsidP="009E6B3C">
      <w:pPr>
        <w:autoSpaceDE w:val="0"/>
        <w:autoSpaceDN w:val="0"/>
        <w:adjustRightInd w:val="0"/>
        <w:contextualSpacing/>
        <w:rPr>
          <w:rFonts w:ascii="Arial" w:hAnsi="Arial" w:cs="Arial"/>
          <w:color w:val="000000" w:themeColor="text1"/>
          <w:sz w:val="20"/>
          <w:szCs w:val="20"/>
        </w:rPr>
      </w:pPr>
      <w:r w:rsidRPr="009E6B3C">
        <w:rPr>
          <w:rFonts w:ascii="Arial" w:hAnsi="Arial" w:cs="Arial"/>
          <w:color w:val="000000" w:themeColor="text1"/>
          <w:sz w:val="20"/>
          <w:szCs w:val="20"/>
        </w:rPr>
        <w:t>W</w:t>
      </w:r>
      <w:r w:rsidR="005165F1" w:rsidRPr="009E6B3C">
        <w:rPr>
          <w:rFonts w:ascii="Arial" w:hAnsi="Arial" w:cs="Arial"/>
          <w:color w:val="000000" w:themeColor="text1"/>
          <w:sz w:val="20"/>
          <w:szCs w:val="20"/>
        </w:rPr>
        <w:t xml:space="preserve">e note that </w:t>
      </w:r>
      <w:r w:rsidR="00DD6837" w:rsidRPr="009E6B3C">
        <w:rPr>
          <w:rFonts w:ascii="Arial" w:hAnsi="Arial" w:cs="Arial"/>
          <w:color w:val="000000" w:themeColor="text1"/>
          <w:sz w:val="20"/>
          <w:szCs w:val="20"/>
        </w:rPr>
        <w:t>lengthy</w:t>
      </w:r>
      <w:r w:rsidR="00BC2B41" w:rsidRPr="009E6B3C">
        <w:rPr>
          <w:rFonts w:ascii="Arial" w:hAnsi="Arial" w:cs="Arial"/>
          <w:color w:val="000000" w:themeColor="text1"/>
          <w:sz w:val="20"/>
          <w:szCs w:val="20"/>
        </w:rPr>
        <w:t xml:space="preserve"> procurement processes</w:t>
      </w:r>
      <w:r w:rsidR="001B553C" w:rsidRPr="009E6B3C">
        <w:rPr>
          <w:rFonts w:ascii="Arial" w:hAnsi="Arial" w:cs="Arial"/>
          <w:color w:val="000000" w:themeColor="text1"/>
          <w:sz w:val="20"/>
          <w:szCs w:val="20"/>
        </w:rPr>
        <w:t xml:space="preserve"> </w:t>
      </w:r>
      <w:r w:rsidR="00C13BF2" w:rsidRPr="009E6B3C">
        <w:rPr>
          <w:rFonts w:ascii="Arial" w:hAnsi="Arial" w:cs="Arial"/>
          <w:color w:val="000000" w:themeColor="text1"/>
          <w:sz w:val="20"/>
          <w:szCs w:val="20"/>
        </w:rPr>
        <w:t xml:space="preserve">have </w:t>
      </w:r>
      <w:r w:rsidR="00BC2B41" w:rsidRPr="009E6B3C">
        <w:rPr>
          <w:rFonts w:ascii="Arial" w:hAnsi="Arial" w:cs="Arial"/>
          <w:color w:val="000000" w:themeColor="text1"/>
          <w:sz w:val="20"/>
          <w:szCs w:val="20"/>
        </w:rPr>
        <w:t>ne</w:t>
      </w:r>
      <w:r w:rsidR="00C13BF2" w:rsidRPr="009E6B3C">
        <w:rPr>
          <w:rFonts w:ascii="Arial" w:hAnsi="Arial" w:cs="Arial"/>
          <w:color w:val="000000" w:themeColor="text1"/>
          <w:sz w:val="20"/>
          <w:szCs w:val="20"/>
        </w:rPr>
        <w:t>gatively affected t</w:t>
      </w:r>
      <w:r w:rsidR="00BC2B41" w:rsidRPr="009E6B3C">
        <w:rPr>
          <w:rFonts w:ascii="Arial" w:hAnsi="Arial" w:cs="Arial"/>
          <w:color w:val="000000" w:themeColor="text1"/>
          <w:sz w:val="20"/>
          <w:szCs w:val="20"/>
        </w:rPr>
        <w:t xml:space="preserve">he delivery of some </w:t>
      </w:r>
      <w:r w:rsidRPr="009E6B3C">
        <w:rPr>
          <w:rFonts w:ascii="Arial" w:hAnsi="Arial" w:cs="Arial"/>
          <w:color w:val="000000" w:themeColor="text1"/>
          <w:sz w:val="20"/>
          <w:szCs w:val="20"/>
        </w:rPr>
        <w:t xml:space="preserve">of the planned </w:t>
      </w:r>
      <w:r w:rsidR="00BC2B41" w:rsidRPr="009E6B3C">
        <w:rPr>
          <w:rFonts w:ascii="Arial" w:hAnsi="Arial" w:cs="Arial"/>
          <w:color w:val="000000" w:themeColor="text1"/>
          <w:sz w:val="20"/>
          <w:szCs w:val="20"/>
        </w:rPr>
        <w:t>modernis</w:t>
      </w:r>
      <w:r w:rsidRPr="009E6B3C">
        <w:rPr>
          <w:rFonts w:ascii="Arial" w:hAnsi="Arial" w:cs="Arial"/>
          <w:color w:val="000000" w:themeColor="text1"/>
          <w:sz w:val="20"/>
          <w:szCs w:val="20"/>
        </w:rPr>
        <w:t xml:space="preserve">ation </w:t>
      </w:r>
      <w:r w:rsidR="00BC2B41" w:rsidRPr="009E6B3C">
        <w:rPr>
          <w:rFonts w:ascii="Arial" w:hAnsi="Arial" w:cs="Arial"/>
          <w:color w:val="000000" w:themeColor="text1"/>
          <w:sz w:val="20"/>
          <w:szCs w:val="20"/>
        </w:rPr>
        <w:t xml:space="preserve">projects and service delivery. </w:t>
      </w:r>
      <w:r w:rsidR="00C13BF2" w:rsidRPr="009E6B3C">
        <w:rPr>
          <w:rFonts w:ascii="Arial" w:hAnsi="Arial" w:cs="Arial"/>
          <w:color w:val="000000" w:themeColor="text1"/>
          <w:sz w:val="20"/>
          <w:szCs w:val="20"/>
        </w:rPr>
        <w:t xml:space="preserve">We, therefore, request that the Department provides us with a report, in writing before </w:t>
      </w:r>
      <w:r w:rsidR="00B62E7D" w:rsidRPr="009E6B3C">
        <w:rPr>
          <w:rFonts w:ascii="Arial" w:hAnsi="Arial" w:cs="Arial"/>
          <w:color w:val="000000" w:themeColor="text1"/>
          <w:sz w:val="20"/>
          <w:szCs w:val="20"/>
        </w:rPr>
        <w:t>31 January 2023</w:t>
      </w:r>
      <w:r w:rsidR="00C13BF2" w:rsidRPr="009E6B3C">
        <w:rPr>
          <w:rFonts w:ascii="Arial" w:hAnsi="Arial" w:cs="Arial"/>
          <w:color w:val="000000" w:themeColor="text1"/>
          <w:sz w:val="20"/>
          <w:szCs w:val="20"/>
        </w:rPr>
        <w:t xml:space="preserve">, on the progress of </w:t>
      </w:r>
      <w:r w:rsidR="00615202" w:rsidRPr="009E6B3C">
        <w:rPr>
          <w:rFonts w:ascii="Arial" w:hAnsi="Arial" w:cs="Arial"/>
          <w:color w:val="000000" w:themeColor="text1"/>
          <w:sz w:val="20"/>
          <w:szCs w:val="20"/>
        </w:rPr>
        <w:t xml:space="preserve">all its </w:t>
      </w:r>
      <w:r w:rsidR="00C13BF2" w:rsidRPr="009E6B3C">
        <w:rPr>
          <w:rFonts w:ascii="Arial" w:hAnsi="Arial" w:cs="Arial"/>
          <w:color w:val="000000" w:themeColor="text1"/>
          <w:sz w:val="20"/>
          <w:szCs w:val="20"/>
        </w:rPr>
        <w:t xml:space="preserve">modernisation </w:t>
      </w:r>
      <w:r w:rsidR="00615202" w:rsidRPr="009E6B3C">
        <w:rPr>
          <w:rFonts w:ascii="Arial" w:hAnsi="Arial" w:cs="Arial"/>
          <w:color w:val="000000" w:themeColor="text1"/>
          <w:sz w:val="20"/>
          <w:szCs w:val="20"/>
        </w:rPr>
        <w:t>projects</w:t>
      </w:r>
      <w:r w:rsidR="00C13BF2" w:rsidRPr="009E6B3C">
        <w:rPr>
          <w:rFonts w:ascii="Arial" w:hAnsi="Arial" w:cs="Arial"/>
          <w:color w:val="000000" w:themeColor="text1"/>
          <w:sz w:val="20"/>
          <w:szCs w:val="20"/>
        </w:rPr>
        <w:t>.</w:t>
      </w:r>
    </w:p>
    <w:p w:rsidR="00A3642E" w:rsidRPr="009E6B3C" w:rsidRDefault="00A3642E" w:rsidP="009E6B3C">
      <w:pPr>
        <w:rPr>
          <w:rFonts w:ascii="Arial" w:hAnsi="Arial" w:cs="Arial"/>
          <w:color w:val="000000" w:themeColor="text1"/>
          <w:sz w:val="20"/>
          <w:szCs w:val="20"/>
        </w:rPr>
      </w:pPr>
    </w:p>
    <w:p w:rsidR="00920C95" w:rsidRPr="009E6B3C" w:rsidRDefault="00920C95" w:rsidP="009E6B3C">
      <w:pPr>
        <w:pStyle w:val="ListParagraph"/>
        <w:numPr>
          <w:ilvl w:val="1"/>
          <w:numId w:val="1"/>
        </w:numPr>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Contract management</w:t>
      </w:r>
    </w:p>
    <w:p w:rsidR="00920C95" w:rsidRPr="009E6B3C" w:rsidRDefault="00920C95" w:rsidP="009E6B3C">
      <w:pPr>
        <w:autoSpaceDE w:val="0"/>
        <w:autoSpaceDN w:val="0"/>
        <w:adjustRightInd w:val="0"/>
        <w:contextualSpacing/>
        <w:rPr>
          <w:rFonts w:ascii="Arial" w:hAnsi="Arial" w:cs="Arial"/>
          <w:color w:val="000000" w:themeColor="text1"/>
          <w:sz w:val="20"/>
          <w:szCs w:val="20"/>
        </w:rPr>
      </w:pPr>
    </w:p>
    <w:p w:rsidR="00920C95" w:rsidRPr="009E6B3C" w:rsidRDefault="00920C95" w:rsidP="009E6B3C">
      <w:pPr>
        <w:autoSpaceDE w:val="0"/>
        <w:autoSpaceDN w:val="0"/>
        <w:adjustRightInd w:val="0"/>
        <w:contextualSpacing/>
        <w:rPr>
          <w:rFonts w:ascii="Arial" w:hAnsi="Arial" w:cs="Arial"/>
          <w:color w:val="000000" w:themeColor="text1"/>
          <w:sz w:val="20"/>
          <w:szCs w:val="20"/>
        </w:rPr>
      </w:pPr>
      <w:r w:rsidRPr="009E6B3C">
        <w:rPr>
          <w:rFonts w:ascii="Arial" w:hAnsi="Arial" w:cs="Arial"/>
          <w:color w:val="000000" w:themeColor="text1"/>
          <w:sz w:val="20"/>
          <w:szCs w:val="20"/>
        </w:rPr>
        <w:t xml:space="preserve">We have engaged previously with the Minister </w:t>
      </w:r>
      <w:r w:rsidR="00615202" w:rsidRPr="009E6B3C">
        <w:rPr>
          <w:rFonts w:ascii="Arial" w:hAnsi="Arial" w:cs="Arial"/>
          <w:color w:val="000000" w:themeColor="text1"/>
          <w:sz w:val="20"/>
          <w:szCs w:val="20"/>
        </w:rPr>
        <w:t xml:space="preserve">and the Director-General </w:t>
      </w:r>
      <w:r w:rsidRPr="009E6B3C">
        <w:rPr>
          <w:rFonts w:ascii="Arial" w:hAnsi="Arial" w:cs="Arial"/>
          <w:color w:val="000000" w:themeColor="text1"/>
          <w:sz w:val="20"/>
          <w:szCs w:val="20"/>
        </w:rPr>
        <w:t xml:space="preserve">on the Department’s poor planning in respect of contract management and procurement delays, specifically the failure to ensure effective contract management that led to no service provider being appointed to maintain and provide support services in respect of the Court Recording Technology (CRT) machines. The failure affected the effective functioning of many courts, as matters could not be heard without the CRT machines being available to record proceedings. In other words, the Department’s poor contract management contributed to increased case backlogs. </w:t>
      </w:r>
    </w:p>
    <w:p w:rsidR="00920C95" w:rsidRPr="009E6B3C" w:rsidRDefault="00920C95" w:rsidP="009E6B3C">
      <w:pPr>
        <w:autoSpaceDE w:val="0"/>
        <w:autoSpaceDN w:val="0"/>
        <w:adjustRightInd w:val="0"/>
        <w:contextualSpacing/>
        <w:rPr>
          <w:rFonts w:ascii="Arial" w:hAnsi="Arial" w:cs="Arial"/>
          <w:color w:val="000000" w:themeColor="text1"/>
          <w:sz w:val="20"/>
          <w:szCs w:val="20"/>
        </w:rPr>
      </w:pPr>
    </w:p>
    <w:p w:rsidR="00920C95" w:rsidRPr="009E6B3C" w:rsidRDefault="00920C95" w:rsidP="009E6B3C">
      <w:pPr>
        <w:autoSpaceDE w:val="0"/>
        <w:autoSpaceDN w:val="0"/>
        <w:adjustRightInd w:val="0"/>
        <w:contextualSpacing/>
        <w:rPr>
          <w:rFonts w:ascii="Arial" w:hAnsi="Arial" w:cs="Arial"/>
          <w:sz w:val="20"/>
          <w:szCs w:val="20"/>
        </w:rPr>
      </w:pPr>
      <w:r w:rsidRPr="009E6B3C">
        <w:rPr>
          <w:rFonts w:ascii="Arial" w:hAnsi="Arial" w:cs="Arial"/>
          <w:color w:val="000000" w:themeColor="text1"/>
          <w:sz w:val="20"/>
          <w:szCs w:val="20"/>
        </w:rPr>
        <w:t xml:space="preserve">We note that a service provider was appointed in February 2022 for a period of twelve months and the Department reported that it had begun the process </w:t>
      </w:r>
      <w:r w:rsidRPr="009E6B3C">
        <w:rPr>
          <w:rFonts w:ascii="Arial" w:hAnsi="Arial" w:cs="Arial"/>
          <w:sz w:val="20"/>
          <w:szCs w:val="20"/>
        </w:rPr>
        <w:t xml:space="preserve">to appoint a service provider to deliver support and maintenance for the CRT equipment for a period of three years. </w:t>
      </w:r>
    </w:p>
    <w:p w:rsidR="00920C95" w:rsidRPr="009E6B3C" w:rsidRDefault="00920C95" w:rsidP="009E6B3C">
      <w:pPr>
        <w:autoSpaceDE w:val="0"/>
        <w:autoSpaceDN w:val="0"/>
        <w:adjustRightInd w:val="0"/>
        <w:contextualSpacing/>
        <w:rPr>
          <w:rFonts w:ascii="Arial" w:hAnsi="Arial" w:cs="Arial"/>
          <w:sz w:val="20"/>
          <w:szCs w:val="20"/>
        </w:rPr>
      </w:pPr>
    </w:p>
    <w:p w:rsidR="00920C95" w:rsidRPr="009E6B3C" w:rsidRDefault="00920C95" w:rsidP="009E6B3C">
      <w:pPr>
        <w:autoSpaceDE w:val="0"/>
        <w:autoSpaceDN w:val="0"/>
        <w:adjustRightInd w:val="0"/>
        <w:contextualSpacing/>
        <w:rPr>
          <w:rFonts w:ascii="Arial" w:hAnsi="Arial" w:cs="Arial"/>
          <w:sz w:val="20"/>
          <w:szCs w:val="20"/>
          <w:vertAlign w:val="superscript"/>
          <w:lang w:eastAsia="en-ZA"/>
        </w:rPr>
      </w:pPr>
      <w:r w:rsidRPr="009E6B3C">
        <w:rPr>
          <w:rFonts w:ascii="Arial" w:hAnsi="Arial" w:cs="Arial"/>
          <w:sz w:val="20"/>
          <w:szCs w:val="20"/>
        </w:rPr>
        <w:t xml:space="preserve">We ask that we be provided with a report, in writing, before </w:t>
      </w:r>
      <w:r w:rsidR="00B62E7D" w:rsidRPr="009E6B3C">
        <w:rPr>
          <w:rFonts w:ascii="Arial" w:hAnsi="Arial" w:cs="Arial"/>
          <w:sz w:val="20"/>
          <w:szCs w:val="20"/>
        </w:rPr>
        <w:t>31 January 2023</w:t>
      </w:r>
      <w:r w:rsidRPr="009E6B3C">
        <w:rPr>
          <w:rFonts w:ascii="Arial" w:hAnsi="Arial" w:cs="Arial"/>
          <w:sz w:val="20"/>
          <w:szCs w:val="20"/>
        </w:rPr>
        <w:t xml:space="preserve">, on </w:t>
      </w:r>
      <w:r w:rsidRPr="009E6B3C">
        <w:rPr>
          <w:rFonts w:ascii="Arial" w:hAnsi="Arial" w:cs="Arial"/>
          <w:color w:val="000000" w:themeColor="text1"/>
          <w:sz w:val="20"/>
          <w:szCs w:val="20"/>
          <w:lang w:eastAsia="en-ZA"/>
        </w:rPr>
        <w:t>the current functionality of the CRT machines and the progress made towards appointing a service provider.</w:t>
      </w:r>
    </w:p>
    <w:p w:rsidR="00920C95" w:rsidRPr="009E6B3C" w:rsidRDefault="00920C95" w:rsidP="009E6B3C">
      <w:pPr>
        <w:autoSpaceDE w:val="0"/>
        <w:autoSpaceDN w:val="0"/>
        <w:adjustRightInd w:val="0"/>
        <w:contextualSpacing/>
        <w:rPr>
          <w:rFonts w:ascii="Arial" w:hAnsi="Arial" w:cs="Arial"/>
          <w:color w:val="000000" w:themeColor="text1"/>
          <w:sz w:val="20"/>
          <w:szCs w:val="20"/>
          <w:lang w:eastAsia="en-ZA"/>
        </w:rPr>
      </w:pPr>
    </w:p>
    <w:p w:rsidR="00A748E2" w:rsidRPr="009E6B3C" w:rsidRDefault="00A748E2" w:rsidP="009E6B3C">
      <w:pPr>
        <w:pStyle w:val="ListParagraph"/>
        <w:numPr>
          <w:ilvl w:val="1"/>
          <w:numId w:val="1"/>
        </w:numPr>
        <w:ind w:left="851" w:hanging="851"/>
        <w:rPr>
          <w:rFonts w:ascii="Arial" w:hAnsi="Arial" w:cs="Arial"/>
          <w:b/>
          <w:i/>
          <w:sz w:val="20"/>
          <w:szCs w:val="20"/>
          <w:lang w:eastAsia="en-ZA"/>
        </w:rPr>
      </w:pPr>
      <w:r w:rsidRPr="009E6B3C">
        <w:rPr>
          <w:rFonts w:ascii="Arial" w:hAnsi="Arial" w:cs="Arial"/>
          <w:b/>
          <w:i/>
          <w:color w:val="000000" w:themeColor="text1"/>
          <w:sz w:val="20"/>
          <w:szCs w:val="20"/>
        </w:rPr>
        <w:t>Women</w:t>
      </w:r>
      <w:r w:rsidRPr="009E6B3C">
        <w:rPr>
          <w:rFonts w:ascii="Arial" w:hAnsi="Arial" w:cs="Arial"/>
          <w:b/>
          <w:i/>
          <w:sz w:val="20"/>
          <w:szCs w:val="20"/>
          <w:lang w:eastAsia="en-ZA"/>
        </w:rPr>
        <w:t xml:space="preserve"> in SMS positions</w:t>
      </w:r>
    </w:p>
    <w:p w:rsidR="00A748E2" w:rsidRPr="009E6B3C" w:rsidRDefault="00A748E2" w:rsidP="009E6B3C">
      <w:pPr>
        <w:autoSpaceDE w:val="0"/>
        <w:autoSpaceDN w:val="0"/>
        <w:adjustRightInd w:val="0"/>
        <w:contextualSpacing/>
        <w:rPr>
          <w:rFonts w:ascii="Arial" w:hAnsi="Arial" w:cs="Arial"/>
          <w:sz w:val="20"/>
          <w:szCs w:val="20"/>
          <w:lang w:eastAsia="en-ZA"/>
        </w:rPr>
      </w:pPr>
    </w:p>
    <w:p w:rsidR="00A748E2" w:rsidRPr="009E6B3C" w:rsidRDefault="00A748E2" w:rsidP="009E6B3C">
      <w:pPr>
        <w:autoSpaceDE w:val="0"/>
        <w:autoSpaceDN w:val="0"/>
        <w:adjustRightInd w:val="0"/>
        <w:contextualSpacing/>
        <w:rPr>
          <w:rFonts w:ascii="Arial" w:hAnsi="Arial" w:cs="Arial"/>
          <w:sz w:val="20"/>
          <w:szCs w:val="20"/>
          <w:lang w:eastAsia="en-ZA"/>
        </w:rPr>
      </w:pPr>
      <w:r w:rsidRPr="009E6B3C">
        <w:rPr>
          <w:rFonts w:ascii="Arial" w:hAnsi="Arial" w:cs="Arial"/>
          <w:sz w:val="20"/>
          <w:szCs w:val="20"/>
          <w:lang w:eastAsia="en-ZA"/>
        </w:rPr>
        <w:t>We note that the Department originally planned for a target of 50% of women occupying senior management service (SMS) positions in 2021/22</w:t>
      </w:r>
      <w:r w:rsidR="00615202" w:rsidRPr="009E6B3C">
        <w:rPr>
          <w:rFonts w:ascii="Arial" w:hAnsi="Arial" w:cs="Arial"/>
          <w:sz w:val="20"/>
          <w:szCs w:val="20"/>
          <w:lang w:eastAsia="en-ZA"/>
        </w:rPr>
        <w:t xml:space="preserve"> but revised </w:t>
      </w:r>
      <w:r w:rsidRPr="009E6B3C">
        <w:rPr>
          <w:rFonts w:ascii="Arial" w:hAnsi="Arial" w:cs="Arial"/>
          <w:sz w:val="20"/>
          <w:szCs w:val="20"/>
          <w:lang w:eastAsia="en-ZA"/>
        </w:rPr>
        <w:t xml:space="preserve">the indicator in January 2022 to include women in LP 10 positions. We query why the Department believed it necessary to revise the indicator and believe this reflects rather poorly on the Department’s commitment to gender transformation and parity. We would have preferred to have received a report that set out the percentage of women in Senior Management Services (SMS) and Middle Management Services (MMS) posts that was accompanied by details of the Department’s plans to attract </w:t>
      </w:r>
      <w:r w:rsidR="00615202" w:rsidRPr="009E6B3C">
        <w:rPr>
          <w:rFonts w:ascii="Arial" w:hAnsi="Arial" w:cs="Arial"/>
          <w:sz w:val="20"/>
          <w:szCs w:val="20"/>
          <w:lang w:eastAsia="en-ZA"/>
        </w:rPr>
        <w:t xml:space="preserve">and retain </w:t>
      </w:r>
      <w:r w:rsidRPr="009E6B3C">
        <w:rPr>
          <w:rFonts w:ascii="Arial" w:hAnsi="Arial" w:cs="Arial"/>
          <w:sz w:val="20"/>
          <w:szCs w:val="20"/>
          <w:lang w:eastAsia="en-ZA"/>
        </w:rPr>
        <w:t>women to management positions.</w:t>
      </w:r>
    </w:p>
    <w:p w:rsidR="00A748E2" w:rsidRPr="009E6B3C" w:rsidRDefault="00A748E2" w:rsidP="009E6B3C">
      <w:pPr>
        <w:autoSpaceDE w:val="0"/>
        <w:autoSpaceDN w:val="0"/>
        <w:adjustRightInd w:val="0"/>
        <w:contextualSpacing/>
        <w:rPr>
          <w:rFonts w:ascii="Arial" w:hAnsi="Arial" w:cs="Arial"/>
          <w:sz w:val="20"/>
          <w:szCs w:val="20"/>
          <w:lang w:eastAsia="en-ZA"/>
        </w:rPr>
      </w:pPr>
    </w:p>
    <w:p w:rsidR="00BC2B41" w:rsidRPr="009E6B3C" w:rsidRDefault="00604B40" w:rsidP="009E6B3C">
      <w:pPr>
        <w:pStyle w:val="ListParagraph"/>
        <w:numPr>
          <w:ilvl w:val="1"/>
          <w:numId w:val="1"/>
        </w:numPr>
        <w:ind w:left="851" w:hanging="851"/>
        <w:rPr>
          <w:rFonts w:ascii="Arial" w:hAnsi="Arial" w:cs="Arial"/>
          <w:i/>
          <w:color w:val="000000" w:themeColor="text1"/>
          <w:sz w:val="20"/>
          <w:szCs w:val="20"/>
        </w:rPr>
      </w:pPr>
      <w:r w:rsidRPr="009E6B3C">
        <w:rPr>
          <w:rFonts w:ascii="Arial" w:hAnsi="Arial" w:cs="Arial"/>
          <w:b/>
          <w:i/>
          <w:color w:val="000000" w:themeColor="text1"/>
          <w:sz w:val="20"/>
          <w:szCs w:val="20"/>
        </w:rPr>
        <w:t>Case backlogs</w:t>
      </w:r>
      <w:r w:rsidRPr="009E6B3C">
        <w:rPr>
          <w:rFonts w:ascii="Arial" w:hAnsi="Arial" w:cs="Arial"/>
          <w:i/>
          <w:color w:val="000000" w:themeColor="text1"/>
          <w:sz w:val="20"/>
          <w:szCs w:val="20"/>
        </w:rPr>
        <w:t xml:space="preserve"> </w:t>
      </w:r>
    </w:p>
    <w:p w:rsidR="00BC2B41" w:rsidRPr="009E6B3C" w:rsidRDefault="00BC2B41" w:rsidP="009E6B3C">
      <w:pPr>
        <w:pStyle w:val="NormalWeb"/>
        <w:spacing w:before="0" w:after="0"/>
        <w:rPr>
          <w:rFonts w:ascii="Arial" w:hAnsi="Arial" w:cs="Arial"/>
          <w:color w:val="000000" w:themeColor="text1"/>
          <w:sz w:val="20"/>
          <w:szCs w:val="20"/>
        </w:rPr>
      </w:pPr>
    </w:p>
    <w:p w:rsidR="00C0426C" w:rsidRPr="009E6B3C" w:rsidRDefault="001B553C"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On several occasions, the Committee has </w:t>
      </w:r>
      <w:r w:rsidR="00604B40" w:rsidRPr="009E6B3C">
        <w:rPr>
          <w:rFonts w:ascii="Arial" w:hAnsi="Arial" w:cs="Arial"/>
          <w:color w:val="000000" w:themeColor="text1"/>
          <w:sz w:val="20"/>
          <w:szCs w:val="20"/>
        </w:rPr>
        <w:t xml:space="preserve">expressed its concern about </w:t>
      </w:r>
      <w:r w:rsidRPr="009E6B3C">
        <w:rPr>
          <w:rFonts w:ascii="Arial" w:hAnsi="Arial" w:cs="Arial"/>
          <w:color w:val="000000" w:themeColor="text1"/>
          <w:sz w:val="20"/>
          <w:szCs w:val="20"/>
        </w:rPr>
        <w:t xml:space="preserve">how </w:t>
      </w:r>
      <w:r w:rsidR="00604B40" w:rsidRPr="009E6B3C">
        <w:rPr>
          <w:rFonts w:ascii="Arial" w:hAnsi="Arial" w:cs="Arial"/>
          <w:color w:val="000000" w:themeColor="text1"/>
          <w:sz w:val="20"/>
          <w:szCs w:val="20"/>
        </w:rPr>
        <w:t xml:space="preserve">the </w:t>
      </w:r>
      <w:r w:rsidRPr="009E6B3C">
        <w:rPr>
          <w:rFonts w:ascii="Arial" w:hAnsi="Arial" w:cs="Arial"/>
          <w:color w:val="000000" w:themeColor="text1"/>
          <w:sz w:val="20"/>
          <w:szCs w:val="20"/>
        </w:rPr>
        <w:t xml:space="preserve">increase in </w:t>
      </w:r>
      <w:r w:rsidR="008E3EB2" w:rsidRPr="009E6B3C">
        <w:rPr>
          <w:rFonts w:ascii="Arial" w:hAnsi="Arial" w:cs="Arial"/>
          <w:color w:val="000000" w:themeColor="text1"/>
          <w:sz w:val="20"/>
          <w:szCs w:val="20"/>
        </w:rPr>
        <w:t xml:space="preserve">case </w:t>
      </w:r>
      <w:r w:rsidR="00B631E9" w:rsidRPr="009E6B3C">
        <w:rPr>
          <w:rFonts w:ascii="Arial" w:hAnsi="Arial" w:cs="Arial"/>
          <w:color w:val="000000" w:themeColor="text1"/>
          <w:sz w:val="20"/>
          <w:szCs w:val="20"/>
        </w:rPr>
        <w:t>backlogs</w:t>
      </w:r>
      <w:r w:rsidR="008E3EB2" w:rsidRPr="009E6B3C">
        <w:rPr>
          <w:rFonts w:ascii="Arial" w:hAnsi="Arial" w:cs="Arial"/>
          <w:color w:val="000000" w:themeColor="text1"/>
          <w:sz w:val="20"/>
          <w:szCs w:val="20"/>
        </w:rPr>
        <w:t xml:space="preserve"> may become overwhelming. We </w:t>
      </w:r>
      <w:r w:rsidRPr="009E6B3C">
        <w:rPr>
          <w:rFonts w:ascii="Arial" w:hAnsi="Arial" w:cs="Arial"/>
          <w:color w:val="000000" w:themeColor="text1"/>
          <w:sz w:val="20"/>
          <w:szCs w:val="20"/>
        </w:rPr>
        <w:t xml:space="preserve">note </w:t>
      </w:r>
      <w:r w:rsidR="008E3EB2" w:rsidRPr="009E6B3C">
        <w:rPr>
          <w:rFonts w:ascii="Arial" w:hAnsi="Arial" w:cs="Arial"/>
          <w:color w:val="000000" w:themeColor="text1"/>
          <w:sz w:val="20"/>
          <w:szCs w:val="20"/>
        </w:rPr>
        <w:t>that the number of backlog cases ha</w:t>
      </w:r>
      <w:r w:rsidRPr="009E6B3C">
        <w:rPr>
          <w:rFonts w:ascii="Arial" w:hAnsi="Arial" w:cs="Arial"/>
          <w:color w:val="000000" w:themeColor="text1"/>
          <w:sz w:val="20"/>
          <w:szCs w:val="20"/>
        </w:rPr>
        <w:t>s</w:t>
      </w:r>
      <w:r w:rsidR="008E3EB2" w:rsidRPr="009E6B3C">
        <w:rPr>
          <w:rFonts w:ascii="Arial" w:hAnsi="Arial" w:cs="Arial"/>
          <w:color w:val="000000" w:themeColor="text1"/>
          <w:sz w:val="20"/>
          <w:szCs w:val="20"/>
        </w:rPr>
        <w:t xml:space="preserve"> </w:t>
      </w:r>
      <w:r w:rsidR="00BC2B41" w:rsidRPr="009E6B3C">
        <w:rPr>
          <w:rFonts w:ascii="Arial" w:hAnsi="Arial" w:cs="Arial"/>
          <w:color w:val="000000" w:themeColor="text1"/>
          <w:sz w:val="20"/>
          <w:szCs w:val="20"/>
        </w:rPr>
        <w:t xml:space="preserve">been </w:t>
      </w:r>
      <w:r w:rsidR="00B631E9" w:rsidRPr="009E6B3C">
        <w:rPr>
          <w:rFonts w:ascii="Arial" w:hAnsi="Arial" w:cs="Arial"/>
          <w:color w:val="000000" w:themeColor="text1"/>
          <w:sz w:val="20"/>
          <w:szCs w:val="20"/>
        </w:rPr>
        <w:t xml:space="preserve">exacerbated </w:t>
      </w:r>
      <w:r w:rsidR="008E3EB2" w:rsidRPr="009E6B3C">
        <w:rPr>
          <w:rFonts w:ascii="Arial" w:hAnsi="Arial" w:cs="Arial"/>
          <w:color w:val="000000" w:themeColor="text1"/>
          <w:sz w:val="20"/>
          <w:szCs w:val="20"/>
        </w:rPr>
        <w:t xml:space="preserve">more recently </w:t>
      </w:r>
      <w:r w:rsidR="00B631E9" w:rsidRPr="009E6B3C">
        <w:rPr>
          <w:rFonts w:ascii="Arial" w:hAnsi="Arial" w:cs="Arial"/>
          <w:color w:val="000000" w:themeColor="text1"/>
          <w:sz w:val="20"/>
          <w:szCs w:val="20"/>
        </w:rPr>
        <w:t xml:space="preserve">by </w:t>
      </w:r>
      <w:r w:rsidRPr="009E6B3C">
        <w:rPr>
          <w:rFonts w:ascii="Arial" w:hAnsi="Arial" w:cs="Arial"/>
          <w:color w:val="000000" w:themeColor="text1"/>
          <w:sz w:val="20"/>
          <w:szCs w:val="20"/>
        </w:rPr>
        <w:t xml:space="preserve">circumstances that include </w:t>
      </w:r>
      <w:r w:rsidR="008E3EB2" w:rsidRPr="009E6B3C">
        <w:rPr>
          <w:rFonts w:ascii="Arial" w:hAnsi="Arial" w:cs="Arial"/>
          <w:color w:val="000000" w:themeColor="text1"/>
          <w:sz w:val="20"/>
          <w:szCs w:val="20"/>
        </w:rPr>
        <w:t>C</w:t>
      </w:r>
      <w:r w:rsidR="00615202" w:rsidRPr="009E6B3C">
        <w:rPr>
          <w:rFonts w:ascii="Arial" w:hAnsi="Arial" w:cs="Arial"/>
          <w:color w:val="000000" w:themeColor="text1"/>
          <w:sz w:val="20"/>
          <w:szCs w:val="20"/>
        </w:rPr>
        <w:t>ovid-19</w:t>
      </w:r>
      <w:r w:rsidR="008E3EB2" w:rsidRPr="009E6B3C">
        <w:rPr>
          <w:rFonts w:ascii="Arial" w:hAnsi="Arial" w:cs="Arial"/>
          <w:color w:val="000000" w:themeColor="text1"/>
          <w:sz w:val="20"/>
          <w:szCs w:val="20"/>
        </w:rPr>
        <w:t>, cases emanating from the July 2021 u</w:t>
      </w:r>
      <w:r w:rsidR="00B631E9" w:rsidRPr="009E6B3C">
        <w:rPr>
          <w:rFonts w:ascii="Arial" w:hAnsi="Arial" w:cs="Arial"/>
          <w:color w:val="000000" w:themeColor="text1"/>
          <w:sz w:val="20"/>
          <w:szCs w:val="20"/>
        </w:rPr>
        <w:t>nrest in Gauteng and KwaZulu-Natal, the breakdown of court recording devices and the ransomware attack.</w:t>
      </w:r>
      <w:r w:rsidR="00604B40" w:rsidRPr="009E6B3C">
        <w:rPr>
          <w:rFonts w:ascii="Arial" w:hAnsi="Arial" w:cs="Arial"/>
          <w:color w:val="000000" w:themeColor="text1"/>
          <w:sz w:val="20"/>
          <w:szCs w:val="20"/>
        </w:rPr>
        <w:t xml:space="preserve"> In addition, </w:t>
      </w:r>
      <w:r w:rsidR="00B631E9" w:rsidRPr="009E6B3C">
        <w:rPr>
          <w:rFonts w:ascii="Arial" w:hAnsi="Arial" w:cs="Arial"/>
          <w:color w:val="000000" w:themeColor="text1"/>
          <w:sz w:val="20"/>
          <w:szCs w:val="20"/>
        </w:rPr>
        <w:t xml:space="preserve">severe water interruptions or shortages and power outages </w:t>
      </w:r>
      <w:r w:rsidRPr="009E6B3C">
        <w:rPr>
          <w:rFonts w:ascii="Arial" w:hAnsi="Arial" w:cs="Arial"/>
          <w:color w:val="000000" w:themeColor="text1"/>
          <w:sz w:val="20"/>
          <w:szCs w:val="20"/>
        </w:rPr>
        <w:t xml:space="preserve">have </w:t>
      </w:r>
      <w:r w:rsidR="00B631E9" w:rsidRPr="009E6B3C">
        <w:rPr>
          <w:rFonts w:ascii="Arial" w:hAnsi="Arial" w:cs="Arial"/>
          <w:color w:val="000000" w:themeColor="text1"/>
          <w:sz w:val="20"/>
          <w:szCs w:val="20"/>
        </w:rPr>
        <w:t xml:space="preserve">negatively </w:t>
      </w:r>
      <w:r w:rsidR="008E3EB2" w:rsidRPr="009E6B3C">
        <w:rPr>
          <w:rFonts w:ascii="Arial" w:hAnsi="Arial" w:cs="Arial"/>
          <w:color w:val="000000" w:themeColor="text1"/>
          <w:sz w:val="20"/>
          <w:szCs w:val="20"/>
        </w:rPr>
        <w:t>affect</w:t>
      </w:r>
      <w:r w:rsidR="00B631E9" w:rsidRPr="009E6B3C">
        <w:rPr>
          <w:rFonts w:ascii="Arial" w:hAnsi="Arial" w:cs="Arial"/>
          <w:color w:val="000000" w:themeColor="text1"/>
          <w:sz w:val="20"/>
          <w:szCs w:val="20"/>
        </w:rPr>
        <w:t xml:space="preserve"> court operations</w:t>
      </w:r>
      <w:r w:rsidR="008E3EB2" w:rsidRPr="009E6B3C">
        <w:rPr>
          <w:rFonts w:ascii="Arial" w:hAnsi="Arial" w:cs="Arial"/>
          <w:color w:val="000000" w:themeColor="text1"/>
          <w:sz w:val="20"/>
          <w:szCs w:val="20"/>
        </w:rPr>
        <w:t xml:space="preserve">, </w:t>
      </w:r>
      <w:r w:rsidR="00B631E9" w:rsidRPr="009E6B3C">
        <w:rPr>
          <w:rFonts w:ascii="Arial" w:hAnsi="Arial" w:cs="Arial"/>
          <w:color w:val="000000" w:themeColor="text1"/>
          <w:sz w:val="20"/>
          <w:szCs w:val="20"/>
        </w:rPr>
        <w:t>result</w:t>
      </w:r>
      <w:r w:rsidR="008E3EB2" w:rsidRPr="009E6B3C">
        <w:rPr>
          <w:rFonts w:ascii="Arial" w:hAnsi="Arial" w:cs="Arial"/>
          <w:color w:val="000000" w:themeColor="text1"/>
          <w:sz w:val="20"/>
          <w:szCs w:val="20"/>
        </w:rPr>
        <w:t xml:space="preserve">ing </w:t>
      </w:r>
      <w:r w:rsidR="00B631E9" w:rsidRPr="009E6B3C">
        <w:rPr>
          <w:rFonts w:ascii="Arial" w:hAnsi="Arial" w:cs="Arial"/>
          <w:color w:val="000000" w:themeColor="text1"/>
          <w:sz w:val="20"/>
          <w:szCs w:val="20"/>
        </w:rPr>
        <w:t xml:space="preserve">in the postponement of matters. </w:t>
      </w:r>
    </w:p>
    <w:p w:rsidR="008E3EB2" w:rsidRPr="009E6B3C" w:rsidRDefault="008E3EB2" w:rsidP="009E6B3C">
      <w:pPr>
        <w:pStyle w:val="NormalWeb"/>
        <w:spacing w:before="0" w:after="0"/>
        <w:rPr>
          <w:rFonts w:ascii="Arial" w:hAnsi="Arial" w:cs="Arial"/>
          <w:color w:val="000000" w:themeColor="text1"/>
          <w:sz w:val="20"/>
          <w:szCs w:val="20"/>
        </w:rPr>
      </w:pPr>
    </w:p>
    <w:p w:rsidR="00A96FC7" w:rsidRPr="009E6B3C" w:rsidRDefault="008E3EB2"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The Department reported</w:t>
      </w:r>
      <w:r w:rsidR="001B553C" w:rsidRPr="009E6B3C">
        <w:rPr>
          <w:rFonts w:ascii="Arial" w:hAnsi="Arial" w:cs="Arial"/>
          <w:color w:val="000000" w:themeColor="text1"/>
          <w:sz w:val="20"/>
          <w:szCs w:val="20"/>
        </w:rPr>
        <w:t xml:space="preserve"> its</w:t>
      </w:r>
      <w:r w:rsidRPr="009E6B3C">
        <w:rPr>
          <w:rFonts w:ascii="Arial" w:hAnsi="Arial" w:cs="Arial"/>
          <w:color w:val="000000" w:themeColor="text1"/>
          <w:sz w:val="20"/>
          <w:szCs w:val="20"/>
        </w:rPr>
        <w:t xml:space="preserve"> </w:t>
      </w:r>
      <w:r w:rsidR="00A96FC7" w:rsidRPr="009E6B3C">
        <w:rPr>
          <w:rFonts w:ascii="Arial" w:hAnsi="Arial" w:cs="Arial"/>
          <w:color w:val="000000" w:themeColor="text1"/>
          <w:sz w:val="20"/>
          <w:szCs w:val="20"/>
        </w:rPr>
        <w:t>intention to establish a case backlog</w:t>
      </w:r>
      <w:r w:rsidRPr="009E6B3C">
        <w:rPr>
          <w:rFonts w:ascii="Arial" w:hAnsi="Arial" w:cs="Arial"/>
          <w:color w:val="000000" w:themeColor="text1"/>
          <w:sz w:val="20"/>
          <w:szCs w:val="20"/>
        </w:rPr>
        <w:t xml:space="preserve"> reduction framework</w:t>
      </w:r>
      <w:r w:rsidR="00A96FC7" w:rsidRPr="009E6B3C">
        <w:rPr>
          <w:rFonts w:ascii="Arial" w:hAnsi="Arial" w:cs="Arial"/>
          <w:color w:val="000000" w:themeColor="text1"/>
          <w:sz w:val="20"/>
          <w:szCs w:val="20"/>
        </w:rPr>
        <w:t xml:space="preserve">. A National Steering Committee involving all </w:t>
      </w:r>
      <w:r w:rsidRPr="009E6B3C">
        <w:rPr>
          <w:rFonts w:ascii="Arial" w:hAnsi="Arial" w:cs="Arial"/>
          <w:color w:val="000000" w:themeColor="text1"/>
          <w:sz w:val="20"/>
          <w:szCs w:val="20"/>
        </w:rPr>
        <w:t>the JCPS Cluster departments</w:t>
      </w:r>
      <w:r w:rsidR="00A96FC7" w:rsidRPr="009E6B3C">
        <w:rPr>
          <w:rFonts w:ascii="Arial" w:hAnsi="Arial" w:cs="Arial"/>
          <w:color w:val="000000" w:themeColor="text1"/>
          <w:sz w:val="20"/>
          <w:szCs w:val="20"/>
        </w:rPr>
        <w:t xml:space="preserve"> would </w:t>
      </w:r>
      <w:r w:rsidRPr="009E6B3C">
        <w:rPr>
          <w:rFonts w:ascii="Arial" w:hAnsi="Arial" w:cs="Arial"/>
          <w:color w:val="000000" w:themeColor="text1"/>
          <w:sz w:val="20"/>
          <w:szCs w:val="20"/>
        </w:rPr>
        <w:t>develop integrated plans</w:t>
      </w:r>
      <w:r w:rsidR="00A96FC7" w:rsidRPr="009E6B3C">
        <w:rPr>
          <w:rFonts w:ascii="Arial" w:hAnsi="Arial" w:cs="Arial"/>
          <w:color w:val="000000" w:themeColor="text1"/>
          <w:sz w:val="20"/>
          <w:szCs w:val="20"/>
        </w:rPr>
        <w:t xml:space="preserve"> </w:t>
      </w:r>
      <w:r w:rsidRPr="009E6B3C">
        <w:rPr>
          <w:rFonts w:ascii="Arial" w:hAnsi="Arial" w:cs="Arial"/>
          <w:color w:val="000000" w:themeColor="text1"/>
          <w:sz w:val="20"/>
          <w:szCs w:val="20"/>
        </w:rPr>
        <w:t>to unlock the existing challenges of the criminal justice system through an inter</w:t>
      </w:r>
      <w:r w:rsidR="00A96FC7" w:rsidRPr="009E6B3C">
        <w:rPr>
          <w:rFonts w:ascii="Arial" w:hAnsi="Arial" w:cs="Arial"/>
          <w:color w:val="000000" w:themeColor="text1"/>
          <w:sz w:val="20"/>
          <w:szCs w:val="20"/>
        </w:rPr>
        <w:t>-</w:t>
      </w:r>
      <w:r w:rsidRPr="009E6B3C">
        <w:rPr>
          <w:rFonts w:ascii="Arial" w:hAnsi="Arial" w:cs="Arial"/>
          <w:color w:val="000000" w:themeColor="text1"/>
          <w:sz w:val="20"/>
          <w:szCs w:val="20"/>
        </w:rPr>
        <w:t>sectoral approach that will result in key performance indicators for each D</w:t>
      </w:r>
      <w:r w:rsidR="00A96FC7" w:rsidRPr="009E6B3C">
        <w:rPr>
          <w:rFonts w:ascii="Arial" w:hAnsi="Arial" w:cs="Arial"/>
          <w:color w:val="000000" w:themeColor="text1"/>
          <w:sz w:val="20"/>
          <w:szCs w:val="20"/>
        </w:rPr>
        <w:t xml:space="preserve">epartment. These, </w:t>
      </w:r>
      <w:r w:rsidRPr="009E6B3C">
        <w:rPr>
          <w:rFonts w:ascii="Arial" w:hAnsi="Arial" w:cs="Arial"/>
          <w:color w:val="000000" w:themeColor="text1"/>
          <w:sz w:val="20"/>
          <w:szCs w:val="20"/>
        </w:rPr>
        <w:t>once achieved, w</w:t>
      </w:r>
      <w:r w:rsidR="00A96FC7" w:rsidRPr="009E6B3C">
        <w:rPr>
          <w:rFonts w:ascii="Arial" w:hAnsi="Arial" w:cs="Arial"/>
          <w:color w:val="000000" w:themeColor="text1"/>
          <w:sz w:val="20"/>
          <w:szCs w:val="20"/>
        </w:rPr>
        <w:t xml:space="preserve">ould have </w:t>
      </w:r>
      <w:r w:rsidRPr="009E6B3C">
        <w:rPr>
          <w:rFonts w:ascii="Arial" w:hAnsi="Arial" w:cs="Arial"/>
          <w:color w:val="000000" w:themeColor="text1"/>
          <w:sz w:val="20"/>
          <w:szCs w:val="20"/>
        </w:rPr>
        <w:t>a critical impact on the reduction of case backlog</w:t>
      </w:r>
      <w:r w:rsidR="00A96FC7" w:rsidRPr="009E6B3C">
        <w:rPr>
          <w:rFonts w:ascii="Arial" w:hAnsi="Arial" w:cs="Arial"/>
          <w:color w:val="000000" w:themeColor="text1"/>
          <w:sz w:val="20"/>
          <w:szCs w:val="20"/>
        </w:rPr>
        <w:t>s</w:t>
      </w:r>
      <w:r w:rsidRPr="009E6B3C">
        <w:rPr>
          <w:rFonts w:ascii="Arial" w:hAnsi="Arial" w:cs="Arial"/>
          <w:color w:val="000000" w:themeColor="text1"/>
          <w:sz w:val="20"/>
          <w:szCs w:val="20"/>
        </w:rPr>
        <w:t xml:space="preserve">. </w:t>
      </w:r>
    </w:p>
    <w:p w:rsidR="00A96FC7" w:rsidRPr="009E6B3C" w:rsidRDefault="00A96FC7" w:rsidP="009E6B3C">
      <w:pPr>
        <w:pStyle w:val="NormalWeb"/>
        <w:spacing w:before="0" w:after="0"/>
        <w:rPr>
          <w:rFonts w:ascii="Arial" w:hAnsi="Arial" w:cs="Arial"/>
          <w:color w:val="000000" w:themeColor="text1"/>
          <w:sz w:val="20"/>
          <w:szCs w:val="20"/>
        </w:rPr>
      </w:pPr>
    </w:p>
    <w:p w:rsidR="00C13BF2" w:rsidRPr="009E6B3C" w:rsidRDefault="00A96FC7"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Although the finalisation of the framework </w:t>
      </w:r>
      <w:r w:rsidR="00AD523A" w:rsidRPr="009E6B3C">
        <w:rPr>
          <w:rFonts w:ascii="Arial" w:hAnsi="Arial" w:cs="Arial"/>
          <w:color w:val="000000" w:themeColor="text1"/>
          <w:sz w:val="20"/>
          <w:szCs w:val="20"/>
        </w:rPr>
        <w:t xml:space="preserve">and its implementation </w:t>
      </w:r>
      <w:r w:rsidR="001B553C" w:rsidRPr="009E6B3C">
        <w:rPr>
          <w:rFonts w:ascii="Arial" w:hAnsi="Arial" w:cs="Arial"/>
          <w:color w:val="000000" w:themeColor="text1"/>
          <w:sz w:val="20"/>
          <w:szCs w:val="20"/>
        </w:rPr>
        <w:t xml:space="preserve">is </w:t>
      </w:r>
      <w:r w:rsidR="00AD523A" w:rsidRPr="009E6B3C">
        <w:rPr>
          <w:rFonts w:ascii="Arial" w:hAnsi="Arial" w:cs="Arial"/>
          <w:color w:val="000000" w:themeColor="text1"/>
          <w:sz w:val="20"/>
          <w:szCs w:val="20"/>
        </w:rPr>
        <w:t>of high importance</w:t>
      </w:r>
      <w:r w:rsidRPr="009E6B3C">
        <w:rPr>
          <w:rFonts w:ascii="Arial" w:hAnsi="Arial" w:cs="Arial"/>
          <w:color w:val="000000" w:themeColor="text1"/>
          <w:sz w:val="20"/>
          <w:szCs w:val="20"/>
        </w:rPr>
        <w:t xml:space="preserve">, we note that the Department was unable to report that it </w:t>
      </w:r>
      <w:r w:rsidR="001B553C" w:rsidRPr="009E6B3C">
        <w:rPr>
          <w:rFonts w:ascii="Arial" w:hAnsi="Arial" w:cs="Arial"/>
          <w:color w:val="000000" w:themeColor="text1"/>
          <w:sz w:val="20"/>
          <w:szCs w:val="20"/>
        </w:rPr>
        <w:t xml:space="preserve">was able to submit the Framework to </w:t>
      </w:r>
      <w:r w:rsidRPr="009E6B3C">
        <w:rPr>
          <w:rFonts w:ascii="Arial" w:hAnsi="Arial" w:cs="Arial"/>
          <w:color w:val="000000" w:themeColor="text1"/>
          <w:sz w:val="20"/>
          <w:szCs w:val="20"/>
        </w:rPr>
        <w:t xml:space="preserve">the Minister for approval by 31 March 2022 </w:t>
      </w:r>
      <w:r w:rsidR="001B553C" w:rsidRPr="009E6B3C">
        <w:rPr>
          <w:rFonts w:ascii="Arial" w:hAnsi="Arial" w:cs="Arial"/>
          <w:color w:val="000000" w:themeColor="text1"/>
          <w:sz w:val="20"/>
          <w:szCs w:val="20"/>
        </w:rPr>
        <w:t>as planned. I</w:t>
      </w:r>
      <w:r w:rsidRPr="009E6B3C">
        <w:rPr>
          <w:rFonts w:ascii="Arial" w:hAnsi="Arial" w:cs="Arial"/>
          <w:color w:val="000000" w:themeColor="text1"/>
          <w:sz w:val="20"/>
          <w:szCs w:val="20"/>
        </w:rPr>
        <w:t>nstead the Framework was submitted to the Deputy Minister</w:t>
      </w:r>
      <w:r w:rsidR="001B553C" w:rsidRPr="009E6B3C">
        <w:rPr>
          <w:rFonts w:ascii="Arial" w:hAnsi="Arial" w:cs="Arial"/>
          <w:color w:val="000000" w:themeColor="text1"/>
          <w:sz w:val="20"/>
          <w:szCs w:val="20"/>
        </w:rPr>
        <w:t>,</w:t>
      </w:r>
      <w:r w:rsidRPr="009E6B3C">
        <w:rPr>
          <w:rFonts w:ascii="Arial" w:hAnsi="Arial" w:cs="Arial"/>
          <w:color w:val="000000" w:themeColor="text1"/>
          <w:sz w:val="20"/>
          <w:szCs w:val="20"/>
        </w:rPr>
        <w:t xml:space="preserve"> who returned it with his comments and for an action plan to be developed. </w:t>
      </w:r>
    </w:p>
    <w:p w:rsidR="00C13BF2" w:rsidRPr="009E6B3C" w:rsidRDefault="00C13BF2" w:rsidP="009E6B3C">
      <w:pPr>
        <w:pStyle w:val="NormalWeb"/>
        <w:spacing w:before="0" w:after="0"/>
        <w:rPr>
          <w:rFonts w:ascii="Arial" w:hAnsi="Arial" w:cs="Arial"/>
          <w:color w:val="000000" w:themeColor="text1"/>
          <w:sz w:val="20"/>
          <w:szCs w:val="20"/>
        </w:rPr>
      </w:pPr>
    </w:p>
    <w:p w:rsidR="008E3EB2" w:rsidRPr="009E6B3C" w:rsidRDefault="00A748E2"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We,</w:t>
      </w:r>
      <w:r w:rsidR="00C13BF2" w:rsidRPr="009E6B3C">
        <w:rPr>
          <w:rFonts w:ascii="Arial" w:hAnsi="Arial" w:cs="Arial"/>
          <w:color w:val="000000" w:themeColor="text1"/>
          <w:sz w:val="20"/>
          <w:szCs w:val="20"/>
        </w:rPr>
        <w:t xml:space="preserve"> therefore, </w:t>
      </w:r>
      <w:r w:rsidR="00AD523A" w:rsidRPr="009E6B3C">
        <w:rPr>
          <w:rFonts w:ascii="Arial" w:hAnsi="Arial" w:cs="Arial"/>
          <w:color w:val="000000" w:themeColor="text1"/>
          <w:sz w:val="20"/>
          <w:szCs w:val="20"/>
        </w:rPr>
        <w:t xml:space="preserve">ask to be updated regarding the </w:t>
      </w:r>
      <w:r w:rsidR="008E3EB2" w:rsidRPr="009E6B3C">
        <w:rPr>
          <w:rFonts w:ascii="Arial" w:hAnsi="Arial" w:cs="Arial"/>
          <w:color w:val="000000" w:themeColor="text1"/>
          <w:sz w:val="20"/>
          <w:szCs w:val="20"/>
        </w:rPr>
        <w:t xml:space="preserve">current status of the Framework and the </w:t>
      </w:r>
      <w:r w:rsidR="00AD523A" w:rsidRPr="009E6B3C">
        <w:rPr>
          <w:rFonts w:ascii="Arial" w:hAnsi="Arial" w:cs="Arial"/>
          <w:color w:val="000000" w:themeColor="text1"/>
          <w:sz w:val="20"/>
          <w:szCs w:val="20"/>
        </w:rPr>
        <w:t xml:space="preserve">accompanying </w:t>
      </w:r>
      <w:r w:rsidR="008E3EB2" w:rsidRPr="009E6B3C">
        <w:rPr>
          <w:rFonts w:ascii="Arial" w:hAnsi="Arial" w:cs="Arial"/>
          <w:color w:val="000000" w:themeColor="text1"/>
          <w:sz w:val="20"/>
          <w:szCs w:val="20"/>
        </w:rPr>
        <w:t>Action Plan</w:t>
      </w:r>
      <w:r w:rsidR="00AD523A" w:rsidRPr="009E6B3C">
        <w:rPr>
          <w:rFonts w:ascii="Arial" w:hAnsi="Arial" w:cs="Arial"/>
          <w:color w:val="000000" w:themeColor="text1"/>
          <w:sz w:val="20"/>
          <w:szCs w:val="20"/>
        </w:rPr>
        <w:t xml:space="preserve"> before </w:t>
      </w:r>
      <w:r w:rsidR="00B62E7D" w:rsidRPr="009E6B3C">
        <w:rPr>
          <w:rFonts w:ascii="Arial" w:hAnsi="Arial" w:cs="Arial"/>
          <w:color w:val="000000" w:themeColor="text1"/>
          <w:sz w:val="20"/>
          <w:szCs w:val="20"/>
        </w:rPr>
        <w:t>31 January 2023</w:t>
      </w:r>
      <w:r w:rsidR="00AD523A" w:rsidRPr="009E6B3C">
        <w:rPr>
          <w:rFonts w:ascii="Arial" w:hAnsi="Arial" w:cs="Arial"/>
          <w:color w:val="000000" w:themeColor="text1"/>
          <w:sz w:val="20"/>
          <w:szCs w:val="20"/>
        </w:rPr>
        <w:t>.</w:t>
      </w:r>
    </w:p>
    <w:p w:rsidR="00A748E2" w:rsidRPr="009E6B3C" w:rsidRDefault="00A748E2" w:rsidP="009E6B3C">
      <w:pPr>
        <w:pStyle w:val="NormalWeb"/>
        <w:spacing w:before="0" w:after="0"/>
        <w:rPr>
          <w:rFonts w:ascii="Arial" w:hAnsi="Arial" w:cs="Arial"/>
          <w:color w:val="000000" w:themeColor="text1"/>
          <w:sz w:val="20"/>
          <w:szCs w:val="20"/>
        </w:rPr>
      </w:pPr>
    </w:p>
    <w:p w:rsidR="00A748E2" w:rsidRPr="009E6B3C" w:rsidRDefault="00A748E2"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We remain concerned by the backlog of sexual offences cases, despite efforts to fast-track these cases. Many sexual offences cases get stuck at the district courts because of the delayed submission of DNA reports by SAPS to the NPA. More positively, 7 618 DNA reports were reported as having been finalised in 2021/22, which allowed for the related backlog sexual offences cases to be fast-tracked. The project is in progress but the slow submission of the DNA reports remains a significant challenge.</w:t>
      </w:r>
    </w:p>
    <w:p w:rsidR="00B631E9" w:rsidRPr="009E6B3C" w:rsidRDefault="00B631E9" w:rsidP="009E6B3C">
      <w:pPr>
        <w:pStyle w:val="ListParagraph"/>
        <w:autoSpaceDE w:val="0"/>
        <w:autoSpaceDN w:val="0"/>
        <w:adjustRightInd w:val="0"/>
        <w:ind w:left="1440"/>
        <w:rPr>
          <w:rFonts w:ascii="Arial" w:hAnsi="Arial" w:cs="Arial"/>
          <w:b/>
          <w:color w:val="000000" w:themeColor="text1"/>
          <w:sz w:val="20"/>
          <w:szCs w:val="20"/>
        </w:rPr>
      </w:pPr>
    </w:p>
    <w:p w:rsidR="001B553C" w:rsidRPr="009E6B3C" w:rsidRDefault="00691F11" w:rsidP="009E6B3C">
      <w:pPr>
        <w:pStyle w:val="ListParagraph"/>
        <w:numPr>
          <w:ilvl w:val="1"/>
          <w:numId w:val="1"/>
        </w:numPr>
        <w:ind w:left="851" w:hanging="851"/>
        <w:rPr>
          <w:rFonts w:ascii="Arial" w:hAnsi="Arial" w:cs="Arial"/>
          <w:b/>
          <w:color w:val="000000" w:themeColor="text1"/>
          <w:sz w:val="20"/>
          <w:szCs w:val="20"/>
        </w:rPr>
      </w:pPr>
      <w:r w:rsidRPr="009E6B3C">
        <w:rPr>
          <w:rFonts w:ascii="Arial" w:hAnsi="Arial" w:cs="Arial"/>
          <w:b/>
          <w:i/>
          <w:color w:val="000000" w:themeColor="text1"/>
          <w:sz w:val="20"/>
          <w:szCs w:val="20"/>
        </w:rPr>
        <w:t>Court i</w:t>
      </w:r>
      <w:r w:rsidR="00C13BF2" w:rsidRPr="009E6B3C">
        <w:rPr>
          <w:rFonts w:ascii="Arial" w:hAnsi="Arial" w:cs="Arial"/>
          <w:b/>
          <w:i/>
          <w:color w:val="000000" w:themeColor="text1"/>
          <w:sz w:val="20"/>
          <w:szCs w:val="20"/>
        </w:rPr>
        <w:t>nfrastructure</w:t>
      </w:r>
    </w:p>
    <w:p w:rsidR="001B553C" w:rsidRPr="009E6B3C" w:rsidRDefault="001B553C" w:rsidP="009E6B3C">
      <w:pPr>
        <w:pStyle w:val="NormalWeb"/>
        <w:spacing w:before="0" w:after="0"/>
        <w:rPr>
          <w:rFonts w:ascii="Arial" w:hAnsi="Arial" w:cs="Arial"/>
          <w:color w:val="000000" w:themeColor="text1"/>
          <w:sz w:val="20"/>
          <w:szCs w:val="20"/>
        </w:rPr>
      </w:pPr>
    </w:p>
    <w:p w:rsidR="00D32E43" w:rsidRPr="009E6B3C" w:rsidRDefault="00C13BF2" w:rsidP="009E6B3C">
      <w:pPr>
        <w:pStyle w:val="NormalWeb"/>
        <w:spacing w:before="0" w:after="0"/>
        <w:rPr>
          <w:rFonts w:ascii="Arial" w:hAnsi="Arial" w:cs="Arial"/>
          <w:color w:val="000000" w:themeColor="text1"/>
          <w:sz w:val="20"/>
          <w:szCs w:val="20"/>
          <w:lang w:eastAsia="en-ZA"/>
        </w:rPr>
      </w:pPr>
      <w:r w:rsidRPr="009E6B3C">
        <w:rPr>
          <w:rFonts w:ascii="Arial" w:hAnsi="Arial" w:cs="Arial"/>
          <w:color w:val="000000" w:themeColor="text1"/>
          <w:sz w:val="20"/>
          <w:szCs w:val="20"/>
        </w:rPr>
        <w:t xml:space="preserve">We have previously reported on the </w:t>
      </w:r>
      <w:r w:rsidR="00B631E9" w:rsidRPr="009E6B3C">
        <w:rPr>
          <w:rFonts w:ascii="Arial" w:hAnsi="Arial" w:cs="Arial"/>
          <w:color w:val="000000" w:themeColor="text1"/>
          <w:sz w:val="20"/>
          <w:szCs w:val="20"/>
        </w:rPr>
        <w:t>deplorable, even shocking, state of the Department’s infrastructure. Not only are some court buildings so neglected that they have become structurally unsafe</w:t>
      </w:r>
      <w:r w:rsidR="00FA4208" w:rsidRPr="009E6B3C">
        <w:rPr>
          <w:rFonts w:ascii="Arial" w:hAnsi="Arial" w:cs="Arial"/>
          <w:color w:val="000000" w:themeColor="text1"/>
          <w:sz w:val="20"/>
          <w:szCs w:val="20"/>
        </w:rPr>
        <w:t>,</w:t>
      </w:r>
      <w:r w:rsidR="00B631E9" w:rsidRPr="009E6B3C">
        <w:rPr>
          <w:rFonts w:ascii="Arial" w:hAnsi="Arial" w:cs="Arial"/>
          <w:color w:val="000000" w:themeColor="text1"/>
          <w:sz w:val="20"/>
          <w:szCs w:val="20"/>
          <w:lang w:eastAsia="en-ZA"/>
        </w:rPr>
        <w:t xml:space="preserve"> a</w:t>
      </w:r>
      <w:r w:rsidR="00B631E9" w:rsidRPr="009E6B3C">
        <w:rPr>
          <w:rFonts w:ascii="Arial" w:hAnsi="Arial" w:cs="Arial"/>
          <w:color w:val="000000" w:themeColor="text1"/>
          <w:sz w:val="20"/>
          <w:szCs w:val="20"/>
        </w:rPr>
        <w:t xml:space="preserve"> </w:t>
      </w:r>
      <w:r w:rsidR="00B631E9" w:rsidRPr="009E6B3C">
        <w:rPr>
          <w:rFonts w:ascii="Arial" w:hAnsi="Arial" w:cs="Arial"/>
          <w:color w:val="000000" w:themeColor="text1"/>
          <w:sz w:val="20"/>
          <w:szCs w:val="20"/>
          <w:lang w:eastAsia="en-ZA"/>
        </w:rPr>
        <w:t>number of courts cannot access running water and electricity when there are ou</w:t>
      </w:r>
      <w:r w:rsidRPr="009E6B3C">
        <w:rPr>
          <w:rFonts w:ascii="Arial" w:hAnsi="Arial" w:cs="Arial"/>
          <w:color w:val="000000" w:themeColor="text1"/>
          <w:sz w:val="20"/>
          <w:szCs w:val="20"/>
          <w:lang w:eastAsia="en-ZA"/>
        </w:rPr>
        <w:t>tages</w:t>
      </w:r>
      <w:r w:rsidR="00FA4208" w:rsidRPr="009E6B3C">
        <w:rPr>
          <w:rFonts w:ascii="Arial" w:hAnsi="Arial" w:cs="Arial"/>
          <w:color w:val="000000" w:themeColor="text1"/>
          <w:sz w:val="20"/>
          <w:szCs w:val="20"/>
          <w:lang w:eastAsia="en-ZA"/>
        </w:rPr>
        <w:t xml:space="preserve"> which prevents the courts from operating</w:t>
      </w:r>
      <w:r w:rsidRPr="009E6B3C">
        <w:rPr>
          <w:rFonts w:ascii="Arial" w:hAnsi="Arial" w:cs="Arial"/>
          <w:color w:val="000000" w:themeColor="text1"/>
          <w:sz w:val="20"/>
          <w:szCs w:val="20"/>
          <w:lang w:eastAsia="en-ZA"/>
        </w:rPr>
        <w:t xml:space="preserve">. </w:t>
      </w:r>
    </w:p>
    <w:p w:rsidR="00D32E43" w:rsidRPr="009E6B3C" w:rsidRDefault="00D32E43" w:rsidP="009E6B3C">
      <w:pPr>
        <w:pStyle w:val="NormalWeb"/>
        <w:spacing w:before="0" w:after="0"/>
        <w:rPr>
          <w:rFonts w:ascii="Arial" w:hAnsi="Arial" w:cs="Arial"/>
          <w:color w:val="000000" w:themeColor="text1"/>
          <w:sz w:val="20"/>
          <w:szCs w:val="20"/>
          <w:lang w:eastAsia="en-ZA"/>
        </w:rPr>
      </w:pPr>
    </w:p>
    <w:p w:rsidR="00D32E43" w:rsidRPr="009E6B3C" w:rsidRDefault="00FA4208" w:rsidP="009E6B3C">
      <w:pPr>
        <w:tabs>
          <w:tab w:val="num" w:pos="851"/>
        </w:tabs>
        <w:rPr>
          <w:rFonts w:ascii="Arial" w:hAnsi="Arial" w:cs="Arial"/>
          <w:sz w:val="20"/>
          <w:szCs w:val="20"/>
        </w:rPr>
      </w:pPr>
      <w:r w:rsidRPr="009E6B3C">
        <w:rPr>
          <w:rFonts w:ascii="Arial" w:hAnsi="Arial" w:cs="Arial"/>
          <w:color w:val="000000" w:themeColor="text1"/>
          <w:sz w:val="20"/>
          <w:szCs w:val="20"/>
          <w:lang w:eastAsia="en-ZA"/>
        </w:rPr>
        <w:t xml:space="preserve">We have also expressed our </w:t>
      </w:r>
      <w:r w:rsidR="00B631E9" w:rsidRPr="009E6B3C">
        <w:rPr>
          <w:rFonts w:ascii="Arial" w:hAnsi="Arial" w:cs="Arial"/>
          <w:color w:val="000000" w:themeColor="text1"/>
          <w:sz w:val="20"/>
          <w:szCs w:val="20"/>
          <w:lang w:eastAsia="en-ZA"/>
        </w:rPr>
        <w:t xml:space="preserve">concern about </w:t>
      </w:r>
      <w:r w:rsidRPr="009E6B3C">
        <w:rPr>
          <w:rFonts w:ascii="Arial" w:hAnsi="Arial" w:cs="Arial"/>
          <w:color w:val="000000" w:themeColor="text1"/>
          <w:sz w:val="20"/>
          <w:szCs w:val="20"/>
          <w:lang w:eastAsia="en-ZA"/>
        </w:rPr>
        <w:t xml:space="preserve">the tendency to engage in </w:t>
      </w:r>
      <w:r w:rsidR="00B631E9" w:rsidRPr="009E6B3C">
        <w:rPr>
          <w:rFonts w:ascii="Arial" w:hAnsi="Arial" w:cs="Arial"/>
          <w:color w:val="000000" w:themeColor="text1"/>
          <w:sz w:val="20"/>
          <w:szCs w:val="20"/>
          <w:lang w:eastAsia="en-ZA"/>
        </w:rPr>
        <w:t>reactive rather than proactive maint</w:t>
      </w:r>
      <w:r w:rsidRPr="009E6B3C">
        <w:rPr>
          <w:rFonts w:ascii="Arial" w:hAnsi="Arial" w:cs="Arial"/>
          <w:color w:val="000000" w:themeColor="text1"/>
          <w:sz w:val="20"/>
          <w:szCs w:val="20"/>
          <w:lang w:eastAsia="en-ZA"/>
        </w:rPr>
        <w:t>enance of many court bui</w:t>
      </w:r>
      <w:r w:rsidR="00D32E43" w:rsidRPr="009E6B3C">
        <w:rPr>
          <w:rFonts w:ascii="Arial" w:hAnsi="Arial" w:cs="Arial"/>
          <w:color w:val="000000" w:themeColor="text1"/>
          <w:sz w:val="20"/>
          <w:szCs w:val="20"/>
          <w:lang w:eastAsia="en-ZA"/>
        </w:rPr>
        <w:t xml:space="preserve">ldings and have noted the plan to </w:t>
      </w:r>
      <w:r w:rsidR="00D32E43" w:rsidRPr="009E6B3C">
        <w:rPr>
          <w:rFonts w:ascii="Arial" w:hAnsi="Arial" w:cs="Arial"/>
          <w:sz w:val="20"/>
          <w:szCs w:val="20"/>
        </w:rPr>
        <w:t>enter into term contracts for general building works, plumbing and fire services. The Department has also reported that it has requested an increase in the financial delegation to allow it to undertake more of its own maintenance work and that a framework was being developed to guide engagements between the Department and DPWI.</w:t>
      </w:r>
    </w:p>
    <w:p w:rsidR="00B631E9" w:rsidRPr="009E6B3C" w:rsidRDefault="00B631E9" w:rsidP="009E6B3C">
      <w:pPr>
        <w:pStyle w:val="NormalWeb"/>
        <w:spacing w:before="0" w:after="0"/>
        <w:rPr>
          <w:rFonts w:ascii="Arial" w:hAnsi="Arial" w:cs="Arial"/>
          <w:color w:val="000000" w:themeColor="text1"/>
          <w:sz w:val="20"/>
          <w:szCs w:val="20"/>
        </w:rPr>
      </w:pPr>
    </w:p>
    <w:p w:rsidR="00B631E9" w:rsidRPr="009E6B3C" w:rsidRDefault="00697D51"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have reported on the challenges that typically accompany infrastructure projects but </w:t>
      </w:r>
      <w:r w:rsidR="00D32E43" w:rsidRPr="009E6B3C">
        <w:rPr>
          <w:rFonts w:ascii="Arial" w:hAnsi="Arial" w:cs="Arial"/>
          <w:color w:val="000000" w:themeColor="text1"/>
          <w:sz w:val="20"/>
          <w:szCs w:val="20"/>
        </w:rPr>
        <w:t xml:space="preserve">note that </w:t>
      </w:r>
      <w:r w:rsidRPr="009E6B3C">
        <w:rPr>
          <w:rFonts w:ascii="Arial" w:hAnsi="Arial" w:cs="Arial"/>
          <w:color w:val="000000" w:themeColor="text1"/>
          <w:sz w:val="20"/>
          <w:szCs w:val="20"/>
        </w:rPr>
        <w:t xml:space="preserve">a new </w:t>
      </w:r>
      <w:r w:rsidR="00C13BF2" w:rsidRPr="009E6B3C">
        <w:rPr>
          <w:rFonts w:ascii="Arial" w:hAnsi="Arial" w:cs="Arial"/>
          <w:color w:val="000000" w:themeColor="text1"/>
          <w:sz w:val="20"/>
          <w:szCs w:val="20"/>
        </w:rPr>
        <w:t>c</w:t>
      </w:r>
      <w:r w:rsidRPr="009E6B3C">
        <w:rPr>
          <w:rFonts w:ascii="Arial" w:hAnsi="Arial" w:cs="Arial"/>
          <w:color w:val="000000" w:themeColor="text1"/>
          <w:sz w:val="20"/>
          <w:szCs w:val="20"/>
        </w:rPr>
        <w:t xml:space="preserve">oncern is that </w:t>
      </w:r>
      <w:r w:rsidR="00D32E43" w:rsidRPr="009E6B3C">
        <w:rPr>
          <w:rFonts w:ascii="Arial" w:hAnsi="Arial" w:cs="Arial"/>
          <w:color w:val="000000" w:themeColor="text1"/>
          <w:sz w:val="20"/>
          <w:szCs w:val="20"/>
        </w:rPr>
        <w:t xml:space="preserve">these are </w:t>
      </w:r>
      <w:r w:rsidRPr="009E6B3C">
        <w:rPr>
          <w:rFonts w:ascii="Arial" w:hAnsi="Arial" w:cs="Arial"/>
          <w:color w:val="000000" w:themeColor="text1"/>
          <w:sz w:val="20"/>
          <w:szCs w:val="20"/>
        </w:rPr>
        <w:t xml:space="preserve">being aggravated </w:t>
      </w:r>
      <w:r w:rsidR="00D32E43" w:rsidRPr="009E6B3C">
        <w:rPr>
          <w:rFonts w:ascii="Arial" w:hAnsi="Arial" w:cs="Arial"/>
          <w:color w:val="000000" w:themeColor="text1"/>
          <w:sz w:val="20"/>
          <w:szCs w:val="20"/>
        </w:rPr>
        <w:t xml:space="preserve">in some instances by </w:t>
      </w:r>
      <w:r w:rsidR="00B631E9" w:rsidRPr="009E6B3C">
        <w:rPr>
          <w:rFonts w:ascii="Arial" w:hAnsi="Arial" w:cs="Arial"/>
          <w:color w:val="000000" w:themeColor="text1"/>
          <w:sz w:val="20"/>
          <w:szCs w:val="20"/>
        </w:rPr>
        <w:t xml:space="preserve">so called ‘Business Forums’ </w:t>
      </w:r>
      <w:r w:rsidRPr="009E6B3C">
        <w:rPr>
          <w:rFonts w:ascii="Arial" w:hAnsi="Arial" w:cs="Arial"/>
          <w:color w:val="000000" w:themeColor="text1"/>
          <w:sz w:val="20"/>
          <w:szCs w:val="20"/>
        </w:rPr>
        <w:t xml:space="preserve">that demand </w:t>
      </w:r>
      <w:r w:rsidR="00B631E9" w:rsidRPr="009E6B3C">
        <w:rPr>
          <w:rFonts w:ascii="Arial" w:hAnsi="Arial" w:cs="Arial"/>
          <w:color w:val="000000" w:themeColor="text1"/>
          <w:sz w:val="20"/>
          <w:szCs w:val="20"/>
        </w:rPr>
        <w:t>sub</w:t>
      </w:r>
      <w:r w:rsidRPr="009E6B3C">
        <w:rPr>
          <w:rFonts w:ascii="Arial" w:hAnsi="Arial" w:cs="Arial"/>
          <w:color w:val="000000" w:themeColor="text1"/>
          <w:sz w:val="20"/>
          <w:szCs w:val="20"/>
        </w:rPr>
        <w:t>-</w:t>
      </w:r>
      <w:r w:rsidR="00B631E9" w:rsidRPr="009E6B3C">
        <w:rPr>
          <w:rFonts w:ascii="Arial" w:hAnsi="Arial" w:cs="Arial"/>
          <w:color w:val="000000" w:themeColor="text1"/>
          <w:sz w:val="20"/>
          <w:szCs w:val="20"/>
        </w:rPr>
        <w:t xml:space="preserve">contracting work. </w:t>
      </w:r>
      <w:r w:rsidRPr="009E6B3C">
        <w:rPr>
          <w:rFonts w:ascii="Arial" w:hAnsi="Arial" w:cs="Arial"/>
          <w:color w:val="000000" w:themeColor="text1"/>
          <w:sz w:val="20"/>
          <w:szCs w:val="20"/>
        </w:rPr>
        <w:t xml:space="preserve">For example, in February 2022, </w:t>
      </w:r>
      <w:r w:rsidR="00B631E9" w:rsidRPr="009E6B3C">
        <w:rPr>
          <w:rFonts w:ascii="Arial" w:hAnsi="Arial" w:cs="Arial"/>
          <w:color w:val="000000" w:themeColor="text1"/>
          <w:sz w:val="20"/>
          <w:szCs w:val="20"/>
        </w:rPr>
        <w:t xml:space="preserve">arrests were made at the Durban High Court construction site when a group of armed men </w:t>
      </w:r>
      <w:r w:rsidRPr="009E6B3C">
        <w:rPr>
          <w:rFonts w:ascii="Arial" w:hAnsi="Arial" w:cs="Arial"/>
          <w:color w:val="000000" w:themeColor="text1"/>
          <w:sz w:val="20"/>
          <w:szCs w:val="20"/>
        </w:rPr>
        <w:t xml:space="preserve">attempted to take over the site. </w:t>
      </w:r>
      <w:r w:rsidR="00B631E9" w:rsidRPr="009E6B3C">
        <w:rPr>
          <w:rFonts w:ascii="Arial" w:hAnsi="Arial" w:cs="Arial"/>
          <w:color w:val="000000" w:themeColor="text1"/>
          <w:sz w:val="20"/>
          <w:szCs w:val="20"/>
        </w:rPr>
        <w:t>The</w:t>
      </w:r>
      <w:r w:rsidRPr="009E6B3C">
        <w:rPr>
          <w:rFonts w:ascii="Arial" w:hAnsi="Arial" w:cs="Arial"/>
          <w:color w:val="000000" w:themeColor="text1"/>
          <w:sz w:val="20"/>
          <w:szCs w:val="20"/>
        </w:rPr>
        <w:t xml:space="preserve">se disruptions, delay infrastructure </w:t>
      </w:r>
      <w:r w:rsidR="00B631E9" w:rsidRPr="009E6B3C">
        <w:rPr>
          <w:rFonts w:ascii="Arial" w:hAnsi="Arial" w:cs="Arial"/>
          <w:color w:val="000000" w:themeColor="text1"/>
          <w:sz w:val="20"/>
          <w:szCs w:val="20"/>
        </w:rPr>
        <w:t xml:space="preserve">projects </w:t>
      </w:r>
      <w:r w:rsidRPr="009E6B3C">
        <w:rPr>
          <w:rFonts w:ascii="Arial" w:hAnsi="Arial" w:cs="Arial"/>
          <w:color w:val="000000" w:themeColor="text1"/>
          <w:sz w:val="20"/>
          <w:szCs w:val="20"/>
        </w:rPr>
        <w:t>and are costly.</w:t>
      </w:r>
    </w:p>
    <w:p w:rsidR="003E5345" w:rsidRPr="009E6B3C" w:rsidRDefault="003E5345" w:rsidP="009E6B3C">
      <w:pPr>
        <w:pStyle w:val="NormalWeb"/>
        <w:spacing w:before="0" w:after="0"/>
        <w:rPr>
          <w:rFonts w:ascii="Arial" w:hAnsi="Arial" w:cs="Arial"/>
          <w:color w:val="000000" w:themeColor="text1"/>
          <w:sz w:val="20"/>
          <w:szCs w:val="20"/>
        </w:rPr>
      </w:pPr>
    </w:p>
    <w:p w:rsidR="003E5345" w:rsidRPr="009E6B3C" w:rsidRDefault="003E5345"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intend to meet with the Ministers of Justice and Correctional Services and Public Works and Infrastructure to discuss our observations </w:t>
      </w:r>
      <w:r w:rsidR="00A119EE" w:rsidRPr="009E6B3C">
        <w:rPr>
          <w:rFonts w:ascii="Arial" w:hAnsi="Arial" w:cs="Arial"/>
          <w:color w:val="000000" w:themeColor="text1"/>
          <w:sz w:val="20"/>
          <w:szCs w:val="20"/>
        </w:rPr>
        <w:t xml:space="preserve">about the state of the courts </w:t>
      </w:r>
      <w:r w:rsidRPr="009E6B3C">
        <w:rPr>
          <w:rFonts w:ascii="Arial" w:hAnsi="Arial" w:cs="Arial"/>
          <w:color w:val="000000" w:themeColor="text1"/>
          <w:sz w:val="20"/>
          <w:szCs w:val="20"/>
        </w:rPr>
        <w:t>as soon as the programme permits.</w:t>
      </w:r>
    </w:p>
    <w:p w:rsidR="00D32E43" w:rsidRPr="009E6B3C" w:rsidRDefault="00D32E43" w:rsidP="009E6B3C">
      <w:pPr>
        <w:tabs>
          <w:tab w:val="num" w:pos="851"/>
        </w:tabs>
        <w:rPr>
          <w:rFonts w:ascii="Arial" w:hAnsi="Arial" w:cs="Arial"/>
          <w:sz w:val="20"/>
          <w:szCs w:val="20"/>
        </w:rPr>
      </w:pPr>
    </w:p>
    <w:p w:rsidR="00C54B0B" w:rsidRPr="009E6B3C" w:rsidRDefault="00D32E43" w:rsidP="009E6B3C">
      <w:pPr>
        <w:pStyle w:val="BodySingle"/>
        <w:ind w:left="0"/>
        <w:jc w:val="left"/>
        <w:rPr>
          <w:rFonts w:cs="Arial"/>
          <w:i w:val="0"/>
          <w:lang w:val="en-ZA"/>
        </w:rPr>
      </w:pPr>
      <w:r w:rsidRPr="009E6B3C">
        <w:rPr>
          <w:rFonts w:cs="Arial"/>
          <w:i w:val="0"/>
          <w:noProof w:val="0"/>
          <w:lang w:val="en-ZA" w:eastAsia="en-GB"/>
        </w:rPr>
        <w:t xml:space="preserve">In addition, we </w:t>
      </w:r>
      <w:r w:rsidR="00C54B0B" w:rsidRPr="009E6B3C">
        <w:rPr>
          <w:rFonts w:cs="Arial"/>
          <w:i w:val="0"/>
          <w:lang w:val="en-ZA"/>
        </w:rPr>
        <w:t>request that the Department provide a comprehensive progress report on its infrastructure programme, as well as its maintenance programme</w:t>
      </w:r>
      <w:r w:rsidRPr="009E6B3C">
        <w:rPr>
          <w:rFonts w:cs="Arial"/>
          <w:i w:val="0"/>
          <w:lang w:val="en-ZA"/>
        </w:rPr>
        <w:t>, including the progress of its plans to enter into term contracts, raise the financial delegations and development a framew</w:t>
      </w:r>
      <w:r w:rsidR="00615202" w:rsidRPr="009E6B3C">
        <w:rPr>
          <w:rFonts w:cs="Arial"/>
          <w:i w:val="0"/>
          <w:lang w:val="en-ZA"/>
        </w:rPr>
        <w:t>o</w:t>
      </w:r>
      <w:r w:rsidRPr="009E6B3C">
        <w:rPr>
          <w:rFonts w:cs="Arial"/>
          <w:i w:val="0"/>
          <w:lang w:val="en-ZA"/>
        </w:rPr>
        <w:t xml:space="preserve">rk to guide its interactions with DPWI, before </w:t>
      </w:r>
      <w:r w:rsidR="00B62E7D" w:rsidRPr="009E6B3C">
        <w:rPr>
          <w:rFonts w:cs="Arial"/>
          <w:i w:val="0"/>
          <w:lang w:val="en-ZA"/>
        </w:rPr>
        <w:t>31 January 2023</w:t>
      </w:r>
      <w:r w:rsidRPr="009E6B3C">
        <w:rPr>
          <w:rFonts w:cs="Arial"/>
          <w:i w:val="0"/>
          <w:lang w:val="en-ZA"/>
        </w:rPr>
        <w:t xml:space="preserve">, </w:t>
      </w:r>
      <w:r w:rsidR="00C54B0B" w:rsidRPr="009E6B3C">
        <w:rPr>
          <w:rFonts w:cs="Arial"/>
          <w:i w:val="0"/>
          <w:lang w:val="en-ZA"/>
        </w:rPr>
        <w:t>and continue to report on progress as part of the quarterly reporting process.</w:t>
      </w:r>
    </w:p>
    <w:p w:rsidR="00987031" w:rsidRPr="009E6B3C" w:rsidRDefault="00987031" w:rsidP="009E6B3C">
      <w:pPr>
        <w:pStyle w:val="NormalWeb"/>
        <w:spacing w:before="0" w:after="0"/>
        <w:rPr>
          <w:rFonts w:ascii="Arial" w:hAnsi="Arial" w:cs="Arial"/>
          <w:color w:val="000000" w:themeColor="text1"/>
          <w:sz w:val="20"/>
          <w:szCs w:val="20"/>
        </w:rPr>
      </w:pPr>
    </w:p>
    <w:p w:rsidR="00920C95" w:rsidRPr="009E6B3C" w:rsidRDefault="00920C95" w:rsidP="009E6B3C">
      <w:pPr>
        <w:pStyle w:val="ListParagraph"/>
        <w:numPr>
          <w:ilvl w:val="1"/>
          <w:numId w:val="1"/>
        </w:numPr>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Sexual offences</w:t>
      </w:r>
    </w:p>
    <w:p w:rsidR="00920C95" w:rsidRPr="009E6B3C" w:rsidRDefault="00920C95" w:rsidP="009E6B3C">
      <w:pPr>
        <w:pStyle w:val="NormalWeb"/>
        <w:spacing w:before="0" w:after="0"/>
        <w:rPr>
          <w:rFonts w:ascii="Arial" w:hAnsi="Arial" w:cs="Arial"/>
          <w:color w:val="000000" w:themeColor="text1"/>
          <w:sz w:val="20"/>
          <w:szCs w:val="20"/>
        </w:rPr>
      </w:pPr>
    </w:p>
    <w:p w:rsidR="00920C95" w:rsidRPr="009E6B3C" w:rsidRDefault="00920C95" w:rsidP="009E6B3C">
      <w:pPr>
        <w:rPr>
          <w:rFonts w:ascii="Arial" w:hAnsi="Arial" w:cs="Arial"/>
          <w:sz w:val="20"/>
          <w:szCs w:val="20"/>
        </w:rPr>
      </w:pPr>
      <w:r w:rsidRPr="009E6B3C">
        <w:rPr>
          <w:rFonts w:ascii="Arial" w:hAnsi="Arial" w:cs="Arial"/>
          <w:sz w:val="20"/>
          <w:szCs w:val="20"/>
        </w:rPr>
        <w:t>We note that the Department has tabled its 2021/22 Report on the Implementation of the Criminal Law (Sexual Offences and Related Matters) Amendment Act and believe that consideration of its contents will provide an opportunity for focused engagement on the issue. We will arrange a briefing on the Report as soon as its programme permits.</w:t>
      </w:r>
    </w:p>
    <w:p w:rsidR="00920C95" w:rsidRPr="009E6B3C" w:rsidRDefault="00920C95" w:rsidP="009E6B3C">
      <w:pPr>
        <w:autoSpaceDE w:val="0"/>
        <w:autoSpaceDN w:val="0"/>
        <w:adjustRightInd w:val="0"/>
        <w:contextualSpacing/>
        <w:rPr>
          <w:rFonts w:ascii="Arial" w:hAnsi="Arial" w:cs="Arial"/>
          <w:color w:val="000000" w:themeColor="text1"/>
          <w:sz w:val="20"/>
          <w:szCs w:val="20"/>
        </w:rPr>
      </w:pPr>
    </w:p>
    <w:p w:rsidR="00EA4FDF" w:rsidRPr="009E6B3C" w:rsidRDefault="00966847" w:rsidP="009E6B3C">
      <w:pPr>
        <w:pStyle w:val="ListParagraph"/>
        <w:numPr>
          <w:ilvl w:val="1"/>
          <w:numId w:val="1"/>
        </w:numPr>
        <w:ind w:left="851" w:hanging="851"/>
        <w:rPr>
          <w:rFonts w:ascii="Arial" w:hAnsi="Arial" w:cs="Arial"/>
          <w:b/>
          <w:color w:val="000000" w:themeColor="text1"/>
          <w:sz w:val="20"/>
          <w:szCs w:val="20"/>
        </w:rPr>
      </w:pPr>
      <w:r w:rsidRPr="009E6B3C">
        <w:rPr>
          <w:rFonts w:ascii="Arial" w:hAnsi="Arial" w:cs="Arial"/>
          <w:b/>
          <w:i/>
          <w:color w:val="000000" w:themeColor="text1"/>
          <w:sz w:val="20"/>
          <w:szCs w:val="20"/>
        </w:rPr>
        <w:t>State</w:t>
      </w:r>
      <w:r w:rsidRPr="009E6B3C">
        <w:rPr>
          <w:rFonts w:ascii="Arial" w:hAnsi="Arial" w:cs="Arial"/>
          <w:b/>
          <w:color w:val="000000" w:themeColor="text1"/>
          <w:sz w:val="20"/>
          <w:szCs w:val="20"/>
        </w:rPr>
        <w:t xml:space="preserve"> </w:t>
      </w:r>
      <w:r w:rsidRPr="009E6B3C">
        <w:rPr>
          <w:rFonts w:ascii="Arial" w:hAnsi="Arial" w:cs="Arial"/>
          <w:b/>
          <w:i/>
          <w:color w:val="000000" w:themeColor="text1"/>
          <w:sz w:val="20"/>
          <w:szCs w:val="20"/>
        </w:rPr>
        <w:t>At</w:t>
      </w:r>
      <w:r w:rsidR="00EA4FDF" w:rsidRPr="009E6B3C">
        <w:rPr>
          <w:rFonts w:ascii="Arial" w:hAnsi="Arial" w:cs="Arial"/>
          <w:b/>
          <w:i/>
          <w:color w:val="000000" w:themeColor="text1"/>
          <w:sz w:val="20"/>
          <w:szCs w:val="20"/>
        </w:rPr>
        <w:t>torney</w:t>
      </w:r>
    </w:p>
    <w:p w:rsidR="00D6441A" w:rsidRPr="009E6B3C" w:rsidRDefault="00D6441A" w:rsidP="009E6B3C">
      <w:pPr>
        <w:pStyle w:val="NormalWeb"/>
        <w:spacing w:before="0" w:after="0"/>
        <w:rPr>
          <w:rFonts w:ascii="Arial" w:hAnsi="Arial" w:cs="Arial"/>
          <w:color w:val="000000" w:themeColor="text1"/>
          <w:sz w:val="20"/>
          <w:szCs w:val="20"/>
        </w:rPr>
      </w:pPr>
    </w:p>
    <w:p w:rsidR="005B2A38" w:rsidRPr="009E6B3C" w:rsidRDefault="00920C95" w:rsidP="009E6B3C">
      <w:pPr>
        <w:contextualSpacing/>
        <w:rPr>
          <w:rFonts w:ascii="Arial" w:hAnsi="Arial" w:cs="Arial"/>
          <w:color w:val="000000" w:themeColor="text1"/>
          <w:sz w:val="20"/>
          <w:szCs w:val="20"/>
        </w:rPr>
      </w:pPr>
      <w:r w:rsidRPr="009E6B3C">
        <w:rPr>
          <w:rFonts w:ascii="Arial" w:hAnsi="Arial" w:cs="Arial"/>
          <w:color w:val="000000" w:themeColor="text1"/>
          <w:sz w:val="20"/>
          <w:szCs w:val="20"/>
        </w:rPr>
        <w:t xml:space="preserve">We have repeatedly </w:t>
      </w:r>
      <w:r w:rsidR="005B2A38" w:rsidRPr="009E6B3C">
        <w:rPr>
          <w:rFonts w:ascii="Arial" w:hAnsi="Arial" w:cs="Arial"/>
          <w:color w:val="000000" w:themeColor="text1"/>
          <w:sz w:val="20"/>
          <w:szCs w:val="20"/>
        </w:rPr>
        <w:t>urged the Department to prioritise finalising the Solicitor</w:t>
      </w:r>
      <w:r w:rsidR="00615202" w:rsidRPr="009E6B3C">
        <w:rPr>
          <w:rFonts w:ascii="Arial" w:hAnsi="Arial" w:cs="Arial"/>
          <w:color w:val="000000" w:themeColor="text1"/>
          <w:sz w:val="20"/>
          <w:szCs w:val="20"/>
        </w:rPr>
        <w:t>-</w:t>
      </w:r>
      <w:r w:rsidR="005B2A38" w:rsidRPr="009E6B3C">
        <w:rPr>
          <w:rFonts w:ascii="Arial" w:hAnsi="Arial" w:cs="Arial"/>
          <w:color w:val="000000" w:themeColor="text1"/>
          <w:sz w:val="20"/>
          <w:szCs w:val="20"/>
        </w:rPr>
        <w:t xml:space="preserve">General position so that a recruitment process can get underway. </w:t>
      </w:r>
      <w:r w:rsidR="003201AF" w:rsidRPr="009E6B3C">
        <w:rPr>
          <w:rFonts w:ascii="Arial" w:hAnsi="Arial" w:cs="Arial"/>
          <w:color w:val="000000" w:themeColor="text1"/>
          <w:sz w:val="20"/>
          <w:szCs w:val="20"/>
        </w:rPr>
        <w:t>T</w:t>
      </w:r>
      <w:r w:rsidR="005B2A38" w:rsidRPr="009E6B3C">
        <w:rPr>
          <w:rFonts w:ascii="Arial" w:hAnsi="Arial" w:cs="Arial"/>
          <w:color w:val="000000" w:themeColor="text1"/>
          <w:sz w:val="20"/>
          <w:szCs w:val="20"/>
        </w:rPr>
        <w:t xml:space="preserve">he Department </w:t>
      </w:r>
      <w:r w:rsidR="003201AF" w:rsidRPr="009E6B3C">
        <w:rPr>
          <w:rFonts w:ascii="Arial" w:hAnsi="Arial" w:cs="Arial"/>
          <w:color w:val="000000" w:themeColor="text1"/>
          <w:sz w:val="20"/>
          <w:szCs w:val="20"/>
        </w:rPr>
        <w:t xml:space="preserve">has </w:t>
      </w:r>
      <w:r w:rsidR="005B2A38" w:rsidRPr="009E6B3C">
        <w:rPr>
          <w:rFonts w:ascii="Arial" w:hAnsi="Arial" w:cs="Arial"/>
          <w:color w:val="000000" w:themeColor="text1"/>
          <w:sz w:val="20"/>
          <w:szCs w:val="20"/>
        </w:rPr>
        <w:t>report</w:t>
      </w:r>
      <w:r w:rsidR="003201AF" w:rsidRPr="009E6B3C">
        <w:rPr>
          <w:rFonts w:ascii="Arial" w:hAnsi="Arial" w:cs="Arial"/>
          <w:color w:val="000000" w:themeColor="text1"/>
          <w:sz w:val="20"/>
          <w:szCs w:val="20"/>
        </w:rPr>
        <w:t>ed</w:t>
      </w:r>
      <w:r w:rsidR="005B2A38" w:rsidRPr="009E6B3C">
        <w:rPr>
          <w:rFonts w:ascii="Arial" w:hAnsi="Arial" w:cs="Arial"/>
          <w:color w:val="000000" w:themeColor="text1"/>
          <w:sz w:val="20"/>
          <w:szCs w:val="20"/>
        </w:rPr>
        <w:t xml:space="preserve"> that the outstanding aspect to finalise the filling of the position of Solicitor-General is </w:t>
      </w:r>
      <w:r w:rsidR="003201AF" w:rsidRPr="009E6B3C">
        <w:rPr>
          <w:rFonts w:ascii="Arial" w:hAnsi="Arial" w:cs="Arial"/>
          <w:color w:val="000000" w:themeColor="text1"/>
          <w:sz w:val="20"/>
          <w:szCs w:val="20"/>
        </w:rPr>
        <w:t>a</w:t>
      </w:r>
      <w:r w:rsidR="005B2A38" w:rsidRPr="009E6B3C">
        <w:rPr>
          <w:rFonts w:ascii="Arial" w:hAnsi="Arial" w:cs="Arial"/>
          <w:color w:val="000000" w:themeColor="text1"/>
          <w:sz w:val="20"/>
          <w:szCs w:val="20"/>
        </w:rPr>
        <w:t xml:space="preserve"> job evaluation</w:t>
      </w:r>
      <w:r w:rsidR="003201AF" w:rsidRPr="009E6B3C">
        <w:rPr>
          <w:rFonts w:ascii="Arial" w:hAnsi="Arial" w:cs="Arial"/>
          <w:color w:val="000000" w:themeColor="text1"/>
          <w:sz w:val="20"/>
          <w:szCs w:val="20"/>
        </w:rPr>
        <w:t>.</w:t>
      </w:r>
      <w:r w:rsidR="005B2A38" w:rsidRPr="009E6B3C">
        <w:rPr>
          <w:rFonts w:ascii="Arial" w:hAnsi="Arial" w:cs="Arial"/>
          <w:color w:val="000000" w:themeColor="text1"/>
          <w:sz w:val="20"/>
          <w:szCs w:val="20"/>
        </w:rPr>
        <w:t xml:space="preserve"> After seeking </w:t>
      </w:r>
      <w:r w:rsidR="003201AF" w:rsidRPr="009E6B3C">
        <w:rPr>
          <w:rFonts w:ascii="Arial" w:hAnsi="Arial" w:cs="Arial"/>
          <w:color w:val="000000" w:themeColor="text1"/>
          <w:sz w:val="20"/>
          <w:szCs w:val="20"/>
        </w:rPr>
        <w:t xml:space="preserve">an </w:t>
      </w:r>
      <w:r w:rsidR="005B2A38" w:rsidRPr="009E6B3C">
        <w:rPr>
          <w:rFonts w:ascii="Arial" w:hAnsi="Arial" w:cs="Arial"/>
          <w:color w:val="000000" w:themeColor="text1"/>
          <w:sz w:val="20"/>
          <w:szCs w:val="20"/>
        </w:rPr>
        <w:t xml:space="preserve">intervention from the Department of Public Service and Administration (DPSA), the post is </w:t>
      </w:r>
      <w:r w:rsidR="003201AF" w:rsidRPr="009E6B3C">
        <w:rPr>
          <w:rFonts w:ascii="Arial" w:hAnsi="Arial" w:cs="Arial"/>
          <w:color w:val="000000" w:themeColor="text1"/>
          <w:sz w:val="20"/>
          <w:szCs w:val="20"/>
        </w:rPr>
        <w:t xml:space="preserve">now </w:t>
      </w:r>
      <w:r w:rsidR="005B2A38" w:rsidRPr="009E6B3C">
        <w:rPr>
          <w:rFonts w:ascii="Arial" w:hAnsi="Arial" w:cs="Arial"/>
          <w:color w:val="000000" w:themeColor="text1"/>
          <w:sz w:val="20"/>
          <w:szCs w:val="20"/>
        </w:rPr>
        <w:t>scheduled to be job evaluated</w:t>
      </w:r>
      <w:r w:rsidR="003201AF" w:rsidRPr="009E6B3C">
        <w:rPr>
          <w:rFonts w:ascii="Arial" w:hAnsi="Arial" w:cs="Arial"/>
          <w:color w:val="000000" w:themeColor="text1"/>
          <w:sz w:val="20"/>
          <w:szCs w:val="20"/>
        </w:rPr>
        <w:t xml:space="preserve">. </w:t>
      </w:r>
      <w:r w:rsidR="008F7800" w:rsidRPr="009E6B3C">
        <w:rPr>
          <w:rFonts w:ascii="Arial" w:hAnsi="Arial" w:cs="Arial"/>
          <w:color w:val="000000" w:themeColor="text1"/>
          <w:sz w:val="20"/>
          <w:szCs w:val="20"/>
        </w:rPr>
        <w:t>Afterwards</w:t>
      </w:r>
      <w:r w:rsidR="003201AF" w:rsidRPr="009E6B3C">
        <w:rPr>
          <w:rFonts w:ascii="Arial" w:hAnsi="Arial" w:cs="Arial"/>
          <w:color w:val="000000" w:themeColor="text1"/>
          <w:sz w:val="20"/>
          <w:szCs w:val="20"/>
        </w:rPr>
        <w:t>,</w:t>
      </w:r>
      <w:r w:rsidR="005B2A38" w:rsidRPr="009E6B3C">
        <w:rPr>
          <w:rFonts w:ascii="Arial" w:hAnsi="Arial" w:cs="Arial"/>
          <w:color w:val="000000" w:themeColor="text1"/>
          <w:sz w:val="20"/>
          <w:szCs w:val="20"/>
        </w:rPr>
        <w:t xml:space="preserve"> the recruitment process will be finalised in terms of the executive protocol.</w:t>
      </w:r>
      <w:r w:rsidR="003201AF" w:rsidRPr="009E6B3C">
        <w:rPr>
          <w:rFonts w:ascii="Arial" w:hAnsi="Arial" w:cs="Arial"/>
          <w:color w:val="000000" w:themeColor="text1"/>
          <w:sz w:val="20"/>
          <w:szCs w:val="20"/>
        </w:rPr>
        <w:t xml:space="preserve"> </w:t>
      </w:r>
      <w:r w:rsidR="008F7800" w:rsidRPr="009E6B3C">
        <w:rPr>
          <w:rFonts w:ascii="Arial" w:hAnsi="Arial" w:cs="Arial"/>
          <w:color w:val="000000" w:themeColor="text1"/>
          <w:sz w:val="20"/>
          <w:szCs w:val="20"/>
        </w:rPr>
        <w:t xml:space="preserve">As this position is key </w:t>
      </w:r>
      <w:r w:rsidR="005B2A38" w:rsidRPr="009E6B3C">
        <w:rPr>
          <w:rFonts w:ascii="Arial" w:hAnsi="Arial" w:cs="Arial"/>
          <w:color w:val="000000" w:themeColor="text1"/>
          <w:sz w:val="20"/>
          <w:szCs w:val="20"/>
        </w:rPr>
        <w:t>to the transformation of the State Legal Services programme</w:t>
      </w:r>
      <w:r w:rsidR="008F7800" w:rsidRPr="009E6B3C">
        <w:rPr>
          <w:rFonts w:ascii="Arial" w:hAnsi="Arial" w:cs="Arial"/>
          <w:color w:val="000000" w:themeColor="text1"/>
          <w:sz w:val="20"/>
          <w:szCs w:val="20"/>
        </w:rPr>
        <w:t xml:space="preserve">, we request an updated progress report before </w:t>
      </w:r>
      <w:r w:rsidR="00B62E7D" w:rsidRPr="009E6B3C">
        <w:rPr>
          <w:rFonts w:ascii="Arial" w:hAnsi="Arial" w:cs="Arial"/>
          <w:color w:val="000000" w:themeColor="text1"/>
          <w:sz w:val="20"/>
          <w:szCs w:val="20"/>
        </w:rPr>
        <w:t>31 January 2023</w:t>
      </w:r>
      <w:r w:rsidR="005B2A38" w:rsidRPr="009E6B3C">
        <w:rPr>
          <w:rFonts w:ascii="Arial" w:hAnsi="Arial" w:cs="Arial"/>
          <w:color w:val="000000" w:themeColor="text1"/>
          <w:sz w:val="20"/>
          <w:szCs w:val="20"/>
        </w:rPr>
        <w:t>.</w:t>
      </w:r>
    </w:p>
    <w:p w:rsidR="005B2A38" w:rsidRPr="009E6B3C" w:rsidRDefault="005B2A38" w:rsidP="009E6B3C">
      <w:pPr>
        <w:rPr>
          <w:rFonts w:ascii="Arial" w:hAnsi="Arial" w:cs="Arial"/>
          <w:color w:val="000000" w:themeColor="text1"/>
          <w:sz w:val="20"/>
          <w:szCs w:val="20"/>
        </w:rPr>
      </w:pPr>
    </w:p>
    <w:p w:rsidR="005B2A38" w:rsidRPr="009E6B3C" w:rsidRDefault="008F7800" w:rsidP="009E6B3C">
      <w:pPr>
        <w:autoSpaceDE w:val="0"/>
        <w:autoSpaceDN w:val="0"/>
        <w:adjustRightInd w:val="0"/>
        <w:contextualSpacing/>
        <w:rPr>
          <w:rFonts w:ascii="Arial" w:hAnsi="Arial" w:cs="Arial"/>
          <w:color w:val="000000" w:themeColor="text1"/>
          <w:sz w:val="20"/>
          <w:szCs w:val="20"/>
        </w:rPr>
      </w:pPr>
      <w:r w:rsidRPr="009E6B3C">
        <w:rPr>
          <w:rFonts w:ascii="Arial" w:hAnsi="Arial" w:cs="Arial"/>
          <w:color w:val="000000" w:themeColor="text1"/>
          <w:sz w:val="20"/>
          <w:szCs w:val="20"/>
        </w:rPr>
        <w:t xml:space="preserve">We note that </w:t>
      </w:r>
      <w:r w:rsidR="005B2A38" w:rsidRPr="009E6B3C">
        <w:rPr>
          <w:rFonts w:ascii="Arial" w:hAnsi="Arial" w:cs="Arial"/>
          <w:color w:val="000000" w:themeColor="text1"/>
          <w:sz w:val="20"/>
          <w:szCs w:val="20"/>
        </w:rPr>
        <w:t xml:space="preserve">five State Attorney Offices </w:t>
      </w:r>
      <w:r w:rsidRPr="009E6B3C">
        <w:rPr>
          <w:rFonts w:ascii="Arial" w:hAnsi="Arial" w:cs="Arial"/>
          <w:color w:val="000000" w:themeColor="text1"/>
          <w:sz w:val="20"/>
          <w:szCs w:val="20"/>
        </w:rPr>
        <w:t xml:space="preserve">do not have Heads of Office. </w:t>
      </w:r>
      <w:r w:rsidR="00920C95" w:rsidRPr="009E6B3C">
        <w:rPr>
          <w:rFonts w:ascii="Arial" w:hAnsi="Arial" w:cs="Arial"/>
          <w:color w:val="000000" w:themeColor="text1"/>
          <w:sz w:val="20"/>
          <w:szCs w:val="20"/>
        </w:rPr>
        <w:t>T</w:t>
      </w:r>
      <w:r w:rsidRPr="009E6B3C">
        <w:rPr>
          <w:rFonts w:ascii="Arial" w:hAnsi="Arial" w:cs="Arial"/>
          <w:color w:val="000000" w:themeColor="text1"/>
          <w:sz w:val="20"/>
          <w:szCs w:val="20"/>
        </w:rPr>
        <w:t>hese positions have been vacant for a number of years. Although there is a process underway t</w:t>
      </w:r>
      <w:r w:rsidR="00920C95" w:rsidRPr="009E6B3C">
        <w:rPr>
          <w:rFonts w:ascii="Arial" w:hAnsi="Arial" w:cs="Arial"/>
          <w:color w:val="000000" w:themeColor="text1"/>
          <w:sz w:val="20"/>
          <w:szCs w:val="20"/>
        </w:rPr>
        <w:t>o fill the positions, we request a f</w:t>
      </w:r>
      <w:r w:rsidR="00AF7A05" w:rsidRPr="009E6B3C">
        <w:rPr>
          <w:rFonts w:ascii="Arial" w:hAnsi="Arial" w:cs="Arial"/>
          <w:color w:val="000000" w:themeColor="text1"/>
          <w:sz w:val="20"/>
          <w:szCs w:val="20"/>
        </w:rPr>
        <w:t xml:space="preserve">ull report </w:t>
      </w:r>
      <w:r w:rsidR="00920C95" w:rsidRPr="009E6B3C">
        <w:rPr>
          <w:rFonts w:ascii="Arial" w:hAnsi="Arial" w:cs="Arial"/>
          <w:color w:val="000000" w:themeColor="text1"/>
          <w:sz w:val="20"/>
          <w:szCs w:val="20"/>
        </w:rPr>
        <w:t xml:space="preserve">on the challenges that have so far prevented these positions being filled, and the progress of the recruitment process, </w:t>
      </w:r>
      <w:r w:rsidR="00AF7A05" w:rsidRPr="009E6B3C">
        <w:rPr>
          <w:rFonts w:ascii="Arial" w:hAnsi="Arial" w:cs="Arial"/>
          <w:color w:val="000000" w:themeColor="text1"/>
          <w:sz w:val="20"/>
          <w:szCs w:val="20"/>
        </w:rPr>
        <w:t xml:space="preserve">before </w:t>
      </w:r>
      <w:r w:rsidR="00B62E7D" w:rsidRPr="009E6B3C">
        <w:rPr>
          <w:rFonts w:ascii="Arial" w:hAnsi="Arial" w:cs="Arial"/>
          <w:color w:val="000000" w:themeColor="text1"/>
          <w:sz w:val="20"/>
          <w:szCs w:val="20"/>
        </w:rPr>
        <w:t>31 January 2023</w:t>
      </w:r>
      <w:r w:rsidRPr="009E6B3C">
        <w:rPr>
          <w:rFonts w:ascii="Arial" w:hAnsi="Arial" w:cs="Arial"/>
          <w:color w:val="000000" w:themeColor="text1"/>
          <w:sz w:val="20"/>
          <w:szCs w:val="20"/>
        </w:rPr>
        <w:t xml:space="preserve">. </w:t>
      </w:r>
    </w:p>
    <w:p w:rsidR="005B2A38" w:rsidRPr="009E6B3C" w:rsidRDefault="005B2A38" w:rsidP="009E6B3C">
      <w:pPr>
        <w:autoSpaceDE w:val="0"/>
        <w:autoSpaceDN w:val="0"/>
        <w:adjustRightInd w:val="0"/>
        <w:rPr>
          <w:rFonts w:ascii="Arial" w:hAnsi="Arial" w:cs="Arial"/>
          <w:color w:val="000000" w:themeColor="text1"/>
          <w:sz w:val="20"/>
          <w:szCs w:val="20"/>
        </w:rPr>
      </w:pPr>
    </w:p>
    <w:p w:rsidR="00AA4506" w:rsidRPr="009E6B3C" w:rsidRDefault="00AF7A05"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have reported on the problems concerning the </w:t>
      </w:r>
      <w:r w:rsidR="00EA4FDF" w:rsidRPr="009E6B3C">
        <w:rPr>
          <w:rFonts w:ascii="Arial" w:hAnsi="Arial" w:cs="Arial"/>
          <w:color w:val="000000" w:themeColor="text1"/>
          <w:sz w:val="20"/>
          <w:szCs w:val="20"/>
        </w:rPr>
        <w:t xml:space="preserve">management of state litigation. </w:t>
      </w:r>
      <w:r w:rsidRPr="009E6B3C">
        <w:rPr>
          <w:rFonts w:ascii="Arial" w:hAnsi="Arial" w:cs="Arial"/>
          <w:color w:val="000000" w:themeColor="text1"/>
          <w:sz w:val="20"/>
          <w:szCs w:val="20"/>
        </w:rPr>
        <w:t xml:space="preserve">We, therefore, welcome the </w:t>
      </w:r>
      <w:r w:rsidR="00AA4506" w:rsidRPr="009E6B3C">
        <w:rPr>
          <w:rFonts w:ascii="Arial" w:hAnsi="Arial" w:cs="Arial"/>
          <w:color w:val="000000" w:themeColor="text1"/>
          <w:sz w:val="20"/>
          <w:szCs w:val="20"/>
        </w:rPr>
        <w:t>following policies</w:t>
      </w:r>
      <w:r w:rsidRPr="009E6B3C">
        <w:rPr>
          <w:rFonts w:ascii="Arial" w:hAnsi="Arial" w:cs="Arial"/>
          <w:color w:val="000000" w:themeColor="text1"/>
          <w:sz w:val="20"/>
          <w:szCs w:val="20"/>
        </w:rPr>
        <w:t>, which were finalised</w:t>
      </w:r>
      <w:r w:rsidR="00AA4506" w:rsidRPr="009E6B3C">
        <w:rPr>
          <w:rFonts w:ascii="Arial" w:hAnsi="Arial" w:cs="Arial"/>
          <w:color w:val="000000" w:themeColor="text1"/>
          <w:sz w:val="20"/>
          <w:szCs w:val="20"/>
        </w:rPr>
        <w:t xml:space="preserve"> in 2021/22: The b</w:t>
      </w:r>
      <w:r w:rsidR="00F258B9" w:rsidRPr="009E6B3C">
        <w:rPr>
          <w:rFonts w:ascii="Arial" w:hAnsi="Arial" w:cs="Arial"/>
          <w:color w:val="000000" w:themeColor="text1"/>
          <w:sz w:val="20"/>
          <w:szCs w:val="20"/>
        </w:rPr>
        <w:t>riefing and outsourcing of legal work</w:t>
      </w:r>
      <w:r w:rsidR="00AA4506" w:rsidRPr="009E6B3C">
        <w:rPr>
          <w:rFonts w:ascii="Arial" w:hAnsi="Arial" w:cs="Arial"/>
          <w:color w:val="000000" w:themeColor="text1"/>
          <w:sz w:val="20"/>
          <w:szCs w:val="20"/>
        </w:rPr>
        <w:t>; I</w:t>
      </w:r>
      <w:r w:rsidRPr="009E6B3C">
        <w:rPr>
          <w:rFonts w:ascii="Arial" w:hAnsi="Arial" w:cs="Arial"/>
          <w:color w:val="000000" w:themeColor="text1"/>
          <w:sz w:val="20"/>
          <w:szCs w:val="20"/>
        </w:rPr>
        <w:t>nitiating, defending</w:t>
      </w:r>
      <w:r w:rsidR="00F258B9" w:rsidRPr="009E6B3C">
        <w:rPr>
          <w:rFonts w:ascii="Arial" w:hAnsi="Arial" w:cs="Arial"/>
          <w:color w:val="000000" w:themeColor="text1"/>
          <w:sz w:val="20"/>
          <w:szCs w:val="20"/>
        </w:rPr>
        <w:t xml:space="preserve"> and opposing of matters</w:t>
      </w:r>
      <w:r w:rsidR="00AA4506" w:rsidRPr="009E6B3C">
        <w:rPr>
          <w:rFonts w:ascii="Arial" w:hAnsi="Arial" w:cs="Arial"/>
          <w:color w:val="000000" w:themeColor="text1"/>
          <w:sz w:val="20"/>
          <w:szCs w:val="20"/>
        </w:rPr>
        <w:t>; and M</w:t>
      </w:r>
      <w:r w:rsidR="00F258B9" w:rsidRPr="009E6B3C">
        <w:rPr>
          <w:rFonts w:ascii="Arial" w:hAnsi="Arial" w:cs="Arial"/>
          <w:color w:val="000000" w:themeColor="text1"/>
          <w:sz w:val="20"/>
          <w:szCs w:val="20"/>
        </w:rPr>
        <w:t>anagement of the state litigation contingent liability</w:t>
      </w:r>
      <w:r w:rsidR="00AA4506" w:rsidRPr="009E6B3C">
        <w:rPr>
          <w:rFonts w:ascii="Arial" w:hAnsi="Arial" w:cs="Arial"/>
          <w:color w:val="000000" w:themeColor="text1"/>
          <w:sz w:val="20"/>
          <w:szCs w:val="20"/>
        </w:rPr>
        <w:t>.</w:t>
      </w:r>
      <w:r w:rsidR="00F258B9" w:rsidRPr="009E6B3C">
        <w:rPr>
          <w:rFonts w:ascii="Arial" w:hAnsi="Arial" w:cs="Arial"/>
          <w:color w:val="000000" w:themeColor="text1"/>
          <w:sz w:val="20"/>
          <w:szCs w:val="20"/>
        </w:rPr>
        <w:t xml:space="preserve"> </w:t>
      </w:r>
    </w:p>
    <w:p w:rsidR="00AA4506" w:rsidRPr="009E6B3C" w:rsidRDefault="00AA4506" w:rsidP="009E6B3C">
      <w:pPr>
        <w:pStyle w:val="NormalWeb"/>
        <w:spacing w:before="0" w:after="0"/>
        <w:rPr>
          <w:rFonts w:ascii="Arial" w:hAnsi="Arial" w:cs="Arial"/>
          <w:color w:val="000000" w:themeColor="text1"/>
          <w:sz w:val="20"/>
          <w:szCs w:val="20"/>
        </w:rPr>
      </w:pPr>
    </w:p>
    <w:p w:rsidR="00AA4506" w:rsidRPr="009E6B3C" w:rsidRDefault="00A54BA5"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T</w:t>
      </w:r>
      <w:r w:rsidR="00F258B9" w:rsidRPr="009E6B3C">
        <w:rPr>
          <w:rFonts w:ascii="Arial" w:hAnsi="Arial" w:cs="Arial"/>
          <w:color w:val="000000" w:themeColor="text1"/>
          <w:sz w:val="20"/>
          <w:szCs w:val="20"/>
        </w:rPr>
        <w:t xml:space="preserve">he Office of the Solicitor-General </w:t>
      </w:r>
      <w:r w:rsidRPr="009E6B3C">
        <w:rPr>
          <w:rFonts w:ascii="Arial" w:hAnsi="Arial" w:cs="Arial"/>
          <w:color w:val="000000" w:themeColor="text1"/>
          <w:sz w:val="20"/>
          <w:szCs w:val="20"/>
        </w:rPr>
        <w:t xml:space="preserve">also </w:t>
      </w:r>
      <w:r w:rsidR="00AA4506" w:rsidRPr="009E6B3C">
        <w:rPr>
          <w:rFonts w:ascii="Arial" w:hAnsi="Arial" w:cs="Arial"/>
          <w:color w:val="000000" w:themeColor="text1"/>
          <w:sz w:val="20"/>
          <w:szCs w:val="20"/>
        </w:rPr>
        <w:t xml:space="preserve">reports </w:t>
      </w:r>
      <w:r w:rsidR="00920C95" w:rsidRPr="009E6B3C">
        <w:rPr>
          <w:rFonts w:ascii="Arial" w:hAnsi="Arial" w:cs="Arial"/>
          <w:color w:val="000000" w:themeColor="text1"/>
          <w:sz w:val="20"/>
          <w:szCs w:val="20"/>
        </w:rPr>
        <w:t xml:space="preserve">on various initiatives </w:t>
      </w:r>
      <w:r w:rsidR="00AA4506" w:rsidRPr="009E6B3C">
        <w:rPr>
          <w:rFonts w:ascii="Arial" w:hAnsi="Arial" w:cs="Arial"/>
          <w:color w:val="000000" w:themeColor="text1"/>
          <w:sz w:val="20"/>
          <w:szCs w:val="20"/>
        </w:rPr>
        <w:t xml:space="preserve">that it </w:t>
      </w:r>
      <w:r w:rsidR="00F258B9" w:rsidRPr="009E6B3C">
        <w:rPr>
          <w:rFonts w:ascii="Arial" w:hAnsi="Arial" w:cs="Arial"/>
          <w:color w:val="000000" w:themeColor="text1"/>
          <w:sz w:val="20"/>
          <w:szCs w:val="20"/>
        </w:rPr>
        <w:t xml:space="preserve">is </w:t>
      </w:r>
      <w:r w:rsidR="00920C95" w:rsidRPr="009E6B3C">
        <w:rPr>
          <w:rFonts w:ascii="Arial" w:hAnsi="Arial" w:cs="Arial"/>
          <w:color w:val="000000" w:themeColor="text1"/>
          <w:sz w:val="20"/>
          <w:szCs w:val="20"/>
        </w:rPr>
        <w:t xml:space="preserve">engaged with, including developing </w:t>
      </w:r>
      <w:r w:rsidR="00F258B9" w:rsidRPr="009E6B3C">
        <w:rPr>
          <w:rFonts w:ascii="Arial" w:hAnsi="Arial" w:cs="Arial"/>
          <w:color w:val="000000" w:themeColor="text1"/>
          <w:sz w:val="20"/>
          <w:szCs w:val="20"/>
        </w:rPr>
        <w:t xml:space="preserve">monitoring systems and formulating processes to achieve consistencies in litigation procedures in </w:t>
      </w:r>
      <w:r w:rsidRPr="009E6B3C">
        <w:rPr>
          <w:rFonts w:ascii="Arial" w:hAnsi="Arial" w:cs="Arial"/>
          <w:color w:val="000000" w:themeColor="text1"/>
          <w:sz w:val="20"/>
          <w:szCs w:val="20"/>
        </w:rPr>
        <w:t xml:space="preserve">the </w:t>
      </w:r>
      <w:r w:rsidR="00F258B9" w:rsidRPr="009E6B3C">
        <w:rPr>
          <w:rFonts w:ascii="Arial" w:hAnsi="Arial" w:cs="Arial"/>
          <w:color w:val="000000" w:themeColor="text1"/>
          <w:sz w:val="20"/>
          <w:szCs w:val="20"/>
        </w:rPr>
        <w:t>different state attorney offices; develop</w:t>
      </w:r>
      <w:r w:rsidR="00920C95" w:rsidRPr="009E6B3C">
        <w:rPr>
          <w:rFonts w:ascii="Arial" w:hAnsi="Arial" w:cs="Arial"/>
          <w:color w:val="000000" w:themeColor="text1"/>
          <w:sz w:val="20"/>
          <w:szCs w:val="20"/>
        </w:rPr>
        <w:t>ing</w:t>
      </w:r>
      <w:r w:rsidR="00F258B9" w:rsidRPr="009E6B3C">
        <w:rPr>
          <w:rFonts w:ascii="Arial" w:hAnsi="Arial" w:cs="Arial"/>
          <w:color w:val="000000" w:themeColor="text1"/>
          <w:sz w:val="20"/>
          <w:szCs w:val="20"/>
        </w:rPr>
        <w:t xml:space="preserve"> directives and standards to ensure streamlined oversight o</w:t>
      </w:r>
      <w:r w:rsidRPr="009E6B3C">
        <w:rPr>
          <w:rFonts w:ascii="Arial" w:hAnsi="Arial" w:cs="Arial"/>
          <w:color w:val="000000" w:themeColor="text1"/>
          <w:sz w:val="20"/>
          <w:szCs w:val="20"/>
        </w:rPr>
        <w:t>f</w:t>
      </w:r>
      <w:r w:rsidR="00F258B9" w:rsidRPr="009E6B3C">
        <w:rPr>
          <w:rFonts w:ascii="Arial" w:hAnsi="Arial" w:cs="Arial"/>
          <w:color w:val="000000" w:themeColor="text1"/>
          <w:sz w:val="20"/>
          <w:szCs w:val="20"/>
        </w:rPr>
        <w:t xml:space="preserve"> t</w:t>
      </w:r>
      <w:r w:rsidR="00AA4506" w:rsidRPr="009E6B3C">
        <w:rPr>
          <w:rFonts w:ascii="Arial" w:hAnsi="Arial" w:cs="Arial"/>
          <w:color w:val="000000" w:themeColor="text1"/>
          <w:sz w:val="20"/>
          <w:szCs w:val="20"/>
        </w:rPr>
        <w:t xml:space="preserve">he offices of the state attorney; </w:t>
      </w:r>
      <w:r w:rsidR="00920C95" w:rsidRPr="009E6B3C">
        <w:rPr>
          <w:rFonts w:ascii="Arial" w:hAnsi="Arial" w:cs="Arial"/>
          <w:color w:val="000000" w:themeColor="text1"/>
          <w:sz w:val="20"/>
          <w:szCs w:val="20"/>
        </w:rPr>
        <w:t xml:space="preserve">developing and </w:t>
      </w:r>
      <w:r w:rsidR="00F258B9" w:rsidRPr="009E6B3C">
        <w:rPr>
          <w:rFonts w:ascii="Arial" w:hAnsi="Arial" w:cs="Arial"/>
          <w:color w:val="000000" w:themeColor="text1"/>
          <w:sz w:val="20"/>
          <w:szCs w:val="20"/>
        </w:rPr>
        <w:t xml:space="preserve">implementing </w:t>
      </w:r>
      <w:r w:rsidR="00920C95" w:rsidRPr="009E6B3C">
        <w:rPr>
          <w:rFonts w:ascii="Arial" w:hAnsi="Arial" w:cs="Arial"/>
          <w:color w:val="000000" w:themeColor="text1"/>
          <w:sz w:val="20"/>
          <w:szCs w:val="20"/>
        </w:rPr>
        <w:t xml:space="preserve">various </w:t>
      </w:r>
      <w:r w:rsidR="00F258B9" w:rsidRPr="009E6B3C">
        <w:rPr>
          <w:rFonts w:ascii="Arial" w:hAnsi="Arial" w:cs="Arial"/>
          <w:color w:val="000000" w:themeColor="text1"/>
          <w:sz w:val="20"/>
          <w:szCs w:val="20"/>
        </w:rPr>
        <w:t xml:space="preserve">policies; and </w:t>
      </w:r>
      <w:r w:rsidRPr="009E6B3C">
        <w:rPr>
          <w:rFonts w:ascii="Arial" w:hAnsi="Arial" w:cs="Arial"/>
          <w:color w:val="000000" w:themeColor="text1"/>
          <w:sz w:val="20"/>
          <w:szCs w:val="20"/>
        </w:rPr>
        <w:t xml:space="preserve">having </w:t>
      </w:r>
      <w:r w:rsidR="00F258B9" w:rsidRPr="009E6B3C">
        <w:rPr>
          <w:rFonts w:ascii="Arial" w:hAnsi="Arial" w:cs="Arial"/>
          <w:color w:val="000000" w:themeColor="text1"/>
          <w:sz w:val="20"/>
          <w:szCs w:val="20"/>
        </w:rPr>
        <w:t xml:space="preserve">regular </w:t>
      </w:r>
      <w:r w:rsidRPr="009E6B3C">
        <w:rPr>
          <w:rFonts w:ascii="Arial" w:hAnsi="Arial" w:cs="Arial"/>
          <w:color w:val="000000" w:themeColor="text1"/>
          <w:sz w:val="20"/>
          <w:szCs w:val="20"/>
        </w:rPr>
        <w:t xml:space="preserve">ongoing </w:t>
      </w:r>
      <w:r w:rsidR="00F258B9" w:rsidRPr="009E6B3C">
        <w:rPr>
          <w:rFonts w:ascii="Arial" w:hAnsi="Arial" w:cs="Arial"/>
          <w:color w:val="000000" w:themeColor="text1"/>
          <w:sz w:val="20"/>
          <w:szCs w:val="20"/>
        </w:rPr>
        <w:t xml:space="preserve">and formal engagements with state departments to identify litigation trends, root causes of litigation and </w:t>
      </w:r>
      <w:r w:rsidR="00AA4506" w:rsidRPr="009E6B3C">
        <w:rPr>
          <w:rFonts w:ascii="Arial" w:hAnsi="Arial" w:cs="Arial"/>
          <w:color w:val="000000" w:themeColor="text1"/>
          <w:sz w:val="20"/>
          <w:szCs w:val="20"/>
        </w:rPr>
        <w:t>redress measures.</w:t>
      </w:r>
      <w:r w:rsidR="00F258B9" w:rsidRPr="009E6B3C">
        <w:rPr>
          <w:rFonts w:ascii="Arial" w:hAnsi="Arial" w:cs="Arial"/>
          <w:color w:val="000000" w:themeColor="text1"/>
          <w:sz w:val="20"/>
          <w:szCs w:val="20"/>
        </w:rPr>
        <w:t xml:space="preserve"> </w:t>
      </w:r>
    </w:p>
    <w:p w:rsidR="00AA4506" w:rsidRPr="009E6B3C" w:rsidRDefault="00AA4506" w:rsidP="009E6B3C">
      <w:pPr>
        <w:pStyle w:val="NormalWeb"/>
        <w:spacing w:before="0" w:after="0"/>
        <w:rPr>
          <w:rFonts w:ascii="Arial" w:hAnsi="Arial" w:cs="Arial"/>
          <w:color w:val="000000" w:themeColor="text1"/>
          <w:sz w:val="20"/>
          <w:szCs w:val="20"/>
        </w:rPr>
      </w:pPr>
    </w:p>
    <w:p w:rsidR="00AA4506" w:rsidRPr="009E6B3C" w:rsidRDefault="00AA4506"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also note that the </w:t>
      </w:r>
      <w:r w:rsidR="00F258B9" w:rsidRPr="009E6B3C">
        <w:rPr>
          <w:rFonts w:ascii="Arial" w:hAnsi="Arial" w:cs="Arial"/>
          <w:color w:val="000000" w:themeColor="text1"/>
          <w:sz w:val="20"/>
          <w:szCs w:val="20"/>
        </w:rPr>
        <w:t>Intergovernmental National Litigation Forum (INLF)</w:t>
      </w:r>
      <w:r w:rsidRPr="009E6B3C">
        <w:rPr>
          <w:rFonts w:ascii="Arial" w:hAnsi="Arial" w:cs="Arial"/>
          <w:color w:val="000000" w:themeColor="text1"/>
          <w:sz w:val="20"/>
          <w:szCs w:val="20"/>
        </w:rPr>
        <w:t xml:space="preserve">, which was launched </w:t>
      </w:r>
      <w:r w:rsidR="00F258B9" w:rsidRPr="009E6B3C">
        <w:rPr>
          <w:rFonts w:ascii="Arial" w:hAnsi="Arial" w:cs="Arial"/>
          <w:color w:val="000000" w:themeColor="text1"/>
          <w:sz w:val="20"/>
          <w:szCs w:val="20"/>
        </w:rPr>
        <w:t>in 2018 to address</w:t>
      </w:r>
      <w:r w:rsidRPr="009E6B3C">
        <w:rPr>
          <w:rFonts w:ascii="Arial" w:hAnsi="Arial" w:cs="Arial"/>
          <w:color w:val="000000" w:themeColor="text1"/>
          <w:sz w:val="20"/>
          <w:szCs w:val="20"/>
        </w:rPr>
        <w:t xml:space="preserve"> </w:t>
      </w:r>
      <w:r w:rsidR="00F258B9" w:rsidRPr="009E6B3C">
        <w:rPr>
          <w:rFonts w:ascii="Arial" w:hAnsi="Arial" w:cs="Arial"/>
          <w:color w:val="000000" w:themeColor="text1"/>
          <w:sz w:val="20"/>
          <w:szCs w:val="20"/>
        </w:rPr>
        <w:t>the various challenges related to management of state litigation</w:t>
      </w:r>
      <w:r w:rsidRPr="009E6B3C">
        <w:rPr>
          <w:rFonts w:ascii="Arial" w:hAnsi="Arial" w:cs="Arial"/>
          <w:color w:val="000000" w:themeColor="text1"/>
          <w:sz w:val="20"/>
          <w:szCs w:val="20"/>
        </w:rPr>
        <w:t xml:space="preserve">, has been resurrected </w:t>
      </w:r>
      <w:r w:rsidR="00F258B9" w:rsidRPr="009E6B3C">
        <w:rPr>
          <w:rFonts w:ascii="Arial" w:hAnsi="Arial" w:cs="Arial"/>
          <w:color w:val="000000" w:themeColor="text1"/>
          <w:sz w:val="20"/>
          <w:szCs w:val="20"/>
        </w:rPr>
        <w:t>to ensure that the government has a co</w:t>
      </w:r>
      <w:r w:rsidR="006E33A6" w:rsidRPr="009E6B3C">
        <w:rPr>
          <w:rFonts w:ascii="Arial" w:hAnsi="Arial" w:cs="Arial"/>
          <w:color w:val="000000" w:themeColor="text1"/>
          <w:sz w:val="20"/>
          <w:szCs w:val="20"/>
        </w:rPr>
        <w:t>-</w:t>
      </w:r>
      <w:r w:rsidR="00F258B9" w:rsidRPr="009E6B3C">
        <w:rPr>
          <w:rFonts w:ascii="Arial" w:hAnsi="Arial" w:cs="Arial"/>
          <w:color w:val="000000" w:themeColor="text1"/>
          <w:sz w:val="20"/>
          <w:szCs w:val="20"/>
        </w:rPr>
        <w:t xml:space="preserve">ordinated approach to the management of state litigation, emphasising the reduction of state contingent liability </w:t>
      </w:r>
    </w:p>
    <w:p w:rsidR="00AA4506" w:rsidRPr="009E6B3C" w:rsidRDefault="00AA4506" w:rsidP="009E6B3C">
      <w:pPr>
        <w:pStyle w:val="NormalWeb"/>
        <w:spacing w:before="0" w:after="0"/>
        <w:rPr>
          <w:rFonts w:ascii="Arial" w:hAnsi="Arial" w:cs="Arial"/>
          <w:color w:val="000000" w:themeColor="text1"/>
          <w:sz w:val="20"/>
          <w:szCs w:val="20"/>
        </w:rPr>
      </w:pPr>
    </w:p>
    <w:p w:rsidR="00A54BA5" w:rsidRPr="009E6B3C" w:rsidRDefault="002859A4"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We</w:t>
      </w:r>
      <w:r w:rsidR="00A54BA5" w:rsidRPr="009E6B3C">
        <w:rPr>
          <w:rFonts w:ascii="Arial" w:hAnsi="Arial" w:cs="Arial"/>
          <w:color w:val="000000" w:themeColor="text1"/>
          <w:sz w:val="20"/>
          <w:szCs w:val="20"/>
        </w:rPr>
        <w:t xml:space="preserve"> note, however, </w:t>
      </w:r>
      <w:r w:rsidR="00126152" w:rsidRPr="009E6B3C">
        <w:rPr>
          <w:rFonts w:ascii="Arial" w:hAnsi="Arial" w:cs="Arial"/>
          <w:color w:val="000000" w:themeColor="text1"/>
          <w:sz w:val="20"/>
          <w:szCs w:val="20"/>
        </w:rPr>
        <w:t>the A</w:t>
      </w:r>
      <w:r w:rsidR="006E33A6" w:rsidRPr="009E6B3C">
        <w:rPr>
          <w:rFonts w:ascii="Arial" w:hAnsi="Arial" w:cs="Arial"/>
          <w:color w:val="000000" w:themeColor="text1"/>
          <w:sz w:val="20"/>
          <w:szCs w:val="20"/>
        </w:rPr>
        <w:t>uditor-General</w:t>
      </w:r>
      <w:r w:rsidR="00126152" w:rsidRPr="009E6B3C">
        <w:rPr>
          <w:rFonts w:ascii="Arial" w:hAnsi="Arial" w:cs="Arial"/>
          <w:color w:val="000000" w:themeColor="text1"/>
          <w:sz w:val="20"/>
          <w:szCs w:val="20"/>
        </w:rPr>
        <w:t xml:space="preserve"> </w:t>
      </w:r>
      <w:r w:rsidR="00A54BA5" w:rsidRPr="009E6B3C">
        <w:rPr>
          <w:rFonts w:ascii="Arial" w:hAnsi="Arial" w:cs="Arial"/>
          <w:color w:val="000000" w:themeColor="text1"/>
          <w:sz w:val="20"/>
          <w:szCs w:val="20"/>
        </w:rPr>
        <w:t xml:space="preserve">has reported </w:t>
      </w:r>
      <w:r w:rsidR="00966847" w:rsidRPr="009E6B3C">
        <w:rPr>
          <w:rFonts w:ascii="Arial" w:hAnsi="Arial" w:cs="Arial"/>
          <w:color w:val="000000" w:themeColor="text1"/>
          <w:sz w:val="20"/>
          <w:szCs w:val="20"/>
        </w:rPr>
        <w:t>th</w:t>
      </w:r>
      <w:r w:rsidR="00126152" w:rsidRPr="009E6B3C">
        <w:rPr>
          <w:rFonts w:ascii="Arial" w:hAnsi="Arial" w:cs="Arial"/>
          <w:color w:val="000000" w:themeColor="text1"/>
          <w:sz w:val="20"/>
          <w:szCs w:val="20"/>
        </w:rPr>
        <w:t>at there</w:t>
      </w:r>
      <w:r w:rsidR="00966847" w:rsidRPr="009E6B3C">
        <w:rPr>
          <w:rFonts w:ascii="Arial" w:hAnsi="Arial" w:cs="Arial"/>
          <w:color w:val="000000" w:themeColor="text1"/>
          <w:sz w:val="20"/>
          <w:szCs w:val="20"/>
        </w:rPr>
        <w:t xml:space="preserve"> is no framework for </w:t>
      </w:r>
      <w:r w:rsidR="006E33A6" w:rsidRPr="009E6B3C">
        <w:rPr>
          <w:rFonts w:ascii="Arial" w:hAnsi="Arial" w:cs="Arial"/>
          <w:color w:val="000000" w:themeColor="text1"/>
          <w:sz w:val="20"/>
          <w:szCs w:val="20"/>
        </w:rPr>
        <w:t xml:space="preserve">the procurement of </w:t>
      </w:r>
      <w:r w:rsidR="00966847" w:rsidRPr="009E6B3C">
        <w:rPr>
          <w:rFonts w:ascii="Arial" w:hAnsi="Arial" w:cs="Arial"/>
          <w:color w:val="000000" w:themeColor="text1"/>
          <w:sz w:val="20"/>
          <w:szCs w:val="20"/>
        </w:rPr>
        <w:t>state legal services</w:t>
      </w:r>
      <w:r w:rsidR="00126152" w:rsidRPr="009E6B3C">
        <w:rPr>
          <w:rFonts w:ascii="Arial" w:hAnsi="Arial" w:cs="Arial"/>
          <w:color w:val="000000" w:themeColor="text1"/>
          <w:sz w:val="20"/>
          <w:szCs w:val="20"/>
        </w:rPr>
        <w:t xml:space="preserve">, which among others, is a challenge </w:t>
      </w:r>
      <w:r w:rsidR="00966847" w:rsidRPr="009E6B3C">
        <w:rPr>
          <w:rFonts w:ascii="Arial" w:hAnsi="Arial" w:cs="Arial"/>
          <w:color w:val="000000" w:themeColor="text1"/>
          <w:sz w:val="20"/>
          <w:szCs w:val="20"/>
        </w:rPr>
        <w:t>for the Department in deliberately planning and realising the transformation agenda.</w:t>
      </w:r>
      <w:r w:rsidR="00A54BA5" w:rsidRPr="009E6B3C">
        <w:rPr>
          <w:rFonts w:ascii="Arial" w:hAnsi="Arial" w:cs="Arial"/>
          <w:color w:val="000000" w:themeColor="text1"/>
          <w:sz w:val="20"/>
          <w:szCs w:val="20"/>
        </w:rPr>
        <w:t xml:space="preserve"> </w:t>
      </w:r>
      <w:r w:rsidR="00966847" w:rsidRPr="009E6B3C">
        <w:rPr>
          <w:rFonts w:ascii="Arial" w:hAnsi="Arial" w:cs="Arial"/>
          <w:color w:val="000000" w:themeColor="text1"/>
          <w:sz w:val="20"/>
          <w:szCs w:val="20"/>
        </w:rPr>
        <w:t xml:space="preserve">A </w:t>
      </w:r>
      <w:r w:rsidR="00126152" w:rsidRPr="009E6B3C">
        <w:rPr>
          <w:rFonts w:ascii="Arial" w:hAnsi="Arial" w:cs="Arial"/>
          <w:color w:val="000000" w:themeColor="text1"/>
          <w:sz w:val="20"/>
          <w:szCs w:val="20"/>
        </w:rPr>
        <w:t xml:space="preserve">further </w:t>
      </w:r>
      <w:r w:rsidR="00966847" w:rsidRPr="009E6B3C">
        <w:rPr>
          <w:rFonts w:ascii="Arial" w:hAnsi="Arial" w:cs="Arial"/>
          <w:color w:val="000000" w:themeColor="text1"/>
          <w:sz w:val="20"/>
          <w:szCs w:val="20"/>
        </w:rPr>
        <w:t>challenge in the State Attorney office is poor record management</w:t>
      </w:r>
      <w:r w:rsidR="00126152" w:rsidRPr="009E6B3C">
        <w:rPr>
          <w:rFonts w:ascii="Arial" w:hAnsi="Arial" w:cs="Arial"/>
          <w:color w:val="000000" w:themeColor="text1"/>
          <w:sz w:val="20"/>
          <w:szCs w:val="20"/>
        </w:rPr>
        <w:t xml:space="preserve">, which makes it difficult to </w:t>
      </w:r>
      <w:r w:rsidR="00EA4FDF" w:rsidRPr="009E6B3C">
        <w:rPr>
          <w:rFonts w:ascii="Arial" w:hAnsi="Arial" w:cs="Arial"/>
          <w:color w:val="000000" w:themeColor="text1"/>
          <w:sz w:val="20"/>
          <w:szCs w:val="20"/>
        </w:rPr>
        <w:t xml:space="preserve">determine </w:t>
      </w:r>
      <w:r w:rsidR="00966847" w:rsidRPr="009E6B3C">
        <w:rPr>
          <w:rFonts w:ascii="Arial" w:hAnsi="Arial" w:cs="Arial"/>
          <w:color w:val="000000" w:themeColor="text1"/>
          <w:sz w:val="20"/>
          <w:szCs w:val="20"/>
        </w:rPr>
        <w:t xml:space="preserve">the extent of </w:t>
      </w:r>
      <w:r w:rsidR="00EA4FDF" w:rsidRPr="009E6B3C">
        <w:rPr>
          <w:rFonts w:ascii="Arial" w:hAnsi="Arial" w:cs="Arial"/>
          <w:color w:val="000000" w:themeColor="text1"/>
          <w:sz w:val="20"/>
          <w:szCs w:val="20"/>
        </w:rPr>
        <w:t xml:space="preserve">the State’s possible legal liability. </w:t>
      </w:r>
      <w:r w:rsidR="00A54BA5" w:rsidRPr="009E6B3C">
        <w:rPr>
          <w:rFonts w:ascii="Arial" w:hAnsi="Arial" w:cs="Arial"/>
          <w:color w:val="000000" w:themeColor="text1"/>
          <w:sz w:val="20"/>
          <w:szCs w:val="20"/>
        </w:rPr>
        <w:t>Specifically, the Department was unable to provide the Auditor-General with a list of all active state litigation matters from which it would be possible to assess the extent of the State’s potential legal liability.</w:t>
      </w:r>
    </w:p>
    <w:p w:rsidR="00A54BA5" w:rsidRPr="009E6B3C" w:rsidRDefault="00A54BA5" w:rsidP="009E6B3C">
      <w:pPr>
        <w:pStyle w:val="NormalWeb"/>
        <w:spacing w:before="0" w:after="0"/>
        <w:rPr>
          <w:rFonts w:ascii="Arial" w:hAnsi="Arial" w:cs="Arial"/>
          <w:color w:val="000000" w:themeColor="text1"/>
          <w:sz w:val="20"/>
          <w:szCs w:val="20"/>
        </w:rPr>
      </w:pPr>
    </w:p>
    <w:p w:rsidR="00966847" w:rsidRPr="009E6B3C" w:rsidRDefault="00A54BA5"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We, therefore, request a report on the progress made in developing a procurement framework; improving monitoring systems and establishing an efficient case management system at the State Attorney offices.</w:t>
      </w:r>
    </w:p>
    <w:p w:rsidR="00A119EE" w:rsidRPr="009E6B3C" w:rsidRDefault="00A119EE" w:rsidP="009E6B3C">
      <w:pPr>
        <w:pStyle w:val="NormalWeb"/>
        <w:spacing w:before="0" w:after="0"/>
        <w:rPr>
          <w:rFonts w:ascii="Arial" w:hAnsi="Arial" w:cs="Arial"/>
          <w:color w:val="000000" w:themeColor="text1"/>
          <w:sz w:val="20"/>
          <w:szCs w:val="20"/>
        </w:rPr>
      </w:pPr>
    </w:p>
    <w:p w:rsidR="00A54BA5" w:rsidRPr="009E6B3C" w:rsidRDefault="00A54BA5" w:rsidP="009E6B3C">
      <w:pPr>
        <w:pStyle w:val="ListParagraph"/>
        <w:numPr>
          <w:ilvl w:val="1"/>
          <w:numId w:val="1"/>
        </w:numPr>
        <w:ind w:left="851" w:hanging="851"/>
        <w:rPr>
          <w:rFonts w:ascii="Arial" w:hAnsi="Arial" w:cs="Arial"/>
          <w:b/>
          <w:i/>
          <w:color w:val="000000" w:themeColor="text1"/>
          <w:sz w:val="20"/>
          <w:szCs w:val="20"/>
        </w:rPr>
      </w:pPr>
      <w:r w:rsidRPr="009E6B3C">
        <w:rPr>
          <w:rFonts w:ascii="Arial" w:hAnsi="Arial" w:cs="Arial"/>
          <w:b/>
          <w:i/>
          <w:color w:val="000000" w:themeColor="text1"/>
          <w:sz w:val="20"/>
          <w:szCs w:val="20"/>
        </w:rPr>
        <w:t>Masters Office</w:t>
      </w:r>
    </w:p>
    <w:p w:rsidR="00A119EE" w:rsidRPr="009E6B3C" w:rsidRDefault="00A119EE" w:rsidP="009E6B3C">
      <w:pPr>
        <w:pStyle w:val="ListParagraph"/>
        <w:ind w:left="851"/>
        <w:rPr>
          <w:rFonts w:ascii="Arial" w:hAnsi="Arial" w:cs="Arial"/>
          <w:color w:val="000000" w:themeColor="text1"/>
          <w:sz w:val="20"/>
          <w:szCs w:val="20"/>
        </w:rPr>
      </w:pPr>
    </w:p>
    <w:p w:rsidR="00D4576A" w:rsidRPr="009E6B3C" w:rsidRDefault="00D6441A"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We have reported our observations concerning the deplorable state of affairs at the Masters</w:t>
      </w:r>
      <w:r w:rsidR="00D4576A" w:rsidRPr="009E6B3C">
        <w:rPr>
          <w:rFonts w:ascii="Arial" w:hAnsi="Arial" w:cs="Arial"/>
          <w:color w:val="000000" w:themeColor="text1"/>
          <w:sz w:val="20"/>
          <w:szCs w:val="20"/>
        </w:rPr>
        <w:t>’ o</w:t>
      </w:r>
      <w:r w:rsidRPr="009E6B3C">
        <w:rPr>
          <w:rFonts w:ascii="Arial" w:hAnsi="Arial" w:cs="Arial"/>
          <w:color w:val="000000" w:themeColor="text1"/>
          <w:sz w:val="20"/>
          <w:szCs w:val="20"/>
        </w:rPr>
        <w:t>ffices that we have visited</w:t>
      </w:r>
      <w:r w:rsidR="00D4576A" w:rsidRPr="009E6B3C">
        <w:rPr>
          <w:rFonts w:ascii="Arial" w:hAnsi="Arial" w:cs="Arial"/>
          <w:color w:val="000000" w:themeColor="text1"/>
          <w:sz w:val="20"/>
          <w:szCs w:val="20"/>
        </w:rPr>
        <w:t>, including long queues, poor working condition</w:t>
      </w:r>
      <w:r w:rsidR="00193CEA" w:rsidRPr="009E6B3C">
        <w:rPr>
          <w:rFonts w:ascii="Arial" w:hAnsi="Arial" w:cs="Arial"/>
          <w:color w:val="000000" w:themeColor="text1"/>
          <w:sz w:val="20"/>
          <w:szCs w:val="20"/>
        </w:rPr>
        <w:t>s</w:t>
      </w:r>
      <w:r w:rsidR="00D4576A" w:rsidRPr="009E6B3C">
        <w:rPr>
          <w:rFonts w:ascii="Arial" w:hAnsi="Arial" w:cs="Arial"/>
          <w:color w:val="000000" w:themeColor="text1"/>
          <w:sz w:val="20"/>
          <w:szCs w:val="20"/>
        </w:rPr>
        <w:t xml:space="preserve">, </w:t>
      </w:r>
      <w:r w:rsidR="00193CEA" w:rsidRPr="009E6B3C">
        <w:rPr>
          <w:rFonts w:ascii="Arial" w:hAnsi="Arial" w:cs="Arial"/>
          <w:color w:val="000000" w:themeColor="text1"/>
          <w:sz w:val="20"/>
          <w:szCs w:val="20"/>
        </w:rPr>
        <w:t>the unavailability of IT systems, a</w:t>
      </w:r>
      <w:r w:rsidR="00D4576A" w:rsidRPr="009E6B3C">
        <w:rPr>
          <w:rFonts w:ascii="Arial" w:hAnsi="Arial" w:cs="Arial"/>
          <w:color w:val="000000" w:themeColor="text1"/>
          <w:sz w:val="20"/>
          <w:szCs w:val="20"/>
        </w:rPr>
        <w:t xml:space="preserve"> lack of capacity </w:t>
      </w:r>
      <w:r w:rsidR="004A2D62" w:rsidRPr="009E6B3C">
        <w:rPr>
          <w:rFonts w:ascii="Arial" w:hAnsi="Arial" w:cs="Arial"/>
          <w:color w:val="000000" w:themeColor="text1"/>
          <w:sz w:val="20"/>
          <w:szCs w:val="20"/>
        </w:rPr>
        <w:t xml:space="preserve">and </w:t>
      </w:r>
      <w:r w:rsidR="00D4576A" w:rsidRPr="009E6B3C">
        <w:rPr>
          <w:rFonts w:ascii="Arial" w:hAnsi="Arial" w:cs="Arial"/>
          <w:color w:val="000000" w:themeColor="text1"/>
          <w:sz w:val="20"/>
          <w:szCs w:val="20"/>
        </w:rPr>
        <w:t xml:space="preserve">difficulties in retaining staff. </w:t>
      </w:r>
      <w:r w:rsidR="006E33A6" w:rsidRPr="009E6B3C">
        <w:rPr>
          <w:rFonts w:ascii="Arial" w:hAnsi="Arial" w:cs="Arial"/>
          <w:color w:val="000000" w:themeColor="text1"/>
          <w:sz w:val="20"/>
          <w:szCs w:val="20"/>
        </w:rPr>
        <w:t xml:space="preserve">We believe </w:t>
      </w:r>
      <w:r w:rsidR="00D4576A" w:rsidRPr="009E6B3C">
        <w:rPr>
          <w:rFonts w:ascii="Arial" w:hAnsi="Arial" w:cs="Arial"/>
          <w:color w:val="000000" w:themeColor="text1"/>
          <w:sz w:val="20"/>
          <w:szCs w:val="20"/>
        </w:rPr>
        <w:t xml:space="preserve">that </w:t>
      </w:r>
      <w:r w:rsidR="00193CEA" w:rsidRPr="009E6B3C">
        <w:rPr>
          <w:rFonts w:ascii="Arial" w:hAnsi="Arial" w:cs="Arial"/>
          <w:color w:val="000000" w:themeColor="text1"/>
          <w:sz w:val="20"/>
          <w:szCs w:val="20"/>
        </w:rPr>
        <w:t>over the years Master’s services have been neglected. Tackling the challenges will require a hands on approach at the very highest level and should be accompanied by a willingness to ensure that the necessary resources are swiftly deployed.</w:t>
      </w:r>
    </w:p>
    <w:p w:rsidR="00D4576A" w:rsidRPr="009E6B3C" w:rsidRDefault="00D4576A" w:rsidP="009E6B3C">
      <w:pPr>
        <w:pStyle w:val="NormalWeb"/>
        <w:spacing w:before="0" w:after="0"/>
        <w:rPr>
          <w:rFonts w:ascii="Arial" w:hAnsi="Arial" w:cs="Arial"/>
          <w:color w:val="000000" w:themeColor="text1"/>
          <w:sz w:val="20"/>
          <w:szCs w:val="20"/>
        </w:rPr>
      </w:pPr>
    </w:p>
    <w:p w:rsidR="00D6441A" w:rsidRPr="009E6B3C" w:rsidRDefault="00D4576A"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w:t>
      </w:r>
      <w:r w:rsidR="004A2D62" w:rsidRPr="009E6B3C">
        <w:rPr>
          <w:rFonts w:ascii="Arial" w:hAnsi="Arial" w:cs="Arial"/>
          <w:color w:val="000000" w:themeColor="text1"/>
          <w:sz w:val="20"/>
          <w:szCs w:val="20"/>
        </w:rPr>
        <w:t xml:space="preserve">have noted the Department’s </w:t>
      </w:r>
      <w:r w:rsidR="004A2D62" w:rsidRPr="009E6B3C">
        <w:rPr>
          <w:rFonts w:ascii="Arial" w:hAnsi="Arial" w:cs="Arial"/>
          <w:sz w:val="20"/>
          <w:szCs w:val="20"/>
          <w:lang w:val="en-US"/>
        </w:rPr>
        <w:t xml:space="preserve">intention to implement a robust strategy in 2022/23 to transform the services rendered by the Master’s Offices across the country. </w:t>
      </w:r>
      <w:r w:rsidR="004A2D62" w:rsidRPr="009E6B3C">
        <w:rPr>
          <w:rFonts w:ascii="Arial" w:hAnsi="Arial" w:cs="Arial"/>
          <w:color w:val="000000" w:themeColor="text1"/>
          <w:sz w:val="20"/>
          <w:szCs w:val="20"/>
        </w:rPr>
        <w:t>We have also previously reported our intention to e</w:t>
      </w:r>
      <w:r w:rsidR="00D6441A" w:rsidRPr="009E6B3C">
        <w:rPr>
          <w:rFonts w:ascii="Arial" w:hAnsi="Arial" w:cs="Arial"/>
          <w:color w:val="000000" w:themeColor="text1"/>
          <w:sz w:val="20"/>
          <w:szCs w:val="20"/>
        </w:rPr>
        <w:t xml:space="preserve">ngage with the Minister and Department on </w:t>
      </w:r>
      <w:r w:rsidR="004A2D62" w:rsidRPr="009E6B3C">
        <w:rPr>
          <w:rFonts w:ascii="Arial" w:hAnsi="Arial" w:cs="Arial"/>
          <w:color w:val="000000" w:themeColor="text1"/>
          <w:sz w:val="20"/>
          <w:szCs w:val="20"/>
        </w:rPr>
        <w:t xml:space="preserve">our observations and will do so </w:t>
      </w:r>
      <w:r w:rsidR="00D6441A" w:rsidRPr="009E6B3C">
        <w:rPr>
          <w:rFonts w:ascii="Arial" w:hAnsi="Arial" w:cs="Arial"/>
          <w:color w:val="000000" w:themeColor="text1"/>
          <w:sz w:val="20"/>
          <w:szCs w:val="20"/>
        </w:rPr>
        <w:t>as soon as the programme permits.</w:t>
      </w:r>
    </w:p>
    <w:p w:rsidR="00D6441A" w:rsidRPr="009E6B3C" w:rsidRDefault="00D6441A" w:rsidP="009E6B3C">
      <w:pPr>
        <w:pStyle w:val="NormalWeb"/>
        <w:spacing w:before="0" w:after="0"/>
        <w:rPr>
          <w:rFonts w:ascii="Arial" w:hAnsi="Arial" w:cs="Arial"/>
          <w:color w:val="000000" w:themeColor="text1"/>
          <w:sz w:val="20"/>
          <w:szCs w:val="20"/>
        </w:rPr>
      </w:pPr>
    </w:p>
    <w:p w:rsidR="004A2D62" w:rsidRPr="009E6B3C" w:rsidRDefault="00D6441A"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We note the </w:t>
      </w:r>
      <w:r w:rsidR="006E33A6" w:rsidRPr="009E6B3C">
        <w:rPr>
          <w:rFonts w:ascii="Arial" w:hAnsi="Arial" w:cs="Arial"/>
          <w:color w:val="000000" w:themeColor="text1"/>
          <w:sz w:val="20"/>
          <w:szCs w:val="20"/>
        </w:rPr>
        <w:t>Auditor-</w:t>
      </w:r>
      <w:r w:rsidR="007B5746" w:rsidRPr="009E6B3C">
        <w:rPr>
          <w:rFonts w:ascii="Arial" w:hAnsi="Arial" w:cs="Arial"/>
          <w:color w:val="000000" w:themeColor="text1"/>
          <w:sz w:val="20"/>
          <w:szCs w:val="20"/>
        </w:rPr>
        <w:t>General’s concern</w:t>
      </w:r>
      <w:r w:rsidRPr="009E6B3C">
        <w:rPr>
          <w:rFonts w:ascii="Arial" w:hAnsi="Arial" w:cs="Arial"/>
          <w:color w:val="000000" w:themeColor="text1"/>
          <w:sz w:val="20"/>
          <w:szCs w:val="20"/>
        </w:rPr>
        <w:t xml:space="preserve"> that the manner in which the </w:t>
      </w:r>
      <w:r w:rsidR="00966847" w:rsidRPr="009E6B3C">
        <w:rPr>
          <w:rFonts w:ascii="Arial" w:hAnsi="Arial" w:cs="Arial"/>
          <w:color w:val="000000" w:themeColor="text1"/>
          <w:sz w:val="20"/>
          <w:szCs w:val="20"/>
        </w:rPr>
        <w:t>indicators for the Master</w:t>
      </w:r>
      <w:r w:rsidR="007B5746" w:rsidRPr="009E6B3C">
        <w:rPr>
          <w:rFonts w:ascii="Arial" w:hAnsi="Arial" w:cs="Arial"/>
          <w:color w:val="000000" w:themeColor="text1"/>
          <w:sz w:val="20"/>
          <w:szCs w:val="20"/>
        </w:rPr>
        <w:t>’</w:t>
      </w:r>
      <w:r w:rsidR="00966847" w:rsidRPr="009E6B3C">
        <w:rPr>
          <w:rFonts w:ascii="Arial" w:hAnsi="Arial" w:cs="Arial"/>
          <w:color w:val="000000" w:themeColor="text1"/>
          <w:sz w:val="20"/>
          <w:szCs w:val="20"/>
        </w:rPr>
        <w:t xml:space="preserve">s Office are </w:t>
      </w:r>
      <w:r w:rsidRPr="009E6B3C">
        <w:rPr>
          <w:rFonts w:ascii="Arial" w:hAnsi="Arial" w:cs="Arial"/>
          <w:color w:val="000000" w:themeColor="text1"/>
          <w:sz w:val="20"/>
          <w:szCs w:val="20"/>
        </w:rPr>
        <w:t xml:space="preserve">crafted </w:t>
      </w:r>
      <w:r w:rsidR="004A2D62" w:rsidRPr="009E6B3C">
        <w:rPr>
          <w:rFonts w:ascii="Arial" w:hAnsi="Arial" w:cs="Arial"/>
          <w:color w:val="000000" w:themeColor="text1"/>
          <w:sz w:val="20"/>
          <w:szCs w:val="20"/>
        </w:rPr>
        <w:t xml:space="preserve">may not provide an accurate account of performance. Specifically, the targets, which report on the percentage of finalised cases, do not provide any information on </w:t>
      </w:r>
      <w:r w:rsidR="00966847" w:rsidRPr="009E6B3C">
        <w:rPr>
          <w:rFonts w:ascii="Arial" w:hAnsi="Arial" w:cs="Arial"/>
          <w:color w:val="000000" w:themeColor="text1"/>
          <w:sz w:val="20"/>
          <w:szCs w:val="20"/>
        </w:rPr>
        <w:t xml:space="preserve">the backlogs. </w:t>
      </w:r>
    </w:p>
    <w:p w:rsidR="004A2D62" w:rsidRPr="009E6B3C" w:rsidRDefault="004A2D62" w:rsidP="009E6B3C">
      <w:pPr>
        <w:pStyle w:val="NormalWeb"/>
        <w:spacing w:before="0" w:after="0"/>
        <w:rPr>
          <w:rFonts w:ascii="Arial" w:hAnsi="Arial" w:cs="Arial"/>
          <w:color w:val="000000" w:themeColor="text1"/>
          <w:sz w:val="20"/>
          <w:szCs w:val="20"/>
        </w:rPr>
      </w:pPr>
    </w:p>
    <w:p w:rsidR="00966847" w:rsidRPr="009E6B3C" w:rsidRDefault="004A2D62" w:rsidP="009E6B3C">
      <w:pPr>
        <w:pStyle w:val="NormalWeb"/>
        <w:spacing w:before="0" w:after="0"/>
        <w:rPr>
          <w:rFonts w:ascii="Arial" w:hAnsi="Arial" w:cs="Arial"/>
          <w:color w:val="000000" w:themeColor="text1"/>
          <w:sz w:val="20"/>
          <w:szCs w:val="20"/>
        </w:rPr>
      </w:pPr>
      <w:r w:rsidRPr="009E6B3C">
        <w:rPr>
          <w:rFonts w:ascii="Arial" w:hAnsi="Arial" w:cs="Arial"/>
          <w:color w:val="000000" w:themeColor="text1"/>
          <w:sz w:val="20"/>
          <w:szCs w:val="20"/>
        </w:rPr>
        <w:t xml:space="preserve">Given the public’s need for </w:t>
      </w:r>
      <w:r w:rsidR="00893C6D" w:rsidRPr="009E6B3C">
        <w:rPr>
          <w:rFonts w:ascii="Arial" w:hAnsi="Arial" w:cs="Arial"/>
          <w:color w:val="000000" w:themeColor="text1"/>
          <w:sz w:val="20"/>
          <w:szCs w:val="20"/>
        </w:rPr>
        <w:t xml:space="preserve">a responsive and efficient </w:t>
      </w:r>
      <w:r w:rsidRPr="009E6B3C">
        <w:rPr>
          <w:rFonts w:ascii="Arial" w:hAnsi="Arial" w:cs="Arial"/>
          <w:color w:val="000000" w:themeColor="text1"/>
          <w:sz w:val="20"/>
          <w:szCs w:val="20"/>
        </w:rPr>
        <w:t xml:space="preserve">Master’s </w:t>
      </w:r>
      <w:r w:rsidR="00893C6D" w:rsidRPr="009E6B3C">
        <w:rPr>
          <w:rFonts w:ascii="Arial" w:hAnsi="Arial" w:cs="Arial"/>
          <w:color w:val="000000" w:themeColor="text1"/>
          <w:sz w:val="20"/>
          <w:szCs w:val="20"/>
        </w:rPr>
        <w:t>Office</w:t>
      </w:r>
      <w:r w:rsidRPr="009E6B3C">
        <w:rPr>
          <w:rFonts w:ascii="Arial" w:hAnsi="Arial" w:cs="Arial"/>
          <w:color w:val="000000" w:themeColor="text1"/>
          <w:sz w:val="20"/>
          <w:szCs w:val="20"/>
        </w:rPr>
        <w:t xml:space="preserve">, tackling </w:t>
      </w:r>
      <w:r w:rsidR="00D4576A" w:rsidRPr="009E6B3C">
        <w:rPr>
          <w:rFonts w:ascii="Arial" w:hAnsi="Arial" w:cs="Arial"/>
          <w:color w:val="000000" w:themeColor="text1"/>
          <w:sz w:val="20"/>
          <w:szCs w:val="20"/>
        </w:rPr>
        <w:t xml:space="preserve">the </w:t>
      </w:r>
      <w:r w:rsidRPr="009E6B3C">
        <w:rPr>
          <w:rFonts w:ascii="Arial" w:hAnsi="Arial" w:cs="Arial"/>
          <w:color w:val="000000" w:themeColor="text1"/>
          <w:sz w:val="20"/>
          <w:szCs w:val="20"/>
        </w:rPr>
        <w:t xml:space="preserve">backlogs should be a priority. </w:t>
      </w:r>
      <w:r w:rsidR="00D4576A" w:rsidRPr="009E6B3C">
        <w:rPr>
          <w:rFonts w:ascii="Arial" w:hAnsi="Arial" w:cs="Arial"/>
          <w:color w:val="000000" w:themeColor="text1"/>
          <w:sz w:val="20"/>
          <w:szCs w:val="20"/>
        </w:rPr>
        <w:t>In this regard, w</w:t>
      </w:r>
      <w:r w:rsidR="00537FF2" w:rsidRPr="009E6B3C">
        <w:rPr>
          <w:rFonts w:ascii="Arial" w:hAnsi="Arial" w:cs="Arial"/>
          <w:color w:val="000000" w:themeColor="text1"/>
          <w:sz w:val="20"/>
          <w:szCs w:val="20"/>
        </w:rPr>
        <w:t>e note that t</w:t>
      </w:r>
      <w:r w:rsidR="00966847" w:rsidRPr="009E6B3C">
        <w:rPr>
          <w:rFonts w:ascii="Arial" w:hAnsi="Arial" w:cs="Arial"/>
          <w:sz w:val="20"/>
          <w:szCs w:val="20"/>
          <w:lang w:eastAsia="en-ZA"/>
        </w:rPr>
        <w:t>he Department has committed to clearing the backlog</w:t>
      </w:r>
      <w:r w:rsidRPr="009E6B3C">
        <w:rPr>
          <w:rFonts w:ascii="Arial" w:hAnsi="Arial" w:cs="Arial"/>
          <w:sz w:val="20"/>
          <w:szCs w:val="20"/>
          <w:lang w:eastAsia="en-ZA"/>
        </w:rPr>
        <w:t>s</w:t>
      </w:r>
      <w:r w:rsidR="00966847" w:rsidRPr="009E6B3C">
        <w:rPr>
          <w:rFonts w:ascii="Arial" w:hAnsi="Arial" w:cs="Arial"/>
          <w:sz w:val="20"/>
          <w:szCs w:val="20"/>
          <w:lang w:eastAsia="en-ZA"/>
        </w:rPr>
        <w:t xml:space="preserve"> by the end of December 2022</w:t>
      </w:r>
      <w:r w:rsidR="00D4576A" w:rsidRPr="009E6B3C">
        <w:rPr>
          <w:rFonts w:ascii="Arial" w:hAnsi="Arial" w:cs="Arial"/>
          <w:sz w:val="20"/>
          <w:szCs w:val="20"/>
          <w:lang w:eastAsia="en-ZA"/>
        </w:rPr>
        <w:t xml:space="preserve">. We hope that this commitment is realised but are not </w:t>
      </w:r>
      <w:r w:rsidR="00193CEA" w:rsidRPr="009E6B3C">
        <w:rPr>
          <w:rFonts w:ascii="Arial" w:hAnsi="Arial" w:cs="Arial"/>
          <w:sz w:val="20"/>
          <w:szCs w:val="20"/>
          <w:lang w:eastAsia="en-ZA"/>
        </w:rPr>
        <w:t>confident</w:t>
      </w:r>
      <w:r w:rsidR="00537FF2" w:rsidRPr="009E6B3C">
        <w:rPr>
          <w:rFonts w:ascii="Arial" w:hAnsi="Arial" w:cs="Arial"/>
          <w:sz w:val="20"/>
          <w:szCs w:val="20"/>
          <w:lang w:eastAsia="en-ZA"/>
        </w:rPr>
        <w:t xml:space="preserve">. We, therefore, request further information on the progress </w:t>
      </w:r>
      <w:r w:rsidR="00CB4E9B" w:rsidRPr="009E6B3C">
        <w:rPr>
          <w:rFonts w:ascii="Arial" w:hAnsi="Arial" w:cs="Arial"/>
          <w:sz w:val="20"/>
          <w:szCs w:val="20"/>
          <w:lang w:eastAsia="en-ZA"/>
        </w:rPr>
        <w:t xml:space="preserve">made </w:t>
      </w:r>
      <w:r w:rsidR="00537FF2" w:rsidRPr="009E6B3C">
        <w:rPr>
          <w:rFonts w:ascii="Arial" w:hAnsi="Arial" w:cs="Arial"/>
          <w:sz w:val="20"/>
          <w:szCs w:val="20"/>
          <w:lang w:eastAsia="en-ZA"/>
        </w:rPr>
        <w:t xml:space="preserve">in attending to the backlog cases </w:t>
      </w:r>
      <w:r w:rsidR="00893C6D" w:rsidRPr="009E6B3C">
        <w:rPr>
          <w:rFonts w:ascii="Arial" w:hAnsi="Arial" w:cs="Arial"/>
          <w:sz w:val="20"/>
          <w:szCs w:val="20"/>
          <w:lang w:eastAsia="en-ZA"/>
        </w:rPr>
        <w:t xml:space="preserve">for </w:t>
      </w:r>
      <w:r w:rsidR="00CB4E9B" w:rsidRPr="009E6B3C">
        <w:rPr>
          <w:rFonts w:ascii="Arial" w:hAnsi="Arial" w:cs="Arial"/>
          <w:sz w:val="20"/>
          <w:szCs w:val="20"/>
          <w:lang w:eastAsia="en-ZA"/>
        </w:rPr>
        <w:t xml:space="preserve">each of the </w:t>
      </w:r>
      <w:r w:rsidR="00537FF2" w:rsidRPr="009E6B3C">
        <w:rPr>
          <w:rFonts w:ascii="Arial" w:hAnsi="Arial" w:cs="Arial"/>
          <w:sz w:val="20"/>
          <w:szCs w:val="20"/>
          <w:lang w:eastAsia="en-ZA"/>
        </w:rPr>
        <w:t>Master’s offices</w:t>
      </w:r>
      <w:r w:rsidR="00A748E2" w:rsidRPr="009E6B3C">
        <w:rPr>
          <w:rFonts w:ascii="Arial" w:hAnsi="Arial" w:cs="Arial"/>
          <w:sz w:val="20"/>
          <w:szCs w:val="20"/>
          <w:lang w:eastAsia="en-ZA"/>
        </w:rPr>
        <w:t xml:space="preserve"> before </w:t>
      </w:r>
      <w:r w:rsidR="00B62E7D" w:rsidRPr="009E6B3C">
        <w:rPr>
          <w:rFonts w:ascii="Arial" w:hAnsi="Arial" w:cs="Arial"/>
          <w:sz w:val="20"/>
          <w:szCs w:val="20"/>
          <w:lang w:eastAsia="en-ZA"/>
        </w:rPr>
        <w:t>31 January 2023</w:t>
      </w:r>
      <w:r w:rsidR="00A748E2" w:rsidRPr="009E6B3C">
        <w:rPr>
          <w:rFonts w:ascii="Arial" w:hAnsi="Arial" w:cs="Arial"/>
          <w:sz w:val="20"/>
          <w:szCs w:val="20"/>
          <w:lang w:eastAsia="en-ZA"/>
        </w:rPr>
        <w:t>.</w:t>
      </w:r>
      <w:r w:rsidR="00537FF2" w:rsidRPr="009E6B3C">
        <w:rPr>
          <w:rFonts w:ascii="Arial" w:hAnsi="Arial" w:cs="Arial"/>
          <w:sz w:val="20"/>
          <w:szCs w:val="20"/>
          <w:lang w:eastAsia="en-ZA"/>
        </w:rPr>
        <w:t xml:space="preserve"> </w:t>
      </w:r>
    </w:p>
    <w:p w:rsidR="000803DE" w:rsidRPr="009E6B3C" w:rsidRDefault="000803DE" w:rsidP="009E6B3C">
      <w:pPr>
        <w:pStyle w:val="ListParagraph"/>
        <w:ind w:left="851" w:hanging="851"/>
        <w:rPr>
          <w:rFonts w:ascii="Arial" w:hAnsi="Arial" w:cs="Arial"/>
          <w:sz w:val="20"/>
          <w:szCs w:val="20"/>
          <w:lang w:eastAsia="en-ZA"/>
        </w:rPr>
      </w:pPr>
    </w:p>
    <w:p w:rsidR="0067594D" w:rsidRPr="009E6B3C" w:rsidRDefault="0067594D" w:rsidP="009E6B3C">
      <w:pPr>
        <w:tabs>
          <w:tab w:val="left" w:pos="851"/>
        </w:tabs>
        <w:ind w:left="851"/>
        <w:rPr>
          <w:rFonts w:ascii="Arial" w:hAnsi="Arial" w:cs="Arial"/>
          <w:sz w:val="20"/>
          <w:szCs w:val="20"/>
          <w:lang w:eastAsia="en-ZA"/>
        </w:rPr>
      </w:pPr>
    </w:p>
    <w:p w:rsidR="004A2D62" w:rsidRPr="009E6B3C" w:rsidRDefault="0067594D" w:rsidP="009E6B3C">
      <w:pPr>
        <w:rPr>
          <w:rFonts w:ascii="Arial" w:hAnsi="Arial" w:cs="Arial"/>
          <w:b/>
          <w:sz w:val="20"/>
          <w:szCs w:val="20"/>
        </w:rPr>
      </w:pPr>
      <w:r w:rsidRPr="009E6B3C">
        <w:rPr>
          <w:rFonts w:ascii="Arial" w:hAnsi="Arial" w:cs="Arial"/>
          <w:b/>
          <w:sz w:val="20"/>
          <w:szCs w:val="20"/>
        </w:rPr>
        <w:t>NPA</w:t>
      </w:r>
    </w:p>
    <w:p w:rsidR="004A2D62" w:rsidRPr="009E6B3C" w:rsidRDefault="004A2D62" w:rsidP="009E6B3C">
      <w:pPr>
        <w:tabs>
          <w:tab w:val="left" w:pos="851"/>
        </w:tabs>
        <w:rPr>
          <w:rFonts w:ascii="Arial" w:hAnsi="Arial" w:cs="Arial"/>
          <w:b/>
          <w:sz w:val="20"/>
          <w:szCs w:val="20"/>
        </w:rPr>
      </w:pPr>
    </w:p>
    <w:p w:rsidR="00C47B7B" w:rsidRPr="009E6B3C" w:rsidRDefault="00C47B7B"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Improved performance</w:t>
      </w:r>
    </w:p>
    <w:p w:rsidR="00C47B7B" w:rsidRPr="009E6B3C" w:rsidRDefault="00C47B7B" w:rsidP="009E6B3C">
      <w:pPr>
        <w:tabs>
          <w:tab w:val="left" w:pos="851"/>
        </w:tabs>
        <w:rPr>
          <w:rFonts w:ascii="Arial" w:hAnsi="Arial" w:cs="Arial"/>
          <w:sz w:val="20"/>
          <w:szCs w:val="20"/>
        </w:rPr>
      </w:pPr>
    </w:p>
    <w:p w:rsidR="00806DF4" w:rsidRPr="009E6B3C" w:rsidRDefault="00893C6D" w:rsidP="009E6B3C">
      <w:pPr>
        <w:tabs>
          <w:tab w:val="left" w:pos="851"/>
        </w:tabs>
        <w:rPr>
          <w:rFonts w:ascii="Arial" w:hAnsi="Arial" w:cs="Arial"/>
          <w:sz w:val="20"/>
          <w:szCs w:val="20"/>
        </w:rPr>
      </w:pPr>
      <w:r w:rsidRPr="009E6B3C">
        <w:rPr>
          <w:rFonts w:ascii="Arial" w:hAnsi="Arial" w:cs="Arial"/>
          <w:sz w:val="20"/>
          <w:szCs w:val="20"/>
        </w:rPr>
        <w:t xml:space="preserve">We commend the NPA on its improved performance. </w:t>
      </w:r>
      <w:r w:rsidR="00806DF4" w:rsidRPr="009E6B3C">
        <w:rPr>
          <w:rFonts w:ascii="Arial" w:hAnsi="Arial" w:cs="Arial"/>
          <w:sz w:val="20"/>
          <w:szCs w:val="20"/>
        </w:rPr>
        <w:t>From the outset, t</w:t>
      </w:r>
      <w:r w:rsidRPr="009E6B3C">
        <w:rPr>
          <w:rFonts w:ascii="Arial" w:hAnsi="Arial" w:cs="Arial"/>
          <w:sz w:val="20"/>
          <w:szCs w:val="20"/>
        </w:rPr>
        <w:t xml:space="preserve">he </w:t>
      </w:r>
      <w:r w:rsidR="00806DF4" w:rsidRPr="009E6B3C">
        <w:rPr>
          <w:rFonts w:ascii="Arial" w:hAnsi="Arial" w:cs="Arial"/>
          <w:sz w:val="20"/>
          <w:szCs w:val="20"/>
        </w:rPr>
        <w:t xml:space="preserve">NDPP has been frank with us about the state of affairs at the NPA and it is particularly pleasing to see that the considerable effort that has been made over a number of years to address the underlying challenges is beginning to see a return. </w:t>
      </w:r>
    </w:p>
    <w:p w:rsidR="00806DF4" w:rsidRPr="009E6B3C" w:rsidRDefault="00806DF4" w:rsidP="009E6B3C">
      <w:pPr>
        <w:tabs>
          <w:tab w:val="left" w:pos="851"/>
        </w:tabs>
        <w:rPr>
          <w:rFonts w:ascii="Arial" w:hAnsi="Arial" w:cs="Arial"/>
          <w:b/>
          <w:sz w:val="20"/>
          <w:szCs w:val="20"/>
        </w:rPr>
      </w:pPr>
    </w:p>
    <w:p w:rsidR="004C1759" w:rsidRPr="009E6B3C" w:rsidRDefault="004C1759"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Progress of strategic litigation strategy</w:t>
      </w:r>
    </w:p>
    <w:p w:rsidR="00A748E2" w:rsidRPr="009E6B3C" w:rsidRDefault="00A748E2" w:rsidP="009E6B3C">
      <w:pPr>
        <w:pStyle w:val="ListParagraph"/>
        <w:ind w:left="851"/>
        <w:rPr>
          <w:rFonts w:ascii="Arial" w:hAnsi="Arial" w:cs="Arial"/>
          <w:b/>
          <w:sz w:val="20"/>
          <w:szCs w:val="20"/>
        </w:rPr>
      </w:pPr>
    </w:p>
    <w:p w:rsidR="004C1759" w:rsidRPr="009E6B3C" w:rsidRDefault="004C1759" w:rsidP="009E6B3C">
      <w:pPr>
        <w:tabs>
          <w:tab w:val="left" w:pos="851"/>
        </w:tabs>
        <w:rPr>
          <w:rFonts w:ascii="Arial" w:hAnsi="Arial" w:cs="Arial"/>
          <w:sz w:val="20"/>
          <w:szCs w:val="20"/>
        </w:rPr>
      </w:pPr>
      <w:r w:rsidRPr="009E6B3C">
        <w:rPr>
          <w:rFonts w:ascii="Arial" w:hAnsi="Arial" w:cs="Arial"/>
          <w:sz w:val="20"/>
          <w:szCs w:val="20"/>
        </w:rPr>
        <w:t xml:space="preserve">We are pleased that the NPA’s 6-months priority plan has resulted in the institution of impactful prosecutions and significant asset recoveries obtained: Specifically, the </w:t>
      </w:r>
      <w:r w:rsidR="004A729D" w:rsidRPr="009E6B3C">
        <w:rPr>
          <w:rFonts w:ascii="Arial" w:hAnsi="Arial" w:cs="Arial"/>
          <w:sz w:val="20"/>
          <w:szCs w:val="20"/>
        </w:rPr>
        <w:t>ID</w:t>
      </w:r>
      <w:r w:rsidRPr="009E6B3C">
        <w:rPr>
          <w:rFonts w:ascii="Arial" w:hAnsi="Arial" w:cs="Arial"/>
          <w:sz w:val="20"/>
          <w:szCs w:val="20"/>
        </w:rPr>
        <w:t xml:space="preserve"> has enrolled over 20 matters; charged 65 accused and obtained freezing orders of R5.5 billion.</w:t>
      </w:r>
    </w:p>
    <w:p w:rsidR="004C1759" w:rsidRPr="009E6B3C" w:rsidRDefault="004C1759" w:rsidP="009E6B3C">
      <w:pPr>
        <w:tabs>
          <w:tab w:val="left" w:pos="851"/>
        </w:tabs>
        <w:rPr>
          <w:rFonts w:ascii="Arial" w:hAnsi="Arial" w:cs="Arial"/>
          <w:sz w:val="20"/>
          <w:szCs w:val="20"/>
        </w:rPr>
      </w:pPr>
    </w:p>
    <w:p w:rsidR="004C1759" w:rsidRPr="009E6B3C" w:rsidRDefault="004C1759" w:rsidP="009E6B3C">
      <w:pPr>
        <w:tabs>
          <w:tab w:val="left" w:pos="851"/>
        </w:tabs>
        <w:rPr>
          <w:rFonts w:ascii="Arial" w:hAnsi="Arial" w:cs="Arial"/>
          <w:sz w:val="20"/>
          <w:szCs w:val="20"/>
        </w:rPr>
      </w:pPr>
      <w:r w:rsidRPr="009E6B3C">
        <w:rPr>
          <w:rFonts w:ascii="Arial" w:hAnsi="Arial" w:cs="Arial"/>
          <w:sz w:val="20"/>
          <w:szCs w:val="20"/>
        </w:rPr>
        <w:t xml:space="preserve">We note also that, as part of its ongoing response to State Capture and high-level corruption, the NPA successfully enrolled 9 seminal matters before the end September 2022. These cases </w:t>
      </w:r>
      <w:r w:rsidR="00A748E2" w:rsidRPr="009E6B3C">
        <w:rPr>
          <w:rFonts w:ascii="Arial" w:hAnsi="Arial" w:cs="Arial"/>
          <w:sz w:val="20"/>
          <w:szCs w:val="20"/>
        </w:rPr>
        <w:t>i</w:t>
      </w:r>
      <w:r w:rsidRPr="009E6B3C">
        <w:rPr>
          <w:rFonts w:ascii="Arial" w:hAnsi="Arial" w:cs="Arial"/>
          <w:sz w:val="20"/>
          <w:szCs w:val="20"/>
        </w:rPr>
        <w:t>llustrate the workings of state capture, involving accused persons from both government and the private sector who allegedly played vital roles in repurposing state institutions, syphoning off public funds for private gain and committing the most damaging forms of high-level corruption, incl</w:t>
      </w:r>
      <w:r w:rsidR="00A748E2" w:rsidRPr="009E6B3C">
        <w:rPr>
          <w:rFonts w:ascii="Arial" w:hAnsi="Arial" w:cs="Arial"/>
          <w:sz w:val="20"/>
          <w:szCs w:val="20"/>
        </w:rPr>
        <w:t>uding</w:t>
      </w:r>
      <w:r w:rsidRPr="009E6B3C">
        <w:rPr>
          <w:rFonts w:ascii="Arial" w:hAnsi="Arial" w:cs="Arial"/>
          <w:sz w:val="20"/>
          <w:szCs w:val="20"/>
        </w:rPr>
        <w:t xml:space="preserve"> crimes committed as part of the state capture project. </w:t>
      </w:r>
    </w:p>
    <w:p w:rsidR="004C1759" w:rsidRPr="009E6B3C" w:rsidRDefault="004C1759" w:rsidP="009E6B3C">
      <w:pPr>
        <w:tabs>
          <w:tab w:val="left" w:pos="851"/>
        </w:tabs>
        <w:ind w:left="142"/>
        <w:rPr>
          <w:rFonts w:ascii="Arial" w:hAnsi="Arial" w:cs="Arial"/>
          <w:b/>
          <w:sz w:val="20"/>
          <w:szCs w:val="20"/>
        </w:rPr>
      </w:pPr>
    </w:p>
    <w:p w:rsidR="00C47B7B" w:rsidRPr="009E6B3C" w:rsidRDefault="00C47B7B"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Funding</w:t>
      </w:r>
    </w:p>
    <w:p w:rsidR="00C47B7B" w:rsidRPr="009E6B3C" w:rsidRDefault="00C47B7B" w:rsidP="009E6B3C">
      <w:pPr>
        <w:rPr>
          <w:rFonts w:ascii="Arial" w:hAnsi="Arial" w:cs="Arial"/>
          <w:b/>
          <w:sz w:val="20"/>
          <w:szCs w:val="20"/>
        </w:rPr>
      </w:pPr>
    </w:p>
    <w:p w:rsidR="00A748E2" w:rsidRPr="009E6B3C" w:rsidRDefault="00C47B7B" w:rsidP="009E6B3C">
      <w:pPr>
        <w:rPr>
          <w:rFonts w:ascii="Arial" w:hAnsi="Arial" w:cs="Arial"/>
          <w:sz w:val="20"/>
          <w:szCs w:val="20"/>
        </w:rPr>
      </w:pPr>
      <w:r w:rsidRPr="009E6B3C">
        <w:rPr>
          <w:rFonts w:ascii="Arial" w:hAnsi="Arial" w:cs="Arial"/>
          <w:sz w:val="20"/>
          <w:szCs w:val="20"/>
          <w:lang/>
        </w:rPr>
        <w:t>The Committee has previously noted that the NPA is allocated an additional R1.1 billion over the medium term. Of the additional funds allocated, R393 million is allocated to the I</w:t>
      </w:r>
      <w:r w:rsidR="006E33A6" w:rsidRPr="009E6B3C">
        <w:rPr>
          <w:rFonts w:ascii="Arial" w:hAnsi="Arial" w:cs="Arial"/>
          <w:sz w:val="20"/>
          <w:szCs w:val="20"/>
          <w:lang/>
        </w:rPr>
        <w:t>D</w:t>
      </w:r>
      <w:r w:rsidRPr="009E6B3C">
        <w:rPr>
          <w:rFonts w:ascii="Arial" w:hAnsi="Arial" w:cs="Arial"/>
          <w:sz w:val="20"/>
          <w:szCs w:val="20"/>
          <w:lang/>
        </w:rPr>
        <w:t xml:space="preserve"> so that it can address capacity constraints by employing 90 extra permanent staff members with specialist skills and experience, and train and develop existing employees. The additional funds will also allow the NPA to increase its capacity by recruiting 17 senior state advocates for the AFU and </w:t>
      </w:r>
      <w:r w:rsidRPr="009E6B3C">
        <w:rPr>
          <w:rFonts w:ascii="Arial" w:hAnsi="Arial" w:cs="Arial"/>
          <w:sz w:val="20"/>
          <w:szCs w:val="20"/>
        </w:rPr>
        <w:t>12 protectors for the Office of Witness Protection, as well as employ 700 aspirant prosecutors in the National Prosecutions Service.</w:t>
      </w:r>
      <w:r w:rsidR="004C1759" w:rsidRPr="009E6B3C">
        <w:rPr>
          <w:rFonts w:ascii="Arial" w:hAnsi="Arial" w:cs="Arial"/>
          <w:sz w:val="20"/>
          <w:szCs w:val="20"/>
        </w:rPr>
        <w:t xml:space="preserve"> </w:t>
      </w:r>
    </w:p>
    <w:p w:rsidR="00015B9A" w:rsidRPr="009E6B3C" w:rsidRDefault="00015B9A" w:rsidP="009E6B3C">
      <w:pPr>
        <w:rPr>
          <w:rFonts w:ascii="Arial" w:hAnsi="Arial" w:cs="Arial"/>
          <w:sz w:val="20"/>
          <w:szCs w:val="20"/>
        </w:rPr>
      </w:pPr>
    </w:p>
    <w:p w:rsidR="00313025" w:rsidRPr="009E6B3C" w:rsidRDefault="004C1759" w:rsidP="009E6B3C">
      <w:pPr>
        <w:rPr>
          <w:rFonts w:ascii="Arial" w:hAnsi="Arial" w:cs="Arial"/>
          <w:sz w:val="20"/>
          <w:szCs w:val="20"/>
        </w:rPr>
      </w:pPr>
      <w:r w:rsidRPr="009E6B3C">
        <w:rPr>
          <w:rFonts w:ascii="Arial" w:hAnsi="Arial" w:cs="Arial"/>
          <w:sz w:val="20"/>
          <w:szCs w:val="20"/>
        </w:rPr>
        <w:t xml:space="preserve">The NPA reports that it will require additional </w:t>
      </w:r>
      <w:r w:rsidR="006E33A6" w:rsidRPr="009E6B3C">
        <w:rPr>
          <w:rFonts w:ascii="Arial" w:hAnsi="Arial" w:cs="Arial"/>
          <w:sz w:val="20"/>
          <w:szCs w:val="20"/>
        </w:rPr>
        <w:t>funds</w:t>
      </w:r>
      <w:r w:rsidRPr="009E6B3C">
        <w:rPr>
          <w:rFonts w:ascii="Arial" w:hAnsi="Arial" w:cs="Arial"/>
          <w:sz w:val="20"/>
          <w:szCs w:val="20"/>
        </w:rPr>
        <w:t xml:space="preserve"> for the 2023 MTEF and has made the necessary bid. In this regard, the Minister of Finance </w:t>
      </w:r>
      <w:r w:rsidR="00A748E2" w:rsidRPr="009E6B3C">
        <w:rPr>
          <w:rFonts w:ascii="Arial" w:hAnsi="Arial" w:cs="Arial"/>
          <w:sz w:val="20"/>
          <w:szCs w:val="20"/>
        </w:rPr>
        <w:t xml:space="preserve">has </w:t>
      </w:r>
      <w:r w:rsidRPr="009E6B3C">
        <w:rPr>
          <w:rFonts w:ascii="Arial" w:hAnsi="Arial" w:cs="Arial"/>
          <w:sz w:val="20"/>
          <w:szCs w:val="20"/>
        </w:rPr>
        <w:t>indicated during the MTSF that additional funds will be made available to the NPA</w:t>
      </w:r>
      <w:r w:rsidR="00A748E2" w:rsidRPr="009E6B3C">
        <w:rPr>
          <w:rFonts w:ascii="Arial" w:hAnsi="Arial" w:cs="Arial"/>
          <w:sz w:val="20"/>
          <w:szCs w:val="20"/>
        </w:rPr>
        <w:t xml:space="preserve"> (and SIU)</w:t>
      </w:r>
      <w:r w:rsidRPr="009E6B3C">
        <w:rPr>
          <w:rFonts w:ascii="Arial" w:hAnsi="Arial" w:cs="Arial"/>
          <w:sz w:val="20"/>
          <w:szCs w:val="20"/>
        </w:rPr>
        <w:t>, although the amount will only be announced when the 2023 Budget is presented. The additional funds are intended to improve the fight against corruption and advance the recommendations of the Zondo Commission.</w:t>
      </w:r>
    </w:p>
    <w:p w:rsidR="00313025" w:rsidRPr="009E6B3C" w:rsidRDefault="00313025" w:rsidP="009E6B3C">
      <w:pPr>
        <w:tabs>
          <w:tab w:val="left" w:pos="851"/>
        </w:tabs>
        <w:rPr>
          <w:rFonts w:ascii="Arial" w:hAnsi="Arial" w:cs="Arial"/>
          <w:b/>
          <w:sz w:val="20"/>
          <w:szCs w:val="20"/>
        </w:rPr>
      </w:pPr>
    </w:p>
    <w:p w:rsidR="0040093E" w:rsidRPr="009E6B3C" w:rsidRDefault="0040093E"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Independent Directorate</w:t>
      </w:r>
    </w:p>
    <w:p w:rsidR="0040093E" w:rsidRPr="009E6B3C" w:rsidRDefault="0040093E" w:rsidP="009E6B3C">
      <w:pPr>
        <w:tabs>
          <w:tab w:val="left" w:pos="851"/>
        </w:tabs>
        <w:rPr>
          <w:rFonts w:ascii="Arial" w:hAnsi="Arial" w:cs="Arial"/>
          <w:b/>
          <w:sz w:val="20"/>
          <w:szCs w:val="20"/>
        </w:rPr>
      </w:pPr>
    </w:p>
    <w:p w:rsidR="00821549" w:rsidRPr="009E6B3C" w:rsidRDefault="00821549" w:rsidP="009E6B3C">
      <w:pPr>
        <w:tabs>
          <w:tab w:val="left" w:pos="851"/>
        </w:tabs>
        <w:rPr>
          <w:rFonts w:ascii="Arial" w:hAnsi="Arial" w:cs="Arial"/>
          <w:sz w:val="20"/>
          <w:szCs w:val="20"/>
        </w:rPr>
      </w:pPr>
      <w:r w:rsidRPr="009E6B3C">
        <w:rPr>
          <w:rFonts w:ascii="Arial" w:hAnsi="Arial" w:cs="Arial"/>
          <w:sz w:val="20"/>
          <w:szCs w:val="20"/>
        </w:rPr>
        <w:t xml:space="preserve">We are pleased to note that the Minister has confirmed that the </w:t>
      </w:r>
      <w:r w:rsidR="004A729D" w:rsidRPr="009E6B3C">
        <w:rPr>
          <w:rFonts w:ascii="Arial" w:hAnsi="Arial" w:cs="Arial"/>
          <w:sz w:val="20"/>
          <w:szCs w:val="20"/>
        </w:rPr>
        <w:t>ID</w:t>
      </w:r>
      <w:r w:rsidRPr="009E6B3C">
        <w:rPr>
          <w:rFonts w:ascii="Arial" w:hAnsi="Arial" w:cs="Arial"/>
          <w:sz w:val="20"/>
          <w:szCs w:val="20"/>
        </w:rPr>
        <w:t xml:space="preserve"> will become permanent and the NPA is in the process of finalising the structure.</w:t>
      </w:r>
    </w:p>
    <w:p w:rsidR="00821549" w:rsidRPr="009E6B3C" w:rsidRDefault="00821549" w:rsidP="009E6B3C">
      <w:pPr>
        <w:tabs>
          <w:tab w:val="left" w:pos="851"/>
        </w:tabs>
        <w:rPr>
          <w:rFonts w:ascii="Arial" w:hAnsi="Arial" w:cs="Arial"/>
          <w:sz w:val="20"/>
          <w:szCs w:val="20"/>
        </w:rPr>
      </w:pPr>
    </w:p>
    <w:p w:rsidR="00A748E2" w:rsidRPr="009E6B3C" w:rsidRDefault="00047F34" w:rsidP="009E6B3C">
      <w:pPr>
        <w:tabs>
          <w:tab w:val="left" w:pos="851"/>
        </w:tabs>
        <w:rPr>
          <w:rFonts w:ascii="Arial" w:hAnsi="Arial" w:cs="Arial"/>
          <w:sz w:val="20"/>
          <w:szCs w:val="20"/>
        </w:rPr>
      </w:pPr>
      <w:r w:rsidRPr="009E6B3C">
        <w:rPr>
          <w:rFonts w:ascii="Arial" w:hAnsi="Arial" w:cs="Arial"/>
          <w:sz w:val="20"/>
          <w:szCs w:val="20"/>
        </w:rPr>
        <w:t xml:space="preserve">We </w:t>
      </w:r>
      <w:r w:rsidR="00821549" w:rsidRPr="009E6B3C">
        <w:rPr>
          <w:rFonts w:ascii="Arial" w:hAnsi="Arial" w:cs="Arial"/>
          <w:sz w:val="20"/>
          <w:szCs w:val="20"/>
        </w:rPr>
        <w:t xml:space="preserve">also </w:t>
      </w:r>
      <w:r w:rsidRPr="009E6B3C">
        <w:rPr>
          <w:rFonts w:ascii="Arial" w:hAnsi="Arial" w:cs="Arial"/>
          <w:sz w:val="20"/>
          <w:szCs w:val="20"/>
        </w:rPr>
        <w:t xml:space="preserve">note that the NPA reports that the most fundamental challenge to the </w:t>
      </w:r>
      <w:r w:rsidR="004A729D" w:rsidRPr="009E6B3C">
        <w:rPr>
          <w:rFonts w:ascii="Arial" w:hAnsi="Arial" w:cs="Arial"/>
          <w:sz w:val="20"/>
          <w:szCs w:val="20"/>
        </w:rPr>
        <w:t>ID</w:t>
      </w:r>
      <w:r w:rsidRPr="009E6B3C">
        <w:rPr>
          <w:rFonts w:ascii="Arial" w:hAnsi="Arial" w:cs="Arial"/>
          <w:sz w:val="20"/>
          <w:szCs w:val="20"/>
        </w:rPr>
        <w:t xml:space="preserve">’s effective functioning is the legislative and regulatory framework that creates a dependency on SAPS to assist the </w:t>
      </w:r>
      <w:r w:rsidR="004A729D" w:rsidRPr="009E6B3C">
        <w:rPr>
          <w:rFonts w:ascii="Arial" w:hAnsi="Arial" w:cs="Arial"/>
          <w:sz w:val="20"/>
          <w:szCs w:val="20"/>
        </w:rPr>
        <w:t>ID</w:t>
      </w:r>
      <w:r w:rsidRPr="009E6B3C">
        <w:rPr>
          <w:rFonts w:ascii="Arial" w:hAnsi="Arial" w:cs="Arial"/>
          <w:sz w:val="20"/>
          <w:szCs w:val="20"/>
        </w:rPr>
        <w:t xml:space="preserve"> through secondments. However, seconded staff are expected to assist in authorised </w:t>
      </w:r>
      <w:r w:rsidR="004A729D" w:rsidRPr="009E6B3C">
        <w:rPr>
          <w:rFonts w:ascii="Arial" w:hAnsi="Arial" w:cs="Arial"/>
          <w:sz w:val="20"/>
          <w:szCs w:val="20"/>
        </w:rPr>
        <w:t>ID</w:t>
      </w:r>
      <w:r w:rsidRPr="009E6B3C">
        <w:rPr>
          <w:rFonts w:ascii="Arial" w:hAnsi="Arial" w:cs="Arial"/>
          <w:sz w:val="20"/>
          <w:szCs w:val="20"/>
        </w:rPr>
        <w:t xml:space="preserve"> investigations, while continuing to investigate the cases they were ass</w:t>
      </w:r>
      <w:r w:rsidR="00313025" w:rsidRPr="009E6B3C">
        <w:rPr>
          <w:rFonts w:ascii="Arial" w:hAnsi="Arial" w:cs="Arial"/>
          <w:sz w:val="20"/>
          <w:szCs w:val="20"/>
        </w:rPr>
        <w:t>igned to as members of the SAPS, which creates delays. The NPA has proposed legislative amendments</w:t>
      </w:r>
      <w:r w:rsidR="00A748E2" w:rsidRPr="009E6B3C">
        <w:rPr>
          <w:rFonts w:ascii="Arial" w:hAnsi="Arial" w:cs="Arial"/>
          <w:sz w:val="20"/>
          <w:szCs w:val="20"/>
        </w:rPr>
        <w:t>. As</w:t>
      </w:r>
      <w:r w:rsidR="00313025" w:rsidRPr="009E6B3C">
        <w:rPr>
          <w:rFonts w:ascii="Arial" w:hAnsi="Arial" w:cs="Arial"/>
          <w:sz w:val="20"/>
          <w:szCs w:val="20"/>
        </w:rPr>
        <w:t xml:space="preserve"> this can be a lengthy process</w:t>
      </w:r>
      <w:r w:rsidR="00A748E2" w:rsidRPr="009E6B3C">
        <w:rPr>
          <w:rFonts w:ascii="Arial" w:hAnsi="Arial" w:cs="Arial"/>
          <w:sz w:val="20"/>
          <w:szCs w:val="20"/>
        </w:rPr>
        <w:t>,</w:t>
      </w:r>
      <w:r w:rsidR="00313025" w:rsidRPr="009E6B3C">
        <w:rPr>
          <w:rFonts w:ascii="Arial" w:hAnsi="Arial" w:cs="Arial"/>
          <w:sz w:val="20"/>
          <w:szCs w:val="20"/>
        </w:rPr>
        <w:t xml:space="preserve"> the NPA reports that it is engaging the Minister to find an interim solution. </w:t>
      </w:r>
    </w:p>
    <w:p w:rsidR="00A748E2" w:rsidRPr="009E6B3C" w:rsidRDefault="00A748E2" w:rsidP="009E6B3C">
      <w:pPr>
        <w:tabs>
          <w:tab w:val="left" w:pos="851"/>
        </w:tabs>
        <w:rPr>
          <w:rFonts w:ascii="Arial" w:hAnsi="Arial" w:cs="Arial"/>
          <w:sz w:val="20"/>
          <w:szCs w:val="20"/>
        </w:rPr>
      </w:pPr>
    </w:p>
    <w:p w:rsidR="00047F34" w:rsidRPr="009E6B3C" w:rsidRDefault="00313025" w:rsidP="009E6B3C">
      <w:pPr>
        <w:tabs>
          <w:tab w:val="left" w:pos="851"/>
        </w:tabs>
        <w:rPr>
          <w:rFonts w:ascii="Arial" w:hAnsi="Arial" w:cs="Arial"/>
          <w:sz w:val="20"/>
          <w:szCs w:val="20"/>
        </w:rPr>
      </w:pPr>
      <w:r w:rsidRPr="009E6B3C">
        <w:rPr>
          <w:rFonts w:ascii="Arial" w:hAnsi="Arial" w:cs="Arial"/>
          <w:sz w:val="20"/>
          <w:szCs w:val="20"/>
        </w:rPr>
        <w:t>We, therefore, request a report on progress</w:t>
      </w:r>
      <w:r w:rsidR="006E33A6" w:rsidRPr="009E6B3C">
        <w:rPr>
          <w:rFonts w:ascii="Arial" w:hAnsi="Arial" w:cs="Arial"/>
          <w:sz w:val="20"/>
          <w:szCs w:val="20"/>
        </w:rPr>
        <w:t xml:space="preserve"> of the engagements</w:t>
      </w:r>
      <w:r w:rsidRPr="009E6B3C">
        <w:rPr>
          <w:rFonts w:ascii="Arial" w:hAnsi="Arial" w:cs="Arial"/>
          <w:sz w:val="20"/>
          <w:szCs w:val="20"/>
        </w:rPr>
        <w:t xml:space="preserve"> by </w:t>
      </w:r>
      <w:r w:rsidR="00B62E7D" w:rsidRPr="009E6B3C">
        <w:rPr>
          <w:rFonts w:ascii="Arial" w:hAnsi="Arial" w:cs="Arial"/>
          <w:sz w:val="20"/>
          <w:szCs w:val="20"/>
        </w:rPr>
        <w:t>31 January 2023</w:t>
      </w:r>
      <w:r w:rsidRPr="009E6B3C">
        <w:rPr>
          <w:rFonts w:ascii="Arial" w:hAnsi="Arial" w:cs="Arial"/>
          <w:sz w:val="20"/>
          <w:szCs w:val="20"/>
        </w:rPr>
        <w:t xml:space="preserve">. </w:t>
      </w:r>
    </w:p>
    <w:p w:rsidR="00047F34" w:rsidRPr="009E6B3C" w:rsidRDefault="00047F34" w:rsidP="009E6B3C">
      <w:pPr>
        <w:tabs>
          <w:tab w:val="left" w:pos="851"/>
        </w:tabs>
        <w:rPr>
          <w:rFonts w:ascii="Arial" w:hAnsi="Arial" w:cs="Arial"/>
          <w:sz w:val="20"/>
          <w:szCs w:val="20"/>
        </w:rPr>
      </w:pPr>
    </w:p>
    <w:p w:rsidR="00821549" w:rsidRPr="009E6B3C" w:rsidRDefault="00C54B0B" w:rsidP="009E6B3C">
      <w:pPr>
        <w:pStyle w:val="ListParagraph"/>
        <w:numPr>
          <w:ilvl w:val="1"/>
          <w:numId w:val="1"/>
        </w:numPr>
        <w:ind w:left="851" w:hanging="851"/>
        <w:rPr>
          <w:rFonts w:ascii="Arial" w:hAnsi="Arial" w:cs="Arial"/>
          <w:sz w:val="20"/>
          <w:szCs w:val="20"/>
        </w:rPr>
      </w:pPr>
      <w:r w:rsidRPr="009E6B3C">
        <w:rPr>
          <w:rFonts w:ascii="Arial" w:hAnsi="Arial" w:cs="Arial"/>
          <w:b/>
          <w:i/>
          <w:sz w:val="20"/>
          <w:szCs w:val="20"/>
        </w:rPr>
        <w:t>E</w:t>
      </w:r>
      <w:r w:rsidR="00313025" w:rsidRPr="009E6B3C">
        <w:rPr>
          <w:rFonts w:ascii="Arial" w:hAnsi="Arial" w:cs="Arial"/>
          <w:i/>
          <w:sz w:val="20"/>
          <w:szCs w:val="20"/>
        </w:rPr>
        <w:t>sta</w:t>
      </w:r>
      <w:r w:rsidR="00313025" w:rsidRPr="009E6B3C">
        <w:rPr>
          <w:rFonts w:ascii="Arial" w:hAnsi="Arial" w:cs="Arial"/>
          <w:b/>
          <w:i/>
          <w:sz w:val="20"/>
          <w:szCs w:val="20"/>
        </w:rPr>
        <w:t>blishment of the Office</w:t>
      </w:r>
      <w:r w:rsidRPr="009E6B3C">
        <w:rPr>
          <w:rFonts w:ascii="Arial" w:hAnsi="Arial" w:cs="Arial"/>
          <w:b/>
          <w:i/>
          <w:sz w:val="20"/>
          <w:szCs w:val="20"/>
        </w:rPr>
        <w:t xml:space="preserve"> for Ethics and Accountability</w:t>
      </w:r>
    </w:p>
    <w:p w:rsidR="00821549" w:rsidRPr="009E6B3C" w:rsidRDefault="00821549" w:rsidP="009E6B3C">
      <w:pPr>
        <w:tabs>
          <w:tab w:val="left" w:pos="851"/>
        </w:tabs>
        <w:rPr>
          <w:rFonts w:ascii="Arial" w:hAnsi="Arial" w:cs="Arial"/>
          <w:sz w:val="20"/>
          <w:szCs w:val="20"/>
        </w:rPr>
      </w:pPr>
    </w:p>
    <w:p w:rsidR="00821549" w:rsidRPr="009E6B3C" w:rsidRDefault="00821549" w:rsidP="009E6B3C">
      <w:pPr>
        <w:tabs>
          <w:tab w:val="left" w:pos="851"/>
        </w:tabs>
        <w:rPr>
          <w:rFonts w:ascii="Arial" w:hAnsi="Arial" w:cs="Arial"/>
          <w:sz w:val="20"/>
          <w:szCs w:val="20"/>
        </w:rPr>
      </w:pPr>
      <w:r w:rsidRPr="009E6B3C">
        <w:rPr>
          <w:rFonts w:ascii="Arial" w:hAnsi="Arial" w:cs="Arial"/>
          <w:sz w:val="20"/>
          <w:szCs w:val="20"/>
        </w:rPr>
        <w:t xml:space="preserve">We support the </w:t>
      </w:r>
      <w:r w:rsidR="00313025" w:rsidRPr="009E6B3C">
        <w:rPr>
          <w:rFonts w:ascii="Arial" w:hAnsi="Arial" w:cs="Arial"/>
          <w:sz w:val="20"/>
          <w:szCs w:val="20"/>
        </w:rPr>
        <w:t xml:space="preserve">establishment of the Office for Ethics and Accountability as an important step in </w:t>
      </w:r>
      <w:r w:rsidRPr="009E6B3C">
        <w:rPr>
          <w:rFonts w:ascii="Arial" w:hAnsi="Arial" w:cs="Arial"/>
          <w:sz w:val="20"/>
          <w:szCs w:val="20"/>
        </w:rPr>
        <w:t>establishing a</w:t>
      </w:r>
      <w:r w:rsidR="00313025" w:rsidRPr="009E6B3C">
        <w:rPr>
          <w:rFonts w:ascii="Arial" w:hAnsi="Arial" w:cs="Arial"/>
          <w:sz w:val="20"/>
          <w:szCs w:val="20"/>
        </w:rPr>
        <w:t xml:space="preserve"> mechanism to detect and address any future unethical behaviour. </w:t>
      </w:r>
      <w:r w:rsidRPr="009E6B3C">
        <w:rPr>
          <w:rFonts w:ascii="Arial" w:hAnsi="Arial" w:cs="Arial"/>
          <w:sz w:val="20"/>
          <w:szCs w:val="20"/>
        </w:rPr>
        <w:t>We are informed that t</w:t>
      </w:r>
      <w:r w:rsidR="00313025" w:rsidRPr="009E6B3C">
        <w:rPr>
          <w:rFonts w:ascii="Arial" w:hAnsi="Arial" w:cs="Arial"/>
          <w:sz w:val="20"/>
          <w:szCs w:val="20"/>
        </w:rPr>
        <w:t xml:space="preserve">he draft Regulations for the establishment of that office have been submitted to the Minister </w:t>
      </w:r>
      <w:r w:rsidRPr="009E6B3C">
        <w:rPr>
          <w:rFonts w:ascii="Arial" w:hAnsi="Arial" w:cs="Arial"/>
          <w:sz w:val="20"/>
          <w:szCs w:val="20"/>
        </w:rPr>
        <w:t xml:space="preserve">for approval with the intention that the Office be </w:t>
      </w:r>
      <w:r w:rsidR="00313025" w:rsidRPr="009E6B3C">
        <w:rPr>
          <w:rFonts w:ascii="Arial" w:hAnsi="Arial" w:cs="Arial"/>
          <w:sz w:val="20"/>
          <w:szCs w:val="20"/>
        </w:rPr>
        <w:t>launched in</w:t>
      </w:r>
      <w:r w:rsidRPr="009E6B3C">
        <w:rPr>
          <w:rFonts w:ascii="Arial" w:hAnsi="Arial" w:cs="Arial"/>
          <w:sz w:val="20"/>
          <w:szCs w:val="20"/>
        </w:rPr>
        <w:t xml:space="preserve"> the course of</w:t>
      </w:r>
      <w:r w:rsidR="00313025" w:rsidRPr="009E6B3C">
        <w:rPr>
          <w:rFonts w:ascii="Arial" w:hAnsi="Arial" w:cs="Arial"/>
          <w:sz w:val="20"/>
          <w:szCs w:val="20"/>
        </w:rPr>
        <w:t xml:space="preserve"> </w:t>
      </w:r>
      <w:r w:rsidRPr="009E6B3C">
        <w:rPr>
          <w:rFonts w:ascii="Arial" w:hAnsi="Arial" w:cs="Arial"/>
          <w:sz w:val="20"/>
          <w:szCs w:val="20"/>
        </w:rPr>
        <w:t xml:space="preserve">2022/23 and, therefore, urge the Minister to engage with the Regulations as a matter of priority. </w:t>
      </w:r>
    </w:p>
    <w:p w:rsidR="00821549" w:rsidRPr="009E6B3C" w:rsidRDefault="00821549" w:rsidP="009E6B3C">
      <w:pPr>
        <w:tabs>
          <w:tab w:val="left" w:pos="851"/>
        </w:tabs>
        <w:rPr>
          <w:rFonts w:ascii="Arial" w:hAnsi="Arial" w:cs="Arial"/>
          <w:sz w:val="20"/>
          <w:szCs w:val="20"/>
        </w:rPr>
      </w:pPr>
    </w:p>
    <w:p w:rsidR="00821549" w:rsidRPr="009E6B3C" w:rsidRDefault="004F4CF8"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Donor Oversight Committee</w:t>
      </w:r>
    </w:p>
    <w:p w:rsidR="00821549" w:rsidRPr="009E6B3C" w:rsidRDefault="00821549" w:rsidP="009E6B3C">
      <w:pPr>
        <w:tabs>
          <w:tab w:val="left" w:pos="851"/>
        </w:tabs>
        <w:rPr>
          <w:rFonts w:ascii="Arial" w:hAnsi="Arial" w:cs="Arial"/>
          <w:sz w:val="20"/>
          <w:szCs w:val="20"/>
        </w:rPr>
      </w:pPr>
    </w:p>
    <w:p w:rsidR="00B54C26" w:rsidRPr="009E6B3C" w:rsidRDefault="00821549" w:rsidP="009E6B3C">
      <w:pPr>
        <w:tabs>
          <w:tab w:val="left" w:pos="851"/>
        </w:tabs>
        <w:rPr>
          <w:rFonts w:ascii="Arial" w:hAnsi="Arial" w:cs="Arial"/>
          <w:sz w:val="20"/>
          <w:szCs w:val="20"/>
        </w:rPr>
      </w:pPr>
      <w:r w:rsidRPr="009E6B3C">
        <w:rPr>
          <w:rFonts w:ascii="Arial" w:hAnsi="Arial" w:cs="Arial"/>
          <w:sz w:val="20"/>
          <w:szCs w:val="20"/>
        </w:rPr>
        <w:t xml:space="preserve">We note that the </w:t>
      </w:r>
      <w:r w:rsidR="00313025" w:rsidRPr="009E6B3C">
        <w:rPr>
          <w:rFonts w:ascii="Arial" w:hAnsi="Arial" w:cs="Arial"/>
          <w:sz w:val="20"/>
          <w:szCs w:val="20"/>
        </w:rPr>
        <w:t xml:space="preserve">NPA reports that it is working closely with the Department and National Treasury to establish </w:t>
      </w:r>
      <w:r w:rsidR="00C47B7B" w:rsidRPr="009E6B3C">
        <w:rPr>
          <w:rFonts w:ascii="Arial" w:hAnsi="Arial" w:cs="Arial"/>
          <w:sz w:val="20"/>
          <w:szCs w:val="20"/>
        </w:rPr>
        <w:t>a Donor Oversight C</w:t>
      </w:r>
      <w:r w:rsidR="00313025" w:rsidRPr="009E6B3C">
        <w:rPr>
          <w:rFonts w:ascii="Arial" w:hAnsi="Arial" w:cs="Arial"/>
          <w:sz w:val="20"/>
          <w:szCs w:val="20"/>
        </w:rPr>
        <w:t xml:space="preserve">ommittee. </w:t>
      </w:r>
      <w:r w:rsidR="00B54C26" w:rsidRPr="009E6B3C">
        <w:rPr>
          <w:rFonts w:ascii="Arial" w:hAnsi="Arial" w:cs="Arial"/>
          <w:sz w:val="20"/>
          <w:szCs w:val="20"/>
        </w:rPr>
        <w:t>We ask to kept informed of progress in this regard.</w:t>
      </w:r>
    </w:p>
    <w:p w:rsidR="00313025" w:rsidRPr="009E6B3C" w:rsidRDefault="00313025" w:rsidP="009E6B3C">
      <w:pPr>
        <w:tabs>
          <w:tab w:val="left" w:pos="851"/>
        </w:tabs>
        <w:rPr>
          <w:rFonts w:ascii="Arial" w:hAnsi="Arial" w:cs="Arial"/>
          <w:sz w:val="20"/>
          <w:szCs w:val="20"/>
        </w:rPr>
      </w:pPr>
    </w:p>
    <w:p w:rsidR="00C47B7B" w:rsidRPr="009E6B3C" w:rsidRDefault="00C54B0B"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Independence</w:t>
      </w:r>
    </w:p>
    <w:p w:rsidR="00C47B7B" w:rsidRPr="009E6B3C" w:rsidRDefault="00C47B7B" w:rsidP="009E6B3C">
      <w:pPr>
        <w:tabs>
          <w:tab w:val="left" w:pos="851"/>
        </w:tabs>
        <w:rPr>
          <w:rFonts w:ascii="Arial" w:hAnsi="Arial" w:cs="Arial"/>
          <w:sz w:val="20"/>
          <w:szCs w:val="20"/>
        </w:rPr>
      </w:pPr>
    </w:p>
    <w:p w:rsidR="004F4CF8" w:rsidRPr="009E6B3C" w:rsidRDefault="00C47B7B" w:rsidP="009E6B3C">
      <w:pPr>
        <w:tabs>
          <w:tab w:val="left" w:pos="851"/>
        </w:tabs>
        <w:rPr>
          <w:rFonts w:ascii="Arial" w:hAnsi="Arial" w:cs="Arial"/>
          <w:sz w:val="20"/>
          <w:szCs w:val="20"/>
        </w:rPr>
      </w:pPr>
      <w:r w:rsidRPr="009E6B3C">
        <w:rPr>
          <w:rFonts w:ascii="Arial" w:hAnsi="Arial" w:cs="Arial"/>
          <w:sz w:val="20"/>
          <w:szCs w:val="20"/>
        </w:rPr>
        <w:t xml:space="preserve">We </w:t>
      </w:r>
      <w:r w:rsidR="00B54C26" w:rsidRPr="009E6B3C">
        <w:rPr>
          <w:rFonts w:ascii="Arial" w:hAnsi="Arial" w:cs="Arial"/>
          <w:sz w:val="20"/>
          <w:szCs w:val="20"/>
        </w:rPr>
        <w:t xml:space="preserve">are concerned about the slow progress that has been made concerning the </w:t>
      </w:r>
      <w:r w:rsidR="004F4CF8" w:rsidRPr="009E6B3C">
        <w:rPr>
          <w:rFonts w:ascii="Arial" w:hAnsi="Arial" w:cs="Arial"/>
          <w:sz w:val="20"/>
          <w:szCs w:val="20"/>
        </w:rPr>
        <w:t xml:space="preserve">matter of the NPA’s independence and request more information on whether </w:t>
      </w:r>
      <w:r w:rsidR="00313025" w:rsidRPr="009E6B3C">
        <w:rPr>
          <w:rFonts w:ascii="Arial" w:hAnsi="Arial" w:cs="Arial"/>
          <w:sz w:val="20"/>
          <w:szCs w:val="20"/>
        </w:rPr>
        <w:t>a task team to assess the opti</w:t>
      </w:r>
      <w:r w:rsidR="004F4CF8" w:rsidRPr="009E6B3C">
        <w:rPr>
          <w:rFonts w:ascii="Arial" w:hAnsi="Arial" w:cs="Arial"/>
          <w:sz w:val="20"/>
          <w:szCs w:val="20"/>
        </w:rPr>
        <w:t xml:space="preserve">ons and agree on way forward has been established, before </w:t>
      </w:r>
      <w:r w:rsidR="00B62E7D" w:rsidRPr="009E6B3C">
        <w:rPr>
          <w:rFonts w:ascii="Arial" w:hAnsi="Arial" w:cs="Arial"/>
          <w:sz w:val="20"/>
          <w:szCs w:val="20"/>
        </w:rPr>
        <w:t>31 January 2023</w:t>
      </w:r>
      <w:r w:rsidR="004F4CF8" w:rsidRPr="009E6B3C">
        <w:rPr>
          <w:rFonts w:ascii="Arial" w:hAnsi="Arial" w:cs="Arial"/>
          <w:sz w:val="20"/>
          <w:szCs w:val="20"/>
        </w:rPr>
        <w:t xml:space="preserve">. </w:t>
      </w:r>
    </w:p>
    <w:p w:rsidR="004F4CF8" w:rsidRPr="009E6B3C" w:rsidRDefault="004F4CF8" w:rsidP="009E6B3C">
      <w:pPr>
        <w:tabs>
          <w:tab w:val="left" w:pos="851"/>
        </w:tabs>
        <w:rPr>
          <w:rFonts w:ascii="Arial" w:hAnsi="Arial" w:cs="Arial"/>
          <w:sz w:val="20"/>
          <w:szCs w:val="20"/>
        </w:rPr>
      </w:pPr>
    </w:p>
    <w:p w:rsidR="004F4CF8" w:rsidRPr="009E6B3C" w:rsidRDefault="009E3C13"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O</w:t>
      </w:r>
      <w:r w:rsidR="00B54C26" w:rsidRPr="009E6B3C">
        <w:rPr>
          <w:rFonts w:ascii="Arial" w:hAnsi="Arial" w:cs="Arial"/>
          <w:b/>
          <w:i/>
          <w:sz w:val="20"/>
          <w:szCs w:val="20"/>
        </w:rPr>
        <w:t xml:space="preserve">ccupation </w:t>
      </w:r>
      <w:r w:rsidRPr="009E6B3C">
        <w:rPr>
          <w:rFonts w:ascii="Arial" w:hAnsi="Arial" w:cs="Arial"/>
          <w:b/>
          <w:i/>
          <w:sz w:val="20"/>
          <w:szCs w:val="20"/>
        </w:rPr>
        <w:t>S</w:t>
      </w:r>
      <w:r w:rsidR="00B54C26" w:rsidRPr="009E6B3C">
        <w:rPr>
          <w:rFonts w:ascii="Arial" w:hAnsi="Arial" w:cs="Arial"/>
          <w:b/>
          <w:i/>
          <w:sz w:val="20"/>
          <w:szCs w:val="20"/>
        </w:rPr>
        <w:t xml:space="preserve">pecific </w:t>
      </w:r>
      <w:r w:rsidRPr="009E6B3C">
        <w:rPr>
          <w:rFonts w:ascii="Arial" w:hAnsi="Arial" w:cs="Arial"/>
          <w:b/>
          <w:i/>
          <w:sz w:val="20"/>
          <w:szCs w:val="20"/>
        </w:rPr>
        <w:t>D</w:t>
      </w:r>
      <w:r w:rsidR="00B54C26" w:rsidRPr="009E6B3C">
        <w:rPr>
          <w:rFonts w:ascii="Arial" w:hAnsi="Arial" w:cs="Arial"/>
          <w:b/>
          <w:i/>
          <w:sz w:val="20"/>
          <w:szCs w:val="20"/>
        </w:rPr>
        <w:t>ispensation (OSD)</w:t>
      </w:r>
    </w:p>
    <w:p w:rsidR="004F4CF8" w:rsidRPr="009E6B3C" w:rsidRDefault="004F4CF8" w:rsidP="009E6B3C">
      <w:pPr>
        <w:rPr>
          <w:rFonts w:ascii="Arial" w:hAnsi="Arial" w:cs="Arial"/>
          <w:sz w:val="20"/>
          <w:szCs w:val="20"/>
        </w:rPr>
      </w:pPr>
    </w:p>
    <w:p w:rsidR="00C47B7B" w:rsidRPr="009E6B3C" w:rsidRDefault="00C47B7B" w:rsidP="009E6B3C">
      <w:pPr>
        <w:rPr>
          <w:rFonts w:ascii="Arial" w:hAnsi="Arial" w:cs="Arial"/>
          <w:sz w:val="20"/>
          <w:szCs w:val="20"/>
        </w:rPr>
      </w:pPr>
      <w:r w:rsidRPr="009E6B3C">
        <w:rPr>
          <w:rFonts w:ascii="Arial" w:hAnsi="Arial" w:cs="Arial"/>
          <w:sz w:val="20"/>
          <w:szCs w:val="20"/>
        </w:rPr>
        <w:t>We</w:t>
      </w:r>
      <w:r w:rsidR="004F4CF8" w:rsidRPr="009E6B3C">
        <w:rPr>
          <w:rFonts w:ascii="Arial" w:hAnsi="Arial" w:cs="Arial"/>
          <w:sz w:val="20"/>
          <w:szCs w:val="20"/>
        </w:rPr>
        <w:t xml:space="preserve"> were informed earlier this year that the </w:t>
      </w:r>
      <w:r w:rsidRPr="009E6B3C">
        <w:rPr>
          <w:rFonts w:ascii="Arial" w:hAnsi="Arial" w:cs="Arial"/>
          <w:sz w:val="20"/>
          <w:szCs w:val="20"/>
        </w:rPr>
        <w:t xml:space="preserve">NPA </w:t>
      </w:r>
      <w:r w:rsidR="004F4CF8" w:rsidRPr="009E6B3C">
        <w:rPr>
          <w:rFonts w:ascii="Arial" w:hAnsi="Arial" w:cs="Arial"/>
          <w:sz w:val="20"/>
          <w:szCs w:val="20"/>
        </w:rPr>
        <w:t xml:space="preserve">had engaged with </w:t>
      </w:r>
      <w:r w:rsidR="00656E6B" w:rsidRPr="009E6B3C">
        <w:rPr>
          <w:rFonts w:ascii="Arial" w:hAnsi="Arial" w:cs="Arial"/>
          <w:sz w:val="20"/>
          <w:szCs w:val="20"/>
        </w:rPr>
        <w:t xml:space="preserve">Deputy </w:t>
      </w:r>
      <w:r w:rsidRPr="009E6B3C">
        <w:rPr>
          <w:rFonts w:ascii="Arial" w:hAnsi="Arial" w:cs="Arial"/>
          <w:sz w:val="20"/>
          <w:szCs w:val="20"/>
        </w:rPr>
        <w:t>Directors of Public Prosecutions and Chief Prosecutors to settle the legal action on account of their being excluded from the improved salary dispensation for legal professionals working in the justice sector that was gazetted in 2010</w:t>
      </w:r>
      <w:r w:rsidR="004F4CF8" w:rsidRPr="009E6B3C">
        <w:rPr>
          <w:rFonts w:ascii="Arial" w:hAnsi="Arial" w:cs="Arial"/>
          <w:sz w:val="20"/>
          <w:szCs w:val="20"/>
        </w:rPr>
        <w:t xml:space="preserve"> (the OSD)</w:t>
      </w:r>
      <w:r w:rsidRPr="009E6B3C">
        <w:rPr>
          <w:rFonts w:ascii="Arial" w:hAnsi="Arial" w:cs="Arial"/>
          <w:sz w:val="20"/>
          <w:szCs w:val="20"/>
        </w:rPr>
        <w:t xml:space="preserve">. Although legal professionals, this level of staff did not receive the benefit of the OSD because they </w:t>
      </w:r>
      <w:r w:rsidR="00656E6B" w:rsidRPr="009E6B3C">
        <w:rPr>
          <w:rFonts w:ascii="Arial" w:hAnsi="Arial" w:cs="Arial"/>
          <w:sz w:val="20"/>
          <w:szCs w:val="20"/>
        </w:rPr>
        <w:t xml:space="preserve">are </w:t>
      </w:r>
      <w:r w:rsidRPr="009E6B3C">
        <w:rPr>
          <w:rFonts w:ascii="Arial" w:hAnsi="Arial" w:cs="Arial"/>
          <w:sz w:val="20"/>
          <w:szCs w:val="20"/>
        </w:rPr>
        <w:t>seen as part of senior management. It has created a situation in which junior and senior prosecutors earned the same as, or more than, their seniors. This has not only affected morale but has discourage</w:t>
      </w:r>
      <w:r w:rsidR="004F4CF8" w:rsidRPr="009E6B3C">
        <w:rPr>
          <w:rFonts w:ascii="Arial" w:hAnsi="Arial" w:cs="Arial"/>
          <w:sz w:val="20"/>
          <w:szCs w:val="20"/>
        </w:rPr>
        <w:t>d</w:t>
      </w:r>
      <w:r w:rsidRPr="009E6B3C">
        <w:rPr>
          <w:rFonts w:ascii="Arial" w:hAnsi="Arial" w:cs="Arial"/>
          <w:sz w:val="20"/>
          <w:szCs w:val="20"/>
        </w:rPr>
        <w:t xml:space="preserve"> </w:t>
      </w:r>
      <w:r w:rsidR="00B54C26" w:rsidRPr="009E6B3C">
        <w:rPr>
          <w:rFonts w:ascii="Arial" w:hAnsi="Arial" w:cs="Arial"/>
          <w:sz w:val="20"/>
          <w:szCs w:val="20"/>
        </w:rPr>
        <w:t xml:space="preserve">officials </w:t>
      </w:r>
      <w:r w:rsidRPr="009E6B3C">
        <w:rPr>
          <w:rFonts w:ascii="Arial" w:hAnsi="Arial" w:cs="Arial"/>
          <w:sz w:val="20"/>
          <w:szCs w:val="20"/>
        </w:rPr>
        <w:t xml:space="preserve">from applying for more senior positions. </w:t>
      </w:r>
      <w:r w:rsidR="004F4CF8" w:rsidRPr="009E6B3C">
        <w:rPr>
          <w:rFonts w:ascii="Arial" w:hAnsi="Arial" w:cs="Arial"/>
          <w:sz w:val="20"/>
          <w:szCs w:val="20"/>
        </w:rPr>
        <w:t>We are told that t</w:t>
      </w:r>
      <w:r w:rsidRPr="009E6B3C">
        <w:rPr>
          <w:rFonts w:ascii="Arial" w:hAnsi="Arial" w:cs="Arial"/>
          <w:sz w:val="20"/>
          <w:szCs w:val="20"/>
        </w:rPr>
        <w:t>he option has</w:t>
      </w:r>
      <w:r w:rsidR="004F4CF8" w:rsidRPr="009E6B3C">
        <w:rPr>
          <w:rFonts w:ascii="Arial" w:hAnsi="Arial" w:cs="Arial"/>
          <w:sz w:val="20"/>
          <w:szCs w:val="20"/>
        </w:rPr>
        <w:t xml:space="preserve"> been submitted to the Minister</w:t>
      </w:r>
      <w:r w:rsidR="00656E6B" w:rsidRPr="009E6B3C">
        <w:rPr>
          <w:rFonts w:ascii="Arial" w:hAnsi="Arial" w:cs="Arial"/>
          <w:sz w:val="20"/>
          <w:szCs w:val="20"/>
        </w:rPr>
        <w:t xml:space="preserve"> and, therefore, request further information on progress towards resolving the matter</w:t>
      </w:r>
      <w:r w:rsidR="00B54C26" w:rsidRPr="009E6B3C">
        <w:rPr>
          <w:rFonts w:ascii="Arial" w:hAnsi="Arial" w:cs="Arial"/>
          <w:sz w:val="20"/>
          <w:szCs w:val="20"/>
        </w:rPr>
        <w:t xml:space="preserve"> before </w:t>
      </w:r>
      <w:r w:rsidR="00B62E7D" w:rsidRPr="009E6B3C">
        <w:rPr>
          <w:rFonts w:ascii="Arial" w:hAnsi="Arial" w:cs="Arial"/>
          <w:sz w:val="20"/>
          <w:szCs w:val="20"/>
        </w:rPr>
        <w:t>31 January 2023</w:t>
      </w:r>
      <w:r w:rsidR="00656E6B" w:rsidRPr="009E6B3C">
        <w:rPr>
          <w:rFonts w:ascii="Arial" w:hAnsi="Arial" w:cs="Arial"/>
          <w:sz w:val="20"/>
          <w:szCs w:val="20"/>
        </w:rPr>
        <w:t>.</w:t>
      </w:r>
    </w:p>
    <w:p w:rsidR="00656E6B" w:rsidRPr="009E6B3C" w:rsidRDefault="00656E6B" w:rsidP="009E6B3C">
      <w:pPr>
        <w:rPr>
          <w:rFonts w:ascii="Arial" w:hAnsi="Arial" w:cs="Arial"/>
          <w:sz w:val="20"/>
          <w:szCs w:val="20"/>
        </w:rPr>
      </w:pPr>
    </w:p>
    <w:p w:rsidR="00656E6B" w:rsidRPr="009E6B3C" w:rsidRDefault="009E3C13" w:rsidP="009E6B3C">
      <w:pPr>
        <w:rPr>
          <w:rFonts w:ascii="Arial" w:hAnsi="Arial" w:cs="Arial"/>
          <w:sz w:val="20"/>
          <w:szCs w:val="20"/>
        </w:rPr>
      </w:pPr>
      <w:r w:rsidRPr="009E6B3C">
        <w:rPr>
          <w:rFonts w:ascii="Arial" w:hAnsi="Arial" w:cs="Arial"/>
          <w:sz w:val="20"/>
          <w:szCs w:val="20"/>
        </w:rPr>
        <w:t>More generally,</w:t>
      </w:r>
      <w:r w:rsidR="00656E6B" w:rsidRPr="009E6B3C">
        <w:rPr>
          <w:rFonts w:ascii="Arial" w:hAnsi="Arial" w:cs="Arial"/>
          <w:sz w:val="20"/>
          <w:szCs w:val="20"/>
        </w:rPr>
        <w:t xml:space="preserve"> we have observed that the application of the OSD has affected not only the NPA. For instance, the Master’s Office reports difficulty in retaining staff because the OSD does not apply and, therefore, salaries are lower than elsewhere within the Department. We understand that the intention of the OSD was to attract and retain legal (and other) professionals to the public service and</w:t>
      </w:r>
      <w:r w:rsidRPr="009E6B3C">
        <w:rPr>
          <w:rFonts w:ascii="Arial" w:hAnsi="Arial" w:cs="Arial"/>
          <w:sz w:val="20"/>
          <w:szCs w:val="20"/>
        </w:rPr>
        <w:t xml:space="preserve">, therefore, </w:t>
      </w:r>
      <w:r w:rsidR="00656E6B" w:rsidRPr="009E6B3C">
        <w:rPr>
          <w:rFonts w:ascii="Arial" w:hAnsi="Arial" w:cs="Arial"/>
          <w:sz w:val="20"/>
          <w:szCs w:val="20"/>
        </w:rPr>
        <w:t>its implementation should not be divisive</w:t>
      </w:r>
      <w:r w:rsidRPr="009E6B3C">
        <w:rPr>
          <w:rFonts w:ascii="Arial" w:hAnsi="Arial" w:cs="Arial"/>
          <w:sz w:val="20"/>
          <w:szCs w:val="20"/>
        </w:rPr>
        <w:t xml:space="preserve"> or drive away professional expertise</w:t>
      </w:r>
      <w:r w:rsidR="00656E6B" w:rsidRPr="009E6B3C">
        <w:rPr>
          <w:rFonts w:ascii="Arial" w:hAnsi="Arial" w:cs="Arial"/>
          <w:sz w:val="20"/>
          <w:szCs w:val="20"/>
        </w:rPr>
        <w:t xml:space="preserve">. </w:t>
      </w:r>
      <w:r w:rsidRPr="009E6B3C">
        <w:rPr>
          <w:rFonts w:ascii="Arial" w:hAnsi="Arial" w:cs="Arial"/>
          <w:sz w:val="20"/>
          <w:szCs w:val="20"/>
        </w:rPr>
        <w:t xml:space="preserve">The problems associated with the application of the OSD are well known and long-standing and we, therefore, urge that the Minister engage with his counterpart in Public Service and Administration with a view towards resolving this </w:t>
      </w:r>
      <w:r w:rsidR="00B54C26" w:rsidRPr="009E6B3C">
        <w:rPr>
          <w:rFonts w:ascii="Arial" w:hAnsi="Arial" w:cs="Arial"/>
          <w:sz w:val="20"/>
          <w:szCs w:val="20"/>
        </w:rPr>
        <w:t>matter</w:t>
      </w:r>
      <w:r w:rsidRPr="009E6B3C">
        <w:rPr>
          <w:rFonts w:ascii="Arial" w:hAnsi="Arial" w:cs="Arial"/>
          <w:sz w:val="20"/>
          <w:szCs w:val="20"/>
        </w:rPr>
        <w:t xml:space="preserve"> once and for all. </w:t>
      </w:r>
    </w:p>
    <w:p w:rsidR="00656E6B" w:rsidRPr="009E6B3C" w:rsidRDefault="00656E6B" w:rsidP="009E6B3C">
      <w:pPr>
        <w:rPr>
          <w:rFonts w:ascii="Arial" w:hAnsi="Arial" w:cs="Arial"/>
          <w:sz w:val="20"/>
          <w:szCs w:val="20"/>
        </w:rPr>
      </w:pPr>
    </w:p>
    <w:p w:rsidR="00120DEA" w:rsidRPr="009E6B3C" w:rsidRDefault="00120DEA"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Sexual offences</w:t>
      </w:r>
    </w:p>
    <w:p w:rsidR="00120DEA" w:rsidRPr="009E6B3C" w:rsidRDefault="00120DEA" w:rsidP="009E6B3C">
      <w:pPr>
        <w:tabs>
          <w:tab w:val="left" w:pos="851"/>
        </w:tabs>
        <w:rPr>
          <w:rFonts w:ascii="Arial" w:hAnsi="Arial" w:cs="Arial"/>
          <w:sz w:val="20"/>
          <w:szCs w:val="20"/>
        </w:rPr>
      </w:pPr>
    </w:p>
    <w:p w:rsidR="00C47B7B" w:rsidRPr="009E6B3C" w:rsidRDefault="00120DEA" w:rsidP="009E6B3C">
      <w:pPr>
        <w:tabs>
          <w:tab w:val="left" w:pos="851"/>
        </w:tabs>
        <w:rPr>
          <w:rFonts w:ascii="Arial" w:hAnsi="Arial" w:cs="Arial"/>
          <w:sz w:val="20"/>
          <w:szCs w:val="20"/>
        </w:rPr>
      </w:pPr>
      <w:r w:rsidRPr="009E6B3C">
        <w:rPr>
          <w:rFonts w:ascii="Arial" w:hAnsi="Arial" w:cs="Arial"/>
          <w:sz w:val="20"/>
          <w:szCs w:val="20"/>
        </w:rPr>
        <w:t xml:space="preserve">We note that the </w:t>
      </w:r>
      <w:r w:rsidR="00C47B7B" w:rsidRPr="009E6B3C">
        <w:rPr>
          <w:rFonts w:ascii="Arial" w:hAnsi="Arial" w:cs="Arial"/>
          <w:sz w:val="20"/>
          <w:szCs w:val="20"/>
        </w:rPr>
        <w:t>NPA reports that it exceeded its target for the conviction of sexual offences and</w:t>
      </w:r>
      <w:r w:rsidR="005F1503" w:rsidRPr="009E6B3C">
        <w:rPr>
          <w:rFonts w:ascii="Arial" w:hAnsi="Arial" w:cs="Arial"/>
          <w:sz w:val="20"/>
          <w:szCs w:val="20"/>
        </w:rPr>
        <w:t xml:space="preserve">, </w:t>
      </w:r>
      <w:r w:rsidR="00C47B7B" w:rsidRPr="009E6B3C">
        <w:rPr>
          <w:rFonts w:ascii="Arial" w:hAnsi="Arial" w:cs="Arial"/>
          <w:sz w:val="20"/>
          <w:szCs w:val="20"/>
        </w:rPr>
        <w:t>in a</w:t>
      </w:r>
      <w:r w:rsidR="005F1503" w:rsidRPr="009E6B3C">
        <w:rPr>
          <w:rFonts w:ascii="Arial" w:hAnsi="Arial" w:cs="Arial"/>
          <w:sz w:val="20"/>
          <w:szCs w:val="20"/>
        </w:rPr>
        <w:t>nother</w:t>
      </w:r>
      <w:r w:rsidR="00C47B7B" w:rsidRPr="009E6B3C">
        <w:rPr>
          <w:rFonts w:ascii="Arial" w:hAnsi="Arial" w:cs="Arial"/>
          <w:sz w:val="20"/>
          <w:szCs w:val="20"/>
        </w:rPr>
        <w:t xml:space="preserve"> positive development</w:t>
      </w:r>
      <w:r w:rsidR="00BD17D0" w:rsidRPr="009E6B3C">
        <w:rPr>
          <w:rFonts w:ascii="Arial" w:hAnsi="Arial" w:cs="Arial"/>
          <w:sz w:val="20"/>
          <w:szCs w:val="20"/>
        </w:rPr>
        <w:t xml:space="preserve">, the number of TCCs </w:t>
      </w:r>
      <w:r w:rsidR="005F1503" w:rsidRPr="009E6B3C">
        <w:rPr>
          <w:rFonts w:ascii="Arial" w:hAnsi="Arial" w:cs="Arial"/>
          <w:sz w:val="20"/>
          <w:szCs w:val="20"/>
        </w:rPr>
        <w:t>i</w:t>
      </w:r>
      <w:r w:rsidR="00BD17D0" w:rsidRPr="009E6B3C">
        <w:rPr>
          <w:rFonts w:ascii="Arial" w:hAnsi="Arial" w:cs="Arial"/>
          <w:sz w:val="20"/>
          <w:szCs w:val="20"/>
        </w:rPr>
        <w:t>ncreased from 55 to 60</w:t>
      </w:r>
      <w:r w:rsidR="005F1503" w:rsidRPr="009E6B3C">
        <w:rPr>
          <w:rFonts w:ascii="Arial" w:hAnsi="Arial" w:cs="Arial"/>
          <w:sz w:val="20"/>
          <w:szCs w:val="20"/>
        </w:rPr>
        <w:t>. The</w:t>
      </w:r>
      <w:r w:rsidR="00BD17D0" w:rsidRPr="009E6B3C">
        <w:rPr>
          <w:rFonts w:ascii="Arial" w:hAnsi="Arial" w:cs="Arial"/>
          <w:sz w:val="20"/>
          <w:szCs w:val="20"/>
        </w:rPr>
        <w:t xml:space="preserve"> NPA is working with the private sector to set up new TCCs. </w:t>
      </w:r>
      <w:r w:rsidR="001578A4" w:rsidRPr="009E6B3C">
        <w:rPr>
          <w:rFonts w:ascii="Arial" w:hAnsi="Arial" w:cs="Arial"/>
          <w:sz w:val="20"/>
          <w:szCs w:val="20"/>
        </w:rPr>
        <w:t xml:space="preserve">Further, </w:t>
      </w:r>
      <w:r w:rsidR="00C47B7B" w:rsidRPr="009E6B3C">
        <w:rPr>
          <w:rFonts w:ascii="Arial" w:hAnsi="Arial" w:cs="Arial"/>
          <w:sz w:val="20"/>
          <w:szCs w:val="20"/>
        </w:rPr>
        <w:t>much work is being done on the DNA Backlog project</w:t>
      </w:r>
      <w:r w:rsidRPr="009E6B3C">
        <w:rPr>
          <w:rFonts w:ascii="Arial" w:hAnsi="Arial" w:cs="Arial"/>
          <w:sz w:val="20"/>
          <w:szCs w:val="20"/>
        </w:rPr>
        <w:t>, despite the many challenges.</w:t>
      </w:r>
    </w:p>
    <w:p w:rsidR="00D969FE" w:rsidRPr="009E6B3C" w:rsidRDefault="00D969FE" w:rsidP="009E6B3C">
      <w:pPr>
        <w:tabs>
          <w:tab w:val="left" w:pos="851"/>
        </w:tabs>
        <w:rPr>
          <w:rFonts w:ascii="Arial" w:hAnsi="Arial" w:cs="Arial"/>
          <w:sz w:val="20"/>
          <w:szCs w:val="20"/>
        </w:rPr>
      </w:pPr>
    </w:p>
    <w:p w:rsidR="00D969FE" w:rsidRPr="009E6B3C" w:rsidRDefault="00D969FE" w:rsidP="009E6B3C">
      <w:pPr>
        <w:tabs>
          <w:tab w:val="left" w:pos="851"/>
        </w:tabs>
        <w:rPr>
          <w:rFonts w:ascii="Arial" w:hAnsi="Arial" w:cs="Arial"/>
          <w:sz w:val="20"/>
          <w:szCs w:val="20"/>
        </w:rPr>
      </w:pPr>
      <w:r w:rsidRPr="009E6B3C">
        <w:rPr>
          <w:rFonts w:ascii="Arial" w:hAnsi="Arial" w:cs="Arial"/>
          <w:sz w:val="20"/>
          <w:szCs w:val="20"/>
        </w:rPr>
        <w:t>We will engage with the NPA further on its work concerning the prosecution of sexual offences when we consider the 2021/22 Annual Report on the Implementation of the Criminal Law (Sexual Offences and Related Matters) Amendment Act, 2007 as soon as the programme permits.</w:t>
      </w:r>
    </w:p>
    <w:p w:rsidR="00C47B7B" w:rsidRPr="009E6B3C" w:rsidRDefault="00C47B7B" w:rsidP="009E6B3C">
      <w:pPr>
        <w:tabs>
          <w:tab w:val="left" w:pos="851"/>
        </w:tabs>
        <w:rPr>
          <w:rFonts w:ascii="Arial" w:hAnsi="Arial" w:cs="Arial"/>
          <w:sz w:val="20"/>
          <w:szCs w:val="20"/>
        </w:rPr>
      </w:pPr>
    </w:p>
    <w:p w:rsidR="00C47B7B" w:rsidRPr="009E6B3C" w:rsidRDefault="00C47B7B"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Greylisting</w:t>
      </w:r>
    </w:p>
    <w:p w:rsidR="00BD17D0" w:rsidRPr="009E6B3C" w:rsidRDefault="00BD17D0" w:rsidP="009E6B3C">
      <w:pPr>
        <w:tabs>
          <w:tab w:val="left" w:pos="851"/>
        </w:tabs>
        <w:rPr>
          <w:rFonts w:ascii="Arial" w:hAnsi="Arial" w:cs="Arial"/>
          <w:sz w:val="20"/>
          <w:szCs w:val="20"/>
        </w:rPr>
      </w:pPr>
    </w:p>
    <w:p w:rsidR="00891698" w:rsidRPr="009E6B3C" w:rsidRDefault="00B90402" w:rsidP="009E6B3C">
      <w:pPr>
        <w:tabs>
          <w:tab w:val="left" w:pos="851"/>
        </w:tabs>
        <w:rPr>
          <w:rFonts w:ascii="Arial" w:hAnsi="Arial" w:cs="Arial"/>
          <w:sz w:val="20"/>
          <w:szCs w:val="20"/>
          <w:lang w:eastAsia="en-ZA"/>
        </w:rPr>
      </w:pPr>
      <w:r w:rsidRPr="009E6B3C">
        <w:rPr>
          <w:rFonts w:ascii="Arial" w:hAnsi="Arial" w:cs="Arial"/>
          <w:sz w:val="20"/>
          <w:szCs w:val="20"/>
          <w:lang w:eastAsia="en-ZA"/>
        </w:rPr>
        <w:t>T</w:t>
      </w:r>
      <w:r w:rsidR="00BD17D0" w:rsidRPr="009E6B3C">
        <w:rPr>
          <w:rFonts w:ascii="Arial" w:hAnsi="Arial" w:cs="Arial"/>
          <w:sz w:val="20"/>
          <w:szCs w:val="20"/>
          <w:lang w:eastAsia="en-ZA"/>
        </w:rPr>
        <w:t>he Fina</w:t>
      </w:r>
      <w:r w:rsidRPr="009E6B3C">
        <w:rPr>
          <w:rFonts w:ascii="Arial" w:hAnsi="Arial" w:cs="Arial"/>
          <w:sz w:val="20"/>
          <w:szCs w:val="20"/>
          <w:lang w:eastAsia="en-ZA"/>
        </w:rPr>
        <w:t xml:space="preserve">ncial Action Task Force (FATF) has </w:t>
      </w:r>
      <w:r w:rsidR="00BD17D0" w:rsidRPr="009E6B3C">
        <w:rPr>
          <w:rFonts w:ascii="Arial" w:hAnsi="Arial" w:cs="Arial"/>
          <w:sz w:val="20"/>
          <w:szCs w:val="20"/>
          <w:lang w:eastAsia="en-ZA"/>
        </w:rPr>
        <w:t xml:space="preserve">identified South Africa as </w:t>
      </w:r>
      <w:r w:rsidR="00891698" w:rsidRPr="009E6B3C">
        <w:rPr>
          <w:rFonts w:ascii="Arial" w:hAnsi="Arial" w:cs="Arial"/>
          <w:sz w:val="20"/>
          <w:szCs w:val="20"/>
          <w:lang w:eastAsia="en-ZA"/>
        </w:rPr>
        <w:t xml:space="preserve">having </w:t>
      </w:r>
      <w:r w:rsidR="00891698" w:rsidRPr="009E6B3C">
        <w:rPr>
          <w:rFonts w:ascii="Arial" w:hAnsi="Arial" w:cs="Arial"/>
          <w:sz w:val="20"/>
          <w:szCs w:val="20"/>
        </w:rPr>
        <w:t>weaknesses in its mechanisms to tackle terrorism financing and money laundering</w:t>
      </w:r>
      <w:r w:rsidR="00D2140A" w:rsidRPr="009E6B3C">
        <w:rPr>
          <w:rFonts w:ascii="Arial" w:hAnsi="Arial" w:cs="Arial"/>
          <w:sz w:val="20"/>
          <w:szCs w:val="20"/>
        </w:rPr>
        <w:t xml:space="preserve"> and made recommendations with which South Africa must comply by February 2023 to prevent it being ‘greylisted’</w:t>
      </w:r>
      <w:r w:rsidR="00891698" w:rsidRPr="009E6B3C">
        <w:rPr>
          <w:rFonts w:ascii="Arial" w:hAnsi="Arial" w:cs="Arial"/>
          <w:sz w:val="20"/>
          <w:szCs w:val="20"/>
        </w:rPr>
        <w:t>.</w:t>
      </w:r>
      <w:r w:rsidR="00891698" w:rsidRPr="009E6B3C">
        <w:rPr>
          <w:rFonts w:ascii="Arial" w:hAnsi="Arial" w:cs="Arial"/>
          <w:sz w:val="20"/>
          <w:szCs w:val="20"/>
          <w:lang w:eastAsia="en-ZA"/>
        </w:rPr>
        <w:t xml:space="preserve"> </w:t>
      </w:r>
    </w:p>
    <w:p w:rsidR="00B90402" w:rsidRPr="009E6B3C" w:rsidRDefault="00B90402" w:rsidP="009E6B3C">
      <w:pPr>
        <w:tabs>
          <w:tab w:val="left" w:pos="851"/>
        </w:tabs>
        <w:rPr>
          <w:rFonts w:ascii="Arial" w:hAnsi="Arial" w:cs="Arial"/>
          <w:sz w:val="20"/>
          <w:szCs w:val="20"/>
          <w:lang w:eastAsia="en-ZA"/>
        </w:rPr>
      </w:pPr>
    </w:p>
    <w:p w:rsidR="00891698" w:rsidRPr="009E6B3C" w:rsidRDefault="00DB5379" w:rsidP="009E6B3C">
      <w:pPr>
        <w:tabs>
          <w:tab w:val="left" w:pos="851"/>
        </w:tabs>
        <w:rPr>
          <w:rFonts w:ascii="Arial" w:hAnsi="Arial" w:cs="Arial"/>
          <w:sz w:val="20"/>
          <w:szCs w:val="20"/>
          <w:lang w:eastAsia="en-ZA"/>
        </w:rPr>
      </w:pPr>
      <w:r w:rsidRPr="009E6B3C">
        <w:rPr>
          <w:rFonts w:ascii="Arial" w:hAnsi="Arial" w:cs="Arial"/>
          <w:sz w:val="20"/>
          <w:szCs w:val="20"/>
        </w:rPr>
        <w:t xml:space="preserve">Although the </w:t>
      </w:r>
      <w:r w:rsidR="00D2140A" w:rsidRPr="009E6B3C">
        <w:rPr>
          <w:rFonts w:ascii="Arial" w:hAnsi="Arial" w:cs="Arial"/>
          <w:sz w:val="20"/>
          <w:szCs w:val="20"/>
        </w:rPr>
        <w:t xml:space="preserve">NPA is not solely responsible for compliance with </w:t>
      </w:r>
      <w:r w:rsidRPr="009E6B3C">
        <w:rPr>
          <w:rFonts w:ascii="Arial" w:hAnsi="Arial" w:cs="Arial"/>
          <w:sz w:val="20"/>
          <w:szCs w:val="20"/>
        </w:rPr>
        <w:t>FAFT</w:t>
      </w:r>
      <w:r w:rsidR="00D2140A" w:rsidRPr="009E6B3C">
        <w:rPr>
          <w:rFonts w:ascii="Arial" w:hAnsi="Arial" w:cs="Arial"/>
          <w:sz w:val="20"/>
          <w:szCs w:val="20"/>
        </w:rPr>
        <w:t>’s</w:t>
      </w:r>
      <w:r w:rsidRPr="009E6B3C">
        <w:rPr>
          <w:rFonts w:ascii="Arial" w:hAnsi="Arial" w:cs="Arial"/>
          <w:sz w:val="20"/>
          <w:szCs w:val="20"/>
        </w:rPr>
        <w:t xml:space="preserve"> recommendations</w:t>
      </w:r>
      <w:r w:rsidR="00D2140A" w:rsidRPr="009E6B3C">
        <w:rPr>
          <w:rFonts w:ascii="Arial" w:hAnsi="Arial" w:cs="Arial"/>
          <w:sz w:val="20"/>
          <w:szCs w:val="20"/>
        </w:rPr>
        <w:t xml:space="preserve">, </w:t>
      </w:r>
      <w:r w:rsidRPr="009E6B3C">
        <w:rPr>
          <w:rFonts w:ascii="Arial" w:hAnsi="Arial" w:cs="Arial"/>
          <w:sz w:val="20"/>
          <w:szCs w:val="20"/>
        </w:rPr>
        <w:t>w</w:t>
      </w:r>
      <w:r w:rsidR="00B90402" w:rsidRPr="009E6B3C">
        <w:rPr>
          <w:rFonts w:ascii="Arial" w:hAnsi="Arial" w:cs="Arial"/>
          <w:sz w:val="20"/>
          <w:szCs w:val="20"/>
          <w:lang w:eastAsia="en-ZA"/>
        </w:rPr>
        <w:t>e note that t</w:t>
      </w:r>
      <w:r w:rsidR="00891698" w:rsidRPr="009E6B3C">
        <w:rPr>
          <w:rFonts w:ascii="Arial" w:hAnsi="Arial" w:cs="Arial"/>
          <w:sz w:val="20"/>
          <w:szCs w:val="20"/>
          <w:lang w:eastAsia="en-ZA"/>
        </w:rPr>
        <w:t xml:space="preserve">he NPA reports that </w:t>
      </w:r>
      <w:r w:rsidR="00B90402" w:rsidRPr="009E6B3C">
        <w:rPr>
          <w:rFonts w:ascii="Arial" w:hAnsi="Arial" w:cs="Arial"/>
          <w:sz w:val="20"/>
          <w:szCs w:val="20"/>
          <w:lang w:eastAsia="en-ZA"/>
        </w:rPr>
        <w:t>considerable work ha</w:t>
      </w:r>
      <w:r w:rsidR="00D2140A" w:rsidRPr="009E6B3C">
        <w:rPr>
          <w:rFonts w:ascii="Arial" w:hAnsi="Arial" w:cs="Arial"/>
          <w:sz w:val="20"/>
          <w:szCs w:val="20"/>
          <w:lang w:eastAsia="en-ZA"/>
        </w:rPr>
        <w:t>s been done to avoid greylisting, including the establishment of an Anti-Money-Laundering Desk</w:t>
      </w:r>
      <w:r w:rsidR="005F1503" w:rsidRPr="009E6B3C">
        <w:rPr>
          <w:rFonts w:ascii="Arial" w:hAnsi="Arial" w:cs="Arial"/>
          <w:sz w:val="20"/>
          <w:szCs w:val="20"/>
          <w:lang w:eastAsia="en-ZA"/>
        </w:rPr>
        <w:t xml:space="preserve">in the NPA, </w:t>
      </w:r>
      <w:r w:rsidR="00D2140A" w:rsidRPr="009E6B3C">
        <w:rPr>
          <w:rFonts w:ascii="Arial" w:hAnsi="Arial" w:cs="Arial"/>
          <w:sz w:val="20"/>
          <w:szCs w:val="20"/>
          <w:lang w:eastAsia="en-ZA"/>
        </w:rPr>
        <w:t>which has developed a national strategy and has co-ordinated various initiatives. S</w:t>
      </w:r>
      <w:r w:rsidR="00891698" w:rsidRPr="009E6B3C">
        <w:rPr>
          <w:rFonts w:ascii="Arial" w:hAnsi="Arial" w:cs="Arial"/>
          <w:sz w:val="20"/>
          <w:szCs w:val="20"/>
          <w:lang w:eastAsia="en-ZA"/>
        </w:rPr>
        <w:t>ince the evaluation report was done up until the end of March 2022, 534 money-laun</w:t>
      </w:r>
      <w:r w:rsidR="00B90402" w:rsidRPr="009E6B3C">
        <w:rPr>
          <w:rFonts w:ascii="Arial" w:hAnsi="Arial" w:cs="Arial"/>
          <w:sz w:val="20"/>
          <w:szCs w:val="20"/>
          <w:lang w:eastAsia="en-ZA"/>
        </w:rPr>
        <w:t>dering cases had been finalised and a</w:t>
      </w:r>
      <w:r w:rsidR="00891698" w:rsidRPr="009E6B3C">
        <w:rPr>
          <w:rFonts w:ascii="Arial" w:hAnsi="Arial" w:cs="Arial"/>
          <w:sz w:val="20"/>
          <w:szCs w:val="20"/>
          <w:lang w:eastAsia="en-ZA"/>
        </w:rPr>
        <w:t xml:space="preserve">n additional 72 money-laundering cases </w:t>
      </w:r>
      <w:r w:rsidRPr="009E6B3C">
        <w:rPr>
          <w:rFonts w:ascii="Arial" w:hAnsi="Arial" w:cs="Arial"/>
          <w:sz w:val="20"/>
          <w:szCs w:val="20"/>
          <w:lang w:eastAsia="en-ZA"/>
        </w:rPr>
        <w:t>are</w:t>
      </w:r>
      <w:r w:rsidR="00891698" w:rsidRPr="009E6B3C">
        <w:rPr>
          <w:rFonts w:ascii="Arial" w:hAnsi="Arial" w:cs="Arial"/>
          <w:sz w:val="20"/>
          <w:szCs w:val="20"/>
          <w:lang w:eastAsia="en-ZA"/>
        </w:rPr>
        <w:t xml:space="preserve"> on the court roll.</w:t>
      </w:r>
    </w:p>
    <w:p w:rsidR="00D969FE" w:rsidRPr="009E6B3C" w:rsidRDefault="00D969FE" w:rsidP="009E6B3C">
      <w:pPr>
        <w:tabs>
          <w:tab w:val="left" w:pos="851"/>
        </w:tabs>
        <w:rPr>
          <w:rFonts w:ascii="Arial" w:hAnsi="Arial" w:cs="Arial"/>
          <w:sz w:val="20"/>
          <w:szCs w:val="20"/>
          <w:lang w:eastAsia="en-ZA"/>
        </w:rPr>
      </w:pPr>
    </w:p>
    <w:p w:rsidR="00891698" w:rsidRPr="009E6B3C" w:rsidRDefault="00891698" w:rsidP="009E6B3C">
      <w:pPr>
        <w:pStyle w:val="NormalWeb"/>
        <w:spacing w:before="0" w:after="0"/>
        <w:rPr>
          <w:rFonts w:ascii="Arial" w:hAnsi="Arial" w:cs="Arial"/>
          <w:sz w:val="20"/>
          <w:szCs w:val="20"/>
          <w:lang w:eastAsia="en-ZA"/>
        </w:rPr>
      </w:pPr>
      <w:r w:rsidRPr="009E6B3C">
        <w:rPr>
          <w:rFonts w:ascii="Arial" w:hAnsi="Arial" w:cs="Arial"/>
          <w:sz w:val="20"/>
          <w:szCs w:val="20"/>
          <w:lang w:eastAsia="en-ZA"/>
        </w:rPr>
        <w:t>We note</w:t>
      </w:r>
      <w:r w:rsidR="00B90402" w:rsidRPr="009E6B3C">
        <w:rPr>
          <w:rFonts w:ascii="Arial" w:hAnsi="Arial" w:cs="Arial"/>
          <w:sz w:val="20"/>
          <w:szCs w:val="20"/>
          <w:lang w:eastAsia="en-ZA"/>
        </w:rPr>
        <w:t xml:space="preserve"> also </w:t>
      </w:r>
      <w:r w:rsidRPr="009E6B3C">
        <w:rPr>
          <w:rFonts w:ascii="Arial" w:hAnsi="Arial" w:cs="Arial"/>
          <w:sz w:val="20"/>
          <w:szCs w:val="20"/>
          <w:lang w:eastAsia="en-ZA"/>
        </w:rPr>
        <w:t>the NPA’s assessment that a lot more needs to be done to address the issue of stand-alone money-laundering</w:t>
      </w:r>
      <w:r w:rsidR="00B90402" w:rsidRPr="009E6B3C">
        <w:rPr>
          <w:rFonts w:ascii="Arial" w:hAnsi="Arial" w:cs="Arial"/>
          <w:sz w:val="20"/>
          <w:szCs w:val="20"/>
          <w:lang w:eastAsia="en-ZA"/>
        </w:rPr>
        <w:t xml:space="preserve">, </w:t>
      </w:r>
      <w:r w:rsidRPr="009E6B3C">
        <w:rPr>
          <w:rFonts w:ascii="Arial" w:hAnsi="Arial" w:cs="Arial"/>
          <w:sz w:val="20"/>
          <w:szCs w:val="20"/>
          <w:lang w:eastAsia="en-ZA"/>
        </w:rPr>
        <w:t>where individuals are charged on money-laundering counts as stand-alone charges as opposed to charging individuals for money- laundering in relation to cases that involve other offences</w:t>
      </w:r>
      <w:r w:rsidR="00B90402" w:rsidRPr="009E6B3C">
        <w:rPr>
          <w:rFonts w:ascii="Arial" w:hAnsi="Arial" w:cs="Arial"/>
          <w:sz w:val="20"/>
          <w:szCs w:val="20"/>
          <w:lang w:eastAsia="en-ZA"/>
        </w:rPr>
        <w:t>.</w:t>
      </w:r>
    </w:p>
    <w:p w:rsidR="00DB5379" w:rsidRPr="009E6B3C" w:rsidRDefault="00DB5379" w:rsidP="009E6B3C">
      <w:pPr>
        <w:tabs>
          <w:tab w:val="left" w:pos="851"/>
        </w:tabs>
        <w:rPr>
          <w:rFonts w:ascii="Arial" w:hAnsi="Arial" w:cs="Arial"/>
          <w:sz w:val="20"/>
          <w:szCs w:val="20"/>
          <w:lang w:eastAsia="en-ZA"/>
        </w:rPr>
      </w:pPr>
    </w:p>
    <w:p w:rsidR="00C47B7B" w:rsidRPr="009E6B3C" w:rsidRDefault="00C47B7B" w:rsidP="009E6B3C">
      <w:pPr>
        <w:pStyle w:val="ListParagraph"/>
        <w:numPr>
          <w:ilvl w:val="1"/>
          <w:numId w:val="1"/>
        </w:numPr>
        <w:ind w:left="851" w:hanging="851"/>
        <w:rPr>
          <w:rFonts w:ascii="Arial" w:hAnsi="Arial" w:cs="Arial"/>
          <w:b/>
          <w:i/>
          <w:sz w:val="20"/>
          <w:szCs w:val="20"/>
        </w:rPr>
      </w:pPr>
      <w:r w:rsidRPr="009E6B3C">
        <w:rPr>
          <w:rFonts w:ascii="Arial" w:hAnsi="Arial" w:cs="Arial"/>
          <w:b/>
          <w:i/>
          <w:sz w:val="20"/>
          <w:szCs w:val="20"/>
        </w:rPr>
        <w:t>Organised crime</w:t>
      </w:r>
    </w:p>
    <w:p w:rsidR="00C47B7B" w:rsidRPr="009E6B3C" w:rsidRDefault="00C47B7B" w:rsidP="009E6B3C">
      <w:pPr>
        <w:tabs>
          <w:tab w:val="left" w:pos="851"/>
        </w:tabs>
        <w:rPr>
          <w:rFonts w:ascii="Arial" w:hAnsi="Arial" w:cs="Arial"/>
          <w:sz w:val="20"/>
          <w:szCs w:val="20"/>
        </w:rPr>
      </w:pPr>
    </w:p>
    <w:p w:rsidR="00DF00BB" w:rsidRPr="009E6B3C" w:rsidRDefault="00120DEA" w:rsidP="009E6B3C">
      <w:pPr>
        <w:rPr>
          <w:rFonts w:ascii="Arial" w:hAnsi="Arial" w:cs="Arial"/>
          <w:sz w:val="20"/>
          <w:szCs w:val="20"/>
        </w:rPr>
      </w:pPr>
      <w:r w:rsidRPr="009E6B3C">
        <w:rPr>
          <w:rFonts w:ascii="Arial" w:hAnsi="Arial" w:cs="Arial"/>
          <w:sz w:val="20"/>
          <w:szCs w:val="20"/>
        </w:rPr>
        <w:t>We</w:t>
      </w:r>
      <w:r w:rsidR="00B54C26" w:rsidRPr="009E6B3C">
        <w:rPr>
          <w:rFonts w:ascii="Arial" w:hAnsi="Arial" w:cs="Arial"/>
          <w:sz w:val="20"/>
          <w:szCs w:val="20"/>
        </w:rPr>
        <w:t xml:space="preserve"> </w:t>
      </w:r>
      <w:r w:rsidR="000314C6" w:rsidRPr="009E6B3C">
        <w:rPr>
          <w:rFonts w:ascii="Arial" w:hAnsi="Arial" w:cs="Arial"/>
          <w:sz w:val="20"/>
          <w:szCs w:val="20"/>
        </w:rPr>
        <w:t xml:space="preserve">note </w:t>
      </w:r>
      <w:r w:rsidRPr="009E6B3C">
        <w:rPr>
          <w:rFonts w:ascii="Arial" w:hAnsi="Arial" w:cs="Arial"/>
          <w:sz w:val="20"/>
          <w:szCs w:val="20"/>
        </w:rPr>
        <w:t>that t</w:t>
      </w:r>
      <w:r w:rsidR="00C47B7B" w:rsidRPr="009E6B3C">
        <w:rPr>
          <w:rFonts w:ascii="Arial" w:hAnsi="Arial" w:cs="Arial"/>
          <w:sz w:val="20"/>
          <w:szCs w:val="20"/>
        </w:rPr>
        <w:t xml:space="preserve">he Global Initiative against Organised Crime’s Risk Index places South Africa at 19 out of 193 countries globally. </w:t>
      </w:r>
      <w:r w:rsidR="00DF00BB" w:rsidRPr="009E6B3C">
        <w:rPr>
          <w:rFonts w:ascii="Arial" w:hAnsi="Arial" w:cs="Arial"/>
          <w:sz w:val="20"/>
          <w:szCs w:val="20"/>
        </w:rPr>
        <w:t>The accompanying Report argues that, a</w:t>
      </w:r>
      <w:r w:rsidR="00B54C26" w:rsidRPr="009E6B3C">
        <w:rPr>
          <w:rFonts w:ascii="Arial" w:hAnsi="Arial" w:cs="Arial"/>
          <w:sz w:val="20"/>
          <w:szCs w:val="20"/>
        </w:rPr>
        <w:t xml:space="preserve">lthough </w:t>
      </w:r>
      <w:r w:rsidR="00C47B7B" w:rsidRPr="009E6B3C">
        <w:rPr>
          <w:rFonts w:ascii="Arial" w:hAnsi="Arial" w:cs="Arial"/>
          <w:sz w:val="20"/>
          <w:szCs w:val="20"/>
        </w:rPr>
        <w:t>South Africa has robust anti-organized crime legislation and a strong overall legal framework</w:t>
      </w:r>
      <w:r w:rsidR="00B54C26" w:rsidRPr="009E6B3C">
        <w:rPr>
          <w:rFonts w:ascii="Arial" w:hAnsi="Arial" w:cs="Arial"/>
          <w:sz w:val="20"/>
          <w:szCs w:val="20"/>
        </w:rPr>
        <w:t xml:space="preserve">, </w:t>
      </w:r>
      <w:r w:rsidR="00C47B7B" w:rsidRPr="009E6B3C">
        <w:rPr>
          <w:rFonts w:ascii="Arial" w:hAnsi="Arial" w:cs="Arial"/>
          <w:sz w:val="20"/>
          <w:szCs w:val="20"/>
        </w:rPr>
        <w:t xml:space="preserve">implementation </w:t>
      </w:r>
      <w:r w:rsidRPr="009E6B3C">
        <w:rPr>
          <w:rFonts w:ascii="Arial" w:hAnsi="Arial" w:cs="Arial"/>
          <w:sz w:val="20"/>
          <w:szCs w:val="20"/>
        </w:rPr>
        <w:t xml:space="preserve">is a challenge </w:t>
      </w:r>
      <w:r w:rsidR="00C47B7B" w:rsidRPr="009E6B3C">
        <w:rPr>
          <w:rFonts w:ascii="Arial" w:hAnsi="Arial" w:cs="Arial"/>
          <w:sz w:val="20"/>
          <w:szCs w:val="20"/>
        </w:rPr>
        <w:t xml:space="preserve">due to capacity issues and resource limitations. </w:t>
      </w:r>
    </w:p>
    <w:p w:rsidR="00DF00BB" w:rsidRPr="009E6B3C" w:rsidRDefault="00DF00BB" w:rsidP="009E6B3C">
      <w:pPr>
        <w:tabs>
          <w:tab w:val="left" w:pos="851"/>
        </w:tabs>
        <w:rPr>
          <w:rFonts w:ascii="Arial" w:hAnsi="Arial" w:cs="Arial"/>
          <w:sz w:val="20"/>
          <w:szCs w:val="20"/>
        </w:rPr>
      </w:pPr>
    </w:p>
    <w:p w:rsidR="00BE51F1" w:rsidRPr="009E6B3C" w:rsidRDefault="00DF00BB" w:rsidP="009E6B3C">
      <w:pPr>
        <w:tabs>
          <w:tab w:val="left" w:pos="851"/>
        </w:tabs>
        <w:rPr>
          <w:rFonts w:ascii="Arial" w:hAnsi="Arial" w:cs="Arial"/>
          <w:sz w:val="20"/>
          <w:szCs w:val="20"/>
        </w:rPr>
      </w:pPr>
      <w:r w:rsidRPr="009E6B3C">
        <w:rPr>
          <w:rFonts w:ascii="Arial" w:hAnsi="Arial" w:cs="Arial"/>
          <w:sz w:val="20"/>
          <w:szCs w:val="20"/>
        </w:rPr>
        <w:t xml:space="preserve">In this regard, we note that </w:t>
      </w:r>
      <w:r w:rsidR="00BE51F1" w:rsidRPr="009E6B3C">
        <w:rPr>
          <w:rFonts w:ascii="Arial" w:hAnsi="Arial" w:cs="Arial"/>
          <w:sz w:val="20"/>
          <w:szCs w:val="20"/>
        </w:rPr>
        <w:t>the NPA reports that, in 2021/22, a national organised crime strategy was approved after extensive consultation</w:t>
      </w:r>
      <w:r w:rsidRPr="009E6B3C">
        <w:rPr>
          <w:rFonts w:ascii="Arial" w:hAnsi="Arial" w:cs="Arial"/>
          <w:sz w:val="20"/>
          <w:szCs w:val="20"/>
        </w:rPr>
        <w:t>,</w:t>
      </w:r>
      <w:r w:rsidR="00BE51F1" w:rsidRPr="009E6B3C">
        <w:rPr>
          <w:rFonts w:ascii="Arial" w:hAnsi="Arial" w:cs="Arial"/>
          <w:sz w:val="20"/>
          <w:szCs w:val="20"/>
        </w:rPr>
        <w:t xml:space="preserve"> and a list of priority organised crime cases has been developed.</w:t>
      </w:r>
      <w:r w:rsidRPr="009E6B3C">
        <w:rPr>
          <w:rFonts w:ascii="Arial" w:hAnsi="Arial" w:cs="Arial"/>
          <w:sz w:val="20"/>
          <w:szCs w:val="20"/>
        </w:rPr>
        <w:t xml:space="preserve"> </w:t>
      </w:r>
      <w:r w:rsidR="00120DEA" w:rsidRPr="009E6B3C">
        <w:rPr>
          <w:rFonts w:ascii="Arial" w:hAnsi="Arial" w:cs="Arial"/>
          <w:sz w:val="20"/>
          <w:szCs w:val="20"/>
        </w:rPr>
        <w:t xml:space="preserve">We acknowledge that </w:t>
      </w:r>
      <w:r w:rsidR="00C47B7B" w:rsidRPr="009E6B3C">
        <w:rPr>
          <w:rFonts w:ascii="Arial" w:hAnsi="Arial" w:cs="Arial"/>
          <w:sz w:val="20"/>
          <w:szCs w:val="20"/>
        </w:rPr>
        <w:t xml:space="preserve">the NPA is </w:t>
      </w:r>
      <w:r w:rsidR="00120DEA" w:rsidRPr="009E6B3C">
        <w:rPr>
          <w:rFonts w:ascii="Arial" w:hAnsi="Arial" w:cs="Arial"/>
          <w:sz w:val="20"/>
          <w:szCs w:val="20"/>
        </w:rPr>
        <w:t xml:space="preserve">but </w:t>
      </w:r>
      <w:r w:rsidR="00C47B7B" w:rsidRPr="009E6B3C">
        <w:rPr>
          <w:rFonts w:ascii="Arial" w:hAnsi="Arial" w:cs="Arial"/>
          <w:sz w:val="20"/>
          <w:szCs w:val="20"/>
        </w:rPr>
        <w:t xml:space="preserve">one role-player </w:t>
      </w:r>
      <w:r w:rsidR="00BE51F1" w:rsidRPr="009E6B3C">
        <w:rPr>
          <w:rFonts w:ascii="Arial" w:hAnsi="Arial" w:cs="Arial"/>
          <w:sz w:val="20"/>
          <w:szCs w:val="20"/>
        </w:rPr>
        <w:t xml:space="preserve">in the response from law enforcement to organised crime but ask for a </w:t>
      </w:r>
      <w:r w:rsidRPr="009E6B3C">
        <w:rPr>
          <w:rFonts w:ascii="Arial" w:hAnsi="Arial" w:cs="Arial"/>
          <w:sz w:val="20"/>
          <w:szCs w:val="20"/>
        </w:rPr>
        <w:t xml:space="preserve">comprehensive </w:t>
      </w:r>
      <w:r w:rsidR="00BE51F1" w:rsidRPr="009E6B3C">
        <w:rPr>
          <w:rFonts w:ascii="Arial" w:hAnsi="Arial" w:cs="Arial"/>
          <w:sz w:val="20"/>
          <w:szCs w:val="20"/>
        </w:rPr>
        <w:t xml:space="preserve">report </w:t>
      </w:r>
      <w:r w:rsidR="00C47B7B" w:rsidRPr="009E6B3C">
        <w:rPr>
          <w:rFonts w:ascii="Arial" w:hAnsi="Arial" w:cs="Arial"/>
          <w:sz w:val="20"/>
          <w:szCs w:val="20"/>
        </w:rPr>
        <w:t>on th</w:t>
      </w:r>
      <w:r w:rsidR="00BE51F1" w:rsidRPr="009E6B3C">
        <w:rPr>
          <w:rFonts w:ascii="Arial" w:hAnsi="Arial" w:cs="Arial"/>
          <w:sz w:val="20"/>
          <w:szCs w:val="20"/>
        </w:rPr>
        <w:t>e</w:t>
      </w:r>
      <w:r w:rsidR="00C47B7B" w:rsidRPr="009E6B3C">
        <w:rPr>
          <w:rFonts w:ascii="Arial" w:hAnsi="Arial" w:cs="Arial"/>
          <w:sz w:val="20"/>
          <w:szCs w:val="20"/>
        </w:rPr>
        <w:t xml:space="preserve"> strategy</w:t>
      </w:r>
      <w:r w:rsidR="00691F11" w:rsidRPr="009E6B3C">
        <w:rPr>
          <w:rFonts w:ascii="Arial" w:hAnsi="Arial" w:cs="Arial"/>
          <w:sz w:val="20"/>
          <w:szCs w:val="20"/>
        </w:rPr>
        <w:t xml:space="preserve"> to address organised crime before </w:t>
      </w:r>
      <w:r w:rsidR="00B62E7D" w:rsidRPr="009E6B3C">
        <w:rPr>
          <w:rFonts w:ascii="Arial" w:hAnsi="Arial" w:cs="Arial"/>
          <w:sz w:val="20"/>
          <w:szCs w:val="20"/>
        </w:rPr>
        <w:t>31 January 2023</w:t>
      </w:r>
      <w:r w:rsidR="00C47B7B" w:rsidRPr="009E6B3C">
        <w:rPr>
          <w:rFonts w:ascii="Arial" w:hAnsi="Arial" w:cs="Arial"/>
          <w:sz w:val="20"/>
          <w:szCs w:val="20"/>
        </w:rPr>
        <w:t xml:space="preserve">. </w:t>
      </w:r>
    </w:p>
    <w:p w:rsidR="00691F11" w:rsidRPr="009E6B3C" w:rsidRDefault="00691F11" w:rsidP="009E6B3C">
      <w:pPr>
        <w:tabs>
          <w:tab w:val="left" w:pos="851"/>
        </w:tabs>
        <w:rPr>
          <w:rFonts w:ascii="Arial" w:hAnsi="Arial" w:cs="Arial"/>
          <w:sz w:val="20"/>
          <w:szCs w:val="20"/>
        </w:rPr>
      </w:pPr>
    </w:p>
    <w:p w:rsidR="00C47B7B" w:rsidRPr="009E6B3C" w:rsidRDefault="00DF00BB" w:rsidP="009E6B3C">
      <w:pPr>
        <w:tabs>
          <w:tab w:val="left" w:pos="851"/>
        </w:tabs>
        <w:rPr>
          <w:rFonts w:ascii="Arial" w:hAnsi="Arial" w:cs="Arial"/>
          <w:sz w:val="20"/>
          <w:szCs w:val="20"/>
        </w:rPr>
      </w:pPr>
      <w:r w:rsidRPr="009E6B3C">
        <w:rPr>
          <w:rFonts w:ascii="Arial" w:hAnsi="Arial" w:cs="Arial"/>
          <w:sz w:val="20"/>
          <w:szCs w:val="20"/>
        </w:rPr>
        <w:t xml:space="preserve">We see </w:t>
      </w:r>
      <w:r w:rsidR="00BE51F1" w:rsidRPr="009E6B3C">
        <w:rPr>
          <w:rFonts w:ascii="Arial" w:hAnsi="Arial" w:cs="Arial"/>
          <w:sz w:val="20"/>
          <w:szCs w:val="20"/>
        </w:rPr>
        <w:t>that t</w:t>
      </w:r>
      <w:r w:rsidR="00C47B7B" w:rsidRPr="009E6B3C">
        <w:rPr>
          <w:rFonts w:ascii="Arial" w:hAnsi="Arial" w:cs="Arial"/>
          <w:sz w:val="20"/>
          <w:szCs w:val="20"/>
        </w:rPr>
        <w:t>he Report also notes that much of the intellectual and ideological architecture designed to combat organized crime at the systemic level remains unused or under</w:t>
      </w:r>
      <w:r w:rsidR="00BE51F1" w:rsidRPr="009E6B3C">
        <w:rPr>
          <w:rFonts w:ascii="Arial" w:hAnsi="Arial" w:cs="Arial"/>
          <w:sz w:val="20"/>
          <w:szCs w:val="20"/>
        </w:rPr>
        <w:t>-</w:t>
      </w:r>
      <w:r w:rsidR="00C47B7B" w:rsidRPr="009E6B3C">
        <w:rPr>
          <w:rFonts w:ascii="Arial" w:hAnsi="Arial" w:cs="Arial"/>
          <w:sz w:val="20"/>
          <w:szCs w:val="20"/>
        </w:rPr>
        <w:t xml:space="preserve">used. </w:t>
      </w:r>
      <w:r w:rsidR="00BE51F1" w:rsidRPr="009E6B3C">
        <w:rPr>
          <w:rFonts w:ascii="Arial" w:hAnsi="Arial" w:cs="Arial"/>
          <w:sz w:val="20"/>
          <w:szCs w:val="20"/>
        </w:rPr>
        <w:t xml:space="preserve">For example, </w:t>
      </w:r>
      <w:r w:rsidR="00691F11" w:rsidRPr="009E6B3C">
        <w:rPr>
          <w:rFonts w:ascii="Arial" w:hAnsi="Arial" w:cs="Arial"/>
          <w:sz w:val="20"/>
          <w:szCs w:val="20"/>
        </w:rPr>
        <w:t xml:space="preserve">in gang-related matters, </w:t>
      </w:r>
      <w:r w:rsidR="00BE51F1" w:rsidRPr="009E6B3C">
        <w:rPr>
          <w:rFonts w:ascii="Arial" w:hAnsi="Arial" w:cs="Arial"/>
          <w:sz w:val="20"/>
          <w:szCs w:val="20"/>
        </w:rPr>
        <w:t xml:space="preserve">it is often more straightforward simpler to pursue charges of murder or attempted murder rather than </w:t>
      </w:r>
      <w:r w:rsidR="00C47B7B" w:rsidRPr="009E6B3C">
        <w:rPr>
          <w:rFonts w:ascii="Arial" w:hAnsi="Arial" w:cs="Arial"/>
          <w:sz w:val="20"/>
          <w:szCs w:val="20"/>
        </w:rPr>
        <w:t>charges of gang association, ra</w:t>
      </w:r>
      <w:r w:rsidR="00BE51F1" w:rsidRPr="009E6B3C">
        <w:rPr>
          <w:rFonts w:ascii="Arial" w:hAnsi="Arial" w:cs="Arial"/>
          <w:sz w:val="20"/>
          <w:szCs w:val="20"/>
        </w:rPr>
        <w:t xml:space="preserve">cketeering or money laundering </w:t>
      </w:r>
      <w:r w:rsidR="00691F11" w:rsidRPr="009E6B3C">
        <w:rPr>
          <w:rFonts w:ascii="Arial" w:hAnsi="Arial" w:cs="Arial"/>
          <w:sz w:val="20"/>
          <w:szCs w:val="20"/>
        </w:rPr>
        <w:t xml:space="preserve">under section 9 of </w:t>
      </w:r>
      <w:r w:rsidR="007B5746" w:rsidRPr="009E6B3C">
        <w:rPr>
          <w:rFonts w:ascii="Arial" w:hAnsi="Arial" w:cs="Arial"/>
          <w:sz w:val="20"/>
          <w:szCs w:val="20"/>
        </w:rPr>
        <w:t>the Prevention</w:t>
      </w:r>
      <w:r w:rsidR="00691F11" w:rsidRPr="009E6B3C">
        <w:rPr>
          <w:rFonts w:ascii="Arial" w:hAnsi="Arial" w:cs="Arial"/>
          <w:sz w:val="20"/>
          <w:szCs w:val="20"/>
        </w:rPr>
        <w:t xml:space="preserve"> of Organised Crime</w:t>
      </w:r>
      <w:r w:rsidR="00015B9A" w:rsidRPr="009E6B3C">
        <w:rPr>
          <w:rFonts w:ascii="Arial" w:hAnsi="Arial" w:cs="Arial"/>
          <w:sz w:val="20"/>
          <w:szCs w:val="20"/>
        </w:rPr>
        <w:t xml:space="preserve"> Act</w:t>
      </w:r>
      <w:r w:rsidR="00691F11" w:rsidRPr="009E6B3C">
        <w:rPr>
          <w:rFonts w:ascii="Arial" w:hAnsi="Arial" w:cs="Arial"/>
          <w:sz w:val="20"/>
          <w:szCs w:val="20"/>
        </w:rPr>
        <w:t xml:space="preserve">, </w:t>
      </w:r>
      <w:r w:rsidR="005F1503" w:rsidRPr="009E6B3C">
        <w:rPr>
          <w:rFonts w:ascii="Arial" w:hAnsi="Arial" w:cs="Arial"/>
          <w:sz w:val="20"/>
          <w:szCs w:val="20"/>
        </w:rPr>
        <w:t xml:space="preserve">1998, </w:t>
      </w:r>
      <w:r w:rsidR="00691F11" w:rsidRPr="009E6B3C">
        <w:rPr>
          <w:rFonts w:ascii="Arial" w:hAnsi="Arial" w:cs="Arial"/>
          <w:sz w:val="20"/>
          <w:szCs w:val="20"/>
        </w:rPr>
        <w:t>even though these apply.</w:t>
      </w:r>
      <w:r w:rsidR="00BE51F1" w:rsidRPr="009E6B3C">
        <w:rPr>
          <w:rFonts w:ascii="Arial" w:hAnsi="Arial" w:cs="Arial"/>
          <w:sz w:val="20"/>
          <w:szCs w:val="20"/>
        </w:rPr>
        <w:t xml:space="preserve"> </w:t>
      </w:r>
      <w:r w:rsidR="00691F11" w:rsidRPr="009E6B3C">
        <w:rPr>
          <w:rFonts w:ascii="Arial" w:hAnsi="Arial" w:cs="Arial"/>
          <w:sz w:val="20"/>
          <w:szCs w:val="20"/>
        </w:rPr>
        <w:t>We, therefore, request the NPA to comment further on this observation in the above response.</w:t>
      </w:r>
    </w:p>
    <w:p w:rsidR="00C47B7B" w:rsidRPr="009E6B3C" w:rsidRDefault="00C47B7B" w:rsidP="009E6B3C">
      <w:pPr>
        <w:tabs>
          <w:tab w:val="left" w:pos="851"/>
        </w:tabs>
        <w:rPr>
          <w:rFonts w:ascii="Arial" w:hAnsi="Arial" w:cs="Arial"/>
          <w:sz w:val="20"/>
          <w:szCs w:val="20"/>
        </w:rPr>
      </w:pPr>
    </w:p>
    <w:p w:rsidR="0067594D" w:rsidRPr="009E6B3C" w:rsidRDefault="00D2140A" w:rsidP="009E6B3C">
      <w:pPr>
        <w:rPr>
          <w:rFonts w:ascii="Arial" w:hAnsi="Arial" w:cs="Arial"/>
          <w:b/>
          <w:sz w:val="20"/>
          <w:szCs w:val="20"/>
        </w:rPr>
      </w:pPr>
      <w:r w:rsidRPr="009E6B3C">
        <w:rPr>
          <w:rFonts w:ascii="Arial" w:hAnsi="Arial" w:cs="Arial"/>
          <w:b/>
          <w:sz w:val="20"/>
          <w:szCs w:val="20"/>
        </w:rPr>
        <w:t xml:space="preserve">Legal </w:t>
      </w:r>
      <w:r w:rsidR="0067594D" w:rsidRPr="009E6B3C">
        <w:rPr>
          <w:rFonts w:ascii="Arial" w:hAnsi="Arial" w:cs="Arial"/>
          <w:b/>
          <w:sz w:val="20"/>
          <w:szCs w:val="20"/>
        </w:rPr>
        <w:t>Aid SA</w:t>
      </w:r>
    </w:p>
    <w:p w:rsidR="001578A4" w:rsidRPr="009E6B3C" w:rsidRDefault="001578A4" w:rsidP="009E6B3C">
      <w:pPr>
        <w:tabs>
          <w:tab w:val="left" w:pos="851"/>
        </w:tabs>
        <w:rPr>
          <w:rFonts w:ascii="Arial" w:hAnsi="Arial" w:cs="Arial"/>
          <w:b/>
          <w:sz w:val="20"/>
          <w:szCs w:val="20"/>
        </w:rPr>
      </w:pPr>
    </w:p>
    <w:p w:rsidR="00D969FE" w:rsidRPr="009E6B3C" w:rsidRDefault="00254E79" w:rsidP="009E6B3C">
      <w:pPr>
        <w:pStyle w:val="ListParagraph"/>
        <w:numPr>
          <w:ilvl w:val="1"/>
          <w:numId w:val="1"/>
        </w:numPr>
        <w:ind w:left="851" w:hanging="851"/>
        <w:rPr>
          <w:rFonts w:ascii="Arial" w:hAnsi="Arial" w:cs="Arial"/>
          <w:i/>
          <w:sz w:val="20"/>
          <w:szCs w:val="20"/>
        </w:rPr>
      </w:pPr>
      <w:r w:rsidRPr="009E6B3C">
        <w:rPr>
          <w:rFonts w:ascii="Arial" w:hAnsi="Arial" w:cs="Arial"/>
          <w:b/>
          <w:i/>
          <w:sz w:val="20"/>
          <w:szCs w:val="20"/>
        </w:rPr>
        <w:t>Audit outcome</w:t>
      </w:r>
    </w:p>
    <w:p w:rsidR="00D969FE" w:rsidRPr="009E6B3C" w:rsidRDefault="00D969FE" w:rsidP="009E6B3C">
      <w:pPr>
        <w:ind w:left="-76"/>
        <w:rPr>
          <w:rFonts w:ascii="Arial" w:hAnsi="Arial" w:cs="Arial"/>
          <w:sz w:val="20"/>
          <w:szCs w:val="20"/>
        </w:rPr>
      </w:pPr>
    </w:p>
    <w:p w:rsidR="00254E79" w:rsidRPr="009E6B3C" w:rsidRDefault="00254E79" w:rsidP="009E6B3C">
      <w:pPr>
        <w:rPr>
          <w:rFonts w:ascii="Arial" w:hAnsi="Arial" w:cs="Arial"/>
          <w:i/>
          <w:sz w:val="20"/>
          <w:szCs w:val="20"/>
        </w:rPr>
      </w:pPr>
      <w:r w:rsidRPr="009E6B3C">
        <w:rPr>
          <w:rFonts w:ascii="Arial" w:hAnsi="Arial" w:cs="Arial"/>
          <w:sz w:val="20"/>
          <w:szCs w:val="20"/>
        </w:rPr>
        <w:t>The Committee congratulates Legal Aid SA on its achievement in maintaining a clean audit opinion.</w:t>
      </w:r>
      <w:r w:rsidRPr="009E6B3C">
        <w:rPr>
          <w:rFonts w:ascii="Arial" w:hAnsi="Arial" w:cs="Arial"/>
          <w:i/>
          <w:sz w:val="20"/>
          <w:szCs w:val="20"/>
        </w:rPr>
        <w:t xml:space="preserve"> </w:t>
      </w:r>
    </w:p>
    <w:p w:rsidR="00D2140A" w:rsidRPr="009E6B3C" w:rsidRDefault="00D2140A" w:rsidP="009E6B3C">
      <w:pPr>
        <w:pStyle w:val="ListParagraph"/>
        <w:ind w:left="786"/>
        <w:rPr>
          <w:rFonts w:ascii="Arial" w:hAnsi="Arial" w:cs="Arial"/>
          <w:sz w:val="20"/>
          <w:szCs w:val="20"/>
        </w:rPr>
      </w:pPr>
    </w:p>
    <w:p w:rsidR="00932125" w:rsidRPr="009E6B3C" w:rsidRDefault="00254E79" w:rsidP="009E6B3C">
      <w:pPr>
        <w:pStyle w:val="ListParagraph"/>
        <w:numPr>
          <w:ilvl w:val="1"/>
          <w:numId w:val="1"/>
        </w:numPr>
        <w:ind w:left="851" w:hanging="851"/>
        <w:rPr>
          <w:rFonts w:ascii="Arial" w:hAnsi="Arial" w:cs="Arial"/>
          <w:sz w:val="20"/>
          <w:szCs w:val="20"/>
        </w:rPr>
      </w:pPr>
      <w:r w:rsidRPr="009E6B3C">
        <w:rPr>
          <w:rFonts w:ascii="Arial" w:hAnsi="Arial" w:cs="Arial"/>
          <w:b/>
          <w:bCs/>
          <w:i/>
          <w:sz w:val="20"/>
          <w:szCs w:val="20"/>
        </w:rPr>
        <w:t>Budget reductions</w:t>
      </w:r>
      <w:r w:rsidRPr="009E6B3C">
        <w:rPr>
          <w:rFonts w:ascii="Arial" w:hAnsi="Arial" w:cs="Arial"/>
          <w:bCs/>
          <w:sz w:val="20"/>
          <w:szCs w:val="20"/>
        </w:rPr>
        <w:t xml:space="preserve">. </w:t>
      </w:r>
    </w:p>
    <w:p w:rsidR="001578A4" w:rsidRPr="009E6B3C" w:rsidRDefault="001578A4" w:rsidP="009E6B3C">
      <w:pPr>
        <w:ind w:left="-76"/>
        <w:rPr>
          <w:rFonts w:ascii="Arial" w:hAnsi="Arial" w:cs="Arial"/>
          <w:bCs/>
          <w:sz w:val="20"/>
          <w:szCs w:val="20"/>
        </w:rPr>
      </w:pPr>
    </w:p>
    <w:p w:rsidR="00932125" w:rsidRPr="009E6B3C" w:rsidRDefault="00254E79" w:rsidP="009E6B3C">
      <w:pPr>
        <w:rPr>
          <w:rFonts w:ascii="Arial" w:hAnsi="Arial" w:cs="Arial"/>
          <w:sz w:val="20"/>
          <w:szCs w:val="20"/>
        </w:rPr>
      </w:pPr>
      <w:r w:rsidRPr="009E6B3C">
        <w:rPr>
          <w:rFonts w:ascii="Arial" w:hAnsi="Arial" w:cs="Arial"/>
          <w:bCs/>
          <w:sz w:val="20"/>
          <w:szCs w:val="20"/>
        </w:rPr>
        <w:t>The Committee does not support any reduction to Legal Aid SA’s baseline for the 202</w:t>
      </w:r>
      <w:r w:rsidR="00D2140A" w:rsidRPr="009E6B3C">
        <w:rPr>
          <w:rFonts w:ascii="Arial" w:hAnsi="Arial" w:cs="Arial"/>
          <w:bCs/>
          <w:sz w:val="20"/>
          <w:szCs w:val="20"/>
        </w:rPr>
        <w:t xml:space="preserve">3 MTEF. We have previously expressed concern about the effect of the cuts on court coverage </w:t>
      </w:r>
      <w:r w:rsidRPr="009E6B3C">
        <w:rPr>
          <w:rFonts w:ascii="Arial" w:hAnsi="Arial" w:cs="Arial"/>
          <w:bCs/>
          <w:sz w:val="20"/>
          <w:szCs w:val="20"/>
        </w:rPr>
        <w:t xml:space="preserve">and </w:t>
      </w:r>
      <w:r w:rsidR="00932125" w:rsidRPr="009E6B3C">
        <w:rPr>
          <w:rFonts w:ascii="Arial" w:hAnsi="Arial" w:cs="Arial"/>
          <w:bCs/>
          <w:sz w:val="20"/>
          <w:szCs w:val="20"/>
        </w:rPr>
        <w:t xml:space="preserve">the </w:t>
      </w:r>
      <w:r w:rsidRPr="009E6B3C">
        <w:rPr>
          <w:rFonts w:ascii="Arial" w:hAnsi="Arial" w:cs="Arial"/>
          <w:bCs/>
          <w:sz w:val="20"/>
          <w:szCs w:val="20"/>
        </w:rPr>
        <w:t xml:space="preserve">delivery of legal aid services to indigent and vulnerable persons. The </w:t>
      </w:r>
      <w:r w:rsidR="00932125" w:rsidRPr="009E6B3C">
        <w:rPr>
          <w:rFonts w:ascii="Arial" w:hAnsi="Arial" w:cs="Arial"/>
          <w:bCs/>
          <w:sz w:val="20"/>
          <w:szCs w:val="20"/>
        </w:rPr>
        <w:t>E</w:t>
      </w:r>
      <w:r w:rsidRPr="009E6B3C">
        <w:rPr>
          <w:rFonts w:ascii="Arial" w:hAnsi="Arial" w:cs="Arial"/>
          <w:bCs/>
          <w:sz w:val="20"/>
          <w:szCs w:val="20"/>
        </w:rPr>
        <w:t>ntity has</w:t>
      </w:r>
      <w:r w:rsidR="00323C1D" w:rsidRPr="009E6B3C">
        <w:rPr>
          <w:rFonts w:ascii="Arial" w:hAnsi="Arial" w:cs="Arial"/>
          <w:bCs/>
          <w:sz w:val="20"/>
          <w:szCs w:val="20"/>
        </w:rPr>
        <w:t>,</w:t>
      </w:r>
      <w:r w:rsidRPr="009E6B3C">
        <w:rPr>
          <w:rFonts w:ascii="Arial" w:hAnsi="Arial" w:cs="Arial"/>
          <w:bCs/>
          <w:sz w:val="20"/>
          <w:szCs w:val="20"/>
        </w:rPr>
        <w:t xml:space="preserve"> </w:t>
      </w:r>
      <w:r w:rsidR="00323C1D" w:rsidRPr="009E6B3C">
        <w:rPr>
          <w:rFonts w:ascii="Arial" w:hAnsi="Arial" w:cs="Arial"/>
          <w:bCs/>
          <w:sz w:val="20"/>
          <w:szCs w:val="20"/>
        </w:rPr>
        <w:t xml:space="preserve">for now, </w:t>
      </w:r>
      <w:r w:rsidRPr="009E6B3C">
        <w:rPr>
          <w:rFonts w:ascii="Arial" w:hAnsi="Arial" w:cs="Arial"/>
          <w:bCs/>
          <w:sz w:val="20"/>
          <w:szCs w:val="20"/>
        </w:rPr>
        <w:t>budgeted for a lower recruitment rate and implemented a staff rationalisation prog</w:t>
      </w:r>
      <w:r w:rsidR="00323C1D" w:rsidRPr="009E6B3C">
        <w:rPr>
          <w:rFonts w:ascii="Arial" w:hAnsi="Arial" w:cs="Arial"/>
          <w:bCs/>
          <w:sz w:val="20"/>
          <w:szCs w:val="20"/>
        </w:rPr>
        <w:t>ramme to avoid over-expenditure but reports that workloads have increased contributing to backlogs and also that, as funds are prioritised towards services, projects must be postponed.</w:t>
      </w:r>
      <w:r w:rsidRPr="009E6B3C">
        <w:rPr>
          <w:rFonts w:ascii="Arial" w:hAnsi="Arial" w:cs="Arial"/>
          <w:bCs/>
          <w:sz w:val="20"/>
          <w:szCs w:val="20"/>
        </w:rPr>
        <w:t xml:space="preserve"> </w:t>
      </w:r>
      <w:r w:rsidR="00323C1D" w:rsidRPr="009E6B3C">
        <w:rPr>
          <w:rFonts w:ascii="Arial" w:hAnsi="Arial" w:cs="Arial"/>
          <w:bCs/>
          <w:sz w:val="20"/>
          <w:szCs w:val="20"/>
        </w:rPr>
        <w:t>There is also less money for Judicare and training.</w:t>
      </w:r>
    </w:p>
    <w:p w:rsidR="00932125" w:rsidRPr="009E6B3C" w:rsidRDefault="00932125" w:rsidP="009E6B3C">
      <w:pPr>
        <w:pStyle w:val="ListParagraph"/>
        <w:rPr>
          <w:rFonts w:ascii="Arial" w:hAnsi="Arial" w:cs="Arial"/>
          <w:bCs/>
          <w:sz w:val="20"/>
          <w:szCs w:val="20"/>
        </w:rPr>
      </w:pPr>
    </w:p>
    <w:p w:rsidR="00254E79" w:rsidRPr="009E6B3C" w:rsidRDefault="00932125" w:rsidP="009E6B3C">
      <w:pPr>
        <w:rPr>
          <w:rFonts w:ascii="Arial" w:hAnsi="Arial" w:cs="Arial"/>
          <w:sz w:val="20"/>
          <w:szCs w:val="20"/>
        </w:rPr>
      </w:pPr>
      <w:r w:rsidRPr="009E6B3C">
        <w:rPr>
          <w:rFonts w:ascii="Arial" w:hAnsi="Arial" w:cs="Arial"/>
          <w:bCs/>
          <w:sz w:val="20"/>
          <w:szCs w:val="20"/>
        </w:rPr>
        <w:t xml:space="preserve">We don’t believe that the importance of </w:t>
      </w:r>
      <w:r w:rsidR="00254E79" w:rsidRPr="009E6B3C">
        <w:rPr>
          <w:rFonts w:ascii="Arial" w:hAnsi="Arial" w:cs="Arial"/>
          <w:bCs/>
          <w:sz w:val="20"/>
          <w:szCs w:val="20"/>
        </w:rPr>
        <w:t xml:space="preserve">Legal Aid SA as a strategic partner in our criminal justice system is fully recognised when decisions are made concerning the allocation of resources. </w:t>
      </w:r>
      <w:r w:rsidRPr="009E6B3C">
        <w:rPr>
          <w:rFonts w:ascii="Arial" w:hAnsi="Arial" w:cs="Arial"/>
          <w:bCs/>
          <w:sz w:val="20"/>
          <w:szCs w:val="20"/>
        </w:rPr>
        <w:t xml:space="preserve">Simply put, criminal trials cannot run if the accused is not represented, contributing to the backlogs and undermining access to justice. </w:t>
      </w:r>
    </w:p>
    <w:p w:rsidR="00254E79" w:rsidRPr="009E6B3C" w:rsidRDefault="00254E79" w:rsidP="009E6B3C">
      <w:pPr>
        <w:tabs>
          <w:tab w:val="left" w:pos="851"/>
        </w:tabs>
        <w:rPr>
          <w:rFonts w:ascii="Arial" w:hAnsi="Arial" w:cs="Arial"/>
          <w:b/>
          <w:sz w:val="20"/>
          <w:szCs w:val="20"/>
        </w:rPr>
      </w:pPr>
    </w:p>
    <w:p w:rsidR="00254E79" w:rsidRPr="009E6B3C" w:rsidRDefault="00932125" w:rsidP="009E6B3C">
      <w:pPr>
        <w:rPr>
          <w:rFonts w:ascii="Arial" w:hAnsi="Arial" w:cs="Arial"/>
          <w:bCs/>
          <w:sz w:val="20"/>
          <w:szCs w:val="20"/>
        </w:rPr>
      </w:pPr>
      <w:r w:rsidRPr="009E6B3C">
        <w:rPr>
          <w:rFonts w:ascii="Arial" w:hAnsi="Arial" w:cs="Arial"/>
          <w:sz w:val="20"/>
          <w:szCs w:val="20"/>
        </w:rPr>
        <w:t xml:space="preserve">We have repeatedly </w:t>
      </w:r>
      <w:r w:rsidR="00254E79" w:rsidRPr="009E6B3C">
        <w:rPr>
          <w:rFonts w:ascii="Arial" w:hAnsi="Arial" w:cs="Arial"/>
          <w:sz w:val="20"/>
          <w:szCs w:val="20"/>
        </w:rPr>
        <w:t>appreciate</w:t>
      </w:r>
      <w:r w:rsidRPr="009E6B3C">
        <w:rPr>
          <w:rFonts w:ascii="Arial" w:hAnsi="Arial" w:cs="Arial"/>
          <w:sz w:val="20"/>
          <w:szCs w:val="20"/>
        </w:rPr>
        <w:t>d</w:t>
      </w:r>
      <w:r w:rsidR="00254E79" w:rsidRPr="009E6B3C">
        <w:rPr>
          <w:rFonts w:ascii="Arial" w:hAnsi="Arial" w:cs="Arial"/>
          <w:sz w:val="20"/>
          <w:szCs w:val="20"/>
        </w:rPr>
        <w:t xml:space="preserve"> the many efforts that Legal Aid SA has taken to stretch its capacity to undertake civil work to the very limits but this </w:t>
      </w:r>
      <w:r w:rsidR="003D2A91" w:rsidRPr="009E6B3C">
        <w:rPr>
          <w:rFonts w:ascii="Arial" w:hAnsi="Arial" w:cs="Arial"/>
          <w:sz w:val="20"/>
          <w:szCs w:val="20"/>
        </w:rPr>
        <w:t xml:space="preserve">very important </w:t>
      </w:r>
      <w:r w:rsidRPr="009E6B3C">
        <w:rPr>
          <w:rFonts w:ascii="Arial" w:hAnsi="Arial" w:cs="Arial"/>
          <w:sz w:val="20"/>
          <w:szCs w:val="20"/>
        </w:rPr>
        <w:t xml:space="preserve">work </w:t>
      </w:r>
      <w:r w:rsidR="00254E79" w:rsidRPr="009E6B3C">
        <w:rPr>
          <w:rFonts w:ascii="Arial" w:hAnsi="Arial" w:cs="Arial"/>
          <w:sz w:val="20"/>
          <w:szCs w:val="20"/>
        </w:rPr>
        <w:t xml:space="preserve">is at risk as a result of budget reductions. </w:t>
      </w:r>
      <w:r w:rsidR="003D2A91" w:rsidRPr="009E6B3C">
        <w:rPr>
          <w:rFonts w:ascii="Arial" w:hAnsi="Arial" w:cs="Arial"/>
          <w:sz w:val="20"/>
          <w:szCs w:val="20"/>
        </w:rPr>
        <w:t>We</w:t>
      </w:r>
      <w:r w:rsidR="00254E79" w:rsidRPr="009E6B3C">
        <w:rPr>
          <w:rFonts w:ascii="Arial" w:hAnsi="Arial" w:cs="Arial"/>
          <w:sz w:val="20"/>
          <w:szCs w:val="20"/>
        </w:rPr>
        <w:t xml:space="preserve"> feel very strongly that funding should at least maintain the current level of legal assistance provided in civil matters.</w:t>
      </w:r>
    </w:p>
    <w:p w:rsidR="001578A4" w:rsidRPr="009E6B3C" w:rsidRDefault="001578A4" w:rsidP="009E6B3C">
      <w:pPr>
        <w:rPr>
          <w:rFonts w:ascii="Arial" w:hAnsi="Arial" w:cs="Arial"/>
          <w:bCs/>
          <w:sz w:val="20"/>
          <w:szCs w:val="20"/>
        </w:rPr>
      </w:pPr>
    </w:p>
    <w:p w:rsidR="00D969FE" w:rsidRPr="009E6B3C" w:rsidRDefault="00D969FE" w:rsidP="009E6B3C">
      <w:pPr>
        <w:pStyle w:val="ListParagraph"/>
        <w:numPr>
          <w:ilvl w:val="1"/>
          <w:numId w:val="1"/>
        </w:numPr>
        <w:ind w:left="851" w:hanging="851"/>
        <w:rPr>
          <w:rFonts w:ascii="Arial" w:hAnsi="Arial" w:cs="Arial"/>
          <w:bCs/>
          <w:i/>
          <w:sz w:val="20"/>
          <w:szCs w:val="20"/>
        </w:rPr>
      </w:pPr>
      <w:r w:rsidRPr="009E6B3C">
        <w:rPr>
          <w:rFonts w:ascii="Arial" w:hAnsi="Arial" w:cs="Arial"/>
          <w:b/>
          <w:bCs/>
          <w:i/>
          <w:sz w:val="20"/>
          <w:szCs w:val="20"/>
        </w:rPr>
        <w:t>Employment equity targets</w:t>
      </w:r>
    </w:p>
    <w:p w:rsidR="00D969FE" w:rsidRPr="009E6B3C" w:rsidRDefault="00D969FE" w:rsidP="009E6B3C">
      <w:pPr>
        <w:pStyle w:val="ListParagraph"/>
        <w:ind w:left="786"/>
        <w:rPr>
          <w:rFonts w:ascii="Arial" w:hAnsi="Arial" w:cs="Arial"/>
          <w:bCs/>
          <w:sz w:val="20"/>
          <w:szCs w:val="20"/>
        </w:rPr>
      </w:pPr>
    </w:p>
    <w:p w:rsidR="00254E79" w:rsidRPr="009E6B3C" w:rsidRDefault="00254E79" w:rsidP="009E6B3C">
      <w:pPr>
        <w:ind w:left="-76"/>
        <w:rPr>
          <w:rFonts w:ascii="Arial" w:hAnsi="Arial" w:cs="Arial"/>
          <w:bCs/>
          <w:sz w:val="20"/>
          <w:szCs w:val="20"/>
        </w:rPr>
      </w:pPr>
      <w:r w:rsidRPr="009E6B3C">
        <w:rPr>
          <w:rFonts w:ascii="Arial" w:hAnsi="Arial" w:cs="Arial"/>
          <w:bCs/>
          <w:sz w:val="20"/>
          <w:szCs w:val="20"/>
        </w:rPr>
        <w:t xml:space="preserve">The Committee notes that Legal Aid SA remains challenged in meeting its employment targets for African females at Top and Senior Management levels. Employees with disabilities are also under-represented at 1.6%. The Committee will continue to monitor progress. </w:t>
      </w:r>
    </w:p>
    <w:p w:rsidR="00254E79" w:rsidRPr="009E6B3C" w:rsidRDefault="00254E79" w:rsidP="009E6B3C">
      <w:pPr>
        <w:tabs>
          <w:tab w:val="left" w:pos="851"/>
        </w:tabs>
        <w:rPr>
          <w:rFonts w:ascii="Arial" w:hAnsi="Arial" w:cs="Arial"/>
          <w:b/>
          <w:sz w:val="20"/>
          <w:szCs w:val="20"/>
        </w:rPr>
      </w:pPr>
    </w:p>
    <w:p w:rsidR="00691F11" w:rsidRPr="009E6B3C" w:rsidRDefault="00691F11" w:rsidP="009E6B3C">
      <w:pPr>
        <w:tabs>
          <w:tab w:val="left" w:pos="851"/>
        </w:tabs>
        <w:rPr>
          <w:rFonts w:ascii="Arial" w:hAnsi="Arial" w:cs="Arial"/>
          <w:b/>
          <w:sz w:val="20"/>
          <w:szCs w:val="20"/>
        </w:rPr>
      </w:pPr>
    </w:p>
    <w:p w:rsidR="0067594D" w:rsidRPr="009E6B3C" w:rsidRDefault="0067594D" w:rsidP="009E6B3C">
      <w:pPr>
        <w:tabs>
          <w:tab w:val="left" w:pos="851"/>
        </w:tabs>
        <w:rPr>
          <w:rFonts w:ascii="Arial" w:hAnsi="Arial" w:cs="Arial"/>
          <w:b/>
          <w:sz w:val="20"/>
          <w:szCs w:val="20"/>
        </w:rPr>
      </w:pPr>
      <w:r w:rsidRPr="009E6B3C">
        <w:rPr>
          <w:rFonts w:ascii="Arial" w:hAnsi="Arial" w:cs="Arial"/>
          <w:b/>
          <w:sz w:val="20"/>
          <w:szCs w:val="20"/>
        </w:rPr>
        <w:t>Special Investigating Unit</w:t>
      </w:r>
    </w:p>
    <w:p w:rsidR="00932125" w:rsidRPr="009E6B3C" w:rsidRDefault="00932125" w:rsidP="009E6B3C">
      <w:pPr>
        <w:tabs>
          <w:tab w:val="left" w:pos="851"/>
        </w:tabs>
        <w:ind w:left="851"/>
        <w:rPr>
          <w:rFonts w:ascii="Arial" w:hAnsi="Arial" w:cs="Arial"/>
          <w:b/>
          <w:sz w:val="20"/>
          <w:szCs w:val="20"/>
        </w:rPr>
      </w:pPr>
    </w:p>
    <w:p w:rsidR="00CC1B17" w:rsidRPr="009E6B3C" w:rsidRDefault="00CC1B17" w:rsidP="009E6B3C">
      <w:pPr>
        <w:pStyle w:val="BodySingle"/>
        <w:numPr>
          <w:ilvl w:val="1"/>
          <w:numId w:val="1"/>
        </w:numPr>
        <w:ind w:left="0" w:firstLine="0"/>
        <w:jc w:val="left"/>
        <w:rPr>
          <w:rFonts w:cs="Arial"/>
          <w:i w:val="0"/>
        </w:rPr>
      </w:pPr>
      <w:r w:rsidRPr="009E6B3C">
        <w:rPr>
          <w:rFonts w:cs="Arial"/>
          <w:b/>
        </w:rPr>
        <w:t>Performance.</w:t>
      </w:r>
      <w:r w:rsidRPr="009E6B3C">
        <w:rPr>
          <w:rFonts w:cs="Arial"/>
          <w:i w:val="0"/>
        </w:rPr>
        <w:t xml:space="preserve"> </w:t>
      </w:r>
    </w:p>
    <w:p w:rsidR="00CC1B17" w:rsidRPr="009E6B3C" w:rsidRDefault="00CC1B17" w:rsidP="009E6B3C">
      <w:pPr>
        <w:pStyle w:val="BodySingle"/>
        <w:ind w:left="0"/>
        <w:jc w:val="left"/>
        <w:rPr>
          <w:rFonts w:cs="Arial"/>
          <w:i w:val="0"/>
        </w:rPr>
      </w:pPr>
    </w:p>
    <w:p w:rsidR="00CC1B17" w:rsidRPr="009E6B3C" w:rsidRDefault="00CC1B17" w:rsidP="009E6B3C">
      <w:pPr>
        <w:pStyle w:val="BodySingle"/>
        <w:ind w:left="0"/>
        <w:jc w:val="left"/>
        <w:rPr>
          <w:rFonts w:cs="Arial"/>
          <w:i w:val="0"/>
        </w:rPr>
      </w:pPr>
      <w:r w:rsidRPr="009E6B3C">
        <w:rPr>
          <w:rFonts w:cs="Arial"/>
          <w:i w:val="0"/>
        </w:rPr>
        <w:t>The Committee commends the SIU on its outstanding performance in tackling corruption and recovering monies and value back to the State.</w:t>
      </w:r>
    </w:p>
    <w:p w:rsidR="00CC1B17" w:rsidRPr="009E6B3C" w:rsidRDefault="00CC1B17" w:rsidP="009E6B3C">
      <w:pPr>
        <w:tabs>
          <w:tab w:val="left" w:pos="851"/>
        </w:tabs>
        <w:rPr>
          <w:rFonts w:ascii="Arial" w:hAnsi="Arial" w:cs="Arial"/>
          <w:b/>
          <w:sz w:val="20"/>
          <w:szCs w:val="20"/>
        </w:rPr>
      </w:pPr>
    </w:p>
    <w:p w:rsidR="00707D41" w:rsidRPr="009E6B3C" w:rsidRDefault="00254E79" w:rsidP="009E6B3C">
      <w:pPr>
        <w:pStyle w:val="BodySingle"/>
        <w:numPr>
          <w:ilvl w:val="1"/>
          <w:numId w:val="1"/>
        </w:numPr>
        <w:ind w:left="851" w:hanging="851"/>
        <w:jc w:val="left"/>
        <w:rPr>
          <w:rFonts w:cs="Arial"/>
          <w:i w:val="0"/>
        </w:rPr>
      </w:pPr>
      <w:r w:rsidRPr="009E6B3C">
        <w:rPr>
          <w:rFonts w:cs="Arial"/>
          <w:b/>
        </w:rPr>
        <w:t xml:space="preserve">Audit outcome. </w:t>
      </w:r>
    </w:p>
    <w:p w:rsidR="00707D41" w:rsidRPr="009E6B3C" w:rsidRDefault="00707D41" w:rsidP="009E6B3C">
      <w:pPr>
        <w:pStyle w:val="BodySingle"/>
        <w:ind w:left="0"/>
        <w:jc w:val="left"/>
        <w:rPr>
          <w:rFonts w:cs="Arial"/>
          <w:i w:val="0"/>
        </w:rPr>
      </w:pPr>
    </w:p>
    <w:p w:rsidR="00254E79" w:rsidRPr="009E6B3C" w:rsidRDefault="00254E79" w:rsidP="009E6B3C">
      <w:pPr>
        <w:pStyle w:val="BodySingle"/>
        <w:ind w:left="0"/>
        <w:jc w:val="left"/>
        <w:rPr>
          <w:rFonts w:cs="Arial"/>
          <w:i w:val="0"/>
        </w:rPr>
      </w:pPr>
      <w:r w:rsidRPr="009E6B3C">
        <w:rPr>
          <w:rFonts w:cs="Arial"/>
          <w:i w:val="0"/>
        </w:rPr>
        <w:t xml:space="preserve">The Committee congratulates the SIU </w:t>
      </w:r>
      <w:r w:rsidR="00D969FE" w:rsidRPr="009E6B3C">
        <w:rPr>
          <w:rFonts w:cs="Arial"/>
          <w:i w:val="0"/>
        </w:rPr>
        <w:t xml:space="preserve">on </w:t>
      </w:r>
      <w:r w:rsidRPr="009E6B3C">
        <w:rPr>
          <w:rFonts w:cs="Arial"/>
          <w:i w:val="0"/>
        </w:rPr>
        <w:t>its excellent audit results</w:t>
      </w:r>
      <w:r w:rsidR="00323C1D" w:rsidRPr="009E6B3C">
        <w:rPr>
          <w:rFonts w:cs="Arial"/>
          <w:i w:val="0"/>
        </w:rPr>
        <w:t xml:space="preserve"> </w:t>
      </w:r>
      <w:r w:rsidR="00707D41" w:rsidRPr="009E6B3C">
        <w:rPr>
          <w:rFonts w:cs="Arial"/>
          <w:i w:val="0"/>
        </w:rPr>
        <w:t>b</w:t>
      </w:r>
      <w:r w:rsidR="00323C1D" w:rsidRPr="009E6B3C">
        <w:rPr>
          <w:rFonts w:cs="Arial"/>
          <w:i w:val="0"/>
        </w:rPr>
        <w:t>ut note th</w:t>
      </w:r>
      <w:r w:rsidR="003D2A91" w:rsidRPr="009E6B3C">
        <w:rPr>
          <w:rFonts w:cs="Arial"/>
          <w:i w:val="0"/>
        </w:rPr>
        <w:t>e</w:t>
      </w:r>
      <w:r w:rsidR="00323C1D" w:rsidRPr="009E6B3C">
        <w:rPr>
          <w:rFonts w:cs="Arial"/>
          <w:i w:val="0"/>
        </w:rPr>
        <w:t xml:space="preserve"> A</w:t>
      </w:r>
      <w:r w:rsidR="003D2A91" w:rsidRPr="009E6B3C">
        <w:rPr>
          <w:rFonts w:cs="Arial"/>
          <w:i w:val="0"/>
        </w:rPr>
        <w:t>uditor-General’s</w:t>
      </w:r>
      <w:r w:rsidR="00323C1D" w:rsidRPr="009E6B3C">
        <w:rPr>
          <w:rFonts w:cs="Arial"/>
          <w:i w:val="0"/>
        </w:rPr>
        <w:t xml:space="preserve"> concern regarding the SIU’s debt impairment</w:t>
      </w:r>
      <w:r w:rsidRPr="009E6B3C">
        <w:rPr>
          <w:rFonts w:cs="Arial"/>
          <w:i w:val="0"/>
        </w:rPr>
        <w:t xml:space="preserve">. </w:t>
      </w:r>
      <w:r w:rsidR="003D2A91" w:rsidRPr="009E6B3C">
        <w:rPr>
          <w:rFonts w:cs="Arial"/>
          <w:i w:val="0"/>
        </w:rPr>
        <w:t>We have also noted the Auditor-General’s proposal that we engage with the relevant portfolio committees overseeing debtor departments, entities and institutions. We have already taken up the matter of amounts owing to the SIU by the Department for services rendered with the Minister and Director-General and will continue to monitor the situation.</w:t>
      </w:r>
    </w:p>
    <w:p w:rsidR="00932125" w:rsidRPr="009E6B3C" w:rsidRDefault="00932125" w:rsidP="009E6B3C">
      <w:pPr>
        <w:tabs>
          <w:tab w:val="left" w:pos="851"/>
        </w:tabs>
        <w:rPr>
          <w:rFonts w:ascii="Arial" w:hAnsi="Arial" w:cs="Arial"/>
          <w:b/>
          <w:sz w:val="20"/>
          <w:szCs w:val="20"/>
        </w:rPr>
      </w:pPr>
    </w:p>
    <w:p w:rsidR="00D969FE" w:rsidRPr="009E6B3C" w:rsidRDefault="00691F11" w:rsidP="009E6B3C">
      <w:pPr>
        <w:pStyle w:val="BodySingle"/>
        <w:numPr>
          <w:ilvl w:val="1"/>
          <w:numId w:val="1"/>
        </w:numPr>
        <w:ind w:left="0" w:firstLine="0"/>
        <w:jc w:val="left"/>
        <w:rPr>
          <w:rFonts w:cs="Arial"/>
        </w:rPr>
      </w:pPr>
      <w:r w:rsidRPr="009E6B3C">
        <w:rPr>
          <w:rFonts w:cs="Arial"/>
          <w:b/>
        </w:rPr>
        <w:t>Debt impairment</w:t>
      </w:r>
      <w:r w:rsidR="007B5746" w:rsidRPr="009E6B3C">
        <w:rPr>
          <w:rFonts w:cs="Arial"/>
          <w:b/>
        </w:rPr>
        <w:t>.</w:t>
      </w:r>
    </w:p>
    <w:p w:rsidR="00D969FE" w:rsidRPr="009E6B3C" w:rsidRDefault="00D969FE" w:rsidP="009E6B3C">
      <w:pPr>
        <w:pStyle w:val="BodySingle"/>
        <w:ind w:left="0"/>
        <w:jc w:val="left"/>
        <w:rPr>
          <w:rFonts w:cs="Arial"/>
          <w:noProof w:val="0"/>
          <w:lang w:val="en-ZA" w:eastAsia="en-GB"/>
        </w:rPr>
      </w:pPr>
    </w:p>
    <w:p w:rsidR="00323C1D" w:rsidRPr="009E6B3C" w:rsidRDefault="009601F1" w:rsidP="009E6B3C">
      <w:pPr>
        <w:pStyle w:val="BodySingle"/>
        <w:ind w:left="0"/>
        <w:jc w:val="left"/>
        <w:rPr>
          <w:rFonts w:cs="Arial"/>
          <w:i w:val="0"/>
        </w:rPr>
      </w:pPr>
      <w:r w:rsidRPr="009E6B3C">
        <w:rPr>
          <w:rFonts w:cs="Arial"/>
          <w:i w:val="0"/>
        </w:rPr>
        <w:t xml:space="preserve">The SIU’s enabling legislation provides that the SIU may recover fees from State institutions for the investigation services rendered. </w:t>
      </w:r>
      <w:r w:rsidR="00932125" w:rsidRPr="009E6B3C">
        <w:rPr>
          <w:rFonts w:cs="Arial"/>
          <w:i w:val="0"/>
        </w:rPr>
        <w:t>Regrettably, the SIU has</w:t>
      </w:r>
      <w:r w:rsidRPr="009E6B3C">
        <w:rPr>
          <w:rFonts w:cs="Arial"/>
          <w:i w:val="0"/>
        </w:rPr>
        <w:t xml:space="preserve"> struggled to recover fees, complicating the relationship between the SIU and its targeted clients; and creating serious challenges in respect of its funding. The SIU has engaged National Treasury to explore alternative funding models but</w:t>
      </w:r>
      <w:r w:rsidR="00323C1D" w:rsidRPr="009E6B3C">
        <w:rPr>
          <w:rFonts w:cs="Arial"/>
          <w:i w:val="0"/>
        </w:rPr>
        <w:t xml:space="preserve"> with little success</w:t>
      </w:r>
      <w:r w:rsidRPr="009E6B3C">
        <w:rPr>
          <w:rFonts w:cs="Arial"/>
          <w:i w:val="0"/>
        </w:rPr>
        <w:t xml:space="preserve">. As a result, legislative amendments </w:t>
      </w:r>
      <w:r w:rsidR="00323C1D" w:rsidRPr="009E6B3C">
        <w:rPr>
          <w:rFonts w:cs="Arial"/>
          <w:i w:val="0"/>
        </w:rPr>
        <w:t xml:space="preserve">were </w:t>
      </w:r>
      <w:r w:rsidRPr="009E6B3C">
        <w:rPr>
          <w:rFonts w:cs="Arial"/>
          <w:i w:val="0"/>
        </w:rPr>
        <w:t>proposed</w:t>
      </w:r>
      <w:r w:rsidR="00323C1D" w:rsidRPr="009E6B3C">
        <w:rPr>
          <w:rFonts w:cs="Arial"/>
          <w:i w:val="0"/>
        </w:rPr>
        <w:t xml:space="preserve"> but there appears to be little progress to date</w:t>
      </w:r>
      <w:r w:rsidRPr="009E6B3C">
        <w:rPr>
          <w:rFonts w:cs="Arial"/>
          <w:i w:val="0"/>
        </w:rPr>
        <w:t>.</w:t>
      </w:r>
      <w:r w:rsidRPr="009E6B3C">
        <w:rPr>
          <w:rFonts w:cs="Arial"/>
        </w:rPr>
        <w:t xml:space="preserve"> </w:t>
      </w:r>
      <w:r w:rsidR="003D2A91" w:rsidRPr="009E6B3C">
        <w:rPr>
          <w:rFonts w:cs="Arial"/>
          <w:i w:val="0"/>
        </w:rPr>
        <w:t>We request a report that provides a breakdown of the debt impairment</w:t>
      </w:r>
      <w:r w:rsidR="00CC1B17" w:rsidRPr="009E6B3C">
        <w:rPr>
          <w:rFonts w:cs="Arial"/>
          <w:i w:val="0"/>
        </w:rPr>
        <w:t>, as well as the progress of the various initiatives to find a solution to the problem.</w:t>
      </w:r>
    </w:p>
    <w:p w:rsidR="00323C1D" w:rsidRPr="009E6B3C" w:rsidRDefault="00323C1D" w:rsidP="009E6B3C">
      <w:pPr>
        <w:pStyle w:val="BodySingle"/>
        <w:ind w:left="0"/>
        <w:jc w:val="left"/>
        <w:rPr>
          <w:rFonts w:cs="Arial"/>
        </w:rPr>
      </w:pPr>
    </w:p>
    <w:p w:rsidR="0067594D" w:rsidRPr="009E6B3C" w:rsidRDefault="0067594D" w:rsidP="009E6B3C">
      <w:pPr>
        <w:tabs>
          <w:tab w:val="left" w:pos="851"/>
        </w:tabs>
        <w:rPr>
          <w:rFonts w:ascii="Arial" w:hAnsi="Arial" w:cs="Arial"/>
          <w:b/>
          <w:sz w:val="20"/>
          <w:szCs w:val="20"/>
        </w:rPr>
      </w:pPr>
      <w:r w:rsidRPr="009E6B3C">
        <w:rPr>
          <w:rFonts w:ascii="Arial" w:hAnsi="Arial" w:cs="Arial"/>
          <w:b/>
          <w:sz w:val="20"/>
          <w:szCs w:val="20"/>
        </w:rPr>
        <w:t>Information Regulator</w:t>
      </w:r>
    </w:p>
    <w:p w:rsidR="00E47C35" w:rsidRPr="009E6B3C" w:rsidRDefault="00E47C35" w:rsidP="009E6B3C">
      <w:pPr>
        <w:tabs>
          <w:tab w:val="left" w:pos="851"/>
        </w:tabs>
        <w:rPr>
          <w:rFonts w:ascii="Arial" w:hAnsi="Arial" w:cs="Arial"/>
          <w:b/>
          <w:sz w:val="20"/>
          <w:szCs w:val="20"/>
        </w:rPr>
      </w:pPr>
    </w:p>
    <w:p w:rsidR="00707D41" w:rsidRPr="009E6B3C" w:rsidRDefault="00707D41" w:rsidP="009E6B3C">
      <w:pPr>
        <w:pStyle w:val="BodySingle"/>
        <w:numPr>
          <w:ilvl w:val="1"/>
          <w:numId w:val="1"/>
        </w:numPr>
        <w:ind w:left="0" w:firstLine="0"/>
        <w:jc w:val="left"/>
        <w:rPr>
          <w:rFonts w:cs="Arial"/>
          <w:b/>
          <w:noProof w:val="0"/>
          <w:lang w:val="en-ZA" w:eastAsia="en-GB"/>
        </w:rPr>
      </w:pPr>
      <w:r w:rsidRPr="009E6B3C">
        <w:rPr>
          <w:rFonts w:cs="Arial"/>
          <w:b/>
          <w:noProof w:val="0"/>
          <w:lang w:val="en-ZA" w:eastAsia="en-GB"/>
        </w:rPr>
        <w:t>Performance</w:t>
      </w:r>
    </w:p>
    <w:p w:rsidR="00707D41" w:rsidRPr="009E6B3C" w:rsidRDefault="00707D41" w:rsidP="009E6B3C">
      <w:pPr>
        <w:tabs>
          <w:tab w:val="left" w:pos="851"/>
        </w:tabs>
        <w:rPr>
          <w:rFonts w:ascii="Arial" w:hAnsi="Arial" w:cs="Arial"/>
          <w:b/>
          <w:sz w:val="20"/>
          <w:szCs w:val="20"/>
        </w:rPr>
      </w:pPr>
    </w:p>
    <w:p w:rsidR="00CC1B17" w:rsidRPr="009E6B3C" w:rsidRDefault="00E47C35" w:rsidP="009E6B3C">
      <w:pPr>
        <w:tabs>
          <w:tab w:val="left" w:pos="851"/>
        </w:tabs>
        <w:rPr>
          <w:rFonts w:ascii="Arial" w:hAnsi="Arial" w:cs="Arial"/>
          <w:sz w:val="20"/>
          <w:szCs w:val="20"/>
        </w:rPr>
      </w:pPr>
      <w:r w:rsidRPr="009E6B3C">
        <w:rPr>
          <w:rFonts w:ascii="Arial" w:hAnsi="Arial" w:cs="Arial"/>
          <w:sz w:val="20"/>
          <w:szCs w:val="20"/>
        </w:rPr>
        <w:t xml:space="preserve">We note that poor performance under the POPIA division is attributed to a lack of leadership and a lack of expertise in that </w:t>
      </w:r>
      <w:r w:rsidR="00B752D4" w:rsidRPr="009E6B3C">
        <w:rPr>
          <w:rFonts w:ascii="Arial" w:hAnsi="Arial" w:cs="Arial"/>
          <w:sz w:val="20"/>
          <w:szCs w:val="20"/>
        </w:rPr>
        <w:t>division</w:t>
      </w:r>
      <w:r w:rsidRPr="009E6B3C">
        <w:rPr>
          <w:rFonts w:ascii="Arial" w:hAnsi="Arial" w:cs="Arial"/>
          <w:sz w:val="20"/>
          <w:szCs w:val="20"/>
        </w:rPr>
        <w:t xml:space="preserve">. We acknowledge that there is a shortage of expertise in </w:t>
      </w:r>
      <w:r w:rsidR="00F21F94" w:rsidRPr="009E6B3C">
        <w:rPr>
          <w:rFonts w:ascii="Arial" w:hAnsi="Arial" w:cs="Arial"/>
          <w:sz w:val="20"/>
          <w:szCs w:val="20"/>
        </w:rPr>
        <w:t xml:space="preserve">this field </w:t>
      </w:r>
      <w:r w:rsidRPr="009E6B3C">
        <w:rPr>
          <w:rFonts w:ascii="Arial" w:hAnsi="Arial" w:cs="Arial"/>
          <w:sz w:val="20"/>
          <w:szCs w:val="20"/>
        </w:rPr>
        <w:t>but</w:t>
      </w:r>
      <w:r w:rsidR="00F21F94" w:rsidRPr="009E6B3C">
        <w:rPr>
          <w:rFonts w:ascii="Arial" w:hAnsi="Arial" w:cs="Arial"/>
          <w:sz w:val="20"/>
          <w:szCs w:val="20"/>
        </w:rPr>
        <w:t>,</w:t>
      </w:r>
      <w:r w:rsidRPr="009E6B3C">
        <w:rPr>
          <w:rFonts w:ascii="Arial" w:hAnsi="Arial" w:cs="Arial"/>
          <w:sz w:val="20"/>
          <w:szCs w:val="20"/>
        </w:rPr>
        <w:t xml:space="preserve"> given the alarming rise in data breaches, the </w:t>
      </w:r>
      <w:r w:rsidR="00F21F94" w:rsidRPr="009E6B3C">
        <w:rPr>
          <w:rFonts w:ascii="Arial" w:hAnsi="Arial" w:cs="Arial"/>
          <w:sz w:val="20"/>
          <w:szCs w:val="20"/>
        </w:rPr>
        <w:t xml:space="preserve">Regulator’s inability to attract </w:t>
      </w:r>
      <w:r w:rsidR="00CC1B17" w:rsidRPr="009E6B3C">
        <w:rPr>
          <w:rFonts w:ascii="Arial" w:hAnsi="Arial" w:cs="Arial"/>
          <w:sz w:val="20"/>
          <w:szCs w:val="20"/>
        </w:rPr>
        <w:t xml:space="preserve">and retain </w:t>
      </w:r>
      <w:r w:rsidRPr="009E6B3C">
        <w:rPr>
          <w:rFonts w:ascii="Arial" w:hAnsi="Arial" w:cs="Arial"/>
          <w:sz w:val="20"/>
          <w:szCs w:val="20"/>
        </w:rPr>
        <w:t xml:space="preserve">capacity is most concerning. </w:t>
      </w:r>
      <w:r w:rsidR="00CC1B17" w:rsidRPr="009E6B3C">
        <w:rPr>
          <w:rFonts w:ascii="Arial" w:hAnsi="Arial" w:cs="Arial"/>
          <w:sz w:val="20"/>
          <w:szCs w:val="20"/>
        </w:rPr>
        <w:t xml:space="preserve">On a positive note, the position of Executive: POPIA has now been filled by Adv. T Boikanyo. </w:t>
      </w:r>
    </w:p>
    <w:p w:rsidR="00CC1B17" w:rsidRPr="009E6B3C" w:rsidRDefault="00CC1B17" w:rsidP="009E6B3C">
      <w:pPr>
        <w:tabs>
          <w:tab w:val="left" w:pos="851"/>
        </w:tabs>
        <w:rPr>
          <w:rFonts w:ascii="Arial" w:hAnsi="Arial" w:cs="Arial"/>
          <w:sz w:val="20"/>
          <w:szCs w:val="20"/>
        </w:rPr>
      </w:pPr>
    </w:p>
    <w:p w:rsidR="00B752D4" w:rsidRPr="009E6B3C" w:rsidRDefault="00E47C35" w:rsidP="009E6B3C">
      <w:pPr>
        <w:tabs>
          <w:tab w:val="left" w:pos="851"/>
        </w:tabs>
        <w:rPr>
          <w:rFonts w:ascii="Arial" w:hAnsi="Arial" w:cs="Arial"/>
          <w:sz w:val="20"/>
          <w:szCs w:val="20"/>
        </w:rPr>
      </w:pPr>
      <w:r w:rsidRPr="009E6B3C">
        <w:rPr>
          <w:rFonts w:ascii="Arial" w:hAnsi="Arial" w:cs="Arial"/>
          <w:sz w:val="20"/>
          <w:szCs w:val="20"/>
        </w:rPr>
        <w:t xml:space="preserve">We note that the Regulator has taken the step of sending officials </w:t>
      </w:r>
      <w:r w:rsidR="00F21F94" w:rsidRPr="009E6B3C">
        <w:rPr>
          <w:rFonts w:ascii="Arial" w:hAnsi="Arial" w:cs="Arial"/>
          <w:sz w:val="20"/>
          <w:szCs w:val="20"/>
        </w:rPr>
        <w:t xml:space="preserve">for </w:t>
      </w:r>
      <w:r w:rsidRPr="009E6B3C">
        <w:rPr>
          <w:rFonts w:ascii="Arial" w:hAnsi="Arial" w:cs="Arial"/>
          <w:sz w:val="20"/>
          <w:szCs w:val="20"/>
        </w:rPr>
        <w:t xml:space="preserve">training and hope that this will assist. </w:t>
      </w:r>
      <w:r w:rsidR="00F21F94" w:rsidRPr="009E6B3C">
        <w:rPr>
          <w:rFonts w:ascii="Arial" w:hAnsi="Arial" w:cs="Arial"/>
          <w:sz w:val="20"/>
          <w:szCs w:val="20"/>
        </w:rPr>
        <w:t>We will continue to monitor the Regulator’s capacitation, including recruitment, going forward.</w:t>
      </w:r>
    </w:p>
    <w:p w:rsidR="00E47C35" w:rsidRPr="009E6B3C" w:rsidRDefault="00E47C35" w:rsidP="009E6B3C">
      <w:pPr>
        <w:tabs>
          <w:tab w:val="left" w:pos="851"/>
        </w:tabs>
        <w:rPr>
          <w:rFonts w:ascii="Arial" w:hAnsi="Arial" w:cs="Arial"/>
          <w:i/>
          <w:sz w:val="20"/>
          <w:szCs w:val="20"/>
        </w:rPr>
      </w:pPr>
    </w:p>
    <w:p w:rsidR="00707D41" w:rsidRPr="009E6B3C" w:rsidRDefault="00707D41" w:rsidP="009E6B3C">
      <w:pPr>
        <w:pStyle w:val="BodySingle"/>
        <w:numPr>
          <w:ilvl w:val="1"/>
          <w:numId w:val="1"/>
        </w:numPr>
        <w:ind w:left="0" w:firstLine="0"/>
        <w:jc w:val="left"/>
        <w:rPr>
          <w:rFonts w:cs="Arial"/>
          <w:b/>
          <w:noProof w:val="0"/>
          <w:lang w:val="en-ZA" w:eastAsia="en-GB"/>
        </w:rPr>
      </w:pPr>
      <w:r w:rsidRPr="009E6B3C">
        <w:rPr>
          <w:rFonts w:cs="Arial"/>
          <w:b/>
          <w:noProof w:val="0"/>
          <w:lang w:val="en-ZA" w:eastAsia="en-GB"/>
        </w:rPr>
        <w:t>Legal status</w:t>
      </w:r>
    </w:p>
    <w:p w:rsidR="00707D41" w:rsidRPr="009E6B3C" w:rsidRDefault="00707D41" w:rsidP="009E6B3C">
      <w:pPr>
        <w:tabs>
          <w:tab w:val="left" w:pos="851"/>
        </w:tabs>
        <w:rPr>
          <w:rFonts w:ascii="Arial" w:hAnsi="Arial" w:cs="Arial"/>
          <w:sz w:val="20"/>
          <w:szCs w:val="20"/>
        </w:rPr>
      </w:pPr>
    </w:p>
    <w:p w:rsidR="00254E79" w:rsidRPr="009E6B3C" w:rsidRDefault="00254E79" w:rsidP="009E6B3C">
      <w:pPr>
        <w:tabs>
          <w:tab w:val="left" w:pos="851"/>
        </w:tabs>
        <w:rPr>
          <w:rFonts w:ascii="Arial" w:hAnsi="Arial" w:cs="Arial"/>
          <w:sz w:val="20"/>
          <w:szCs w:val="20"/>
        </w:rPr>
      </w:pPr>
      <w:r w:rsidRPr="009E6B3C">
        <w:rPr>
          <w:rFonts w:ascii="Arial" w:hAnsi="Arial" w:cs="Arial"/>
          <w:sz w:val="20"/>
          <w:szCs w:val="20"/>
        </w:rPr>
        <w:t>The Committee does not understand why it is taking so long to resolve the Information Regulator’s status in terms of the PFMA.  The resolution of this issue is key to the Regulator being able to function independently from the Department and is a</w:t>
      </w:r>
      <w:r w:rsidR="00932125" w:rsidRPr="009E6B3C">
        <w:rPr>
          <w:rFonts w:ascii="Arial" w:hAnsi="Arial" w:cs="Arial"/>
          <w:sz w:val="20"/>
          <w:szCs w:val="20"/>
        </w:rPr>
        <w:t xml:space="preserve">n obstacle to </w:t>
      </w:r>
      <w:r w:rsidRPr="009E6B3C">
        <w:rPr>
          <w:rFonts w:ascii="Arial" w:hAnsi="Arial" w:cs="Arial"/>
          <w:sz w:val="20"/>
          <w:szCs w:val="20"/>
        </w:rPr>
        <w:t xml:space="preserve">the Information </w:t>
      </w:r>
      <w:r w:rsidR="00CC1B17" w:rsidRPr="009E6B3C">
        <w:rPr>
          <w:rFonts w:ascii="Arial" w:hAnsi="Arial" w:cs="Arial"/>
          <w:sz w:val="20"/>
          <w:szCs w:val="20"/>
        </w:rPr>
        <w:t>Regulator’s</w:t>
      </w:r>
      <w:r w:rsidRPr="009E6B3C">
        <w:rPr>
          <w:rFonts w:ascii="Arial" w:hAnsi="Arial" w:cs="Arial"/>
          <w:sz w:val="20"/>
          <w:szCs w:val="20"/>
        </w:rPr>
        <w:t xml:space="preserve"> attempts to adequately capacitate itself and to its operations. </w:t>
      </w:r>
      <w:r w:rsidR="00E47C35" w:rsidRPr="009E6B3C">
        <w:rPr>
          <w:rFonts w:ascii="Arial" w:hAnsi="Arial" w:cs="Arial"/>
          <w:sz w:val="20"/>
          <w:szCs w:val="20"/>
        </w:rPr>
        <w:t xml:space="preserve">For example, the Regulator cannot form its own bid adjudication committee which delays procurement. </w:t>
      </w:r>
      <w:r w:rsidRPr="009E6B3C">
        <w:rPr>
          <w:rFonts w:ascii="Arial" w:hAnsi="Arial" w:cs="Arial"/>
          <w:sz w:val="20"/>
          <w:szCs w:val="20"/>
        </w:rPr>
        <w:t>The Committee intends to arrange a meeting with the Ministers of Justice and Finance in an attempt to fast-track a solution.</w:t>
      </w:r>
    </w:p>
    <w:p w:rsidR="00932125" w:rsidRPr="009E6B3C" w:rsidRDefault="00932125" w:rsidP="009E6B3C">
      <w:pPr>
        <w:tabs>
          <w:tab w:val="left" w:pos="851"/>
        </w:tabs>
        <w:rPr>
          <w:rFonts w:ascii="Arial" w:hAnsi="Arial" w:cs="Arial"/>
          <w:b/>
          <w:sz w:val="20"/>
          <w:szCs w:val="20"/>
        </w:rPr>
      </w:pPr>
    </w:p>
    <w:p w:rsidR="00E47C35" w:rsidRPr="009E6B3C" w:rsidRDefault="00707D41" w:rsidP="009E6B3C">
      <w:pPr>
        <w:pStyle w:val="BodySingle"/>
        <w:numPr>
          <w:ilvl w:val="1"/>
          <w:numId w:val="1"/>
        </w:numPr>
        <w:ind w:left="0" w:firstLine="0"/>
        <w:jc w:val="left"/>
        <w:rPr>
          <w:rFonts w:cs="Arial"/>
          <w:b/>
          <w:noProof w:val="0"/>
          <w:lang w:val="en-ZA" w:eastAsia="en-GB"/>
        </w:rPr>
      </w:pPr>
      <w:r w:rsidRPr="009E6B3C">
        <w:rPr>
          <w:rFonts w:cs="Arial"/>
          <w:b/>
          <w:noProof w:val="0"/>
          <w:lang w:val="en-ZA" w:eastAsia="en-GB"/>
        </w:rPr>
        <w:t>Data breaches</w:t>
      </w:r>
    </w:p>
    <w:p w:rsidR="00E47C35" w:rsidRPr="009E6B3C" w:rsidRDefault="00E47C35" w:rsidP="009E6B3C">
      <w:pPr>
        <w:tabs>
          <w:tab w:val="left" w:pos="851"/>
        </w:tabs>
        <w:rPr>
          <w:rFonts w:ascii="Arial" w:hAnsi="Arial" w:cs="Arial"/>
          <w:b/>
          <w:sz w:val="20"/>
          <w:szCs w:val="20"/>
        </w:rPr>
      </w:pPr>
    </w:p>
    <w:p w:rsidR="00B752D4" w:rsidRPr="009E6B3C" w:rsidRDefault="00E47C35" w:rsidP="009E6B3C">
      <w:pPr>
        <w:tabs>
          <w:tab w:val="left" w:pos="851"/>
        </w:tabs>
        <w:rPr>
          <w:rFonts w:ascii="Arial" w:hAnsi="Arial" w:cs="Arial"/>
          <w:sz w:val="20"/>
          <w:szCs w:val="20"/>
        </w:rPr>
      </w:pPr>
      <w:r w:rsidRPr="009E6B3C">
        <w:rPr>
          <w:rFonts w:ascii="Arial" w:hAnsi="Arial" w:cs="Arial"/>
          <w:sz w:val="20"/>
          <w:szCs w:val="20"/>
        </w:rPr>
        <w:t xml:space="preserve">We </w:t>
      </w:r>
      <w:r w:rsidR="00F21F94" w:rsidRPr="009E6B3C">
        <w:rPr>
          <w:rFonts w:ascii="Arial" w:hAnsi="Arial" w:cs="Arial"/>
          <w:sz w:val="20"/>
          <w:szCs w:val="20"/>
        </w:rPr>
        <w:t xml:space="preserve">welcome </w:t>
      </w:r>
      <w:r w:rsidRPr="009E6B3C">
        <w:rPr>
          <w:rFonts w:ascii="Arial" w:hAnsi="Arial" w:cs="Arial"/>
          <w:sz w:val="20"/>
          <w:szCs w:val="20"/>
        </w:rPr>
        <w:t>th</w:t>
      </w:r>
      <w:r w:rsidR="00F21F94" w:rsidRPr="009E6B3C">
        <w:rPr>
          <w:rFonts w:ascii="Arial" w:hAnsi="Arial" w:cs="Arial"/>
          <w:sz w:val="20"/>
          <w:szCs w:val="20"/>
        </w:rPr>
        <w:t>at th</w:t>
      </w:r>
      <w:r w:rsidRPr="009E6B3C">
        <w:rPr>
          <w:rFonts w:ascii="Arial" w:hAnsi="Arial" w:cs="Arial"/>
          <w:sz w:val="20"/>
          <w:szCs w:val="20"/>
        </w:rPr>
        <w:t xml:space="preserve">e Regulator has </w:t>
      </w:r>
      <w:r w:rsidR="00F21F94" w:rsidRPr="009E6B3C">
        <w:rPr>
          <w:rFonts w:ascii="Arial" w:hAnsi="Arial" w:cs="Arial"/>
          <w:sz w:val="20"/>
          <w:szCs w:val="20"/>
        </w:rPr>
        <w:t xml:space="preserve">taken the initiative to </w:t>
      </w:r>
      <w:r w:rsidRPr="009E6B3C">
        <w:rPr>
          <w:rFonts w:ascii="Arial" w:hAnsi="Arial" w:cs="Arial"/>
          <w:sz w:val="20"/>
          <w:szCs w:val="20"/>
        </w:rPr>
        <w:t>es</w:t>
      </w:r>
      <w:r w:rsidR="00B752D4" w:rsidRPr="009E6B3C">
        <w:rPr>
          <w:rFonts w:ascii="Arial" w:hAnsi="Arial" w:cs="Arial"/>
          <w:sz w:val="20"/>
          <w:szCs w:val="20"/>
        </w:rPr>
        <w:t xml:space="preserve">tablish a Security Compromises Unit in response to the </w:t>
      </w:r>
      <w:r w:rsidRPr="009E6B3C">
        <w:rPr>
          <w:rFonts w:ascii="Arial" w:hAnsi="Arial" w:cs="Arial"/>
          <w:sz w:val="20"/>
          <w:szCs w:val="20"/>
        </w:rPr>
        <w:t xml:space="preserve">alarming </w:t>
      </w:r>
      <w:r w:rsidR="00B752D4" w:rsidRPr="009E6B3C">
        <w:rPr>
          <w:rFonts w:ascii="Arial" w:hAnsi="Arial" w:cs="Arial"/>
          <w:sz w:val="20"/>
          <w:szCs w:val="20"/>
        </w:rPr>
        <w:t>rise in data breaches.</w:t>
      </w:r>
      <w:r w:rsidRPr="009E6B3C">
        <w:rPr>
          <w:rFonts w:ascii="Arial" w:hAnsi="Arial" w:cs="Arial"/>
          <w:sz w:val="20"/>
          <w:szCs w:val="20"/>
        </w:rPr>
        <w:t xml:space="preserve"> </w:t>
      </w:r>
      <w:r w:rsidR="00B752D4" w:rsidRPr="009E6B3C">
        <w:rPr>
          <w:rFonts w:ascii="Arial" w:hAnsi="Arial" w:cs="Arial"/>
          <w:sz w:val="20"/>
          <w:szCs w:val="20"/>
        </w:rPr>
        <w:t xml:space="preserve">This highly specialised unit will conduct detailed investigations into security compromises. </w:t>
      </w:r>
    </w:p>
    <w:p w:rsidR="00F21F94" w:rsidRPr="009E6B3C" w:rsidRDefault="00F21F94" w:rsidP="009E6B3C">
      <w:pPr>
        <w:tabs>
          <w:tab w:val="left" w:pos="851"/>
        </w:tabs>
        <w:rPr>
          <w:rFonts w:ascii="Arial" w:hAnsi="Arial" w:cs="Arial"/>
          <w:b/>
          <w:sz w:val="20"/>
          <w:szCs w:val="20"/>
        </w:rPr>
      </w:pPr>
    </w:p>
    <w:p w:rsidR="00D969FE" w:rsidRPr="009E6B3C" w:rsidRDefault="00D969FE" w:rsidP="009E6B3C">
      <w:pPr>
        <w:pStyle w:val="BodySingle"/>
        <w:numPr>
          <w:ilvl w:val="1"/>
          <w:numId w:val="1"/>
        </w:numPr>
        <w:ind w:left="0" w:firstLine="0"/>
        <w:jc w:val="left"/>
        <w:rPr>
          <w:rFonts w:cs="Arial"/>
          <w:b/>
        </w:rPr>
      </w:pPr>
      <w:r w:rsidRPr="009E6B3C">
        <w:rPr>
          <w:rFonts w:cs="Arial"/>
          <w:b/>
        </w:rPr>
        <w:t>PAIA</w:t>
      </w:r>
    </w:p>
    <w:p w:rsidR="00D969FE" w:rsidRPr="009E6B3C" w:rsidRDefault="00D969FE" w:rsidP="009E6B3C">
      <w:pPr>
        <w:tabs>
          <w:tab w:val="left" w:pos="851"/>
        </w:tabs>
        <w:rPr>
          <w:rFonts w:ascii="Arial" w:hAnsi="Arial" w:cs="Arial"/>
          <w:b/>
          <w:sz w:val="20"/>
          <w:szCs w:val="20"/>
        </w:rPr>
      </w:pPr>
    </w:p>
    <w:p w:rsidR="009601F1" w:rsidRPr="009E6B3C" w:rsidRDefault="00F21F94" w:rsidP="009E6B3C">
      <w:pPr>
        <w:tabs>
          <w:tab w:val="left" w:pos="851"/>
        </w:tabs>
        <w:rPr>
          <w:rFonts w:ascii="Arial" w:hAnsi="Arial" w:cs="Arial"/>
          <w:sz w:val="20"/>
          <w:szCs w:val="20"/>
        </w:rPr>
      </w:pPr>
      <w:r w:rsidRPr="009E6B3C">
        <w:rPr>
          <w:rFonts w:ascii="Arial" w:hAnsi="Arial" w:cs="Arial"/>
          <w:sz w:val="20"/>
          <w:szCs w:val="20"/>
        </w:rPr>
        <w:t xml:space="preserve">We are concerned by </w:t>
      </w:r>
      <w:r w:rsidR="00707D41" w:rsidRPr="009E6B3C">
        <w:rPr>
          <w:rFonts w:ascii="Arial" w:hAnsi="Arial" w:cs="Arial"/>
          <w:sz w:val="20"/>
          <w:szCs w:val="20"/>
        </w:rPr>
        <w:t xml:space="preserve">the </w:t>
      </w:r>
      <w:r w:rsidRPr="009E6B3C">
        <w:rPr>
          <w:rFonts w:ascii="Arial" w:hAnsi="Arial" w:cs="Arial"/>
          <w:sz w:val="20"/>
          <w:szCs w:val="20"/>
        </w:rPr>
        <w:t xml:space="preserve">reported lack of PAIA compliance and will engage further with the Information Regulator </w:t>
      </w:r>
      <w:r w:rsidR="00707D41" w:rsidRPr="009E6B3C">
        <w:rPr>
          <w:rFonts w:ascii="Arial" w:hAnsi="Arial" w:cs="Arial"/>
          <w:sz w:val="20"/>
          <w:szCs w:val="20"/>
        </w:rPr>
        <w:t xml:space="preserve">on this </w:t>
      </w:r>
      <w:r w:rsidR="00323C1D" w:rsidRPr="009E6B3C">
        <w:rPr>
          <w:rFonts w:ascii="Arial" w:hAnsi="Arial" w:cs="Arial"/>
          <w:sz w:val="20"/>
          <w:szCs w:val="20"/>
        </w:rPr>
        <w:t>in the near future</w:t>
      </w:r>
      <w:r w:rsidRPr="009E6B3C">
        <w:rPr>
          <w:rFonts w:ascii="Arial" w:hAnsi="Arial" w:cs="Arial"/>
          <w:sz w:val="20"/>
          <w:szCs w:val="20"/>
        </w:rPr>
        <w:t>.</w:t>
      </w:r>
    </w:p>
    <w:p w:rsidR="009601F1" w:rsidRPr="009E6B3C" w:rsidRDefault="009601F1" w:rsidP="009E6B3C">
      <w:pPr>
        <w:tabs>
          <w:tab w:val="left" w:pos="851"/>
        </w:tabs>
        <w:rPr>
          <w:rFonts w:ascii="Arial" w:hAnsi="Arial" w:cs="Arial"/>
          <w:b/>
          <w:sz w:val="20"/>
          <w:szCs w:val="20"/>
        </w:rPr>
      </w:pPr>
    </w:p>
    <w:p w:rsidR="00707D41" w:rsidRPr="009E6B3C" w:rsidRDefault="00707D41" w:rsidP="009E6B3C">
      <w:pPr>
        <w:tabs>
          <w:tab w:val="left" w:pos="851"/>
        </w:tabs>
        <w:rPr>
          <w:rFonts w:ascii="Arial" w:hAnsi="Arial" w:cs="Arial"/>
          <w:b/>
          <w:sz w:val="20"/>
          <w:szCs w:val="20"/>
        </w:rPr>
      </w:pPr>
    </w:p>
    <w:p w:rsidR="0067594D" w:rsidRPr="009E6B3C" w:rsidRDefault="0067594D" w:rsidP="009E6B3C">
      <w:pPr>
        <w:tabs>
          <w:tab w:val="left" w:pos="851"/>
        </w:tabs>
        <w:rPr>
          <w:rFonts w:ascii="Arial" w:hAnsi="Arial" w:cs="Arial"/>
          <w:b/>
          <w:sz w:val="20"/>
          <w:szCs w:val="20"/>
        </w:rPr>
      </w:pPr>
      <w:r w:rsidRPr="009E6B3C">
        <w:rPr>
          <w:rFonts w:ascii="Arial" w:hAnsi="Arial" w:cs="Arial"/>
          <w:b/>
          <w:sz w:val="20"/>
          <w:szCs w:val="20"/>
        </w:rPr>
        <w:t>South African Human Rights Commission</w:t>
      </w:r>
    </w:p>
    <w:p w:rsidR="00CC0781" w:rsidRPr="009E6B3C" w:rsidRDefault="00CC0781" w:rsidP="009E6B3C">
      <w:pPr>
        <w:tabs>
          <w:tab w:val="left" w:pos="851"/>
        </w:tabs>
        <w:rPr>
          <w:rFonts w:ascii="Arial" w:hAnsi="Arial" w:cs="Arial"/>
          <w:b/>
          <w:sz w:val="20"/>
          <w:szCs w:val="20"/>
        </w:rPr>
      </w:pPr>
    </w:p>
    <w:p w:rsidR="00323C1D" w:rsidRPr="009E6B3C" w:rsidRDefault="00CC0781" w:rsidP="009E6B3C">
      <w:pPr>
        <w:pStyle w:val="BodySingle"/>
        <w:numPr>
          <w:ilvl w:val="1"/>
          <w:numId w:val="1"/>
        </w:numPr>
        <w:ind w:left="851" w:hanging="851"/>
        <w:jc w:val="left"/>
        <w:rPr>
          <w:rFonts w:cs="Arial"/>
          <w:i w:val="0"/>
          <w:color w:val="000000" w:themeColor="text1"/>
          <w:lang w:val="en-ZA"/>
        </w:rPr>
      </w:pPr>
      <w:r w:rsidRPr="009E6B3C">
        <w:rPr>
          <w:rFonts w:cs="Arial"/>
          <w:b/>
          <w:color w:val="000000" w:themeColor="text1"/>
          <w:lang w:val="en-ZA"/>
        </w:rPr>
        <w:t>Audit outcome</w:t>
      </w:r>
      <w:r w:rsidRPr="009E6B3C">
        <w:rPr>
          <w:rFonts w:cs="Arial"/>
          <w:i w:val="0"/>
          <w:color w:val="000000" w:themeColor="text1"/>
          <w:lang w:val="en-ZA"/>
        </w:rPr>
        <w:t xml:space="preserve">. </w:t>
      </w:r>
    </w:p>
    <w:p w:rsidR="00707D41" w:rsidRPr="009E6B3C" w:rsidRDefault="00707D41" w:rsidP="009E6B3C">
      <w:pPr>
        <w:pStyle w:val="BodySingle"/>
        <w:ind w:left="0"/>
        <w:jc w:val="left"/>
        <w:rPr>
          <w:rFonts w:cs="Arial"/>
          <w:i w:val="0"/>
          <w:color w:val="000000" w:themeColor="text1"/>
          <w:lang w:val="en-ZA"/>
        </w:rPr>
      </w:pPr>
    </w:p>
    <w:p w:rsidR="00CC0781" w:rsidRPr="009E6B3C" w:rsidRDefault="00CC0781" w:rsidP="009E6B3C">
      <w:pPr>
        <w:pStyle w:val="BodySingle"/>
        <w:ind w:left="0"/>
        <w:jc w:val="left"/>
        <w:rPr>
          <w:rFonts w:cs="Arial"/>
          <w:i w:val="0"/>
          <w:color w:val="000000" w:themeColor="text1"/>
          <w:lang w:val="en-ZA"/>
        </w:rPr>
      </w:pPr>
      <w:r w:rsidRPr="009E6B3C">
        <w:rPr>
          <w:rFonts w:cs="Arial"/>
          <w:i w:val="0"/>
          <w:color w:val="000000" w:themeColor="text1"/>
          <w:lang w:val="en-ZA"/>
        </w:rPr>
        <w:t xml:space="preserve">The Committee urges the Commission to </w:t>
      </w:r>
      <w:r w:rsidR="00323C1D" w:rsidRPr="009E6B3C">
        <w:rPr>
          <w:rFonts w:cs="Arial"/>
          <w:i w:val="0"/>
          <w:color w:val="000000" w:themeColor="text1"/>
          <w:lang w:val="en-ZA"/>
        </w:rPr>
        <w:t xml:space="preserve">prioritise </w:t>
      </w:r>
      <w:r w:rsidRPr="009E6B3C">
        <w:rPr>
          <w:rFonts w:cs="Arial"/>
          <w:i w:val="0"/>
          <w:color w:val="000000" w:themeColor="text1"/>
          <w:lang w:val="en-ZA"/>
        </w:rPr>
        <w:t>address</w:t>
      </w:r>
      <w:r w:rsidR="00323C1D" w:rsidRPr="009E6B3C">
        <w:rPr>
          <w:rFonts w:cs="Arial"/>
          <w:i w:val="0"/>
          <w:color w:val="000000" w:themeColor="text1"/>
          <w:lang w:val="en-ZA"/>
        </w:rPr>
        <w:t>ing</w:t>
      </w:r>
      <w:r w:rsidRPr="009E6B3C">
        <w:rPr>
          <w:rFonts w:cs="Arial"/>
          <w:i w:val="0"/>
          <w:color w:val="000000" w:themeColor="text1"/>
          <w:lang w:val="en-ZA"/>
        </w:rPr>
        <w:t xml:space="preserve"> the </w:t>
      </w:r>
      <w:r w:rsidR="00D725AE" w:rsidRPr="009E6B3C">
        <w:rPr>
          <w:rFonts w:cs="Arial"/>
          <w:i w:val="0"/>
          <w:color w:val="000000" w:themeColor="text1"/>
          <w:lang w:val="en-ZA"/>
        </w:rPr>
        <w:t>A</w:t>
      </w:r>
      <w:r w:rsidR="00CC1B17" w:rsidRPr="009E6B3C">
        <w:rPr>
          <w:rFonts w:cs="Arial"/>
          <w:i w:val="0"/>
          <w:color w:val="000000" w:themeColor="text1"/>
          <w:lang w:val="en-ZA"/>
        </w:rPr>
        <w:t xml:space="preserve">uditor-General’s </w:t>
      </w:r>
      <w:r w:rsidRPr="009E6B3C">
        <w:rPr>
          <w:rFonts w:cs="Arial"/>
          <w:i w:val="0"/>
          <w:color w:val="000000" w:themeColor="text1"/>
          <w:lang w:val="en-ZA"/>
        </w:rPr>
        <w:t xml:space="preserve"> findings</w:t>
      </w:r>
      <w:r w:rsidR="008D5FF0" w:rsidRPr="009E6B3C">
        <w:rPr>
          <w:rFonts w:cs="Arial"/>
          <w:i w:val="0"/>
          <w:color w:val="000000" w:themeColor="text1"/>
          <w:lang w:val="en-ZA"/>
        </w:rPr>
        <w:t>, some of which are repea</w:t>
      </w:r>
      <w:r w:rsidR="003E04E3" w:rsidRPr="009E6B3C">
        <w:rPr>
          <w:rFonts w:cs="Arial"/>
          <w:i w:val="0"/>
          <w:color w:val="000000" w:themeColor="text1"/>
          <w:lang w:val="en-ZA"/>
        </w:rPr>
        <w:t>t</w:t>
      </w:r>
      <w:r w:rsidR="008D5FF0" w:rsidRPr="009E6B3C">
        <w:rPr>
          <w:rFonts w:cs="Arial"/>
          <w:i w:val="0"/>
          <w:color w:val="000000" w:themeColor="text1"/>
          <w:lang w:val="en-ZA"/>
        </w:rPr>
        <w:t xml:space="preserve"> findings</w:t>
      </w:r>
      <w:r w:rsidRPr="009E6B3C">
        <w:rPr>
          <w:rFonts w:cs="Arial"/>
          <w:i w:val="0"/>
          <w:color w:val="000000" w:themeColor="text1"/>
          <w:lang w:val="en-ZA"/>
        </w:rPr>
        <w:t xml:space="preserve">. </w:t>
      </w:r>
      <w:r w:rsidR="008D5FF0" w:rsidRPr="009E6B3C">
        <w:rPr>
          <w:rFonts w:cs="Arial"/>
          <w:i w:val="0"/>
          <w:color w:val="000000" w:themeColor="text1"/>
          <w:lang w:val="en-ZA"/>
        </w:rPr>
        <w:t>We note that the A</w:t>
      </w:r>
      <w:r w:rsidR="00CC1B17" w:rsidRPr="009E6B3C">
        <w:rPr>
          <w:rFonts w:cs="Arial"/>
          <w:i w:val="0"/>
          <w:color w:val="000000" w:themeColor="text1"/>
          <w:lang w:val="en-ZA"/>
        </w:rPr>
        <w:t>uditor-General</w:t>
      </w:r>
      <w:r w:rsidR="008D5FF0" w:rsidRPr="009E6B3C">
        <w:rPr>
          <w:rFonts w:cs="Arial"/>
          <w:i w:val="0"/>
          <w:color w:val="000000" w:themeColor="text1"/>
          <w:lang w:val="en-ZA"/>
        </w:rPr>
        <w:t xml:space="preserve"> has highlighted key vacancies, especially within the Finance Unit and within strategic support and governance as contributing to the outcome. We note further the Commission’s plans to address the audit outcome. </w:t>
      </w:r>
      <w:r w:rsidR="00CC1B17" w:rsidRPr="009E6B3C">
        <w:rPr>
          <w:rFonts w:cs="Arial"/>
          <w:i w:val="0"/>
          <w:color w:val="000000" w:themeColor="text1"/>
          <w:lang w:val="en-ZA"/>
        </w:rPr>
        <w:t>We will continue to monitor progress going forward, including the filling of vacancies in the Finance Unit and in strategic support and governance.</w:t>
      </w:r>
    </w:p>
    <w:p w:rsidR="00CC0781" w:rsidRPr="009E6B3C" w:rsidRDefault="00CC0781" w:rsidP="009E6B3C">
      <w:pPr>
        <w:pStyle w:val="BodySingle"/>
        <w:ind w:left="851"/>
        <w:jc w:val="left"/>
        <w:rPr>
          <w:rFonts w:cs="Arial"/>
          <w:i w:val="0"/>
          <w:color w:val="000000" w:themeColor="text1"/>
          <w:lang w:val="en-ZA"/>
        </w:rPr>
      </w:pPr>
    </w:p>
    <w:p w:rsidR="008D5FF0" w:rsidRPr="009E6B3C" w:rsidRDefault="008D5FF0" w:rsidP="009E6B3C">
      <w:pPr>
        <w:pStyle w:val="BodySingle"/>
        <w:numPr>
          <w:ilvl w:val="1"/>
          <w:numId w:val="1"/>
        </w:numPr>
        <w:ind w:left="851" w:hanging="851"/>
        <w:jc w:val="left"/>
        <w:rPr>
          <w:rFonts w:cs="Arial"/>
          <w:i w:val="0"/>
          <w:color w:val="000000" w:themeColor="text1"/>
          <w:lang w:val="en-ZA"/>
        </w:rPr>
      </w:pPr>
      <w:r w:rsidRPr="009E6B3C">
        <w:rPr>
          <w:rFonts w:cs="Arial"/>
          <w:b/>
          <w:color w:val="000000" w:themeColor="text1"/>
          <w:lang w:val="en-ZA"/>
        </w:rPr>
        <w:t>Vacancies</w:t>
      </w:r>
    </w:p>
    <w:p w:rsidR="008D5FF0" w:rsidRPr="009E6B3C" w:rsidRDefault="008D5FF0" w:rsidP="009E6B3C">
      <w:pPr>
        <w:tabs>
          <w:tab w:val="num" w:pos="1276"/>
        </w:tabs>
        <w:rPr>
          <w:rFonts w:ascii="Arial" w:hAnsi="Arial" w:cs="Arial"/>
          <w:i/>
          <w:color w:val="000000" w:themeColor="text1"/>
          <w:sz w:val="20"/>
          <w:szCs w:val="20"/>
        </w:rPr>
      </w:pPr>
    </w:p>
    <w:p w:rsidR="007B5746" w:rsidRPr="009E6B3C" w:rsidRDefault="008D5FF0" w:rsidP="009E6B3C">
      <w:pPr>
        <w:tabs>
          <w:tab w:val="num" w:pos="1276"/>
        </w:tabs>
        <w:rPr>
          <w:rFonts w:ascii="Arial" w:hAnsi="Arial" w:cs="Arial"/>
          <w:sz w:val="20"/>
          <w:szCs w:val="20"/>
        </w:rPr>
      </w:pPr>
      <w:r w:rsidRPr="009E6B3C">
        <w:rPr>
          <w:rFonts w:ascii="Arial" w:hAnsi="Arial" w:cs="Arial"/>
          <w:color w:val="000000" w:themeColor="text1"/>
          <w:sz w:val="20"/>
          <w:szCs w:val="20"/>
        </w:rPr>
        <w:t>We are very concerned about the high vacancy rate and its impact on the Commission’s overall health.</w:t>
      </w:r>
      <w:r w:rsidRPr="009E6B3C">
        <w:rPr>
          <w:rFonts w:ascii="Arial" w:hAnsi="Arial" w:cs="Arial"/>
          <w:i/>
          <w:color w:val="000000" w:themeColor="text1"/>
          <w:sz w:val="20"/>
          <w:szCs w:val="20"/>
        </w:rPr>
        <w:t xml:space="preserve"> </w:t>
      </w:r>
      <w:r w:rsidRPr="009E6B3C">
        <w:rPr>
          <w:rFonts w:ascii="Arial" w:hAnsi="Arial" w:cs="Arial"/>
          <w:sz w:val="20"/>
          <w:szCs w:val="20"/>
        </w:rPr>
        <w:t>The Commission’s had an overall vacancy rate of 20% at 31 March 2022 but vacancies among senior managers was even higher at 31%. In respect of vacancies by critical occupatio</w:t>
      </w:r>
      <w:r w:rsidR="006629DB" w:rsidRPr="009E6B3C">
        <w:rPr>
          <w:rFonts w:ascii="Arial" w:hAnsi="Arial" w:cs="Arial"/>
          <w:sz w:val="20"/>
          <w:szCs w:val="20"/>
        </w:rPr>
        <w:t>n there wa</w:t>
      </w:r>
      <w:r w:rsidRPr="009E6B3C">
        <w:rPr>
          <w:rFonts w:ascii="Arial" w:hAnsi="Arial" w:cs="Arial"/>
          <w:sz w:val="20"/>
          <w:szCs w:val="20"/>
        </w:rPr>
        <w:t>s a 54% vacancy rate for research, 33% vacancy rate for advocacy and communications and 9 % vacancy rate for legal. We note also that a lack of funding has led to posts being frozen to contain costs and key vacant positions are substituted with contract and temporary assistance as a stop gap measure</w:t>
      </w:r>
      <w:r w:rsidR="006629DB" w:rsidRPr="009E6B3C">
        <w:rPr>
          <w:rFonts w:ascii="Arial" w:hAnsi="Arial" w:cs="Arial"/>
          <w:sz w:val="20"/>
          <w:szCs w:val="20"/>
        </w:rPr>
        <w:t xml:space="preserve">. </w:t>
      </w:r>
    </w:p>
    <w:p w:rsidR="007B5746" w:rsidRPr="009E6B3C" w:rsidRDefault="007B5746" w:rsidP="009E6B3C">
      <w:pPr>
        <w:tabs>
          <w:tab w:val="num" w:pos="1276"/>
        </w:tabs>
        <w:rPr>
          <w:rFonts w:ascii="Arial" w:hAnsi="Arial" w:cs="Arial"/>
          <w:sz w:val="20"/>
          <w:szCs w:val="20"/>
        </w:rPr>
      </w:pPr>
    </w:p>
    <w:p w:rsidR="008D5FF0" w:rsidRPr="009E6B3C" w:rsidRDefault="00CC1B17" w:rsidP="009E6B3C">
      <w:pPr>
        <w:tabs>
          <w:tab w:val="num" w:pos="1276"/>
        </w:tabs>
        <w:rPr>
          <w:rFonts w:ascii="Arial" w:hAnsi="Arial" w:cs="Arial"/>
          <w:sz w:val="20"/>
          <w:szCs w:val="20"/>
        </w:rPr>
      </w:pPr>
      <w:r w:rsidRPr="009E6B3C">
        <w:rPr>
          <w:rFonts w:ascii="Arial" w:hAnsi="Arial" w:cs="Arial"/>
          <w:sz w:val="20"/>
          <w:szCs w:val="20"/>
        </w:rPr>
        <w:t xml:space="preserve">We believe that the vacancies, which far exceeds the norms for the public sector, present a </w:t>
      </w:r>
      <w:r w:rsidR="0058074D" w:rsidRPr="009E6B3C">
        <w:rPr>
          <w:rFonts w:ascii="Arial" w:hAnsi="Arial" w:cs="Arial"/>
          <w:sz w:val="20"/>
          <w:szCs w:val="20"/>
        </w:rPr>
        <w:t xml:space="preserve">considerable </w:t>
      </w:r>
      <w:r w:rsidRPr="009E6B3C">
        <w:rPr>
          <w:rFonts w:ascii="Arial" w:hAnsi="Arial" w:cs="Arial"/>
          <w:sz w:val="20"/>
          <w:szCs w:val="20"/>
        </w:rPr>
        <w:t xml:space="preserve">risk to the SAHRC’s </w:t>
      </w:r>
      <w:r w:rsidR="0058074D" w:rsidRPr="009E6B3C">
        <w:rPr>
          <w:rFonts w:ascii="Arial" w:hAnsi="Arial" w:cs="Arial"/>
          <w:sz w:val="20"/>
          <w:szCs w:val="20"/>
        </w:rPr>
        <w:t xml:space="preserve">future </w:t>
      </w:r>
      <w:r w:rsidRPr="009E6B3C">
        <w:rPr>
          <w:rFonts w:ascii="Arial" w:hAnsi="Arial" w:cs="Arial"/>
          <w:sz w:val="20"/>
          <w:szCs w:val="20"/>
        </w:rPr>
        <w:t>operations</w:t>
      </w:r>
      <w:r w:rsidR="0058074D" w:rsidRPr="009E6B3C">
        <w:rPr>
          <w:rFonts w:ascii="Arial" w:hAnsi="Arial" w:cs="Arial"/>
          <w:sz w:val="20"/>
          <w:szCs w:val="20"/>
        </w:rPr>
        <w:t xml:space="preserve"> and request a comprehensive report on the positions that are unfilled, the length of time since the position was filled, and the reasons for the vacancies occurring, as well as the accompanying recruitment plan. The Commission could also provide us with more details of which positions have remained unfilled due to the budget cuts and precisely how this affects its planned outcomes. </w:t>
      </w:r>
    </w:p>
    <w:p w:rsidR="008D5FF0" w:rsidRPr="009E6B3C" w:rsidRDefault="008D5FF0" w:rsidP="009E6B3C">
      <w:pPr>
        <w:pStyle w:val="BodySingle"/>
        <w:ind w:left="0"/>
        <w:jc w:val="left"/>
        <w:rPr>
          <w:rFonts w:cs="Arial"/>
          <w:i w:val="0"/>
          <w:color w:val="000000" w:themeColor="text1"/>
          <w:lang w:val="en-ZA"/>
        </w:rPr>
      </w:pPr>
    </w:p>
    <w:p w:rsidR="00323C1D" w:rsidRPr="009E6B3C" w:rsidRDefault="00CC0781" w:rsidP="009E6B3C">
      <w:pPr>
        <w:pStyle w:val="BodySingle"/>
        <w:numPr>
          <w:ilvl w:val="1"/>
          <w:numId w:val="1"/>
        </w:numPr>
        <w:ind w:left="851" w:hanging="851"/>
        <w:jc w:val="left"/>
        <w:rPr>
          <w:rFonts w:cs="Arial"/>
          <w:i w:val="0"/>
          <w:color w:val="000000" w:themeColor="text1"/>
          <w:lang w:val="en-ZA"/>
        </w:rPr>
      </w:pPr>
      <w:r w:rsidRPr="009E6B3C">
        <w:rPr>
          <w:rFonts w:cs="Arial"/>
          <w:b/>
          <w:color w:val="000000" w:themeColor="text1"/>
          <w:lang w:val="en-ZA"/>
        </w:rPr>
        <w:t>Performance</w:t>
      </w:r>
      <w:r w:rsidRPr="009E6B3C">
        <w:rPr>
          <w:rFonts w:cs="Arial"/>
          <w:i w:val="0"/>
          <w:color w:val="000000" w:themeColor="text1"/>
          <w:lang w:val="en-ZA"/>
        </w:rPr>
        <w:t xml:space="preserve">. </w:t>
      </w:r>
    </w:p>
    <w:p w:rsidR="008D5FF0" w:rsidRPr="009E6B3C" w:rsidRDefault="008D5FF0" w:rsidP="009E6B3C">
      <w:pPr>
        <w:tabs>
          <w:tab w:val="num" w:pos="1276"/>
        </w:tabs>
        <w:rPr>
          <w:rFonts w:ascii="Arial" w:hAnsi="Arial" w:cs="Arial"/>
          <w:i/>
          <w:color w:val="000000" w:themeColor="text1"/>
          <w:sz w:val="20"/>
          <w:szCs w:val="20"/>
        </w:rPr>
      </w:pPr>
    </w:p>
    <w:p w:rsidR="00E47FC5" w:rsidRPr="009E6B3C" w:rsidRDefault="00CC0781" w:rsidP="009E6B3C">
      <w:pPr>
        <w:tabs>
          <w:tab w:val="num" w:pos="1276"/>
        </w:tabs>
        <w:rPr>
          <w:rFonts w:ascii="Arial" w:hAnsi="Arial" w:cs="Arial"/>
          <w:color w:val="000000" w:themeColor="text1"/>
          <w:sz w:val="20"/>
          <w:szCs w:val="20"/>
        </w:rPr>
      </w:pPr>
      <w:r w:rsidRPr="009E6B3C">
        <w:rPr>
          <w:rFonts w:ascii="Arial" w:hAnsi="Arial" w:cs="Arial"/>
          <w:color w:val="000000" w:themeColor="text1"/>
          <w:sz w:val="20"/>
          <w:szCs w:val="20"/>
        </w:rPr>
        <w:t>The decline in the Commission’s performance is concerning.</w:t>
      </w:r>
      <w:r w:rsidR="00323C1D" w:rsidRPr="009E6B3C">
        <w:rPr>
          <w:rFonts w:ascii="Arial" w:hAnsi="Arial" w:cs="Arial"/>
          <w:color w:val="000000" w:themeColor="text1"/>
          <w:sz w:val="20"/>
          <w:szCs w:val="20"/>
        </w:rPr>
        <w:t xml:space="preserve"> </w:t>
      </w:r>
      <w:r w:rsidR="00E47FC5" w:rsidRPr="009E6B3C">
        <w:rPr>
          <w:rFonts w:ascii="Arial" w:hAnsi="Arial" w:cs="Arial"/>
          <w:color w:val="000000" w:themeColor="text1"/>
          <w:sz w:val="20"/>
          <w:szCs w:val="20"/>
        </w:rPr>
        <w:t>However, the Commissions poor performance is unsurprising given th</w:t>
      </w:r>
      <w:r w:rsidR="008D5FF0" w:rsidRPr="009E6B3C">
        <w:rPr>
          <w:rFonts w:ascii="Arial" w:hAnsi="Arial" w:cs="Arial"/>
          <w:color w:val="000000" w:themeColor="text1"/>
          <w:sz w:val="20"/>
          <w:szCs w:val="20"/>
        </w:rPr>
        <w:t xml:space="preserve">e high vacancy rate described above. </w:t>
      </w:r>
    </w:p>
    <w:p w:rsidR="008D5FF0" w:rsidRPr="009E6B3C" w:rsidRDefault="008D5FF0" w:rsidP="009E6B3C">
      <w:pPr>
        <w:tabs>
          <w:tab w:val="num" w:pos="1276"/>
        </w:tabs>
        <w:rPr>
          <w:rFonts w:ascii="Arial" w:hAnsi="Arial" w:cs="Arial"/>
          <w:sz w:val="20"/>
          <w:szCs w:val="20"/>
        </w:rPr>
      </w:pPr>
    </w:p>
    <w:p w:rsidR="006629DB" w:rsidRPr="009E6B3C" w:rsidRDefault="00D4555B" w:rsidP="009E6B3C">
      <w:pPr>
        <w:pStyle w:val="BodySingle"/>
        <w:numPr>
          <w:ilvl w:val="1"/>
          <w:numId w:val="1"/>
        </w:numPr>
        <w:ind w:left="851" w:hanging="851"/>
        <w:jc w:val="left"/>
        <w:rPr>
          <w:rFonts w:cs="Arial"/>
          <w:i w:val="0"/>
        </w:rPr>
      </w:pPr>
      <w:r w:rsidRPr="009E6B3C">
        <w:rPr>
          <w:rFonts w:cs="Arial"/>
          <w:b/>
          <w:color w:val="000000" w:themeColor="text1"/>
          <w:lang w:val="en-ZA"/>
        </w:rPr>
        <w:t>Funding</w:t>
      </w:r>
      <w:r w:rsidRPr="009E6B3C">
        <w:rPr>
          <w:rFonts w:cs="Arial"/>
          <w:b/>
        </w:rPr>
        <w:t xml:space="preserve"> </w:t>
      </w:r>
    </w:p>
    <w:p w:rsidR="00D4555B" w:rsidRPr="009E6B3C" w:rsidRDefault="00D4555B" w:rsidP="009E6B3C">
      <w:pPr>
        <w:pStyle w:val="BodySingle"/>
        <w:ind w:left="0"/>
        <w:jc w:val="left"/>
        <w:rPr>
          <w:rFonts w:cs="Arial"/>
          <w:i w:val="0"/>
        </w:rPr>
      </w:pPr>
    </w:p>
    <w:p w:rsidR="00CC0781" w:rsidRPr="009E6B3C" w:rsidRDefault="00CC0781" w:rsidP="009E6B3C">
      <w:pPr>
        <w:pStyle w:val="BodySingle"/>
        <w:ind w:left="0"/>
        <w:jc w:val="left"/>
        <w:rPr>
          <w:rFonts w:cs="Arial"/>
          <w:i w:val="0"/>
        </w:rPr>
      </w:pPr>
      <w:r w:rsidRPr="009E6B3C">
        <w:rPr>
          <w:rFonts w:cs="Arial"/>
          <w:i w:val="0"/>
        </w:rPr>
        <w:t>The extreme inequality that characterises our society</w:t>
      </w:r>
      <w:r w:rsidR="006629DB" w:rsidRPr="009E6B3C">
        <w:rPr>
          <w:rFonts w:cs="Arial"/>
          <w:i w:val="0"/>
        </w:rPr>
        <w:t xml:space="preserve"> has been laid bare by events such as the Covid-19 pandemic and 2021 July Unrest</w:t>
      </w:r>
      <w:r w:rsidRPr="009E6B3C">
        <w:rPr>
          <w:rFonts w:cs="Arial"/>
          <w:i w:val="0"/>
        </w:rPr>
        <w:t xml:space="preserve">. The need for the Commission’s intervening presence, given the degree of social conflict within our society, is more important than ever before. The Committee notes too the Commission’s investigations and hearings have resulted in a deep understanding of the challenges that our society faces, which has the potential for many positive interventions towards upholding human rights. </w:t>
      </w:r>
      <w:r w:rsidR="00D4555B" w:rsidRPr="009E6B3C">
        <w:rPr>
          <w:rFonts w:cs="Arial"/>
          <w:i w:val="0"/>
        </w:rPr>
        <w:t xml:space="preserve">However, capacity constraints threaten these and other important contributions that the Commission makes towards supporting our democracy. </w:t>
      </w:r>
    </w:p>
    <w:p w:rsidR="006629DB" w:rsidRPr="009E6B3C" w:rsidRDefault="006629DB" w:rsidP="009E6B3C">
      <w:pPr>
        <w:pStyle w:val="BodySingle"/>
        <w:ind w:left="0"/>
        <w:jc w:val="left"/>
        <w:rPr>
          <w:rFonts w:cs="Arial"/>
          <w:i w:val="0"/>
        </w:rPr>
      </w:pPr>
    </w:p>
    <w:p w:rsidR="006629DB" w:rsidRPr="009E6B3C" w:rsidRDefault="006629DB" w:rsidP="009E6B3C">
      <w:pPr>
        <w:pStyle w:val="BodySingle"/>
        <w:ind w:left="0"/>
        <w:jc w:val="left"/>
        <w:rPr>
          <w:rFonts w:cs="Arial"/>
          <w:i w:val="0"/>
        </w:rPr>
      </w:pPr>
      <w:r w:rsidRPr="009E6B3C">
        <w:rPr>
          <w:rFonts w:cs="Arial"/>
          <w:i w:val="0"/>
        </w:rPr>
        <w:t>We have remarked before on how large the Commission’s mandate is and how inadequate its budget. We have also remarked on how the budget’s for the Chapter 9 institutions began at a hisotrically low base and require revision in line with their mandates. In the case of the Commision, we have also supported requests for additional funds and opposed any budget cuts. Our position on this issue has not changed.</w:t>
      </w:r>
    </w:p>
    <w:p w:rsidR="00CC0781" w:rsidRPr="009E6B3C" w:rsidRDefault="00CC0781" w:rsidP="009E6B3C">
      <w:pPr>
        <w:pStyle w:val="ListParagraph"/>
        <w:ind w:left="851" w:hanging="851"/>
        <w:rPr>
          <w:rFonts w:ascii="Arial" w:hAnsi="Arial" w:cs="Arial"/>
          <w:i/>
          <w:sz w:val="20"/>
          <w:szCs w:val="20"/>
        </w:rPr>
      </w:pPr>
    </w:p>
    <w:p w:rsidR="00CC0781" w:rsidRPr="009E6B3C" w:rsidRDefault="00CC0781" w:rsidP="009E6B3C">
      <w:pPr>
        <w:tabs>
          <w:tab w:val="left" w:pos="851"/>
        </w:tabs>
        <w:rPr>
          <w:rFonts w:ascii="Arial" w:hAnsi="Arial" w:cs="Arial"/>
          <w:b/>
          <w:sz w:val="20"/>
          <w:szCs w:val="20"/>
        </w:rPr>
      </w:pPr>
    </w:p>
    <w:p w:rsidR="0067594D" w:rsidRPr="009E6B3C" w:rsidRDefault="0067594D" w:rsidP="009E6B3C">
      <w:pPr>
        <w:tabs>
          <w:tab w:val="left" w:pos="851"/>
        </w:tabs>
        <w:rPr>
          <w:rFonts w:ascii="Arial" w:hAnsi="Arial" w:cs="Arial"/>
          <w:b/>
          <w:sz w:val="20"/>
          <w:szCs w:val="20"/>
        </w:rPr>
      </w:pPr>
      <w:r w:rsidRPr="009E6B3C">
        <w:rPr>
          <w:rFonts w:ascii="Arial" w:hAnsi="Arial" w:cs="Arial"/>
          <w:b/>
          <w:sz w:val="20"/>
          <w:szCs w:val="20"/>
        </w:rPr>
        <w:t>Public Protector SA</w:t>
      </w:r>
    </w:p>
    <w:p w:rsidR="00CC0781" w:rsidRPr="009E6B3C" w:rsidRDefault="00CC0781" w:rsidP="009E6B3C">
      <w:pPr>
        <w:tabs>
          <w:tab w:val="left" w:pos="851"/>
        </w:tabs>
        <w:rPr>
          <w:rFonts w:ascii="Arial" w:hAnsi="Arial" w:cs="Arial"/>
          <w:b/>
          <w:sz w:val="20"/>
          <w:szCs w:val="20"/>
        </w:rPr>
      </w:pPr>
    </w:p>
    <w:p w:rsidR="00707D41" w:rsidRPr="009E6B3C" w:rsidRDefault="00CC0781" w:rsidP="009E6B3C">
      <w:pPr>
        <w:pStyle w:val="BodySingle"/>
        <w:numPr>
          <w:ilvl w:val="1"/>
          <w:numId w:val="1"/>
        </w:numPr>
        <w:ind w:left="851" w:hanging="851"/>
        <w:jc w:val="left"/>
        <w:rPr>
          <w:rFonts w:cs="Arial"/>
          <w:i w:val="0"/>
        </w:rPr>
      </w:pPr>
      <w:r w:rsidRPr="009E6B3C">
        <w:rPr>
          <w:rFonts w:cs="Arial"/>
          <w:b/>
          <w:lang w:val="en-ZA"/>
        </w:rPr>
        <w:t>Audit Outcome</w:t>
      </w:r>
      <w:r w:rsidRPr="009E6B3C">
        <w:rPr>
          <w:rFonts w:cs="Arial"/>
          <w:i w:val="0"/>
          <w:lang w:val="en-ZA"/>
        </w:rPr>
        <w:t xml:space="preserve">. </w:t>
      </w:r>
    </w:p>
    <w:p w:rsidR="00707D41" w:rsidRPr="009E6B3C" w:rsidRDefault="00707D41" w:rsidP="009E6B3C">
      <w:pPr>
        <w:pStyle w:val="BodySingle"/>
        <w:ind w:left="0"/>
        <w:jc w:val="left"/>
        <w:rPr>
          <w:rFonts w:cs="Arial"/>
          <w:b/>
          <w:lang w:val="en-ZA"/>
        </w:rPr>
      </w:pPr>
    </w:p>
    <w:p w:rsidR="00CC0781" w:rsidRPr="009E6B3C" w:rsidRDefault="00CC0781" w:rsidP="009E6B3C">
      <w:pPr>
        <w:pStyle w:val="BodySingle"/>
        <w:ind w:left="0"/>
        <w:jc w:val="left"/>
        <w:rPr>
          <w:rFonts w:cs="Arial"/>
          <w:i w:val="0"/>
        </w:rPr>
      </w:pPr>
      <w:r w:rsidRPr="009E6B3C">
        <w:rPr>
          <w:rFonts w:cs="Arial"/>
          <w:i w:val="0"/>
          <w:lang w:val="en-ZA"/>
        </w:rPr>
        <w:t>The Committee commends the PPSA for maintaing a clean audit opinion.</w:t>
      </w:r>
    </w:p>
    <w:p w:rsidR="00D4555B" w:rsidRPr="009E6B3C" w:rsidRDefault="00D4555B" w:rsidP="009E6B3C">
      <w:pPr>
        <w:pStyle w:val="BodySingle"/>
        <w:ind w:left="851"/>
        <w:jc w:val="left"/>
        <w:rPr>
          <w:rFonts w:cs="Arial"/>
          <w:i w:val="0"/>
        </w:rPr>
      </w:pPr>
    </w:p>
    <w:p w:rsidR="00707D41" w:rsidRPr="009E6B3C" w:rsidRDefault="00D4555B" w:rsidP="009E6B3C">
      <w:pPr>
        <w:pStyle w:val="BodySingle"/>
        <w:numPr>
          <w:ilvl w:val="1"/>
          <w:numId w:val="1"/>
        </w:numPr>
        <w:ind w:left="851" w:hanging="851"/>
        <w:jc w:val="left"/>
        <w:rPr>
          <w:rFonts w:cs="Arial"/>
          <w:i w:val="0"/>
        </w:rPr>
      </w:pPr>
      <w:r w:rsidRPr="009E6B3C">
        <w:rPr>
          <w:rFonts w:cs="Arial"/>
          <w:b/>
          <w:lang w:val="en-ZA"/>
        </w:rPr>
        <w:t>Legal fees</w:t>
      </w:r>
      <w:r w:rsidRPr="009E6B3C">
        <w:rPr>
          <w:rFonts w:cs="Arial"/>
          <w:i w:val="0"/>
        </w:rPr>
        <w:t xml:space="preserve">. </w:t>
      </w:r>
    </w:p>
    <w:p w:rsidR="00707D41" w:rsidRPr="009E6B3C" w:rsidRDefault="00707D41" w:rsidP="009E6B3C">
      <w:pPr>
        <w:pStyle w:val="ListParagraph"/>
        <w:rPr>
          <w:rFonts w:ascii="Arial" w:hAnsi="Arial" w:cs="Arial"/>
          <w:i/>
          <w:sz w:val="20"/>
          <w:szCs w:val="20"/>
        </w:rPr>
      </w:pPr>
    </w:p>
    <w:p w:rsidR="00D4555B" w:rsidRPr="009E6B3C" w:rsidRDefault="00D4555B" w:rsidP="009E6B3C">
      <w:pPr>
        <w:pStyle w:val="BodySingle"/>
        <w:ind w:left="0"/>
        <w:jc w:val="left"/>
        <w:rPr>
          <w:rFonts w:cs="Arial"/>
          <w:i w:val="0"/>
        </w:rPr>
      </w:pPr>
      <w:r w:rsidRPr="009E6B3C">
        <w:rPr>
          <w:rFonts w:cs="Arial"/>
          <w:i w:val="0"/>
        </w:rPr>
        <w:t>We note that the A</w:t>
      </w:r>
      <w:r w:rsidR="0058074D" w:rsidRPr="009E6B3C">
        <w:rPr>
          <w:rFonts w:cs="Arial"/>
          <w:i w:val="0"/>
        </w:rPr>
        <w:t xml:space="preserve">udito-General </w:t>
      </w:r>
      <w:r w:rsidRPr="009E6B3C">
        <w:rPr>
          <w:rFonts w:cs="Arial"/>
          <w:i w:val="0"/>
        </w:rPr>
        <w:t xml:space="preserve">has announced its intention to scrutinise the legal fees in future audits following from the details concerning payments for legal fees that emerged during the section 194 Enquiry </w:t>
      </w:r>
      <w:r w:rsidR="00707D41" w:rsidRPr="009E6B3C">
        <w:rPr>
          <w:rFonts w:cs="Arial"/>
          <w:i w:val="0"/>
        </w:rPr>
        <w:t xml:space="preserve">intiated by the National Assembly </w:t>
      </w:r>
      <w:r w:rsidRPr="009E6B3C">
        <w:rPr>
          <w:rFonts w:cs="Arial"/>
          <w:i w:val="0"/>
        </w:rPr>
        <w:t>into the removal of the Public Protector fr</w:t>
      </w:r>
      <w:r w:rsidR="00707D41" w:rsidRPr="009E6B3C">
        <w:rPr>
          <w:rFonts w:cs="Arial"/>
          <w:i w:val="0"/>
        </w:rPr>
        <w:t>o</w:t>
      </w:r>
      <w:r w:rsidRPr="009E6B3C">
        <w:rPr>
          <w:rFonts w:cs="Arial"/>
          <w:i w:val="0"/>
        </w:rPr>
        <w:t xml:space="preserve">m office. The Committee has on several occasions in the past asked for details of the legal fees </w:t>
      </w:r>
      <w:r w:rsidR="0058074D" w:rsidRPr="009E6B3C">
        <w:rPr>
          <w:rFonts w:cs="Arial"/>
          <w:i w:val="0"/>
        </w:rPr>
        <w:t xml:space="preserve">incurred </w:t>
      </w:r>
      <w:r w:rsidRPr="009E6B3C">
        <w:rPr>
          <w:rFonts w:cs="Arial"/>
          <w:i w:val="0"/>
        </w:rPr>
        <w:t>and, therefore, welcomes the announcement.</w:t>
      </w:r>
    </w:p>
    <w:p w:rsidR="00CC0781" w:rsidRPr="009E6B3C" w:rsidRDefault="00CC0781" w:rsidP="009E6B3C">
      <w:pPr>
        <w:pStyle w:val="BodySingle"/>
        <w:ind w:left="851"/>
        <w:jc w:val="left"/>
        <w:rPr>
          <w:rFonts w:cs="Arial"/>
        </w:rPr>
      </w:pPr>
    </w:p>
    <w:p w:rsidR="00707D41" w:rsidRPr="009E6B3C" w:rsidRDefault="00CC0781" w:rsidP="009E6B3C">
      <w:pPr>
        <w:pStyle w:val="BodySingle"/>
        <w:numPr>
          <w:ilvl w:val="1"/>
          <w:numId w:val="1"/>
        </w:numPr>
        <w:ind w:left="851" w:hanging="851"/>
        <w:jc w:val="left"/>
        <w:rPr>
          <w:rFonts w:cs="Arial"/>
          <w:i w:val="0"/>
        </w:rPr>
      </w:pPr>
      <w:r w:rsidRPr="009E6B3C">
        <w:rPr>
          <w:rFonts w:cs="Arial"/>
          <w:b/>
        </w:rPr>
        <w:t>Budget reductions</w:t>
      </w:r>
      <w:r w:rsidRPr="009E6B3C">
        <w:rPr>
          <w:rFonts w:cs="Arial"/>
        </w:rPr>
        <w:t xml:space="preserve">. </w:t>
      </w:r>
    </w:p>
    <w:p w:rsidR="00707D41" w:rsidRPr="009E6B3C" w:rsidRDefault="00707D41" w:rsidP="009E6B3C">
      <w:pPr>
        <w:pStyle w:val="BodySingle"/>
        <w:ind w:left="0"/>
        <w:jc w:val="left"/>
        <w:rPr>
          <w:rFonts w:cs="Arial"/>
          <w:b/>
        </w:rPr>
      </w:pPr>
    </w:p>
    <w:p w:rsidR="00CC0781" w:rsidRPr="009E6B3C" w:rsidRDefault="00CC0781" w:rsidP="009E6B3C">
      <w:pPr>
        <w:pStyle w:val="BodySingle"/>
        <w:ind w:left="0"/>
        <w:jc w:val="left"/>
        <w:rPr>
          <w:rFonts w:cs="Arial"/>
          <w:i w:val="0"/>
        </w:rPr>
      </w:pPr>
      <w:r w:rsidRPr="009E6B3C">
        <w:rPr>
          <w:rFonts w:cs="Arial"/>
          <w:i w:val="0"/>
        </w:rPr>
        <w:t xml:space="preserve">The Committee does not support budget reductions in the case of the PPSA, as already discussed. The PPSA’s </w:t>
      </w:r>
      <w:r w:rsidR="00D4555B" w:rsidRPr="009E6B3C">
        <w:rPr>
          <w:rFonts w:cs="Arial"/>
          <w:i w:val="0"/>
        </w:rPr>
        <w:t xml:space="preserve">additional </w:t>
      </w:r>
      <w:r w:rsidRPr="009E6B3C">
        <w:rPr>
          <w:rFonts w:cs="Arial"/>
          <w:i w:val="0"/>
        </w:rPr>
        <w:t xml:space="preserve">funding </w:t>
      </w:r>
      <w:r w:rsidR="00D4555B" w:rsidRPr="009E6B3C">
        <w:rPr>
          <w:rFonts w:cs="Arial"/>
          <w:i w:val="0"/>
        </w:rPr>
        <w:t xml:space="preserve">requests for the 2023 MTEF </w:t>
      </w:r>
      <w:r w:rsidRPr="009E6B3C">
        <w:rPr>
          <w:rFonts w:cs="Arial"/>
          <w:i w:val="0"/>
        </w:rPr>
        <w:t xml:space="preserve">are recorded elsewhere in this report. </w:t>
      </w:r>
    </w:p>
    <w:p w:rsidR="00CC0781" w:rsidRPr="009E6B3C" w:rsidRDefault="00CC0781" w:rsidP="009E6B3C">
      <w:pPr>
        <w:pStyle w:val="ListParagraph"/>
        <w:ind w:left="851" w:hanging="851"/>
        <w:rPr>
          <w:rFonts w:ascii="Arial" w:hAnsi="Arial" w:cs="Arial"/>
          <w:sz w:val="20"/>
          <w:szCs w:val="20"/>
        </w:rPr>
      </w:pPr>
    </w:p>
    <w:p w:rsidR="00CC0781" w:rsidRPr="009E6B3C" w:rsidRDefault="00CC0781" w:rsidP="009E6B3C">
      <w:pPr>
        <w:pStyle w:val="BodySingle"/>
        <w:ind w:left="0"/>
        <w:jc w:val="left"/>
        <w:rPr>
          <w:rFonts w:cs="Arial"/>
          <w:b/>
        </w:rPr>
      </w:pPr>
    </w:p>
    <w:p w:rsidR="000770E2" w:rsidRPr="009E6B3C" w:rsidRDefault="000770E2" w:rsidP="009E6B3C">
      <w:pPr>
        <w:numPr>
          <w:ilvl w:val="0"/>
          <w:numId w:val="1"/>
        </w:numPr>
        <w:tabs>
          <w:tab w:val="left" w:pos="851"/>
        </w:tabs>
        <w:ind w:left="851" w:hanging="851"/>
        <w:rPr>
          <w:rFonts w:ascii="Arial" w:hAnsi="Arial" w:cs="Arial"/>
          <w:b/>
          <w:sz w:val="20"/>
          <w:szCs w:val="20"/>
        </w:rPr>
      </w:pPr>
      <w:r w:rsidRPr="009E6B3C">
        <w:rPr>
          <w:rFonts w:ascii="Arial" w:hAnsi="Arial" w:cs="Arial"/>
          <w:b/>
          <w:sz w:val="20"/>
          <w:szCs w:val="20"/>
        </w:rPr>
        <w:t>Appreciation</w:t>
      </w:r>
    </w:p>
    <w:p w:rsidR="000770E2" w:rsidRPr="009E6B3C" w:rsidRDefault="000770E2" w:rsidP="009E6B3C">
      <w:pPr>
        <w:rPr>
          <w:rFonts w:ascii="Arial" w:hAnsi="Arial" w:cs="Arial"/>
          <w:b/>
          <w:sz w:val="20"/>
          <w:szCs w:val="20"/>
        </w:rPr>
      </w:pPr>
    </w:p>
    <w:p w:rsidR="000770E2" w:rsidRPr="009E6B3C" w:rsidRDefault="000770E2" w:rsidP="009E6B3C">
      <w:pPr>
        <w:pStyle w:val="BodySingle"/>
        <w:numPr>
          <w:ilvl w:val="1"/>
          <w:numId w:val="1"/>
        </w:numPr>
        <w:ind w:left="851" w:hanging="851"/>
        <w:jc w:val="left"/>
        <w:rPr>
          <w:rFonts w:cs="Arial"/>
          <w:i w:val="0"/>
        </w:rPr>
      </w:pPr>
      <w:r w:rsidRPr="009E6B3C">
        <w:rPr>
          <w:rFonts w:cs="Arial"/>
          <w:i w:val="0"/>
        </w:rPr>
        <w:t xml:space="preserve">The Committee thanks the </w:t>
      </w:r>
      <w:r w:rsidR="00865A22" w:rsidRPr="009E6B3C">
        <w:rPr>
          <w:rFonts w:cs="Arial"/>
          <w:i w:val="0"/>
        </w:rPr>
        <w:t xml:space="preserve">Minister and Deputy Minister, the </w:t>
      </w:r>
      <w:r w:rsidRPr="009E6B3C">
        <w:rPr>
          <w:rFonts w:cs="Arial"/>
          <w:i w:val="0"/>
        </w:rPr>
        <w:t>Director</w:t>
      </w:r>
      <w:r w:rsidR="009C2E96" w:rsidRPr="009E6B3C">
        <w:rPr>
          <w:rFonts w:cs="Arial"/>
          <w:i w:val="0"/>
        </w:rPr>
        <w:t>-</w:t>
      </w:r>
      <w:r w:rsidRPr="009E6B3C">
        <w:rPr>
          <w:rFonts w:cs="Arial"/>
          <w:i w:val="0"/>
        </w:rPr>
        <w:t xml:space="preserve">General and all officials </w:t>
      </w:r>
      <w:r w:rsidR="00707D41" w:rsidRPr="009E6B3C">
        <w:rPr>
          <w:rFonts w:cs="Arial"/>
          <w:i w:val="0"/>
        </w:rPr>
        <w:t xml:space="preserve">of the Ministry and Department of Justice and Consitutional Development </w:t>
      </w:r>
      <w:r w:rsidRPr="009E6B3C">
        <w:rPr>
          <w:rFonts w:cs="Arial"/>
          <w:i w:val="0"/>
        </w:rPr>
        <w:t>for their co-operation.</w:t>
      </w:r>
    </w:p>
    <w:p w:rsidR="000770E2" w:rsidRPr="009E6B3C" w:rsidRDefault="000770E2" w:rsidP="009E6B3C">
      <w:pPr>
        <w:autoSpaceDE w:val="0"/>
        <w:autoSpaceDN w:val="0"/>
        <w:adjustRightInd w:val="0"/>
        <w:rPr>
          <w:rFonts w:ascii="Arial" w:hAnsi="Arial" w:cs="Arial"/>
          <w:sz w:val="20"/>
          <w:szCs w:val="20"/>
        </w:rPr>
      </w:pPr>
    </w:p>
    <w:p w:rsidR="000770E2" w:rsidRPr="009E6B3C" w:rsidRDefault="000770E2" w:rsidP="009E6B3C">
      <w:pPr>
        <w:pStyle w:val="BodySingle"/>
        <w:numPr>
          <w:ilvl w:val="1"/>
          <w:numId w:val="1"/>
        </w:numPr>
        <w:ind w:left="851" w:hanging="851"/>
        <w:jc w:val="left"/>
        <w:rPr>
          <w:rFonts w:cs="Arial"/>
          <w:i w:val="0"/>
        </w:rPr>
      </w:pPr>
      <w:r w:rsidRPr="009E6B3C">
        <w:rPr>
          <w:rFonts w:cs="Arial"/>
          <w:i w:val="0"/>
        </w:rPr>
        <w:t xml:space="preserve">The Committee thanks the National Director of Public Prosecutions and all </w:t>
      </w:r>
      <w:r w:rsidR="00707D41" w:rsidRPr="009E6B3C">
        <w:rPr>
          <w:rFonts w:cs="Arial"/>
          <w:i w:val="0"/>
        </w:rPr>
        <w:t xml:space="preserve">NPA </w:t>
      </w:r>
      <w:r w:rsidRPr="009E6B3C">
        <w:rPr>
          <w:rFonts w:cs="Arial"/>
          <w:i w:val="0"/>
        </w:rPr>
        <w:t xml:space="preserve">officials for their co-operation in this process. </w:t>
      </w:r>
    </w:p>
    <w:p w:rsidR="000770E2" w:rsidRPr="009E6B3C" w:rsidRDefault="000770E2" w:rsidP="009E6B3C">
      <w:pPr>
        <w:pStyle w:val="BodySingle"/>
        <w:jc w:val="left"/>
        <w:rPr>
          <w:rFonts w:cs="Arial"/>
          <w:i w:val="0"/>
        </w:rPr>
      </w:pPr>
    </w:p>
    <w:p w:rsidR="000770E2" w:rsidRPr="009E6B3C" w:rsidRDefault="000770E2" w:rsidP="009E6B3C">
      <w:pPr>
        <w:pStyle w:val="BodySingle"/>
        <w:numPr>
          <w:ilvl w:val="1"/>
          <w:numId w:val="1"/>
        </w:numPr>
        <w:ind w:left="851" w:hanging="851"/>
        <w:jc w:val="left"/>
        <w:rPr>
          <w:rFonts w:cs="Arial"/>
          <w:i w:val="0"/>
        </w:rPr>
      </w:pPr>
      <w:r w:rsidRPr="009E6B3C">
        <w:rPr>
          <w:rFonts w:cs="Arial"/>
          <w:i w:val="0"/>
        </w:rPr>
        <w:t xml:space="preserve">The Committee also wishes to thank the </w:t>
      </w:r>
      <w:r w:rsidR="007B5746" w:rsidRPr="009E6B3C">
        <w:rPr>
          <w:rFonts w:cs="Arial"/>
          <w:i w:val="0"/>
        </w:rPr>
        <w:t>Deputy Public Protector in her capacity as Acting</w:t>
      </w:r>
      <w:r w:rsidR="002C793C" w:rsidRPr="009E6B3C">
        <w:rPr>
          <w:rFonts w:cs="Arial"/>
          <w:i w:val="0"/>
        </w:rPr>
        <w:t xml:space="preserve"> </w:t>
      </w:r>
      <w:r w:rsidRPr="009E6B3C">
        <w:rPr>
          <w:rFonts w:cs="Arial"/>
          <w:i w:val="0"/>
        </w:rPr>
        <w:t xml:space="preserve">Public Protector; the Chairperson and Commissioners of the South African Human Rights Commission; the Board </w:t>
      </w:r>
      <w:r w:rsidR="004C342C" w:rsidRPr="009E6B3C">
        <w:rPr>
          <w:rFonts w:cs="Arial"/>
          <w:i w:val="0"/>
        </w:rPr>
        <w:t xml:space="preserve">Members </w:t>
      </w:r>
      <w:r w:rsidRPr="009E6B3C">
        <w:rPr>
          <w:rFonts w:cs="Arial"/>
          <w:i w:val="0"/>
        </w:rPr>
        <w:t xml:space="preserve">of Legal Aid South Africa; the </w:t>
      </w:r>
      <w:r w:rsidR="00CA26FE" w:rsidRPr="009E6B3C">
        <w:rPr>
          <w:rFonts w:cs="Arial"/>
          <w:i w:val="0"/>
        </w:rPr>
        <w:t>H</w:t>
      </w:r>
      <w:r w:rsidR="004C342C" w:rsidRPr="009E6B3C">
        <w:rPr>
          <w:rFonts w:cs="Arial"/>
          <w:i w:val="0"/>
        </w:rPr>
        <w:t>e</w:t>
      </w:r>
      <w:r w:rsidR="00CA26FE" w:rsidRPr="009E6B3C">
        <w:rPr>
          <w:rFonts w:cs="Arial"/>
          <w:i w:val="0"/>
        </w:rPr>
        <w:t>a</w:t>
      </w:r>
      <w:r w:rsidR="004C342C" w:rsidRPr="009E6B3C">
        <w:rPr>
          <w:rFonts w:cs="Arial"/>
          <w:i w:val="0"/>
        </w:rPr>
        <w:t xml:space="preserve">d of the </w:t>
      </w:r>
      <w:r w:rsidR="00581547" w:rsidRPr="009E6B3C">
        <w:rPr>
          <w:rFonts w:cs="Arial"/>
          <w:i w:val="0"/>
        </w:rPr>
        <w:t xml:space="preserve">Special Investigating Unit; and the Chairperson and Members of the Information Regulator, </w:t>
      </w:r>
      <w:r w:rsidRPr="009E6B3C">
        <w:rPr>
          <w:rFonts w:cs="Arial"/>
          <w:i w:val="0"/>
        </w:rPr>
        <w:t xml:space="preserve">as well as all respective </w:t>
      </w:r>
      <w:r w:rsidR="004C342C" w:rsidRPr="009E6B3C">
        <w:rPr>
          <w:rFonts w:cs="Arial"/>
          <w:i w:val="0"/>
        </w:rPr>
        <w:t>offic</w:t>
      </w:r>
      <w:r w:rsidR="00CA26FE" w:rsidRPr="009E6B3C">
        <w:rPr>
          <w:rFonts w:cs="Arial"/>
          <w:i w:val="0"/>
        </w:rPr>
        <w:t>i</w:t>
      </w:r>
      <w:r w:rsidR="004C342C" w:rsidRPr="009E6B3C">
        <w:rPr>
          <w:rFonts w:cs="Arial"/>
          <w:i w:val="0"/>
        </w:rPr>
        <w:t xml:space="preserve">als </w:t>
      </w:r>
      <w:r w:rsidRPr="009E6B3C">
        <w:rPr>
          <w:rFonts w:cs="Arial"/>
          <w:i w:val="0"/>
        </w:rPr>
        <w:t>for their co-operation.</w:t>
      </w:r>
    </w:p>
    <w:p w:rsidR="00CA26FE" w:rsidRPr="009E6B3C" w:rsidRDefault="00CA26FE" w:rsidP="009E6B3C">
      <w:pPr>
        <w:pStyle w:val="ListParagraph"/>
        <w:rPr>
          <w:rFonts w:ascii="Arial" w:hAnsi="Arial" w:cs="Arial"/>
          <w:i/>
          <w:sz w:val="20"/>
          <w:szCs w:val="20"/>
        </w:rPr>
      </w:pPr>
    </w:p>
    <w:p w:rsidR="00CA26FE" w:rsidRPr="009E6B3C" w:rsidRDefault="00CA26FE" w:rsidP="009E6B3C">
      <w:pPr>
        <w:pStyle w:val="BodySingle"/>
        <w:numPr>
          <w:ilvl w:val="1"/>
          <w:numId w:val="1"/>
        </w:numPr>
        <w:ind w:left="851" w:hanging="851"/>
        <w:jc w:val="left"/>
        <w:rPr>
          <w:rFonts w:cs="Arial"/>
          <w:i w:val="0"/>
        </w:rPr>
      </w:pPr>
      <w:r w:rsidRPr="009E6B3C">
        <w:rPr>
          <w:rFonts w:cs="Arial"/>
          <w:i w:val="0"/>
        </w:rPr>
        <w:t>The Committee thanks the representative</w:t>
      </w:r>
      <w:r w:rsidR="002B26E8" w:rsidRPr="009E6B3C">
        <w:rPr>
          <w:rFonts w:cs="Arial"/>
          <w:i w:val="0"/>
        </w:rPr>
        <w:t>s</w:t>
      </w:r>
      <w:r w:rsidRPr="009E6B3C">
        <w:rPr>
          <w:rFonts w:cs="Arial"/>
          <w:i w:val="0"/>
        </w:rPr>
        <w:t xml:space="preserve"> of the various audit committees that appeared before the Committee. </w:t>
      </w:r>
    </w:p>
    <w:p w:rsidR="002B26E8" w:rsidRPr="009E6B3C" w:rsidRDefault="002B26E8" w:rsidP="009E6B3C">
      <w:pPr>
        <w:pStyle w:val="ListParagraph"/>
        <w:rPr>
          <w:rFonts w:ascii="Arial" w:hAnsi="Arial" w:cs="Arial"/>
          <w:i/>
          <w:sz w:val="20"/>
          <w:szCs w:val="20"/>
        </w:rPr>
      </w:pPr>
    </w:p>
    <w:p w:rsidR="002B26E8" w:rsidRPr="009E6B3C" w:rsidRDefault="002B26E8" w:rsidP="009E6B3C">
      <w:pPr>
        <w:pStyle w:val="BodySingle"/>
        <w:numPr>
          <w:ilvl w:val="1"/>
          <w:numId w:val="1"/>
        </w:numPr>
        <w:ind w:left="851" w:hanging="851"/>
        <w:jc w:val="left"/>
        <w:rPr>
          <w:rFonts w:cs="Arial"/>
          <w:i w:val="0"/>
        </w:rPr>
      </w:pPr>
      <w:r w:rsidRPr="009E6B3C">
        <w:rPr>
          <w:rFonts w:cs="Arial"/>
          <w:i w:val="0"/>
        </w:rPr>
        <w:t>The Commit</w:t>
      </w:r>
      <w:r w:rsidR="0069332D" w:rsidRPr="009E6B3C">
        <w:rPr>
          <w:rFonts w:cs="Arial"/>
          <w:i w:val="0"/>
        </w:rPr>
        <w:t xml:space="preserve">tee wishes to thank the </w:t>
      </w:r>
      <w:r w:rsidR="00D725AE" w:rsidRPr="009E6B3C">
        <w:rPr>
          <w:rFonts w:cs="Arial"/>
          <w:i w:val="0"/>
        </w:rPr>
        <w:t>A</w:t>
      </w:r>
      <w:r w:rsidR="007B5746" w:rsidRPr="009E6B3C">
        <w:rPr>
          <w:rFonts w:cs="Arial"/>
          <w:i w:val="0"/>
        </w:rPr>
        <w:t>uditor-</w:t>
      </w:r>
      <w:r w:rsidR="00D725AE" w:rsidRPr="009E6B3C">
        <w:rPr>
          <w:rFonts w:cs="Arial"/>
          <w:i w:val="0"/>
        </w:rPr>
        <w:t>G</w:t>
      </w:r>
      <w:r w:rsidR="007B5746" w:rsidRPr="009E6B3C">
        <w:rPr>
          <w:rFonts w:cs="Arial"/>
          <w:i w:val="0"/>
        </w:rPr>
        <w:t xml:space="preserve">eneral </w:t>
      </w:r>
      <w:r w:rsidR="00D725AE" w:rsidRPr="009E6B3C">
        <w:rPr>
          <w:rFonts w:cs="Arial"/>
          <w:i w:val="0"/>
        </w:rPr>
        <w:t>S</w:t>
      </w:r>
      <w:r w:rsidR="007B5746" w:rsidRPr="009E6B3C">
        <w:rPr>
          <w:rFonts w:cs="Arial"/>
          <w:i w:val="0"/>
        </w:rPr>
        <w:t xml:space="preserve">outh </w:t>
      </w:r>
      <w:r w:rsidR="00D725AE" w:rsidRPr="009E6B3C">
        <w:rPr>
          <w:rFonts w:cs="Arial"/>
          <w:i w:val="0"/>
        </w:rPr>
        <w:t>A</w:t>
      </w:r>
      <w:r w:rsidR="007B5746" w:rsidRPr="009E6B3C">
        <w:rPr>
          <w:rFonts w:cs="Arial"/>
          <w:i w:val="0"/>
        </w:rPr>
        <w:t>frica</w:t>
      </w:r>
      <w:r w:rsidRPr="009E6B3C">
        <w:rPr>
          <w:rFonts w:cs="Arial"/>
          <w:i w:val="0"/>
        </w:rPr>
        <w:t xml:space="preserve"> for the support it provided to the Committee.</w:t>
      </w:r>
    </w:p>
    <w:p w:rsidR="00CA26FE" w:rsidRPr="009E6B3C" w:rsidRDefault="00CA26FE" w:rsidP="009E6B3C">
      <w:pPr>
        <w:pStyle w:val="ListParagraph"/>
        <w:rPr>
          <w:rFonts w:ascii="Arial" w:hAnsi="Arial" w:cs="Arial"/>
          <w:i/>
          <w:sz w:val="20"/>
          <w:szCs w:val="20"/>
        </w:rPr>
      </w:pPr>
    </w:p>
    <w:p w:rsidR="000770E2" w:rsidRPr="009E6B3C" w:rsidRDefault="000770E2" w:rsidP="009E6B3C">
      <w:pPr>
        <w:pStyle w:val="ListParagraph"/>
        <w:rPr>
          <w:rFonts w:ascii="Arial" w:hAnsi="Arial" w:cs="Arial"/>
          <w:sz w:val="20"/>
          <w:szCs w:val="20"/>
        </w:rPr>
      </w:pPr>
    </w:p>
    <w:p w:rsidR="00106280" w:rsidRPr="009E6B3C" w:rsidRDefault="00106280" w:rsidP="009E6B3C">
      <w:pPr>
        <w:autoSpaceDE w:val="0"/>
        <w:autoSpaceDN w:val="0"/>
        <w:adjustRightInd w:val="0"/>
        <w:rPr>
          <w:rFonts w:ascii="Arial" w:hAnsi="Arial" w:cs="Arial"/>
          <w:b/>
          <w:sz w:val="20"/>
          <w:szCs w:val="20"/>
        </w:rPr>
      </w:pPr>
      <w:r w:rsidRPr="009E6B3C">
        <w:rPr>
          <w:rFonts w:ascii="Arial" w:hAnsi="Arial" w:cs="Arial"/>
          <w:b/>
          <w:sz w:val="20"/>
          <w:szCs w:val="20"/>
        </w:rPr>
        <w:t>Report to be considered</w:t>
      </w:r>
    </w:p>
    <w:p w:rsidR="00DB6827" w:rsidRPr="009E6B3C" w:rsidRDefault="00DB6827" w:rsidP="009E6B3C">
      <w:pPr>
        <w:rPr>
          <w:rFonts w:ascii="Arial" w:hAnsi="Arial" w:cs="Arial"/>
          <w:sz w:val="20"/>
          <w:szCs w:val="20"/>
        </w:rPr>
      </w:pPr>
    </w:p>
    <w:p w:rsidR="00C4341B" w:rsidRPr="009E6B3C" w:rsidRDefault="00C4341B" w:rsidP="009E6B3C">
      <w:pPr>
        <w:rPr>
          <w:rFonts w:ascii="Arial" w:hAnsi="Arial" w:cs="Arial"/>
          <w:sz w:val="20"/>
          <w:szCs w:val="20"/>
        </w:rPr>
      </w:pPr>
    </w:p>
    <w:sectPr w:rsidR="00C4341B" w:rsidRPr="009E6B3C" w:rsidSect="006E3564">
      <w:footerReference w:type="even" r:id="rId8"/>
      <w:footerReference w:type="default" r:id="rId9"/>
      <w:pgSz w:w="11906" w:h="16838"/>
      <w:pgMar w:top="1440" w:right="1418"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74" w:rsidRDefault="00163B74">
      <w:r>
        <w:separator/>
      </w:r>
    </w:p>
  </w:endnote>
  <w:endnote w:type="continuationSeparator" w:id="0">
    <w:p w:rsidR="00163B74" w:rsidRDefault="00163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3" w:usb1="08070000" w:usb2="00000010" w:usb3="00000000" w:csb0="0002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C6" w:rsidRDefault="00231C41" w:rsidP="00106280">
    <w:pPr>
      <w:pStyle w:val="Footer"/>
      <w:framePr w:wrap="around" w:vAnchor="text" w:hAnchor="margin" w:xAlign="right" w:y="1"/>
      <w:rPr>
        <w:rStyle w:val="PageNumber"/>
        <w:rFonts w:eastAsia="Batang"/>
      </w:rPr>
    </w:pPr>
    <w:r>
      <w:rPr>
        <w:rStyle w:val="PageNumber"/>
        <w:rFonts w:eastAsia="Batang"/>
      </w:rPr>
      <w:fldChar w:fldCharType="begin"/>
    </w:r>
    <w:r w:rsidR="008563C6">
      <w:rPr>
        <w:rStyle w:val="PageNumber"/>
        <w:rFonts w:eastAsia="Batang"/>
      </w:rPr>
      <w:instrText xml:space="preserve">PAGE  </w:instrText>
    </w:r>
    <w:r>
      <w:rPr>
        <w:rStyle w:val="PageNumber"/>
        <w:rFonts w:eastAsia="Batang"/>
      </w:rPr>
      <w:fldChar w:fldCharType="end"/>
    </w:r>
  </w:p>
  <w:p w:rsidR="008563C6" w:rsidRDefault="008563C6" w:rsidP="00106280">
    <w:pPr>
      <w:pStyle w:val="Footer"/>
      <w:ind w:right="360"/>
    </w:pPr>
  </w:p>
  <w:p w:rsidR="008563C6" w:rsidRDefault="008563C6"/>
  <w:p w:rsidR="008563C6" w:rsidRDefault="008563C6"/>
  <w:p w:rsidR="008563C6" w:rsidRDefault="008563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5498"/>
      <w:docPartObj>
        <w:docPartGallery w:val="Page Numbers (Bottom of Page)"/>
        <w:docPartUnique/>
      </w:docPartObj>
    </w:sdtPr>
    <w:sdtEndPr>
      <w:rPr>
        <w:rFonts w:ascii="Arial" w:hAnsi="Arial" w:cs="Arial"/>
        <w:sz w:val="18"/>
        <w:szCs w:val="18"/>
      </w:rPr>
    </w:sdtEndPr>
    <w:sdtContent>
      <w:p w:rsidR="008563C6" w:rsidRPr="00CF233F" w:rsidRDefault="00231C41">
        <w:pPr>
          <w:pStyle w:val="Footer"/>
          <w:jc w:val="right"/>
          <w:rPr>
            <w:rFonts w:ascii="Arial" w:hAnsi="Arial" w:cs="Arial"/>
            <w:sz w:val="18"/>
            <w:szCs w:val="18"/>
          </w:rPr>
        </w:pPr>
        <w:r w:rsidRPr="00CF233F">
          <w:rPr>
            <w:rFonts w:ascii="Arial" w:hAnsi="Arial" w:cs="Arial"/>
            <w:sz w:val="18"/>
            <w:szCs w:val="18"/>
          </w:rPr>
          <w:fldChar w:fldCharType="begin"/>
        </w:r>
        <w:r w:rsidR="008563C6" w:rsidRPr="00CF233F">
          <w:rPr>
            <w:rFonts w:ascii="Arial" w:hAnsi="Arial" w:cs="Arial"/>
            <w:sz w:val="18"/>
            <w:szCs w:val="18"/>
          </w:rPr>
          <w:instrText xml:space="preserve"> PAGE   \* MERGEFORMAT </w:instrText>
        </w:r>
        <w:r w:rsidRPr="00CF233F">
          <w:rPr>
            <w:rFonts w:ascii="Arial" w:hAnsi="Arial" w:cs="Arial"/>
            <w:sz w:val="18"/>
            <w:szCs w:val="18"/>
          </w:rPr>
          <w:fldChar w:fldCharType="separate"/>
        </w:r>
        <w:r w:rsidR="009E6B3C">
          <w:rPr>
            <w:rFonts w:ascii="Arial" w:hAnsi="Arial" w:cs="Arial"/>
            <w:noProof/>
            <w:sz w:val="18"/>
            <w:szCs w:val="18"/>
          </w:rPr>
          <w:t>25</w:t>
        </w:r>
        <w:r w:rsidRPr="00CF233F">
          <w:rPr>
            <w:rFonts w:ascii="Arial" w:hAnsi="Arial" w:cs="Arial"/>
            <w:sz w:val="18"/>
            <w:szCs w:val="18"/>
          </w:rPr>
          <w:fldChar w:fldCharType="end"/>
        </w:r>
      </w:p>
    </w:sdtContent>
  </w:sdt>
  <w:p w:rsidR="008563C6" w:rsidRDefault="008563C6" w:rsidP="00106280">
    <w:pPr>
      <w:pStyle w:val="Footer"/>
      <w:ind w:right="360"/>
    </w:pPr>
  </w:p>
  <w:p w:rsidR="008563C6" w:rsidRDefault="008563C6"/>
  <w:p w:rsidR="008563C6" w:rsidRDefault="008563C6"/>
  <w:p w:rsidR="008563C6" w:rsidRDefault="008563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74" w:rsidRDefault="00163B74">
      <w:r>
        <w:separator/>
      </w:r>
    </w:p>
  </w:footnote>
  <w:footnote w:type="continuationSeparator" w:id="0">
    <w:p w:rsidR="00163B74" w:rsidRDefault="00163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18E4ABE"/>
    <w:multiLevelType w:val="multilevel"/>
    <w:tmpl w:val="58FC5436"/>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97DD5"/>
    <w:multiLevelType w:val="multilevel"/>
    <w:tmpl w:val="E5966628"/>
    <w:lvl w:ilvl="0">
      <w:start w:val="17"/>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403F21"/>
    <w:multiLevelType w:val="hybridMultilevel"/>
    <w:tmpl w:val="29A64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D634DFF"/>
    <w:multiLevelType w:val="hybridMultilevel"/>
    <w:tmpl w:val="E116A9DC"/>
    <w:lvl w:ilvl="0" w:tplc="1C09000B">
      <w:start w:val="1"/>
      <w:numFmt w:val="bullet"/>
      <w:lvlText w:val=""/>
      <w:lvlJc w:val="left"/>
      <w:pPr>
        <w:ind w:left="1571" w:hanging="360"/>
      </w:pPr>
      <w:rPr>
        <w:rFonts w:ascii="Wingdings" w:hAnsi="Wingdings"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0DBD32B1"/>
    <w:multiLevelType w:val="multilevel"/>
    <w:tmpl w:val="7DF0BD54"/>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A86BD4"/>
    <w:multiLevelType w:val="multilevel"/>
    <w:tmpl w:val="C088A1A8"/>
    <w:lvl w:ilvl="0">
      <w:start w:val="16"/>
      <w:numFmt w:val="decimal"/>
      <w:lvlText w:val="%1."/>
      <w:lvlJc w:val="left"/>
      <w:pPr>
        <w:ind w:left="780" w:hanging="780"/>
      </w:pPr>
      <w:rPr>
        <w:rFonts w:hint="default"/>
        <w:color w:val="000000" w:themeColor="text1"/>
      </w:rPr>
    </w:lvl>
    <w:lvl w:ilvl="1">
      <w:start w:val="13"/>
      <w:numFmt w:val="decimal"/>
      <w:lvlText w:val="%1.%2."/>
      <w:lvlJc w:val="left"/>
      <w:pPr>
        <w:ind w:left="780" w:hanging="780"/>
      </w:pPr>
      <w:rPr>
        <w:rFonts w:hint="default"/>
        <w:color w:val="000000" w:themeColor="text1"/>
      </w:rPr>
    </w:lvl>
    <w:lvl w:ilvl="2">
      <w:start w:val="1"/>
      <w:numFmt w:val="decimal"/>
      <w:lvlText w:val="%1.%2.%3."/>
      <w:lvlJc w:val="left"/>
      <w:pPr>
        <w:ind w:left="780" w:hanging="780"/>
      </w:pPr>
      <w:rPr>
        <w:rFonts w:hint="default"/>
        <w:color w:val="000000" w:themeColor="text1"/>
      </w:rPr>
    </w:lvl>
    <w:lvl w:ilvl="3">
      <w:start w:val="1"/>
      <w:numFmt w:val="decimal"/>
      <w:lvlText w:val="%1.%2.%3.%4."/>
      <w:lvlJc w:val="left"/>
      <w:pPr>
        <w:ind w:left="780" w:hanging="7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
    <w:nsid w:val="106821DC"/>
    <w:multiLevelType w:val="hybridMultilevel"/>
    <w:tmpl w:val="39FE453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1341DA7"/>
    <w:multiLevelType w:val="multilevel"/>
    <w:tmpl w:val="90360664"/>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F96777"/>
    <w:multiLevelType w:val="multilevel"/>
    <w:tmpl w:val="0B9CB9C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03273C"/>
    <w:multiLevelType w:val="hybridMultilevel"/>
    <w:tmpl w:val="46324FC0"/>
    <w:lvl w:ilvl="0" w:tplc="4D9A79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D502AE6"/>
    <w:multiLevelType w:val="hybridMultilevel"/>
    <w:tmpl w:val="D7FA103A"/>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2">
    <w:nsid w:val="1DBB5272"/>
    <w:multiLevelType w:val="multilevel"/>
    <w:tmpl w:val="2B748602"/>
    <w:lvl w:ilvl="0">
      <w:start w:val="5"/>
      <w:numFmt w:val="decimal"/>
      <w:lvlText w:val="%1."/>
      <w:lvlJc w:val="left"/>
      <w:pPr>
        <w:ind w:left="360" w:hanging="360"/>
      </w:pPr>
      <w:rPr>
        <w:rFonts w:eastAsiaTheme="minorHAnsi" w:hint="default"/>
        <w:color w:val="000000"/>
      </w:rPr>
    </w:lvl>
    <w:lvl w:ilvl="1">
      <w:start w:val="1"/>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3">
    <w:nsid w:val="1F286943"/>
    <w:multiLevelType w:val="multilevel"/>
    <w:tmpl w:val="1E700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CE6D51"/>
    <w:multiLevelType w:val="multilevel"/>
    <w:tmpl w:val="ED68695C"/>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1E6198"/>
    <w:multiLevelType w:val="multilevel"/>
    <w:tmpl w:val="8370C4F4"/>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146"/>
        </w:tabs>
        <w:ind w:left="1146" w:hanging="720"/>
      </w:pPr>
      <w:rPr>
        <w:rFonts w:ascii="Symbol" w:hAnsi="Symbol" w:hint="default"/>
        <w:b w:val="0"/>
        <w:i w:val="0"/>
        <w:sz w:val="24"/>
        <w:szCs w:val="24"/>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4C4A07"/>
    <w:multiLevelType w:val="hybridMultilevel"/>
    <w:tmpl w:val="1E667110"/>
    <w:lvl w:ilvl="0" w:tplc="072A4164">
      <w:start w:val="1"/>
      <w:numFmt w:val="lowerRoman"/>
      <w:lvlText w:val="%1."/>
      <w:lvlJc w:val="left"/>
      <w:pPr>
        <w:ind w:left="1582" w:hanging="720"/>
      </w:pPr>
      <w:rPr>
        <w:rFonts w:hint="default"/>
        <w:b w:val="0"/>
        <w:i w:val="0"/>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17">
    <w:nsid w:val="2404786C"/>
    <w:multiLevelType w:val="hybridMultilevel"/>
    <w:tmpl w:val="3FAE57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4AA471C"/>
    <w:multiLevelType w:val="multilevel"/>
    <w:tmpl w:val="CDCEF332"/>
    <w:lvl w:ilvl="0">
      <w:start w:val="13"/>
      <w:numFmt w:val="decimal"/>
      <w:lvlText w:val="%1."/>
      <w:lvlJc w:val="left"/>
      <w:pPr>
        <w:ind w:left="658" w:hanging="658"/>
      </w:pPr>
      <w:rPr>
        <w:rFonts w:hint="default"/>
      </w:rPr>
    </w:lvl>
    <w:lvl w:ilvl="1">
      <w:start w:val="9"/>
      <w:numFmt w:val="decimal"/>
      <w:lvlText w:val="%1.%2."/>
      <w:lvlJc w:val="left"/>
      <w:pPr>
        <w:ind w:left="658" w:hanging="658"/>
      </w:pPr>
      <w:rPr>
        <w:rFonts w:hint="default"/>
      </w:rPr>
    </w:lvl>
    <w:lvl w:ilvl="2">
      <w:start w:val="1"/>
      <w:numFmt w:val="decimal"/>
      <w:lvlText w:val="%1.%2.%3."/>
      <w:lvlJc w:val="left"/>
      <w:pPr>
        <w:ind w:left="993" w:hanging="851"/>
      </w:pPr>
      <w:rPr>
        <w:rFonts w:hint="default"/>
      </w:rPr>
    </w:lvl>
    <w:lvl w:ilvl="3">
      <w:start w:val="1"/>
      <w:numFmt w:val="decimal"/>
      <w:lvlText w:val="%1.%2.%3.%4."/>
      <w:lvlJc w:val="left"/>
      <w:pPr>
        <w:ind w:left="658" w:hanging="658"/>
      </w:pPr>
      <w:rPr>
        <w:rFonts w:hint="default"/>
      </w:rPr>
    </w:lvl>
    <w:lvl w:ilvl="4">
      <w:start w:val="1"/>
      <w:numFmt w:val="decimal"/>
      <w:lvlText w:val="%1.%2.%3.%4.%5."/>
      <w:lvlJc w:val="left"/>
      <w:pPr>
        <w:ind w:left="658" w:hanging="658"/>
      </w:pPr>
      <w:rPr>
        <w:rFonts w:hint="default"/>
      </w:rPr>
    </w:lvl>
    <w:lvl w:ilvl="5">
      <w:start w:val="1"/>
      <w:numFmt w:val="decimal"/>
      <w:lvlText w:val="%1.%2.%3.%4.%5.%6."/>
      <w:lvlJc w:val="left"/>
      <w:pPr>
        <w:ind w:left="658" w:hanging="658"/>
      </w:pPr>
      <w:rPr>
        <w:rFonts w:hint="default"/>
      </w:rPr>
    </w:lvl>
    <w:lvl w:ilvl="6">
      <w:start w:val="1"/>
      <w:numFmt w:val="decimal"/>
      <w:lvlText w:val="%1.%2.%3.%4.%5.%6.%7."/>
      <w:lvlJc w:val="left"/>
      <w:pPr>
        <w:ind w:left="658" w:hanging="658"/>
      </w:pPr>
      <w:rPr>
        <w:rFonts w:hint="default"/>
      </w:rPr>
    </w:lvl>
    <w:lvl w:ilvl="7">
      <w:start w:val="1"/>
      <w:numFmt w:val="decimal"/>
      <w:lvlText w:val="%1.%2.%3.%4.%5.%6.%7.%8."/>
      <w:lvlJc w:val="left"/>
      <w:pPr>
        <w:ind w:left="658" w:hanging="658"/>
      </w:pPr>
      <w:rPr>
        <w:rFonts w:hint="default"/>
      </w:rPr>
    </w:lvl>
    <w:lvl w:ilvl="8">
      <w:start w:val="1"/>
      <w:numFmt w:val="decimal"/>
      <w:lvlText w:val="%1.%2.%3.%4.%5.%6.%7.%8.%9."/>
      <w:lvlJc w:val="left"/>
      <w:pPr>
        <w:ind w:left="658" w:hanging="658"/>
      </w:pPr>
      <w:rPr>
        <w:rFonts w:hint="default"/>
      </w:rPr>
    </w:lvl>
  </w:abstractNum>
  <w:abstractNum w:abstractNumId="19">
    <w:nsid w:val="24BE3C93"/>
    <w:multiLevelType w:val="multilevel"/>
    <w:tmpl w:val="E1540C8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DF3100"/>
    <w:multiLevelType w:val="multilevel"/>
    <w:tmpl w:val="FC46A526"/>
    <w:lvl w:ilvl="0">
      <w:start w:val="13"/>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1"/>
      <w:numFmt w:val="decimal"/>
      <w:lvlText w:val="%1.%2.%3."/>
      <w:lvlJc w:val="left"/>
      <w:pPr>
        <w:ind w:left="922"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277A8F"/>
    <w:multiLevelType w:val="multilevel"/>
    <w:tmpl w:val="8D825308"/>
    <w:lvl w:ilvl="0">
      <w:start w:val="4"/>
      <w:numFmt w:val="decimal"/>
      <w:lvlText w:val="%1."/>
      <w:lvlJc w:val="left"/>
      <w:pPr>
        <w:ind w:left="360" w:hanging="360"/>
      </w:pPr>
      <w:rPr>
        <w:rFonts w:eastAsia="Times New Roman" w:hint="default"/>
        <w:i/>
        <w:color w:val="auto"/>
      </w:rPr>
    </w:lvl>
    <w:lvl w:ilvl="1">
      <w:start w:val="1"/>
      <w:numFmt w:val="decimal"/>
      <w:lvlText w:val="%1.%2."/>
      <w:lvlJc w:val="left"/>
      <w:pPr>
        <w:ind w:left="360" w:hanging="360"/>
      </w:pPr>
      <w:rPr>
        <w:rFonts w:eastAsia="Times New Roman" w:hint="default"/>
        <w:i w:val="0"/>
        <w:color w:val="auto"/>
      </w:rPr>
    </w:lvl>
    <w:lvl w:ilvl="2">
      <w:start w:val="1"/>
      <w:numFmt w:val="decimal"/>
      <w:lvlText w:val="%1.%2.%3."/>
      <w:lvlJc w:val="left"/>
      <w:pPr>
        <w:ind w:left="720" w:hanging="720"/>
      </w:pPr>
      <w:rPr>
        <w:rFonts w:eastAsia="Times New Roman" w:hint="default"/>
        <w:b w:val="0"/>
        <w:i w:val="0"/>
        <w:color w:val="auto"/>
      </w:rPr>
    </w:lvl>
    <w:lvl w:ilvl="3">
      <w:start w:val="1"/>
      <w:numFmt w:val="decimal"/>
      <w:lvlText w:val="%1.%2.%3.%4."/>
      <w:lvlJc w:val="left"/>
      <w:pPr>
        <w:ind w:left="720" w:hanging="720"/>
      </w:pPr>
      <w:rPr>
        <w:rFonts w:eastAsia="Times New Roman" w:hint="default"/>
        <w:i/>
        <w:color w:val="auto"/>
      </w:rPr>
    </w:lvl>
    <w:lvl w:ilvl="4">
      <w:start w:val="1"/>
      <w:numFmt w:val="decimal"/>
      <w:lvlText w:val="%1.%2.%3.%4.%5."/>
      <w:lvlJc w:val="left"/>
      <w:pPr>
        <w:ind w:left="1080" w:hanging="1080"/>
      </w:pPr>
      <w:rPr>
        <w:rFonts w:eastAsia="Times New Roman" w:hint="default"/>
        <w:i/>
        <w:color w:val="auto"/>
      </w:rPr>
    </w:lvl>
    <w:lvl w:ilvl="5">
      <w:start w:val="1"/>
      <w:numFmt w:val="decimal"/>
      <w:lvlText w:val="%1.%2.%3.%4.%5.%6."/>
      <w:lvlJc w:val="left"/>
      <w:pPr>
        <w:ind w:left="1080" w:hanging="1080"/>
      </w:pPr>
      <w:rPr>
        <w:rFonts w:eastAsia="Times New Roman" w:hint="default"/>
        <w:i/>
        <w:color w:val="auto"/>
      </w:rPr>
    </w:lvl>
    <w:lvl w:ilvl="6">
      <w:start w:val="1"/>
      <w:numFmt w:val="decimal"/>
      <w:lvlText w:val="%1.%2.%3.%4.%5.%6.%7."/>
      <w:lvlJc w:val="left"/>
      <w:pPr>
        <w:ind w:left="1440" w:hanging="1440"/>
      </w:pPr>
      <w:rPr>
        <w:rFonts w:eastAsia="Times New Roman" w:hint="default"/>
        <w:i/>
        <w:color w:val="auto"/>
      </w:rPr>
    </w:lvl>
    <w:lvl w:ilvl="7">
      <w:start w:val="1"/>
      <w:numFmt w:val="decimal"/>
      <w:lvlText w:val="%1.%2.%3.%4.%5.%6.%7.%8."/>
      <w:lvlJc w:val="left"/>
      <w:pPr>
        <w:ind w:left="1440" w:hanging="1440"/>
      </w:pPr>
      <w:rPr>
        <w:rFonts w:eastAsia="Times New Roman" w:hint="default"/>
        <w:i/>
        <w:color w:val="auto"/>
      </w:rPr>
    </w:lvl>
    <w:lvl w:ilvl="8">
      <w:start w:val="1"/>
      <w:numFmt w:val="decimal"/>
      <w:lvlText w:val="%1.%2.%3.%4.%5.%6.%7.%8.%9."/>
      <w:lvlJc w:val="left"/>
      <w:pPr>
        <w:ind w:left="1800" w:hanging="1800"/>
      </w:pPr>
      <w:rPr>
        <w:rFonts w:eastAsia="Times New Roman" w:hint="default"/>
        <w:i/>
        <w:color w:val="auto"/>
      </w:rPr>
    </w:lvl>
  </w:abstractNum>
  <w:abstractNum w:abstractNumId="22">
    <w:nsid w:val="26141238"/>
    <w:multiLevelType w:val="hybridMultilevel"/>
    <w:tmpl w:val="B37C3A8E"/>
    <w:lvl w:ilvl="0" w:tplc="314A66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CDB1B26"/>
    <w:multiLevelType w:val="multilevel"/>
    <w:tmpl w:val="2C460954"/>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1"/>
      <w:numFmt w:val="decimal"/>
      <w:lvlText w:val="%1.%2.%3."/>
      <w:lvlJc w:val="left"/>
      <w:pPr>
        <w:ind w:left="780" w:hanging="780"/>
      </w:pPr>
      <w:rPr>
        <w:rFonts w:hint="default"/>
        <w:b w:val="0"/>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287E44"/>
    <w:multiLevelType w:val="hybridMultilevel"/>
    <w:tmpl w:val="333AAF66"/>
    <w:lvl w:ilvl="0" w:tplc="1136A924">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F1F75A9"/>
    <w:multiLevelType w:val="multilevel"/>
    <w:tmpl w:val="4CD4E0FA"/>
    <w:lvl w:ilvl="0">
      <w:start w:val="1"/>
      <w:numFmt w:val="bullet"/>
      <w:lvlText w:val=""/>
      <w:lvlJc w:val="left"/>
      <w:pPr>
        <w:ind w:left="106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6">
    <w:nsid w:val="2FA22827"/>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886B4C"/>
    <w:multiLevelType w:val="multilevel"/>
    <w:tmpl w:val="220EC64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6231A04"/>
    <w:multiLevelType w:val="hybridMultilevel"/>
    <w:tmpl w:val="411AEAB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3B684284"/>
    <w:multiLevelType w:val="multilevel"/>
    <w:tmpl w:val="24D0A384"/>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582ACF"/>
    <w:multiLevelType w:val="multilevel"/>
    <w:tmpl w:val="2038501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5C411C"/>
    <w:multiLevelType w:val="multilevel"/>
    <w:tmpl w:val="03482A9A"/>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3576E9"/>
    <w:multiLevelType w:val="multilevel"/>
    <w:tmpl w:val="372CDF8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CB6A08"/>
    <w:multiLevelType w:val="multilevel"/>
    <w:tmpl w:val="0DACC252"/>
    <w:lvl w:ilvl="0">
      <w:start w:val="1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DD10CD"/>
    <w:multiLevelType w:val="multilevel"/>
    <w:tmpl w:val="91F04D4E"/>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1AC33CE"/>
    <w:multiLevelType w:val="hybridMultilevel"/>
    <w:tmpl w:val="34D41D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45DF3EEF"/>
    <w:multiLevelType w:val="hybridMultilevel"/>
    <w:tmpl w:val="3378C8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4768253D"/>
    <w:multiLevelType w:val="hybridMultilevel"/>
    <w:tmpl w:val="8098D0D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8">
    <w:nsid w:val="47EB443E"/>
    <w:multiLevelType w:val="hybridMultilevel"/>
    <w:tmpl w:val="7E4A71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4CCB42C4"/>
    <w:multiLevelType w:val="multilevel"/>
    <w:tmpl w:val="1FC88A9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D9628B1"/>
    <w:multiLevelType w:val="multilevel"/>
    <w:tmpl w:val="8DB6FFD6"/>
    <w:lvl w:ilvl="0">
      <w:start w:val="13"/>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72220A"/>
    <w:multiLevelType w:val="hybridMultilevel"/>
    <w:tmpl w:val="37E485C6"/>
    <w:lvl w:ilvl="0" w:tplc="1C090001">
      <w:start w:val="1"/>
      <w:numFmt w:val="bullet"/>
      <w:lvlText w:val=""/>
      <w:lvlJc w:val="left"/>
      <w:pPr>
        <w:ind w:left="928"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42">
    <w:nsid w:val="4E89321C"/>
    <w:multiLevelType w:val="multilevel"/>
    <w:tmpl w:val="38D218FC"/>
    <w:lvl w:ilvl="0">
      <w:start w:val="1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914361"/>
    <w:multiLevelType w:val="hybridMultilevel"/>
    <w:tmpl w:val="3DC62C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50353E1A"/>
    <w:multiLevelType w:val="multilevel"/>
    <w:tmpl w:val="357C5A0C"/>
    <w:lvl w:ilvl="0">
      <w:start w:val="1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6CE7773"/>
    <w:multiLevelType w:val="multilevel"/>
    <w:tmpl w:val="9D22D036"/>
    <w:lvl w:ilvl="0">
      <w:start w:val="17"/>
      <w:numFmt w:val="decimal"/>
      <w:lvlText w:val="%1."/>
      <w:lvlJc w:val="left"/>
      <w:pPr>
        <w:ind w:left="660" w:hanging="660"/>
      </w:pPr>
      <w:rPr>
        <w:rFonts w:hint="default"/>
      </w:rPr>
    </w:lvl>
    <w:lvl w:ilvl="1">
      <w:start w:val="5"/>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6">
    <w:nsid w:val="56E71EC0"/>
    <w:multiLevelType w:val="multilevel"/>
    <w:tmpl w:val="D42A0AC8"/>
    <w:lvl w:ilvl="0">
      <w:start w:val="1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AC44F25"/>
    <w:multiLevelType w:val="hybridMultilevel"/>
    <w:tmpl w:val="0540B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5FFB70B9"/>
    <w:multiLevelType w:val="multilevel"/>
    <w:tmpl w:val="37A2C3B4"/>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3335507"/>
    <w:multiLevelType w:val="multilevel"/>
    <w:tmpl w:val="63985442"/>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5A77454"/>
    <w:multiLevelType w:val="multilevel"/>
    <w:tmpl w:val="0078733E"/>
    <w:lvl w:ilvl="0">
      <w:start w:val="13"/>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6BF7E85"/>
    <w:multiLevelType w:val="multilevel"/>
    <w:tmpl w:val="7BEC703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70C7D58"/>
    <w:multiLevelType w:val="hybridMultilevel"/>
    <w:tmpl w:val="19B486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67BB4756"/>
    <w:multiLevelType w:val="hybridMultilevel"/>
    <w:tmpl w:val="EA7E95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4">
    <w:nsid w:val="69424ABC"/>
    <w:multiLevelType w:val="multilevel"/>
    <w:tmpl w:val="8684EA26"/>
    <w:lvl w:ilvl="0">
      <w:start w:val="14"/>
      <w:numFmt w:val="decimal"/>
      <w:lvlText w:val="%1."/>
      <w:lvlJc w:val="left"/>
      <w:pPr>
        <w:ind w:left="660" w:hanging="660"/>
      </w:pPr>
      <w:rPr>
        <w:rFonts w:eastAsiaTheme="minorEastAsia" w:hint="default"/>
        <w:color w:val="auto"/>
      </w:rPr>
    </w:lvl>
    <w:lvl w:ilvl="1">
      <w:start w:val="8"/>
      <w:numFmt w:val="decimal"/>
      <w:lvlText w:val="%1.%2."/>
      <w:lvlJc w:val="left"/>
      <w:pPr>
        <w:ind w:left="660" w:hanging="6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55">
    <w:nsid w:val="6BFE3BE7"/>
    <w:multiLevelType w:val="hybridMultilevel"/>
    <w:tmpl w:val="DF6E06A2"/>
    <w:lvl w:ilvl="0" w:tplc="CD0835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DF779DD"/>
    <w:multiLevelType w:val="multilevel"/>
    <w:tmpl w:val="BC1E64FA"/>
    <w:lvl w:ilvl="0">
      <w:start w:val="17"/>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3D09B3"/>
    <w:multiLevelType w:val="multilevel"/>
    <w:tmpl w:val="AEE063E4"/>
    <w:lvl w:ilvl="0">
      <w:start w:val="16"/>
      <w:numFmt w:val="decimal"/>
      <w:lvlText w:val="%1."/>
      <w:lvlJc w:val="left"/>
      <w:pPr>
        <w:ind w:left="780" w:hanging="780"/>
      </w:pPr>
      <w:rPr>
        <w:rFonts w:hint="default"/>
        <w:color w:val="000000" w:themeColor="text1"/>
      </w:rPr>
    </w:lvl>
    <w:lvl w:ilvl="1">
      <w:start w:val="10"/>
      <w:numFmt w:val="decimal"/>
      <w:lvlText w:val="%1.%2."/>
      <w:lvlJc w:val="left"/>
      <w:pPr>
        <w:ind w:left="780" w:hanging="780"/>
      </w:pPr>
      <w:rPr>
        <w:rFonts w:hint="default"/>
        <w:color w:val="000000" w:themeColor="text1"/>
      </w:rPr>
    </w:lvl>
    <w:lvl w:ilvl="2">
      <w:start w:val="1"/>
      <w:numFmt w:val="decimal"/>
      <w:lvlText w:val="%1.%2.%3."/>
      <w:lvlJc w:val="left"/>
      <w:pPr>
        <w:ind w:left="780" w:hanging="780"/>
      </w:pPr>
      <w:rPr>
        <w:rFonts w:hint="default"/>
        <w:color w:val="000000" w:themeColor="text1"/>
      </w:rPr>
    </w:lvl>
    <w:lvl w:ilvl="3">
      <w:start w:val="1"/>
      <w:numFmt w:val="decimal"/>
      <w:lvlText w:val="%1.%2.%3.%4."/>
      <w:lvlJc w:val="left"/>
      <w:pPr>
        <w:ind w:left="780" w:hanging="7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8">
    <w:nsid w:val="7351437A"/>
    <w:multiLevelType w:val="multilevel"/>
    <w:tmpl w:val="44803E8C"/>
    <w:lvl w:ilvl="0">
      <w:start w:val="12"/>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b w:val="0"/>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B831FC6"/>
    <w:multiLevelType w:val="multilevel"/>
    <w:tmpl w:val="33B88AA6"/>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CAE6BBB"/>
    <w:multiLevelType w:val="multilevel"/>
    <w:tmpl w:val="47B09A32"/>
    <w:lvl w:ilvl="0">
      <w:start w:val="1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CB21DF3"/>
    <w:multiLevelType w:val="multilevel"/>
    <w:tmpl w:val="A060F2A2"/>
    <w:lvl w:ilvl="0">
      <w:start w:val="13"/>
      <w:numFmt w:val="decimal"/>
      <w:lvlText w:val="%1."/>
      <w:lvlJc w:val="left"/>
      <w:pPr>
        <w:ind w:left="660" w:hanging="660"/>
      </w:pPr>
      <w:rPr>
        <w:rFonts w:hint="default"/>
        <w:i/>
      </w:rPr>
    </w:lvl>
    <w:lvl w:ilvl="1">
      <w:start w:val="4"/>
      <w:numFmt w:val="decimal"/>
      <w:lvlText w:val="%1.%2."/>
      <w:lvlJc w:val="left"/>
      <w:pPr>
        <w:ind w:left="660" w:hanging="6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2">
    <w:nsid w:val="7CB74C36"/>
    <w:multiLevelType w:val="hybridMultilevel"/>
    <w:tmpl w:val="0D84FB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7E416440"/>
    <w:multiLevelType w:val="hybridMultilevel"/>
    <w:tmpl w:val="5CCA3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41"/>
  </w:num>
  <w:num w:numId="5">
    <w:abstractNumId w:val="25"/>
  </w:num>
  <w:num w:numId="6">
    <w:abstractNumId w:val="7"/>
  </w:num>
  <w:num w:numId="7">
    <w:abstractNumId w:val="11"/>
  </w:num>
  <w:num w:numId="8">
    <w:abstractNumId w:val="51"/>
  </w:num>
  <w:num w:numId="9">
    <w:abstractNumId w:val="22"/>
  </w:num>
  <w:num w:numId="10">
    <w:abstractNumId w:val="52"/>
  </w:num>
  <w:num w:numId="11">
    <w:abstractNumId w:val="19"/>
  </w:num>
  <w:num w:numId="12">
    <w:abstractNumId w:val="4"/>
  </w:num>
  <w:num w:numId="13">
    <w:abstractNumId w:val="15"/>
  </w:num>
  <w:num w:numId="14">
    <w:abstractNumId w:val="53"/>
  </w:num>
  <w:num w:numId="15">
    <w:abstractNumId w:val="62"/>
  </w:num>
  <w:num w:numId="16">
    <w:abstractNumId w:val="17"/>
  </w:num>
  <w:num w:numId="17">
    <w:abstractNumId w:val="36"/>
  </w:num>
  <w:num w:numId="18">
    <w:abstractNumId w:val="35"/>
  </w:num>
  <w:num w:numId="19">
    <w:abstractNumId w:val="43"/>
  </w:num>
  <w:num w:numId="20">
    <w:abstractNumId w:val="47"/>
  </w:num>
  <w:num w:numId="21">
    <w:abstractNumId w:val="3"/>
  </w:num>
  <w:num w:numId="22">
    <w:abstractNumId w:val="32"/>
  </w:num>
  <w:num w:numId="23">
    <w:abstractNumId w:val="34"/>
  </w:num>
  <w:num w:numId="24">
    <w:abstractNumId w:val="46"/>
  </w:num>
  <w:num w:numId="25">
    <w:abstractNumId w:val="58"/>
  </w:num>
  <w:num w:numId="26">
    <w:abstractNumId w:val="42"/>
  </w:num>
  <w:num w:numId="27">
    <w:abstractNumId w:val="40"/>
  </w:num>
  <w:num w:numId="28">
    <w:abstractNumId w:val="20"/>
  </w:num>
  <w:num w:numId="29">
    <w:abstractNumId w:val="31"/>
  </w:num>
  <w:num w:numId="30">
    <w:abstractNumId w:val="23"/>
  </w:num>
  <w:num w:numId="31">
    <w:abstractNumId w:val="38"/>
  </w:num>
  <w:num w:numId="32">
    <w:abstractNumId w:val="28"/>
  </w:num>
  <w:num w:numId="33">
    <w:abstractNumId w:val="37"/>
  </w:num>
  <w:num w:numId="34">
    <w:abstractNumId w:val="16"/>
  </w:num>
  <w:num w:numId="35">
    <w:abstractNumId w:val="6"/>
  </w:num>
  <w:num w:numId="36">
    <w:abstractNumId w:val="45"/>
  </w:num>
  <w:num w:numId="37">
    <w:abstractNumId w:val="33"/>
  </w:num>
  <w:num w:numId="38">
    <w:abstractNumId w:val="56"/>
  </w:num>
  <w:num w:numId="39">
    <w:abstractNumId w:val="2"/>
  </w:num>
  <w:num w:numId="40">
    <w:abstractNumId w:val="63"/>
  </w:num>
  <w:num w:numId="41">
    <w:abstractNumId w:val="5"/>
  </w:num>
  <w:num w:numId="42">
    <w:abstractNumId w:val="13"/>
  </w:num>
  <w:num w:numId="43">
    <w:abstractNumId w:val="21"/>
  </w:num>
  <w:num w:numId="44">
    <w:abstractNumId w:val="12"/>
  </w:num>
  <w:num w:numId="45">
    <w:abstractNumId w:val="39"/>
  </w:num>
  <w:num w:numId="46">
    <w:abstractNumId w:val="48"/>
  </w:num>
  <w:num w:numId="47">
    <w:abstractNumId w:val="27"/>
  </w:num>
  <w:num w:numId="48">
    <w:abstractNumId w:val="9"/>
  </w:num>
  <w:num w:numId="49">
    <w:abstractNumId w:val="29"/>
  </w:num>
  <w:num w:numId="50">
    <w:abstractNumId w:val="10"/>
  </w:num>
  <w:num w:numId="51">
    <w:abstractNumId w:val="55"/>
  </w:num>
  <w:num w:numId="52">
    <w:abstractNumId w:val="61"/>
  </w:num>
  <w:num w:numId="53">
    <w:abstractNumId w:val="44"/>
  </w:num>
  <w:num w:numId="54">
    <w:abstractNumId w:val="49"/>
  </w:num>
  <w:num w:numId="55">
    <w:abstractNumId w:val="60"/>
  </w:num>
  <w:num w:numId="56">
    <w:abstractNumId w:val="54"/>
  </w:num>
  <w:num w:numId="57">
    <w:abstractNumId w:val="24"/>
  </w:num>
  <w:num w:numId="58">
    <w:abstractNumId w:val="18"/>
  </w:num>
  <w:num w:numId="59">
    <w:abstractNumId w:val="50"/>
  </w:num>
  <w:num w:numId="60">
    <w:abstractNumId w:val="1"/>
  </w:num>
  <w:num w:numId="61">
    <w:abstractNumId w:val="30"/>
  </w:num>
  <w:num w:numId="62">
    <w:abstractNumId w:val="59"/>
  </w:num>
  <w:num w:numId="63">
    <w:abstractNumId w:val="14"/>
  </w:num>
  <w:num w:numId="64">
    <w:abstractNumId w:val="5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6280"/>
    <w:rsid w:val="0000069A"/>
    <w:rsid w:val="00001095"/>
    <w:rsid w:val="00001A18"/>
    <w:rsid w:val="0000436F"/>
    <w:rsid w:val="000047C4"/>
    <w:rsid w:val="000062A0"/>
    <w:rsid w:val="0000670F"/>
    <w:rsid w:val="00007890"/>
    <w:rsid w:val="00012520"/>
    <w:rsid w:val="00012CF5"/>
    <w:rsid w:val="00012D16"/>
    <w:rsid w:val="00013C42"/>
    <w:rsid w:val="000147CF"/>
    <w:rsid w:val="00015B9A"/>
    <w:rsid w:val="0001618A"/>
    <w:rsid w:val="0002109D"/>
    <w:rsid w:val="00021E25"/>
    <w:rsid w:val="0002312F"/>
    <w:rsid w:val="00023AF8"/>
    <w:rsid w:val="000244D3"/>
    <w:rsid w:val="00024EDE"/>
    <w:rsid w:val="000251CC"/>
    <w:rsid w:val="00026DFD"/>
    <w:rsid w:val="00027D37"/>
    <w:rsid w:val="000300D4"/>
    <w:rsid w:val="000314C6"/>
    <w:rsid w:val="0003153F"/>
    <w:rsid w:val="00031EA7"/>
    <w:rsid w:val="00033338"/>
    <w:rsid w:val="00033BE8"/>
    <w:rsid w:val="00033DCD"/>
    <w:rsid w:val="0003411F"/>
    <w:rsid w:val="00034C1A"/>
    <w:rsid w:val="0003580F"/>
    <w:rsid w:val="00036D9D"/>
    <w:rsid w:val="00042631"/>
    <w:rsid w:val="0004291B"/>
    <w:rsid w:val="00042B12"/>
    <w:rsid w:val="0004399B"/>
    <w:rsid w:val="0004542C"/>
    <w:rsid w:val="000458CA"/>
    <w:rsid w:val="0004651A"/>
    <w:rsid w:val="00046C25"/>
    <w:rsid w:val="00047070"/>
    <w:rsid w:val="00047F34"/>
    <w:rsid w:val="0005024C"/>
    <w:rsid w:val="00050A0C"/>
    <w:rsid w:val="00051860"/>
    <w:rsid w:val="000528A9"/>
    <w:rsid w:val="00052EE3"/>
    <w:rsid w:val="00053554"/>
    <w:rsid w:val="00053E07"/>
    <w:rsid w:val="00054436"/>
    <w:rsid w:val="000573E8"/>
    <w:rsid w:val="00057433"/>
    <w:rsid w:val="000606AB"/>
    <w:rsid w:val="00064AFB"/>
    <w:rsid w:val="00064E81"/>
    <w:rsid w:val="000653F8"/>
    <w:rsid w:val="00065406"/>
    <w:rsid w:val="000657A6"/>
    <w:rsid w:val="0006727D"/>
    <w:rsid w:val="0007077D"/>
    <w:rsid w:val="0007248A"/>
    <w:rsid w:val="00074C0F"/>
    <w:rsid w:val="00075823"/>
    <w:rsid w:val="00075B29"/>
    <w:rsid w:val="000770E2"/>
    <w:rsid w:val="000803DE"/>
    <w:rsid w:val="00080B22"/>
    <w:rsid w:val="000826CB"/>
    <w:rsid w:val="00082D97"/>
    <w:rsid w:val="00082DB3"/>
    <w:rsid w:val="000859F5"/>
    <w:rsid w:val="0009094C"/>
    <w:rsid w:val="00091D45"/>
    <w:rsid w:val="000926A2"/>
    <w:rsid w:val="00095207"/>
    <w:rsid w:val="00095986"/>
    <w:rsid w:val="00095F17"/>
    <w:rsid w:val="00096042"/>
    <w:rsid w:val="00096108"/>
    <w:rsid w:val="00096A1C"/>
    <w:rsid w:val="00096AC8"/>
    <w:rsid w:val="00097803"/>
    <w:rsid w:val="00097EE8"/>
    <w:rsid w:val="000A2E61"/>
    <w:rsid w:val="000A2FE0"/>
    <w:rsid w:val="000A601C"/>
    <w:rsid w:val="000A79B6"/>
    <w:rsid w:val="000B156A"/>
    <w:rsid w:val="000B2670"/>
    <w:rsid w:val="000B2D0D"/>
    <w:rsid w:val="000B3CE8"/>
    <w:rsid w:val="000B48AF"/>
    <w:rsid w:val="000B52AE"/>
    <w:rsid w:val="000B6052"/>
    <w:rsid w:val="000B7B73"/>
    <w:rsid w:val="000C15C5"/>
    <w:rsid w:val="000C1966"/>
    <w:rsid w:val="000C3C6A"/>
    <w:rsid w:val="000C52E0"/>
    <w:rsid w:val="000C54EE"/>
    <w:rsid w:val="000C66E7"/>
    <w:rsid w:val="000D3EA1"/>
    <w:rsid w:val="000D4D46"/>
    <w:rsid w:val="000D51B4"/>
    <w:rsid w:val="000D5370"/>
    <w:rsid w:val="000D54AA"/>
    <w:rsid w:val="000D72FB"/>
    <w:rsid w:val="000D7771"/>
    <w:rsid w:val="000D7845"/>
    <w:rsid w:val="000E2219"/>
    <w:rsid w:val="000E2D58"/>
    <w:rsid w:val="000E3AF5"/>
    <w:rsid w:val="000F0944"/>
    <w:rsid w:val="000F1C16"/>
    <w:rsid w:val="000F1F5D"/>
    <w:rsid w:val="000F3FD8"/>
    <w:rsid w:val="000F46B5"/>
    <w:rsid w:val="000F65FF"/>
    <w:rsid w:val="000F6A27"/>
    <w:rsid w:val="000F7487"/>
    <w:rsid w:val="001001EF"/>
    <w:rsid w:val="00100D4C"/>
    <w:rsid w:val="00100D53"/>
    <w:rsid w:val="001031C5"/>
    <w:rsid w:val="00106260"/>
    <w:rsid w:val="00106280"/>
    <w:rsid w:val="0010701A"/>
    <w:rsid w:val="00107976"/>
    <w:rsid w:val="00107FD1"/>
    <w:rsid w:val="00110E80"/>
    <w:rsid w:val="0011219B"/>
    <w:rsid w:val="00112B1A"/>
    <w:rsid w:val="001139AC"/>
    <w:rsid w:val="0011635B"/>
    <w:rsid w:val="001170B0"/>
    <w:rsid w:val="001171B8"/>
    <w:rsid w:val="00117645"/>
    <w:rsid w:val="001209C5"/>
    <w:rsid w:val="00120DEA"/>
    <w:rsid w:val="0012129B"/>
    <w:rsid w:val="00121B09"/>
    <w:rsid w:val="00122B7D"/>
    <w:rsid w:val="00123738"/>
    <w:rsid w:val="00126152"/>
    <w:rsid w:val="00127F0A"/>
    <w:rsid w:val="0013006B"/>
    <w:rsid w:val="001308B4"/>
    <w:rsid w:val="0013247F"/>
    <w:rsid w:val="0013293D"/>
    <w:rsid w:val="00134452"/>
    <w:rsid w:val="001356F8"/>
    <w:rsid w:val="00136EEB"/>
    <w:rsid w:val="00137037"/>
    <w:rsid w:val="00137B1B"/>
    <w:rsid w:val="0014057A"/>
    <w:rsid w:val="00140B0E"/>
    <w:rsid w:val="001436E7"/>
    <w:rsid w:val="0014372C"/>
    <w:rsid w:val="0014467C"/>
    <w:rsid w:val="00144687"/>
    <w:rsid w:val="00144A86"/>
    <w:rsid w:val="00144E09"/>
    <w:rsid w:val="00145FE6"/>
    <w:rsid w:val="00147443"/>
    <w:rsid w:val="00147D80"/>
    <w:rsid w:val="00151902"/>
    <w:rsid w:val="00152811"/>
    <w:rsid w:val="001530D6"/>
    <w:rsid w:val="00155096"/>
    <w:rsid w:val="001559B3"/>
    <w:rsid w:val="00156484"/>
    <w:rsid w:val="001578A4"/>
    <w:rsid w:val="00157BBC"/>
    <w:rsid w:val="00162606"/>
    <w:rsid w:val="00163174"/>
    <w:rsid w:val="00163B74"/>
    <w:rsid w:val="0016427F"/>
    <w:rsid w:val="00164B1C"/>
    <w:rsid w:val="0016589F"/>
    <w:rsid w:val="001667B2"/>
    <w:rsid w:val="00167357"/>
    <w:rsid w:val="00171A55"/>
    <w:rsid w:val="001754C5"/>
    <w:rsid w:val="0017682D"/>
    <w:rsid w:val="0017758D"/>
    <w:rsid w:val="001777BC"/>
    <w:rsid w:val="00180B65"/>
    <w:rsid w:val="00180C0F"/>
    <w:rsid w:val="00183FFC"/>
    <w:rsid w:val="00185C62"/>
    <w:rsid w:val="00186C0B"/>
    <w:rsid w:val="00187416"/>
    <w:rsid w:val="00187D5E"/>
    <w:rsid w:val="0019147E"/>
    <w:rsid w:val="00193CEA"/>
    <w:rsid w:val="00193F57"/>
    <w:rsid w:val="001961C9"/>
    <w:rsid w:val="001A0D9D"/>
    <w:rsid w:val="001A0E73"/>
    <w:rsid w:val="001A1CC1"/>
    <w:rsid w:val="001A252A"/>
    <w:rsid w:val="001A6D21"/>
    <w:rsid w:val="001A6FAC"/>
    <w:rsid w:val="001A723C"/>
    <w:rsid w:val="001B08CE"/>
    <w:rsid w:val="001B2801"/>
    <w:rsid w:val="001B4A4E"/>
    <w:rsid w:val="001B553C"/>
    <w:rsid w:val="001B7B0E"/>
    <w:rsid w:val="001B7E43"/>
    <w:rsid w:val="001C0B3E"/>
    <w:rsid w:val="001C1268"/>
    <w:rsid w:val="001C1321"/>
    <w:rsid w:val="001C39C7"/>
    <w:rsid w:val="001C50A4"/>
    <w:rsid w:val="001C543C"/>
    <w:rsid w:val="001C5B62"/>
    <w:rsid w:val="001C6706"/>
    <w:rsid w:val="001D0441"/>
    <w:rsid w:val="001D1B6F"/>
    <w:rsid w:val="001D1F5F"/>
    <w:rsid w:val="001D346B"/>
    <w:rsid w:val="001D3D61"/>
    <w:rsid w:val="001D62B7"/>
    <w:rsid w:val="001D6429"/>
    <w:rsid w:val="001D680D"/>
    <w:rsid w:val="001E0311"/>
    <w:rsid w:val="001E05D7"/>
    <w:rsid w:val="001E2FC0"/>
    <w:rsid w:val="001E455B"/>
    <w:rsid w:val="001E4928"/>
    <w:rsid w:val="001E53BB"/>
    <w:rsid w:val="001E599D"/>
    <w:rsid w:val="001E6ACC"/>
    <w:rsid w:val="001E7251"/>
    <w:rsid w:val="001E79D1"/>
    <w:rsid w:val="001F043D"/>
    <w:rsid w:val="001F050E"/>
    <w:rsid w:val="001F1731"/>
    <w:rsid w:val="001F1F85"/>
    <w:rsid w:val="001F27A4"/>
    <w:rsid w:val="001F2AF0"/>
    <w:rsid w:val="001F36A0"/>
    <w:rsid w:val="001F78DA"/>
    <w:rsid w:val="0020024C"/>
    <w:rsid w:val="00200D42"/>
    <w:rsid w:val="00200F0A"/>
    <w:rsid w:val="00201F9B"/>
    <w:rsid w:val="002026D9"/>
    <w:rsid w:val="00203D92"/>
    <w:rsid w:val="002048EE"/>
    <w:rsid w:val="0020619D"/>
    <w:rsid w:val="00206B68"/>
    <w:rsid w:val="002077E8"/>
    <w:rsid w:val="00207B4D"/>
    <w:rsid w:val="00211319"/>
    <w:rsid w:val="00211C5C"/>
    <w:rsid w:val="0021339E"/>
    <w:rsid w:val="0021500C"/>
    <w:rsid w:val="00215C4C"/>
    <w:rsid w:val="00216765"/>
    <w:rsid w:val="0022051A"/>
    <w:rsid w:val="0022461E"/>
    <w:rsid w:val="00224CD0"/>
    <w:rsid w:val="002266CD"/>
    <w:rsid w:val="00226E1F"/>
    <w:rsid w:val="00231C41"/>
    <w:rsid w:val="00231D7E"/>
    <w:rsid w:val="00232832"/>
    <w:rsid w:val="00232F63"/>
    <w:rsid w:val="00233C7D"/>
    <w:rsid w:val="0023443F"/>
    <w:rsid w:val="0023507D"/>
    <w:rsid w:val="00235201"/>
    <w:rsid w:val="00235604"/>
    <w:rsid w:val="00236CE0"/>
    <w:rsid w:val="00237641"/>
    <w:rsid w:val="0024015A"/>
    <w:rsid w:val="00241460"/>
    <w:rsid w:val="00243513"/>
    <w:rsid w:val="00243EF7"/>
    <w:rsid w:val="00244C72"/>
    <w:rsid w:val="00244D59"/>
    <w:rsid w:val="00245773"/>
    <w:rsid w:val="002472A7"/>
    <w:rsid w:val="002508B7"/>
    <w:rsid w:val="002512C9"/>
    <w:rsid w:val="00252748"/>
    <w:rsid w:val="0025335E"/>
    <w:rsid w:val="00253EC3"/>
    <w:rsid w:val="00254146"/>
    <w:rsid w:val="00254E79"/>
    <w:rsid w:val="00255735"/>
    <w:rsid w:val="002568F8"/>
    <w:rsid w:val="00256B4D"/>
    <w:rsid w:val="00261A59"/>
    <w:rsid w:val="0026238F"/>
    <w:rsid w:val="002624A6"/>
    <w:rsid w:val="002629A3"/>
    <w:rsid w:val="002631C6"/>
    <w:rsid w:val="00263E44"/>
    <w:rsid w:val="0026658E"/>
    <w:rsid w:val="00266634"/>
    <w:rsid w:val="00266705"/>
    <w:rsid w:val="002713DE"/>
    <w:rsid w:val="00271472"/>
    <w:rsid w:val="00274935"/>
    <w:rsid w:val="00280963"/>
    <w:rsid w:val="00280CA7"/>
    <w:rsid w:val="00281EFE"/>
    <w:rsid w:val="002821EF"/>
    <w:rsid w:val="00282574"/>
    <w:rsid w:val="00284D9A"/>
    <w:rsid w:val="002859A4"/>
    <w:rsid w:val="00285BD5"/>
    <w:rsid w:val="00286B56"/>
    <w:rsid w:val="0028778F"/>
    <w:rsid w:val="00287A6E"/>
    <w:rsid w:val="00291766"/>
    <w:rsid w:val="00297AEA"/>
    <w:rsid w:val="002A0286"/>
    <w:rsid w:val="002A0B6F"/>
    <w:rsid w:val="002A0F7C"/>
    <w:rsid w:val="002A16D5"/>
    <w:rsid w:val="002A3CA5"/>
    <w:rsid w:val="002A7262"/>
    <w:rsid w:val="002B19A0"/>
    <w:rsid w:val="002B26E8"/>
    <w:rsid w:val="002B32B4"/>
    <w:rsid w:val="002B4C7F"/>
    <w:rsid w:val="002B4FB9"/>
    <w:rsid w:val="002B4FD8"/>
    <w:rsid w:val="002B5ACA"/>
    <w:rsid w:val="002B7DD4"/>
    <w:rsid w:val="002C3BE7"/>
    <w:rsid w:val="002C56EE"/>
    <w:rsid w:val="002C5B05"/>
    <w:rsid w:val="002C700B"/>
    <w:rsid w:val="002C793C"/>
    <w:rsid w:val="002D0ED0"/>
    <w:rsid w:val="002D1439"/>
    <w:rsid w:val="002D172B"/>
    <w:rsid w:val="002D1B37"/>
    <w:rsid w:val="002D2F07"/>
    <w:rsid w:val="002D4A52"/>
    <w:rsid w:val="002D7CAA"/>
    <w:rsid w:val="002E00B3"/>
    <w:rsid w:val="002E396C"/>
    <w:rsid w:val="002E4DB7"/>
    <w:rsid w:val="002E5884"/>
    <w:rsid w:val="002E68B5"/>
    <w:rsid w:val="002E6999"/>
    <w:rsid w:val="002E6FF7"/>
    <w:rsid w:val="002E79D4"/>
    <w:rsid w:val="002F2E77"/>
    <w:rsid w:val="002F4F97"/>
    <w:rsid w:val="002F60CC"/>
    <w:rsid w:val="002F629D"/>
    <w:rsid w:val="00301E0C"/>
    <w:rsid w:val="0030468F"/>
    <w:rsid w:val="003053A2"/>
    <w:rsid w:val="0030688C"/>
    <w:rsid w:val="0031201B"/>
    <w:rsid w:val="00312AFC"/>
    <w:rsid w:val="00313025"/>
    <w:rsid w:val="003134B0"/>
    <w:rsid w:val="00313BF5"/>
    <w:rsid w:val="0031450D"/>
    <w:rsid w:val="00317B9F"/>
    <w:rsid w:val="003201AF"/>
    <w:rsid w:val="00321FEA"/>
    <w:rsid w:val="0032234D"/>
    <w:rsid w:val="003235DE"/>
    <w:rsid w:val="00323C1D"/>
    <w:rsid w:val="00323FB2"/>
    <w:rsid w:val="00325A6D"/>
    <w:rsid w:val="00333657"/>
    <w:rsid w:val="003348E0"/>
    <w:rsid w:val="003377C1"/>
    <w:rsid w:val="00340084"/>
    <w:rsid w:val="00340AE9"/>
    <w:rsid w:val="0034138A"/>
    <w:rsid w:val="00341EB4"/>
    <w:rsid w:val="003422A0"/>
    <w:rsid w:val="003423BA"/>
    <w:rsid w:val="00343FAA"/>
    <w:rsid w:val="003442E0"/>
    <w:rsid w:val="0034478D"/>
    <w:rsid w:val="00344AF1"/>
    <w:rsid w:val="00347ECD"/>
    <w:rsid w:val="003511DF"/>
    <w:rsid w:val="00351E7D"/>
    <w:rsid w:val="00353B5C"/>
    <w:rsid w:val="003540DF"/>
    <w:rsid w:val="0035482D"/>
    <w:rsid w:val="00354D96"/>
    <w:rsid w:val="003551AB"/>
    <w:rsid w:val="0035542D"/>
    <w:rsid w:val="0035750E"/>
    <w:rsid w:val="00360CAD"/>
    <w:rsid w:val="00360FEC"/>
    <w:rsid w:val="00361771"/>
    <w:rsid w:val="0036187A"/>
    <w:rsid w:val="00363B2F"/>
    <w:rsid w:val="00365710"/>
    <w:rsid w:val="0036644F"/>
    <w:rsid w:val="00366995"/>
    <w:rsid w:val="0036748E"/>
    <w:rsid w:val="00367AAE"/>
    <w:rsid w:val="00370403"/>
    <w:rsid w:val="00374980"/>
    <w:rsid w:val="003752AC"/>
    <w:rsid w:val="00375B2F"/>
    <w:rsid w:val="0037641A"/>
    <w:rsid w:val="0038100B"/>
    <w:rsid w:val="00381588"/>
    <w:rsid w:val="003817F8"/>
    <w:rsid w:val="00382C7F"/>
    <w:rsid w:val="00382EAE"/>
    <w:rsid w:val="0038514D"/>
    <w:rsid w:val="00387E69"/>
    <w:rsid w:val="003901BB"/>
    <w:rsid w:val="0039180F"/>
    <w:rsid w:val="0039349F"/>
    <w:rsid w:val="00394C9B"/>
    <w:rsid w:val="00395423"/>
    <w:rsid w:val="003957D5"/>
    <w:rsid w:val="003963FD"/>
    <w:rsid w:val="00396D9F"/>
    <w:rsid w:val="0039725D"/>
    <w:rsid w:val="003A033E"/>
    <w:rsid w:val="003A2F19"/>
    <w:rsid w:val="003A4356"/>
    <w:rsid w:val="003A53B1"/>
    <w:rsid w:val="003A6CB4"/>
    <w:rsid w:val="003A70A0"/>
    <w:rsid w:val="003A72DF"/>
    <w:rsid w:val="003B36CB"/>
    <w:rsid w:val="003B4FD6"/>
    <w:rsid w:val="003B58A3"/>
    <w:rsid w:val="003B58FA"/>
    <w:rsid w:val="003B6AA2"/>
    <w:rsid w:val="003B6CCA"/>
    <w:rsid w:val="003B7029"/>
    <w:rsid w:val="003C0DD8"/>
    <w:rsid w:val="003C10FF"/>
    <w:rsid w:val="003C154F"/>
    <w:rsid w:val="003C1844"/>
    <w:rsid w:val="003C1A52"/>
    <w:rsid w:val="003C4002"/>
    <w:rsid w:val="003C6E70"/>
    <w:rsid w:val="003C7453"/>
    <w:rsid w:val="003D147B"/>
    <w:rsid w:val="003D18A1"/>
    <w:rsid w:val="003D2487"/>
    <w:rsid w:val="003D2A91"/>
    <w:rsid w:val="003D42EB"/>
    <w:rsid w:val="003D5920"/>
    <w:rsid w:val="003D63A7"/>
    <w:rsid w:val="003D7BDF"/>
    <w:rsid w:val="003E04E3"/>
    <w:rsid w:val="003E0BB1"/>
    <w:rsid w:val="003E1722"/>
    <w:rsid w:val="003E22CA"/>
    <w:rsid w:val="003E2375"/>
    <w:rsid w:val="003E3230"/>
    <w:rsid w:val="003E3683"/>
    <w:rsid w:val="003E4F60"/>
    <w:rsid w:val="003E5345"/>
    <w:rsid w:val="003E7042"/>
    <w:rsid w:val="003E7353"/>
    <w:rsid w:val="003E77EE"/>
    <w:rsid w:val="003F103A"/>
    <w:rsid w:val="003F1BFE"/>
    <w:rsid w:val="003F2D27"/>
    <w:rsid w:val="003F3C16"/>
    <w:rsid w:val="003F6973"/>
    <w:rsid w:val="0040009B"/>
    <w:rsid w:val="00400729"/>
    <w:rsid w:val="0040093E"/>
    <w:rsid w:val="00400BD2"/>
    <w:rsid w:val="0040195C"/>
    <w:rsid w:val="00401C4C"/>
    <w:rsid w:val="004022DB"/>
    <w:rsid w:val="004038EF"/>
    <w:rsid w:val="00404EE2"/>
    <w:rsid w:val="00406AD0"/>
    <w:rsid w:val="004073F4"/>
    <w:rsid w:val="00407555"/>
    <w:rsid w:val="004077D9"/>
    <w:rsid w:val="0041414D"/>
    <w:rsid w:val="00417E7D"/>
    <w:rsid w:val="00420B37"/>
    <w:rsid w:val="00420F6C"/>
    <w:rsid w:val="00421968"/>
    <w:rsid w:val="00422FC1"/>
    <w:rsid w:val="00423484"/>
    <w:rsid w:val="00423D7B"/>
    <w:rsid w:val="00424907"/>
    <w:rsid w:val="00424E86"/>
    <w:rsid w:val="00425260"/>
    <w:rsid w:val="004303C0"/>
    <w:rsid w:val="0043590D"/>
    <w:rsid w:val="00437370"/>
    <w:rsid w:val="00440D7E"/>
    <w:rsid w:val="00441B39"/>
    <w:rsid w:val="00443332"/>
    <w:rsid w:val="00443911"/>
    <w:rsid w:val="004447B9"/>
    <w:rsid w:val="00444906"/>
    <w:rsid w:val="00446635"/>
    <w:rsid w:val="00446941"/>
    <w:rsid w:val="00451F2F"/>
    <w:rsid w:val="004525E3"/>
    <w:rsid w:val="00453C33"/>
    <w:rsid w:val="00454319"/>
    <w:rsid w:val="00461FC7"/>
    <w:rsid w:val="00463140"/>
    <w:rsid w:val="004633EC"/>
    <w:rsid w:val="00463494"/>
    <w:rsid w:val="00463E51"/>
    <w:rsid w:val="00466E2C"/>
    <w:rsid w:val="0046772D"/>
    <w:rsid w:val="00467AF7"/>
    <w:rsid w:val="00471542"/>
    <w:rsid w:val="00471D2D"/>
    <w:rsid w:val="00473056"/>
    <w:rsid w:val="00475A6C"/>
    <w:rsid w:val="00475C8B"/>
    <w:rsid w:val="0047685F"/>
    <w:rsid w:val="0047760D"/>
    <w:rsid w:val="00481018"/>
    <w:rsid w:val="00482F67"/>
    <w:rsid w:val="004832C4"/>
    <w:rsid w:val="004838D8"/>
    <w:rsid w:val="004848CA"/>
    <w:rsid w:val="00485106"/>
    <w:rsid w:val="00485F05"/>
    <w:rsid w:val="004867D4"/>
    <w:rsid w:val="00487610"/>
    <w:rsid w:val="004878EB"/>
    <w:rsid w:val="00487AA6"/>
    <w:rsid w:val="00490485"/>
    <w:rsid w:val="004908DA"/>
    <w:rsid w:val="0049101A"/>
    <w:rsid w:val="00491901"/>
    <w:rsid w:val="004952DA"/>
    <w:rsid w:val="00495845"/>
    <w:rsid w:val="00495F8B"/>
    <w:rsid w:val="004A0061"/>
    <w:rsid w:val="004A0E18"/>
    <w:rsid w:val="004A1A23"/>
    <w:rsid w:val="004A2D62"/>
    <w:rsid w:val="004A3B41"/>
    <w:rsid w:val="004A3B93"/>
    <w:rsid w:val="004A3F31"/>
    <w:rsid w:val="004A4CC6"/>
    <w:rsid w:val="004A729D"/>
    <w:rsid w:val="004A75E5"/>
    <w:rsid w:val="004B06A3"/>
    <w:rsid w:val="004B1288"/>
    <w:rsid w:val="004B1791"/>
    <w:rsid w:val="004B2391"/>
    <w:rsid w:val="004B3961"/>
    <w:rsid w:val="004B3DF8"/>
    <w:rsid w:val="004B3F4C"/>
    <w:rsid w:val="004B5121"/>
    <w:rsid w:val="004B761C"/>
    <w:rsid w:val="004C1759"/>
    <w:rsid w:val="004C1FDF"/>
    <w:rsid w:val="004C342C"/>
    <w:rsid w:val="004C3E40"/>
    <w:rsid w:val="004C40B7"/>
    <w:rsid w:val="004C44BC"/>
    <w:rsid w:val="004C4726"/>
    <w:rsid w:val="004C56E0"/>
    <w:rsid w:val="004D2105"/>
    <w:rsid w:val="004D26C9"/>
    <w:rsid w:val="004D28FD"/>
    <w:rsid w:val="004D4B8B"/>
    <w:rsid w:val="004D531F"/>
    <w:rsid w:val="004D7AEE"/>
    <w:rsid w:val="004E089D"/>
    <w:rsid w:val="004E1EED"/>
    <w:rsid w:val="004E2046"/>
    <w:rsid w:val="004F1EFA"/>
    <w:rsid w:val="004F1FAB"/>
    <w:rsid w:val="004F2099"/>
    <w:rsid w:val="004F279F"/>
    <w:rsid w:val="004F2BAB"/>
    <w:rsid w:val="004F4919"/>
    <w:rsid w:val="004F4CF8"/>
    <w:rsid w:val="004F6019"/>
    <w:rsid w:val="004F668D"/>
    <w:rsid w:val="004F7074"/>
    <w:rsid w:val="004F7646"/>
    <w:rsid w:val="00500818"/>
    <w:rsid w:val="0050124D"/>
    <w:rsid w:val="00502025"/>
    <w:rsid w:val="00503C53"/>
    <w:rsid w:val="00505B01"/>
    <w:rsid w:val="0050634B"/>
    <w:rsid w:val="00506684"/>
    <w:rsid w:val="00506F91"/>
    <w:rsid w:val="00510CEB"/>
    <w:rsid w:val="00515855"/>
    <w:rsid w:val="005165F1"/>
    <w:rsid w:val="005203DA"/>
    <w:rsid w:val="00524EF0"/>
    <w:rsid w:val="005256A0"/>
    <w:rsid w:val="00525A75"/>
    <w:rsid w:val="00525EF8"/>
    <w:rsid w:val="00527A4C"/>
    <w:rsid w:val="00527B0C"/>
    <w:rsid w:val="00527DB8"/>
    <w:rsid w:val="005305CD"/>
    <w:rsid w:val="00531218"/>
    <w:rsid w:val="00531310"/>
    <w:rsid w:val="00531E04"/>
    <w:rsid w:val="00531EC8"/>
    <w:rsid w:val="00532E6E"/>
    <w:rsid w:val="00533B7A"/>
    <w:rsid w:val="00533C4D"/>
    <w:rsid w:val="00533C54"/>
    <w:rsid w:val="005341DC"/>
    <w:rsid w:val="005346C0"/>
    <w:rsid w:val="00534B8A"/>
    <w:rsid w:val="00536C65"/>
    <w:rsid w:val="00537FF2"/>
    <w:rsid w:val="0054117B"/>
    <w:rsid w:val="005435FB"/>
    <w:rsid w:val="00543EFD"/>
    <w:rsid w:val="0054474E"/>
    <w:rsid w:val="00545A22"/>
    <w:rsid w:val="005467E3"/>
    <w:rsid w:val="00546D85"/>
    <w:rsid w:val="005470D9"/>
    <w:rsid w:val="00547212"/>
    <w:rsid w:val="005500D3"/>
    <w:rsid w:val="005507DB"/>
    <w:rsid w:val="00551A58"/>
    <w:rsid w:val="00552AE6"/>
    <w:rsid w:val="00552AF2"/>
    <w:rsid w:val="00553738"/>
    <w:rsid w:val="00553E6C"/>
    <w:rsid w:val="005540A2"/>
    <w:rsid w:val="005544A0"/>
    <w:rsid w:val="0055593F"/>
    <w:rsid w:val="00557E2F"/>
    <w:rsid w:val="005604AA"/>
    <w:rsid w:val="00560F0E"/>
    <w:rsid w:val="00561F32"/>
    <w:rsid w:val="00563D1B"/>
    <w:rsid w:val="0056417D"/>
    <w:rsid w:val="005652AF"/>
    <w:rsid w:val="005666A5"/>
    <w:rsid w:val="00570432"/>
    <w:rsid w:val="005727C1"/>
    <w:rsid w:val="00575D54"/>
    <w:rsid w:val="00576554"/>
    <w:rsid w:val="00576A4A"/>
    <w:rsid w:val="005771DF"/>
    <w:rsid w:val="005806AA"/>
    <w:rsid w:val="0058074D"/>
    <w:rsid w:val="00580A44"/>
    <w:rsid w:val="00581527"/>
    <w:rsid w:val="00581547"/>
    <w:rsid w:val="00583895"/>
    <w:rsid w:val="00584FC5"/>
    <w:rsid w:val="005850DA"/>
    <w:rsid w:val="00585301"/>
    <w:rsid w:val="0059094D"/>
    <w:rsid w:val="00590EE1"/>
    <w:rsid w:val="005917F5"/>
    <w:rsid w:val="00592B9A"/>
    <w:rsid w:val="00592C74"/>
    <w:rsid w:val="00593EF2"/>
    <w:rsid w:val="00594717"/>
    <w:rsid w:val="0059506B"/>
    <w:rsid w:val="0059569B"/>
    <w:rsid w:val="00596AA5"/>
    <w:rsid w:val="00596BB5"/>
    <w:rsid w:val="005A007D"/>
    <w:rsid w:val="005A08F0"/>
    <w:rsid w:val="005A0920"/>
    <w:rsid w:val="005A147C"/>
    <w:rsid w:val="005A19AF"/>
    <w:rsid w:val="005A25C7"/>
    <w:rsid w:val="005A3C00"/>
    <w:rsid w:val="005A3D99"/>
    <w:rsid w:val="005A6E65"/>
    <w:rsid w:val="005A7913"/>
    <w:rsid w:val="005B25A4"/>
    <w:rsid w:val="005B2A38"/>
    <w:rsid w:val="005B2A94"/>
    <w:rsid w:val="005B6BFC"/>
    <w:rsid w:val="005B7A17"/>
    <w:rsid w:val="005B7CF6"/>
    <w:rsid w:val="005C0304"/>
    <w:rsid w:val="005C0515"/>
    <w:rsid w:val="005C0530"/>
    <w:rsid w:val="005C15ED"/>
    <w:rsid w:val="005C51C1"/>
    <w:rsid w:val="005C6607"/>
    <w:rsid w:val="005C6AF7"/>
    <w:rsid w:val="005C76EF"/>
    <w:rsid w:val="005C797E"/>
    <w:rsid w:val="005D2EBE"/>
    <w:rsid w:val="005D3A43"/>
    <w:rsid w:val="005D4621"/>
    <w:rsid w:val="005D63BE"/>
    <w:rsid w:val="005D6F46"/>
    <w:rsid w:val="005E054E"/>
    <w:rsid w:val="005E60B7"/>
    <w:rsid w:val="005E7077"/>
    <w:rsid w:val="005F1503"/>
    <w:rsid w:val="005F39F1"/>
    <w:rsid w:val="005F43B7"/>
    <w:rsid w:val="005F5265"/>
    <w:rsid w:val="005F52C2"/>
    <w:rsid w:val="005F5844"/>
    <w:rsid w:val="005F7632"/>
    <w:rsid w:val="00601C73"/>
    <w:rsid w:val="0060278E"/>
    <w:rsid w:val="006028E1"/>
    <w:rsid w:val="00602F6F"/>
    <w:rsid w:val="00603625"/>
    <w:rsid w:val="0060403C"/>
    <w:rsid w:val="00604B40"/>
    <w:rsid w:val="00604F56"/>
    <w:rsid w:val="006055C5"/>
    <w:rsid w:val="00605C58"/>
    <w:rsid w:val="00607450"/>
    <w:rsid w:val="00610C54"/>
    <w:rsid w:val="00612156"/>
    <w:rsid w:val="00612578"/>
    <w:rsid w:val="00614763"/>
    <w:rsid w:val="00614EDA"/>
    <w:rsid w:val="00615202"/>
    <w:rsid w:val="00615278"/>
    <w:rsid w:val="00615F64"/>
    <w:rsid w:val="00617000"/>
    <w:rsid w:val="006210AA"/>
    <w:rsid w:val="006212C1"/>
    <w:rsid w:val="0062197E"/>
    <w:rsid w:val="00624470"/>
    <w:rsid w:val="00624D97"/>
    <w:rsid w:val="0062540A"/>
    <w:rsid w:val="00626385"/>
    <w:rsid w:val="00626897"/>
    <w:rsid w:val="00626B08"/>
    <w:rsid w:val="0063237E"/>
    <w:rsid w:val="00633FCB"/>
    <w:rsid w:val="006345FF"/>
    <w:rsid w:val="00634954"/>
    <w:rsid w:val="00634C64"/>
    <w:rsid w:val="0063636E"/>
    <w:rsid w:val="00637181"/>
    <w:rsid w:val="0063761F"/>
    <w:rsid w:val="00637C15"/>
    <w:rsid w:val="00642845"/>
    <w:rsid w:val="006433A7"/>
    <w:rsid w:val="00644E56"/>
    <w:rsid w:val="006452A7"/>
    <w:rsid w:val="00646178"/>
    <w:rsid w:val="00646941"/>
    <w:rsid w:val="0064789B"/>
    <w:rsid w:val="00651EA4"/>
    <w:rsid w:val="00652D31"/>
    <w:rsid w:val="00653E30"/>
    <w:rsid w:val="00656E6B"/>
    <w:rsid w:val="006605F6"/>
    <w:rsid w:val="00660E22"/>
    <w:rsid w:val="006615CA"/>
    <w:rsid w:val="00662496"/>
    <w:rsid w:val="006628DA"/>
    <w:rsid w:val="006629DB"/>
    <w:rsid w:val="00663073"/>
    <w:rsid w:val="006639DA"/>
    <w:rsid w:val="00664E7D"/>
    <w:rsid w:val="00665308"/>
    <w:rsid w:val="00666974"/>
    <w:rsid w:val="006672F1"/>
    <w:rsid w:val="00667BE5"/>
    <w:rsid w:val="00671277"/>
    <w:rsid w:val="00674BFF"/>
    <w:rsid w:val="0067594D"/>
    <w:rsid w:val="00675A6A"/>
    <w:rsid w:val="00675CF4"/>
    <w:rsid w:val="00675F25"/>
    <w:rsid w:val="00677D17"/>
    <w:rsid w:val="006820D0"/>
    <w:rsid w:val="00685364"/>
    <w:rsid w:val="00686185"/>
    <w:rsid w:val="006869D1"/>
    <w:rsid w:val="0068702F"/>
    <w:rsid w:val="00690B7C"/>
    <w:rsid w:val="00691F11"/>
    <w:rsid w:val="00692EE5"/>
    <w:rsid w:val="0069332D"/>
    <w:rsid w:val="0069347D"/>
    <w:rsid w:val="00693969"/>
    <w:rsid w:val="00693ECB"/>
    <w:rsid w:val="00694649"/>
    <w:rsid w:val="006962AB"/>
    <w:rsid w:val="00696DD2"/>
    <w:rsid w:val="00697D51"/>
    <w:rsid w:val="006A4366"/>
    <w:rsid w:val="006A6324"/>
    <w:rsid w:val="006A6DF3"/>
    <w:rsid w:val="006A7681"/>
    <w:rsid w:val="006B19A5"/>
    <w:rsid w:val="006B1AFD"/>
    <w:rsid w:val="006B4819"/>
    <w:rsid w:val="006B4E3D"/>
    <w:rsid w:val="006B6C7C"/>
    <w:rsid w:val="006C03B0"/>
    <w:rsid w:val="006C20C1"/>
    <w:rsid w:val="006C23C8"/>
    <w:rsid w:val="006C2E28"/>
    <w:rsid w:val="006C3CF2"/>
    <w:rsid w:val="006C5B3D"/>
    <w:rsid w:val="006C5C1D"/>
    <w:rsid w:val="006C6923"/>
    <w:rsid w:val="006C6965"/>
    <w:rsid w:val="006C735A"/>
    <w:rsid w:val="006D06B4"/>
    <w:rsid w:val="006D0A4D"/>
    <w:rsid w:val="006D0BF9"/>
    <w:rsid w:val="006D27C7"/>
    <w:rsid w:val="006D4098"/>
    <w:rsid w:val="006D466D"/>
    <w:rsid w:val="006D555A"/>
    <w:rsid w:val="006D6E27"/>
    <w:rsid w:val="006D7A67"/>
    <w:rsid w:val="006E253D"/>
    <w:rsid w:val="006E26B5"/>
    <w:rsid w:val="006E33A6"/>
    <w:rsid w:val="006E33E4"/>
    <w:rsid w:val="006E3564"/>
    <w:rsid w:val="006E5740"/>
    <w:rsid w:val="006E6049"/>
    <w:rsid w:val="006E6085"/>
    <w:rsid w:val="006E6917"/>
    <w:rsid w:val="006E6CE7"/>
    <w:rsid w:val="006F123E"/>
    <w:rsid w:val="006F201B"/>
    <w:rsid w:val="006F3056"/>
    <w:rsid w:val="006F6457"/>
    <w:rsid w:val="006F73E9"/>
    <w:rsid w:val="00700105"/>
    <w:rsid w:val="007007F5"/>
    <w:rsid w:val="00701E67"/>
    <w:rsid w:val="00704DC9"/>
    <w:rsid w:val="007050FF"/>
    <w:rsid w:val="00705200"/>
    <w:rsid w:val="00706B3F"/>
    <w:rsid w:val="00707D41"/>
    <w:rsid w:val="007123A7"/>
    <w:rsid w:val="00712571"/>
    <w:rsid w:val="00716FFF"/>
    <w:rsid w:val="00717949"/>
    <w:rsid w:val="00724228"/>
    <w:rsid w:val="007253A8"/>
    <w:rsid w:val="00726320"/>
    <w:rsid w:val="007266D4"/>
    <w:rsid w:val="00726846"/>
    <w:rsid w:val="00730A17"/>
    <w:rsid w:val="00732A59"/>
    <w:rsid w:val="00732CCB"/>
    <w:rsid w:val="0073487B"/>
    <w:rsid w:val="00735B54"/>
    <w:rsid w:val="00735C3B"/>
    <w:rsid w:val="00736D79"/>
    <w:rsid w:val="0073745A"/>
    <w:rsid w:val="00740DE6"/>
    <w:rsid w:val="007444BB"/>
    <w:rsid w:val="0074479A"/>
    <w:rsid w:val="00744921"/>
    <w:rsid w:val="007457FF"/>
    <w:rsid w:val="00746877"/>
    <w:rsid w:val="00746D0D"/>
    <w:rsid w:val="007506A3"/>
    <w:rsid w:val="00751A2B"/>
    <w:rsid w:val="00752A81"/>
    <w:rsid w:val="007541E8"/>
    <w:rsid w:val="0075442E"/>
    <w:rsid w:val="007544AE"/>
    <w:rsid w:val="00754F2C"/>
    <w:rsid w:val="007553C9"/>
    <w:rsid w:val="007574CA"/>
    <w:rsid w:val="00757614"/>
    <w:rsid w:val="007606B4"/>
    <w:rsid w:val="00760B7F"/>
    <w:rsid w:val="00760BAB"/>
    <w:rsid w:val="00762159"/>
    <w:rsid w:val="007633FE"/>
    <w:rsid w:val="00763A5F"/>
    <w:rsid w:val="00764129"/>
    <w:rsid w:val="007668E5"/>
    <w:rsid w:val="00771B1D"/>
    <w:rsid w:val="00771BD0"/>
    <w:rsid w:val="00772219"/>
    <w:rsid w:val="007728DD"/>
    <w:rsid w:val="00772C10"/>
    <w:rsid w:val="00773866"/>
    <w:rsid w:val="00775F28"/>
    <w:rsid w:val="00776B99"/>
    <w:rsid w:val="0078159F"/>
    <w:rsid w:val="0078266B"/>
    <w:rsid w:val="00783AE7"/>
    <w:rsid w:val="007847A7"/>
    <w:rsid w:val="00785970"/>
    <w:rsid w:val="007865AF"/>
    <w:rsid w:val="00787EE9"/>
    <w:rsid w:val="00792791"/>
    <w:rsid w:val="00792DC6"/>
    <w:rsid w:val="00793772"/>
    <w:rsid w:val="00794441"/>
    <w:rsid w:val="0079483B"/>
    <w:rsid w:val="00795655"/>
    <w:rsid w:val="00796BC8"/>
    <w:rsid w:val="007A095D"/>
    <w:rsid w:val="007A0C1F"/>
    <w:rsid w:val="007A0FF0"/>
    <w:rsid w:val="007A2B74"/>
    <w:rsid w:val="007A2FC7"/>
    <w:rsid w:val="007A5CEA"/>
    <w:rsid w:val="007A67F1"/>
    <w:rsid w:val="007A6FF7"/>
    <w:rsid w:val="007A74D9"/>
    <w:rsid w:val="007A7737"/>
    <w:rsid w:val="007B0F35"/>
    <w:rsid w:val="007B4E0D"/>
    <w:rsid w:val="007B5746"/>
    <w:rsid w:val="007B6D87"/>
    <w:rsid w:val="007B7276"/>
    <w:rsid w:val="007C03C8"/>
    <w:rsid w:val="007C0994"/>
    <w:rsid w:val="007C1BBF"/>
    <w:rsid w:val="007C1CAE"/>
    <w:rsid w:val="007C501A"/>
    <w:rsid w:val="007C50EC"/>
    <w:rsid w:val="007C55CF"/>
    <w:rsid w:val="007C5DFF"/>
    <w:rsid w:val="007C78FC"/>
    <w:rsid w:val="007D09CF"/>
    <w:rsid w:val="007D18C1"/>
    <w:rsid w:val="007D278D"/>
    <w:rsid w:val="007D28D8"/>
    <w:rsid w:val="007D296F"/>
    <w:rsid w:val="007D3CBE"/>
    <w:rsid w:val="007D42EC"/>
    <w:rsid w:val="007D4A2D"/>
    <w:rsid w:val="007D4C73"/>
    <w:rsid w:val="007D553C"/>
    <w:rsid w:val="007D69F3"/>
    <w:rsid w:val="007D6E9B"/>
    <w:rsid w:val="007D72D8"/>
    <w:rsid w:val="007D74EE"/>
    <w:rsid w:val="007E16F5"/>
    <w:rsid w:val="007E1E61"/>
    <w:rsid w:val="007E2291"/>
    <w:rsid w:val="007E35C6"/>
    <w:rsid w:val="007E48B5"/>
    <w:rsid w:val="007F0843"/>
    <w:rsid w:val="007F08BF"/>
    <w:rsid w:val="007F167A"/>
    <w:rsid w:val="007F1F19"/>
    <w:rsid w:val="007F2B4E"/>
    <w:rsid w:val="007F3F73"/>
    <w:rsid w:val="007F4C07"/>
    <w:rsid w:val="007F5173"/>
    <w:rsid w:val="007F54DE"/>
    <w:rsid w:val="007F5F3D"/>
    <w:rsid w:val="007F5FF5"/>
    <w:rsid w:val="0080032F"/>
    <w:rsid w:val="00804383"/>
    <w:rsid w:val="008061CA"/>
    <w:rsid w:val="0080679F"/>
    <w:rsid w:val="00806A77"/>
    <w:rsid w:val="00806DF4"/>
    <w:rsid w:val="00806E7F"/>
    <w:rsid w:val="00807A00"/>
    <w:rsid w:val="00811E12"/>
    <w:rsid w:val="008127B5"/>
    <w:rsid w:val="00812E89"/>
    <w:rsid w:val="008143B9"/>
    <w:rsid w:val="00815BAE"/>
    <w:rsid w:val="00816700"/>
    <w:rsid w:val="008169F1"/>
    <w:rsid w:val="00816CBE"/>
    <w:rsid w:val="00821549"/>
    <w:rsid w:val="008236B8"/>
    <w:rsid w:val="0082424D"/>
    <w:rsid w:val="00824DF1"/>
    <w:rsid w:val="00825895"/>
    <w:rsid w:val="00825909"/>
    <w:rsid w:val="00826447"/>
    <w:rsid w:val="00826973"/>
    <w:rsid w:val="00826FCA"/>
    <w:rsid w:val="008308DA"/>
    <w:rsid w:val="008321CE"/>
    <w:rsid w:val="0083465A"/>
    <w:rsid w:val="00834944"/>
    <w:rsid w:val="008349D2"/>
    <w:rsid w:val="00835A73"/>
    <w:rsid w:val="008363D8"/>
    <w:rsid w:val="00837FD9"/>
    <w:rsid w:val="0084017D"/>
    <w:rsid w:val="0084099C"/>
    <w:rsid w:val="008426C4"/>
    <w:rsid w:val="008432C1"/>
    <w:rsid w:val="00844C4C"/>
    <w:rsid w:val="008451E2"/>
    <w:rsid w:val="00845EA0"/>
    <w:rsid w:val="00847D8F"/>
    <w:rsid w:val="0085145E"/>
    <w:rsid w:val="0085188C"/>
    <w:rsid w:val="0085297B"/>
    <w:rsid w:val="00852FED"/>
    <w:rsid w:val="0085311B"/>
    <w:rsid w:val="00853188"/>
    <w:rsid w:val="00853E54"/>
    <w:rsid w:val="0085434F"/>
    <w:rsid w:val="00854941"/>
    <w:rsid w:val="00855802"/>
    <w:rsid w:val="0085625D"/>
    <w:rsid w:val="008563C6"/>
    <w:rsid w:val="00856690"/>
    <w:rsid w:val="00856DA7"/>
    <w:rsid w:val="008570F4"/>
    <w:rsid w:val="00857697"/>
    <w:rsid w:val="00860821"/>
    <w:rsid w:val="00860BE9"/>
    <w:rsid w:val="00862067"/>
    <w:rsid w:val="008640FF"/>
    <w:rsid w:val="008650F9"/>
    <w:rsid w:val="00865A22"/>
    <w:rsid w:val="00865C67"/>
    <w:rsid w:val="0086721F"/>
    <w:rsid w:val="00870C28"/>
    <w:rsid w:val="00871F55"/>
    <w:rsid w:val="008722A5"/>
    <w:rsid w:val="008722C8"/>
    <w:rsid w:val="00872F66"/>
    <w:rsid w:val="00877AB2"/>
    <w:rsid w:val="00880CCF"/>
    <w:rsid w:val="00882603"/>
    <w:rsid w:val="00883613"/>
    <w:rsid w:val="00883704"/>
    <w:rsid w:val="0088414E"/>
    <w:rsid w:val="008846A7"/>
    <w:rsid w:val="00884B42"/>
    <w:rsid w:val="0088732B"/>
    <w:rsid w:val="00887C75"/>
    <w:rsid w:val="00887DC2"/>
    <w:rsid w:val="00891698"/>
    <w:rsid w:val="00891AD5"/>
    <w:rsid w:val="00891DFB"/>
    <w:rsid w:val="008931CA"/>
    <w:rsid w:val="00893290"/>
    <w:rsid w:val="0089380B"/>
    <w:rsid w:val="00893C6D"/>
    <w:rsid w:val="00894AF0"/>
    <w:rsid w:val="0089527F"/>
    <w:rsid w:val="00895DFE"/>
    <w:rsid w:val="0089637F"/>
    <w:rsid w:val="008965AA"/>
    <w:rsid w:val="008A0FDC"/>
    <w:rsid w:val="008A1348"/>
    <w:rsid w:val="008A1E7B"/>
    <w:rsid w:val="008A324B"/>
    <w:rsid w:val="008A4AC6"/>
    <w:rsid w:val="008A4AE8"/>
    <w:rsid w:val="008A4DE8"/>
    <w:rsid w:val="008A7E6E"/>
    <w:rsid w:val="008B16FF"/>
    <w:rsid w:val="008B2061"/>
    <w:rsid w:val="008B2B88"/>
    <w:rsid w:val="008B2B95"/>
    <w:rsid w:val="008B361A"/>
    <w:rsid w:val="008B3F27"/>
    <w:rsid w:val="008B5CFB"/>
    <w:rsid w:val="008B63B7"/>
    <w:rsid w:val="008B6DAE"/>
    <w:rsid w:val="008B7BF0"/>
    <w:rsid w:val="008B7F5B"/>
    <w:rsid w:val="008C075D"/>
    <w:rsid w:val="008C0F5A"/>
    <w:rsid w:val="008C2458"/>
    <w:rsid w:val="008C3BBF"/>
    <w:rsid w:val="008C52D5"/>
    <w:rsid w:val="008C618A"/>
    <w:rsid w:val="008C644D"/>
    <w:rsid w:val="008C6EA7"/>
    <w:rsid w:val="008D039F"/>
    <w:rsid w:val="008D0E83"/>
    <w:rsid w:val="008D0F17"/>
    <w:rsid w:val="008D1343"/>
    <w:rsid w:val="008D17CE"/>
    <w:rsid w:val="008D1B0B"/>
    <w:rsid w:val="008D28AC"/>
    <w:rsid w:val="008D2E84"/>
    <w:rsid w:val="008D5C4B"/>
    <w:rsid w:val="008D5FF0"/>
    <w:rsid w:val="008D750C"/>
    <w:rsid w:val="008D78C6"/>
    <w:rsid w:val="008E04F8"/>
    <w:rsid w:val="008E0C11"/>
    <w:rsid w:val="008E3EB2"/>
    <w:rsid w:val="008E4233"/>
    <w:rsid w:val="008E4ED1"/>
    <w:rsid w:val="008E5BE1"/>
    <w:rsid w:val="008E5CEB"/>
    <w:rsid w:val="008E5F1F"/>
    <w:rsid w:val="008F0020"/>
    <w:rsid w:val="008F00C6"/>
    <w:rsid w:val="008F076B"/>
    <w:rsid w:val="008F18A1"/>
    <w:rsid w:val="008F4BA8"/>
    <w:rsid w:val="008F6FEE"/>
    <w:rsid w:val="008F7800"/>
    <w:rsid w:val="00900BF5"/>
    <w:rsid w:val="00901066"/>
    <w:rsid w:val="00901D4B"/>
    <w:rsid w:val="009028DC"/>
    <w:rsid w:val="00902CC5"/>
    <w:rsid w:val="0090302F"/>
    <w:rsid w:val="00904DC1"/>
    <w:rsid w:val="00905DF7"/>
    <w:rsid w:val="00906688"/>
    <w:rsid w:val="0090723F"/>
    <w:rsid w:val="00910249"/>
    <w:rsid w:val="009104B3"/>
    <w:rsid w:val="00910530"/>
    <w:rsid w:val="009134FD"/>
    <w:rsid w:val="0091416C"/>
    <w:rsid w:val="00914ABE"/>
    <w:rsid w:val="009157D0"/>
    <w:rsid w:val="00915932"/>
    <w:rsid w:val="00916F68"/>
    <w:rsid w:val="0092027C"/>
    <w:rsid w:val="00920AB9"/>
    <w:rsid w:val="00920C95"/>
    <w:rsid w:val="00925B29"/>
    <w:rsid w:val="00925E6F"/>
    <w:rsid w:val="009267EB"/>
    <w:rsid w:val="009308B5"/>
    <w:rsid w:val="009308E2"/>
    <w:rsid w:val="00932125"/>
    <w:rsid w:val="00932597"/>
    <w:rsid w:val="009325BC"/>
    <w:rsid w:val="009332E2"/>
    <w:rsid w:val="00933BD3"/>
    <w:rsid w:val="0093463B"/>
    <w:rsid w:val="009351CB"/>
    <w:rsid w:val="00936003"/>
    <w:rsid w:val="00937080"/>
    <w:rsid w:val="0093717E"/>
    <w:rsid w:val="009402B4"/>
    <w:rsid w:val="00942915"/>
    <w:rsid w:val="00942A6D"/>
    <w:rsid w:val="00942B28"/>
    <w:rsid w:val="0094582B"/>
    <w:rsid w:val="009467D5"/>
    <w:rsid w:val="00947D58"/>
    <w:rsid w:val="0095218A"/>
    <w:rsid w:val="009521DD"/>
    <w:rsid w:val="009536FE"/>
    <w:rsid w:val="00957C46"/>
    <w:rsid w:val="009601F1"/>
    <w:rsid w:val="009603CD"/>
    <w:rsid w:val="00961A09"/>
    <w:rsid w:val="009629D6"/>
    <w:rsid w:val="00964372"/>
    <w:rsid w:val="00965A96"/>
    <w:rsid w:val="00966469"/>
    <w:rsid w:val="00966847"/>
    <w:rsid w:val="00970E67"/>
    <w:rsid w:val="009723A8"/>
    <w:rsid w:val="0097338B"/>
    <w:rsid w:val="00973514"/>
    <w:rsid w:val="0097376B"/>
    <w:rsid w:val="00973983"/>
    <w:rsid w:val="00976CBE"/>
    <w:rsid w:val="00977350"/>
    <w:rsid w:val="00977509"/>
    <w:rsid w:val="0097758A"/>
    <w:rsid w:val="009840E1"/>
    <w:rsid w:val="0098462E"/>
    <w:rsid w:val="00984A7E"/>
    <w:rsid w:val="00984CD3"/>
    <w:rsid w:val="00984E8D"/>
    <w:rsid w:val="0098576D"/>
    <w:rsid w:val="009862D2"/>
    <w:rsid w:val="00987031"/>
    <w:rsid w:val="00987139"/>
    <w:rsid w:val="009877F0"/>
    <w:rsid w:val="00990372"/>
    <w:rsid w:val="00990A73"/>
    <w:rsid w:val="00990B67"/>
    <w:rsid w:val="00990BF2"/>
    <w:rsid w:val="00991D3F"/>
    <w:rsid w:val="00991FE8"/>
    <w:rsid w:val="00992B63"/>
    <w:rsid w:val="00994744"/>
    <w:rsid w:val="00994E78"/>
    <w:rsid w:val="00994F1E"/>
    <w:rsid w:val="00995F8D"/>
    <w:rsid w:val="009A1469"/>
    <w:rsid w:val="009A1A3B"/>
    <w:rsid w:val="009A45DB"/>
    <w:rsid w:val="009A56AC"/>
    <w:rsid w:val="009A6057"/>
    <w:rsid w:val="009A7997"/>
    <w:rsid w:val="009B0833"/>
    <w:rsid w:val="009B15BC"/>
    <w:rsid w:val="009B2296"/>
    <w:rsid w:val="009B2C22"/>
    <w:rsid w:val="009B2D3E"/>
    <w:rsid w:val="009B3194"/>
    <w:rsid w:val="009B382C"/>
    <w:rsid w:val="009B58F0"/>
    <w:rsid w:val="009B6563"/>
    <w:rsid w:val="009B6876"/>
    <w:rsid w:val="009B73D4"/>
    <w:rsid w:val="009B7EB9"/>
    <w:rsid w:val="009C03C9"/>
    <w:rsid w:val="009C1EAE"/>
    <w:rsid w:val="009C2A0B"/>
    <w:rsid w:val="009C2D4B"/>
    <w:rsid w:val="009C2E96"/>
    <w:rsid w:val="009C304F"/>
    <w:rsid w:val="009C5003"/>
    <w:rsid w:val="009C6CDE"/>
    <w:rsid w:val="009C725F"/>
    <w:rsid w:val="009D1527"/>
    <w:rsid w:val="009D1948"/>
    <w:rsid w:val="009D24C1"/>
    <w:rsid w:val="009D28E2"/>
    <w:rsid w:val="009D3EE3"/>
    <w:rsid w:val="009D56C8"/>
    <w:rsid w:val="009D5D91"/>
    <w:rsid w:val="009D7530"/>
    <w:rsid w:val="009E02E4"/>
    <w:rsid w:val="009E103C"/>
    <w:rsid w:val="009E2029"/>
    <w:rsid w:val="009E3C13"/>
    <w:rsid w:val="009E528D"/>
    <w:rsid w:val="009E6274"/>
    <w:rsid w:val="009E6737"/>
    <w:rsid w:val="009E6B3C"/>
    <w:rsid w:val="009E6C5A"/>
    <w:rsid w:val="009E6E2E"/>
    <w:rsid w:val="009F0C81"/>
    <w:rsid w:val="009F1AE6"/>
    <w:rsid w:val="009F236A"/>
    <w:rsid w:val="009F2B34"/>
    <w:rsid w:val="009F2D5F"/>
    <w:rsid w:val="009F306B"/>
    <w:rsid w:val="009F41EA"/>
    <w:rsid w:val="009F5C32"/>
    <w:rsid w:val="00A037EF"/>
    <w:rsid w:val="00A0538A"/>
    <w:rsid w:val="00A05A60"/>
    <w:rsid w:val="00A05C3C"/>
    <w:rsid w:val="00A07565"/>
    <w:rsid w:val="00A07907"/>
    <w:rsid w:val="00A109BF"/>
    <w:rsid w:val="00A119EE"/>
    <w:rsid w:val="00A12069"/>
    <w:rsid w:val="00A13893"/>
    <w:rsid w:val="00A14965"/>
    <w:rsid w:val="00A14C41"/>
    <w:rsid w:val="00A14ED7"/>
    <w:rsid w:val="00A14EE0"/>
    <w:rsid w:val="00A20839"/>
    <w:rsid w:val="00A20B34"/>
    <w:rsid w:val="00A21D70"/>
    <w:rsid w:val="00A21DBC"/>
    <w:rsid w:val="00A22E85"/>
    <w:rsid w:val="00A23490"/>
    <w:rsid w:val="00A2380A"/>
    <w:rsid w:val="00A23A53"/>
    <w:rsid w:val="00A23F03"/>
    <w:rsid w:val="00A2514D"/>
    <w:rsid w:val="00A25214"/>
    <w:rsid w:val="00A25316"/>
    <w:rsid w:val="00A254EE"/>
    <w:rsid w:val="00A266A2"/>
    <w:rsid w:val="00A310D1"/>
    <w:rsid w:val="00A31E9B"/>
    <w:rsid w:val="00A32294"/>
    <w:rsid w:val="00A32BC1"/>
    <w:rsid w:val="00A3642E"/>
    <w:rsid w:val="00A378F5"/>
    <w:rsid w:val="00A42213"/>
    <w:rsid w:val="00A42511"/>
    <w:rsid w:val="00A44544"/>
    <w:rsid w:val="00A44C20"/>
    <w:rsid w:val="00A456A1"/>
    <w:rsid w:val="00A46262"/>
    <w:rsid w:val="00A5096E"/>
    <w:rsid w:val="00A509E9"/>
    <w:rsid w:val="00A51F11"/>
    <w:rsid w:val="00A52E29"/>
    <w:rsid w:val="00A537E2"/>
    <w:rsid w:val="00A53D60"/>
    <w:rsid w:val="00A53E7A"/>
    <w:rsid w:val="00A5472A"/>
    <w:rsid w:val="00A54BA5"/>
    <w:rsid w:val="00A558CB"/>
    <w:rsid w:val="00A55928"/>
    <w:rsid w:val="00A55C6D"/>
    <w:rsid w:val="00A56844"/>
    <w:rsid w:val="00A60503"/>
    <w:rsid w:val="00A60563"/>
    <w:rsid w:val="00A6193B"/>
    <w:rsid w:val="00A65FBA"/>
    <w:rsid w:val="00A6601C"/>
    <w:rsid w:val="00A667F3"/>
    <w:rsid w:val="00A67E16"/>
    <w:rsid w:val="00A70190"/>
    <w:rsid w:val="00A7020B"/>
    <w:rsid w:val="00A70889"/>
    <w:rsid w:val="00A72513"/>
    <w:rsid w:val="00A73A28"/>
    <w:rsid w:val="00A73B36"/>
    <w:rsid w:val="00A748E2"/>
    <w:rsid w:val="00A74ADC"/>
    <w:rsid w:val="00A7503D"/>
    <w:rsid w:val="00A763C4"/>
    <w:rsid w:val="00A76466"/>
    <w:rsid w:val="00A76FC8"/>
    <w:rsid w:val="00A7726B"/>
    <w:rsid w:val="00A77F3E"/>
    <w:rsid w:val="00A80521"/>
    <w:rsid w:val="00A80760"/>
    <w:rsid w:val="00A83EDE"/>
    <w:rsid w:val="00A83EE2"/>
    <w:rsid w:val="00A8432F"/>
    <w:rsid w:val="00A84E9A"/>
    <w:rsid w:val="00A86BE1"/>
    <w:rsid w:val="00A87E94"/>
    <w:rsid w:val="00A901BA"/>
    <w:rsid w:val="00A9228D"/>
    <w:rsid w:val="00A92808"/>
    <w:rsid w:val="00A935BC"/>
    <w:rsid w:val="00A9594C"/>
    <w:rsid w:val="00A96FC7"/>
    <w:rsid w:val="00A97C0C"/>
    <w:rsid w:val="00AA0015"/>
    <w:rsid w:val="00AA0226"/>
    <w:rsid w:val="00AA0793"/>
    <w:rsid w:val="00AA37BB"/>
    <w:rsid w:val="00AA4506"/>
    <w:rsid w:val="00AA5889"/>
    <w:rsid w:val="00AB08C0"/>
    <w:rsid w:val="00AB09DA"/>
    <w:rsid w:val="00AB10EA"/>
    <w:rsid w:val="00AB1310"/>
    <w:rsid w:val="00AB21CA"/>
    <w:rsid w:val="00AB2750"/>
    <w:rsid w:val="00AB3530"/>
    <w:rsid w:val="00AB40B6"/>
    <w:rsid w:val="00AB420E"/>
    <w:rsid w:val="00AB6403"/>
    <w:rsid w:val="00AB6D38"/>
    <w:rsid w:val="00AB707F"/>
    <w:rsid w:val="00AC0C87"/>
    <w:rsid w:val="00AC0F87"/>
    <w:rsid w:val="00AC1578"/>
    <w:rsid w:val="00AC1A8F"/>
    <w:rsid w:val="00AC3784"/>
    <w:rsid w:val="00AC7ABC"/>
    <w:rsid w:val="00AC7D66"/>
    <w:rsid w:val="00AD00A5"/>
    <w:rsid w:val="00AD0A0B"/>
    <w:rsid w:val="00AD0FC4"/>
    <w:rsid w:val="00AD206C"/>
    <w:rsid w:val="00AD2870"/>
    <w:rsid w:val="00AD29FA"/>
    <w:rsid w:val="00AD48DC"/>
    <w:rsid w:val="00AD523A"/>
    <w:rsid w:val="00AD7A03"/>
    <w:rsid w:val="00AE0481"/>
    <w:rsid w:val="00AE0688"/>
    <w:rsid w:val="00AE3838"/>
    <w:rsid w:val="00AE3EB0"/>
    <w:rsid w:val="00AE5513"/>
    <w:rsid w:val="00AE5AE2"/>
    <w:rsid w:val="00AE7473"/>
    <w:rsid w:val="00AF20E0"/>
    <w:rsid w:val="00AF35FD"/>
    <w:rsid w:val="00AF3706"/>
    <w:rsid w:val="00AF52B9"/>
    <w:rsid w:val="00AF5732"/>
    <w:rsid w:val="00AF6811"/>
    <w:rsid w:val="00AF7757"/>
    <w:rsid w:val="00AF7A05"/>
    <w:rsid w:val="00AF7F9A"/>
    <w:rsid w:val="00B00F32"/>
    <w:rsid w:val="00B03D3A"/>
    <w:rsid w:val="00B046FA"/>
    <w:rsid w:val="00B05425"/>
    <w:rsid w:val="00B061A7"/>
    <w:rsid w:val="00B061FD"/>
    <w:rsid w:val="00B07626"/>
    <w:rsid w:val="00B14480"/>
    <w:rsid w:val="00B15189"/>
    <w:rsid w:val="00B15963"/>
    <w:rsid w:val="00B16FA0"/>
    <w:rsid w:val="00B17042"/>
    <w:rsid w:val="00B22C92"/>
    <w:rsid w:val="00B23A3A"/>
    <w:rsid w:val="00B2557A"/>
    <w:rsid w:val="00B26447"/>
    <w:rsid w:val="00B27E43"/>
    <w:rsid w:val="00B317E5"/>
    <w:rsid w:val="00B32873"/>
    <w:rsid w:val="00B32909"/>
    <w:rsid w:val="00B32E9E"/>
    <w:rsid w:val="00B33CDE"/>
    <w:rsid w:val="00B367AE"/>
    <w:rsid w:val="00B3693D"/>
    <w:rsid w:val="00B36FC8"/>
    <w:rsid w:val="00B37525"/>
    <w:rsid w:val="00B37BF8"/>
    <w:rsid w:val="00B404B6"/>
    <w:rsid w:val="00B41866"/>
    <w:rsid w:val="00B41DED"/>
    <w:rsid w:val="00B41EC2"/>
    <w:rsid w:val="00B463A4"/>
    <w:rsid w:val="00B46554"/>
    <w:rsid w:val="00B478BE"/>
    <w:rsid w:val="00B50034"/>
    <w:rsid w:val="00B5056A"/>
    <w:rsid w:val="00B5067A"/>
    <w:rsid w:val="00B5097D"/>
    <w:rsid w:val="00B51431"/>
    <w:rsid w:val="00B51A60"/>
    <w:rsid w:val="00B520B1"/>
    <w:rsid w:val="00B52C21"/>
    <w:rsid w:val="00B531C2"/>
    <w:rsid w:val="00B543DF"/>
    <w:rsid w:val="00B54C26"/>
    <w:rsid w:val="00B55500"/>
    <w:rsid w:val="00B57CCB"/>
    <w:rsid w:val="00B62466"/>
    <w:rsid w:val="00B62E7D"/>
    <w:rsid w:val="00B631E9"/>
    <w:rsid w:val="00B63398"/>
    <w:rsid w:val="00B63C4F"/>
    <w:rsid w:val="00B641A3"/>
    <w:rsid w:val="00B641B1"/>
    <w:rsid w:val="00B645E2"/>
    <w:rsid w:val="00B65084"/>
    <w:rsid w:val="00B71D34"/>
    <w:rsid w:val="00B71FB0"/>
    <w:rsid w:val="00B72F85"/>
    <w:rsid w:val="00B73076"/>
    <w:rsid w:val="00B752D4"/>
    <w:rsid w:val="00B75DDA"/>
    <w:rsid w:val="00B76120"/>
    <w:rsid w:val="00B7664A"/>
    <w:rsid w:val="00B76670"/>
    <w:rsid w:val="00B80ACE"/>
    <w:rsid w:val="00B80CED"/>
    <w:rsid w:val="00B8241B"/>
    <w:rsid w:val="00B82544"/>
    <w:rsid w:val="00B8396E"/>
    <w:rsid w:val="00B840C0"/>
    <w:rsid w:val="00B840ED"/>
    <w:rsid w:val="00B85DCB"/>
    <w:rsid w:val="00B86C59"/>
    <w:rsid w:val="00B87D50"/>
    <w:rsid w:val="00B902DC"/>
    <w:rsid w:val="00B90402"/>
    <w:rsid w:val="00B90A67"/>
    <w:rsid w:val="00B911C9"/>
    <w:rsid w:val="00B939BE"/>
    <w:rsid w:val="00B93CDD"/>
    <w:rsid w:val="00B93E5F"/>
    <w:rsid w:val="00B94957"/>
    <w:rsid w:val="00B95327"/>
    <w:rsid w:val="00B95A00"/>
    <w:rsid w:val="00B95CC9"/>
    <w:rsid w:val="00BA0D47"/>
    <w:rsid w:val="00BA1673"/>
    <w:rsid w:val="00BA1919"/>
    <w:rsid w:val="00BA1F0D"/>
    <w:rsid w:val="00BA21D5"/>
    <w:rsid w:val="00BA6261"/>
    <w:rsid w:val="00BA7082"/>
    <w:rsid w:val="00BB10C2"/>
    <w:rsid w:val="00BB339D"/>
    <w:rsid w:val="00BB38BF"/>
    <w:rsid w:val="00BB6802"/>
    <w:rsid w:val="00BB7761"/>
    <w:rsid w:val="00BC2B41"/>
    <w:rsid w:val="00BC3339"/>
    <w:rsid w:val="00BC3F3B"/>
    <w:rsid w:val="00BC473F"/>
    <w:rsid w:val="00BC4A48"/>
    <w:rsid w:val="00BC59C2"/>
    <w:rsid w:val="00BC5A32"/>
    <w:rsid w:val="00BC6ADA"/>
    <w:rsid w:val="00BC73E4"/>
    <w:rsid w:val="00BC7C96"/>
    <w:rsid w:val="00BD05ED"/>
    <w:rsid w:val="00BD17D0"/>
    <w:rsid w:val="00BD2677"/>
    <w:rsid w:val="00BD2AF8"/>
    <w:rsid w:val="00BD4068"/>
    <w:rsid w:val="00BD4095"/>
    <w:rsid w:val="00BD5C84"/>
    <w:rsid w:val="00BD7906"/>
    <w:rsid w:val="00BE09D1"/>
    <w:rsid w:val="00BE2CF7"/>
    <w:rsid w:val="00BE3982"/>
    <w:rsid w:val="00BE434E"/>
    <w:rsid w:val="00BE4E0D"/>
    <w:rsid w:val="00BE51F1"/>
    <w:rsid w:val="00BE53DB"/>
    <w:rsid w:val="00BE7B9C"/>
    <w:rsid w:val="00BF0FA7"/>
    <w:rsid w:val="00BF69FD"/>
    <w:rsid w:val="00BF7A9A"/>
    <w:rsid w:val="00BF7E42"/>
    <w:rsid w:val="00C0426C"/>
    <w:rsid w:val="00C05247"/>
    <w:rsid w:val="00C068D1"/>
    <w:rsid w:val="00C06ECA"/>
    <w:rsid w:val="00C11BDF"/>
    <w:rsid w:val="00C11E1C"/>
    <w:rsid w:val="00C12D02"/>
    <w:rsid w:val="00C13BF2"/>
    <w:rsid w:val="00C13E05"/>
    <w:rsid w:val="00C146FE"/>
    <w:rsid w:val="00C147B7"/>
    <w:rsid w:val="00C16659"/>
    <w:rsid w:val="00C20EA2"/>
    <w:rsid w:val="00C20EB6"/>
    <w:rsid w:val="00C22441"/>
    <w:rsid w:val="00C230AD"/>
    <w:rsid w:val="00C23402"/>
    <w:rsid w:val="00C250A9"/>
    <w:rsid w:val="00C251BE"/>
    <w:rsid w:val="00C27121"/>
    <w:rsid w:val="00C30136"/>
    <w:rsid w:val="00C32663"/>
    <w:rsid w:val="00C33757"/>
    <w:rsid w:val="00C34846"/>
    <w:rsid w:val="00C355FE"/>
    <w:rsid w:val="00C36457"/>
    <w:rsid w:val="00C37247"/>
    <w:rsid w:val="00C37255"/>
    <w:rsid w:val="00C3739C"/>
    <w:rsid w:val="00C40233"/>
    <w:rsid w:val="00C40F6B"/>
    <w:rsid w:val="00C410D2"/>
    <w:rsid w:val="00C41420"/>
    <w:rsid w:val="00C4277A"/>
    <w:rsid w:val="00C4341B"/>
    <w:rsid w:val="00C43611"/>
    <w:rsid w:val="00C43903"/>
    <w:rsid w:val="00C44F84"/>
    <w:rsid w:val="00C45454"/>
    <w:rsid w:val="00C45827"/>
    <w:rsid w:val="00C4656B"/>
    <w:rsid w:val="00C471BC"/>
    <w:rsid w:val="00C47B7B"/>
    <w:rsid w:val="00C5009B"/>
    <w:rsid w:val="00C50377"/>
    <w:rsid w:val="00C51501"/>
    <w:rsid w:val="00C5195C"/>
    <w:rsid w:val="00C521E9"/>
    <w:rsid w:val="00C5244D"/>
    <w:rsid w:val="00C52736"/>
    <w:rsid w:val="00C5301C"/>
    <w:rsid w:val="00C54895"/>
    <w:rsid w:val="00C54B0B"/>
    <w:rsid w:val="00C56697"/>
    <w:rsid w:val="00C566FC"/>
    <w:rsid w:val="00C60073"/>
    <w:rsid w:val="00C6062B"/>
    <w:rsid w:val="00C61610"/>
    <w:rsid w:val="00C662B4"/>
    <w:rsid w:val="00C664D6"/>
    <w:rsid w:val="00C6676F"/>
    <w:rsid w:val="00C669CB"/>
    <w:rsid w:val="00C66F0E"/>
    <w:rsid w:val="00C711D8"/>
    <w:rsid w:val="00C71E99"/>
    <w:rsid w:val="00C729B5"/>
    <w:rsid w:val="00C72BFB"/>
    <w:rsid w:val="00C73C80"/>
    <w:rsid w:val="00C73D2C"/>
    <w:rsid w:val="00C765D2"/>
    <w:rsid w:val="00C7662D"/>
    <w:rsid w:val="00C82560"/>
    <w:rsid w:val="00C8340E"/>
    <w:rsid w:val="00C83E8D"/>
    <w:rsid w:val="00C8457B"/>
    <w:rsid w:val="00C848D9"/>
    <w:rsid w:val="00C85498"/>
    <w:rsid w:val="00C85FDE"/>
    <w:rsid w:val="00C8741A"/>
    <w:rsid w:val="00C917EE"/>
    <w:rsid w:val="00C91ACB"/>
    <w:rsid w:val="00C92C45"/>
    <w:rsid w:val="00C953EF"/>
    <w:rsid w:val="00C95A69"/>
    <w:rsid w:val="00CA0774"/>
    <w:rsid w:val="00CA0FEA"/>
    <w:rsid w:val="00CA1AA7"/>
    <w:rsid w:val="00CA1EEF"/>
    <w:rsid w:val="00CA26FE"/>
    <w:rsid w:val="00CA4A4C"/>
    <w:rsid w:val="00CA62FF"/>
    <w:rsid w:val="00CA6C22"/>
    <w:rsid w:val="00CA7900"/>
    <w:rsid w:val="00CB028B"/>
    <w:rsid w:val="00CB2E1C"/>
    <w:rsid w:val="00CB4E9B"/>
    <w:rsid w:val="00CB5941"/>
    <w:rsid w:val="00CB5F4E"/>
    <w:rsid w:val="00CB6F11"/>
    <w:rsid w:val="00CB6F8A"/>
    <w:rsid w:val="00CB75E3"/>
    <w:rsid w:val="00CB7D03"/>
    <w:rsid w:val="00CC0781"/>
    <w:rsid w:val="00CC08BA"/>
    <w:rsid w:val="00CC1224"/>
    <w:rsid w:val="00CC1B17"/>
    <w:rsid w:val="00CC1E66"/>
    <w:rsid w:val="00CC23D5"/>
    <w:rsid w:val="00CC339B"/>
    <w:rsid w:val="00CC501E"/>
    <w:rsid w:val="00CC51C0"/>
    <w:rsid w:val="00CC5B5C"/>
    <w:rsid w:val="00CD04AA"/>
    <w:rsid w:val="00CD0883"/>
    <w:rsid w:val="00CD1128"/>
    <w:rsid w:val="00CD16E4"/>
    <w:rsid w:val="00CD2189"/>
    <w:rsid w:val="00CD22AF"/>
    <w:rsid w:val="00CD2357"/>
    <w:rsid w:val="00CD2D7B"/>
    <w:rsid w:val="00CD52D4"/>
    <w:rsid w:val="00CD59CD"/>
    <w:rsid w:val="00CD5DBF"/>
    <w:rsid w:val="00CD6371"/>
    <w:rsid w:val="00CD68E3"/>
    <w:rsid w:val="00CE2381"/>
    <w:rsid w:val="00CE3875"/>
    <w:rsid w:val="00CE4C9D"/>
    <w:rsid w:val="00CE4DB0"/>
    <w:rsid w:val="00CE4E24"/>
    <w:rsid w:val="00CE50F2"/>
    <w:rsid w:val="00CE5857"/>
    <w:rsid w:val="00CE5887"/>
    <w:rsid w:val="00CE5C46"/>
    <w:rsid w:val="00CE70BD"/>
    <w:rsid w:val="00CF0AF3"/>
    <w:rsid w:val="00CF32A3"/>
    <w:rsid w:val="00CF539C"/>
    <w:rsid w:val="00CF5C7E"/>
    <w:rsid w:val="00D00CF3"/>
    <w:rsid w:val="00D029E1"/>
    <w:rsid w:val="00D03305"/>
    <w:rsid w:val="00D0488D"/>
    <w:rsid w:val="00D0724C"/>
    <w:rsid w:val="00D07A1D"/>
    <w:rsid w:val="00D103A3"/>
    <w:rsid w:val="00D12069"/>
    <w:rsid w:val="00D12797"/>
    <w:rsid w:val="00D14A34"/>
    <w:rsid w:val="00D15FDF"/>
    <w:rsid w:val="00D162BE"/>
    <w:rsid w:val="00D172E7"/>
    <w:rsid w:val="00D17B44"/>
    <w:rsid w:val="00D17BCC"/>
    <w:rsid w:val="00D20109"/>
    <w:rsid w:val="00D2140A"/>
    <w:rsid w:val="00D2251C"/>
    <w:rsid w:val="00D22DBD"/>
    <w:rsid w:val="00D258F2"/>
    <w:rsid w:val="00D27D66"/>
    <w:rsid w:val="00D27F1A"/>
    <w:rsid w:val="00D31581"/>
    <w:rsid w:val="00D318CC"/>
    <w:rsid w:val="00D3207A"/>
    <w:rsid w:val="00D32447"/>
    <w:rsid w:val="00D32E43"/>
    <w:rsid w:val="00D3360D"/>
    <w:rsid w:val="00D336E0"/>
    <w:rsid w:val="00D361A8"/>
    <w:rsid w:val="00D36407"/>
    <w:rsid w:val="00D36A57"/>
    <w:rsid w:val="00D402DC"/>
    <w:rsid w:val="00D41109"/>
    <w:rsid w:val="00D417F9"/>
    <w:rsid w:val="00D41844"/>
    <w:rsid w:val="00D4504C"/>
    <w:rsid w:val="00D4555B"/>
    <w:rsid w:val="00D4576A"/>
    <w:rsid w:val="00D46C21"/>
    <w:rsid w:val="00D505D4"/>
    <w:rsid w:val="00D510D6"/>
    <w:rsid w:val="00D5284A"/>
    <w:rsid w:val="00D53B1C"/>
    <w:rsid w:val="00D54BD3"/>
    <w:rsid w:val="00D558BF"/>
    <w:rsid w:val="00D61AA7"/>
    <w:rsid w:val="00D6246B"/>
    <w:rsid w:val="00D64317"/>
    <w:rsid w:val="00D6441A"/>
    <w:rsid w:val="00D65360"/>
    <w:rsid w:val="00D6570B"/>
    <w:rsid w:val="00D66529"/>
    <w:rsid w:val="00D66BEF"/>
    <w:rsid w:val="00D71016"/>
    <w:rsid w:val="00D725AE"/>
    <w:rsid w:val="00D72990"/>
    <w:rsid w:val="00D730B9"/>
    <w:rsid w:val="00D74A27"/>
    <w:rsid w:val="00D74D4E"/>
    <w:rsid w:val="00D80258"/>
    <w:rsid w:val="00D806D0"/>
    <w:rsid w:val="00D83775"/>
    <w:rsid w:val="00D83FC5"/>
    <w:rsid w:val="00D84692"/>
    <w:rsid w:val="00D85689"/>
    <w:rsid w:val="00D85896"/>
    <w:rsid w:val="00D92911"/>
    <w:rsid w:val="00D932C2"/>
    <w:rsid w:val="00D93AF7"/>
    <w:rsid w:val="00D94B45"/>
    <w:rsid w:val="00D9576C"/>
    <w:rsid w:val="00D968CD"/>
    <w:rsid w:val="00D969FE"/>
    <w:rsid w:val="00D96CF1"/>
    <w:rsid w:val="00D97AF5"/>
    <w:rsid w:val="00DA0822"/>
    <w:rsid w:val="00DA1B47"/>
    <w:rsid w:val="00DA349E"/>
    <w:rsid w:val="00DA37C1"/>
    <w:rsid w:val="00DA3815"/>
    <w:rsid w:val="00DA4434"/>
    <w:rsid w:val="00DA7DCE"/>
    <w:rsid w:val="00DB0831"/>
    <w:rsid w:val="00DB1272"/>
    <w:rsid w:val="00DB2665"/>
    <w:rsid w:val="00DB3B50"/>
    <w:rsid w:val="00DB5379"/>
    <w:rsid w:val="00DB6827"/>
    <w:rsid w:val="00DB6AB8"/>
    <w:rsid w:val="00DB6C14"/>
    <w:rsid w:val="00DC193F"/>
    <w:rsid w:val="00DC2CF2"/>
    <w:rsid w:val="00DC7155"/>
    <w:rsid w:val="00DC72F9"/>
    <w:rsid w:val="00DC7F1D"/>
    <w:rsid w:val="00DD0272"/>
    <w:rsid w:val="00DD09D2"/>
    <w:rsid w:val="00DD350C"/>
    <w:rsid w:val="00DD3768"/>
    <w:rsid w:val="00DD4BF9"/>
    <w:rsid w:val="00DD66C5"/>
    <w:rsid w:val="00DD6837"/>
    <w:rsid w:val="00DD74BA"/>
    <w:rsid w:val="00DE06B2"/>
    <w:rsid w:val="00DE16A4"/>
    <w:rsid w:val="00DE1A5E"/>
    <w:rsid w:val="00DE4CC2"/>
    <w:rsid w:val="00DE62FB"/>
    <w:rsid w:val="00DE6995"/>
    <w:rsid w:val="00DE7B4B"/>
    <w:rsid w:val="00DE7D2D"/>
    <w:rsid w:val="00DF00BB"/>
    <w:rsid w:val="00DF0364"/>
    <w:rsid w:val="00DF03D5"/>
    <w:rsid w:val="00DF0C75"/>
    <w:rsid w:val="00DF1414"/>
    <w:rsid w:val="00DF14F9"/>
    <w:rsid w:val="00DF1B51"/>
    <w:rsid w:val="00DF2D1A"/>
    <w:rsid w:val="00DF3FFD"/>
    <w:rsid w:val="00DF572C"/>
    <w:rsid w:val="00E009ED"/>
    <w:rsid w:val="00E011A5"/>
    <w:rsid w:val="00E019B6"/>
    <w:rsid w:val="00E03B23"/>
    <w:rsid w:val="00E0444B"/>
    <w:rsid w:val="00E06098"/>
    <w:rsid w:val="00E063AC"/>
    <w:rsid w:val="00E06831"/>
    <w:rsid w:val="00E10445"/>
    <w:rsid w:val="00E119FB"/>
    <w:rsid w:val="00E11CBB"/>
    <w:rsid w:val="00E12207"/>
    <w:rsid w:val="00E12D52"/>
    <w:rsid w:val="00E14136"/>
    <w:rsid w:val="00E1507C"/>
    <w:rsid w:val="00E15E23"/>
    <w:rsid w:val="00E17126"/>
    <w:rsid w:val="00E1772C"/>
    <w:rsid w:val="00E17898"/>
    <w:rsid w:val="00E20A8C"/>
    <w:rsid w:val="00E20F17"/>
    <w:rsid w:val="00E232B5"/>
    <w:rsid w:val="00E23CDC"/>
    <w:rsid w:val="00E27888"/>
    <w:rsid w:val="00E31C6C"/>
    <w:rsid w:val="00E31E56"/>
    <w:rsid w:val="00E3518F"/>
    <w:rsid w:val="00E35773"/>
    <w:rsid w:val="00E36AA1"/>
    <w:rsid w:val="00E37205"/>
    <w:rsid w:val="00E40BE0"/>
    <w:rsid w:val="00E41194"/>
    <w:rsid w:val="00E4277C"/>
    <w:rsid w:val="00E431B5"/>
    <w:rsid w:val="00E43D15"/>
    <w:rsid w:val="00E43D76"/>
    <w:rsid w:val="00E45232"/>
    <w:rsid w:val="00E45F52"/>
    <w:rsid w:val="00E47C35"/>
    <w:rsid w:val="00E47FC5"/>
    <w:rsid w:val="00E50E52"/>
    <w:rsid w:val="00E51FAA"/>
    <w:rsid w:val="00E52665"/>
    <w:rsid w:val="00E52ADE"/>
    <w:rsid w:val="00E5498E"/>
    <w:rsid w:val="00E55018"/>
    <w:rsid w:val="00E5501A"/>
    <w:rsid w:val="00E5551A"/>
    <w:rsid w:val="00E55C7D"/>
    <w:rsid w:val="00E56189"/>
    <w:rsid w:val="00E611B4"/>
    <w:rsid w:val="00E62096"/>
    <w:rsid w:val="00E62C78"/>
    <w:rsid w:val="00E64C1D"/>
    <w:rsid w:val="00E65208"/>
    <w:rsid w:val="00E6538A"/>
    <w:rsid w:val="00E707D3"/>
    <w:rsid w:val="00E71412"/>
    <w:rsid w:val="00E72248"/>
    <w:rsid w:val="00E7280E"/>
    <w:rsid w:val="00E7290E"/>
    <w:rsid w:val="00E733DD"/>
    <w:rsid w:val="00E73463"/>
    <w:rsid w:val="00E74251"/>
    <w:rsid w:val="00E74820"/>
    <w:rsid w:val="00E7514B"/>
    <w:rsid w:val="00E764A7"/>
    <w:rsid w:val="00E77A38"/>
    <w:rsid w:val="00E77A5D"/>
    <w:rsid w:val="00E77DB5"/>
    <w:rsid w:val="00E807D0"/>
    <w:rsid w:val="00E817FC"/>
    <w:rsid w:val="00E83A13"/>
    <w:rsid w:val="00E8518A"/>
    <w:rsid w:val="00E85A72"/>
    <w:rsid w:val="00E867F6"/>
    <w:rsid w:val="00E87CF9"/>
    <w:rsid w:val="00E91B7A"/>
    <w:rsid w:val="00E9262B"/>
    <w:rsid w:val="00E92A5D"/>
    <w:rsid w:val="00E9345F"/>
    <w:rsid w:val="00E9629C"/>
    <w:rsid w:val="00E9635A"/>
    <w:rsid w:val="00EA1469"/>
    <w:rsid w:val="00EA2A9D"/>
    <w:rsid w:val="00EA32E9"/>
    <w:rsid w:val="00EA388E"/>
    <w:rsid w:val="00EA4FDF"/>
    <w:rsid w:val="00EA714E"/>
    <w:rsid w:val="00EA7332"/>
    <w:rsid w:val="00EA7CCA"/>
    <w:rsid w:val="00EB1F4E"/>
    <w:rsid w:val="00EB3E7C"/>
    <w:rsid w:val="00EB561F"/>
    <w:rsid w:val="00EB7C7B"/>
    <w:rsid w:val="00EC3ED8"/>
    <w:rsid w:val="00EC4C2F"/>
    <w:rsid w:val="00EC5322"/>
    <w:rsid w:val="00EC5DBA"/>
    <w:rsid w:val="00EC6341"/>
    <w:rsid w:val="00EC7A22"/>
    <w:rsid w:val="00ED159D"/>
    <w:rsid w:val="00ED3870"/>
    <w:rsid w:val="00ED434F"/>
    <w:rsid w:val="00ED4508"/>
    <w:rsid w:val="00ED5CE0"/>
    <w:rsid w:val="00ED6276"/>
    <w:rsid w:val="00ED66CD"/>
    <w:rsid w:val="00ED6A30"/>
    <w:rsid w:val="00EE2DD7"/>
    <w:rsid w:val="00EE3497"/>
    <w:rsid w:val="00EE6140"/>
    <w:rsid w:val="00EE6153"/>
    <w:rsid w:val="00EF04F6"/>
    <w:rsid w:val="00EF0CAF"/>
    <w:rsid w:val="00EF2594"/>
    <w:rsid w:val="00EF307C"/>
    <w:rsid w:val="00EF4E62"/>
    <w:rsid w:val="00EF4EE0"/>
    <w:rsid w:val="00EF5421"/>
    <w:rsid w:val="00EF6ABD"/>
    <w:rsid w:val="00EF7213"/>
    <w:rsid w:val="00F005B4"/>
    <w:rsid w:val="00F00CDD"/>
    <w:rsid w:val="00F0139F"/>
    <w:rsid w:val="00F01AE9"/>
    <w:rsid w:val="00F04098"/>
    <w:rsid w:val="00F053A1"/>
    <w:rsid w:val="00F063DB"/>
    <w:rsid w:val="00F069C0"/>
    <w:rsid w:val="00F06A26"/>
    <w:rsid w:val="00F1099D"/>
    <w:rsid w:val="00F13E01"/>
    <w:rsid w:val="00F145D2"/>
    <w:rsid w:val="00F14D73"/>
    <w:rsid w:val="00F151D4"/>
    <w:rsid w:val="00F17BE7"/>
    <w:rsid w:val="00F20C7A"/>
    <w:rsid w:val="00F2139C"/>
    <w:rsid w:val="00F21F94"/>
    <w:rsid w:val="00F221FF"/>
    <w:rsid w:val="00F24B2E"/>
    <w:rsid w:val="00F24D95"/>
    <w:rsid w:val="00F25690"/>
    <w:rsid w:val="00F258B9"/>
    <w:rsid w:val="00F259CA"/>
    <w:rsid w:val="00F25C86"/>
    <w:rsid w:val="00F27ED8"/>
    <w:rsid w:val="00F303A2"/>
    <w:rsid w:val="00F317FE"/>
    <w:rsid w:val="00F32580"/>
    <w:rsid w:val="00F32EBB"/>
    <w:rsid w:val="00F338DC"/>
    <w:rsid w:val="00F35058"/>
    <w:rsid w:val="00F35834"/>
    <w:rsid w:val="00F35C77"/>
    <w:rsid w:val="00F37E1C"/>
    <w:rsid w:val="00F40027"/>
    <w:rsid w:val="00F402A0"/>
    <w:rsid w:val="00F40AE9"/>
    <w:rsid w:val="00F41C47"/>
    <w:rsid w:val="00F41FC7"/>
    <w:rsid w:val="00F42EC1"/>
    <w:rsid w:val="00F438B5"/>
    <w:rsid w:val="00F44EFF"/>
    <w:rsid w:val="00F46342"/>
    <w:rsid w:val="00F46F0C"/>
    <w:rsid w:val="00F47AAC"/>
    <w:rsid w:val="00F50DD9"/>
    <w:rsid w:val="00F50FBB"/>
    <w:rsid w:val="00F52001"/>
    <w:rsid w:val="00F520E9"/>
    <w:rsid w:val="00F5284D"/>
    <w:rsid w:val="00F54231"/>
    <w:rsid w:val="00F543DC"/>
    <w:rsid w:val="00F5538B"/>
    <w:rsid w:val="00F56B8C"/>
    <w:rsid w:val="00F57084"/>
    <w:rsid w:val="00F6062C"/>
    <w:rsid w:val="00F60C3E"/>
    <w:rsid w:val="00F61388"/>
    <w:rsid w:val="00F62A13"/>
    <w:rsid w:val="00F65100"/>
    <w:rsid w:val="00F6586C"/>
    <w:rsid w:val="00F6723C"/>
    <w:rsid w:val="00F705C3"/>
    <w:rsid w:val="00F71024"/>
    <w:rsid w:val="00F716B3"/>
    <w:rsid w:val="00F71B99"/>
    <w:rsid w:val="00F721A1"/>
    <w:rsid w:val="00F726C3"/>
    <w:rsid w:val="00F73507"/>
    <w:rsid w:val="00F73778"/>
    <w:rsid w:val="00F75258"/>
    <w:rsid w:val="00F7613D"/>
    <w:rsid w:val="00F76353"/>
    <w:rsid w:val="00F763FB"/>
    <w:rsid w:val="00F76E1B"/>
    <w:rsid w:val="00F80864"/>
    <w:rsid w:val="00F8297A"/>
    <w:rsid w:val="00F833C3"/>
    <w:rsid w:val="00F835C6"/>
    <w:rsid w:val="00F8402F"/>
    <w:rsid w:val="00F8471A"/>
    <w:rsid w:val="00F84DEB"/>
    <w:rsid w:val="00F85889"/>
    <w:rsid w:val="00F909B2"/>
    <w:rsid w:val="00F910DE"/>
    <w:rsid w:val="00F92226"/>
    <w:rsid w:val="00F93511"/>
    <w:rsid w:val="00F95B36"/>
    <w:rsid w:val="00FA25E0"/>
    <w:rsid w:val="00FA3473"/>
    <w:rsid w:val="00FA4208"/>
    <w:rsid w:val="00FA61A4"/>
    <w:rsid w:val="00FA61FA"/>
    <w:rsid w:val="00FA7B0A"/>
    <w:rsid w:val="00FA7E1C"/>
    <w:rsid w:val="00FB236C"/>
    <w:rsid w:val="00FB2C03"/>
    <w:rsid w:val="00FB44BD"/>
    <w:rsid w:val="00FB47CB"/>
    <w:rsid w:val="00FC13C6"/>
    <w:rsid w:val="00FC1927"/>
    <w:rsid w:val="00FC1A5D"/>
    <w:rsid w:val="00FC44F6"/>
    <w:rsid w:val="00FC5E18"/>
    <w:rsid w:val="00FC71D5"/>
    <w:rsid w:val="00FC73FB"/>
    <w:rsid w:val="00FD0282"/>
    <w:rsid w:val="00FD1366"/>
    <w:rsid w:val="00FD21A8"/>
    <w:rsid w:val="00FD2885"/>
    <w:rsid w:val="00FD3988"/>
    <w:rsid w:val="00FD40C3"/>
    <w:rsid w:val="00FD44FC"/>
    <w:rsid w:val="00FD4B57"/>
    <w:rsid w:val="00FD66CA"/>
    <w:rsid w:val="00FD6E36"/>
    <w:rsid w:val="00FD6EA0"/>
    <w:rsid w:val="00FE2498"/>
    <w:rsid w:val="00FE300F"/>
    <w:rsid w:val="00FE3C3A"/>
    <w:rsid w:val="00FE5BF5"/>
    <w:rsid w:val="00FE6881"/>
    <w:rsid w:val="00FE7019"/>
    <w:rsid w:val="00FF0088"/>
    <w:rsid w:val="00FF1A5E"/>
    <w:rsid w:val="00FF5D02"/>
    <w:rsid w:val="00FF5DD1"/>
    <w:rsid w:val="00FF649C"/>
    <w:rsid w:val="00FF6EE7"/>
    <w:rsid w:val="00FF71A5"/>
    <w:rsid w:val="00FF7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80"/>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 11"/>
    <w:basedOn w:val="Normal"/>
    <w:next w:val="Heading2"/>
    <w:link w:val="Heading1Char"/>
    <w:qFormat/>
    <w:rsid w:val="00106280"/>
    <w:pPr>
      <w:keepNext/>
      <w:keepLines/>
      <w:numPr>
        <w:numId w:val="2"/>
      </w:numPr>
      <w:spacing w:after="240"/>
      <w:jc w:val="both"/>
      <w:outlineLvl w:val="0"/>
    </w:pPr>
    <w:rPr>
      <w:rFonts w:ascii="Arial" w:eastAsia="Batang" w:hAnsi="Arial"/>
      <w:b/>
      <w:caps/>
      <w:spacing w:val="20"/>
      <w:sz w:val="26"/>
      <w:szCs w:val="20"/>
      <w:u w:val="single"/>
      <w:lang w:eastAsia="en-US"/>
    </w:rPr>
  </w:style>
  <w:style w:type="paragraph" w:styleId="Heading2">
    <w:name w:val="heading 2"/>
    <w:aliases w:val="Heading 21"/>
    <w:basedOn w:val="Normal"/>
    <w:next w:val="Normal"/>
    <w:link w:val="Heading2Char"/>
    <w:qFormat/>
    <w:rsid w:val="00106280"/>
    <w:pPr>
      <w:keepNext/>
      <w:keepLines/>
      <w:numPr>
        <w:ilvl w:val="1"/>
        <w:numId w:val="2"/>
      </w:numPr>
      <w:spacing w:after="240"/>
      <w:jc w:val="both"/>
      <w:outlineLvl w:val="1"/>
    </w:pPr>
    <w:rPr>
      <w:rFonts w:ascii="Arial" w:eastAsia="Batang" w:hAnsi="Arial"/>
      <w:b/>
      <w:caps/>
      <w:szCs w:val="20"/>
      <w:lang w:eastAsia="en-US"/>
    </w:rPr>
  </w:style>
  <w:style w:type="paragraph" w:styleId="Heading3">
    <w:name w:val="heading 3"/>
    <w:basedOn w:val="Normal"/>
    <w:next w:val="Normal"/>
    <w:link w:val="Heading3Char"/>
    <w:qFormat/>
    <w:rsid w:val="00106280"/>
    <w:pPr>
      <w:keepNext/>
      <w:keepLines/>
      <w:numPr>
        <w:ilvl w:val="2"/>
        <w:numId w:val="2"/>
      </w:numPr>
      <w:spacing w:after="240"/>
      <w:jc w:val="both"/>
      <w:outlineLvl w:val="2"/>
    </w:pPr>
    <w:rPr>
      <w:rFonts w:ascii="Arial" w:eastAsia="Batang" w:hAnsi="Arial"/>
      <w:b/>
      <w:szCs w:val="20"/>
      <w:u w:val="single"/>
      <w:lang w:eastAsia="en-US"/>
    </w:rPr>
  </w:style>
  <w:style w:type="paragraph" w:styleId="Heading4">
    <w:name w:val="heading 4"/>
    <w:basedOn w:val="Normal"/>
    <w:next w:val="Normal"/>
    <w:link w:val="Heading4Char"/>
    <w:qFormat/>
    <w:rsid w:val="00106280"/>
    <w:pPr>
      <w:keepNext/>
      <w:numPr>
        <w:ilvl w:val="3"/>
        <w:numId w:val="2"/>
      </w:numPr>
      <w:spacing w:before="240" w:after="60"/>
      <w:jc w:val="both"/>
      <w:outlineLvl w:val="3"/>
    </w:pPr>
    <w:rPr>
      <w:rFonts w:eastAsia="Batang"/>
      <w:b/>
      <w:i/>
      <w:szCs w:val="20"/>
      <w:lang w:eastAsia="en-US"/>
    </w:rPr>
  </w:style>
  <w:style w:type="paragraph" w:styleId="Heading5">
    <w:name w:val="heading 5"/>
    <w:basedOn w:val="Normal"/>
    <w:next w:val="Normal"/>
    <w:link w:val="Heading5Char"/>
    <w:qFormat/>
    <w:rsid w:val="00106280"/>
    <w:pPr>
      <w:numPr>
        <w:ilvl w:val="4"/>
        <w:numId w:val="2"/>
      </w:numPr>
      <w:spacing w:before="240" w:after="60"/>
      <w:jc w:val="both"/>
      <w:outlineLvl w:val="4"/>
    </w:pPr>
    <w:rPr>
      <w:rFonts w:ascii="Arial" w:eastAsia="Batang" w:hAnsi="Arial"/>
      <w:sz w:val="22"/>
      <w:szCs w:val="20"/>
      <w:lang w:eastAsia="en-US"/>
    </w:rPr>
  </w:style>
  <w:style w:type="paragraph" w:styleId="Heading6">
    <w:name w:val="heading 6"/>
    <w:basedOn w:val="Normal"/>
    <w:next w:val="Normal"/>
    <w:link w:val="Heading6Char"/>
    <w:qFormat/>
    <w:rsid w:val="00106280"/>
    <w:pPr>
      <w:numPr>
        <w:ilvl w:val="5"/>
        <w:numId w:val="2"/>
      </w:numPr>
      <w:spacing w:before="240" w:after="60"/>
      <w:jc w:val="both"/>
      <w:outlineLvl w:val="5"/>
    </w:pPr>
    <w:rPr>
      <w:rFonts w:ascii="Arial" w:eastAsia="Batang" w:hAnsi="Arial"/>
      <w:i/>
      <w:sz w:val="22"/>
      <w:szCs w:val="20"/>
      <w:lang w:eastAsia="en-US"/>
    </w:rPr>
  </w:style>
  <w:style w:type="paragraph" w:styleId="Heading7">
    <w:name w:val="heading 7"/>
    <w:basedOn w:val="Normal"/>
    <w:next w:val="Normal"/>
    <w:link w:val="Heading7Char"/>
    <w:qFormat/>
    <w:rsid w:val="00106280"/>
    <w:pPr>
      <w:numPr>
        <w:ilvl w:val="6"/>
        <w:numId w:val="2"/>
      </w:numPr>
      <w:spacing w:before="240" w:after="60"/>
      <w:jc w:val="both"/>
      <w:outlineLvl w:val="6"/>
    </w:pPr>
    <w:rPr>
      <w:rFonts w:ascii="Arial" w:eastAsia="Batang" w:hAnsi="Arial"/>
      <w:sz w:val="20"/>
      <w:szCs w:val="20"/>
      <w:lang w:eastAsia="en-US"/>
    </w:rPr>
  </w:style>
  <w:style w:type="paragraph" w:styleId="Heading8">
    <w:name w:val="heading 8"/>
    <w:basedOn w:val="Normal"/>
    <w:next w:val="Normal"/>
    <w:link w:val="Heading8Char"/>
    <w:qFormat/>
    <w:rsid w:val="00106280"/>
    <w:pPr>
      <w:numPr>
        <w:ilvl w:val="7"/>
        <w:numId w:val="2"/>
      </w:numPr>
      <w:spacing w:before="240" w:after="60"/>
      <w:jc w:val="both"/>
      <w:outlineLvl w:val="7"/>
    </w:pPr>
    <w:rPr>
      <w:rFonts w:ascii="Arial" w:eastAsia="Batang" w:hAnsi="Arial"/>
      <w:i/>
      <w:sz w:val="20"/>
      <w:szCs w:val="20"/>
      <w:lang w:eastAsia="en-US"/>
    </w:rPr>
  </w:style>
  <w:style w:type="paragraph" w:styleId="Heading9">
    <w:name w:val="heading 9"/>
    <w:basedOn w:val="Normal"/>
    <w:next w:val="Normal"/>
    <w:link w:val="Heading9Char"/>
    <w:qFormat/>
    <w:rsid w:val="00106280"/>
    <w:pPr>
      <w:numPr>
        <w:ilvl w:val="8"/>
        <w:numId w:val="2"/>
      </w:numPr>
      <w:spacing w:before="240" w:after="60"/>
      <w:jc w:val="both"/>
      <w:outlineLvl w:val="8"/>
    </w:pPr>
    <w:rPr>
      <w:rFonts w:ascii="Arial" w:eastAsia="Batang"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106280"/>
    <w:rPr>
      <w:rFonts w:ascii="Arial" w:eastAsia="Batang" w:hAnsi="Arial" w:cs="Times New Roman"/>
      <w:b/>
      <w:caps/>
      <w:sz w:val="24"/>
      <w:szCs w:val="20"/>
    </w:rPr>
  </w:style>
  <w:style w:type="character" w:customStyle="1" w:styleId="Heading1Char">
    <w:name w:val="Heading 1 Char"/>
    <w:aliases w:val="Heading 11 Char"/>
    <w:basedOn w:val="DefaultParagraphFont"/>
    <w:link w:val="Heading1"/>
    <w:rsid w:val="00106280"/>
    <w:rPr>
      <w:rFonts w:ascii="Arial" w:eastAsia="Batang" w:hAnsi="Arial" w:cs="Times New Roman"/>
      <w:b/>
      <w:caps/>
      <w:spacing w:val="20"/>
      <w:sz w:val="26"/>
      <w:szCs w:val="20"/>
      <w:u w:val="single"/>
    </w:rPr>
  </w:style>
  <w:style w:type="character" w:customStyle="1" w:styleId="Heading3Char">
    <w:name w:val="Heading 3 Char"/>
    <w:basedOn w:val="DefaultParagraphFont"/>
    <w:link w:val="Heading3"/>
    <w:rsid w:val="00106280"/>
    <w:rPr>
      <w:rFonts w:ascii="Arial" w:eastAsia="Batang" w:hAnsi="Arial" w:cs="Times New Roman"/>
      <w:b/>
      <w:sz w:val="24"/>
      <w:szCs w:val="20"/>
      <w:u w:val="single"/>
    </w:rPr>
  </w:style>
  <w:style w:type="character" w:customStyle="1" w:styleId="Heading4Char">
    <w:name w:val="Heading 4 Char"/>
    <w:basedOn w:val="DefaultParagraphFont"/>
    <w:link w:val="Heading4"/>
    <w:rsid w:val="00106280"/>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106280"/>
    <w:rPr>
      <w:rFonts w:ascii="Arial" w:eastAsia="Batang" w:hAnsi="Arial" w:cs="Times New Roman"/>
      <w:szCs w:val="20"/>
    </w:rPr>
  </w:style>
  <w:style w:type="character" w:customStyle="1" w:styleId="Heading6Char">
    <w:name w:val="Heading 6 Char"/>
    <w:basedOn w:val="DefaultParagraphFont"/>
    <w:link w:val="Heading6"/>
    <w:rsid w:val="00106280"/>
    <w:rPr>
      <w:rFonts w:ascii="Arial" w:eastAsia="Batang" w:hAnsi="Arial" w:cs="Times New Roman"/>
      <w:i/>
      <w:szCs w:val="20"/>
    </w:rPr>
  </w:style>
  <w:style w:type="character" w:customStyle="1" w:styleId="Heading7Char">
    <w:name w:val="Heading 7 Char"/>
    <w:basedOn w:val="DefaultParagraphFont"/>
    <w:link w:val="Heading7"/>
    <w:rsid w:val="00106280"/>
    <w:rPr>
      <w:rFonts w:ascii="Arial" w:eastAsia="Batang" w:hAnsi="Arial" w:cs="Times New Roman"/>
      <w:sz w:val="20"/>
      <w:szCs w:val="20"/>
    </w:rPr>
  </w:style>
  <w:style w:type="character" w:customStyle="1" w:styleId="Heading8Char">
    <w:name w:val="Heading 8 Char"/>
    <w:basedOn w:val="DefaultParagraphFont"/>
    <w:link w:val="Heading8"/>
    <w:rsid w:val="00106280"/>
    <w:rPr>
      <w:rFonts w:ascii="Arial" w:eastAsia="Batang" w:hAnsi="Arial" w:cs="Times New Roman"/>
      <w:i/>
      <w:sz w:val="20"/>
      <w:szCs w:val="20"/>
    </w:rPr>
  </w:style>
  <w:style w:type="character" w:customStyle="1" w:styleId="Heading9Char">
    <w:name w:val="Heading 9 Char"/>
    <w:basedOn w:val="DefaultParagraphFont"/>
    <w:link w:val="Heading9"/>
    <w:rsid w:val="00106280"/>
    <w:rPr>
      <w:rFonts w:ascii="Arial" w:eastAsia="Batang" w:hAnsi="Arial" w:cs="Times New Roman"/>
      <w:i/>
      <w:sz w:val="18"/>
      <w:szCs w:val="20"/>
    </w:rPr>
  </w:style>
  <w:style w:type="paragraph" w:customStyle="1" w:styleId="NumberedListing">
    <w:name w:val="Numbered Listing"/>
    <w:basedOn w:val="Normal"/>
    <w:autoRedefine/>
    <w:rsid w:val="00106280"/>
    <w:pPr>
      <w:spacing w:line="280" w:lineRule="exact"/>
      <w:jc w:val="both"/>
    </w:pPr>
    <w:rPr>
      <w:rFonts w:ascii="Arial" w:hAnsi="Arial" w:cs="Arial"/>
      <w:b/>
      <w:sz w:val="22"/>
      <w:szCs w:val="22"/>
    </w:rPr>
  </w:style>
  <w:style w:type="paragraph" w:customStyle="1" w:styleId="BodySingle">
    <w:name w:val="Body Single"/>
    <w:rsid w:val="00106280"/>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106280"/>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06280"/>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1062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06280"/>
    <w:pPr>
      <w:tabs>
        <w:tab w:val="center" w:pos="4153"/>
        <w:tab w:val="right" w:pos="8306"/>
      </w:tabs>
    </w:pPr>
  </w:style>
  <w:style w:type="character" w:customStyle="1" w:styleId="FooterChar">
    <w:name w:val="Footer Char"/>
    <w:basedOn w:val="DefaultParagraphFont"/>
    <w:link w:val="Footer"/>
    <w:uiPriority w:val="99"/>
    <w:rsid w:val="00106280"/>
    <w:rPr>
      <w:rFonts w:ascii="Times New Roman" w:eastAsia="Times New Roman" w:hAnsi="Times New Roman" w:cs="Times New Roman"/>
      <w:sz w:val="24"/>
      <w:szCs w:val="24"/>
      <w:lang w:val="en-GB" w:eastAsia="en-GB"/>
    </w:rPr>
  </w:style>
  <w:style w:type="character" w:styleId="PageNumber">
    <w:name w:val="page number"/>
    <w:basedOn w:val="DefaultParagraphFont"/>
    <w:rsid w:val="00106280"/>
  </w:style>
  <w:style w:type="paragraph" w:styleId="Header">
    <w:name w:val="header"/>
    <w:basedOn w:val="Normal"/>
    <w:link w:val="HeaderChar"/>
    <w:rsid w:val="00106280"/>
    <w:pPr>
      <w:tabs>
        <w:tab w:val="center" w:pos="4153"/>
        <w:tab w:val="right" w:pos="8306"/>
      </w:tabs>
    </w:pPr>
  </w:style>
  <w:style w:type="character" w:customStyle="1" w:styleId="HeaderChar">
    <w:name w:val="Header Char"/>
    <w:basedOn w:val="DefaultParagraphFont"/>
    <w:link w:val="Header"/>
    <w:rsid w:val="00106280"/>
    <w:rPr>
      <w:rFonts w:ascii="Times New Roman" w:eastAsia="Times New Roman" w:hAnsi="Times New Roman" w:cs="Times New Roman"/>
      <w:sz w:val="24"/>
      <w:szCs w:val="24"/>
      <w:lang w:val="en-GB" w:eastAsia="en-GB"/>
    </w:rPr>
  </w:style>
  <w:style w:type="paragraph" w:styleId="ListParagraph">
    <w:name w:val="List Paragraph"/>
    <w:aliases w:val="List Paragraph 1,Bullets,Recommendation,List Paragraph1,Table of contents numbered,Chapter Numbering,List Paragraph - 2,Riana Table Bullets 1,Bullets and Numbers"/>
    <w:basedOn w:val="Normal"/>
    <w:link w:val="ListParagraphChar"/>
    <w:uiPriority w:val="34"/>
    <w:qFormat/>
    <w:rsid w:val="00106280"/>
    <w:pPr>
      <w:ind w:left="720"/>
    </w:pPr>
  </w:style>
  <w:style w:type="character" w:customStyle="1" w:styleId="ListParagraphChar">
    <w:name w:val="List Paragraph Char"/>
    <w:aliases w:val="List Paragraph 1 Char,Bullets Char,Recommendation Char,List Paragraph1 Char,Table of contents numbered Char,Chapter Numbering Char,List Paragraph - 2 Char,Riana Table Bullets 1 Char,Bullets and Numbers Char"/>
    <w:basedOn w:val="DefaultParagraphFont"/>
    <w:link w:val="ListParagraph"/>
    <w:uiPriority w:val="34"/>
    <w:locked/>
    <w:rsid w:val="00106280"/>
    <w:rPr>
      <w:rFonts w:ascii="Times New Roman" w:eastAsia="Times New Roman" w:hAnsi="Times New Roman" w:cs="Times New Roman"/>
      <w:sz w:val="24"/>
      <w:szCs w:val="24"/>
      <w:lang w:val="en-GB" w:eastAsia="en-GB"/>
    </w:rPr>
  </w:style>
  <w:style w:type="character" w:styleId="Hyperlink">
    <w:name w:val="Hyperlink"/>
    <w:basedOn w:val="DefaultParagraphFont"/>
    <w:rsid w:val="00106280"/>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106280"/>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106280"/>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106280"/>
    <w:rPr>
      <w:rFonts w:cs="Times New Roman"/>
      <w:vertAlign w:val="superscript"/>
    </w:rPr>
  </w:style>
  <w:style w:type="paragraph" w:customStyle="1" w:styleId="Default">
    <w:name w:val="Default"/>
    <w:rsid w:val="0010628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106280"/>
    <w:pPr>
      <w:jc w:val="both"/>
    </w:pPr>
    <w:rPr>
      <w:rFonts w:ascii="Arial" w:hAnsi="Arial" w:cs="Arial"/>
      <w:lang w:eastAsia="en-US"/>
    </w:rPr>
  </w:style>
  <w:style w:type="character" w:customStyle="1" w:styleId="BodyTextChar">
    <w:name w:val="Body Text Char"/>
    <w:basedOn w:val="DefaultParagraphFont"/>
    <w:link w:val="BodyText"/>
    <w:rsid w:val="00106280"/>
    <w:rPr>
      <w:rFonts w:ascii="Arial" w:eastAsia="Times New Roman" w:hAnsi="Arial" w:cs="Arial"/>
      <w:sz w:val="24"/>
      <w:szCs w:val="24"/>
    </w:rPr>
  </w:style>
  <w:style w:type="paragraph" w:styleId="NormalWeb">
    <w:name w:val="Normal (Web)"/>
    <w:basedOn w:val="Normal"/>
    <w:uiPriority w:val="99"/>
    <w:rsid w:val="00106280"/>
    <w:pPr>
      <w:spacing w:before="120" w:after="216"/>
    </w:pPr>
  </w:style>
  <w:style w:type="character" w:styleId="Strong">
    <w:name w:val="Strong"/>
    <w:basedOn w:val="DefaultParagraphFont"/>
    <w:uiPriority w:val="22"/>
    <w:qFormat/>
    <w:rsid w:val="00106280"/>
    <w:rPr>
      <w:b/>
      <w:bCs/>
    </w:rPr>
  </w:style>
  <w:style w:type="paragraph" w:customStyle="1" w:styleId="ColorfulList-Accent11">
    <w:name w:val="Colorful List - Accent 11"/>
    <w:basedOn w:val="Normal"/>
    <w:qFormat/>
    <w:rsid w:val="00106280"/>
    <w:pPr>
      <w:spacing w:after="200" w:line="276" w:lineRule="auto"/>
      <w:ind w:left="720"/>
      <w:contextualSpacing/>
    </w:pPr>
    <w:rPr>
      <w:rFonts w:ascii="Calibri" w:eastAsia="Calibri" w:hAnsi="Calibri"/>
      <w:sz w:val="22"/>
      <w:szCs w:val="22"/>
      <w:lang w:eastAsia="en-US"/>
    </w:rPr>
  </w:style>
  <w:style w:type="paragraph" w:customStyle="1" w:styleId="Style0">
    <w:name w:val="Style0"/>
    <w:rsid w:val="00106280"/>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106280"/>
  </w:style>
  <w:style w:type="character" w:styleId="Emphasis">
    <w:name w:val="Emphasis"/>
    <w:basedOn w:val="DefaultParagraphFont"/>
    <w:uiPriority w:val="20"/>
    <w:qFormat/>
    <w:rsid w:val="00106280"/>
    <w:rPr>
      <w:i/>
      <w:iCs/>
    </w:rPr>
  </w:style>
  <w:style w:type="character" w:customStyle="1" w:styleId="apple-converted-space">
    <w:name w:val="apple-converted-space"/>
    <w:basedOn w:val="DefaultParagraphFont"/>
    <w:rsid w:val="00106280"/>
  </w:style>
  <w:style w:type="paragraph" w:styleId="BalloonText">
    <w:name w:val="Balloon Text"/>
    <w:basedOn w:val="Normal"/>
    <w:link w:val="BalloonTextChar"/>
    <w:rsid w:val="00106280"/>
    <w:rPr>
      <w:rFonts w:ascii="Tahoma" w:hAnsi="Tahoma" w:cs="Tahoma"/>
      <w:sz w:val="16"/>
      <w:szCs w:val="16"/>
    </w:rPr>
  </w:style>
  <w:style w:type="character" w:customStyle="1" w:styleId="BalloonTextChar">
    <w:name w:val="Balloon Text Char"/>
    <w:basedOn w:val="DefaultParagraphFont"/>
    <w:link w:val="BalloonText"/>
    <w:rsid w:val="00106280"/>
    <w:rPr>
      <w:rFonts w:ascii="Tahoma" w:eastAsia="Times New Roman" w:hAnsi="Tahoma" w:cs="Tahoma"/>
      <w:sz w:val="16"/>
      <w:szCs w:val="16"/>
      <w:lang w:val="en-GB" w:eastAsia="en-GB"/>
    </w:rPr>
  </w:style>
  <w:style w:type="character" w:customStyle="1" w:styleId="CommentTextChar">
    <w:name w:val="Comment Text Char"/>
    <w:basedOn w:val="DefaultParagraphFont"/>
    <w:link w:val="CommentText"/>
    <w:uiPriority w:val="99"/>
    <w:semiHidden/>
    <w:rsid w:val="00106280"/>
    <w:rPr>
      <w:sz w:val="20"/>
      <w:szCs w:val="20"/>
    </w:rPr>
  </w:style>
  <w:style w:type="paragraph" w:styleId="CommentText">
    <w:name w:val="annotation text"/>
    <w:basedOn w:val="Normal"/>
    <w:link w:val="CommentTextChar"/>
    <w:uiPriority w:val="99"/>
    <w:semiHidden/>
    <w:unhideWhenUsed/>
    <w:rsid w:val="00106280"/>
    <w:pPr>
      <w:spacing w:after="160"/>
    </w:pPr>
    <w:rPr>
      <w:rFonts w:asciiTheme="minorHAnsi" w:eastAsiaTheme="minorHAnsi" w:hAnsiTheme="minorHAnsi" w:cstheme="minorBidi"/>
      <w:sz w:val="20"/>
      <w:szCs w:val="20"/>
      <w:lang w:eastAsia="en-US"/>
    </w:rPr>
  </w:style>
  <w:style w:type="character" w:styleId="CommentReference">
    <w:name w:val="annotation reference"/>
    <w:basedOn w:val="DefaultParagraphFont"/>
    <w:semiHidden/>
    <w:unhideWhenUsed/>
    <w:rsid w:val="00FF0088"/>
    <w:rPr>
      <w:sz w:val="16"/>
      <w:szCs w:val="16"/>
    </w:rPr>
  </w:style>
  <w:style w:type="paragraph" w:styleId="CommentSubject">
    <w:name w:val="annotation subject"/>
    <w:basedOn w:val="CommentText"/>
    <w:next w:val="CommentText"/>
    <w:link w:val="CommentSubjectChar"/>
    <w:uiPriority w:val="99"/>
    <w:semiHidden/>
    <w:unhideWhenUsed/>
    <w:rsid w:val="00FF0088"/>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F0088"/>
    <w:rPr>
      <w:rFonts w:ascii="Times New Roman" w:eastAsia="Times New Roman" w:hAnsi="Times New Roman" w:cs="Times New Roman"/>
      <w:b/>
      <w:bCs/>
      <w:sz w:val="20"/>
      <w:szCs w:val="20"/>
      <w:lang w:eastAsia="en-GB"/>
    </w:rPr>
  </w:style>
  <w:style w:type="paragraph" w:styleId="Revision">
    <w:name w:val="Revision"/>
    <w:hidden/>
    <w:uiPriority w:val="99"/>
    <w:semiHidden/>
    <w:rsid w:val="00546D85"/>
    <w:pPr>
      <w:spacing w:after="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23507D"/>
    <w:pPr>
      <w:spacing w:after="200"/>
    </w:pPr>
    <w:rPr>
      <w:rFonts w:ascii="Calibri" w:eastAsia="Calibri" w:hAnsi="Calibri"/>
      <w:i/>
      <w:iCs/>
      <w:color w:val="44546A"/>
      <w:sz w:val="18"/>
      <w:szCs w:val="18"/>
      <w:lang w:eastAsia="en-US"/>
    </w:rPr>
  </w:style>
  <w:style w:type="paragraph" w:styleId="NoSpacing">
    <w:name w:val="No Spacing"/>
    <w:uiPriority w:val="1"/>
    <w:qFormat/>
    <w:rsid w:val="0086721F"/>
    <w:pPr>
      <w:spacing w:after="0" w:line="240" w:lineRule="auto"/>
    </w:pPr>
    <w:rPr>
      <w:rFonts w:ascii="Calibri" w:eastAsia="Calibri" w:hAnsi="Calibri" w:cs="Times New Roman"/>
      <w:lang w:val="en-US"/>
    </w:rPr>
  </w:style>
  <w:style w:type="paragraph" w:customStyle="1" w:styleId="NormalBoldCenter">
    <w:name w:val="Normal Bold Center"/>
    <w:basedOn w:val="Normal"/>
    <w:rsid w:val="00C20EB6"/>
    <w:pPr>
      <w:spacing w:line="280" w:lineRule="exact"/>
      <w:jc w:val="center"/>
    </w:pPr>
    <w:rPr>
      <w:rFonts w:ascii="Arial" w:hAnsi="Arial"/>
      <w:b/>
      <w:color w:val="000000"/>
      <w:spacing w:val="6"/>
      <w:sz w:val="18"/>
      <w:szCs w:val="18"/>
      <w:lang w:val="en-GB"/>
    </w:rPr>
  </w:style>
  <w:style w:type="paragraph" w:styleId="Title">
    <w:name w:val="Title"/>
    <w:basedOn w:val="Normal"/>
    <w:next w:val="Normal"/>
    <w:link w:val="TitleChar"/>
    <w:uiPriority w:val="10"/>
    <w:qFormat/>
    <w:rsid w:val="00C56697"/>
    <w:pPr>
      <w:contextualSpacing/>
      <w:jc w:val="both"/>
    </w:pPr>
    <w:rPr>
      <w:rFonts w:ascii="Arial" w:eastAsiaTheme="majorEastAsia" w:hAnsi="Arial" w:cstheme="majorBidi"/>
      <w:b/>
      <w:caps/>
      <w:color w:val="538135" w:themeColor="accent6" w:themeShade="BF"/>
      <w:spacing w:val="-10"/>
      <w:kern w:val="28"/>
      <w:sz w:val="28"/>
      <w:szCs w:val="56"/>
      <w:lang w:eastAsia="en-US"/>
    </w:rPr>
  </w:style>
  <w:style w:type="character" w:customStyle="1" w:styleId="TitleChar">
    <w:name w:val="Title Char"/>
    <w:basedOn w:val="DefaultParagraphFont"/>
    <w:link w:val="Title"/>
    <w:uiPriority w:val="10"/>
    <w:rsid w:val="00C56697"/>
    <w:rPr>
      <w:rFonts w:ascii="Arial" w:eastAsiaTheme="majorEastAsia" w:hAnsi="Arial" w:cstheme="majorBidi"/>
      <w:b/>
      <w:caps/>
      <w:color w:val="538135" w:themeColor="accent6" w:themeShade="BF"/>
      <w:spacing w:val="-10"/>
      <w:kern w:val="28"/>
      <w:sz w:val="28"/>
      <w:szCs w:val="56"/>
    </w:rPr>
  </w:style>
  <w:style w:type="table" w:customStyle="1" w:styleId="GridTable4Accent3">
    <w:name w:val="Grid Table 4 Accent 3"/>
    <w:basedOn w:val="TableNormal"/>
    <w:uiPriority w:val="49"/>
    <w:rsid w:val="004022DB"/>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3">
    <w:name w:val="Table Grid3"/>
    <w:basedOn w:val="TableNormal"/>
    <w:next w:val="TableGrid"/>
    <w:uiPriority w:val="39"/>
    <w:rsid w:val="00D32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A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966847"/>
    <w:rPr>
      <w:rFonts w:cs="Montserrat"/>
      <w:color w:val="000000"/>
      <w:sz w:val="20"/>
      <w:szCs w:val="20"/>
    </w:rPr>
  </w:style>
</w:styles>
</file>

<file path=word/webSettings.xml><?xml version="1.0" encoding="utf-8"?>
<w:webSettings xmlns:r="http://schemas.openxmlformats.org/officeDocument/2006/relationships" xmlns:w="http://schemas.openxmlformats.org/wordprocessingml/2006/main">
  <w:divs>
    <w:div w:id="11301719">
      <w:bodyDiv w:val="1"/>
      <w:marLeft w:val="0"/>
      <w:marRight w:val="0"/>
      <w:marTop w:val="0"/>
      <w:marBottom w:val="0"/>
      <w:divBdr>
        <w:top w:val="none" w:sz="0" w:space="0" w:color="auto"/>
        <w:left w:val="none" w:sz="0" w:space="0" w:color="auto"/>
        <w:bottom w:val="none" w:sz="0" w:space="0" w:color="auto"/>
        <w:right w:val="none" w:sz="0" w:space="0" w:color="auto"/>
      </w:divBdr>
      <w:divsChild>
        <w:div w:id="601839147">
          <w:marLeft w:val="547"/>
          <w:marRight w:val="0"/>
          <w:marTop w:val="0"/>
          <w:marBottom w:val="0"/>
          <w:divBdr>
            <w:top w:val="none" w:sz="0" w:space="0" w:color="auto"/>
            <w:left w:val="none" w:sz="0" w:space="0" w:color="auto"/>
            <w:bottom w:val="none" w:sz="0" w:space="0" w:color="auto"/>
            <w:right w:val="none" w:sz="0" w:space="0" w:color="auto"/>
          </w:divBdr>
        </w:div>
        <w:div w:id="763837888">
          <w:marLeft w:val="547"/>
          <w:marRight w:val="0"/>
          <w:marTop w:val="0"/>
          <w:marBottom w:val="0"/>
          <w:divBdr>
            <w:top w:val="none" w:sz="0" w:space="0" w:color="auto"/>
            <w:left w:val="none" w:sz="0" w:space="0" w:color="auto"/>
            <w:bottom w:val="none" w:sz="0" w:space="0" w:color="auto"/>
            <w:right w:val="none" w:sz="0" w:space="0" w:color="auto"/>
          </w:divBdr>
        </w:div>
      </w:divsChild>
    </w:div>
    <w:div w:id="17320462">
      <w:bodyDiv w:val="1"/>
      <w:marLeft w:val="0"/>
      <w:marRight w:val="0"/>
      <w:marTop w:val="0"/>
      <w:marBottom w:val="0"/>
      <w:divBdr>
        <w:top w:val="none" w:sz="0" w:space="0" w:color="auto"/>
        <w:left w:val="none" w:sz="0" w:space="0" w:color="auto"/>
        <w:bottom w:val="none" w:sz="0" w:space="0" w:color="auto"/>
        <w:right w:val="none" w:sz="0" w:space="0" w:color="auto"/>
      </w:divBdr>
    </w:div>
    <w:div w:id="27219330">
      <w:bodyDiv w:val="1"/>
      <w:marLeft w:val="0"/>
      <w:marRight w:val="0"/>
      <w:marTop w:val="0"/>
      <w:marBottom w:val="0"/>
      <w:divBdr>
        <w:top w:val="none" w:sz="0" w:space="0" w:color="auto"/>
        <w:left w:val="none" w:sz="0" w:space="0" w:color="auto"/>
        <w:bottom w:val="none" w:sz="0" w:space="0" w:color="auto"/>
        <w:right w:val="none" w:sz="0" w:space="0" w:color="auto"/>
      </w:divBdr>
      <w:divsChild>
        <w:div w:id="845440404">
          <w:marLeft w:val="288"/>
          <w:marRight w:val="0"/>
          <w:marTop w:val="120"/>
          <w:marBottom w:val="0"/>
          <w:divBdr>
            <w:top w:val="none" w:sz="0" w:space="0" w:color="auto"/>
            <w:left w:val="none" w:sz="0" w:space="0" w:color="auto"/>
            <w:bottom w:val="none" w:sz="0" w:space="0" w:color="auto"/>
            <w:right w:val="none" w:sz="0" w:space="0" w:color="auto"/>
          </w:divBdr>
        </w:div>
        <w:div w:id="1467047641">
          <w:marLeft w:val="979"/>
          <w:marRight w:val="0"/>
          <w:marTop w:val="120"/>
          <w:marBottom w:val="0"/>
          <w:divBdr>
            <w:top w:val="none" w:sz="0" w:space="0" w:color="auto"/>
            <w:left w:val="none" w:sz="0" w:space="0" w:color="auto"/>
            <w:bottom w:val="none" w:sz="0" w:space="0" w:color="auto"/>
            <w:right w:val="none" w:sz="0" w:space="0" w:color="auto"/>
          </w:divBdr>
        </w:div>
        <w:div w:id="990907809">
          <w:marLeft w:val="979"/>
          <w:marRight w:val="0"/>
          <w:marTop w:val="120"/>
          <w:marBottom w:val="0"/>
          <w:divBdr>
            <w:top w:val="none" w:sz="0" w:space="0" w:color="auto"/>
            <w:left w:val="none" w:sz="0" w:space="0" w:color="auto"/>
            <w:bottom w:val="none" w:sz="0" w:space="0" w:color="auto"/>
            <w:right w:val="none" w:sz="0" w:space="0" w:color="auto"/>
          </w:divBdr>
        </w:div>
        <w:div w:id="516120225">
          <w:marLeft w:val="979"/>
          <w:marRight w:val="0"/>
          <w:marTop w:val="120"/>
          <w:marBottom w:val="0"/>
          <w:divBdr>
            <w:top w:val="none" w:sz="0" w:space="0" w:color="auto"/>
            <w:left w:val="none" w:sz="0" w:space="0" w:color="auto"/>
            <w:bottom w:val="none" w:sz="0" w:space="0" w:color="auto"/>
            <w:right w:val="none" w:sz="0" w:space="0" w:color="auto"/>
          </w:divBdr>
        </w:div>
        <w:div w:id="1170216760">
          <w:marLeft w:val="274"/>
          <w:marRight w:val="0"/>
          <w:marTop w:val="120"/>
          <w:marBottom w:val="0"/>
          <w:divBdr>
            <w:top w:val="none" w:sz="0" w:space="0" w:color="auto"/>
            <w:left w:val="none" w:sz="0" w:space="0" w:color="auto"/>
            <w:bottom w:val="none" w:sz="0" w:space="0" w:color="auto"/>
            <w:right w:val="none" w:sz="0" w:space="0" w:color="auto"/>
          </w:divBdr>
        </w:div>
        <w:div w:id="565802975">
          <w:marLeft w:val="979"/>
          <w:marRight w:val="0"/>
          <w:marTop w:val="120"/>
          <w:marBottom w:val="0"/>
          <w:divBdr>
            <w:top w:val="none" w:sz="0" w:space="0" w:color="auto"/>
            <w:left w:val="none" w:sz="0" w:space="0" w:color="auto"/>
            <w:bottom w:val="none" w:sz="0" w:space="0" w:color="auto"/>
            <w:right w:val="none" w:sz="0" w:space="0" w:color="auto"/>
          </w:divBdr>
        </w:div>
        <w:div w:id="16010469">
          <w:marLeft w:val="288"/>
          <w:marRight w:val="0"/>
          <w:marTop w:val="120"/>
          <w:marBottom w:val="0"/>
          <w:divBdr>
            <w:top w:val="none" w:sz="0" w:space="0" w:color="auto"/>
            <w:left w:val="none" w:sz="0" w:space="0" w:color="auto"/>
            <w:bottom w:val="none" w:sz="0" w:space="0" w:color="auto"/>
            <w:right w:val="none" w:sz="0" w:space="0" w:color="auto"/>
          </w:divBdr>
        </w:div>
        <w:div w:id="216283426">
          <w:marLeft w:val="979"/>
          <w:marRight w:val="0"/>
          <w:marTop w:val="120"/>
          <w:marBottom w:val="0"/>
          <w:divBdr>
            <w:top w:val="none" w:sz="0" w:space="0" w:color="auto"/>
            <w:left w:val="none" w:sz="0" w:space="0" w:color="auto"/>
            <w:bottom w:val="none" w:sz="0" w:space="0" w:color="auto"/>
            <w:right w:val="none" w:sz="0" w:space="0" w:color="auto"/>
          </w:divBdr>
        </w:div>
        <w:div w:id="1214731421">
          <w:marLeft w:val="274"/>
          <w:marRight w:val="0"/>
          <w:marTop w:val="120"/>
          <w:marBottom w:val="0"/>
          <w:divBdr>
            <w:top w:val="none" w:sz="0" w:space="0" w:color="auto"/>
            <w:left w:val="none" w:sz="0" w:space="0" w:color="auto"/>
            <w:bottom w:val="none" w:sz="0" w:space="0" w:color="auto"/>
            <w:right w:val="none" w:sz="0" w:space="0" w:color="auto"/>
          </w:divBdr>
        </w:div>
        <w:div w:id="287012221">
          <w:marLeft w:val="979"/>
          <w:marRight w:val="0"/>
          <w:marTop w:val="120"/>
          <w:marBottom w:val="0"/>
          <w:divBdr>
            <w:top w:val="none" w:sz="0" w:space="0" w:color="auto"/>
            <w:left w:val="none" w:sz="0" w:space="0" w:color="auto"/>
            <w:bottom w:val="none" w:sz="0" w:space="0" w:color="auto"/>
            <w:right w:val="none" w:sz="0" w:space="0" w:color="auto"/>
          </w:divBdr>
        </w:div>
        <w:div w:id="1759672038">
          <w:marLeft w:val="979"/>
          <w:marRight w:val="0"/>
          <w:marTop w:val="120"/>
          <w:marBottom w:val="0"/>
          <w:divBdr>
            <w:top w:val="none" w:sz="0" w:space="0" w:color="auto"/>
            <w:left w:val="none" w:sz="0" w:space="0" w:color="auto"/>
            <w:bottom w:val="none" w:sz="0" w:space="0" w:color="auto"/>
            <w:right w:val="none" w:sz="0" w:space="0" w:color="auto"/>
          </w:divBdr>
        </w:div>
      </w:divsChild>
    </w:div>
    <w:div w:id="36517267">
      <w:bodyDiv w:val="1"/>
      <w:marLeft w:val="0"/>
      <w:marRight w:val="0"/>
      <w:marTop w:val="0"/>
      <w:marBottom w:val="0"/>
      <w:divBdr>
        <w:top w:val="none" w:sz="0" w:space="0" w:color="auto"/>
        <w:left w:val="none" w:sz="0" w:space="0" w:color="auto"/>
        <w:bottom w:val="none" w:sz="0" w:space="0" w:color="auto"/>
        <w:right w:val="none" w:sz="0" w:space="0" w:color="auto"/>
      </w:divBdr>
      <w:divsChild>
        <w:div w:id="1176574624">
          <w:marLeft w:val="907"/>
          <w:marRight w:val="0"/>
          <w:marTop w:val="0"/>
          <w:marBottom w:val="0"/>
          <w:divBdr>
            <w:top w:val="none" w:sz="0" w:space="0" w:color="auto"/>
            <w:left w:val="none" w:sz="0" w:space="0" w:color="auto"/>
            <w:bottom w:val="none" w:sz="0" w:space="0" w:color="auto"/>
            <w:right w:val="none" w:sz="0" w:space="0" w:color="auto"/>
          </w:divBdr>
        </w:div>
        <w:div w:id="1069229859">
          <w:marLeft w:val="907"/>
          <w:marRight w:val="0"/>
          <w:marTop w:val="0"/>
          <w:marBottom w:val="0"/>
          <w:divBdr>
            <w:top w:val="none" w:sz="0" w:space="0" w:color="auto"/>
            <w:left w:val="none" w:sz="0" w:space="0" w:color="auto"/>
            <w:bottom w:val="none" w:sz="0" w:space="0" w:color="auto"/>
            <w:right w:val="none" w:sz="0" w:space="0" w:color="auto"/>
          </w:divBdr>
        </w:div>
        <w:div w:id="1589845531">
          <w:marLeft w:val="907"/>
          <w:marRight w:val="0"/>
          <w:marTop w:val="0"/>
          <w:marBottom w:val="0"/>
          <w:divBdr>
            <w:top w:val="none" w:sz="0" w:space="0" w:color="auto"/>
            <w:left w:val="none" w:sz="0" w:space="0" w:color="auto"/>
            <w:bottom w:val="none" w:sz="0" w:space="0" w:color="auto"/>
            <w:right w:val="none" w:sz="0" w:space="0" w:color="auto"/>
          </w:divBdr>
        </w:div>
      </w:divsChild>
    </w:div>
    <w:div w:id="100609770">
      <w:bodyDiv w:val="1"/>
      <w:marLeft w:val="0"/>
      <w:marRight w:val="0"/>
      <w:marTop w:val="0"/>
      <w:marBottom w:val="0"/>
      <w:divBdr>
        <w:top w:val="none" w:sz="0" w:space="0" w:color="auto"/>
        <w:left w:val="none" w:sz="0" w:space="0" w:color="auto"/>
        <w:bottom w:val="none" w:sz="0" w:space="0" w:color="auto"/>
        <w:right w:val="none" w:sz="0" w:space="0" w:color="auto"/>
      </w:divBdr>
      <w:divsChild>
        <w:div w:id="8026948">
          <w:marLeft w:val="547"/>
          <w:marRight w:val="0"/>
          <w:marTop w:val="0"/>
          <w:marBottom w:val="0"/>
          <w:divBdr>
            <w:top w:val="none" w:sz="0" w:space="0" w:color="auto"/>
            <w:left w:val="none" w:sz="0" w:space="0" w:color="auto"/>
            <w:bottom w:val="none" w:sz="0" w:space="0" w:color="auto"/>
            <w:right w:val="none" w:sz="0" w:space="0" w:color="auto"/>
          </w:divBdr>
        </w:div>
        <w:div w:id="789711317">
          <w:marLeft w:val="547"/>
          <w:marRight w:val="0"/>
          <w:marTop w:val="0"/>
          <w:marBottom w:val="0"/>
          <w:divBdr>
            <w:top w:val="none" w:sz="0" w:space="0" w:color="auto"/>
            <w:left w:val="none" w:sz="0" w:space="0" w:color="auto"/>
            <w:bottom w:val="none" w:sz="0" w:space="0" w:color="auto"/>
            <w:right w:val="none" w:sz="0" w:space="0" w:color="auto"/>
          </w:divBdr>
        </w:div>
        <w:div w:id="983004574">
          <w:marLeft w:val="547"/>
          <w:marRight w:val="0"/>
          <w:marTop w:val="0"/>
          <w:marBottom w:val="0"/>
          <w:divBdr>
            <w:top w:val="none" w:sz="0" w:space="0" w:color="auto"/>
            <w:left w:val="none" w:sz="0" w:space="0" w:color="auto"/>
            <w:bottom w:val="none" w:sz="0" w:space="0" w:color="auto"/>
            <w:right w:val="none" w:sz="0" w:space="0" w:color="auto"/>
          </w:divBdr>
        </w:div>
        <w:div w:id="1202672773">
          <w:marLeft w:val="547"/>
          <w:marRight w:val="0"/>
          <w:marTop w:val="0"/>
          <w:marBottom w:val="0"/>
          <w:divBdr>
            <w:top w:val="none" w:sz="0" w:space="0" w:color="auto"/>
            <w:left w:val="none" w:sz="0" w:space="0" w:color="auto"/>
            <w:bottom w:val="none" w:sz="0" w:space="0" w:color="auto"/>
            <w:right w:val="none" w:sz="0" w:space="0" w:color="auto"/>
          </w:divBdr>
        </w:div>
        <w:div w:id="1963267171">
          <w:marLeft w:val="547"/>
          <w:marRight w:val="0"/>
          <w:marTop w:val="0"/>
          <w:marBottom w:val="0"/>
          <w:divBdr>
            <w:top w:val="none" w:sz="0" w:space="0" w:color="auto"/>
            <w:left w:val="none" w:sz="0" w:space="0" w:color="auto"/>
            <w:bottom w:val="none" w:sz="0" w:space="0" w:color="auto"/>
            <w:right w:val="none" w:sz="0" w:space="0" w:color="auto"/>
          </w:divBdr>
        </w:div>
      </w:divsChild>
    </w:div>
    <w:div w:id="146285966">
      <w:bodyDiv w:val="1"/>
      <w:marLeft w:val="0"/>
      <w:marRight w:val="0"/>
      <w:marTop w:val="0"/>
      <w:marBottom w:val="0"/>
      <w:divBdr>
        <w:top w:val="none" w:sz="0" w:space="0" w:color="auto"/>
        <w:left w:val="none" w:sz="0" w:space="0" w:color="auto"/>
        <w:bottom w:val="none" w:sz="0" w:space="0" w:color="auto"/>
        <w:right w:val="none" w:sz="0" w:space="0" w:color="auto"/>
      </w:divBdr>
      <w:divsChild>
        <w:div w:id="688020375">
          <w:marLeft w:val="806"/>
          <w:marRight w:val="0"/>
          <w:marTop w:val="82"/>
          <w:marBottom w:val="0"/>
          <w:divBdr>
            <w:top w:val="none" w:sz="0" w:space="0" w:color="auto"/>
            <w:left w:val="none" w:sz="0" w:space="0" w:color="auto"/>
            <w:bottom w:val="none" w:sz="0" w:space="0" w:color="auto"/>
            <w:right w:val="none" w:sz="0" w:space="0" w:color="auto"/>
          </w:divBdr>
        </w:div>
        <w:div w:id="1091005017">
          <w:marLeft w:val="806"/>
          <w:marRight w:val="0"/>
          <w:marTop w:val="82"/>
          <w:marBottom w:val="0"/>
          <w:divBdr>
            <w:top w:val="none" w:sz="0" w:space="0" w:color="auto"/>
            <w:left w:val="none" w:sz="0" w:space="0" w:color="auto"/>
            <w:bottom w:val="none" w:sz="0" w:space="0" w:color="auto"/>
            <w:right w:val="none" w:sz="0" w:space="0" w:color="auto"/>
          </w:divBdr>
        </w:div>
        <w:div w:id="1212231761">
          <w:marLeft w:val="806"/>
          <w:marRight w:val="0"/>
          <w:marTop w:val="82"/>
          <w:marBottom w:val="0"/>
          <w:divBdr>
            <w:top w:val="none" w:sz="0" w:space="0" w:color="auto"/>
            <w:left w:val="none" w:sz="0" w:space="0" w:color="auto"/>
            <w:bottom w:val="none" w:sz="0" w:space="0" w:color="auto"/>
            <w:right w:val="none" w:sz="0" w:space="0" w:color="auto"/>
          </w:divBdr>
        </w:div>
        <w:div w:id="1304238340">
          <w:marLeft w:val="806"/>
          <w:marRight w:val="0"/>
          <w:marTop w:val="82"/>
          <w:marBottom w:val="0"/>
          <w:divBdr>
            <w:top w:val="none" w:sz="0" w:space="0" w:color="auto"/>
            <w:left w:val="none" w:sz="0" w:space="0" w:color="auto"/>
            <w:bottom w:val="none" w:sz="0" w:space="0" w:color="auto"/>
            <w:right w:val="none" w:sz="0" w:space="0" w:color="auto"/>
          </w:divBdr>
        </w:div>
        <w:div w:id="2057311116">
          <w:marLeft w:val="806"/>
          <w:marRight w:val="0"/>
          <w:marTop w:val="82"/>
          <w:marBottom w:val="0"/>
          <w:divBdr>
            <w:top w:val="none" w:sz="0" w:space="0" w:color="auto"/>
            <w:left w:val="none" w:sz="0" w:space="0" w:color="auto"/>
            <w:bottom w:val="none" w:sz="0" w:space="0" w:color="auto"/>
            <w:right w:val="none" w:sz="0" w:space="0" w:color="auto"/>
          </w:divBdr>
        </w:div>
      </w:divsChild>
    </w:div>
    <w:div w:id="162473331">
      <w:bodyDiv w:val="1"/>
      <w:marLeft w:val="0"/>
      <w:marRight w:val="0"/>
      <w:marTop w:val="0"/>
      <w:marBottom w:val="0"/>
      <w:divBdr>
        <w:top w:val="none" w:sz="0" w:space="0" w:color="auto"/>
        <w:left w:val="none" w:sz="0" w:space="0" w:color="auto"/>
        <w:bottom w:val="none" w:sz="0" w:space="0" w:color="auto"/>
        <w:right w:val="none" w:sz="0" w:space="0" w:color="auto"/>
      </w:divBdr>
      <w:divsChild>
        <w:div w:id="1324578334">
          <w:marLeft w:val="446"/>
          <w:marRight w:val="0"/>
          <w:marTop w:val="0"/>
          <w:marBottom w:val="0"/>
          <w:divBdr>
            <w:top w:val="none" w:sz="0" w:space="0" w:color="auto"/>
            <w:left w:val="none" w:sz="0" w:space="0" w:color="auto"/>
            <w:bottom w:val="none" w:sz="0" w:space="0" w:color="auto"/>
            <w:right w:val="none" w:sz="0" w:space="0" w:color="auto"/>
          </w:divBdr>
        </w:div>
        <w:div w:id="315038295">
          <w:marLeft w:val="446"/>
          <w:marRight w:val="0"/>
          <w:marTop w:val="0"/>
          <w:marBottom w:val="0"/>
          <w:divBdr>
            <w:top w:val="none" w:sz="0" w:space="0" w:color="auto"/>
            <w:left w:val="none" w:sz="0" w:space="0" w:color="auto"/>
            <w:bottom w:val="none" w:sz="0" w:space="0" w:color="auto"/>
            <w:right w:val="none" w:sz="0" w:space="0" w:color="auto"/>
          </w:divBdr>
        </w:div>
        <w:div w:id="1622106753">
          <w:marLeft w:val="446"/>
          <w:marRight w:val="0"/>
          <w:marTop w:val="0"/>
          <w:marBottom w:val="0"/>
          <w:divBdr>
            <w:top w:val="none" w:sz="0" w:space="0" w:color="auto"/>
            <w:left w:val="none" w:sz="0" w:space="0" w:color="auto"/>
            <w:bottom w:val="none" w:sz="0" w:space="0" w:color="auto"/>
            <w:right w:val="none" w:sz="0" w:space="0" w:color="auto"/>
          </w:divBdr>
        </w:div>
      </w:divsChild>
    </w:div>
    <w:div w:id="172040953">
      <w:bodyDiv w:val="1"/>
      <w:marLeft w:val="0"/>
      <w:marRight w:val="0"/>
      <w:marTop w:val="0"/>
      <w:marBottom w:val="0"/>
      <w:divBdr>
        <w:top w:val="none" w:sz="0" w:space="0" w:color="auto"/>
        <w:left w:val="none" w:sz="0" w:space="0" w:color="auto"/>
        <w:bottom w:val="none" w:sz="0" w:space="0" w:color="auto"/>
        <w:right w:val="none" w:sz="0" w:space="0" w:color="auto"/>
      </w:divBdr>
    </w:div>
    <w:div w:id="224418049">
      <w:bodyDiv w:val="1"/>
      <w:marLeft w:val="0"/>
      <w:marRight w:val="0"/>
      <w:marTop w:val="0"/>
      <w:marBottom w:val="0"/>
      <w:divBdr>
        <w:top w:val="none" w:sz="0" w:space="0" w:color="auto"/>
        <w:left w:val="none" w:sz="0" w:space="0" w:color="auto"/>
        <w:bottom w:val="none" w:sz="0" w:space="0" w:color="auto"/>
        <w:right w:val="none" w:sz="0" w:space="0" w:color="auto"/>
      </w:divBdr>
    </w:div>
    <w:div w:id="238490692">
      <w:bodyDiv w:val="1"/>
      <w:marLeft w:val="0"/>
      <w:marRight w:val="0"/>
      <w:marTop w:val="0"/>
      <w:marBottom w:val="0"/>
      <w:divBdr>
        <w:top w:val="none" w:sz="0" w:space="0" w:color="auto"/>
        <w:left w:val="none" w:sz="0" w:space="0" w:color="auto"/>
        <w:bottom w:val="none" w:sz="0" w:space="0" w:color="auto"/>
        <w:right w:val="none" w:sz="0" w:space="0" w:color="auto"/>
      </w:divBdr>
      <w:divsChild>
        <w:div w:id="74086837">
          <w:marLeft w:val="720"/>
          <w:marRight w:val="0"/>
          <w:marTop w:val="82"/>
          <w:marBottom w:val="0"/>
          <w:divBdr>
            <w:top w:val="none" w:sz="0" w:space="0" w:color="auto"/>
            <w:left w:val="none" w:sz="0" w:space="0" w:color="auto"/>
            <w:bottom w:val="none" w:sz="0" w:space="0" w:color="auto"/>
            <w:right w:val="none" w:sz="0" w:space="0" w:color="auto"/>
          </w:divBdr>
        </w:div>
        <w:div w:id="112067728">
          <w:marLeft w:val="720"/>
          <w:marRight w:val="0"/>
          <w:marTop w:val="82"/>
          <w:marBottom w:val="0"/>
          <w:divBdr>
            <w:top w:val="none" w:sz="0" w:space="0" w:color="auto"/>
            <w:left w:val="none" w:sz="0" w:space="0" w:color="auto"/>
            <w:bottom w:val="none" w:sz="0" w:space="0" w:color="auto"/>
            <w:right w:val="none" w:sz="0" w:space="0" w:color="auto"/>
          </w:divBdr>
        </w:div>
        <w:div w:id="1542471382">
          <w:marLeft w:val="720"/>
          <w:marRight w:val="0"/>
          <w:marTop w:val="82"/>
          <w:marBottom w:val="0"/>
          <w:divBdr>
            <w:top w:val="none" w:sz="0" w:space="0" w:color="auto"/>
            <w:left w:val="none" w:sz="0" w:space="0" w:color="auto"/>
            <w:bottom w:val="none" w:sz="0" w:space="0" w:color="auto"/>
            <w:right w:val="none" w:sz="0" w:space="0" w:color="auto"/>
          </w:divBdr>
        </w:div>
        <w:div w:id="1984847674">
          <w:marLeft w:val="720"/>
          <w:marRight w:val="0"/>
          <w:marTop w:val="82"/>
          <w:marBottom w:val="0"/>
          <w:divBdr>
            <w:top w:val="none" w:sz="0" w:space="0" w:color="auto"/>
            <w:left w:val="none" w:sz="0" w:space="0" w:color="auto"/>
            <w:bottom w:val="none" w:sz="0" w:space="0" w:color="auto"/>
            <w:right w:val="none" w:sz="0" w:space="0" w:color="auto"/>
          </w:divBdr>
        </w:div>
      </w:divsChild>
    </w:div>
    <w:div w:id="242373721">
      <w:bodyDiv w:val="1"/>
      <w:marLeft w:val="0"/>
      <w:marRight w:val="0"/>
      <w:marTop w:val="0"/>
      <w:marBottom w:val="0"/>
      <w:divBdr>
        <w:top w:val="none" w:sz="0" w:space="0" w:color="auto"/>
        <w:left w:val="none" w:sz="0" w:space="0" w:color="auto"/>
        <w:bottom w:val="none" w:sz="0" w:space="0" w:color="auto"/>
        <w:right w:val="none" w:sz="0" w:space="0" w:color="auto"/>
      </w:divBdr>
      <w:divsChild>
        <w:div w:id="586572923">
          <w:marLeft w:val="1166"/>
          <w:marRight w:val="0"/>
          <w:marTop w:val="72"/>
          <w:marBottom w:val="0"/>
          <w:divBdr>
            <w:top w:val="none" w:sz="0" w:space="0" w:color="auto"/>
            <w:left w:val="none" w:sz="0" w:space="0" w:color="auto"/>
            <w:bottom w:val="none" w:sz="0" w:space="0" w:color="auto"/>
            <w:right w:val="none" w:sz="0" w:space="0" w:color="auto"/>
          </w:divBdr>
        </w:div>
        <w:div w:id="658078989">
          <w:marLeft w:val="720"/>
          <w:marRight w:val="0"/>
          <w:marTop w:val="82"/>
          <w:marBottom w:val="0"/>
          <w:divBdr>
            <w:top w:val="none" w:sz="0" w:space="0" w:color="auto"/>
            <w:left w:val="none" w:sz="0" w:space="0" w:color="auto"/>
            <w:bottom w:val="none" w:sz="0" w:space="0" w:color="auto"/>
            <w:right w:val="none" w:sz="0" w:space="0" w:color="auto"/>
          </w:divBdr>
        </w:div>
        <w:div w:id="698045874">
          <w:marLeft w:val="720"/>
          <w:marRight w:val="0"/>
          <w:marTop w:val="82"/>
          <w:marBottom w:val="0"/>
          <w:divBdr>
            <w:top w:val="none" w:sz="0" w:space="0" w:color="auto"/>
            <w:left w:val="none" w:sz="0" w:space="0" w:color="auto"/>
            <w:bottom w:val="none" w:sz="0" w:space="0" w:color="auto"/>
            <w:right w:val="none" w:sz="0" w:space="0" w:color="auto"/>
          </w:divBdr>
        </w:div>
        <w:div w:id="1195189447">
          <w:marLeft w:val="720"/>
          <w:marRight w:val="0"/>
          <w:marTop w:val="82"/>
          <w:marBottom w:val="0"/>
          <w:divBdr>
            <w:top w:val="none" w:sz="0" w:space="0" w:color="auto"/>
            <w:left w:val="none" w:sz="0" w:space="0" w:color="auto"/>
            <w:bottom w:val="none" w:sz="0" w:space="0" w:color="auto"/>
            <w:right w:val="none" w:sz="0" w:space="0" w:color="auto"/>
          </w:divBdr>
        </w:div>
        <w:div w:id="1220361606">
          <w:marLeft w:val="720"/>
          <w:marRight w:val="0"/>
          <w:marTop w:val="82"/>
          <w:marBottom w:val="0"/>
          <w:divBdr>
            <w:top w:val="none" w:sz="0" w:space="0" w:color="auto"/>
            <w:left w:val="none" w:sz="0" w:space="0" w:color="auto"/>
            <w:bottom w:val="none" w:sz="0" w:space="0" w:color="auto"/>
            <w:right w:val="none" w:sz="0" w:space="0" w:color="auto"/>
          </w:divBdr>
        </w:div>
        <w:div w:id="1761635788">
          <w:marLeft w:val="720"/>
          <w:marRight w:val="0"/>
          <w:marTop w:val="82"/>
          <w:marBottom w:val="0"/>
          <w:divBdr>
            <w:top w:val="none" w:sz="0" w:space="0" w:color="auto"/>
            <w:left w:val="none" w:sz="0" w:space="0" w:color="auto"/>
            <w:bottom w:val="none" w:sz="0" w:space="0" w:color="auto"/>
            <w:right w:val="none" w:sz="0" w:space="0" w:color="auto"/>
          </w:divBdr>
        </w:div>
        <w:div w:id="1885555062">
          <w:marLeft w:val="1166"/>
          <w:marRight w:val="0"/>
          <w:marTop w:val="72"/>
          <w:marBottom w:val="0"/>
          <w:divBdr>
            <w:top w:val="none" w:sz="0" w:space="0" w:color="auto"/>
            <w:left w:val="none" w:sz="0" w:space="0" w:color="auto"/>
            <w:bottom w:val="none" w:sz="0" w:space="0" w:color="auto"/>
            <w:right w:val="none" w:sz="0" w:space="0" w:color="auto"/>
          </w:divBdr>
        </w:div>
        <w:div w:id="2101217467">
          <w:marLeft w:val="720"/>
          <w:marRight w:val="0"/>
          <w:marTop w:val="82"/>
          <w:marBottom w:val="0"/>
          <w:divBdr>
            <w:top w:val="none" w:sz="0" w:space="0" w:color="auto"/>
            <w:left w:val="none" w:sz="0" w:space="0" w:color="auto"/>
            <w:bottom w:val="none" w:sz="0" w:space="0" w:color="auto"/>
            <w:right w:val="none" w:sz="0" w:space="0" w:color="auto"/>
          </w:divBdr>
        </w:div>
      </w:divsChild>
    </w:div>
    <w:div w:id="260837792">
      <w:bodyDiv w:val="1"/>
      <w:marLeft w:val="0"/>
      <w:marRight w:val="0"/>
      <w:marTop w:val="0"/>
      <w:marBottom w:val="0"/>
      <w:divBdr>
        <w:top w:val="none" w:sz="0" w:space="0" w:color="auto"/>
        <w:left w:val="none" w:sz="0" w:space="0" w:color="auto"/>
        <w:bottom w:val="none" w:sz="0" w:space="0" w:color="auto"/>
        <w:right w:val="none" w:sz="0" w:space="0" w:color="auto"/>
      </w:divBdr>
      <w:divsChild>
        <w:div w:id="862863301">
          <w:marLeft w:val="720"/>
          <w:marRight w:val="0"/>
          <w:marTop w:val="82"/>
          <w:marBottom w:val="0"/>
          <w:divBdr>
            <w:top w:val="none" w:sz="0" w:space="0" w:color="auto"/>
            <w:left w:val="none" w:sz="0" w:space="0" w:color="auto"/>
            <w:bottom w:val="none" w:sz="0" w:space="0" w:color="auto"/>
            <w:right w:val="none" w:sz="0" w:space="0" w:color="auto"/>
          </w:divBdr>
        </w:div>
        <w:div w:id="1348403607">
          <w:marLeft w:val="720"/>
          <w:marRight w:val="0"/>
          <w:marTop w:val="82"/>
          <w:marBottom w:val="0"/>
          <w:divBdr>
            <w:top w:val="none" w:sz="0" w:space="0" w:color="auto"/>
            <w:left w:val="none" w:sz="0" w:space="0" w:color="auto"/>
            <w:bottom w:val="none" w:sz="0" w:space="0" w:color="auto"/>
            <w:right w:val="none" w:sz="0" w:space="0" w:color="auto"/>
          </w:divBdr>
        </w:div>
        <w:div w:id="1957060075">
          <w:marLeft w:val="720"/>
          <w:marRight w:val="0"/>
          <w:marTop w:val="82"/>
          <w:marBottom w:val="0"/>
          <w:divBdr>
            <w:top w:val="none" w:sz="0" w:space="0" w:color="auto"/>
            <w:left w:val="none" w:sz="0" w:space="0" w:color="auto"/>
            <w:bottom w:val="none" w:sz="0" w:space="0" w:color="auto"/>
            <w:right w:val="none" w:sz="0" w:space="0" w:color="auto"/>
          </w:divBdr>
        </w:div>
        <w:div w:id="1974141051">
          <w:marLeft w:val="720"/>
          <w:marRight w:val="0"/>
          <w:marTop w:val="82"/>
          <w:marBottom w:val="0"/>
          <w:divBdr>
            <w:top w:val="none" w:sz="0" w:space="0" w:color="auto"/>
            <w:left w:val="none" w:sz="0" w:space="0" w:color="auto"/>
            <w:bottom w:val="none" w:sz="0" w:space="0" w:color="auto"/>
            <w:right w:val="none" w:sz="0" w:space="0" w:color="auto"/>
          </w:divBdr>
        </w:div>
      </w:divsChild>
    </w:div>
    <w:div w:id="267154202">
      <w:bodyDiv w:val="1"/>
      <w:marLeft w:val="0"/>
      <w:marRight w:val="0"/>
      <w:marTop w:val="0"/>
      <w:marBottom w:val="0"/>
      <w:divBdr>
        <w:top w:val="none" w:sz="0" w:space="0" w:color="auto"/>
        <w:left w:val="none" w:sz="0" w:space="0" w:color="auto"/>
        <w:bottom w:val="none" w:sz="0" w:space="0" w:color="auto"/>
        <w:right w:val="none" w:sz="0" w:space="0" w:color="auto"/>
      </w:divBdr>
    </w:div>
    <w:div w:id="272589238">
      <w:bodyDiv w:val="1"/>
      <w:marLeft w:val="0"/>
      <w:marRight w:val="0"/>
      <w:marTop w:val="0"/>
      <w:marBottom w:val="0"/>
      <w:divBdr>
        <w:top w:val="none" w:sz="0" w:space="0" w:color="auto"/>
        <w:left w:val="none" w:sz="0" w:space="0" w:color="auto"/>
        <w:bottom w:val="none" w:sz="0" w:space="0" w:color="auto"/>
        <w:right w:val="none" w:sz="0" w:space="0" w:color="auto"/>
      </w:divBdr>
      <w:divsChild>
        <w:div w:id="419568655">
          <w:marLeft w:val="403"/>
          <w:marRight w:val="0"/>
          <w:marTop w:val="86"/>
          <w:marBottom w:val="0"/>
          <w:divBdr>
            <w:top w:val="none" w:sz="0" w:space="0" w:color="auto"/>
            <w:left w:val="none" w:sz="0" w:space="0" w:color="auto"/>
            <w:bottom w:val="none" w:sz="0" w:space="0" w:color="auto"/>
            <w:right w:val="none" w:sz="0" w:space="0" w:color="auto"/>
          </w:divBdr>
        </w:div>
        <w:div w:id="1678967572">
          <w:marLeft w:val="403"/>
          <w:marRight w:val="0"/>
          <w:marTop w:val="86"/>
          <w:marBottom w:val="0"/>
          <w:divBdr>
            <w:top w:val="none" w:sz="0" w:space="0" w:color="auto"/>
            <w:left w:val="none" w:sz="0" w:space="0" w:color="auto"/>
            <w:bottom w:val="none" w:sz="0" w:space="0" w:color="auto"/>
            <w:right w:val="none" w:sz="0" w:space="0" w:color="auto"/>
          </w:divBdr>
        </w:div>
      </w:divsChild>
    </w:div>
    <w:div w:id="340088137">
      <w:bodyDiv w:val="1"/>
      <w:marLeft w:val="0"/>
      <w:marRight w:val="0"/>
      <w:marTop w:val="0"/>
      <w:marBottom w:val="0"/>
      <w:divBdr>
        <w:top w:val="none" w:sz="0" w:space="0" w:color="auto"/>
        <w:left w:val="none" w:sz="0" w:space="0" w:color="auto"/>
        <w:bottom w:val="none" w:sz="0" w:space="0" w:color="auto"/>
        <w:right w:val="none" w:sz="0" w:space="0" w:color="auto"/>
      </w:divBdr>
      <w:divsChild>
        <w:div w:id="270285599">
          <w:marLeft w:val="547"/>
          <w:marRight w:val="0"/>
          <w:marTop w:val="0"/>
          <w:marBottom w:val="0"/>
          <w:divBdr>
            <w:top w:val="none" w:sz="0" w:space="0" w:color="auto"/>
            <w:left w:val="none" w:sz="0" w:space="0" w:color="auto"/>
            <w:bottom w:val="none" w:sz="0" w:space="0" w:color="auto"/>
            <w:right w:val="none" w:sz="0" w:space="0" w:color="auto"/>
          </w:divBdr>
        </w:div>
        <w:div w:id="1048646590">
          <w:marLeft w:val="547"/>
          <w:marRight w:val="0"/>
          <w:marTop w:val="0"/>
          <w:marBottom w:val="0"/>
          <w:divBdr>
            <w:top w:val="none" w:sz="0" w:space="0" w:color="auto"/>
            <w:left w:val="none" w:sz="0" w:space="0" w:color="auto"/>
            <w:bottom w:val="none" w:sz="0" w:space="0" w:color="auto"/>
            <w:right w:val="none" w:sz="0" w:space="0" w:color="auto"/>
          </w:divBdr>
        </w:div>
        <w:div w:id="2095273056">
          <w:marLeft w:val="547"/>
          <w:marRight w:val="0"/>
          <w:marTop w:val="0"/>
          <w:marBottom w:val="0"/>
          <w:divBdr>
            <w:top w:val="none" w:sz="0" w:space="0" w:color="auto"/>
            <w:left w:val="none" w:sz="0" w:space="0" w:color="auto"/>
            <w:bottom w:val="none" w:sz="0" w:space="0" w:color="auto"/>
            <w:right w:val="none" w:sz="0" w:space="0" w:color="auto"/>
          </w:divBdr>
        </w:div>
        <w:div w:id="221723697">
          <w:marLeft w:val="547"/>
          <w:marRight w:val="0"/>
          <w:marTop w:val="0"/>
          <w:marBottom w:val="0"/>
          <w:divBdr>
            <w:top w:val="none" w:sz="0" w:space="0" w:color="auto"/>
            <w:left w:val="none" w:sz="0" w:space="0" w:color="auto"/>
            <w:bottom w:val="none" w:sz="0" w:space="0" w:color="auto"/>
            <w:right w:val="none" w:sz="0" w:space="0" w:color="auto"/>
          </w:divBdr>
        </w:div>
        <w:div w:id="1408650341">
          <w:marLeft w:val="1166"/>
          <w:marRight w:val="0"/>
          <w:marTop w:val="0"/>
          <w:marBottom w:val="0"/>
          <w:divBdr>
            <w:top w:val="none" w:sz="0" w:space="0" w:color="auto"/>
            <w:left w:val="none" w:sz="0" w:space="0" w:color="auto"/>
            <w:bottom w:val="none" w:sz="0" w:space="0" w:color="auto"/>
            <w:right w:val="none" w:sz="0" w:space="0" w:color="auto"/>
          </w:divBdr>
        </w:div>
        <w:div w:id="733506174">
          <w:marLeft w:val="1166"/>
          <w:marRight w:val="0"/>
          <w:marTop w:val="0"/>
          <w:marBottom w:val="0"/>
          <w:divBdr>
            <w:top w:val="none" w:sz="0" w:space="0" w:color="auto"/>
            <w:left w:val="none" w:sz="0" w:space="0" w:color="auto"/>
            <w:bottom w:val="none" w:sz="0" w:space="0" w:color="auto"/>
            <w:right w:val="none" w:sz="0" w:space="0" w:color="auto"/>
          </w:divBdr>
        </w:div>
        <w:div w:id="151027641">
          <w:marLeft w:val="1166"/>
          <w:marRight w:val="0"/>
          <w:marTop w:val="0"/>
          <w:marBottom w:val="0"/>
          <w:divBdr>
            <w:top w:val="none" w:sz="0" w:space="0" w:color="auto"/>
            <w:left w:val="none" w:sz="0" w:space="0" w:color="auto"/>
            <w:bottom w:val="none" w:sz="0" w:space="0" w:color="auto"/>
            <w:right w:val="none" w:sz="0" w:space="0" w:color="auto"/>
          </w:divBdr>
        </w:div>
      </w:divsChild>
    </w:div>
    <w:div w:id="355694797">
      <w:bodyDiv w:val="1"/>
      <w:marLeft w:val="0"/>
      <w:marRight w:val="0"/>
      <w:marTop w:val="0"/>
      <w:marBottom w:val="0"/>
      <w:divBdr>
        <w:top w:val="none" w:sz="0" w:space="0" w:color="auto"/>
        <w:left w:val="none" w:sz="0" w:space="0" w:color="auto"/>
        <w:bottom w:val="none" w:sz="0" w:space="0" w:color="auto"/>
        <w:right w:val="none" w:sz="0" w:space="0" w:color="auto"/>
      </w:divBdr>
    </w:div>
    <w:div w:id="439422446">
      <w:bodyDiv w:val="1"/>
      <w:marLeft w:val="0"/>
      <w:marRight w:val="0"/>
      <w:marTop w:val="0"/>
      <w:marBottom w:val="0"/>
      <w:divBdr>
        <w:top w:val="none" w:sz="0" w:space="0" w:color="auto"/>
        <w:left w:val="none" w:sz="0" w:space="0" w:color="auto"/>
        <w:bottom w:val="none" w:sz="0" w:space="0" w:color="auto"/>
        <w:right w:val="none" w:sz="0" w:space="0" w:color="auto"/>
      </w:divBdr>
    </w:div>
    <w:div w:id="442114426">
      <w:bodyDiv w:val="1"/>
      <w:marLeft w:val="0"/>
      <w:marRight w:val="0"/>
      <w:marTop w:val="0"/>
      <w:marBottom w:val="0"/>
      <w:divBdr>
        <w:top w:val="none" w:sz="0" w:space="0" w:color="auto"/>
        <w:left w:val="none" w:sz="0" w:space="0" w:color="auto"/>
        <w:bottom w:val="none" w:sz="0" w:space="0" w:color="auto"/>
        <w:right w:val="none" w:sz="0" w:space="0" w:color="auto"/>
      </w:divBdr>
    </w:div>
    <w:div w:id="543251239">
      <w:bodyDiv w:val="1"/>
      <w:marLeft w:val="0"/>
      <w:marRight w:val="0"/>
      <w:marTop w:val="0"/>
      <w:marBottom w:val="0"/>
      <w:divBdr>
        <w:top w:val="none" w:sz="0" w:space="0" w:color="auto"/>
        <w:left w:val="none" w:sz="0" w:space="0" w:color="auto"/>
        <w:bottom w:val="none" w:sz="0" w:space="0" w:color="auto"/>
        <w:right w:val="none" w:sz="0" w:space="0" w:color="auto"/>
      </w:divBdr>
      <w:divsChild>
        <w:div w:id="1485774725">
          <w:marLeft w:val="547"/>
          <w:marRight w:val="0"/>
          <w:marTop w:val="77"/>
          <w:marBottom w:val="0"/>
          <w:divBdr>
            <w:top w:val="none" w:sz="0" w:space="0" w:color="auto"/>
            <w:left w:val="none" w:sz="0" w:space="0" w:color="auto"/>
            <w:bottom w:val="none" w:sz="0" w:space="0" w:color="auto"/>
            <w:right w:val="none" w:sz="0" w:space="0" w:color="auto"/>
          </w:divBdr>
        </w:div>
        <w:div w:id="309023004">
          <w:marLeft w:val="547"/>
          <w:marRight w:val="0"/>
          <w:marTop w:val="77"/>
          <w:marBottom w:val="0"/>
          <w:divBdr>
            <w:top w:val="none" w:sz="0" w:space="0" w:color="auto"/>
            <w:left w:val="none" w:sz="0" w:space="0" w:color="auto"/>
            <w:bottom w:val="none" w:sz="0" w:space="0" w:color="auto"/>
            <w:right w:val="none" w:sz="0" w:space="0" w:color="auto"/>
          </w:divBdr>
        </w:div>
        <w:div w:id="1750229127">
          <w:marLeft w:val="547"/>
          <w:marRight w:val="0"/>
          <w:marTop w:val="77"/>
          <w:marBottom w:val="0"/>
          <w:divBdr>
            <w:top w:val="none" w:sz="0" w:space="0" w:color="auto"/>
            <w:left w:val="none" w:sz="0" w:space="0" w:color="auto"/>
            <w:bottom w:val="none" w:sz="0" w:space="0" w:color="auto"/>
            <w:right w:val="none" w:sz="0" w:space="0" w:color="auto"/>
          </w:divBdr>
        </w:div>
        <w:div w:id="2030838609">
          <w:marLeft w:val="547"/>
          <w:marRight w:val="0"/>
          <w:marTop w:val="77"/>
          <w:marBottom w:val="0"/>
          <w:divBdr>
            <w:top w:val="none" w:sz="0" w:space="0" w:color="auto"/>
            <w:left w:val="none" w:sz="0" w:space="0" w:color="auto"/>
            <w:bottom w:val="none" w:sz="0" w:space="0" w:color="auto"/>
            <w:right w:val="none" w:sz="0" w:space="0" w:color="auto"/>
          </w:divBdr>
        </w:div>
        <w:div w:id="952134580">
          <w:marLeft w:val="547"/>
          <w:marRight w:val="0"/>
          <w:marTop w:val="77"/>
          <w:marBottom w:val="0"/>
          <w:divBdr>
            <w:top w:val="none" w:sz="0" w:space="0" w:color="auto"/>
            <w:left w:val="none" w:sz="0" w:space="0" w:color="auto"/>
            <w:bottom w:val="none" w:sz="0" w:space="0" w:color="auto"/>
            <w:right w:val="none" w:sz="0" w:space="0" w:color="auto"/>
          </w:divBdr>
        </w:div>
        <w:div w:id="1890989545">
          <w:marLeft w:val="547"/>
          <w:marRight w:val="0"/>
          <w:marTop w:val="77"/>
          <w:marBottom w:val="0"/>
          <w:divBdr>
            <w:top w:val="none" w:sz="0" w:space="0" w:color="auto"/>
            <w:left w:val="none" w:sz="0" w:space="0" w:color="auto"/>
            <w:bottom w:val="none" w:sz="0" w:space="0" w:color="auto"/>
            <w:right w:val="none" w:sz="0" w:space="0" w:color="auto"/>
          </w:divBdr>
        </w:div>
        <w:div w:id="788860503">
          <w:marLeft w:val="547"/>
          <w:marRight w:val="0"/>
          <w:marTop w:val="77"/>
          <w:marBottom w:val="0"/>
          <w:divBdr>
            <w:top w:val="none" w:sz="0" w:space="0" w:color="auto"/>
            <w:left w:val="none" w:sz="0" w:space="0" w:color="auto"/>
            <w:bottom w:val="none" w:sz="0" w:space="0" w:color="auto"/>
            <w:right w:val="none" w:sz="0" w:space="0" w:color="auto"/>
          </w:divBdr>
        </w:div>
      </w:divsChild>
    </w:div>
    <w:div w:id="569270719">
      <w:bodyDiv w:val="1"/>
      <w:marLeft w:val="0"/>
      <w:marRight w:val="0"/>
      <w:marTop w:val="0"/>
      <w:marBottom w:val="0"/>
      <w:divBdr>
        <w:top w:val="none" w:sz="0" w:space="0" w:color="auto"/>
        <w:left w:val="none" w:sz="0" w:space="0" w:color="auto"/>
        <w:bottom w:val="none" w:sz="0" w:space="0" w:color="auto"/>
        <w:right w:val="none" w:sz="0" w:space="0" w:color="auto"/>
      </w:divBdr>
      <w:divsChild>
        <w:div w:id="723720078">
          <w:marLeft w:val="1886"/>
          <w:marRight w:val="0"/>
          <w:marTop w:val="0"/>
          <w:marBottom w:val="0"/>
          <w:divBdr>
            <w:top w:val="none" w:sz="0" w:space="0" w:color="auto"/>
            <w:left w:val="none" w:sz="0" w:space="0" w:color="auto"/>
            <w:bottom w:val="none" w:sz="0" w:space="0" w:color="auto"/>
            <w:right w:val="none" w:sz="0" w:space="0" w:color="auto"/>
          </w:divBdr>
        </w:div>
      </w:divsChild>
    </w:div>
    <w:div w:id="601031312">
      <w:bodyDiv w:val="1"/>
      <w:marLeft w:val="0"/>
      <w:marRight w:val="0"/>
      <w:marTop w:val="0"/>
      <w:marBottom w:val="0"/>
      <w:divBdr>
        <w:top w:val="none" w:sz="0" w:space="0" w:color="auto"/>
        <w:left w:val="none" w:sz="0" w:space="0" w:color="auto"/>
        <w:bottom w:val="none" w:sz="0" w:space="0" w:color="auto"/>
        <w:right w:val="none" w:sz="0" w:space="0" w:color="auto"/>
      </w:divBdr>
    </w:div>
    <w:div w:id="672151463">
      <w:bodyDiv w:val="1"/>
      <w:marLeft w:val="0"/>
      <w:marRight w:val="0"/>
      <w:marTop w:val="0"/>
      <w:marBottom w:val="0"/>
      <w:divBdr>
        <w:top w:val="none" w:sz="0" w:space="0" w:color="auto"/>
        <w:left w:val="none" w:sz="0" w:space="0" w:color="auto"/>
        <w:bottom w:val="none" w:sz="0" w:space="0" w:color="auto"/>
        <w:right w:val="none" w:sz="0" w:space="0" w:color="auto"/>
      </w:divBdr>
      <w:divsChild>
        <w:div w:id="1858345709">
          <w:marLeft w:val="274"/>
          <w:marRight w:val="0"/>
          <w:marTop w:val="120"/>
          <w:marBottom w:val="0"/>
          <w:divBdr>
            <w:top w:val="none" w:sz="0" w:space="0" w:color="auto"/>
            <w:left w:val="none" w:sz="0" w:space="0" w:color="auto"/>
            <w:bottom w:val="none" w:sz="0" w:space="0" w:color="auto"/>
            <w:right w:val="none" w:sz="0" w:space="0" w:color="auto"/>
          </w:divBdr>
        </w:div>
        <w:div w:id="354698117">
          <w:marLeft w:val="274"/>
          <w:marRight w:val="0"/>
          <w:marTop w:val="120"/>
          <w:marBottom w:val="0"/>
          <w:divBdr>
            <w:top w:val="none" w:sz="0" w:space="0" w:color="auto"/>
            <w:left w:val="none" w:sz="0" w:space="0" w:color="auto"/>
            <w:bottom w:val="none" w:sz="0" w:space="0" w:color="auto"/>
            <w:right w:val="none" w:sz="0" w:space="0" w:color="auto"/>
          </w:divBdr>
        </w:div>
        <w:div w:id="222839370">
          <w:marLeft w:val="274"/>
          <w:marRight w:val="0"/>
          <w:marTop w:val="120"/>
          <w:marBottom w:val="0"/>
          <w:divBdr>
            <w:top w:val="none" w:sz="0" w:space="0" w:color="auto"/>
            <w:left w:val="none" w:sz="0" w:space="0" w:color="auto"/>
            <w:bottom w:val="none" w:sz="0" w:space="0" w:color="auto"/>
            <w:right w:val="none" w:sz="0" w:space="0" w:color="auto"/>
          </w:divBdr>
        </w:div>
        <w:div w:id="910315053">
          <w:marLeft w:val="274"/>
          <w:marRight w:val="0"/>
          <w:marTop w:val="120"/>
          <w:marBottom w:val="0"/>
          <w:divBdr>
            <w:top w:val="none" w:sz="0" w:space="0" w:color="auto"/>
            <w:left w:val="none" w:sz="0" w:space="0" w:color="auto"/>
            <w:bottom w:val="none" w:sz="0" w:space="0" w:color="auto"/>
            <w:right w:val="none" w:sz="0" w:space="0" w:color="auto"/>
          </w:divBdr>
        </w:div>
      </w:divsChild>
    </w:div>
    <w:div w:id="675692312">
      <w:bodyDiv w:val="1"/>
      <w:marLeft w:val="0"/>
      <w:marRight w:val="0"/>
      <w:marTop w:val="0"/>
      <w:marBottom w:val="0"/>
      <w:divBdr>
        <w:top w:val="none" w:sz="0" w:space="0" w:color="auto"/>
        <w:left w:val="none" w:sz="0" w:space="0" w:color="auto"/>
        <w:bottom w:val="none" w:sz="0" w:space="0" w:color="auto"/>
        <w:right w:val="none" w:sz="0" w:space="0" w:color="auto"/>
      </w:divBdr>
      <w:divsChild>
        <w:div w:id="1183596296">
          <w:marLeft w:val="907"/>
          <w:marRight w:val="0"/>
          <w:marTop w:val="96"/>
          <w:marBottom w:val="0"/>
          <w:divBdr>
            <w:top w:val="none" w:sz="0" w:space="0" w:color="auto"/>
            <w:left w:val="none" w:sz="0" w:space="0" w:color="auto"/>
            <w:bottom w:val="none" w:sz="0" w:space="0" w:color="auto"/>
            <w:right w:val="none" w:sz="0" w:space="0" w:color="auto"/>
          </w:divBdr>
        </w:div>
        <w:div w:id="1423183133">
          <w:marLeft w:val="907"/>
          <w:marRight w:val="0"/>
          <w:marTop w:val="96"/>
          <w:marBottom w:val="0"/>
          <w:divBdr>
            <w:top w:val="none" w:sz="0" w:space="0" w:color="auto"/>
            <w:left w:val="none" w:sz="0" w:space="0" w:color="auto"/>
            <w:bottom w:val="none" w:sz="0" w:space="0" w:color="auto"/>
            <w:right w:val="none" w:sz="0" w:space="0" w:color="auto"/>
          </w:divBdr>
        </w:div>
      </w:divsChild>
    </w:div>
    <w:div w:id="735201145">
      <w:bodyDiv w:val="1"/>
      <w:marLeft w:val="0"/>
      <w:marRight w:val="0"/>
      <w:marTop w:val="0"/>
      <w:marBottom w:val="0"/>
      <w:divBdr>
        <w:top w:val="none" w:sz="0" w:space="0" w:color="auto"/>
        <w:left w:val="none" w:sz="0" w:space="0" w:color="auto"/>
        <w:bottom w:val="none" w:sz="0" w:space="0" w:color="auto"/>
        <w:right w:val="none" w:sz="0" w:space="0" w:color="auto"/>
      </w:divBdr>
      <w:divsChild>
        <w:div w:id="149642144">
          <w:marLeft w:val="1886"/>
          <w:marRight w:val="0"/>
          <w:marTop w:val="0"/>
          <w:marBottom w:val="0"/>
          <w:divBdr>
            <w:top w:val="none" w:sz="0" w:space="0" w:color="auto"/>
            <w:left w:val="none" w:sz="0" w:space="0" w:color="auto"/>
            <w:bottom w:val="none" w:sz="0" w:space="0" w:color="auto"/>
            <w:right w:val="none" w:sz="0" w:space="0" w:color="auto"/>
          </w:divBdr>
        </w:div>
        <w:div w:id="331378633">
          <w:marLeft w:val="1886"/>
          <w:marRight w:val="0"/>
          <w:marTop w:val="0"/>
          <w:marBottom w:val="0"/>
          <w:divBdr>
            <w:top w:val="none" w:sz="0" w:space="0" w:color="auto"/>
            <w:left w:val="none" w:sz="0" w:space="0" w:color="auto"/>
            <w:bottom w:val="none" w:sz="0" w:space="0" w:color="auto"/>
            <w:right w:val="none" w:sz="0" w:space="0" w:color="auto"/>
          </w:divBdr>
        </w:div>
        <w:div w:id="1247880726">
          <w:marLeft w:val="1886"/>
          <w:marRight w:val="0"/>
          <w:marTop w:val="0"/>
          <w:marBottom w:val="0"/>
          <w:divBdr>
            <w:top w:val="none" w:sz="0" w:space="0" w:color="auto"/>
            <w:left w:val="none" w:sz="0" w:space="0" w:color="auto"/>
            <w:bottom w:val="none" w:sz="0" w:space="0" w:color="auto"/>
            <w:right w:val="none" w:sz="0" w:space="0" w:color="auto"/>
          </w:divBdr>
        </w:div>
        <w:div w:id="1686134284">
          <w:marLeft w:val="1886"/>
          <w:marRight w:val="0"/>
          <w:marTop w:val="0"/>
          <w:marBottom w:val="0"/>
          <w:divBdr>
            <w:top w:val="none" w:sz="0" w:space="0" w:color="auto"/>
            <w:left w:val="none" w:sz="0" w:space="0" w:color="auto"/>
            <w:bottom w:val="none" w:sz="0" w:space="0" w:color="auto"/>
            <w:right w:val="none" w:sz="0" w:space="0" w:color="auto"/>
          </w:divBdr>
        </w:div>
        <w:div w:id="1898203317">
          <w:marLeft w:val="1886"/>
          <w:marRight w:val="0"/>
          <w:marTop w:val="0"/>
          <w:marBottom w:val="0"/>
          <w:divBdr>
            <w:top w:val="none" w:sz="0" w:space="0" w:color="auto"/>
            <w:left w:val="none" w:sz="0" w:space="0" w:color="auto"/>
            <w:bottom w:val="none" w:sz="0" w:space="0" w:color="auto"/>
            <w:right w:val="none" w:sz="0" w:space="0" w:color="auto"/>
          </w:divBdr>
        </w:div>
      </w:divsChild>
    </w:div>
    <w:div w:id="777716697">
      <w:bodyDiv w:val="1"/>
      <w:marLeft w:val="0"/>
      <w:marRight w:val="0"/>
      <w:marTop w:val="0"/>
      <w:marBottom w:val="0"/>
      <w:divBdr>
        <w:top w:val="none" w:sz="0" w:space="0" w:color="auto"/>
        <w:left w:val="none" w:sz="0" w:space="0" w:color="auto"/>
        <w:bottom w:val="none" w:sz="0" w:space="0" w:color="auto"/>
        <w:right w:val="none" w:sz="0" w:space="0" w:color="auto"/>
      </w:divBdr>
    </w:div>
    <w:div w:id="785198028">
      <w:bodyDiv w:val="1"/>
      <w:marLeft w:val="0"/>
      <w:marRight w:val="0"/>
      <w:marTop w:val="0"/>
      <w:marBottom w:val="0"/>
      <w:divBdr>
        <w:top w:val="none" w:sz="0" w:space="0" w:color="auto"/>
        <w:left w:val="none" w:sz="0" w:space="0" w:color="auto"/>
        <w:bottom w:val="none" w:sz="0" w:space="0" w:color="auto"/>
        <w:right w:val="none" w:sz="0" w:space="0" w:color="auto"/>
      </w:divBdr>
      <w:divsChild>
        <w:div w:id="1472626394">
          <w:marLeft w:val="331"/>
          <w:marRight w:val="0"/>
          <w:marTop w:val="0"/>
          <w:marBottom w:val="0"/>
          <w:divBdr>
            <w:top w:val="none" w:sz="0" w:space="0" w:color="auto"/>
            <w:left w:val="none" w:sz="0" w:space="0" w:color="auto"/>
            <w:bottom w:val="none" w:sz="0" w:space="0" w:color="auto"/>
            <w:right w:val="none" w:sz="0" w:space="0" w:color="auto"/>
          </w:divBdr>
        </w:div>
        <w:div w:id="432476885">
          <w:marLeft w:val="331"/>
          <w:marRight w:val="0"/>
          <w:marTop w:val="0"/>
          <w:marBottom w:val="0"/>
          <w:divBdr>
            <w:top w:val="none" w:sz="0" w:space="0" w:color="auto"/>
            <w:left w:val="none" w:sz="0" w:space="0" w:color="auto"/>
            <w:bottom w:val="none" w:sz="0" w:space="0" w:color="auto"/>
            <w:right w:val="none" w:sz="0" w:space="0" w:color="auto"/>
          </w:divBdr>
        </w:div>
        <w:div w:id="183835471">
          <w:marLeft w:val="331"/>
          <w:marRight w:val="0"/>
          <w:marTop w:val="0"/>
          <w:marBottom w:val="0"/>
          <w:divBdr>
            <w:top w:val="none" w:sz="0" w:space="0" w:color="auto"/>
            <w:left w:val="none" w:sz="0" w:space="0" w:color="auto"/>
            <w:bottom w:val="none" w:sz="0" w:space="0" w:color="auto"/>
            <w:right w:val="none" w:sz="0" w:space="0" w:color="auto"/>
          </w:divBdr>
        </w:div>
      </w:divsChild>
    </w:div>
    <w:div w:id="889340432">
      <w:bodyDiv w:val="1"/>
      <w:marLeft w:val="0"/>
      <w:marRight w:val="0"/>
      <w:marTop w:val="0"/>
      <w:marBottom w:val="0"/>
      <w:divBdr>
        <w:top w:val="none" w:sz="0" w:space="0" w:color="auto"/>
        <w:left w:val="none" w:sz="0" w:space="0" w:color="auto"/>
        <w:bottom w:val="none" w:sz="0" w:space="0" w:color="auto"/>
        <w:right w:val="none" w:sz="0" w:space="0" w:color="auto"/>
      </w:divBdr>
    </w:div>
    <w:div w:id="907761149">
      <w:bodyDiv w:val="1"/>
      <w:marLeft w:val="0"/>
      <w:marRight w:val="0"/>
      <w:marTop w:val="0"/>
      <w:marBottom w:val="0"/>
      <w:divBdr>
        <w:top w:val="none" w:sz="0" w:space="0" w:color="auto"/>
        <w:left w:val="none" w:sz="0" w:space="0" w:color="auto"/>
        <w:bottom w:val="none" w:sz="0" w:space="0" w:color="auto"/>
        <w:right w:val="none" w:sz="0" w:space="0" w:color="auto"/>
      </w:divBdr>
    </w:div>
    <w:div w:id="1023165059">
      <w:bodyDiv w:val="1"/>
      <w:marLeft w:val="0"/>
      <w:marRight w:val="0"/>
      <w:marTop w:val="0"/>
      <w:marBottom w:val="0"/>
      <w:divBdr>
        <w:top w:val="none" w:sz="0" w:space="0" w:color="auto"/>
        <w:left w:val="none" w:sz="0" w:space="0" w:color="auto"/>
        <w:bottom w:val="none" w:sz="0" w:space="0" w:color="auto"/>
        <w:right w:val="none" w:sz="0" w:space="0" w:color="auto"/>
      </w:divBdr>
    </w:div>
    <w:div w:id="1035274423">
      <w:bodyDiv w:val="1"/>
      <w:marLeft w:val="0"/>
      <w:marRight w:val="0"/>
      <w:marTop w:val="0"/>
      <w:marBottom w:val="0"/>
      <w:divBdr>
        <w:top w:val="none" w:sz="0" w:space="0" w:color="auto"/>
        <w:left w:val="none" w:sz="0" w:space="0" w:color="auto"/>
        <w:bottom w:val="none" w:sz="0" w:space="0" w:color="auto"/>
        <w:right w:val="none" w:sz="0" w:space="0" w:color="auto"/>
      </w:divBdr>
    </w:div>
    <w:div w:id="1044525584">
      <w:bodyDiv w:val="1"/>
      <w:marLeft w:val="0"/>
      <w:marRight w:val="0"/>
      <w:marTop w:val="0"/>
      <w:marBottom w:val="0"/>
      <w:divBdr>
        <w:top w:val="none" w:sz="0" w:space="0" w:color="auto"/>
        <w:left w:val="none" w:sz="0" w:space="0" w:color="auto"/>
        <w:bottom w:val="none" w:sz="0" w:space="0" w:color="auto"/>
        <w:right w:val="none" w:sz="0" w:space="0" w:color="auto"/>
      </w:divBdr>
      <w:divsChild>
        <w:div w:id="37242977">
          <w:marLeft w:val="547"/>
          <w:marRight w:val="0"/>
          <w:marTop w:val="67"/>
          <w:marBottom w:val="0"/>
          <w:divBdr>
            <w:top w:val="none" w:sz="0" w:space="0" w:color="auto"/>
            <w:left w:val="none" w:sz="0" w:space="0" w:color="auto"/>
            <w:bottom w:val="none" w:sz="0" w:space="0" w:color="auto"/>
            <w:right w:val="none" w:sz="0" w:space="0" w:color="auto"/>
          </w:divBdr>
        </w:div>
        <w:div w:id="550456347">
          <w:marLeft w:val="547"/>
          <w:marRight w:val="0"/>
          <w:marTop w:val="67"/>
          <w:marBottom w:val="0"/>
          <w:divBdr>
            <w:top w:val="none" w:sz="0" w:space="0" w:color="auto"/>
            <w:left w:val="none" w:sz="0" w:space="0" w:color="auto"/>
            <w:bottom w:val="none" w:sz="0" w:space="0" w:color="auto"/>
            <w:right w:val="none" w:sz="0" w:space="0" w:color="auto"/>
          </w:divBdr>
        </w:div>
      </w:divsChild>
    </w:div>
    <w:div w:id="1080717526">
      <w:bodyDiv w:val="1"/>
      <w:marLeft w:val="0"/>
      <w:marRight w:val="0"/>
      <w:marTop w:val="0"/>
      <w:marBottom w:val="0"/>
      <w:divBdr>
        <w:top w:val="none" w:sz="0" w:space="0" w:color="auto"/>
        <w:left w:val="none" w:sz="0" w:space="0" w:color="auto"/>
        <w:bottom w:val="none" w:sz="0" w:space="0" w:color="auto"/>
        <w:right w:val="none" w:sz="0" w:space="0" w:color="auto"/>
      </w:divBdr>
    </w:div>
    <w:div w:id="1092820878">
      <w:bodyDiv w:val="1"/>
      <w:marLeft w:val="0"/>
      <w:marRight w:val="0"/>
      <w:marTop w:val="0"/>
      <w:marBottom w:val="0"/>
      <w:divBdr>
        <w:top w:val="none" w:sz="0" w:space="0" w:color="auto"/>
        <w:left w:val="none" w:sz="0" w:space="0" w:color="auto"/>
        <w:bottom w:val="none" w:sz="0" w:space="0" w:color="auto"/>
        <w:right w:val="none" w:sz="0" w:space="0" w:color="auto"/>
      </w:divBdr>
      <w:divsChild>
        <w:div w:id="1095976736">
          <w:marLeft w:val="1526"/>
          <w:marRight w:val="0"/>
          <w:marTop w:val="58"/>
          <w:marBottom w:val="0"/>
          <w:divBdr>
            <w:top w:val="none" w:sz="0" w:space="0" w:color="auto"/>
            <w:left w:val="none" w:sz="0" w:space="0" w:color="auto"/>
            <w:bottom w:val="none" w:sz="0" w:space="0" w:color="auto"/>
            <w:right w:val="none" w:sz="0" w:space="0" w:color="auto"/>
          </w:divBdr>
        </w:div>
      </w:divsChild>
    </w:div>
    <w:div w:id="1122192799">
      <w:bodyDiv w:val="1"/>
      <w:marLeft w:val="0"/>
      <w:marRight w:val="0"/>
      <w:marTop w:val="0"/>
      <w:marBottom w:val="0"/>
      <w:divBdr>
        <w:top w:val="none" w:sz="0" w:space="0" w:color="auto"/>
        <w:left w:val="none" w:sz="0" w:space="0" w:color="auto"/>
        <w:bottom w:val="none" w:sz="0" w:space="0" w:color="auto"/>
        <w:right w:val="none" w:sz="0" w:space="0" w:color="auto"/>
      </w:divBdr>
      <w:divsChild>
        <w:div w:id="1853840175">
          <w:marLeft w:val="288"/>
          <w:marRight w:val="0"/>
          <w:marTop w:val="120"/>
          <w:marBottom w:val="0"/>
          <w:divBdr>
            <w:top w:val="none" w:sz="0" w:space="0" w:color="auto"/>
            <w:left w:val="none" w:sz="0" w:space="0" w:color="auto"/>
            <w:bottom w:val="none" w:sz="0" w:space="0" w:color="auto"/>
            <w:right w:val="none" w:sz="0" w:space="0" w:color="auto"/>
          </w:divBdr>
        </w:div>
        <w:div w:id="357048507">
          <w:marLeft w:val="1008"/>
          <w:marRight w:val="0"/>
          <w:marTop w:val="120"/>
          <w:marBottom w:val="0"/>
          <w:divBdr>
            <w:top w:val="none" w:sz="0" w:space="0" w:color="auto"/>
            <w:left w:val="none" w:sz="0" w:space="0" w:color="auto"/>
            <w:bottom w:val="none" w:sz="0" w:space="0" w:color="auto"/>
            <w:right w:val="none" w:sz="0" w:space="0" w:color="auto"/>
          </w:divBdr>
        </w:div>
        <w:div w:id="520357102">
          <w:marLeft w:val="1008"/>
          <w:marRight w:val="0"/>
          <w:marTop w:val="120"/>
          <w:marBottom w:val="0"/>
          <w:divBdr>
            <w:top w:val="none" w:sz="0" w:space="0" w:color="auto"/>
            <w:left w:val="none" w:sz="0" w:space="0" w:color="auto"/>
            <w:bottom w:val="none" w:sz="0" w:space="0" w:color="auto"/>
            <w:right w:val="none" w:sz="0" w:space="0" w:color="auto"/>
          </w:divBdr>
        </w:div>
        <w:div w:id="227956347">
          <w:marLeft w:val="1008"/>
          <w:marRight w:val="0"/>
          <w:marTop w:val="120"/>
          <w:marBottom w:val="0"/>
          <w:divBdr>
            <w:top w:val="none" w:sz="0" w:space="0" w:color="auto"/>
            <w:left w:val="none" w:sz="0" w:space="0" w:color="auto"/>
            <w:bottom w:val="none" w:sz="0" w:space="0" w:color="auto"/>
            <w:right w:val="none" w:sz="0" w:space="0" w:color="auto"/>
          </w:divBdr>
        </w:div>
      </w:divsChild>
    </w:div>
    <w:div w:id="1162433349">
      <w:bodyDiv w:val="1"/>
      <w:marLeft w:val="0"/>
      <w:marRight w:val="0"/>
      <w:marTop w:val="0"/>
      <w:marBottom w:val="0"/>
      <w:divBdr>
        <w:top w:val="none" w:sz="0" w:space="0" w:color="auto"/>
        <w:left w:val="none" w:sz="0" w:space="0" w:color="auto"/>
        <w:bottom w:val="none" w:sz="0" w:space="0" w:color="auto"/>
        <w:right w:val="none" w:sz="0" w:space="0" w:color="auto"/>
      </w:divBdr>
    </w:div>
    <w:div w:id="1163666774">
      <w:bodyDiv w:val="1"/>
      <w:marLeft w:val="0"/>
      <w:marRight w:val="0"/>
      <w:marTop w:val="0"/>
      <w:marBottom w:val="0"/>
      <w:divBdr>
        <w:top w:val="none" w:sz="0" w:space="0" w:color="auto"/>
        <w:left w:val="none" w:sz="0" w:space="0" w:color="auto"/>
        <w:bottom w:val="none" w:sz="0" w:space="0" w:color="auto"/>
        <w:right w:val="none" w:sz="0" w:space="0" w:color="auto"/>
      </w:divBdr>
    </w:div>
    <w:div w:id="1183010572">
      <w:bodyDiv w:val="1"/>
      <w:marLeft w:val="0"/>
      <w:marRight w:val="0"/>
      <w:marTop w:val="0"/>
      <w:marBottom w:val="0"/>
      <w:divBdr>
        <w:top w:val="none" w:sz="0" w:space="0" w:color="auto"/>
        <w:left w:val="none" w:sz="0" w:space="0" w:color="auto"/>
        <w:bottom w:val="none" w:sz="0" w:space="0" w:color="auto"/>
        <w:right w:val="none" w:sz="0" w:space="0" w:color="auto"/>
      </w:divBdr>
      <w:divsChild>
        <w:div w:id="2081101110">
          <w:marLeft w:val="547"/>
          <w:marRight w:val="0"/>
          <w:marTop w:val="0"/>
          <w:marBottom w:val="0"/>
          <w:divBdr>
            <w:top w:val="none" w:sz="0" w:space="0" w:color="auto"/>
            <w:left w:val="none" w:sz="0" w:space="0" w:color="auto"/>
            <w:bottom w:val="none" w:sz="0" w:space="0" w:color="auto"/>
            <w:right w:val="none" w:sz="0" w:space="0" w:color="auto"/>
          </w:divBdr>
        </w:div>
        <w:div w:id="1433555086">
          <w:marLeft w:val="547"/>
          <w:marRight w:val="0"/>
          <w:marTop w:val="0"/>
          <w:marBottom w:val="0"/>
          <w:divBdr>
            <w:top w:val="none" w:sz="0" w:space="0" w:color="auto"/>
            <w:left w:val="none" w:sz="0" w:space="0" w:color="auto"/>
            <w:bottom w:val="none" w:sz="0" w:space="0" w:color="auto"/>
            <w:right w:val="none" w:sz="0" w:space="0" w:color="auto"/>
          </w:divBdr>
        </w:div>
        <w:div w:id="370881463">
          <w:marLeft w:val="547"/>
          <w:marRight w:val="0"/>
          <w:marTop w:val="0"/>
          <w:marBottom w:val="0"/>
          <w:divBdr>
            <w:top w:val="none" w:sz="0" w:space="0" w:color="auto"/>
            <w:left w:val="none" w:sz="0" w:space="0" w:color="auto"/>
            <w:bottom w:val="none" w:sz="0" w:space="0" w:color="auto"/>
            <w:right w:val="none" w:sz="0" w:space="0" w:color="auto"/>
          </w:divBdr>
        </w:div>
        <w:div w:id="204219312">
          <w:marLeft w:val="547"/>
          <w:marRight w:val="0"/>
          <w:marTop w:val="0"/>
          <w:marBottom w:val="0"/>
          <w:divBdr>
            <w:top w:val="none" w:sz="0" w:space="0" w:color="auto"/>
            <w:left w:val="none" w:sz="0" w:space="0" w:color="auto"/>
            <w:bottom w:val="none" w:sz="0" w:space="0" w:color="auto"/>
            <w:right w:val="none" w:sz="0" w:space="0" w:color="auto"/>
          </w:divBdr>
        </w:div>
        <w:div w:id="1231769827">
          <w:marLeft w:val="547"/>
          <w:marRight w:val="0"/>
          <w:marTop w:val="0"/>
          <w:marBottom w:val="0"/>
          <w:divBdr>
            <w:top w:val="none" w:sz="0" w:space="0" w:color="auto"/>
            <w:left w:val="none" w:sz="0" w:space="0" w:color="auto"/>
            <w:bottom w:val="none" w:sz="0" w:space="0" w:color="auto"/>
            <w:right w:val="none" w:sz="0" w:space="0" w:color="auto"/>
          </w:divBdr>
        </w:div>
        <w:div w:id="352340512">
          <w:marLeft w:val="547"/>
          <w:marRight w:val="0"/>
          <w:marTop w:val="0"/>
          <w:marBottom w:val="0"/>
          <w:divBdr>
            <w:top w:val="none" w:sz="0" w:space="0" w:color="auto"/>
            <w:left w:val="none" w:sz="0" w:space="0" w:color="auto"/>
            <w:bottom w:val="none" w:sz="0" w:space="0" w:color="auto"/>
            <w:right w:val="none" w:sz="0" w:space="0" w:color="auto"/>
          </w:divBdr>
        </w:div>
      </w:divsChild>
    </w:div>
    <w:div w:id="1185440709">
      <w:bodyDiv w:val="1"/>
      <w:marLeft w:val="0"/>
      <w:marRight w:val="0"/>
      <w:marTop w:val="0"/>
      <w:marBottom w:val="0"/>
      <w:divBdr>
        <w:top w:val="none" w:sz="0" w:space="0" w:color="auto"/>
        <w:left w:val="none" w:sz="0" w:space="0" w:color="auto"/>
        <w:bottom w:val="none" w:sz="0" w:space="0" w:color="auto"/>
        <w:right w:val="none" w:sz="0" w:space="0" w:color="auto"/>
      </w:divBdr>
    </w:div>
    <w:div w:id="1217427082">
      <w:bodyDiv w:val="1"/>
      <w:marLeft w:val="0"/>
      <w:marRight w:val="0"/>
      <w:marTop w:val="0"/>
      <w:marBottom w:val="0"/>
      <w:divBdr>
        <w:top w:val="none" w:sz="0" w:space="0" w:color="auto"/>
        <w:left w:val="none" w:sz="0" w:space="0" w:color="auto"/>
        <w:bottom w:val="none" w:sz="0" w:space="0" w:color="auto"/>
        <w:right w:val="none" w:sz="0" w:space="0" w:color="auto"/>
      </w:divBdr>
      <w:divsChild>
        <w:div w:id="681394117">
          <w:marLeft w:val="806"/>
          <w:marRight w:val="0"/>
          <w:marTop w:val="82"/>
          <w:marBottom w:val="0"/>
          <w:divBdr>
            <w:top w:val="none" w:sz="0" w:space="0" w:color="auto"/>
            <w:left w:val="none" w:sz="0" w:space="0" w:color="auto"/>
            <w:bottom w:val="none" w:sz="0" w:space="0" w:color="auto"/>
            <w:right w:val="none" w:sz="0" w:space="0" w:color="auto"/>
          </w:divBdr>
        </w:div>
        <w:div w:id="863861413">
          <w:marLeft w:val="806"/>
          <w:marRight w:val="0"/>
          <w:marTop w:val="82"/>
          <w:marBottom w:val="0"/>
          <w:divBdr>
            <w:top w:val="none" w:sz="0" w:space="0" w:color="auto"/>
            <w:left w:val="none" w:sz="0" w:space="0" w:color="auto"/>
            <w:bottom w:val="none" w:sz="0" w:space="0" w:color="auto"/>
            <w:right w:val="none" w:sz="0" w:space="0" w:color="auto"/>
          </w:divBdr>
        </w:div>
        <w:div w:id="1182622519">
          <w:marLeft w:val="806"/>
          <w:marRight w:val="0"/>
          <w:marTop w:val="82"/>
          <w:marBottom w:val="0"/>
          <w:divBdr>
            <w:top w:val="none" w:sz="0" w:space="0" w:color="auto"/>
            <w:left w:val="none" w:sz="0" w:space="0" w:color="auto"/>
            <w:bottom w:val="none" w:sz="0" w:space="0" w:color="auto"/>
            <w:right w:val="none" w:sz="0" w:space="0" w:color="auto"/>
          </w:divBdr>
        </w:div>
        <w:div w:id="1741369315">
          <w:marLeft w:val="806"/>
          <w:marRight w:val="0"/>
          <w:marTop w:val="82"/>
          <w:marBottom w:val="0"/>
          <w:divBdr>
            <w:top w:val="none" w:sz="0" w:space="0" w:color="auto"/>
            <w:left w:val="none" w:sz="0" w:space="0" w:color="auto"/>
            <w:bottom w:val="none" w:sz="0" w:space="0" w:color="auto"/>
            <w:right w:val="none" w:sz="0" w:space="0" w:color="auto"/>
          </w:divBdr>
        </w:div>
      </w:divsChild>
    </w:div>
    <w:div w:id="1232353685">
      <w:bodyDiv w:val="1"/>
      <w:marLeft w:val="0"/>
      <w:marRight w:val="0"/>
      <w:marTop w:val="0"/>
      <w:marBottom w:val="0"/>
      <w:divBdr>
        <w:top w:val="none" w:sz="0" w:space="0" w:color="auto"/>
        <w:left w:val="none" w:sz="0" w:space="0" w:color="auto"/>
        <w:bottom w:val="none" w:sz="0" w:space="0" w:color="auto"/>
        <w:right w:val="none" w:sz="0" w:space="0" w:color="auto"/>
      </w:divBdr>
      <w:divsChild>
        <w:div w:id="345980216">
          <w:marLeft w:val="1354"/>
          <w:marRight w:val="0"/>
          <w:marTop w:val="72"/>
          <w:marBottom w:val="0"/>
          <w:divBdr>
            <w:top w:val="none" w:sz="0" w:space="0" w:color="auto"/>
            <w:left w:val="none" w:sz="0" w:space="0" w:color="auto"/>
            <w:bottom w:val="none" w:sz="0" w:space="0" w:color="auto"/>
            <w:right w:val="none" w:sz="0" w:space="0" w:color="auto"/>
          </w:divBdr>
        </w:div>
        <w:div w:id="698552251">
          <w:marLeft w:val="720"/>
          <w:marRight w:val="0"/>
          <w:marTop w:val="82"/>
          <w:marBottom w:val="0"/>
          <w:divBdr>
            <w:top w:val="none" w:sz="0" w:space="0" w:color="auto"/>
            <w:left w:val="none" w:sz="0" w:space="0" w:color="auto"/>
            <w:bottom w:val="none" w:sz="0" w:space="0" w:color="auto"/>
            <w:right w:val="none" w:sz="0" w:space="0" w:color="auto"/>
          </w:divBdr>
        </w:div>
        <w:div w:id="863444227">
          <w:marLeft w:val="720"/>
          <w:marRight w:val="0"/>
          <w:marTop w:val="82"/>
          <w:marBottom w:val="0"/>
          <w:divBdr>
            <w:top w:val="none" w:sz="0" w:space="0" w:color="auto"/>
            <w:left w:val="none" w:sz="0" w:space="0" w:color="auto"/>
            <w:bottom w:val="none" w:sz="0" w:space="0" w:color="auto"/>
            <w:right w:val="none" w:sz="0" w:space="0" w:color="auto"/>
          </w:divBdr>
        </w:div>
        <w:div w:id="1287393073">
          <w:marLeft w:val="720"/>
          <w:marRight w:val="0"/>
          <w:marTop w:val="82"/>
          <w:marBottom w:val="0"/>
          <w:divBdr>
            <w:top w:val="none" w:sz="0" w:space="0" w:color="auto"/>
            <w:left w:val="none" w:sz="0" w:space="0" w:color="auto"/>
            <w:bottom w:val="none" w:sz="0" w:space="0" w:color="auto"/>
            <w:right w:val="none" w:sz="0" w:space="0" w:color="auto"/>
          </w:divBdr>
        </w:div>
        <w:div w:id="1317109685">
          <w:marLeft w:val="720"/>
          <w:marRight w:val="0"/>
          <w:marTop w:val="82"/>
          <w:marBottom w:val="0"/>
          <w:divBdr>
            <w:top w:val="none" w:sz="0" w:space="0" w:color="auto"/>
            <w:left w:val="none" w:sz="0" w:space="0" w:color="auto"/>
            <w:bottom w:val="none" w:sz="0" w:space="0" w:color="auto"/>
            <w:right w:val="none" w:sz="0" w:space="0" w:color="auto"/>
          </w:divBdr>
        </w:div>
        <w:div w:id="1471895982">
          <w:marLeft w:val="720"/>
          <w:marRight w:val="0"/>
          <w:marTop w:val="82"/>
          <w:marBottom w:val="0"/>
          <w:divBdr>
            <w:top w:val="none" w:sz="0" w:space="0" w:color="auto"/>
            <w:left w:val="none" w:sz="0" w:space="0" w:color="auto"/>
            <w:bottom w:val="none" w:sz="0" w:space="0" w:color="auto"/>
            <w:right w:val="none" w:sz="0" w:space="0" w:color="auto"/>
          </w:divBdr>
        </w:div>
        <w:div w:id="1712849402">
          <w:marLeft w:val="1354"/>
          <w:marRight w:val="0"/>
          <w:marTop w:val="72"/>
          <w:marBottom w:val="0"/>
          <w:divBdr>
            <w:top w:val="none" w:sz="0" w:space="0" w:color="auto"/>
            <w:left w:val="none" w:sz="0" w:space="0" w:color="auto"/>
            <w:bottom w:val="none" w:sz="0" w:space="0" w:color="auto"/>
            <w:right w:val="none" w:sz="0" w:space="0" w:color="auto"/>
          </w:divBdr>
        </w:div>
      </w:divsChild>
    </w:div>
    <w:div w:id="1283808738">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432"/>
          <w:marRight w:val="0"/>
          <w:marTop w:val="0"/>
          <w:marBottom w:val="0"/>
          <w:divBdr>
            <w:top w:val="none" w:sz="0" w:space="0" w:color="auto"/>
            <w:left w:val="none" w:sz="0" w:space="0" w:color="auto"/>
            <w:bottom w:val="none" w:sz="0" w:space="0" w:color="auto"/>
            <w:right w:val="none" w:sz="0" w:space="0" w:color="auto"/>
          </w:divBdr>
        </w:div>
        <w:div w:id="98568534">
          <w:marLeft w:val="432"/>
          <w:marRight w:val="0"/>
          <w:marTop w:val="0"/>
          <w:marBottom w:val="0"/>
          <w:divBdr>
            <w:top w:val="none" w:sz="0" w:space="0" w:color="auto"/>
            <w:left w:val="none" w:sz="0" w:space="0" w:color="auto"/>
            <w:bottom w:val="none" w:sz="0" w:space="0" w:color="auto"/>
            <w:right w:val="none" w:sz="0" w:space="0" w:color="auto"/>
          </w:divBdr>
        </w:div>
        <w:div w:id="123239277">
          <w:marLeft w:val="432"/>
          <w:marRight w:val="0"/>
          <w:marTop w:val="0"/>
          <w:marBottom w:val="0"/>
          <w:divBdr>
            <w:top w:val="none" w:sz="0" w:space="0" w:color="auto"/>
            <w:left w:val="none" w:sz="0" w:space="0" w:color="auto"/>
            <w:bottom w:val="none" w:sz="0" w:space="0" w:color="auto"/>
            <w:right w:val="none" w:sz="0" w:space="0" w:color="auto"/>
          </w:divBdr>
        </w:div>
        <w:div w:id="30882983">
          <w:marLeft w:val="432"/>
          <w:marRight w:val="0"/>
          <w:marTop w:val="0"/>
          <w:marBottom w:val="0"/>
          <w:divBdr>
            <w:top w:val="none" w:sz="0" w:space="0" w:color="auto"/>
            <w:left w:val="none" w:sz="0" w:space="0" w:color="auto"/>
            <w:bottom w:val="none" w:sz="0" w:space="0" w:color="auto"/>
            <w:right w:val="none" w:sz="0" w:space="0" w:color="auto"/>
          </w:divBdr>
        </w:div>
        <w:div w:id="859391766">
          <w:marLeft w:val="432"/>
          <w:marRight w:val="0"/>
          <w:marTop w:val="0"/>
          <w:marBottom w:val="0"/>
          <w:divBdr>
            <w:top w:val="none" w:sz="0" w:space="0" w:color="auto"/>
            <w:left w:val="none" w:sz="0" w:space="0" w:color="auto"/>
            <w:bottom w:val="none" w:sz="0" w:space="0" w:color="auto"/>
            <w:right w:val="none" w:sz="0" w:space="0" w:color="auto"/>
          </w:divBdr>
        </w:div>
        <w:div w:id="588392412">
          <w:marLeft w:val="432"/>
          <w:marRight w:val="0"/>
          <w:marTop w:val="0"/>
          <w:marBottom w:val="0"/>
          <w:divBdr>
            <w:top w:val="none" w:sz="0" w:space="0" w:color="auto"/>
            <w:left w:val="none" w:sz="0" w:space="0" w:color="auto"/>
            <w:bottom w:val="none" w:sz="0" w:space="0" w:color="auto"/>
            <w:right w:val="none" w:sz="0" w:space="0" w:color="auto"/>
          </w:divBdr>
        </w:div>
        <w:div w:id="490948425">
          <w:marLeft w:val="432"/>
          <w:marRight w:val="0"/>
          <w:marTop w:val="0"/>
          <w:marBottom w:val="0"/>
          <w:divBdr>
            <w:top w:val="none" w:sz="0" w:space="0" w:color="auto"/>
            <w:left w:val="none" w:sz="0" w:space="0" w:color="auto"/>
            <w:bottom w:val="none" w:sz="0" w:space="0" w:color="auto"/>
            <w:right w:val="none" w:sz="0" w:space="0" w:color="auto"/>
          </w:divBdr>
        </w:div>
        <w:div w:id="207227600">
          <w:marLeft w:val="432"/>
          <w:marRight w:val="0"/>
          <w:marTop w:val="0"/>
          <w:marBottom w:val="0"/>
          <w:divBdr>
            <w:top w:val="none" w:sz="0" w:space="0" w:color="auto"/>
            <w:left w:val="none" w:sz="0" w:space="0" w:color="auto"/>
            <w:bottom w:val="none" w:sz="0" w:space="0" w:color="auto"/>
            <w:right w:val="none" w:sz="0" w:space="0" w:color="auto"/>
          </w:divBdr>
        </w:div>
        <w:div w:id="569730160">
          <w:marLeft w:val="432"/>
          <w:marRight w:val="0"/>
          <w:marTop w:val="0"/>
          <w:marBottom w:val="0"/>
          <w:divBdr>
            <w:top w:val="none" w:sz="0" w:space="0" w:color="auto"/>
            <w:left w:val="none" w:sz="0" w:space="0" w:color="auto"/>
            <w:bottom w:val="none" w:sz="0" w:space="0" w:color="auto"/>
            <w:right w:val="none" w:sz="0" w:space="0" w:color="auto"/>
          </w:divBdr>
        </w:div>
        <w:div w:id="953899451">
          <w:marLeft w:val="432"/>
          <w:marRight w:val="0"/>
          <w:marTop w:val="0"/>
          <w:marBottom w:val="0"/>
          <w:divBdr>
            <w:top w:val="none" w:sz="0" w:space="0" w:color="auto"/>
            <w:left w:val="none" w:sz="0" w:space="0" w:color="auto"/>
            <w:bottom w:val="none" w:sz="0" w:space="0" w:color="auto"/>
            <w:right w:val="none" w:sz="0" w:space="0" w:color="auto"/>
          </w:divBdr>
        </w:div>
        <w:div w:id="389111243">
          <w:marLeft w:val="432"/>
          <w:marRight w:val="0"/>
          <w:marTop w:val="0"/>
          <w:marBottom w:val="130"/>
          <w:divBdr>
            <w:top w:val="none" w:sz="0" w:space="0" w:color="auto"/>
            <w:left w:val="none" w:sz="0" w:space="0" w:color="auto"/>
            <w:bottom w:val="none" w:sz="0" w:space="0" w:color="auto"/>
            <w:right w:val="none" w:sz="0" w:space="0" w:color="auto"/>
          </w:divBdr>
        </w:div>
      </w:divsChild>
    </w:div>
    <w:div w:id="1307857112">
      <w:bodyDiv w:val="1"/>
      <w:marLeft w:val="0"/>
      <w:marRight w:val="0"/>
      <w:marTop w:val="0"/>
      <w:marBottom w:val="0"/>
      <w:divBdr>
        <w:top w:val="none" w:sz="0" w:space="0" w:color="auto"/>
        <w:left w:val="none" w:sz="0" w:space="0" w:color="auto"/>
        <w:bottom w:val="none" w:sz="0" w:space="0" w:color="auto"/>
        <w:right w:val="none" w:sz="0" w:space="0" w:color="auto"/>
      </w:divBdr>
      <w:divsChild>
        <w:div w:id="1659992813">
          <w:marLeft w:val="274"/>
          <w:marRight w:val="0"/>
          <w:marTop w:val="150"/>
          <w:marBottom w:val="0"/>
          <w:divBdr>
            <w:top w:val="none" w:sz="0" w:space="0" w:color="auto"/>
            <w:left w:val="none" w:sz="0" w:space="0" w:color="auto"/>
            <w:bottom w:val="none" w:sz="0" w:space="0" w:color="auto"/>
            <w:right w:val="none" w:sz="0" w:space="0" w:color="auto"/>
          </w:divBdr>
        </w:div>
        <w:div w:id="639190608">
          <w:marLeft w:val="274"/>
          <w:marRight w:val="0"/>
          <w:marTop w:val="150"/>
          <w:marBottom w:val="0"/>
          <w:divBdr>
            <w:top w:val="none" w:sz="0" w:space="0" w:color="auto"/>
            <w:left w:val="none" w:sz="0" w:space="0" w:color="auto"/>
            <w:bottom w:val="none" w:sz="0" w:space="0" w:color="auto"/>
            <w:right w:val="none" w:sz="0" w:space="0" w:color="auto"/>
          </w:divBdr>
        </w:div>
        <w:div w:id="365760880">
          <w:marLeft w:val="274"/>
          <w:marRight w:val="0"/>
          <w:marTop w:val="150"/>
          <w:marBottom w:val="0"/>
          <w:divBdr>
            <w:top w:val="none" w:sz="0" w:space="0" w:color="auto"/>
            <w:left w:val="none" w:sz="0" w:space="0" w:color="auto"/>
            <w:bottom w:val="none" w:sz="0" w:space="0" w:color="auto"/>
            <w:right w:val="none" w:sz="0" w:space="0" w:color="auto"/>
          </w:divBdr>
        </w:div>
        <w:div w:id="324558056">
          <w:marLeft w:val="274"/>
          <w:marRight w:val="0"/>
          <w:marTop w:val="150"/>
          <w:marBottom w:val="0"/>
          <w:divBdr>
            <w:top w:val="none" w:sz="0" w:space="0" w:color="auto"/>
            <w:left w:val="none" w:sz="0" w:space="0" w:color="auto"/>
            <w:bottom w:val="none" w:sz="0" w:space="0" w:color="auto"/>
            <w:right w:val="none" w:sz="0" w:space="0" w:color="auto"/>
          </w:divBdr>
        </w:div>
        <w:div w:id="299313518">
          <w:marLeft w:val="274"/>
          <w:marRight w:val="0"/>
          <w:marTop w:val="150"/>
          <w:marBottom w:val="0"/>
          <w:divBdr>
            <w:top w:val="none" w:sz="0" w:space="0" w:color="auto"/>
            <w:left w:val="none" w:sz="0" w:space="0" w:color="auto"/>
            <w:bottom w:val="none" w:sz="0" w:space="0" w:color="auto"/>
            <w:right w:val="none" w:sz="0" w:space="0" w:color="auto"/>
          </w:divBdr>
        </w:div>
        <w:div w:id="611517985">
          <w:marLeft w:val="274"/>
          <w:marRight w:val="0"/>
          <w:marTop w:val="150"/>
          <w:marBottom w:val="0"/>
          <w:divBdr>
            <w:top w:val="none" w:sz="0" w:space="0" w:color="auto"/>
            <w:left w:val="none" w:sz="0" w:space="0" w:color="auto"/>
            <w:bottom w:val="none" w:sz="0" w:space="0" w:color="auto"/>
            <w:right w:val="none" w:sz="0" w:space="0" w:color="auto"/>
          </w:divBdr>
        </w:div>
        <w:div w:id="987855586">
          <w:marLeft w:val="274"/>
          <w:marRight w:val="0"/>
          <w:marTop w:val="150"/>
          <w:marBottom w:val="0"/>
          <w:divBdr>
            <w:top w:val="none" w:sz="0" w:space="0" w:color="auto"/>
            <w:left w:val="none" w:sz="0" w:space="0" w:color="auto"/>
            <w:bottom w:val="none" w:sz="0" w:space="0" w:color="auto"/>
            <w:right w:val="none" w:sz="0" w:space="0" w:color="auto"/>
          </w:divBdr>
        </w:div>
        <w:div w:id="205525989">
          <w:marLeft w:val="806"/>
          <w:marRight w:val="0"/>
          <w:marTop w:val="75"/>
          <w:marBottom w:val="0"/>
          <w:divBdr>
            <w:top w:val="none" w:sz="0" w:space="0" w:color="auto"/>
            <w:left w:val="none" w:sz="0" w:space="0" w:color="auto"/>
            <w:bottom w:val="none" w:sz="0" w:space="0" w:color="auto"/>
            <w:right w:val="none" w:sz="0" w:space="0" w:color="auto"/>
          </w:divBdr>
        </w:div>
        <w:div w:id="838274172">
          <w:marLeft w:val="806"/>
          <w:marRight w:val="0"/>
          <w:marTop w:val="75"/>
          <w:marBottom w:val="0"/>
          <w:divBdr>
            <w:top w:val="none" w:sz="0" w:space="0" w:color="auto"/>
            <w:left w:val="none" w:sz="0" w:space="0" w:color="auto"/>
            <w:bottom w:val="none" w:sz="0" w:space="0" w:color="auto"/>
            <w:right w:val="none" w:sz="0" w:space="0" w:color="auto"/>
          </w:divBdr>
        </w:div>
        <w:div w:id="644970883">
          <w:marLeft w:val="806"/>
          <w:marRight w:val="0"/>
          <w:marTop w:val="75"/>
          <w:marBottom w:val="0"/>
          <w:divBdr>
            <w:top w:val="none" w:sz="0" w:space="0" w:color="auto"/>
            <w:left w:val="none" w:sz="0" w:space="0" w:color="auto"/>
            <w:bottom w:val="none" w:sz="0" w:space="0" w:color="auto"/>
            <w:right w:val="none" w:sz="0" w:space="0" w:color="auto"/>
          </w:divBdr>
        </w:div>
      </w:divsChild>
    </w:div>
    <w:div w:id="1358845308">
      <w:bodyDiv w:val="1"/>
      <w:marLeft w:val="0"/>
      <w:marRight w:val="0"/>
      <w:marTop w:val="0"/>
      <w:marBottom w:val="0"/>
      <w:divBdr>
        <w:top w:val="none" w:sz="0" w:space="0" w:color="auto"/>
        <w:left w:val="none" w:sz="0" w:space="0" w:color="auto"/>
        <w:bottom w:val="none" w:sz="0" w:space="0" w:color="auto"/>
        <w:right w:val="none" w:sz="0" w:space="0" w:color="auto"/>
      </w:divBdr>
      <w:divsChild>
        <w:div w:id="1440948026">
          <w:marLeft w:val="576"/>
          <w:marRight w:val="0"/>
          <w:marTop w:val="120"/>
          <w:marBottom w:val="0"/>
          <w:divBdr>
            <w:top w:val="none" w:sz="0" w:space="0" w:color="auto"/>
            <w:left w:val="none" w:sz="0" w:space="0" w:color="auto"/>
            <w:bottom w:val="none" w:sz="0" w:space="0" w:color="auto"/>
            <w:right w:val="none" w:sz="0" w:space="0" w:color="auto"/>
          </w:divBdr>
        </w:div>
        <w:div w:id="63459113">
          <w:marLeft w:val="576"/>
          <w:marRight w:val="0"/>
          <w:marTop w:val="120"/>
          <w:marBottom w:val="0"/>
          <w:divBdr>
            <w:top w:val="none" w:sz="0" w:space="0" w:color="auto"/>
            <w:left w:val="none" w:sz="0" w:space="0" w:color="auto"/>
            <w:bottom w:val="none" w:sz="0" w:space="0" w:color="auto"/>
            <w:right w:val="none" w:sz="0" w:space="0" w:color="auto"/>
          </w:divBdr>
        </w:div>
        <w:div w:id="280109149">
          <w:marLeft w:val="576"/>
          <w:marRight w:val="0"/>
          <w:marTop w:val="120"/>
          <w:marBottom w:val="0"/>
          <w:divBdr>
            <w:top w:val="none" w:sz="0" w:space="0" w:color="auto"/>
            <w:left w:val="none" w:sz="0" w:space="0" w:color="auto"/>
            <w:bottom w:val="none" w:sz="0" w:space="0" w:color="auto"/>
            <w:right w:val="none" w:sz="0" w:space="0" w:color="auto"/>
          </w:divBdr>
        </w:div>
        <w:div w:id="1950812213">
          <w:marLeft w:val="576"/>
          <w:marRight w:val="0"/>
          <w:marTop w:val="120"/>
          <w:marBottom w:val="0"/>
          <w:divBdr>
            <w:top w:val="none" w:sz="0" w:space="0" w:color="auto"/>
            <w:left w:val="none" w:sz="0" w:space="0" w:color="auto"/>
            <w:bottom w:val="none" w:sz="0" w:space="0" w:color="auto"/>
            <w:right w:val="none" w:sz="0" w:space="0" w:color="auto"/>
          </w:divBdr>
        </w:div>
      </w:divsChild>
    </w:div>
    <w:div w:id="1400246787">
      <w:bodyDiv w:val="1"/>
      <w:marLeft w:val="0"/>
      <w:marRight w:val="0"/>
      <w:marTop w:val="0"/>
      <w:marBottom w:val="0"/>
      <w:divBdr>
        <w:top w:val="none" w:sz="0" w:space="0" w:color="auto"/>
        <w:left w:val="none" w:sz="0" w:space="0" w:color="auto"/>
        <w:bottom w:val="none" w:sz="0" w:space="0" w:color="auto"/>
        <w:right w:val="none" w:sz="0" w:space="0" w:color="auto"/>
      </w:divBdr>
      <w:divsChild>
        <w:div w:id="417751272">
          <w:marLeft w:val="446"/>
          <w:marRight w:val="0"/>
          <w:marTop w:val="120"/>
          <w:marBottom w:val="0"/>
          <w:divBdr>
            <w:top w:val="none" w:sz="0" w:space="0" w:color="auto"/>
            <w:left w:val="none" w:sz="0" w:space="0" w:color="auto"/>
            <w:bottom w:val="none" w:sz="0" w:space="0" w:color="auto"/>
            <w:right w:val="none" w:sz="0" w:space="0" w:color="auto"/>
          </w:divBdr>
        </w:div>
        <w:div w:id="1806392249">
          <w:marLeft w:val="446"/>
          <w:marRight w:val="0"/>
          <w:marTop w:val="120"/>
          <w:marBottom w:val="0"/>
          <w:divBdr>
            <w:top w:val="none" w:sz="0" w:space="0" w:color="auto"/>
            <w:left w:val="none" w:sz="0" w:space="0" w:color="auto"/>
            <w:bottom w:val="none" w:sz="0" w:space="0" w:color="auto"/>
            <w:right w:val="none" w:sz="0" w:space="0" w:color="auto"/>
          </w:divBdr>
        </w:div>
        <w:div w:id="896932771">
          <w:marLeft w:val="446"/>
          <w:marRight w:val="0"/>
          <w:marTop w:val="120"/>
          <w:marBottom w:val="0"/>
          <w:divBdr>
            <w:top w:val="none" w:sz="0" w:space="0" w:color="auto"/>
            <w:left w:val="none" w:sz="0" w:space="0" w:color="auto"/>
            <w:bottom w:val="none" w:sz="0" w:space="0" w:color="auto"/>
            <w:right w:val="none" w:sz="0" w:space="0" w:color="auto"/>
          </w:divBdr>
        </w:div>
        <w:div w:id="1279218170">
          <w:marLeft w:val="446"/>
          <w:marRight w:val="0"/>
          <w:marTop w:val="120"/>
          <w:marBottom w:val="0"/>
          <w:divBdr>
            <w:top w:val="none" w:sz="0" w:space="0" w:color="auto"/>
            <w:left w:val="none" w:sz="0" w:space="0" w:color="auto"/>
            <w:bottom w:val="none" w:sz="0" w:space="0" w:color="auto"/>
            <w:right w:val="none" w:sz="0" w:space="0" w:color="auto"/>
          </w:divBdr>
        </w:div>
        <w:div w:id="1631670294">
          <w:marLeft w:val="446"/>
          <w:marRight w:val="0"/>
          <w:marTop w:val="120"/>
          <w:marBottom w:val="0"/>
          <w:divBdr>
            <w:top w:val="none" w:sz="0" w:space="0" w:color="auto"/>
            <w:left w:val="none" w:sz="0" w:space="0" w:color="auto"/>
            <w:bottom w:val="none" w:sz="0" w:space="0" w:color="auto"/>
            <w:right w:val="none" w:sz="0" w:space="0" w:color="auto"/>
          </w:divBdr>
        </w:div>
        <w:div w:id="1433623512">
          <w:marLeft w:val="446"/>
          <w:marRight w:val="0"/>
          <w:marTop w:val="120"/>
          <w:marBottom w:val="0"/>
          <w:divBdr>
            <w:top w:val="none" w:sz="0" w:space="0" w:color="auto"/>
            <w:left w:val="none" w:sz="0" w:space="0" w:color="auto"/>
            <w:bottom w:val="none" w:sz="0" w:space="0" w:color="auto"/>
            <w:right w:val="none" w:sz="0" w:space="0" w:color="auto"/>
          </w:divBdr>
        </w:div>
        <w:div w:id="651449923">
          <w:marLeft w:val="446"/>
          <w:marRight w:val="0"/>
          <w:marTop w:val="120"/>
          <w:marBottom w:val="0"/>
          <w:divBdr>
            <w:top w:val="none" w:sz="0" w:space="0" w:color="auto"/>
            <w:left w:val="none" w:sz="0" w:space="0" w:color="auto"/>
            <w:bottom w:val="none" w:sz="0" w:space="0" w:color="auto"/>
            <w:right w:val="none" w:sz="0" w:space="0" w:color="auto"/>
          </w:divBdr>
        </w:div>
        <w:div w:id="805777684">
          <w:marLeft w:val="446"/>
          <w:marRight w:val="0"/>
          <w:marTop w:val="120"/>
          <w:marBottom w:val="0"/>
          <w:divBdr>
            <w:top w:val="none" w:sz="0" w:space="0" w:color="auto"/>
            <w:left w:val="none" w:sz="0" w:space="0" w:color="auto"/>
            <w:bottom w:val="none" w:sz="0" w:space="0" w:color="auto"/>
            <w:right w:val="none" w:sz="0" w:space="0" w:color="auto"/>
          </w:divBdr>
        </w:div>
      </w:divsChild>
    </w:div>
    <w:div w:id="1408260764">
      <w:bodyDiv w:val="1"/>
      <w:marLeft w:val="0"/>
      <w:marRight w:val="0"/>
      <w:marTop w:val="0"/>
      <w:marBottom w:val="0"/>
      <w:divBdr>
        <w:top w:val="none" w:sz="0" w:space="0" w:color="auto"/>
        <w:left w:val="none" w:sz="0" w:space="0" w:color="auto"/>
        <w:bottom w:val="none" w:sz="0" w:space="0" w:color="auto"/>
        <w:right w:val="none" w:sz="0" w:space="0" w:color="auto"/>
      </w:divBdr>
      <w:divsChild>
        <w:div w:id="1552110154">
          <w:marLeft w:val="446"/>
          <w:marRight w:val="0"/>
          <w:marTop w:val="0"/>
          <w:marBottom w:val="0"/>
          <w:divBdr>
            <w:top w:val="none" w:sz="0" w:space="0" w:color="auto"/>
            <w:left w:val="none" w:sz="0" w:space="0" w:color="auto"/>
            <w:bottom w:val="none" w:sz="0" w:space="0" w:color="auto"/>
            <w:right w:val="none" w:sz="0" w:space="0" w:color="auto"/>
          </w:divBdr>
        </w:div>
        <w:div w:id="1172766946">
          <w:marLeft w:val="446"/>
          <w:marRight w:val="0"/>
          <w:marTop w:val="0"/>
          <w:marBottom w:val="0"/>
          <w:divBdr>
            <w:top w:val="none" w:sz="0" w:space="0" w:color="auto"/>
            <w:left w:val="none" w:sz="0" w:space="0" w:color="auto"/>
            <w:bottom w:val="none" w:sz="0" w:space="0" w:color="auto"/>
            <w:right w:val="none" w:sz="0" w:space="0" w:color="auto"/>
          </w:divBdr>
        </w:div>
      </w:divsChild>
    </w:div>
    <w:div w:id="1497107616">
      <w:bodyDiv w:val="1"/>
      <w:marLeft w:val="0"/>
      <w:marRight w:val="0"/>
      <w:marTop w:val="0"/>
      <w:marBottom w:val="0"/>
      <w:divBdr>
        <w:top w:val="none" w:sz="0" w:space="0" w:color="auto"/>
        <w:left w:val="none" w:sz="0" w:space="0" w:color="auto"/>
        <w:bottom w:val="none" w:sz="0" w:space="0" w:color="auto"/>
        <w:right w:val="none" w:sz="0" w:space="0" w:color="auto"/>
      </w:divBdr>
    </w:div>
    <w:div w:id="1506823150">
      <w:bodyDiv w:val="1"/>
      <w:marLeft w:val="0"/>
      <w:marRight w:val="0"/>
      <w:marTop w:val="0"/>
      <w:marBottom w:val="0"/>
      <w:divBdr>
        <w:top w:val="none" w:sz="0" w:space="0" w:color="auto"/>
        <w:left w:val="none" w:sz="0" w:space="0" w:color="auto"/>
        <w:bottom w:val="none" w:sz="0" w:space="0" w:color="auto"/>
        <w:right w:val="none" w:sz="0" w:space="0" w:color="auto"/>
      </w:divBdr>
      <w:divsChild>
        <w:div w:id="1435442403">
          <w:marLeft w:val="403"/>
          <w:marRight w:val="0"/>
          <w:marTop w:val="86"/>
          <w:marBottom w:val="0"/>
          <w:divBdr>
            <w:top w:val="none" w:sz="0" w:space="0" w:color="auto"/>
            <w:left w:val="none" w:sz="0" w:space="0" w:color="auto"/>
            <w:bottom w:val="none" w:sz="0" w:space="0" w:color="auto"/>
            <w:right w:val="none" w:sz="0" w:space="0" w:color="auto"/>
          </w:divBdr>
        </w:div>
        <w:div w:id="1261452363">
          <w:marLeft w:val="403"/>
          <w:marRight w:val="0"/>
          <w:marTop w:val="86"/>
          <w:marBottom w:val="0"/>
          <w:divBdr>
            <w:top w:val="none" w:sz="0" w:space="0" w:color="auto"/>
            <w:left w:val="none" w:sz="0" w:space="0" w:color="auto"/>
            <w:bottom w:val="none" w:sz="0" w:space="0" w:color="auto"/>
            <w:right w:val="none" w:sz="0" w:space="0" w:color="auto"/>
          </w:divBdr>
        </w:div>
        <w:div w:id="247660845">
          <w:marLeft w:val="403"/>
          <w:marRight w:val="0"/>
          <w:marTop w:val="86"/>
          <w:marBottom w:val="0"/>
          <w:divBdr>
            <w:top w:val="none" w:sz="0" w:space="0" w:color="auto"/>
            <w:left w:val="none" w:sz="0" w:space="0" w:color="auto"/>
            <w:bottom w:val="none" w:sz="0" w:space="0" w:color="auto"/>
            <w:right w:val="none" w:sz="0" w:space="0" w:color="auto"/>
          </w:divBdr>
        </w:div>
        <w:div w:id="1362785598">
          <w:marLeft w:val="878"/>
          <w:marRight w:val="0"/>
          <w:marTop w:val="86"/>
          <w:marBottom w:val="0"/>
          <w:divBdr>
            <w:top w:val="none" w:sz="0" w:space="0" w:color="auto"/>
            <w:left w:val="none" w:sz="0" w:space="0" w:color="auto"/>
            <w:bottom w:val="none" w:sz="0" w:space="0" w:color="auto"/>
            <w:right w:val="none" w:sz="0" w:space="0" w:color="auto"/>
          </w:divBdr>
        </w:div>
        <w:div w:id="562957752">
          <w:marLeft w:val="878"/>
          <w:marRight w:val="0"/>
          <w:marTop w:val="86"/>
          <w:marBottom w:val="0"/>
          <w:divBdr>
            <w:top w:val="none" w:sz="0" w:space="0" w:color="auto"/>
            <w:left w:val="none" w:sz="0" w:space="0" w:color="auto"/>
            <w:bottom w:val="none" w:sz="0" w:space="0" w:color="auto"/>
            <w:right w:val="none" w:sz="0" w:space="0" w:color="auto"/>
          </w:divBdr>
        </w:div>
      </w:divsChild>
    </w:div>
    <w:div w:id="1656762105">
      <w:bodyDiv w:val="1"/>
      <w:marLeft w:val="0"/>
      <w:marRight w:val="0"/>
      <w:marTop w:val="0"/>
      <w:marBottom w:val="0"/>
      <w:divBdr>
        <w:top w:val="none" w:sz="0" w:space="0" w:color="auto"/>
        <w:left w:val="none" w:sz="0" w:space="0" w:color="auto"/>
        <w:bottom w:val="none" w:sz="0" w:space="0" w:color="auto"/>
        <w:right w:val="none" w:sz="0" w:space="0" w:color="auto"/>
      </w:divBdr>
    </w:div>
    <w:div w:id="1663780679">
      <w:bodyDiv w:val="1"/>
      <w:marLeft w:val="0"/>
      <w:marRight w:val="0"/>
      <w:marTop w:val="0"/>
      <w:marBottom w:val="0"/>
      <w:divBdr>
        <w:top w:val="none" w:sz="0" w:space="0" w:color="auto"/>
        <w:left w:val="none" w:sz="0" w:space="0" w:color="auto"/>
        <w:bottom w:val="none" w:sz="0" w:space="0" w:color="auto"/>
        <w:right w:val="none" w:sz="0" w:space="0" w:color="auto"/>
      </w:divBdr>
    </w:div>
    <w:div w:id="1667437400">
      <w:bodyDiv w:val="1"/>
      <w:marLeft w:val="0"/>
      <w:marRight w:val="0"/>
      <w:marTop w:val="0"/>
      <w:marBottom w:val="0"/>
      <w:divBdr>
        <w:top w:val="none" w:sz="0" w:space="0" w:color="auto"/>
        <w:left w:val="none" w:sz="0" w:space="0" w:color="auto"/>
        <w:bottom w:val="none" w:sz="0" w:space="0" w:color="auto"/>
        <w:right w:val="none" w:sz="0" w:space="0" w:color="auto"/>
      </w:divBdr>
      <w:divsChild>
        <w:div w:id="367533868">
          <w:marLeft w:val="0"/>
          <w:marRight w:val="0"/>
          <w:marTop w:val="0"/>
          <w:marBottom w:val="0"/>
          <w:divBdr>
            <w:top w:val="none" w:sz="0" w:space="0" w:color="auto"/>
            <w:left w:val="none" w:sz="0" w:space="0" w:color="auto"/>
            <w:bottom w:val="none" w:sz="0" w:space="0" w:color="auto"/>
            <w:right w:val="none" w:sz="0" w:space="0" w:color="auto"/>
          </w:divBdr>
        </w:div>
        <w:div w:id="650250782">
          <w:marLeft w:val="0"/>
          <w:marRight w:val="0"/>
          <w:marTop w:val="0"/>
          <w:marBottom w:val="0"/>
          <w:divBdr>
            <w:top w:val="none" w:sz="0" w:space="0" w:color="auto"/>
            <w:left w:val="none" w:sz="0" w:space="0" w:color="auto"/>
            <w:bottom w:val="none" w:sz="0" w:space="0" w:color="auto"/>
            <w:right w:val="none" w:sz="0" w:space="0" w:color="auto"/>
          </w:divBdr>
        </w:div>
        <w:div w:id="712194731">
          <w:marLeft w:val="0"/>
          <w:marRight w:val="0"/>
          <w:marTop w:val="0"/>
          <w:marBottom w:val="0"/>
          <w:divBdr>
            <w:top w:val="none" w:sz="0" w:space="0" w:color="auto"/>
            <w:left w:val="none" w:sz="0" w:space="0" w:color="auto"/>
            <w:bottom w:val="none" w:sz="0" w:space="0" w:color="auto"/>
            <w:right w:val="none" w:sz="0" w:space="0" w:color="auto"/>
          </w:divBdr>
        </w:div>
        <w:div w:id="722292611">
          <w:marLeft w:val="0"/>
          <w:marRight w:val="0"/>
          <w:marTop w:val="0"/>
          <w:marBottom w:val="0"/>
          <w:divBdr>
            <w:top w:val="none" w:sz="0" w:space="0" w:color="auto"/>
            <w:left w:val="none" w:sz="0" w:space="0" w:color="auto"/>
            <w:bottom w:val="none" w:sz="0" w:space="0" w:color="auto"/>
            <w:right w:val="none" w:sz="0" w:space="0" w:color="auto"/>
          </w:divBdr>
        </w:div>
        <w:div w:id="1042052229">
          <w:marLeft w:val="0"/>
          <w:marRight w:val="0"/>
          <w:marTop w:val="0"/>
          <w:marBottom w:val="0"/>
          <w:divBdr>
            <w:top w:val="none" w:sz="0" w:space="0" w:color="auto"/>
            <w:left w:val="none" w:sz="0" w:space="0" w:color="auto"/>
            <w:bottom w:val="none" w:sz="0" w:space="0" w:color="auto"/>
            <w:right w:val="none" w:sz="0" w:space="0" w:color="auto"/>
          </w:divBdr>
        </w:div>
        <w:div w:id="1086923359">
          <w:marLeft w:val="0"/>
          <w:marRight w:val="0"/>
          <w:marTop w:val="0"/>
          <w:marBottom w:val="0"/>
          <w:divBdr>
            <w:top w:val="none" w:sz="0" w:space="0" w:color="auto"/>
            <w:left w:val="none" w:sz="0" w:space="0" w:color="auto"/>
            <w:bottom w:val="none" w:sz="0" w:space="0" w:color="auto"/>
            <w:right w:val="none" w:sz="0" w:space="0" w:color="auto"/>
          </w:divBdr>
        </w:div>
        <w:div w:id="1116828223">
          <w:marLeft w:val="0"/>
          <w:marRight w:val="0"/>
          <w:marTop w:val="0"/>
          <w:marBottom w:val="0"/>
          <w:divBdr>
            <w:top w:val="none" w:sz="0" w:space="0" w:color="auto"/>
            <w:left w:val="none" w:sz="0" w:space="0" w:color="auto"/>
            <w:bottom w:val="none" w:sz="0" w:space="0" w:color="auto"/>
            <w:right w:val="none" w:sz="0" w:space="0" w:color="auto"/>
          </w:divBdr>
        </w:div>
        <w:div w:id="1684937514">
          <w:marLeft w:val="0"/>
          <w:marRight w:val="0"/>
          <w:marTop w:val="0"/>
          <w:marBottom w:val="0"/>
          <w:divBdr>
            <w:top w:val="none" w:sz="0" w:space="0" w:color="auto"/>
            <w:left w:val="none" w:sz="0" w:space="0" w:color="auto"/>
            <w:bottom w:val="none" w:sz="0" w:space="0" w:color="auto"/>
            <w:right w:val="none" w:sz="0" w:space="0" w:color="auto"/>
          </w:divBdr>
        </w:div>
        <w:div w:id="1693653136">
          <w:marLeft w:val="0"/>
          <w:marRight w:val="0"/>
          <w:marTop w:val="0"/>
          <w:marBottom w:val="0"/>
          <w:divBdr>
            <w:top w:val="none" w:sz="0" w:space="0" w:color="auto"/>
            <w:left w:val="none" w:sz="0" w:space="0" w:color="auto"/>
            <w:bottom w:val="none" w:sz="0" w:space="0" w:color="auto"/>
            <w:right w:val="none" w:sz="0" w:space="0" w:color="auto"/>
          </w:divBdr>
        </w:div>
        <w:div w:id="1844468902">
          <w:marLeft w:val="0"/>
          <w:marRight w:val="0"/>
          <w:marTop w:val="0"/>
          <w:marBottom w:val="0"/>
          <w:divBdr>
            <w:top w:val="none" w:sz="0" w:space="0" w:color="auto"/>
            <w:left w:val="none" w:sz="0" w:space="0" w:color="auto"/>
            <w:bottom w:val="none" w:sz="0" w:space="0" w:color="auto"/>
            <w:right w:val="none" w:sz="0" w:space="0" w:color="auto"/>
          </w:divBdr>
        </w:div>
      </w:divsChild>
    </w:div>
    <w:div w:id="1671909493">
      <w:bodyDiv w:val="1"/>
      <w:marLeft w:val="0"/>
      <w:marRight w:val="0"/>
      <w:marTop w:val="0"/>
      <w:marBottom w:val="0"/>
      <w:divBdr>
        <w:top w:val="none" w:sz="0" w:space="0" w:color="auto"/>
        <w:left w:val="none" w:sz="0" w:space="0" w:color="auto"/>
        <w:bottom w:val="none" w:sz="0" w:space="0" w:color="auto"/>
        <w:right w:val="none" w:sz="0" w:space="0" w:color="auto"/>
      </w:divBdr>
      <w:divsChild>
        <w:div w:id="263925038">
          <w:marLeft w:val="547"/>
          <w:marRight w:val="0"/>
          <w:marTop w:val="0"/>
          <w:marBottom w:val="0"/>
          <w:divBdr>
            <w:top w:val="none" w:sz="0" w:space="0" w:color="auto"/>
            <w:left w:val="none" w:sz="0" w:space="0" w:color="auto"/>
            <w:bottom w:val="none" w:sz="0" w:space="0" w:color="auto"/>
            <w:right w:val="none" w:sz="0" w:space="0" w:color="auto"/>
          </w:divBdr>
        </w:div>
      </w:divsChild>
    </w:div>
    <w:div w:id="1713731426">
      <w:bodyDiv w:val="1"/>
      <w:marLeft w:val="0"/>
      <w:marRight w:val="0"/>
      <w:marTop w:val="0"/>
      <w:marBottom w:val="0"/>
      <w:divBdr>
        <w:top w:val="none" w:sz="0" w:space="0" w:color="auto"/>
        <w:left w:val="none" w:sz="0" w:space="0" w:color="auto"/>
        <w:bottom w:val="none" w:sz="0" w:space="0" w:color="auto"/>
        <w:right w:val="none" w:sz="0" w:space="0" w:color="auto"/>
      </w:divBdr>
    </w:div>
    <w:div w:id="1727991728">
      <w:bodyDiv w:val="1"/>
      <w:marLeft w:val="0"/>
      <w:marRight w:val="0"/>
      <w:marTop w:val="0"/>
      <w:marBottom w:val="0"/>
      <w:divBdr>
        <w:top w:val="none" w:sz="0" w:space="0" w:color="auto"/>
        <w:left w:val="none" w:sz="0" w:space="0" w:color="auto"/>
        <w:bottom w:val="none" w:sz="0" w:space="0" w:color="auto"/>
        <w:right w:val="none" w:sz="0" w:space="0" w:color="auto"/>
      </w:divBdr>
    </w:div>
    <w:div w:id="1757045346">
      <w:bodyDiv w:val="1"/>
      <w:marLeft w:val="0"/>
      <w:marRight w:val="0"/>
      <w:marTop w:val="0"/>
      <w:marBottom w:val="0"/>
      <w:divBdr>
        <w:top w:val="none" w:sz="0" w:space="0" w:color="auto"/>
        <w:left w:val="none" w:sz="0" w:space="0" w:color="auto"/>
        <w:bottom w:val="none" w:sz="0" w:space="0" w:color="auto"/>
        <w:right w:val="none" w:sz="0" w:space="0" w:color="auto"/>
      </w:divBdr>
      <w:divsChild>
        <w:div w:id="1534079671">
          <w:marLeft w:val="547"/>
          <w:marRight w:val="0"/>
          <w:marTop w:val="0"/>
          <w:marBottom w:val="0"/>
          <w:divBdr>
            <w:top w:val="none" w:sz="0" w:space="0" w:color="auto"/>
            <w:left w:val="none" w:sz="0" w:space="0" w:color="auto"/>
            <w:bottom w:val="none" w:sz="0" w:space="0" w:color="auto"/>
            <w:right w:val="none" w:sz="0" w:space="0" w:color="auto"/>
          </w:divBdr>
        </w:div>
        <w:div w:id="1827428057">
          <w:marLeft w:val="547"/>
          <w:marRight w:val="0"/>
          <w:marTop w:val="0"/>
          <w:marBottom w:val="0"/>
          <w:divBdr>
            <w:top w:val="none" w:sz="0" w:space="0" w:color="auto"/>
            <w:left w:val="none" w:sz="0" w:space="0" w:color="auto"/>
            <w:bottom w:val="none" w:sz="0" w:space="0" w:color="auto"/>
            <w:right w:val="none" w:sz="0" w:space="0" w:color="auto"/>
          </w:divBdr>
        </w:div>
        <w:div w:id="520096780">
          <w:marLeft w:val="547"/>
          <w:marRight w:val="0"/>
          <w:marTop w:val="0"/>
          <w:marBottom w:val="0"/>
          <w:divBdr>
            <w:top w:val="none" w:sz="0" w:space="0" w:color="auto"/>
            <w:left w:val="none" w:sz="0" w:space="0" w:color="auto"/>
            <w:bottom w:val="none" w:sz="0" w:space="0" w:color="auto"/>
            <w:right w:val="none" w:sz="0" w:space="0" w:color="auto"/>
          </w:divBdr>
        </w:div>
        <w:div w:id="1536892093">
          <w:marLeft w:val="547"/>
          <w:marRight w:val="0"/>
          <w:marTop w:val="0"/>
          <w:marBottom w:val="0"/>
          <w:divBdr>
            <w:top w:val="none" w:sz="0" w:space="0" w:color="auto"/>
            <w:left w:val="none" w:sz="0" w:space="0" w:color="auto"/>
            <w:bottom w:val="none" w:sz="0" w:space="0" w:color="auto"/>
            <w:right w:val="none" w:sz="0" w:space="0" w:color="auto"/>
          </w:divBdr>
        </w:div>
        <w:div w:id="1658916587">
          <w:marLeft w:val="547"/>
          <w:marRight w:val="0"/>
          <w:marTop w:val="0"/>
          <w:marBottom w:val="0"/>
          <w:divBdr>
            <w:top w:val="none" w:sz="0" w:space="0" w:color="auto"/>
            <w:left w:val="none" w:sz="0" w:space="0" w:color="auto"/>
            <w:bottom w:val="none" w:sz="0" w:space="0" w:color="auto"/>
            <w:right w:val="none" w:sz="0" w:space="0" w:color="auto"/>
          </w:divBdr>
        </w:div>
      </w:divsChild>
    </w:div>
    <w:div w:id="1769420879">
      <w:bodyDiv w:val="1"/>
      <w:marLeft w:val="0"/>
      <w:marRight w:val="0"/>
      <w:marTop w:val="0"/>
      <w:marBottom w:val="0"/>
      <w:divBdr>
        <w:top w:val="none" w:sz="0" w:space="0" w:color="auto"/>
        <w:left w:val="none" w:sz="0" w:space="0" w:color="auto"/>
        <w:bottom w:val="none" w:sz="0" w:space="0" w:color="auto"/>
        <w:right w:val="none" w:sz="0" w:space="0" w:color="auto"/>
      </w:divBdr>
      <w:divsChild>
        <w:div w:id="1084182273">
          <w:marLeft w:val="403"/>
          <w:marRight w:val="0"/>
          <w:marTop w:val="86"/>
          <w:marBottom w:val="0"/>
          <w:divBdr>
            <w:top w:val="none" w:sz="0" w:space="0" w:color="auto"/>
            <w:left w:val="none" w:sz="0" w:space="0" w:color="auto"/>
            <w:bottom w:val="none" w:sz="0" w:space="0" w:color="auto"/>
            <w:right w:val="none" w:sz="0" w:space="0" w:color="auto"/>
          </w:divBdr>
        </w:div>
        <w:div w:id="1173110023">
          <w:marLeft w:val="403"/>
          <w:marRight w:val="0"/>
          <w:marTop w:val="86"/>
          <w:marBottom w:val="0"/>
          <w:divBdr>
            <w:top w:val="none" w:sz="0" w:space="0" w:color="auto"/>
            <w:left w:val="none" w:sz="0" w:space="0" w:color="auto"/>
            <w:bottom w:val="none" w:sz="0" w:space="0" w:color="auto"/>
            <w:right w:val="none" w:sz="0" w:space="0" w:color="auto"/>
          </w:divBdr>
        </w:div>
        <w:div w:id="1022626885">
          <w:marLeft w:val="878"/>
          <w:marRight w:val="0"/>
          <w:marTop w:val="86"/>
          <w:marBottom w:val="0"/>
          <w:divBdr>
            <w:top w:val="none" w:sz="0" w:space="0" w:color="auto"/>
            <w:left w:val="none" w:sz="0" w:space="0" w:color="auto"/>
            <w:bottom w:val="none" w:sz="0" w:space="0" w:color="auto"/>
            <w:right w:val="none" w:sz="0" w:space="0" w:color="auto"/>
          </w:divBdr>
        </w:div>
        <w:div w:id="2095202654">
          <w:marLeft w:val="878"/>
          <w:marRight w:val="0"/>
          <w:marTop w:val="86"/>
          <w:marBottom w:val="0"/>
          <w:divBdr>
            <w:top w:val="none" w:sz="0" w:space="0" w:color="auto"/>
            <w:left w:val="none" w:sz="0" w:space="0" w:color="auto"/>
            <w:bottom w:val="none" w:sz="0" w:space="0" w:color="auto"/>
            <w:right w:val="none" w:sz="0" w:space="0" w:color="auto"/>
          </w:divBdr>
        </w:div>
        <w:div w:id="773478317">
          <w:marLeft w:val="878"/>
          <w:marRight w:val="0"/>
          <w:marTop w:val="86"/>
          <w:marBottom w:val="0"/>
          <w:divBdr>
            <w:top w:val="none" w:sz="0" w:space="0" w:color="auto"/>
            <w:left w:val="none" w:sz="0" w:space="0" w:color="auto"/>
            <w:bottom w:val="none" w:sz="0" w:space="0" w:color="auto"/>
            <w:right w:val="none" w:sz="0" w:space="0" w:color="auto"/>
          </w:divBdr>
        </w:div>
        <w:div w:id="618145083">
          <w:marLeft w:val="403"/>
          <w:marRight w:val="0"/>
          <w:marTop w:val="86"/>
          <w:marBottom w:val="0"/>
          <w:divBdr>
            <w:top w:val="none" w:sz="0" w:space="0" w:color="auto"/>
            <w:left w:val="none" w:sz="0" w:space="0" w:color="auto"/>
            <w:bottom w:val="none" w:sz="0" w:space="0" w:color="auto"/>
            <w:right w:val="none" w:sz="0" w:space="0" w:color="auto"/>
          </w:divBdr>
        </w:div>
        <w:div w:id="1643075503">
          <w:marLeft w:val="403"/>
          <w:marRight w:val="0"/>
          <w:marTop w:val="86"/>
          <w:marBottom w:val="0"/>
          <w:divBdr>
            <w:top w:val="none" w:sz="0" w:space="0" w:color="auto"/>
            <w:left w:val="none" w:sz="0" w:space="0" w:color="auto"/>
            <w:bottom w:val="none" w:sz="0" w:space="0" w:color="auto"/>
            <w:right w:val="none" w:sz="0" w:space="0" w:color="auto"/>
          </w:divBdr>
        </w:div>
      </w:divsChild>
    </w:div>
    <w:div w:id="1789157069">
      <w:bodyDiv w:val="1"/>
      <w:marLeft w:val="0"/>
      <w:marRight w:val="0"/>
      <w:marTop w:val="0"/>
      <w:marBottom w:val="0"/>
      <w:divBdr>
        <w:top w:val="none" w:sz="0" w:space="0" w:color="auto"/>
        <w:left w:val="none" w:sz="0" w:space="0" w:color="auto"/>
        <w:bottom w:val="none" w:sz="0" w:space="0" w:color="auto"/>
        <w:right w:val="none" w:sz="0" w:space="0" w:color="auto"/>
      </w:divBdr>
      <w:divsChild>
        <w:div w:id="310258956">
          <w:marLeft w:val="907"/>
          <w:marRight w:val="0"/>
          <w:marTop w:val="82"/>
          <w:marBottom w:val="0"/>
          <w:divBdr>
            <w:top w:val="none" w:sz="0" w:space="0" w:color="auto"/>
            <w:left w:val="none" w:sz="0" w:space="0" w:color="auto"/>
            <w:bottom w:val="none" w:sz="0" w:space="0" w:color="auto"/>
            <w:right w:val="none" w:sz="0" w:space="0" w:color="auto"/>
          </w:divBdr>
        </w:div>
        <w:div w:id="1003122594">
          <w:marLeft w:val="907"/>
          <w:marRight w:val="0"/>
          <w:marTop w:val="86"/>
          <w:marBottom w:val="0"/>
          <w:divBdr>
            <w:top w:val="none" w:sz="0" w:space="0" w:color="auto"/>
            <w:left w:val="none" w:sz="0" w:space="0" w:color="auto"/>
            <w:bottom w:val="none" w:sz="0" w:space="0" w:color="auto"/>
            <w:right w:val="none" w:sz="0" w:space="0" w:color="auto"/>
          </w:divBdr>
        </w:div>
        <w:div w:id="1048919380">
          <w:marLeft w:val="907"/>
          <w:marRight w:val="0"/>
          <w:marTop w:val="86"/>
          <w:marBottom w:val="0"/>
          <w:divBdr>
            <w:top w:val="none" w:sz="0" w:space="0" w:color="auto"/>
            <w:left w:val="none" w:sz="0" w:space="0" w:color="auto"/>
            <w:bottom w:val="none" w:sz="0" w:space="0" w:color="auto"/>
            <w:right w:val="none" w:sz="0" w:space="0" w:color="auto"/>
          </w:divBdr>
        </w:div>
        <w:div w:id="1154565643">
          <w:marLeft w:val="907"/>
          <w:marRight w:val="0"/>
          <w:marTop w:val="86"/>
          <w:marBottom w:val="0"/>
          <w:divBdr>
            <w:top w:val="none" w:sz="0" w:space="0" w:color="auto"/>
            <w:left w:val="none" w:sz="0" w:space="0" w:color="auto"/>
            <w:bottom w:val="none" w:sz="0" w:space="0" w:color="auto"/>
            <w:right w:val="none" w:sz="0" w:space="0" w:color="auto"/>
          </w:divBdr>
        </w:div>
        <w:div w:id="1215700486">
          <w:marLeft w:val="907"/>
          <w:marRight w:val="0"/>
          <w:marTop w:val="86"/>
          <w:marBottom w:val="0"/>
          <w:divBdr>
            <w:top w:val="none" w:sz="0" w:space="0" w:color="auto"/>
            <w:left w:val="none" w:sz="0" w:space="0" w:color="auto"/>
            <w:bottom w:val="none" w:sz="0" w:space="0" w:color="auto"/>
            <w:right w:val="none" w:sz="0" w:space="0" w:color="auto"/>
          </w:divBdr>
        </w:div>
        <w:div w:id="1330333034">
          <w:marLeft w:val="907"/>
          <w:marRight w:val="0"/>
          <w:marTop w:val="82"/>
          <w:marBottom w:val="0"/>
          <w:divBdr>
            <w:top w:val="none" w:sz="0" w:space="0" w:color="auto"/>
            <w:left w:val="none" w:sz="0" w:space="0" w:color="auto"/>
            <w:bottom w:val="none" w:sz="0" w:space="0" w:color="auto"/>
            <w:right w:val="none" w:sz="0" w:space="0" w:color="auto"/>
          </w:divBdr>
        </w:div>
        <w:div w:id="1651058917">
          <w:marLeft w:val="907"/>
          <w:marRight w:val="0"/>
          <w:marTop w:val="86"/>
          <w:marBottom w:val="0"/>
          <w:divBdr>
            <w:top w:val="none" w:sz="0" w:space="0" w:color="auto"/>
            <w:left w:val="none" w:sz="0" w:space="0" w:color="auto"/>
            <w:bottom w:val="none" w:sz="0" w:space="0" w:color="auto"/>
            <w:right w:val="none" w:sz="0" w:space="0" w:color="auto"/>
          </w:divBdr>
        </w:div>
      </w:divsChild>
    </w:div>
    <w:div w:id="1804076779">
      <w:bodyDiv w:val="1"/>
      <w:marLeft w:val="0"/>
      <w:marRight w:val="0"/>
      <w:marTop w:val="0"/>
      <w:marBottom w:val="0"/>
      <w:divBdr>
        <w:top w:val="none" w:sz="0" w:space="0" w:color="auto"/>
        <w:left w:val="none" w:sz="0" w:space="0" w:color="auto"/>
        <w:bottom w:val="none" w:sz="0" w:space="0" w:color="auto"/>
        <w:right w:val="none" w:sz="0" w:space="0" w:color="auto"/>
      </w:divBdr>
      <w:divsChild>
        <w:div w:id="989941622">
          <w:marLeft w:val="274"/>
          <w:marRight w:val="0"/>
          <w:marTop w:val="120"/>
          <w:marBottom w:val="0"/>
          <w:divBdr>
            <w:top w:val="none" w:sz="0" w:space="0" w:color="auto"/>
            <w:left w:val="none" w:sz="0" w:space="0" w:color="auto"/>
            <w:bottom w:val="none" w:sz="0" w:space="0" w:color="auto"/>
            <w:right w:val="none" w:sz="0" w:space="0" w:color="auto"/>
          </w:divBdr>
        </w:div>
        <w:div w:id="1084255832">
          <w:marLeft w:val="979"/>
          <w:marRight w:val="0"/>
          <w:marTop w:val="120"/>
          <w:marBottom w:val="0"/>
          <w:divBdr>
            <w:top w:val="none" w:sz="0" w:space="0" w:color="auto"/>
            <w:left w:val="none" w:sz="0" w:space="0" w:color="auto"/>
            <w:bottom w:val="none" w:sz="0" w:space="0" w:color="auto"/>
            <w:right w:val="none" w:sz="0" w:space="0" w:color="auto"/>
          </w:divBdr>
        </w:div>
        <w:div w:id="1501115722">
          <w:marLeft w:val="979"/>
          <w:marRight w:val="0"/>
          <w:marTop w:val="120"/>
          <w:marBottom w:val="0"/>
          <w:divBdr>
            <w:top w:val="none" w:sz="0" w:space="0" w:color="auto"/>
            <w:left w:val="none" w:sz="0" w:space="0" w:color="auto"/>
            <w:bottom w:val="none" w:sz="0" w:space="0" w:color="auto"/>
            <w:right w:val="none" w:sz="0" w:space="0" w:color="auto"/>
          </w:divBdr>
        </w:div>
        <w:div w:id="1624531246">
          <w:marLeft w:val="288"/>
          <w:marRight w:val="0"/>
          <w:marTop w:val="120"/>
          <w:marBottom w:val="0"/>
          <w:divBdr>
            <w:top w:val="none" w:sz="0" w:space="0" w:color="auto"/>
            <w:left w:val="none" w:sz="0" w:space="0" w:color="auto"/>
            <w:bottom w:val="none" w:sz="0" w:space="0" w:color="auto"/>
            <w:right w:val="none" w:sz="0" w:space="0" w:color="auto"/>
          </w:divBdr>
        </w:div>
        <w:div w:id="1974825091">
          <w:marLeft w:val="979"/>
          <w:marRight w:val="0"/>
          <w:marTop w:val="120"/>
          <w:marBottom w:val="0"/>
          <w:divBdr>
            <w:top w:val="none" w:sz="0" w:space="0" w:color="auto"/>
            <w:left w:val="none" w:sz="0" w:space="0" w:color="auto"/>
            <w:bottom w:val="none" w:sz="0" w:space="0" w:color="auto"/>
            <w:right w:val="none" w:sz="0" w:space="0" w:color="auto"/>
          </w:divBdr>
        </w:div>
        <w:div w:id="546650614">
          <w:marLeft w:val="979"/>
          <w:marRight w:val="0"/>
          <w:marTop w:val="120"/>
          <w:marBottom w:val="0"/>
          <w:divBdr>
            <w:top w:val="none" w:sz="0" w:space="0" w:color="auto"/>
            <w:left w:val="none" w:sz="0" w:space="0" w:color="auto"/>
            <w:bottom w:val="none" w:sz="0" w:space="0" w:color="auto"/>
            <w:right w:val="none" w:sz="0" w:space="0" w:color="auto"/>
          </w:divBdr>
        </w:div>
        <w:div w:id="1788155309">
          <w:marLeft w:val="274"/>
          <w:marRight w:val="0"/>
          <w:marTop w:val="120"/>
          <w:marBottom w:val="0"/>
          <w:divBdr>
            <w:top w:val="none" w:sz="0" w:space="0" w:color="auto"/>
            <w:left w:val="none" w:sz="0" w:space="0" w:color="auto"/>
            <w:bottom w:val="none" w:sz="0" w:space="0" w:color="auto"/>
            <w:right w:val="none" w:sz="0" w:space="0" w:color="auto"/>
          </w:divBdr>
        </w:div>
        <w:div w:id="2084449169">
          <w:marLeft w:val="979"/>
          <w:marRight w:val="0"/>
          <w:marTop w:val="120"/>
          <w:marBottom w:val="0"/>
          <w:divBdr>
            <w:top w:val="none" w:sz="0" w:space="0" w:color="auto"/>
            <w:left w:val="none" w:sz="0" w:space="0" w:color="auto"/>
            <w:bottom w:val="none" w:sz="0" w:space="0" w:color="auto"/>
            <w:right w:val="none" w:sz="0" w:space="0" w:color="auto"/>
          </w:divBdr>
        </w:div>
        <w:div w:id="515774519">
          <w:marLeft w:val="274"/>
          <w:marRight w:val="0"/>
          <w:marTop w:val="120"/>
          <w:marBottom w:val="0"/>
          <w:divBdr>
            <w:top w:val="none" w:sz="0" w:space="0" w:color="auto"/>
            <w:left w:val="none" w:sz="0" w:space="0" w:color="auto"/>
            <w:bottom w:val="none" w:sz="0" w:space="0" w:color="auto"/>
            <w:right w:val="none" w:sz="0" w:space="0" w:color="auto"/>
          </w:divBdr>
        </w:div>
        <w:div w:id="2121757887">
          <w:marLeft w:val="979"/>
          <w:marRight w:val="0"/>
          <w:marTop w:val="120"/>
          <w:marBottom w:val="0"/>
          <w:divBdr>
            <w:top w:val="none" w:sz="0" w:space="0" w:color="auto"/>
            <w:left w:val="none" w:sz="0" w:space="0" w:color="auto"/>
            <w:bottom w:val="none" w:sz="0" w:space="0" w:color="auto"/>
            <w:right w:val="none" w:sz="0" w:space="0" w:color="auto"/>
          </w:divBdr>
        </w:div>
      </w:divsChild>
    </w:div>
    <w:div w:id="1814519739">
      <w:bodyDiv w:val="1"/>
      <w:marLeft w:val="0"/>
      <w:marRight w:val="0"/>
      <w:marTop w:val="0"/>
      <w:marBottom w:val="0"/>
      <w:divBdr>
        <w:top w:val="none" w:sz="0" w:space="0" w:color="auto"/>
        <w:left w:val="none" w:sz="0" w:space="0" w:color="auto"/>
        <w:bottom w:val="none" w:sz="0" w:space="0" w:color="auto"/>
        <w:right w:val="none" w:sz="0" w:space="0" w:color="auto"/>
      </w:divBdr>
    </w:div>
    <w:div w:id="1891763157">
      <w:bodyDiv w:val="1"/>
      <w:marLeft w:val="0"/>
      <w:marRight w:val="0"/>
      <w:marTop w:val="0"/>
      <w:marBottom w:val="0"/>
      <w:divBdr>
        <w:top w:val="none" w:sz="0" w:space="0" w:color="auto"/>
        <w:left w:val="none" w:sz="0" w:space="0" w:color="auto"/>
        <w:bottom w:val="none" w:sz="0" w:space="0" w:color="auto"/>
        <w:right w:val="none" w:sz="0" w:space="0" w:color="auto"/>
      </w:divBdr>
    </w:div>
    <w:div w:id="1997804396">
      <w:bodyDiv w:val="1"/>
      <w:marLeft w:val="0"/>
      <w:marRight w:val="0"/>
      <w:marTop w:val="0"/>
      <w:marBottom w:val="0"/>
      <w:divBdr>
        <w:top w:val="none" w:sz="0" w:space="0" w:color="auto"/>
        <w:left w:val="none" w:sz="0" w:space="0" w:color="auto"/>
        <w:bottom w:val="none" w:sz="0" w:space="0" w:color="auto"/>
        <w:right w:val="none" w:sz="0" w:space="0" w:color="auto"/>
      </w:divBdr>
      <w:divsChild>
        <w:div w:id="1853765757">
          <w:marLeft w:val="547"/>
          <w:marRight w:val="0"/>
          <w:marTop w:val="0"/>
          <w:marBottom w:val="0"/>
          <w:divBdr>
            <w:top w:val="none" w:sz="0" w:space="0" w:color="auto"/>
            <w:left w:val="none" w:sz="0" w:space="0" w:color="auto"/>
            <w:bottom w:val="none" w:sz="0" w:space="0" w:color="auto"/>
            <w:right w:val="none" w:sz="0" w:space="0" w:color="auto"/>
          </w:divBdr>
        </w:div>
        <w:div w:id="856771334">
          <w:marLeft w:val="547"/>
          <w:marRight w:val="0"/>
          <w:marTop w:val="0"/>
          <w:marBottom w:val="0"/>
          <w:divBdr>
            <w:top w:val="none" w:sz="0" w:space="0" w:color="auto"/>
            <w:left w:val="none" w:sz="0" w:space="0" w:color="auto"/>
            <w:bottom w:val="none" w:sz="0" w:space="0" w:color="auto"/>
            <w:right w:val="none" w:sz="0" w:space="0" w:color="auto"/>
          </w:divBdr>
        </w:div>
        <w:div w:id="1954094946">
          <w:marLeft w:val="547"/>
          <w:marRight w:val="0"/>
          <w:marTop w:val="0"/>
          <w:marBottom w:val="0"/>
          <w:divBdr>
            <w:top w:val="none" w:sz="0" w:space="0" w:color="auto"/>
            <w:left w:val="none" w:sz="0" w:space="0" w:color="auto"/>
            <w:bottom w:val="none" w:sz="0" w:space="0" w:color="auto"/>
            <w:right w:val="none" w:sz="0" w:space="0" w:color="auto"/>
          </w:divBdr>
        </w:div>
        <w:div w:id="237329971">
          <w:marLeft w:val="547"/>
          <w:marRight w:val="0"/>
          <w:marTop w:val="0"/>
          <w:marBottom w:val="0"/>
          <w:divBdr>
            <w:top w:val="none" w:sz="0" w:space="0" w:color="auto"/>
            <w:left w:val="none" w:sz="0" w:space="0" w:color="auto"/>
            <w:bottom w:val="none" w:sz="0" w:space="0" w:color="auto"/>
            <w:right w:val="none" w:sz="0" w:space="0" w:color="auto"/>
          </w:divBdr>
        </w:div>
        <w:div w:id="915866867">
          <w:marLeft w:val="547"/>
          <w:marRight w:val="0"/>
          <w:marTop w:val="0"/>
          <w:marBottom w:val="0"/>
          <w:divBdr>
            <w:top w:val="none" w:sz="0" w:space="0" w:color="auto"/>
            <w:left w:val="none" w:sz="0" w:space="0" w:color="auto"/>
            <w:bottom w:val="none" w:sz="0" w:space="0" w:color="auto"/>
            <w:right w:val="none" w:sz="0" w:space="0" w:color="auto"/>
          </w:divBdr>
        </w:div>
        <w:div w:id="1927689185">
          <w:marLeft w:val="547"/>
          <w:marRight w:val="0"/>
          <w:marTop w:val="0"/>
          <w:marBottom w:val="0"/>
          <w:divBdr>
            <w:top w:val="none" w:sz="0" w:space="0" w:color="auto"/>
            <w:left w:val="none" w:sz="0" w:space="0" w:color="auto"/>
            <w:bottom w:val="none" w:sz="0" w:space="0" w:color="auto"/>
            <w:right w:val="none" w:sz="0" w:space="0" w:color="auto"/>
          </w:divBdr>
        </w:div>
        <w:div w:id="2017924550">
          <w:marLeft w:val="547"/>
          <w:marRight w:val="0"/>
          <w:marTop w:val="0"/>
          <w:marBottom w:val="0"/>
          <w:divBdr>
            <w:top w:val="none" w:sz="0" w:space="0" w:color="auto"/>
            <w:left w:val="none" w:sz="0" w:space="0" w:color="auto"/>
            <w:bottom w:val="none" w:sz="0" w:space="0" w:color="auto"/>
            <w:right w:val="none" w:sz="0" w:space="0" w:color="auto"/>
          </w:divBdr>
        </w:div>
        <w:div w:id="705107351">
          <w:marLeft w:val="547"/>
          <w:marRight w:val="0"/>
          <w:marTop w:val="0"/>
          <w:marBottom w:val="0"/>
          <w:divBdr>
            <w:top w:val="none" w:sz="0" w:space="0" w:color="auto"/>
            <w:left w:val="none" w:sz="0" w:space="0" w:color="auto"/>
            <w:bottom w:val="none" w:sz="0" w:space="0" w:color="auto"/>
            <w:right w:val="none" w:sz="0" w:space="0" w:color="auto"/>
          </w:divBdr>
        </w:div>
        <w:div w:id="382799719">
          <w:marLeft w:val="547"/>
          <w:marRight w:val="0"/>
          <w:marTop w:val="0"/>
          <w:marBottom w:val="0"/>
          <w:divBdr>
            <w:top w:val="none" w:sz="0" w:space="0" w:color="auto"/>
            <w:left w:val="none" w:sz="0" w:space="0" w:color="auto"/>
            <w:bottom w:val="none" w:sz="0" w:space="0" w:color="auto"/>
            <w:right w:val="none" w:sz="0" w:space="0" w:color="auto"/>
          </w:divBdr>
        </w:div>
      </w:divsChild>
    </w:div>
    <w:div w:id="1997954390">
      <w:bodyDiv w:val="1"/>
      <w:marLeft w:val="0"/>
      <w:marRight w:val="0"/>
      <w:marTop w:val="0"/>
      <w:marBottom w:val="0"/>
      <w:divBdr>
        <w:top w:val="none" w:sz="0" w:space="0" w:color="auto"/>
        <w:left w:val="none" w:sz="0" w:space="0" w:color="auto"/>
        <w:bottom w:val="none" w:sz="0" w:space="0" w:color="auto"/>
        <w:right w:val="none" w:sz="0" w:space="0" w:color="auto"/>
      </w:divBdr>
    </w:div>
    <w:div w:id="2055687903">
      <w:bodyDiv w:val="1"/>
      <w:marLeft w:val="0"/>
      <w:marRight w:val="0"/>
      <w:marTop w:val="0"/>
      <w:marBottom w:val="0"/>
      <w:divBdr>
        <w:top w:val="none" w:sz="0" w:space="0" w:color="auto"/>
        <w:left w:val="none" w:sz="0" w:space="0" w:color="auto"/>
        <w:bottom w:val="none" w:sz="0" w:space="0" w:color="auto"/>
        <w:right w:val="none" w:sz="0" w:space="0" w:color="auto"/>
      </w:divBdr>
      <w:divsChild>
        <w:div w:id="8917887">
          <w:marLeft w:val="720"/>
          <w:marRight w:val="0"/>
          <w:marTop w:val="82"/>
          <w:marBottom w:val="0"/>
          <w:divBdr>
            <w:top w:val="none" w:sz="0" w:space="0" w:color="auto"/>
            <w:left w:val="none" w:sz="0" w:space="0" w:color="auto"/>
            <w:bottom w:val="none" w:sz="0" w:space="0" w:color="auto"/>
            <w:right w:val="none" w:sz="0" w:space="0" w:color="auto"/>
          </w:divBdr>
        </w:div>
        <w:div w:id="243144595">
          <w:marLeft w:val="1440"/>
          <w:marRight w:val="0"/>
          <w:marTop w:val="72"/>
          <w:marBottom w:val="0"/>
          <w:divBdr>
            <w:top w:val="none" w:sz="0" w:space="0" w:color="auto"/>
            <w:left w:val="none" w:sz="0" w:space="0" w:color="auto"/>
            <w:bottom w:val="none" w:sz="0" w:space="0" w:color="auto"/>
            <w:right w:val="none" w:sz="0" w:space="0" w:color="auto"/>
          </w:divBdr>
        </w:div>
        <w:div w:id="347296328">
          <w:marLeft w:val="1166"/>
          <w:marRight w:val="0"/>
          <w:marTop w:val="72"/>
          <w:marBottom w:val="0"/>
          <w:divBdr>
            <w:top w:val="none" w:sz="0" w:space="0" w:color="auto"/>
            <w:left w:val="none" w:sz="0" w:space="0" w:color="auto"/>
            <w:bottom w:val="none" w:sz="0" w:space="0" w:color="auto"/>
            <w:right w:val="none" w:sz="0" w:space="0" w:color="auto"/>
          </w:divBdr>
        </w:div>
        <w:div w:id="892622831">
          <w:marLeft w:val="1440"/>
          <w:marRight w:val="0"/>
          <w:marTop w:val="72"/>
          <w:marBottom w:val="0"/>
          <w:divBdr>
            <w:top w:val="none" w:sz="0" w:space="0" w:color="auto"/>
            <w:left w:val="none" w:sz="0" w:space="0" w:color="auto"/>
            <w:bottom w:val="none" w:sz="0" w:space="0" w:color="auto"/>
            <w:right w:val="none" w:sz="0" w:space="0" w:color="auto"/>
          </w:divBdr>
        </w:div>
        <w:div w:id="1312245821">
          <w:marLeft w:val="1166"/>
          <w:marRight w:val="0"/>
          <w:marTop w:val="72"/>
          <w:marBottom w:val="0"/>
          <w:divBdr>
            <w:top w:val="none" w:sz="0" w:space="0" w:color="auto"/>
            <w:left w:val="none" w:sz="0" w:space="0" w:color="auto"/>
            <w:bottom w:val="none" w:sz="0" w:space="0" w:color="auto"/>
            <w:right w:val="none" w:sz="0" w:space="0" w:color="auto"/>
          </w:divBdr>
        </w:div>
        <w:div w:id="1395278492">
          <w:marLeft w:val="720"/>
          <w:marRight w:val="0"/>
          <w:marTop w:val="82"/>
          <w:marBottom w:val="0"/>
          <w:divBdr>
            <w:top w:val="none" w:sz="0" w:space="0" w:color="auto"/>
            <w:left w:val="none" w:sz="0" w:space="0" w:color="auto"/>
            <w:bottom w:val="none" w:sz="0" w:space="0" w:color="auto"/>
            <w:right w:val="none" w:sz="0" w:space="0" w:color="auto"/>
          </w:divBdr>
        </w:div>
        <w:div w:id="1766029754">
          <w:marLeft w:val="1166"/>
          <w:marRight w:val="0"/>
          <w:marTop w:val="72"/>
          <w:marBottom w:val="0"/>
          <w:divBdr>
            <w:top w:val="none" w:sz="0" w:space="0" w:color="auto"/>
            <w:left w:val="none" w:sz="0" w:space="0" w:color="auto"/>
            <w:bottom w:val="none" w:sz="0" w:space="0" w:color="auto"/>
            <w:right w:val="none" w:sz="0" w:space="0" w:color="auto"/>
          </w:divBdr>
        </w:div>
        <w:div w:id="1803763151">
          <w:marLeft w:val="1440"/>
          <w:marRight w:val="0"/>
          <w:marTop w:val="72"/>
          <w:marBottom w:val="0"/>
          <w:divBdr>
            <w:top w:val="none" w:sz="0" w:space="0" w:color="auto"/>
            <w:left w:val="none" w:sz="0" w:space="0" w:color="auto"/>
            <w:bottom w:val="none" w:sz="0" w:space="0" w:color="auto"/>
            <w:right w:val="none" w:sz="0" w:space="0" w:color="auto"/>
          </w:divBdr>
        </w:div>
        <w:div w:id="1902861379">
          <w:marLeft w:val="1440"/>
          <w:marRight w:val="0"/>
          <w:marTop w:val="72"/>
          <w:marBottom w:val="0"/>
          <w:divBdr>
            <w:top w:val="none" w:sz="0" w:space="0" w:color="auto"/>
            <w:left w:val="none" w:sz="0" w:space="0" w:color="auto"/>
            <w:bottom w:val="none" w:sz="0" w:space="0" w:color="auto"/>
            <w:right w:val="none" w:sz="0" w:space="0" w:color="auto"/>
          </w:divBdr>
        </w:div>
        <w:div w:id="1908371056">
          <w:marLeft w:val="1440"/>
          <w:marRight w:val="0"/>
          <w:marTop w:val="72"/>
          <w:marBottom w:val="0"/>
          <w:divBdr>
            <w:top w:val="none" w:sz="0" w:space="0" w:color="auto"/>
            <w:left w:val="none" w:sz="0" w:space="0" w:color="auto"/>
            <w:bottom w:val="none" w:sz="0" w:space="0" w:color="auto"/>
            <w:right w:val="none" w:sz="0" w:space="0" w:color="auto"/>
          </w:divBdr>
        </w:div>
        <w:div w:id="1996369175">
          <w:marLeft w:val="720"/>
          <w:marRight w:val="0"/>
          <w:marTop w:val="82"/>
          <w:marBottom w:val="0"/>
          <w:divBdr>
            <w:top w:val="none" w:sz="0" w:space="0" w:color="auto"/>
            <w:left w:val="none" w:sz="0" w:space="0" w:color="auto"/>
            <w:bottom w:val="none" w:sz="0" w:space="0" w:color="auto"/>
            <w:right w:val="none" w:sz="0" w:space="0" w:color="auto"/>
          </w:divBdr>
        </w:div>
      </w:divsChild>
    </w:div>
    <w:div w:id="2060400045">
      <w:bodyDiv w:val="1"/>
      <w:marLeft w:val="0"/>
      <w:marRight w:val="0"/>
      <w:marTop w:val="0"/>
      <w:marBottom w:val="0"/>
      <w:divBdr>
        <w:top w:val="none" w:sz="0" w:space="0" w:color="auto"/>
        <w:left w:val="none" w:sz="0" w:space="0" w:color="auto"/>
        <w:bottom w:val="none" w:sz="0" w:space="0" w:color="auto"/>
        <w:right w:val="none" w:sz="0" w:space="0" w:color="auto"/>
      </w:divBdr>
      <w:divsChild>
        <w:div w:id="1056279">
          <w:marLeft w:val="720"/>
          <w:marRight w:val="0"/>
          <w:marTop w:val="82"/>
          <w:marBottom w:val="0"/>
          <w:divBdr>
            <w:top w:val="none" w:sz="0" w:space="0" w:color="auto"/>
            <w:left w:val="none" w:sz="0" w:space="0" w:color="auto"/>
            <w:bottom w:val="none" w:sz="0" w:space="0" w:color="auto"/>
            <w:right w:val="none" w:sz="0" w:space="0" w:color="auto"/>
          </w:divBdr>
        </w:div>
        <w:div w:id="676155852">
          <w:marLeft w:val="720"/>
          <w:marRight w:val="0"/>
          <w:marTop w:val="82"/>
          <w:marBottom w:val="0"/>
          <w:divBdr>
            <w:top w:val="none" w:sz="0" w:space="0" w:color="auto"/>
            <w:left w:val="none" w:sz="0" w:space="0" w:color="auto"/>
            <w:bottom w:val="none" w:sz="0" w:space="0" w:color="auto"/>
            <w:right w:val="none" w:sz="0" w:space="0" w:color="auto"/>
          </w:divBdr>
        </w:div>
        <w:div w:id="1230458567">
          <w:marLeft w:val="720"/>
          <w:marRight w:val="0"/>
          <w:marTop w:val="82"/>
          <w:marBottom w:val="0"/>
          <w:divBdr>
            <w:top w:val="none" w:sz="0" w:space="0" w:color="auto"/>
            <w:left w:val="none" w:sz="0" w:space="0" w:color="auto"/>
            <w:bottom w:val="none" w:sz="0" w:space="0" w:color="auto"/>
            <w:right w:val="none" w:sz="0" w:space="0" w:color="auto"/>
          </w:divBdr>
        </w:div>
        <w:div w:id="2021659997">
          <w:marLeft w:val="720"/>
          <w:marRight w:val="0"/>
          <w:marTop w:val="82"/>
          <w:marBottom w:val="0"/>
          <w:divBdr>
            <w:top w:val="none" w:sz="0" w:space="0" w:color="auto"/>
            <w:left w:val="none" w:sz="0" w:space="0" w:color="auto"/>
            <w:bottom w:val="none" w:sz="0" w:space="0" w:color="auto"/>
            <w:right w:val="none" w:sz="0" w:space="0" w:color="auto"/>
          </w:divBdr>
        </w:div>
      </w:divsChild>
    </w:div>
    <w:div w:id="2060979084">
      <w:bodyDiv w:val="1"/>
      <w:marLeft w:val="0"/>
      <w:marRight w:val="0"/>
      <w:marTop w:val="0"/>
      <w:marBottom w:val="0"/>
      <w:divBdr>
        <w:top w:val="none" w:sz="0" w:space="0" w:color="auto"/>
        <w:left w:val="none" w:sz="0" w:space="0" w:color="auto"/>
        <w:bottom w:val="none" w:sz="0" w:space="0" w:color="auto"/>
        <w:right w:val="none" w:sz="0" w:space="0" w:color="auto"/>
      </w:divBdr>
    </w:div>
    <w:div w:id="2061396930">
      <w:bodyDiv w:val="1"/>
      <w:marLeft w:val="0"/>
      <w:marRight w:val="0"/>
      <w:marTop w:val="0"/>
      <w:marBottom w:val="0"/>
      <w:divBdr>
        <w:top w:val="none" w:sz="0" w:space="0" w:color="auto"/>
        <w:left w:val="none" w:sz="0" w:space="0" w:color="auto"/>
        <w:bottom w:val="none" w:sz="0" w:space="0" w:color="auto"/>
        <w:right w:val="none" w:sz="0" w:space="0" w:color="auto"/>
      </w:divBdr>
      <w:divsChild>
        <w:div w:id="136263548">
          <w:marLeft w:val="403"/>
          <w:marRight w:val="0"/>
          <w:marTop w:val="86"/>
          <w:marBottom w:val="0"/>
          <w:divBdr>
            <w:top w:val="none" w:sz="0" w:space="0" w:color="auto"/>
            <w:left w:val="none" w:sz="0" w:space="0" w:color="auto"/>
            <w:bottom w:val="none" w:sz="0" w:space="0" w:color="auto"/>
            <w:right w:val="none" w:sz="0" w:space="0" w:color="auto"/>
          </w:divBdr>
        </w:div>
        <w:div w:id="1762683505">
          <w:marLeft w:val="403"/>
          <w:marRight w:val="0"/>
          <w:marTop w:val="86"/>
          <w:marBottom w:val="0"/>
          <w:divBdr>
            <w:top w:val="none" w:sz="0" w:space="0" w:color="auto"/>
            <w:left w:val="none" w:sz="0" w:space="0" w:color="auto"/>
            <w:bottom w:val="none" w:sz="0" w:space="0" w:color="auto"/>
            <w:right w:val="none" w:sz="0" w:space="0" w:color="auto"/>
          </w:divBdr>
        </w:div>
        <w:div w:id="1706101275">
          <w:marLeft w:val="403"/>
          <w:marRight w:val="0"/>
          <w:marTop w:val="86"/>
          <w:marBottom w:val="0"/>
          <w:divBdr>
            <w:top w:val="none" w:sz="0" w:space="0" w:color="auto"/>
            <w:left w:val="none" w:sz="0" w:space="0" w:color="auto"/>
            <w:bottom w:val="none" w:sz="0" w:space="0" w:color="auto"/>
            <w:right w:val="none" w:sz="0" w:space="0" w:color="auto"/>
          </w:divBdr>
        </w:div>
        <w:div w:id="739906905">
          <w:marLeft w:val="403"/>
          <w:marRight w:val="0"/>
          <w:marTop w:val="86"/>
          <w:marBottom w:val="0"/>
          <w:divBdr>
            <w:top w:val="none" w:sz="0" w:space="0" w:color="auto"/>
            <w:left w:val="none" w:sz="0" w:space="0" w:color="auto"/>
            <w:bottom w:val="none" w:sz="0" w:space="0" w:color="auto"/>
            <w:right w:val="none" w:sz="0" w:space="0" w:color="auto"/>
          </w:divBdr>
        </w:div>
      </w:divsChild>
    </w:div>
    <w:div w:id="2081369961">
      <w:bodyDiv w:val="1"/>
      <w:marLeft w:val="0"/>
      <w:marRight w:val="0"/>
      <w:marTop w:val="0"/>
      <w:marBottom w:val="0"/>
      <w:divBdr>
        <w:top w:val="none" w:sz="0" w:space="0" w:color="auto"/>
        <w:left w:val="none" w:sz="0" w:space="0" w:color="auto"/>
        <w:bottom w:val="none" w:sz="0" w:space="0" w:color="auto"/>
        <w:right w:val="none" w:sz="0" w:space="0" w:color="auto"/>
      </w:divBdr>
      <w:divsChild>
        <w:div w:id="1812865598">
          <w:marLeft w:val="547"/>
          <w:marRight w:val="0"/>
          <w:marTop w:val="0"/>
          <w:marBottom w:val="0"/>
          <w:divBdr>
            <w:top w:val="none" w:sz="0" w:space="0" w:color="auto"/>
            <w:left w:val="none" w:sz="0" w:space="0" w:color="auto"/>
            <w:bottom w:val="none" w:sz="0" w:space="0" w:color="auto"/>
            <w:right w:val="none" w:sz="0" w:space="0" w:color="auto"/>
          </w:divBdr>
        </w:div>
        <w:div w:id="1973317840">
          <w:marLeft w:val="547"/>
          <w:marRight w:val="0"/>
          <w:marTop w:val="0"/>
          <w:marBottom w:val="0"/>
          <w:divBdr>
            <w:top w:val="none" w:sz="0" w:space="0" w:color="auto"/>
            <w:left w:val="none" w:sz="0" w:space="0" w:color="auto"/>
            <w:bottom w:val="none" w:sz="0" w:space="0" w:color="auto"/>
            <w:right w:val="none" w:sz="0" w:space="0" w:color="auto"/>
          </w:divBdr>
        </w:div>
        <w:div w:id="608120607">
          <w:marLeft w:val="547"/>
          <w:marRight w:val="0"/>
          <w:marTop w:val="0"/>
          <w:marBottom w:val="0"/>
          <w:divBdr>
            <w:top w:val="none" w:sz="0" w:space="0" w:color="auto"/>
            <w:left w:val="none" w:sz="0" w:space="0" w:color="auto"/>
            <w:bottom w:val="none" w:sz="0" w:space="0" w:color="auto"/>
            <w:right w:val="none" w:sz="0" w:space="0" w:color="auto"/>
          </w:divBdr>
        </w:div>
        <w:div w:id="1962611602">
          <w:marLeft w:val="547"/>
          <w:marRight w:val="0"/>
          <w:marTop w:val="0"/>
          <w:marBottom w:val="0"/>
          <w:divBdr>
            <w:top w:val="none" w:sz="0" w:space="0" w:color="auto"/>
            <w:left w:val="none" w:sz="0" w:space="0" w:color="auto"/>
            <w:bottom w:val="none" w:sz="0" w:space="0" w:color="auto"/>
            <w:right w:val="none" w:sz="0" w:space="0" w:color="auto"/>
          </w:divBdr>
        </w:div>
        <w:div w:id="1076248351">
          <w:marLeft w:val="547"/>
          <w:marRight w:val="0"/>
          <w:marTop w:val="0"/>
          <w:marBottom w:val="0"/>
          <w:divBdr>
            <w:top w:val="none" w:sz="0" w:space="0" w:color="auto"/>
            <w:left w:val="none" w:sz="0" w:space="0" w:color="auto"/>
            <w:bottom w:val="none" w:sz="0" w:space="0" w:color="auto"/>
            <w:right w:val="none" w:sz="0" w:space="0" w:color="auto"/>
          </w:divBdr>
        </w:div>
        <w:div w:id="290550897">
          <w:marLeft w:val="547"/>
          <w:marRight w:val="0"/>
          <w:marTop w:val="0"/>
          <w:marBottom w:val="0"/>
          <w:divBdr>
            <w:top w:val="none" w:sz="0" w:space="0" w:color="auto"/>
            <w:left w:val="none" w:sz="0" w:space="0" w:color="auto"/>
            <w:bottom w:val="none" w:sz="0" w:space="0" w:color="auto"/>
            <w:right w:val="none" w:sz="0" w:space="0" w:color="auto"/>
          </w:divBdr>
        </w:div>
        <w:div w:id="1360857318">
          <w:marLeft w:val="547"/>
          <w:marRight w:val="0"/>
          <w:marTop w:val="0"/>
          <w:marBottom w:val="0"/>
          <w:divBdr>
            <w:top w:val="none" w:sz="0" w:space="0" w:color="auto"/>
            <w:left w:val="none" w:sz="0" w:space="0" w:color="auto"/>
            <w:bottom w:val="none" w:sz="0" w:space="0" w:color="auto"/>
            <w:right w:val="none" w:sz="0" w:space="0" w:color="auto"/>
          </w:divBdr>
        </w:div>
      </w:divsChild>
    </w:div>
    <w:div w:id="20878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233A-DFFE-4D34-9FD8-C8F10E63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25248</Words>
  <Characters>143916</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168827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cp:lastPrinted>2018-10-24T13:09:00Z</cp:lastPrinted>
  <dcterms:created xsi:type="dcterms:W3CDTF">2022-11-21T08:33:00Z</dcterms:created>
  <dcterms:modified xsi:type="dcterms:W3CDTF">2022-11-21T08:33:00Z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c0aa6020c75ab9e8493ff97de29ca9c9885088397518a8ef161bc0eedb1b0898</vt:lpwstr>
  </property>
</Properties>
</file>