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7" w:rsidRDefault="00820FA2">
      <w:pPr>
        <w:spacing w:before="2" w:line="271" w:lineRule="exact"/>
        <w:jc w:val="righ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COMMENTS AND PROPOSED AMENDMENTS TO THE 2021 UPSTREAM PETROLEUM RESOURCES DEVELOPMENT</w:t>
      </w:r>
    </w:p>
    <w:p w:rsidR="00EE69C7" w:rsidRDefault="00820FA2">
      <w:pPr>
        <w:spacing w:line="272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BILL</w:t>
      </w:r>
      <w:r w:rsidR="00D852FC">
        <w:rPr>
          <w:rFonts w:ascii="Arial" w:eastAsia="Arial" w:hAnsi="Arial"/>
          <w:b/>
          <w:color w:val="000000"/>
          <w:spacing w:val="-3"/>
          <w:sz w:val="24"/>
        </w:rPr>
        <w:t xml:space="preserve"> – for HDSA CARRIED PARTICIPATION</w:t>
      </w:r>
    </w:p>
    <w:p w:rsidR="00EE69C7" w:rsidRDefault="002D5A12">
      <w:pPr>
        <w:spacing w:before="19" w:line="229" w:lineRule="exact"/>
        <w:textAlignment w:val="baseline"/>
        <w:rPr>
          <w:rFonts w:ascii="Arial" w:eastAsia="Arial" w:hAnsi="Arial"/>
          <w:color w:val="000000"/>
          <w:spacing w:val="-5"/>
          <w:sz w:val="21"/>
        </w:rPr>
      </w:pPr>
      <w:r>
        <w:rPr>
          <w:rFonts w:ascii="Arial" w:eastAsia="Arial" w:hAnsi="Arial"/>
          <w:color w:val="000000"/>
          <w:spacing w:val="-5"/>
          <w:sz w:val="21"/>
        </w:rPr>
        <w:t>13 July 2022</w:t>
      </w:r>
    </w:p>
    <w:tbl>
      <w:tblPr>
        <w:tblW w:w="14012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3412"/>
        <w:gridCol w:w="3543"/>
        <w:gridCol w:w="3119"/>
        <w:gridCol w:w="2983"/>
      </w:tblGrid>
      <w:tr w:rsidR="0076336C" w:rsidTr="004E3A6F">
        <w:trPr>
          <w:trHeight w:hRule="exact" w:val="791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6336C" w:rsidRDefault="0076336C">
            <w:pPr>
              <w:spacing w:before="246" w:after="2" w:line="236" w:lineRule="exact"/>
              <w:ind w:left="135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Section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6336C" w:rsidRDefault="0076336C">
            <w:pPr>
              <w:spacing w:before="246" w:after="2" w:line="236" w:lineRule="exact"/>
              <w:ind w:left="106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Provision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6336C" w:rsidRPr="00FA4339" w:rsidRDefault="0076336C" w:rsidP="00FA4339">
            <w:pPr>
              <w:spacing w:before="246" w:after="2" w:line="236" w:lineRule="exact"/>
              <w:ind w:right="3606"/>
              <w:jc w:val="center"/>
              <w:textAlignment w:val="baseline"/>
              <w:rPr>
                <w:rFonts w:ascii="Arial" w:eastAsia="Arial" w:hAnsi="Arial"/>
                <w:b/>
                <w:color w:val="FFFFFF" w:themeColor="background1"/>
                <w:sz w:val="21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6336C" w:rsidRDefault="004E3A6F" w:rsidP="004E3A6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Comment</w:t>
            </w:r>
          </w:p>
        </w:tc>
        <w:tc>
          <w:tcPr>
            <w:tcW w:w="2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6336C" w:rsidRDefault="004E3A6F" w:rsidP="004E3A6F">
            <w:pPr>
              <w:pStyle w:val="Heading1"/>
              <w:rPr>
                <w:color w:val="000000"/>
                <w:sz w:val="24"/>
              </w:rPr>
            </w:pPr>
            <w:r>
              <w:t>Proposed wording</w:t>
            </w:r>
          </w:p>
        </w:tc>
      </w:tr>
      <w:tr w:rsidR="0076336C" w:rsidTr="004E3A6F">
        <w:trPr>
          <w:trHeight w:hRule="exact" w:val="432"/>
        </w:trPr>
        <w:tc>
          <w:tcPr>
            <w:tcW w:w="9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6336C" w:rsidRDefault="0076336C">
            <w:pPr>
              <w:spacing w:before="223" w:after="3031" w:line="235" w:lineRule="exact"/>
              <w:ind w:left="13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1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6336C" w:rsidRDefault="0076336C">
            <w:pPr>
              <w:spacing w:before="221" w:line="200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Definitions</w:t>
            </w: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6336C" w:rsidRDefault="00B301A4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217" w:after="467" w:line="235" w:lineRule="exact"/>
              <w:ind w:left="432" w:right="108" w:hanging="28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Only the State benefits from State Participation.</w:t>
            </w:r>
          </w:p>
          <w:p w:rsidR="00B301A4" w:rsidRDefault="003A1833" w:rsidP="000436D1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217" w:after="467"/>
              <w:ind w:left="432" w:right="108" w:hanging="28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The carrying holder bears the cost of State Participation.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Pr="00F3109E" w:rsidRDefault="00F3109E" w:rsidP="00F3109E">
            <w:pPr>
              <w:spacing w:before="238" w:after="1879" w:line="235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i/>
                <w:color w:val="000000"/>
                <w:sz w:val="21"/>
              </w:rPr>
            </w:pPr>
            <w:r w:rsidRPr="00F3109E">
              <w:rPr>
                <w:rFonts w:ascii="Arial" w:eastAsia="Arial" w:hAnsi="Arial"/>
                <w:b/>
                <w:i/>
                <w:color w:val="000000"/>
                <w:sz w:val="21"/>
              </w:rPr>
              <w:t xml:space="preserve"> </w:t>
            </w:r>
          </w:p>
        </w:tc>
        <w:tc>
          <w:tcPr>
            <w:tcW w:w="29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Pr="00860EB7" w:rsidRDefault="00860EB7" w:rsidP="00860EB7">
            <w:pPr>
              <w:spacing w:before="238" w:after="1879" w:line="235" w:lineRule="exact"/>
              <w:ind w:left="108" w:right="108"/>
              <w:jc w:val="both"/>
              <w:textAlignment w:val="baseline"/>
              <w:rPr>
                <w:rFonts w:ascii="Arial" w:eastAsia="Arial" w:hAnsi="Arial"/>
                <w:bCs/>
                <w:iCs/>
                <w:color w:val="000000"/>
                <w:sz w:val="24"/>
              </w:rPr>
            </w:pPr>
            <w:r w:rsidRPr="00860EB7">
              <w:rPr>
                <w:rFonts w:ascii="Arial" w:eastAsia="Arial" w:hAnsi="Arial"/>
                <w:b/>
                <w:i/>
                <w:color w:val="000000"/>
                <w:sz w:val="21"/>
              </w:rPr>
              <w:t>Carried interest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means </w:t>
            </w:r>
            <w:r w:rsidR="000E2FF1" w:rsidRPr="006B38BC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up to</w:t>
            </w:r>
            <w:r w:rsidR="000E2FF1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</w:t>
            </w:r>
            <w:r w:rsidR="00727BE5" w:rsidRPr="00727BE5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15 per cent</w:t>
            </w:r>
            <w:r w:rsidR="00727BE5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</w:rPr>
              <w:t>State participation</w:t>
            </w:r>
            <w:r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</w:t>
            </w:r>
            <w:r w:rsidR="0008000C">
              <w:rPr>
                <w:rFonts w:ascii="Arial" w:eastAsia="Arial" w:hAnsi="Arial"/>
                <w:bCs/>
                <w:iCs/>
                <w:color w:val="000000"/>
                <w:sz w:val="21"/>
              </w:rPr>
              <w:t>and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 xml:space="preserve"> </w:t>
            </w:r>
            <w:r w:rsidR="006B38BC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up to</w:t>
            </w:r>
            <w:r w:rsidR="00727BE5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 xml:space="preserve"> 5 per cent </w:t>
            </w:r>
            <w:r w:rsidR="00CF5160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to black persons</w:t>
            </w:r>
            <w:r w:rsidR="00B329A8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 xml:space="preserve"> 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</w:rPr>
              <w:t>through an interest in a petroleum right as contemplated in section 34</w:t>
            </w:r>
            <w:r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and section 31 respectively</w:t>
            </w:r>
            <w:r w:rsidR="00D15793">
              <w:rPr>
                <w:rFonts w:ascii="Arial" w:eastAsia="Arial" w:hAnsi="Arial"/>
                <w:bCs/>
                <w:iCs/>
                <w:color w:val="000000"/>
                <w:sz w:val="21"/>
              </w:rPr>
              <w:t>.</w:t>
            </w:r>
            <w:r w:rsidR="00DB19A8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The carried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interest vests exclusively for the benefit of </w:t>
            </w:r>
            <w:r w:rsidRPr="00CF5160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the</w:t>
            </w:r>
            <w:r w:rsidR="00DB19A8" w:rsidRPr="00CF5160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se</w:t>
            </w:r>
            <w:r w:rsidRPr="00CF5160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 xml:space="preserve"> </w:t>
            </w:r>
            <w:r w:rsidRPr="00B329A8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carried partic</w:t>
            </w:r>
            <w:r w:rsidR="00195213" w:rsidRPr="00B329A8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ipant</w:t>
            </w:r>
            <w:r w:rsidR="00B329A8" w:rsidRPr="00B329A8">
              <w:rPr>
                <w:rFonts w:ascii="Arial" w:eastAsia="Arial" w:hAnsi="Arial"/>
                <w:bCs/>
                <w:iCs/>
                <w:color w:val="000000"/>
                <w:sz w:val="21"/>
                <w:u w:val="single"/>
              </w:rPr>
              <w:t>s</w:t>
            </w:r>
            <w:r w:rsidRPr="00860EB7"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 and the costs of which are borne by the carrying holder of a petroleum right.</w:t>
            </w:r>
          </w:p>
        </w:tc>
      </w:tr>
      <w:tr w:rsidR="0076336C" w:rsidTr="00B329A8">
        <w:trPr>
          <w:trHeight w:hRule="exact" w:val="3387"/>
        </w:trPr>
        <w:tc>
          <w:tcPr>
            <w:tcW w:w="9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336C" w:rsidRDefault="0076336C"/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336C" w:rsidRDefault="0076336C">
            <w:pPr>
              <w:spacing w:before="238" w:after="1879" w:line="235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i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1"/>
              </w:rPr>
              <w:t xml:space="preserve">Carried interest </w:t>
            </w:r>
            <w:r>
              <w:rPr>
                <w:rFonts w:ascii="Arial" w:eastAsia="Arial" w:hAnsi="Arial"/>
                <w:color w:val="000000"/>
                <w:sz w:val="21"/>
              </w:rPr>
              <w:t>means State participation through an interest in a petroleum right as contemplated in section 34, which interest vests exclusively for the benefit of the State and the costs of which are borne by the carrying holder of a petroleum right.</w:t>
            </w:r>
          </w:p>
        </w:tc>
        <w:tc>
          <w:tcPr>
            <w:tcW w:w="3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336C" w:rsidRDefault="0076336C"/>
        </w:tc>
        <w:tc>
          <w:tcPr>
            <w:tcW w:w="311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Default="008625C0" w:rsidP="00D62094">
            <w:pPr>
              <w:pStyle w:val="BlockText"/>
            </w:pPr>
            <w:r>
              <w:t xml:space="preserve">The current definition does not make provision for a carried interest allocated to </w:t>
            </w:r>
            <w:r w:rsidR="00AE4310">
              <w:t>black persons</w:t>
            </w:r>
            <w:r w:rsidR="00D62094">
              <w:t xml:space="preserve">. It is proposed that </w:t>
            </w:r>
            <w:r w:rsidR="003F50C0">
              <w:t xml:space="preserve">furthermore that allocation is for a minimum </w:t>
            </w:r>
            <w:r w:rsidR="00F03980">
              <w:t xml:space="preserve">state </w:t>
            </w:r>
            <w:r w:rsidR="003F50C0">
              <w:t xml:space="preserve">participation </w:t>
            </w:r>
            <w:r w:rsidR="00F03980">
              <w:t xml:space="preserve">in the </w:t>
            </w:r>
            <w:r w:rsidR="00EA38DD">
              <w:t>legislation that</w:t>
            </w:r>
            <w:r w:rsidR="0097256B">
              <w:t xml:space="preserve"> </w:t>
            </w:r>
            <w:r w:rsidR="00F03980">
              <w:t>can be revised by way of the regulation.</w:t>
            </w:r>
          </w:p>
          <w:p w:rsidR="00D62094" w:rsidRPr="008625C0" w:rsidRDefault="00D62094" w:rsidP="00F3109E">
            <w:pPr>
              <w:spacing w:before="238" w:after="1879" w:line="235" w:lineRule="exact"/>
              <w:ind w:left="108" w:right="108"/>
              <w:jc w:val="both"/>
              <w:textAlignment w:val="baseline"/>
              <w:rPr>
                <w:rFonts w:ascii="Arial" w:eastAsia="Arial" w:hAnsi="Arial"/>
                <w:bCs/>
                <w:iCs/>
                <w:color w:val="000000"/>
                <w:sz w:val="21"/>
              </w:rPr>
            </w:pPr>
          </w:p>
        </w:tc>
        <w:tc>
          <w:tcPr>
            <w:tcW w:w="29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Default="0076336C"/>
        </w:tc>
      </w:tr>
      <w:tr w:rsidR="0076336C" w:rsidTr="004E3A6F">
        <w:trPr>
          <w:trHeight w:hRule="exact" w:val="452"/>
        </w:trPr>
        <w:tc>
          <w:tcPr>
            <w:tcW w:w="9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6336C" w:rsidRDefault="0076336C">
            <w:pPr>
              <w:spacing w:before="243" w:after="2330" w:line="235" w:lineRule="exact"/>
              <w:ind w:left="13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1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6336C" w:rsidRDefault="0076336C">
            <w:pPr>
              <w:spacing w:before="241" w:line="205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Definitions</w:t>
            </w: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6336C" w:rsidRDefault="00371D2B">
            <w:pPr>
              <w:spacing w:before="253" w:after="470" w:line="22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The </w:t>
            </w:r>
            <w:r w:rsidR="00A05E44">
              <w:rPr>
                <w:rFonts w:ascii="Arial" w:eastAsia="Arial" w:hAnsi="Arial"/>
                <w:color w:val="000000"/>
                <w:spacing w:val="-6"/>
                <w:sz w:val="21"/>
              </w:rPr>
              <w:t>petroleum rights holders</w:t>
            </w: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, excluding </w:t>
            </w:r>
            <w:r w:rsidR="00A05E44">
              <w:rPr>
                <w:rFonts w:ascii="Arial" w:eastAsia="Arial" w:hAnsi="Arial"/>
                <w:color w:val="000000"/>
                <w:spacing w:val="-6"/>
                <w:sz w:val="21"/>
              </w:rPr>
              <w:t>black persons (</w:t>
            </w: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>the HDSA participants)</w:t>
            </w:r>
            <w:r w:rsidR="00941B68"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 bear the cost of the carried interest.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Pr="00985E66" w:rsidRDefault="0076336C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Pr="00985E66" w:rsidRDefault="0076336C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85E6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985E66" w:rsidRPr="00985E66">
              <w:rPr>
                <w:rFonts w:ascii="Arial" w:eastAsia="Arial" w:hAnsi="Arial"/>
                <w:bCs/>
                <w:iCs/>
                <w:color w:val="000000"/>
                <w:sz w:val="21"/>
              </w:rPr>
              <w:t>No change required</w:t>
            </w:r>
          </w:p>
        </w:tc>
      </w:tr>
      <w:tr w:rsidR="0076336C" w:rsidTr="004E3A6F">
        <w:trPr>
          <w:trHeight w:hRule="exact" w:val="465"/>
        </w:trPr>
        <w:tc>
          <w:tcPr>
            <w:tcW w:w="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6336C" w:rsidRDefault="0076336C"/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6336C" w:rsidRDefault="0076336C">
            <w:pPr>
              <w:spacing w:before="230" w:line="22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‘carrying holder’ </w:t>
            </w:r>
            <w:r>
              <w:rPr>
                <w:rFonts w:ascii="Arial" w:eastAsia="Arial" w:hAnsi="Arial"/>
                <w:color w:val="000000"/>
                <w:spacing w:val="-4"/>
                <w:sz w:val="21"/>
              </w:rPr>
              <w:t>means any other holder of an undivided participation</w:t>
            </w:r>
          </w:p>
        </w:tc>
        <w:tc>
          <w:tcPr>
            <w:tcW w:w="3543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76336C" w:rsidRDefault="0076336C"/>
        </w:tc>
        <w:tc>
          <w:tcPr>
            <w:tcW w:w="3119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Default="0076336C"/>
        </w:tc>
        <w:tc>
          <w:tcPr>
            <w:tcW w:w="298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Default="0076336C"/>
        </w:tc>
      </w:tr>
      <w:tr w:rsidR="0076336C" w:rsidTr="004E3A6F">
        <w:trPr>
          <w:trHeight w:hRule="exact" w:val="1901"/>
        </w:trPr>
        <w:tc>
          <w:tcPr>
            <w:tcW w:w="9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336C" w:rsidRDefault="0076336C"/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336C" w:rsidRDefault="0076336C">
            <w:pPr>
              <w:spacing w:before="32" w:after="1624" w:line="235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5"/>
                <w:sz w:val="21"/>
              </w:rPr>
            </w:pPr>
            <w:r>
              <w:rPr>
                <w:rFonts w:ascii="Arial" w:eastAsia="Arial" w:hAnsi="Arial"/>
                <w:color w:val="000000"/>
                <w:spacing w:val="-5"/>
                <w:sz w:val="21"/>
              </w:rPr>
              <w:t>interest in a petroleum right, except black persons as defined in this Act;</w:t>
            </w:r>
          </w:p>
        </w:tc>
        <w:tc>
          <w:tcPr>
            <w:tcW w:w="3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336C" w:rsidRDefault="0076336C"/>
        </w:tc>
        <w:tc>
          <w:tcPr>
            <w:tcW w:w="311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Pr="00D616D0" w:rsidRDefault="00D616D0">
            <w:pPr>
              <w:rPr>
                <w:rFonts w:asciiTheme="minorHAnsi" w:hAnsiTheme="minorHAnsi" w:cstheme="minorHAnsi"/>
              </w:rPr>
            </w:pPr>
            <w:r>
              <w:rPr>
                <w:rFonts w:ascii="Arial" w:eastAsia="Arial" w:hAnsi="Arial"/>
                <w:bCs/>
                <w:iCs/>
                <w:color w:val="000000"/>
                <w:sz w:val="21"/>
              </w:rPr>
              <w:t xml:space="preserve">The current definition specifically excludes HDSA participants (black persons) from bearing the cost of </w:t>
            </w:r>
            <w:r w:rsidR="00985E66">
              <w:rPr>
                <w:rFonts w:ascii="Arial" w:eastAsia="Arial" w:hAnsi="Arial"/>
                <w:bCs/>
                <w:iCs/>
                <w:color w:val="000000"/>
                <w:sz w:val="21"/>
              </w:rPr>
              <w:t>the Carried interest in respect of State Participation</w:t>
            </w:r>
          </w:p>
        </w:tc>
        <w:tc>
          <w:tcPr>
            <w:tcW w:w="29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6336C" w:rsidRDefault="0076336C"/>
        </w:tc>
      </w:tr>
    </w:tbl>
    <w:p w:rsidR="00EE69C7" w:rsidRDefault="00EE69C7">
      <w:pPr>
        <w:spacing w:after="616" w:line="20" w:lineRule="exact"/>
      </w:pPr>
    </w:p>
    <w:p w:rsidR="00EE69C7" w:rsidRDefault="00820FA2">
      <w:pPr>
        <w:tabs>
          <w:tab w:val="left" w:pos="6840"/>
        </w:tabs>
        <w:spacing w:line="194" w:lineRule="exact"/>
        <w:textAlignment w:val="baseline"/>
        <w:rPr>
          <w:rFonts w:ascii="Arial" w:eastAsia="Arial" w:hAnsi="Arial"/>
          <w:color w:val="000000"/>
          <w:sz w:val="10"/>
        </w:rPr>
      </w:pPr>
      <w:r>
        <w:rPr>
          <w:rFonts w:ascii="Arial" w:eastAsia="Arial" w:hAnsi="Arial"/>
          <w:color w:val="000000"/>
          <w:sz w:val="10"/>
        </w:rPr>
        <w:tab/>
      </w:r>
    </w:p>
    <w:p w:rsidR="00EE69C7" w:rsidRDefault="00EE69C7">
      <w:pPr>
        <w:sectPr w:rsidR="00EE69C7">
          <w:pgSz w:w="16834" w:h="11904" w:orient="landscape"/>
          <w:pgMar w:top="1220" w:right="1647" w:bottom="182" w:left="1387" w:header="720" w:footer="720" w:gutter="0"/>
          <w:cols w:space="720"/>
        </w:sectPr>
      </w:pPr>
    </w:p>
    <w:tbl>
      <w:tblPr>
        <w:tblW w:w="14006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3412"/>
        <w:gridCol w:w="2835"/>
        <w:gridCol w:w="3118"/>
        <w:gridCol w:w="3686"/>
      </w:tblGrid>
      <w:tr w:rsidR="007B2CCE" w:rsidTr="00A61B94">
        <w:trPr>
          <w:trHeight w:hRule="exact" w:val="490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B2CCE" w:rsidRDefault="007B2CCE" w:rsidP="00BA11D1">
            <w:pPr>
              <w:spacing w:before="246" w:after="2" w:line="236" w:lineRule="exact"/>
              <w:ind w:left="135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lastRenderedPageBreak/>
              <w:t>Section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B2CCE" w:rsidRDefault="007B2CCE" w:rsidP="00BA11D1">
            <w:pPr>
              <w:spacing w:before="246" w:after="2" w:line="236" w:lineRule="exact"/>
              <w:ind w:left="106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Provision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B2CCE" w:rsidRDefault="007B2CCE" w:rsidP="00BA11D1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B2CCE" w:rsidRDefault="007B2CCE" w:rsidP="005F7BDE">
            <w:pPr>
              <w:spacing w:before="246" w:after="2" w:line="236" w:lineRule="exact"/>
              <w:ind w:right="3606"/>
              <w:jc w:val="center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B2CCE" w:rsidRDefault="007B2CCE" w:rsidP="00BA11D1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</w:tr>
      <w:tr w:rsidR="000D4B50" w:rsidRPr="00F96CAF" w:rsidTr="00A61B94">
        <w:trPr>
          <w:trHeight w:hRule="exact" w:val="9731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>
              <w:rPr>
                <w:rFonts w:ascii="Arial" w:eastAsia="Arial" w:hAnsi="Arial"/>
                <w:bCs/>
                <w:color w:val="000000" w:themeColor="text1"/>
                <w:sz w:val="21"/>
              </w:rPr>
              <w:t xml:space="preserve">  31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  <w:r>
              <w:rPr>
                <w:rFonts w:ascii="Arial" w:eastAsia="Arial" w:hAnsi="Arial"/>
                <w:bCs/>
                <w:color w:val="000000" w:themeColor="text1"/>
                <w:sz w:val="21"/>
              </w:rPr>
              <w:t xml:space="preserve"> </w:t>
            </w:r>
            <w:r>
              <w:rPr>
                <w:rFonts w:ascii="Arial" w:eastAsia="Arial" w:hAnsi="Arial"/>
                <w:b/>
                <w:color w:val="000000" w:themeColor="text1"/>
                <w:sz w:val="21"/>
              </w:rPr>
              <w:t xml:space="preserve">Participation of black persons in petroleum rights </w:t>
            </w:r>
          </w:p>
          <w:p w:rsidR="000D4B50" w:rsidRDefault="000D4B50" w:rsidP="000D4B50">
            <w:pPr>
              <w:pStyle w:val="ListParagraph"/>
              <w:numPr>
                <w:ilvl w:val="0"/>
                <w:numId w:val="170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BB374E">
              <w:rPr>
                <w:rFonts w:ascii="Arial" w:eastAsia="Arial" w:hAnsi="Arial"/>
                <w:color w:val="000000"/>
                <w:sz w:val="21"/>
              </w:rPr>
              <w:t>Every petroleum right must have a minimum of 10 per cent undivided participating interest by black persons.</w:t>
            </w:r>
          </w:p>
          <w:p w:rsidR="000D4B50" w:rsidRPr="00A16317" w:rsidRDefault="000D4B50" w:rsidP="000D4B50">
            <w:pPr>
              <w:pStyle w:val="ListParagraph"/>
              <w:numPr>
                <w:ilvl w:val="0"/>
                <w:numId w:val="170"/>
              </w:numPr>
              <w:rPr>
                <w:rFonts w:ascii="Arial" w:eastAsia="Arial" w:hAnsi="Arial"/>
                <w:color w:val="000000"/>
                <w:sz w:val="21"/>
              </w:rPr>
            </w:pPr>
            <w:r w:rsidRPr="00A16317">
              <w:rPr>
                <w:rFonts w:ascii="Arial" w:eastAsia="Arial" w:hAnsi="Arial"/>
                <w:color w:val="000000"/>
                <w:sz w:val="21"/>
              </w:rPr>
              <w:t>The black persons’ undivided participation interest in a petroleum right contemplated in subsection (1) may be diluted to no less than five per cent to any funder or company, regardless of the ownership structure of such a funder or company, for purposes of raising capital subject to section 29.</w:t>
            </w:r>
          </w:p>
          <w:p w:rsidR="000D4B50" w:rsidRPr="00886FD7" w:rsidRDefault="000D4B50" w:rsidP="000D4B50">
            <w:pPr>
              <w:pStyle w:val="ListParagraph"/>
              <w:numPr>
                <w:ilvl w:val="0"/>
                <w:numId w:val="170"/>
              </w:numPr>
              <w:rPr>
                <w:rFonts w:ascii="Arial" w:eastAsia="Arial" w:hAnsi="Arial"/>
                <w:color w:val="000000"/>
                <w:sz w:val="21"/>
              </w:rPr>
            </w:pPr>
            <w:r w:rsidRPr="00886FD7">
              <w:rPr>
                <w:rFonts w:ascii="Arial" w:eastAsia="Arial" w:hAnsi="Arial"/>
                <w:color w:val="000000"/>
                <w:sz w:val="21"/>
              </w:rPr>
              <w:t>The dilution of black persons’ participation contemplated in subsection (2) will not trigger a requirement for the holder of the petroleum right to augment black persons’ participation interest to 10 per cent.</w:t>
            </w:r>
          </w:p>
          <w:p w:rsidR="000D4B50" w:rsidRDefault="000D4B50" w:rsidP="000D4B50">
            <w:pPr>
              <w:pStyle w:val="ListParagraph"/>
              <w:numPr>
                <w:ilvl w:val="0"/>
                <w:numId w:val="170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EB1A1D">
              <w:rPr>
                <w:rFonts w:ascii="Arial" w:eastAsia="Arial" w:hAnsi="Arial"/>
                <w:color w:val="000000"/>
                <w:sz w:val="21"/>
              </w:rPr>
              <w:t>The holder or an applicant for a petroleum right who is not able to comply with the required black persons’ participation interest requirement contemplated in subsection (1) must lodge a request for extension to comply within a period to be determined by the Petroleum Agency.</w:t>
            </w:r>
          </w:p>
          <w:p w:rsidR="000D4B50" w:rsidRPr="007B68F4" w:rsidRDefault="000D4B50" w:rsidP="000D4B50">
            <w:pPr>
              <w:spacing w:before="252" w:after="16" w:line="24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</w:p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</w:p>
          <w:p w:rsidR="000D4B50" w:rsidRPr="00C73765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  <w:r>
              <w:rPr>
                <w:rFonts w:ascii="Arial" w:eastAsia="Arial" w:hAnsi="Arial"/>
                <w:bCs/>
                <w:color w:val="000000" w:themeColor="text1"/>
                <w:sz w:val="21"/>
              </w:rPr>
              <w:t xml:space="preserve"> </w:t>
            </w:r>
          </w:p>
          <w:p w:rsidR="000D4B50" w:rsidRPr="00BD35A7" w:rsidRDefault="000D4B50" w:rsidP="000D4B50">
            <w:pPr>
              <w:pStyle w:val="ListParagraph"/>
              <w:numPr>
                <w:ilvl w:val="0"/>
                <w:numId w:val="174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Black persons have a minimum 10% participation</w:t>
            </w:r>
            <w:r w:rsidR="00DE667C">
              <w:rPr>
                <w:rFonts w:ascii="Arial" w:eastAsia="Arial" w:hAnsi="Arial"/>
                <w:color w:val="000000"/>
                <w:sz w:val="21"/>
              </w:rPr>
              <w:t xml:space="preserve"> in a petroleum right</w:t>
            </w:r>
            <w:r w:rsidRPr="00BD35A7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Pr="00A16317" w:rsidRDefault="000D4B50" w:rsidP="000D4B50">
            <w:pPr>
              <w:pStyle w:val="ListParagraph"/>
              <w:numPr>
                <w:ilvl w:val="0"/>
                <w:numId w:val="174"/>
              </w:numPr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Black persons can dilute their participation by 49%</w:t>
            </w:r>
            <w:r w:rsidRPr="00A16317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Default="005E79F9" w:rsidP="000D4B50">
            <w:pPr>
              <w:pStyle w:val="ListParagraph"/>
              <w:numPr>
                <w:ilvl w:val="0"/>
                <w:numId w:val="174"/>
              </w:numPr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There is no obligation</w:t>
            </w:r>
            <w:r w:rsidR="000D4B50">
              <w:rPr>
                <w:rFonts w:ascii="Arial" w:eastAsia="Arial" w:hAnsi="Arial"/>
                <w:color w:val="000000"/>
                <w:sz w:val="21"/>
              </w:rPr>
              <w:t xml:space="preserve"> upon the other petroleum rights holders to restore the participation</w:t>
            </w:r>
            <w:r w:rsidR="00073B32">
              <w:rPr>
                <w:rFonts w:ascii="Arial" w:eastAsia="Arial" w:hAnsi="Arial"/>
                <w:color w:val="000000"/>
                <w:sz w:val="21"/>
              </w:rPr>
              <w:t xml:space="preserve"> by black persons</w:t>
            </w:r>
            <w:r w:rsidR="000D4B50">
              <w:rPr>
                <w:rFonts w:ascii="Arial" w:eastAsia="Arial" w:hAnsi="Arial"/>
                <w:color w:val="000000"/>
                <w:sz w:val="21"/>
              </w:rPr>
              <w:t xml:space="preserve"> back to 10%</w:t>
            </w:r>
            <w:r w:rsidR="000D4B50" w:rsidRPr="00886FD7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Pr="00886FD7" w:rsidRDefault="000D4B50" w:rsidP="000D4B50">
            <w:pPr>
              <w:pStyle w:val="ListParagraph"/>
              <w:numPr>
                <w:ilvl w:val="0"/>
                <w:numId w:val="174"/>
              </w:numPr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An extension up to 4 years can be granted by PASA for applications in respect of petroleum rights where the petroleum rights holders are unable to meet the requirement for participation</w:t>
            </w:r>
            <w:r w:rsidR="00073B32">
              <w:rPr>
                <w:rFonts w:ascii="Arial" w:eastAsia="Arial" w:hAnsi="Arial"/>
                <w:color w:val="000000"/>
                <w:sz w:val="21"/>
              </w:rPr>
              <w:t xml:space="preserve"> by black persons</w:t>
            </w:r>
            <w:r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Default="000D4B50" w:rsidP="000D4B50">
            <w:pPr>
              <w:pStyle w:val="ListParagraph"/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EB1A1D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Pr="007B68F4" w:rsidRDefault="000D4B50" w:rsidP="000D4B50">
            <w:pPr>
              <w:spacing w:before="252" w:after="16" w:line="24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</w:p>
          <w:p w:rsidR="000D4B5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/>
                <w:color w:val="000000" w:themeColor="text1"/>
                <w:sz w:val="21"/>
              </w:rPr>
            </w:pPr>
          </w:p>
          <w:p w:rsidR="000D4B50" w:rsidRPr="00C73765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6C18E4" w:rsidRDefault="000D4B50" w:rsidP="000D4B50">
            <w:pPr>
              <w:spacing w:before="246" w:after="2" w:line="236" w:lineRule="exact"/>
              <w:ind w:right="3606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Default="000D4B50" w:rsidP="00343E1F">
            <w:pPr>
              <w:pStyle w:val="BodyText3"/>
            </w:pPr>
            <w:r>
              <w:t xml:space="preserve">The current section 31 does not make provision for carried participation in terms of </w:t>
            </w:r>
            <w:r w:rsidRPr="000A209A">
              <w:t>Black persons.</w:t>
            </w:r>
            <w:r w:rsidR="002918AA">
              <w:t xml:space="preserve"> </w:t>
            </w:r>
            <w:r w:rsidR="00B2338B">
              <w:t>It is</w:t>
            </w:r>
            <w:r>
              <w:t xml:space="preserve"> onerous </w:t>
            </w:r>
            <w:r w:rsidR="00B2338B">
              <w:t>for</w:t>
            </w:r>
            <w:r>
              <w:t xml:space="preserve"> black persons to fund their participation in the exploration and development of a petroleum right. </w:t>
            </w:r>
            <w:r w:rsidR="00901F19">
              <w:t xml:space="preserve">Particularly as such activities are costly and carry significant risk. </w:t>
            </w:r>
            <w:r w:rsidR="00B2338B">
              <w:t>Commercial</w:t>
            </w:r>
            <w:r w:rsidR="00DC4CB0">
              <w:t xml:space="preserve"> borrowing is n</w:t>
            </w:r>
            <w:r w:rsidR="00B2338B">
              <w:t>ot</w:t>
            </w:r>
            <w:r w:rsidR="00DC4CB0">
              <w:t xml:space="preserve"> available to Black persons in the absence of </w:t>
            </w:r>
            <w:r w:rsidR="005702EF">
              <w:t xml:space="preserve">assurance of </w:t>
            </w:r>
            <w:r w:rsidR="00DC4CB0">
              <w:t>a cashflow</w:t>
            </w:r>
            <w:r w:rsidR="005702EF">
              <w:t xml:space="preserve"> from production or mechanism for repayment</w:t>
            </w:r>
            <w:r w:rsidR="002918AA">
              <w:t>.</w:t>
            </w:r>
            <w:r w:rsidR="0067039C">
              <w:t xml:space="preserve"> F</w:t>
            </w:r>
            <w:r w:rsidR="002918AA">
              <w:t>unding</w:t>
            </w:r>
            <w:r w:rsidR="0067039C">
              <w:t xml:space="preserve"> of </w:t>
            </w:r>
            <w:r w:rsidR="00C469A4">
              <w:t>the</w:t>
            </w:r>
            <w:r w:rsidR="0067039C">
              <w:t xml:space="preserve"> participation</w:t>
            </w:r>
            <w:r w:rsidR="005426A4">
              <w:t xml:space="preserve"> by black persons</w:t>
            </w:r>
            <w:r w:rsidR="002918AA">
              <w:t xml:space="preserve"> is likely to take the form of equity</w:t>
            </w:r>
            <w:r w:rsidR="0067039C">
              <w:t xml:space="preserve"> </w:t>
            </w:r>
            <w:r w:rsidR="002918AA">
              <w:t>in the ownership of the HDSA partic</w:t>
            </w:r>
            <w:r w:rsidR="0067039C">
              <w:t>i</w:t>
            </w:r>
            <w:r w:rsidR="002918AA">
              <w:t>p</w:t>
            </w:r>
            <w:r w:rsidR="0067039C">
              <w:t>a</w:t>
            </w:r>
            <w:r w:rsidR="002918AA">
              <w:t>nt.</w:t>
            </w:r>
            <w:r w:rsidR="00F309C1">
              <w:t xml:space="preserve"> </w:t>
            </w:r>
            <w:r w:rsidR="002918AA">
              <w:t>I</w:t>
            </w:r>
            <w:r>
              <w:t xml:space="preserve">t is proposed that </w:t>
            </w:r>
            <w:r w:rsidR="00BC5D15">
              <w:t>s</w:t>
            </w:r>
            <w:r>
              <w:t>ection</w:t>
            </w:r>
            <w:r w:rsidR="00BC5D15">
              <w:t xml:space="preserve"> 31</w:t>
            </w:r>
            <w:r>
              <w:t xml:space="preserve"> is amended to allow for </w:t>
            </w:r>
            <w:r w:rsidR="0025699A">
              <w:t xml:space="preserve">up to </w:t>
            </w:r>
            <w:r>
              <w:t>5% of the 10% participation</w:t>
            </w:r>
            <w:r w:rsidR="005E54BE">
              <w:t xml:space="preserve"> by black persons</w:t>
            </w:r>
            <w:r>
              <w:t xml:space="preserve"> to be allocated as a carried interest</w:t>
            </w:r>
            <w:r w:rsidR="008C0386">
              <w:t>.</w:t>
            </w:r>
          </w:p>
          <w:p w:rsidR="00BA63D7" w:rsidRDefault="00BA63D7" w:rsidP="00BA63D7">
            <w:pPr>
              <w:pStyle w:val="BodyText2"/>
            </w:pPr>
          </w:p>
          <w:p w:rsidR="000D4B50" w:rsidRPr="000A209A" w:rsidRDefault="00347F3F" w:rsidP="00347F3F">
            <w:pPr>
              <w:pStyle w:val="BodyText2"/>
            </w:pPr>
            <w:r>
              <w:t xml:space="preserve">It is furthermore proposed that </w:t>
            </w:r>
            <w:r w:rsidR="000D4B50" w:rsidRPr="000A209A">
              <w:t>Black persons</w:t>
            </w:r>
            <w:r w:rsidR="000D4B50">
              <w:t xml:space="preserve"> cannot farmout the carried interest </w:t>
            </w:r>
            <w:r w:rsidR="008A21E5">
              <w:t xml:space="preserve">with the up to </w:t>
            </w:r>
            <w:r w:rsidR="007157BA">
              <w:t xml:space="preserve">49% </w:t>
            </w:r>
            <w:r w:rsidR="000D4B50" w:rsidRPr="000A209A">
              <w:t>dilute</w:t>
            </w:r>
            <w:r w:rsidR="000D4B50">
              <w:t>d</w:t>
            </w:r>
            <w:r w:rsidR="000D4B50" w:rsidRPr="000A209A">
              <w:t xml:space="preserve"> their participation.</w:t>
            </w:r>
          </w:p>
          <w:p w:rsidR="000D4B50" w:rsidRDefault="000D4B50" w:rsidP="000D4B50">
            <w:pPr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Default="000D4B50" w:rsidP="00347F3F">
            <w:pPr>
              <w:jc w:val="both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  <w:p w:rsidR="000D4B50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Pr="000574E1" w:rsidRDefault="000D4B50" w:rsidP="000574E1">
            <w:pPr>
              <w:pStyle w:val="BodyText"/>
            </w:pPr>
            <w:r w:rsidRPr="000574E1">
              <w:t xml:space="preserve">Participation of black persons in petroleum rights </w:t>
            </w:r>
          </w:p>
          <w:p w:rsidR="000E5836" w:rsidRDefault="000D4B50" w:rsidP="006A2920">
            <w:pPr>
              <w:pStyle w:val="ListParagraph"/>
              <w:numPr>
                <w:ilvl w:val="0"/>
                <w:numId w:val="175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6A2920">
              <w:rPr>
                <w:rFonts w:ascii="Arial" w:eastAsia="Arial" w:hAnsi="Arial"/>
                <w:color w:val="000000"/>
                <w:sz w:val="21"/>
              </w:rPr>
              <w:t>Every petroleum right must have a minimum of 10 per cent undivided participating interest by black persons</w:t>
            </w:r>
            <w:r w:rsidR="006A2920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 w:rsidR="006A2920" w:rsidRPr="008A6F48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of which </w:t>
            </w:r>
            <w:r w:rsidR="0025699A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up to </w:t>
            </w:r>
            <w:r w:rsidR="006A2920" w:rsidRPr="008A6F48">
              <w:rPr>
                <w:rFonts w:ascii="Arial" w:eastAsia="Arial" w:hAnsi="Arial"/>
                <w:color w:val="000000"/>
                <w:sz w:val="21"/>
                <w:u w:val="single"/>
              </w:rPr>
              <w:t>5 per cent</w:t>
            </w:r>
            <w:r w:rsidR="003D47CA" w:rsidRPr="008A6F48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 is a </w:t>
            </w:r>
            <w:r w:rsidR="00F96CAF" w:rsidRPr="008A6F48">
              <w:rPr>
                <w:rFonts w:ascii="Arial" w:eastAsia="Arial" w:hAnsi="Arial"/>
                <w:color w:val="000000"/>
                <w:sz w:val="21"/>
                <w:u w:val="single"/>
              </w:rPr>
              <w:t>right to carried interest</w:t>
            </w:r>
            <w:r w:rsidRPr="006A2920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Pr="00CE6220" w:rsidRDefault="007D7C1D" w:rsidP="006A2920">
            <w:pPr>
              <w:pStyle w:val="ListParagraph"/>
              <w:numPr>
                <w:ilvl w:val="0"/>
                <w:numId w:val="175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  <w:u w:val="single"/>
              </w:rPr>
            </w:pPr>
            <w:r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The carrying holder or holders are entitled to recover 100 percent of the </w:t>
            </w:r>
            <w:r w:rsidR="00753003"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>black person</w:t>
            </w:r>
            <w:r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>’s proportionate share of exploration and production costs,</w:t>
            </w:r>
            <w:r w:rsidR="004E412A"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 together with imbedded interest</w:t>
            </w:r>
            <w:r w:rsidR="00045940"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 on the outstanding balance at S</w:t>
            </w:r>
            <w:r w:rsidR="00CE6220" w:rsidRPr="00CE6220">
              <w:rPr>
                <w:rFonts w:ascii="Arial" w:eastAsia="Arial" w:hAnsi="Arial"/>
                <w:color w:val="000000"/>
                <w:sz w:val="21"/>
                <w:u w:val="single"/>
              </w:rPr>
              <w:t>OFR per annum</w:t>
            </w:r>
          </w:p>
          <w:p w:rsidR="000D4B50" w:rsidRPr="008A6F48" w:rsidRDefault="000D4B50" w:rsidP="008A6F48">
            <w:pPr>
              <w:pStyle w:val="ListParagraph"/>
              <w:numPr>
                <w:ilvl w:val="0"/>
                <w:numId w:val="175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8A6F48">
              <w:rPr>
                <w:rFonts w:ascii="Arial" w:eastAsia="Arial" w:hAnsi="Arial"/>
                <w:color w:val="000000"/>
                <w:sz w:val="21"/>
              </w:rPr>
              <w:t xml:space="preserve">The black persons’ undivided participation interest in a petroleum right contemplated in subsection (1) may be diluted to no less than </w:t>
            </w:r>
            <w:r w:rsidR="00AC0299" w:rsidRPr="00AC0299">
              <w:rPr>
                <w:rFonts w:ascii="Arial" w:eastAsia="Arial" w:hAnsi="Arial"/>
                <w:color w:val="000000"/>
                <w:sz w:val="21"/>
                <w:u w:val="single"/>
              </w:rPr>
              <w:t>5</w:t>
            </w:r>
            <w:r w:rsidRPr="008A6F48">
              <w:rPr>
                <w:rFonts w:ascii="Arial" w:eastAsia="Arial" w:hAnsi="Arial"/>
                <w:color w:val="000000"/>
                <w:sz w:val="21"/>
              </w:rPr>
              <w:t xml:space="preserve"> per cent to any funder or company, regardless of the ownership structure of such a funder or company, for purposes of raising capital subject to section 29.</w:t>
            </w:r>
            <w:r w:rsidR="00AC0299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 w:rsidR="00AC0299" w:rsidRPr="00D917B7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Provided that such </w:t>
            </w:r>
            <w:r w:rsidR="00D917B7" w:rsidRPr="00D917B7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dilution is not in respect of the </w:t>
            </w:r>
            <w:r w:rsidR="00DF3675">
              <w:rPr>
                <w:rFonts w:ascii="Arial" w:eastAsia="Arial" w:hAnsi="Arial"/>
                <w:color w:val="000000"/>
                <w:sz w:val="21"/>
                <w:u w:val="single"/>
              </w:rPr>
              <w:t xml:space="preserve">5 per cent </w:t>
            </w:r>
            <w:r w:rsidR="00D917B7" w:rsidRPr="00D917B7">
              <w:rPr>
                <w:rFonts w:ascii="Arial" w:eastAsia="Arial" w:hAnsi="Arial"/>
                <w:color w:val="000000"/>
                <w:sz w:val="21"/>
                <w:u w:val="single"/>
              </w:rPr>
              <w:t>carried interest</w:t>
            </w:r>
            <w:r w:rsidR="00D917B7">
              <w:rPr>
                <w:rFonts w:ascii="Arial" w:eastAsia="Arial" w:hAnsi="Arial"/>
                <w:color w:val="000000"/>
                <w:sz w:val="21"/>
              </w:rPr>
              <w:t>.</w:t>
            </w:r>
          </w:p>
          <w:p w:rsidR="000D4B50" w:rsidRPr="000A1D02" w:rsidRDefault="000D4B50" w:rsidP="000A1D02">
            <w:p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7B68F4" w:rsidRDefault="000D4B50" w:rsidP="000D4B50">
            <w:pPr>
              <w:spacing w:before="252" w:after="16" w:line="24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F96CAF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F96CAF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F96CAF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F96CAF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0D4B50" w:rsidRPr="00F96CAF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</w:tr>
      <w:tr w:rsidR="000D4B50" w:rsidTr="00A61B94">
        <w:trPr>
          <w:trHeight w:hRule="exact" w:val="9731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>
              <w:rPr>
                <w:rFonts w:ascii="Arial" w:eastAsia="Arial" w:hAnsi="Arial"/>
                <w:bCs/>
                <w:color w:val="000000" w:themeColor="text1"/>
                <w:sz w:val="21"/>
              </w:rPr>
              <w:t xml:space="preserve">  31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D4B50" w:rsidRPr="00E94753" w:rsidRDefault="000D4B50" w:rsidP="00E94753">
            <w:pPr>
              <w:pStyle w:val="ListParagraph"/>
              <w:numPr>
                <w:ilvl w:val="0"/>
                <w:numId w:val="170"/>
              </w:num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 w:rsidRPr="00E94753">
              <w:rPr>
                <w:rFonts w:ascii="Arial" w:eastAsia="Arial" w:hAnsi="Arial"/>
                <w:bCs/>
                <w:color w:val="000000" w:themeColor="text1"/>
                <w:sz w:val="21"/>
              </w:rPr>
              <w:t>An application for extension contemplated in subsection (4) must be accompanied by:</w:t>
            </w:r>
          </w:p>
          <w:p w:rsidR="000D4B50" w:rsidRPr="00074190" w:rsidRDefault="000D4B50" w:rsidP="000D4B50">
            <w:pPr>
              <w:pStyle w:val="ListParagraph"/>
              <w:numPr>
                <w:ilvl w:val="0"/>
                <w:numId w:val="172"/>
              </w:numPr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 w:rsidRPr="00074190">
              <w:rPr>
                <w:rFonts w:ascii="Arial" w:eastAsia="Arial" w:hAnsi="Arial"/>
                <w:bCs/>
                <w:color w:val="000000" w:themeColor="text1"/>
                <w:sz w:val="21"/>
              </w:rPr>
              <w:t>detailed information and proof of inability to secure the required percentage of black participation in the petroleum right;</w:t>
            </w:r>
          </w:p>
          <w:p w:rsidR="000D4B50" w:rsidRPr="00074190" w:rsidRDefault="000D4B50" w:rsidP="000D4B50">
            <w:pPr>
              <w:pStyle w:val="ListParagraph"/>
              <w:numPr>
                <w:ilvl w:val="0"/>
                <w:numId w:val="172"/>
              </w:numPr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 w:rsidRPr="00074190">
              <w:rPr>
                <w:rFonts w:ascii="Arial" w:eastAsia="Arial" w:hAnsi="Arial"/>
                <w:bCs/>
                <w:color w:val="000000" w:themeColor="text1"/>
                <w:sz w:val="21"/>
              </w:rPr>
              <w:t>full details of potential black persons that were engaged; and</w:t>
            </w:r>
          </w:p>
          <w:p w:rsidR="000D4B50" w:rsidRPr="00074190" w:rsidRDefault="000D4B50" w:rsidP="000D4B50">
            <w:pPr>
              <w:pStyle w:val="ListParagraph"/>
              <w:numPr>
                <w:ilvl w:val="0"/>
                <w:numId w:val="172"/>
              </w:numPr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 w:rsidRPr="00074190">
              <w:rPr>
                <w:rFonts w:ascii="Arial" w:eastAsia="Arial" w:hAnsi="Arial"/>
                <w:bCs/>
                <w:color w:val="000000" w:themeColor="text1"/>
                <w:sz w:val="21"/>
              </w:rPr>
              <w:t>any other information as may be determined by the Petroleum Agency for purposes of assessing the application.</w:t>
            </w:r>
          </w:p>
          <w:p w:rsidR="000D4B50" w:rsidRDefault="000D4B50" w:rsidP="00E94753">
            <w:pPr>
              <w:pStyle w:val="ListParagraph"/>
              <w:numPr>
                <w:ilvl w:val="0"/>
                <w:numId w:val="170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 w:rsidRPr="00074190">
              <w:rPr>
                <w:rFonts w:ascii="Arial" w:eastAsia="Arial" w:hAnsi="Arial"/>
                <w:bCs/>
                <w:color w:val="000000" w:themeColor="text1"/>
                <w:sz w:val="21"/>
              </w:rPr>
              <w:t>The Petroleum Agency may grant extension contemplated in subsection (4) for a period not exceeding two years, subject to terms and conditions that must be recorded in the petroleum right.</w:t>
            </w:r>
          </w:p>
          <w:p w:rsidR="000D4B50" w:rsidRPr="00074190" w:rsidRDefault="000D4B50" w:rsidP="00E94753">
            <w:pPr>
              <w:pStyle w:val="ListParagraph"/>
              <w:numPr>
                <w:ilvl w:val="0"/>
                <w:numId w:val="170"/>
              </w:numPr>
              <w:spacing w:before="252" w:after="16" w:line="240" w:lineRule="exact"/>
              <w:ind w:right="144"/>
              <w:jc w:val="both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  <w:r>
              <w:rPr>
                <w:rFonts w:ascii="Arial" w:eastAsia="Arial" w:hAnsi="Arial"/>
                <w:bCs/>
                <w:color w:val="000000" w:themeColor="text1"/>
                <w:sz w:val="21"/>
              </w:rPr>
              <w:t>An application for a petroleum right may be granted subject to the provisions of subsection (3), (4) and (5).</w:t>
            </w:r>
          </w:p>
          <w:p w:rsidR="000D4B50" w:rsidRPr="0007419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07419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C73765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B673F9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  <w:p w:rsidR="000D4B50" w:rsidRPr="00074190" w:rsidRDefault="000D4B50" w:rsidP="000D4B50">
            <w:pPr>
              <w:spacing w:before="246" w:after="2" w:line="236" w:lineRule="exact"/>
              <w:textAlignment w:val="baseline"/>
              <w:rPr>
                <w:rFonts w:ascii="Arial" w:eastAsia="Arial" w:hAnsi="Arial"/>
                <w:bCs/>
                <w:color w:val="000000" w:themeColor="text1"/>
                <w:sz w:val="21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4B50" w:rsidRDefault="000D4B50" w:rsidP="000D4B50">
            <w:pPr>
              <w:spacing w:before="246" w:after="2" w:line="236" w:lineRule="exact"/>
              <w:ind w:right="3606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</w:tr>
    </w:tbl>
    <w:p w:rsidR="00EE69C7" w:rsidRDefault="00EE69C7">
      <w:pPr>
        <w:spacing w:before="20" w:line="228" w:lineRule="exact"/>
        <w:textAlignment w:val="baseline"/>
        <w:rPr>
          <w:rFonts w:ascii="Arial" w:eastAsia="Arial" w:hAnsi="Arial"/>
          <w:color w:val="000000"/>
          <w:spacing w:val="-5"/>
          <w:sz w:val="21"/>
        </w:rPr>
      </w:pPr>
    </w:p>
    <w:p w:rsidR="00EE69C7" w:rsidRDefault="00EE69C7">
      <w:pPr>
        <w:spacing w:before="20" w:line="228" w:lineRule="exact"/>
        <w:textAlignment w:val="baseline"/>
        <w:rPr>
          <w:rFonts w:ascii="Arial" w:eastAsia="Arial" w:hAnsi="Arial"/>
          <w:color w:val="000000"/>
          <w:spacing w:val="-5"/>
          <w:sz w:val="21"/>
        </w:rPr>
      </w:pPr>
    </w:p>
    <w:tbl>
      <w:tblPr>
        <w:tblW w:w="14148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3412"/>
        <w:gridCol w:w="3543"/>
        <w:gridCol w:w="2835"/>
        <w:gridCol w:w="3403"/>
      </w:tblGrid>
      <w:tr w:rsidR="00CA7975" w:rsidTr="00E62FBF">
        <w:trPr>
          <w:trHeight w:hRule="exact" w:val="490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CA7975" w:rsidRDefault="00CA7975">
            <w:pPr>
              <w:spacing w:before="246" w:after="2" w:line="236" w:lineRule="exact"/>
              <w:ind w:left="135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Section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CA7975" w:rsidRDefault="00CA7975">
            <w:pPr>
              <w:spacing w:before="246" w:after="2" w:line="236" w:lineRule="exact"/>
              <w:ind w:left="106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Provision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CA7975" w:rsidRDefault="00CA7975">
            <w:pPr>
              <w:spacing w:before="246" w:after="2" w:line="236" w:lineRule="exact"/>
              <w:ind w:left="101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Interpretation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CA7975" w:rsidRDefault="00CA7975" w:rsidP="001A70D8">
            <w:pPr>
              <w:spacing w:before="246" w:after="2" w:line="236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Pr="001A70D8">
              <w:rPr>
                <w:rFonts w:ascii="Arial" w:eastAsia="Arial" w:hAnsi="Arial"/>
                <w:b/>
                <w:color w:val="FFFFFF"/>
                <w:sz w:val="21"/>
              </w:rPr>
              <w:t>Comment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</w:tcPr>
          <w:p w:rsidR="00CA7975" w:rsidRPr="00E209A6" w:rsidRDefault="00E209A6" w:rsidP="001A70D8">
            <w:pPr>
              <w:spacing w:before="246" w:after="2" w:line="236" w:lineRule="exact"/>
              <w:ind w:left="101"/>
              <w:textAlignment w:val="baseline"/>
              <w:rPr>
                <w:rFonts w:ascii="Arial" w:eastAsia="Arial" w:hAnsi="Arial"/>
                <w:color w:val="FFFFFF" w:themeColor="background1"/>
                <w:sz w:val="24"/>
              </w:rPr>
            </w:pPr>
            <w:r w:rsidRPr="00E209A6">
              <w:rPr>
                <w:rFonts w:ascii="Arial" w:eastAsia="Arial" w:hAnsi="Arial"/>
                <w:b/>
                <w:color w:val="FFFFFF"/>
                <w:sz w:val="21"/>
              </w:rPr>
              <w:t>Proposed wording</w:t>
            </w:r>
          </w:p>
        </w:tc>
      </w:tr>
      <w:tr w:rsidR="00860212" w:rsidTr="0098145F">
        <w:trPr>
          <w:trHeight w:hRule="exact" w:val="819"/>
        </w:trPr>
        <w:tc>
          <w:tcPr>
            <w:tcW w:w="9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60212" w:rsidRDefault="00860212" w:rsidP="00860212">
            <w:pPr>
              <w:spacing w:before="241" w:after="2789" w:line="238" w:lineRule="exact"/>
              <w:ind w:left="13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34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60212" w:rsidRDefault="00860212" w:rsidP="00860212">
            <w:pPr>
              <w:spacing w:before="241" w:line="205" w:lineRule="exact"/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State participation in petroleum rights</w:t>
            </w: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60212" w:rsidRDefault="00860212" w:rsidP="00860212">
            <w:pPr>
              <w:pStyle w:val="ListParagraph"/>
              <w:numPr>
                <w:ilvl w:val="0"/>
                <w:numId w:val="176"/>
              </w:numPr>
              <w:tabs>
                <w:tab w:val="left" w:pos="2304"/>
                <w:tab w:val="left" w:pos="2592"/>
                <w:tab w:val="right" w:pos="5976"/>
              </w:tabs>
              <w:spacing w:before="14" w:after="240" w:line="226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1560D2">
              <w:rPr>
                <w:rFonts w:ascii="Arial" w:eastAsia="Arial" w:hAnsi="Arial"/>
                <w:color w:val="000000"/>
                <w:sz w:val="21"/>
              </w:rPr>
              <w:t xml:space="preserve">The State is allocated a 20%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carried </w:t>
            </w:r>
            <w:r w:rsidRPr="001560D2">
              <w:rPr>
                <w:rFonts w:ascii="Arial" w:eastAsia="Arial" w:hAnsi="Arial"/>
                <w:color w:val="000000"/>
                <w:sz w:val="21"/>
              </w:rPr>
              <w:t>participation in petroleum rights.</w:t>
            </w:r>
          </w:p>
          <w:p w:rsidR="00860212" w:rsidRDefault="00860212" w:rsidP="00860212">
            <w:pPr>
              <w:pStyle w:val="ListParagraph"/>
              <w:numPr>
                <w:ilvl w:val="0"/>
                <w:numId w:val="176"/>
              </w:numPr>
              <w:tabs>
                <w:tab w:val="left" w:pos="2304"/>
                <w:tab w:val="left" w:pos="2592"/>
                <w:tab w:val="right" w:pos="5976"/>
              </w:tabs>
              <w:spacing w:before="14" w:after="240" w:line="226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The State </w:t>
            </w:r>
            <w:r w:rsidR="00795D4D">
              <w:rPr>
                <w:rFonts w:ascii="Arial" w:eastAsia="Arial" w:hAnsi="Arial"/>
                <w:color w:val="000000"/>
                <w:sz w:val="21"/>
              </w:rPr>
              <w:t xml:space="preserve">is </w:t>
            </w:r>
            <w:r>
              <w:rPr>
                <w:rFonts w:ascii="Arial" w:eastAsia="Arial" w:hAnsi="Arial"/>
                <w:color w:val="000000"/>
                <w:sz w:val="21"/>
              </w:rPr>
              <w:t>carried interest in respect of the exploration phase and development of the field in terms of the production phase.</w:t>
            </w:r>
          </w:p>
          <w:p w:rsidR="00860212" w:rsidRDefault="00860212" w:rsidP="00860212">
            <w:pPr>
              <w:pStyle w:val="ListParagraph"/>
              <w:numPr>
                <w:ilvl w:val="0"/>
                <w:numId w:val="176"/>
              </w:numPr>
              <w:tabs>
                <w:tab w:val="left" w:pos="2304"/>
                <w:tab w:val="left" w:pos="2592"/>
                <w:tab w:val="right" w:pos="5976"/>
              </w:tabs>
              <w:spacing w:before="14" w:after="240" w:line="226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</w:t>
            </w:r>
            <w:r w:rsidRPr="00AE30A1">
              <w:rPr>
                <w:rFonts w:ascii="Arial" w:eastAsia="Arial" w:hAnsi="Arial"/>
                <w:color w:val="000000"/>
                <w:sz w:val="21"/>
              </w:rPr>
              <w:t xml:space="preserve">he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State </w:t>
            </w:r>
            <w:r w:rsidRPr="00AE30A1">
              <w:rPr>
                <w:rFonts w:ascii="Arial" w:eastAsia="Arial" w:hAnsi="Arial"/>
                <w:color w:val="000000"/>
                <w:sz w:val="21"/>
              </w:rPr>
              <w:t>carried interest</w:t>
            </w:r>
            <w:r>
              <w:rPr>
                <w:rFonts w:ascii="Arial" w:eastAsia="Arial" w:hAnsi="Arial"/>
                <w:color w:val="000000"/>
                <w:sz w:val="21"/>
              </w:rPr>
              <w:t>, is a</w:t>
            </w:r>
            <w:r w:rsidR="003E6E13">
              <w:rPr>
                <w:rFonts w:ascii="Arial" w:eastAsia="Arial" w:hAnsi="Arial"/>
                <w:color w:val="000000"/>
                <w:sz w:val="21"/>
              </w:rPr>
              <w:t>n interest free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 loan by the carrying holder(s) of which 50% of the exploration costs are paid back out of the State’s share of production and 100% of the development costs will be paid out of the State’s share of production.</w:t>
            </w:r>
          </w:p>
          <w:p w:rsidR="00860212" w:rsidRPr="001560D2" w:rsidRDefault="00860212" w:rsidP="00860212">
            <w:pPr>
              <w:pStyle w:val="ListParagraph"/>
              <w:numPr>
                <w:ilvl w:val="0"/>
                <w:numId w:val="176"/>
              </w:numPr>
              <w:tabs>
                <w:tab w:val="left" w:pos="2304"/>
                <w:tab w:val="left" w:pos="2592"/>
                <w:tab w:val="right" w:pos="5976"/>
              </w:tabs>
              <w:spacing w:before="14" w:after="240" w:line="226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The provision is mute as to whether the carried interest in respect of capital expenditure only or extends to all expenditure in the exploration and development of a field under a petroleum right.</w:t>
            </w:r>
          </w:p>
          <w:p w:rsidR="00860212" w:rsidRDefault="00860212" w:rsidP="00860212">
            <w:pPr>
              <w:tabs>
                <w:tab w:val="left" w:pos="2304"/>
                <w:tab w:val="left" w:pos="2592"/>
                <w:tab w:val="right" w:pos="5976"/>
              </w:tabs>
              <w:spacing w:before="14" w:after="240" w:line="226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B2D58" w:rsidRDefault="00EB2D58" w:rsidP="00C44333">
            <w:pPr>
              <w:tabs>
                <w:tab w:val="left" w:pos="432"/>
              </w:tabs>
              <w:spacing w:before="255" w:line="229" w:lineRule="exact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</w:rPr>
            </w:pPr>
            <w:r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Internationally State participation is on a carried basis </w:t>
            </w:r>
            <w:r w:rsidR="004E4AF1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in terms of </w:t>
            </w:r>
            <w:r w:rsidR="00C14428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capital expenditure on </w:t>
            </w:r>
            <w:r w:rsidR="004E4AF1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exploration and development of the field, with repayment </w:t>
            </w:r>
            <w:r w:rsidR="008E6941">
              <w:rPr>
                <w:rFonts w:ascii="Arial" w:eastAsia="Arial" w:hAnsi="Arial"/>
                <w:color w:val="000000"/>
                <w:spacing w:val="-7"/>
                <w:sz w:val="21"/>
              </w:rPr>
              <w:t>out of the State’s share of production.</w:t>
            </w:r>
          </w:p>
          <w:p w:rsidR="004F1F7C" w:rsidRDefault="00860212" w:rsidP="00C44333">
            <w:pPr>
              <w:tabs>
                <w:tab w:val="left" w:pos="432"/>
              </w:tabs>
              <w:spacing w:before="255" w:line="229" w:lineRule="exact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</w:rPr>
            </w:pPr>
            <w:r w:rsidRPr="00C82DD5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In the circumstance black persons are allocated </w:t>
            </w:r>
            <w:r w:rsidR="00705AC9">
              <w:rPr>
                <w:rFonts w:ascii="Arial" w:eastAsia="Arial" w:hAnsi="Arial"/>
                <w:color w:val="000000"/>
                <w:spacing w:val="-7"/>
                <w:sz w:val="21"/>
              </w:rPr>
              <w:t>up</w:t>
            </w:r>
            <w:r w:rsidR="003051BC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  <w:r w:rsidR="00705AC9">
              <w:rPr>
                <w:rFonts w:ascii="Arial" w:eastAsia="Arial" w:hAnsi="Arial"/>
                <w:color w:val="000000"/>
                <w:spacing w:val="-7"/>
                <w:sz w:val="21"/>
              </w:rPr>
              <w:t>to</w:t>
            </w:r>
            <w:r w:rsidRPr="00C82DD5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5% </w:t>
            </w:r>
            <w:r w:rsidRPr="00C82DD5">
              <w:rPr>
                <w:rFonts w:ascii="Arial" w:eastAsia="Arial" w:hAnsi="Arial"/>
                <w:color w:val="000000"/>
                <w:spacing w:val="-7"/>
                <w:sz w:val="21"/>
              </w:rPr>
              <w:t>carried interest, it is proposed that this allocation is from the 20% carried interest designated for the State. As such 15% of the 20% State Participation will be on a carried basis.</w:t>
            </w:r>
            <w:r w:rsidR="001B21FA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  <w:r w:rsidR="00EB799A">
              <w:rPr>
                <w:rFonts w:ascii="Arial" w:eastAsia="Arial" w:hAnsi="Arial"/>
                <w:color w:val="000000"/>
                <w:spacing w:val="-7"/>
                <w:sz w:val="21"/>
              </w:rPr>
              <w:t>The d</w:t>
            </w:r>
            <w:r w:rsidR="00EA38DD">
              <w:rPr>
                <w:rFonts w:ascii="Arial" w:eastAsia="Arial" w:hAnsi="Arial"/>
                <w:color w:val="000000"/>
                <w:spacing w:val="-7"/>
                <w:sz w:val="21"/>
              </w:rPr>
              <w:t>ilution</w:t>
            </w:r>
            <w:r w:rsidR="00D53963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of the State Carried interest to 15%, effectively results in the </w:t>
            </w:r>
            <w:r w:rsidR="007161F9">
              <w:rPr>
                <w:rFonts w:ascii="Arial" w:eastAsia="Arial" w:hAnsi="Arial"/>
                <w:color w:val="000000"/>
                <w:spacing w:val="-7"/>
                <w:sz w:val="21"/>
              </w:rPr>
              <w:t>State required to contribute toward 25% of this participation in a Petroleum Right. Th</w:t>
            </w:r>
            <w:r w:rsidR="0083696A">
              <w:rPr>
                <w:rFonts w:ascii="Arial" w:eastAsia="Arial" w:hAnsi="Arial"/>
                <w:color w:val="000000"/>
                <w:spacing w:val="-7"/>
                <w:sz w:val="21"/>
              </w:rPr>
              <w:t>ese</w:t>
            </w:r>
            <w:r w:rsidR="007161F9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can be significant amounts</w:t>
            </w:r>
            <w:r w:rsidR="00B56457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creating a drain on the fiscus</w:t>
            </w:r>
            <w:r w:rsidR="003D0974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accordingly the State may limit it</w:t>
            </w:r>
            <w:r w:rsidR="0083696A">
              <w:rPr>
                <w:rFonts w:ascii="Arial" w:eastAsia="Arial" w:hAnsi="Arial"/>
                <w:color w:val="000000"/>
                <w:spacing w:val="-7"/>
                <w:sz w:val="21"/>
              </w:rPr>
              <w:t>s</w:t>
            </w:r>
            <w:r w:rsidR="003D0974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participation to the </w:t>
            </w:r>
            <w:r w:rsidR="00656440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15% </w:t>
            </w:r>
            <w:r w:rsidR="003D0974">
              <w:rPr>
                <w:rFonts w:ascii="Arial" w:eastAsia="Arial" w:hAnsi="Arial"/>
                <w:color w:val="000000"/>
                <w:spacing w:val="-7"/>
                <w:sz w:val="21"/>
              </w:rPr>
              <w:t>carried interest.</w:t>
            </w:r>
            <w:r w:rsidR="001B21FA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</w:p>
          <w:p w:rsidR="00391EC2" w:rsidRPr="005F7BDE" w:rsidRDefault="00C87E42" w:rsidP="00C44333">
            <w:pPr>
              <w:tabs>
                <w:tab w:val="left" w:pos="432"/>
              </w:tabs>
              <w:spacing w:before="255" w:line="229" w:lineRule="exac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7"/>
                <w:sz w:val="21"/>
              </w:rPr>
              <w:t>T</w:t>
            </w:r>
            <w:r w:rsidR="00391EC2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he designation of black persons </w:t>
            </w:r>
            <w:r>
              <w:rPr>
                <w:rFonts w:ascii="Arial" w:eastAsia="Arial" w:hAnsi="Arial"/>
                <w:color w:val="000000"/>
                <w:spacing w:val="-7"/>
                <w:sz w:val="21"/>
              </w:rPr>
              <w:t>that will qualify for the carried interest</w:t>
            </w:r>
            <w:r w:rsidR="001D753A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  <w:r w:rsidR="008F5BD5">
              <w:rPr>
                <w:rFonts w:ascii="Arial" w:eastAsia="Arial" w:hAnsi="Arial"/>
                <w:color w:val="000000"/>
                <w:spacing w:val="-7"/>
                <w:sz w:val="21"/>
              </w:rPr>
              <w:t>may</w:t>
            </w:r>
            <w:r w:rsidR="001D753A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be </w:t>
            </w:r>
            <w:r w:rsidR="00BD40EC">
              <w:rPr>
                <w:rFonts w:ascii="Arial" w:eastAsia="Arial" w:hAnsi="Arial"/>
                <w:color w:val="000000"/>
                <w:spacing w:val="-7"/>
                <w:sz w:val="21"/>
              </w:rPr>
              <w:t>implemented</w:t>
            </w:r>
            <w:r w:rsidR="001D753A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way of regulation</w:t>
            </w:r>
            <w:r w:rsidR="00BC65A8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to benefit emerging BEE </w:t>
            </w:r>
            <w:r w:rsidR="0089082F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&amp; BBBEE </w:t>
            </w:r>
            <w:r w:rsidR="00BC65A8">
              <w:rPr>
                <w:rFonts w:ascii="Arial" w:eastAsia="Arial" w:hAnsi="Arial"/>
                <w:color w:val="000000"/>
                <w:spacing w:val="-7"/>
                <w:sz w:val="21"/>
              </w:rPr>
              <w:t>participants vs established BEE participants</w:t>
            </w:r>
            <w:r w:rsidR="001D753A">
              <w:rPr>
                <w:rFonts w:ascii="Arial" w:eastAsia="Arial" w:hAnsi="Arial"/>
                <w:color w:val="000000"/>
                <w:spacing w:val="-7"/>
                <w:sz w:val="21"/>
              </w:rPr>
              <w:t>.</w:t>
            </w:r>
            <w:r w:rsidR="00BD40EC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860212" w:rsidRPr="00C82DD5" w:rsidRDefault="00860212" w:rsidP="00860212">
            <w:pPr>
              <w:tabs>
                <w:tab w:val="left" w:pos="432"/>
              </w:tabs>
              <w:spacing w:before="255" w:line="229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State participation in petroleum rights</w:t>
            </w:r>
          </w:p>
        </w:tc>
      </w:tr>
      <w:tr w:rsidR="00860212" w:rsidTr="006D6B42">
        <w:trPr>
          <w:trHeight w:hRule="exact" w:val="8920"/>
        </w:trPr>
        <w:tc>
          <w:tcPr>
            <w:tcW w:w="9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0212" w:rsidRDefault="00860212" w:rsidP="00860212"/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60212" w:rsidRDefault="00860212" w:rsidP="00860212">
            <w:pPr>
              <w:numPr>
                <w:ilvl w:val="0"/>
                <w:numId w:val="40"/>
              </w:numPr>
              <w:tabs>
                <w:tab w:val="clear" w:pos="288"/>
                <w:tab w:val="left" w:pos="432"/>
              </w:tabs>
              <w:spacing w:before="255"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</w:rPr>
            </w:pPr>
            <w:r>
              <w:rPr>
                <w:rFonts w:ascii="Arial" w:eastAsia="Arial" w:hAnsi="Arial"/>
                <w:color w:val="000000"/>
                <w:spacing w:val="-7"/>
                <w:sz w:val="21"/>
              </w:rPr>
              <w:t>The State Petroleum Company is designated as a state-owned entity</w:t>
            </w:r>
          </w:p>
          <w:p w:rsidR="00860212" w:rsidRDefault="00860212" w:rsidP="00860212">
            <w:pPr>
              <w:tabs>
                <w:tab w:val="left" w:pos="1728"/>
                <w:tab w:val="right" w:pos="6408"/>
              </w:tabs>
              <w:spacing w:line="231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responsible for</w:t>
            </w:r>
            <w:r>
              <w:rPr>
                <w:rFonts w:ascii="Arial" w:eastAsia="Arial" w:hAnsi="Arial"/>
                <w:color w:val="000000"/>
                <w:sz w:val="21"/>
              </w:rPr>
              <w:tab/>
              <w:t>managing State participation in</w:t>
            </w:r>
            <w:r>
              <w:rPr>
                <w:rFonts w:ascii="Arial" w:eastAsia="Arial" w:hAnsi="Arial"/>
                <w:color w:val="000000"/>
                <w:sz w:val="21"/>
              </w:rPr>
              <w:tab/>
              <w:t xml:space="preserve">exploration and </w:t>
            </w:r>
            <w:r>
              <w:rPr>
                <w:rFonts w:ascii="Arial" w:eastAsia="Arial" w:hAnsi="Arial"/>
                <w:color w:val="000000"/>
                <w:sz w:val="21"/>
              </w:rPr>
              <w:br/>
              <w:t>production activities through a carried interest in petroleum rights as contemplated in subsections (2) and (3).</w:t>
            </w:r>
          </w:p>
          <w:p w:rsidR="00860212" w:rsidRDefault="00860212" w:rsidP="00860212">
            <w:pPr>
              <w:numPr>
                <w:ilvl w:val="0"/>
                <w:numId w:val="40"/>
              </w:numPr>
              <w:tabs>
                <w:tab w:val="clear" w:pos="288"/>
                <w:tab w:val="left" w:pos="432"/>
              </w:tabs>
              <w:spacing w:before="2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color w:val="000000"/>
                <w:spacing w:val="-4"/>
                <w:sz w:val="21"/>
              </w:rPr>
              <w:t>The State has a right to a 20 per cent carried interest in petroleum rights, including in both the exploration and production phase.</w:t>
            </w:r>
          </w:p>
          <w:p w:rsidR="00860212" w:rsidRDefault="00860212" w:rsidP="00860212">
            <w:pPr>
              <w:numPr>
                <w:ilvl w:val="0"/>
                <w:numId w:val="40"/>
              </w:numPr>
              <w:tabs>
                <w:tab w:val="clear" w:pos="288"/>
                <w:tab w:val="left" w:pos="432"/>
              </w:tabs>
              <w:spacing w:before="232" w:line="233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The carrying holder or holders are entitled to recover 50 and 100 percent of the State’s proportionate share of exploration and production costs, respectively.</w:t>
            </w:r>
          </w:p>
          <w:p w:rsidR="00860212" w:rsidRPr="0054724E" w:rsidRDefault="00860212" w:rsidP="00860212">
            <w:pPr>
              <w:numPr>
                <w:ilvl w:val="0"/>
                <w:numId w:val="40"/>
              </w:numPr>
              <w:tabs>
                <w:tab w:val="clear" w:pos="288"/>
                <w:tab w:val="left" w:pos="432"/>
              </w:tabs>
              <w:spacing w:before="232" w:line="233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54724E">
              <w:rPr>
                <w:rFonts w:ascii="Arial" w:eastAsia="Arial" w:hAnsi="Arial"/>
                <w:color w:val="000000"/>
                <w:sz w:val="21"/>
              </w:rPr>
              <w:t>The State’s proportionate share of exploration and production costs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 w:rsidRPr="0054724E">
              <w:rPr>
                <w:rFonts w:ascii="Arial" w:eastAsia="Arial" w:hAnsi="Arial"/>
                <w:color w:val="000000"/>
                <w:sz w:val="21"/>
              </w:rPr>
              <w:t>must, subject to subsection (3), be recoverable from its proportionate share of production or revenue.</w:t>
            </w:r>
          </w:p>
          <w:p w:rsidR="00860212" w:rsidRDefault="00860212" w:rsidP="00860212">
            <w:pPr>
              <w:tabs>
                <w:tab w:val="left" w:pos="288"/>
                <w:tab w:val="left" w:pos="432"/>
              </w:tabs>
              <w:spacing w:before="232" w:line="233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0212" w:rsidRDefault="00860212" w:rsidP="00860212"/>
        </w:tc>
        <w:tc>
          <w:tcPr>
            <w:tcW w:w="2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0212" w:rsidRDefault="00860212" w:rsidP="00860212"/>
        </w:tc>
        <w:tc>
          <w:tcPr>
            <w:tcW w:w="340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60212" w:rsidRPr="0098145F" w:rsidRDefault="00385EB5" w:rsidP="0098145F">
            <w:pPr>
              <w:tabs>
                <w:tab w:val="left" w:pos="288"/>
                <w:tab w:val="left" w:pos="432"/>
                <w:tab w:val="left" w:pos="1728"/>
                <w:tab w:val="right" w:pos="6408"/>
              </w:tabs>
              <w:spacing w:before="255" w:line="231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 w:rsidRPr="0098145F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(1) </w:t>
            </w:r>
            <w:r w:rsidR="00860212" w:rsidRPr="0098145F">
              <w:rPr>
                <w:rFonts w:ascii="Arial" w:eastAsia="Arial" w:hAnsi="Arial"/>
                <w:color w:val="000000"/>
                <w:spacing w:val="-7"/>
                <w:sz w:val="21"/>
              </w:rPr>
              <w:t>The State Petroleum Company is designated as a state-owned entity</w:t>
            </w:r>
            <w:r w:rsidR="003820DF" w:rsidRPr="0098145F">
              <w:rPr>
                <w:rFonts w:ascii="Arial" w:eastAsia="Arial" w:hAnsi="Arial"/>
                <w:color w:val="000000"/>
                <w:spacing w:val="-7"/>
                <w:sz w:val="21"/>
              </w:rPr>
              <w:t xml:space="preserve"> </w:t>
            </w:r>
            <w:r w:rsidR="00860212" w:rsidRPr="0098145F">
              <w:rPr>
                <w:rFonts w:ascii="Arial" w:eastAsia="Arial" w:hAnsi="Arial"/>
                <w:color w:val="000000"/>
                <w:sz w:val="21"/>
              </w:rPr>
              <w:t>responsible for</w:t>
            </w:r>
            <w:r w:rsidR="00860212" w:rsidRPr="0098145F">
              <w:rPr>
                <w:rFonts w:ascii="Arial" w:eastAsia="Arial" w:hAnsi="Arial"/>
                <w:color w:val="000000"/>
                <w:sz w:val="21"/>
              </w:rPr>
              <w:tab/>
              <w:t>managing State participation in</w:t>
            </w:r>
            <w:r w:rsidR="00860212" w:rsidRPr="0098145F">
              <w:rPr>
                <w:rFonts w:ascii="Arial" w:eastAsia="Arial" w:hAnsi="Arial"/>
                <w:color w:val="000000"/>
                <w:sz w:val="21"/>
              </w:rPr>
              <w:tab/>
              <w:t xml:space="preserve">exploration and </w:t>
            </w:r>
            <w:r w:rsidR="00860212" w:rsidRPr="0098145F">
              <w:rPr>
                <w:rFonts w:ascii="Arial" w:eastAsia="Arial" w:hAnsi="Arial"/>
                <w:color w:val="000000"/>
                <w:sz w:val="21"/>
              </w:rPr>
              <w:br/>
              <w:t xml:space="preserve">production activities </w:t>
            </w:r>
            <w:r w:rsidR="00860212" w:rsidRPr="00D63E7F">
              <w:rPr>
                <w:rFonts w:ascii="Arial" w:eastAsia="Arial" w:hAnsi="Arial"/>
                <w:strike/>
                <w:color w:val="000000"/>
                <w:sz w:val="21"/>
              </w:rPr>
              <w:t>through a carried interest</w:t>
            </w:r>
            <w:r w:rsidR="00860212" w:rsidRPr="0098145F">
              <w:rPr>
                <w:rFonts w:ascii="Arial" w:eastAsia="Arial" w:hAnsi="Arial"/>
                <w:color w:val="000000"/>
                <w:sz w:val="21"/>
              </w:rPr>
              <w:t xml:space="preserve"> in petroleum rights as contemplated in subsections (2) and (3).</w:t>
            </w:r>
          </w:p>
          <w:p w:rsidR="00860212" w:rsidRDefault="0098145F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color w:val="000000"/>
                <w:spacing w:val="-4"/>
                <w:sz w:val="21"/>
              </w:rPr>
              <w:t xml:space="preserve"> (2) </w:t>
            </w:r>
            <w:r w:rsidR="00A94953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 xml:space="preserve">Every petroleum right must have </w:t>
            </w:r>
            <w:r w:rsidR="007427FD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 xml:space="preserve">up to </w:t>
            </w:r>
            <w:r w:rsidR="006228AC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>2</w:t>
            </w:r>
            <w:r w:rsidR="00A94953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 xml:space="preserve">0 per cent undivided participating interest by </w:t>
            </w:r>
            <w:r w:rsidR="006228AC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>t</w:t>
            </w:r>
            <w:r w:rsidR="00860212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>he State</w:t>
            </w:r>
            <w:r w:rsidR="00A231AC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 xml:space="preserve"> of which the State </w:t>
            </w:r>
            <w:r w:rsidR="00860212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 xml:space="preserve">has a right to a </w:t>
            </w:r>
            <w:r w:rsidR="00A231AC" w:rsidRPr="00BF293C">
              <w:rPr>
                <w:rFonts w:ascii="Arial" w:eastAsia="Arial" w:hAnsi="Arial"/>
                <w:color w:val="000000"/>
                <w:spacing w:val="-4"/>
                <w:sz w:val="21"/>
                <w:u w:val="single"/>
              </w:rPr>
              <w:t>15</w:t>
            </w:r>
            <w:r w:rsidR="00860212">
              <w:rPr>
                <w:rFonts w:ascii="Arial" w:eastAsia="Arial" w:hAnsi="Arial"/>
                <w:color w:val="000000"/>
                <w:spacing w:val="-4"/>
                <w:sz w:val="21"/>
              </w:rPr>
              <w:t xml:space="preserve"> per cent carried interest in petroleum rights, including in both the exploration and production phase.</w:t>
            </w: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A231AC" w:rsidRDefault="00A231AC" w:rsidP="0098145F">
            <w:pPr>
              <w:tabs>
                <w:tab w:val="left" w:pos="288"/>
                <w:tab w:val="left" w:pos="432"/>
              </w:tabs>
              <w:spacing w:before="226" w:line="240" w:lineRule="exact"/>
              <w:ind w:right="144"/>
              <w:jc w:val="both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  <w:p w:rsidR="00860212" w:rsidRDefault="00860212" w:rsidP="0098145F">
            <w:pPr>
              <w:tabs>
                <w:tab w:val="left" w:pos="432"/>
              </w:tabs>
              <w:spacing w:before="232" w:line="233" w:lineRule="exact"/>
              <w:ind w:left="144" w:right="144"/>
              <w:jc w:val="both"/>
              <w:textAlignment w:val="baseline"/>
            </w:pPr>
          </w:p>
        </w:tc>
      </w:tr>
    </w:tbl>
    <w:p w:rsidR="00EE69C7" w:rsidRDefault="00EE69C7">
      <w:pPr>
        <w:sectPr w:rsidR="00EE69C7">
          <w:pgSz w:w="16834" w:h="11904" w:orient="landscape"/>
          <w:pgMar w:top="1220" w:right="1647" w:bottom="182" w:left="1387" w:header="720" w:footer="720" w:gutter="0"/>
          <w:cols w:space="720"/>
        </w:sectPr>
      </w:pPr>
    </w:p>
    <w:p w:rsidR="00EE69C7" w:rsidRDefault="00EE69C7">
      <w:pPr>
        <w:spacing w:before="20" w:line="228" w:lineRule="exact"/>
        <w:textAlignment w:val="baseline"/>
        <w:rPr>
          <w:rFonts w:ascii="Arial" w:eastAsia="Arial" w:hAnsi="Arial"/>
          <w:color w:val="000000"/>
          <w:spacing w:val="-5"/>
          <w:sz w:val="21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3412"/>
        <w:gridCol w:w="3260"/>
        <w:gridCol w:w="3544"/>
      </w:tblGrid>
      <w:tr w:rsidR="00875439" w:rsidTr="00875439">
        <w:trPr>
          <w:trHeight w:hRule="exact" w:val="490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tbl>
            <w:tblPr>
              <w:tblW w:w="0" w:type="auto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5"/>
              <w:gridCol w:w="3412"/>
              <w:gridCol w:w="3543"/>
              <w:gridCol w:w="3119"/>
            </w:tblGrid>
            <w:tr w:rsidR="00875439" w:rsidRPr="000E5594" w:rsidTr="00BA11D1">
              <w:trPr>
                <w:trHeight w:hRule="exact" w:val="490"/>
              </w:trPr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35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Section</w:t>
                  </w:r>
                </w:p>
              </w:tc>
              <w:tc>
                <w:tcPr>
                  <w:tcW w:w="34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6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Provision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Interpretation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 w:rsidRPr="000E5594"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Comment</w:t>
                  </w:r>
                </w:p>
              </w:tc>
            </w:tr>
          </w:tbl>
          <w:p w:rsidR="00875439" w:rsidRDefault="00875439" w:rsidP="00875439">
            <w:pPr>
              <w:spacing w:before="246" w:after="2" w:line="236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tbl>
            <w:tblPr>
              <w:tblW w:w="117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"/>
              <w:gridCol w:w="5081"/>
              <w:gridCol w:w="3538"/>
              <w:gridCol w:w="3114"/>
            </w:tblGrid>
            <w:tr w:rsidR="00875439" w:rsidRPr="000E5594" w:rsidTr="00435106">
              <w:trPr>
                <w:trHeight w:hRule="exact" w:val="490"/>
              </w:trPr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35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</w:p>
              </w:tc>
              <w:tc>
                <w:tcPr>
                  <w:tcW w:w="5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6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Provision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Interpretation</w:t>
                  </w:r>
                </w:p>
              </w:tc>
              <w:tc>
                <w:tcPr>
                  <w:tcW w:w="3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 w:rsidRPr="000E5594"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Comment</w:t>
                  </w:r>
                </w:p>
              </w:tc>
            </w:tr>
          </w:tbl>
          <w:p w:rsidR="00875439" w:rsidRDefault="00875439" w:rsidP="00875439">
            <w:pPr>
              <w:spacing w:before="246" w:after="2" w:line="236" w:lineRule="exact"/>
              <w:ind w:left="97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tbl>
            <w:tblPr>
              <w:tblW w:w="1180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"/>
              <w:gridCol w:w="37"/>
              <w:gridCol w:w="8621"/>
              <w:gridCol w:w="3111"/>
            </w:tblGrid>
            <w:tr w:rsidR="00875439" w:rsidRPr="000E5594" w:rsidTr="00875439">
              <w:trPr>
                <w:trHeight w:hRule="exact" w:val="490"/>
              </w:trPr>
              <w:tc>
                <w:tcPr>
                  <w:tcW w:w="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35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6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</w:p>
              </w:tc>
              <w:tc>
                <w:tcPr>
                  <w:tcW w:w="86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Interpretation</w:t>
                  </w:r>
                </w:p>
              </w:tc>
              <w:tc>
                <w:tcPr>
                  <w:tcW w:w="3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 w:rsidRPr="000E5594"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Comment</w:t>
                  </w:r>
                </w:p>
              </w:tc>
            </w:tr>
          </w:tbl>
          <w:p w:rsidR="00875439" w:rsidRDefault="00875439" w:rsidP="00875439">
            <w:pPr>
              <w:spacing w:before="246" w:after="2" w:line="236" w:lineRule="exact"/>
              <w:ind w:right="3610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tbl>
            <w:tblPr>
              <w:tblW w:w="1306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"/>
              <w:gridCol w:w="37"/>
              <w:gridCol w:w="9882"/>
              <w:gridCol w:w="3107"/>
            </w:tblGrid>
            <w:tr w:rsidR="00875439" w:rsidRPr="000E5594" w:rsidTr="00875439">
              <w:trPr>
                <w:trHeight w:hRule="exact" w:val="490"/>
              </w:trPr>
              <w:tc>
                <w:tcPr>
                  <w:tcW w:w="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35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6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Provision</w:t>
                  </w:r>
                </w:p>
              </w:tc>
              <w:tc>
                <w:tcPr>
                  <w:tcW w:w="98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435106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Comment</w:t>
                  </w:r>
                </w:p>
              </w:tc>
              <w:tc>
                <w:tcPr>
                  <w:tcW w:w="3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006FC0" w:fill="006FC0"/>
                </w:tcPr>
                <w:p w:rsidR="00875439" w:rsidRPr="000E5594" w:rsidRDefault="00875439" w:rsidP="00875439">
                  <w:pPr>
                    <w:spacing w:before="246" w:after="2" w:line="236" w:lineRule="exact"/>
                    <w:ind w:left="101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 w:rsidRPr="000E5594"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r w:rsidRPr="000E5594">
                    <w:rPr>
                      <w:rFonts w:ascii="Arial" w:eastAsia="Arial" w:hAnsi="Arial"/>
                      <w:b/>
                      <w:color w:val="FFFFFF"/>
                      <w:sz w:val="21"/>
                    </w:rPr>
                    <w:t>Comment</w:t>
                  </w:r>
                </w:p>
              </w:tc>
            </w:tr>
          </w:tbl>
          <w:p w:rsidR="00875439" w:rsidRDefault="00875439" w:rsidP="0087543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EE69C7" w:rsidTr="00542043">
        <w:trPr>
          <w:trHeight w:hRule="exact" w:val="124"/>
        </w:trPr>
        <w:tc>
          <w:tcPr>
            <w:tcW w:w="9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tabs>
                <w:tab w:val="right" w:pos="5976"/>
              </w:tabs>
              <w:spacing w:line="224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542043">
        <w:trPr>
          <w:trHeight w:hRule="exact" w:val="80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line="233" w:lineRule="exact"/>
              <w:ind w:left="97"/>
              <w:textAlignment w:val="baseline"/>
              <w:rPr>
                <w:rFonts w:ascii="Arial" w:eastAsia="Arial" w:hAnsi="Arial"/>
                <w:color w:val="000000"/>
                <w:spacing w:val="-4"/>
                <w:sz w:val="21"/>
              </w:rPr>
            </w:pP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10" w:line="229" w:lineRule="exact"/>
              <w:ind w:left="83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542043">
        <w:trPr>
          <w:trHeight w:hRule="exact" w:val="80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line="205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80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after="207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line="228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50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numPr>
                <w:ilvl w:val="0"/>
                <w:numId w:val="41"/>
              </w:numPr>
              <w:tabs>
                <w:tab w:val="clear" w:pos="288"/>
                <w:tab w:val="left" w:pos="360"/>
              </w:tabs>
              <w:spacing w:line="23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The State may elect to take its proportionate share of petroleum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15" w:line="234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37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spacing w:after="222" w:line="224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production in kind or in cash.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after="1" w:line="222" w:lineRule="exact"/>
              <w:ind w:left="828" w:right="108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4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numPr>
                <w:ilvl w:val="0"/>
                <w:numId w:val="41"/>
              </w:numPr>
              <w:tabs>
                <w:tab w:val="clear" w:pos="288"/>
                <w:tab w:val="left" w:pos="360"/>
              </w:tabs>
              <w:spacing w:line="224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2"/>
                <w:sz w:val="21"/>
              </w:rPr>
            </w:pPr>
            <w:r>
              <w:rPr>
                <w:rFonts w:ascii="Arial" w:eastAsia="Arial" w:hAnsi="Arial"/>
                <w:color w:val="000000"/>
                <w:spacing w:val="-2"/>
                <w:sz w:val="21"/>
              </w:rPr>
              <w:t>A percentage of the State’s annual share of production or revenue,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11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05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as the case may be, for repayment of its proportionate share of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tabs>
                <w:tab w:val="right" w:pos="5976"/>
              </w:tabs>
              <w:spacing w:after="10" w:line="195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40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19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exploration and production development and production costs is as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15" w:line="224" w:lineRule="exact"/>
              <w:ind w:left="83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06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00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prescribed.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36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tabs>
                <w:tab w:val="right" w:pos="5976"/>
              </w:tabs>
              <w:spacing w:line="225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64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after="1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(7) Cost recovery rules that govern the recovery of exploration and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34" w:line="229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2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15" w:lineRule="exact"/>
              <w:ind w:left="97"/>
              <w:textAlignment w:val="baseline"/>
              <w:rPr>
                <w:rFonts w:ascii="Arial" w:eastAsia="Arial" w:hAnsi="Arial"/>
                <w:color w:val="000000"/>
                <w:spacing w:val="-3"/>
                <w:sz w:val="21"/>
              </w:rPr>
            </w:pPr>
            <w:r>
              <w:rPr>
                <w:rFonts w:ascii="Arial" w:eastAsia="Arial" w:hAnsi="Arial"/>
                <w:color w:val="000000"/>
                <w:spacing w:val="-3"/>
                <w:sz w:val="21"/>
              </w:rPr>
              <w:t>production costs as contemplated in subsection (3) are as prescribed,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25" w:line="190" w:lineRule="exact"/>
              <w:ind w:left="83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16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05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and to the extent necessary, further amplified in the terms and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456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spacing w:after="202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conditions of the petroleum right.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after="10" w:line="232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79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before="35" w:line="233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(8) The State Petroleum Company must enter into a joint operating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43" w:line="225" w:lineRule="exact"/>
              <w:ind w:left="83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192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191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agreement with the holder or become a party to an existing joint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3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00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operating agreement and appoint a minimum of two or more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tabs>
                <w:tab w:val="right" w:pos="5976"/>
              </w:tabs>
              <w:spacing w:after="29" w:line="200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2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210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representatives to the joint operating committee of the exploration or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20" w:line="205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542043">
        <w:trPr>
          <w:trHeight w:hRule="exact" w:val="72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spacing w:after="192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production operation to represent the State.</w:t>
            </w:r>
          </w:p>
          <w:p w:rsidR="00542043" w:rsidRDefault="00542043">
            <w:pPr>
              <w:spacing w:after="192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542043" w:rsidRDefault="00542043">
            <w:pPr>
              <w:spacing w:after="192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line="223" w:lineRule="exact"/>
              <w:ind w:left="828"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5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284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before="40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(9) The State Petroleum Company is entitled to full participation,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after="63" w:line="215" w:lineRule="exact"/>
              <w:ind w:left="83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192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820FA2">
            <w:pPr>
              <w:spacing w:line="181" w:lineRule="exact"/>
              <w:ind w:left="97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>including corresponding percentage of voting rights as determined in the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528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spacing w:after="269" w:line="238" w:lineRule="exact"/>
              <w:ind w:left="97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joint operating agreement.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after="96" w:line="230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465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E69C7" w:rsidRDefault="00EE69C7">
            <w:pPr>
              <w:spacing w:before="125" w:after="92" w:line="238" w:lineRule="exact"/>
              <w:ind w:right="10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571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before="121" w:line="222" w:lineRule="exact"/>
              <w:ind w:left="468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0D4B50">
        <w:trPr>
          <w:trHeight w:hRule="exact" w:val="807"/>
        </w:trPr>
        <w:tc>
          <w:tcPr>
            <w:tcW w:w="955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after="96" w:line="233" w:lineRule="exact"/>
              <w:ind w:left="828" w:right="108"/>
              <w:jc w:val="both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EE69C7" w:rsidTr="00542043">
        <w:trPr>
          <w:trHeight w:hRule="exact" w:val="137"/>
        </w:trPr>
        <w:tc>
          <w:tcPr>
            <w:tcW w:w="95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9C7" w:rsidRDefault="00EE69C7">
            <w:pPr>
              <w:spacing w:line="228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354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E69C7" w:rsidRDefault="00820FA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EE69C7" w:rsidRDefault="00EE69C7">
      <w:pPr>
        <w:sectPr w:rsidR="00EE69C7">
          <w:pgSz w:w="16834" w:h="11904" w:orient="landscape"/>
          <w:pgMar w:top="1220" w:right="1647" w:bottom="182" w:left="1387" w:header="720" w:footer="720" w:gutter="0"/>
          <w:cols w:space="720"/>
        </w:sectPr>
      </w:pPr>
    </w:p>
    <w:p w:rsidR="00EE69C7" w:rsidRDefault="00EE69C7" w:rsidP="00542043">
      <w:pPr>
        <w:spacing w:before="20" w:line="228" w:lineRule="exact"/>
        <w:textAlignment w:val="baseline"/>
        <w:rPr>
          <w:rFonts w:ascii="Arial" w:eastAsia="Arial" w:hAnsi="Arial"/>
          <w:color w:val="000000"/>
          <w:sz w:val="10"/>
        </w:rPr>
      </w:pPr>
    </w:p>
    <w:sectPr w:rsidR="00EE69C7" w:rsidSect="00542043">
      <w:pgSz w:w="16834" w:h="11904" w:orient="landscape"/>
      <w:pgMar w:top="1220" w:right="1647" w:bottom="182" w:left="13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29" w:rsidRDefault="00570A29">
      <w:r>
        <w:separator/>
      </w:r>
    </w:p>
  </w:endnote>
  <w:endnote w:type="continuationSeparator" w:id="0">
    <w:p w:rsidR="00570A29" w:rsidRDefault="0057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29" w:rsidRDefault="00570A29"/>
  </w:footnote>
  <w:footnote w:type="continuationSeparator" w:id="0">
    <w:p w:rsidR="00570A29" w:rsidRDefault="0057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E9"/>
    <w:multiLevelType w:val="multilevel"/>
    <w:tmpl w:val="BAF6DF2E"/>
    <w:lvl w:ilvl="0">
      <w:start w:val="5"/>
      <w:numFmt w:val="decimal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62C62"/>
    <w:multiLevelType w:val="multilevel"/>
    <w:tmpl w:val="F38AAD7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57E57"/>
    <w:multiLevelType w:val="multilevel"/>
    <w:tmpl w:val="221AC4BE"/>
    <w:lvl w:ilvl="0">
      <w:start w:val="1"/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B77AF"/>
    <w:multiLevelType w:val="multilevel"/>
    <w:tmpl w:val="807ED840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D714E"/>
    <w:multiLevelType w:val="multilevel"/>
    <w:tmpl w:val="0B786F7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07A3F"/>
    <w:multiLevelType w:val="multilevel"/>
    <w:tmpl w:val="4FBEC53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66571B"/>
    <w:multiLevelType w:val="multilevel"/>
    <w:tmpl w:val="D3308286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88634F"/>
    <w:multiLevelType w:val="multilevel"/>
    <w:tmpl w:val="3050F0C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A075EF"/>
    <w:multiLevelType w:val="multilevel"/>
    <w:tmpl w:val="49BC1B74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93735D"/>
    <w:multiLevelType w:val="multilevel"/>
    <w:tmpl w:val="E97242D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FB6E1D"/>
    <w:multiLevelType w:val="multilevel"/>
    <w:tmpl w:val="5D5632AE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0502C0"/>
    <w:multiLevelType w:val="multilevel"/>
    <w:tmpl w:val="3C6450F4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3D5BF9"/>
    <w:multiLevelType w:val="multilevel"/>
    <w:tmpl w:val="5E32156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F73170"/>
    <w:multiLevelType w:val="multilevel"/>
    <w:tmpl w:val="C916C6DC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316A8D"/>
    <w:multiLevelType w:val="multilevel"/>
    <w:tmpl w:val="D2243E56"/>
    <w:lvl w:ilvl="0">
      <w:start w:val="2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2674FA"/>
    <w:multiLevelType w:val="multilevel"/>
    <w:tmpl w:val="BED8F936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7609AA"/>
    <w:multiLevelType w:val="multilevel"/>
    <w:tmpl w:val="D4765CC4"/>
    <w:lvl w:ilvl="0">
      <w:start w:val="3"/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51667D"/>
    <w:multiLevelType w:val="multilevel"/>
    <w:tmpl w:val="16586F4C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233B66"/>
    <w:multiLevelType w:val="multilevel"/>
    <w:tmpl w:val="E1C2534A"/>
    <w:lvl w:ilvl="0">
      <w:numFmt w:val="lowerLetter"/>
      <w:lvlText w:val="(%1)"/>
      <w:lvlJc w:val="left"/>
      <w:pPr>
        <w:tabs>
          <w:tab w:val="left" w:pos="504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CC102B0"/>
    <w:multiLevelType w:val="multilevel"/>
    <w:tmpl w:val="906A9F8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214D61"/>
    <w:multiLevelType w:val="hybridMultilevel"/>
    <w:tmpl w:val="8F2057E0"/>
    <w:lvl w:ilvl="0" w:tplc="0114B70A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8" w:hanging="360"/>
      </w:pPr>
    </w:lvl>
    <w:lvl w:ilvl="2" w:tplc="1C09001B" w:tentative="1">
      <w:start w:val="1"/>
      <w:numFmt w:val="lowerRoman"/>
      <w:lvlText w:val="%3."/>
      <w:lvlJc w:val="right"/>
      <w:pPr>
        <w:ind w:left="2268" w:hanging="180"/>
      </w:pPr>
    </w:lvl>
    <w:lvl w:ilvl="3" w:tplc="1C09000F" w:tentative="1">
      <w:start w:val="1"/>
      <w:numFmt w:val="decimal"/>
      <w:lvlText w:val="%4."/>
      <w:lvlJc w:val="left"/>
      <w:pPr>
        <w:ind w:left="2988" w:hanging="360"/>
      </w:pPr>
    </w:lvl>
    <w:lvl w:ilvl="4" w:tplc="1C090019" w:tentative="1">
      <w:start w:val="1"/>
      <w:numFmt w:val="lowerLetter"/>
      <w:lvlText w:val="%5."/>
      <w:lvlJc w:val="left"/>
      <w:pPr>
        <w:ind w:left="3708" w:hanging="360"/>
      </w:pPr>
    </w:lvl>
    <w:lvl w:ilvl="5" w:tplc="1C09001B" w:tentative="1">
      <w:start w:val="1"/>
      <w:numFmt w:val="lowerRoman"/>
      <w:lvlText w:val="%6."/>
      <w:lvlJc w:val="right"/>
      <w:pPr>
        <w:ind w:left="4428" w:hanging="180"/>
      </w:pPr>
    </w:lvl>
    <w:lvl w:ilvl="6" w:tplc="1C09000F" w:tentative="1">
      <w:start w:val="1"/>
      <w:numFmt w:val="decimal"/>
      <w:lvlText w:val="%7."/>
      <w:lvlJc w:val="left"/>
      <w:pPr>
        <w:ind w:left="5148" w:hanging="360"/>
      </w:pPr>
    </w:lvl>
    <w:lvl w:ilvl="7" w:tplc="1C090019" w:tentative="1">
      <w:start w:val="1"/>
      <w:numFmt w:val="lowerLetter"/>
      <w:lvlText w:val="%8."/>
      <w:lvlJc w:val="left"/>
      <w:pPr>
        <w:ind w:left="5868" w:hanging="360"/>
      </w:pPr>
    </w:lvl>
    <w:lvl w:ilvl="8" w:tplc="1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0D703221"/>
    <w:multiLevelType w:val="multilevel"/>
    <w:tmpl w:val="D5EA0012"/>
    <w:lvl w:ilvl="0">
      <w:start w:val="5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BF7DB9"/>
    <w:multiLevelType w:val="multilevel"/>
    <w:tmpl w:val="E46A3454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F902B93"/>
    <w:multiLevelType w:val="multilevel"/>
    <w:tmpl w:val="C0BEDE5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FCC319B"/>
    <w:multiLevelType w:val="multilevel"/>
    <w:tmpl w:val="7C540DB0"/>
    <w:lvl w:ilvl="0">
      <w:start w:val="2"/>
      <w:numFmt w:val="lowerRoman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0775DED"/>
    <w:multiLevelType w:val="multilevel"/>
    <w:tmpl w:val="1232689C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0A81EC3"/>
    <w:multiLevelType w:val="hybridMultilevel"/>
    <w:tmpl w:val="2EBC392C"/>
    <w:lvl w:ilvl="0" w:tplc="CAC6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B64654"/>
    <w:multiLevelType w:val="multilevel"/>
    <w:tmpl w:val="B29CA46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5E442B"/>
    <w:multiLevelType w:val="hybridMultilevel"/>
    <w:tmpl w:val="46C8DD6C"/>
    <w:lvl w:ilvl="0" w:tplc="1D941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37397"/>
    <w:multiLevelType w:val="multilevel"/>
    <w:tmpl w:val="53427E46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117994"/>
    <w:multiLevelType w:val="multilevel"/>
    <w:tmpl w:val="D772EC0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4553180"/>
    <w:multiLevelType w:val="multilevel"/>
    <w:tmpl w:val="6F10367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4EB355E"/>
    <w:multiLevelType w:val="multilevel"/>
    <w:tmpl w:val="2ED405C8"/>
    <w:lvl w:ilvl="0">
      <w:start w:val="4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4F76F8D"/>
    <w:multiLevelType w:val="multilevel"/>
    <w:tmpl w:val="71A2D3FC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5731498"/>
    <w:multiLevelType w:val="multilevel"/>
    <w:tmpl w:val="73B699AE"/>
    <w:lvl w:ilvl="0"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59E7D9F"/>
    <w:multiLevelType w:val="multilevel"/>
    <w:tmpl w:val="0A388BD8"/>
    <w:lvl w:ilvl="0">
      <w:start w:val="9"/>
      <w:numFmt w:val="lowerLetter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7A6470"/>
    <w:multiLevelType w:val="multilevel"/>
    <w:tmpl w:val="E3AA9428"/>
    <w:lvl w:ilvl="0">
      <w:start w:val="1"/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7B10AF3"/>
    <w:multiLevelType w:val="multilevel"/>
    <w:tmpl w:val="978C5CC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7CA65C0"/>
    <w:multiLevelType w:val="multilevel"/>
    <w:tmpl w:val="ACEC4E7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8470475"/>
    <w:multiLevelType w:val="multilevel"/>
    <w:tmpl w:val="3E9C503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86B0175"/>
    <w:multiLevelType w:val="multilevel"/>
    <w:tmpl w:val="0F687E56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9076139"/>
    <w:multiLevelType w:val="multilevel"/>
    <w:tmpl w:val="442CBA20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9807CE0"/>
    <w:multiLevelType w:val="multilevel"/>
    <w:tmpl w:val="00BC7D34"/>
    <w:lvl w:ilvl="0">
      <w:start w:val="5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B287251"/>
    <w:multiLevelType w:val="hybridMultilevel"/>
    <w:tmpl w:val="66AA1CF0"/>
    <w:lvl w:ilvl="0" w:tplc="1D941718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8" w:hanging="360"/>
      </w:pPr>
    </w:lvl>
    <w:lvl w:ilvl="2" w:tplc="1C09001B" w:tentative="1">
      <w:start w:val="1"/>
      <w:numFmt w:val="lowerRoman"/>
      <w:lvlText w:val="%3."/>
      <w:lvlJc w:val="right"/>
      <w:pPr>
        <w:ind w:left="1908" w:hanging="180"/>
      </w:pPr>
    </w:lvl>
    <w:lvl w:ilvl="3" w:tplc="1C09000F" w:tentative="1">
      <w:start w:val="1"/>
      <w:numFmt w:val="decimal"/>
      <w:lvlText w:val="%4."/>
      <w:lvlJc w:val="left"/>
      <w:pPr>
        <w:ind w:left="2628" w:hanging="360"/>
      </w:pPr>
    </w:lvl>
    <w:lvl w:ilvl="4" w:tplc="1C090019" w:tentative="1">
      <w:start w:val="1"/>
      <w:numFmt w:val="lowerLetter"/>
      <w:lvlText w:val="%5."/>
      <w:lvlJc w:val="left"/>
      <w:pPr>
        <w:ind w:left="3348" w:hanging="360"/>
      </w:pPr>
    </w:lvl>
    <w:lvl w:ilvl="5" w:tplc="1C09001B" w:tentative="1">
      <w:start w:val="1"/>
      <w:numFmt w:val="lowerRoman"/>
      <w:lvlText w:val="%6."/>
      <w:lvlJc w:val="right"/>
      <w:pPr>
        <w:ind w:left="4068" w:hanging="180"/>
      </w:pPr>
    </w:lvl>
    <w:lvl w:ilvl="6" w:tplc="1C09000F" w:tentative="1">
      <w:start w:val="1"/>
      <w:numFmt w:val="decimal"/>
      <w:lvlText w:val="%7."/>
      <w:lvlJc w:val="left"/>
      <w:pPr>
        <w:ind w:left="4788" w:hanging="360"/>
      </w:pPr>
    </w:lvl>
    <w:lvl w:ilvl="7" w:tplc="1C090019" w:tentative="1">
      <w:start w:val="1"/>
      <w:numFmt w:val="lowerLetter"/>
      <w:lvlText w:val="%8."/>
      <w:lvlJc w:val="left"/>
      <w:pPr>
        <w:ind w:left="5508" w:hanging="360"/>
      </w:pPr>
    </w:lvl>
    <w:lvl w:ilvl="8" w:tplc="1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4">
    <w:nsid w:val="1C300E6E"/>
    <w:multiLevelType w:val="multilevel"/>
    <w:tmpl w:val="9306C976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C6A4B39"/>
    <w:multiLevelType w:val="multilevel"/>
    <w:tmpl w:val="00B68550"/>
    <w:lvl w:ilvl="0">
      <w:start w:val="1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CF3425F"/>
    <w:multiLevelType w:val="multilevel"/>
    <w:tmpl w:val="F8CC39D0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D05725A"/>
    <w:multiLevelType w:val="multilevel"/>
    <w:tmpl w:val="6A8E33C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D186675"/>
    <w:multiLevelType w:val="hybridMultilevel"/>
    <w:tmpl w:val="B32AEE4A"/>
    <w:lvl w:ilvl="0" w:tplc="77D6E9EC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4" w:hanging="360"/>
      </w:pPr>
    </w:lvl>
    <w:lvl w:ilvl="2" w:tplc="1C09001B" w:tentative="1">
      <w:start w:val="1"/>
      <w:numFmt w:val="lowerRoman"/>
      <w:lvlText w:val="%3."/>
      <w:lvlJc w:val="right"/>
      <w:pPr>
        <w:ind w:left="1944" w:hanging="180"/>
      </w:pPr>
    </w:lvl>
    <w:lvl w:ilvl="3" w:tplc="1C09000F" w:tentative="1">
      <w:start w:val="1"/>
      <w:numFmt w:val="decimal"/>
      <w:lvlText w:val="%4."/>
      <w:lvlJc w:val="left"/>
      <w:pPr>
        <w:ind w:left="2664" w:hanging="360"/>
      </w:pPr>
    </w:lvl>
    <w:lvl w:ilvl="4" w:tplc="1C090019" w:tentative="1">
      <w:start w:val="1"/>
      <w:numFmt w:val="lowerLetter"/>
      <w:lvlText w:val="%5."/>
      <w:lvlJc w:val="left"/>
      <w:pPr>
        <w:ind w:left="3384" w:hanging="360"/>
      </w:pPr>
    </w:lvl>
    <w:lvl w:ilvl="5" w:tplc="1C09001B" w:tentative="1">
      <w:start w:val="1"/>
      <w:numFmt w:val="lowerRoman"/>
      <w:lvlText w:val="%6."/>
      <w:lvlJc w:val="right"/>
      <w:pPr>
        <w:ind w:left="4104" w:hanging="180"/>
      </w:pPr>
    </w:lvl>
    <w:lvl w:ilvl="6" w:tplc="1C09000F" w:tentative="1">
      <w:start w:val="1"/>
      <w:numFmt w:val="decimal"/>
      <w:lvlText w:val="%7."/>
      <w:lvlJc w:val="left"/>
      <w:pPr>
        <w:ind w:left="4824" w:hanging="360"/>
      </w:pPr>
    </w:lvl>
    <w:lvl w:ilvl="7" w:tplc="1C090019" w:tentative="1">
      <w:start w:val="1"/>
      <w:numFmt w:val="lowerLetter"/>
      <w:lvlText w:val="%8."/>
      <w:lvlJc w:val="left"/>
      <w:pPr>
        <w:ind w:left="5544" w:hanging="360"/>
      </w:pPr>
    </w:lvl>
    <w:lvl w:ilvl="8" w:tplc="1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9">
    <w:nsid w:val="1FE260E8"/>
    <w:multiLevelType w:val="multilevel"/>
    <w:tmpl w:val="050ACF9C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261AA2"/>
    <w:multiLevelType w:val="multilevel"/>
    <w:tmpl w:val="D75C9F2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094735C"/>
    <w:multiLevelType w:val="multilevel"/>
    <w:tmpl w:val="DC4AB7B2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3B351D4"/>
    <w:multiLevelType w:val="multilevel"/>
    <w:tmpl w:val="16007CE8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3E9693F"/>
    <w:multiLevelType w:val="multilevel"/>
    <w:tmpl w:val="D6AE67D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3FD67E1"/>
    <w:multiLevelType w:val="multilevel"/>
    <w:tmpl w:val="D7300D8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1C2773"/>
    <w:multiLevelType w:val="multilevel"/>
    <w:tmpl w:val="25EAC982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9E2A1B"/>
    <w:multiLevelType w:val="multilevel"/>
    <w:tmpl w:val="2DB61EDC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B47ED4"/>
    <w:multiLevelType w:val="multilevel"/>
    <w:tmpl w:val="B1C8F9D0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6BE08BF"/>
    <w:multiLevelType w:val="multilevel"/>
    <w:tmpl w:val="93165C2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6E277AB"/>
    <w:multiLevelType w:val="multilevel"/>
    <w:tmpl w:val="4B22ECDA"/>
    <w:lvl w:ilvl="0">
      <w:start w:val="1"/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354C32"/>
    <w:multiLevelType w:val="multilevel"/>
    <w:tmpl w:val="D8D85028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7C44AAE"/>
    <w:multiLevelType w:val="multilevel"/>
    <w:tmpl w:val="513854A4"/>
    <w:lvl w:ilvl="0">
      <w:start w:val="3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A0C5C33"/>
    <w:multiLevelType w:val="multilevel"/>
    <w:tmpl w:val="C9569D2A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ABD448A"/>
    <w:multiLevelType w:val="multilevel"/>
    <w:tmpl w:val="5AD4E1B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BCE4348"/>
    <w:multiLevelType w:val="multilevel"/>
    <w:tmpl w:val="DD7C7CA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CE1666A"/>
    <w:multiLevelType w:val="multilevel"/>
    <w:tmpl w:val="5B10D264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DB710D1"/>
    <w:multiLevelType w:val="multilevel"/>
    <w:tmpl w:val="A1DE52C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F9B79BB"/>
    <w:multiLevelType w:val="multilevel"/>
    <w:tmpl w:val="83561B76"/>
    <w:lvl w:ilvl="0">
      <w:start w:val="10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0F7B3A"/>
    <w:multiLevelType w:val="multilevel"/>
    <w:tmpl w:val="8520AF6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0321B3F"/>
    <w:multiLevelType w:val="hybridMultilevel"/>
    <w:tmpl w:val="C3B6C00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881E93"/>
    <w:multiLevelType w:val="multilevel"/>
    <w:tmpl w:val="247E3790"/>
    <w:lvl w:ilvl="0">
      <w:start w:val="4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1803927"/>
    <w:multiLevelType w:val="multilevel"/>
    <w:tmpl w:val="BACEE868"/>
    <w:lvl w:ilvl="0"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2B0551E"/>
    <w:multiLevelType w:val="multilevel"/>
    <w:tmpl w:val="566E2F9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2D725E4"/>
    <w:multiLevelType w:val="multilevel"/>
    <w:tmpl w:val="AE965514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4A432C6"/>
    <w:multiLevelType w:val="multilevel"/>
    <w:tmpl w:val="2572098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4B83D88"/>
    <w:multiLevelType w:val="multilevel"/>
    <w:tmpl w:val="B220E13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6C30725"/>
    <w:multiLevelType w:val="multilevel"/>
    <w:tmpl w:val="A3A8E82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5164BB"/>
    <w:multiLevelType w:val="multilevel"/>
    <w:tmpl w:val="45ECF91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82E7F6A"/>
    <w:multiLevelType w:val="multilevel"/>
    <w:tmpl w:val="D9C28EC8"/>
    <w:lvl w:ilvl="0">
      <w:start w:val="2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86D5D48"/>
    <w:multiLevelType w:val="multilevel"/>
    <w:tmpl w:val="C4E4DC4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A411C79"/>
    <w:multiLevelType w:val="multilevel"/>
    <w:tmpl w:val="01E28D90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A5C21DA"/>
    <w:multiLevelType w:val="multilevel"/>
    <w:tmpl w:val="E3782C8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C030F10"/>
    <w:multiLevelType w:val="multilevel"/>
    <w:tmpl w:val="F40640E6"/>
    <w:lvl w:ilvl="0">
      <w:numFmt w:val="lowerRoman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C0E28D3"/>
    <w:multiLevelType w:val="multilevel"/>
    <w:tmpl w:val="AF667E02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CCC1941"/>
    <w:multiLevelType w:val="multilevel"/>
    <w:tmpl w:val="220C78C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D6A41E2"/>
    <w:multiLevelType w:val="multilevel"/>
    <w:tmpl w:val="87A2E5A0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D9E239C"/>
    <w:multiLevelType w:val="multilevel"/>
    <w:tmpl w:val="8AEE638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E866E10"/>
    <w:multiLevelType w:val="multilevel"/>
    <w:tmpl w:val="395CD7A6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EB73314"/>
    <w:multiLevelType w:val="multilevel"/>
    <w:tmpl w:val="A3B0130C"/>
    <w:lvl w:ilvl="0">
      <w:start w:val="3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29A3D42"/>
    <w:multiLevelType w:val="multilevel"/>
    <w:tmpl w:val="8C9A9A1E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32220A4"/>
    <w:multiLevelType w:val="multilevel"/>
    <w:tmpl w:val="F02EA380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3711AF0"/>
    <w:multiLevelType w:val="multilevel"/>
    <w:tmpl w:val="1B32D80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3F41C1F"/>
    <w:multiLevelType w:val="multilevel"/>
    <w:tmpl w:val="EF5ADBD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5342CC9"/>
    <w:multiLevelType w:val="multilevel"/>
    <w:tmpl w:val="BA8AD492"/>
    <w:lvl w:ilvl="0">
      <w:start w:val="3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5662B20"/>
    <w:multiLevelType w:val="multilevel"/>
    <w:tmpl w:val="40F68C70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7252795"/>
    <w:multiLevelType w:val="multilevel"/>
    <w:tmpl w:val="517ED948"/>
    <w:lvl w:ilvl="0">
      <w:start w:val="4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7A41707"/>
    <w:multiLevelType w:val="multilevel"/>
    <w:tmpl w:val="3AC05620"/>
    <w:lvl w:ilvl="0">
      <w:start w:val="3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7E25ACB"/>
    <w:multiLevelType w:val="multilevel"/>
    <w:tmpl w:val="C81C8702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8A47244"/>
    <w:multiLevelType w:val="multilevel"/>
    <w:tmpl w:val="B4B64D7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9AA3FE3"/>
    <w:multiLevelType w:val="multilevel"/>
    <w:tmpl w:val="2FB48794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A2F3A2F"/>
    <w:multiLevelType w:val="multilevel"/>
    <w:tmpl w:val="94D4181C"/>
    <w:lvl w:ilvl="0">
      <w:numFmt w:val="decimal"/>
      <w:lvlText w:val="(%1)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C675EA2"/>
    <w:multiLevelType w:val="multilevel"/>
    <w:tmpl w:val="6A9C6BF8"/>
    <w:lvl w:ilvl="0">
      <w:start w:val="3"/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C6B75C0"/>
    <w:multiLevelType w:val="multilevel"/>
    <w:tmpl w:val="0D64FDA4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C6D272F"/>
    <w:multiLevelType w:val="multilevel"/>
    <w:tmpl w:val="CC103D1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C88488B"/>
    <w:multiLevelType w:val="multilevel"/>
    <w:tmpl w:val="5E80E448"/>
    <w:lvl w:ilvl="0">
      <w:start w:val="1"/>
      <w:numFmt w:val="decimal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E107C6F"/>
    <w:multiLevelType w:val="multilevel"/>
    <w:tmpl w:val="E25C9244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FDB3A9F"/>
    <w:multiLevelType w:val="multilevel"/>
    <w:tmpl w:val="36A6D40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0550E02"/>
    <w:multiLevelType w:val="multilevel"/>
    <w:tmpl w:val="4F085DCC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0796D90"/>
    <w:multiLevelType w:val="multilevel"/>
    <w:tmpl w:val="001801A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0C02C69"/>
    <w:multiLevelType w:val="multilevel"/>
    <w:tmpl w:val="DC728108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0FE58D0"/>
    <w:multiLevelType w:val="multilevel"/>
    <w:tmpl w:val="E8E4015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19B6853"/>
    <w:multiLevelType w:val="multilevel"/>
    <w:tmpl w:val="0FEC4D16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1ED3525"/>
    <w:multiLevelType w:val="multilevel"/>
    <w:tmpl w:val="27D2031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3C8563D"/>
    <w:multiLevelType w:val="multilevel"/>
    <w:tmpl w:val="4518226A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4E2176B"/>
    <w:multiLevelType w:val="multilevel"/>
    <w:tmpl w:val="1D9E7A5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6245B02"/>
    <w:multiLevelType w:val="multilevel"/>
    <w:tmpl w:val="52A86AE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6832D66"/>
    <w:multiLevelType w:val="multilevel"/>
    <w:tmpl w:val="B218BDAC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7A76437"/>
    <w:multiLevelType w:val="multilevel"/>
    <w:tmpl w:val="C30889DE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964152E"/>
    <w:multiLevelType w:val="multilevel"/>
    <w:tmpl w:val="599E5916"/>
    <w:lvl w:ilvl="0">
      <w:start w:val="3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A61096C"/>
    <w:multiLevelType w:val="multilevel"/>
    <w:tmpl w:val="4714472A"/>
    <w:lvl w:ilvl="0">
      <w:numFmt w:val="lowerLetter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C8D5110"/>
    <w:multiLevelType w:val="multilevel"/>
    <w:tmpl w:val="363E4D4E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D4275AC"/>
    <w:multiLevelType w:val="multilevel"/>
    <w:tmpl w:val="11D0D242"/>
    <w:lvl w:ilvl="0">
      <w:start w:val="3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622942"/>
    <w:multiLevelType w:val="multilevel"/>
    <w:tmpl w:val="0B38CF6E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EE66DA5"/>
    <w:multiLevelType w:val="multilevel"/>
    <w:tmpl w:val="1E5E533E"/>
    <w:lvl w:ilvl="0">
      <w:numFmt w:val="lowerLetter"/>
      <w:lvlText w:val="(%1)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F562BFE"/>
    <w:multiLevelType w:val="multilevel"/>
    <w:tmpl w:val="DBCA634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FA46465"/>
    <w:multiLevelType w:val="multilevel"/>
    <w:tmpl w:val="68CAA4C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0613EF9"/>
    <w:multiLevelType w:val="multilevel"/>
    <w:tmpl w:val="264818D4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0770775"/>
    <w:multiLevelType w:val="multilevel"/>
    <w:tmpl w:val="76E6DFF2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1472276"/>
    <w:multiLevelType w:val="multilevel"/>
    <w:tmpl w:val="942E2406"/>
    <w:lvl w:ilvl="0">
      <w:start w:val="4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1D16503"/>
    <w:multiLevelType w:val="multilevel"/>
    <w:tmpl w:val="DE10B44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1FC5DF8"/>
    <w:multiLevelType w:val="multilevel"/>
    <w:tmpl w:val="5890F20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29530ED"/>
    <w:multiLevelType w:val="multilevel"/>
    <w:tmpl w:val="51742882"/>
    <w:lvl w:ilvl="0">
      <w:start w:val="1"/>
      <w:numFmt w:val="lowerRoman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2CA19F9"/>
    <w:multiLevelType w:val="multilevel"/>
    <w:tmpl w:val="2A963EA8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34C2979"/>
    <w:multiLevelType w:val="multilevel"/>
    <w:tmpl w:val="985A19E2"/>
    <w:lvl w:ilvl="0">
      <w:start w:val="7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35A4E18"/>
    <w:multiLevelType w:val="multilevel"/>
    <w:tmpl w:val="80CED35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41A7BDA"/>
    <w:multiLevelType w:val="multilevel"/>
    <w:tmpl w:val="36E424A0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4705EE3"/>
    <w:multiLevelType w:val="multilevel"/>
    <w:tmpl w:val="0E728674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5856448"/>
    <w:multiLevelType w:val="multilevel"/>
    <w:tmpl w:val="F9CC947A"/>
    <w:lvl w:ilvl="0">
      <w:start w:val="1"/>
      <w:numFmt w:val="lowerRoman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71973F3"/>
    <w:multiLevelType w:val="multilevel"/>
    <w:tmpl w:val="FAD0C1A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86000DE"/>
    <w:multiLevelType w:val="multilevel"/>
    <w:tmpl w:val="EAAA0F8C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8F248EF"/>
    <w:multiLevelType w:val="multilevel"/>
    <w:tmpl w:val="87F2F3C0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9EB2DD0"/>
    <w:multiLevelType w:val="multilevel"/>
    <w:tmpl w:val="8A5ED11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A214D1E"/>
    <w:multiLevelType w:val="multilevel"/>
    <w:tmpl w:val="73028BDA"/>
    <w:lvl w:ilvl="0">
      <w:start w:val="1"/>
      <w:numFmt w:val="decimal"/>
      <w:lvlText w:val="(%1)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A3E284A"/>
    <w:multiLevelType w:val="multilevel"/>
    <w:tmpl w:val="AA8EAE66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A8E1726"/>
    <w:multiLevelType w:val="multilevel"/>
    <w:tmpl w:val="8F34345C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A99340A"/>
    <w:multiLevelType w:val="multilevel"/>
    <w:tmpl w:val="2568494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B852446"/>
    <w:multiLevelType w:val="hybridMultilevel"/>
    <w:tmpl w:val="46907A74"/>
    <w:lvl w:ilvl="0" w:tplc="1CBA4E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281646"/>
    <w:multiLevelType w:val="multilevel"/>
    <w:tmpl w:val="774CF9B8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C401221"/>
    <w:multiLevelType w:val="multilevel"/>
    <w:tmpl w:val="8392F9C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CC1704E"/>
    <w:multiLevelType w:val="multilevel"/>
    <w:tmpl w:val="6354E5AC"/>
    <w:lvl w:ilvl="0">
      <w:start w:val="5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0385E5F"/>
    <w:multiLevelType w:val="multilevel"/>
    <w:tmpl w:val="36A6FD9E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21D210E"/>
    <w:multiLevelType w:val="multilevel"/>
    <w:tmpl w:val="C00E6E2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23A5F60"/>
    <w:multiLevelType w:val="multilevel"/>
    <w:tmpl w:val="61EC2E14"/>
    <w:lvl w:ilvl="0">
      <w:start w:val="1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2562B5B"/>
    <w:multiLevelType w:val="multilevel"/>
    <w:tmpl w:val="DEC4A6F6"/>
    <w:lvl w:ilvl="0">
      <w:start w:val="4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3AD7316"/>
    <w:multiLevelType w:val="multilevel"/>
    <w:tmpl w:val="B5180BC2"/>
    <w:lvl w:ilvl="0">
      <w:start w:val="3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53F49E8"/>
    <w:multiLevelType w:val="multilevel"/>
    <w:tmpl w:val="3D322C6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6DB6EAD"/>
    <w:multiLevelType w:val="multilevel"/>
    <w:tmpl w:val="84C4F604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83E3579"/>
    <w:multiLevelType w:val="multilevel"/>
    <w:tmpl w:val="31E0E3C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96D1CD5"/>
    <w:multiLevelType w:val="hybridMultilevel"/>
    <w:tmpl w:val="EBF80E7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FF7769"/>
    <w:multiLevelType w:val="multilevel"/>
    <w:tmpl w:val="7458C1AE"/>
    <w:lvl w:ilvl="0">
      <w:numFmt w:val="lowerRoman"/>
      <w:lvlText w:val="(%1)"/>
      <w:lvlJc w:val="left"/>
      <w:pPr>
        <w:tabs>
          <w:tab w:val="left" w:pos="504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A6D7227"/>
    <w:multiLevelType w:val="multilevel"/>
    <w:tmpl w:val="25FA4388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A9907A7"/>
    <w:multiLevelType w:val="multilevel"/>
    <w:tmpl w:val="94AABB90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B02434D"/>
    <w:multiLevelType w:val="multilevel"/>
    <w:tmpl w:val="5A88A9A2"/>
    <w:lvl w:ilvl="0">
      <w:start w:val="2"/>
      <w:numFmt w:val="lowerLetter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B276064"/>
    <w:multiLevelType w:val="multilevel"/>
    <w:tmpl w:val="31089096"/>
    <w:lvl w:ilvl="0">
      <w:start w:val="3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B4736DC"/>
    <w:multiLevelType w:val="multilevel"/>
    <w:tmpl w:val="AE3E272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C4B18AD"/>
    <w:multiLevelType w:val="multilevel"/>
    <w:tmpl w:val="9BB27412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CC3252F"/>
    <w:multiLevelType w:val="multilevel"/>
    <w:tmpl w:val="873ED672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CF47268"/>
    <w:multiLevelType w:val="multilevel"/>
    <w:tmpl w:val="A81821D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D4B74EF"/>
    <w:multiLevelType w:val="multilevel"/>
    <w:tmpl w:val="AF24A770"/>
    <w:lvl w:ilvl="0">
      <w:start w:val="1"/>
      <w:numFmt w:val="lowerRoman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D671EDA"/>
    <w:multiLevelType w:val="multilevel"/>
    <w:tmpl w:val="A3C410A0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D921919"/>
    <w:multiLevelType w:val="multilevel"/>
    <w:tmpl w:val="053E581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DA2009C"/>
    <w:multiLevelType w:val="multilevel"/>
    <w:tmpl w:val="3E4E91E0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DE20DA5"/>
    <w:multiLevelType w:val="multilevel"/>
    <w:tmpl w:val="6680A8AE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EF83A95"/>
    <w:multiLevelType w:val="multilevel"/>
    <w:tmpl w:val="3FF4EC26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F3E4D92"/>
    <w:multiLevelType w:val="multilevel"/>
    <w:tmpl w:val="4AAAD9C4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F5B18F3"/>
    <w:multiLevelType w:val="multilevel"/>
    <w:tmpl w:val="C88A131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FFC49F4"/>
    <w:multiLevelType w:val="multilevel"/>
    <w:tmpl w:val="9D240698"/>
    <w:lvl w:ilvl="0">
      <w:start w:val="2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124"/>
  </w:num>
  <w:num w:numId="3">
    <w:abstractNumId w:val="114"/>
  </w:num>
  <w:num w:numId="4">
    <w:abstractNumId w:val="45"/>
  </w:num>
  <w:num w:numId="5">
    <w:abstractNumId w:val="123"/>
  </w:num>
  <w:num w:numId="6">
    <w:abstractNumId w:val="170"/>
  </w:num>
  <w:num w:numId="7">
    <w:abstractNumId w:val="7"/>
  </w:num>
  <w:num w:numId="8">
    <w:abstractNumId w:val="122"/>
  </w:num>
  <w:num w:numId="9">
    <w:abstractNumId w:val="71"/>
  </w:num>
  <w:num w:numId="10">
    <w:abstractNumId w:val="108"/>
  </w:num>
  <w:num w:numId="11">
    <w:abstractNumId w:val="128"/>
  </w:num>
  <w:num w:numId="12">
    <w:abstractNumId w:val="57"/>
  </w:num>
  <w:num w:numId="13">
    <w:abstractNumId w:val="35"/>
  </w:num>
  <w:num w:numId="14">
    <w:abstractNumId w:val="83"/>
  </w:num>
  <w:num w:numId="15">
    <w:abstractNumId w:val="121"/>
  </w:num>
  <w:num w:numId="16">
    <w:abstractNumId w:val="147"/>
  </w:num>
  <w:num w:numId="17">
    <w:abstractNumId w:val="102"/>
  </w:num>
  <w:num w:numId="18">
    <w:abstractNumId w:val="17"/>
  </w:num>
  <w:num w:numId="19">
    <w:abstractNumId w:val="38"/>
  </w:num>
  <w:num w:numId="20">
    <w:abstractNumId w:val="144"/>
  </w:num>
  <w:num w:numId="21">
    <w:abstractNumId w:val="46"/>
  </w:num>
  <w:num w:numId="22">
    <w:abstractNumId w:val="68"/>
  </w:num>
  <w:num w:numId="23">
    <w:abstractNumId w:val="61"/>
  </w:num>
  <w:num w:numId="24">
    <w:abstractNumId w:val="88"/>
  </w:num>
  <w:num w:numId="25">
    <w:abstractNumId w:val="3"/>
  </w:num>
  <w:num w:numId="26">
    <w:abstractNumId w:val="131"/>
  </w:num>
  <w:num w:numId="27">
    <w:abstractNumId w:val="75"/>
  </w:num>
  <w:num w:numId="28">
    <w:abstractNumId w:val="129"/>
  </w:num>
  <w:num w:numId="29">
    <w:abstractNumId w:val="169"/>
  </w:num>
  <w:num w:numId="30">
    <w:abstractNumId w:val="5"/>
  </w:num>
  <w:num w:numId="31">
    <w:abstractNumId w:val="97"/>
  </w:num>
  <w:num w:numId="32">
    <w:abstractNumId w:val="125"/>
  </w:num>
  <w:num w:numId="33">
    <w:abstractNumId w:val="161"/>
  </w:num>
  <w:num w:numId="34">
    <w:abstractNumId w:val="34"/>
  </w:num>
  <w:num w:numId="35">
    <w:abstractNumId w:val="50"/>
  </w:num>
  <w:num w:numId="36">
    <w:abstractNumId w:val="40"/>
  </w:num>
  <w:num w:numId="37">
    <w:abstractNumId w:val="54"/>
  </w:num>
  <w:num w:numId="38">
    <w:abstractNumId w:val="15"/>
  </w:num>
  <w:num w:numId="39">
    <w:abstractNumId w:val="30"/>
  </w:num>
  <w:num w:numId="40">
    <w:abstractNumId w:val="175"/>
  </w:num>
  <w:num w:numId="41">
    <w:abstractNumId w:val="42"/>
  </w:num>
  <w:num w:numId="42">
    <w:abstractNumId w:val="140"/>
  </w:num>
  <w:num w:numId="43">
    <w:abstractNumId w:val="138"/>
  </w:num>
  <w:num w:numId="44">
    <w:abstractNumId w:val="94"/>
  </w:num>
  <w:num w:numId="45">
    <w:abstractNumId w:val="18"/>
  </w:num>
  <w:num w:numId="46">
    <w:abstractNumId w:val="134"/>
  </w:num>
  <w:num w:numId="47">
    <w:abstractNumId w:val="29"/>
  </w:num>
  <w:num w:numId="48">
    <w:abstractNumId w:val="145"/>
  </w:num>
  <w:num w:numId="49">
    <w:abstractNumId w:val="39"/>
  </w:num>
  <w:num w:numId="50">
    <w:abstractNumId w:val="76"/>
  </w:num>
  <w:num w:numId="51">
    <w:abstractNumId w:val="153"/>
  </w:num>
  <w:num w:numId="52">
    <w:abstractNumId w:val="116"/>
  </w:num>
  <w:num w:numId="53">
    <w:abstractNumId w:val="4"/>
  </w:num>
  <w:num w:numId="54">
    <w:abstractNumId w:val="85"/>
  </w:num>
  <w:num w:numId="55">
    <w:abstractNumId w:val="126"/>
  </w:num>
  <w:num w:numId="56">
    <w:abstractNumId w:val="132"/>
  </w:num>
  <w:num w:numId="57">
    <w:abstractNumId w:val="13"/>
  </w:num>
  <w:num w:numId="58">
    <w:abstractNumId w:val="80"/>
  </w:num>
  <w:num w:numId="59">
    <w:abstractNumId w:val="79"/>
  </w:num>
  <w:num w:numId="60">
    <w:abstractNumId w:val="127"/>
  </w:num>
  <w:num w:numId="61">
    <w:abstractNumId w:val="163"/>
  </w:num>
  <w:num w:numId="62">
    <w:abstractNumId w:val="78"/>
  </w:num>
  <w:num w:numId="63">
    <w:abstractNumId w:val="157"/>
  </w:num>
  <w:num w:numId="64">
    <w:abstractNumId w:val="6"/>
  </w:num>
  <w:num w:numId="65">
    <w:abstractNumId w:val="117"/>
  </w:num>
  <w:num w:numId="66">
    <w:abstractNumId w:val="113"/>
  </w:num>
  <w:num w:numId="67">
    <w:abstractNumId w:val="99"/>
  </w:num>
  <w:num w:numId="68">
    <w:abstractNumId w:val="103"/>
  </w:num>
  <w:num w:numId="69">
    <w:abstractNumId w:val="22"/>
  </w:num>
  <w:num w:numId="70">
    <w:abstractNumId w:val="173"/>
  </w:num>
  <w:num w:numId="71">
    <w:abstractNumId w:val="9"/>
  </w:num>
  <w:num w:numId="72">
    <w:abstractNumId w:val="87"/>
  </w:num>
  <w:num w:numId="73">
    <w:abstractNumId w:val="119"/>
  </w:num>
  <w:num w:numId="74">
    <w:abstractNumId w:val="95"/>
  </w:num>
  <w:num w:numId="75">
    <w:abstractNumId w:val="32"/>
  </w:num>
  <w:num w:numId="76">
    <w:abstractNumId w:val="16"/>
  </w:num>
  <w:num w:numId="77">
    <w:abstractNumId w:val="49"/>
  </w:num>
  <w:num w:numId="78">
    <w:abstractNumId w:val="60"/>
  </w:num>
  <w:num w:numId="79">
    <w:abstractNumId w:val="104"/>
  </w:num>
  <w:num w:numId="80">
    <w:abstractNumId w:val="27"/>
  </w:num>
  <w:num w:numId="81">
    <w:abstractNumId w:val="137"/>
  </w:num>
  <w:num w:numId="82">
    <w:abstractNumId w:val="96"/>
  </w:num>
  <w:num w:numId="83">
    <w:abstractNumId w:val="98"/>
  </w:num>
  <w:num w:numId="84">
    <w:abstractNumId w:val="112"/>
  </w:num>
  <w:num w:numId="85">
    <w:abstractNumId w:val="166"/>
  </w:num>
  <w:num w:numId="86">
    <w:abstractNumId w:val="67"/>
  </w:num>
  <w:num w:numId="87">
    <w:abstractNumId w:val="136"/>
  </w:num>
  <w:num w:numId="88">
    <w:abstractNumId w:val="109"/>
  </w:num>
  <w:num w:numId="89">
    <w:abstractNumId w:val="84"/>
  </w:num>
  <w:num w:numId="90">
    <w:abstractNumId w:val="143"/>
  </w:num>
  <w:num w:numId="91">
    <w:abstractNumId w:val="168"/>
  </w:num>
  <w:num w:numId="92">
    <w:abstractNumId w:val="159"/>
  </w:num>
  <w:num w:numId="93">
    <w:abstractNumId w:val="135"/>
  </w:num>
  <w:num w:numId="94">
    <w:abstractNumId w:val="92"/>
  </w:num>
  <w:num w:numId="95">
    <w:abstractNumId w:val="91"/>
  </w:num>
  <w:num w:numId="96">
    <w:abstractNumId w:val="77"/>
  </w:num>
  <w:num w:numId="97">
    <w:abstractNumId w:val="156"/>
  </w:num>
  <w:num w:numId="98">
    <w:abstractNumId w:val="110"/>
  </w:num>
  <w:num w:numId="99">
    <w:abstractNumId w:val="21"/>
  </w:num>
  <w:num w:numId="100">
    <w:abstractNumId w:val="171"/>
  </w:num>
  <w:num w:numId="101">
    <w:abstractNumId w:val="141"/>
  </w:num>
  <w:num w:numId="102">
    <w:abstractNumId w:val="111"/>
  </w:num>
  <w:num w:numId="103">
    <w:abstractNumId w:val="107"/>
  </w:num>
  <w:num w:numId="104">
    <w:abstractNumId w:val="154"/>
  </w:num>
  <w:num w:numId="105">
    <w:abstractNumId w:val="55"/>
  </w:num>
  <w:num w:numId="106">
    <w:abstractNumId w:val="8"/>
  </w:num>
  <w:num w:numId="107">
    <w:abstractNumId w:val="115"/>
  </w:num>
  <w:num w:numId="108">
    <w:abstractNumId w:val="63"/>
  </w:num>
  <w:num w:numId="109">
    <w:abstractNumId w:val="51"/>
  </w:num>
  <w:num w:numId="110">
    <w:abstractNumId w:val="148"/>
  </w:num>
  <w:num w:numId="111">
    <w:abstractNumId w:val="64"/>
  </w:num>
  <w:num w:numId="112">
    <w:abstractNumId w:val="139"/>
  </w:num>
  <w:num w:numId="113">
    <w:abstractNumId w:val="118"/>
  </w:num>
  <w:num w:numId="114">
    <w:abstractNumId w:val="164"/>
  </w:num>
  <w:num w:numId="115">
    <w:abstractNumId w:val="167"/>
  </w:num>
  <w:num w:numId="116">
    <w:abstractNumId w:val="19"/>
  </w:num>
  <w:num w:numId="117">
    <w:abstractNumId w:val="105"/>
  </w:num>
  <w:num w:numId="118">
    <w:abstractNumId w:val="151"/>
  </w:num>
  <w:num w:numId="119">
    <w:abstractNumId w:val="81"/>
  </w:num>
  <w:num w:numId="120">
    <w:abstractNumId w:val="176"/>
  </w:num>
  <w:num w:numId="121">
    <w:abstractNumId w:val="73"/>
  </w:num>
  <w:num w:numId="122">
    <w:abstractNumId w:val="44"/>
  </w:num>
  <w:num w:numId="123">
    <w:abstractNumId w:val="58"/>
  </w:num>
  <w:num w:numId="124">
    <w:abstractNumId w:val="93"/>
  </w:num>
  <w:num w:numId="125">
    <w:abstractNumId w:val="86"/>
  </w:num>
  <w:num w:numId="126">
    <w:abstractNumId w:val="150"/>
  </w:num>
  <w:num w:numId="127">
    <w:abstractNumId w:val="53"/>
  </w:num>
  <w:num w:numId="128">
    <w:abstractNumId w:val="37"/>
  </w:num>
  <w:num w:numId="129">
    <w:abstractNumId w:val="12"/>
  </w:num>
  <w:num w:numId="130">
    <w:abstractNumId w:val="1"/>
  </w:num>
  <w:num w:numId="131">
    <w:abstractNumId w:val="23"/>
  </w:num>
  <w:num w:numId="132">
    <w:abstractNumId w:val="70"/>
  </w:num>
  <w:num w:numId="133">
    <w:abstractNumId w:val="152"/>
  </w:num>
  <w:num w:numId="134">
    <w:abstractNumId w:val="10"/>
  </w:num>
  <w:num w:numId="135">
    <w:abstractNumId w:val="106"/>
  </w:num>
  <w:num w:numId="136">
    <w:abstractNumId w:val="31"/>
  </w:num>
  <w:num w:numId="137">
    <w:abstractNumId w:val="65"/>
  </w:num>
  <w:num w:numId="138">
    <w:abstractNumId w:val="165"/>
  </w:num>
  <w:num w:numId="139">
    <w:abstractNumId w:val="56"/>
  </w:num>
  <w:num w:numId="140">
    <w:abstractNumId w:val="74"/>
  </w:num>
  <w:num w:numId="141">
    <w:abstractNumId w:val="11"/>
  </w:num>
  <w:num w:numId="142">
    <w:abstractNumId w:val="2"/>
  </w:num>
  <w:num w:numId="143">
    <w:abstractNumId w:val="36"/>
  </w:num>
  <w:num w:numId="144">
    <w:abstractNumId w:val="52"/>
  </w:num>
  <w:num w:numId="145">
    <w:abstractNumId w:val="41"/>
  </w:num>
  <w:num w:numId="146">
    <w:abstractNumId w:val="160"/>
  </w:num>
  <w:num w:numId="147">
    <w:abstractNumId w:val="14"/>
  </w:num>
  <w:num w:numId="148">
    <w:abstractNumId w:val="130"/>
  </w:num>
  <w:num w:numId="149">
    <w:abstractNumId w:val="172"/>
  </w:num>
  <w:num w:numId="150">
    <w:abstractNumId w:val="120"/>
  </w:num>
  <w:num w:numId="151">
    <w:abstractNumId w:val="47"/>
  </w:num>
  <w:num w:numId="152">
    <w:abstractNumId w:val="174"/>
  </w:num>
  <w:num w:numId="153">
    <w:abstractNumId w:val="133"/>
  </w:num>
  <w:num w:numId="154">
    <w:abstractNumId w:val="62"/>
  </w:num>
  <w:num w:numId="155">
    <w:abstractNumId w:val="142"/>
  </w:num>
  <w:num w:numId="156">
    <w:abstractNumId w:val="100"/>
  </w:num>
  <w:num w:numId="157">
    <w:abstractNumId w:val="33"/>
  </w:num>
  <w:num w:numId="158">
    <w:abstractNumId w:val="162"/>
  </w:num>
  <w:num w:numId="159">
    <w:abstractNumId w:val="24"/>
  </w:num>
  <w:num w:numId="160">
    <w:abstractNumId w:val="82"/>
  </w:num>
  <w:num w:numId="161">
    <w:abstractNumId w:val="59"/>
  </w:num>
  <w:num w:numId="162">
    <w:abstractNumId w:val="25"/>
  </w:num>
  <w:num w:numId="163">
    <w:abstractNumId w:val="90"/>
  </w:num>
  <w:num w:numId="164">
    <w:abstractNumId w:val="155"/>
  </w:num>
  <w:num w:numId="165">
    <w:abstractNumId w:val="101"/>
  </w:num>
  <w:num w:numId="166">
    <w:abstractNumId w:val="72"/>
  </w:num>
  <w:num w:numId="167">
    <w:abstractNumId w:val="149"/>
  </w:num>
  <w:num w:numId="168">
    <w:abstractNumId w:val="89"/>
  </w:num>
  <w:num w:numId="169">
    <w:abstractNumId w:val="0"/>
  </w:num>
  <w:num w:numId="170">
    <w:abstractNumId w:val="43"/>
  </w:num>
  <w:num w:numId="171">
    <w:abstractNumId w:val="146"/>
  </w:num>
  <w:num w:numId="172">
    <w:abstractNumId w:val="20"/>
  </w:num>
  <w:num w:numId="173">
    <w:abstractNumId w:val="69"/>
  </w:num>
  <w:num w:numId="174">
    <w:abstractNumId w:val="158"/>
  </w:num>
  <w:num w:numId="175">
    <w:abstractNumId w:val="28"/>
  </w:num>
  <w:num w:numId="176">
    <w:abstractNumId w:val="26"/>
  </w:num>
  <w:num w:numId="177">
    <w:abstractNumId w:val="48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</w:compat>
  <w:rsids>
    <w:rsidRoot w:val="00EE69C7"/>
    <w:rsid w:val="00000585"/>
    <w:rsid w:val="000044D5"/>
    <w:rsid w:val="000258CB"/>
    <w:rsid w:val="000436D1"/>
    <w:rsid w:val="00045940"/>
    <w:rsid w:val="00047D5E"/>
    <w:rsid w:val="00053518"/>
    <w:rsid w:val="00053ADE"/>
    <w:rsid w:val="00056B1F"/>
    <w:rsid w:val="000574E1"/>
    <w:rsid w:val="00073B32"/>
    <w:rsid w:val="00073F8F"/>
    <w:rsid w:val="00074190"/>
    <w:rsid w:val="00074A63"/>
    <w:rsid w:val="0008000C"/>
    <w:rsid w:val="000A1D02"/>
    <w:rsid w:val="000A209A"/>
    <w:rsid w:val="000C1FBA"/>
    <w:rsid w:val="000D0D5F"/>
    <w:rsid w:val="000D4B50"/>
    <w:rsid w:val="000D4DED"/>
    <w:rsid w:val="000E2FF1"/>
    <w:rsid w:val="000E5836"/>
    <w:rsid w:val="000F6A5B"/>
    <w:rsid w:val="00111507"/>
    <w:rsid w:val="001139E4"/>
    <w:rsid w:val="00130CAD"/>
    <w:rsid w:val="001560D2"/>
    <w:rsid w:val="00165143"/>
    <w:rsid w:val="0017129F"/>
    <w:rsid w:val="001719A7"/>
    <w:rsid w:val="00195213"/>
    <w:rsid w:val="001A48A7"/>
    <w:rsid w:val="001A70D8"/>
    <w:rsid w:val="001B21FA"/>
    <w:rsid w:val="001C669F"/>
    <w:rsid w:val="001D4781"/>
    <w:rsid w:val="001D753A"/>
    <w:rsid w:val="001E7E91"/>
    <w:rsid w:val="001F07C4"/>
    <w:rsid w:val="00244BE2"/>
    <w:rsid w:val="0025699A"/>
    <w:rsid w:val="00277C17"/>
    <w:rsid w:val="00285348"/>
    <w:rsid w:val="002918AA"/>
    <w:rsid w:val="002C36D8"/>
    <w:rsid w:val="002D2312"/>
    <w:rsid w:val="002D5A12"/>
    <w:rsid w:val="003051BC"/>
    <w:rsid w:val="0031267D"/>
    <w:rsid w:val="00313019"/>
    <w:rsid w:val="00343E1F"/>
    <w:rsid w:val="00347F3F"/>
    <w:rsid w:val="003504DB"/>
    <w:rsid w:val="00364166"/>
    <w:rsid w:val="00371D2B"/>
    <w:rsid w:val="00372308"/>
    <w:rsid w:val="00377302"/>
    <w:rsid w:val="003820DF"/>
    <w:rsid w:val="00385EB5"/>
    <w:rsid w:val="0039163B"/>
    <w:rsid w:val="00391EC2"/>
    <w:rsid w:val="003A1833"/>
    <w:rsid w:val="003A333A"/>
    <w:rsid w:val="003C53A9"/>
    <w:rsid w:val="003D0974"/>
    <w:rsid w:val="003D47CA"/>
    <w:rsid w:val="003D7ACD"/>
    <w:rsid w:val="003E3515"/>
    <w:rsid w:val="003E6E13"/>
    <w:rsid w:val="003E7913"/>
    <w:rsid w:val="003F1422"/>
    <w:rsid w:val="003F50C0"/>
    <w:rsid w:val="003F747A"/>
    <w:rsid w:val="0043323D"/>
    <w:rsid w:val="00435106"/>
    <w:rsid w:val="00435633"/>
    <w:rsid w:val="00451D4D"/>
    <w:rsid w:val="00462792"/>
    <w:rsid w:val="00476CC0"/>
    <w:rsid w:val="004E3A6F"/>
    <w:rsid w:val="004E412A"/>
    <w:rsid w:val="004E4AF1"/>
    <w:rsid w:val="004F1F7C"/>
    <w:rsid w:val="00511D68"/>
    <w:rsid w:val="005136A9"/>
    <w:rsid w:val="00531DCC"/>
    <w:rsid w:val="00542043"/>
    <w:rsid w:val="005426A4"/>
    <w:rsid w:val="0054724E"/>
    <w:rsid w:val="00552037"/>
    <w:rsid w:val="00562325"/>
    <w:rsid w:val="00565238"/>
    <w:rsid w:val="005702EF"/>
    <w:rsid w:val="00570A29"/>
    <w:rsid w:val="00575071"/>
    <w:rsid w:val="00586F1C"/>
    <w:rsid w:val="00595794"/>
    <w:rsid w:val="005A6E68"/>
    <w:rsid w:val="005B3A7C"/>
    <w:rsid w:val="005B58EB"/>
    <w:rsid w:val="005C78B4"/>
    <w:rsid w:val="005D390C"/>
    <w:rsid w:val="005E54BE"/>
    <w:rsid w:val="005E79F9"/>
    <w:rsid w:val="005F157D"/>
    <w:rsid w:val="005F7BDE"/>
    <w:rsid w:val="006137F7"/>
    <w:rsid w:val="00621CCF"/>
    <w:rsid w:val="006228AC"/>
    <w:rsid w:val="00627CEC"/>
    <w:rsid w:val="00636AAC"/>
    <w:rsid w:val="00652CCB"/>
    <w:rsid w:val="00654A66"/>
    <w:rsid w:val="00656440"/>
    <w:rsid w:val="006616DB"/>
    <w:rsid w:val="0067039C"/>
    <w:rsid w:val="006750F4"/>
    <w:rsid w:val="00675B00"/>
    <w:rsid w:val="00692A15"/>
    <w:rsid w:val="00696891"/>
    <w:rsid w:val="006A1B7F"/>
    <w:rsid w:val="006A2920"/>
    <w:rsid w:val="006A6725"/>
    <w:rsid w:val="006B38BC"/>
    <w:rsid w:val="006C18E4"/>
    <w:rsid w:val="006C2120"/>
    <w:rsid w:val="006D6B42"/>
    <w:rsid w:val="006E568B"/>
    <w:rsid w:val="006F091F"/>
    <w:rsid w:val="00705AC9"/>
    <w:rsid w:val="00706602"/>
    <w:rsid w:val="007157BA"/>
    <w:rsid w:val="007161F9"/>
    <w:rsid w:val="00727BE5"/>
    <w:rsid w:val="007427FD"/>
    <w:rsid w:val="00753003"/>
    <w:rsid w:val="0075760B"/>
    <w:rsid w:val="0076336C"/>
    <w:rsid w:val="007666D4"/>
    <w:rsid w:val="00795D4D"/>
    <w:rsid w:val="007A1202"/>
    <w:rsid w:val="007B1580"/>
    <w:rsid w:val="007B2CCE"/>
    <w:rsid w:val="007B2F6F"/>
    <w:rsid w:val="007B68F4"/>
    <w:rsid w:val="007D2C90"/>
    <w:rsid w:val="007D7C1D"/>
    <w:rsid w:val="007F6AF3"/>
    <w:rsid w:val="008005C6"/>
    <w:rsid w:val="00820FA2"/>
    <w:rsid w:val="0083696A"/>
    <w:rsid w:val="008429BD"/>
    <w:rsid w:val="00843F23"/>
    <w:rsid w:val="00851BC8"/>
    <w:rsid w:val="0085643B"/>
    <w:rsid w:val="00860212"/>
    <w:rsid w:val="00860EB7"/>
    <w:rsid w:val="008625C0"/>
    <w:rsid w:val="00867175"/>
    <w:rsid w:val="00875439"/>
    <w:rsid w:val="00883DF2"/>
    <w:rsid w:val="00886FD7"/>
    <w:rsid w:val="0089082F"/>
    <w:rsid w:val="008A18DE"/>
    <w:rsid w:val="008A21E5"/>
    <w:rsid w:val="008A23BD"/>
    <w:rsid w:val="008A6843"/>
    <w:rsid w:val="008A6F48"/>
    <w:rsid w:val="008C0386"/>
    <w:rsid w:val="008E6941"/>
    <w:rsid w:val="008F5BD5"/>
    <w:rsid w:val="00901F19"/>
    <w:rsid w:val="00917EF3"/>
    <w:rsid w:val="0092091F"/>
    <w:rsid w:val="009303C9"/>
    <w:rsid w:val="00941B68"/>
    <w:rsid w:val="009447FA"/>
    <w:rsid w:val="0096182B"/>
    <w:rsid w:val="0097256B"/>
    <w:rsid w:val="0098145F"/>
    <w:rsid w:val="00985E66"/>
    <w:rsid w:val="009A1872"/>
    <w:rsid w:val="009C2F6F"/>
    <w:rsid w:val="009D0C59"/>
    <w:rsid w:val="00A05E44"/>
    <w:rsid w:val="00A16317"/>
    <w:rsid w:val="00A231AC"/>
    <w:rsid w:val="00A23AB5"/>
    <w:rsid w:val="00A27FD6"/>
    <w:rsid w:val="00A319A8"/>
    <w:rsid w:val="00A363AC"/>
    <w:rsid w:val="00A61B94"/>
    <w:rsid w:val="00A80A73"/>
    <w:rsid w:val="00A81DC0"/>
    <w:rsid w:val="00A931F2"/>
    <w:rsid w:val="00A934A7"/>
    <w:rsid w:val="00A94953"/>
    <w:rsid w:val="00AA72E3"/>
    <w:rsid w:val="00AC0299"/>
    <w:rsid w:val="00AE30A1"/>
    <w:rsid w:val="00AE4310"/>
    <w:rsid w:val="00B2338B"/>
    <w:rsid w:val="00B24E62"/>
    <w:rsid w:val="00B301A4"/>
    <w:rsid w:val="00B31A6F"/>
    <w:rsid w:val="00B329A8"/>
    <w:rsid w:val="00B47E26"/>
    <w:rsid w:val="00B562FE"/>
    <w:rsid w:val="00B56457"/>
    <w:rsid w:val="00B60C0A"/>
    <w:rsid w:val="00B654B2"/>
    <w:rsid w:val="00B673F9"/>
    <w:rsid w:val="00B92798"/>
    <w:rsid w:val="00BA63D7"/>
    <w:rsid w:val="00BB374E"/>
    <w:rsid w:val="00BB529E"/>
    <w:rsid w:val="00BB6932"/>
    <w:rsid w:val="00BC1F38"/>
    <w:rsid w:val="00BC5D15"/>
    <w:rsid w:val="00BC65A8"/>
    <w:rsid w:val="00BD2E3A"/>
    <w:rsid w:val="00BD35A7"/>
    <w:rsid w:val="00BD40EC"/>
    <w:rsid w:val="00BF293C"/>
    <w:rsid w:val="00BF34CB"/>
    <w:rsid w:val="00C0190F"/>
    <w:rsid w:val="00C128F6"/>
    <w:rsid w:val="00C14428"/>
    <w:rsid w:val="00C1490E"/>
    <w:rsid w:val="00C22BD8"/>
    <w:rsid w:val="00C3037B"/>
    <w:rsid w:val="00C306E0"/>
    <w:rsid w:val="00C353B3"/>
    <w:rsid w:val="00C44333"/>
    <w:rsid w:val="00C457A6"/>
    <w:rsid w:val="00C469A4"/>
    <w:rsid w:val="00C52581"/>
    <w:rsid w:val="00C671CB"/>
    <w:rsid w:val="00C73765"/>
    <w:rsid w:val="00C82DD5"/>
    <w:rsid w:val="00C8413E"/>
    <w:rsid w:val="00C87E42"/>
    <w:rsid w:val="00C91CAA"/>
    <w:rsid w:val="00CA7975"/>
    <w:rsid w:val="00CD1A93"/>
    <w:rsid w:val="00CE6220"/>
    <w:rsid w:val="00CE7E9C"/>
    <w:rsid w:val="00CF2FC6"/>
    <w:rsid w:val="00CF4C94"/>
    <w:rsid w:val="00CF5160"/>
    <w:rsid w:val="00D15793"/>
    <w:rsid w:val="00D2087D"/>
    <w:rsid w:val="00D4114D"/>
    <w:rsid w:val="00D41DA5"/>
    <w:rsid w:val="00D53963"/>
    <w:rsid w:val="00D616D0"/>
    <w:rsid w:val="00D62094"/>
    <w:rsid w:val="00D62AF4"/>
    <w:rsid w:val="00D63E7F"/>
    <w:rsid w:val="00D71BB0"/>
    <w:rsid w:val="00D852FC"/>
    <w:rsid w:val="00D917B7"/>
    <w:rsid w:val="00DB19A8"/>
    <w:rsid w:val="00DB2BE3"/>
    <w:rsid w:val="00DC0A78"/>
    <w:rsid w:val="00DC4CB0"/>
    <w:rsid w:val="00DC7235"/>
    <w:rsid w:val="00DE667C"/>
    <w:rsid w:val="00DE70A4"/>
    <w:rsid w:val="00DF3675"/>
    <w:rsid w:val="00E02E4E"/>
    <w:rsid w:val="00E209A6"/>
    <w:rsid w:val="00E2324E"/>
    <w:rsid w:val="00E6131F"/>
    <w:rsid w:val="00E62E56"/>
    <w:rsid w:val="00E62FBF"/>
    <w:rsid w:val="00E65903"/>
    <w:rsid w:val="00E7393A"/>
    <w:rsid w:val="00E819C7"/>
    <w:rsid w:val="00E90006"/>
    <w:rsid w:val="00E94753"/>
    <w:rsid w:val="00EA38DD"/>
    <w:rsid w:val="00EB1A1D"/>
    <w:rsid w:val="00EB2D58"/>
    <w:rsid w:val="00EB799A"/>
    <w:rsid w:val="00ED3995"/>
    <w:rsid w:val="00EE69C7"/>
    <w:rsid w:val="00F0183B"/>
    <w:rsid w:val="00F038C0"/>
    <w:rsid w:val="00F03980"/>
    <w:rsid w:val="00F309C1"/>
    <w:rsid w:val="00F3109E"/>
    <w:rsid w:val="00F43D40"/>
    <w:rsid w:val="00F60781"/>
    <w:rsid w:val="00F852CF"/>
    <w:rsid w:val="00F96CAF"/>
    <w:rsid w:val="00F96F56"/>
    <w:rsid w:val="00FA4339"/>
    <w:rsid w:val="00FB5DDF"/>
    <w:rsid w:val="00FB7888"/>
    <w:rsid w:val="00FE2681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B4"/>
  </w:style>
  <w:style w:type="paragraph" w:styleId="Heading1">
    <w:name w:val="heading 1"/>
    <w:basedOn w:val="Normal"/>
    <w:next w:val="Normal"/>
    <w:link w:val="Heading1Char"/>
    <w:uiPriority w:val="9"/>
    <w:qFormat/>
    <w:rsid w:val="004E3A6F"/>
    <w:pPr>
      <w:keepNext/>
      <w:jc w:val="center"/>
      <w:textAlignment w:val="baseline"/>
      <w:outlineLvl w:val="0"/>
    </w:pPr>
    <w:rPr>
      <w:rFonts w:ascii="Arial" w:eastAsia="Arial" w:hAnsi="Arial"/>
      <w:b/>
      <w:color w:val="FFFF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A6F"/>
    <w:rPr>
      <w:rFonts w:ascii="Arial" w:eastAsia="Arial" w:hAnsi="Arial"/>
      <w:b/>
      <w:color w:val="FFFFFF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0574E1"/>
    <w:pPr>
      <w:spacing w:before="246" w:after="2" w:line="236" w:lineRule="exact"/>
      <w:textAlignment w:val="baseline"/>
    </w:pPr>
    <w:rPr>
      <w:rFonts w:ascii="Arial" w:eastAsia="Arial" w:hAnsi="Arial"/>
      <w:b/>
      <w:bCs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574E1"/>
    <w:rPr>
      <w:rFonts w:ascii="Arial" w:eastAsia="Arial" w:hAnsi="Arial"/>
      <w:b/>
      <w:bCs/>
      <w:color w:val="000000"/>
      <w:sz w:val="21"/>
    </w:rPr>
  </w:style>
  <w:style w:type="paragraph" w:styleId="BodyText2">
    <w:name w:val="Body Text 2"/>
    <w:basedOn w:val="Normal"/>
    <w:link w:val="BodyText2Char"/>
    <w:uiPriority w:val="99"/>
    <w:unhideWhenUsed/>
    <w:rsid w:val="00347F3F"/>
    <w:pPr>
      <w:jc w:val="both"/>
    </w:pPr>
    <w:rPr>
      <w:rFonts w:ascii="Arial" w:eastAsia="Arial" w:hAnsi="Arial"/>
      <w:color w:val="000000"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347F3F"/>
    <w:rPr>
      <w:rFonts w:ascii="Arial" w:eastAsia="Arial" w:hAnsi="Arial"/>
      <w:color w:val="000000"/>
      <w:sz w:val="21"/>
    </w:rPr>
  </w:style>
  <w:style w:type="paragraph" w:styleId="BodyText3">
    <w:name w:val="Body Text 3"/>
    <w:basedOn w:val="Normal"/>
    <w:link w:val="BodyText3Char"/>
    <w:uiPriority w:val="99"/>
    <w:unhideWhenUsed/>
    <w:rsid w:val="00347F3F"/>
    <w:pPr>
      <w:spacing w:before="252" w:after="16" w:line="240" w:lineRule="exact"/>
      <w:ind w:right="144"/>
      <w:jc w:val="both"/>
      <w:textAlignment w:val="baseline"/>
    </w:pPr>
    <w:rPr>
      <w:rFonts w:ascii="Arial" w:eastAsia="Arial" w:hAnsi="Arial"/>
      <w:color w:val="000000"/>
      <w:sz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347F3F"/>
    <w:rPr>
      <w:rFonts w:ascii="Arial" w:eastAsia="Arial" w:hAnsi="Arial"/>
      <w:color w:val="000000"/>
      <w:sz w:val="21"/>
    </w:rPr>
  </w:style>
  <w:style w:type="paragraph" w:styleId="BlockText">
    <w:name w:val="Block Text"/>
    <w:basedOn w:val="Normal"/>
    <w:uiPriority w:val="99"/>
    <w:unhideWhenUsed/>
    <w:rsid w:val="00D62094"/>
    <w:pPr>
      <w:spacing w:before="238" w:after="1879" w:line="235" w:lineRule="exact"/>
      <w:ind w:left="108" w:right="108"/>
      <w:jc w:val="both"/>
      <w:textAlignment w:val="baseline"/>
    </w:pPr>
    <w:rPr>
      <w:rFonts w:ascii="Arial" w:eastAsia="Arial" w:hAnsi="Arial"/>
      <w:bCs/>
      <w:iCs/>
      <w:color w:val="000000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D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TotalEnergies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Whitehead, Jarrett</dc:creator>
  <cp:lastModifiedBy>USER</cp:lastModifiedBy>
  <cp:revision>2</cp:revision>
  <dcterms:created xsi:type="dcterms:W3CDTF">2022-11-21T09:40:00Z</dcterms:created>
  <dcterms:modified xsi:type="dcterms:W3CDTF">2022-11-21T09:40:00Z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etDate">
    <vt:lpwstr>2022-07-13T08:24:46Z</vt:lpwstr>
  </property>
  <property fmtid="{D5CDD505-2E9C-101B-9397-08002B2CF9AE}" pid="4" name="MSIP_Label_a4593b6e-8994-43c5-a486-e951b5f02cec_Method">
    <vt:lpwstr>Privileged</vt:lpwstr>
  </property>
  <property fmtid="{D5CDD505-2E9C-101B-9397-08002B2CF9AE}" pid="5" name="MSIP_Label_a4593b6e-8994-43c5-a486-e951b5f02cec_Name">
    <vt:lpwstr>a4593b6e-8994-43c5-a486-e951b5f02cec</vt:lpwstr>
  </property>
  <property fmtid="{D5CDD505-2E9C-101B-9397-08002B2CF9AE}" pid="6" name="MSIP_Label_a4593b6e-8994-43c5-a486-e951b5f02cec_SiteId">
    <vt:lpwstr>329e91b0-e21f-48fb-a071-456717ecc28e</vt:lpwstr>
  </property>
  <property fmtid="{D5CDD505-2E9C-101B-9397-08002B2CF9AE}" pid="7" name="MSIP_Label_a4593b6e-8994-43c5-a486-e951b5f02cec_ActionId">
    <vt:lpwstr>8f845c2f-d02e-4db9-9f5b-8a6cecd0abd3</vt:lpwstr>
  </property>
  <property fmtid="{D5CDD505-2E9C-101B-9397-08002B2CF9AE}" pid="8" name="MSIP_Label_a4593b6e-8994-43c5-a486-e951b5f02cec_ContentBits">
    <vt:lpwstr>0</vt:lpwstr>
  </property>
</Properties>
</file>