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15" w:rsidRPr="006E3839" w:rsidRDefault="003B5D15" w:rsidP="006E3839">
      <w:pPr>
        <w:spacing w:after="0" w:line="240" w:lineRule="auto"/>
        <w:rPr>
          <w:rFonts w:ascii="Arial" w:hAnsi="Arial" w:cs="Arial"/>
          <w:b/>
          <w:sz w:val="20"/>
          <w:szCs w:val="20"/>
        </w:rPr>
      </w:pPr>
      <w:bookmarkStart w:id="0" w:name="_Hlk118386569"/>
      <w:bookmarkStart w:id="1" w:name="_GoBack"/>
      <w:bookmarkEnd w:id="1"/>
      <w:r w:rsidRPr="006E3839">
        <w:rPr>
          <w:rFonts w:ascii="Arial" w:hAnsi="Arial" w:cs="Arial"/>
          <w:b/>
          <w:sz w:val="20"/>
          <w:szCs w:val="20"/>
        </w:rPr>
        <w:t>Report of the Standing Committee on Finance on the Tax Administration Laws Amendment Bill [B27</w:t>
      </w:r>
      <w:r w:rsidR="0010181F" w:rsidRPr="006E3839">
        <w:rPr>
          <w:rFonts w:ascii="Arial" w:hAnsi="Arial" w:cs="Arial"/>
          <w:b/>
          <w:sz w:val="20"/>
          <w:szCs w:val="20"/>
        </w:rPr>
        <w:t>B</w:t>
      </w:r>
      <w:r w:rsidRPr="006E3839">
        <w:rPr>
          <w:rFonts w:ascii="Arial" w:hAnsi="Arial" w:cs="Arial"/>
          <w:b/>
          <w:sz w:val="20"/>
          <w:szCs w:val="20"/>
        </w:rPr>
        <w:t xml:space="preserve"> - 2022] (National Assembly- section 75), dated </w:t>
      </w:r>
      <w:r w:rsidR="0010181F" w:rsidRPr="006E3839">
        <w:rPr>
          <w:rFonts w:ascii="Arial" w:hAnsi="Arial" w:cs="Arial"/>
          <w:b/>
          <w:sz w:val="20"/>
          <w:szCs w:val="20"/>
        </w:rPr>
        <w:t xml:space="preserve">16 </w:t>
      </w:r>
      <w:r w:rsidRPr="006E3839">
        <w:rPr>
          <w:rFonts w:ascii="Arial" w:hAnsi="Arial" w:cs="Arial"/>
          <w:b/>
          <w:sz w:val="20"/>
          <w:szCs w:val="20"/>
        </w:rPr>
        <w:t>November 2022</w:t>
      </w:r>
    </w:p>
    <w:p w:rsidR="00BC59EB" w:rsidRPr="006E3839" w:rsidRDefault="00BC59EB" w:rsidP="006E3839">
      <w:pPr>
        <w:spacing w:after="0" w:line="240" w:lineRule="auto"/>
        <w:rPr>
          <w:rFonts w:ascii="Arial" w:hAnsi="Arial" w:cs="Arial"/>
          <w:sz w:val="20"/>
          <w:szCs w:val="20"/>
        </w:rPr>
      </w:pPr>
    </w:p>
    <w:p w:rsidR="003B5D15" w:rsidRPr="006E3839" w:rsidRDefault="003B5D15" w:rsidP="006E3839">
      <w:pPr>
        <w:spacing w:after="0" w:line="240" w:lineRule="auto"/>
        <w:rPr>
          <w:rFonts w:ascii="Arial" w:hAnsi="Arial" w:cs="Arial"/>
          <w:b/>
          <w:bCs/>
          <w:sz w:val="20"/>
          <w:szCs w:val="20"/>
        </w:rPr>
      </w:pPr>
      <w:r w:rsidRPr="006E3839">
        <w:rPr>
          <w:rFonts w:ascii="Arial" w:hAnsi="Arial" w:cs="Arial"/>
          <w:sz w:val="20"/>
          <w:szCs w:val="20"/>
        </w:rPr>
        <w:t>The Standing Committee on Finance, having considered the Tax Administration Laws Amendment Bill [B27</w:t>
      </w:r>
      <w:r w:rsidR="0010181F" w:rsidRPr="006E3839">
        <w:rPr>
          <w:rFonts w:ascii="Arial" w:hAnsi="Arial" w:cs="Arial"/>
          <w:sz w:val="20"/>
          <w:szCs w:val="20"/>
        </w:rPr>
        <w:t>B</w:t>
      </w:r>
      <w:r w:rsidRPr="006E3839">
        <w:rPr>
          <w:rFonts w:ascii="Arial" w:hAnsi="Arial" w:cs="Arial"/>
          <w:sz w:val="20"/>
          <w:szCs w:val="20"/>
        </w:rPr>
        <w:t xml:space="preserve"> - 2022] (National Assembly- section 75) referred to it, reports the Bill</w:t>
      </w:r>
      <w:r w:rsidR="0006237A" w:rsidRPr="006E3839">
        <w:rPr>
          <w:rFonts w:ascii="Arial" w:hAnsi="Arial" w:cs="Arial"/>
          <w:sz w:val="20"/>
          <w:szCs w:val="20"/>
        </w:rPr>
        <w:t>, with amendments,</w:t>
      </w:r>
      <w:r w:rsidRPr="006E3839">
        <w:rPr>
          <w:rFonts w:ascii="Arial" w:hAnsi="Arial" w:cs="Arial"/>
          <w:sz w:val="20"/>
          <w:szCs w:val="20"/>
        </w:rPr>
        <w:t xml:space="preserve"> as follows:</w:t>
      </w:r>
    </w:p>
    <w:bookmarkEnd w:id="0"/>
    <w:p w:rsidR="000203F4" w:rsidRPr="006E3839" w:rsidRDefault="003B5D15" w:rsidP="006E3839">
      <w:pPr>
        <w:pStyle w:val="ListParagraph"/>
        <w:numPr>
          <w:ilvl w:val="0"/>
          <w:numId w:val="12"/>
        </w:numPr>
        <w:spacing w:after="0" w:line="240" w:lineRule="auto"/>
        <w:rPr>
          <w:rFonts w:ascii="Arial" w:hAnsi="Arial" w:cs="Arial"/>
          <w:b/>
          <w:bCs/>
          <w:sz w:val="20"/>
          <w:szCs w:val="20"/>
        </w:rPr>
      </w:pPr>
      <w:r w:rsidRPr="006E3839">
        <w:rPr>
          <w:rFonts w:ascii="Arial" w:hAnsi="Arial" w:cs="Arial"/>
          <w:b/>
          <w:bCs/>
          <w:sz w:val="20"/>
          <w:szCs w:val="20"/>
        </w:rPr>
        <w:t>INTRODUCTION AND BACKGROUND</w:t>
      </w:r>
    </w:p>
    <w:p w:rsidR="00120156" w:rsidRPr="006E3839" w:rsidRDefault="00120156" w:rsidP="006E3839">
      <w:pPr>
        <w:pStyle w:val="ListParagraph"/>
        <w:numPr>
          <w:ilvl w:val="1"/>
          <w:numId w:val="12"/>
        </w:numPr>
        <w:spacing w:after="0" w:line="240" w:lineRule="auto"/>
        <w:rPr>
          <w:rFonts w:ascii="Arial" w:hAnsi="Arial" w:cs="Arial"/>
          <w:sz w:val="20"/>
          <w:szCs w:val="20"/>
        </w:rPr>
      </w:pPr>
      <w:r w:rsidRPr="006E3839">
        <w:rPr>
          <w:rFonts w:ascii="Arial" w:hAnsi="Arial" w:cs="Arial"/>
          <w:sz w:val="20"/>
          <w:szCs w:val="20"/>
        </w:rPr>
        <w:t xml:space="preserve">The Tax Administration Laws Amendment Bill (TALAB) was tabled in Parliament by the Minister of Finance on 26 October 2022, together with the 2022 Medium-Term Budget Policy Statement (2022 MTBPS). TALAB is an ordinary </w:t>
      </w:r>
      <w:r w:rsidR="001A1581" w:rsidRPr="006E3839">
        <w:rPr>
          <w:rFonts w:ascii="Arial" w:hAnsi="Arial" w:cs="Arial"/>
          <w:sz w:val="20"/>
          <w:szCs w:val="20"/>
        </w:rPr>
        <w:t>(</w:t>
      </w:r>
      <w:r w:rsidRPr="006E3839">
        <w:rPr>
          <w:rFonts w:ascii="Arial" w:hAnsi="Arial" w:cs="Arial"/>
          <w:sz w:val="20"/>
          <w:szCs w:val="20"/>
        </w:rPr>
        <w:t xml:space="preserve">section 75 of the Constitution) Bill dealing </w:t>
      </w:r>
      <w:r w:rsidR="001A1581" w:rsidRPr="006E3839">
        <w:rPr>
          <w:rFonts w:ascii="Arial" w:hAnsi="Arial" w:cs="Arial"/>
          <w:sz w:val="20"/>
          <w:szCs w:val="20"/>
        </w:rPr>
        <w:t xml:space="preserve">with </w:t>
      </w:r>
      <w:r w:rsidRPr="006E3839">
        <w:rPr>
          <w:rFonts w:ascii="Arial" w:hAnsi="Arial" w:cs="Arial"/>
          <w:sz w:val="20"/>
          <w:szCs w:val="20"/>
        </w:rPr>
        <w:t xml:space="preserve">tax administration.  </w:t>
      </w:r>
    </w:p>
    <w:p w:rsidR="00120156" w:rsidRPr="006E3839" w:rsidRDefault="00120156" w:rsidP="006E3839">
      <w:pPr>
        <w:pStyle w:val="ListParagraph"/>
        <w:numPr>
          <w:ilvl w:val="1"/>
          <w:numId w:val="12"/>
        </w:numPr>
        <w:spacing w:after="0" w:line="240" w:lineRule="auto"/>
        <w:rPr>
          <w:rFonts w:ascii="Arial" w:hAnsi="Arial" w:cs="Arial"/>
          <w:sz w:val="20"/>
          <w:szCs w:val="20"/>
        </w:rPr>
      </w:pPr>
      <w:r w:rsidRPr="006E3839">
        <w:rPr>
          <w:rFonts w:ascii="Arial" w:hAnsi="Arial" w:cs="Arial"/>
          <w:sz w:val="20"/>
          <w:szCs w:val="20"/>
        </w:rPr>
        <w:t xml:space="preserve">The tabling of this Bill was preceded by the publication of its draft version (Draft TALAB) on 29 July 2022, </w:t>
      </w:r>
      <w:r w:rsidR="00125E1E" w:rsidRPr="006E3839">
        <w:rPr>
          <w:rFonts w:ascii="Arial" w:hAnsi="Arial" w:cs="Arial"/>
          <w:sz w:val="20"/>
          <w:szCs w:val="20"/>
        </w:rPr>
        <w:t xml:space="preserve">to solicit comments. </w:t>
      </w:r>
      <w:r w:rsidRPr="006E3839">
        <w:rPr>
          <w:rFonts w:ascii="Arial" w:hAnsi="Arial" w:cs="Arial"/>
          <w:sz w:val="20"/>
          <w:szCs w:val="20"/>
        </w:rPr>
        <w:t xml:space="preserve"> </w:t>
      </w:r>
      <w:r w:rsidR="003B5D15" w:rsidRPr="006E3839">
        <w:rPr>
          <w:rFonts w:ascii="Arial" w:hAnsi="Arial" w:cs="Arial"/>
          <w:sz w:val="20"/>
          <w:szCs w:val="20"/>
        </w:rPr>
        <w:t xml:space="preserve">It contained </w:t>
      </w:r>
      <w:r w:rsidRPr="006E3839">
        <w:rPr>
          <w:rFonts w:ascii="Arial" w:hAnsi="Arial" w:cs="Arial"/>
          <w:sz w:val="20"/>
          <w:szCs w:val="20"/>
        </w:rPr>
        <w:t xml:space="preserve">some </w:t>
      </w:r>
      <w:r w:rsidR="007C4568" w:rsidRPr="006E3839">
        <w:rPr>
          <w:rFonts w:ascii="Arial" w:hAnsi="Arial" w:cs="Arial"/>
          <w:sz w:val="20"/>
          <w:szCs w:val="20"/>
        </w:rPr>
        <w:t>tax announcements made in Annexure C of the 2022 Budget Review</w:t>
      </w:r>
      <w:r w:rsidR="000203F4" w:rsidRPr="006E3839">
        <w:rPr>
          <w:rFonts w:ascii="Arial" w:hAnsi="Arial" w:cs="Arial"/>
          <w:sz w:val="20"/>
          <w:szCs w:val="20"/>
        </w:rPr>
        <w:t>.</w:t>
      </w:r>
    </w:p>
    <w:p w:rsidR="004B30A4" w:rsidRPr="006E3839" w:rsidRDefault="004B30A4" w:rsidP="006E3839">
      <w:pPr>
        <w:pStyle w:val="ListParagraph"/>
        <w:spacing w:after="0" w:line="240" w:lineRule="auto"/>
        <w:ind w:left="792"/>
        <w:rPr>
          <w:rFonts w:ascii="Arial" w:hAnsi="Arial" w:cs="Arial"/>
          <w:b/>
          <w:bCs/>
          <w:sz w:val="20"/>
          <w:szCs w:val="20"/>
        </w:rPr>
      </w:pPr>
    </w:p>
    <w:p w:rsidR="004B30A4" w:rsidRPr="006E3839" w:rsidRDefault="004B30A4" w:rsidP="006E3839">
      <w:pPr>
        <w:pStyle w:val="ListParagraph"/>
        <w:numPr>
          <w:ilvl w:val="0"/>
          <w:numId w:val="12"/>
        </w:numPr>
        <w:spacing w:after="0" w:line="240" w:lineRule="auto"/>
        <w:rPr>
          <w:rFonts w:ascii="Arial" w:hAnsi="Arial" w:cs="Arial"/>
          <w:b/>
          <w:sz w:val="20"/>
          <w:szCs w:val="20"/>
        </w:rPr>
      </w:pPr>
      <w:r w:rsidRPr="006E3839">
        <w:rPr>
          <w:rFonts w:ascii="Arial" w:hAnsi="Arial" w:cs="Arial"/>
          <w:b/>
          <w:sz w:val="20"/>
          <w:szCs w:val="20"/>
        </w:rPr>
        <w:t xml:space="preserve">PUBLIC PARTICIPATION </w:t>
      </w:r>
    </w:p>
    <w:p w:rsidR="004B30A4" w:rsidRPr="006E3839" w:rsidRDefault="004B30A4" w:rsidP="006E3839">
      <w:pPr>
        <w:pStyle w:val="ListParagraph"/>
        <w:numPr>
          <w:ilvl w:val="1"/>
          <w:numId w:val="12"/>
        </w:numPr>
        <w:spacing w:after="0" w:line="240" w:lineRule="auto"/>
        <w:rPr>
          <w:rFonts w:ascii="Arial" w:hAnsi="Arial" w:cs="Arial"/>
          <w:b/>
          <w:sz w:val="20"/>
          <w:szCs w:val="20"/>
        </w:rPr>
      </w:pPr>
      <w:r w:rsidRPr="006E3839">
        <w:rPr>
          <w:rFonts w:ascii="Arial" w:hAnsi="Arial" w:cs="Arial"/>
          <w:bCs/>
          <w:sz w:val="20"/>
          <w:szCs w:val="20"/>
        </w:rPr>
        <w:t xml:space="preserve">The Committee was briefed by National Treasury and SARS on the Draft </w:t>
      </w:r>
      <w:r w:rsidR="009E254B" w:rsidRPr="006E3839">
        <w:rPr>
          <w:rFonts w:ascii="Arial" w:hAnsi="Arial" w:cs="Arial"/>
          <w:bCs/>
          <w:sz w:val="20"/>
          <w:szCs w:val="20"/>
        </w:rPr>
        <w:t xml:space="preserve">TALAB </w:t>
      </w:r>
      <w:r w:rsidRPr="006E3839">
        <w:rPr>
          <w:rFonts w:ascii="Arial" w:hAnsi="Arial" w:cs="Arial"/>
          <w:bCs/>
          <w:sz w:val="20"/>
          <w:szCs w:val="20"/>
        </w:rPr>
        <w:t xml:space="preserve">on 23 August 2022 and held public hearings on 14 September 2022. On 21 September 2022, National Treasury and SARS presented their detailed responses to </w:t>
      </w:r>
      <w:r w:rsidR="0018332B" w:rsidRPr="006E3839">
        <w:rPr>
          <w:rFonts w:ascii="Arial" w:hAnsi="Arial" w:cs="Arial"/>
          <w:bCs/>
          <w:sz w:val="20"/>
          <w:szCs w:val="20"/>
        </w:rPr>
        <w:t xml:space="preserve">submissions received on </w:t>
      </w:r>
      <w:r w:rsidRPr="006E3839">
        <w:rPr>
          <w:rFonts w:ascii="Arial" w:hAnsi="Arial" w:cs="Arial"/>
          <w:bCs/>
          <w:sz w:val="20"/>
          <w:szCs w:val="20"/>
        </w:rPr>
        <w:t xml:space="preserve">the Draft </w:t>
      </w:r>
      <w:r w:rsidR="009E254B" w:rsidRPr="006E3839">
        <w:rPr>
          <w:rFonts w:ascii="Arial" w:hAnsi="Arial" w:cs="Arial"/>
          <w:bCs/>
          <w:sz w:val="20"/>
          <w:szCs w:val="20"/>
        </w:rPr>
        <w:t xml:space="preserve">TALAB </w:t>
      </w:r>
      <w:r w:rsidRPr="006E3839">
        <w:rPr>
          <w:rFonts w:ascii="Arial" w:hAnsi="Arial" w:cs="Arial"/>
          <w:bCs/>
          <w:sz w:val="20"/>
          <w:szCs w:val="20"/>
        </w:rPr>
        <w:t>to the Committee, addressing all the comments made during the public hearings and Committee briefings and deliberations.</w:t>
      </w:r>
    </w:p>
    <w:p w:rsidR="004B30A4" w:rsidRPr="006E3839" w:rsidRDefault="004B30A4" w:rsidP="006E3839">
      <w:pPr>
        <w:pStyle w:val="ListParagraph"/>
        <w:numPr>
          <w:ilvl w:val="1"/>
          <w:numId w:val="12"/>
        </w:numPr>
        <w:spacing w:after="0" w:line="240" w:lineRule="auto"/>
        <w:rPr>
          <w:rFonts w:ascii="Arial" w:hAnsi="Arial" w:cs="Arial"/>
          <w:b/>
          <w:sz w:val="20"/>
          <w:szCs w:val="20"/>
        </w:rPr>
      </w:pPr>
      <w:r w:rsidRPr="006E3839">
        <w:rPr>
          <w:rFonts w:ascii="Arial" w:hAnsi="Arial" w:cs="Arial"/>
          <w:bCs/>
          <w:sz w:val="20"/>
          <w:szCs w:val="20"/>
        </w:rPr>
        <w:t>The National Treasury and SARS reported that they received 104 written submissions from the public and responded to these comments during their own consultation processes. They also hosted workshops which ran for two days on 8 and 9 September 2022.</w:t>
      </w:r>
    </w:p>
    <w:p w:rsidR="00145880" w:rsidRPr="006E3839" w:rsidRDefault="004B30A4" w:rsidP="006E3839">
      <w:pPr>
        <w:pStyle w:val="ListParagraph"/>
        <w:numPr>
          <w:ilvl w:val="1"/>
          <w:numId w:val="12"/>
        </w:numPr>
        <w:spacing w:after="0" w:line="240" w:lineRule="auto"/>
        <w:ind w:left="360"/>
        <w:rPr>
          <w:rFonts w:ascii="Arial" w:hAnsi="Arial" w:cs="Arial"/>
          <w:b/>
          <w:sz w:val="20"/>
          <w:szCs w:val="20"/>
        </w:rPr>
      </w:pPr>
      <w:r w:rsidRPr="006E3839">
        <w:rPr>
          <w:rFonts w:ascii="Arial" w:hAnsi="Arial" w:cs="Arial"/>
          <w:bCs/>
          <w:sz w:val="20"/>
          <w:szCs w:val="20"/>
        </w:rPr>
        <w:t>The Committee received written and oral submissions from the following organisations and/or individuals: South African Institute of Chartered Accountants (SAICA),</w:t>
      </w:r>
      <w:r w:rsidR="009E254B" w:rsidRPr="006E3839">
        <w:rPr>
          <w:rFonts w:ascii="Arial" w:hAnsi="Arial" w:cs="Arial"/>
          <w:bCs/>
          <w:sz w:val="20"/>
          <w:szCs w:val="20"/>
        </w:rPr>
        <w:t xml:space="preserve"> South African Institute of Tax Practitioners (SAIT)</w:t>
      </w:r>
      <w:r w:rsidRPr="006E3839">
        <w:rPr>
          <w:rFonts w:ascii="Arial" w:hAnsi="Arial" w:cs="Arial"/>
          <w:bCs/>
          <w:sz w:val="20"/>
          <w:szCs w:val="20"/>
        </w:rPr>
        <w:t xml:space="preserve"> Price</w:t>
      </w:r>
      <w:r w:rsidR="00813E8C" w:rsidRPr="006E3839">
        <w:rPr>
          <w:rFonts w:ascii="Arial" w:hAnsi="Arial" w:cs="Arial"/>
          <w:bCs/>
          <w:sz w:val="20"/>
          <w:szCs w:val="20"/>
        </w:rPr>
        <w:t>w</w:t>
      </w:r>
      <w:r w:rsidRPr="006E3839">
        <w:rPr>
          <w:rFonts w:ascii="Arial" w:hAnsi="Arial" w:cs="Arial"/>
          <w:bCs/>
          <w:sz w:val="20"/>
          <w:szCs w:val="20"/>
        </w:rPr>
        <w:t>aterhouseCoopers (PwC)</w:t>
      </w:r>
      <w:r w:rsidR="0006237A" w:rsidRPr="006E3839">
        <w:rPr>
          <w:rFonts w:ascii="Arial" w:hAnsi="Arial" w:cs="Arial"/>
          <w:bCs/>
          <w:sz w:val="20"/>
          <w:szCs w:val="20"/>
        </w:rPr>
        <w:t>.</w:t>
      </w:r>
    </w:p>
    <w:p w:rsidR="0006237A" w:rsidRPr="006E3839" w:rsidRDefault="0006237A" w:rsidP="006E3839">
      <w:pPr>
        <w:pStyle w:val="ListParagraph"/>
        <w:spacing w:after="0" w:line="240" w:lineRule="auto"/>
        <w:ind w:left="360"/>
        <w:rPr>
          <w:rFonts w:ascii="Arial" w:hAnsi="Arial" w:cs="Arial"/>
          <w:b/>
          <w:sz w:val="20"/>
          <w:szCs w:val="20"/>
        </w:rPr>
      </w:pPr>
    </w:p>
    <w:p w:rsidR="004B30A4" w:rsidRPr="006E3839" w:rsidRDefault="004B30A4" w:rsidP="006E3839">
      <w:pPr>
        <w:pStyle w:val="ListParagraph"/>
        <w:numPr>
          <w:ilvl w:val="0"/>
          <w:numId w:val="12"/>
        </w:numPr>
        <w:spacing w:after="0" w:line="240" w:lineRule="auto"/>
        <w:rPr>
          <w:rFonts w:ascii="Arial" w:hAnsi="Arial" w:cs="Arial"/>
          <w:b/>
          <w:sz w:val="20"/>
          <w:szCs w:val="20"/>
        </w:rPr>
      </w:pPr>
      <w:r w:rsidRPr="006E3839">
        <w:rPr>
          <w:rFonts w:ascii="Arial" w:hAnsi="Arial" w:cs="Arial"/>
          <w:b/>
          <w:sz w:val="20"/>
          <w:szCs w:val="20"/>
        </w:rPr>
        <w:t>OVERVIEW OF THE TAX PROPOSALS IN THE TALAB</w:t>
      </w:r>
    </w:p>
    <w:p w:rsidR="00113761" w:rsidRPr="006E3839" w:rsidRDefault="00510B03" w:rsidP="006E3839">
      <w:pPr>
        <w:pStyle w:val="ListParagraph"/>
        <w:numPr>
          <w:ilvl w:val="1"/>
          <w:numId w:val="12"/>
        </w:numPr>
        <w:spacing w:after="0" w:line="240" w:lineRule="auto"/>
        <w:rPr>
          <w:rFonts w:ascii="Arial" w:hAnsi="Arial" w:cs="Arial"/>
          <w:b/>
          <w:sz w:val="20"/>
          <w:szCs w:val="20"/>
        </w:rPr>
      </w:pPr>
      <w:r w:rsidRPr="006E3839">
        <w:rPr>
          <w:rFonts w:ascii="Arial" w:hAnsi="Arial" w:cs="Arial"/>
          <w:sz w:val="20"/>
          <w:szCs w:val="20"/>
        </w:rPr>
        <w:t xml:space="preserve">The 2022 </w:t>
      </w:r>
      <w:r w:rsidR="004B30A4" w:rsidRPr="006E3839">
        <w:rPr>
          <w:rFonts w:ascii="Arial" w:hAnsi="Arial" w:cs="Arial"/>
          <w:sz w:val="20"/>
          <w:szCs w:val="20"/>
        </w:rPr>
        <w:t xml:space="preserve">TALAB </w:t>
      </w:r>
      <w:r w:rsidRPr="006E3839">
        <w:rPr>
          <w:rFonts w:ascii="Arial" w:hAnsi="Arial" w:cs="Arial"/>
          <w:sz w:val="20"/>
          <w:szCs w:val="20"/>
        </w:rPr>
        <w:t>seeks to amend</w:t>
      </w:r>
      <w:r w:rsidR="004B30A4" w:rsidRPr="006E3839">
        <w:rPr>
          <w:rFonts w:ascii="Arial" w:hAnsi="Arial" w:cs="Arial"/>
          <w:sz w:val="20"/>
          <w:szCs w:val="20"/>
        </w:rPr>
        <w:t>:</w:t>
      </w:r>
    </w:p>
    <w:p w:rsidR="00113761" w:rsidRPr="006E3839" w:rsidRDefault="00D30EC7" w:rsidP="006E3839">
      <w:pPr>
        <w:pStyle w:val="ListParagraph"/>
        <w:numPr>
          <w:ilvl w:val="2"/>
          <w:numId w:val="12"/>
        </w:numPr>
        <w:spacing w:after="0" w:line="240" w:lineRule="auto"/>
        <w:rPr>
          <w:rFonts w:ascii="Arial" w:hAnsi="Arial" w:cs="Arial"/>
          <w:b/>
          <w:sz w:val="20"/>
          <w:szCs w:val="20"/>
        </w:rPr>
      </w:pPr>
      <w:r w:rsidRPr="006E3839">
        <w:rPr>
          <w:rFonts w:ascii="Arial" w:hAnsi="Arial" w:cs="Arial"/>
          <w:sz w:val="20"/>
          <w:szCs w:val="20"/>
        </w:rPr>
        <w:t>the Transfer Duty Act, 1949, so as to effect a consequential amendment;</w:t>
      </w:r>
    </w:p>
    <w:p w:rsidR="00113761" w:rsidRPr="006E3839" w:rsidRDefault="00D30EC7" w:rsidP="006E3839">
      <w:pPr>
        <w:pStyle w:val="ListParagraph"/>
        <w:numPr>
          <w:ilvl w:val="2"/>
          <w:numId w:val="12"/>
        </w:numPr>
        <w:spacing w:after="0" w:line="240" w:lineRule="auto"/>
        <w:rPr>
          <w:rFonts w:ascii="Arial" w:hAnsi="Arial" w:cs="Arial"/>
          <w:b/>
          <w:sz w:val="20"/>
          <w:szCs w:val="20"/>
        </w:rPr>
      </w:pPr>
      <w:r w:rsidRPr="006E3839">
        <w:rPr>
          <w:rFonts w:ascii="Arial" w:hAnsi="Arial" w:cs="Arial"/>
          <w:sz w:val="20"/>
          <w:szCs w:val="20"/>
        </w:rPr>
        <w:t xml:space="preserve">the Estate Duty Act, 1955, so as to effect a textual correction; </w:t>
      </w:r>
    </w:p>
    <w:p w:rsidR="00113761" w:rsidRPr="006E3839" w:rsidRDefault="00D30EC7" w:rsidP="006E3839">
      <w:pPr>
        <w:pStyle w:val="ListParagraph"/>
        <w:numPr>
          <w:ilvl w:val="2"/>
          <w:numId w:val="12"/>
        </w:numPr>
        <w:spacing w:after="0" w:line="240" w:lineRule="auto"/>
        <w:rPr>
          <w:rFonts w:ascii="Arial" w:hAnsi="Arial" w:cs="Arial"/>
          <w:b/>
          <w:sz w:val="20"/>
          <w:szCs w:val="20"/>
        </w:rPr>
      </w:pPr>
      <w:r w:rsidRPr="006E3839">
        <w:rPr>
          <w:rFonts w:ascii="Arial" w:hAnsi="Arial" w:cs="Arial"/>
          <w:sz w:val="20"/>
          <w:szCs w:val="20"/>
        </w:rPr>
        <w:t>the</w:t>
      </w:r>
      <w:r w:rsidR="00113761" w:rsidRPr="006E3839">
        <w:rPr>
          <w:rFonts w:ascii="Arial" w:hAnsi="Arial" w:cs="Arial"/>
          <w:sz w:val="20"/>
          <w:szCs w:val="20"/>
        </w:rPr>
        <w:t xml:space="preserve"> </w:t>
      </w:r>
      <w:r w:rsidRPr="006E3839">
        <w:rPr>
          <w:rFonts w:ascii="Arial" w:hAnsi="Arial" w:cs="Arial"/>
          <w:sz w:val="20"/>
          <w:szCs w:val="20"/>
        </w:rPr>
        <w:t xml:space="preserve">Income Tax Act, 1962, so as to effect a consequential amendment; to allow a regulated intermediary to recover refundable dividends tax from the Commissioner in certain instances; to make a textual correction; and to effect a technical correction; </w:t>
      </w:r>
    </w:p>
    <w:p w:rsidR="00D71D60" w:rsidRPr="006E3839" w:rsidRDefault="00D30EC7" w:rsidP="006E3839">
      <w:pPr>
        <w:pStyle w:val="ListParagraph"/>
        <w:numPr>
          <w:ilvl w:val="2"/>
          <w:numId w:val="12"/>
        </w:numPr>
        <w:spacing w:after="0" w:line="240" w:lineRule="auto"/>
        <w:rPr>
          <w:rFonts w:ascii="Arial" w:hAnsi="Arial" w:cs="Arial"/>
          <w:b/>
          <w:sz w:val="20"/>
          <w:szCs w:val="20"/>
        </w:rPr>
      </w:pPr>
      <w:r w:rsidRPr="006E3839">
        <w:rPr>
          <w:rFonts w:ascii="Arial" w:hAnsi="Arial" w:cs="Arial"/>
          <w:sz w:val="20"/>
          <w:szCs w:val="20"/>
        </w:rPr>
        <w:t xml:space="preserve">the Customs and Excise Act, 1964, so as to insert a definition and effect consequential changes related thereto; to effect technical corrections; to provide for the publication of advance rulings in certain circumstances; to enable the Commissioner to make rules for the time for submission of entries in respect of any types of cargo; to clarify a provision relating to particulars on invoices and to effect changes to other provisions consequential to this clarification to ensure consistency of wording relating to invoice particulars; to repeal an outdated provision; to insert a chapter providing for advance rulings in respect of the tariff classification, the application of a specific valuation criterion and the origin of goods of a specific class or kind and for related matters; to provide for consequential amendments relating to advance rulings; and to enhance the general enabling rule provision; </w:t>
      </w:r>
    </w:p>
    <w:p w:rsidR="00D71D60" w:rsidRPr="006E3839" w:rsidRDefault="00D30EC7" w:rsidP="006E3839">
      <w:pPr>
        <w:pStyle w:val="ListParagraph"/>
        <w:numPr>
          <w:ilvl w:val="2"/>
          <w:numId w:val="12"/>
        </w:numPr>
        <w:spacing w:after="0" w:line="240" w:lineRule="auto"/>
        <w:rPr>
          <w:rFonts w:ascii="Arial" w:hAnsi="Arial" w:cs="Arial"/>
          <w:b/>
          <w:sz w:val="20"/>
          <w:szCs w:val="20"/>
        </w:rPr>
      </w:pPr>
      <w:r w:rsidRPr="006E3839">
        <w:rPr>
          <w:rFonts w:ascii="Arial" w:hAnsi="Arial" w:cs="Arial"/>
          <w:sz w:val="20"/>
          <w:szCs w:val="20"/>
        </w:rPr>
        <w:t xml:space="preserve">the Value-Added Tax Act, 1991, so as to effect consequential amendments and insert a specific exception from registration for non-resident suppliers under certain circumstances; </w:t>
      </w:r>
    </w:p>
    <w:p w:rsidR="00D71D60" w:rsidRPr="006E3839" w:rsidRDefault="00D30EC7" w:rsidP="006E3839">
      <w:pPr>
        <w:pStyle w:val="ListParagraph"/>
        <w:numPr>
          <w:ilvl w:val="2"/>
          <w:numId w:val="12"/>
        </w:numPr>
        <w:spacing w:after="0" w:line="240" w:lineRule="auto"/>
        <w:rPr>
          <w:rFonts w:ascii="Arial" w:hAnsi="Arial" w:cs="Arial"/>
          <w:b/>
          <w:sz w:val="20"/>
          <w:szCs w:val="20"/>
        </w:rPr>
      </w:pPr>
      <w:r w:rsidRPr="006E3839">
        <w:rPr>
          <w:rFonts w:ascii="Arial" w:hAnsi="Arial" w:cs="Arial"/>
          <w:sz w:val="20"/>
          <w:szCs w:val="20"/>
        </w:rPr>
        <w:t xml:space="preserve">the Tax Administration Act, 2011, </w:t>
      </w:r>
      <w:r w:rsidR="00F7059D" w:rsidRPr="006E3839">
        <w:rPr>
          <w:rFonts w:ascii="Arial" w:hAnsi="Arial" w:cs="Arial"/>
          <w:sz w:val="20"/>
          <w:szCs w:val="20"/>
        </w:rPr>
        <w:t xml:space="preserve">so as </w:t>
      </w:r>
      <w:r w:rsidR="009C661F" w:rsidRPr="006E3839">
        <w:rPr>
          <w:rFonts w:ascii="Arial" w:hAnsi="Arial" w:cs="Arial"/>
          <w:sz w:val="20"/>
          <w:szCs w:val="20"/>
        </w:rPr>
        <w:t>to</w:t>
      </w:r>
      <w:r w:rsidRPr="006E3839">
        <w:rPr>
          <w:rFonts w:ascii="Arial" w:hAnsi="Arial" w:cs="Arial"/>
          <w:sz w:val="20"/>
          <w:szCs w:val="20"/>
        </w:rPr>
        <w:t xml:space="preserve"> amend a definition; </w:t>
      </w:r>
      <w:r w:rsidR="0006237A" w:rsidRPr="006E3839">
        <w:rPr>
          <w:rFonts w:ascii="Arial" w:hAnsi="Arial" w:cs="Arial"/>
          <w:sz w:val="20"/>
          <w:szCs w:val="20"/>
        </w:rPr>
        <w:t xml:space="preserve">to provide for the reduction of a penalty in certain circumstances; </w:t>
      </w:r>
      <w:r w:rsidRPr="006E3839">
        <w:rPr>
          <w:rFonts w:ascii="Arial" w:hAnsi="Arial" w:cs="Arial"/>
          <w:sz w:val="20"/>
          <w:szCs w:val="20"/>
        </w:rPr>
        <w:t>delete a recognised controlling body; to provide that the tax compliance status of a taxpayer must also include an indication that a taxpayer is a newly registered taxpayer as stipulated; and to clarify that SARS has the right to revoke third party access to a taxpayer’s tax compliance status under certain circumstances;</w:t>
      </w:r>
      <w:r w:rsidR="00CB00DA" w:rsidRPr="006E3839">
        <w:rPr>
          <w:rFonts w:ascii="Arial" w:hAnsi="Arial" w:cs="Arial"/>
          <w:sz w:val="20"/>
          <w:szCs w:val="20"/>
        </w:rPr>
        <w:t xml:space="preserve"> and </w:t>
      </w:r>
      <w:r w:rsidRPr="006E3839">
        <w:rPr>
          <w:rFonts w:ascii="Arial" w:hAnsi="Arial" w:cs="Arial"/>
          <w:sz w:val="20"/>
          <w:szCs w:val="20"/>
        </w:rPr>
        <w:t xml:space="preserve"> </w:t>
      </w:r>
    </w:p>
    <w:p w:rsidR="007A2BA3" w:rsidRPr="006E3839" w:rsidRDefault="00D30EC7" w:rsidP="006E3839">
      <w:pPr>
        <w:pStyle w:val="ListParagraph"/>
        <w:numPr>
          <w:ilvl w:val="2"/>
          <w:numId w:val="12"/>
        </w:numPr>
        <w:spacing w:after="0" w:line="240" w:lineRule="auto"/>
        <w:rPr>
          <w:rFonts w:ascii="Arial" w:hAnsi="Arial" w:cs="Arial"/>
          <w:b/>
          <w:sz w:val="20"/>
          <w:szCs w:val="20"/>
        </w:rPr>
      </w:pPr>
      <w:r w:rsidRPr="006E3839">
        <w:rPr>
          <w:rFonts w:ascii="Arial" w:hAnsi="Arial" w:cs="Arial"/>
          <w:sz w:val="20"/>
          <w:szCs w:val="20"/>
        </w:rPr>
        <w:t xml:space="preserve">the Employment Tax Incentive Act, 2013, </w:t>
      </w:r>
      <w:r w:rsidR="00F7059D" w:rsidRPr="006E3839">
        <w:rPr>
          <w:rFonts w:ascii="Arial" w:hAnsi="Arial" w:cs="Arial"/>
          <w:sz w:val="20"/>
          <w:szCs w:val="20"/>
        </w:rPr>
        <w:t xml:space="preserve">so as </w:t>
      </w:r>
      <w:r w:rsidR="009C661F" w:rsidRPr="006E3839">
        <w:rPr>
          <w:rFonts w:ascii="Arial" w:hAnsi="Arial" w:cs="Arial"/>
          <w:sz w:val="20"/>
          <w:szCs w:val="20"/>
        </w:rPr>
        <w:t>to</w:t>
      </w:r>
      <w:r w:rsidRPr="006E3839">
        <w:rPr>
          <w:rFonts w:ascii="Arial" w:hAnsi="Arial" w:cs="Arial"/>
          <w:sz w:val="20"/>
          <w:szCs w:val="20"/>
        </w:rPr>
        <w:t xml:space="preserve"> classify employment tax incentive reimbursements as refunds for purposes of the Tax Administration Act, 2011, and specifically as refunds of tax for purposes of the understatement penalty provisions in terms of the Tax Administration Act, and to provide for matters connected therewith.</w:t>
      </w:r>
    </w:p>
    <w:p w:rsidR="00D30EC7" w:rsidRPr="006E3839" w:rsidRDefault="00D30EC7" w:rsidP="006E3839">
      <w:pPr>
        <w:pStyle w:val="ListParagraph"/>
        <w:spacing w:after="0" w:line="240" w:lineRule="auto"/>
        <w:ind w:left="1224"/>
        <w:rPr>
          <w:rFonts w:ascii="Arial" w:hAnsi="Arial" w:cs="Arial"/>
          <w:sz w:val="20"/>
          <w:szCs w:val="20"/>
        </w:rPr>
      </w:pPr>
    </w:p>
    <w:p w:rsidR="007A2BA3" w:rsidRPr="006E3839" w:rsidRDefault="007A2BA3" w:rsidP="006E3839">
      <w:pPr>
        <w:pStyle w:val="ListParagraph"/>
        <w:numPr>
          <w:ilvl w:val="0"/>
          <w:numId w:val="12"/>
        </w:numPr>
        <w:spacing w:after="0" w:line="240" w:lineRule="auto"/>
        <w:rPr>
          <w:rFonts w:ascii="Arial" w:hAnsi="Arial" w:cs="Arial"/>
          <w:sz w:val="20"/>
          <w:szCs w:val="20"/>
        </w:rPr>
      </w:pPr>
      <w:r w:rsidRPr="006E3839">
        <w:rPr>
          <w:rFonts w:ascii="Arial" w:hAnsi="Arial" w:cs="Arial"/>
          <w:b/>
          <w:sz w:val="20"/>
          <w:szCs w:val="20"/>
        </w:rPr>
        <w:lastRenderedPageBreak/>
        <w:t>KEY ISSUES RAISED IN THE PUBLIC HEARINGS</w:t>
      </w:r>
    </w:p>
    <w:p w:rsidR="00932336" w:rsidRPr="006E3839" w:rsidRDefault="002764DE" w:rsidP="006E3839">
      <w:pPr>
        <w:pStyle w:val="ListParagraph"/>
        <w:numPr>
          <w:ilvl w:val="1"/>
          <w:numId w:val="12"/>
        </w:numPr>
        <w:spacing w:after="0" w:line="240" w:lineRule="auto"/>
        <w:rPr>
          <w:rFonts w:ascii="Arial" w:hAnsi="Arial" w:cs="Arial"/>
          <w:sz w:val="20"/>
          <w:szCs w:val="20"/>
        </w:rPr>
      </w:pPr>
      <w:r w:rsidRPr="006E3839">
        <w:rPr>
          <w:rFonts w:ascii="Arial" w:hAnsi="Arial" w:cs="Arial"/>
          <w:sz w:val="20"/>
          <w:szCs w:val="20"/>
        </w:rPr>
        <w:t>Most i</w:t>
      </w:r>
      <w:r w:rsidR="004F3F72" w:rsidRPr="006E3839">
        <w:rPr>
          <w:rFonts w:ascii="Arial" w:hAnsi="Arial" w:cs="Arial"/>
          <w:sz w:val="20"/>
          <w:szCs w:val="20"/>
        </w:rPr>
        <w:t xml:space="preserve">ssues raised during the </w:t>
      </w:r>
      <w:r w:rsidR="00C504F4" w:rsidRPr="006E3839">
        <w:rPr>
          <w:rFonts w:ascii="Arial" w:hAnsi="Arial" w:cs="Arial"/>
          <w:sz w:val="20"/>
          <w:szCs w:val="20"/>
        </w:rPr>
        <w:t xml:space="preserve">written submissions and </w:t>
      </w:r>
      <w:r w:rsidR="004F3F72" w:rsidRPr="006E3839">
        <w:rPr>
          <w:rFonts w:ascii="Arial" w:hAnsi="Arial" w:cs="Arial"/>
          <w:sz w:val="20"/>
          <w:szCs w:val="20"/>
        </w:rPr>
        <w:t xml:space="preserve">public hearings </w:t>
      </w:r>
      <w:r w:rsidRPr="006E3839">
        <w:rPr>
          <w:rFonts w:ascii="Arial" w:hAnsi="Arial" w:cs="Arial"/>
          <w:sz w:val="20"/>
          <w:szCs w:val="20"/>
        </w:rPr>
        <w:t xml:space="preserve">under TALAB were </w:t>
      </w:r>
      <w:r w:rsidR="004F3F72" w:rsidRPr="006E3839">
        <w:rPr>
          <w:rFonts w:ascii="Arial" w:hAnsi="Arial" w:cs="Arial"/>
          <w:sz w:val="20"/>
          <w:szCs w:val="20"/>
        </w:rPr>
        <w:t>on the Customs and Excise Act</w:t>
      </w:r>
      <w:r w:rsidR="00D97903" w:rsidRPr="006E3839">
        <w:rPr>
          <w:rFonts w:ascii="Arial" w:hAnsi="Arial" w:cs="Arial"/>
          <w:sz w:val="20"/>
          <w:szCs w:val="20"/>
        </w:rPr>
        <w:t xml:space="preserve">, 1964 and the </w:t>
      </w:r>
      <w:r w:rsidR="00D97903" w:rsidRPr="006E3839">
        <w:rPr>
          <w:rFonts w:ascii="Arial" w:eastAsia="Arial" w:hAnsi="Arial" w:cs="Arial"/>
          <w:sz w:val="20"/>
          <w:szCs w:val="20"/>
        </w:rPr>
        <w:t xml:space="preserve">Tax Administration Act, 2011. </w:t>
      </w:r>
      <w:r w:rsidR="00516C1D" w:rsidRPr="006E3839">
        <w:rPr>
          <w:rFonts w:ascii="Arial" w:eastAsia="Arial" w:hAnsi="Arial" w:cs="Arial"/>
          <w:sz w:val="20"/>
          <w:szCs w:val="20"/>
        </w:rPr>
        <w:t>In this report</w:t>
      </w:r>
      <w:r w:rsidR="004F634A" w:rsidRPr="006E3839">
        <w:rPr>
          <w:rFonts w:ascii="Arial" w:eastAsia="Arial" w:hAnsi="Arial" w:cs="Arial"/>
          <w:sz w:val="20"/>
          <w:szCs w:val="20"/>
        </w:rPr>
        <w:t xml:space="preserve">, </w:t>
      </w:r>
      <w:r w:rsidR="00516C1D" w:rsidRPr="006E3839">
        <w:rPr>
          <w:rFonts w:ascii="Arial" w:eastAsia="Arial" w:hAnsi="Arial" w:cs="Arial"/>
          <w:sz w:val="20"/>
          <w:szCs w:val="20"/>
        </w:rPr>
        <w:t xml:space="preserve">only the key issues raised are reported. </w:t>
      </w:r>
    </w:p>
    <w:p w:rsidR="004F634A" w:rsidRPr="006E3839" w:rsidRDefault="004F634A" w:rsidP="006E3839">
      <w:pPr>
        <w:spacing w:after="0" w:line="240" w:lineRule="auto"/>
        <w:rPr>
          <w:rFonts w:ascii="Arial" w:hAnsi="Arial" w:cs="Arial"/>
          <w:b/>
          <w:bCs/>
          <w:sz w:val="20"/>
          <w:szCs w:val="20"/>
        </w:rPr>
      </w:pPr>
    </w:p>
    <w:p w:rsidR="001826EA" w:rsidRPr="006E3839" w:rsidRDefault="007F27A8" w:rsidP="006E3839">
      <w:pPr>
        <w:spacing w:after="0" w:line="240" w:lineRule="auto"/>
        <w:ind w:left="284"/>
        <w:rPr>
          <w:rFonts w:ascii="Arial" w:hAnsi="Arial" w:cs="Arial"/>
          <w:b/>
          <w:bCs/>
          <w:sz w:val="20"/>
          <w:szCs w:val="20"/>
        </w:rPr>
      </w:pPr>
      <w:r w:rsidRPr="006E3839">
        <w:rPr>
          <w:rFonts w:ascii="Arial" w:hAnsi="Arial" w:cs="Arial"/>
          <w:b/>
          <w:bCs/>
          <w:sz w:val="20"/>
          <w:szCs w:val="20"/>
        </w:rPr>
        <w:t>CUSTOMS AND EXCISE ACT AMENDMENTS</w:t>
      </w:r>
    </w:p>
    <w:p w:rsidR="001875EC" w:rsidRPr="006E3839" w:rsidRDefault="001875EC" w:rsidP="006E3839">
      <w:pPr>
        <w:spacing w:after="0" w:line="240" w:lineRule="auto"/>
        <w:rPr>
          <w:rFonts w:ascii="Arial" w:eastAsia="Arial" w:hAnsi="Arial" w:cs="Arial"/>
          <w:sz w:val="20"/>
          <w:szCs w:val="20"/>
          <w:lang w:val="en-US"/>
        </w:rPr>
      </w:pPr>
      <w:r w:rsidRPr="006E3839">
        <w:rPr>
          <w:rFonts w:ascii="Arial" w:hAnsi="Arial" w:cs="Arial"/>
          <w:sz w:val="20"/>
          <w:szCs w:val="20"/>
        </w:rPr>
        <w:t>Insertion</w:t>
      </w:r>
      <w:r w:rsidRPr="006E3839">
        <w:rPr>
          <w:rFonts w:ascii="Arial" w:eastAsia="Arial" w:hAnsi="Arial" w:cs="Arial"/>
          <w:sz w:val="20"/>
          <w:szCs w:val="20"/>
          <w:lang w:val="en-US"/>
        </w:rPr>
        <w:t xml:space="preserve"> of definition of </w:t>
      </w:r>
      <w:r w:rsidR="00277BF4" w:rsidRPr="006E3839">
        <w:rPr>
          <w:rFonts w:ascii="Arial" w:eastAsia="Arial" w:hAnsi="Arial" w:cs="Arial"/>
          <w:sz w:val="20"/>
          <w:szCs w:val="20"/>
        </w:rPr>
        <w:t>“</w:t>
      </w:r>
      <w:r w:rsidRPr="006E3839">
        <w:rPr>
          <w:rFonts w:ascii="Arial" w:eastAsia="Arial" w:hAnsi="Arial" w:cs="Arial"/>
          <w:sz w:val="20"/>
          <w:szCs w:val="20"/>
          <w:lang w:val="en-US"/>
        </w:rPr>
        <w:t>invoice</w:t>
      </w:r>
      <w:r w:rsidR="00277BF4" w:rsidRPr="006E3839">
        <w:rPr>
          <w:rFonts w:ascii="Arial" w:eastAsia="Arial" w:hAnsi="Arial" w:cs="Arial"/>
          <w:sz w:val="20"/>
          <w:szCs w:val="20"/>
        </w:rPr>
        <w:t>”</w:t>
      </w:r>
    </w:p>
    <w:p w:rsidR="005A2437" w:rsidRPr="006E3839" w:rsidRDefault="000C1EAE" w:rsidP="006E3839">
      <w:pPr>
        <w:pStyle w:val="ListParagraph"/>
        <w:numPr>
          <w:ilvl w:val="1"/>
          <w:numId w:val="12"/>
        </w:numPr>
        <w:spacing w:after="0" w:line="240" w:lineRule="auto"/>
        <w:rPr>
          <w:rFonts w:ascii="Arial" w:hAnsi="Arial" w:cs="Arial"/>
          <w:sz w:val="20"/>
          <w:szCs w:val="20"/>
        </w:rPr>
      </w:pPr>
      <w:r w:rsidRPr="006E3839">
        <w:rPr>
          <w:rFonts w:ascii="Arial" w:eastAsia="Arial" w:hAnsi="Arial" w:cs="Arial"/>
          <w:sz w:val="20"/>
          <w:szCs w:val="20"/>
        </w:rPr>
        <w:t xml:space="preserve">On the Customs and Excise Act, the issues raised were on the </w:t>
      </w:r>
      <w:r w:rsidR="00DC7ADD" w:rsidRPr="006E3839">
        <w:rPr>
          <w:rFonts w:ascii="Arial" w:eastAsia="Arial" w:hAnsi="Arial" w:cs="Arial"/>
          <w:sz w:val="20"/>
          <w:szCs w:val="20"/>
        </w:rPr>
        <w:t xml:space="preserve">insertion </w:t>
      </w:r>
      <w:r w:rsidR="008C5ED0" w:rsidRPr="006E3839">
        <w:rPr>
          <w:rFonts w:ascii="Arial" w:eastAsia="Arial" w:hAnsi="Arial" w:cs="Arial"/>
          <w:sz w:val="20"/>
          <w:szCs w:val="20"/>
        </w:rPr>
        <w:t xml:space="preserve">of </w:t>
      </w:r>
      <w:r w:rsidR="0043376F" w:rsidRPr="006E3839">
        <w:rPr>
          <w:rFonts w:ascii="Arial" w:eastAsia="Arial" w:hAnsi="Arial" w:cs="Arial"/>
          <w:sz w:val="20"/>
          <w:szCs w:val="20"/>
        </w:rPr>
        <w:t xml:space="preserve">a </w:t>
      </w:r>
      <w:r w:rsidR="008C5ED0" w:rsidRPr="006E3839">
        <w:rPr>
          <w:rFonts w:ascii="Arial" w:hAnsi="Arial" w:cs="Arial"/>
          <w:sz w:val="20"/>
          <w:szCs w:val="20"/>
          <w:lang w:val="en-GB"/>
        </w:rPr>
        <w:t>definition</w:t>
      </w:r>
      <w:r w:rsidR="00DC7ADD" w:rsidRPr="006E3839">
        <w:rPr>
          <w:rFonts w:ascii="Arial" w:hAnsi="Arial" w:cs="Arial"/>
          <w:sz w:val="20"/>
          <w:szCs w:val="20"/>
          <w:lang w:val="en-GB"/>
        </w:rPr>
        <w:t xml:space="preserve"> </w:t>
      </w:r>
      <w:r w:rsidR="0097330B" w:rsidRPr="006E3839">
        <w:rPr>
          <w:rFonts w:ascii="Arial" w:hAnsi="Arial" w:cs="Arial"/>
          <w:sz w:val="20"/>
          <w:szCs w:val="20"/>
          <w:lang w:val="en-GB"/>
        </w:rPr>
        <w:t>of</w:t>
      </w:r>
      <w:r w:rsidR="00DC7ADD" w:rsidRPr="006E3839">
        <w:rPr>
          <w:rFonts w:ascii="Arial" w:hAnsi="Arial" w:cs="Arial"/>
          <w:sz w:val="20"/>
          <w:szCs w:val="20"/>
          <w:lang w:val="en-GB"/>
        </w:rPr>
        <w:t xml:space="preserve"> “invoice” and related reference changes</w:t>
      </w:r>
      <w:r w:rsidR="008C5ED0" w:rsidRPr="006E3839">
        <w:rPr>
          <w:rFonts w:ascii="Arial" w:hAnsi="Arial" w:cs="Arial"/>
          <w:sz w:val="20"/>
          <w:szCs w:val="20"/>
          <w:lang w:val="en-GB"/>
        </w:rPr>
        <w:t xml:space="preserve"> </w:t>
      </w:r>
      <w:r w:rsidR="00DC7ADD" w:rsidRPr="006E3839">
        <w:rPr>
          <w:rFonts w:ascii="Arial" w:hAnsi="Arial" w:cs="Arial"/>
          <w:sz w:val="20"/>
          <w:szCs w:val="20"/>
          <w:lang w:val="en-GB"/>
        </w:rPr>
        <w:t>(</w:t>
      </w:r>
      <w:r w:rsidR="00B46C85" w:rsidRPr="006E3839">
        <w:rPr>
          <w:rFonts w:ascii="Arial" w:hAnsi="Arial" w:cs="Arial"/>
          <w:sz w:val="20"/>
          <w:szCs w:val="20"/>
          <w:lang w:val="en-GB"/>
        </w:rPr>
        <w:t>Main reference: s</w:t>
      </w:r>
      <w:r w:rsidR="00DC7ADD" w:rsidRPr="006E3839">
        <w:rPr>
          <w:rFonts w:ascii="Arial" w:hAnsi="Arial" w:cs="Arial"/>
          <w:sz w:val="20"/>
          <w:szCs w:val="20"/>
          <w:lang w:val="en-GB"/>
        </w:rPr>
        <w:t xml:space="preserve">ection 1 of the Customs and Excise Act: </w:t>
      </w:r>
      <w:r w:rsidR="008D7F5F" w:rsidRPr="006E3839">
        <w:rPr>
          <w:rFonts w:ascii="Arial" w:hAnsi="Arial" w:cs="Arial"/>
          <w:sz w:val="20"/>
          <w:szCs w:val="20"/>
          <w:lang w:val="en-GB"/>
        </w:rPr>
        <w:t>c</w:t>
      </w:r>
      <w:r w:rsidR="00DC7ADD" w:rsidRPr="006E3839">
        <w:rPr>
          <w:rFonts w:ascii="Arial" w:hAnsi="Arial" w:cs="Arial"/>
          <w:sz w:val="20"/>
          <w:szCs w:val="20"/>
          <w:lang w:val="en-GB"/>
        </w:rPr>
        <w:t>lause 7)</w:t>
      </w:r>
      <w:r w:rsidR="00221A6C" w:rsidRPr="006E3839">
        <w:rPr>
          <w:rFonts w:ascii="Arial" w:hAnsi="Arial" w:cs="Arial"/>
          <w:sz w:val="20"/>
          <w:szCs w:val="20"/>
          <w:lang w:val="en-GB"/>
        </w:rPr>
        <w:t xml:space="preserve">. </w:t>
      </w:r>
      <w:r w:rsidR="00795D2E" w:rsidRPr="006E3839">
        <w:rPr>
          <w:rFonts w:ascii="Arial" w:hAnsi="Arial" w:cs="Arial"/>
          <w:sz w:val="20"/>
          <w:szCs w:val="20"/>
          <w:lang w:val="en-GB"/>
        </w:rPr>
        <w:t xml:space="preserve">Comments were received </w:t>
      </w:r>
      <w:r w:rsidR="00C268D3" w:rsidRPr="006E3839">
        <w:rPr>
          <w:rFonts w:ascii="Arial" w:hAnsi="Arial" w:cs="Arial"/>
          <w:sz w:val="20"/>
          <w:szCs w:val="20"/>
          <w:lang w:val="en-GB"/>
        </w:rPr>
        <w:t>on the definition</w:t>
      </w:r>
      <w:r w:rsidR="008B5107" w:rsidRPr="006E3839">
        <w:rPr>
          <w:rFonts w:ascii="Arial" w:hAnsi="Arial" w:cs="Arial"/>
          <w:sz w:val="20"/>
          <w:szCs w:val="20"/>
          <w:lang w:val="en-GB"/>
        </w:rPr>
        <w:t xml:space="preserve"> of </w:t>
      </w:r>
      <w:r w:rsidR="00277BF4" w:rsidRPr="006E3839">
        <w:rPr>
          <w:rFonts w:ascii="Arial" w:hAnsi="Arial" w:cs="Arial"/>
          <w:sz w:val="20"/>
          <w:szCs w:val="20"/>
          <w:lang w:val="en-GB"/>
        </w:rPr>
        <w:t>“</w:t>
      </w:r>
      <w:r w:rsidR="008B5107" w:rsidRPr="006E3839">
        <w:rPr>
          <w:rFonts w:ascii="Arial" w:hAnsi="Arial" w:cs="Arial"/>
          <w:sz w:val="20"/>
          <w:szCs w:val="20"/>
          <w:lang w:val="en-GB"/>
        </w:rPr>
        <w:t>invoice</w:t>
      </w:r>
      <w:r w:rsidR="00277BF4" w:rsidRPr="006E3839">
        <w:rPr>
          <w:rFonts w:ascii="Arial" w:hAnsi="Arial" w:cs="Arial"/>
          <w:sz w:val="20"/>
          <w:szCs w:val="20"/>
          <w:lang w:val="en-GB"/>
        </w:rPr>
        <w:t>”</w:t>
      </w:r>
      <w:r w:rsidR="00C268D3" w:rsidRPr="006E3839">
        <w:rPr>
          <w:rFonts w:ascii="Arial" w:hAnsi="Arial" w:cs="Arial"/>
          <w:sz w:val="20"/>
          <w:szCs w:val="20"/>
          <w:lang w:val="en-GB"/>
        </w:rPr>
        <w:t xml:space="preserve">, which </w:t>
      </w:r>
      <w:r w:rsidR="008B5107" w:rsidRPr="006E3839">
        <w:rPr>
          <w:rFonts w:ascii="Arial" w:hAnsi="Arial" w:cs="Arial"/>
          <w:sz w:val="20"/>
          <w:szCs w:val="20"/>
          <w:lang w:val="en-GB"/>
        </w:rPr>
        <w:t xml:space="preserve">SARS </w:t>
      </w:r>
      <w:r w:rsidR="00C268D3" w:rsidRPr="006E3839">
        <w:rPr>
          <w:rFonts w:ascii="Arial" w:hAnsi="Arial" w:cs="Arial"/>
          <w:sz w:val="20"/>
          <w:szCs w:val="20"/>
          <w:lang w:val="en-GB"/>
        </w:rPr>
        <w:t>note</w:t>
      </w:r>
      <w:r w:rsidR="008B5107" w:rsidRPr="006E3839">
        <w:rPr>
          <w:rFonts w:ascii="Arial" w:hAnsi="Arial" w:cs="Arial"/>
          <w:sz w:val="20"/>
          <w:szCs w:val="20"/>
          <w:lang w:val="en-GB"/>
        </w:rPr>
        <w:t>d</w:t>
      </w:r>
      <w:r w:rsidR="00C268D3" w:rsidRPr="006E3839">
        <w:rPr>
          <w:rFonts w:ascii="Arial" w:hAnsi="Arial" w:cs="Arial"/>
          <w:sz w:val="20"/>
          <w:szCs w:val="20"/>
          <w:lang w:val="en-GB"/>
        </w:rPr>
        <w:t xml:space="preserve"> and offered to consider</w:t>
      </w:r>
      <w:r w:rsidR="008B5107" w:rsidRPr="006E3839">
        <w:rPr>
          <w:rFonts w:ascii="Arial" w:hAnsi="Arial" w:cs="Arial"/>
          <w:sz w:val="20"/>
          <w:szCs w:val="20"/>
          <w:lang w:val="en-GB"/>
        </w:rPr>
        <w:t xml:space="preserve"> in the final Bill</w:t>
      </w:r>
      <w:r w:rsidR="00C268D3" w:rsidRPr="006E3839">
        <w:rPr>
          <w:rFonts w:ascii="Arial" w:hAnsi="Arial" w:cs="Arial"/>
          <w:sz w:val="20"/>
          <w:szCs w:val="20"/>
          <w:lang w:val="en-GB"/>
        </w:rPr>
        <w:t xml:space="preserve">. </w:t>
      </w:r>
      <w:r w:rsidR="008B5107" w:rsidRPr="006E3839">
        <w:rPr>
          <w:rFonts w:ascii="Arial" w:hAnsi="Arial" w:cs="Arial"/>
          <w:sz w:val="20"/>
          <w:szCs w:val="20"/>
          <w:lang w:val="en-GB"/>
        </w:rPr>
        <w:t>SARS</w:t>
      </w:r>
      <w:r w:rsidR="00A325C1" w:rsidRPr="006E3839">
        <w:rPr>
          <w:rFonts w:ascii="Arial" w:hAnsi="Arial" w:cs="Arial"/>
          <w:sz w:val="20"/>
          <w:szCs w:val="20"/>
          <w:lang w:val="en-GB"/>
        </w:rPr>
        <w:t xml:space="preserve"> clarified that the </w:t>
      </w:r>
      <w:r w:rsidR="00B3471F" w:rsidRPr="006E3839">
        <w:rPr>
          <w:rFonts w:ascii="Arial" w:eastAsia="Arial" w:hAnsi="Arial" w:cs="Arial"/>
          <w:sz w:val="20"/>
          <w:szCs w:val="20"/>
        </w:rPr>
        <w:t xml:space="preserve">intention of providing a definition was to avoid repetition and to ensure consistency in relation to wording referring to invoices or particulars on invoices in the </w:t>
      </w:r>
      <w:r w:rsidR="004F5DC7" w:rsidRPr="006E3839">
        <w:rPr>
          <w:rFonts w:ascii="Arial" w:eastAsia="Arial" w:hAnsi="Arial" w:cs="Arial"/>
          <w:sz w:val="20"/>
          <w:szCs w:val="20"/>
        </w:rPr>
        <w:t xml:space="preserve">Customs and Excise </w:t>
      </w:r>
      <w:r w:rsidR="00B3471F" w:rsidRPr="006E3839">
        <w:rPr>
          <w:rFonts w:ascii="Arial" w:eastAsia="Arial" w:hAnsi="Arial" w:cs="Arial"/>
          <w:sz w:val="20"/>
          <w:szCs w:val="20"/>
        </w:rPr>
        <w:t xml:space="preserve">Act. </w:t>
      </w:r>
      <w:r w:rsidR="004F5DC7" w:rsidRPr="006E3839">
        <w:rPr>
          <w:rFonts w:ascii="Arial" w:eastAsia="Arial" w:hAnsi="Arial" w:cs="Arial"/>
          <w:sz w:val="20"/>
          <w:szCs w:val="20"/>
        </w:rPr>
        <w:t>It said that t</w:t>
      </w:r>
      <w:r w:rsidR="00B3471F" w:rsidRPr="006E3839">
        <w:rPr>
          <w:rFonts w:ascii="Arial" w:eastAsia="Arial" w:hAnsi="Arial" w:cs="Arial"/>
          <w:sz w:val="20"/>
          <w:szCs w:val="20"/>
        </w:rPr>
        <w:t xml:space="preserve">hroughout the Act there are different words used when referring to an invoice, for example </w:t>
      </w:r>
      <w:r w:rsidR="00B3471F" w:rsidRPr="006E3839">
        <w:rPr>
          <w:rFonts w:ascii="Arial" w:eastAsia="Arial" w:hAnsi="Arial" w:cs="Arial"/>
          <w:i/>
          <w:iCs/>
          <w:sz w:val="20"/>
          <w:szCs w:val="20"/>
        </w:rPr>
        <w:t>“prescribed invoice”</w:t>
      </w:r>
      <w:r w:rsidR="00B3471F" w:rsidRPr="006E3839">
        <w:rPr>
          <w:rFonts w:ascii="Arial" w:eastAsia="Arial" w:hAnsi="Arial" w:cs="Arial"/>
          <w:sz w:val="20"/>
          <w:szCs w:val="20"/>
        </w:rPr>
        <w:t xml:space="preserve">, </w:t>
      </w:r>
      <w:r w:rsidR="00B3471F" w:rsidRPr="006E3839">
        <w:rPr>
          <w:rFonts w:ascii="Arial" w:eastAsia="Arial" w:hAnsi="Arial" w:cs="Arial"/>
          <w:i/>
          <w:iCs/>
          <w:sz w:val="20"/>
          <w:szCs w:val="20"/>
        </w:rPr>
        <w:t>“invoice as prescribed”</w:t>
      </w:r>
      <w:r w:rsidR="00B3471F" w:rsidRPr="006E3839">
        <w:rPr>
          <w:rFonts w:ascii="Arial" w:eastAsia="Arial" w:hAnsi="Arial" w:cs="Arial"/>
          <w:sz w:val="20"/>
          <w:szCs w:val="20"/>
        </w:rPr>
        <w:t xml:space="preserve">, </w:t>
      </w:r>
      <w:r w:rsidR="00B3471F" w:rsidRPr="006E3839">
        <w:rPr>
          <w:rFonts w:ascii="Arial" w:eastAsia="Arial" w:hAnsi="Arial" w:cs="Arial"/>
          <w:i/>
          <w:iCs/>
          <w:sz w:val="20"/>
          <w:szCs w:val="20"/>
        </w:rPr>
        <w:t>“correct and sufficient invoice”</w:t>
      </w:r>
      <w:r w:rsidR="00B3471F" w:rsidRPr="006E3839">
        <w:rPr>
          <w:rFonts w:ascii="Arial" w:eastAsia="Arial" w:hAnsi="Arial" w:cs="Arial"/>
          <w:sz w:val="20"/>
          <w:szCs w:val="20"/>
        </w:rPr>
        <w:t xml:space="preserve">, </w:t>
      </w:r>
      <w:r w:rsidR="00B3471F" w:rsidRPr="006E3839">
        <w:rPr>
          <w:rFonts w:ascii="Arial" w:eastAsia="Arial" w:hAnsi="Arial" w:cs="Arial"/>
          <w:i/>
          <w:iCs/>
          <w:sz w:val="20"/>
          <w:szCs w:val="20"/>
        </w:rPr>
        <w:t>“true, correct and sufficient invoice”</w:t>
      </w:r>
      <w:r w:rsidR="00B3471F" w:rsidRPr="006E3839">
        <w:rPr>
          <w:rFonts w:ascii="Arial" w:eastAsia="Arial" w:hAnsi="Arial" w:cs="Arial"/>
          <w:sz w:val="20"/>
          <w:szCs w:val="20"/>
        </w:rPr>
        <w:t xml:space="preserve"> and </w:t>
      </w:r>
      <w:r w:rsidR="00B3471F" w:rsidRPr="006E3839">
        <w:rPr>
          <w:rFonts w:ascii="Arial" w:eastAsia="Arial" w:hAnsi="Arial" w:cs="Arial"/>
          <w:i/>
          <w:iCs/>
          <w:sz w:val="20"/>
          <w:szCs w:val="20"/>
        </w:rPr>
        <w:t>“relative prescribed invoice”</w:t>
      </w:r>
      <w:r w:rsidR="00B3471F" w:rsidRPr="006E3839">
        <w:rPr>
          <w:rFonts w:ascii="Arial" w:eastAsia="Arial" w:hAnsi="Arial" w:cs="Arial"/>
          <w:sz w:val="20"/>
          <w:szCs w:val="20"/>
        </w:rPr>
        <w:t xml:space="preserve">. </w:t>
      </w:r>
      <w:r w:rsidR="00DC7D0D" w:rsidRPr="006E3839">
        <w:rPr>
          <w:rFonts w:ascii="Arial" w:eastAsia="Arial" w:hAnsi="Arial" w:cs="Arial"/>
          <w:sz w:val="20"/>
          <w:szCs w:val="20"/>
        </w:rPr>
        <w:t xml:space="preserve">It explained that </w:t>
      </w:r>
      <w:r w:rsidR="00B3471F" w:rsidRPr="006E3839">
        <w:rPr>
          <w:rFonts w:ascii="Arial" w:eastAsia="Arial" w:hAnsi="Arial" w:cs="Arial"/>
          <w:sz w:val="20"/>
          <w:szCs w:val="20"/>
        </w:rPr>
        <w:t xml:space="preserve">the invoice itself cannot be prescribed by SARS because it is up to the seller what their actual invoice looks like. </w:t>
      </w:r>
      <w:r w:rsidR="00E875A3" w:rsidRPr="006E3839">
        <w:rPr>
          <w:rFonts w:ascii="Arial" w:eastAsia="Arial" w:hAnsi="Arial" w:cs="Arial"/>
          <w:sz w:val="20"/>
          <w:szCs w:val="20"/>
        </w:rPr>
        <w:t xml:space="preserve">It further explained that </w:t>
      </w:r>
      <w:r w:rsidR="00B3471F" w:rsidRPr="006E3839">
        <w:rPr>
          <w:rFonts w:ascii="Arial" w:eastAsia="Arial" w:hAnsi="Arial" w:cs="Arial"/>
          <w:sz w:val="20"/>
          <w:szCs w:val="20"/>
        </w:rPr>
        <w:t>SAR</w:t>
      </w:r>
      <w:r w:rsidR="00E875A3" w:rsidRPr="006E3839">
        <w:rPr>
          <w:rFonts w:ascii="Arial" w:eastAsia="Arial" w:hAnsi="Arial" w:cs="Arial"/>
          <w:sz w:val="20"/>
          <w:szCs w:val="20"/>
        </w:rPr>
        <w:t>S’</w:t>
      </w:r>
      <w:r w:rsidR="00B3471F" w:rsidRPr="006E3839">
        <w:rPr>
          <w:rFonts w:ascii="Arial" w:eastAsia="Arial" w:hAnsi="Arial" w:cs="Arial"/>
          <w:sz w:val="20"/>
          <w:szCs w:val="20"/>
        </w:rPr>
        <w:t xml:space="preserve"> aim is to avoid qualifying “invoice” in every instance where it is used by stating additionally that it must be true, correct and sufficient for the purposes of a making a valid entry and contain any additional information as may be prescribed. </w:t>
      </w:r>
    </w:p>
    <w:p w:rsidR="001875EC" w:rsidRPr="006E3839" w:rsidRDefault="001875EC" w:rsidP="006E3839">
      <w:pPr>
        <w:spacing w:after="0" w:line="240" w:lineRule="auto"/>
        <w:rPr>
          <w:rFonts w:ascii="Arial" w:eastAsia="Arial" w:hAnsi="Arial" w:cs="Arial"/>
          <w:sz w:val="20"/>
          <w:szCs w:val="20"/>
        </w:rPr>
      </w:pPr>
    </w:p>
    <w:p w:rsidR="00EB744D" w:rsidRPr="006E3839" w:rsidRDefault="00B3471F" w:rsidP="006E3839">
      <w:pPr>
        <w:spacing w:after="0" w:line="240" w:lineRule="auto"/>
        <w:rPr>
          <w:rFonts w:ascii="Arial" w:hAnsi="Arial" w:cs="Arial"/>
          <w:sz w:val="20"/>
          <w:szCs w:val="20"/>
        </w:rPr>
      </w:pPr>
      <w:r w:rsidRPr="006E3839">
        <w:rPr>
          <w:rFonts w:ascii="Arial" w:hAnsi="Arial" w:cs="Arial"/>
          <w:sz w:val="20"/>
          <w:szCs w:val="20"/>
        </w:rPr>
        <w:t>Insert</w:t>
      </w:r>
      <w:r w:rsidR="00714412" w:rsidRPr="006E3839">
        <w:rPr>
          <w:rFonts w:ascii="Arial" w:hAnsi="Arial" w:cs="Arial"/>
          <w:sz w:val="20"/>
          <w:szCs w:val="20"/>
        </w:rPr>
        <w:t>ion of</w:t>
      </w:r>
      <w:r w:rsidRPr="006E3839">
        <w:rPr>
          <w:rFonts w:ascii="Arial" w:hAnsi="Arial" w:cs="Arial"/>
          <w:sz w:val="20"/>
          <w:szCs w:val="20"/>
        </w:rPr>
        <w:t xml:space="preserve"> Chapter IXA – Advance Rulings</w:t>
      </w:r>
      <w:r w:rsidR="00EB744D" w:rsidRPr="006E3839">
        <w:rPr>
          <w:rFonts w:ascii="Arial" w:hAnsi="Arial" w:cs="Arial"/>
          <w:i/>
          <w:iCs/>
          <w:sz w:val="20"/>
          <w:szCs w:val="20"/>
        </w:rPr>
        <w:t>.</w:t>
      </w:r>
      <w:r w:rsidR="00F12883" w:rsidRPr="006E3839">
        <w:rPr>
          <w:rFonts w:ascii="Arial" w:hAnsi="Arial" w:cs="Arial"/>
          <w:i/>
          <w:iCs/>
          <w:sz w:val="20"/>
          <w:szCs w:val="20"/>
        </w:rPr>
        <w:t xml:space="preserve"> </w:t>
      </w:r>
    </w:p>
    <w:p w:rsidR="00A238B7" w:rsidRPr="006E3839" w:rsidRDefault="00EB744D" w:rsidP="006E3839">
      <w:pPr>
        <w:pStyle w:val="ListParagraph"/>
        <w:numPr>
          <w:ilvl w:val="1"/>
          <w:numId w:val="12"/>
        </w:numPr>
        <w:spacing w:after="0" w:line="240" w:lineRule="auto"/>
        <w:rPr>
          <w:rFonts w:ascii="Arial" w:hAnsi="Arial" w:cs="Arial"/>
          <w:sz w:val="20"/>
          <w:szCs w:val="20"/>
        </w:rPr>
      </w:pPr>
      <w:r w:rsidRPr="006E3839">
        <w:rPr>
          <w:rFonts w:ascii="Arial" w:hAnsi="Arial" w:cs="Arial"/>
          <w:sz w:val="20"/>
          <w:szCs w:val="20"/>
        </w:rPr>
        <w:t>The key comments were on the “</w:t>
      </w:r>
      <w:r w:rsidR="00F12883" w:rsidRPr="006E3839">
        <w:rPr>
          <w:rFonts w:ascii="Arial" w:hAnsi="Arial" w:cs="Arial"/>
          <w:sz w:val="20"/>
          <w:szCs w:val="20"/>
        </w:rPr>
        <w:t>a</w:t>
      </w:r>
      <w:r w:rsidR="00B3471F" w:rsidRPr="006E3839">
        <w:rPr>
          <w:rFonts w:ascii="Arial" w:hAnsi="Arial" w:cs="Arial"/>
          <w:sz w:val="20"/>
          <w:szCs w:val="20"/>
        </w:rPr>
        <w:t>pplicant’s tax matters to be in order</w:t>
      </w:r>
      <w:r w:rsidRPr="006E3839">
        <w:rPr>
          <w:rFonts w:ascii="Arial" w:hAnsi="Arial" w:cs="Arial"/>
          <w:sz w:val="20"/>
          <w:szCs w:val="20"/>
        </w:rPr>
        <w:t>”</w:t>
      </w:r>
      <w:r w:rsidR="00F12883" w:rsidRPr="006E3839">
        <w:rPr>
          <w:rFonts w:ascii="Arial" w:hAnsi="Arial" w:cs="Arial"/>
          <w:sz w:val="20"/>
          <w:szCs w:val="20"/>
        </w:rPr>
        <w:t xml:space="preserve"> </w:t>
      </w:r>
      <w:r w:rsidR="00F01803" w:rsidRPr="006E3839">
        <w:rPr>
          <w:rFonts w:ascii="Arial" w:hAnsi="Arial" w:cs="Arial"/>
          <w:sz w:val="20"/>
          <w:szCs w:val="20"/>
        </w:rPr>
        <w:t xml:space="preserve">in order to obtain an advance ruling </w:t>
      </w:r>
      <w:r w:rsidR="00B3471F" w:rsidRPr="006E3839">
        <w:rPr>
          <w:rFonts w:ascii="Arial" w:hAnsi="Arial" w:cs="Arial"/>
          <w:sz w:val="20"/>
          <w:szCs w:val="20"/>
        </w:rPr>
        <w:t>(Main reference: section 74B read with 74C of the Customs and Excise Act; clause 17)</w:t>
      </w:r>
      <w:r w:rsidR="00F12883" w:rsidRPr="006E3839">
        <w:rPr>
          <w:rFonts w:ascii="Arial" w:hAnsi="Arial" w:cs="Arial"/>
          <w:sz w:val="20"/>
          <w:szCs w:val="20"/>
        </w:rPr>
        <w:t xml:space="preserve">. </w:t>
      </w:r>
      <w:r w:rsidR="009C5182" w:rsidRPr="006E3839">
        <w:rPr>
          <w:rFonts w:ascii="Arial" w:hAnsi="Arial" w:cs="Arial"/>
          <w:sz w:val="20"/>
          <w:szCs w:val="20"/>
        </w:rPr>
        <w:t xml:space="preserve"> Commentators stated that a</w:t>
      </w:r>
      <w:r w:rsidR="00B3471F" w:rsidRPr="006E3839">
        <w:rPr>
          <w:rFonts w:ascii="Arial" w:eastAsia="Arial" w:hAnsi="Arial" w:cs="Arial"/>
          <w:sz w:val="20"/>
          <w:szCs w:val="20"/>
        </w:rPr>
        <w:t xml:space="preserve">n advance ruling should be a means of facilitating compliant trade. </w:t>
      </w:r>
      <w:r w:rsidR="009C5182" w:rsidRPr="006E3839">
        <w:rPr>
          <w:rFonts w:ascii="Arial" w:eastAsia="Arial" w:hAnsi="Arial" w:cs="Arial"/>
          <w:sz w:val="20"/>
          <w:szCs w:val="20"/>
        </w:rPr>
        <w:t>They contended that c</w:t>
      </w:r>
      <w:r w:rsidR="00B3471F" w:rsidRPr="006E3839">
        <w:rPr>
          <w:rFonts w:ascii="Arial" w:eastAsia="Arial" w:hAnsi="Arial" w:cs="Arial"/>
          <w:sz w:val="20"/>
          <w:szCs w:val="20"/>
        </w:rPr>
        <w:t xml:space="preserve">onsidering and resolving a person’s complete tax matters will hinder the applicant’s good intention of applying for a binding ruling to ensure future customs compliance. </w:t>
      </w:r>
      <w:r w:rsidR="00DB0E72" w:rsidRPr="006E3839">
        <w:rPr>
          <w:rFonts w:ascii="Arial" w:eastAsia="Arial" w:hAnsi="Arial" w:cs="Arial"/>
          <w:sz w:val="20"/>
          <w:szCs w:val="20"/>
        </w:rPr>
        <w:t>They added that a</w:t>
      </w:r>
      <w:r w:rsidR="00B3471F" w:rsidRPr="006E3839">
        <w:rPr>
          <w:rFonts w:ascii="Arial" w:eastAsia="Arial" w:hAnsi="Arial" w:cs="Arial"/>
          <w:sz w:val="20"/>
          <w:szCs w:val="20"/>
        </w:rPr>
        <w:t>n advance ruling should not be seen as an incentive for customs compliance but rather a tool to aid taxpayers to be compliant and to avoid further tax cases.</w:t>
      </w:r>
    </w:p>
    <w:p w:rsidR="002764DE" w:rsidRPr="006E3839" w:rsidRDefault="00A238B7" w:rsidP="006E3839">
      <w:pPr>
        <w:pStyle w:val="ListParagraph"/>
        <w:numPr>
          <w:ilvl w:val="1"/>
          <w:numId w:val="12"/>
        </w:numPr>
        <w:spacing w:after="0" w:line="240" w:lineRule="auto"/>
        <w:rPr>
          <w:rFonts w:ascii="Arial" w:hAnsi="Arial" w:cs="Arial"/>
          <w:sz w:val="20"/>
          <w:szCs w:val="20"/>
        </w:rPr>
      </w:pPr>
      <w:r w:rsidRPr="006E3839">
        <w:rPr>
          <w:rFonts w:ascii="Arial" w:eastAsia="Arial" w:hAnsi="Arial" w:cs="Arial"/>
          <w:sz w:val="20"/>
          <w:szCs w:val="20"/>
        </w:rPr>
        <w:t>They explained that i</w:t>
      </w:r>
      <w:r w:rsidR="00B3471F" w:rsidRPr="006E3839">
        <w:rPr>
          <w:rFonts w:ascii="Arial" w:eastAsia="Arial" w:hAnsi="Arial" w:cs="Arial"/>
          <w:sz w:val="20"/>
          <w:szCs w:val="20"/>
        </w:rPr>
        <w:t>f an applicant under the T</w:t>
      </w:r>
      <w:r w:rsidR="00675012" w:rsidRPr="006E3839">
        <w:rPr>
          <w:rFonts w:ascii="Arial" w:eastAsia="Arial" w:hAnsi="Arial" w:cs="Arial"/>
          <w:sz w:val="20"/>
          <w:szCs w:val="20"/>
        </w:rPr>
        <w:t xml:space="preserve">ax </w:t>
      </w:r>
      <w:r w:rsidR="00B3471F" w:rsidRPr="006E3839">
        <w:rPr>
          <w:rFonts w:ascii="Arial" w:eastAsia="Arial" w:hAnsi="Arial" w:cs="Arial"/>
          <w:sz w:val="20"/>
          <w:szCs w:val="20"/>
        </w:rPr>
        <w:t>A</w:t>
      </w:r>
      <w:r w:rsidR="00675012" w:rsidRPr="006E3839">
        <w:rPr>
          <w:rFonts w:ascii="Arial" w:eastAsia="Arial" w:hAnsi="Arial" w:cs="Arial"/>
          <w:sz w:val="20"/>
          <w:szCs w:val="20"/>
        </w:rPr>
        <w:t xml:space="preserve">dministration </w:t>
      </w:r>
      <w:r w:rsidR="00B3471F" w:rsidRPr="006E3839">
        <w:rPr>
          <w:rFonts w:ascii="Arial" w:eastAsia="Arial" w:hAnsi="Arial" w:cs="Arial"/>
          <w:sz w:val="20"/>
          <w:szCs w:val="20"/>
        </w:rPr>
        <w:t>A</w:t>
      </w:r>
      <w:r w:rsidR="00675012" w:rsidRPr="006E3839">
        <w:rPr>
          <w:rFonts w:ascii="Arial" w:eastAsia="Arial" w:hAnsi="Arial" w:cs="Arial"/>
          <w:sz w:val="20"/>
          <w:szCs w:val="20"/>
        </w:rPr>
        <w:t>ct (TAA)</w:t>
      </w:r>
      <w:r w:rsidR="00B3471F" w:rsidRPr="006E3839">
        <w:rPr>
          <w:rFonts w:ascii="Arial" w:eastAsia="Arial" w:hAnsi="Arial" w:cs="Arial"/>
          <w:sz w:val="20"/>
          <w:szCs w:val="20"/>
        </w:rPr>
        <w:t xml:space="preserve"> wishes to apply for a ruling, they are required to have no outstanding payments in terms of a </w:t>
      </w:r>
      <w:r w:rsidR="00277BF4" w:rsidRPr="006E3839">
        <w:rPr>
          <w:rFonts w:ascii="Arial" w:eastAsia="Arial" w:hAnsi="Arial" w:cs="Arial"/>
          <w:sz w:val="20"/>
          <w:szCs w:val="20"/>
          <w:lang w:val="en-ZA"/>
        </w:rPr>
        <w:t>“</w:t>
      </w:r>
      <w:r w:rsidR="00B3471F" w:rsidRPr="006E3839">
        <w:rPr>
          <w:rFonts w:ascii="Arial" w:eastAsia="Arial" w:hAnsi="Arial" w:cs="Arial"/>
          <w:sz w:val="20"/>
          <w:szCs w:val="20"/>
        </w:rPr>
        <w:t>tax Act</w:t>
      </w:r>
      <w:r w:rsidR="00277BF4" w:rsidRPr="006E3839">
        <w:rPr>
          <w:rFonts w:ascii="Arial" w:eastAsia="Arial" w:hAnsi="Arial" w:cs="Arial"/>
          <w:sz w:val="20"/>
          <w:szCs w:val="20"/>
        </w:rPr>
        <w:t>”</w:t>
      </w:r>
      <w:r w:rsidR="00B3471F" w:rsidRPr="006E3839">
        <w:rPr>
          <w:rFonts w:ascii="Arial" w:eastAsia="Arial" w:hAnsi="Arial" w:cs="Arial"/>
          <w:sz w:val="20"/>
          <w:szCs w:val="20"/>
        </w:rPr>
        <w:t xml:space="preserve"> which as defined in the TAA, excludes customs and excise legislation. </w:t>
      </w:r>
      <w:r w:rsidR="00F5177C" w:rsidRPr="006E3839">
        <w:rPr>
          <w:rFonts w:ascii="Arial" w:eastAsia="Arial" w:hAnsi="Arial" w:cs="Arial"/>
          <w:sz w:val="20"/>
          <w:szCs w:val="20"/>
        </w:rPr>
        <w:t>They said that t</w:t>
      </w:r>
      <w:r w:rsidR="00B3471F" w:rsidRPr="006E3839">
        <w:rPr>
          <w:rFonts w:ascii="Arial" w:eastAsia="Arial" w:hAnsi="Arial" w:cs="Arial"/>
          <w:sz w:val="20"/>
          <w:szCs w:val="20"/>
        </w:rPr>
        <w:t>his means that a party applying for a ruling in terms of the TAA could possibly have outstanding payments in respect of customs and excise legislation, and the ruling would still be granted.</w:t>
      </w:r>
      <w:r w:rsidR="00BA21E0" w:rsidRPr="006E3839">
        <w:rPr>
          <w:rFonts w:ascii="Arial" w:eastAsia="Arial" w:hAnsi="Arial" w:cs="Arial"/>
          <w:sz w:val="20"/>
          <w:szCs w:val="20"/>
        </w:rPr>
        <w:t xml:space="preserve"> </w:t>
      </w:r>
      <w:r w:rsidR="00B3471F" w:rsidRPr="006E3839">
        <w:rPr>
          <w:rFonts w:ascii="Arial" w:eastAsia="Arial" w:hAnsi="Arial" w:cs="Arial"/>
          <w:sz w:val="20"/>
          <w:szCs w:val="20"/>
        </w:rPr>
        <w:t xml:space="preserve">However, if an applicant under the proposed rulings system in Chapter IXA wishes to apply for a ruling, </w:t>
      </w:r>
      <w:r w:rsidR="00BA21E0" w:rsidRPr="006E3839">
        <w:rPr>
          <w:rFonts w:ascii="Arial" w:eastAsia="Arial" w:hAnsi="Arial" w:cs="Arial"/>
          <w:sz w:val="20"/>
          <w:szCs w:val="20"/>
        </w:rPr>
        <w:t>all</w:t>
      </w:r>
      <w:r w:rsidR="00B3471F" w:rsidRPr="006E3839">
        <w:rPr>
          <w:rFonts w:ascii="Arial" w:eastAsia="Arial" w:hAnsi="Arial" w:cs="Arial"/>
          <w:sz w:val="20"/>
          <w:szCs w:val="20"/>
        </w:rPr>
        <w:t xml:space="preserve"> their tax payments arising under any tax legislation need to be up to date in order to have their customs and excise advance ruling application considered. </w:t>
      </w:r>
      <w:r w:rsidR="003A1D7A" w:rsidRPr="006E3839">
        <w:rPr>
          <w:rFonts w:ascii="Arial" w:eastAsia="Arial" w:hAnsi="Arial" w:cs="Arial"/>
          <w:sz w:val="20"/>
          <w:szCs w:val="20"/>
        </w:rPr>
        <w:t>They argued that t</w:t>
      </w:r>
      <w:r w:rsidR="00B3471F" w:rsidRPr="006E3839">
        <w:rPr>
          <w:rFonts w:ascii="Arial" w:eastAsia="Arial" w:hAnsi="Arial" w:cs="Arial"/>
          <w:sz w:val="20"/>
          <w:szCs w:val="20"/>
        </w:rPr>
        <w:t xml:space="preserve">his unequal treatment could deter applicants from using the proposed ruling process, even applicants who have legitimate disputes with SARS regarding amounts demanded from them under the Customs </w:t>
      </w:r>
      <w:r w:rsidR="008D7F5F" w:rsidRPr="006E3839">
        <w:rPr>
          <w:rFonts w:ascii="Arial" w:eastAsia="Arial" w:hAnsi="Arial" w:cs="Arial"/>
          <w:sz w:val="20"/>
          <w:szCs w:val="20"/>
          <w:lang w:val="en-ZA"/>
        </w:rPr>
        <w:t xml:space="preserve">and Excise </w:t>
      </w:r>
      <w:r w:rsidR="00B3471F" w:rsidRPr="006E3839">
        <w:rPr>
          <w:rFonts w:ascii="Arial" w:eastAsia="Arial" w:hAnsi="Arial" w:cs="Arial"/>
          <w:sz w:val="20"/>
          <w:szCs w:val="20"/>
        </w:rPr>
        <w:t>Act.</w:t>
      </w:r>
      <w:r w:rsidR="002764DE" w:rsidRPr="006E3839">
        <w:rPr>
          <w:rFonts w:ascii="Arial" w:eastAsia="Arial" w:hAnsi="Arial" w:cs="Arial"/>
          <w:sz w:val="20"/>
          <w:szCs w:val="20"/>
        </w:rPr>
        <w:t xml:space="preserve"> It was submitted that t</w:t>
      </w:r>
      <w:r w:rsidR="00B3471F" w:rsidRPr="006E3839">
        <w:rPr>
          <w:rFonts w:ascii="Arial" w:eastAsia="Arial" w:hAnsi="Arial" w:cs="Arial"/>
          <w:sz w:val="20"/>
          <w:szCs w:val="20"/>
        </w:rPr>
        <w:t>his proposed requirement be dropped or amended to only apply to outstanding customs and excise liabilities, and only in cases where the applicant is not legitimately disputing the liability with SARS.</w:t>
      </w:r>
    </w:p>
    <w:p w:rsidR="00D933F1" w:rsidRPr="006E3839" w:rsidRDefault="002764DE" w:rsidP="006E3839">
      <w:pPr>
        <w:pStyle w:val="ListParagraph"/>
        <w:numPr>
          <w:ilvl w:val="1"/>
          <w:numId w:val="12"/>
        </w:numPr>
        <w:spacing w:after="0" w:line="240" w:lineRule="auto"/>
        <w:rPr>
          <w:rFonts w:ascii="Arial" w:hAnsi="Arial" w:cs="Arial"/>
          <w:sz w:val="20"/>
          <w:szCs w:val="20"/>
        </w:rPr>
      </w:pPr>
      <w:r w:rsidRPr="006E3839">
        <w:rPr>
          <w:rFonts w:ascii="Arial" w:eastAsia="Arial" w:hAnsi="Arial" w:cs="Arial"/>
          <w:sz w:val="20"/>
          <w:szCs w:val="20"/>
        </w:rPr>
        <w:t>In its response</w:t>
      </w:r>
      <w:r w:rsidR="008B5107" w:rsidRPr="006E3839">
        <w:rPr>
          <w:rFonts w:ascii="Arial" w:eastAsia="Arial" w:hAnsi="Arial" w:cs="Arial"/>
          <w:sz w:val="20"/>
          <w:szCs w:val="20"/>
        </w:rPr>
        <w:t xml:space="preserve">, </w:t>
      </w:r>
      <w:r w:rsidRPr="006E3839">
        <w:rPr>
          <w:rFonts w:ascii="Arial" w:eastAsia="Arial" w:hAnsi="Arial" w:cs="Arial"/>
          <w:sz w:val="20"/>
          <w:szCs w:val="20"/>
        </w:rPr>
        <w:t xml:space="preserve">SARS explained </w:t>
      </w:r>
      <w:r w:rsidR="008B5107" w:rsidRPr="006E3839">
        <w:rPr>
          <w:rFonts w:ascii="Arial" w:eastAsia="Arial" w:hAnsi="Arial" w:cs="Arial"/>
          <w:sz w:val="20"/>
          <w:szCs w:val="20"/>
        </w:rPr>
        <w:t>that t</w:t>
      </w:r>
      <w:r w:rsidR="00B3471F" w:rsidRPr="006E3839">
        <w:rPr>
          <w:rFonts w:ascii="Arial" w:eastAsia="Arial" w:hAnsi="Arial" w:cs="Arial"/>
          <w:sz w:val="20"/>
          <w:szCs w:val="20"/>
        </w:rPr>
        <w:t xml:space="preserve">ax compliance is currently a requirement for registration, licensing and accreditation and will be verified on application for a binding ruling. Furthermore, an advance ruling benefits an applicant because it creates certainty due to its binding nature. </w:t>
      </w:r>
      <w:r w:rsidR="00627088" w:rsidRPr="006E3839">
        <w:rPr>
          <w:rFonts w:ascii="Arial" w:eastAsia="Arial" w:hAnsi="Arial" w:cs="Arial"/>
          <w:sz w:val="20"/>
          <w:szCs w:val="20"/>
        </w:rPr>
        <w:t>It explained that t</w:t>
      </w:r>
      <w:r w:rsidR="00B3471F" w:rsidRPr="006E3839">
        <w:rPr>
          <w:rFonts w:ascii="Arial" w:eastAsia="Arial" w:hAnsi="Arial" w:cs="Arial"/>
          <w:sz w:val="20"/>
          <w:szCs w:val="20"/>
        </w:rPr>
        <w:t>he applicant must be tax compliant to obtain this benefit. It should be noted that tax compliance is not a requirement to obtain a determination.</w:t>
      </w:r>
      <w:r w:rsidR="00E05901" w:rsidRPr="006E3839">
        <w:rPr>
          <w:rFonts w:ascii="Arial" w:eastAsia="Arial" w:hAnsi="Arial" w:cs="Arial"/>
          <w:sz w:val="20"/>
          <w:szCs w:val="20"/>
        </w:rPr>
        <w:t xml:space="preserve"> SARS said that t</w:t>
      </w:r>
      <w:r w:rsidR="00B3471F" w:rsidRPr="006E3839">
        <w:rPr>
          <w:rFonts w:ascii="Arial" w:eastAsia="Arial" w:hAnsi="Arial" w:cs="Arial"/>
          <w:sz w:val="20"/>
          <w:szCs w:val="20"/>
        </w:rPr>
        <w:t>he proposed amendment will, however, be adjusted to make provision for cases where arrangements acceptable to SARS have been made to file outstanding tax returns or pay outstanding tax debt.</w:t>
      </w:r>
    </w:p>
    <w:p w:rsidR="009E3D9D" w:rsidRPr="006E3839" w:rsidRDefault="003947F6" w:rsidP="006E3839">
      <w:pPr>
        <w:pStyle w:val="ListParagraph"/>
        <w:numPr>
          <w:ilvl w:val="1"/>
          <w:numId w:val="12"/>
        </w:numPr>
        <w:spacing w:after="0" w:line="240" w:lineRule="auto"/>
        <w:rPr>
          <w:rFonts w:ascii="Arial" w:hAnsi="Arial" w:cs="Arial"/>
          <w:sz w:val="20"/>
          <w:szCs w:val="20"/>
        </w:rPr>
      </w:pPr>
      <w:r w:rsidRPr="006E3839">
        <w:rPr>
          <w:rFonts w:ascii="Arial" w:eastAsia="Arial" w:hAnsi="Arial" w:cs="Arial"/>
          <w:sz w:val="20"/>
          <w:szCs w:val="20"/>
        </w:rPr>
        <w:t>O</w:t>
      </w:r>
      <w:r w:rsidR="00B20896" w:rsidRPr="006E3839">
        <w:rPr>
          <w:rFonts w:ascii="Arial" w:eastAsia="Arial" w:hAnsi="Arial" w:cs="Arial"/>
          <w:sz w:val="20"/>
          <w:szCs w:val="20"/>
        </w:rPr>
        <w:t xml:space="preserve">n the </w:t>
      </w:r>
      <w:r w:rsidR="00EB744D" w:rsidRPr="006E3839">
        <w:rPr>
          <w:rFonts w:ascii="Arial" w:eastAsia="Arial" w:hAnsi="Arial" w:cs="Arial"/>
          <w:sz w:val="20"/>
          <w:szCs w:val="20"/>
        </w:rPr>
        <w:t>“a</w:t>
      </w:r>
      <w:r w:rsidR="00B3471F" w:rsidRPr="006E3839">
        <w:rPr>
          <w:rFonts w:ascii="Arial" w:eastAsia="Arial" w:hAnsi="Arial" w:cs="Arial"/>
          <w:sz w:val="20"/>
          <w:szCs w:val="20"/>
        </w:rPr>
        <w:t>pplications for advance rulings limited to tariff, value and origin</w:t>
      </w:r>
      <w:r w:rsidR="00EB744D" w:rsidRPr="006E3839">
        <w:rPr>
          <w:rFonts w:ascii="Arial" w:eastAsia="Arial" w:hAnsi="Arial" w:cs="Arial"/>
          <w:sz w:val="20"/>
          <w:szCs w:val="20"/>
        </w:rPr>
        <w:t>”</w:t>
      </w:r>
      <w:r w:rsidR="00F31FB4" w:rsidRPr="006E3839">
        <w:rPr>
          <w:rFonts w:ascii="Arial" w:eastAsia="Arial" w:hAnsi="Arial" w:cs="Arial"/>
          <w:b/>
          <w:bCs/>
          <w:sz w:val="20"/>
          <w:szCs w:val="20"/>
        </w:rPr>
        <w:t xml:space="preserve"> (</w:t>
      </w:r>
      <w:r w:rsidR="00B3471F" w:rsidRPr="006E3839">
        <w:rPr>
          <w:rFonts w:ascii="Arial" w:eastAsia="Arial" w:hAnsi="Arial" w:cs="Arial"/>
          <w:sz w:val="20"/>
          <w:szCs w:val="20"/>
        </w:rPr>
        <w:t xml:space="preserve">Main reference: </w:t>
      </w:r>
      <w:r w:rsidR="00271C27" w:rsidRPr="006E3839">
        <w:rPr>
          <w:rFonts w:ascii="Arial" w:eastAsia="Arial" w:hAnsi="Arial" w:cs="Arial"/>
          <w:sz w:val="20"/>
          <w:szCs w:val="20"/>
        </w:rPr>
        <w:t>s</w:t>
      </w:r>
      <w:r w:rsidR="00B3471F" w:rsidRPr="006E3839">
        <w:rPr>
          <w:rFonts w:ascii="Arial" w:eastAsia="Arial" w:hAnsi="Arial" w:cs="Arial"/>
          <w:sz w:val="20"/>
          <w:szCs w:val="20"/>
        </w:rPr>
        <w:t xml:space="preserve">ection 74C of the Customs </w:t>
      </w:r>
      <w:bookmarkStart w:id="2" w:name="_Hlk118998939"/>
      <w:r w:rsidR="00B3471F" w:rsidRPr="006E3839">
        <w:rPr>
          <w:rFonts w:ascii="Arial" w:eastAsia="Arial" w:hAnsi="Arial" w:cs="Arial"/>
          <w:sz w:val="20"/>
          <w:szCs w:val="20"/>
        </w:rPr>
        <w:t xml:space="preserve">and Excise </w:t>
      </w:r>
      <w:bookmarkEnd w:id="2"/>
      <w:r w:rsidR="00B3471F" w:rsidRPr="006E3839">
        <w:rPr>
          <w:rFonts w:ascii="Arial" w:eastAsia="Arial" w:hAnsi="Arial" w:cs="Arial"/>
          <w:sz w:val="20"/>
          <w:szCs w:val="20"/>
        </w:rPr>
        <w:t xml:space="preserve">Act; </w:t>
      </w:r>
      <w:r w:rsidR="008D7F5F" w:rsidRPr="006E3839">
        <w:rPr>
          <w:rFonts w:ascii="Arial" w:eastAsia="Arial" w:hAnsi="Arial" w:cs="Arial"/>
          <w:sz w:val="20"/>
          <w:szCs w:val="20"/>
        </w:rPr>
        <w:t>c</w:t>
      </w:r>
      <w:r w:rsidR="00B3471F" w:rsidRPr="006E3839">
        <w:rPr>
          <w:rFonts w:ascii="Arial" w:eastAsia="Arial" w:hAnsi="Arial" w:cs="Arial"/>
          <w:sz w:val="20"/>
          <w:szCs w:val="20"/>
        </w:rPr>
        <w:t>lause 17)</w:t>
      </w:r>
      <w:r w:rsidR="00B71D6C" w:rsidRPr="006E3839">
        <w:rPr>
          <w:rFonts w:ascii="Arial" w:eastAsia="Arial" w:hAnsi="Arial" w:cs="Arial"/>
          <w:sz w:val="20"/>
          <w:szCs w:val="20"/>
        </w:rPr>
        <w:t>, comment</w:t>
      </w:r>
      <w:r w:rsidRPr="006E3839">
        <w:rPr>
          <w:rFonts w:ascii="Arial" w:eastAsia="Arial" w:hAnsi="Arial" w:cs="Arial"/>
          <w:sz w:val="20"/>
          <w:szCs w:val="20"/>
        </w:rPr>
        <w:t>s</w:t>
      </w:r>
      <w:r w:rsidR="00B71D6C" w:rsidRPr="006E3839">
        <w:rPr>
          <w:rFonts w:ascii="Arial" w:eastAsia="Arial" w:hAnsi="Arial" w:cs="Arial"/>
          <w:sz w:val="20"/>
          <w:szCs w:val="20"/>
        </w:rPr>
        <w:t xml:space="preserve"> w</w:t>
      </w:r>
      <w:r w:rsidRPr="006E3839">
        <w:rPr>
          <w:rFonts w:ascii="Arial" w:eastAsia="Arial" w:hAnsi="Arial" w:cs="Arial"/>
          <w:sz w:val="20"/>
          <w:szCs w:val="20"/>
        </w:rPr>
        <w:t>ere</w:t>
      </w:r>
      <w:r w:rsidR="00B71D6C" w:rsidRPr="006E3839">
        <w:rPr>
          <w:rFonts w:ascii="Arial" w:eastAsia="Arial" w:hAnsi="Arial" w:cs="Arial"/>
          <w:sz w:val="20"/>
          <w:szCs w:val="20"/>
        </w:rPr>
        <w:t xml:space="preserve"> received that this proposed </w:t>
      </w:r>
      <w:r w:rsidR="00B3471F" w:rsidRPr="006E3839">
        <w:rPr>
          <w:rFonts w:ascii="Arial" w:hAnsi="Arial" w:cs="Arial"/>
          <w:sz w:val="20"/>
          <w:szCs w:val="20"/>
        </w:rPr>
        <w:t>provision should be amended to allow applications to be brought to obtain clarity, consistency and certainty regarding the interpretation and application of the Customs</w:t>
      </w:r>
      <w:r w:rsidR="008D7F5F" w:rsidRPr="006E3839">
        <w:rPr>
          <w:rFonts w:ascii="Arial" w:eastAsia="Arial" w:hAnsi="Arial" w:cs="Arial"/>
          <w:sz w:val="20"/>
          <w:szCs w:val="20"/>
          <w:lang w:val="en-ZA"/>
        </w:rPr>
        <w:t xml:space="preserve"> </w:t>
      </w:r>
      <w:r w:rsidR="008D7F5F" w:rsidRPr="006E3839">
        <w:rPr>
          <w:rFonts w:ascii="Arial" w:hAnsi="Arial" w:cs="Arial"/>
          <w:sz w:val="20"/>
          <w:szCs w:val="20"/>
          <w:lang w:val="en-ZA"/>
        </w:rPr>
        <w:t>and Excise</w:t>
      </w:r>
      <w:r w:rsidR="00B3471F" w:rsidRPr="006E3839">
        <w:rPr>
          <w:rFonts w:ascii="Arial" w:hAnsi="Arial" w:cs="Arial"/>
          <w:sz w:val="20"/>
          <w:szCs w:val="20"/>
        </w:rPr>
        <w:t xml:space="preserve"> Act. </w:t>
      </w:r>
      <w:r w:rsidR="001A5F97" w:rsidRPr="006E3839">
        <w:rPr>
          <w:rFonts w:ascii="Arial" w:hAnsi="Arial" w:cs="Arial"/>
          <w:sz w:val="20"/>
          <w:szCs w:val="20"/>
        </w:rPr>
        <w:t>It was explained that a</w:t>
      </w:r>
      <w:r w:rsidR="00B3471F" w:rsidRPr="006E3839">
        <w:rPr>
          <w:rFonts w:ascii="Arial" w:hAnsi="Arial" w:cs="Arial"/>
          <w:sz w:val="20"/>
          <w:szCs w:val="20"/>
        </w:rPr>
        <w:t xml:space="preserve"> substantial portion of customs and excise disputes with SARS arise due to disagreements on the interpretation of provisions of the Customs </w:t>
      </w:r>
      <w:r w:rsidR="00BE15EE" w:rsidRPr="006E3839">
        <w:rPr>
          <w:rFonts w:ascii="Arial" w:hAnsi="Arial" w:cs="Arial"/>
          <w:sz w:val="20"/>
          <w:szCs w:val="20"/>
        </w:rPr>
        <w:t xml:space="preserve">and Excise </w:t>
      </w:r>
      <w:r w:rsidR="00B3471F" w:rsidRPr="006E3839">
        <w:rPr>
          <w:rFonts w:ascii="Arial" w:hAnsi="Arial" w:cs="Arial"/>
          <w:sz w:val="20"/>
          <w:szCs w:val="20"/>
        </w:rPr>
        <w:t xml:space="preserve">Act. </w:t>
      </w:r>
      <w:r w:rsidR="00BE15EE" w:rsidRPr="006E3839">
        <w:rPr>
          <w:rFonts w:ascii="Arial" w:hAnsi="Arial" w:cs="Arial"/>
          <w:sz w:val="20"/>
          <w:szCs w:val="20"/>
        </w:rPr>
        <w:t>It was further explained that t</w:t>
      </w:r>
      <w:r w:rsidR="00B3471F" w:rsidRPr="006E3839">
        <w:rPr>
          <w:rFonts w:ascii="Arial" w:hAnsi="Arial" w:cs="Arial"/>
          <w:sz w:val="20"/>
          <w:szCs w:val="20"/>
        </w:rPr>
        <w:t xml:space="preserve">he Internal Administrative Appeal (IAA) process is costly, time-consuming, and often fails to provide certainty on matters of interpretation. </w:t>
      </w:r>
      <w:r w:rsidR="009E3D9D" w:rsidRPr="006E3839">
        <w:rPr>
          <w:rFonts w:ascii="Arial" w:hAnsi="Arial" w:cs="Arial"/>
          <w:sz w:val="20"/>
          <w:szCs w:val="20"/>
        </w:rPr>
        <w:t xml:space="preserve">It was </w:t>
      </w:r>
      <w:r w:rsidR="009E3D9D" w:rsidRPr="006E3839">
        <w:rPr>
          <w:rFonts w:ascii="Arial" w:hAnsi="Arial" w:cs="Arial"/>
          <w:sz w:val="20"/>
          <w:szCs w:val="20"/>
        </w:rPr>
        <w:lastRenderedPageBreak/>
        <w:t>submitted that a</w:t>
      </w:r>
      <w:r w:rsidR="00B3471F" w:rsidRPr="006E3839">
        <w:rPr>
          <w:rFonts w:ascii="Arial" w:hAnsi="Arial" w:cs="Arial"/>
          <w:sz w:val="20"/>
          <w:szCs w:val="20"/>
        </w:rPr>
        <w:t xml:space="preserve"> system allowing for advance rulings on interpretational issues could assist with this issue and help reduce the burden on customs and excise Appeal Committees.</w:t>
      </w:r>
    </w:p>
    <w:p w:rsidR="00976FC9" w:rsidRPr="006E3839" w:rsidRDefault="009E3D9D" w:rsidP="006E3839">
      <w:pPr>
        <w:pStyle w:val="ListParagraph"/>
        <w:numPr>
          <w:ilvl w:val="1"/>
          <w:numId w:val="12"/>
        </w:numPr>
        <w:spacing w:after="0" w:line="240" w:lineRule="auto"/>
        <w:rPr>
          <w:rFonts w:ascii="Arial" w:hAnsi="Arial" w:cs="Arial"/>
          <w:sz w:val="20"/>
          <w:szCs w:val="20"/>
        </w:rPr>
      </w:pPr>
      <w:r w:rsidRPr="006E3839">
        <w:rPr>
          <w:rFonts w:ascii="Arial" w:hAnsi="Arial" w:cs="Arial"/>
          <w:sz w:val="20"/>
          <w:szCs w:val="20"/>
        </w:rPr>
        <w:t>It was argued that t</w:t>
      </w:r>
      <w:r w:rsidR="00B3471F" w:rsidRPr="006E3839">
        <w:rPr>
          <w:rFonts w:ascii="Arial" w:eastAsia="Arial" w:hAnsi="Arial" w:cs="Arial"/>
          <w:sz w:val="20"/>
          <w:szCs w:val="20"/>
        </w:rPr>
        <w:t>he narrow focus of the proposed system which only provides for rulings on tariff classification, customs valuation, and the origin of goods, means that the IAA process remains the only internal mechanism to resolve questions of interpretation under the Customs</w:t>
      </w:r>
      <w:r w:rsidR="00271C27" w:rsidRPr="006E3839">
        <w:rPr>
          <w:rFonts w:ascii="Arial" w:hAnsi="Arial" w:cs="Arial"/>
          <w:sz w:val="20"/>
          <w:szCs w:val="20"/>
          <w:lang w:val="en-ZA"/>
        </w:rPr>
        <w:t xml:space="preserve"> </w:t>
      </w:r>
      <w:r w:rsidR="00271C27" w:rsidRPr="006E3839">
        <w:rPr>
          <w:rFonts w:ascii="Arial" w:eastAsia="Arial" w:hAnsi="Arial" w:cs="Arial"/>
          <w:sz w:val="20"/>
          <w:szCs w:val="20"/>
          <w:lang w:val="en-ZA"/>
        </w:rPr>
        <w:t>and Excise</w:t>
      </w:r>
      <w:r w:rsidR="00B3471F" w:rsidRPr="006E3839">
        <w:rPr>
          <w:rFonts w:ascii="Arial" w:eastAsia="Arial" w:hAnsi="Arial" w:cs="Arial"/>
          <w:sz w:val="20"/>
          <w:szCs w:val="20"/>
        </w:rPr>
        <w:t xml:space="preserve"> Act.</w:t>
      </w:r>
      <w:r w:rsidRPr="006E3839">
        <w:rPr>
          <w:rFonts w:ascii="Arial" w:eastAsia="Arial" w:hAnsi="Arial" w:cs="Arial"/>
          <w:sz w:val="20"/>
          <w:szCs w:val="20"/>
        </w:rPr>
        <w:t xml:space="preserve"> </w:t>
      </w:r>
      <w:r w:rsidR="005E12B7" w:rsidRPr="006E3839">
        <w:rPr>
          <w:rFonts w:ascii="Arial" w:eastAsia="Arial" w:hAnsi="Arial" w:cs="Arial"/>
          <w:sz w:val="20"/>
          <w:szCs w:val="20"/>
        </w:rPr>
        <w:t xml:space="preserve">The commentators </w:t>
      </w:r>
      <w:r w:rsidR="00B3471F" w:rsidRPr="006E3839">
        <w:rPr>
          <w:rFonts w:ascii="Arial" w:eastAsia="Arial" w:hAnsi="Arial" w:cs="Arial"/>
          <w:sz w:val="20"/>
          <w:szCs w:val="20"/>
        </w:rPr>
        <w:t>submit</w:t>
      </w:r>
      <w:r w:rsidR="005E12B7" w:rsidRPr="006E3839">
        <w:rPr>
          <w:rFonts w:ascii="Arial" w:eastAsia="Arial" w:hAnsi="Arial" w:cs="Arial"/>
          <w:sz w:val="20"/>
          <w:szCs w:val="20"/>
        </w:rPr>
        <w:t>ted</w:t>
      </w:r>
      <w:r w:rsidR="00B3471F" w:rsidRPr="006E3839">
        <w:rPr>
          <w:rFonts w:ascii="Arial" w:eastAsia="Arial" w:hAnsi="Arial" w:cs="Arial"/>
          <w:sz w:val="20"/>
          <w:szCs w:val="20"/>
        </w:rPr>
        <w:t xml:space="preserve"> that wording </w:t>
      </w:r>
      <w:r w:rsidR="005E12B7" w:rsidRPr="006E3839">
        <w:rPr>
          <w:rFonts w:ascii="Arial" w:eastAsia="Arial" w:hAnsi="Arial" w:cs="Arial"/>
          <w:sz w:val="20"/>
          <w:szCs w:val="20"/>
        </w:rPr>
        <w:t>like</w:t>
      </w:r>
      <w:r w:rsidR="00B3471F" w:rsidRPr="006E3839">
        <w:rPr>
          <w:rFonts w:ascii="Arial" w:eastAsia="Arial" w:hAnsi="Arial" w:cs="Arial"/>
          <w:sz w:val="20"/>
          <w:szCs w:val="20"/>
        </w:rPr>
        <w:t xml:space="preserve"> that governing the advance rulings system under Chapter 7 of the TAA could be incorporated into the proposed Chapter IXA of the Customs</w:t>
      </w:r>
      <w:r w:rsidR="00271C27" w:rsidRPr="006E3839">
        <w:rPr>
          <w:rFonts w:ascii="Arial" w:hAnsi="Arial" w:cs="Arial"/>
          <w:sz w:val="20"/>
          <w:szCs w:val="20"/>
          <w:lang w:val="en-ZA"/>
        </w:rPr>
        <w:t xml:space="preserve"> </w:t>
      </w:r>
      <w:r w:rsidR="00271C27" w:rsidRPr="006E3839">
        <w:rPr>
          <w:rFonts w:ascii="Arial" w:eastAsia="Arial" w:hAnsi="Arial" w:cs="Arial"/>
          <w:sz w:val="20"/>
          <w:szCs w:val="20"/>
          <w:lang w:val="en-ZA"/>
        </w:rPr>
        <w:t>and Excise</w:t>
      </w:r>
      <w:r w:rsidR="00B3471F" w:rsidRPr="006E3839">
        <w:rPr>
          <w:rFonts w:ascii="Arial" w:eastAsia="Arial" w:hAnsi="Arial" w:cs="Arial"/>
          <w:sz w:val="20"/>
          <w:szCs w:val="20"/>
        </w:rPr>
        <w:t xml:space="preserve"> Act, to widen its ambit. Alternatively, the proposed Chapter IXA could incorporate wording </w:t>
      </w:r>
      <w:r w:rsidR="008B2709" w:rsidRPr="006E3839">
        <w:rPr>
          <w:rFonts w:ascii="Arial" w:eastAsia="Arial" w:hAnsi="Arial" w:cs="Arial"/>
          <w:sz w:val="20"/>
          <w:szCs w:val="20"/>
        </w:rPr>
        <w:t>like</w:t>
      </w:r>
      <w:r w:rsidR="00B3471F" w:rsidRPr="006E3839">
        <w:rPr>
          <w:rFonts w:ascii="Arial" w:eastAsia="Arial" w:hAnsi="Arial" w:cs="Arial"/>
          <w:sz w:val="20"/>
          <w:szCs w:val="20"/>
        </w:rPr>
        <w:t xml:space="preserve"> that of section 114A of the Customs</w:t>
      </w:r>
      <w:r w:rsidR="00271C27" w:rsidRPr="006E3839">
        <w:rPr>
          <w:rFonts w:ascii="Arial" w:hAnsi="Arial" w:cs="Arial"/>
          <w:sz w:val="20"/>
          <w:szCs w:val="20"/>
          <w:lang w:val="en-ZA"/>
        </w:rPr>
        <w:t xml:space="preserve"> </w:t>
      </w:r>
      <w:r w:rsidR="00271C27" w:rsidRPr="006E3839">
        <w:rPr>
          <w:rFonts w:ascii="Arial" w:eastAsia="Arial" w:hAnsi="Arial" w:cs="Arial"/>
          <w:sz w:val="20"/>
          <w:szCs w:val="20"/>
          <w:lang w:val="en-ZA"/>
        </w:rPr>
        <w:t>and Excise</w:t>
      </w:r>
      <w:r w:rsidR="00B3471F" w:rsidRPr="006E3839">
        <w:rPr>
          <w:rFonts w:ascii="Arial" w:eastAsia="Arial" w:hAnsi="Arial" w:cs="Arial"/>
          <w:sz w:val="20"/>
          <w:szCs w:val="20"/>
        </w:rPr>
        <w:t xml:space="preserve"> Act, in terms of which a specific part of the TAA is deemed to apply to the Customs </w:t>
      </w:r>
      <w:r w:rsidR="00271C27" w:rsidRPr="006E3839">
        <w:rPr>
          <w:rFonts w:ascii="Arial" w:eastAsia="Arial" w:hAnsi="Arial" w:cs="Arial"/>
          <w:sz w:val="20"/>
          <w:szCs w:val="20"/>
          <w:lang w:val="en-ZA"/>
        </w:rPr>
        <w:t xml:space="preserve">and Excise </w:t>
      </w:r>
      <w:r w:rsidR="00B3471F" w:rsidRPr="006E3839">
        <w:rPr>
          <w:rFonts w:ascii="Arial" w:eastAsia="Arial" w:hAnsi="Arial" w:cs="Arial"/>
          <w:sz w:val="20"/>
          <w:szCs w:val="20"/>
        </w:rPr>
        <w:t xml:space="preserve">Act, with any necessary changes as the context may require. </w:t>
      </w:r>
      <w:r w:rsidR="00976FC9" w:rsidRPr="006E3839">
        <w:rPr>
          <w:rFonts w:ascii="Arial" w:eastAsia="Arial" w:hAnsi="Arial" w:cs="Arial"/>
          <w:sz w:val="20"/>
          <w:szCs w:val="20"/>
        </w:rPr>
        <w:t>They added that t</w:t>
      </w:r>
      <w:r w:rsidR="00B3471F" w:rsidRPr="006E3839">
        <w:rPr>
          <w:rFonts w:ascii="Arial" w:eastAsia="Arial" w:hAnsi="Arial" w:cs="Arial"/>
          <w:sz w:val="20"/>
          <w:szCs w:val="20"/>
        </w:rPr>
        <w:t>he latter option is arguably the more elegant solution, and there is precedent for it in section 114A.</w:t>
      </w:r>
    </w:p>
    <w:p w:rsidR="006C295B" w:rsidRPr="006E3839" w:rsidRDefault="00976FC9" w:rsidP="006E3839">
      <w:pPr>
        <w:pStyle w:val="ListParagraph"/>
        <w:numPr>
          <w:ilvl w:val="1"/>
          <w:numId w:val="12"/>
        </w:numPr>
        <w:spacing w:after="0" w:line="240" w:lineRule="auto"/>
        <w:rPr>
          <w:rFonts w:ascii="Arial" w:hAnsi="Arial" w:cs="Arial"/>
          <w:sz w:val="20"/>
          <w:szCs w:val="20"/>
        </w:rPr>
      </w:pPr>
      <w:r w:rsidRPr="006E3839">
        <w:rPr>
          <w:rFonts w:ascii="Arial" w:eastAsia="Arial" w:hAnsi="Arial" w:cs="Arial"/>
          <w:sz w:val="20"/>
          <w:szCs w:val="20"/>
        </w:rPr>
        <w:t>SARS did not accept this submission and explained that a</w:t>
      </w:r>
      <w:r w:rsidR="00B3471F" w:rsidRPr="006E3839">
        <w:rPr>
          <w:rFonts w:ascii="Arial" w:eastAsia="Arial" w:hAnsi="Arial" w:cs="Arial"/>
          <w:sz w:val="20"/>
          <w:szCs w:val="20"/>
        </w:rPr>
        <w:t xml:space="preserve">dvance rulings in the customs context should not be confused with advance rulings in the tax context, which relate to interpretation issues and specifically provide for SARS to reject ruling applications relating to the value of an asset. </w:t>
      </w:r>
      <w:r w:rsidR="0026056A" w:rsidRPr="006E3839">
        <w:rPr>
          <w:rFonts w:ascii="Arial" w:eastAsia="Arial" w:hAnsi="Arial" w:cs="Arial"/>
          <w:sz w:val="20"/>
          <w:szCs w:val="20"/>
        </w:rPr>
        <w:t>SARS explained that t</w:t>
      </w:r>
      <w:r w:rsidR="00B3471F" w:rsidRPr="006E3839">
        <w:rPr>
          <w:rFonts w:ascii="Arial" w:eastAsia="Arial" w:hAnsi="Arial" w:cs="Arial"/>
          <w:sz w:val="20"/>
          <w:szCs w:val="20"/>
        </w:rPr>
        <w:t xml:space="preserve">he reason for specifically enabling a system of advance rulings in respect of tariff, valuation and origin is South Africa’s commitment in terms of Article 3 of the World Trade Organisation Trade Facilitation Agreement. </w:t>
      </w:r>
      <w:r w:rsidR="0026056A" w:rsidRPr="006E3839">
        <w:rPr>
          <w:rFonts w:ascii="Arial" w:eastAsia="Arial" w:hAnsi="Arial" w:cs="Arial"/>
          <w:sz w:val="20"/>
          <w:szCs w:val="20"/>
        </w:rPr>
        <w:t xml:space="preserve">SARS explained further that </w:t>
      </w:r>
      <w:r w:rsidR="00B3471F" w:rsidRPr="006E3839">
        <w:rPr>
          <w:rFonts w:ascii="Arial" w:eastAsia="Arial" w:hAnsi="Arial" w:cs="Arial"/>
          <w:sz w:val="20"/>
          <w:szCs w:val="20"/>
        </w:rPr>
        <w:t>Article 3 obliges member states to provide for a system of advance rulings for the tariff classification and origin of goods as well as on the appropriate method or criteria to be used for determining the customs value of goods. South Africa has committed to implementing such a system by 2028.</w:t>
      </w:r>
      <w:r w:rsidR="00502B4A" w:rsidRPr="006E3839">
        <w:rPr>
          <w:rFonts w:ascii="Arial" w:eastAsia="Arial" w:hAnsi="Arial" w:cs="Arial"/>
          <w:sz w:val="20"/>
          <w:szCs w:val="20"/>
        </w:rPr>
        <w:t xml:space="preserve"> It said that i</w:t>
      </w:r>
      <w:r w:rsidR="00B3471F" w:rsidRPr="006E3839">
        <w:rPr>
          <w:rFonts w:ascii="Arial" w:eastAsia="Arial" w:hAnsi="Arial" w:cs="Arial"/>
          <w:sz w:val="20"/>
          <w:szCs w:val="20"/>
        </w:rPr>
        <w:t>nterpretation rulings are not foreseen at this stage but may be considered as the programme matures.</w:t>
      </w:r>
    </w:p>
    <w:p w:rsidR="001B769E" w:rsidRPr="006E3839" w:rsidRDefault="006C295B" w:rsidP="006E3839">
      <w:pPr>
        <w:pStyle w:val="ListParagraph"/>
        <w:numPr>
          <w:ilvl w:val="1"/>
          <w:numId w:val="12"/>
        </w:numPr>
        <w:spacing w:after="0" w:line="240" w:lineRule="auto"/>
        <w:rPr>
          <w:rFonts w:ascii="Arial" w:hAnsi="Arial" w:cs="Arial"/>
          <w:sz w:val="20"/>
          <w:szCs w:val="20"/>
        </w:rPr>
      </w:pPr>
      <w:r w:rsidRPr="006E3839">
        <w:rPr>
          <w:rFonts w:ascii="Arial" w:eastAsia="Arial" w:hAnsi="Arial" w:cs="Arial"/>
          <w:sz w:val="20"/>
          <w:szCs w:val="20"/>
        </w:rPr>
        <w:t xml:space="preserve">On </w:t>
      </w:r>
      <w:r w:rsidR="00EB744D" w:rsidRPr="006E3839">
        <w:rPr>
          <w:rFonts w:ascii="Arial" w:eastAsia="Arial" w:hAnsi="Arial" w:cs="Arial"/>
          <w:sz w:val="20"/>
          <w:szCs w:val="20"/>
        </w:rPr>
        <w:t>“</w:t>
      </w:r>
      <w:r w:rsidR="00B3471F" w:rsidRPr="006E3839">
        <w:rPr>
          <w:rFonts w:ascii="Arial" w:eastAsia="Arial" w:hAnsi="Arial" w:cs="Arial"/>
          <w:sz w:val="20"/>
          <w:szCs w:val="20"/>
        </w:rPr>
        <w:t>Limiting applicants to importers and exporters</w:t>
      </w:r>
      <w:r w:rsidR="006541E0" w:rsidRPr="006E3839">
        <w:rPr>
          <w:rFonts w:ascii="Arial" w:eastAsia="Arial" w:hAnsi="Arial" w:cs="Arial"/>
          <w:sz w:val="20"/>
          <w:szCs w:val="20"/>
        </w:rPr>
        <w:t>”</w:t>
      </w:r>
      <w:r w:rsidR="003947F6" w:rsidRPr="006E3839">
        <w:rPr>
          <w:rFonts w:ascii="Arial" w:eastAsia="Arial" w:hAnsi="Arial" w:cs="Arial"/>
          <w:b/>
          <w:bCs/>
          <w:sz w:val="20"/>
          <w:szCs w:val="20"/>
        </w:rPr>
        <w:t xml:space="preserve"> </w:t>
      </w:r>
      <w:r w:rsidR="00B3471F" w:rsidRPr="006E3839">
        <w:rPr>
          <w:rFonts w:ascii="Arial" w:eastAsia="Arial" w:hAnsi="Arial" w:cs="Arial"/>
          <w:sz w:val="20"/>
          <w:szCs w:val="20"/>
        </w:rPr>
        <w:t xml:space="preserve">(Main reference: </w:t>
      </w:r>
      <w:r w:rsidR="008D7F5F" w:rsidRPr="006E3839">
        <w:rPr>
          <w:rFonts w:ascii="Arial" w:eastAsia="Arial" w:hAnsi="Arial" w:cs="Arial"/>
          <w:sz w:val="20"/>
          <w:szCs w:val="20"/>
        </w:rPr>
        <w:t>s</w:t>
      </w:r>
      <w:r w:rsidR="00B3471F" w:rsidRPr="006E3839">
        <w:rPr>
          <w:rFonts w:ascii="Arial" w:eastAsia="Arial" w:hAnsi="Arial" w:cs="Arial"/>
          <w:sz w:val="20"/>
          <w:szCs w:val="20"/>
        </w:rPr>
        <w:t xml:space="preserve">ection 74C of the Customs and Excise Act; </w:t>
      </w:r>
      <w:r w:rsidR="008D7F5F" w:rsidRPr="006E3839">
        <w:rPr>
          <w:rFonts w:ascii="Arial" w:eastAsia="Arial" w:hAnsi="Arial" w:cs="Arial"/>
          <w:sz w:val="20"/>
          <w:szCs w:val="20"/>
        </w:rPr>
        <w:t>c</w:t>
      </w:r>
      <w:r w:rsidR="00B3471F" w:rsidRPr="006E3839">
        <w:rPr>
          <w:rFonts w:ascii="Arial" w:eastAsia="Arial" w:hAnsi="Arial" w:cs="Arial"/>
          <w:sz w:val="20"/>
          <w:szCs w:val="20"/>
        </w:rPr>
        <w:t>lause)</w:t>
      </w:r>
      <w:r w:rsidR="00100FEF" w:rsidRPr="006E3839">
        <w:rPr>
          <w:rFonts w:ascii="Arial" w:eastAsia="Arial" w:hAnsi="Arial" w:cs="Arial"/>
          <w:sz w:val="20"/>
          <w:szCs w:val="20"/>
        </w:rPr>
        <w:t xml:space="preserve">, commentators contended that the </w:t>
      </w:r>
      <w:r w:rsidR="00B3471F" w:rsidRPr="006E3839">
        <w:rPr>
          <w:rFonts w:ascii="Arial" w:eastAsia="Arial" w:hAnsi="Arial" w:cs="Arial"/>
          <w:sz w:val="20"/>
          <w:szCs w:val="20"/>
        </w:rPr>
        <w:t xml:space="preserve">requirements may unnecessarily exclude certain applicants with legitimate interests. </w:t>
      </w:r>
      <w:r w:rsidR="008D3C29" w:rsidRPr="006E3839">
        <w:rPr>
          <w:rFonts w:ascii="Arial" w:eastAsia="Arial" w:hAnsi="Arial" w:cs="Arial"/>
          <w:sz w:val="20"/>
          <w:szCs w:val="20"/>
        </w:rPr>
        <w:t xml:space="preserve">They submitted that </w:t>
      </w:r>
      <w:r w:rsidR="00B3471F" w:rsidRPr="006E3839">
        <w:rPr>
          <w:rFonts w:ascii="Arial" w:eastAsia="Arial" w:hAnsi="Arial" w:cs="Arial"/>
          <w:sz w:val="20"/>
          <w:szCs w:val="20"/>
        </w:rPr>
        <w:t xml:space="preserve">applications should be allowed to be made on behalf of a "class" as this could allow entities representing diverse members who share common interests to approach SARS for rulings. </w:t>
      </w:r>
      <w:r w:rsidR="001B769E" w:rsidRPr="006E3839">
        <w:rPr>
          <w:rFonts w:ascii="Arial" w:eastAsia="Arial" w:hAnsi="Arial" w:cs="Arial"/>
          <w:sz w:val="20"/>
          <w:szCs w:val="20"/>
        </w:rPr>
        <w:t>They said that a</w:t>
      </w:r>
      <w:r w:rsidR="00B3471F" w:rsidRPr="006E3839">
        <w:rPr>
          <w:rFonts w:ascii="Arial" w:eastAsia="Arial" w:hAnsi="Arial" w:cs="Arial"/>
          <w:sz w:val="20"/>
          <w:szCs w:val="20"/>
        </w:rPr>
        <w:t xml:space="preserve"> broader array of applicants should be encouraged to apply for advance rulings on a wider variety of topics, and unnecessarily onerous restrictions should not be placed on applicants.</w:t>
      </w:r>
    </w:p>
    <w:p w:rsidR="00E50B1F" w:rsidRPr="006E3839" w:rsidRDefault="001B769E" w:rsidP="006E3839">
      <w:pPr>
        <w:pStyle w:val="ListParagraph"/>
        <w:numPr>
          <w:ilvl w:val="1"/>
          <w:numId w:val="12"/>
        </w:numPr>
        <w:spacing w:after="0" w:line="240" w:lineRule="auto"/>
        <w:rPr>
          <w:rFonts w:ascii="Arial" w:hAnsi="Arial" w:cs="Arial"/>
          <w:sz w:val="20"/>
          <w:szCs w:val="20"/>
        </w:rPr>
      </w:pPr>
      <w:r w:rsidRPr="006E3839">
        <w:rPr>
          <w:rFonts w:ascii="Arial" w:eastAsia="Arial" w:hAnsi="Arial" w:cs="Arial"/>
          <w:color w:val="000000" w:themeColor="text1"/>
          <w:sz w:val="20"/>
          <w:szCs w:val="20"/>
        </w:rPr>
        <w:t xml:space="preserve">SARS did not accept this proposal </w:t>
      </w:r>
      <w:r w:rsidR="00CB629F" w:rsidRPr="006E3839">
        <w:rPr>
          <w:rFonts w:ascii="Arial" w:eastAsia="Arial" w:hAnsi="Arial" w:cs="Arial"/>
          <w:color w:val="000000" w:themeColor="text1"/>
          <w:sz w:val="20"/>
          <w:szCs w:val="20"/>
        </w:rPr>
        <w:t>stating that t</w:t>
      </w:r>
      <w:r w:rsidR="00B3471F" w:rsidRPr="006E3839">
        <w:rPr>
          <w:rFonts w:ascii="Arial" w:eastAsia="Arial" w:hAnsi="Arial" w:cs="Arial"/>
          <w:color w:val="000000" w:themeColor="text1"/>
          <w:sz w:val="20"/>
          <w:szCs w:val="20"/>
        </w:rPr>
        <w:t xml:space="preserve">he facility will only be available to applicants who are registered importers. </w:t>
      </w:r>
      <w:r w:rsidR="00CB629F" w:rsidRPr="006E3839">
        <w:rPr>
          <w:rFonts w:ascii="Arial" w:eastAsia="Arial" w:hAnsi="Arial" w:cs="Arial"/>
          <w:color w:val="000000" w:themeColor="text1"/>
          <w:sz w:val="20"/>
          <w:szCs w:val="20"/>
        </w:rPr>
        <w:t>It said that r</w:t>
      </w:r>
      <w:r w:rsidR="00B3471F" w:rsidRPr="006E3839">
        <w:rPr>
          <w:rFonts w:ascii="Arial" w:eastAsia="Arial" w:hAnsi="Arial" w:cs="Arial"/>
          <w:color w:val="000000" w:themeColor="text1"/>
          <w:sz w:val="20"/>
          <w:szCs w:val="20"/>
        </w:rPr>
        <w:t>epresentatives authorised to do so may submit on behalf</w:t>
      </w:r>
      <w:r w:rsidR="00B3471F" w:rsidRPr="006E3839">
        <w:rPr>
          <w:rFonts w:ascii="Arial" w:eastAsia="Arial" w:hAnsi="Arial" w:cs="Arial"/>
          <w:sz w:val="20"/>
          <w:szCs w:val="20"/>
        </w:rPr>
        <w:t xml:space="preserve"> of individual applicants. </w:t>
      </w:r>
      <w:r w:rsidR="00CB629F" w:rsidRPr="006E3839">
        <w:rPr>
          <w:rFonts w:ascii="Arial" w:eastAsia="Arial" w:hAnsi="Arial" w:cs="Arial"/>
          <w:sz w:val="20"/>
          <w:szCs w:val="20"/>
        </w:rPr>
        <w:t>SARS further explained that c</w:t>
      </w:r>
      <w:r w:rsidR="00B3471F" w:rsidRPr="006E3839">
        <w:rPr>
          <w:rFonts w:ascii="Arial" w:eastAsia="Arial" w:hAnsi="Arial" w:cs="Arial"/>
          <w:sz w:val="20"/>
          <w:szCs w:val="20"/>
        </w:rPr>
        <w:t>lass rulings are not foreseen because the tax matters of the applicant, which is a requirement of registration, licensing and accreditation, will also be verified on application for a binding ruling. Furthermore, advance rulings relate to a client’s specific circumstances/goods. Although advance rulings in the tax context include class rulings, the distinction between customs and tax context above should again be noted.</w:t>
      </w:r>
    </w:p>
    <w:p w:rsidR="004E2071" w:rsidRPr="006E3839" w:rsidRDefault="00E50B1F" w:rsidP="006E3839">
      <w:pPr>
        <w:pStyle w:val="ListParagraph"/>
        <w:numPr>
          <w:ilvl w:val="1"/>
          <w:numId w:val="12"/>
        </w:numPr>
        <w:spacing w:after="0" w:line="240" w:lineRule="auto"/>
        <w:rPr>
          <w:rFonts w:ascii="Arial" w:hAnsi="Arial" w:cs="Arial"/>
          <w:sz w:val="20"/>
          <w:szCs w:val="20"/>
        </w:rPr>
      </w:pPr>
      <w:r w:rsidRPr="006E3839">
        <w:rPr>
          <w:rFonts w:ascii="Arial" w:eastAsia="Arial" w:hAnsi="Arial" w:cs="Arial"/>
          <w:sz w:val="20"/>
          <w:szCs w:val="20"/>
        </w:rPr>
        <w:t>Another comment was that s</w:t>
      </w:r>
      <w:r w:rsidR="00B3471F" w:rsidRPr="006E3839">
        <w:rPr>
          <w:rFonts w:ascii="Arial" w:eastAsia="Arial" w:hAnsi="Arial" w:cs="Arial"/>
          <w:sz w:val="20"/>
          <w:szCs w:val="20"/>
        </w:rPr>
        <w:t xml:space="preserve">ubsection (1) </w:t>
      </w:r>
      <w:r w:rsidR="00224637" w:rsidRPr="006E3839">
        <w:rPr>
          <w:rFonts w:ascii="Arial" w:eastAsia="Arial" w:hAnsi="Arial" w:cs="Arial"/>
          <w:sz w:val="20"/>
          <w:szCs w:val="20"/>
        </w:rPr>
        <w:t xml:space="preserve">of this proposed provision will </w:t>
      </w:r>
      <w:r w:rsidR="00B3471F" w:rsidRPr="006E3839">
        <w:rPr>
          <w:rFonts w:ascii="Arial" w:eastAsia="Arial" w:hAnsi="Arial" w:cs="Arial"/>
          <w:sz w:val="20"/>
          <w:szCs w:val="20"/>
        </w:rPr>
        <w:t>limit the person that may apply for an advance ruling to registered “importers and exporters” only, whereas there are other participants in the customs and excise arena that may benefit from the advance rulings process.</w:t>
      </w:r>
      <w:r w:rsidR="00FF0A09" w:rsidRPr="006E3839">
        <w:rPr>
          <w:rFonts w:ascii="Arial" w:eastAsia="Arial" w:hAnsi="Arial" w:cs="Arial"/>
          <w:sz w:val="20"/>
          <w:szCs w:val="20"/>
        </w:rPr>
        <w:t xml:space="preserve"> Again SARS did not accept this submission, explaining that i</w:t>
      </w:r>
      <w:r w:rsidR="00B3471F" w:rsidRPr="006E3839">
        <w:rPr>
          <w:rFonts w:ascii="Arial" w:eastAsia="Arial" w:hAnsi="Arial" w:cs="Arial"/>
          <w:sz w:val="20"/>
          <w:szCs w:val="20"/>
        </w:rPr>
        <w:t xml:space="preserve">t is foreseen that registered importers will be the persons in the customs environment who will make application for advance rulings on tariff, value and origin. </w:t>
      </w:r>
      <w:r w:rsidR="004A108F" w:rsidRPr="006E3839">
        <w:rPr>
          <w:rFonts w:ascii="Arial" w:eastAsia="Arial" w:hAnsi="Arial" w:cs="Arial"/>
          <w:sz w:val="20"/>
          <w:szCs w:val="20"/>
        </w:rPr>
        <w:t xml:space="preserve">SARS </w:t>
      </w:r>
      <w:r w:rsidR="00186369" w:rsidRPr="006E3839">
        <w:rPr>
          <w:rFonts w:ascii="Arial" w:eastAsia="Arial" w:hAnsi="Arial" w:cs="Arial"/>
          <w:sz w:val="20"/>
          <w:szCs w:val="20"/>
        </w:rPr>
        <w:t>said</w:t>
      </w:r>
      <w:r w:rsidR="004A108F" w:rsidRPr="006E3839">
        <w:rPr>
          <w:rFonts w:ascii="Arial" w:eastAsia="Arial" w:hAnsi="Arial" w:cs="Arial"/>
          <w:sz w:val="20"/>
          <w:szCs w:val="20"/>
        </w:rPr>
        <w:t xml:space="preserve"> that c</w:t>
      </w:r>
      <w:r w:rsidR="00B3471F" w:rsidRPr="006E3839">
        <w:rPr>
          <w:rFonts w:ascii="Arial" w:eastAsia="Arial" w:hAnsi="Arial" w:cs="Arial"/>
          <w:sz w:val="20"/>
          <w:szCs w:val="20"/>
        </w:rPr>
        <w:t xml:space="preserve">hanges </w:t>
      </w:r>
      <w:r w:rsidR="00186369" w:rsidRPr="006E3839">
        <w:rPr>
          <w:rFonts w:ascii="Arial" w:eastAsia="Arial" w:hAnsi="Arial" w:cs="Arial"/>
          <w:sz w:val="20"/>
          <w:szCs w:val="20"/>
        </w:rPr>
        <w:t>would</w:t>
      </w:r>
      <w:r w:rsidR="00B3471F" w:rsidRPr="006E3839">
        <w:rPr>
          <w:rFonts w:ascii="Arial" w:eastAsia="Arial" w:hAnsi="Arial" w:cs="Arial"/>
          <w:sz w:val="20"/>
          <w:szCs w:val="20"/>
        </w:rPr>
        <w:t xml:space="preserve"> be effected to the provisions of the </w:t>
      </w:r>
      <w:r w:rsidR="00535105" w:rsidRPr="006E3839">
        <w:rPr>
          <w:rFonts w:ascii="Arial" w:eastAsia="Arial" w:hAnsi="Arial" w:cs="Arial"/>
          <w:sz w:val="20"/>
          <w:szCs w:val="20"/>
        </w:rPr>
        <w:t>Draft TALAB</w:t>
      </w:r>
      <w:r w:rsidR="00B3471F" w:rsidRPr="006E3839">
        <w:rPr>
          <w:rFonts w:ascii="Arial" w:eastAsia="Arial" w:hAnsi="Arial" w:cs="Arial"/>
          <w:sz w:val="20"/>
          <w:szCs w:val="20"/>
        </w:rPr>
        <w:t xml:space="preserve"> to reflect this position. Representatives authorised to do so may submit applications on behalf of individual applicants.</w:t>
      </w:r>
    </w:p>
    <w:p w:rsidR="00B3471F" w:rsidRPr="006E3839" w:rsidRDefault="001573BA" w:rsidP="006E3839">
      <w:pPr>
        <w:pStyle w:val="ListParagraph"/>
        <w:numPr>
          <w:ilvl w:val="1"/>
          <w:numId w:val="12"/>
        </w:numPr>
        <w:spacing w:after="0" w:line="240" w:lineRule="auto"/>
        <w:rPr>
          <w:rFonts w:ascii="Arial" w:hAnsi="Arial" w:cs="Arial"/>
          <w:sz w:val="20"/>
          <w:szCs w:val="20"/>
        </w:rPr>
      </w:pPr>
      <w:r w:rsidRPr="006E3839">
        <w:rPr>
          <w:rFonts w:ascii="Arial" w:eastAsia="Arial" w:hAnsi="Arial" w:cs="Arial"/>
          <w:sz w:val="20"/>
          <w:szCs w:val="20"/>
        </w:rPr>
        <w:t xml:space="preserve">Other comments </w:t>
      </w:r>
      <w:r w:rsidR="00807E70" w:rsidRPr="006E3839">
        <w:rPr>
          <w:rFonts w:ascii="Arial" w:eastAsia="Arial" w:hAnsi="Arial" w:cs="Arial"/>
          <w:sz w:val="20"/>
          <w:szCs w:val="20"/>
        </w:rPr>
        <w:t xml:space="preserve">were </w:t>
      </w:r>
      <w:r w:rsidRPr="006E3839">
        <w:rPr>
          <w:rFonts w:ascii="Arial" w:eastAsia="Arial" w:hAnsi="Arial" w:cs="Arial"/>
          <w:sz w:val="20"/>
          <w:szCs w:val="20"/>
        </w:rPr>
        <w:t>on the following provisions</w:t>
      </w:r>
      <w:r w:rsidR="009075D8" w:rsidRPr="006E3839">
        <w:rPr>
          <w:rFonts w:ascii="Arial" w:eastAsia="Arial" w:hAnsi="Arial" w:cs="Arial"/>
          <w:sz w:val="20"/>
          <w:szCs w:val="20"/>
        </w:rPr>
        <w:t>:</w:t>
      </w:r>
      <w:r w:rsidRPr="006E3839">
        <w:rPr>
          <w:rFonts w:ascii="Arial" w:eastAsia="Arial" w:hAnsi="Arial" w:cs="Arial"/>
          <w:sz w:val="20"/>
          <w:szCs w:val="20"/>
        </w:rPr>
        <w:t xml:space="preserve"> </w:t>
      </w:r>
      <w:r w:rsidR="009075D8" w:rsidRPr="006E3839">
        <w:rPr>
          <w:rFonts w:ascii="Arial" w:eastAsia="Arial" w:hAnsi="Arial" w:cs="Arial"/>
          <w:sz w:val="20"/>
          <w:szCs w:val="20"/>
        </w:rPr>
        <w:t>“</w:t>
      </w:r>
      <w:r w:rsidR="00B3471F" w:rsidRPr="006E3839">
        <w:rPr>
          <w:rFonts w:ascii="Arial" w:eastAsia="Arial" w:hAnsi="Arial" w:cs="Arial"/>
          <w:sz w:val="20"/>
          <w:szCs w:val="20"/>
        </w:rPr>
        <w:t>Manner of submission of applications</w:t>
      </w:r>
      <w:r w:rsidR="009075D8" w:rsidRPr="006E3839">
        <w:rPr>
          <w:rFonts w:ascii="Arial" w:eastAsia="Arial" w:hAnsi="Arial" w:cs="Arial"/>
          <w:sz w:val="20"/>
          <w:szCs w:val="20"/>
        </w:rPr>
        <w:t>”</w:t>
      </w:r>
      <w:r w:rsidR="00F42CA7" w:rsidRPr="006E3839">
        <w:rPr>
          <w:rFonts w:ascii="Arial" w:eastAsia="Arial" w:hAnsi="Arial" w:cs="Arial"/>
          <w:sz w:val="20"/>
          <w:szCs w:val="20"/>
        </w:rPr>
        <w:t>;</w:t>
      </w:r>
      <w:r w:rsidR="00694FB9" w:rsidRPr="006E3839">
        <w:rPr>
          <w:rFonts w:ascii="Arial" w:eastAsia="Arial" w:hAnsi="Arial" w:cs="Arial"/>
          <w:sz w:val="20"/>
          <w:szCs w:val="20"/>
        </w:rPr>
        <w:t xml:space="preserve"> </w:t>
      </w:r>
      <w:r w:rsidR="009075D8" w:rsidRPr="006E3839">
        <w:rPr>
          <w:rFonts w:ascii="Arial" w:eastAsia="Arial" w:hAnsi="Arial" w:cs="Arial"/>
          <w:sz w:val="20"/>
          <w:szCs w:val="20"/>
        </w:rPr>
        <w:t>“</w:t>
      </w:r>
      <w:r w:rsidR="00B3471F" w:rsidRPr="006E3839">
        <w:rPr>
          <w:rFonts w:ascii="Arial" w:eastAsia="Arial" w:hAnsi="Arial" w:cs="Arial"/>
          <w:sz w:val="20"/>
          <w:szCs w:val="20"/>
        </w:rPr>
        <w:t>Consideration of applications</w:t>
      </w:r>
      <w:r w:rsidR="009075D8" w:rsidRPr="006E3839">
        <w:rPr>
          <w:rFonts w:ascii="Arial" w:eastAsia="Arial" w:hAnsi="Arial" w:cs="Arial"/>
          <w:sz w:val="20"/>
          <w:szCs w:val="20"/>
        </w:rPr>
        <w:t>”</w:t>
      </w:r>
      <w:r w:rsidR="004E58EC" w:rsidRPr="006E3839">
        <w:rPr>
          <w:rFonts w:ascii="Arial" w:eastAsia="Arial" w:hAnsi="Arial" w:cs="Arial"/>
          <w:sz w:val="20"/>
          <w:szCs w:val="20"/>
        </w:rPr>
        <w:t xml:space="preserve">; </w:t>
      </w:r>
      <w:r w:rsidR="009075D8" w:rsidRPr="006E3839">
        <w:rPr>
          <w:rFonts w:ascii="Arial" w:eastAsia="Arial" w:hAnsi="Arial" w:cs="Arial"/>
          <w:sz w:val="20"/>
          <w:szCs w:val="20"/>
        </w:rPr>
        <w:t>“</w:t>
      </w:r>
      <w:r w:rsidR="00B3471F" w:rsidRPr="006E3839">
        <w:rPr>
          <w:rFonts w:ascii="Arial" w:eastAsia="Arial" w:hAnsi="Arial" w:cs="Arial"/>
          <w:sz w:val="20"/>
          <w:szCs w:val="20"/>
        </w:rPr>
        <w:t>Granting of an application</w:t>
      </w:r>
      <w:r w:rsidR="009075D8" w:rsidRPr="006E3839">
        <w:rPr>
          <w:rFonts w:ascii="Arial" w:eastAsia="Arial" w:hAnsi="Arial" w:cs="Arial"/>
          <w:sz w:val="20"/>
          <w:szCs w:val="20"/>
        </w:rPr>
        <w:t>”</w:t>
      </w:r>
      <w:r w:rsidR="004E58EC" w:rsidRPr="006E3839">
        <w:rPr>
          <w:rFonts w:ascii="Arial" w:eastAsia="Arial" w:hAnsi="Arial" w:cs="Arial"/>
          <w:sz w:val="20"/>
          <w:szCs w:val="20"/>
        </w:rPr>
        <w:t xml:space="preserve">; </w:t>
      </w:r>
      <w:r w:rsidR="009075D8" w:rsidRPr="006E3839">
        <w:rPr>
          <w:rFonts w:ascii="Arial" w:eastAsia="Arial" w:hAnsi="Arial" w:cs="Arial"/>
          <w:sz w:val="20"/>
          <w:szCs w:val="20"/>
        </w:rPr>
        <w:t>“</w:t>
      </w:r>
      <w:r w:rsidR="00B3471F" w:rsidRPr="006E3839">
        <w:rPr>
          <w:rFonts w:ascii="Arial" w:eastAsia="Arial" w:hAnsi="Arial" w:cs="Arial"/>
          <w:sz w:val="20"/>
          <w:szCs w:val="20"/>
        </w:rPr>
        <w:t>Validity period of advance ruling</w:t>
      </w:r>
      <w:r w:rsidR="009075D8" w:rsidRPr="006E3839">
        <w:rPr>
          <w:rFonts w:ascii="Arial" w:eastAsia="Arial" w:hAnsi="Arial" w:cs="Arial"/>
          <w:sz w:val="20"/>
          <w:szCs w:val="20"/>
        </w:rPr>
        <w:t>”</w:t>
      </w:r>
      <w:r w:rsidR="00F14CEB" w:rsidRPr="006E3839">
        <w:rPr>
          <w:rFonts w:ascii="Arial" w:eastAsia="Arial" w:hAnsi="Arial" w:cs="Arial"/>
          <w:sz w:val="20"/>
          <w:szCs w:val="20"/>
        </w:rPr>
        <w:t xml:space="preserve">; </w:t>
      </w:r>
      <w:r w:rsidR="009075D8" w:rsidRPr="006E3839">
        <w:rPr>
          <w:rFonts w:ascii="Arial" w:eastAsia="Arial" w:hAnsi="Arial" w:cs="Arial"/>
          <w:sz w:val="20"/>
          <w:szCs w:val="20"/>
        </w:rPr>
        <w:t>“</w:t>
      </w:r>
      <w:r w:rsidR="00B3471F" w:rsidRPr="006E3839">
        <w:rPr>
          <w:rFonts w:ascii="Arial" w:eastAsia="Arial" w:hAnsi="Arial" w:cs="Arial"/>
          <w:sz w:val="20"/>
          <w:szCs w:val="20"/>
        </w:rPr>
        <w:t>Entry of goods under advance ruling</w:t>
      </w:r>
      <w:r w:rsidR="009075D8" w:rsidRPr="006E3839">
        <w:rPr>
          <w:rFonts w:ascii="Arial" w:eastAsia="Arial" w:hAnsi="Arial" w:cs="Arial"/>
          <w:sz w:val="20"/>
          <w:szCs w:val="20"/>
        </w:rPr>
        <w:t>”;</w:t>
      </w:r>
      <w:r w:rsidR="004E2071" w:rsidRPr="006E3839">
        <w:rPr>
          <w:rFonts w:ascii="Arial" w:eastAsia="Arial" w:hAnsi="Arial" w:cs="Arial"/>
          <w:sz w:val="20"/>
          <w:szCs w:val="20"/>
        </w:rPr>
        <w:t xml:space="preserve"> </w:t>
      </w:r>
      <w:r w:rsidR="009075D8" w:rsidRPr="006E3839">
        <w:rPr>
          <w:rFonts w:ascii="Arial" w:eastAsia="Arial" w:hAnsi="Arial" w:cs="Arial"/>
          <w:sz w:val="20"/>
          <w:szCs w:val="20"/>
        </w:rPr>
        <w:t>“</w:t>
      </w:r>
      <w:r w:rsidR="00B3471F" w:rsidRPr="006E3839">
        <w:rPr>
          <w:rFonts w:ascii="Arial" w:eastAsia="Arial" w:hAnsi="Arial" w:cs="Arial"/>
          <w:sz w:val="20"/>
          <w:szCs w:val="20"/>
        </w:rPr>
        <w:t>Recipient to advise Commissioner of change in circumstances</w:t>
      </w:r>
      <w:r w:rsidR="009075D8" w:rsidRPr="006E3839">
        <w:rPr>
          <w:rFonts w:ascii="Arial" w:eastAsia="Arial" w:hAnsi="Arial" w:cs="Arial"/>
          <w:sz w:val="20"/>
          <w:szCs w:val="20"/>
        </w:rPr>
        <w:t>”</w:t>
      </w:r>
      <w:r w:rsidR="00D8014A" w:rsidRPr="006E3839">
        <w:rPr>
          <w:rFonts w:ascii="Arial" w:eastAsia="Arial" w:hAnsi="Arial" w:cs="Arial"/>
          <w:sz w:val="20"/>
          <w:szCs w:val="20"/>
        </w:rPr>
        <w:t xml:space="preserve">; </w:t>
      </w:r>
      <w:r w:rsidR="009075D8" w:rsidRPr="006E3839">
        <w:rPr>
          <w:rFonts w:ascii="Arial" w:eastAsia="Arial" w:hAnsi="Arial" w:cs="Arial"/>
          <w:sz w:val="20"/>
          <w:szCs w:val="20"/>
        </w:rPr>
        <w:t>“</w:t>
      </w:r>
      <w:r w:rsidR="00B3471F" w:rsidRPr="006E3839">
        <w:rPr>
          <w:rFonts w:ascii="Arial" w:hAnsi="Arial" w:cs="Arial"/>
          <w:sz w:val="20"/>
          <w:szCs w:val="20"/>
        </w:rPr>
        <w:t>Offence contemplated in section 79</w:t>
      </w:r>
      <w:r w:rsidR="009075D8" w:rsidRPr="006E3839">
        <w:rPr>
          <w:rFonts w:ascii="Arial" w:hAnsi="Arial" w:cs="Arial"/>
          <w:sz w:val="20"/>
          <w:szCs w:val="20"/>
        </w:rPr>
        <w:t>”</w:t>
      </w:r>
      <w:r w:rsidR="00D8014A" w:rsidRPr="006E3839">
        <w:rPr>
          <w:rFonts w:ascii="Arial" w:hAnsi="Arial" w:cs="Arial"/>
          <w:sz w:val="20"/>
          <w:szCs w:val="20"/>
        </w:rPr>
        <w:t xml:space="preserve">; </w:t>
      </w:r>
      <w:r w:rsidR="00B546D1" w:rsidRPr="006E3839">
        <w:rPr>
          <w:rFonts w:ascii="Arial" w:hAnsi="Arial" w:cs="Arial"/>
          <w:sz w:val="20"/>
          <w:szCs w:val="20"/>
        </w:rPr>
        <w:t xml:space="preserve">and </w:t>
      </w:r>
      <w:r w:rsidR="009075D8" w:rsidRPr="006E3839">
        <w:rPr>
          <w:rFonts w:ascii="Arial" w:hAnsi="Arial" w:cs="Arial"/>
          <w:sz w:val="20"/>
          <w:szCs w:val="20"/>
        </w:rPr>
        <w:t>“</w:t>
      </w:r>
      <w:r w:rsidR="00B3471F" w:rsidRPr="006E3839">
        <w:rPr>
          <w:rFonts w:ascii="Arial" w:hAnsi="Arial" w:cs="Arial"/>
          <w:sz w:val="20"/>
          <w:szCs w:val="20"/>
        </w:rPr>
        <w:t>Reference to “document purported to be an invoice</w:t>
      </w:r>
      <w:r w:rsidR="00535105" w:rsidRPr="006E3839">
        <w:rPr>
          <w:rFonts w:ascii="Arial" w:hAnsi="Arial" w:cs="Arial"/>
          <w:sz w:val="20"/>
          <w:szCs w:val="20"/>
        </w:rPr>
        <w:t>”</w:t>
      </w:r>
      <w:r w:rsidR="00B3471F" w:rsidRPr="006E3839">
        <w:rPr>
          <w:rFonts w:ascii="Arial" w:hAnsi="Arial" w:cs="Arial"/>
          <w:sz w:val="20"/>
          <w:szCs w:val="20"/>
        </w:rPr>
        <w:t xml:space="preserve"> in sections 84, 86 and 107</w:t>
      </w:r>
      <w:r w:rsidR="00B546D1" w:rsidRPr="006E3839">
        <w:rPr>
          <w:rFonts w:ascii="Arial" w:hAnsi="Arial" w:cs="Arial"/>
          <w:sz w:val="20"/>
          <w:szCs w:val="20"/>
        </w:rPr>
        <w:t xml:space="preserve">. SARS addressed all the comments, accepting </w:t>
      </w:r>
      <w:r w:rsidR="00186369" w:rsidRPr="006E3839">
        <w:rPr>
          <w:rFonts w:ascii="Arial" w:hAnsi="Arial" w:cs="Arial"/>
          <w:sz w:val="20"/>
          <w:szCs w:val="20"/>
        </w:rPr>
        <w:t xml:space="preserve">some </w:t>
      </w:r>
      <w:r w:rsidR="004522B1" w:rsidRPr="006E3839">
        <w:rPr>
          <w:rFonts w:ascii="Arial" w:hAnsi="Arial" w:cs="Arial"/>
          <w:sz w:val="20"/>
          <w:szCs w:val="20"/>
        </w:rPr>
        <w:t xml:space="preserve">and rejecting some. </w:t>
      </w:r>
      <w:r w:rsidR="00D8014A" w:rsidRPr="006E3839">
        <w:rPr>
          <w:rFonts w:ascii="Arial" w:hAnsi="Arial" w:cs="Arial"/>
          <w:sz w:val="20"/>
          <w:szCs w:val="20"/>
        </w:rPr>
        <w:t xml:space="preserve"> </w:t>
      </w:r>
    </w:p>
    <w:p w:rsidR="00B3471F" w:rsidRPr="006E3839" w:rsidRDefault="00B3471F" w:rsidP="006E3839">
      <w:pPr>
        <w:spacing w:after="0" w:line="240" w:lineRule="auto"/>
        <w:rPr>
          <w:rFonts w:ascii="Arial" w:hAnsi="Arial" w:cs="Arial"/>
          <w:sz w:val="20"/>
          <w:szCs w:val="20"/>
        </w:rPr>
      </w:pPr>
      <w:r w:rsidRPr="006E3839">
        <w:rPr>
          <w:rFonts w:ascii="Arial" w:hAnsi="Arial" w:cs="Arial"/>
          <w:sz w:val="20"/>
          <w:szCs w:val="20"/>
        </w:rPr>
        <w:t xml:space="preserve"> </w:t>
      </w:r>
    </w:p>
    <w:p w:rsidR="00B3471F" w:rsidRPr="006E3839" w:rsidRDefault="00B3471F" w:rsidP="006E3839">
      <w:pPr>
        <w:spacing w:after="0" w:line="240" w:lineRule="auto"/>
        <w:ind w:left="284"/>
        <w:rPr>
          <w:rFonts w:ascii="Arial" w:hAnsi="Arial" w:cs="Arial"/>
          <w:b/>
          <w:bCs/>
          <w:sz w:val="20"/>
          <w:szCs w:val="20"/>
        </w:rPr>
      </w:pPr>
      <w:r w:rsidRPr="006E3839">
        <w:rPr>
          <w:rFonts w:ascii="Arial" w:hAnsi="Arial" w:cs="Arial"/>
          <w:b/>
          <w:bCs/>
          <w:sz w:val="20"/>
          <w:szCs w:val="20"/>
        </w:rPr>
        <w:t>TAX ADMINISTRATION ACT</w:t>
      </w:r>
      <w:r w:rsidR="009C661F" w:rsidRPr="006E3839">
        <w:rPr>
          <w:rFonts w:ascii="Arial" w:hAnsi="Arial" w:cs="Arial"/>
          <w:b/>
          <w:bCs/>
          <w:sz w:val="20"/>
          <w:szCs w:val="20"/>
        </w:rPr>
        <w:t xml:space="preserve"> AMENDMENTS</w:t>
      </w:r>
    </w:p>
    <w:p w:rsidR="00B64C88" w:rsidRPr="006E3839" w:rsidRDefault="004E5801" w:rsidP="006E3839">
      <w:pPr>
        <w:spacing w:after="0" w:line="240" w:lineRule="auto"/>
        <w:rPr>
          <w:rFonts w:ascii="Arial" w:hAnsi="Arial" w:cs="Arial"/>
          <w:sz w:val="20"/>
          <w:szCs w:val="20"/>
        </w:rPr>
      </w:pPr>
      <w:r w:rsidRPr="006E3839">
        <w:rPr>
          <w:rFonts w:ascii="Arial" w:hAnsi="Arial" w:cs="Arial"/>
          <w:sz w:val="20"/>
          <w:szCs w:val="20"/>
        </w:rPr>
        <w:t>Imposition of understatement penalty (USP) for ETI</w:t>
      </w:r>
    </w:p>
    <w:p w:rsidR="00811C11" w:rsidRPr="006E3839" w:rsidRDefault="00467866" w:rsidP="006E3839">
      <w:pPr>
        <w:pStyle w:val="ListParagraph"/>
        <w:numPr>
          <w:ilvl w:val="1"/>
          <w:numId w:val="12"/>
        </w:numPr>
        <w:spacing w:after="0" w:line="240" w:lineRule="auto"/>
        <w:rPr>
          <w:rFonts w:ascii="Arial" w:hAnsi="Arial" w:cs="Arial"/>
          <w:sz w:val="20"/>
          <w:szCs w:val="20"/>
        </w:rPr>
      </w:pPr>
      <w:r w:rsidRPr="006E3839">
        <w:rPr>
          <w:rFonts w:ascii="Arial" w:hAnsi="Arial" w:cs="Arial"/>
          <w:sz w:val="20"/>
          <w:szCs w:val="20"/>
        </w:rPr>
        <w:t xml:space="preserve">On the TAA, comments were received on the </w:t>
      </w:r>
      <w:r w:rsidR="003357AB" w:rsidRPr="006E3839">
        <w:rPr>
          <w:rFonts w:ascii="Arial" w:hAnsi="Arial" w:cs="Arial"/>
          <w:sz w:val="20"/>
          <w:szCs w:val="20"/>
        </w:rPr>
        <w:t>“</w:t>
      </w:r>
      <w:r w:rsidR="00807E70" w:rsidRPr="006E3839">
        <w:rPr>
          <w:rFonts w:ascii="Arial" w:hAnsi="Arial" w:cs="Arial"/>
          <w:sz w:val="20"/>
          <w:szCs w:val="20"/>
        </w:rPr>
        <w:t>I</w:t>
      </w:r>
      <w:r w:rsidR="00B3471F" w:rsidRPr="006E3839">
        <w:rPr>
          <w:rFonts w:ascii="Arial" w:hAnsi="Arial" w:cs="Arial"/>
          <w:sz w:val="20"/>
          <w:szCs w:val="20"/>
        </w:rPr>
        <w:t>mposition of understatement penalty for employment tax incentives</w:t>
      </w:r>
      <w:r w:rsidR="00D21D3F" w:rsidRPr="006E3839">
        <w:rPr>
          <w:rFonts w:ascii="Arial" w:hAnsi="Arial" w:cs="Arial"/>
          <w:sz w:val="20"/>
          <w:szCs w:val="20"/>
        </w:rPr>
        <w:t xml:space="preserve"> (ETI)</w:t>
      </w:r>
      <w:r w:rsidR="00B3471F" w:rsidRPr="006E3839">
        <w:rPr>
          <w:rFonts w:ascii="Arial" w:hAnsi="Arial" w:cs="Arial"/>
          <w:sz w:val="20"/>
          <w:szCs w:val="20"/>
        </w:rPr>
        <w:t xml:space="preserve"> improperly claimed</w:t>
      </w:r>
      <w:r w:rsidR="00807E70" w:rsidRPr="006E3839">
        <w:rPr>
          <w:rFonts w:ascii="Arial" w:hAnsi="Arial" w:cs="Arial"/>
          <w:sz w:val="20"/>
          <w:szCs w:val="20"/>
        </w:rPr>
        <w:t>”</w:t>
      </w:r>
      <w:r w:rsidR="003357AB" w:rsidRPr="006E3839">
        <w:rPr>
          <w:rFonts w:ascii="Arial" w:hAnsi="Arial" w:cs="Arial"/>
          <w:sz w:val="20"/>
          <w:szCs w:val="20"/>
        </w:rPr>
        <w:t xml:space="preserve"> </w:t>
      </w:r>
      <w:r w:rsidR="00B3471F" w:rsidRPr="006E3839">
        <w:rPr>
          <w:rFonts w:ascii="Arial" w:eastAsia="Arial" w:hAnsi="Arial" w:cs="Arial"/>
          <w:sz w:val="20"/>
          <w:szCs w:val="20"/>
        </w:rPr>
        <w:t xml:space="preserve">(Main reference: </w:t>
      </w:r>
      <w:r w:rsidR="008D7F5F" w:rsidRPr="006E3839">
        <w:rPr>
          <w:rFonts w:ascii="Arial" w:eastAsia="Arial" w:hAnsi="Arial" w:cs="Arial"/>
          <w:sz w:val="20"/>
          <w:szCs w:val="20"/>
        </w:rPr>
        <w:t>s</w:t>
      </w:r>
      <w:r w:rsidR="00B3471F" w:rsidRPr="006E3839">
        <w:rPr>
          <w:rFonts w:ascii="Arial" w:eastAsia="Arial" w:hAnsi="Arial" w:cs="Arial"/>
          <w:sz w:val="20"/>
          <w:szCs w:val="20"/>
        </w:rPr>
        <w:t xml:space="preserve">ection 221 of the </w:t>
      </w:r>
      <w:r w:rsidR="00B3471F" w:rsidRPr="006E3839">
        <w:rPr>
          <w:rFonts w:ascii="Arial" w:eastAsia="Arial" w:hAnsi="Arial" w:cs="Arial"/>
          <w:sz w:val="20"/>
          <w:szCs w:val="20"/>
        </w:rPr>
        <w:lastRenderedPageBreak/>
        <w:t>Tax Administration Act, 2011, read with section 10 of the Employment Tax Incentive Act, 2013</w:t>
      </w:r>
      <w:r w:rsidR="00FE0495" w:rsidRPr="006E3839">
        <w:rPr>
          <w:rFonts w:ascii="Arial" w:eastAsia="Arial" w:hAnsi="Arial" w:cs="Arial"/>
          <w:sz w:val="20"/>
          <w:szCs w:val="20"/>
        </w:rPr>
        <w:t xml:space="preserve"> (ETI Act)</w:t>
      </w:r>
      <w:r w:rsidR="00B3471F" w:rsidRPr="006E3839">
        <w:rPr>
          <w:rFonts w:ascii="Arial" w:eastAsia="Arial" w:hAnsi="Arial" w:cs="Arial"/>
          <w:sz w:val="20"/>
          <w:szCs w:val="20"/>
        </w:rPr>
        <w:t>; clauses 26 and 29)</w:t>
      </w:r>
      <w:r w:rsidR="0034334A" w:rsidRPr="006E3839">
        <w:rPr>
          <w:rFonts w:ascii="Arial" w:eastAsia="Arial" w:hAnsi="Arial" w:cs="Arial"/>
          <w:sz w:val="20"/>
          <w:szCs w:val="20"/>
        </w:rPr>
        <w:t xml:space="preserve">. </w:t>
      </w:r>
      <w:r w:rsidR="00AD0A08" w:rsidRPr="006E3839">
        <w:rPr>
          <w:rFonts w:ascii="Arial" w:eastAsia="Arial" w:hAnsi="Arial" w:cs="Arial"/>
          <w:sz w:val="20"/>
          <w:szCs w:val="20"/>
        </w:rPr>
        <w:t>Commentators stated that as</w:t>
      </w:r>
      <w:r w:rsidR="00B3471F" w:rsidRPr="006E3839">
        <w:rPr>
          <w:rFonts w:ascii="Arial" w:hAnsi="Arial" w:cs="Arial"/>
          <w:sz w:val="20"/>
          <w:szCs w:val="20"/>
        </w:rPr>
        <w:t xml:space="preserve"> it currently stands, the amendment will apply retrospectively to periods prior to the date on which the Bill comes into effect. </w:t>
      </w:r>
      <w:r w:rsidR="00AD0A08" w:rsidRPr="006E3839">
        <w:rPr>
          <w:rFonts w:ascii="Arial" w:hAnsi="Arial" w:cs="Arial"/>
          <w:sz w:val="20"/>
          <w:szCs w:val="20"/>
        </w:rPr>
        <w:t>It was argued that t</w:t>
      </w:r>
      <w:r w:rsidR="00B3471F" w:rsidRPr="006E3839">
        <w:rPr>
          <w:rFonts w:ascii="Arial" w:hAnsi="Arial" w:cs="Arial"/>
          <w:sz w:val="20"/>
          <w:szCs w:val="20"/>
        </w:rPr>
        <w:t>he provisions would seemingly place SARS in the position whereby an assessment raised prior to the implementation date could not impose USP</w:t>
      </w:r>
      <w:r w:rsidR="000D44C3" w:rsidRPr="006E3839">
        <w:rPr>
          <w:rFonts w:ascii="Arial" w:hAnsi="Arial" w:cs="Arial"/>
          <w:sz w:val="20"/>
          <w:szCs w:val="20"/>
        </w:rPr>
        <w:t xml:space="preserve"> </w:t>
      </w:r>
      <w:r w:rsidR="00B3471F" w:rsidRPr="006E3839">
        <w:rPr>
          <w:rFonts w:ascii="Arial" w:hAnsi="Arial" w:cs="Arial"/>
          <w:sz w:val="20"/>
          <w:szCs w:val="20"/>
        </w:rPr>
        <w:t xml:space="preserve">for a certain tax period, monthly PAYE tax periods in the current instance, whereas an assessment raised on or after the implementation date could impose understatement penalties for that same tax period. </w:t>
      </w:r>
    </w:p>
    <w:p w:rsidR="00B3471F" w:rsidRPr="006E3839" w:rsidRDefault="00811C11" w:rsidP="006E3839">
      <w:pPr>
        <w:pStyle w:val="ListParagraph"/>
        <w:numPr>
          <w:ilvl w:val="1"/>
          <w:numId w:val="12"/>
        </w:numPr>
        <w:spacing w:after="0" w:line="240" w:lineRule="auto"/>
        <w:rPr>
          <w:rFonts w:ascii="Arial" w:hAnsi="Arial" w:cs="Arial"/>
          <w:sz w:val="20"/>
          <w:szCs w:val="20"/>
        </w:rPr>
      </w:pPr>
      <w:r w:rsidRPr="006E3839">
        <w:rPr>
          <w:rFonts w:ascii="Arial" w:hAnsi="Arial" w:cs="Arial"/>
          <w:sz w:val="20"/>
          <w:szCs w:val="20"/>
        </w:rPr>
        <w:t>It was submitted that t</w:t>
      </w:r>
      <w:r w:rsidR="00B3471F" w:rsidRPr="006E3839">
        <w:rPr>
          <w:rFonts w:ascii="Arial" w:hAnsi="Arial" w:cs="Arial"/>
          <w:sz w:val="20"/>
          <w:szCs w:val="20"/>
        </w:rPr>
        <w:t xml:space="preserve">he effect of the amendment should be that taxpayers that claimed the ETI in periods before the implementation date should face the same risk and should not be worse off or face additional understatement penalties, purely because of when they are audited and receive additional assessments. Consequently, the implementation date should be amended to state that the provisions will only come into operation on 1 March 2023 and will only apply to tax periods commencing on or after this date. </w:t>
      </w:r>
      <w:r w:rsidR="004D30CB" w:rsidRPr="006E3839">
        <w:rPr>
          <w:rFonts w:ascii="Arial" w:hAnsi="Arial" w:cs="Arial"/>
          <w:sz w:val="20"/>
          <w:szCs w:val="20"/>
        </w:rPr>
        <w:t xml:space="preserve">SARS </w:t>
      </w:r>
      <w:r w:rsidR="0070132A" w:rsidRPr="006E3839">
        <w:rPr>
          <w:rFonts w:ascii="Arial" w:hAnsi="Arial" w:cs="Arial"/>
          <w:sz w:val="20"/>
          <w:szCs w:val="20"/>
        </w:rPr>
        <w:t>said that t</w:t>
      </w:r>
      <w:r w:rsidR="00B3471F" w:rsidRPr="006E3839">
        <w:rPr>
          <w:rFonts w:ascii="Arial" w:hAnsi="Arial" w:cs="Arial"/>
          <w:sz w:val="20"/>
          <w:szCs w:val="20"/>
        </w:rPr>
        <w:t xml:space="preserve">he effective date will be changed to indicate that the proposed amendment will apply to returns filed on or after 1 September 2022. </w:t>
      </w:r>
    </w:p>
    <w:p w:rsidR="00BA14E5" w:rsidRPr="006E3839" w:rsidRDefault="006F052D" w:rsidP="006E3839">
      <w:pPr>
        <w:pStyle w:val="ListParagraph"/>
        <w:numPr>
          <w:ilvl w:val="1"/>
          <w:numId w:val="12"/>
        </w:numPr>
        <w:spacing w:after="0" w:line="240" w:lineRule="auto"/>
        <w:rPr>
          <w:rFonts w:ascii="Arial" w:hAnsi="Arial" w:cs="Arial"/>
          <w:sz w:val="20"/>
          <w:szCs w:val="20"/>
        </w:rPr>
      </w:pPr>
      <w:r w:rsidRPr="006E3839">
        <w:rPr>
          <w:rFonts w:ascii="Arial" w:hAnsi="Arial" w:cs="Arial"/>
          <w:sz w:val="20"/>
          <w:szCs w:val="20"/>
        </w:rPr>
        <w:t>Commentators said that t</w:t>
      </w:r>
      <w:r w:rsidR="00B3471F" w:rsidRPr="006E3839">
        <w:rPr>
          <w:rFonts w:ascii="Arial" w:hAnsi="Arial" w:cs="Arial"/>
          <w:sz w:val="20"/>
          <w:szCs w:val="20"/>
        </w:rPr>
        <w:t>he USP should only be imposed to the extent that the penalty under section 4(2) of the ETI Act is not also levied on the same amount. Section 4(2) levies a 100% penalty where the employer claims an ETI despite not being eligible in terms of section 4(1).</w:t>
      </w:r>
      <w:r w:rsidR="00AB7B5C" w:rsidRPr="006E3839">
        <w:rPr>
          <w:rFonts w:ascii="Arial" w:hAnsi="Arial" w:cs="Arial"/>
          <w:sz w:val="20"/>
          <w:szCs w:val="20"/>
        </w:rPr>
        <w:t xml:space="preserve"> They said that t</w:t>
      </w:r>
      <w:r w:rsidR="00B3471F" w:rsidRPr="006E3839">
        <w:rPr>
          <w:rFonts w:ascii="Arial" w:hAnsi="Arial" w:cs="Arial"/>
          <w:sz w:val="20"/>
          <w:szCs w:val="20"/>
        </w:rPr>
        <w:t>he USP imposed should therefore either be excluded in full if an ETI Act penalty was imposed or should apply similar to para 20(2B) of the Fourth Schedule to the Income Tax Act where the penalty imposed in the ETI Act is deducted from the understatement penalty amount.</w:t>
      </w:r>
      <w:r w:rsidR="00CA6B93" w:rsidRPr="006E3839">
        <w:rPr>
          <w:rFonts w:ascii="Arial" w:hAnsi="Arial" w:cs="Arial"/>
          <w:sz w:val="20"/>
          <w:szCs w:val="20"/>
        </w:rPr>
        <w:t xml:space="preserve"> SARS accepted this submission and stated that t</w:t>
      </w:r>
      <w:r w:rsidR="00B3471F" w:rsidRPr="006E3839">
        <w:rPr>
          <w:rFonts w:ascii="Arial" w:hAnsi="Arial" w:cs="Arial"/>
          <w:sz w:val="20"/>
          <w:szCs w:val="20"/>
        </w:rPr>
        <w:t>he interaction between section 4(2) of the ETI Act and the USP will be clarified to ensure that there is no duplication of penalties.</w:t>
      </w:r>
    </w:p>
    <w:p w:rsidR="00342FC5" w:rsidRPr="006E3839" w:rsidRDefault="00342FC5" w:rsidP="006E3839">
      <w:pPr>
        <w:spacing w:after="0" w:line="240" w:lineRule="auto"/>
        <w:rPr>
          <w:rFonts w:ascii="Arial" w:hAnsi="Arial" w:cs="Arial"/>
          <w:sz w:val="20"/>
          <w:szCs w:val="20"/>
        </w:rPr>
      </w:pPr>
    </w:p>
    <w:p w:rsidR="004E5801" w:rsidRPr="006E3839" w:rsidRDefault="004E5801" w:rsidP="006E3839">
      <w:pPr>
        <w:spacing w:after="0" w:line="240" w:lineRule="auto"/>
        <w:rPr>
          <w:rFonts w:ascii="Arial" w:hAnsi="Arial" w:cs="Arial"/>
          <w:sz w:val="20"/>
          <w:szCs w:val="20"/>
        </w:rPr>
      </w:pPr>
      <w:r w:rsidRPr="006E3839">
        <w:rPr>
          <w:rFonts w:ascii="Arial" w:hAnsi="Arial" w:cs="Arial"/>
          <w:sz w:val="20"/>
          <w:szCs w:val="20"/>
        </w:rPr>
        <w:t>Tax compliance stat</w:t>
      </w:r>
      <w:r w:rsidR="000875A9" w:rsidRPr="006E3839">
        <w:rPr>
          <w:rFonts w:ascii="Arial" w:hAnsi="Arial" w:cs="Arial"/>
          <w:sz w:val="20"/>
          <w:szCs w:val="20"/>
        </w:rPr>
        <w:t>us (TCS)</w:t>
      </w:r>
      <w:r w:rsidRPr="006E3839">
        <w:rPr>
          <w:rFonts w:ascii="Arial" w:hAnsi="Arial" w:cs="Arial"/>
          <w:sz w:val="20"/>
          <w:szCs w:val="20"/>
        </w:rPr>
        <w:t xml:space="preserve"> s</w:t>
      </w:r>
      <w:r w:rsidR="000875A9" w:rsidRPr="006E3839">
        <w:rPr>
          <w:rFonts w:ascii="Arial" w:hAnsi="Arial" w:cs="Arial"/>
          <w:sz w:val="20"/>
          <w:szCs w:val="20"/>
        </w:rPr>
        <w:t>ystem abuse</w:t>
      </w:r>
    </w:p>
    <w:p w:rsidR="00B321E6" w:rsidRPr="006E3839" w:rsidRDefault="00BA14E5" w:rsidP="006E3839">
      <w:pPr>
        <w:pStyle w:val="ListParagraph"/>
        <w:numPr>
          <w:ilvl w:val="1"/>
          <w:numId w:val="12"/>
        </w:numPr>
        <w:spacing w:after="0" w:line="240" w:lineRule="auto"/>
        <w:rPr>
          <w:rFonts w:ascii="Arial" w:hAnsi="Arial" w:cs="Arial"/>
          <w:sz w:val="20"/>
          <w:szCs w:val="20"/>
        </w:rPr>
      </w:pPr>
      <w:r w:rsidRPr="006E3839">
        <w:rPr>
          <w:rFonts w:ascii="Arial" w:hAnsi="Arial" w:cs="Arial"/>
          <w:sz w:val="20"/>
          <w:szCs w:val="20"/>
        </w:rPr>
        <w:t>On “</w:t>
      </w:r>
      <w:r w:rsidR="00B3471F" w:rsidRPr="006E3839">
        <w:rPr>
          <w:rFonts w:ascii="Arial" w:hAnsi="Arial" w:cs="Arial"/>
          <w:sz w:val="20"/>
          <w:szCs w:val="20"/>
        </w:rPr>
        <w:t>Tax compliance status system abuse</w:t>
      </w:r>
      <w:r w:rsidRPr="006E3839">
        <w:rPr>
          <w:rFonts w:ascii="Arial" w:hAnsi="Arial" w:cs="Arial"/>
          <w:sz w:val="20"/>
          <w:szCs w:val="20"/>
        </w:rPr>
        <w:t xml:space="preserve">” </w:t>
      </w:r>
      <w:r w:rsidR="00B3471F" w:rsidRPr="006E3839">
        <w:rPr>
          <w:rFonts w:ascii="Arial" w:eastAsia="Arial" w:hAnsi="Arial" w:cs="Arial"/>
          <w:sz w:val="20"/>
          <w:szCs w:val="20"/>
        </w:rPr>
        <w:t xml:space="preserve">(Main reference: </w:t>
      </w:r>
      <w:r w:rsidR="008D7F5F" w:rsidRPr="006E3839">
        <w:rPr>
          <w:rFonts w:ascii="Arial" w:eastAsia="Arial" w:hAnsi="Arial" w:cs="Arial"/>
          <w:sz w:val="20"/>
          <w:szCs w:val="20"/>
        </w:rPr>
        <w:t>s</w:t>
      </w:r>
      <w:r w:rsidR="00B3471F" w:rsidRPr="006E3839">
        <w:rPr>
          <w:rFonts w:ascii="Arial" w:eastAsia="Arial" w:hAnsi="Arial" w:cs="Arial"/>
          <w:sz w:val="20"/>
          <w:szCs w:val="20"/>
        </w:rPr>
        <w:t>ection 256 of the Tax Administration Act; clause 28)</w:t>
      </w:r>
      <w:r w:rsidRPr="006E3839">
        <w:rPr>
          <w:rFonts w:ascii="Arial" w:eastAsia="Arial" w:hAnsi="Arial" w:cs="Arial"/>
          <w:sz w:val="20"/>
          <w:szCs w:val="20"/>
        </w:rPr>
        <w:t>,</w:t>
      </w:r>
      <w:r w:rsidR="00CF363A" w:rsidRPr="006E3839">
        <w:rPr>
          <w:rFonts w:ascii="Arial" w:eastAsia="Arial" w:hAnsi="Arial" w:cs="Arial"/>
          <w:sz w:val="20"/>
          <w:szCs w:val="20"/>
        </w:rPr>
        <w:t xml:space="preserve"> comments were received that i</w:t>
      </w:r>
      <w:r w:rsidR="00B3471F" w:rsidRPr="006E3839">
        <w:rPr>
          <w:rFonts w:ascii="Arial" w:hAnsi="Arial" w:cs="Arial"/>
          <w:sz w:val="20"/>
          <w:szCs w:val="20"/>
        </w:rPr>
        <w:t xml:space="preserve">n paragraph 2.28 of the </w:t>
      </w:r>
      <w:r w:rsidR="00FE0495" w:rsidRPr="006E3839">
        <w:rPr>
          <w:rFonts w:ascii="Arial" w:hAnsi="Arial" w:cs="Arial"/>
          <w:sz w:val="20"/>
          <w:szCs w:val="20"/>
        </w:rPr>
        <w:t xml:space="preserve">Draft </w:t>
      </w:r>
      <w:r w:rsidR="00B3471F" w:rsidRPr="006E3839">
        <w:rPr>
          <w:rFonts w:ascii="Arial" w:hAnsi="Arial" w:cs="Arial"/>
          <w:sz w:val="20"/>
          <w:szCs w:val="20"/>
        </w:rPr>
        <w:t>M</w:t>
      </w:r>
      <w:r w:rsidR="00CF363A" w:rsidRPr="006E3839">
        <w:rPr>
          <w:rFonts w:ascii="Arial" w:hAnsi="Arial" w:cs="Arial"/>
          <w:sz w:val="20"/>
          <w:szCs w:val="20"/>
        </w:rPr>
        <w:t xml:space="preserve">emorandum of </w:t>
      </w:r>
      <w:r w:rsidR="00B3471F" w:rsidRPr="006E3839">
        <w:rPr>
          <w:rFonts w:ascii="Arial" w:hAnsi="Arial" w:cs="Arial"/>
          <w:sz w:val="20"/>
          <w:szCs w:val="20"/>
        </w:rPr>
        <w:t>O</w:t>
      </w:r>
      <w:r w:rsidR="00CF363A" w:rsidRPr="006E3839">
        <w:rPr>
          <w:rFonts w:ascii="Arial" w:hAnsi="Arial" w:cs="Arial"/>
          <w:sz w:val="20"/>
          <w:szCs w:val="20"/>
        </w:rPr>
        <w:t xml:space="preserve">bjects of the </w:t>
      </w:r>
      <w:r w:rsidR="00FE0495" w:rsidRPr="006E3839">
        <w:rPr>
          <w:rFonts w:ascii="Arial" w:hAnsi="Arial" w:cs="Arial"/>
          <w:sz w:val="20"/>
          <w:szCs w:val="20"/>
        </w:rPr>
        <w:t>Draft TALAB</w:t>
      </w:r>
      <w:r w:rsidR="00B3471F" w:rsidRPr="006E3839">
        <w:rPr>
          <w:rFonts w:ascii="Arial" w:hAnsi="Arial" w:cs="Arial"/>
          <w:sz w:val="20"/>
          <w:szCs w:val="20"/>
        </w:rPr>
        <w:t xml:space="preserve"> reference is made to the submission of so-called “nil returns” in order to appear compliant. This is a risk management matter for SARS, as there would surely be a risk indicator if a taxpayer applies for a tax compliance status (TCS) PIN, and nil returns have been submitted. The individual cases where this happens can therefore be investigated by SARS prior to penalising the taxpayer. </w:t>
      </w:r>
      <w:r w:rsidR="001E3DC8" w:rsidRPr="006E3839">
        <w:rPr>
          <w:rFonts w:ascii="Arial" w:hAnsi="Arial" w:cs="Arial"/>
          <w:sz w:val="20"/>
          <w:szCs w:val="20"/>
        </w:rPr>
        <w:t xml:space="preserve">SARS did not accept this submission </w:t>
      </w:r>
      <w:r w:rsidR="001952BD" w:rsidRPr="006E3839">
        <w:rPr>
          <w:rFonts w:ascii="Arial" w:hAnsi="Arial" w:cs="Arial"/>
          <w:sz w:val="20"/>
          <w:szCs w:val="20"/>
        </w:rPr>
        <w:t>explaining that t</w:t>
      </w:r>
      <w:r w:rsidR="00B3471F" w:rsidRPr="006E3839">
        <w:rPr>
          <w:rFonts w:ascii="Arial" w:hAnsi="Arial" w:cs="Arial"/>
          <w:sz w:val="20"/>
          <w:szCs w:val="20"/>
        </w:rPr>
        <w:t xml:space="preserve">he audit process requires a significant amount of time and involves a number of procedural steps which mean that the mischief intended by submitting nil returns will have been achieved by the time revised assessments can be issued. </w:t>
      </w:r>
    </w:p>
    <w:p w:rsidR="00393E2E" w:rsidRPr="006E3839" w:rsidRDefault="00B321E6" w:rsidP="006E3839">
      <w:pPr>
        <w:pStyle w:val="ListParagraph"/>
        <w:numPr>
          <w:ilvl w:val="1"/>
          <w:numId w:val="12"/>
        </w:numPr>
        <w:spacing w:after="0" w:line="240" w:lineRule="auto"/>
        <w:rPr>
          <w:rFonts w:ascii="Arial" w:hAnsi="Arial" w:cs="Arial"/>
          <w:sz w:val="20"/>
          <w:szCs w:val="20"/>
        </w:rPr>
      </w:pPr>
      <w:r w:rsidRPr="006E3839">
        <w:rPr>
          <w:rFonts w:ascii="Arial" w:hAnsi="Arial" w:cs="Arial"/>
          <w:sz w:val="20"/>
          <w:szCs w:val="20"/>
        </w:rPr>
        <w:t xml:space="preserve">Commentators noted with </w:t>
      </w:r>
      <w:r w:rsidR="00B3471F" w:rsidRPr="006E3839">
        <w:rPr>
          <w:rFonts w:ascii="Arial" w:hAnsi="Arial" w:cs="Arial"/>
          <w:sz w:val="20"/>
          <w:szCs w:val="20"/>
        </w:rPr>
        <w:t xml:space="preserve">concern the proposal to endorse TCS documents, and elsewhere, with a note to state that the taxpayer is a newly registered taxpayer. </w:t>
      </w:r>
      <w:r w:rsidR="0055018D" w:rsidRPr="006E3839">
        <w:rPr>
          <w:rFonts w:ascii="Arial" w:hAnsi="Arial" w:cs="Arial"/>
          <w:sz w:val="20"/>
          <w:szCs w:val="20"/>
        </w:rPr>
        <w:t xml:space="preserve">The commentators said that </w:t>
      </w:r>
      <w:r w:rsidR="00C42BFB" w:rsidRPr="006E3839">
        <w:rPr>
          <w:rFonts w:ascii="Arial" w:hAnsi="Arial" w:cs="Arial"/>
          <w:sz w:val="20"/>
          <w:szCs w:val="20"/>
        </w:rPr>
        <w:t>they u</w:t>
      </w:r>
      <w:r w:rsidR="00B3471F" w:rsidRPr="006E3839">
        <w:rPr>
          <w:rFonts w:ascii="Arial" w:hAnsi="Arial" w:cs="Arial"/>
          <w:sz w:val="20"/>
          <w:szCs w:val="20"/>
        </w:rPr>
        <w:t>nderstand that there are many instances of manipulation of the TCS system, mainly resulting in tender fraud, the risk will remain with the user of the TCS PIN.</w:t>
      </w:r>
      <w:r w:rsidR="00C42BFB" w:rsidRPr="006E3839">
        <w:rPr>
          <w:rFonts w:ascii="Arial" w:hAnsi="Arial" w:cs="Arial"/>
          <w:sz w:val="20"/>
          <w:szCs w:val="20"/>
        </w:rPr>
        <w:t xml:space="preserve"> They said that i</w:t>
      </w:r>
      <w:r w:rsidR="00B3471F" w:rsidRPr="006E3839">
        <w:rPr>
          <w:rFonts w:ascii="Arial" w:hAnsi="Arial" w:cs="Arial"/>
          <w:sz w:val="20"/>
          <w:szCs w:val="20"/>
        </w:rPr>
        <w:t>n (almost) all instances, a taxpayer submitting a tender will have to submit their C</w:t>
      </w:r>
      <w:r w:rsidR="004010FF" w:rsidRPr="006E3839">
        <w:rPr>
          <w:rFonts w:ascii="Arial" w:hAnsi="Arial" w:cs="Arial"/>
          <w:sz w:val="20"/>
          <w:szCs w:val="20"/>
        </w:rPr>
        <w:t xml:space="preserve">ompanies and </w:t>
      </w:r>
      <w:r w:rsidR="00B3471F" w:rsidRPr="006E3839">
        <w:rPr>
          <w:rFonts w:ascii="Arial" w:hAnsi="Arial" w:cs="Arial"/>
          <w:sz w:val="20"/>
          <w:szCs w:val="20"/>
        </w:rPr>
        <w:t>I</w:t>
      </w:r>
      <w:r w:rsidR="004010FF" w:rsidRPr="006E3839">
        <w:rPr>
          <w:rFonts w:ascii="Arial" w:hAnsi="Arial" w:cs="Arial"/>
          <w:sz w:val="20"/>
          <w:szCs w:val="20"/>
        </w:rPr>
        <w:t xml:space="preserve">ntellectual </w:t>
      </w:r>
      <w:r w:rsidR="00B3471F" w:rsidRPr="006E3839">
        <w:rPr>
          <w:rFonts w:ascii="Arial" w:hAnsi="Arial" w:cs="Arial"/>
          <w:sz w:val="20"/>
          <w:szCs w:val="20"/>
        </w:rPr>
        <w:t>P</w:t>
      </w:r>
      <w:r w:rsidR="004010FF" w:rsidRPr="006E3839">
        <w:rPr>
          <w:rFonts w:ascii="Arial" w:hAnsi="Arial" w:cs="Arial"/>
          <w:sz w:val="20"/>
          <w:szCs w:val="20"/>
        </w:rPr>
        <w:t xml:space="preserve">roperty </w:t>
      </w:r>
      <w:r w:rsidR="00B3471F" w:rsidRPr="006E3839">
        <w:rPr>
          <w:rFonts w:ascii="Arial" w:hAnsi="Arial" w:cs="Arial"/>
          <w:sz w:val="20"/>
          <w:szCs w:val="20"/>
        </w:rPr>
        <w:t>C</w:t>
      </w:r>
      <w:r w:rsidR="004010FF" w:rsidRPr="006E3839">
        <w:rPr>
          <w:rFonts w:ascii="Arial" w:hAnsi="Arial" w:cs="Arial"/>
          <w:sz w:val="20"/>
          <w:szCs w:val="20"/>
        </w:rPr>
        <w:t>ommission (“CIPC")</w:t>
      </w:r>
      <w:r w:rsidR="00B3471F" w:rsidRPr="006E3839">
        <w:rPr>
          <w:rFonts w:ascii="Arial" w:hAnsi="Arial" w:cs="Arial"/>
          <w:sz w:val="20"/>
          <w:szCs w:val="20"/>
        </w:rPr>
        <w:t xml:space="preserve"> registration documents, which will already indicate that the entity is newly registered and the user of the TCS PIN should be aware of this fact prior to contracting with the taxpayer. </w:t>
      </w:r>
      <w:r w:rsidR="0079523C" w:rsidRPr="006E3839">
        <w:rPr>
          <w:rFonts w:ascii="Arial" w:hAnsi="Arial" w:cs="Arial"/>
          <w:sz w:val="20"/>
          <w:szCs w:val="20"/>
        </w:rPr>
        <w:t xml:space="preserve">They raised </w:t>
      </w:r>
      <w:r w:rsidR="00B3471F" w:rsidRPr="006E3839">
        <w:rPr>
          <w:rFonts w:ascii="Arial" w:hAnsi="Arial" w:cs="Arial"/>
          <w:sz w:val="20"/>
          <w:szCs w:val="20"/>
        </w:rPr>
        <w:t xml:space="preserve">concern that the endorsement will be used to prejudice newly registered SMMEs in applying for tenders. </w:t>
      </w:r>
      <w:r w:rsidR="0079523C" w:rsidRPr="006E3839">
        <w:rPr>
          <w:rFonts w:ascii="Arial" w:hAnsi="Arial" w:cs="Arial"/>
          <w:sz w:val="20"/>
          <w:szCs w:val="20"/>
        </w:rPr>
        <w:t>SARS did not accept this submission and explained that t</w:t>
      </w:r>
      <w:r w:rsidR="00B3471F" w:rsidRPr="006E3839">
        <w:rPr>
          <w:rFonts w:ascii="Arial" w:hAnsi="Arial" w:cs="Arial"/>
          <w:sz w:val="20"/>
          <w:szCs w:val="20"/>
        </w:rPr>
        <w:t>he indication of a taxpayer as a “newly registered taxpayer” will not prejudice newly registered SMMEs in any way if suppliers are already asking for this information at the time of apply</w:t>
      </w:r>
      <w:r w:rsidR="0079523C" w:rsidRPr="006E3839">
        <w:rPr>
          <w:rFonts w:ascii="Arial" w:hAnsi="Arial" w:cs="Arial"/>
          <w:sz w:val="20"/>
          <w:szCs w:val="20"/>
        </w:rPr>
        <w:t>ing</w:t>
      </w:r>
      <w:r w:rsidR="00B3471F" w:rsidRPr="006E3839">
        <w:rPr>
          <w:rFonts w:ascii="Arial" w:hAnsi="Arial" w:cs="Arial"/>
          <w:sz w:val="20"/>
          <w:szCs w:val="20"/>
        </w:rPr>
        <w:t xml:space="preserve"> for tenders. This information will in any event demonstrate that a taxpayer is a new taxpayer. SARS demonstrating this as part of the taxpayer’s TCS will have no further negative effect on the taxpayer.</w:t>
      </w:r>
    </w:p>
    <w:p w:rsidR="005278CE" w:rsidRPr="006E3839" w:rsidRDefault="00393E2E" w:rsidP="006E3839">
      <w:pPr>
        <w:pStyle w:val="ListParagraph"/>
        <w:numPr>
          <w:ilvl w:val="1"/>
          <w:numId w:val="12"/>
        </w:numPr>
        <w:spacing w:after="0" w:line="240" w:lineRule="auto"/>
        <w:rPr>
          <w:rFonts w:ascii="Arial" w:hAnsi="Arial" w:cs="Arial"/>
          <w:sz w:val="20"/>
          <w:szCs w:val="20"/>
        </w:rPr>
      </w:pPr>
      <w:r w:rsidRPr="006E3839">
        <w:rPr>
          <w:rFonts w:ascii="Arial" w:hAnsi="Arial" w:cs="Arial"/>
          <w:sz w:val="20"/>
          <w:szCs w:val="20"/>
        </w:rPr>
        <w:t>SARS explained further that a</w:t>
      </w:r>
      <w:r w:rsidR="00B3471F" w:rsidRPr="006E3839">
        <w:rPr>
          <w:rFonts w:ascii="Arial" w:hAnsi="Arial" w:cs="Arial"/>
          <w:sz w:val="20"/>
          <w:szCs w:val="20"/>
        </w:rPr>
        <w:t xml:space="preserve"> taxpayer’s TCS is based on actual history. The intention is that the indication </w:t>
      </w:r>
      <w:r w:rsidRPr="006E3839">
        <w:rPr>
          <w:rFonts w:ascii="Arial" w:hAnsi="Arial" w:cs="Arial"/>
          <w:sz w:val="20"/>
          <w:szCs w:val="20"/>
        </w:rPr>
        <w:t>whether</w:t>
      </w:r>
      <w:r w:rsidR="00B3471F" w:rsidRPr="006E3839">
        <w:rPr>
          <w:rFonts w:ascii="Arial" w:hAnsi="Arial" w:cs="Arial"/>
          <w:sz w:val="20"/>
          <w:szCs w:val="20"/>
        </w:rPr>
        <w:t xml:space="preserve"> a taxpayer is a “newly registered taxpayer” should only apply to the first date that a return would generally be required for the first tax for which the taxpayer is registered. After this date SARS would be </w:t>
      </w:r>
      <w:r w:rsidR="00F64460" w:rsidRPr="006E3839">
        <w:rPr>
          <w:rFonts w:ascii="Arial" w:hAnsi="Arial" w:cs="Arial"/>
          <w:sz w:val="20"/>
          <w:szCs w:val="20"/>
        </w:rPr>
        <w:t>able</w:t>
      </w:r>
      <w:r w:rsidR="00B3471F" w:rsidRPr="006E3839">
        <w:rPr>
          <w:rFonts w:ascii="Arial" w:hAnsi="Arial" w:cs="Arial"/>
          <w:sz w:val="20"/>
          <w:szCs w:val="20"/>
        </w:rPr>
        <w:t xml:space="preserve"> to determine whether the taxpayer in fact submitted a return or not, and therefore supply a tax compliance status based on actual history. If the taxpayer is not registered for a particular tax, this provision will not apply to that tax.</w:t>
      </w:r>
    </w:p>
    <w:p w:rsidR="005D1F5D" w:rsidRPr="006E3839" w:rsidRDefault="005278CE" w:rsidP="006E3839">
      <w:pPr>
        <w:pStyle w:val="ListParagraph"/>
        <w:numPr>
          <w:ilvl w:val="1"/>
          <w:numId w:val="12"/>
        </w:numPr>
        <w:spacing w:after="0" w:line="240" w:lineRule="auto"/>
        <w:rPr>
          <w:rFonts w:ascii="Arial" w:hAnsi="Arial" w:cs="Arial"/>
          <w:sz w:val="20"/>
          <w:szCs w:val="20"/>
        </w:rPr>
      </w:pPr>
      <w:r w:rsidRPr="006E3839">
        <w:rPr>
          <w:rFonts w:ascii="Arial" w:hAnsi="Arial" w:cs="Arial"/>
          <w:sz w:val="20"/>
          <w:szCs w:val="20"/>
        </w:rPr>
        <w:lastRenderedPageBreak/>
        <w:t>SARS said that c</w:t>
      </w:r>
      <w:r w:rsidR="00B3471F" w:rsidRPr="006E3839">
        <w:rPr>
          <w:rFonts w:ascii="Arial" w:hAnsi="Arial" w:cs="Arial"/>
          <w:sz w:val="20"/>
          <w:szCs w:val="20"/>
        </w:rPr>
        <w:t xml:space="preserve">hanges will be made to address the challenge that may be encountered by dormant companies registered for corporate income tax that are not required to submit provisional tax returns (these companies are only required to submit a return within one year after the financial year end of the company) or individuals registered for personal income tax that fall within the auto-assessment population (i.e. they are not required to submit returns at all). </w:t>
      </w:r>
      <w:r w:rsidR="00077B91" w:rsidRPr="006E3839">
        <w:rPr>
          <w:rFonts w:ascii="Arial" w:hAnsi="Arial" w:cs="Arial"/>
          <w:sz w:val="20"/>
          <w:szCs w:val="20"/>
        </w:rPr>
        <w:t xml:space="preserve"> It said that </w:t>
      </w:r>
      <w:r w:rsidR="00B3471F" w:rsidRPr="006E3839">
        <w:rPr>
          <w:rFonts w:ascii="Arial" w:hAnsi="Arial" w:cs="Arial"/>
          <w:sz w:val="20"/>
          <w:szCs w:val="20"/>
        </w:rPr>
        <w:t xml:space="preserve">the proposed wording will be changed to indicate that a taxpayer will no longer be regarded as a “newly registered taxpayer” on the </w:t>
      </w:r>
      <w:r w:rsidR="00B3471F" w:rsidRPr="006E3839">
        <w:rPr>
          <w:rFonts w:ascii="Arial" w:hAnsi="Arial" w:cs="Arial"/>
          <w:i/>
          <w:iCs/>
          <w:sz w:val="20"/>
          <w:szCs w:val="20"/>
        </w:rPr>
        <w:t>earlier of</w:t>
      </w:r>
      <w:r w:rsidR="00B3471F" w:rsidRPr="006E3839">
        <w:rPr>
          <w:rFonts w:ascii="Arial" w:hAnsi="Arial" w:cs="Arial"/>
          <w:sz w:val="20"/>
          <w:szCs w:val="20"/>
        </w:rPr>
        <w:t xml:space="preserve"> the following three events: </w:t>
      </w:r>
    </w:p>
    <w:p w:rsidR="005D1F5D" w:rsidRPr="006E3839" w:rsidRDefault="00B3471F" w:rsidP="006E3839">
      <w:pPr>
        <w:pStyle w:val="ListParagraph"/>
        <w:numPr>
          <w:ilvl w:val="2"/>
          <w:numId w:val="17"/>
        </w:numPr>
        <w:spacing w:after="0" w:line="240" w:lineRule="auto"/>
        <w:rPr>
          <w:rFonts w:ascii="Arial" w:hAnsi="Arial" w:cs="Arial"/>
          <w:sz w:val="20"/>
          <w:szCs w:val="20"/>
        </w:rPr>
      </w:pPr>
      <w:r w:rsidRPr="006E3839">
        <w:rPr>
          <w:rFonts w:ascii="Arial" w:hAnsi="Arial" w:cs="Arial"/>
          <w:sz w:val="20"/>
          <w:szCs w:val="20"/>
        </w:rPr>
        <w:t>The taxpayer has reached the first date on which the taxpayer is required to submit a return or make a payment under a tax Act, in respect of a tax for which the taxpayer is registered;</w:t>
      </w:r>
    </w:p>
    <w:p w:rsidR="005D1F5D" w:rsidRPr="006E3839" w:rsidRDefault="00B3471F" w:rsidP="006E3839">
      <w:pPr>
        <w:pStyle w:val="ListParagraph"/>
        <w:numPr>
          <w:ilvl w:val="2"/>
          <w:numId w:val="17"/>
        </w:numPr>
        <w:spacing w:after="0" w:line="240" w:lineRule="auto"/>
        <w:rPr>
          <w:rFonts w:ascii="Arial" w:hAnsi="Arial" w:cs="Arial"/>
          <w:sz w:val="20"/>
          <w:szCs w:val="20"/>
        </w:rPr>
      </w:pPr>
      <w:r w:rsidRPr="006E3839">
        <w:rPr>
          <w:rFonts w:ascii="Arial" w:hAnsi="Arial" w:cs="Arial"/>
          <w:sz w:val="20"/>
          <w:szCs w:val="20"/>
        </w:rPr>
        <w:t>The taxpayer has submitted a return or made a payment, prior to the first date on which the taxpayer is required to submit a return or make a payment as mentioned; or</w:t>
      </w:r>
    </w:p>
    <w:p w:rsidR="0069127E" w:rsidRPr="006E3839" w:rsidRDefault="00B3471F" w:rsidP="006E3839">
      <w:pPr>
        <w:pStyle w:val="ListParagraph"/>
        <w:numPr>
          <w:ilvl w:val="2"/>
          <w:numId w:val="17"/>
        </w:numPr>
        <w:spacing w:after="0" w:line="240" w:lineRule="auto"/>
        <w:rPr>
          <w:rFonts w:ascii="Arial" w:hAnsi="Arial" w:cs="Arial"/>
          <w:sz w:val="20"/>
          <w:szCs w:val="20"/>
        </w:rPr>
      </w:pPr>
      <w:r w:rsidRPr="006E3839">
        <w:rPr>
          <w:rFonts w:ascii="Arial" w:hAnsi="Arial" w:cs="Arial"/>
          <w:sz w:val="20"/>
          <w:szCs w:val="20"/>
        </w:rPr>
        <w:t>A period of one year from the date the taxpayer was registered for a tax in terms of a tax Act has lapsed.</w:t>
      </w:r>
    </w:p>
    <w:p w:rsidR="00651331" w:rsidRPr="006E3839" w:rsidRDefault="0069127E" w:rsidP="006E3839">
      <w:pPr>
        <w:pStyle w:val="ListParagraph"/>
        <w:numPr>
          <w:ilvl w:val="1"/>
          <w:numId w:val="12"/>
        </w:numPr>
        <w:spacing w:after="0" w:line="240" w:lineRule="auto"/>
        <w:rPr>
          <w:rFonts w:ascii="Arial" w:hAnsi="Arial" w:cs="Arial"/>
          <w:sz w:val="20"/>
          <w:szCs w:val="20"/>
        </w:rPr>
      </w:pPr>
      <w:r w:rsidRPr="006E3839">
        <w:rPr>
          <w:rFonts w:ascii="Arial" w:hAnsi="Arial" w:cs="Arial"/>
          <w:sz w:val="20"/>
          <w:szCs w:val="20"/>
        </w:rPr>
        <w:t>Another comment was received that t</w:t>
      </w:r>
      <w:r w:rsidR="00B3471F" w:rsidRPr="006E3839">
        <w:rPr>
          <w:rFonts w:ascii="Arial" w:hAnsi="Arial" w:cs="Arial"/>
          <w:sz w:val="20"/>
          <w:szCs w:val="20"/>
        </w:rPr>
        <w:t>he ability to revoke access to compliance status can have far-reaching consequences for taxpayers, including a restraint on its ability to conduct business. This power is afforded to SARS in general and is not reserved for senior SARS officials. The ability to revoke access to the compliance status in the case of fraud, misrepresentation or non-disclosure of material facts or the suspicion thereof should be reserved for senior SARS officials.</w:t>
      </w:r>
      <w:r w:rsidR="003F40F9" w:rsidRPr="006E3839">
        <w:rPr>
          <w:rFonts w:ascii="Arial" w:hAnsi="Arial" w:cs="Arial"/>
          <w:sz w:val="20"/>
          <w:szCs w:val="20"/>
        </w:rPr>
        <w:t xml:space="preserve"> SARS accepted this submission explaining that t</w:t>
      </w:r>
      <w:r w:rsidR="00B3471F" w:rsidRPr="006E3839">
        <w:rPr>
          <w:rFonts w:ascii="Arial" w:hAnsi="Arial" w:cs="Arial"/>
          <w:sz w:val="20"/>
          <w:szCs w:val="20"/>
        </w:rPr>
        <w:t>he proposed legislation will be changed to reserve the power to revoke the access for a senior SARS official.</w:t>
      </w:r>
    </w:p>
    <w:p w:rsidR="00342FC5" w:rsidRPr="006E3839" w:rsidRDefault="00342FC5" w:rsidP="006E3839">
      <w:pPr>
        <w:pStyle w:val="ListParagraph"/>
        <w:spacing w:after="0" w:line="240" w:lineRule="auto"/>
        <w:ind w:left="792"/>
        <w:rPr>
          <w:rFonts w:ascii="Arial" w:hAnsi="Arial" w:cs="Arial"/>
          <w:sz w:val="20"/>
          <w:szCs w:val="20"/>
        </w:rPr>
      </w:pPr>
    </w:p>
    <w:p w:rsidR="00C1315C" w:rsidRPr="006E3839" w:rsidRDefault="00651331" w:rsidP="006E3839">
      <w:pPr>
        <w:pStyle w:val="ListParagraph"/>
        <w:numPr>
          <w:ilvl w:val="0"/>
          <w:numId w:val="12"/>
        </w:numPr>
        <w:spacing w:after="0" w:line="240" w:lineRule="auto"/>
        <w:rPr>
          <w:rStyle w:val="markedcontent"/>
          <w:rFonts w:ascii="Arial" w:hAnsi="Arial" w:cs="Arial"/>
          <w:sz w:val="20"/>
          <w:szCs w:val="20"/>
        </w:rPr>
      </w:pPr>
      <w:r w:rsidRPr="006E3839">
        <w:rPr>
          <w:rStyle w:val="markedcontent"/>
          <w:rFonts w:ascii="Arial" w:hAnsi="Arial" w:cs="Arial"/>
          <w:b/>
          <w:sz w:val="20"/>
          <w:szCs w:val="20"/>
        </w:rPr>
        <w:t xml:space="preserve">COMMITTEE OBSERVATIONS  </w:t>
      </w:r>
    </w:p>
    <w:p w:rsidR="00651331" w:rsidRPr="006E3839" w:rsidRDefault="00651331" w:rsidP="006E3839">
      <w:pPr>
        <w:pStyle w:val="ListParagraph"/>
        <w:numPr>
          <w:ilvl w:val="1"/>
          <w:numId w:val="12"/>
        </w:numPr>
        <w:spacing w:after="0" w:line="240" w:lineRule="auto"/>
        <w:rPr>
          <w:rStyle w:val="markedcontent"/>
          <w:rFonts w:ascii="Arial" w:hAnsi="Arial" w:cs="Arial"/>
          <w:sz w:val="20"/>
          <w:szCs w:val="20"/>
        </w:rPr>
      </w:pPr>
      <w:r w:rsidRPr="006E3839">
        <w:rPr>
          <w:rStyle w:val="markedcontent"/>
          <w:rFonts w:ascii="Arial" w:hAnsi="Arial" w:cs="Arial"/>
          <w:sz w:val="20"/>
          <w:szCs w:val="20"/>
        </w:rPr>
        <w:t xml:space="preserve">The Committee welcomes the amendments which are directed at improving SARS’ administrative capacity, efficiency and enforcing compliance. The Committee believes that all public comments </w:t>
      </w:r>
      <w:r w:rsidR="004B2228" w:rsidRPr="006E3839">
        <w:rPr>
          <w:rStyle w:val="markedcontent"/>
          <w:rFonts w:ascii="Arial" w:hAnsi="Arial" w:cs="Arial"/>
          <w:sz w:val="20"/>
          <w:szCs w:val="20"/>
        </w:rPr>
        <w:t>o</w:t>
      </w:r>
      <w:r w:rsidRPr="006E3839">
        <w:rPr>
          <w:rStyle w:val="markedcontent"/>
          <w:rFonts w:ascii="Arial" w:hAnsi="Arial" w:cs="Arial"/>
          <w:sz w:val="20"/>
          <w:szCs w:val="20"/>
        </w:rPr>
        <w:t xml:space="preserve">n the </w:t>
      </w:r>
      <w:r w:rsidR="004B2228" w:rsidRPr="006E3839">
        <w:rPr>
          <w:rStyle w:val="markedcontent"/>
          <w:rFonts w:ascii="Arial" w:hAnsi="Arial" w:cs="Arial"/>
          <w:sz w:val="20"/>
          <w:szCs w:val="20"/>
        </w:rPr>
        <w:t>Draft TALAB</w:t>
      </w:r>
      <w:r w:rsidRPr="006E3839">
        <w:rPr>
          <w:rStyle w:val="markedcontent"/>
          <w:rFonts w:ascii="Arial" w:hAnsi="Arial" w:cs="Arial"/>
          <w:sz w:val="20"/>
          <w:szCs w:val="20"/>
        </w:rPr>
        <w:t xml:space="preserve"> were adequately responded to by SARS and </w:t>
      </w:r>
      <w:r w:rsidR="009E45D5" w:rsidRPr="006E3839">
        <w:rPr>
          <w:rStyle w:val="markedcontent"/>
          <w:rFonts w:ascii="Arial" w:hAnsi="Arial" w:cs="Arial"/>
          <w:sz w:val="20"/>
          <w:szCs w:val="20"/>
        </w:rPr>
        <w:t xml:space="preserve">the Committee </w:t>
      </w:r>
      <w:r w:rsidRPr="006E3839">
        <w:rPr>
          <w:rStyle w:val="markedcontent"/>
          <w:rFonts w:ascii="Arial" w:hAnsi="Arial" w:cs="Arial"/>
          <w:sz w:val="20"/>
          <w:szCs w:val="20"/>
        </w:rPr>
        <w:t>supports th</w:t>
      </w:r>
      <w:r w:rsidR="00F86001" w:rsidRPr="006E3839">
        <w:rPr>
          <w:rStyle w:val="markedcontent"/>
          <w:rFonts w:ascii="Arial" w:hAnsi="Arial" w:cs="Arial"/>
          <w:sz w:val="20"/>
          <w:szCs w:val="20"/>
        </w:rPr>
        <w:t>e</w:t>
      </w:r>
      <w:r w:rsidRPr="006E3839">
        <w:rPr>
          <w:rStyle w:val="markedcontent"/>
          <w:rFonts w:ascii="Arial" w:hAnsi="Arial" w:cs="Arial"/>
          <w:sz w:val="20"/>
          <w:szCs w:val="20"/>
        </w:rPr>
        <w:t xml:space="preserve"> Bill. </w:t>
      </w:r>
    </w:p>
    <w:p w:rsidR="00651331" w:rsidRPr="006E3839" w:rsidRDefault="00651331" w:rsidP="006E3839">
      <w:pPr>
        <w:pStyle w:val="ListParagraph"/>
        <w:shd w:val="clear" w:color="auto" w:fill="FFFFFF"/>
        <w:spacing w:after="0" w:line="240" w:lineRule="auto"/>
        <w:ind w:left="360" w:right="344"/>
        <w:rPr>
          <w:rStyle w:val="markedcontent"/>
          <w:rFonts w:ascii="Arial" w:hAnsi="Arial" w:cs="Arial"/>
          <w:b/>
          <w:sz w:val="20"/>
          <w:szCs w:val="20"/>
        </w:rPr>
      </w:pPr>
    </w:p>
    <w:p w:rsidR="00651331" w:rsidRPr="006E3839" w:rsidRDefault="00651331" w:rsidP="006E3839">
      <w:pPr>
        <w:pStyle w:val="ListParagraph"/>
        <w:numPr>
          <w:ilvl w:val="0"/>
          <w:numId w:val="12"/>
        </w:numPr>
        <w:spacing w:after="0" w:line="240" w:lineRule="auto"/>
        <w:ind w:right="63"/>
        <w:rPr>
          <w:rFonts w:ascii="Arial" w:hAnsi="Arial" w:cs="Arial"/>
          <w:b/>
          <w:sz w:val="20"/>
          <w:szCs w:val="20"/>
        </w:rPr>
      </w:pPr>
      <w:r w:rsidRPr="006E3839">
        <w:rPr>
          <w:rFonts w:ascii="Arial" w:hAnsi="Arial" w:cs="Arial"/>
          <w:b/>
          <w:sz w:val="20"/>
          <w:szCs w:val="20"/>
        </w:rPr>
        <w:t>CONCLUSION</w:t>
      </w:r>
    </w:p>
    <w:p w:rsidR="0010181F" w:rsidRPr="006E3839" w:rsidRDefault="0010181F" w:rsidP="006E3839">
      <w:pPr>
        <w:pStyle w:val="ListParagraph"/>
        <w:numPr>
          <w:ilvl w:val="1"/>
          <w:numId w:val="12"/>
        </w:numPr>
        <w:spacing w:after="0" w:line="240" w:lineRule="auto"/>
        <w:rPr>
          <w:rFonts w:ascii="Arial" w:hAnsi="Arial" w:cs="Arial"/>
          <w:sz w:val="20"/>
          <w:szCs w:val="20"/>
        </w:rPr>
      </w:pPr>
      <w:r w:rsidRPr="006E3839">
        <w:rPr>
          <w:rFonts w:ascii="Arial" w:hAnsi="Arial" w:cs="Arial"/>
          <w:sz w:val="20"/>
          <w:szCs w:val="20"/>
        </w:rPr>
        <w:t xml:space="preserve">The </w:t>
      </w:r>
      <w:r w:rsidRPr="006E3839">
        <w:rPr>
          <w:rFonts w:ascii="Arial" w:hAnsi="Arial" w:cs="Arial"/>
          <w:color w:val="000000" w:themeColor="text1"/>
          <w:sz w:val="20"/>
          <w:szCs w:val="20"/>
        </w:rPr>
        <w:t>Committee agrees with</w:t>
      </w:r>
      <w:r w:rsidRPr="006E3839">
        <w:rPr>
          <w:rFonts w:ascii="Arial" w:hAnsi="Arial" w:cs="Arial"/>
          <w:sz w:val="20"/>
          <w:szCs w:val="20"/>
        </w:rPr>
        <w:t xml:space="preserve"> </w:t>
      </w:r>
      <w:r w:rsidR="0006237A" w:rsidRPr="006E3839">
        <w:rPr>
          <w:rFonts w:ascii="Arial" w:hAnsi="Arial" w:cs="Arial"/>
          <w:sz w:val="20"/>
          <w:szCs w:val="20"/>
        </w:rPr>
        <w:t xml:space="preserve">technical </w:t>
      </w:r>
      <w:r w:rsidRPr="006E3839">
        <w:rPr>
          <w:rFonts w:ascii="Arial" w:hAnsi="Arial" w:cs="Arial"/>
          <w:sz w:val="20"/>
          <w:szCs w:val="20"/>
        </w:rPr>
        <w:t>amendments proposed in the A list of the Bill</w:t>
      </w:r>
      <w:r w:rsidR="0006237A" w:rsidRPr="006E3839">
        <w:rPr>
          <w:rFonts w:ascii="Arial" w:hAnsi="Arial" w:cs="Arial"/>
          <w:sz w:val="20"/>
          <w:szCs w:val="20"/>
        </w:rPr>
        <w:t xml:space="preserve"> as presented to the Committee on 16 November 2022.</w:t>
      </w:r>
      <w:r w:rsidRPr="006E3839">
        <w:rPr>
          <w:rFonts w:ascii="Arial" w:hAnsi="Arial" w:cs="Arial"/>
          <w:sz w:val="20"/>
          <w:szCs w:val="20"/>
        </w:rPr>
        <w:t xml:space="preserve"> </w:t>
      </w:r>
    </w:p>
    <w:p w:rsidR="0010181F" w:rsidRPr="006E3839" w:rsidRDefault="0010181F" w:rsidP="006E3839">
      <w:pPr>
        <w:pStyle w:val="ListParagraph"/>
        <w:numPr>
          <w:ilvl w:val="1"/>
          <w:numId w:val="12"/>
        </w:numPr>
        <w:spacing w:after="0" w:line="240" w:lineRule="auto"/>
        <w:rPr>
          <w:rFonts w:ascii="Arial" w:hAnsi="Arial" w:cs="Arial"/>
          <w:sz w:val="20"/>
          <w:szCs w:val="20"/>
        </w:rPr>
      </w:pPr>
      <w:r w:rsidRPr="006E3839">
        <w:rPr>
          <w:rFonts w:ascii="Arial" w:hAnsi="Arial" w:cs="Arial"/>
          <w:sz w:val="20"/>
          <w:szCs w:val="20"/>
        </w:rPr>
        <w:t>The Committee reports the Bill</w:t>
      </w:r>
      <w:r w:rsidR="0006237A" w:rsidRPr="006E3839">
        <w:rPr>
          <w:rFonts w:ascii="Arial" w:hAnsi="Arial" w:cs="Arial"/>
          <w:sz w:val="20"/>
          <w:szCs w:val="20"/>
        </w:rPr>
        <w:t xml:space="preserve"> </w:t>
      </w:r>
      <w:r w:rsidRPr="006E3839">
        <w:rPr>
          <w:rFonts w:ascii="Arial" w:hAnsi="Arial" w:cs="Arial"/>
          <w:sz w:val="20"/>
          <w:szCs w:val="20"/>
        </w:rPr>
        <w:t xml:space="preserve">[B27B-2022]. </w:t>
      </w:r>
    </w:p>
    <w:p w:rsidR="0010181F" w:rsidRPr="006E3839" w:rsidRDefault="0010181F" w:rsidP="006E3839">
      <w:pPr>
        <w:spacing w:after="0" w:line="240" w:lineRule="auto"/>
        <w:rPr>
          <w:rFonts w:ascii="Arial" w:hAnsi="Arial" w:cs="Arial"/>
          <w:sz w:val="20"/>
          <w:szCs w:val="20"/>
        </w:rPr>
      </w:pPr>
    </w:p>
    <w:p w:rsidR="0010181F" w:rsidRPr="006E3839" w:rsidRDefault="0010181F" w:rsidP="006E3839">
      <w:pPr>
        <w:spacing w:after="0" w:line="240" w:lineRule="auto"/>
        <w:rPr>
          <w:rFonts w:ascii="Arial" w:hAnsi="Arial" w:cs="Arial"/>
          <w:sz w:val="20"/>
          <w:szCs w:val="20"/>
        </w:rPr>
      </w:pPr>
      <w:r w:rsidRPr="006E3839">
        <w:rPr>
          <w:rFonts w:ascii="Arial" w:hAnsi="Arial" w:cs="Arial"/>
          <w:sz w:val="20"/>
          <w:szCs w:val="20"/>
        </w:rPr>
        <w:t>The Democratic Alliance (DA) reserve</w:t>
      </w:r>
      <w:r w:rsidR="0006237A" w:rsidRPr="006E3839">
        <w:rPr>
          <w:rFonts w:ascii="Arial" w:hAnsi="Arial" w:cs="Arial"/>
          <w:sz w:val="20"/>
          <w:szCs w:val="20"/>
        </w:rPr>
        <w:t>s its</w:t>
      </w:r>
      <w:r w:rsidRPr="006E3839">
        <w:rPr>
          <w:rFonts w:ascii="Arial" w:hAnsi="Arial" w:cs="Arial"/>
          <w:sz w:val="20"/>
          <w:szCs w:val="20"/>
        </w:rPr>
        <w:t xml:space="preserve"> position.</w:t>
      </w:r>
    </w:p>
    <w:p w:rsidR="0010181F" w:rsidRPr="006E3839" w:rsidRDefault="0010181F" w:rsidP="006E3839">
      <w:pPr>
        <w:spacing w:after="0" w:line="240" w:lineRule="auto"/>
        <w:rPr>
          <w:rFonts w:ascii="Arial" w:hAnsi="Arial" w:cs="Arial"/>
          <w:sz w:val="20"/>
          <w:szCs w:val="20"/>
        </w:rPr>
      </w:pPr>
    </w:p>
    <w:p w:rsidR="00651331" w:rsidRPr="006E3839" w:rsidRDefault="00651331" w:rsidP="006E3839">
      <w:pPr>
        <w:spacing w:after="0" w:line="240" w:lineRule="auto"/>
        <w:ind w:right="63"/>
        <w:rPr>
          <w:rFonts w:ascii="Arial" w:hAnsi="Arial" w:cs="Arial"/>
          <w:sz w:val="20"/>
          <w:szCs w:val="20"/>
        </w:rPr>
      </w:pPr>
    </w:p>
    <w:p w:rsidR="00651331" w:rsidRPr="006E3839" w:rsidRDefault="00651331" w:rsidP="006E3839">
      <w:pPr>
        <w:spacing w:after="0" w:line="240" w:lineRule="auto"/>
        <w:ind w:right="344"/>
        <w:rPr>
          <w:rStyle w:val="HeaderChar"/>
          <w:rFonts w:ascii="Arial" w:hAnsi="Arial" w:cs="Arial"/>
          <w:sz w:val="20"/>
          <w:szCs w:val="20"/>
        </w:rPr>
      </w:pPr>
      <w:r w:rsidRPr="006E3839">
        <w:rPr>
          <w:rStyle w:val="HeaderChar"/>
          <w:rFonts w:ascii="Arial" w:hAnsi="Arial" w:cs="Arial"/>
          <w:sz w:val="20"/>
          <w:szCs w:val="20"/>
        </w:rPr>
        <w:t>Report to be considered</w:t>
      </w:r>
      <w:r w:rsidR="004B2228" w:rsidRPr="006E3839">
        <w:rPr>
          <w:rStyle w:val="HeaderChar"/>
          <w:rFonts w:ascii="Arial" w:hAnsi="Arial" w:cs="Arial"/>
          <w:sz w:val="20"/>
          <w:szCs w:val="20"/>
        </w:rPr>
        <w:t>.</w:t>
      </w:r>
    </w:p>
    <w:p w:rsidR="00B3471F" w:rsidRPr="006E3839" w:rsidRDefault="00B3471F" w:rsidP="006E3839">
      <w:pPr>
        <w:pStyle w:val="ListParagraph"/>
        <w:spacing w:after="0" w:line="240" w:lineRule="auto"/>
        <w:ind w:left="1224"/>
        <w:rPr>
          <w:rFonts w:ascii="Arial" w:hAnsi="Arial" w:cs="Arial"/>
          <w:b/>
          <w:sz w:val="20"/>
          <w:szCs w:val="20"/>
        </w:rPr>
      </w:pPr>
    </w:p>
    <w:p w:rsidR="007C4568" w:rsidRPr="006E3839" w:rsidRDefault="007C4568" w:rsidP="006E3839">
      <w:pPr>
        <w:spacing w:after="0" w:line="240" w:lineRule="auto"/>
        <w:rPr>
          <w:rFonts w:ascii="Arial" w:hAnsi="Arial" w:cs="Arial"/>
          <w:sz w:val="20"/>
          <w:szCs w:val="20"/>
        </w:rPr>
      </w:pPr>
    </w:p>
    <w:sectPr w:rsidR="007C4568" w:rsidRPr="006E3839" w:rsidSect="00362B0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C78" w:rsidRDefault="00AB5C78" w:rsidP="00F86001">
      <w:pPr>
        <w:spacing w:after="0" w:line="240" w:lineRule="auto"/>
      </w:pPr>
      <w:r>
        <w:separator/>
      </w:r>
    </w:p>
  </w:endnote>
  <w:endnote w:type="continuationSeparator" w:id="0">
    <w:p w:rsidR="00AB5C78" w:rsidRDefault="00AB5C78" w:rsidP="00F86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189460"/>
      <w:docPartObj>
        <w:docPartGallery w:val="Page Numbers (Bottom of Page)"/>
        <w:docPartUnique/>
      </w:docPartObj>
    </w:sdtPr>
    <w:sdtEndPr>
      <w:rPr>
        <w:noProof/>
      </w:rPr>
    </w:sdtEndPr>
    <w:sdtContent>
      <w:p w:rsidR="00F86001" w:rsidRDefault="00362B07">
        <w:pPr>
          <w:pStyle w:val="Footer"/>
          <w:jc w:val="center"/>
        </w:pPr>
        <w:r>
          <w:fldChar w:fldCharType="begin"/>
        </w:r>
        <w:r w:rsidR="00F86001">
          <w:instrText xml:space="preserve"> PAGE   \* MERGEFORMAT </w:instrText>
        </w:r>
        <w:r>
          <w:fldChar w:fldCharType="separate"/>
        </w:r>
        <w:r w:rsidR="006E3839">
          <w:rPr>
            <w:noProof/>
          </w:rPr>
          <w:t>1</w:t>
        </w:r>
        <w:r>
          <w:rPr>
            <w:noProof/>
          </w:rPr>
          <w:fldChar w:fldCharType="end"/>
        </w:r>
      </w:p>
    </w:sdtContent>
  </w:sdt>
  <w:p w:rsidR="00F86001" w:rsidRDefault="00F860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C78" w:rsidRDefault="00AB5C78" w:rsidP="00F86001">
      <w:pPr>
        <w:spacing w:after="0" w:line="240" w:lineRule="auto"/>
      </w:pPr>
      <w:r>
        <w:separator/>
      </w:r>
    </w:p>
  </w:footnote>
  <w:footnote w:type="continuationSeparator" w:id="0">
    <w:p w:rsidR="00AB5C78" w:rsidRDefault="00AB5C78" w:rsidP="00F860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345C"/>
    <w:multiLevelType w:val="hybridMultilevel"/>
    <w:tmpl w:val="E0D86ECC"/>
    <w:lvl w:ilvl="0" w:tplc="ECF05BA2">
      <w:start w:val="1"/>
      <w:numFmt w:val="bullet"/>
      <w:lvlText w:val="•"/>
      <w:lvlJc w:val="left"/>
      <w:pPr>
        <w:tabs>
          <w:tab w:val="num" w:pos="720"/>
        </w:tabs>
        <w:ind w:left="720" w:hanging="360"/>
      </w:pPr>
      <w:rPr>
        <w:rFonts w:ascii="Arial" w:hAnsi="Arial" w:hint="default"/>
      </w:rPr>
    </w:lvl>
    <w:lvl w:ilvl="1" w:tplc="CE202AC2" w:tentative="1">
      <w:start w:val="1"/>
      <w:numFmt w:val="bullet"/>
      <w:lvlText w:val="•"/>
      <w:lvlJc w:val="left"/>
      <w:pPr>
        <w:tabs>
          <w:tab w:val="num" w:pos="1440"/>
        </w:tabs>
        <w:ind w:left="1440" w:hanging="360"/>
      </w:pPr>
      <w:rPr>
        <w:rFonts w:ascii="Arial" w:hAnsi="Arial" w:hint="default"/>
      </w:rPr>
    </w:lvl>
    <w:lvl w:ilvl="2" w:tplc="DC4007C8" w:tentative="1">
      <w:start w:val="1"/>
      <w:numFmt w:val="bullet"/>
      <w:lvlText w:val="•"/>
      <w:lvlJc w:val="left"/>
      <w:pPr>
        <w:tabs>
          <w:tab w:val="num" w:pos="2160"/>
        </w:tabs>
        <w:ind w:left="2160" w:hanging="360"/>
      </w:pPr>
      <w:rPr>
        <w:rFonts w:ascii="Arial" w:hAnsi="Arial" w:hint="default"/>
      </w:rPr>
    </w:lvl>
    <w:lvl w:ilvl="3" w:tplc="E37224F2" w:tentative="1">
      <w:start w:val="1"/>
      <w:numFmt w:val="bullet"/>
      <w:lvlText w:val="•"/>
      <w:lvlJc w:val="left"/>
      <w:pPr>
        <w:tabs>
          <w:tab w:val="num" w:pos="2880"/>
        </w:tabs>
        <w:ind w:left="2880" w:hanging="360"/>
      </w:pPr>
      <w:rPr>
        <w:rFonts w:ascii="Arial" w:hAnsi="Arial" w:hint="default"/>
      </w:rPr>
    </w:lvl>
    <w:lvl w:ilvl="4" w:tplc="B36A98FA" w:tentative="1">
      <w:start w:val="1"/>
      <w:numFmt w:val="bullet"/>
      <w:lvlText w:val="•"/>
      <w:lvlJc w:val="left"/>
      <w:pPr>
        <w:tabs>
          <w:tab w:val="num" w:pos="3600"/>
        </w:tabs>
        <w:ind w:left="3600" w:hanging="360"/>
      </w:pPr>
      <w:rPr>
        <w:rFonts w:ascii="Arial" w:hAnsi="Arial" w:hint="default"/>
      </w:rPr>
    </w:lvl>
    <w:lvl w:ilvl="5" w:tplc="34F03F5C" w:tentative="1">
      <w:start w:val="1"/>
      <w:numFmt w:val="bullet"/>
      <w:lvlText w:val="•"/>
      <w:lvlJc w:val="left"/>
      <w:pPr>
        <w:tabs>
          <w:tab w:val="num" w:pos="4320"/>
        </w:tabs>
        <w:ind w:left="4320" w:hanging="360"/>
      </w:pPr>
      <w:rPr>
        <w:rFonts w:ascii="Arial" w:hAnsi="Arial" w:hint="default"/>
      </w:rPr>
    </w:lvl>
    <w:lvl w:ilvl="6" w:tplc="3D3C704C" w:tentative="1">
      <w:start w:val="1"/>
      <w:numFmt w:val="bullet"/>
      <w:lvlText w:val="•"/>
      <w:lvlJc w:val="left"/>
      <w:pPr>
        <w:tabs>
          <w:tab w:val="num" w:pos="5040"/>
        </w:tabs>
        <w:ind w:left="5040" w:hanging="360"/>
      </w:pPr>
      <w:rPr>
        <w:rFonts w:ascii="Arial" w:hAnsi="Arial" w:hint="default"/>
      </w:rPr>
    </w:lvl>
    <w:lvl w:ilvl="7" w:tplc="7B2CEE86" w:tentative="1">
      <w:start w:val="1"/>
      <w:numFmt w:val="bullet"/>
      <w:lvlText w:val="•"/>
      <w:lvlJc w:val="left"/>
      <w:pPr>
        <w:tabs>
          <w:tab w:val="num" w:pos="5760"/>
        </w:tabs>
        <w:ind w:left="5760" w:hanging="360"/>
      </w:pPr>
      <w:rPr>
        <w:rFonts w:ascii="Arial" w:hAnsi="Arial" w:hint="default"/>
      </w:rPr>
    </w:lvl>
    <w:lvl w:ilvl="8" w:tplc="36829368" w:tentative="1">
      <w:start w:val="1"/>
      <w:numFmt w:val="bullet"/>
      <w:lvlText w:val="•"/>
      <w:lvlJc w:val="left"/>
      <w:pPr>
        <w:tabs>
          <w:tab w:val="num" w:pos="6480"/>
        </w:tabs>
        <w:ind w:left="6480" w:hanging="360"/>
      </w:pPr>
      <w:rPr>
        <w:rFonts w:ascii="Arial" w:hAnsi="Arial" w:hint="default"/>
      </w:rPr>
    </w:lvl>
  </w:abstractNum>
  <w:abstractNum w:abstractNumId="1">
    <w:nsid w:val="15AE5F37"/>
    <w:multiLevelType w:val="hybridMultilevel"/>
    <w:tmpl w:val="231C31AE"/>
    <w:lvl w:ilvl="0" w:tplc="286AC7C8">
      <w:start w:val="1"/>
      <w:numFmt w:val="bullet"/>
      <w:lvlText w:val="•"/>
      <w:lvlJc w:val="left"/>
      <w:pPr>
        <w:tabs>
          <w:tab w:val="num" w:pos="720"/>
        </w:tabs>
        <w:ind w:left="720" w:hanging="360"/>
      </w:pPr>
      <w:rPr>
        <w:rFonts w:ascii="Arial" w:hAnsi="Arial" w:hint="default"/>
      </w:rPr>
    </w:lvl>
    <w:lvl w:ilvl="1" w:tplc="C496477A" w:tentative="1">
      <w:start w:val="1"/>
      <w:numFmt w:val="bullet"/>
      <w:lvlText w:val="•"/>
      <w:lvlJc w:val="left"/>
      <w:pPr>
        <w:tabs>
          <w:tab w:val="num" w:pos="1440"/>
        </w:tabs>
        <w:ind w:left="1440" w:hanging="360"/>
      </w:pPr>
      <w:rPr>
        <w:rFonts w:ascii="Arial" w:hAnsi="Arial" w:hint="default"/>
      </w:rPr>
    </w:lvl>
    <w:lvl w:ilvl="2" w:tplc="90C8E528" w:tentative="1">
      <w:start w:val="1"/>
      <w:numFmt w:val="bullet"/>
      <w:lvlText w:val="•"/>
      <w:lvlJc w:val="left"/>
      <w:pPr>
        <w:tabs>
          <w:tab w:val="num" w:pos="2160"/>
        </w:tabs>
        <w:ind w:left="2160" w:hanging="360"/>
      </w:pPr>
      <w:rPr>
        <w:rFonts w:ascii="Arial" w:hAnsi="Arial" w:hint="default"/>
      </w:rPr>
    </w:lvl>
    <w:lvl w:ilvl="3" w:tplc="ADFAEE9E" w:tentative="1">
      <w:start w:val="1"/>
      <w:numFmt w:val="bullet"/>
      <w:lvlText w:val="•"/>
      <w:lvlJc w:val="left"/>
      <w:pPr>
        <w:tabs>
          <w:tab w:val="num" w:pos="2880"/>
        </w:tabs>
        <w:ind w:left="2880" w:hanging="360"/>
      </w:pPr>
      <w:rPr>
        <w:rFonts w:ascii="Arial" w:hAnsi="Arial" w:hint="default"/>
      </w:rPr>
    </w:lvl>
    <w:lvl w:ilvl="4" w:tplc="B2FE3FE2" w:tentative="1">
      <w:start w:val="1"/>
      <w:numFmt w:val="bullet"/>
      <w:lvlText w:val="•"/>
      <w:lvlJc w:val="left"/>
      <w:pPr>
        <w:tabs>
          <w:tab w:val="num" w:pos="3600"/>
        </w:tabs>
        <w:ind w:left="3600" w:hanging="360"/>
      </w:pPr>
      <w:rPr>
        <w:rFonts w:ascii="Arial" w:hAnsi="Arial" w:hint="default"/>
      </w:rPr>
    </w:lvl>
    <w:lvl w:ilvl="5" w:tplc="2ADE092E" w:tentative="1">
      <w:start w:val="1"/>
      <w:numFmt w:val="bullet"/>
      <w:lvlText w:val="•"/>
      <w:lvlJc w:val="left"/>
      <w:pPr>
        <w:tabs>
          <w:tab w:val="num" w:pos="4320"/>
        </w:tabs>
        <w:ind w:left="4320" w:hanging="360"/>
      </w:pPr>
      <w:rPr>
        <w:rFonts w:ascii="Arial" w:hAnsi="Arial" w:hint="default"/>
      </w:rPr>
    </w:lvl>
    <w:lvl w:ilvl="6" w:tplc="870C5F64" w:tentative="1">
      <w:start w:val="1"/>
      <w:numFmt w:val="bullet"/>
      <w:lvlText w:val="•"/>
      <w:lvlJc w:val="left"/>
      <w:pPr>
        <w:tabs>
          <w:tab w:val="num" w:pos="5040"/>
        </w:tabs>
        <w:ind w:left="5040" w:hanging="360"/>
      </w:pPr>
      <w:rPr>
        <w:rFonts w:ascii="Arial" w:hAnsi="Arial" w:hint="default"/>
      </w:rPr>
    </w:lvl>
    <w:lvl w:ilvl="7" w:tplc="11345712" w:tentative="1">
      <w:start w:val="1"/>
      <w:numFmt w:val="bullet"/>
      <w:lvlText w:val="•"/>
      <w:lvlJc w:val="left"/>
      <w:pPr>
        <w:tabs>
          <w:tab w:val="num" w:pos="5760"/>
        </w:tabs>
        <w:ind w:left="5760" w:hanging="360"/>
      </w:pPr>
      <w:rPr>
        <w:rFonts w:ascii="Arial" w:hAnsi="Arial" w:hint="default"/>
      </w:rPr>
    </w:lvl>
    <w:lvl w:ilvl="8" w:tplc="AD94BA5E" w:tentative="1">
      <w:start w:val="1"/>
      <w:numFmt w:val="bullet"/>
      <w:lvlText w:val="•"/>
      <w:lvlJc w:val="left"/>
      <w:pPr>
        <w:tabs>
          <w:tab w:val="num" w:pos="6480"/>
        </w:tabs>
        <w:ind w:left="6480" w:hanging="360"/>
      </w:pPr>
      <w:rPr>
        <w:rFonts w:ascii="Arial" w:hAnsi="Arial" w:hint="default"/>
      </w:rPr>
    </w:lvl>
  </w:abstractNum>
  <w:abstractNum w:abstractNumId="2">
    <w:nsid w:val="19D412D0"/>
    <w:multiLevelType w:val="hybridMultilevel"/>
    <w:tmpl w:val="CAFCD5F0"/>
    <w:lvl w:ilvl="0" w:tplc="D4A08C84">
      <w:start w:val="1"/>
      <w:numFmt w:val="bullet"/>
      <w:lvlText w:val="•"/>
      <w:lvlJc w:val="left"/>
      <w:pPr>
        <w:tabs>
          <w:tab w:val="num" w:pos="720"/>
        </w:tabs>
        <w:ind w:left="720" w:hanging="360"/>
      </w:pPr>
      <w:rPr>
        <w:rFonts w:ascii="Arial" w:hAnsi="Arial" w:hint="default"/>
      </w:rPr>
    </w:lvl>
    <w:lvl w:ilvl="1" w:tplc="12EAFFF4">
      <w:start w:val="1"/>
      <w:numFmt w:val="bullet"/>
      <w:lvlText w:val="•"/>
      <w:lvlJc w:val="left"/>
      <w:pPr>
        <w:tabs>
          <w:tab w:val="num" w:pos="1440"/>
        </w:tabs>
        <w:ind w:left="1440" w:hanging="360"/>
      </w:pPr>
      <w:rPr>
        <w:rFonts w:ascii="Arial" w:hAnsi="Arial" w:hint="default"/>
      </w:rPr>
    </w:lvl>
    <w:lvl w:ilvl="2" w:tplc="C13470A4">
      <w:numFmt w:val="bullet"/>
      <w:lvlText w:val="•"/>
      <w:lvlJc w:val="left"/>
      <w:pPr>
        <w:tabs>
          <w:tab w:val="num" w:pos="2160"/>
        </w:tabs>
        <w:ind w:left="2160" w:hanging="360"/>
      </w:pPr>
      <w:rPr>
        <w:rFonts w:ascii="Arial" w:hAnsi="Arial" w:hint="default"/>
      </w:rPr>
    </w:lvl>
    <w:lvl w:ilvl="3" w:tplc="E222B1FE" w:tentative="1">
      <w:start w:val="1"/>
      <w:numFmt w:val="bullet"/>
      <w:lvlText w:val="•"/>
      <w:lvlJc w:val="left"/>
      <w:pPr>
        <w:tabs>
          <w:tab w:val="num" w:pos="2880"/>
        </w:tabs>
        <w:ind w:left="2880" w:hanging="360"/>
      </w:pPr>
      <w:rPr>
        <w:rFonts w:ascii="Arial" w:hAnsi="Arial" w:hint="default"/>
      </w:rPr>
    </w:lvl>
    <w:lvl w:ilvl="4" w:tplc="E2162612" w:tentative="1">
      <w:start w:val="1"/>
      <w:numFmt w:val="bullet"/>
      <w:lvlText w:val="•"/>
      <w:lvlJc w:val="left"/>
      <w:pPr>
        <w:tabs>
          <w:tab w:val="num" w:pos="3600"/>
        </w:tabs>
        <w:ind w:left="3600" w:hanging="360"/>
      </w:pPr>
      <w:rPr>
        <w:rFonts w:ascii="Arial" w:hAnsi="Arial" w:hint="default"/>
      </w:rPr>
    </w:lvl>
    <w:lvl w:ilvl="5" w:tplc="D1F6528C" w:tentative="1">
      <w:start w:val="1"/>
      <w:numFmt w:val="bullet"/>
      <w:lvlText w:val="•"/>
      <w:lvlJc w:val="left"/>
      <w:pPr>
        <w:tabs>
          <w:tab w:val="num" w:pos="4320"/>
        </w:tabs>
        <w:ind w:left="4320" w:hanging="360"/>
      </w:pPr>
      <w:rPr>
        <w:rFonts w:ascii="Arial" w:hAnsi="Arial" w:hint="default"/>
      </w:rPr>
    </w:lvl>
    <w:lvl w:ilvl="6" w:tplc="44ACC584" w:tentative="1">
      <w:start w:val="1"/>
      <w:numFmt w:val="bullet"/>
      <w:lvlText w:val="•"/>
      <w:lvlJc w:val="left"/>
      <w:pPr>
        <w:tabs>
          <w:tab w:val="num" w:pos="5040"/>
        </w:tabs>
        <w:ind w:left="5040" w:hanging="360"/>
      </w:pPr>
      <w:rPr>
        <w:rFonts w:ascii="Arial" w:hAnsi="Arial" w:hint="default"/>
      </w:rPr>
    </w:lvl>
    <w:lvl w:ilvl="7" w:tplc="E572D120" w:tentative="1">
      <w:start w:val="1"/>
      <w:numFmt w:val="bullet"/>
      <w:lvlText w:val="•"/>
      <w:lvlJc w:val="left"/>
      <w:pPr>
        <w:tabs>
          <w:tab w:val="num" w:pos="5760"/>
        </w:tabs>
        <w:ind w:left="5760" w:hanging="360"/>
      </w:pPr>
      <w:rPr>
        <w:rFonts w:ascii="Arial" w:hAnsi="Arial" w:hint="default"/>
      </w:rPr>
    </w:lvl>
    <w:lvl w:ilvl="8" w:tplc="4732DCC6" w:tentative="1">
      <w:start w:val="1"/>
      <w:numFmt w:val="bullet"/>
      <w:lvlText w:val="•"/>
      <w:lvlJc w:val="left"/>
      <w:pPr>
        <w:tabs>
          <w:tab w:val="num" w:pos="6480"/>
        </w:tabs>
        <w:ind w:left="6480" w:hanging="360"/>
      </w:pPr>
      <w:rPr>
        <w:rFonts w:ascii="Arial" w:hAnsi="Arial" w:hint="default"/>
      </w:rPr>
    </w:lvl>
  </w:abstractNum>
  <w:abstractNum w:abstractNumId="3">
    <w:nsid w:val="1DC0099F"/>
    <w:multiLevelType w:val="hybridMultilevel"/>
    <w:tmpl w:val="93583088"/>
    <w:lvl w:ilvl="0" w:tplc="2A76518E">
      <w:start w:val="1"/>
      <w:numFmt w:val="bullet"/>
      <w:lvlText w:val="•"/>
      <w:lvlJc w:val="left"/>
      <w:pPr>
        <w:tabs>
          <w:tab w:val="num" w:pos="720"/>
        </w:tabs>
        <w:ind w:left="720" w:hanging="360"/>
      </w:pPr>
      <w:rPr>
        <w:rFonts w:ascii="Arial" w:hAnsi="Arial" w:hint="default"/>
      </w:rPr>
    </w:lvl>
    <w:lvl w:ilvl="1" w:tplc="3B60300A" w:tentative="1">
      <w:start w:val="1"/>
      <w:numFmt w:val="bullet"/>
      <w:lvlText w:val="•"/>
      <w:lvlJc w:val="left"/>
      <w:pPr>
        <w:tabs>
          <w:tab w:val="num" w:pos="1440"/>
        </w:tabs>
        <w:ind w:left="1440" w:hanging="360"/>
      </w:pPr>
      <w:rPr>
        <w:rFonts w:ascii="Arial" w:hAnsi="Arial" w:hint="default"/>
      </w:rPr>
    </w:lvl>
    <w:lvl w:ilvl="2" w:tplc="6964A8E4" w:tentative="1">
      <w:start w:val="1"/>
      <w:numFmt w:val="bullet"/>
      <w:lvlText w:val="•"/>
      <w:lvlJc w:val="left"/>
      <w:pPr>
        <w:tabs>
          <w:tab w:val="num" w:pos="2160"/>
        </w:tabs>
        <w:ind w:left="2160" w:hanging="360"/>
      </w:pPr>
      <w:rPr>
        <w:rFonts w:ascii="Arial" w:hAnsi="Arial" w:hint="default"/>
      </w:rPr>
    </w:lvl>
    <w:lvl w:ilvl="3" w:tplc="9BA0D700" w:tentative="1">
      <w:start w:val="1"/>
      <w:numFmt w:val="bullet"/>
      <w:lvlText w:val="•"/>
      <w:lvlJc w:val="left"/>
      <w:pPr>
        <w:tabs>
          <w:tab w:val="num" w:pos="2880"/>
        </w:tabs>
        <w:ind w:left="2880" w:hanging="360"/>
      </w:pPr>
      <w:rPr>
        <w:rFonts w:ascii="Arial" w:hAnsi="Arial" w:hint="default"/>
      </w:rPr>
    </w:lvl>
    <w:lvl w:ilvl="4" w:tplc="BCDCC738" w:tentative="1">
      <w:start w:val="1"/>
      <w:numFmt w:val="bullet"/>
      <w:lvlText w:val="•"/>
      <w:lvlJc w:val="left"/>
      <w:pPr>
        <w:tabs>
          <w:tab w:val="num" w:pos="3600"/>
        </w:tabs>
        <w:ind w:left="3600" w:hanging="360"/>
      </w:pPr>
      <w:rPr>
        <w:rFonts w:ascii="Arial" w:hAnsi="Arial" w:hint="default"/>
      </w:rPr>
    </w:lvl>
    <w:lvl w:ilvl="5" w:tplc="69A2F4C2" w:tentative="1">
      <w:start w:val="1"/>
      <w:numFmt w:val="bullet"/>
      <w:lvlText w:val="•"/>
      <w:lvlJc w:val="left"/>
      <w:pPr>
        <w:tabs>
          <w:tab w:val="num" w:pos="4320"/>
        </w:tabs>
        <w:ind w:left="4320" w:hanging="360"/>
      </w:pPr>
      <w:rPr>
        <w:rFonts w:ascii="Arial" w:hAnsi="Arial" w:hint="default"/>
      </w:rPr>
    </w:lvl>
    <w:lvl w:ilvl="6" w:tplc="6248DE94" w:tentative="1">
      <w:start w:val="1"/>
      <w:numFmt w:val="bullet"/>
      <w:lvlText w:val="•"/>
      <w:lvlJc w:val="left"/>
      <w:pPr>
        <w:tabs>
          <w:tab w:val="num" w:pos="5040"/>
        </w:tabs>
        <w:ind w:left="5040" w:hanging="360"/>
      </w:pPr>
      <w:rPr>
        <w:rFonts w:ascii="Arial" w:hAnsi="Arial" w:hint="default"/>
      </w:rPr>
    </w:lvl>
    <w:lvl w:ilvl="7" w:tplc="8506E15E" w:tentative="1">
      <w:start w:val="1"/>
      <w:numFmt w:val="bullet"/>
      <w:lvlText w:val="•"/>
      <w:lvlJc w:val="left"/>
      <w:pPr>
        <w:tabs>
          <w:tab w:val="num" w:pos="5760"/>
        </w:tabs>
        <w:ind w:left="5760" w:hanging="360"/>
      </w:pPr>
      <w:rPr>
        <w:rFonts w:ascii="Arial" w:hAnsi="Arial" w:hint="default"/>
      </w:rPr>
    </w:lvl>
    <w:lvl w:ilvl="8" w:tplc="7F24294E" w:tentative="1">
      <w:start w:val="1"/>
      <w:numFmt w:val="bullet"/>
      <w:lvlText w:val="•"/>
      <w:lvlJc w:val="left"/>
      <w:pPr>
        <w:tabs>
          <w:tab w:val="num" w:pos="6480"/>
        </w:tabs>
        <w:ind w:left="6480" w:hanging="360"/>
      </w:pPr>
      <w:rPr>
        <w:rFonts w:ascii="Arial" w:hAnsi="Arial" w:hint="default"/>
      </w:rPr>
    </w:lvl>
  </w:abstractNum>
  <w:abstractNum w:abstractNumId="4">
    <w:nsid w:val="20B577CA"/>
    <w:multiLevelType w:val="multilevel"/>
    <w:tmpl w:val="2A48840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D15DFE"/>
    <w:multiLevelType w:val="multilevel"/>
    <w:tmpl w:val="3E42BB60"/>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BC76FA8"/>
    <w:multiLevelType w:val="multilevel"/>
    <w:tmpl w:val="82E03B7C"/>
    <w:lvl w:ilvl="0">
      <w:start w:val="1"/>
      <w:numFmt w:val="decimal"/>
      <w:lvlText w:val="%1."/>
      <w:lvlJc w:val="left"/>
      <w:pPr>
        <w:ind w:left="450" w:hanging="360"/>
      </w:pPr>
      <w:rPr>
        <w:sz w:val="22"/>
        <w:szCs w:val="22"/>
      </w:rPr>
    </w:lvl>
    <w:lvl w:ilvl="1">
      <w:start w:val="1"/>
      <w:numFmt w:val="decimal"/>
      <w:lvlText w:val="%1.%2."/>
      <w:lvlJc w:val="left"/>
      <w:pPr>
        <w:ind w:left="857" w:hanging="432"/>
      </w:pPr>
      <w:rPr>
        <w:b/>
        <w:i w:val="0"/>
        <w:sz w:val="22"/>
        <w:szCs w:val="22"/>
      </w:r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7">
    <w:nsid w:val="413E21CA"/>
    <w:multiLevelType w:val="hybridMultilevel"/>
    <w:tmpl w:val="0A2478B4"/>
    <w:lvl w:ilvl="0" w:tplc="1BD4EF1C">
      <w:start w:val="1"/>
      <w:numFmt w:val="bullet"/>
      <w:lvlText w:val="•"/>
      <w:lvlJc w:val="left"/>
      <w:pPr>
        <w:tabs>
          <w:tab w:val="num" w:pos="720"/>
        </w:tabs>
        <w:ind w:left="720" w:hanging="360"/>
      </w:pPr>
      <w:rPr>
        <w:rFonts w:ascii="Arial" w:hAnsi="Arial" w:hint="default"/>
      </w:rPr>
    </w:lvl>
    <w:lvl w:ilvl="1" w:tplc="CDE20818" w:tentative="1">
      <w:start w:val="1"/>
      <w:numFmt w:val="bullet"/>
      <w:lvlText w:val="•"/>
      <w:lvlJc w:val="left"/>
      <w:pPr>
        <w:tabs>
          <w:tab w:val="num" w:pos="1440"/>
        </w:tabs>
        <w:ind w:left="1440" w:hanging="360"/>
      </w:pPr>
      <w:rPr>
        <w:rFonts w:ascii="Arial" w:hAnsi="Arial" w:hint="default"/>
      </w:rPr>
    </w:lvl>
    <w:lvl w:ilvl="2" w:tplc="F5C2D2F2" w:tentative="1">
      <w:start w:val="1"/>
      <w:numFmt w:val="bullet"/>
      <w:lvlText w:val="•"/>
      <w:lvlJc w:val="left"/>
      <w:pPr>
        <w:tabs>
          <w:tab w:val="num" w:pos="2160"/>
        </w:tabs>
        <w:ind w:left="2160" w:hanging="360"/>
      </w:pPr>
      <w:rPr>
        <w:rFonts w:ascii="Arial" w:hAnsi="Arial" w:hint="default"/>
      </w:rPr>
    </w:lvl>
    <w:lvl w:ilvl="3" w:tplc="12FCC988" w:tentative="1">
      <w:start w:val="1"/>
      <w:numFmt w:val="bullet"/>
      <w:lvlText w:val="•"/>
      <w:lvlJc w:val="left"/>
      <w:pPr>
        <w:tabs>
          <w:tab w:val="num" w:pos="2880"/>
        </w:tabs>
        <w:ind w:left="2880" w:hanging="360"/>
      </w:pPr>
      <w:rPr>
        <w:rFonts w:ascii="Arial" w:hAnsi="Arial" w:hint="default"/>
      </w:rPr>
    </w:lvl>
    <w:lvl w:ilvl="4" w:tplc="0A38622A" w:tentative="1">
      <w:start w:val="1"/>
      <w:numFmt w:val="bullet"/>
      <w:lvlText w:val="•"/>
      <w:lvlJc w:val="left"/>
      <w:pPr>
        <w:tabs>
          <w:tab w:val="num" w:pos="3600"/>
        </w:tabs>
        <w:ind w:left="3600" w:hanging="360"/>
      </w:pPr>
      <w:rPr>
        <w:rFonts w:ascii="Arial" w:hAnsi="Arial" w:hint="default"/>
      </w:rPr>
    </w:lvl>
    <w:lvl w:ilvl="5" w:tplc="70ACE34C" w:tentative="1">
      <w:start w:val="1"/>
      <w:numFmt w:val="bullet"/>
      <w:lvlText w:val="•"/>
      <w:lvlJc w:val="left"/>
      <w:pPr>
        <w:tabs>
          <w:tab w:val="num" w:pos="4320"/>
        </w:tabs>
        <w:ind w:left="4320" w:hanging="360"/>
      </w:pPr>
      <w:rPr>
        <w:rFonts w:ascii="Arial" w:hAnsi="Arial" w:hint="default"/>
      </w:rPr>
    </w:lvl>
    <w:lvl w:ilvl="6" w:tplc="97F89EEA" w:tentative="1">
      <w:start w:val="1"/>
      <w:numFmt w:val="bullet"/>
      <w:lvlText w:val="•"/>
      <w:lvlJc w:val="left"/>
      <w:pPr>
        <w:tabs>
          <w:tab w:val="num" w:pos="5040"/>
        </w:tabs>
        <w:ind w:left="5040" w:hanging="360"/>
      </w:pPr>
      <w:rPr>
        <w:rFonts w:ascii="Arial" w:hAnsi="Arial" w:hint="default"/>
      </w:rPr>
    </w:lvl>
    <w:lvl w:ilvl="7" w:tplc="0A2A4338" w:tentative="1">
      <w:start w:val="1"/>
      <w:numFmt w:val="bullet"/>
      <w:lvlText w:val="•"/>
      <w:lvlJc w:val="left"/>
      <w:pPr>
        <w:tabs>
          <w:tab w:val="num" w:pos="5760"/>
        </w:tabs>
        <w:ind w:left="5760" w:hanging="360"/>
      </w:pPr>
      <w:rPr>
        <w:rFonts w:ascii="Arial" w:hAnsi="Arial" w:hint="default"/>
      </w:rPr>
    </w:lvl>
    <w:lvl w:ilvl="8" w:tplc="26726AF6" w:tentative="1">
      <w:start w:val="1"/>
      <w:numFmt w:val="bullet"/>
      <w:lvlText w:val="•"/>
      <w:lvlJc w:val="left"/>
      <w:pPr>
        <w:tabs>
          <w:tab w:val="num" w:pos="6480"/>
        </w:tabs>
        <w:ind w:left="6480" w:hanging="360"/>
      </w:pPr>
      <w:rPr>
        <w:rFonts w:ascii="Arial" w:hAnsi="Arial" w:hint="default"/>
      </w:rPr>
    </w:lvl>
  </w:abstractNum>
  <w:abstractNum w:abstractNumId="8">
    <w:nsid w:val="457D214E"/>
    <w:multiLevelType w:val="hybridMultilevel"/>
    <w:tmpl w:val="E1226052"/>
    <w:lvl w:ilvl="0" w:tplc="B57E1836">
      <w:start w:val="1"/>
      <w:numFmt w:val="bullet"/>
      <w:lvlText w:val="•"/>
      <w:lvlJc w:val="left"/>
      <w:pPr>
        <w:tabs>
          <w:tab w:val="num" w:pos="720"/>
        </w:tabs>
        <w:ind w:left="720" w:hanging="360"/>
      </w:pPr>
      <w:rPr>
        <w:rFonts w:ascii="Arial" w:hAnsi="Arial" w:hint="default"/>
      </w:rPr>
    </w:lvl>
    <w:lvl w:ilvl="1" w:tplc="4F2A563C" w:tentative="1">
      <w:start w:val="1"/>
      <w:numFmt w:val="bullet"/>
      <w:lvlText w:val="•"/>
      <w:lvlJc w:val="left"/>
      <w:pPr>
        <w:tabs>
          <w:tab w:val="num" w:pos="1440"/>
        </w:tabs>
        <w:ind w:left="1440" w:hanging="360"/>
      </w:pPr>
      <w:rPr>
        <w:rFonts w:ascii="Arial" w:hAnsi="Arial" w:hint="default"/>
      </w:rPr>
    </w:lvl>
    <w:lvl w:ilvl="2" w:tplc="C00E4DA2" w:tentative="1">
      <w:start w:val="1"/>
      <w:numFmt w:val="bullet"/>
      <w:lvlText w:val="•"/>
      <w:lvlJc w:val="left"/>
      <w:pPr>
        <w:tabs>
          <w:tab w:val="num" w:pos="2160"/>
        </w:tabs>
        <w:ind w:left="2160" w:hanging="360"/>
      </w:pPr>
      <w:rPr>
        <w:rFonts w:ascii="Arial" w:hAnsi="Arial" w:hint="default"/>
      </w:rPr>
    </w:lvl>
    <w:lvl w:ilvl="3" w:tplc="90E05122" w:tentative="1">
      <w:start w:val="1"/>
      <w:numFmt w:val="bullet"/>
      <w:lvlText w:val="•"/>
      <w:lvlJc w:val="left"/>
      <w:pPr>
        <w:tabs>
          <w:tab w:val="num" w:pos="2880"/>
        </w:tabs>
        <w:ind w:left="2880" w:hanging="360"/>
      </w:pPr>
      <w:rPr>
        <w:rFonts w:ascii="Arial" w:hAnsi="Arial" w:hint="default"/>
      </w:rPr>
    </w:lvl>
    <w:lvl w:ilvl="4" w:tplc="1E1A4860" w:tentative="1">
      <w:start w:val="1"/>
      <w:numFmt w:val="bullet"/>
      <w:lvlText w:val="•"/>
      <w:lvlJc w:val="left"/>
      <w:pPr>
        <w:tabs>
          <w:tab w:val="num" w:pos="3600"/>
        </w:tabs>
        <w:ind w:left="3600" w:hanging="360"/>
      </w:pPr>
      <w:rPr>
        <w:rFonts w:ascii="Arial" w:hAnsi="Arial" w:hint="default"/>
      </w:rPr>
    </w:lvl>
    <w:lvl w:ilvl="5" w:tplc="DDDE20E8" w:tentative="1">
      <w:start w:val="1"/>
      <w:numFmt w:val="bullet"/>
      <w:lvlText w:val="•"/>
      <w:lvlJc w:val="left"/>
      <w:pPr>
        <w:tabs>
          <w:tab w:val="num" w:pos="4320"/>
        </w:tabs>
        <w:ind w:left="4320" w:hanging="360"/>
      </w:pPr>
      <w:rPr>
        <w:rFonts w:ascii="Arial" w:hAnsi="Arial" w:hint="default"/>
      </w:rPr>
    </w:lvl>
    <w:lvl w:ilvl="6" w:tplc="E9E69A12" w:tentative="1">
      <w:start w:val="1"/>
      <w:numFmt w:val="bullet"/>
      <w:lvlText w:val="•"/>
      <w:lvlJc w:val="left"/>
      <w:pPr>
        <w:tabs>
          <w:tab w:val="num" w:pos="5040"/>
        </w:tabs>
        <w:ind w:left="5040" w:hanging="360"/>
      </w:pPr>
      <w:rPr>
        <w:rFonts w:ascii="Arial" w:hAnsi="Arial" w:hint="default"/>
      </w:rPr>
    </w:lvl>
    <w:lvl w:ilvl="7" w:tplc="1A021A66" w:tentative="1">
      <w:start w:val="1"/>
      <w:numFmt w:val="bullet"/>
      <w:lvlText w:val="•"/>
      <w:lvlJc w:val="left"/>
      <w:pPr>
        <w:tabs>
          <w:tab w:val="num" w:pos="5760"/>
        </w:tabs>
        <w:ind w:left="5760" w:hanging="360"/>
      </w:pPr>
      <w:rPr>
        <w:rFonts w:ascii="Arial" w:hAnsi="Arial" w:hint="default"/>
      </w:rPr>
    </w:lvl>
    <w:lvl w:ilvl="8" w:tplc="285EE264" w:tentative="1">
      <w:start w:val="1"/>
      <w:numFmt w:val="bullet"/>
      <w:lvlText w:val="•"/>
      <w:lvlJc w:val="left"/>
      <w:pPr>
        <w:tabs>
          <w:tab w:val="num" w:pos="6480"/>
        </w:tabs>
        <w:ind w:left="6480" w:hanging="360"/>
      </w:pPr>
      <w:rPr>
        <w:rFonts w:ascii="Arial" w:hAnsi="Arial" w:hint="default"/>
      </w:rPr>
    </w:lvl>
  </w:abstractNum>
  <w:abstractNum w:abstractNumId="9">
    <w:nsid w:val="4DF85712"/>
    <w:multiLevelType w:val="hybridMultilevel"/>
    <w:tmpl w:val="16A05E4A"/>
    <w:lvl w:ilvl="0" w:tplc="A064AA20">
      <w:start w:val="1"/>
      <w:numFmt w:val="bullet"/>
      <w:lvlText w:val="·"/>
      <w:lvlJc w:val="left"/>
      <w:pPr>
        <w:ind w:left="720" w:hanging="360"/>
      </w:pPr>
      <w:rPr>
        <w:rFonts w:ascii="Symbol" w:hAnsi="Symbol" w:hint="default"/>
      </w:rPr>
    </w:lvl>
    <w:lvl w:ilvl="1" w:tplc="1C5A276C">
      <w:start w:val="1"/>
      <w:numFmt w:val="bullet"/>
      <w:lvlText w:val="o"/>
      <w:lvlJc w:val="left"/>
      <w:pPr>
        <w:ind w:left="1440" w:hanging="360"/>
      </w:pPr>
      <w:rPr>
        <w:rFonts w:ascii="Courier New" w:hAnsi="Courier New" w:hint="default"/>
      </w:rPr>
    </w:lvl>
    <w:lvl w:ilvl="2" w:tplc="DFFA1702">
      <w:start w:val="1"/>
      <w:numFmt w:val="bullet"/>
      <w:lvlText w:val=""/>
      <w:lvlJc w:val="left"/>
      <w:pPr>
        <w:ind w:left="2160" w:hanging="360"/>
      </w:pPr>
      <w:rPr>
        <w:rFonts w:ascii="Wingdings" w:hAnsi="Wingdings" w:hint="default"/>
      </w:rPr>
    </w:lvl>
    <w:lvl w:ilvl="3" w:tplc="2A5C688A">
      <w:start w:val="1"/>
      <w:numFmt w:val="bullet"/>
      <w:lvlText w:val=""/>
      <w:lvlJc w:val="left"/>
      <w:pPr>
        <w:ind w:left="2880" w:hanging="360"/>
      </w:pPr>
      <w:rPr>
        <w:rFonts w:ascii="Symbol" w:hAnsi="Symbol" w:hint="default"/>
      </w:rPr>
    </w:lvl>
    <w:lvl w:ilvl="4" w:tplc="F0208558">
      <w:start w:val="1"/>
      <w:numFmt w:val="bullet"/>
      <w:lvlText w:val="o"/>
      <w:lvlJc w:val="left"/>
      <w:pPr>
        <w:ind w:left="3600" w:hanging="360"/>
      </w:pPr>
      <w:rPr>
        <w:rFonts w:ascii="Courier New" w:hAnsi="Courier New" w:hint="default"/>
      </w:rPr>
    </w:lvl>
    <w:lvl w:ilvl="5" w:tplc="E3C0F1CC">
      <w:start w:val="1"/>
      <w:numFmt w:val="bullet"/>
      <w:lvlText w:val=""/>
      <w:lvlJc w:val="left"/>
      <w:pPr>
        <w:ind w:left="4320" w:hanging="360"/>
      </w:pPr>
      <w:rPr>
        <w:rFonts w:ascii="Wingdings" w:hAnsi="Wingdings" w:hint="default"/>
      </w:rPr>
    </w:lvl>
    <w:lvl w:ilvl="6" w:tplc="B82A97D8">
      <w:start w:val="1"/>
      <w:numFmt w:val="bullet"/>
      <w:lvlText w:val=""/>
      <w:lvlJc w:val="left"/>
      <w:pPr>
        <w:ind w:left="5040" w:hanging="360"/>
      </w:pPr>
      <w:rPr>
        <w:rFonts w:ascii="Symbol" w:hAnsi="Symbol" w:hint="default"/>
      </w:rPr>
    </w:lvl>
    <w:lvl w:ilvl="7" w:tplc="A92A4A9A">
      <w:start w:val="1"/>
      <w:numFmt w:val="bullet"/>
      <w:lvlText w:val="o"/>
      <w:lvlJc w:val="left"/>
      <w:pPr>
        <w:ind w:left="5760" w:hanging="360"/>
      </w:pPr>
      <w:rPr>
        <w:rFonts w:ascii="Courier New" w:hAnsi="Courier New" w:hint="default"/>
      </w:rPr>
    </w:lvl>
    <w:lvl w:ilvl="8" w:tplc="4E36E4CC">
      <w:start w:val="1"/>
      <w:numFmt w:val="bullet"/>
      <w:lvlText w:val=""/>
      <w:lvlJc w:val="left"/>
      <w:pPr>
        <w:ind w:left="6480" w:hanging="360"/>
      </w:pPr>
      <w:rPr>
        <w:rFonts w:ascii="Wingdings" w:hAnsi="Wingdings" w:hint="default"/>
      </w:rPr>
    </w:lvl>
  </w:abstractNum>
  <w:abstractNum w:abstractNumId="10">
    <w:nsid w:val="56776B36"/>
    <w:multiLevelType w:val="multilevel"/>
    <w:tmpl w:val="69AC7632"/>
    <w:lvl w:ilvl="0">
      <w:start w:val="1"/>
      <w:numFmt w:val="decimal"/>
      <w:lvlText w:val="%1."/>
      <w:lvlJc w:val="left"/>
      <w:pPr>
        <w:ind w:left="360" w:hanging="360"/>
      </w:pPr>
      <w:rPr>
        <w:b/>
        <w:bCs/>
      </w:rPr>
    </w:lvl>
    <w:lvl w:ilvl="1">
      <w:start w:val="1"/>
      <w:numFmt w:val="decimal"/>
      <w:isLgl/>
      <w:lvlText w:val="%1.%2."/>
      <w:lvlJc w:val="left"/>
      <w:pPr>
        <w:ind w:left="720" w:hanging="720"/>
      </w:pPr>
      <w:rPr>
        <w:b w:val="0"/>
        <w:bCs/>
      </w:rPr>
    </w:lvl>
    <w:lvl w:ilvl="2">
      <w:start w:val="1"/>
      <w:numFmt w:val="decimal"/>
      <w:isLgl/>
      <w:lvlText w:val="%1.%2.%3."/>
      <w:lvlJc w:val="left"/>
      <w:pPr>
        <w:ind w:left="720" w:hanging="720"/>
      </w:pPr>
      <w:rPr>
        <w:b w:val="0"/>
        <w:bCs w:val="0"/>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1">
    <w:nsid w:val="59FF4AEC"/>
    <w:multiLevelType w:val="multilevel"/>
    <w:tmpl w:val="47A29AE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CD21E1C"/>
    <w:multiLevelType w:val="hybridMultilevel"/>
    <w:tmpl w:val="85604A04"/>
    <w:lvl w:ilvl="0" w:tplc="F3ACA0CC">
      <w:start w:val="1"/>
      <w:numFmt w:val="bullet"/>
      <w:lvlText w:val="•"/>
      <w:lvlJc w:val="left"/>
      <w:pPr>
        <w:tabs>
          <w:tab w:val="num" w:pos="720"/>
        </w:tabs>
        <w:ind w:left="720" w:hanging="360"/>
      </w:pPr>
      <w:rPr>
        <w:rFonts w:ascii="Arial" w:hAnsi="Arial" w:hint="default"/>
      </w:rPr>
    </w:lvl>
    <w:lvl w:ilvl="1" w:tplc="2504853A" w:tentative="1">
      <w:start w:val="1"/>
      <w:numFmt w:val="bullet"/>
      <w:lvlText w:val="•"/>
      <w:lvlJc w:val="left"/>
      <w:pPr>
        <w:tabs>
          <w:tab w:val="num" w:pos="1440"/>
        </w:tabs>
        <w:ind w:left="1440" w:hanging="360"/>
      </w:pPr>
      <w:rPr>
        <w:rFonts w:ascii="Arial" w:hAnsi="Arial" w:hint="default"/>
      </w:rPr>
    </w:lvl>
    <w:lvl w:ilvl="2" w:tplc="69C4EA1E" w:tentative="1">
      <w:start w:val="1"/>
      <w:numFmt w:val="bullet"/>
      <w:lvlText w:val="•"/>
      <w:lvlJc w:val="left"/>
      <w:pPr>
        <w:tabs>
          <w:tab w:val="num" w:pos="2160"/>
        </w:tabs>
        <w:ind w:left="2160" w:hanging="360"/>
      </w:pPr>
      <w:rPr>
        <w:rFonts w:ascii="Arial" w:hAnsi="Arial" w:hint="default"/>
      </w:rPr>
    </w:lvl>
    <w:lvl w:ilvl="3" w:tplc="3708B1FA" w:tentative="1">
      <w:start w:val="1"/>
      <w:numFmt w:val="bullet"/>
      <w:lvlText w:val="•"/>
      <w:lvlJc w:val="left"/>
      <w:pPr>
        <w:tabs>
          <w:tab w:val="num" w:pos="2880"/>
        </w:tabs>
        <w:ind w:left="2880" w:hanging="360"/>
      </w:pPr>
      <w:rPr>
        <w:rFonts w:ascii="Arial" w:hAnsi="Arial" w:hint="default"/>
      </w:rPr>
    </w:lvl>
    <w:lvl w:ilvl="4" w:tplc="334C64E6" w:tentative="1">
      <w:start w:val="1"/>
      <w:numFmt w:val="bullet"/>
      <w:lvlText w:val="•"/>
      <w:lvlJc w:val="left"/>
      <w:pPr>
        <w:tabs>
          <w:tab w:val="num" w:pos="3600"/>
        </w:tabs>
        <w:ind w:left="3600" w:hanging="360"/>
      </w:pPr>
      <w:rPr>
        <w:rFonts w:ascii="Arial" w:hAnsi="Arial" w:hint="default"/>
      </w:rPr>
    </w:lvl>
    <w:lvl w:ilvl="5" w:tplc="4DEE328A" w:tentative="1">
      <w:start w:val="1"/>
      <w:numFmt w:val="bullet"/>
      <w:lvlText w:val="•"/>
      <w:lvlJc w:val="left"/>
      <w:pPr>
        <w:tabs>
          <w:tab w:val="num" w:pos="4320"/>
        </w:tabs>
        <w:ind w:left="4320" w:hanging="360"/>
      </w:pPr>
      <w:rPr>
        <w:rFonts w:ascii="Arial" w:hAnsi="Arial" w:hint="default"/>
      </w:rPr>
    </w:lvl>
    <w:lvl w:ilvl="6" w:tplc="622810F0" w:tentative="1">
      <w:start w:val="1"/>
      <w:numFmt w:val="bullet"/>
      <w:lvlText w:val="•"/>
      <w:lvlJc w:val="left"/>
      <w:pPr>
        <w:tabs>
          <w:tab w:val="num" w:pos="5040"/>
        </w:tabs>
        <w:ind w:left="5040" w:hanging="360"/>
      </w:pPr>
      <w:rPr>
        <w:rFonts w:ascii="Arial" w:hAnsi="Arial" w:hint="default"/>
      </w:rPr>
    </w:lvl>
    <w:lvl w:ilvl="7" w:tplc="2BACB262" w:tentative="1">
      <w:start w:val="1"/>
      <w:numFmt w:val="bullet"/>
      <w:lvlText w:val="•"/>
      <w:lvlJc w:val="left"/>
      <w:pPr>
        <w:tabs>
          <w:tab w:val="num" w:pos="5760"/>
        </w:tabs>
        <w:ind w:left="5760" w:hanging="360"/>
      </w:pPr>
      <w:rPr>
        <w:rFonts w:ascii="Arial" w:hAnsi="Arial" w:hint="default"/>
      </w:rPr>
    </w:lvl>
    <w:lvl w:ilvl="8" w:tplc="C8888306" w:tentative="1">
      <w:start w:val="1"/>
      <w:numFmt w:val="bullet"/>
      <w:lvlText w:val="•"/>
      <w:lvlJc w:val="left"/>
      <w:pPr>
        <w:tabs>
          <w:tab w:val="num" w:pos="6480"/>
        </w:tabs>
        <w:ind w:left="6480" w:hanging="360"/>
      </w:pPr>
      <w:rPr>
        <w:rFonts w:ascii="Arial" w:hAnsi="Arial" w:hint="default"/>
      </w:rPr>
    </w:lvl>
  </w:abstractNum>
  <w:abstractNum w:abstractNumId="13">
    <w:nsid w:val="603774BB"/>
    <w:multiLevelType w:val="hybridMultilevel"/>
    <w:tmpl w:val="F522D126"/>
    <w:lvl w:ilvl="0" w:tplc="3254312C">
      <w:start w:val="1"/>
      <w:numFmt w:val="bullet"/>
      <w:lvlText w:val="•"/>
      <w:lvlJc w:val="left"/>
      <w:pPr>
        <w:tabs>
          <w:tab w:val="num" w:pos="720"/>
        </w:tabs>
        <w:ind w:left="720" w:hanging="360"/>
      </w:pPr>
      <w:rPr>
        <w:rFonts w:ascii="Arial" w:hAnsi="Arial" w:hint="default"/>
      </w:rPr>
    </w:lvl>
    <w:lvl w:ilvl="1" w:tplc="DBCCC63A" w:tentative="1">
      <w:start w:val="1"/>
      <w:numFmt w:val="bullet"/>
      <w:lvlText w:val="•"/>
      <w:lvlJc w:val="left"/>
      <w:pPr>
        <w:tabs>
          <w:tab w:val="num" w:pos="1440"/>
        </w:tabs>
        <w:ind w:left="1440" w:hanging="360"/>
      </w:pPr>
      <w:rPr>
        <w:rFonts w:ascii="Arial" w:hAnsi="Arial" w:hint="default"/>
      </w:rPr>
    </w:lvl>
    <w:lvl w:ilvl="2" w:tplc="441EBD46" w:tentative="1">
      <w:start w:val="1"/>
      <w:numFmt w:val="bullet"/>
      <w:lvlText w:val="•"/>
      <w:lvlJc w:val="left"/>
      <w:pPr>
        <w:tabs>
          <w:tab w:val="num" w:pos="2160"/>
        </w:tabs>
        <w:ind w:left="2160" w:hanging="360"/>
      </w:pPr>
      <w:rPr>
        <w:rFonts w:ascii="Arial" w:hAnsi="Arial" w:hint="default"/>
      </w:rPr>
    </w:lvl>
    <w:lvl w:ilvl="3" w:tplc="C4AC83B6" w:tentative="1">
      <w:start w:val="1"/>
      <w:numFmt w:val="bullet"/>
      <w:lvlText w:val="•"/>
      <w:lvlJc w:val="left"/>
      <w:pPr>
        <w:tabs>
          <w:tab w:val="num" w:pos="2880"/>
        </w:tabs>
        <w:ind w:left="2880" w:hanging="360"/>
      </w:pPr>
      <w:rPr>
        <w:rFonts w:ascii="Arial" w:hAnsi="Arial" w:hint="default"/>
      </w:rPr>
    </w:lvl>
    <w:lvl w:ilvl="4" w:tplc="84648E20" w:tentative="1">
      <w:start w:val="1"/>
      <w:numFmt w:val="bullet"/>
      <w:lvlText w:val="•"/>
      <w:lvlJc w:val="left"/>
      <w:pPr>
        <w:tabs>
          <w:tab w:val="num" w:pos="3600"/>
        </w:tabs>
        <w:ind w:left="3600" w:hanging="360"/>
      </w:pPr>
      <w:rPr>
        <w:rFonts w:ascii="Arial" w:hAnsi="Arial" w:hint="default"/>
      </w:rPr>
    </w:lvl>
    <w:lvl w:ilvl="5" w:tplc="0BB8EDBC" w:tentative="1">
      <w:start w:val="1"/>
      <w:numFmt w:val="bullet"/>
      <w:lvlText w:val="•"/>
      <w:lvlJc w:val="left"/>
      <w:pPr>
        <w:tabs>
          <w:tab w:val="num" w:pos="4320"/>
        </w:tabs>
        <w:ind w:left="4320" w:hanging="360"/>
      </w:pPr>
      <w:rPr>
        <w:rFonts w:ascii="Arial" w:hAnsi="Arial" w:hint="default"/>
      </w:rPr>
    </w:lvl>
    <w:lvl w:ilvl="6" w:tplc="FAC28C60" w:tentative="1">
      <w:start w:val="1"/>
      <w:numFmt w:val="bullet"/>
      <w:lvlText w:val="•"/>
      <w:lvlJc w:val="left"/>
      <w:pPr>
        <w:tabs>
          <w:tab w:val="num" w:pos="5040"/>
        </w:tabs>
        <w:ind w:left="5040" w:hanging="360"/>
      </w:pPr>
      <w:rPr>
        <w:rFonts w:ascii="Arial" w:hAnsi="Arial" w:hint="default"/>
      </w:rPr>
    </w:lvl>
    <w:lvl w:ilvl="7" w:tplc="DEA626E6" w:tentative="1">
      <w:start w:val="1"/>
      <w:numFmt w:val="bullet"/>
      <w:lvlText w:val="•"/>
      <w:lvlJc w:val="left"/>
      <w:pPr>
        <w:tabs>
          <w:tab w:val="num" w:pos="5760"/>
        </w:tabs>
        <w:ind w:left="5760" w:hanging="360"/>
      </w:pPr>
      <w:rPr>
        <w:rFonts w:ascii="Arial" w:hAnsi="Arial" w:hint="default"/>
      </w:rPr>
    </w:lvl>
    <w:lvl w:ilvl="8" w:tplc="C10C768C" w:tentative="1">
      <w:start w:val="1"/>
      <w:numFmt w:val="bullet"/>
      <w:lvlText w:val="•"/>
      <w:lvlJc w:val="left"/>
      <w:pPr>
        <w:tabs>
          <w:tab w:val="num" w:pos="6480"/>
        </w:tabs>
        <w:ind w:left="6480" w:hanging="360"/>
      </w:pPr>
      <w:rPr>
        <w:rFonts w:ascii="Arial" w:hAnsi="Arial" w:hint="default"/>
      </w:rPr>
    </w:lvl>
  </w:abstractNum>
  <w:abstractNum w:abstractNumId="14">
    <w:nsid w:val="62E70A7B"/>
    <w:multiLevelType w:val="hybridMultilevel"/>
    <w:tmpl w:val="A3B4C890"/>
    <w:lvl w:ilvl="0" w:tplc="D3CA829E">
      <w:start w:val="1"/>
      <w:numFmt w:val="bullet"/>
      <w:lvlText w:val="•"/>
      <w:lvlJc w:val="left"/>
      <w:pPr>
        <w:tabs>
          <w:tab w:val="num" w:pos="720"/>
        </w:tabs>
        <w:ind w:left="720" w:hanging="360"/>
      </w:pPr>
      <w:rPr>
        <w:rFonts w:ascii="Arial" w:hAnsi="Arial" w:hint="default"/>
      </w:rPr>
    </w:lvl>
    <w:lvl w:ilvl="1" w:tplc="455E779C" w:tentative="1">
      <w:start w:val="1"/>
      <w:numFmt w:val="bullet"/>
      <w:lvlText w:val="•"/>
      <w:lvlJc w:val="left"/>
      <w:pPr>
        <w:tabs>
          <w:tab w:val="num" w:pos="1440"/>
        </w:tabs>
        <w:ind w:left="1440" w:hanging="360"/>
      </w:pPr>
      <w:rPr>
        <w:rFonts w:ascii="Arial" w:hAnsi="Arial" w:hint="default"/>
      </w:rPr>
    </w:lvl>
    <w:lvl w:ilvl="2" w:tplc="161C7E9E" w:tentative="1">
      <w:start w:val="1"/>
      <w:numFmt w:val="bullet"/>
      <w:lvlText w:val="•"/>
      <w:lvlJc w:val="left"/>
      <w:pPr>
        <w:tabs>
          <w:tab w:val="num" w:pos="2160"/>
        </w:tabs>
        <w:ind w:left="2160" w:hanging="360"/>
      </w:pPr>
      <w:rPr>
        <w:rFonts w:ascii="Arial" w:hAnsi="Arial" w:hint="default"/>
      </w:rPr>
    </w:lvl>
    <w:lvl w:ilvl="3" w:tplc="026C653A" w:tentative="1">
      <w:start w:val="1"/>
      <w:numFmt w:val="bullet"/>
      <w:lvlText w:val="•"/>
      <w:lvlJc w:val="left"/>
      <w:pPr>
        <w:tabs>
          <w:tab w:val="num" w:pos="2880"/>
        </w:tabs>
        <w:ind w:left="2880" w:hanging="360"/>
      </w:pPr>
      <w:rPr>
        <w:rFonts w:ascii="Arial" w:hAnsi="Arial" w:hint="default"/>
      </w:rPr>
    </w:lvl>
    <w:lvl w:ilvl="4" w:tplc="DC346612" w:tentative="1">
      <w:start w:val="1"/>
      <w:numFmt w:val="bullet"/>
      <w:lvlText w:val="•"/>
      <w:lvlJc w:val="left"/>
      <w:pPr>
        <w:tabs>
          <w:tab w:val="num" w:pos="3600"/>
        </w:tabs>
        <w:ind w:left="3600" w:hanging="360"/>
      </w:pPr>
      <w:rPr>
        <w:rFonts w:ascii="Arial" w:hAnsi="Arial" w:hint="default"/>
      </w:rPr>
    </w:lvl>
    <w:lvl w:ilvl="5" w:tplc="3738E1F8" w:tentative="1">
      <w:start w:val="1"/>
      <w:numFmt w:val="bullet"/>
      <w:lvlText w:val="•"/>
      <w:lvlJc w:val="left"/>
      <w:pPr>
        <w:tabs>
          <w:tab w:val="num" w:pos="4320"/>
        </w:tabs>
        <w:ind w:left="4320" w:hanging="360"/>
      </w:pPr>
      <w:rPr>
        <w:rFonts w:ascii="Arial" w:hAnsi="Arial" w:hint="default"/>
      </w:rPr>
    </w:lvl>
    <w:lvl w:ilvl="6" w:tplc="A85C52F2" w:tentative="1">
      <w:start w:val="1"/>
      <w:numFmt w:val="bullet"/>
      <w:lvlText w:val="•"/>
      <w:lvlJc w:val="left"/>
      <w:pPr>
        <w:tabs>
          <w:tab w:val="num" w:pos="5040"/>
        </w:tabs>
        <w:ind w:left="5040" w:hanging="360"/>
      </w:pPr>
      <w:rPr>
        <w:rFonts w:ascii="Arial" w:hAnsi="Arial" w:hint="default"/>
      </w:rPr>
    </w:lvl>
    <w:lvl w:ilvl="7" w:tplc="6B483CE8" w:tentative="1">
      <w:start w:val="1"/>
      <w:numFmt w:val="bullet"/>
      <w:lvlText w:val="•"/>
      <w:lvlJc w:val="left"/>
      <w:pPr>
        <w:tabs>
          <w:tab w:val="num" w:pos="5760"/>
        </w:tabs>
        <w:ind w:left="5760" w:hanging="360"/>
      </w:pPr>
      <w:rPr>
        <w:rFonts w:ascii="Arial" w:hAnsi="Arial" w:hint="default"/>
      </w:rPr>
    </w:lvl>
    <w:lvl w:ilvl="8" w:tplc="EEF0FEEE" w:tentative="1">
      <w:start w:val="1"/>
      <w:numFmt w:val="bullet"/>
      <w:lvlText w:val="•"/>
      <w:lvlJc w:val="left"/>
      <w:pPr>
        <w:tabs>
          <w:tab w:val="num" w:pos="6480"/>
        </w:tabs>
        <w:ind w:left="6480" w:hanging="360"/>
      </w:pPr>
      <w:rPr>
        <w:rFonts w:ascii="Arial" w:hAnsi="Arial" w:hint="default"/>
      </w:rPr>
    </w:lvl>
  </w:abstractNum>
  <w:abstractNum w:abstractNumId="15">
    <w:nsid w:val="66620D3E"/>
    <w:multiLevelType w:val="hybridMultilevel"/>
    <w:tmpl w:val="6730FFF6"/>
    <w:lvl w:ilvl="0" w:tplc="33EAFC72">
      <w:start w:val="1"/>
      <w:numFmt w:val="bullet"/>
      <w:lvlText w:val="•"/>
      <w:lvlJc w:val="left"/>
      <w:pPr>
        <w:tabs>
          <w:tab w:val="num" w:pos="720"/>
        </w:tabs>
        <w:ind w:left="720" w:hanging="360"/>
      </w:pPr>
      <w:rPr>
        <w:rFonts w:ascii="Arial" w:hAnsi="Arial" w:hint="default"/>
      </w:rPr>
    </w:lvl>
    <w:lvl w:ilvl="1" w:tplc="553AE75E" w:tentative="1">
      <w:start w:val="1"/>
      <w:numFmt w:val="bullet"/>
      <w:lvlText w:val="•"/>
      <w:lvlJc w:val="left"/>
      <w:pPr>
        <w:tabs>
          <w:tab w:val="num" w:pos="1440"/>
        </w:tabs>
        <w:ind w:left="1440" w:hanging="360"/>
      </w:pPr>
      <w:rPr>
        <w:rFonts w:ascii="Arial" w:hAnsi="Arial" w:hint="default"/>
      </w:rPr>
    </w:lvl>
    <w:lvl w:ilvl="2" w:tplc="877E6890" w:tentative="1">
      <w:start w:val="1"/>
      <w:numFmt w:val="bullet"/>
      <w:lvlText w:val="•"/>
      <w:lvlJc w:val="left"/>
      <w:pPr>
        <w:tabs>
          <w:tab w:val="num" w:pos="2160"/>
        </w:tabs>
        <w:ind w:left="2160" w:hanging="360"/>
      </w:pPr>
      <w:rPr>
        <w:rFonts w:ascii="Arial" w:hAnsi="Arial" w:hint="default"/>
      </w:rPr>
    </w:lvl>
    <w:lvl w:ilvl="3" w:tplc="DD0A7616" w:tentative="1">
      <w:start w:val="1"/>
      <w:numFmt w:val="bullet"/>
      <w:lvlText w:val="•"/>
      <w:lvlJc w:val="left"/>
      <w:pPr>
        <w:tabs>
          <w:tab w:val="num" w:pos="2880"/>
        </w:tabs>
        <w:ind w:left="2880" w:hanging="360"/>
      </w:pPr>
      <w:rPr>
        <w:rFonts w:ascii="Arial" w:hAnsi="Arial" w:hint="default"/>
      </w:rPr>
    </w:lvl>
    <w:lvl w:ilvl="4" w:tplc="C7523EC4" w:tentative="1">
      <w:start w:val="1"/>
      <w:numFmt w:val="bullet"/>
      <w:lvlText w:val="•"/>
      <w:lvlJc w:val="left"/>
      <w:pPr>
        <w:tabs>
          <w:tab w:val="num" w:pos="3600"/>
        </w:tabs>
        <w:ind w:left="3600" w:hanging="360"/>
      </w:pPr>
      <w:rPr>
        <w:rFonts w:ascii="Arial" w:hAnsi="Arial" w:hint="default"/>
      </w:rPr>
    </w:lvl>
    <w:lvl w:ilvl="5" w:tplc="75D4C7FA" w:tentative="1">
      <w:start w:val="1"/>
      <w:numFmt w:val="bullet"/>
      <w:lvlText w:val="•"/>
      <w:lvlJc w:val="left"/>
      <w:pPr>
        <w:tabs>
          <w:tab w:val="num" w:pos="4320"/>
        </w:tabs>
        <w:ind w:left="4320" w:hanging="360"/>
      </w:pPr>
      <w:rPr>
        <w:rFonts w:ascii="Arial" w:hAnsi="Arial" w:hint="default"/>
      </w:rPr>
    </w:lvl>
    <w:lvl w:ilvl="6" w:tplc="5B8A4644" w:tentative="1">
      <w:start w:val="1"/>
      <w:numFmt w:val="bullet"/>
      <w:lvlText w:val="•"/>
      <w:lvlJc w:val="left"/>
      <w:pPr>
        <w:tabs>
          <w:tab w:val="num" w:pos="5040"/>
        </w:tabs>
        <w:ind w:left="5040" w:hanging="360"/>
      </w:pPr>
      <w:rPr>
        <w:rFonts w:ascii="Arial" w:hAnsi="Arial" w:hint="default"/>
      </w:rPr>
    </w:lvl>
    <w:lvl w:ilvl="7" w:tplc="14623776" w:tentative="1">
      <w:start w:val="1"/>
      <w:numFmt w:val="bullet"/>
      <w:lvlText w:val="•"/>
      <w:lvlJc w:val="left"/>
      <w:pPr>
        <w:tabs>
          <w:tab w:val="num" w:pos="5760"/>
        </w:tabs>
        <w:ind w:left="5760" w:hanging="360"/>
      </w:pPr>
      <w:rPr>
        <w:rFonts w:ascii="Arial" w:hAnsi="Arial" w:hint="default"/>
      </w:rPr>
    </w:lvl>
    <w:lvl w:ilvl="8" w:tplc="38742B48" w:tentative="1">
      <w:start w:val="1"/>
      <w:numFmt w:val="bullet"/>
      <w:lvlText w:val="•"/>
      <w:lvlJc w:val="left"/>
      <w:pPr>
        <w:tabs>
          <w:tab w:val="num" w:pos="6480"/>
        </w:tabs>
        <w:ind w:left="6480" w:hanging="360"/>
      </w:pPr>
      <w:rPr>
        <w:rFonts w:ascii="Arial" w:hAnsi="Arial" w:hint="default"/>
      </w:rPr>
    </w:lvl>
  </w:abstractNum>
  <w:abstractNum w:abstractNumId="16">
    <w:nsid w:val="6EDD569A"/>
    <w:multiLevelType w:val="hybridMultilevel"/>
    <w:tmpl w:val="0870FD56"/>
    <w:lvl w:ilvl="0" w:tplc="09EA8F8A">
      <w:start w:val="2022"/>
      <w:numFmt w:val="decimal"/>
      <w:lvlText w:val="%1"/>
      <w:lvlJc w:val="left"/>
      <w:pPr>
        <w:ind w:left="1360" w:hanging="6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F314603"/>
    <w:multiLevelType w:val="hybridMultilevel"/>
    <w:tmpl w:val="4F90D20E"/>
    <w:lvl w:ilvl="0" w:tplc="16EE1640">
      <w:start w:val="1"/>
      <w:numFmt w:val="bullet"/>
      <w:lvlText w:val="•"/>
      <w:lvlJc w:val="left"/>
      <w:pPr>
        <w:tabs>
          <w:tab w:val="num" w:pos="720"/>
        </w:tabs>
        <w:ind w:left="720" w:hanging="360"/>
      </w:pPr>
      <w:rPr>
        <w:rFonts w:ascii="Arial" w:hAnsi="Arial" w:hint="default"/>
      </w:rPr>
    </w:lvl>
    <w:lvl w:ilvl="1" w:tplc="156C13EA" w:tentative="1">
      <w:start w:val="1"/>
      <w:numFmt w:val="bullet"/>
      <w:lvlText w:val="•"/>
      <w:lvlJc w:val="left"/>
      <w:pPr>
        <w:tabs>
          <w:tab w:val="num" w:pos="1440"/>
        </w:tabs>
        <w:ind w:left="1440" w:hanging="360"/>
      </w:pPr>
      <w:rPr>
        <w:rFonts w:ascii="Arial" w:hAnsi="Arial" w:hint="default"/>
      </w:rPr>
    </w:lvl>
    <w:lvl w:ilvl="2" w:tplc="4C781C54" w:tentative="1">
      <w:start w:val="1"/>
      <w:numFmt w:val="bullet"/>
      <w:lvlText w:val="•"/>
      <w:lvlJc w:val="left"/>
      <w:pPr>
        <w:tabs>
          <w:tab w:val="num" w:pos="2160"/>
        </w:tabs>
        <w:ind w:left="2160" w:hanging="360"/>
      </w:pPr>
      <w:rPr>
        <w:rFonts w:ascii="Arial" w:hAnsi="Arial" w:hint="default"/>
      </w:rPr>
    </w:lvl>
    <w:lvl w:ilvl="3" w:tplc="28A6EC3A" w:tentative="1">
      <w:start w:val="1"/>
      <w:numFmt w:val="bullet"/>
      <w:lvlText w:val="•"/>
      <w:lvlJc w:val="left"/>
      <w:pPr>
        <w:tabs>
          <w:tab w:val="num" w:pos="2880"/>
        </w:tabs>
        <w:ind w:left="2880" w:hanging="360"/>
      </w:pPr>
      <w:rPr>
        <w:rFonts w:ascii="Arial" w:hAnsi="Arial" w:hint="default"/>
      </w:rPr>
    </w:lvl>
    <w:lvl w:ilvl="4" w:tplc="FEB03EFC" w:tentative="1">
      <w:start w:val="1"/>
      <w:numFmt w:val="bullet"/>
      <w:lvlText w:val="•"/>
      <w:lvlJc w:val="left"/>
      <w:pPr>
        <w:tabs>
          <w:tab w:val="num" w:pos="3600"/>
        </w:tabs>
        <w:ind w:left="3600" w:hanging="360"/>
      </w:pPr>
      <w:rPr>
        <w:rFonts w:ascii="Arial" w:hAnsi="Arial" w:hint="default"/>
      </w:rPr>
    </w:lvl>
    <w:lvl w:ilvl="5" w:tplc="AC00F5F8" w:tentative="1">
      <w:start w:val="1"/>
      <w:numFmt w:val="bullet"/>
      <w:lvlText w:val="•"/>
      <w:lvlJc w:val="left"/>
      <w:pPr>
        <w:tabs>
          <w:tab w:val="num" w:pos="4320"/>
        </w:tabs>
        <w:ind w:left="4320" w:hanging="360"/>
      </w:pPr>
      <w:rPr>
        <w:rFonts w:ascii="Arial" w:hAnsi="Arial" w:hint="default"/>
      </w:rPr>
    </w:lvl>
    <w:lvl w:ilvl="6" w:tplc="B666F186" w:tentative="1">
      <w:start w:val="1"/>
      <w:numFmt w:val="bullet"/>
      <w:lvlText w:val="•"/>
      <w:lvlJc w:val="left"/>
      <w:pPr>
        <w:tabs>
          <w:tab w:val="num" w:pos="5040"/>
        </w:tabs>
        <w:ind w:left="5040" w:hanging="360"/>
      </w:pPr>
      <w:rPr>
        <w:rFonts w:ascii="Arial" w:hAnsi="Arial" w:hint="default"/>
      </w:rPr>
    </w:lvl>
    <w:lvl w:ilvl="7" w:tplc="3876964E" w:tentative="1">
      <w:start w:val="1"/>
      <w:numFmt w:val="bullet"/>
      <w:lvlText w:val="•"/>
      <w:lvlJc w:val="left"/>
      <w:pPr>
        <w:tabs>
          <w:tab w:val="num" w:pos="5760"/>
        </w:tabs>
        <w:ind w:left="5760" w:hanging="360"/>
      </w:pPr>
      <w:rPr>
        <w:rFonts w:ascii="Arial" w:hAnsi="Arial" w:hint="default"/>
      </w:rPr>
    </w:lvl>
    <w:lvl w:ilvl="8" w:tplc="A0BE1BD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7"/>
  </w:num>
  <w:num w:numId="3">
    <w:abstractNumId w:val="15"/>
  </w:num>
  <w:num w:numId="4">
    <w:abstractNumId w:val="1"/>
  </w:num>
  <w:num w:numId="5">
    <w:abstractNumId w:val="13"/>
  </w:num>
  <w:num w:numId="6">
    <w:abstractNumId w:val="3"/>
  </w:num>
  <w:num w:numId="7">
    <w:abstractNumId w:val="12"/>
  </w:num>
  <w:num w:numId="8">
    <w:abstractNumId w:val="14"/>
  </w:num>
  <w:num w:numId="9">
    <w:abstractNumId w:val="8"/>
  </w:num>
  <w:num w:numId="10">
    <w:abstractNumId w:val="7"/>
  </w:num>
  <w:num w:numId="11">
    <w:abstractNumId w:val="0"/>
  </w:num>
  <w:num w:numId="12">
    <w:abstractNumId w:val="5"/>
  </w:num>
  <w:num w:numId="13">
    <w:abstractNumId w:val="4"/>
  </w:num>
  <w:num w:numId="14">
    <w:abstractNumId w:val="6"/>
  </w:num>
  <w:num w:numId="15">
    <w:abstractNumId w:val="16"/>
  </w:num>
  <w:num w:numId="16">
    <w:abstractNumId w:val="9"/>
  </w:num>
  <w:num w:numId="17">
    <w:abstractNumId w:val="1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C1AC5"/>
    <w:rsid w:val="00002E9F"/>
    <w:rsid w:val="000203F4"/>
    <w:rsid w:val="00030642"/>
    <w:rsid w:val="00061C10"/>
    <w:rsid w:val="0006237A"/>
    <w:rsid w:val="00077B91"/>
    <w:rsid w:val="00083BBC"/>
    <w:rsid w:val="000875A9"/>
    <w:rsid w:val="00097174"/>
    <w:rsid w:val="000C1EAE"/>
    <w:rsid w:val="000D44C3"/>
    <w:rsid w:val="00100FEF"/>
    <w:rsid w:val="0010181F"/>
    <w:rsid w:val="00104106"/>
    <w:rsid w:val="00113761"/>
    <w:rsid w:val="00120156"/>
    <w:rsid w:val="00125E1E"/>
    <w:rsid w:val="001432AB"/>
    <w:rsid w:val="00145880"/>
    <w:rsid w:val="001573BA"/>
    <w:rsid w:val="001826EA"/>
    <w:rsid w:val="0018332B"/>
    <w:rsid w:val="00186369"/>
    <w:rsid w:val="001875EC"/>
    <w:rsid w:val="001952BD"/>
    <w:rsid w:val="001A1581"/>
    <w:rsid w:val="001A5F97"/>
    <w:rsid w:val="001B6E9D"/>
    <w:rsid w:val="001B769E"/>
    <w:rsid w:val="001D3254"/>
    <w:rsid w:val="001E3DC8"/>
    <w:rsid w:val="00221A6C"/>
    <w:rsid w:val="00224637"/>
    <w:rsid w:val="0026056A"/>
    <w:rsid w:val="00262477"/>
    <w:rsid w:val="00271C27"/>
    <w:rsid w:val="002764DE"/>
    <w:rsid w:val="00277BF4"/>
    <w:rsid w:val="00292B54"/>
    <w:rsid w:val="002B5B87"/>
    <w:rsid w:val="002D0743"/>
    <w:rsid w:val="003357AB"/>
    <w:rsid w:val="00342FC5"/>
    <w:rsid w:val="0034334A"/>
    <w:rsid w:val="00350A13"/>
    <w:rsid w:val="00362B07"/>
    <w:rsid w:val="00390CCD"/>
    <w:rsid w:val="00393E2E"/>
    <w:rsid w:val="003947F6"/>
    <w:rsid w:val="003A1D7A"/>
    <w:rsid w:val="003B321A"/>
    <w:rsid w:val="003B5D15"/>
    <w:rsid w:val="003C3F83"/>
    <w:rsid w:val="003F204F"/>
    <w:rsid w:val="003F40F9"/>
    <w:rsid w:val="004010FF"/>
    <w:rsid w:val="004043BC"/>
    <w:rsid w:val="0042548D"/>
    <w:rsid w:val="0042584E"/>
    <w:rsid w:val="0043376F"/>
    <w:rsid w:val="004522B1"/>
    <w:rsid w:val="00467866"/>
    <w:rsid w:val="00467FEA"/>
    <w:rsid w:val="004A108F"/>
    <w:rsid w:val="004B2228"/>
    <w:rsid w:val="004B30A4"/>
    <w:rsid w:val="004B7D0C"/>
    <w:rsid w:val="004C1AC5"/>
    <w:rsid w:val="004D30CB"/>
    <w:rsid w:val="004E2071"/>
    <w:rsid w:val="004E5801"/>
    <w:rsid w:val="004E58EC"/>
    <w:rsid w:val="004F3F72"/>
    <w:rsid w:val="004F5DC7"/>
    <w:rsid w:val="004F634A"/>
    <w:rsid w:val="00502B4A"/>
    <w:rsid w:val="00510B03"/>
    <w:rsid w:val="00516C1D"/>
    <w:rsid w:val="005278CE"/>
    <w:rsid w:val="00535105"/>
    <w:rsid w:val="0055018D"/>
    <w:rsid w:val="00561560"/>
    <w:rsid w:val="005739B5"/>
    <w:rsid w:val="00573D73"/>
    <w:rsid w:val="00587B8C"/>
    <w:rsid w:val="005958AE"/>
    <w:rsid w:val="005A2437"/>
    <w:rsid w:val="005D1F5D"/>
    <w:rsid w:val="005E12B7"/>
    <w:rsid w:val="005F4AC9"/>
    <w:rsid w:val="00626969"/>
    <w:rsid w:val="00627088"/>
    <w:rsid w:val="00627D42"/>
    <w:rsid w:val="00651331"/>
    <w:rsid w:val="006538BD"/>
    <w:rsid w:val="006541E0"/>
    <w:rsid w:val="00656712"/>
    <w:rsid w:val="006732B0"/>
    <w:rsid w:val="00675012"/>
    <w:rsid w:val="0068152E"/>
    <w:rsid w:val="0069127E"/>
    <w:rsid w:val="00694FB9"/>
    <w:rsid w:val="006C295B"/>
    <w:rsid w:val="006E2925"/>
    <w:rsid w:val="006E3839"/>
    <w:rsid w:val="006E41D4"/>
    <w:rsid w:val="006F052D"/>
    <w:rsid w:val="006F5651"/>
    <w:rsid w:val="0070132A"/>
    <w:rsid w:val="00714412"/>
    <w:rsid w:val="00735653"/>
    <w:rsid w:val="00770B04"/>
    <w:rsid w:val="00787DEB"/>
    <w:rsid w:val="0079523C"/>
    <w:rsid w:val="00795D2E"/>
    <w:rsid w:val="007A2BA3"/>
    <w:rsid w:val="007C4568"/>
    <w:rsid w:val="007F0B70"/>
    <w:rsid w:val="007F27A8"/>
    <w:rsid w:val="007F3DF0"/>
    <w:rsid w:val="00807801"/>
    <w:rsid w:val="00807E70"/>
    <w:rsid w:val="00811C11"/>
    <w:rsid w:val="00813E8C"/>
    <w:rsid w:val="0083182F"/>
    <w:rsid w:val="008A42B5"/>
    <w:rsid w:val="008B2709"/>
    <w:rsid w:val="008B5107"/>
    <w:rsid w:val="008C5ED0"/>
    <w:rsid w:val="008D3C29"/>
    <w:rsid w:val="008D7F5F"/>
    <w:rsid w:val="008F0664"/>
    <w:rsid w:val="009075D8"/>
    <w:rsid w:val="00920A2B"/>
    <w:rsid w:val="00932336"/>
    <w:rsid w:val="0094635B"/>
    <w:rsid w:val="0097330B"/>
    <w:rsid w:val="00975084"/>
    <w:rsid w:val="00976FC9"/>
    <w:rsid w:val="009C1F04"/>
    <w:rsid w:val="009C5182"/>
    <w:rsid w:val="009C661F"/>
    <w:rsid w:val="009E254B"/>
    <w:rsid w:val="009E3D9D"/>
    <w:rsid w:val="009E45D5"/>
    <w:rsid w:val="009E6261"/>
    <w:rsid w:val="009F0A5B"/>
    <w:rsid w:val="00A0654D"/>
    <w:rsid w:val="00A238B7"/>
    <w:rsid w:val="00A325C1"/>
    <w:rsid w:val="00A600DE"/>
    <w:rsid w:val="00A66482"/>
    <w:rsid w:val="00A74BAA"/>
    <w:rsid w:val="00A948C0"/>
    <w:rsid w:val="00A97D1C"/>
    <w:rsid w:val="00AA79C5"/>
    <w:rsid w:val="00AB5C78"/>
    <w:rsid w:val="00AB7B5C"/>
    <w:rsid w:val="00AC1378"/>
    <w:rsid w:val="00AD0A08"/>
    <w:rsid w:val="00AF41B9"/>
    <w:rsid w:val="00B02683"/>
    <w:rsid w:val="00B20896"/>
    <w:rsid w:val="00B24BF0"/>
    <w:rsid w:val="00B321E6"/>
    <w:rsid w:val="00B3471F"/>
    <w:rsid w:val="00B46C85"/>
    <w:rsid w:val="00B51D7A"/>
    <w:rsid w:val="00B546D1"/>
    <w:rsid w:val="00B6096B"/>
    <w:rsid w:val="00B64C88"/>
    <w:rsid w:val="00B7081C"/>
    <w:rsid w:val="00B71D6C"/>
    <w:rsid w:val="00B84111"/>
    <w:rsid w:val="00B92F7D"/>
    <w:rsid w:val="00BA14E5"/>
    <w:rsid w:val="00BA21E0"/>
    <w:rsid w:val="00BC59EB"/>
    <w:rsid w:val="00BE15EE"/>
    <w:rsid w:val="00C1315C"/>
    <w:rsid w:val="00C268D3"/>
    <w:rsid w:val="00C42BFB"/>
    <w:rsid w:val="00C43C2B"/>
    <w:rsid w:val="00C504F4"/>
    <w:rsid w:val="00C81992"/>
    <w:rsid w:val="00C92F90"/>
    <w:rsid w:val="00C95E4E"/>
    <w:rsid w:val="00CA2AF9"/>
    <w:rsid w:val="00CA6B93"/>
    <w:rsid w:val="00CB00DA"/>
    <w:rsid w:val="00CB2F0A"/>
    <w:rsid w:val="00CB629F"/>
    <w:rsid w:val="00CF363A"/>
    <w:rsid w:val="00D12F3A"/>
    <w:rsid w:val="00D15ACB"/>
    <w:rsid w:val="00D20713"/>
    <w:rsid w:val="00D21D3F"/>
    <w:rsid w:val="00D30EC7"/>
    <w:rsid w:val="00D356A4"/>
    <w:rsid w:val="00D369D7"/>
    <w:rsid w:val="00D57EA7"/>
    <w:rsid w:val="00D71D60"/>
    <w:rsid w:val="00D73393"/>
    <w:rsid w:val="00D8014A"/>
    <w:rsid w:val="00D933F1"/>
    <w:rsid w:val="00D97903"/>
    <w:rsid w:val="00DB0E72"/>
    <w:rsid w:val="00DB4888"/>
    <w:rsid w:val="00DC7ADD"/>
    <w:rsid w:val="00DC7D0D"/>
    <w:rsid w:val="00DD378E"/>
    <w:rsid w:val="00DF4DE7"/>
    <w:rsid w:val="00E05901"/>
    <w:rsid w:val="00E50B1F"/>
    <w:rsid w:val="00E56CA3"/>
    <w:rsid w:val="00E727BA"/>
    <w:rsid w:val="00E875A3"/>
    <w:rsid w:val="00E87F72"/>
    <w:rsid w:val="00EA6A7E"/>
    <w:rsid w:val="00EB744D"/>
    <w:rsid w:val="00ED7B1F"/>
    <w:rsid w:val="00EF11E1"/>
    <w:rsid w:val="00EF7E1C"/>
    <w:rsid w:val="00F01803"/>
    <w:rsid w:val="00F04E9D"/>
    <w:rsid w:val="00F12883"/>
    <w:rsid w:val="00F14CEB"/>
    <w:rsid w:val="00F31FB4"/>
    <w:rsid w:val="00F42CA7"/>
    <w:rsid w:val="00F5177C"/>
    <w:rsid w:val="00F64460"/>
    <w:rsid w:val="00F7059D"/>
    <w:rsid w:val="00F86001"/>
    <w:rsid w:val="00FE0495"/>
    <w:rsid w:val="00FE501A"/>
    <w:rsid w:val="00FF0A09"/>
    <w:rsid w:val="00FF2639"/>
    <w:rsid w:val="00FF2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AC5"/>
  </w:style>
  <w:style w:type="paragraph" w:styleId="Heading1">
    <w:name w:val="heading 1"/>
    <w:basedOn w:val="Normal"/>
    <w:next w:val="Normal"/>
    <w:link w:val="Heading1Char"/>
    <w:uiPriority w:val="9"/>
    <w:qFormat/>
    <w:rsid w:val="00B347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5D15"/>
    <w:pPr>
      <w:ind w:left="720"/>
      <w:contextualSpacing/>
    </w:pPr>
    <w:rPr>
      <w:lang w:val="en-US"/>
    </w:rPr>
  </w:style>
  <w:style w:type="character" w:customStyle="1" w:styleId="ListParagraphChar">
    <w:name w:val="List Paragraph Char"/>
    <w:link w:val="ListParagraph"/>
    <w:uiPriority w:val="34"/>
    <w:locked/>
    <w:rsid w:val="004B30A4"/>
    <w:rPr>
      <w:lang w:val="en-US"/>
    </w:rPr>
  </w:style>
  <w:style w:type="paragraph" w:customStyle="1" w:styleId="4Comment">
    <w:name w:val="4.Comment"/>
    <w:basedOn w:val="ListParagraph"/>
    <w:link w:val="4CommentChar"/>
    <w:qFormat/>
    <w:rsid w:val="00B3471F"/>
    <w:pPr>
      <w:spacing w:after="0" w:line="276" w:lineRule="auto"/>
      <w:jc w:val="both"/>
    </w:pPr>
    <w:rPr>
      <w:rFonts w:ascii="Arial" w:hAnsi="Arial" w:cs="Arial"/>
      <w:szCs w:val="18"/>
    </w:rPr>
  </w:style>
  <w:style w:type="character" w:customStyle="1" w:styleId="4CommentChar">
    <w:name w:val="4.Comment Char"/>
    <w:basedOn w:val="ListParagraphChar"/>
    <w:link w:val="4Comment"/>
    <w:rsid w:val="00B3471F"/>
    <w:rPr>
      <w:rFonts w:ascii="Arial" w:hAnsi="Arial" w:cs="Arial"/>
      <w:szCs w:val="18"/>
      <w:lang w:val="en-US"/>
    </w:rPr>
  </w:style>
  <w:style w:type="paragraph" w:customStyle="1" w:styleId="1Section">
    <w:name w:val="1.Section"/>
    <w:basedOn w:val="Heading1"/>
    <w:link w:val="1SectionChar"/>
    <w:qFormat/>
    <w:rsid w:val="00B3471F"/>
    <w:pPr>
      <w:spacing w:before="480" w:line="240" w:lineRule="auto"/>
      <w:jc w:val="both"/>
    </w:pPr>
    <w:rPr>
      <w:rFonts w:ascii="Arial" w:hAnsi="Arial" w:cs="Arial"/>
      <w:b/>
      <w:bCs/>
      <w:color w:val="auto"/>
      <w:sz w:val="24"/>
      <w:szCs w:val="28"/>
      <w:lang w:val="en-US"/>
    </w:rPr>
  </w:style>
  <w:style w:type="character" w:customStyle="1" w:styleId="1SectionChar">
    <w:name w:val="1.Section Char"/>
    <w:basedOn w:val="ListParagraphChar"/>
    <w:link w:val="1Section"/>
    <w:rsid w:val="00B3471F"/>
    <w:rPr>
      <w:rFonts w:ascii="Arial" w:eastAsiaTheme="majorEastAsia" w:hAnsi="Arial" w:cs="Arial"/>
      <w:b/>
      <w:bCs/>
      <w:sz w:val="24"/>
      <w:szCs w:val="28"/>
      <w:lang w:val="en-US"/>
    </w:rPr>
  </w:style>
  <w:style w:type="paragraph" w:styleId="NoSpacing">
    <w:name w:val="No Spacing"/>
    <w:link w:val="NoSpacingChar"/>
    <w:uiPriority w:val="1"/>
    <w:qFormat/>
    <w:rsid w:val="00B3471F"/>
    <w:pPr>
      <w:spacing w:after="0" w:line="240" w:lineRule="auto"/>
    </w:pPr>
  </w:style>
  <w:style w:type="character" w:customStyle="1" w:styleId="NoSpacingChar">
    <w:name w:val="No Spacing Char"/>
    <w:link w:val="NoSpacing"/>
    <w:uiPriority w:val="1"/>
    <w:locked/>
    <w:rsid w:val="00B3471F"/>
  </w:style>
  <w:style w:type="character" w:customStyle="1" w:styleId="Heading1Char">
    <w:name w:val="Heading 1 Char"/>
    <w:basedOn w:val="DefaultParagraphFont"/>
    <w:link w:val="Heading1"/>
    <w:uiPriority w:val="9"/>
    <w:rsid w:val="00B3471F"/>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DefaultParagraphFont"/>
    <w:rsid w:val="00651331"/>
  </w:style>
  <w:style w:type="paragraph" w:styleId="Header">
    <w:name w:val="header"/>
    <w:basedOn w:val="Normal"/>
    <w:link w:val="HeaderChar"/>
    <w:uiPriority w:val="99"/>
    <w:unhideWhenUsed/>
    <w:rsid w:val="0065133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51331"/>
    <w:rPr>
      <w:lang w:val="en-US"/>
    </w:rPr>
  </w:style>
  <w:style w:type="paragraph" w:styleId="Footer">
    <w:name w:val="footer"/>
    <w:basedOn w:val="Normal"/>
    <w:link w:val="FooterChar"/>
    <w:uiPriority w:val="99"/>
    <w:unhideWhenUsed/>
    <w:rsid w:val="00F86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001"/>
  </w:style>
  <w:style w:type="paragraph" w:styleId="Revision">
    <w:name w:val="Revision"/>
    <w:hidden/>
    <w:uiPriority w:val="99"/>
    <w:semiHidden/>
    <w:rsid w:val="00807801"/>
    <w:pPr>
      <w:spacing w:after="0" w:line="240" w:lineRule="auto"/>
    </w:pPr>
  </w:style>
  <w:style w:type="character" w:styleId="CommentReference">
    <w:name w:val="annotation reference"/>
    <w:basedOn w:val="DefaultParagraphFont"/>
    <w:uiPriority w:val="99"/>
    <w:semiHidden/>
    <w:unhideWhenUsed/>
    <w:rsid w:val="00A97D1C"/>
    <w:rPr>
      <w:sz w:val="16"/>
      <w:szCs w:val="16"/>
    </w:rPr>
  </w:style>
  <w:style w:type="paragraph" w:styleId="CommentText">
    <w:name w:val="annotation text"/>
    <w:basedOn w:val="Normal"/>
    <w:link w:val="CommentTextChar"/>
    <w:uiPriority w:val="99"/>
    <w:unhideWhenUsed/>
    <w:rsid w:val="00A97D1C"/>
    <w:pPr>
      <w:spacing w:line="240" w:lineRule="auto"/>
    </w:pPr>
    <w:rPr>
      <w:sz w:val="20"/>
      <w:szCs w:val="20"/>
    </w:rPr>
  </w:style>
  <w:style w:type="character" w:customStyle="1" w:styleId="CommentTextChar">
    <w:name w:val="Comment Text Char"/>
    <w:basedOn w:val="DefaultParagraphFont"/>
    <w:link w:val="CommentText"/>
    <w:uiPriority w:val="99"/>
    <w:rsid w:val="00A97D1C"/>
    <w:rPr>
      <w:sz w:val="20"/>
      <w:szCs w:val="20"/>
    </w:rPr>
  </w:style>
  <w:style w:type="paragraph" w:styleId="CommentSubject">
    <w:name w:val="annotation subject"/>
    <w:basedOn w:val="CommentText"/>
    <w:next w:val="CommentText"/>
    <w:link w:val="CommentSubjectChar"/>
    <w:uiPriority w:val="99"/>
    <w:semiHidden/>
    <w:unhideWhenUsed/>
    <w:rsid w:val="00A97D1C"/>
    <w:rPr>
      <w:b/>
      <w:bCs/>
    </w:rPr>
  </w:style>
  <w:style w:type="character" w:customStyle="1" w:styleId="CommentSubjectChar">
    <w:name w:val="Comment Subject Char"/>
    <w:basedOn w:val="CommentTextChar"/>
    <w:link w:val="CommentSubject"/>
    <w:uiPriority w:val="99"/>
    <w:semiHidden/>
    <w:rsid w:val="00A97D1C"/>
    <w:rPr>
      <w:b/>
      <w:bCs/>
      <w:sz w:val="20"/>
      <w:szCs w:val="20"/>
    </w:rPr>
  </w:style>
  <w:style w:type="paragraph" w:styleId="BalloonText">
    <w:name w:val="Balloon Text"/>
    <w:basedOn w:val="Normal"/>
    <w:link w:val="BalloonTextChar"/>
    <w:uiPriority w:val="99"/>
    <w:semiHidden/>
    <w:unhideWhenUsed/>
    <w:rsid w:val="00AC1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37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5932257">
      <w:bodyDiv w:val="1"/>
      <w:marLeft w:val="0"/>
      <w:marRight w:val="0"/>
      <w:marTop w:val="0"/>
      <w:marBottom w:val="0"/>
      <w:divBdr>
        <w:top w:val="none" w:sz="0" w:space="0" w:color="auto"/>
        <w:left w:val="none" w:sz="0" w:space="0" w:color="auto"/>
        <w:bottom w:val="none" w:sz="0" w:space="0" w:color="auto"/>
        <w:right w:val="none" w:sz="0" w:space="0" w:color="auto"/>
      </w:divBdr>
    </w:div>
    <w:div w:id="205601596">
      <w:bodyDiv w:val="1"/>
      <w:marLeft w:val="0"/>
      <w:marRight w:val="0"/>
      <w:marTop w:val="0"/>
      <w:marBottom w:val="0"/>
      <w:divBdr>
        <w:top w:val="none" w:sz="0" w:space="0" w:color="auto"/>
        <w:left w:val="none" w:sz="0" w:space="0" w:color="auto"/>
        <w:bottom w:val="none" w:sz="0" w:space="0" w:color="auto"/>
        <w:right w:val="none" w:sz="0" w:space="0" w:color="auto"/>
      </w:divBdr>
      <w:divsChild>
        <w:div w:id="1920942660">
          <w:marLeft w:val="274"/>
          <w:marRight w:val="0"/>
          <w:marTop w:val="150"/>
          <w:marBottom w:val="0"/>
          <w:divBdr>
            <w:top w:val="none" w:sz="0" w:space="0" w:color="auto"/>
            <w:left w:val="none" w:sz="0" w:space="0" w:color="auto"/>
            <w:bottom w:val="none" w:sz="0" w:space="0" w:color="auto"/>
            <w:right w:val="none" w:sz="0" w:space="0" w:color="auto"/>
          </w:divBdr>
        </w:div>
        <w:div w:id="880215970">
          <w:marLeft w:val="274"/>
          <w:marRight w:val="0"/>
          <w:marTop w:val="150"/>
          <w:marBottom w:val="0"/>
          <w:divBdr>
            <w:top w:val="none" w:sz="0" w:space="0" w:color="auto"/>
            <w:left w:val="none" w:sz="0" w:space="0" w:color="auto"/>
            <w:bottom w:val="none" w:sz="0" w:space="0" w:color="auto"/>
            <w:right w:val="none" w:sz="0" w:space="0" w:color="auto"/>
          </w:divBdr>
        </w:div>
        <w:div w:id="1265454106">
          <w:marLeft w:val="274"/>
          <w:marRight w:val="0"/>
          <w:marTop w:val="150"/>
          <w:marBottom w:val="0"/>
          <w:divBdr>
            <w:top w:val="none" w:sz="0" w:space="0" w:color="auto"/>
            <w:left w:val="none" w:sz="0" w:space="0" w:color="auto"/>
            <w:bottom w:val="none" w:sz="0" w:space="0" w:color="auto"/>
            <w:right w:val="none" w:sz="0" w:space="0" w:color="auto"/>
          </w:divBdr>
        </w:div>
        <w:div w:id="1936983319">
          <w:marLeft w:val="274"/>
          <w:marRight w:val="0"/>
          <w:marTop w:val="150"/>
          <w:marBottom w:val="0"/>
          <w:divBdr>
            <w:top w:val="none" w:sz="0" w:space="0" w:color="auto"/>
            <w:left w:val="none" w:sz="0" w:space="0" w:color="auto"/>
            <w:bottom w:val="none" w:sz="0" w:space="0" w:color="auto"/>
            <w:right w:val="none" w:sz="0" w:space="0" w:color="auto"/>
          </w:divBdr>
        </w:div>
        <w:div w:id="817456342">
          <w:marLeft w:val="274"/>
          <w:marRight w:val="0"/>
          <w:marTop w:val="150"/>
          <w:marBottom w:val="0"/>
          <w:divBdr>
            <w:top w:val="none" w:sz="0" w:space="0" w:color="auto"/>
            <w:left w:val="none" w:sz="0" w:space="0" w:color="auto"/>
            <w:bottom w:val="none" w:sz="0" w:space="0" w:color="auto"/>
            <w:right w:val="none" w:sz="0" w:space="0" w:color="auto"/>
          </w:divBdr>
        </w:div>
      </w:divsChild>
    </w:div>
    <w:div w:id="254098721">
      <w:bodyDiv w:val="1"/>
      <w:marLeft w:val="0"/>
      <w:marRight w:val="0"/>
      <w:marTop w:val="0"/>
      <w:marBottom w:val="0"/>
      <w:divBdr>
        <w:top w:val="none" w:sz="0" w:space="0" w:color="auto"/>
        <w:left w:val="none" w:sz="0" w:space="0" w:color="auto"/>
        <w:bottom w:val="none" w:sz="0" w:space="0" w:color="auto"/>
        <w:right w:val="none" w:sz="0" w:space="0" w:color="auto"/>
      </w:divBdr>
    </w:div>
    <w:div w:id="383867052">
      <w:bodyDiv w:val="1"/>
      <w:marLeft w:val="0"/>
      <w:marRight w:val="0"/>
      <w:marTop w:val="0"/>
      <w:marBottom w:val="0"/>
      <w:divBdr>
        <w:top w:val="none" w:sz="0" w:space="0" w:color="auto"/>
        <w:left w:val="none" w:sz="0" w:space="0" w:color="auto"/>
        <w:bottom w:val="none" w:sz="0" w:space="0" w:color="auto"/>
        <w:right w:val="none" w:sz="0" w:space="0" w:color="auto"/>
      </w:divBdr>
      <w:divsChild>
        <w:div w:id="584152998">
          <w:marLeft w:val="274"/>
          <w:marRight w:val="0"/>
          <w:marTop w:val="150"/>
          <w:marBottom w:val="0"/>
          <w:divBdr>
            <w:top w:val="none" w:sz="0" w:space="0" w:color="auto"/>
            <w:left w:val="none" w:sz="0" w:space="0" w:color="auto"/>
            <w:bottom w:val="none" w:sz="0" w:space="0" w:color="auto"/>
            <w:right w:val="none" w:sz="0" w:space="0" w:color="auto"/>
          </w:divBdr>
        </w:div>
        <w:div w:id="2145928356">
          <w:marLeft w:val="274"/>
          <w:marRight w:val="0"/>
          <w:marTop w:val="150"/>
          <w:marBottom w:val="0"/>
          <w:divBdr>
            <w:top w:val="none" w:sz="0" w:space="0" w:color="auto"/>
            <w:left w:val="none" w:sz="0" w:space="0" w:color="auto"/>
            <w:bottom w:val="none" w:sz="0" w:space="0" w:color="auto"/>
            <w:right w:val="none" w:sz="0" w:space="0" w:color="auto"/>
          </w:divBdr>
        </w:div>
        <w:div w:id="1502963646">
          <w:marLeft w:val="274"/>
          <w:marRight w:val="0"/>
          <w:marTop w:val="150"/>
          <w:marBottom w:val="0"/>
          <w:divBdr>
            <w:top w:val="none" w:sz="0" w:space="0" w:color="auto"/>
            <w:left w:val="none" w:sz="0" w:space="0" w:color="auto"/>
            <w:bottom w:val="none" w:sz="0" w:space="0" w:color="auto"/>
            <w:right w:val="none" w:sz="0" w:space="0" w:color="auto"/>
          </w:divBdr>
        </w:div>
      </w:divsChild>
    </w:div>
    <w:div w:id="418137263">
      <w:bodyDiv w:val="1"/>
      <w:marLeft w:val="0"/>
      <w:marRight w:val="0"/>
      <w:marTop w:val="0"/>
      <w:marBottom w:val="0"/>
      <w:divBdr>
        <w:top w:val="none" w:sz="0" w:space="0" w:color="auto"/>
        <w:left w:val="none" w:sz="0" w:space="0" w:color="auto"/>
        <w:bottom w:val="none" w:sz="0" w:space="0" w:color="auto"/>
        <w:right w:val="none" w:sz="0" w:space="0" w:color="auto"/>
      </w:divBdr>
      <w:divsChild>
        <w:div w:id="1100370867">
          <w:marLeft w:val="274"/>
          <w:marRight w:val="0"/>
          <w:marTop w:val="150"/>
          <w:marBottom w:val="0"/>
          <w:divBdr>
            <w:top w:val="none" w:sz="0" w:space="0" w:color="auto"/>
            <w:left w:val="none" w:sz="0" w:space="0" w:color="auto"/>
            <w:bottom w:val="none" w:sz="0" w:space="0" w:color="auto"/>
            <w:right w:val="none" w:sz="0" w:space="0" w:color="auto"/>
          </w:divBdr>
        </w:div>
        <w:div w:id="1978146298">
          <w:marLeft w:val="274"/>
          <w:marRight w:val="0"/>
          <w:marTop w:val="150"/>
          <w:marBottom w:val="0"/>
          <w:divBdr>
            <w:top w:val="none" w:sz="0" w:space="0" w:color="auto"/>
            <w:left w:val="none" w:sz="0" w:space="0" w:color="auto"/>
            <w:bottom w:val="none" w:sz="0" w:space="0" w:color="auto"/>
            <w:right w:val="none" w:sz="0" w:space="0" w:color="auto"/>
          </w:divBdr>
        </w:div>
      </w:divsChild>
    </w:div>
    <w:div w:id="468594231">
      <w:bodyDiv w:val="1"/>
      <w:marLeft w:val="0"/>
      <w:marRight w:val="0"/>
      <w:marTop w:val="0"/>
      <w:marBottom w:val="0"/>
      <w:divBdr>
        <w:top w:val="none" w:sz="0" w:space="0" w:color="auto"/>
        <w:left w:val="none" w:sz="0" w:space="0" w:color="auto"/>
        <w:bottom w:val="none" w:sz="0" w:space="0" w:color="auto"/>
        <w:right w:val="none" w:sz="0" w:space="0" w:color="auto"/>
      </w:divBdr>
      <w:divsChild>
        <w:div w:id="1170412804">
          <w:marLeft w:val="274"/>
          <w:marRight w:val="0"/>
          <w:marTop w:val="150"/>
          <w:marBottom w:val="0"/>
          <w:divBdr>
            <w:top w:val="none" w:sz="0" w:space="0" w:color="auto"/>
            <w:left w:val="none" w:sz="0" w:space="0" w:color="auto"/>
            <w:bottom w:val="none" w:sz="0" w:space="0" w:color="auto"/>
            <w:right w:val="none" w:sz="0" w:space="0" w:color="auto"/>
          </w:divBdr>
        </w:div>
        <w:div w:id="958755522">
          <w:marLeft w:val="274"/>
          <w:marRight w:val="0"/>
          <w:marTop w:val="150"/>
          <w:marBottom w:val="0"/>
          <w:divBdr>
            <w:top w:val="none" w:sz="0" w:space="0" w:color="auto"/>
            <w:left w:val="none" w:sz="0" w:space="0" w:color="auto"/>
            <w:bottom w:val="none" w:sz="0" w:space="0" w:color="auto"/>
            <w:right w:val="none" w:sz="0" w:space="0" w:color="auto"/>
          </w:divBdr>
        </w:div>
        <w:div w:id="772214594">
          <w:marLeft w:val="274"/>
          <w:marRight w:val="0"/>
          <w:marTop w:val="150"/>
          <w:marBottom w:val="0"/>
          <w:divBdr>
            <w:top w:val="none" w:sz="0" w:space="0" w:color="auto"/>
            <w:left w:val="none" w:sz="0" w:space="0" w:color="auto"/>
            <w:bottom w:val="none" w:sz="0" w:space="0" w:color="auto"/>
            <w:right w:val="none" w:sz="0" w:space="0" w:color="auto"/>
          </w:divBdr>
        </w:div>
        <w:div w:id="1026445879">
          <w:marLeft w:val="274"/>
          <w:marRight w:val="0"/>
          <w:marTop w:val="150"/>
          <w:marBottom w:val="0"/>
          <w:divBdr>
            <w:top w:val="none" w:sz="0" w:space="0" w:color="auto"/>
            <w:left w:val="none" w:sz="0" w:space="0" w:color="auto"/>
            <w:bottom w:val="none" w:sz="0" w:space="0" w:color="auto"/>
            <w:right w:val="none" w:sz="0" w:space="0" w:color="auto"/>
          </w:divBdr>
        </w:div>
      </w:divsChild>
    </w:div>
    <w:div w:id="1123033816">
      <w:bodyDiv w:val="1"/>
      <w:marLeft w:val="0"/>
      <w:marRight w:val="0"/>
      <w:marTop w:val="0"/>
      <w:marBottom w:val="0"/>
      <w:divBdr>
        <w:top w:val="none" w:sz="0" w:space="0" w:color="auto"/>
        <w:left w:val="none" w:sz="0" w:space="0" w:color="auto"/>
        <w:bottom w:val="none" w:sz="0" w:space="0" w:color="auto"/>
        <w:right w:val="none" w:sz="0" w:space="0" w:color="auto"/>
      </w:divBdr>
      <w:divsChild>
        <w:div w:id="1281834441">
          <w:marLeft w:val="274"/>
          <w:marRight w:val="0"/>
          <w:marTop w:val="150"/>
          <w:marBottom w:val="0"/>
          <w:divBdr>
            <w:top w:val="none" w:sz="0" w:space="0" w:color="auto"/>
            <w:left w:val="none" w:sz="0" w:space="0" w:color="auto"/>
            <w:bottom w:val="none" w:sz="0" w:space="0" w:color="auto"/>
            <w:right w:val="none" w:sz="0" w:space="0" w:color="auto"/>
          </w:divBdr>
        </w:div>
        <w:div w:id="1129394498">
          <w:marLeft w:val="274"/>
          <w:marRight w:val="0"/>
          <w:marTop w:val="150"/>
          <w:marBottom w:val="0"/>
          <w:divBdr>
            <w:top w:val="none" w:sz="0" w:space="0" w:color="auto"/>
            <w:left w:val="none" w:sz="0" w:space="0" w:color="auto"/>
            <w:bottom w:val="none" w:sz="0" w:space="0" w:color="auto"/>
            <w:right w:val="none" w:sz="0" w:space="0" w:color="auto"/>
          </w:divBdr>
        </w:div>
        <w:div w:id="1812475732">
          <w:marLeft w:val="274"/>
          <w:marRight w:val="0"/>
          <w:marTop w:val="150"/>
          <w:marBottom w:val="0"/>
          <w:divBdr>
            <w:top w:val="none" w:sz="0" w:space="0" w:color="auto"/>
            <w:left w:val="none" w:sz="0" w:space="0" w:color="auto"/>
            <w:bottom w:val="none" w:sz="0" w:space="0" w:color="auto"/>
            <w:right w:val="none" w:sz="0" w:space="0" w:color="auto"/>
          </w:divBdr>
        </w:div>
      </w:divsChild>
    </w:div>
    <w:div w:id="1366176650">
      <w:bodyDiv w:val="1"/>
      <w:marLeft w:val="0"/>
      <w:marRight w:val="0"/>
      <w:marTop w:val="0"/>
      <w:marBottom w:val="0"/>
      <w:divBdr>
        <w:top w:val="none" w:sz="0" w:space="0" w:color="auto"/>
        <w:left w:val="none" w:sz="0" w:space="0" w:color="auto"/>
        <w:bottom w:val="none" w:sz="0" w:space="0" w:color="auto"/>
        <w:right w:val="none" w:sz="0" w:space="0" w:color="auto"/>
      </w:divBdr>
      <w:divsChild>
        <w:div w:id="2140802196">
          <w:marLeft w:val="274"/>
          <w:marRight w:val="0"/>
          <w:marTop w:val="150"/>
          <w:marBottom w:val="0"/>
          <w:divBdr>
            <w:top w:val="none" w:sz="0" w:space="0" w:color="auto"/>
            <w:left w:val="none" w:sz="0" w:space="0" w:color="auto"/>
            <w:bottom w:val="none" w:sz="0" w:space="0" w:color="auto"/>
            <w:right w:val="none" w:sz="0" w:space="0" w:color="auto"/>
          </w:divBdr>
        </w:div>
        <w:div w:id="405684480">
          <w:marLeft w:val="274"/>
          <w:marRight w:val="0"/>
          <w:marTop w:val="150"/>
          <w:marBottom w:val="0"/>
          <w:divBdr>
            <w:top w:val="none" w:sz="0" w:space="0" w:color="auto"/>
            <w:left w:val="none" w:sz="0" w:space="0" w:color="auto"/>
            <w:bottom w:val="none" w:sz="0" w:space="0" w:color="auto"/>
            <w:right w:val="none" w:sz="0" w:space="0" w:color="auto"/>
          </w:divBdr>
        </w:div>
        <w:div w:id="419063737">
          <w:marLeft w:val="274"/>
          <w:marRight w:val="0"/>
          <w:marTop w:val="150"/>
          <w:marBottom w:val="0"/>
          <w:divBdr>
            <w:top w:val="none" w:sz="0" w:space="0" w:color="auto"/>
            <w:left w:val="none" w:sz="0" w:space="0" w:color="auto"/>
            <w:bottom w:val="none" w:sz="0" w:space="0" w:color="auto"/>
            <w:right w:val="none" w:sz="0" w:space="0" w:color="auto"/>
          </w:divBdr>
        </w:div>
      </w:divsChild>
    </w:div>
    <w:div w:id="2050522015">
      <w:bodyDiv w:val="1"/>
      <w:marLeft w:val="0"/>
      <w:marRight w:val="0"/>
      <w:marTop w:val="0"/>
      <w:marBottom w:val="0"/>
      <w:divBdr>
        <w:top w:val="none" w:sz="0" w:space="0" w:color="auto"/>
        <w:left w:val="none" w:sz="0" w:space="0" w:color="auto"/>
        <w:bottom w:val="none" w:sz="0" w:space="0" w:color="auto"/>
        <w:right w:val="none" w:sz="0" w:space="0" w:color="auto"/>
      </w:divBdr>
      <w:divsChild>
        <w:div w:id="530995125">
          <w:marLeft w:val="274"/>
          <w:marRight w:val="0"/>
          <w:marTop w:val="150"/>
          <w:marBottom w:val="0"/>
          <w:divBdr>
            <w:top w:val="none" w:sz="0" w:space="0" w:color="auto"/>
            <w:left w:val="none" w:sz="0" w:space="0" w:color="auto"/>
            <w:bottom w:val="none" w:sz="0" w:space="0" w:color="auto"/>
            <w:right w:val="none" w:sz="0" w:space="0" w:color="auto"/>
          </w:divBdr>
        </w:div>
        <w:div w:id="195237914">
          <w:marLeft w:val="274"/>
          <w:marRight w:val="0"/>
          <w:marTop w:val="150"/>
          <w:marBottom w:val="0"/>
          <w:divBdr>
            <w:top w:val="none" w:sz="0" w:space="0" w:color="auto"/>
            <w:left w:val="none" w:sz="0" w:space="0" w:color="auto"/>
            <w:bottom w:val="none" w:sz="0" w:space="0" w:color="auto"/>
            <w:right w:val="none" w:sz="0" w:space="0" w:color="auto"/>
          </w:divBdr>
        </w:div>
        <w:div w:id="1668745178">
          <w:marLeft w:val="274"/>
          <w:marRight w:val="0"/>
          <w:marTop w:val="150"/>
          <w:marBottom w:val="0"/>
          <w:divBdr>
            <w:top w:val="none" w:sz="0" w:space="0" w:color="auto"/>
            <w:left w:val="none" w:sz="0" w:space="0" w:color="auto"/>
            <w:bottom w:val="none" w:sz="0" w:space="0" w:color="auto"/>
            <w:right w:val="none" w:sz="0" w:space="0" w:color="auto"/>
          </w:divBdr>
        </w:div>
        <w:div w:id="2098820680">
          <w:marLeft w:val="274"/>
          <w:marRight w:val="0"/>
          <w:marTop w:val="150"/>
          <w:marBottom w:val="0"/>
          <w:divBdr>
            <w:top w:val="none" w:sz="0" w:space="0" w:color="auto"/>
            <w:left w:val="none" w:sz="0" w:space="0" w:color="auto"/>
            <w:bottom w:val="none" w:sz="0" w:space="0" w:color="auto"/>
            <w:right w:val="none" w:sz="0" w:space="0" w:color="auto"/>
          </w:divBdr>
        </w:div>
        <w:div w:id="1147432510">
          <w:marLeft w:val="274"/>
          <w:marRight w:val="0"/>
          <w:marTop w:val="150"/>
          <w:marBottom w:val="0"/>
          <w:divBdr>
            <w:top w:val="none" w:sz="0" w:space="0" w:color="auto"/>
            <w:left w:val="none" w:sz="0" w:space="0" w:color="auto"/>
            <w:bottom w:val="none" w:sz="0" w:space="0" w:color="auto"/>
            <w:right w:val="none" w:sz="0" w:space="0" w:color="auto"/>
          </w:divBdr>
        </w:div>
      </w:divsChild>
    </w:div>
    <w:div w:id="2092966331">
      <w:bodyDiv w:val="1"/>
      <w:marLeft w:val="0"/>
      <w:marRight w:val="0"/>
      <w:marTop w:val="0"/>
      <w:marBottom w:val="0"/>
      <w:divBdr>
        <w:top w:val="none" w:sz="0" w:space="0" w:color="auto"/>
        <w:left w:val="none" w:sz="0" w:space="0" w:color="auto"/>
        <w:bottom w:val="none" w:sz="0" w:space="0" w:color="auto"/>
        <w:right w:val="none" w:sz="0" w:space="0" w:color="auto"/>
      </w:divBdr>
      <w:divsChild>
        <w:div w:id="471290645">
          <w:marLeft w:val="274"/>
          <w:marRight w:val="0"/>
          <w:marTop w:val="150"/>
          <w:marBottom w:val="0"/>
          <w:divBdr>
            <w:top w:val="none" w:sz="0" w:space="0" w:color="auto"/>
            <w:left w:val="none" w:sz="0" w:space="0" w:color="auto"/>
            <w:bottom w:val="none" w:sz="0" w:space="0" w:color="auto"/>
            <w:right w:val="none" w:sz="0" w:space="0" w:color="auto"/>
          </w:divBdr>
        </w:div>
        <w:div w:id="474612079">
          <w:marLeft w:val="274"/>
          <w:marRight w:val="0"/>
          <w:marTop w:val="150"/>
          <w:marBottom w:val="0"/>
          <w:divBdr>
            <w:top w:val="none" w:sz="0" w:space="0" w:color="auto"/>
            <w:left w:val="none" w:sz="0" w:space="0" w:color="auto"/>
            <w:bottom w:val="none" w:sz="0" w:space="0" w:color="auto"/>
            <w:right w:val="none" w:sz="0" w:space="0" w:color="auto"/>
          </w:divBdr>
        </w:div>
        <w:div w:id="1226332414">
          <w:marLeft w:val="274"/>
          <w:marRight w:val="0"/>
          <w:marTop w:val="150"/>
          <w:marBottom w:val="0"/>
          <w:divBdr>
            <w:top w:val="none" w:sz="0" w:space="0" w:color="auto"/>
            <w:left w:val="none" w:sz="0" w:space="0" w:color="auto"/>
            <w:bottom w:val="none" w:sz="0" w:space="0" w:color="auto"/>
            <w:right w:val="none" w:sz="0" w:space="0" w:color="auto"/>
          </w:divBdr>
        </w:div>
        <w:div w:id="985940649">
          <w:marLeft w:val="274"/>
          <w:marRight w:val="0"/>
          <w:marTop w:val="150"/>
          <w:marBottom w:val="0"/>
          <w:divBdr>
            <w:top w:val="none" w:sz="0" w:space="0" w:color="auto"/>
            <w:left w:val="none" w:sz="0" w:space="0" w:color="auto"/>
            <w:bottom w:val="none" w:sz="0" w:space="0" w:color="auto"/>
            <w:right w:val="none" w:sz="0" w:space="0" w:color="auto"/>
          </w:divBdr>
        </w:div>
        <w:div w:id="2102987620">
          <w:marLeft w:val="274"/>
          <w:marRight w:val="0"/>
          <w:marTop w:val="150"/>
          <w:marBottom w:val="0"/>
          <w:divBdr>
            <w:top w:val="none" w:sz="0" w:space="0" w:color="auto"/>
            <w:left w:val="none" w:sz="0" w:space="0" w:color="auto"/>
            <w:bottom w:val="none" w:sz="0" w:space="0" w:color="auto"/>
            <w:right w:val="none" w:sz="0" w:space="0" w:color="auto"/>
          </w:divBdr>
        </w:div>
        <w:div w:id="2119913160">
          <w:marLeft w:val="274"/>
          <w:marRight w:val="0"/>
          <w:marTop w:val="150"/>
          <w:marBottom w:val="0"/>
          <w:divBdr>
            <w:top w:val="none" w:sz="0" w:space="0" w:color="auto"/>
            <w:left w:val="none" w:sz="0" w:space="0" w:color="auto"/>
            <w:bottom w:val="none" w:sz="0" w:space="0" w:color="auto"/>
            <w:right w:val="none" w:sz="0" w:space="0" w:color="auto"/>
          </w:divBdr>
        </w:div>
      </w:divsChild>
    </w:div>
    <w:div w:id="2109891008">
      <w:bodyDiv w:val="1"/>
      <w:marLeft w:val="0"/>
      <w:marRight w:val="0"/>
      <w:marTop w:val="0"/>
      <w:marBottom w:val="0"/>
      <w:divBdr>
        <w:top w:val="none" w:sz="0" w:space="0" w:color="auto"/>
        <w:left w:val="none" w:sz="0" w:space="0" w:color="auto"/>
        <w:bottom w:val="none" w:sz="0" w:space="0" w:color="auto"/>
        <w:right w:val="none" w:sz="0" w:space="0" w:color="auto"/>
      </w:divBdr>
      <w:divsChild>
        <w:div w:id="18819336">
          <w:marLeft w:val="274"/>
          <w:marRight w:val="0"/>
          <w:marTop w:val="150"/>
          <w:marBottom w:val="0"/>
          <w:divBdr>
            <w:top w:val="none" w:sz="0" w:space="0" w:color="auto"/>
            <w:left w:val="none" w:sz="0" w:space="0" w:color="auto"/>
            <w:bottom w:val="none" w:sz="0" w:space="0" w:color="auto"/>
            <w:right w:val="none" w:sz="0" w:space="0" w:color="auto"/>
          </w:divBdr>
        </w:div>
        <w:div w:id="225654432">
          <w:marLeft w:val="274"/>
          <w:marRight w:val="0"/>
          <w:marTop w:val="150"/>
          <w:marBottom w:val="0"/>
          <w:divBdr>
            <w:top w:val="none" w:sz="0" w:space="0" w:color="auto"/>
            <w:left w:val="none" w:sz="0" w:space="0" w:color="auto"/>
            <w:bottom w:val="none" w:sz="0" w:space="0" w:color="auto"/>
            <w:right w:val="none" w:sz="0" w:space="0" w:color="auto"/>
          </w:divBdr>
        </w:div>
        <w:div w:id="134638816">
          <w:marLeft w:val="274"/>
          <w:marRight w:val="0"/>
          <w:marTop w:val="150"/>
          <w:marBottom w:val="0"/>
          <w:divBdr>
            <w:top w:val="none" w:sz="0" w:space="0" w:color="auto"/>
            <w:left w:val="none" w:sz="0" w:space="0" w:color="auto"/>
            <w:bottom w:val="none" w:sz="0" w:space="0" w:color="auto"/>
            <w:right w:val="none" w:sz="0" w:space="0" w:color="auto"/>
          </w:divBdr>
        </w:div>
        <w:div w:id="809446572">
          <w:marLeft w:val="274"/>
          <w:marRight w:val="0"/>
          <w:marTop w:val="150"/>
          <w:marBottom w:val="0"/>
          <w:divBdr>
            <w:top w:val="none" w:sz="0" w:space="0" w:color="auto"/>
            <w:left w:val="none" w:sz="0" w:space="0" w:color="auto"/>
            <w:bottom w:val="none" w:sz="0" w:space="0" w:color="auto"/>
            <w:right w:val="none" w:sz="0" w:space="0" w:color="auto"/>
          </w:divBdr>
        </w:div>
        <w:div w:id="952978120">
          <w:marLeft w:val="274"/>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User</cp:lastModifiedBy>
  <cp:revision>2</cp:revision>
  <cp:lastPrinted>2022-11-10T14:17:00Z</cp:lastPrinted>
  <dcterms:created xsi:type="dcterms:W3CDTF">2022-11-17T06:47:00Z</dcterms:created>
  <dcterms:modified xsi:type="dcterms:W3CDTF">2022-11-17T06:47:00Z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2022-11-11T13:50:13Z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27df4a0b-fe1e-4975-a0bb-313aa444af8a</vt:lpwstr>
  </property>
  <property fmtid="{D5CDD505-2E9C-101B-9397-08002B2CF9AE}" pid="8" name="MSIP_Label_93c4247e-447d-4732-af29-2e529a4288f1_ContentBits">
    <vt:lpwstr>0</vt:lpwstr>
  </property>
</Properties>
</file>