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85" w:rsidRPr="00AF3755" w:rsidRDefault="00AF3755" w:rsidP="00AF3755">
      <w:pPr>
        <w:spacing w:after="0" w:line="240" w:lineRule="auto"/>
        <w:rPr>
          <w:rFonts w:ascii="Arial" w:hAnsi="Arial" w:cs="Arial"/>
          <w:b/>
          <w:bCs/>
          <w:sz w:val="20"/>
          <w:szCs w:val="20"/>
        </w:rPr>
      </w:pPr>
      <w:r>
        <w:rPr>
          <w:rFonts w:ascii="Arial" w:hAnsi="Arial" w:cs="Arial"/>
          <w:b/>
          <w:bCs/>
          <w:sz w:val="20"/>
          <w:szCs w:val="20"/>
        </w:rPr>
        <w:t>Budgetary Review a</w:t>
      </w:r>
      <w:r w:rsidRPr="00AF3755">
        <w:rPr>
          <w:rFonts w:ascii="Arial" w:hAnsi="Arial" w:cs="Arial"/>
          <w:b/>
          <w:bCs/>
          <w:sz w:val="20"/>
          <w:szCs w:val="20"/>
        </w:rPr>
        <w:t>nd Recommendation Report (B</w:t>
      </w:r>
      <w:r>
        <w:rPr>
          <w:rFonts w:ascii="Arial" w:hAnsi="Arial" w:cs="Arial"/>
          <w:b/>
          <w:bCs/>
          <w:sz w:val="20"/>
          <w:szCs w:val="20"/>
        </w:rPr>
        <w:t>RRR) o</w:t>
      </w:r>
      <w:r w:rsidRPr="00AF3755">
        <w:rPr>
          <w:rFonts w:ascii="Arial" w:hAnsi="Arial" w:cs="Arial"/>
          <w:b/>
          <w:bCs/>
          <w:sz w:val="20"/>
          <w:szCs w:val="20"/>
        </w:rPr>
        <w:t>f the Portfolio Committee on Higher Edu</w:t>
      </w:r>
      <w:r>
        <w:rPr>
          <w:rFonts w:ascii="Arial" w:hAnsi="Arial" w:cs="Arial"/>
          <w:b/>
          <w:bCs/>
          <w:sz w:val="20"/>
          <w:szCs w:val="20"/>
        </w:rPr>
        <w:t>cation, Science and Innovation on the 2021/22 Annual Report of the Department o</w:t>
      </w:r>
      <w:r w:rsidRPr="00AF3755">
        <w:rPr>
          <w:rFonts w:ascii="Arial" w:hAnsi="Arial" w:cs="Arial"/>
          <w:b/>
          <w:bCs/>
          <w:sz w:val="20"/>
          <w:szCs w:val="20"/>
        </w:rPr>
        <w:t>f High</w:t>
      </w:r>
      <w:r>
        <w:rPr>
          <w:rFonts w:ascii="Arial" w:hAnsi="Arial" w:cs="Arial"/>
          <w:b/>
          <w:bCs/>
          <w:sz w:val="20"/>
          <w:szCs w:val="20"/>
        </w:rPr>
        <w:t>er Education and Training a</w:t>
      </w:r>
      <w:r w:rsidRPr="00AF3755">
        <w:rPr>
          <w:rFonts w:ascii="Arial" w:hAnsi="Arial" w:cs="Arial"/>
          <w:b/>
          <w:bCs/>
          <w:sz w:val="20"/>
          <w:szCs w:val="20"/>
        </w:rPr>
        <w:t>nd Entities, Dated 04 November 2022</w:t>
      </w:r>
      <w:r>
        <w:rPr>
          <w:rFonts w:ascii="Arial" w:hAnsi="Arial" w:cs="Arial"/>
          <w:b/>
          <w:bCs/>
          <w:sz w:val="20"/>
          <w:szCs w:val="20"/>
        </w:rPr>
        <w:br/>
      </w:r>
    </w:p>
    <w:p w:rsidR="000D658D" w:rsidRPr="00AF3755" w:rsidRDefault="000D658D" w:rsidP="00AF3755">
      <w:pPr>
        <w:spacing w:after="0" w:line="240" w:lineRule="auto"/>
        <w:rPr>
          <w:rFonts w:ascii="Arial" w:hAnsi="Arial" w:cs="Arial"/>
          <w:sz w:val="20"/>
          <w:szCs w:val="20"/>
        </w:rPr>
      </w:pPr>
      <w:r w:rsidRPr="00AF3755">
        <w:rPr>
          <w:rFonts w:ascii="Arial" w:hAnsi="Arial" w:cs="Arial"/>
          <w:sz w:val="20"/>
          <w:szCs w:val="20"/>
        </w:rPr>
        <w:t xml:space="preserve">The Portfolio Committee on Higher Education, Science and Innovation (hereinafter the Committee), having considered the 2021/22 financial and non-financial performance of the Department of Higher Education and Training (hereinafter the Department), </w:t>
      </w:r>
      <w:r w:rsidR="00E42865" w:rsidRPr="00AF3755">
        <w:rPr>
          <w:rFonts w:ascii="Arial" w:hAnsi="Arial" w:cs="Arial"/>
          <w:sz w:val="20"/>
          <w:szCs w:val="20"/>
        </w:rPr>
        <w:t xml:space="preserve">the </w:t>
      </w:r>
      <w:r w:rsidRPr="00AF3755">
        <w:rPr>
          <w:rFonts w:ascii="Arial" w:hAnsi="Arial" w:cs="Arial"/>
          <w:sz w:val="20"/>
          <w:szCs w:val="20"/>
        </w:rPr>
        <w:t xml:space="preserve">Quality Council for Trades and Occupations (QCTO), </w:t>
      </w:r>
      <w:r w:rsidR="00E42865" w:rsidRPr="00AF3755">
        <w:rPr>
          <w:rFonts w:ascii="Arial" w:hAnsi="Arial" w:cs="Arial"/>
          <w:sz w:val="20"/>
          <w:szCs w:val="20"/>
        </w:rPr>
        <w:t xml:space="preserve">the </w:t>
      </w:r>
      <w:r w:rsidRPr="00AF3755">
        <w:rPr>
          <w:rFonts w:ascii="Arial" w:hAnsi="Arial" w:cs="Arial"/>
          <w:sz w:val="20"/>
          <w:szCs w:val="20"/>
        </w:rPr>
        <w:t xml:space="preserve">South African Qualifications Authority (SAQA) and </w:t>
      </w:r>
      <w:r w:rsidR="00E42865" w:rsidRPr="00AF3755">
        <w:rPr>
          <w:rFonts w:ascii="Arial" w:hAnsi="Arial" w:cs="Arial"/>
          <w:sz w:val="20"/>
          <w:szCs w:val="20"/>
        </w:rPr>
        <w:t xml:space="preserve">the </w:t>
      </w:r>
      <w:r w:rsidRPr="00AF3755">
        <w:rPr>
          <w:rFonts w:ascii="Arial" w:hAnsi="Arial" w:cs="Arial"/>
          <w:sz w:val="20"/>
          <w:szCs w:val="20"/>
        </w:rPr>
        <w:t>Council on Higher Education (CHE</w:t>
      </w:r>
      <w:r w:rsidR="00585090" w:rsidRPr="00AF3755">
        <w:rPr>
          <w:rFonts w:ascii="Arial" w:hAnsi="Arial" w:cs="Arial"/>
          <w:sz w:val="20"/>
          <w:szCs w:val="20"/>
        </w:rPr>
        <w:t>)</w:t>
      </w:r>
      <w:r w:rsidR="00E42865" w:rsidRPr="00AF3755">
        <w:rPr>
          <w:rFonts w:ascii="Arial" w:hAnsi="Arial" w:cs="Arial"/>
          <w:sz w:val="20"/>
          <w:szCs w:val="20"/>
        </w:rPr>
        <w:t>,</w:t>
      </w:r>
      <w:r w:rsidRPr="00AF3755">
        <w:rPr>
          <w:rFonts w:ascii="Arial" w:hAnsi="Arial" w:cs="Arial"/>
          <w:sz w:val="20"/>
          <w:szCs w:val="20"/>
        </w:rPr>
        <w:t xml:space="preserve"> reports as follows:</w:t>
      </w:r>
    </w:p>
    <w:p w:rsidR="00C055B7" w:rsidRPr="00AF3755" w:rsidRDefault="00C055B7" w:rsidP="00AF3755">
      <w:pPr>
        <w:spacing w:after="0" w:line="240" w:lineRule="auto"/>
        <w:rPr>
          <w:rFonts w:ascii="Arial" w:hAnsi="Arial" w:cs="Arial"/>
          <w:sz w:val="20"/>
          <w:szCs w:val="20"/>
        </w:rPr>
      </w:pPr>
    </w:p>
    <w:p w:rsidR="00BF40F1" w:rsidRPr="00AF3755" w:rsidRDefault="00C055B7" w:rsidP="00AF3755">
      <w:pPr>
        <w:pStyle w:val="ListParagraph"/>
        <w:numPr>
          <w:ilvl w:val="0"/>
          <w:numId w:val="1"/>
        </w:numPr>
        <w:spacing w:after="0" w:line="240" w:lineRule="auto"/>
        <w:rPr>
          <w:rFonts w:ascii="Arial" w:hAnsi="Arial" w:cs="Arial"/>
          <w:b/>
          <w:sz w:val="20"/>
          <w:szCs w:val="20"/>
        </w:rPr>
      </w:pPr>
      <w:r w:rsidRPr="00AF3755">
        <w:rPr>
          <w:rFonts w:ascii="Arial" w:hAnsi="Arial" w:cs="Arial"/>
          <w:b/>
          <w:sz w:val="20"/>
          <w:szCs w:val="20"/>
        </w:rPr>
        <w:t>INTRODUCTION AND MANDATE OF THE COMMITTEE</w:t>
      </w:r>
    </w:p>
    <w:p w:rsidR="00C055B7" w:rsidRPr="00AF3755" w:rsidRDefault="00C055B7"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Introduction and mandate of the Committee</w:t>
      </w:r>
    </w:p>
    <w:p w:rsidR="00A0273D" w:rsidRPr="00AF3755" w:rsidRDefault="00A0273D"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National Assembly (NA) Committees are required in terms of Section 5 of the Money Bills Amendment Procedure and Related Matters Act, 2009 (Act No. 9 of 2009) to annually assess the performance of each national department, and to thereafter submit a Budgetary Review and Recommendation Report (BRRR), which will provide an assessment o</w:t>
      </w:r>
      <w:r w:rsidR="00A825BE" w:rsidRPr="00AF3755">
        <w:rPr>
          <w:rFonts w:ascii="Arial" w:hAnsi="Arial" w:cs="Arial"/>
          <w:sz w:val="20"/>
          <w:szCs w:val="20"/>
        </w:rPr>
        <w:t>f</w:t>
      </w:r>
      <w:r w:rsidRPr="00AF3755">
        <w:rPr>
          <w:rFonts w:ascii="Arial" w:hAnsi="Arial" w:cs="Arial"/>
          <w:sz w:val="20"/>
          <w:szCs w:val="20"/>
        </w:rPr>
        <w:t xml:space="preserve"> the department’s service delivery performance given available resources; an assessment on the effectiveness and efficiency of the department’s use and allocation of available resources; and may include recommendations on the forward use of resources. </w:t>
      </w:r>
    </w:p>
    <w:p w:rsidR="00A0273D" w:rsidRPr="00AF3755" w:rsidRDefault="00A0273D" w:rsidP="00AF3755">
      <w:pPr>
        <w:pStyle w:val="ListParagraph"/>
        <w:spacing w:after="0" w:line="240" w:lineRule="auto"/>
        <w:ind w:left="360"/>
        <w:rPr>
          <w:rFonts w:ascii="Arial" w:hAnsi="Arial" w:cs="Arial"/>
          <w:sz w:val="20"/>
          <w:szCs w:val="20"/>
        </w:rPr>
      </w:pPr>
    </w:p>
    <w:p w:rsidR="00A0273D" w:rsidRPr="00AF3755" w:rsidRDefault="00A0273D"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Section 55(2) of the Constitution of the Republic of South Africa, 1996 stipulates that </w:t>
      </w:r>
      <w:r w:rsidRPr="00AF3755">
        <w:rPr>
          <w:rFonts w:ascii="Arial" w:hAnsi="Arial" w:cs="Arial"/>
          <w:i/>
          <w:iCs/>
          <w:sz w:val="20"/>
          <w:szCs w:val="20"/>
        </w:rPr>
        <w:t xml:space="preserve">“the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w:t>
      </w:r>
    </w:p>
    <w:p w:rsidR="00C055B7" w:rsidRPr="00AF3755" w:rsidRDefault="00C055B7" w:rsidP="00AF3755">
      <w:pPr>
        <w:pStyle w:val="ListParagraph"/>
        <w:spacing w:after="0" w:line="240" w:lineRule="auto"/>
        <w:ind w:left="0"/>
        <w:rPr>
          <w:rFonts w:ascii="Arial" w:hAnsi="Arial" w:cs="Arial"/>
          <w:sz w:val="20"/>
          <w:szCs w:val="20"/>
        </w:rPr>
      </w:pPr>
    </w:p>
    <w:p w:rsidR="00C055B7" w:rsidRPr="00AF3755" w:rsidRDefault="00C055B7"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Purpose of the BRR Report</w:t>
      </w:r>
    </w:p>
    <w:p w:rsidR="00C055B7" w:rsidRPr="00AF3755" w:rsidRDefault="00F84801" w:rsidP="00AF3755">
      <w:pPr>
        <w:pStyle w:val="ListParagraph"/>
        <w:spacing w:after="0" w:line="240" w:lineRule="auto"/>
        <w:ind w:left="0"/>
        <w:rPr>
          <w:rFonts w:ascii="Arial" w:hAnsi="Arial" w:cs="Arial"/>
          <w:sz w:val="20"/>
          <w:szCs w:val="20"/>
        </w:rPr>
      </w:pPr>
      <w:r w:rsidRPr="00AF3755">
        <w:rPr>
          <w:rFonts w:ascii="Arial" w:hAnsi="Arial" w:cs="Arial"/>
          <w:sz w:val="20"/>
          <w:szCs w:val="20"/>
        </w:rPr>
        <w:t>Th</w:t>
      </w:r>
      <w:r w:rsidR="00A825BE" w:rsidRPr="00AF3755">
        <w:rPr>
          <w:rFonts w:ascii="Arial" w:hAnsi="Arial" w:cs="Arial"/>
          <w:sz w:val="20"/>
          <w:szCs w:val="20"/>
        </w:rPr>
        <w:t>is</w:t>
      </w:r>
      <w:r w:rsidRPr="00AF3755">
        <w:rPr>
          <w:rFonts w:ascii="Arial" w:hAnsi="Arial" w:cs="Arial"/>
          <w:sz w:val="20"/>
          <w:szCs w:val="20"/>
        </w:rPr>
        <w:t xml:space="preserve"> report </w:t>
      </w:r>
      <w:r w:rsidR="00A825BE" w:rsidRPr="00AF3755">
        <w:rPr>
          <w:rFonts w:ascii="Arial" w:hAnsi="Arial" w:cs="Arial"/>
          <w:sz w:val="20"/>
          <w:szCs w:val="20"/>
        </w:rPr>
        <w:t>aims</w:t>
      </w:r>
      <w:r w:rsidRPr="00AF3755">
        <w:rPr>
          <w:rFonts w:ascii="Arial" w:hAnsi="Arial" w:cs="Arial"/>
          <w:sz w:val="20"/>
          <w:szCs w:val="20"/>
        </w:rPr>
        <w:t xml:space="preserve"> to </w:t>
      </w:r>
      <w:r w:rsidR="006462E4" w:rsidRPr="00AF3755">
        <w:rPr>
          <w:rFonts w:ascii="Arial" w:hAnsi="Arial" w:cs="Arial"/>
          <w:sz w:val="20"/>
          <w:szCs w:val="20"/>
        </w:rPr>
        <w:t>account</w:t>
      </w:r>
      <w:r w:rsidRPr="00AF3755">
        <w:rPr>
          <w:rFonts w:ascii="Arial" w:hAnsi="Arial" w:cs="Arial"/>
          <w:sz w:val="20"/>
          <w:szCs w:val="20"/>
        </w:rPr>
        <w:t xml:space="preserve"> in accordance with </w:t>
      </w:r>
      <w:r w:rsidR="00A11F66" w:rsidRPr="00AF3755">
        <w:rPr>
          <w:rFonts w:ascii="Arial" w:hAnsi="Arial" w:cs="Arial"/>
          <w:sz w:val="20"/>
          <w:szCs w:val="20"/>
        </w:rPr>
        <w:t>section 5 (2) of the Money Bills Amendment Procedure and Related Matters Act, 2009</w:t>
      </w:r>
      <w:r w:rsidR="008552FB" w:rsidRPr="00AF3755">
        <w:rPr>
          <w:rFonts w:ascii="Arial" w:hAnsi="Arial" w:cs="Arial"/>
          <w:sz w:val="20"/>
          <w:szCs w:val="20"/>
        </w:rPr>
        <w:t xml:space="preserve">, which mandates all </w:t>
      </w:r>
      <w:r w:rsidR="00C357E5" w:rsidRPr="00AF3755">
        <w:rPr>
          <w:rFonts w:ascii="Arial" w:hAnsi="Arial" w:cs="Arial"/>
          <w:sz w:val="20"/>
          <w:szCs w:val="20"/>
        </w:rPr>
        <w:t xml:space="preserve">committees of the </w:t>
      </w:r>
      <w:r w:rsidR="008552FB" w:rsidRPr="00AF3755">
        <w:rPr>
          <w:rFonts w:ascii="Arial" w:hAnsi="Arial" w:cs="Arial"/>
          <w:sz w:val="20"/>
          <w:szCs w:val="20"/>
        </w:rPr>
        <w:t xml:space="preserve">National Assembly </w:t>
      </w:r>
      <w:r w:rsidR="00AC219E" w:rsidRPr="00AF3755">
        <w:rPr>
          <w:rFonts w:ascii="Arial" w:hAnsi="Arial" w:cs="Arial"/>
          <w:sz w:val="20"/>
          <w:szCs w:val="20"/>
        </w:rPr>
        <w:t xml:space="preserve">(NA) </w:t>
      </w:r>
      <w:r w:rsidR="00C357E5" w:rsidRPr="00AF3755">
        <w:rPr>
          <w:rFonts w:ascii="Arial" w:hAnsi="Arial" w:cs="Arial"/>
          <w:sz w:val="20"/>
          <w:szCs w:val="20"/>
        </w:rPr>
        <w:t xml:space="preserve">to </w:t>
      </w:r>
      <w:r w:rsidR="00AC219E" w:rsidRPr="00AF3755">
        <w:rPr>
          <w:rFonts w:ascii="Arial" w:hAnsi="Arial" w:cs="Arial"/>
          <w:sz w:val="20"/>
          <w:szCs w:val="20"/>
        </w:rPr>
        <w:t xml:space="preserve">annually submit </w:t>
      </w:r>
      <w:r w:rsidR="00265AB4" w:rsidRPr="00AF3755">
        <w:rPr>
          <w:rFonts w:ascii="Arial" w:hAnsi="Arial" w:cs="Arial"/>
          <w:sz w:val="20"/>
          <w:szCs w:val="20"/>
        </w:rPr>
        <w:t>BRR</w:t>
      </w:r>
      <w:r w:rsidR="00AC219E" w:rsidRPr="00AF3755">
        <w:rPr>
          <w:rFonts w:ascii="Arial" w:hAnsi="Arial" w:cs="Arial"/>
          <w:sz w:val="20"/>
          <w:szCs w:val="20"/>
        </w:rPr>
        <w:t xml:space="preserve"> reports for tabling in the NA for each department. </w:t>
      </w:r>
    </w:p>
    <w:p w:rsidR="007F69BD" w:rsidRPr="00AF3755" w:rsidRDefault="007F69BD" w:rsidP="00AF3755">
      <w:pPr>
        <w:pStyle w:val="ListParagraph"/>
        <w:spacing w:after="0" w:line="240" w:lineRule="auto"/>
        <w:ind w:left="0"/>
        <w:rPr>
          <w:rFonts w:ascii="Arial" w:hAnsi="Arial" w:cs="Arial"/>
          <w:sz w:val="20"/>
          <w:szCs w:val="20"/>
        </w:rPr>
      </w:pPr>
    </w:p>
    <w:p w:rsidR="00C055B7" w:rsidRPr="00AF3755" w:rsidRDefault="00C055B7"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Method</w:t>
      </w:r>
    </w:p>
    <w:p w:rsidR="009B1BE1" w:rsidRPr="00AF3755" w:rsidRDefault="009B1BE1"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In </w:t>
      </w:r>
      <w:r w:rsidR="00951D9D" w:rsidRPr="00AF3755">
        <w:rPr>
          <w:rFonts w:ascii="Arial" w:hAnsi="Arial" w:cs="Arial"/>
          <w:sz w:val="20"/>
          <w:szCs w:val="20"/>
        </w:rPr>
        <w:t xml:space="preserve">preparation for the review process of </w:t>
      </w:r>
      <w:r w:rsidRPr="00AF3755">
        <w:rPr>
          <w:rFonts w:ascii="Arial" w:hAnsi="Arial" w:cs="Arial"/>
          <w:sz w:val="20"/>
          <w:szCs w:val="20"/>
        </w:rPr>
        <w:t xml:space="preserve">the </w:t>
      </w:r>
      <w:r w:rsidR="00951D9D" w:rsidRPr="00AF3755">
        <w:rPr>
          <w:rFonts w:ascii="Arial" w:hAnsi="Arial" w:cs="Arial"/>
          <w:sz w:val="20"/>
          <w:szCs w:val="20"/>
        </w:rPr>
        <w:t xml:space="preserve">2021/22 </w:t>
      </w:r>
      <w:r w:rsidRPr="00AF3755">
        <w:rPr>
          <w:rFonts w:ascii="Arial" w:hAnsi="Arial" w:cs="Arial"/>
          <w:sz w:val="20"/>
          <w:szCs w:val="20"/>
        </w:rPr>
        <w:t xml:space="preserve">Annual Reports, the Committee had briefing sessions with the </w:t>
      </w:r>
      <w:r w:rsidR="00951D9D" w:rsidRPr="00AF3755">
        <w:rPr>
          <w:rFonts w:ascii="Arial" w:hAnsi="Arial" w:cs="Arial"/>
          <w:sz w:val="20"/>
          <w:szCs w:val="20"/>
        </w:rPr>
        <w:t xml:space="preserve">Financial and Fiscal Commission (FFC) on the overview </w:t>
      </w:r>
      <w:r w:rsidR="0066263D" w:rsidRPr="00AF3755">
        <w:rPr>
          <w:rFonts w:ascii="Arial" w:hAnsi="Arial" w:cs="Arial"/>
          <w:sz w:val="20"/>
          <w:szCs w:val="20"/>
        </w:rPr>
        <w:t>of funding and performance of the Department and its entities and the</w:t>
      </w:r>
      <w:r w:rsidR="00951D9D" w:rsidRPr="00AF3755">
        <w:rPr>
          <w:rFonts w:ascii="Arial" w:hAnsi="Arial" w:cs="Arial"/>
          <w:sz w:val="20"/>
          <w:szCs w:val="20"/>
        </w:rPr>
        <w:t xml:space="preserve"> </w:t>
      </w:r>
      <w:r w:rsidRPr="00AF3755">
        <w:rPr>
          <w:rFonts w:ascii="Arial" w:hAnsi="Arial" w:cs="Arial"/>
          <w:sz w:val="20"/>
          <w:szCs w:val="20"/>
        </w:rPr>
        <w:t>Auditor-General of South Africa (AGSA) on the 202</w:t>
      </w:r>
      <w:r w:rsidR="00951D9D" w:rsidRPr="00AF3755">
        <w:rPr>
          <w:rFonts w:ascii="Arial" w:hAnsi="Arial" w:cs="Arial"/>
          <w:sz w:val="20"/>
          <w:szCs w:val="20"/>
        </w:rPr>
        <w:t>1</w:t>
      </w:r>
      <w:r w:rsidRPr="00AF3755">
        <w:rPr>
          <w:rFonts w:ascii="Arial" w:hAnsi="Arial" w:cs="Arial"/>
          <w:sz w:val="20"/>
          <w:szCs w:val="20"/>
        </w:rPr>
        <w:t>/2</w:t>
      </w:r>
      <w:r w:rsidR="00951D9D" w:rsidRPr="00AF3755">
        <w:rPr>
          <w:rFonts w:ascii="Arial" w:hAnsi="Arial" w:cs="Arial"/>
          <w:sz w:val="20"/>
          <w:szCs w:val="20"/>
        </w:rPr>
        <w:t>2</w:t>
      </w:r>
      <w:r w:rsidRPr="00AF3755">
        <w:rPr>
          <w:rFonts w:ascii="Arial" w:hAnsi="Arial" w:cs="Arial"/>
          <w:sz w:val="20"/>
          <w:szCs w:val="20"/>
        </w:rPr>
        <w:t xml:space="preserve"> audit outcomes of the Higher Education and Training Portfolio</w:t>
      </w:r>
      <w:r w:rsidR="0066263D" w:rsidRPr="00AF3755">
        <w:rPr>
          <w:rFonts w:ascii="Arial" w:hAnsi="Arial" w:cs="Arial"/>
          <w:sz w:val="20"/>
          <w:szCs w:val="20"/>
        </w:rPr>
        <w:t xml:space="preserve">. The Committee further held briefings with the </w:t>
      </w:r>
      <w:r w:rsidRPr="00AF3755">
        <w:rPr>
          <w:rFonts w:ascii="Arial" w:hAnsi="Arial" w:cs="Arial"/>
          <w:sz w:val="20"/>
          <w:szCs w:val="20"/>
        </w:rPr>
        <w:t>Department</w:t>
      </w:r>
      <w:r w:rsidR="00951D9D" w:rsidRPr="00AF3755">
        <w:rPr>
          <w:rFonts w:ascii="Arial" w:hAnsi="Arial" w:cs="Arial"/>
          <w:sz w:val="20"/>
          <w:szCs w:val="20"/>
        </w:rPr>
        <w:t xml:space="preserve"> on 12 October 2022 and</w:t>
      </w:r>
      <w:r w:rsidRPr="00AF3755">
        <w:rPr>
          <w:rFonts w:ascii="Arial" w:hAnsi="Arial" w:cs="Arial"/>
          <w:sz w:val="20"/>
          <w:szCs w:val="20"/>
        </w:rPr>
        <w:t>, QCTO</w:t>
      </w:r>
      <w:r w:rsidR="00951D9D" w:rsidRPr="00AF3755">
        <w:rPr>
          <w:rFonts w:ascii="Arial" w:hAnsi="Arial" w:cs="Arial"/>
          <w:sz w:val="20"/>
          <w:szCs w:val="20"/>
        </w:rPr>
        <w:t>, SAQA and CHE</w:t>
      </w:r>
      <w:r w:rsidRPr="00AF3755">
        <w:rPr>
          <w:rFonts w:ascii="Arial" w:hAnsi="Arial" w:cs="Arial"/>
          <w:sz w:val="20"/>
          <w:szCs w:val="20"/>
        </w:rPr>
        <w:t xml:space="preserve"> on 1</w:t>
      </w:r>
      <w:r w:rsidR="00951D9D" w:rsidRPr="00AF3755">
        <w:rPr>
          <w:rFonts w:ascii="Arial" w:hAnsi="Arial" w:cs="Arial"/>
          <w:sz w:val="20"/>
          <w:szCs w:val="20"/>
        </w:rPr>
        <w:t>4</w:t>
      </w:r>
      <w:r w:rsidRPr="00AF3755">
        <w:rPr>
          <w:rFonts w:ascii="Arial" w:hAnsi="Arial" w:cs="Arial"/>
          <w:sz w:val="20"/>
          <w:szCs w:val="20"/>
        </w:rPr>
        <w:t xml:space="preserve"> </w:t>
      </w:r>
      <w:r w:rsidR="00951D9D" w:rsidRPr="00AF3755">
        <w:rPr>
          <w:rFonts w:ascii="Arial" w:hAnsi="Arial" w:cs="Arial"/>
          <w:sz w:val="20"/>
          <w:szCs w:val="20"/>
        </w:rPr>
        <w:t>Octo</w:t>
      </w:r>
      <w:r w:rsidRPr="00AF3755">
        <w:rPr>
          <w:rFonts w:ascii="Arial" w:hAnsi="Arial" w:cs="Arial"/>
          <w:sz w:val="20"/>
          <w:szCs w:val="20"/>
        </w:rPr>
        <w:t>ber 202</w:t>
      </w:r>
      <w:r w:rsidR="00951D9D" w:rsidRPr="00AF3755">
        <w:rPr>
          <w:rFonts w:ascii="Arial" w:hAnsi="Arial" w:cs="Arial"/>
          <w:sz w:val="20"/>
          <w:szCs w:val="20"/>
        </w:rPr>
        <w:t>2</w:t>
      </w:r>
      <w:r w:rsidRPr="00AF3755">
        <w:rPr>
          <w:rFonts w:ascii="Arial" w:hAnsi="Arial" w:cs="Arial"/>
          <w:sz w:val="20"/>
          <w:szCs w:val="20"/>
        </w:rPr>
        <w:t xml:space="preserve"> on their 202</w:t>
      </w:r>
      <w:r w:rsidR="00951D9D" w:rsidRPr="00AF3755">
        <w:rPr>
          <w:rFonts w:ascii="Arial" w:hAnsi="Arial" w:cs="Arial"/>
          <w:sz w:val="20"/>
          <w:szCs w:val="20"/>
        </w:rPr>
        <w:t>1</w:t>
      </w:r>
      <w:r w:rsidRPr="00AF3755">
        <w:rPr>
          <w:rFonts w:ascii="Arial" w:hAnsi="Arial" w:cs="Arial"/>
          <w:sz w:val="20"/>
          <w:szCs w:val="20"/>
        </w:rPr>
        <w:t>/2</w:t>
      </w:r>
      <w:r w:rsidR="00951D9D" w:rsidRPr="00AF3755">
        <w:rPr>
          <w:rFonts w:ascii="Arial" w:hAnsi="Arial" w:cs="Arial"/>
          <w:sz w:val="20"/>
          <w:szCs w:val="20"/>
        </w:rPr>
        <w:t>2</w:t>
      </w:r>
      <w:r w:rsidRPr="00AF3755">
        <w:rPr>
          <w:rFonts w:ascii="Arial" w:hAnsi="Arial" w:cs="Arial"/>
          <w:sz w:val="20"/>
          <w:szCs w:val="20"/>
        </w:rPr>
        <w:t xml:space="preserve"> Annual Reports.</w:t>
      </w:r>
    </w:p>
    <w:p w:rsidR="00C055B7" w:rsidRPr="00AF3755" w:rsidRDefault="00C055B7" w:rsidP="00AF3755">
      <w:pPr>
        <w:pStyle w:val="ListParagraph"/>
        <w:spacing w:after="0" w:line="240" w:lineRule="auto"/>
        <w:ind w:left="0"/>
        <w:rPr>
          <w:rFonts w:ascii="Arial" w:hAnsi="Arial" w:cs="Arial"/>
          <w:sz w:val="20"/>
          <w:szCs w:val="20"/>
        </w:rPr>
      </w:pPr>
    </w:p>
    <w:p w:rsidR="00C055B7" w:rsidRPr="00AF3755" w:rsidRDefault="00C055B7" w:rsidP="00AF3755">
      <w:pPr>
        <w:pStyle w:val="ListParagraph"/>
        <w:numPr>
          <w:ilvl w:val="0"/>
          <w:numId w:val="1"/>
        </w:numPr>
        <w:spacing w:after="0" w:line="240" w:lineRule="auto"/>
        <w:rPr>
          <w:rFonts w:ascii="Arial" w:hAnsi="Arial" w:cs="Arial"/>
          <w:b/>
          <w:sz w:val="20"/>
          <w:szCs w:val="20"/>
        </w:rPr>
      </w:pPr>
      <w:r w:rsidRPr="00AF3755">
        <w:rPr>
          <w:rFonts w:ascii="Arial" w:hAnsi="Arial" w:cs="Arial"/>
          <w:b/>
          <w:sz w:val="20"/>
          <w:szCs w:val="20"/>
        </w:rPr>
        <w:t>RELEVANT POLICY FOCUS AREAS</w:t>
      </w:r>
    </w:p>
    <w:p w:rsidR="00C055B7" w:rsidRPr="00AF3755" w:rsidRDefault="00C055B7"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National Development Plan (NDP)</w:t>
      </w:r>
    </w:p>
    <w:p w:rsidR="00A0273D" w:rsidRPr="00AF3755" w:rsidRDefault="00A0273D"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The NDP identifies the decent work, education and capacity of the state as particularly important priorities. For the post-school education and training sector, the NDP envisages that by 2030, South Africans should have access to education and training of the highest quality. The education, training and innovation system should cater for different needs and produce highly skilled individuals; and graduates of the post-school system should have adequate skills and knowledge to meet the current and future needs of the economy and society.</w:t>
      </w:r>
    </w:p>
    <w:p w:rsidR="00C055B7" w:rsidRPr="00AF3755" w:rsidRDefault="00C055B7" w:rsidP="00AF3755">
      <w:pPr>
        <w:pStyle w:val="ListParagraph"/>
        <w:spacing w:after="0" w:line="240" w:lineRule="auto"/>
        <w:ind w:left="0"/>
        <w:rPr>
          <w:rFonts w:ascii="Arial" w:hAnsi="Arial" w:cs="Arial"/>
          <w:sz w:val="20"/>
          <w:szCs w:val="20"/>
        </w:rPr>
      </w:pPr>
    </w:p>
    <w:p w:rsidR="00C055B7" w:rsidRPr="00AF3755" w:rsidRDefault="00C055B7"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White Paper for Post-School Education and Training (WPPSET)</w:t>
      </w:r>
    </w:p>
    <w:p w:rsidR="00A0273D" w:rsidRPr="00AF3755" w:rsidRDefault="00A0273D"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White Paper articulates a vision for an integrated system of post-school education and training, with all institutions playing their role as part of a coherent but differentiated system. The White Paper sets out strategies to expand the current provision of education and training in South Africa, improve its quality, and integrate the various strands of the post-school system. The White Paper sets interventions for implementation by different sectors within Post-School Education and Training. The Department has developed a Draft National Plan for Post Education and Training (PSET) from the White Paper, which will be an implementation plan with measurable targets for each sub-system of the sector. The main policy objectives are:</w:t>
      </w:r>
    </w:p>
    <w:p w:rsidR="00A0273D" w:rsidRPr="00AF3755" w:rsidRDefault="00A0273D" w:rsidP="00AF3755">
      <w:pPr>
        <w:numPr>
          <w:ilvl w:val="0"/>
          <w:numId w:val="58"/>
        </w:numPr>
        <w:pBdr>
          <w:left w:val="none" w:sz="0" w:space="1" w:color="auto"/>
        </w:pBdr>
        <w:spacing w:after="0" w:line="240" w:lineRule="auto"/>
        <w:ind w:left="360"/>
        <w:rPr>
          <w:rFonts w:ascii="Arial" w:eastAsia="serif" w:hAnsi="Arial" w:cs="Arial"/>
          <w:color w:val="000000" w:themeColor="text1"/>
          <w:sz w:val="20"/>
          <w:szCs w:val="20"/>
        </w:rPr>
      </w:pPr>
      <w:r w:rsidRPr="00AF3755">
        <w:rPr>
          <w:rFonts w:ascii="Arial" w:hAnsi="Arial" w:cs="Arial"/>
          <w:color w:val="000000" w:themeColor="text1"/>
          <w:sz w:val="20"/>
          <w:szCs w:val="20"/>
        </w:rPr>
        <w:t>A post-school system that can assist in building a fair, equitable, non-racial, non-sexist and democratic South Africa;</w:t>
      </w:r>
    </w:p>
    <w:p w:rsidR="00A0273D" w:rsidRPr="00AF3755" w:rsidRDefault="00A0273D" w:rsidP="00AF3755">
      <w:pPr>
        <w:numPr>
          <w:ilvl w:val="0"/>
          <w:numId w:val="58"/>
        </w:numPr>
        <w:pBdr>
          <w:left w:val="none" w:sz="0" w:space="1" w:color="auto"/>
        </w:pBdr>
        <w:spacing w:after="0" w:line="240" w:lineRule="auto"/>
        <w:ind w:left="360"/>
        <w:rPr>
          <w:rFonts w:ascii="Arial" w:eastAsia="serif" w:hAnsi="Arial" w:cs="Arial"/>
          <w:color w:val="000000" w:themeColor="text1"/>
          <w:sz w:val="20"/>
          <w:szCs w:val="20"/>
        </w:rPr>
      </w:pPr>
      <w:r w:rsidRPr="00AF3755">
        <w:rPr>
          <w:rFonts w:ascii="Arial" w:hAnsi="Arial" w:cs="Arial"/>
          <w:color w:val="000000" w:themeColor="text1"/>
          <w:sz w:val="20"/>
          <w:szCs w:val="20"/>
        </w:rPr>
        <w:t>A single, coordinated post-school education and training system, expanded access, improved quality and increased diversity of provision; and</w:t>
      </w:r>
    </w:p>
    <w:p w:rsidR="00A0273D" w:rsidRPr="00AF3755" w:rsidRDefault="00A0273D" w:rsidP="00AF3755">
      <w:pPr>
        <w:numPr>
          <w:ilvl w:val="0"/>
          <w:numId w:val="58"/>
        </w:numPr>
        <w:pBdr>
          <w:left w:val="none" w:sz="0" w:space="1" w:color="auto"/>
        </w:pBdr>
        <w:spacing w:after="0" w:line="240" w:lineRule="auto"/>
        <w:ind w:left="360"/>
        <w:rPr>
          <w:rFonts w:ascii="Arial" w:eastAsia="serif" w:hAnsi="Arial" w:cs="Arial"/>
          <w:color w:val="000000" w:themeColor="text1"/>
          <w:sz w:val="20"/>
          <w:szCs w:val="20"/>
        </w:rPr>
      </w:pPr>
      <w:r w:rsidRPr="00AF3755">
        <w:rPr>
          <w:rFonts w:ascii="Arial" w:hAnsi="Arial" w:cs="Arial"/>
          <w:color w:val="000000" w:themeColor="text1"/>
          <w:sz w:val="20"/>
          <w:szCs w:val="20"/>
        </w:rPr>
        <w:lastRenderedPageBreak/>
        <w:t xml:space="preserve">A post-school education and training that is responsive to the needs of individual citizens, </w:t>
      </w:r>
      <w:r w:rsidR="00265AB4" w:rsidRPr="00AF3755">
        <w:rPr>
          <w:rFonts w:ascii="Arial" w:hAnsi="Arial" w:cs="Arial"/>
          <w:color w:val="000000" w:themeColor="text1"/>
          <w:sz w:val="20"/>
          <w:szCs w:val="20"/>
        </w:rPr>
        <w:t xml:space="preserve">and </w:t>
      </w:r>
      <w:r w:rsidRPr="00AF3755">
        <w:rPr>
          <w:rFonts w:ascii="Arial" w:hAnsi="Arial" w:cs="Arial"/>
          <w:color w:val="000000" w:themeColor="text1"/>
          <w:sz w:val="20"/>
          <w:szCs w:val="20"/>
        </w:rPr>
        <w:t>employers in both public sectors, as well as broader societal and development objectives.</w:t>
      </w:r>
    </w:p>
    <w:p w:rsidR="00C418A0" w:rsidRPr="00AF3755" w:rsidRDefault="00C418A0"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WP-PSET commits the Quality Assurance Councils, including the South African Qualifications Authority (SAQA), to ensure that there are no dead ends within the post-school education and training system. It further states that articulation should be both vertical in terms of moving to higher levels of the National Qualifications Framework (NQF) and horizontal, catering for movement from, a vocational stream to an academic one or vice versa.</w:t>
      </w:r>
    </w:p>
    <w:p w:rsidR="00C055B7" w:rsidRPr="00AF3755" w:rsidRDefault="00C055B7" w:rsidP="00AF3755">
      <w:pPr>
        <w:pStyle w:val="ListParagraph"/>
        <w:spacing w:after="0" w:line="240" w:lineRule="auto"/>
        <w:ind w:left="0"/>
        <w:rPr>
          <w:rFonts w:ascii="Arial" w:hAnsi="Arial" w:cs="Arial"/>
          <w:sz w:val="20"/>
          <w:szCs w:val="20"/>
        </w:rPr>
      </w:pPr>
    </w:p>
    <w:p w:rsidR="00C055B7" w:rsidRPr="00AF3755" w:rsidRDefault="00C055B7" w:rsidP="00AF3755">
      <w:pPr>
        <w:pStyle w:val="ListParagraph"/>
        <w:numPr>
          <w:ilvl w:val="1"/>
          <w:numId w:val="1"/>
        </w:numPr>
        <w:spacing w:after="0" w:line="240" w:lineRule="auto"/>
        <w:rPr>
          <w:rFonts w:ascii="Arial" w:hAnsi="Arial" w:cs="Arial"/>
          <w:sz w:val="20"/>
          <w:szCs w:val="20"/>
        </w:rPr>
      </w:pPr>
      <w:r w:rsidRPr="00AF3755">
        <w:rPr>
          <w:rFonts w:ascii="Arial" w:hAnsi="Arial" w:cs="Arial"/>
          <w:sz w:val="20"/>
          <w:szCs w:val="20"/>
        </w:rPr>
        <w:t>2</w:t>
      </w:r>
      <w:r w:rsidRPr="00AF3755">
        <w:rPr>
          <w:rFonts w:ascii="Arial" w:hAnsi="Arial" w:cs="Arial"/>
          <w:b/>
          <w:sz w:val="20"/>
          <w:szCs w:val="20"/>
        </w:rPr>
        <w:t>019 – 2024 Medium-Term Strategic Framework (MTSF)</w:t>
      </w:r>
    </w:p>
    <w:p w:rsidR="00C418A0" w:rsidRPr="00AF3755" w:rsidRDefault="00C418A0"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The 2019 – 2024 MTSF is a five-year strategic plan of Government and forms the second five-year implementation phase of the NDP. The Department of Higher Education and Training is responsible for contributing to the realisation of the policy priorities as outlined in the MTSF Priority 3: Education, Skills and Health. For the 2020 – 2025 planning period, the Department will focus on these outcomes as follows: </w:t>
      </w:r>
    </w:p>
    <w:p w:rsidR="00C418A0" w:rsidRPr="00AF3755" w:rsidRDefault="00C418A0" w:rsidP="00AF3755">
      <w:pPr>
        <w:numPr>
          <w:ilvl w:val="0"/>
          <w:numId w:val="60"/>
        </w:numPr>
        <w:pBdr>
          <w:left w:val="none" w:sz="0" w:space="1" w:color="auto"/>
        </w:pBdr>
        <w:spacing w:after="0" w:line="240" w:lineRule="auto"/>
        <w:rPr>
          <w:rFonts w:ascii="Arial" w:eastAsia="serif" w:hAnsi="Arial" w:cs="Arial"/>
          <w:sz w:val="20"/>
          <w:szCs w:val="20"/>
        </w:rPr>
      </w:pPr>
      <w:r w:rsidRPr="00AF3755">
        <w:rPr>
          <w:rFonts w:ascii="Arial" w:hAnsi="Arial" w:cs="Arial"/>
          <w:b/>
          <w:bCs/>
          <w:sz w:val="20"/>
          <w:szCs w:val="20"/>
        </w:rPr>
        <w:t>Expanded access to PSET opportunities</w:t>
      </w:r>
      <w:r w:rsidRPr="00AF3755">
        <w:rPr>
          <w:rFonts w:ascii="Arial" w:hAnsi="Arial" w:cs="Arial"/>
          <w:sz w:val="20"/>
          <w:szCs w:val="20"/>
        </w:rPr>
        <w:t xml:space="preserve">, which aims to provide a diverse student population with access to a comprehensive and multifaceted range of PSET opportunities; </w:t>
      </w:r>
    </w:p>
    <w:p w:rsidR="00C418A0" w:rsidRPr="00AF3755" w:rsidRDefault="00C418A0" w:rsidP="00AF3755">
      <w:pPr>
        <w:numPr>
          <w:ilvl w:val="0"/>
          <w:numId w:val="58"/>
        </w:numPr>
        <w:spacing w:after="0" w:line="240" w:lineRule="auto"/>
        <w:ind w:left="777" w:hanging="357"/>
        <w:rPr>
          <w:rFonts w:ascii="Arial" w:eastAsia="serif" w:hAnsi="Arial" w:cs="Arial"/>
          <w:sz w:val="20"/>
          <w:szCs w:val="20"/>
        </w:rPr>
      </w:pPr>
      <w:r w:rsidRPr="00AF3755">
        <w:rPr>
          <w:rFonts w:ascii="Arial" w:hAnsi="Arial" w:cs="Arial"/>
          <w:b/>
          <w:bCs/>
          <w:sz w:val="20"/>
          <w:szCs w:val="20"/>
        </w:rPr>
        <w:t>Improved success and efficiency in the PSET system</w:t>
      </w:r>
      <w:r w:rsidRPr="00AF3755">
        <w:rPr>
          <w:rFonts w:ascii="Arial" w:hAnsi="Arial" w:cs="Arial"/>
          <w:sz w:val="20"/>
          <w:szCs w:val="20"/>
        </w:rPr>
        <w:t xml:space="preserve"> aims to improve efficiency and success of the PSET system;</w:t>
      </w:r>
    </w:p>
    <w:p w:rsidR="00C418A0" w:rsidRPr="00AF3755" w:rsidRDefault="00C418A0" w:rsidP="00AF3755">
      <w:pPr>
        <w:numPr>
          <w:ilvl w:val="0"/>
          <w:numId w:val="58"/>
        </w:numPr>
        <w:spacing w:after="0" w:line="240" w:lineRule="auto"/>
        <w:ind w:left="777" w:hanging="357"/>
        <w:rPr>
          <w:rFonts w:ascii="Arial" w:eastAsia="serif" w:hAnsi="Arial" w:cs="Arial"/>
          <w:sz w:val="20"/>
          <w:szCs w:val="20"/>
        </w:rPr>
      </w:pPr>
      <w:r w:rsidRPr="00AF3755">
        <w:rPr>
          <w:rFonts w:ascii="Arial" w:hAnsi="Arial" w:cs="Arial"/>
          <w:b/>
          <w:bCs/>
          <w:sz w:val="20"/>
          <w:szCs w:val="20"/>
        </w:rPr>
        <w:t>Improved quality of PSET provisioning</w:t>
      </w:r>
      <w:r w:rsidRPr="00AF3755">
        <w:rPr>
          <w:rFonts w:ascii="Arial" w:hAnsi="Arial" w:cs="Arial"/>
          <w:sz w:val="20"/>
          <w:szCs w:val="20"/>
        </w:rPr>
        <w:t xml:space="preserve"> to build the capacity of PSET institutions to provide quality education and training;</w:t>
      </w:r>
    </w:p>
    <w:p w:rsidR="00C418A0" w:rsidRPr="00AF3755" w:rsidRDefault="00C418A0" w:rsidP="00AF3755">
      <w:pPr>
        <w:numPr>
          <w:ilvl w:val="0"/>
          <w:numId w:val="58"/>
        </w:numPr>
        <w:spacing w:after="0" w:line="240" w:lineRule="auto"/>
        <w:ind w:left="777" w:hanging="357"/>
        <w:rPr>
          <w:rFonts w:ascii="Arial" w:eastAsia="serif" w:hAnsi="Arial" w:cs="Arial"/>
          <w:sz w:val="20"/>
          <w:szCs w:val="20"/>
        </w:rPr>
      </w:pPr>
      <w:r w:rsidRPr="00AF3755">
        <w:rPr>
          <w:rFonts w:ascii="Arial" w:hAnsi="Arial" w:cs="Arial"/>
          <w:b/>
          <w:bCs/>
          <w:sz w:val="20"/>
          <w:szCs w:val="20"/>
        </w:rPr>
        <w:t>A responsive PSET system</w:t>
      </w:r>
      <w:r w:rsidRPr="00AF3755">
        <w:rPr>
          <w:rFonts w:ascii="Arial" w:hAnsi="Arial" w:cs="Arial"/>
          <w:sz w:val="20"/>
          <w:szCs w:val="20"/>
        </w:rPr>
        <w:t xml:space="preserve"> to provide qualifications programmes and curricula that are responsive to the needs of the world of work, society and students; and</w:t>
      </w:r>
    </w:p>
    <w:p w:rsidR="00C418A0" w:rsidRPr="00AF3755" w:rsidRDefault="00C418A0" w:rsidP="00AF3755">
      <w:pPr>
        <w:numPr>
          <w:ilvl w:val="0"/>
          <w:numId w:val="58"/>
        </w:numPr>
        <w:pBdr>
          <w:left w:val="none" w:sz="0" w:space="1" w:color="auto"/>
        </w:pBdr>
        <w:spacing w:after="0" w:line="240" w:lineRule="auto"/>
        <w:ind w:left="780"/>
        <w:rPr>
          <w:rFonts w:ascii="Arial" w:eastAsia="serif" w:hAnsi="Arial" w:cs="Arial"/>
          <w:sz w:val="20"/>
          <w:szCs w:val="20"/>
        </w:rPr>
      </w:pPr>
      <w:r w:rsidRPr="00AF3755">
        <w:rPr>
          <w:rFonts w:ascii="Arial" w:hAnsi="Arial" w:cs="Arial"/>
          <w:b/>
          <w:bCs/>
          <w:sz w:val="20"/>
          <w:szCs w:val="20"/>
        </w:rPr>
        <w:t xml:space="preserve">Excellent business operations within DHET </w:t>
      </w:r>
      <w:r w:rsidRPr="00AF3755">
        <w:rPr>
          <w:rFonts w:ascii="Arial" w:hAnsi="Arial" w:cs="Arial"/>
          <w:sz w:val="20"/>
          <w:szCs w:val="20"/>
        </w:rPr>
        <w:t>to ensure sound service delivery management and effective resource management within the department.</w:t>
      </w:r>
    </w:p>
    <w:p w:rsidR="00C055B7" w:rsidRPr="00AF3755" w:rsidRDefault="00C055B7" w:rsidP="00AF3755">
      <w:pPr>
        <w:pStyle w:val="ListParagraph"/>
        <w:spacing w:after="0" w:line="240" w:lineRule="auto"/>
        <w:ind w:left="0"/>
        <w:rPr>
          <w:rFonts w:ascii="Arial" w:hAnsi="Arial" w:cs="Arial"/>
          <w:sz w:val="20"/>
          <w:szCs w:val="20"/>
        </w:rPr>
      </w:pPr>
    </w:p>
    <w:p w:rsidR="00C055B7" w:rsidRPr="00AF3755" w:rsidRDefault="00C055B7"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National Skills Development Plan (NSDP)</w:t>
      </w:r>
      <w:r w:rsidR="00D81DC7" w:rsidRPr="00AF3755">
        <w:rPr>
          <w:rFonts w:ascii="Arial" w:hAnsi="Arial" w:cs="Arial"/>
          <w:b/>
          <w:sz w:val="20"/>
          <w:szCs w:val="20"/>
        </w:rPr>
        <w:t xml:space="preserve"> 2030</w:t>
      </w:r>
    </w:p>
    <w:p w:rsidR="00C418A0" w:rsidRPr="00AF3755" w:rsidRDefault="00C418A0" w:rsidP="00AF3755">
      <w:pPr>
        <w:spacing w:after="0" w:line="240" w:lineRule="auto"/>
        <w:rPr>
          <w:rFonts w:ascii="Arial" w:hAnsi="Arial" w:cs="Arial"/>
          <w:sz w:val="20"/>
          <w:szCs w:val="20"/>
        </w:rPr>
      </w:pPr>
      <w:r w:rsidRPr="00AF3755">
        <w:rPr>
          <w:rFonts w:ascii="Arial" w:hAnsi="Arial" w:cs="Arial"/>
          <w:sz w:val="20"/>
          <w:szCs w:val="20"/>
        </w:rPr>
        <w:t xml:space="preserve">The NSDP aims to ensure that South Africa has adequate, appropriate, and high-quality skills that contribute towards economic growth, employment creation, and social development. The NSDP is set to become the key policy to inform the work of the skills levy institutions until 2030 and has been crafted within the policy context of the NDP, and the White Paper. The work of the institutions will focus on addressing the eight NSDP outcomes as follows: </w:t>
      </w:r>
    </w:p>
    <w:p w:rsidR="00C418A0" w:rsidRPr="00AF3755" w:rsidRDefault="00C418A0" w:rsidP="00AF3755">
      <w:pPr>
        <w:numPr>
          <w:ilvl w:val="0"/>
          <w:numId w:val="59"/>
        </w:numPr>
        <w:pBdr>
          <w:left w:val="none" w:sz="0" w:space="1" w:color="auto"/>
        </w:pBdr>
        <w:spacing w:after="0" w:line="240" w:lineRule="auto"/>
        <w:rPr>
          <w:rFonts w:ascii="Arial" w:eastAsia="serif" w:hAnsi="Arial" w:cs="Arial"/>
          <w:sz w:val="20"/>
          <w:szCs w:val="20"/>
        </w:rPr>
      </w:pPr>
      <w:r w:rsidRPr="00AF3755">
        <w:rPr>
          <w:rFonts w:ascii="Arial" w:hAnsi="Arial" w:cs="Arial"/>
          <w:sz w:val="20"/>
          <w:szCs w:val="20"/>
        </w:rPr>
        <w:t>Outcome 1: Identify and increase production of occupations in high demand;</w:t>
      </w:r>
    </w:p>
    <w:p w:rsidR="00C418A0" w:rsidRPr="00AF3755" w:rsidRDefault="00C418A0" w:rsidP="00AF3755">
      <w:pPr>
        <w:numPr>
          <w:ilvl w:val="0"/>
          <w:numId w:val="61"/>
        </w:numPr>
        <w:pBdr>
          <w:left w:val="none" w:sz="0" w:space="1" w:color="auto"/>
        </w:pBdr>
        <w:spacing w:after="0" w:line="240" w:lineRule="auto"/>
        <w:rPr>
          <w:rFonts w:ascii="Arial" w:eastAsia="serif" w:hAnsi="Arial" w:cs="Arial"/>
          <w:sz w:val="20"/>
          <w:szCs w:val="20"/>
        </w:rPr>
      </w:pPr>
      <w:r w:rsidRPr="00AF3755">
        <w:rPr>
          <w:rFonts w:ascii="Arial" w:hAnsi="Arial" w:cs="Arial"/>
          <w:sz w:val="20"/>
          <w:szCs w:val="20"/>
        </w:rPr>
        <w:t>Outcome 2: Link education and the workplace;</w:t>
      </w:r>
    </w:p>
    <w:p w:rsidR="00C418A0" w:rsidRPr="00AF3755" w:rsidRDefault="00C418A0" w:rsidP="00AF3755">
      <w:pPr>
        <w:numPr>
          <w:ilvl w:val="0"/>
          <w:numId w:val="61"/>
        </w:numPr>
        <w:pBdr>
          <w:left w:val="none" w:sz="0" w:space="1" w:color="auto"/>
        </w:pBdr>
        <w:spacing w:after="0" w:line="240" w:lineRule="auto"/>
        <w:rPr>
          <w:rFonts w:ascii="Arial" w:eastAsia="serif" w:hAnsi="Arial" w:cs="Arial"/>
          <w:sz w:val="20"/>
          <w:szCs w:val="20"/>
        </w:rPr>
      </w:pPr>
      <w:r w:rsidRPr="00AF3755">
        <w:rPr>
          <w:rFonts w:ascii="Arial" w:hAnsi="Arial" w:cs="Arial"/>
          <w:sz w:val="20"/>
          <w:szCs w:val="20"/>
        </w:rPr>
        <w:t>Outcome 3: Improve the level of skills in the South African workforce;</w:t>
      </w:r>
    </w:p>
    <w:p w:rsidR="00C418A0" w:rsidRPr="00AF3755" w:rsidRDefault="00C418A0" w:rsidP="00AF3755">
      <w:pPr>
        <w:numPr>
          <w:ilvl w:val="0"/>
          <w:numId w:val="61"/>
        </w:numPr>
        <w:pBdr>
          <w:left w:val="none" w:sz="0" w:space="1" w:color="auto"/>
        </w:pBdr>
        <w:spacing w:after="0" w:line="240" w:lineRule="auto"/>
        <w:rPr>
          <w:rFonts w:ascii="Arial" w:eastAsia="serif" w:hAnsi="Arial" w:cs="Arial"/>
          <w:sz w:val="20"/>
          <w:szCs w:val="20"/>
        </w:rPr>
      </w:pPr>
      <w:r w:rsidRPr="00AF3755">
        <w:rPr>
          <w:rFonts w:ascii="Arial" w:hAnsi="Arial" w:cs="Arial"/>
          <w:sz w:val="20"/>
          <w:szCs w:val="20"/>
        </w:rPr>
        <w:t>Outcome 4: Increase access to occupationally directed programmes;</w:t>
      </w:r>
    </w:p>
    <w:p w:rsidR="00C418A0" w:rsidRPr="00AF3755" w:rsidRDefault="00C418A0" w:rsidP="00AF3755">
      <w:pPr>
        <w:numPr>
          <w:ilvl w:val="0"/>
          <w:numId w:val="61"/>
        </w:numPr>
        <w:pBdr>
          <w:left w:val="none" w:sz="0" w:space="1" w:color="auto"/>
        </w:pBdr>
        <w:spacing w:after="0" w:line="240" w:lineRule="auto"/>
        <w:rPr>
          <w:rFonts w:ascii="Arial" w:eastAsia="serif" w:hAnsi="Arial" w:cs="Arial"/>
          <w:sz w:val="20"/>
          <w:szCs w:val="20"/>
        </w:rPr>
      </w:pPr>
      <w:r w:rsidRPr="00AF3755">
        <w:rPr>
          <w:rFonts w:ascii="Arial" w:hAnsi="Arial" w:cs="Arial"/>
          <w:sz w:val="20"/>
          <w:szCs w:val="20"/>
        </w:rPr>
        <w:t>Outcome 5: Support the growth of the public college system;</w:t>
      </w:r>
    </w:p>
    <w:p w:rsidR="00C418A0" w:rsidRPr="00AF3755" w:rsidRDefault="00C418A0" w:rsidP="00AF3755">
      <w:pPr>
        <w:numPr>
          <w:ilvl w:val="0"/>
          <w:numId w:val="61"/>
        </w:numPr>
        <w:pBdr>
          <w:left w:val="none" w:sz="0" w:space="1" w:color="auto"/>
        </w:pBdr>
        <w:spacing w:after="0" w:line="240" w:lineRule="auto"/>
        <w:rPr>
          <w:rFonts w:ascii="Arial" w:eastAsia="serif" w:hAnsi="Arial" w:cs="Arial"/>
          <w:sz w:val="20"/>
          <w:szCs w:val="20"/>
        </w:rPr>
      </w:pPr>
      <w:r w:rsidRPr="00AF3755">
        <w:rPr>
          <w:rFonts w:ascii="Arial" w:hAnsi="Arial" w:cs="Arial"/>
          <w:sz w:val="20"/>
          <w:szCs w:val="20"/>
        </w:rPr>
        <w:t>Outcome 6: Skills development support for entrepreneurship and cooperative development;</w:t>
      </w:r>
    </w:p>
    <w:p w:rsidR="00C418A0" w:rsidRPr="00AF3755" w:rsidRDefault="00C418A0" w:rsidP="00AF3755">
      <w:pPr>
        <w:numPr>
          <w:ilvl w:val="0"/>
          <w:numId w:val="61"/>
        </w:numPr>
        <w:pBdr>
          <w:left w:val="none" w:sz="0" w:space="1" w:color="auto"/>
        </w:pBdr>
        <w:spacing w:after="0" w:line="240" w:lineRule="auto"/>
        <w:rPr>
          <w:rFonts w:ascii="Arial" w:eastAsia="serif" w:hAnsi="Arial" w:cs="Arial"/>
          <w:sz w:val="20"/>
          <w:szCs w:val="20"/>
        </w:rPr>
      </w:pPr>
      <w:r w:rsidRPr="00AF3755">
        <w:rPr>
          <w:rFonts w:ascii="Arial" w:hAnsi="Arial" w:cs="Arial"/>
          <w:sz w:val="20"/>
          <w:szCs w:val="20"/>
        </w:rPr>
        <w:t>Outcome 7: Encourage and support worker-initiated training; and</w:t>
      </w:r>
    </w:p>
    <w:p w:rsidR="00C418A0" w:rsidRPr="00AF3755" w:rsidRDefault="00C418A0" w:rsidP="00AF3755">
      <w:pPr>
        <w:numPr>
          <w:ilvl w:val="0"/>
          <w:numId w:val="61"/>
        </w:numPr>
        <w:pBdr>
          <w:left w:val="none" w:sz="0" w:space="1" w:color="auto"/>
        </w:pBdr>
        <w:spacing w:after="0" w:line="240" w:lineRule="auto"/>
        <w:rPr>
          <w:rFonts w:ascii="Arial" w:eastAsia="serif" w:hAnsi="Arial" w:cs="Arial"/>
          <w:sz w:val="20"/>
          <w:szCs w:val="20"/>
        </w:rPr>
      </w:pPr>
      <w:r w:rsidRPr="00AF3755">
        <w:rPr>
          <w:rFonts w:ascii="Arial" w:hAnsi="Arial" w:cs="Arial"/>
          <w:sz w:val="20"/>
          <w:szCs w:val="20"/>
        </w:rPr>
        <w:t>Outcome 8: Support career development services.</w:t>
      </w:r>
    </w:p>
    <w:p w:rsidR="00C055B7" w:rsidRPr="00AF3755" w:rsidRDefault="00C055B7" w:rsidP="00AF3755">
      <w:pPr>
        <w:pStyle w:val="ListParagraph"/>
        <w:spacing w:after="0" w:line="240" w:lineRule="auto"/>
        <w:ind w:left="0"/>
        <w:rPr>
          <w:rFonts w:ascii="Arial" w:hAnsi="Arial" w:cs="Arial"/>
          <w:sz w:val="20"/>
          <w:szCs w:val="20"/>
        </w:rPr>
      </w:pPr>
    </w:p>
    <w:p w:rsidR="00C055B7" w:rsidRPr="00AF3755" w:rsidRDefault="00C055B7"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2021 State of the Nation Address (SONA)</w:t>
      </w:r>
    </w:p>
    <w:p w:rsidR="002C0DC3" w:rsidRPr="00AF3755" w:rsidRDefault="002C0DC3" w:rsidP="00AF3755">
      <w:pPr>
        <w:spacing w:after="0" w:line="240" w:lineRule="auto"/>
        <w:rPr>
          <w:rFonts w:ascii="Arial" w:hAnsi="Arial" w:cs="Arial"/>
          <w:bCs/>
          <w:sz w:val="20"/>
          <w:szCs w:val="20"/>
          <w:lang w:eastAsia="en-ZA"/>
        </w:rPr>
      </w:pPr>
      <w:r w:rsidRPr="00AF3755">
        <w:rPr>
          <w:rFonts w:ascii="Arial" w:hAnsi="Arial" w:cs="Arial"/>
          <w:sz w:val="20"/>
          <w:szCs w:val="20"/>
        </w:rPr>
        <w:t xml:space="preserve">In February 2021, the President, Mr Ramaphosa addressed the South African citizens during his State of the Nation Address. </w:t>
      </w:r>
      <w:r w:rsidRPr="00AF3755">
        <w:rPr>
          <w:rFonts w:ascii="Arial" w:hAnsi="Arial" w:cs="Arial"/>
          <w:bCs/>
          <w:sz w:val="20"/>
          <w:szCs w:val="20"/>
          <w:lang w:eastAsia="en-ZA"/>
        </w:rPr>
        <w:t>The President’s SONA focussed on the following:</w:t>
      </w:r>
    </w:p>
    <w:p w:rsidR="002C0DC3" w:rsidRPr="00AF3755" w:rsidRDefault="002C0DC3" w:rsidP="00AF3755">
      <w:pPr>
        <w:pStyle w:val="ListParagraph"/>
        <w:numPr>
          <w:ilvl w:val="0"/>
          <w:numId w:val="62"/>
        </w:numPr>
        <w:spacing w:after="0" w:line="240" w:lineRule="auto"/>
        <w:rPr>
          <w:rFonts w:ascii="Arial" w:hAnsi="Arial" w:cs="Arial"/>
          <w:bCs/>
          <w:sz w:val="20"/>
          <w:szCs w:val="20"/>
          <w:lang w:eastAsia="en-ZA"/>
        </w:rPr>
      </w:pPr>
      <w:r w:rsidRPr="00AF3755">
        <w:rPr>
          <w:rFonts w:ascii="Arial" w:hAnsi="Arial" w:cs="Arial"/>
          <w:bCs/>
          <w:sz w:val="20"/>
          <w:szCs w:val="20"/>
          <w:lang w:eastAsia="en-ZA"/>
        </w:rPr>
        <w:t>To defeat the Coronavirus (COVID-19) pandemic;</w:t>
      </w:r>
    </w:p>
    <w:p w:rsidR="002C0DC3" w:rsidRPr="00AF3755" w:rsidRDefault="002C0DC3" w:rsidP="00AF3755">
      <w:pPr>
        <w:pStyle w:val="ListParagraph"/>
        <w:numPr>
          <w:ilvl w:val="0"/>
          <w:numId w:val="62"/>
        </w:numPr>
        <w:spacing w:after="0" w:line="240" w:lineRule="auto"/>
        <w:rPr>
          <w:rFonts w:ascii="Arial" w:hAnsi="Arial" w:cs="Arial"/>
          <w:bCs/>
          <w:sz w:val="20"/>
          <w:szCs w:val="20"/>
          <w:lang w:eastAsia="en-ZA"/>
        </w:rPr>
      </w:pPr>
      <w:r w:rsidRPr="00AF3755">
        <w:rPr>
          <w:rFonts w:ascii="Arial" w:hAnsi="Arial" w:cs="Arial"/>
          <w:bCs/>
          <w:sz w:val="20"/>
          <w:szCs w:val="20"/>
          <w:lang w:eastAsia="en-ZA"/>
        </w:rPr>
        <w:t>To accelerate economic recovery;</w:t>
      </w:r>
    </w:p>
    <w:p w:rsidR="002C0DC3" w:rsidRPr="00AF3755" w:rsidRDefault="002C0DC3" w:rsidP="00AF3755">
      <w:pPr>
        <w:pStyle w:val="ListParagraph"/>
        <w:numPr>
          <w:ilvl w:val="0"/>
          <w:numId w:val="62"/>
        </w:numPr>
        <w:spacing w:after="0" w:line="240" w:lineRule="auto"/>
        <w:rPr>
          <w:rFonts w:ascii="Arial" w:hAnsi="Arial" w:cs="Arial"/>
          <w:bCs/>
          <w:sz w:val="20"/>
          <w:szCs w:val="20"/>
          <w:lang w:eastAsia="en-ZA"/>
        </w:rPr>
      </w:pPr>
      <w:r w:rsidRPr="00AF3755">
        <w:rPr>
          <w:rFonts w:ascii="Arial" w:hAnsi="Arial" w:cs="Arial"/>
          <w:bCs/>
          <w:sz w:val="20"/>
          <w:szCs w:val="20"/>
          <w:lang w:eastAsia="en-ZA"/>
        </w:rPr>
        <w:t>To implement economic reforms to create sustainable jobs and drive inclusive growth; and</w:t>
      </w:r>
    </w:p>
    <w:p w:rsidR="002C0DC3" w:rsidRPr="00AF3755" w:rsidRDefault="002C0DC3" w:rsidP="00AF3755">
      <w:pPr>
        <w:pStyle w:val="ListParagraph"/>
        <w:numPr>
          <w:ilvl w:val="0"/>
          <w:numId w:val="62"/>
        </w:numPr>
        <w:spacing w:after="0" w:line="240" w:lineRule="auto"/>
        <w:rPr>
          <w:rFonts w:ascii="Arial" w:hAnsi="Arial" w:cs="Arial"/>
          <w:bCs/>
          <w:sz w:val="20"/>
          <w:szCs w:val="20"/>
          <w:lang w:eastAsia="en-ZA"/>
        </w:rPr>
      </w:pPr>
      <w:r w:rsidRPr="00AF3755">
        <w:rPr>
          <w:rFonts w:ascii="Arial" w:hAnsi="Arial" w:cs="Arial"/>
          <w:bCs/>
          <w:sz w:val="20"/>
          <w:szCs w:val="20"/>
          <w:lang w:eastAsia="en-ZA"/>
        </w:rPr>
        <w:t xml:space="preserve">Fight corruption and strengthen the State. </w:t>
      </w:r>
    </w:p>
    <w:p w:rsidR="002C0DC3" w:rsidRPr="00AF3755" w:rsidRDefault="002C0DC3" w:rsidP="00AF3755">
      <w:pPr>
        <w:autoSpaceDE w:val="0"/>
        <w:autoSpaceDN w:val="0"/>
        <w:adjustRightInd w:val="0"/>
        <w:spacing w:after="0" w:line="240" w:lineRule="auto"/>
        <w:contextualSpacing/>
        <w:rPr>
          <w:rFonts w:ascii="Arial" w:hAnsi="Arial" w:cs="Arial"/>
          <w:bCs/>
          <w:sz w:val="20"/>
          <w:szCs w:val="20"/>
          <w:lang w:eastAsia="en-ZA"/>
        </w:rPr>
      </w:pPr>
    </w:p>
    <w:p w:rsidR="002C0DC3" w:rsidRPr="00AF3755" w:rsidRDefault="002C0DC3" w:rsidP="00AF3755">
      <w:pPr>
        <w:autoSpaceDE w:val="0"/>
        <w:autoSpaceDN w:val="0"/>
        <w:adjustRightInd w:val="0"/>
        <w:spacing w:after="0" w:line="240" w:lineRule="auto"/>
        <w:contextualSpacing/>
        <w:rPr>
          <w:rFonts w:ascii="Arial" w:hAnsi="Arial" w:cs="Arial"/>
          <w:bCs/>
          <w:sz w:val="20"/>
          <w:szCs w:val="20"/>
          <w:lang w:eastAsia="en-ZA"/>
        </w:rPr>
      </w:pPr>
      <w:r w:rsidRPr="00AF3755">
        <w:rPr>
          <w:rFonts w:ascii="Arial" w:hAnsi="Arial" w:cs="Arial"/>
          <w:bCs/>
          <w:sz w:val="20"/>
          <w:szCs w:val="20"/>
          <w:lang w:eastAsia="en-ZA"/>
        </w:rPr>
        <w:t xml:space="preserve">One of the key focus areas of the February 2021 SONA was inclusive growth, which addresses critical priorities for the Higher Education and Training sector. </w:t>
      </w:r>
      <w:r w:rsidRPr="00AF3755">
        <w:rPr>
          <w:rFonts w:ascii="Arial" w:hAnsi="Arial" w:cs="Arial"/>
          <w:sz w:val="20"/>
          <w:szCs w:val="20"/>
        </w:rPr>
        <w:t>There has been a steady improvement in the reach of education; although it is acknowledged that it is inadequate. The continued focus on inclusive growth is about the critical actions that are required to build a capable state and place the economy on the path to recovery.</w:t>
      </w:r>
      <w:r w:rsidR="00777002" w:rsidRPr="00AF3755">
        <w:rPr>
          <w:rFonts w:ascii="Arial" w:hAnsi="Arial" w:cs="Arial"/>
          <w:sz w:val="20"/>
          <w:szCs w:val="20"/>
        </w:rPr>
        <w:t xml:space="preserve"> The Department and its entities are required to implement programmes to contribute to the acceleration of economic recovery.</w:t>
      </w:r>
    </w:p>
    <w:p w:rsidR="002C0DC3" w:rsidRPr="00AF3755" w:rsidRDefault="002C0DC3" w:rsidP="00AF3755">
      <w:pPr>
        <w:autoSpaceDE w:val="0"/>
        <w:autoSpaceDN w:val="0"/>
        <w:adjustRightInd w:val="0"/>
        <w:spacing w:after="0" w:line="240" w:lineRule="auto"/>
        <w:contextualSpacing/>
        <w:rPr>
          <w:rFonts w:ascii="Arial" w:hAnsi="Arial" w:cs="Arial"/>
          <w:bCs/>
          <w:sz w:val="20"/>
          <w:szCs w:val="20"/>
          <w:lang w:eastAsia="en-ZA"/>
        </w:rPr>
      </w:pPr>
    </w:p>
    <w:p w:rsidR="00C055B7" w:rsidRPr="00AF3755" w:rsidRDefault="00C055B7" w:rsidP="00AF3755">
      <w:pPr>
        <w:pStyle w:val="ListParagraph"/>
        <w:numPr>
          <w:ilvl w:val="0"/>
          <w:numId w:val="1"/>
        </w:numPr>
        <w:spacing w:after="0" w:line="240" w:lineRule="auto"/>
        <w:rPr>
          <w:rFonts w:ascii="Arial" w:hAnsi="Arial" w:cs="Arial"/>
          <w:sz w:val="20"/>
          <w:szCs w:val="20"/>
        </w:rPr>
      </w:pPr>
      <w:r w:rsidRPr="00AF3755">
        <w:rPr>
          <w:rFonts w:ascii="Arial" w:hAnsi="Arial" w:cs="Arial"/>
          <w:b/>
          <w:bCs/>
          <w:sz w:val="20"/>
          <w:szCs w:val="20"/>
        </w:rPr>
        <w:t xml:space="preserve">RESPONSE TO THE PREVIOUS FINANCIAL YEAR RECOMMENDATIONS OF THE PORTFOLIO COMMITTEE AND THE SELECTED </w:t>
      </w:r>
      <w:r w:rsidR="005F166F" w:rsidRPr="00AF3755">
        <w:rPr>
          <w:rFonts w:ascii="Arial" w:hAnsi="Arial" w:cs="Arial"/>
          <w:b/>
          <w:bCs/>
          <w:sz w:val="20"/>
          <w:szCs w:val="20"/>
        </w:rPr>
        <w:t>2022/23</w:t>
      </w:r>
      <w:r w:rsidRPr="00AF3755">
        <w:rPr>
          <w:rFonts w:ascii="Arial" w:hAnsi="Arial" w:cs="Arial"/>
          <w:b/>
          <w:bCs/>
          <w:sz w:val="20"/>
          <w:szCs w:val="20"/>
        </w:rPr>
        <w:t xml:space="preserve"> BUDGET VOTE 17 REPORT RECOMMENDATIONS</w:t>
      </w:r>
    </w:p>
    <w:p w:rsidR="00C055B7" w:rsidRPr="00AF3755" w:rsidRDefault="005F166F"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2021 Budgetary Review and Recommendation Report</w:t>
      </w:r>
      <w:r w:rsidR="00207C04" w:rsidRPr="00AF3755">
        <w:rPr>
          <w:rFonts w:ascii="Arial" w:hAnsi="Arial" w:cs="Arial"/>
          <w:b/>
          <w:sz w:val="20"/>
          <w:szCs w:val="20"/>
        </w:rPr>
        <w:t xml:space="preserve"> (BRRR)</w:t>
      </w:r>
    </w:p>
    <w:p w:rsidR="00B26F47" w:rsidRPr="00AF3755" w:rsidRDefault="00B26F47" w:rsidP="00AF3755">
      <w:pPr>
        <w:pStyle w:val="ListParagraph"/>
        <w:spacing w:after="0" w:line="240" w:lineRule="auto"/>
        <w:ind w:left="0"/>
        <w:rPr>
          <w:rFonts w:ascii="Arial" w:hAnsi="Arial" w:cs="Arial"/>
          <w:sz w:val="20"/>
          <w:szCs w:val="20"/>
        </w:rPr>
      </w:pPr>
    </w:p>
    <w:p w:rsidR="00B26F47" w:rsidRPr="00AF3755" w:rsidRDefault="00B26F47" w:rsidP="00AF3755">
      <w:pPr>
        <w:pStyle w:val="ListParagraph"/>
        <w:spacing w:after="0" w:line="240" w:lineRule="auto"/>
        <w:ind w:left="0"/>
        <w:rPr>
          <w:rFonts w:ascii="Arial" w:hAnsi="Arial" w:cs="Arial"/>
          <w:sz w:val="20"/>
          <w:szCs w:val="20"/>
        </w:rPr>
      </w:pPr>
      <w:r w:rsidRPr="00AF3755">
        <w:rPr>
          <w:rFonts w:ascii="Arial" w:hAnsi="Arial" w:cs="Arial"/>
          <w:sz w:val="20"/>
          <w:szCs w:val="20"/>
        </w:rPr>
        <w:t>In accordance with section 7(4) of the Money Bills Amendment Procedure and Related Matters Act, 2009 (Act No. 9 of 2009), which provides the following:</w:t>
      </w:r>
    </w:p>
    <w:p w:rsidR="00B26F47" w:rsidRPr="00AF3755" w:rsidRDefault="00B26F47" w:rsidP="00AF3755">
      <w:pPr>
        <w:pStyle w:val="ListParagraph"/>
        <w:spacing w:after="0" w:line="240" w:lineRule="auto"/>
        <w:ind w:left="0"/>
        <w:rPr>
          <w:rFonts w:ascii="Arial" w:hAnsi="Arial" w:cs="Arial"/>
          <w:sz w:val="20"/>
          <w:szCs w:val="20"/>
        </w:rPr>
      </w:pPr>
    </w:p>
    <w:p w:rsidR="00B26F47" w:rsidRPr="00AF3755" w:rsidRDefault="00B26F47"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sz w:val="20"/>
          <w:szCs w:val="20"/>
        </w:rPr>
        <w:t>“The Minister must submit a report to the House at the same time as tabling the Bills referred to in subsections (1) and (3), explaining how the Division of Revenue Bill and the national budget give effect to, or the reasons for not considering, the recommendations contained in the reports referred to in section 5(2), 6(7) and 6(12). Accordingly, the Report of the Minister of Finance was tabled to Parliament.</w:t>
      </w: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Below are responses from the Minister of Finance to the </w:t>
      </w:r>
      <w:r w:rsidR="00B26F47" w:rsidRPr="00AF3755">
        <w:rPr>
          <w:rFonts w:ascii="Arial" w:hAnsi="Arial" w:cs="Arial"/>
          <w:color w:val="000000" w:themeColor="text1"/>
          <w:sz w:val="20"/>
          <w:szCs w:val="20"/>
        </w:rPr>
        <w:t xml:space="preserve">Committee’s </w:t>
      </w:r>
      <w:r w:rsidRPr="00AF3755">
        <w:rPr>
          <w:rFonts w:ascii="Arial" w:hAnsi="Arial" w:cs="Arial"/>
          <w:color w:val="000000" w:themeColor="text1"/>
          <w:sz w:val="20"/>
          <w:szCs w:val="20"/>
        </w:rPr>
        <w:t>2021 Budgetary Review and Recommendation Report (BRRR) of the Committee.</w:t>
      </w:r>
    </w:p>
    <w:p w:rsidR="00287157" w:rsidRPr="00AF3755" w:rsidRDefault="00287157" w:rsidP="00AF3755">
      <w:pPr>
        <w:numPr>
          <w:ilvl w:val="0"/>
          <w:numId w:val="6"/>
        </w:numPr>
        <w:spacing w:after="0" w:line="240" w:lineRule="auto"/>
        <w:ind w:left="357" w:hanging="357"/>
        <w:rPr>
          <w:rFonts w:ascii="Arial" w:eastAsia="serif" w:hAnsi="Arial" w:cs="Arial"/>
          <w:color w:val="000000" w:themeColor="text1"/>
          <w:sz w:val="20"/>
          <w:szCs w:val="20"/>
        </w:rPr>
      </w:pPr>
      <w:r w:rsidRPr="00AF3755">
        <w:rPr>
          <w:rFonts w:ascii="Arial" w:hAnsi="Arial" w:cs="Arial"/>
          <w:color w:val="000000" w:themeColor="text1"/>
          <w:sz w:val="20"/>
          <w:szCs w:val="20"/>
        </w:rPr>
        <w:t>The Committee noted that with the current funding for ministerial approved programmes at 62 per cent, the department will not be able to meet the enrolment target as per the National Development Plan (NDP)</w:t>
      </w:r>
      <w:r w:rsidRPr="00AF3755">
        <w:rPr>
          <w:rFonts w:ascii="Arial" w:hAnsi="Arial" w:cs="Arial"/>
          <w:i/>
          <w:iCs/>
          <w:color w:val="000000" w:themeColor="text1"/>
          <w:sz w:val="20"/>
          <w:szCs w:val="20"/>
        </w:rPr>
        <w:t xml:space="preserve">. </w:t>
      </w:r>
      <w:r w:rsidRPr="00AF3755">
        <w:rPr>
          <w:rFonts w:ascii="Arial" w:hAnsi="Arial" w:cs="Arial"/>
          <w:color w:val="000000" w:themeColor="text1"/>
          <w:sz w:val="20"/>
          <w:szCs w:val="20"/>
        </w:rPr>
        <w:t>The committee recommended that consideration be made toward progressively injecting additional funds to achieve the 80 per cent funding.</w:t>
      </w:r>
    </w:p>
    <w:p w:rsidR="00287157" w:rsidRPr="00AF3755" w:rsidRDefault="00287157" w:rsidP="00AF3755">
      <w:pPr>
        <w:spacing w:after="0" w:line="240" w:lineRule="auto"/>
        <w:rPr>
          <w:rFonts w:ascii="Arial" w:eastAsia="serif" w:hAnsi="Arial" w:cs="Arial"/>
          <w:color w:val="000000" w:themeColor="text1"/>
          <w:sz w:val="20"/>
          <w:szCs w:val="20"/>
        </w:rPr>
      </w:pPr>
    </w:p>
    <w:p w:rsidR="00287157" w:rsidRPr="00AF3755" w:rsidRDefault="00287157" w:rsidP="00AF3755">
      <w:pPr>
        <w:spacing w:after="0" w:line="240" w:lineRule="auto"/>
        <w:rPr>
          <w:rFonts w:ascii="Arial" w:eastAsia="serif" w:hAnsi="Arial" w:cs="Arial"/>
          <w:color w:val="000000" w:themeColor="text1"/>
          <w:sz w:val="20"/>
          <w:szCs w:val="20"/>
        </w:rPr>
      </w:pPr>
      <w:r w:rsidRPr="00AF3755">
        <w:rPr>
          <w:rFonts w:ascii="Arial" w:hAnsi="Arial" w:cs="Arial"/>
          <w:b/>
          <w:bCs/>
          <w:color w:val="000000" w:themeColor="text1"/>
          <w:sz w:val="20"/>
          <w:szCs w:val="20"/>
        </w:rPr>
        <w:t>Minister of Finance’s response:</w:t>
      </w:r>
      <w:r w:rsidRPr="00AF3755">
        <w:rPr>
          <w:rFonts w:ascii="Arial" w:hAnsi="Arial" w:cs="Arial"/>
          <w:color w:val="000000" w:themeColor="text1"/>
          <w:sz w:val="20"/>
          <w:szCs w:val="20"/>
        </w:rPr>
        <w:t xml:space="preserve"> The National Treasury acknowledges this recommendation. In light of the limited resources available to Government, the Department of Higher Education and Training has had to tailor enrolment funding for the technical and vocational education and training colleges to align it to the funding available. Should the government’s fiscal position improve, the department will be considered for additional resources.</w:t>
      </w: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Committee notes the response.</w:t>
      </w:r>
    </w:p>
    <w:p w:rsidR="00287157" w:rsidRPr="00AF3755" w:rsidRDefault="00287157" w:rsidP="00AF3755">
      <w:pPr>
        <w:numPr>
          <w:ilvl w:val="0"/>
          <w:numId w:val="7"/>
        </w:numPr>
        <w:spacing w:after="0" w:line="240" w:lineRule="auto"/>
        <w:ind w:left="357" w:hanging="357"/>
        <w:rPr>
          <w:rFonts w:ascii="Arial" w:eastAsia="serif" w:hAnsi="Arial" w:cs="Arial"/>
          <w:color w:val="000000" w:themeColor="text1"/>
          <w:sz w:val="20"/>
          <w:szCs w:val="20"/>
        </w:rPr>
      </w:pPr>
      <w:r w:rsidRPr="00AF3755">
        <w:rPr>
          <w:rFonts w:ascii="Arial" w:hAnsi="Arial" w:cs="Arial"/>
          <w:color w:val="000000" w:themeColor="text1"/>
          <w:sz w:val="20"/>
          <w:szCs w:val="20"/>
        </w:rPr>
        <w:t>The Committee recommended additional funding towards Community Education and Training (CET), especially given the high rate of youth unemployment and the growing number of youths not in education, employment or training.</w:t>
      </w:r>
    </w:p>
    <w:p w:rsidR="004234AE" w:rsidRPr="00AF3755" w:rsidRDefault="004234AE" w:rsidP="00AF3755">
      <w:pPr>
        <w:spacing w:after="0" w:line="240" w:lineRule="auto"/>
        <w:rPr>
          <w:rFonts w:ascii="Arial" w:hAnsi="Arial" w:cs="Arial"/>
          <w:b/>
          <w:bCs/>
          <w:color w:val="000000" w:themeColor="text1"/>
          <w:sz w:val="20"/>
          <w:szCs w:val="20"/>
        </w:rPr>
      </w:pP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b/>
          <w:bCs/>
          <w:color w:val="000000" w:themeColor="text1"/>
          <w:sz w:val="20"/>
          <w:szCs w:val="20"/>
        </w:rPr>
        <w:t>Minister of Finance’s response:</w:t>
      </w:r>
      <w:r w:rsidRPr="00AF3755">
        <w:rPr>
          <w:rFonts w:ascii="Arial" w:hAnsi="Arial" w:cs="Arial"/>
          <w:color w:val="000000" w:themeColor="text1"/>
          <w:sz w:val="20"/>
          <w:szCs w:val="20"/>
        </w:rPr>
        <w:t xml:space="preserve"> The National Treasury shares the committee’s concern about the high rate of youth unemployment and the need to provide opportunities for young people. At present, enrolment at CET colleges is relatively low because of low demand rather than limited funding. Improving efficiency, including providing more relevant courses, is likely to encourage more young people to enrol at CET colleges.</w:t>
      </w:r>
    </w:p>
    <w:p w:rsidR="00287157" w:rsidRPr="00AF3755" w:rsidRDefault="00287157" w:rsidP="00AF3755">
      <w:pPr>
        <w:numPr>
          <w:ilvl w:val="0"/>
          <w:numId w:val="8"/>
        </w:numPr>
        <w:spacing w:after="0" w:line="240" w:lineRule="auto"/>
        <w:ind w:left="357" w:hanging="357"/>
        <w:rPr>
          <w:rFonts w:ascii="Arial" w:eastAsia="serif" w:hAnsi="Arial" w:cs="Arial"/>
          <w:color w:val="000000" w:themeColor="text1"/>
          <w:sz w:val="20"/>
          <w:szCs w:val="20"/>
        </w:rPr>
      </w:pPr>
      <w:r w:rsidRPr="00AF3755">
        <w:rPr>
          <w:rFonts w:ascii="Arial" w:hAnsi="Arial" w:cs="Arial"/>
          <w:color w:val="000000" w:themeColor="text1"/>
          <w:sz w:val="20"/>
          <w:szCs w:val="20"/>
        </w:rPr>
        <w:t>The Committee implored the National Treasury to consider additional funding for the National Student Financial Aid Scheme (NSFAS) to avert the instability and unfortunate loss of lives experienced at the beginning of the 2021 academic year.</w:t>
      </w:r>
    </w:p>
    <w:p w:rsidR="00287157" w:rsidRPr="00AF3755" w:rsidRDefault="00287157" w:rsidP="00AF3755">
      <w:pPr>
        <w:spacing w:after="0" w:line="240" w:lineRule="auto"/>
        <w:ind w:left="357"/>
        <w:rPr>
          <w:rFonts w:ascii="Arial" w:hAnsi="Arial" w:cs="Arial"/>
          <w:color w:val="000000" w:themeColor="text1"/>
          <w:sz w:val="20"/>
          <w:szCs w:val="20"/>
        </w:rPr>
      </w:pP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b/>
          <w:bCs/>
          <w:color w:val="000000" w:themeColor="text1"/>
          <w:sz w:val="20"/>
          <w:szCs w:val="20"/>
        </w:rPr>
        <w:t>Minister of Finance’s response:</w:t>
      </w:r>
      <w:r w:rsidRPr="00AF3755">
        <w:rPr>
          <w:rFonts w:ascii="Arial" w:hAnsi="Arial" w:cs="Arial"/>
          <w:color w:val="000000" w:themeColor="text1"/>
          <w:sz w:val="20"/>
          <w:szCs w:val="20"/>
        </w:rPr>
        <w:t xml:space="preserve"> Cabinet is engaging with input from the Ministerial Task Team on Student Funding to find a sustainable solution to the increasing demand to provide fee</w:t>
      </w:r>
      <w:r w:rsidRPr="00AF3755">
        <w:rPr>
          <w:rFonts w:ascii="Times New Roman" w:hAnsi="Times New Roman" w:cs="Arial"/>
          <w:color w:val="000000" w:themeColor="text1"/>
          <w:sz w:val="20"/>
          <w:szCs w:val="20"/>
        </w:rPr>
        <w:t>‐</w:t>
      </w:r>
      <w:r w:rsidRPr="00AF3755">
        <w:rPr>
          <w:rFonts w:ascii="Arial" w:hAnsi="Arial" w:cs="Arial"/>
          <w:color w:val="000000" w:themeColor="text1"/>
          <w:sz w:val="20"/>
          <w:szCs w:val="20"/>
        </w:rPr>
        <w:t>free higher education funding. Funding of the current model has been supplemented by an additional allocation of R32</w:t>
      </w:r>
      <w:r w:rsidR="00067E63" w:rsidRPr="00AF3755">
        <w:rPr>
          <w:rFonts w:ascii="Arial" w:hAnsi="Arial" w:cs="Arial"/>
          <w:color w:val="000000" w:themeColor="text1"/>
          <w:sz w:val="20"/>
          <w:szCs w:val="20"/>
        </w:rPr>
        <w:t>,</w:t>
      </w:r>
      <w:r w:rsidRPr="00AF3755">
        <w:rPr>
          <w:rFonts w:ascii="Arial" w:hAnsi="Arial" w:cs="Arial"/>
          <w:color w:val="000000" w:themeColor="text1"/>
          <w:sz w:val="20"/>
          <w:szCs w:val="20"/>
        </w:rPr>
        <w:t>6 billion over the medium term.</w:t>
      </w: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Committee welcomed the additional funding for student funding, which will bring stability within the sector and will further ensure that guidelines for the DHET Bursary to guide the allocation of funds are published on time.</w:t>
      </w:r>
    </w:p>
    <w:p w:rsidR="00287157" w:rsidRPr="00AF3755" w:rsidRDefault="00287157" w:rsidP="00AF3755">
      <w:pPr>
        <w:numPr>
          <w:ilvl w:val="0"/>
          <w:numId w:val="9"/>
        </w:numPr>
        <w:pBdr>
          <w:left w:val="none" w:sz="0" w:space="1" w:color="auto"/>
        </w:pBdr>
        <w:spacing w:after="0" w:line="240" w:lineRule="auto"/>
        <w:ind w:left="360"/>
        <w:rPr>
          <w:rFonts w:ascii="Arial" w:eastAsia="serif" w:hAnsi="Arial" w:cs="Arial"/>
          <w:color w:val="000000" w:themeColor="text1"/>
          <w:sz w:val="20"/>
          <w:szCs w:val="20"/>
        </w:rPr>
      </w:pPr>
      <w:r w:rsidRPr="00AF3755">
        <w:rPr>
          <w:rFonts w:ascii="Arial" w:hAnsi="Arial" w:cs="Arial"/>
          <w:color w:val="000000" w:themeColor="text1"/>
          <w:sz w:val="20"/>
          <w:szCs w:val="20"/>
        </w:rPr>
        <w:t xml:space="preserve">The Committee requested that consideration for additional funding should be made to increase </w:t>
      </w:r>
      <w:r w:rsidR="00265AB4" w:rsidRPr="00AF3755">
        <w:rPr>
          <w:rFonts w:ascii="Arial" w:hAnsi="Arial" w:cs="Arial"/>
          <w:color w:val="000000" w:themeColor="text1"/>
          <w:sz w:val="20"/>
          <w:szCs w:val="20"/>
        </w:rPr>
        <w:t xml:space="preserve">the </w:t>
      </w:r>
      <w:r w:rsidRPr="00AF3755">
        <w:rPr>
          <w:rFonts w:ascii="Arial" w:hAnsi="Arial" w:cs="Arial"/>
          <w:color w:val="000000" w:themeColor="text1"/>
          <w:sz w:val="20"/>
          <w:szCs w:val="20"/>
        </w:rPr>
        <w:t>administrative expenditure of the NSFAS as the current administrative budget imposes limitations on the improvements that the Scheme can implement to improve efficiencies, including ICT challenges.</w:t>
      </w:r>
    </w:p>
    <w:p w:rsidR="00287157" w:rsidRPr="00AF3755" w:rsidRDefault="00287157" w:rsidP="00AF3755">
      <w:pPr>
        <w:spacing w:after="0" w:line="240" w:lineRule="auto"/>
        <w:rPr>
          <w:rFonts w:ascii="Arial" w:hAnsi="Arial" w:cs="Arial"/>
          <w:color w:val="000000" w:themeColor="text1"/>
          <w:sz w:val="20"/>
          <w:szCs w:val="20"/>
        </w:rPr>
      </w:pP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b/>
          <w:bCs/>
          <w:color w:val="000000" w:themeColor="text1"/>
          <w:sz w:val="20"/>
          <w:szCs w:val="20"/>
        </w:rPr>
        <w:t>Minister of Finance’s response:</w:t>
      </w:r>
      <w:r w:rsidRPr="00AF3755">
        <w:rPr>
          <w:rFonts w:ascii="Arial" w:hAnsi="Arial" w:cs="Arial"/>
          <w:color w:val="000000" w:themeColor="text1"/>
          <w:sz w:val="20"/>
          <w:szCs w:val="20"/>
        </w:rPr>
        <w:t xml:space="preserve"> The Department of Higher Education and Training has reprioritised R65 million from savings on unfilled posts in 2021/22. The funds will be used by NSFAS to address its information and communications technology challenges. Further savings may be found by addressing inefficiencies in NSFAS’s current operations.</w:t>
      </w: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The Committee welcomed the reprioritisation of R65 million towards NSFAS administration to address the </w:t>
      </w:r>
      <w:r w:rsidR="00265AB4" w:rsidRPr="00AF3755">
        <w:rPr>
          <w:rFonts w:ascii="Arial" w:hAnsi="Arial" w:cs="Arial"/>
          <w:color w:val="000000" w:themeColor="text1"/>
          <w:sz w:val="20"/>
          <w:szCs w:val="20"/>
        </w:rPr>
        <w:t>ICT-</w:t>
      </w:r>
      <w:r w:rsidRPr="00AF3755">
        <w:rPr>
          <w:rFonts w:ascii="Arial" w:hAnsi="Arial" w:cs="Arial"/>
          <w:color w:val="000000" w:themeColor="text1"/>
          <w:sz w:val="20"/>
          <w:szCs w:val="20"/>
        </w:rPr>
        <w:t xml:space="preserve">related challenges. However, NSFAS has reported that it has requested R200 million to effect necessary improvements in the ICT systems and processes and to ensure that the systems are fit for purpose. </w:t>
      </w:r>
    </w:p>
    <w:p w:rsidR="00287157" w:rsidRPr="00AF3755" w:rsidRDefault="00287157" w:rsidP="00AF3755">
      <w:pPr>
        <w:numPr>
          <w:ilvl w:val="0"/>
          <w:numId w:val="10"/>
        </w:numPr>
        <w:spacing w:after="0" w:line="240" w:lineRule="auto"/>
        <w:ind w:left="357" w:hanging="357"/>
        <w:rPr>
          <w:rFonts w:ascii="Arial" w:eastAsia="serif" w:hAnsi="Arial" w:cs="Arial"/>
          <w:color w:val="000000" w:themeColor="text1"/>
          <w:sz w:val="20"/>
          <w:szCs w:val="20"/>
        </w:rPr>
      </w:pPr>
      <w:r w:rsidRPr="00AF3755">
        <w:rPr>
          <w:rFonts w:ascii="Arial" w:hAnsi="Arial" w:cs="Arial"/>
          <w:color w:val="000000" w:themeColor="text1"/>
          <w:sz w:val="20"/>
          <w:szCs w:val="20"/>
        </w:rPr>
        <w:t>The Committee recommended that the National Treasury considers the South African Qualifications Authority (SAQA)’s request for additional funding so that the entity can fulfil its mandate and deliver services within the set turnaround times.</w:t>
      </w:r>
    </w:p>
    <w:p w:rsidR="00287157" w:rsidRPr="00AF3755" w:rsidRDefault="00287157" w:rsidP="00AF3755">
      <w:pPr>
        <w:spacing w:after="0" w:line="240" w:lineRule="auto"/>
        <w:ind w:left="360"/>
        <w:rPr>
          <w:rFonts w:ascii="Arial" w:hAnsi="Arial" w:cs="Arial"/>
          <w:color w:val="000000" w:themeColor="text1"/>
          <w:sz w:val="20"/>
          <w:szCs w:val="20"/>
        </w:rPr>
      </w:pP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b/>
          <w:bCs/>
          <w:color w:val="000000" w:themeColor="text1"/>
          <w:sz w:val="20"/>
          <w:szCs w:val="20"/>
        </w:rPr>
        <w:lastRenderedPageBreak/>
        <w:t>Minister of Finance’s response:</w:t>
      </w:r>
      <w:r w:rsidRPr="00AF3755">
        <w:rPr>
          <w:rFonts w:ascii="Arial" w:hAnsi="Arial" w:cs="Arial"/>
          <w:color w:val="000000" w:themeColor="text1"/>
          <w:sz w:val="20"/>
          <w:szCs w:val="20"/>
        </w:rPr>
        <w:t xml:space="preserve"> The Department of Higher Education and Training has reprioritised funding from its baseline to allocate an additional R10</w:t>
      </w:r>
      <w:r w:rsidR="00067E63" w:rsidRPr="00AF3755">
        <w:rPr>
          <w:rFonts w:ascii="Arial" w:hAnsi="Arial" w:cs="Arial"/>
          <w:color w:val="000000" w:themeColor="text1"/>
          <w:sz w:val="20"/>
          <w:szCs w:val="20"/>
        </w:rPr>
        <w:t>,</w:t>
      </w:r>
      <w:r w:rsidRPr="00AF3755">
        <w:rPr>
          <w:rFonts w:ascii="Arial" w:hAnsi="Arial" w:cs="Arial"/>
          <w:color w:val="000000" w:themeColor="text1"/>
          <w:sz w:val="20"/>
          <w:szCs w:val="20"/>
        </w:rPr>
        <w:t>6 million to SAQA over the medium</w:t>
      </w:r>
      <w:r w:rsidRPr="00AF3755">
        <w:rPr>
          <w:rFonts w:ascii="Times New Roman" w:hAnsi="Times New Roman" w:cs="Arial"/>
          <w:color w:val="000000" w:themeColor="text1"/>
          <w:sz w:val="20"/>
          <w:szCs w:val="20"/>
        </w:rPr>
        <w:t>‐</w:t>
      </w:r>
      <w:r w:rsidRPr="00AF3755">
        <w:rPr>
          <w:rFonts w:ascii="Arial" w:hAnsi="Arial" w:cs="Arial"/>
          <w:color w:val="000000" w:themeColor="text1"/>
          <w:sz w:val="20"/>
          <w:szCs w:val="20"/>
        </w:rPr>
        <w:t>term expenditure framework (MTEF) period.</w:t>
      </w:r>
    </w:p>
    <w:p w:rsidR="00287157" w:rsidRPr="00AF3755" w:rsidRDefault="00287157"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The Committee welcomed the additional allocation to SAQA </w:t>
      </w:r>
      <w:r w:rsidR="00E57362" w:rsidRPr="00AF3755">
        <w:rPr>
          <w:rFonts w:ascii="Arial" w:hAnsi="Arial" w:cs="Arial"/>
          <w:color w:val="000000" w:themeColor="text1"/>
          <w:sz w:val="20"/>
          <w:szCs w:val="20"/>
        </w:rPr>
        <w:t xml:space="preserve">over the 2022/23 MTEF period </w:t>
      </w:r>
      <w:r w:rsidRPr="00AF3755">
        <w:rPr>
          <w:rFonts w:ascii="Arial" w:hAnsi="Arial" w:cs="Arial"/>
          <w:color w:val="000000" w:themeColor="text1"/>
          <w:sz w:val="20"/>
          <w:szCs w:val="20"/>
        </w:rPr>
        <w:t>to implement its digitisation and automation projects.</w:t>
      </w:r>
      <w:r w:rsidR="009B27B1" w:rsidRPr="00AF3755">
        <w:rPr>
          <w:rFonts w:ascii="Arial" w:hAnsi="Arial" w:cs="Arial"/>
          <w:color w:val="000000" w:themeColor="text1"/>
          <w:sz w:val="20"/>
          <w:szCs w:val="20"/>
        </w:rPr>
        <w:t xml:space="preserve"> </w:t>
      </w:r>
    </w:p>
    <w:p w:rsidR="005F166F" w:rsidRPr="00AF3755" w:rsidRDefault="005F166F" w:rsidP="00AF3755">
      <w:pPr>
        <w:pStyle w:val="ListParagraph"/>
        <w:spacing w:after="0" w:line="240" w:lineRule="auto"/>
        <w:ind w:left="0"/>
        <w:rPr>
          <w:rFonts w:ascii="Arial" w:hAnsi="Arial" w:cs="Arial"/>
          <w:sz w:val="20"/>
          <w:szCs w:val="20"/>
        </w:rPr>
      </w:pPr>
    </w:p>
    <w:p w:rsidR="00CD280B" w:rsidRPr="00AF3755" w:rsidRDefault="00CD280B" w:rsidP="00AF3755">
      <w:pPr>
        <w:pStyle w:val="ListParagraph"/>
        <w:spacing w:after="0" w:line="240" w:lineRule="auto"/>
        <w:ind w:left="0"/>
        <w:rPr>
          <w:rFonts w:ascii="Arial" w:hAnsi="Arial" w:cs="Arial"/>
          <w:sz w:val="20"/>
          <w:szCs w:val="20"/>
        </w:rPr>
      </w:pPr>
    </w:p>
    <w:p w:rsidR="005F166F" w:rsidRPr="00AF3755" w:rsidRDefault="005F166F"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2022/23 Committee Budget Vote 17 Report</w:t>
      </w:r>
    </w:p>
    <w:p w:rsidR="00207C04" w:rsidRPr="00AF3755" w:rsidRDefault="00207C04" w:rsidP="00AF3755">
      <w:pPr>
        <w:pStyle w:val="ListParagraph"/>
        <w:spacing w:after="0" w:line="240" w:lineRule="auto"/>
        <w:ind w:left="0"/>
        <w:rPr>
          <w:rFonts w:ascii="Arial" w:hAnsi="Arial" w:cs="Arial"/>
          <w:sz w:val="20"/>
          <w:szCs w:val="20"/>
        </w:rPr>
      </w:pPr>
      <w:r w:rsidRPr="00AF3755">
        <w:rPr>
          <w:rFonts w:ascii="Arial" w:hAnsi="Arial" w:cs="Arial"/>
          <w:b/>
          <w:bCs/>
          <w:sz w:val="20"/>
          <w:szCs w:val="20"/>
        </w:rPr>
        <w:t>Summary of the selected 202</w:t>
      </w:r>
      <w:r w:rsidR="003C60D7" w:rsidRPr="00AF3755">
        <w:rPr>
          <w:rFonts w:ascii="Arial" w:hAnsi="Arial" w:cs="Arial"/>
          <w:b/>
          <w:bCs/>
          <w:sz w:val="20"/>
          <w:szCs w:val="20"/>
        </w:rPr>
        <w:t>2</w:t>
      </w:r>
      <w:r w:rsidRPr="00AF3755">
        <w:rPr>
          <w:rFonts w:ascii="Arial" w:hAnsi="Arial" w:cs="Arial"/>
          <w:b/>
          <w:bCs/>
          <w:sz w:val="20"/>
          <w:szCs w:val="20"/>
        </w:rPr>
        <w:t>/2</w:t>
      </w:r>
      <w:r w:rsidR="003C60D7" w:rsidRPr="00AF3755">
        <w:rPr>
          <w:rFonts w:ascii="Arial" w:hAnsi="Arial" w:cs="Arial"/>
          <w:b/>
          <w:bCs/>
          <w:sz w:val="20"/>
          <w:szCs w:val="20"/>
        </w:rPr>
        <w:t>3</w:t>
      </w:r>
      <w:r w:rsidRPr="00AF3755">
        <w:rPr>
          <w:rFonts w:ascii="Arial" w:hAnsi="Arial" w:cs="Arial"/>
          <w:b/>
          <w:bCs/>
          <w:sz w:val="20"/>
          <w:szCs w:val="20"/>
        </w:rPr>
        <w:t xml:space="preserve"> Committee Budget Vote 17 Report Recommendations</w:t>
      </w:r>
    </w:p>
    <w:p w:rsidR="005F166F" w:rsidRPr="00AF3755" w:rsidRDefault="003C60D7" w:rsidP="00AF3755">
      <w:pPr>
        <w:spacing w:after="0" w:line="240" w:lineRule="auto"/>
        <w:rPr>
          <w:rFonts w:ascii="Arial" w:hAnsi="Arial" w:cs="Arial"/>
          <w:sz w:val="20"/>
          <w:szCs w:val="20"/>
        </w:rPr>
      </w:pPr>
      <w:r w:rsidRPr="00AF3755">
        <w:rPr>
          <w:rFonts w:ascii="Arial" w:hAnsi="Arial" w:cs="Arial"/>
          <w:sz w:val="20"/>
          <w:szCs w:val="20"/>
        </w:rPr>
        <w:t xml:space="preserve">The Committee considered </w:t>
      </w:r>
      <w:r w:rsidR="00C05388" w:rsidRPr="00AF3755">
        <w:rPr>
          <w:rFonts w:ascii="Arial" w:hAnsi="Arial" w:cs="Arial"/>
          <w:sz w:val="20"/>
          <w:szCs w:val="20"/>
        </w:rPr>
        <w:t xml:space="preserve">the </w:t>
      </w:r>
      <w:r w:rsidRPr="00AF3755">
        <w:rPr>
          <w:rFonts w:ascii="Arial" w:hAnsi="Arial" w:cs="Arial"/>
          <w:sz w:val="20"/>
          <w:szCs w:val="20"/>
        </w:rPr>
        <w:t>202</w:t>
      </w:r>
      <w:r w:rsidR="00C05388" w:rsidRPr="00AF3755">
        <w:rPr>
          <w:rFonts w:ascii="Arial" w:hAnsi="Arial" w:cs="Arial"/>
          <w:sz w:val="20"/>
          <w:szCs w:val="20"/>
        </w:rPr>
        <w:t>2</w:t>
      </w:r>
      <w:r w:rsidRPr="00AF3755">
        <w:rPr>
          <w:rFonts w:ascii="Arial" w:hAnsi="Arial" w:cs="Arial"/>
          <w:sz w:val="20"/>
          <w:szCs w:val="20"/>
        </w:rPr>
        <w:t>/2</w:t>
      </w:r>
      <w:r w:rsidR="00C05388" w:rsidRPr="00AF3755">
        <w:rPr>
          <w:rFonts w:ascii="Arial" w:hAnsi="Arial" w:cs="Arial"/>
          <w:sz w:val="20"/>
          <w:szCs w:val="20"/>
        </w:rPr>
        <w:t>3</w:t>
      </w:r>
      <w:r w:rsidRPr="00AF3755">
        <w:rPr>
          <w:rFonts w:ascii="Arial" w:hAnsi="Arial" w:cs="Arial"/>
          <w:sz w:val="20"/>
          <w:szCs w:val="20"/>
        </w:rPr>
        <w:t xml:space="preserve"> Annual Performance Plan</w:t>
      </w:r>
      <w:r w:rsidR="00C05388" w:rsidRPr="00AF3755">
        <w:rPr>
          <w:rFonts w:ascii="Arial" w:hAnsi="Arial" w:cs="Arial"/>
          <w:sz w:val="20"/>
          <w:szCs w:val="20"/>
        </w:rPr>
        <w:t>s</w:t>
      </w:r>
      <w:r w:rsidRPr="00AF3755">
        <w:rPr>
          <w:rFonts w:ascii="Arial" w:hAnsi="Arial" w:cs="Arial"/>
          <w:sz w:val="20"/>
          <w:szCs w:val="20"/>
        </w:rPr>
        <w:t xml:space="preserve"> (APP) and budget</w:t>
      </w:r>
      <w:r w:rsidR="00C05388" w:rsidRPr="00AF3755">
        <w:rPr>
          <w:rFonts w:ascii="Arial" w:hAnsi="Arial" w:cs="Arial"/>
          <w:sz w:val="20"/>
          <w:szCs w:val="20"/>
        </w:rPr>
        <w:t>s</w:t>
      </w:r>
      <w:r w:rsidRPr="00AF3755">
        <w:rPr>
          <w:rFonts w:ascii="Arial" w:hAnsi="Arial" w:cs="Arial"/>
          <w:sz w:val="20"/>
          <w:szCs w:val="20"/>
        </w:rPr>
        <w:t xml:space="preserve"> of the Department of Higher Education and Training and </w:t>
      </w:r>
      <w:r w:rsidR="00C05388" w:rsidRPr="00AF3755">
        <w:rPr>
          <w:rFonts w:ascii="Arial" w:hAnsi="Arial" w:cs="Arial"/>
          <w:sz w:val="20"/>
          <w:szCs w:val="20"/>
        </w:rPr>
        <w:t xml:space="preserve">entities and </w:t>
      </w:r>
      <w:r w:rsidRPr="00AF3755">
        <w:rPr>
          <w:rFonts w:ascii="Arial" w:hAnsi="Arial" w:cs="Arial"/>
          <w:sz w:val="20"/>
          <w:szCs w:val="20"/>
        </w:rPr>
        <w:t xml:space="preserve">recommended, amongst others, the following:  </w:t>
      </w:r>
    </w:p>
    <w:p w:rsidR="00C05388" w:rsidRPr="00AF3755" w:rsidRDefault="00C05388"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Department expedites the filling of vacant positions within the stipulated timeframe, including the DDG University Education. The filling of vacant positions will assist the Department in meeting its service delivery requirements and related performance indicators and targets.</w:t>
      </w:r>
    </w:p>
    <w:p w:rsidR="00C05388" w:rsidRPr="00AF3755" w:rsidRDefault="00C05388"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Department considers adding more specific and actionable targets in the implementation of the Gender Equality and the GBV Policy Framework for the PSET system. Mainstreaming of the Department’s response to GBV will contribute significantly to the fight against the scourge in the PSET sector, t</w:t>
      </w:r>
      <w:r w:rsidRPr="00AF3755">
        <w:rPr>
          <w:rFonts w:ascii="Arial" w:hAnsi="Arial" w:cs="Arial"/>
          <w:iCs/>
          <w:color w:val="000000" w:themeColor="text1"/>
          <w:sz w:val="20"/>
          <w:szCs w:val="20"/>
        </w:rPr>
        <w:t xml:space="preserve">his would require the requisite funding in line with advancing </w:t>
      </w:r>
      <w:r w:rsidR="00265AB4" w:rsidRPr="00AF3755">
        <w:rPr>
          <w:rFonts w:ascii="Arial" w:hAnsi="Arial" w:cs="Arial"/>
          <w:iCs/>
          <w:color w:val="000000" w:themeColor="text1"/>
          <w:sz w:val="20"/>
          <w:szCs w:val="20"/>
        </w:rPr>
        <w:t>gender-</w:t>
      </w:r>
      <w:r w:rsidRPr="00AF3755">
        <w:rPr>
          <w:rFonts w:ascii="Arial" w:hAnsi="Arial" w:cs="Arial"/>
          <w:iCs/>
          <w:color w:val="000000" w:themeColor="text1"/>
          <w:sz w:val="20"/>
          <w:szCs w:val="20"/>
        </w:rPr>
        <w:t xml:space="preserve">responsive budgeting. </w:t>
      </w:r>
    </w:p>
    <w:p w:rsidR="00C05388" w:rsidRPr="00AF3755" w:rsidRDefault="00C05388"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Department expedites the development of a sustainable student funding model of the PSET system so that students from the missing middle bracket are assisted with funding to access higher education institutions.</w:t>
      </w:r>
    </w:p>
    <w:p w:rsidR="00C05388" w:rsidRPr="00AF3755" w:rsidRDefault="00C05388"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The development and expansion of student accommodation infrastructure in the TVET sector be prioritised, and capacity-building initiatives are implemented to assist the management of TVET colleges with the necessary skills required to utilise the Infrastructure Efficiency Grants (IEG) earmarked for infrastructure expansion and maintenance. </w:t>
      </w:r>
    </w:p>
    <w:p w:rsidR="00C05388" w:rsidRPr="00AF3755" w:rsidRDefault="00C05388"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Department expedites the improvement of student</w:t>
      </w:r>
      <w:r w:rsidR="00265AB4" w:rsidRPr="00AF3755">
        <w:rPr>
          <w:rFonts w:ascii="Arial" w:hAnsi="Arial" w:cs="Arial"/>
          <w:color w:val="000000" w:themeColor="text1"/>
          <w:sz w:val="20"/>
          <w:szCs w:val="20"/>
        </w:rPr>
        <w:t>s</w:t>
      </w:r>
      <w:r w:rsidRPr="00AF3755">
        <w:rPr>
          <w:rFonts w:ascii="Arial" w:hAnsi="Arial" w:cs="Arial"/>
          <w:color w:val="000000" w:themeColor="text1"/>
          <w:sz w:val="20"/>
          <w:szCs w:val="20"/>
        </w:rPr>
        <w:t xml:space="preserve">’ placement into workplace or industry to acquire the necessary work-based learning to complete their qualifications. Equally, the industry needs to absorb more students to participate in work-integrated learning programmes to obtain the necessary experience required to complete their qualifications.  </w:t>
      </w:r>
    </w:p>
    <w:p w:rsidR="004A6554" w:rsidRPr="00AF3755" w:rsidRDefault="00C05388"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Dedicated funding be considered to assist INDLELA Trade Test Centre to operate efficiently and effectively in the training and development of artisans required to build and sustain the economy.</w:t>
      </w:r>
    </w:p>
    <w:p w:rsidR="004A6554" w:rsidRPr="00AF3755" w:rsidRDefault="004A6554"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Department ensures that the resolutions coming out of the Ministerial CET Summit are implemented to position CET colleges as institutions of choice for the provision of skills programmes.</w:t>
      </w:r>
    </w:p>
    <w:p w:rsidR="004A6554" w:rsidRPr="00AF3755" w:rsidRDefault="004A6554"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NSFAS expedites the payment of tuition and residence fees to institutions so that institutions and private accommodation providers can cater for the needs of students in student residences.</w:t>
      </w:r>
    </w:p>
    <w:p w:rsidR="00205BF9" w:rsidRPr="00AF3755" w:rsidRDefault="004A6554"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The CHE, working with WSU, ensures that all students who have been negatively affected by the allegations </w:t>
      </w:r>
      <w:r w:rsidRPr="00AF3755">
        <w:rPr>
          <w:rFonts w:ascii="Arial" w:hAnsi="Arial" w:cs="Arial"/>
          <w:iCs/>
          <w:color w:val="000000" w:themeColor="text1"/>
          <w:sz w:val="20"/>
          <w:szCs w:val="20"/>
        </w:rPr>
        <w:t>in relation to</w:t>
      </w:r>
      <w:r w:rsidRPr="00AF3755">
        <w:rPr>
          <w:rFonts w:ascii="Arial" w:hAnsi="Arial" w:cs="Arial"/>
          <w:color w:val="000000" w:themeColor="text1"/>
          <w:sz w:val="20"/>
          <w:szCs w:val="20"/>
        </w:rPr>
        <w:t xml:space="preserve"> </w:t>
      </w:r>
      <w:r w:rsidR="00265AB4" w:rsidRPr="00AF3755">
        <w:rPr>
          <w:rFonts w:ascii="Arial" w:hAnsi="Arial" w:cs="Arial"/>
          <w:color w:val="000000" w:themeColor="text1"/>
          <w:sz w:val="20"/>
          <w:szCs w:val="20"/>
        </w:rPr>
        <w:t xml:space="preserve">the </w:t>
      </w:r>
      <w:r w:rsidRPr="00AF3755">
        <w:rPr>
          <w:rFonts w:ascii="Arial" w:hAnsi="Arial" w:cs="Arial"/>
          <w:color w:val="000000" w:themeColor="text1"/>
          <w:sz w:val="20"/>
          <w:szCs w:val="20"/>
        </w:rPr>
        <w:t xml:space="preserve">offering of unaccredited qualifications by </w:t>
      </w:r>
      <w:r w:rsidR="00265AB4" w:rsidRPr="00AF3755">
        <w:rPr>
          <w:rFonts w:ascii="Arial" w:hAnsi="Arial" w:cs="Arial"/>
          <w:color w:val="000000" w:themeColor="text1"/>
          <w:sz w:val="20"/>
          <w:szCs w:val="20"/>
        </w:rPr>
        <w:t xml:space="preserve">the </w:t>
      </w:r>
      <w:r w:rsidRPr="00AF3755">
        <w:rPr>
          <w:rFonts w:ascii="Arial" w:hAnsi="Arial" w:cs="Arial"/>
          <w:color w:val="000000" w:themeColor="text1"/>
          <w:sz w:val="20"/>
          <w:szCs w:val="20"/>
        </w:rPr>
        <w:t xml:space="preserve">University are provided with the necessary support. </w:t>
      </w:r>
    </w:p>
    <w:p w:rsidR="00205BF9" w:rsidRPr="00AF3755" w:rsidRDefault="00205BF9"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The Department ensures that additional funding is allocated to improve the financial sustainability of SAQA over the medium term to </w:t>
      </w:r>
      <w:r w:rsidR="00265AB4" w:rsidRPr="00AF3755">
        <w:rPr>
          <w:rFonts w:ascii="Arial" w:hAnsi="Arial" w:cs="Arial"/>
          <w:color w:val="000000" w:themeColor="text1"/>
          <w:sz w:val="20"/>
          <w:szCs w:val="20"/>
        </w:rPr>
        <w:t xml:space="preserve">the </w:t>
      </w:r>
      <w:r w:rsidRPr="00AF3755">
        <w:rPr>
          <w:rFonts w:ascii="Arial" w:hAnsi="Arial" w:cs="Arial"/>
          <w:color w:val="000000" w:themeColor="text1"/>
          <w:sz w:val="20"/>
          <w:szCs w:val="20"/>
        </w:rPr>
        <w:t>long</w:t>
      </w:r>
      <w:r w:rsidR="00265AB4" w:rsidRPr="00AF3755">
        <w:rPr>
          <w:rFonts w:ascii="Arial" w:hAnsi="Arial" w:cs="Arial"/>
          <w:color w:val="000000" w:themeColor="text1"/>
          <w:sz w:val="20"/>
          <w:szCs w:val="20"/>
        </w:rPr>
        <w:t xml:space="preserve"> </w:t>
      </w:r>
      <w:r w:rsidRPr="00AF3755">
        <w:rPr>
          <w:rFonts w:ascii="Arial" w:hAnsi="Arial" w:cs="Arial"/>
          <w:color w:val="000000" w:themeColor="text1"/>
          <w:sz w:val="20"/>
          <w:szCs w:val="20"/>
        </w:rPr>
        <w:t xml:space="preserve">term. </w:t>
      </w:r>
    </w:p>
    <w:p w:rsidR="00205BF9" w:rsidRPr="00AF3755" w:rsidRDefault="00205BF9" w:rsidP="00AF3755">
      <w:pPr>
        <w:pStyle w:val="ListParagraph"/>
        <w:numPr>
          <w:ilvl w:val="2"/>
          <w:numId w:val="1"/>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The Minister expedites the filling of the vacant position of the Board Chairperson and other vacancies in the QCTO Council. </w:t>
      </w:r>
    </w:p>
    <w:p w:rsidR="00C05388" w:rsidRPr="00AF3755" w:rsidRDefault="00C05388" w:rsidP="00AF3755">
      <w:pPr>
        <w:pStyle w:val="ListParagraph"/>
        <w:spacing w:after="0" w:line="240" w:lineRule="auto"/>
        <w:ind w:left="504"/>
        <w:rPr>
          <w:rFonts w:ascii="Arial" w:hAnsi="Arial" w:cs="Arial"/>
          <w:color w:val="000000" w:themeColor="text1"/>
          <w:sz w:val="20"/>
          <w:szCs w:val="20"/>
        </w:rPr>
      </w:pPr>
    </w:p>
    <w:p w:rsidR="005F166F" w:rsidRPr="00AF3755" w:rsidRDefault="00207C04" w:rsidP="00AF3755">
      <w:pPr>
        <w:pStyle w:val="ListParagraph"/>
        <w:numPr>
          <w:ilvl w:val="1"/>
          <w:numId w:val="1"/>
        </w:numPr>
        <w:spacing w:after="0" w:line="240" w:lineRule="auto"/>
        <w:rPr>
          <w:rFonts w:ascii="Arial" w:hAnsi="Arial" w:cs="Arial"/>
          <w:sz w:val="20"/>
          <w:szCs w:val="20"/>
        </w:rPr>
      </w:pPr>
      <w:r w:rsidRPr="00AF3755">
        <w:rPr>
          <w:rFonts w:ascii="Arial" w:hAnsi="Arial" w:cs="Arial"/>
          <w:sz w:val="20"/>
          <w:szCs w:val="20"/>
        </w:rPr>
        <w:t>O</w:t>
      </w:r>
      <w:r w:rsidRPr="00AF3755">
        <w:rPr>
          <w:rFonts w:ascii="Arial" w:hAnsi="Arial" w:cs="Arial"/>
          <w:b/>
          <w:sz w:val="20"/>
          <w:szCs w:val="20"/>
        </w:rPr>
        <w:t>verview and assessment of the Department’s 2021/22 financial performance</w:t>
      </w:r>
    </w:p>
    <w:p w:rsidR="00207C04" w:rsidRPr="00AF3755" w:rsidRDefault="00207C04" w:rsidP="00AF3755">
      <w:pPr>
        <w:pStyle w:val="ListParagraph"/>
        <w:spacing w:after="0" w:line="240" w:lineRule="auto"/>
        <w:ind w:left="432"/>
        <w:rPr>
          <w:rFonts w:ascii="Arial" w:hAnsi="Arial" w:cs="Arial"/>
          <w:sz w:val="20"/>
          <w:szCs w:val="20"/>
        </w:rPr>
      </w:pPr>
    </w:p>
    <w:p w:rsidR="00207C04" w:rsidRPr="00AF3755" w:rsidRDefault="00207C04"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the 2021/22 budget and expenditure</w:t>
      </w:r>
    </w:p>
    <w:p w:rsidR="00207C04" w:rsidRPr="00AF3755" w:rsidRDefault="00207C04"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Table 1: 2021/22 budget allocation and expenditure</w:t>
      </w:r>
    </w:p>
    <w:tbl>
      <w:tblPr>
        <w:tblW w:w="9463"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977"/>
        <w:gridCol w:w="2152"/>
        <w:gridCol w:w="1884"/>
        <w:gridCol w:w="1450"/>
        <w:gridCol w:w="1000"/>
      </w:tblGrid>
      <w:tr w:rsidR="00B26BE5" w:rsidRPr="00AF3755" w:rsidTr="00E442DC">
        <w:trPr>
          <w:trHeight w:val="255"/>
        </w:trPr>
        <w:tc>
          <w:tcPr>
            <w:tcW w:w="2977" w:type="dxa"/>
            <w:tcBorders>
              <w:bottom w:val="single" w:sz="6" w:space="0" w:color="000000"/>
              <w:right w:val="single" w:sz="6" w:space="0" w:color="000000"/>
            </w:tcBorders>
            <w:shd w:val="clear" w:color="auto" w:fill="D6DCE4"/>
            <w:tcMar>
              <w:top w:w="8" w:type="dxa"/>
              <w:left w:w="108" w:type="dxa"/>
              <w:bottom w:w="8" w:type="dxa"/>
              <w:right w:w="108" w:type="dxa"/>
            </w:tcMar>
            <w:vAlign w:val="bottom"/>
            <w:hideMark/>
          </w:tcPr>
          <w:p w:rsidR="00347C70" w:rsidRPr="00AF3755" w:rsidRDefault="00B26BE5" w:rsidP="00AF3755">
            <w:pPr>
              <w:spacing w:after="0" w:line="240" w:lineRule="auto"/>
              <w:rPr>
                <w:rFonts w:ascii="Arial" w:hAnsi="Arial" w:cs="Arial"/>
                <w:b/>
                <w:bCs/>
                <w:color w:val="000000"/>
                <w:sz w:val="20"/>
                <w:szCs w:val="20"/>
              </w:rPr>
            </w:pPr>
            <w:r w:rsidRPr="00AF3755">
              <w:rPr>
                <w:rFonts w:ascii="Arial" w:hAnsi="Arial" w:cs="Arial"/>
                <w:b/>
                <w:bCs/>
                <w:color w:val="000000"/>
                <w:sz w:val="20"/>
                <w:szCs w:val="20"/>
              </w:rPr>
              <w:t>APPROPRIATION PER PROGRAMME</w:t>
            </w:r>
          </w:p>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 xml:space="preserve"> </w:t>
            </w:r>
          </w:p>
        </w:tc>
        <w:tc>
          <w:tcPr>
            <w:tcW w:w="2152" w:type="dxa"/>
            <w:tcBorders>
              <w:bottom w:val="single" w:sz="6" w:space="0" w:color="000000"/>
              <w:right w:val="single" w:sz="6" w:space="0" w:color="000000"/>
            </w:tcBorders>
            <w:shd w:val="clear" w:color="auto" w:fill="D6DCE4"/>
            <w:tcMar>
              <w:top w:w="8" w:type="dxa"/>
              <w:left w:w="113"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FINAL APPROPRIATION</w:t>
            </w:r>
          </w:p>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R’000</w:t>
            </w:r>
          </w:p>
        </w:tc>
        <w:tc>
          <w:tcPr>
            <w:tcW w:w="1884" w:type="dxa"/>
            <w:tcBorders>
              <w:bottom w:val="single" w:sz="6" w:space="0" w:color="000000"/>
              <w:right w:val="single" w:sz="6" w:space="0" w:color="000000"/>
            </w:tcBorders>
            <w:shd w:val="clear" w:color="auto" w:fill="D6DCE4"/>
            <w:tcMar>
              <w:top w:w="8" w:type="dxa"/>
              <w:left w:w="113"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ACTUAL EXPENDITURE</w:t>
            </w:r>
          </w:p>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R’000</w:t>
            </w:r>
          </w:p>
        </w:tc>
        <w:tc>
          <w:tcPr>
            <w:tcW w:w="1450" w:type="dxa"/>
            <w:tcBorders>
              <w:bottom w:val="single" w:sz="6" w:space="0" w:color="000000"/>
              <w:right w:val="single" w:sz="6" w:space="0" w:color="000000"/>
            </w:tcBorders>
            <w:shd w:val="clear" w:color="auto" w:fill="D6DCE4"/>
            <w:tcMar>
              <w:top w:w="8" w:type="dxa"/>
              <w:left w:w="113"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VARIANCE</w:t>
            </w:r>
          </w:p>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R’000</w:t>
            </w:r>
          </w:p>
        </w:tc>
        <w:tc>
          <w:tcPr>
            <w:tcW w:w="1000" w:type="dxa"/>
            <w:tcBorders>
              <w:bottom w:val="single" w:sz="6" w:space="0" w:color="000000"/>
            </w:tcBorders>
            <w:shd w:val="clear" w:color="auto" w:fill="D6DCE4"/>
            <w:tcMar>
              <w:top w:w="8" w:type="dxa"/>
              <w:left w:w="113"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 SPENT</w:t>
            </w:r>
          </w:p>
        </w:tc>
      </w:tr>
      <w:tr w:rsidR="00B26BE5" w:rsidRPr="00AF3755" w:rsidTr="00347C70">
        <w:trPr>
          <w:trHeight w:val="255"/>
        </w:trPr>
        <w:tc>
          <w:tcPr>
            <w:tcW w:w="2977" w:type="dxa"/>
            <w:tcBorders>
              <w:bottom w:val="single" w:sz="6" w:space="0" w:color="000000"/>
              <w:right w:val="single" w:sz="6" w:space="0" w:color="000000"/>
            </w:tcBorders>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color w:val="000000"/>
                <w:sz w:val="20"/>
                <w:szCs w:val="20"/>
              </w:rPr>
              <w:t>Administration</w:t>
            </w:r>
          </w:p>
        </w:tc>
        <w:tc>
          <w:tcPr>
            <w:tcW w:w="2152" w:type="dxa"/>
            <w:tcBorders>
              <w:bottom w:val="single" w:sz="6" w:space="0" w:color="000000"/>
              <w:right w:val="single" w:sz="6" w:space="0" w:color="000000"/>
            </w:tcBorders>
            <w:tcMar>
              <w:top w:w="5" w:type="dxa"/>
              <w:left w:w="113" w:type="dxa"/>
              <w:bottom w:w="8" w:type="dxa"/>
              <w:right w:w="108" w:type="dxa"/>
            </w:tcMar>
          </w:tcPr>
          <w:p w:rsidR="00B26BE5" w:rsidRPr="00AF3755" w:rsidRDefault="00810A1F" w:rsidP="00AF3755">
            <w:pPr>
              <w:spacing w:after="0" w:line="240" w:lineRule="auto"/>
              <w:rPr>
                <w:rFonts w:ascii="Arial" w:hAnsi="Arial" w:cs="Arial"/>
                <w:color w:val="000000"/>
                <w:sz w:val="20"/>
                <w:szCs w:val="20"/>
              </w:rPr>
            </w:pPr>
            <w:r w:rsidRPr="00AF3755">
              <w:rPr>
                <w:rFonts w:ascii="Arial" w:hAnsi="Arial" w:cs="Arial"/>
                <w:color w:val="000000"/>
                <w:sz w:val="20"/>
                <w:szCs w:val="20"/>
              </w:rPr>
              <w:t>470 390</w:t>
            </w:r>
          </w:p>
        </w:tc>
        <w:tc>
          <w:tcPr>
            <w:tcW w:w="1884"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432 579</w:t>
            </w:r>
          </w:p>
        </w:tc>
        <w:tc>
          <w:tcPr>
            <w:tcW w:w="1450"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37 811</w:t>
            </w:r>
          </w:p>
        </w:tc>
        <w:tc>
          <w:tcPr>
            <w:tcW w:w="1000" w:type="dxa"/>
            <w:tcBorders>
              <w:bottom w:val="single" w:sz="6" w:space="0" w:color="000000"/>
            </w:tcBorders>
            <w:shd w:val="clear" w:color="auto" w:fill="F2F2F2"/>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92.0%</w:t>
            </w:r>
          </w:p>
        </w:tc>
      </w:tr>
      <w:tr w:rsidR="00B26BE5" w:rsidRPr="00AF3755" w:rsidTr="00347C70">
        <w:trPr>
          <w:trHeight w:val="255"/>
        </w:trPr>
        <w:tc>
          <w:tcPr>
            <w:tcW w:w="2977" w:type="dxa"/>
            <w:tcBorders>
              <w:bottom w:val="single" w:sz="6" w:space="0" w:color="000000"/>
              <w:right w:val="single" w:sz="6" w:space="0" w:color="000000"/>
            </w:tcBorders>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color w:val="000000"/>
                <w:sz w:val="20"/>
                <w:szCs w:val="20"/>
              </w:rPr>
              <w:t>Planning, Policy and Strategy</w:t>
            </w:r>
          </w:p>
        </w:tc>
        <w:tc>
          <w:tcPr>
            <w:tcW w:w="2152"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256 107</w:t>
            </w:r>
          </w:p>
        </w:tc>
        <w:tc>
          <w:tcPr>
            <w:tcW w:w="1884"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239 290</w:t>
            </w:r>
          </w:p>
        </w:tc>
        <w:tc>
          <w:tcPr>
            <w:tcW w:w="1450"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16 817</w:t>
            </w:r>
          </w:p>
        </w:tc>
        <w:tc>
          <w:tcPr>
            <w:tcW w:w="1000" w:type="dxa"/>
            <w:tcBorders>
              <w:bottom w:val="single" w:sz="6" w:space="0" w:color="000000"/>
            </w:tcBorders>
            <w:shd w:val="clear" w:color="auto" w:fill="F2F2F2"/>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93.4%</w:t>
            </w:r>
          </w:p>
        </w:tc>
      </w:tr>
      <w:tr w:rsidR="00B26BE5" w:rsidRPr="00AF3755" w:rsidTr="00347C70">
        <w:trPr>
          <w:trHeight w:val="255"/>
        </w:trPr>
        <w:tc>
          <w:tcPr>
            <w:tcW w:w="2977" w:type="dxa"/>
            <w:tcBorders>
              <w:bottom w:val="single" w:sz="6" w:space="0" w:color="000000"/>
              <w:right w:val="single" w:sz="6" w:space="0" w:color="000000"/>
            </w:tcBorders>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color w:val="000000"/>
                <w:sz w:val="20"/>
                <w:szCs w:val="20"/>
              </w:rPr>
              <w:t>University Education</w:t>
            </w:r>
          </w:p>
        </w:tc>
        <w:tc>
          <w:tcPr>
            <w:tcW w:w="2152"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81 922 997</w:t>
            </w:r>
          </w:p>
        </w:tc>
        <w:tc>
          <w:tcPr>
            <w:tcW w:w="1884"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81 890 537</w:t>
            </w:r>
          </w:p>
        </w:tc>
        <w:tc>
          <w:tcPr>
            <w:tcW w:w="1450"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32 460</w:t>
            </w:r>
          </w:p>
        </w:tc>
        <w:tc>
          <w:tcPr>
            <w:tcW w:w="1000" w:type="dxa"/>
            <w:tcBorders>
              <w:bottom w:val="single" w:sz="6" w:space="0" w:color="000000"/>
            </w:tcBorders>
            <w:shd w:val="clear" w:color="auto" w:fill="F2F2F2"/>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100.0%</w:t>
            </w:r>
          </w:p>
        </w:tc>
      </w:tr>
      <w:tr w:rsidR="00B26BE5" w:rsidRPr="00AF3755" w:rsidTr="00347C70">
        <w:trPr>
          <w:trHeight w:val="255"/>
        </w:trPr>
        <w:tc>
          <w:tcPr>
            <w:tcW w:w="2977" w:type="dxa"/>
            <w:tcBorders>
              <w:bottom w:val="single" w:sz="6" w:space="0" w:color="000000"/>
              <w:right w:val="single" w:sz="6" w:space="0" w:color="000000"/>
            </w:tcBorders>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color w:val="000000"/>
                <w:sz w:val="20"/>
                <w:szCs w:val="20"/>
              </w:rPr>
              <w:t>Technical and Vocational Education and Training</w:t>
            </w:r>
          </w:p>
        </w:tc>
        <w:tc>
          <w:tcPr>
            <w:tcW w:w="2152"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12 461 484</w:t>
            </w:r>
          </w:p>
        </w:tc>
        <w:tc>
          <w:tcPr>
            <w:tcW w:w="1884"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12 276 828</w:t>
            </w:r>
          </w:p>
        </w:tc>
        <w:tc>
          <w:tcPr>
            <w:tcW w:w="1450"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184 656</w:t>
            </w:r>
          </w:p>
        </w:tc>
        <w:tc>
          <w:tcPr>
            <w:tcW w:w="1000" w:type="dxa"/>
            <w:tcBorders>
              <w:bottom w:val="single" w:sz="6" w:space="0" w:color="000000"/>
            </w:tcBorders>
            <w:shd w:val="clear" w:color="auto" w:fill="F2F2F2"/>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98.5%</w:t>
            </w:r>
          </w:p>
        </w:tc>
      </w:tr>
      <w:tr w:rsidR="00B26BE5" w:rsidRPr="00AF3755" w:rsidTr="00347C70">
        <w:trPr>
          <w:trHeight w:val="255"/>
        </w:trPr>
        <w:tc>
          <w:tcPr>
            <w:tcW w:w="2977" w:type="dxa"/>
            <w:tcBorders>
              <w:bottom w:val="single" w:sz="6" w:space="0" w:color="000000"/>
              <w:right w:val="single" w:sz="6" w:space="0" w:color="000000"/>
            </w:tcBorders>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color w:val="000000"/>
                <w:sz w:val="20"/>
                <w:szCs w:val="20"/>
              </w:rPr>
              <w:lastRenderedPageBreak/>
              <w:t>Skills Development</w:t>
            </w:r>
          </w:p>
        </w:tc>
        <w:tc>
          <w:tcPr>
            <w:tcW w:w="2152"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414 043</w:t>
            </w:r>
          </w:p>
        </w:tc>
        <w:tc>
          <w:tcPr>
            <w:tcW w:w="1884"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392 042</w:t>
            </w:r>
          </w:p>
        </w:tc>
        <w:tc>
          <w:tcPr>
            <w:tcW w:w="1450"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22 001</w:t>
            </w:r>
          </w:p>
        </w:tc>
        <w:tc>
          <w:tcPr>
            <w:tcW w:w="1000" w:type="dxa"/>
            <w:tcBorders>
              <w:bottom w:val="single" w:sz="6" w:space="0" w:color="000000"/>
            </w:tcBorders>
            <w:shd w:val="clear" w:color="auto" w:fill="F2F2F2"/>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94.5%</w:t>
            </w:r>
          </w:p>
        </w:tc>
      </w:tr>
      <w:tr w:rsidR="00B26BE5" w:rsidRPr="00AF3755" w:rsidTr="00347C70">
        <w:trPr>
          <w:trHeight w:val="255"/>
        </w:trPr>
        <w:tc>
          <w:tcPr>
            <w:tcW w:w="2977" w:type="dxa"/>
            <w:tcBorders>
              <w:bottom w:val="single" w:sz="6" w:space="0" w:color="000000"/>
              <w:right w:val="single" w:sz="6" w:space="0" w:color="000000"/>
            </w:tcBorders>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color w:val="000000"/>
                <w:sz w:val="20"/>
                <w:szCs w:val="20"/>
              </w:rPr>
              <w:t>Community Education and Training</w:t>
            </w:r>
          </w:p>
        </w:tc>
        <w:tc>
          <w:tcPr>
            <w:tcW w:w="2152"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2 363 984</w:t>
            </w:r>
          </w:p>
        </w:tc>
        <w:tc>
          <w:tcPr>
            <w:tcW w:w="1884"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2 183 734</w:t>
            </w:r>
          </w:p>
        </w:tc>
        <w:tc>
          <w:tcPr>
            <w:tcW w:w="1450" w:type="dxa"/>
            <w:tcBorders>
              <w:bottom w:val="single" w:sz="6" w:space="0" w:color="000000"/>
              <w:right w:val="single" w:sz="6" w:space="0" w:color="000000"/>
            </w:tcBorders>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180 250</w:t>
            </w:r>
          </w:p>
        </w:tc>
        <w:tc>
          <w:tcPr>
            <w:tcW w:w="1000" w:type="dxa"/>
            <w:tcBorders>
              <w:bottom w:val="single" w:sz="6" w:space="0" w:color="000000"/>
            </w:tcBorders>
            <w:shd w:val="clear" w:color="auto" w:fill="F2F2F2"/>
            <w:tcMar>
              <w:top w:w="5" w:type="dxa"/>
              <w:left w:w="113" w:type="dxa"/>
              <w:bottom w:w="8" w:type="dxa"/>
              <w:right w:w="108" w:type="dxa"/>
            </w:tcMar>
          </w:tcPr>
          <w:p w:rsidR="00B26BE5" w:rsidRPr="00AF3755" w:rsidRDefault="002767BA" w:rsidP="00AF3755">
            <w:pPr>
              <w:spacing w:after="0" w:line="240" w:lineRule="auto"/>
              <w:rPr>
                <w:rFonts w:ascii="Arial" w:hAnsi="Arial" w:cs="Arial"/>
                <w:color w:val="000000"/>
                <w:sz w:val="20"/>
                <w:szCs w:val="20"/>
              </w:rPr>
            </w:pPr>
            <w:r w:rsidRPr="00AF3755">
              <w:rPr>
                <w:rFonts w:ascii="Arial" w:hAnsi="Arial" w:cs="Arial"/>
                <w:color w:val="000000"/>
                <w:sz w:val="20"/>
                <w:szCs w:val="20"/>
              </w:rPr>
              <w:t>92.2%</w:t>
            </w:r>
          </w:p>
        </w:tc>
      </w:tr>
      <w:tr w:rsidR="00B26BE5" w:rsidRPr="00AF3755" w:rsidTr="00347C70">
        <w:trPr>
          <w:trHeight w:val="255"/>
        </w:trPr>
        <w:tc>
          <w:tcPr>
            <w:tcW w:w="2977" w:type="dxa"/>
            <w:tcBorders>
              <w:bottom w:val="single" w:sz="6" w:space="0" w:color="000000"/>
              <w:right w:val="single" w:sz="6" w:space="0" w:color="000000"/>
            </w:tcBorders>
            <w:shd w:val="clear" w:color="auto" w:fill="FFFFFF"/>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Total: Departmental Voted Funds</w:t>
            </w:r>
          </w:p>
        </w:tc>
        <w:tc>
          <w:tcPr>
            <w:tcW w:w="2152" w:type="dxa"/>
            <w:tcBorders>
              <w:bottom w:val="single" w:sz="6" w:space="0" w:color="000000"/>
              <w:right w:val="single" w:sz="6" w:space="0" w:color="000000"/>
            </w:tcBorders>
            <w:shd w:val="clear" w:color="auto" w:fill="FFFFFF"/>
            <w:tcMar>
              <w:top w:w="5" w:type="dxa"/>
              <w:left w:w="113" w:type="dxa"/>
              <w:bottom w:w="8"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97 889 005</w:t>
            </w:r>
          </w:p>
        </w:tc>
        <w:tc>
          <w:tcPr>
            <w:tcW w:w="1884" w:type="dxa"/>
            <w:tcBorders>
              <w:bottom w:val="single" w:sz="6" w:space="0" w:color="000000"/>
              <w:right w:val="single" w:sz="6" w:space="0" w:color="000000"/>
            </w:tcBorders>
            <w:shd w:val="clear" w:color="auto" w:fill="FFFFFF"/>
            <w:tcMar>
              <w:top w:w="5" w:type="dxa"/>
              <w:left w:w="113" w:type="dxa"/>
              <w:bottom w:w="8"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97 415 010</w:t>
            </w:r>
          </w:p>
        </w:tc>
        <w:tc>
          <w:tcPr>
            <w:tcW w:w="1450" w:type="dxa"/>
            <w:tcBorders>
              <w:bottom w:val="single" w:sz="6" w:space="0" w:color="000000"/>
              <w:right w:val="single" w:sz="6" w:space="0" w:color="000000"/>
            </w:tcBorders>
            <w:shd w:val="clear" w:color="auto" w:fill="FFFFFF"/>
            <w:tcMar>
              <w:top w:w="5" w:type="dxa"/>
              <w:left w:w="113" w:type="dxa"/>
              <w:bottom w:w="8"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473 995</w:t>
            </w:r>
          </w:p>
        </w:tc>
        <w:tc>
          <w:tcPr>
            <w:tcW w:w="1000" w:type="dxa"/>
            <w:tcBorders>
              <w:bottom w:val="single" w:sz="6" w:space="0" w:color="000000"/>
            </w:tcBorders>
            <w:shd w:val="clear" w:color="auto" w:fill="F2F2F2"/>
            <w:tcMar>
              <w:top w:w="5" w:type="dxa"/>
              <w:left w:w="113" w:type="dxa"/>
              <w:bottom w:w="8"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99.5%</w:t>
            </w:r>
          </w:p>
        </w:tc>
      </w:tr>
      <w:tr w:rsidR="00B26BE5" w:rsidRPr="00AF3755" w:rsidTr="00347C70">
        <w:trPr>
          <w:trHeight w:val="255"/>
        </w:trPr>
        <w:tc>
          <w:tcPr>
            <w:tcW w:w="2977" w:type="dxa"/>
            <w:tcBorders>
              <w:top w:val="single" w:sz="6" w:space="0" w:color="000000"/>
              <w:right w:val="single" w:sz="6" w:space="0" w:color="000000"/>
            </w:tcBorders>
            <w:shd w:val="clear" w:color="auto" w:fill="FFFFFF"/>
            <w:tcMar>
              <w:top w:w="8" w:type="dxa"/>
              <w:left w:w="108" w:type="dxa"/>
              <w:bottom w:w="5"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Statutory Appropriation</w:t>
            </w:r>
          </w:p>
        </w:tc>
        <w:tc>
          <w:tcPr>
            <w:tcW w:w="2152" w:type="dxa"/>
            <w:tcBorders>
              <w:top w:val="single" w:sz="6" w:space="0" w:color="000000"/>
              <w:right w:val="single" w:sz="6" w:space="0" w:color="000000"/>
            </w:tcBorders>
            <w:shd w:val="clear" w:color="auto" w:fill="FFFFFF"/>
            <w:tcMar>
              <w:top w:w="8" w:type="dxa"/>
              <w:left w:w="113" w:type="dxa"/>
              <w:bottom w:w="5"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19 011 610</w:t>
            </w:r>
          </w:p>
        </w:tc>
        <w:tc>
          <w:tcPr>
            <w:tcW w:w="1884" w:type="dxa"/>
            <w:tcBorders>
              <w:top w:val="single" w:sz="6" w:space="0" w:color="000000"/>
              <w:right w:val="single" w:sz="6" w:space="0" w:color="000000"/>
            </w:tcBorders>
            <w:shd w:val="clear" w:color="auto" w:fill="FFFFFF"/>
            <w:tcMar>
              <w:top w:w="8" w:type="dxa"/>
              <w:left w:w="113" w:type="dxa"/>
              <w:bottom w:w="5"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19 011 610</w:t>
            </w:r>
          </w:p>
        </w:tc>
        <w:tc>
          <w:tcPr>
            <w:tcW w:w="1450" w:type="dxa"/>
            <w:tcBorders>
              <w:top w:val="single" w:sz="6" w:space="0" w:color="000000"/>
              <w:right w:val="single" w:sz="6" w:space="0" w:color="000000"/>
            </w:tcBorders>
            <w:shd w:val="clear" w:color="auto" w:fill="FFFFFF"/>
            <w:tcMar>
              <w:top w:w="8" w:type="dxa"/>
              <w:left w:w="113" w:type="dxa"/>
              <w:bottom w:w="5"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w:t>
            </w:r>
          </w:p>
        </w:tc>
        <w:tc>
          <w:tcPr>
            <w:tcW w:w="1000" w:type="dxa"/>
            <w:tcBorders>
              <w:top w:val="single" w:sz="6" w:space="0" w:color="000000"/>
            </w:tcBorders>
            <w:shd w:val="clear" w:color="auto" w:fill="F2F2F2"/>
            <w:tcMar>
              <w:top w:w="8" w:type="dxa"/>
              <w:left w:w="113" w:type="dxa"/>
              <w:bottom w:w="5"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100.0%</w:t>
            </w:r>
          </w:p>
        </w:tc>
      </w:tr>
      <w:tr w:rsidR="00B26BE5" w:rsidRPr="00AF3755" w:rsidTr="00347C70">
        <w:trPr>
          <w:trHeight w:val="255"/>
        </w:trPr>
        <w:tc>
          <w:tcPr>
            <w:tcW w:w="2977" w:type="dxa"/>
            <w:tcBorders>
              <w:right w:val="single" w:sz="6" w:space="0" w:color="000000"/>
            </w:tcBorders>
            <w:shd w:val="clear" w:color="auto" w:fill="FFFFFF"/>
            <w:tcMar>
              <w:top w:w="5" w:type="dxa"/>
              <w:left w:w="108" w:type="dxa"/>
              <w:bottom w:w="5"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color w:val="000000"/>
                <w:sz w:val="20"/>
                <w:szCs w:val="20"/>
              </w:rPr>
              <w:t>(National Skills Fund and</w:t>
            </w:r>
          </w:p>
        </w:tc>
        <w:tc>
          <w:tcPr>
            <w:tcW w:w="2152" w:type="dxa"/>
            <w:tcBorders>
              <w:right w:val="single" w:sz="6" w:space="0" w:color="000000"/>
            </w:tcBorders>
            <w:shd w:val="clear" w:color="auto" w:fill="FFFFFF"/>
            <w:tcMar>
              <w:top w:w="5" w:type="dxa"/>
              <w:left w:w="113" w:type="dxa"/>
              <w:bottom w:w="5" w:type="dxa"/>
              <w:right w:w="108" w:type="dxa"/>
            </w:tcMar>
          </w:tcPr>
          <w:p w:rsidR="00B26BE5" w:rsidRPr="00AF3755" w:rsidRDefault="00B26BE5" w:rsidP="00AF3755">
            <w:pPr>
              <w:spacing w:after="0" w:line="240" w:lineRule="auto"/>
              <w:rPr>
                <w:rFonts w:ascii="Arial" w:hAnsi="Arial" w:cs="Arial"/>
                <w:color w:val="000000"/>
                <w:sz w:val="20"/>
                <w:szCs w:val="20"/>
              </w:rPr>
            </w:pPr>
          </w:p>
        </w:tc>
        <w:tc>
          <w:tcPr>
            <w:tcW w:w="1884" w:type="dxa"/>
            <w:tcBorders>
              <w:right w:val="single" w:sz="6" w:space="0" w:color="000000"/>
            </w:tcBorders>
            <w:shd w:val="clear" w:color="auto" w:fill="FFFFFF"/>
            <w:tcMar>
              <w:top w:w="5" w:type="dxa"/>
              <w:left w:w="113" w:type="dxa"/>
              <w:bottom w:w="5" w:type="dxa"/>
              <w:right w:w="108" w:type="dxa"/>
            </w:tcMar>
          </w:tcPr>
          <w:p w:rsidR="00B26BE5" w:rsidRPr="00AF3755" w:rsidRDefault="00B26BE5" w:rsidP="00AF3755">
            <w:pPr>
              <w:spacing w:after="0" w:line="240" w:lineRule="auto"/>
              <w:rPr>
                <w:rFonts w:ascii="Arial" w:hAnsi="Arial" w:cs="Arial"/>
                <w:color w:val="000000"/>
                <w:sz w:val="20"/>
                <w:szCs w:val="20"/>
              </w:rPr>
            </w:pPr>
          </w:p>
        </w:tc>
        <w:tc>
          <w:tcPr>
            <w:tcW w:w="1450" w:type="dxa"/>
            <w:tcBorders>
              <w:right w:val="single" w:sz="6" w:space="0" w:color="000000"/>
            </w:tcBorders>
            <w:shd w:val="clear" w:color="auto" w:fill="FFFFFF"/>
            <w:tcMar>
              <w:top w:w="5" w:type="dxa"/>
              <w:left w:w="113" w:type="dxa"/>
              <w:bottom w:w="5" w:type="dxa"/>
              <w:right w:w="108" w:type="dxa"/>
            </w:tcMar>
          </w:tcPr>
          <w:p w:rsidR="00B26BE5" w:rsidRPr="00AF3755" w:rsidRDefault="00B26BE5" w:rsidP="00AF3755">
            <w:pPr>
              <w:spacing w:after="0" w:line="240" w:lineRule="auto"/>
              <w:rPr>
                <w:rFonts w:ascii="Arial" w:hAnsi="Arial" w:cs="Arial"/>
                <w:color w:val="000000"/>
                <w:sz w:val="20"/>
                <w:szCs w:val="20"/>
              </w:rPr>
            </w:pPr>
          </w:p>
        </w:tc>
        <w:tc>
          <w:tcPr>
            <w:tcW w:w="1000" w:type="dxa"/>
            <w:shd w:val="clear" w:color="auto" w:fill="F2F2F2"/>
            <w:tcMar>
              <w:top w:w="5" w:type="dxa"/>
              <w:left w:w="113" w:type="dxa"/>
              <w:bottom w:w="5" w:type="dxa"/>
              <w:right w:w="108" w:type="dxa"/>
            </w:tcMar>
          </w:tcPr>
          <w:p w:rsidR="00B26BE5" w:rsidRPr="00AF3755" w:rsidRDefault="00B26BE5" w:rsidP="00AF3755">
            <w:pPr>
              <w:spacing w:after="0" w:line="240" w:lineRule="auto"/>
              <w:rPr>
                <w:rFonts w:ascii="Arial" w:hAnsi="Arial" w:cs="Arial"/>
                <w:color w:val="000000"/>
                <w:sz w:val="20"/>
                <w:szCs w:val="20"/>
              </w:rPr>
            </w:pPr>
          </w:p>
        </w:tc>
      </w:tr>
      <w:tr w:rsidR="00B26BE5" w:rsidRPr="00AF3755" w:rsidTr="00347C70">
        <w:trPr>
          <w:trHeight w:val="255"/>
        </w:trPr>
        <w:tc>
          <w:tcPr>
            <w:tcW w:w="2977" w:type="dxa"/>
            <w:tcBorders>
              <w:bottom w:val="single" w:sz="6" w:space="0" w:color="000000"/>
              <w:right w:val="single" w:sz="6" w:space="0" w:color="000000"/>
            </w:tcBorders>
            <w:shd w:val="clear" w:color="auto" w:fill="FFFFFF"/>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color w:val="000000"/>
                <w:sz w:val="20"/>
                <w:szCs w:val="20"/>
              </w:rPr>
              <w:t>SETAs</w:t>
            </w:r>
          </w:p>
        </w:tc>
        <w:tc>
          <w:tcPr>
            <w:tcW w:w="2152" w:type="dxa"/>
            <w:tcBorders>
              <w:bottom w:val="single" w:sz="6" w:space="0" w:color="000000"/>
              <w:right w:val="single" w:sz="6" w:space="0" w:color="000000"/>
            </w:tcBorders>
            <w:shd w:val="clear" w:color="auto" w:fill="FFFFFF"/>
            <w:tcMar>
              <w:top w:w="5" w:type="dxa"/>
              <w:left w:w="113" w:type="dxa"/>
              <w:bottom w:w="8" w:type="dxa"/>
              <w:right w:w="108" w:type="dxa"/>
            </w:tcMar>
          </w:tcPr>
          <w:p w:rsidR="00B26BE5" w:rsidRPr="00AF3755" w:rsidRDefault="00B26BE5" w:rsidP="00AF3755">
            <w:pPr>
              <w:spacing w:after="0" w:line="240" w:lineRule="auto"/>
              <w:rPr>
                <w:rFonts w:ascii="Arial" w:hAnsi="Arial" w:cs="Arial"/>
                <w:color w:val="000000"/>
                <w:sz w:val="20"/>
                <w:szCs w:val="20"/>
              </w:rPr>
            </w:pPr>
          </w:p>
        </w:tc>
        <w:tc>
          <w:tcPr>
            <w:tcW w:w="1884" w:type="dxa"/>
            <w:tcBorders>
              <w:bottom w:val="single" w:sz="6" w:space="0" w:color="000000"/>
              <w:right w:val="single" w:sz="6" w:space="0" w:color="000000"/>
            </w:tcBorders>
            <w:shd w:val="clear" w:color="auto" w:fill="FFFFFF"/>
            <w:tcMar>
              <w:top w:w="5" w:type="dxa"/>
              <w:left w:w="113" w:type="dxa"/>
              <w:bottom w:w="8" w:type="dxa"/>
              <w:right w:w="108" w:type="dxa"/>
            </w:tcMar>
          </w:tcPr>
          <w:p w:rsidR="00B26BE5" w:rsidRPr="00AF3755" w:rsidRDefault="00B26BE5" w:rsidP="00AF3755">
            <w:pPr>
              <w:spacing w:after="0" w:line="240" w:lineRule="auto"/>
              <w:rPr>
                <w:rFonts w:ascii="Arial" w:hAnsi="Arial" w:cs="Arial"/>
                <w:color w:val="000000"/>
                <w:sz w:val="20"/>
                <w:szCs w:val="20"/>
              </w:rPr>
            </w:pPr>
          </w:p>
        </w:tc>
        <w:tc>
          <w:tcPr>
            <w:tcW w:w="1450" w:type="dxa"/>
            <w:tcBorders>
              <w:bottom w:val="single" w:sz="6" w:space="0" w:color="000000"/>
              <w:right w:val="single" w:sz="6" w:space="0" w:color="000000"/>
            </w:tcBorders>
            <w:shd w:val="clear" w:color="auto" w:fill="FFFFFF"/>
            <w:tcMar>
              <w:top w:w="5" w:type="dxa"/>
              <w:left w:w="113" w:type="dxa"/>
              <w:bottom w:w="8" w:type="dxa"/>
              <w:right w:w="108" w:type="dxa"/>
            </w:tcMar>
          </w:tcPr>
          <w:p w:rsidR="00B26BE5" w:rsidRPr="00AF3755" w:rsidRDefault="00B26BE5" w:rsidP="00AF3755">
            <w:pPr>
              <w:spacing w:after="0" w:line="240" w:lineRule="auto"/>
              <w:rPr>
                <w:rFonts w:ascii="Arial" w:hAnsi="Arial" w:cs="Arial"/>
                <w:color w:val="000000"/>
                <w:sz w:val="20"/>
                <w:szCs w:val="20"/>
              </w:rPr>
            </w:pPr>
          </w:p>
        </w:tc>
        <w:tc>
          <w:tcPr>
            <w:tcW w:w="1000" w:type="dxa"/>
            <w:tcBorders>
              <w:bottom w:val="single" w:sz="6" w:space="0" w:color="000000"/>
            </w:tcBorders>
            <w:shd w:val="clear" w:color="auto" w:fill="F2F2F2"/>
            <w:tcMar>
              <w:top w:w="5" w:type="dxa"/>
              <w:left w:w="113" w:type="dxa"/>
              <w:bottom w:w="8" w:type="dxa"/>
              <w:right w:w="108" w:type="dxa"/>
            </w:tcMar>
          </w:tcPr>
          <w:p w:rsidR="00B26BE5" w:rsidRPr="00AF3755" w:rsidRDefault="00B26BE5" w:rsidP="00AF3755">
            <w:pPr>
              <w:spacing w:after="0" w:line="240" w:lineRule="auto"/>
              <w:rPr>
                <w:rFonts w:ascii="Arial" w:hAnsi="Arial" w:cs="Arial"/>
                <w:color w:val="000000"/>
                <w:sz w:val="20"/>
                <w:szCs w:val="20"/>
              </w:rPr>
            </w:pPr>
          </w:p>
        </w:tc>
      </w:tr>
      <w:tr w:rsidR="00B26BE5" w:rsidRPr="00AF3755" w:rsidTr="00347C70">
        <w:trPr>
          <w:trHeight w:val="255"/>
        </w:trPr>
        <w:tc>
          <w:tcPr>
            <w:tcW w:w="2977" w:type="dxa"/>
            <w:tcBorders>
              <w:right w:val="single" w:sz="6" w:space="0" w:color="000000"/>
            </w:tcBorders>
            <w:shd w:val="clear" w:color="auto" w:fill="D9D9D9"/>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Total</w:t>
            </w:r>
          </w:p>
        </w:tc>
        <w:tc>
          <w:tcPr>
            <w:tcW w:w="2152" w:type="dxa"/>
            <w:tcBorders>
              <w:right w:val="single" w:sz="6" w:space="0" w:color="000000"/>
            </w:tcBorders>
            <w:shd w:val="clear" w:color="auto" w:fill="D9D9D9"/>
            <w:tcMar>
              <w:top w:w="5" w:type="dxa"/>
              <w:left w:w="113" w:type="dxa"/>
              <w:bottom w:w="8"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116 900 615</w:t>
            </w:r>
          </w:p>
        </w:tc>
        <w:tc>
          <w:tcPr>
            <w:tcW w:w="1884" w:type="dxa"/>
            <w:tcBorders>
              <w:right w:val="single" w:sz="6" w:space="0" w:color="000000"/>
            </w:tcBorders>
            <w:shd w:val="clear" w:color="auto" w:fill="D9D9D9"/>
            <w:tcMar>
              <w:top w:w="5" w:type="dxa"/>
              <w:left w:w="113" w:type="dxa"/>
              <w:bottom w:w="8"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116 426 620</w:t>
            </w:r>
          </w:p>
        </w:tc>
        <w:tc>
          <w:tcPr>
            <w:tcW w:w="1450" w:type="dxa"/>
            <w:tcBorders>
              <w:right w:val="single" w:sz="6" w:space="0" w:color="000000"/>
            </w:tcBorders>
            <w:shd w:val="clear" w:color="auto" w:fill="D9D9D9"/>
            <w:tcMar>
              <w:top w:w="5" w:type="dxa"/>
              <w:left w:w="113" w:type="dxa"/>
              <w:bottom w:w="8"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473 995</w:t>
            </w:r>
          </w:p>
        </w:tc>
        <w:tc>
          <w:tcPr>
            <w:tcW w:w="1000" w:type="dxa"/>
            <w:shd w:val="clear" w:color="auto" w:fill="D9D9D9"/>
            <w:tcMar>
              <w:top w:w="5" w:type="dxa"/>
              <w:left w:w="113" w:type="dxa"/>
              <w:bottom w:w="8" w:type="dxa"/>
              <w:right w:w="108" w:type="dxa"/>
            </w:tcMar>
          </w:tcPr>
          <w:p w:rsidR="00B26BE5" w:rsidRPr="00AF3755" w:rsidRDefault="002767BA"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99.6%</w:t>
            </w:r>
          </w:p>
        </w:tc>
      </w:tr>
    </w:tbl>
    <w:p w:rsidR="00B26BE5" w:rsidRPr="00AF3755" w:rsidRDefault="006C6DF0" w:rsidP="00AF3755">
      <w:pPr>
        <w:pStyle w:val="ListParagraph"/>
        <w:spacing w:after="0" w:line="240" w:lineRule="auto"/>
        <w:ind w:left="0"/>
        <w:rPr>
          <w:rFonts w:ascii="Arial" w:hAnsi="Arial" w:cs="Arial"/>
          <w:sz w:val="20"/>
          <w:szCs w:val="20"/>
        </w:rPr>
      </w:pPr>
      <w:r w:rsidRPr="00AF3755">
        <w:rPr>
          <w:rFonts w:ascii="Arial" w:hAnsi="Arial" w:cs="Arial"/>
          <w:sz w:val="20"/>
          <w:szCs w:val="20"/>
        </w:rPr>
        <w:t>Source</w:t>
      </w:r>
      <w:r w:rsidR="00537E6E" w:rsidRPr="00AF3755">
        <w:rPr>
          <w:rFonts w:ascii="Arial" w:hAnsi="Arial" w:cs="Arial"/>
          <w:sz w:val="20"/>
          <w:szCs w:val="20"/>
        </w:rPr>
        <w:t>: DHET (2021/22 Annual Report</w:t>
      </w:r>
    </w:p>
    <w:p w:rsidR="005D304D" w:rsidRPr="00AF3755" w:rsidRDefault="00B109D0" w:rsidP="00AF3755">
      <w:pPr>
        <w:spacing w:after="0" w:line="240" w:lineRule="auto"/>
        <w:rPr>
          <w:rFonts w:ascii="Arial" w:hAnsi="Arial" w:cs="Arial"/>
          <w:sz w:val="20"/>
          <w:szCs w:val="20"/>
        </w:rPr>
      </w:pPr>
      <w:r w:rsidRPr="00AF3755">
        <w:rPr>
          <w:rFonts w:ascii="Arial" w:hAnsi="Arial" w:cs="Arial"/>
          <w:sz w:val="20"/>
          <w:szCs w:val="20"/>
        </w:rPr>
        <w:t>The</w:t>
      </w:r>
      <w:r w:rsidR="005D304D" w:rsidRPr="00AF3755">
        <w:rPr>
          <w:rFonts w:ascii="Arial" w:hAnsi="Arial" w:cs="Arial"/>
          <w:sz w:val="20"/>
          <w:szCs w:val="20"/>
        </w:rPr>
        <w:t xml:space="preserve"> Department’s </w:t>
      </w:r>
      <w:r w:rsidR="00197344" w:rsidRPr="00AF3755">
        <w:rPr>
          <w:rFonts w:ascii="Arial" w:hAnsi="Arial" w:cs="Arial"/>
          <w:sz w:val="20"/>
          <w:szCs w:val="20"/>
        </w:rPr>
        <w:t xml:space="preserve">total final appropriation </w:t>
      </w:r>
      <w:r w:rsidR="00E04EE1" w:rsidRPr="00AF3755">
        <w:rPr>
          <w:rFonts w:ascii="Arial" w:hAnsi="Arial" w:cs="Arial"/>
          <w:sz w:val="20"/>
          <w:szCs w:val="20"/>
        </w:rPr>
        <w:t xml:space="preserve">for the 2021/22 financial year </w:t>
      </w:r>
      <w:r w:rsidR="00197344" w:rsidRPr="00AF3755">
        <w:rPr>
          <w:rFonts w:ascii="Arial" w:hAnsi="Arial" w:cs="Arial"/>
          <w:sz w:val="20"/>
          <w:szCs w:val="20"/>
        </w:rPr>
        <w:t>amounted to R116,90 billion, compris</w:t>
      </w:r>
      <w:r w:rsidR="00A825BE" w:rsidRPr="00AF3755">
        <w:rPr>
          <w:rFonts w:ascii="Arial" w:hAnsi="Arial" w:cs="Arial"/>
          <w:sz w:val="20"/>
          <w:szCs w:val="20"/>
        </w:rPr>
        <w:t>ing</w:t>
      </w:r>
      <w:r w:rsidR="00197344" w:rsidRPr="00AF3755">
        <w:rPr>
          <w:rFonts w:ascii="Arial" w:hAnsi="Arial" w:cs="Arial"/>
          <w:sz w:val="20"/>
          <w:szCs w:val="20"/>
        </w:rPr>
        <w:t xml:space="preserve"> of R97,88 billion of voted funds and R19,01 billion </w:t>
      </w:r>
      <w:r w:rsidR="005D304D" w:rsidRPr="00AF3755">
        <w:rPr>
          <w:rFonts w:ascii="Arial" w:hAnsi="Arial" w:cs="Arial"/>
          <w:sz w:val="20"/>
          <w:szCs w:val="20"/>
        </w:rPr>
        <w:t xml:space="preserve">from direct charges against the National Revenue Fund. </w:t>
      </w:r>
      <w:r w:rsidR="00E04EE1" w:rsidRPr="00AF3755">
        <w:rPr>
          <w:rFonts w:ascii="Arial" w:hAnsi="Arial" w:cs="Arial"/>
          <w:sz w:val="20"/>
          <w:szCs w:val="20"/>
        </w:rPr>
        <w:t>The budget exclude</w:t>
      </w:r>
      <w:r w:rsidR="00265AB4" w:rsidRPr="00AF3755">
        <w:rPr>
          <w:rFonts w:ascii="Arial" w:hAnsi="Arial" w:cs="Arial"/>
          <w:sz w:val="20"/>
          <w:szCs w:val="20"/>
        </w:rPr>
        <w:t>s</w:t>
      </w:r>
      <w:r w:rsidR="00E04EE1" w:rsidRPr="00AF3755">
        <w:rPr>
          <w:rFonts w:ascii="Arial" w:hAnsi="Arial" w:cs="Arial"/>
          <w:sz w:val="20"/>
          <w:szCs w:val="20"/>
        </w:rPr>
        <w:t xml:space="preserve"> revenue amounting to R21,54 million from Departmental receipts and aid assistance. </w:t>
      </w:r>
      <w:r w:rsidR="005D304D" w:rsidRPr="00AF3755">
        <w:rPr>
          <w:rFonts w:ascii="Arial" w:hAnsi="Arial" w:cs="Arial"/>
          <w:sz w:val="20"/>
          <w:szCs w:val="20"/>
        </w:rPr>
        <w:t>The Department had spent R1</w:t>
      </w:r>
      <w:r w:rsidR="00E04EE1" w:rsidRPr="00AF3755">
        <w:rPr>
          <w:rFonts w:ascii="Arial" w:hAnsi="Arial" w:cs="Arial"/>
          <w:sz w:val="20"/>
          <w:szCs w:val="20"/>
        </w:rPr>
        <w:t xml:space="preserve">16,42 billion </w:t>
      </w:r>
      <w:r w:rsidR="005D304D" w:rsidRPr="00AF3755">
        <w:rPr>
          <w:rFonts w:ascii="Arial" w:hAnsi="Arial" w:cs="Arial"/>
          <w:sz w:val="20"/>
          <w:szCs w:val="20"/>
        </w:rPr>
        <w:t xml:space="preserve">or </w:t>
      </w:r>
      <w:r w:rsidR="00E04EE1" w:rsidRPr="00AF3755">
        <w:rPr>
          <w:rFonts w:ascii="Arial" w:hAnsi="Arial" w:cs="Arial"/>
          <w:sz w:val="20"/>
          <w:szCs w:val="20"/>
        </w:rPr>
        <w:t>99.5</w:t>
      </w:r>
      <w:r w:rsidR="00265AB4" w:rsidRPr="00AF3755">
        <w:rPr>
          <w:rFonts w:ascii="Arial" w:hAnsi="Arial" w:cs="Arial"/>
          <w:sz w:val="20"/>
          <w:szCs w:val="20"/>
        </w:rPr>
        <w:t xml:space="preserve"> per cent</w:t>
      </w:r>
      <w:r w:rsidR="005D304D" w:rsidRPr="00AF3755">
        <w:rPr>
          <w:rFonts w:ascii="Arial" w:hAnsi="Arial" w:cs="Arial"/>
          <w:sz w:val="20"/>
          <w:szCs w:val="20"/>
        </w:rPr>
        <w:t xml:space="preserve"> of the allocated funds at the end of the financial year. Underspending, excluding direct charges</w:t>
      </w:r>
      <w:r w:rsidR="00265AB4" w:rsidRPr="00AF3755">
        <w:rPr>
          <w:rFonts w:ascii="Arial" w:hAnsi="Arial" w:cs="Arial"/>
          <w:sz w:val="20"/>
          <w:szCs w:val="20"/>
        </w:rPr>
        <w:t>,</w:t>
      </w:r>
      <w:r w:rsidR="005D304D" w:rsidRPr="00AF3755">
        <w:rPr>
          <w:rFonts w:ascii="Arial" w:hAnsi="Arial" w:cs="Arial"/>
          <w:sz w:val="20"/>
          <w:szCs w:val="20"/>
        </w:rPr>
        <w:t xml:space="preserve"> amounted to R</w:t>
      </w:r>
      <w:r w:rsidR="003A04AC" w:rsidRPr="00AF3755">
        <w:rPr>
          <w:rFonts w:ascii="Arial" w:hAnsi="Arial" w:cs="Arial"/>
          <w:sz w:val="20"/>
          <w:szCs w:val="20"/>
        </w:rPr>
        <w:t>437,99</w:t>
      </w:r>
      <w:r w:rsidR="005D304D" w:rsidRPr="00AF3755">
        <w:rPr>
          <w:rFonts w:ascii="Arial" w:hAnsi="Arial" w:cs="Arial"/>
          <w:sz w:val="20"/>
          <w:szCs w:val="20"/>
        </w:rPr>
        <w:t xml:space="preserve"> million or 0.4</w:t>
      </w:r>
      <w:r w:rsidR="00265AB4" w:rsidRPr="00AF3755">
        <w:rPr>
          <w:rFonts w:ascii="Arial" w:hAnsi="Arial" w:cs="Arial"/>
          <w:sz w:val="20"/>
          <w:szCs w:val="20"/>
        </w:rPr>
        <w:t xml:space="preserve"> per cent </w:t>
      </w:r>
      <w:r w:rsidR="005D304D" w:rsidRPr="00AF3755">
        <w:rPr>
          <w:rFonts w:ascii="Arial" w:hAnsi="Arial" w:cs="Arial"/>
          <w:sz w:val="20"/>
          <w:szCs w:val="20"/>
        </w:rPr>
        <w:t>(R</w:t>
      </w:r>
      <w:r w:rsidR="003A04AC" w:rsidRPr="00AF3755">
        <w:rPr>
          <w:rFonts w:ascii="Arial" w:hAnsi="Arial" w:cs="Arial"/>
          <w:sz w:val="20"/>
          <w:szCs w:val="20"/>
        </w:rPr>
        <w:t>397,46</w:t>
      </w:r>
      <w:r w:rsidR="005D304D" w:rsidRPr="00AF3755">
        <w:rPr>
          <w:rFonts w:ascii="Arial" w:hAnsi="Arial" w:cs="Arial"/>
          <w:sz w:val="20"/>
          <w:szCs w:val="20"/>
        </w:rPr>
        <w:t xml:space="preserve"> million in </w:t>
      </w:r>
      <w:r w:rsidR="003A04AC" w:rsidRPr="00AF3755">
        <w:rPr>
          <w:rFonts w:ascii="Arial" w:hAnsi="Arial" w:cs="Arial"/>
          <w:sz w:val="20"/>
          <w:szCs w:val="20"/>
        </w:rPr>
        <w:t>2020/21</w:t>
      </w:r>
      <w:r w:rsidR="005D304D" w:rsidRPr="00AF3755">
        <w:rPr>
          <w:rFonts w:ascii="Arial" w:hAnsi="Arial" w:cs="Arial"/>
          <w:sz w:val="20"/>
          <w:szCs w:val="20"/>
        </w:rPr>
        <w:t xml:space="preserve">) from the voted funds. The under-expenditure, however, has not negatively impacted the Department’s programmes and service delivery processes. </w:t>
      </w:r>
      <w:r w:rsidR="00AA2F01" w:rsidRPr="00AF3755">
        <w:rPr>
          <w:rFonts w:ascii="Arial" w:hAnsi="Arial" w:cs="Arial"/>
          <w:sz w:val="20"/>
          <w:szCs w:val="20"/>
        </w:rPr>
        <w:t>Notably, p</w:t>
      </w:r>
      <w:r w:rsidR="005D304D" w:rsidRPr="00AF3755">
        <w:rPr>
          <w:rFonts w:ascii="Arial" w:hAnsi="Arial" w:cs="Arial"/>
          <w:sz w:val="20"/>
          <w:szCs w:val="20"/>
        </w:rPr>
        <w:t>rogrammes 4: TVET and 6: CET had a combined underspending amounting to R3</w:t>
      </w:r>
      <w:r w:rsidR="00AA2F01" w:rsidRPr="00AF3755">
        <w:rPr>
          <w:rFonts w:ascii="Arial" w:hAnsi="Arial" w:cs="Arial"/>
          <w:sz w:val="20"/>
          <w:szCs w:val="20"/>
        </w:rPr>
        <w:t>6</w:t>
      </w:r>
      <w:r w:rsidR="005D304D" w:rsidRPr="00AF3755">
        <w:rPr>
          <w:rFonts w:ascii="Arial" w:hAnsi="Arial" w:cs="Arial"/>
          <w:sz w:val="20"/>
          <w:szCs w:val="20"/>
        </w:rPr>
        <w:t>4,</w:t>
      </w:r>
      <w:r w:rsidR="00AA2F01" w:rsidRPr="00AF3755">
        <w:rPr>
          <w:rFonts w:ascii="Arial" w:hAnsi="Arial" w:cs="Arial"/>
          <w:sz w:val="20"/>
          <w:szCs w:val="20"/>
        </w:rPr>
        <w:t>90</w:t>
      </w:r>
      <w:r w:rsidR="005D304D" w:rsidRPr="00AF3755">
        <w:rPr>
          <w:rFonts w:ascii="Arial" w:hAnsi="Arial" w:cs="Arial"/>
          <w:sz w:val="20"/>
          <w:szCs w:val="20"/>
        </w:rPr>
        <w:t xml:space="preserve"> million</w:t>
      </w:r>
      <w:r w:rsidR="00AA2F01" w:rsidRPr="00AF3755">
        <w:rPr>
          <w:rFonts w:ascii="Arial" w:hAnsi="Arial" w:cs="Arial"/>
          <w:sz w:val="20"/>
          <w:szCs w:val="20"/>
        </w:rPr>
        <w:t xml:space="preserve"> (R374,41</w:t>
      </w:r>
      <w:r w:rsidR="00565D54" w:rsidRPr="00AF3755">
        <w:rPr>
          <w:rFonts w:ascii="Arial" w:hAnsi="Arial" w:cs="Arial"/>
          <w:sz w:val="20"/>
          <w:szCs w:val="20"/>
        </w:rPr>
        <w:t xml:space="preserve"> </w:t>
      </w:r>
      <w:r w:rsidR="00AA2F01" w:rsidRPr="00AF3755">
        <w:rPr>
          <w:rFonts w:ascii="Arial" w:hAnsi="Arial" w:cs="Arial"/>
          <w:sz w:val="20"/>
          <w:szCs w:val="20"/>
        </w:rPr>
        <w:t>million in 2020/21)</w:t>
      </w:r>
      <w:r w:rsidR="005D304D" w:rsidRPr="00AF3755">
        <w:rPr>
          <w:rFonts w:ascii="Arial" w:hAnsi="Arial" w:cs="Arial"/>
          <w:sz w:val="20"/>
          <w:szCs w:val="20"/>
        </w:rPr>
        <w:t xml:space="preserve">, representing </w:t>
      </w:r>
      <w:r w:rsidR="00AA2F01" w:rsidRPr="00AF3755">
        <w:rPr>
          <w:rFonts w:ascii="Arial" w:hAnsi="Arial" w:cs="Arial"/>
          <w:sz w:val="20"/>
          <w:szCs w:val="20"/>
        </w:rPr>
        <w:t>76.9 per cent of</w:t>
      </w:r>
      <w:r w:rsidR="005D304D" w:rsidRPr="00AF3755">
        <w:rPr>
          <w:rFonts w:ascii="Arial" w:hAnsi="Arial" w:cs="Arial"/>
          <w:sz w:val="20"/>
          <w:szCs w:val="20"/>
        </w:rPr>
        <w:t xml:space="preserve"> the total underspending on voted funds.</w:t>
      </w:r>
    </w:p>
    <w:p w:rsidR="005D304D" w:rsidRPr="00AF3755" w:rsidRDefault="005D304D" w:rsidP="00AF3755">
      <w:pPr>
        <w:spacing w:after="0" w:line="240" w:lineRule="auto"/>
        <w:rPr>
          <w:rFonts w:ascii="Arial" w:hAnsi="Arial" w:cs="Arial"/>
          <w:sz w:val="20"/>
          <w:szCs w:val="20"/>
        </w:rPr>
      </w:pPr>
      <w:r w:rsidRPr="00AF3755">
        <w:rPr>
          <w:rFonts w:ascii="Arial" w:hAnsi="Arial" w:cs="Arial"/>
          <w:sz w:val="20"/>
          <w:szCs w:val="20"/>
        </w:rPr>
        <w:t>The bulk of the underspending amounting to R</w:t>
      </w:r>
      <w:r w:rsidR="00890EB1" w:rsidRPr="00AF3755">
        <w:rPr>
          <w:rFonts w:ascii="Arial" w:hAnsi="Arial" w:cs="Arial"/>
          <w:sz w:val="20"/>
          <w:szCs w:val="20"/>
        </w:rPr>
        <w:t>450,35</w:t>
      </w:r>
      <w:r w:rsidRPr="00AF3755">
        <w:rPr>
          <w:rFonts w:ascii="Arial" w:hAnsi="Arial" w:cs="Arial"/>
          <w:sz w:val="20"/>
          <w:szCs w:val="20"/>
        </w:rPr>
        <w:t xml:space="preserve"> million or </w:t>
      </w:r>
      <w:r w:rsidR="00890EB1" w:rsidRPr="00AF3755">
        <w:rPr>
          <w:rFonts w:ascii="Arial" w:hAnsi="Arial" w:cs="Arial"/>
          <w:sz w:val="20"/>
          <w:szCs w:val="20"/>
        </w:rPr>
        <w:t>95.0 per cent</w:t>
      </w:r>
      <w:r w:rsidRPr="00AF3755">
        <w:rPr>
          <w:rFonts w:ascii="Arial" w:hAnsi="Arial" w:cs="Arial"/>
          <w:sz w:val="20"/>
          <w:szCs w:val="20"/>
        </w:rPr>
        <w:t xml:space="preserve"> (R</w:t>
      </w:r>
      <w:r w:rsidR="00890EB1" w:rsidRPr="00AF3755">
        <w:rPr>
          <w:rFonts w:ascii="Arial" w:hAnsi="Arial" w:cs="Arial"/>
          <w:sz w:val="20"/>
          <w:szCs w:val="20"/>
        </w:rPr>
        <w:t>350,24</w:t>
      </w:r>
      <w:r w:rsidRPr="00AF3755">
        <w:rPr>
          <w:rFonts w:ascii="Arial" w:hAnsi="Arial" w:cs="Arial"/>
          <w:sz w:val="20"/>
          <w:szCs w:val="20"/>
        </w:rPr>
        <w:t xml:space="preserve"> million in 20</w:t>
      </w:r>
      <w:r w:rsidR="00890EB1" w:rsidRPr="00AF3755">
        <w:rPr>
          <w:rFonts w:ascii="Arial" w:hAnsi="Arial" w:cs="Arial"/>
          <w:sz w:val="20"/>
          <w:szCs w:val="20"/>
        </w:rPr>
        <w:t>20/21</w:t>
      </w:r>
      <w:r w:rsidRPr="00AF3755">
        <w:rPr>
          <w:rFonts w:ascii="Arial" w:hAnsi="Arial" w:cs="Arial"/>
          <w:sz w:val="20"/>
          <w:szCs w:val="20"/>
        </w:rPr>
        <w:t xml:space="preserve">) of the total underspending was on compensation of employees. Underspending on </w:t>
      </w:r>
      <w:r w:rsidR="00890EB1" w:rsidRPr="00AF3755">
        <w:rPr>
          <w:rFonts w:ascii="Arial" w:hAnsi="Arial" w:cs="Arial"/>
          <w:sz w:val="20"/>
          <w:szCs w:val="20"/>
        </w:rPr>
        <w:t>goods and services</w:t>
      </w:r>
      <w:r w:rsidRPr="00AF3755">
        <w:rPr>
          <w:rFonts w:ascii="Arial" w:hAnsi="Arial" w:cs="Arial"/>
          <w:sz w:val="20"/>
          <w:szCs w:val="20"/>
        </w:rPr>
        <w:t xml:space="preserve"> amount</w:t>
      </w:r>
      <w:r w:rsidR="00890EB1" w:rsidRPr="00AF3755">
        <w:rPr>
          <w:rFonts w:ascii="Arial" w:hAnsi="Arial" w:cs="Arial"/>
          <w:sz w:val="20"/>
          <w:szCs w:val="20"/>
        </w:rPr>
        <w:t>ed</w:t>
      </w:r>
      <w:r w:rsidRPr="00AF3755">
        <w:rPr>
          <w:rFonts w:ascii="Arial" w:hAnsi="Arial" w:cs="Arial"/>
          <w:sz w:val="20"/>
          <w:szCs w:val="20"/>
        </w:rPr>
        <w:t xml:space="preserve"> to R</w:t>
      </w:r>
      <w:r w:rsidR="00890EB1" w:rsidRPr="00AF3755">
        <w:rPr>
          <w:rFonts w:ascii="Arial" w:hAnsi="Arial" w:cs="Arial"/>
          <w:sz w:val="20"/>
          <w:szCs w:val="20"/>
        </w:rPr>
        <w:t xml:space="preserve">12,67 million, </w:t>
      </w:r>
      <w:r w:rsidR="00067E63" w:rsidRPr="00AF3755">
        <w:rPr>
          <w:rFonts w:ascii="Arial" w:hAnsi="Arial" w:cs="Arial"/>
          <w:sz w:val="20"/>
          <w:szCs w:val="20"/>
        </w:rPr>
        <w:t xml:space="preserve">constituting </w:t>
      </w:r>
      <w:r w:rsidR="00890EB1" w:rsidRPr="00AF3755">
        <w:rPr>
          <w:rFonts w:ascii="Arial" w:hAnsi="Arial" w:cs="Arial"/>
          <w:sz w:val="20"/>
          <w:szCs w:val="20"/>
        </w:rPr>
        <w:t xml:space="preserve">the second largest underspending. However, the underspending on goods and services had decreased significantly from R45,11 million in 2020/21 to R12,67 million </w:t>
      </w:r>
      <w:r w:rsidR="00067E63" w:rsidRPr="00AF3755">
        <w:rPr>
          <w:rFonts w:ascii="Arial" w:hAnsi="Arial" w:cs="Arial"/>
          <w:sz w:val="20"/>
          <w:szCs w:val="20"/>
        </w:rPr>
        <w:t xml:space="preserve">in </w:t>
      </w:r>
      <w:r w:rsidR="00890EB1" w:rsidRPr="00AF3755">
        <w:rPr>
          <w:rFonts w:ascii="Arial" w:hAnsi="Arial" w:cs="Arial"/>
          <w:sz w:val="20"/>
          <w:szCs w:val="20"/>
        </w:rPr>
        <w:t xml:space="preserve">2021/22. </w:t>
      </w:r>
    </w:p>
    <w:p w:rsidR="00207C04" w:rsidRPr="00AF3755" w:rsidRDefault="00207C04"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Expenditure per economic classification</w:t>
      </w:r>
    </w:p>
    <w:p w:rsidR="005D304D" w:rsidRPr="00AF3755" w:rsidRDefault="005D304D" w:rsidP="00AF3755">
      <w:pPr>
        <w:pStyle w:val="ListParagraph"/>
        <w:spacing w:after="0" w:line="240" w:lineRule="auto"/>
        <w:ind w:left="0"/>
        <w:rPr>
          <w:rFonts w:ascii="Arial" w:hAnsi="Arial" w:cs="Arial"/>
          <w:sz w:val="20"/>
          <w:szCs w:val="20"/>
        </w:rPr>
      </w:pPr>
      <w:r w:rsidRPr="00AF3755">
        <w:rPr>
          <w:rFonts w:ascii="Arial" w:hAnsi="Arial" w:cs="Arial"/>
          <w:b/>
          <w:bCs/>
          <w:sz w:val="20"/>
          <w:szCs w:val="20"/>
        </w:rPr>
        <w:t>Table 2: 2020/21 allocation and expenditure per economic classification</w:t>
      </w:r>
    </w:p>
    <w:tbl>
      <w:tblPr>
        <w:tblW w:w="946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4"/>
        <w:gridCol w:w="2248"/>
        <w:gridCol w:w="1968"/>
        <w:gridCol w:w="1515"/>
        <w:gridCol w:w="998"/>
      </w:tblGrid>
      <w:tr w:rsidR="00B26BE5" w:rsidRPr="00AF3755" w:rsidTr="002B2C77">
        <w:trPr>
          <w:trHeight w:val="850"/>
        </w:trPr>
        <w:tc>
          <w:tcPr>
            <w:tcW w:w="2734" w:type="dxa"/>
            <w:shd w:val="clear" w:color="auto" w:fill="D6DCE4"/>
            <w:tcMar>
              <w:top w:w="8" w:type="dxa"/>
              <w:left w:w="108" w:type="dxa"/>
              <w:bottom w:w="5" w:type="dxa"/>
              <w:right w:w="108" w:type="dxa"/>
            </w:tcMar>
            <w:vAlign w:val="bottom"/>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APPROPRIATION PER ECONOMIC CLASSIFICATION</w:t>
            </w:r>
          </w:p>
        </w:tc>
        <w:tc>
          <w:tcPr>
            <w:tcW w:w="2248" w:type="dxa"/>
            <w:shd w:val="clear" w:color="auto" w:fill="D6DCE4"/>
            <w:tcMar>
              <w:top w:w="8" w:type="dxa"/>
              <w:left w:w="113" w:type="dxa"/>
              <w:bottom w:w="5"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FINAL APPROPRIATION</w:t>
            </w:r>
          </w:p>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R’000</w:t>
            </w:r>
          </w:p>
        </w:tc>
        <w:tc>
          <w:tcPr>
            <w:tcW w:w="1968" w:type="dxa"/>
            <w:shd w:val="clear" w:color="auto" w:fill="D6DCE4"/>
            <w:tcMar>
              <w:top w:w="8" w:type="dxa"/>
              <w:left w:w="113" w:type="dxa"/>
              <w:bottom w:w="5"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ACTUAL EXPENDITURE</w:t>
            </w:r>
          </w:p>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R’000</w:t>
            </w:r>
          </w:p>
        </w:tc>
        <w:tc>
          <w:tcPr>
            <w:tcW w:w="1515" w:type="dxa"/>
            <w:shd w:val="clear" w:color="auto" w:fill="D6DCE4"/>
            <w:tcMar>
              <w:top w:w="8" w:type="dxa"/>
              <w:left w:w="113" w:type="dxa"/>
              <w:bottom w:w="5"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VARIANCE</w:t>
            </w:r>
          </w:p>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R’000</w:t>
            </w:r>
          </w:p>
        </w:tc>
        <w:tc>
          <w:tcPr>
            <w:tcW w:w="998" w:type="dxa"/>
            <w:shd w:val="clear" w:color="auto" w:fill="D6DCE4"/>
            <w:tcMar>
              <w:top w:w="8" w:type="dxa"/>
              <w:left w:w="113" w:type="dxa"/>
              <w:bottom w:w="5"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 SPENT</w:t>
            </w:r>
          </w:p>
        </w:tc>
      </w:tr>
      <w:tr w:rsidR="00B26BE5" w:rsidRPr="00AF3755" w:rsidTr="002B2C77">
        <w:trPr>
          <w:trHeight w:val="255"/>
        </w:trPr>
        <w:tc>
          <w:tcPr>
            <w:tcW w:w="2734" w:type="dxa"/>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Current payments</w:t>
            </w:r>
          </w:p>
        </w:tc>
        <w:tc>
          <w:tcPr>
            <w:tcW w:w="2248" w:type="dxa"/>
            <w:tcMar>
              <w:top w:w="5" w:type="dxa"/>
              <w:left w:w="113" w:type="dxa"/>
              <w:bottom w:w="8" w:type="dxa"/>
              <w:right w:w="108" w:type="dxa"/>
            </w:tcMar>
          </w:tcPr>
          <w:p w:rsidR="00B26BE5" w:rsidRPr="00AF3755" w:rsidRDefault="00D17CBE" w:rsidP="00AF3755">
            <w:pPr>
              <w:spacing w:after="0" w:line="240" w:lineRule="auto"/>
              <w:rPr>
                <w:rFonts w:ascii="Arial" w:hAnsi="Arial" w:cs="Arial"/>
                <w:color w:val="000000"/>
                <w:sz w:val="20"/>
                <w:szCs w:val="20"/>
              </w:rPr>
            </w:pPr>
            <w:r w:rsidRPr="00AF3755">
              <w:rPr>
                <w:rFonts w:ascii="Arial" w:hAnsi="Arial" w:cs="Arial"/>
                <w:color w:val="000000"/>
                <w:sz w:val="20"/>
                <w:szCs w:val="20"/>
              </w:rPr>
              <w:t>10 220 860</w:t>
            </w:r>
          </w:p>
        </w:tc>
        <w:tc>
          <w:tcPr>
            <w:tcW w:w="1968" w:type="dxa"/>
            <w:tcMar>
              <w:top w:w="5" w:type="dxa"/>
              <w:left w:w="113" w:type="dxa"/>
              <w:bottom w:w="8" w:type="dxa"/>
              <w:right w:w="108" w:type="dxa"/>
            </w:tcMar>
          </w:tcPr>
          <w:p w:rsidR="00B26BE5"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9 757 833</w:t>
            </w:r>
          </w:p>
        </w:tc>
        <w:tc>
          <w:tcPr>
            <w:tcW w:w="1515" w:type="dxa"/>
            <w:tcMar>
              <w:top w:w="5" w:type="dxa"/>
              <w:left w:w="113" w:type="dxa"/>
              <w:bottom w:w="8" w:type="dxa"/>
              <w:right w:w="108" w:type="dxa"/>
            </w:tcMar>
          </w:tcPr>
          <w:p w:rsidR="00B26BE5"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463 027</w:t>
            </w:r>
          </w:p>
        </w:tc>
        <w:tc>
          <w:tcPr>
            <w:tcW w:w="998" w:type="dxa"/>
            <w:shd w:val="clear" w:color="auto" w:fill="F2F2F2"/>
            <w:tcMar>
              <w:top w:w="5" w:type="dxa"/>
              <w:left w:w="113" w:type="dxa"/>
              <w:bottom w:w="8" w:type="dxa"/>
              <w:right w:w="108" w:type="dxa"/>
            </w:tcMar>
          </w:tcPr>
          <w:p w:rsidR="00B26BE5"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95.5%</w:t>
            </w:r>
          </w:p>
        </w:tc>
      </w:tr>
      <w:tr w:rsidR="00D17CBE" w:rsidRPr="00AF3755" w:rsidTr="002B2C77">
        <w:trPr>
          <w:trHeight w:val="255"/>
        </w:trPr>
        <w:tc>
          <w:tcPr>
            <w:tcW w:w="2734" w:type="dxa"/>
            <w:tcMar>
              <w:top w:w="5" w:type="dxa"/>
              <w:left w:w="108" w:type="dxa"/>
              <w:bottom w:w="8" w:type="dxa"/>
              <w:right w:w="108" w:type="dxa"/>
            </w:tcMar>
            <w:hideMark/>
          </w:tcPr>
          <w:p w:rsidR="00D17CBE" w:rsidRPr="00AF3755" w:rsidRDefault="00D17CBE" w:rsidP="00AF3755">
            <w:pPr>
              <w:spacing w:after="0" w:line="240" w:lineRule="auto"/>
              <w:rPr>
                <w:rFonts w:ascii="Arial" w:hAnsi="Arial" w:cs="Arial"/>
                <w:color w:val="000000"/>
                <w:sz w:val="20"/>
                <w:szCs w:val="20"/>
              </w:rPr>
            </w:pPr>
            <w:r w:rsidRPr="00AF3755">
              <w:rPr>
                <w:rFonts w:ascii="Arial" w:hAnsi="Arial" w:cs="Arial"/>
                <w:color w:val="000000"/>
                <w:sz w:val="20"/>
                <w:szCs w:val="20"/>
              </w:rPr>
              <w:t>Compensation of employees</w:t>
            </w:r>
          </w:p>
        </w:tc>
        <w:tc>
          <w:tcPr>
            <w:tcW w:w="2248" w:type="dxa"/>
            <w:tcMar>
              <w:top w:w="5" w:type="dxa"/>
              <w:left w:w="113" w:type="dxa"/>
              <w:bottom w:w="8" w:type="dxa"/>
              <w:right w:w="108" w:type="dxa"/>
            </w:tcMar>
          </w:tcPr>
          <w:p w:rsidR="00D17CBE"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9 633 486</w:t>
            </w:r>
          </w:p>
        </w:tc>
        <w:tc>
          <w:tcPr>
            <w:tcW w:w="1968" w:type="dxa"/>
            <w:tcMar>
              <w:top w:w="5" w:type="dxa"/>
              <w:left w:w="113" w:type="dxa"/>
              <w:bottom w:w="8" w:type="dxa"/>
              <w:right w:w="108" w:type="dxa"/>
            </w:tcMar>
          </w:tcPr>
          <w:p w:rsidR="00D17CBE"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9 183 130</w:t>
            </w:r>
          </w:p>
        </w:tc>
        <w:tc>
          <w:tcPr>
            <w:tcW w:w="1515" w:type="dxa"/>
            <w:tcMar>
              <w:top w:w="5" w:type="dxa"/>
              <w:left w:w="113" w:type="dxa"/>
              <w:bottom w:w="8" w:type="dxa"/>
              <w:right w:w="108" w:type="dxa"/>
            </w:tcMar>
          </w:tcPr>
          <w:p w:rsidR="00D17CBE"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450 356</w:t>
            </w:r>
          </w:p>
        </w:tc>
        <w:tc>
          <w:tcPr>
            <w:tcW w:w="998" w:type="dxa"/>
            <w:shd w:val="clear" w:color="auto" w:fill="F2F2F2"/>
            <w:tcMar>
              <w:top w:w="5" w:type="dxa"/>
              <w:left w:w="113" w:type="dxa"/>
              <w:bottom w:w="8" w:type="dxa"/>
              <w:right w:w="108" w:type="dxa"/>
            </w:tcMar>
          </w:tcPr>
          <w:p w:rsidR="00D17CBE"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95.3%</w:t>
            </w:r>
          </w:p>
        </w:tc>
      </w:tr>
      <w:tr w:rsidR="00F66EC0" w:rsidRPr="00AF3755" w:rsidTr="002B2C77">
        <w:trPr>
          <w:trHeight w:val="255"/>
        </w:trPr>
        <w:tc>
          <w:tcPr>
            <w:tcW w:w="2734" w:type="dxa"/>
            <w:tcMar>
              <w:top w:w="5" w:type="dxa"/>
              <w:left w:w="108" w:type="dxa"/>
              <w:bottom w:w="8" w:type="dxa"/>
              <w:right w:w="108" w:type="dxa"/>
            </w:tcMar>
            <w:hideMark/>
          </w:tcPr>
          <w:p w:rsidR="00F66EC0"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Goods and services</w:t>
            </w:r>
          </w:p>
        </w:tc>
        <w:tc>
          <w:tcPr>
            <w:tcW w:w="2248" w:type="dxa"/>
            <w:tcMar>
              <w:top w:w="5" w:type="dxa"/>
              <w:left w:w="113" w:type="dxa"/>
              <w:bottom w:w="8" w:type="dxa"/>
              <w:right w:w="108" w:type="dxa"/>
            </w:tcMar>
          </w:tcPr>
          <w:p w:rsidR="00F66EC0"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587 374</w:t>
            </w:r>
          </w:p>
        </w:tc>
        <w:tc>
          <w:tcPr>
            <w:tcW w:w="1968" w:type="dxa"/>
            <w:tcMar>
              <w:top w:w="5" w:type="dxa"/>
              <w:left w:w="113" w:type="dxa"/>
              <w:bottom w:w="8" w:type="dxa"/>
              <w:right w:w="108" w:type="dxa"/>
            </w:tcMar>
          </w:tcPr>
          <w:p w:rsidR="00F66EC0"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574 703</w:t>
            </w:r>
          </w:p>
        </w:tc>
        <w:tc>
          <w:tcPr>
            <w:tcW w:w="1515" w:type="dxa"/>
            <w:tcMar>
              <w:top w:w="5" w:type="dxa"/>
              <w:left w:w="113" w:type="dxa"/>
              <w:bottom w:w="8" w:type="dxa"/>
              <w:right w:w="108" w:type="dxa"/>
            </w:tcMar>
          </w:tcPr>
          <w:p w:rsidR="00F66EC0"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12 671</w:t>
            </w:r>
          </w:p>
        </w:tc>
        <w:tc>
          <w:tcPr>
            <w:tcW w:w="998" w:type="dxa"/>
            <w:shd w:val="clear" w:color="auto" w:fill="F2F2F2"/>
            <w:tcMar>
              <w:top w:w="5" w:type="dxa"/>
              <w:left w:w="113" w:type="dxa"/>
              <w:bottom w:w="8" w:type="dxa"/>
              <w:right w:w="108" w:type="dxa"/>
            </w:tcMar>
          </w:tcPr>
          <w:p w:rsidR="00F66EC0" w:rsidRPr="00AF3755" w:rsidRDefault="00F66EC0" w:rsidP="00AF3755">
            <w:pPr>
              <w:spacing w:after="0" w:line="240" w:lineRule="auto"/>
              <w:rPr>
                <w:rFonts w:ascii="Arial" w:hAnsi="Arial" w:cs="Arial"/>
                <w:color w:val="000000"/>
                <w:sz w:val="20"/>
                <w:szCs w:val="20"/>
              </w:rPr>
            </w:pPr>
            <w:r w:rsidRPr="00AF3755">
              <w:rPr>
                <w:rFonts w:ascii="Arial" w:hAnsi="Arial" w:cs="Arial"/>
                <w:color w:val="000000"/>
                <w:sz w:val="20"/>
                <w:szCs w:val="20"/>
              </w:rPr>
              <w:t>97.8%</w:t>
            </w:r>
          </w:p>
        </w:tc>
      </w:tr>
      <w:tr w:rsidR="00B26BE5" w:rsidRPr="00AF3755" w:rsidTr="002B2C77">
        <w:trPr>
          <w:trHeight w:val="255"/>
        </w:trPr>
        <w:tc>
          <w:tcPr>
            <w:tcW w:w="2734" w:type="dxa"/>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Transfers and subsidies</w:t>
            </w:r>
          </w:p>
        </w:tc>
        <w:tc>
          <w:tcPr>
            <w:tcW w:w="2248" w:type="dxa"/>
            <w:tcMar>
              <w:top w:w="5" w:type="dxa"/>
              <w:left w:w="113" w:type="dxa"/>
              <w:bottom w:w="8" w:type="dxa"/>
              <w:right w:w="108" w:type="dxa"/>
            </w:tcMar>
          </w:tcPr>
          <w:p w:rsidR="00B26BE5" w:rsidRPr="00AF3755" w:rsidRDefault="00C56122" w:rsidP="00AF3755">
            <w:pPr>
              <w:spacing w:after="0" w:line="240" w:lineRule="auto"/>
              <w:rPr>
                <w:rFonts w:ascii="Arial" w:hAnsi="Arial" w:cs="Arial"/>
                <w:color w:val="000000"/>
                <w:sz w:val="20"/>
                <w:szCs w:val="20"/>
              </w:rPr>
            </w:pPr>
            <w:r w:rsidRPr="00AF3755">
              <w:rPr>
                <w:rFonts w:ascii="Arial" w:hAnsi="Arial" w:cs="Arial"/>
                <w:color w:val="000000"/>
                <w:sz w:val="20"/>
                <w:szCs w:val="20"/>
              </w:rPr>
              <w:t>106 661 122</w:t>
            </w:r>
          </w:p>
        </w:tc>
        <w:tc>
          <w:tcPr>
            <w:tcW w:w="1968" w:type="dxa"/>
            <w:tcMar>
              <w:top w:w="5" w:type="dxa"/>
              <w:left w:w="113" w:type="dxa"/>
              <w:bottom w:w="8" w:type="dxa"/>
              <w:right w:w="108" w:type="dxa"/>
            </w:tcMar>
          </w:tcPr>
          <w:p w:rsidR="00B26BE5" w:rsidRPr="00AF3755" w:rsidRDefault="00C56122" w:rsidP="00AF3755">
            <w:pPr>
              <w:spacing w:after="0" w:line="240" w:lineRule="auto"/>
              <w:rPr>
                <w:rFonts w:ascii="Arial" w:hAnsi="Arial" w:cs="Arial"/>
                <w:color w:val="000000"/>
                <w:sz w:val="20"/>
                <w:szCs w:val="20"/>
              </w:rPr>
            </w:pPr>
            <w:r w:rsidRPr="00AF3755">
              <w:rPr>
                <w:rFonts w:ascii="Arial" w:hAnsi="Arial" w:cs="Arial"/>
                <w:color w:val="000000"/>
                <w:sz w:val="20"/>
                <w:szCs w:val="20"/>
              </w:rPr>
              <w:t>106 658 146</w:t>
            </w:r>
          </w:p>
        </w:tc>
        <w:tc>
          <w:tcPr>
            <w:tcW w:w="1515" w:type="dxa"/>
            <w:tcMar>
              <w:top w:w="5" w:type="dxa"/>
              <w:left w:w="113" w:type="dxa"/>
              <w:bottom w:w="8" w:type="dxa"/>
              <w:right w:w="108" w:type="dxa"/>
            </w:tcMar>
          </w:tcPr>
          <w:p w:rsidR="00B26BE5" w:rsidRPr="00AF3755" w:rsidRDefault="00C56122" w:rsidP="00AF3755">
            <w:pPr>
              <w:spacing w:after="0" w:line="240" w:lineRule="auto"/>
              <w:rPr>
                <w:rFonts w:ascii="Arial" w:hAnsi="Arial" w:cs="Arial"/>
                <w:color w:val="000000"/>
                <w:sz w:val="20"/>
                <w:szCs w:val="20"/>
              </w:rPr>
            </w:pPr>
            <w:r w:rsidRPr="00AF3755">
              <w:rPr>
                <w:rFonts w:ascii="Arial" w:hAnsi="Arial" w:cs="Arial"/>
                <w:color w:val="000000"/>
                <w:sz w:val="20"/>
                <w:szCs w:val="20"/>
              </w:rPr>
              <w:t>2 976</w:t>
            </w:r>
          </w:p>
        </w:tc>
        <w:tc>
          <w:tcPr>
            <w:tcW w:w="998" w:type="dxa"/>
            <w:shd w:val="clear" w:color="auto" w:fill="F2F2F2"/>
            <w:tcMar>
              <w:top w:w="5" w:type="dxa"/>
              <w:left w:w="113" w:type="dxa"/>
              <w:bottom w:w="8" w:type="dxa"/>
              <w:right w:w="108" w:type="dxa"/>
            </w:tcMar>
          </w:tcPr>
          <w:p w:rsidR="00B26BE5" w:rsidRPr="00AF3755" w:rsidRDefault="00C56122" w:rsidP="00AF3755">
            <w:pPr>
              <w:spacing w:after="0" w:line="240" w:lineRule="auto"/>
              <w:rPr>
                <w:rFonts w:ascii="Arial" w:hAnsi="Arial" w:cs="Arial"/>
                <w:color w:val="000000"/>
                <w:sz w:val="20"/>
                <w:szCs w:val="20"/>
              </w:rPr>
            </w:pPr>
            <w:r w:rsidRPr="00AF3755">
              <w:rPr>
                <w:rFonts w:ascii="Arial" w:hAnsi="Arial" w:cs="Arial"/>
                <w:color w:val="000000"/>
                <w:sz w:val="20"/>
                <w:szCs w:val="20"/>
              </w:rPr>
              <w:t>100.0%</w:t>
            </w:r>
          </w:p>
        </w:tc>
      </w:tr>
      <w:tr w:rsidR="00B26BE5" w:rsidRPr="00AF3755" w:rsidTr="002B2C77">
        <w:trPr>
          <w:trHeight w:val="255"/>
        </w:trPr>
        <w:tc>
          <w:tcPr>
            <w:tcW w:w="2734" w:type="dxa"/>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Payments for capital assets</w:t>
            </w:r>
          </w:p>
        </w:tc>
        <w:tc>
          <w:tcPr>
            <w:tcW w:w="2248" w:type="dxa"/>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17 993</w:t>
            </w:r>
          </w:p>
        </w:tc>
        <w:tc>
          <w:tcPr>
            <w:tcW w:w="1968" w:type="dxa"/>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10 003</w:t>
            </w:r>
          </w:p>
        </w:tc>
        <w:tc>
          <w:tcPr>
            <w:tcW w:w="1515" w:type="dxa"/>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7 990</w:t>
            </w:r>
          </w:p>
        </w:tc>
        <w:tc>
          <w:tcPr>
            <w:tcW w:w="998" w:type="dxa"/>
            <w:shd w:val="clear" w:color="auto" w:fill="F2F2F2"/>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55.6%</w:t>
            </w:r>
          </w:p>
        </w:tc>
      </w:tr>
      <w:tr w:rsidR="00B26BE5" w:rsidRPr="00AF3755" w:rsidTr="002B2C77">
        <w:trPr>
          <w:trHeight w:val="255"/>
        </w:trPr>
        <w:tc>
          <w:tcPr>
            <w:tcW w:w="2734" w:type="dxa"/>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Payment for financial assets</w:t>
            </w:r>
          </w:p>
        </w:tc>
        <w:tc>
          <w:tcPr>
            <w:tcW w:w="2248" w:type="dxa"/>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640</w:t>
            </w:r>
          </w:p>
        </w:tc>
        <w:tc>
          <w:tcPr>
            <w:tcW w:w="1968" w:type="dxa"/>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638</w:t>
            </w:r>
          </w:p>
        </w:tc>
        <w:tc>
          <w:tcPr>
            <w:tcW w:w="1515" w:type="dxa"/>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2</w:t>
            </w:r>
          </w:p>
        </w:tc>
        <w:tc>
          <w:tcPr>
            <w:tcW w:w="998" w:type="dxa"/>
            <w:shd w:val="clear" w:color="auto" w:fill="F2F2F2"/>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99.7%</w:t>
            </w:r>
          </w:p>
        </w:tc>
      </w:tr>
      <w:tr w:rsidR="00B26BE5" w:rsidRPr="00AF3755" w:rsidTr="002B2C77">
        <w:trPr>
          <w:trHeight w:val="255"/>
        </w:trPr>
        <w:tc>
          <w:tcPr>
            <w:tcW w:w="2734" w:type="dxa"/>
            <w:shd w:val="clear" w:color="auto" w:fill="D9D9D9"/>
            <w:tcMar>
              <w:top w:w="5" w:type="dxa"/>
              <w:left w:w="108" w:type="dxa"/>
              <w:bottom w:w="8" w:type="dxa"/>
              <w:right w:w="108" w:type="dxa"/>
            </w:tcMar>
            <w:hideMark/>
          </w:tcPr>
          <w:p w:rsidR="00B26BE5" w:rsidRPr="00AF3755" w:rsidRDefault="00B26BE5"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Total</w:t>
            </w:r>
          </w:p>
        </w:tc>
        <w:tc>
          <w:tcPr>
            <w:tcW w:w="2248" w:type="dxa"/>
            <w:shd w:val="clear" w:color="auto" w:fill="D9D9D9"/>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116 900 615</w:t>
            </w:r>
          </w:p>
        </w:tc>
        <w:tc>
          <w:tcPr>
            <w:tcW w:w="1968" w:type="dxa"/>
            <w:shd w:val="clear" w:color="auto" w:fill="D9D9D9"/>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116 426 620</w:t>
            </w:r>
          </w:p>
        </w:tc>
        <w:tc>
          <w:tcPr>
            <w:tcW w:w="1515" w:type="dxa"/>
            <w:shd w:val="clear" w:color="auto" w:fill="D9D9D9"/>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473 995</w:t>
            </w:r>
          </w:p>
        </w:tc>
        <w:tc>
          <w:tcPr>
            <w:tcW w:w="998" w:type="dxa"/>
            <w:shd w:val="clear" w:color="auto" w:fill="D9D9D9"/>
            <w:tcMar>
              <w:top w:w="5" w:type="dxa"/>
              <w:left w:w="113" w:type="dxa"/>
              <w:bottom w:w="8" w:type="dxa"/>
              <w:right w:w="108" w:type="dxa"/>
            </w:tcMar>
          </w:tcPr>
          <w:p w:rsidR="00B26BE5" w:rsidRPr="00AF3755" w:rsidRDefault="00890E2C" w:rsidP="00AF3755">
            <w:pPr>
              <w:spacing w:after="0" w:line="240" w:lineRule="auto"/>
              <w:rPr>
                <w:rFonts w:ascii="Arial" w:hAnsi="Arial" w:cs="Arial"/>
                <w:color w:val="000000"/>
                <w:sz w:val="20"/>
                <w:szCs w:val="20"/>
              </w:rPr>
            </w:pPr>
            <w:r w:rsidRPr="00AF3755">
              <w:rPr>
                <w:rFonts w:ascii="Arial" w:hAnsi="Arial" w:cs="Arial"/>
                <w:color w:val="000000"/>
                <w:sz w:val="20"/>
                <w:szCs w:val="20"/>
              </w:rPr>
              <w:t>99.6%</w:t>
            </w:r>
          </w:p>
        </w:tc>
      </w:tr>
    </w:tbl>
    <w:p w:rsidR="00B26BE5" w:rsidRPr="00AF3755" w:rsidRDefault="00B26BE5" w:rsidP="00AF3755">
      <w:pPr>
        <w:pStyle w:val="ListParagraph"/>
        <w:spacing w:after="0" w:line="240" w:lineRule="auto"/>
        <w:ind w:left="0"/>
        <w:rPr>
          <w:rFonts w:ascii="Arial" w:hAnsi="Arial" w:cs="Arial"/>
          <w:sz w:val="20"/>
          <w:szCs w:val="20"/>
        </w:rPr>
      </w:pPr>
      <w:r w:rsidRPr="00AF3755">
        <w:rPr>
          <w:rFonts w:ascii="Arial" w:hAnsi="Arial" w:cs="Arial"/>
          <w:sz w:val="20"/>
          <w:szCs w:val="20"/>
        </w:rPr>
        <w:t>Source: DHET (2021/22) Annual Report</w:t>
      </w:r>
    </w:p>
    <w:p w:rsidR="00B26BE5" w:rsidRPr="00AF3755" w:rsidRDefault="00B26BE5"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During the </w:t>
      </w:r>
      <w:r w:rsidR="00097411" w:rsidRPr="00AF3755">
        <w:rPr>
          <w:rFonts w:ascii="Arial" w:hAnsi="Arial" w:cs="Arial"/>
          <w:sz w:val="20"/>
          <w:szCs w:val="20"/>
        </w:rPr>
        <w:t>period under review</w:t>
      </w:r>
      <w:r w:rsidRPr="00AF3755">
        <w:rPr>
          <w:rFonts w:ascii="Arial" w:hAnsi="Arial" w:cs="Arial"/>
          <w:sz w:val="20"/>
          <w:szCs w:val="20"/>
        </w:rPr>
        <w:t xml:space="preserve">, the Department had spent </w:t>
      </w:r>
      <w:r w:rsidR="008A0691" w:rsidRPr="00AF3755">
        <w:rPr>
          <w:rFonts w:ascii="Arial" w:hAnsi="Arial" w:cs="Arial"/>
          <w:sz w:val="20"/>
          <w:szCs w:val="20"/>
        </w:rPr>
        <w:t>R9,18 billion (</w:t>
      </w:r>
      <w:r w:rsidRPr="00AF3755">
        <w:rPr>
          <w:rFonts w:ascii="Arial" w:hAnsi="Arial" w:cs="Arial"/>
          <w:sz w:val="20"/>
          <w:szCs w:val="20"/>
        </w:rPr>
        <w:t>R9,22 billion</w:t>
      </w:r>
      <w:r w:rsidR="008A0691" w:rsidRPr="00AF3755">
        <w:rPr>
          <w:rFonts w:ascii="Arial" w:hAnsi="Arial" w:cs="Arial"/>
          <w:sz w:val="20"/>
          <w:szCs w:val="20"/>
        </w:rPr>
        <w:t xml:space="preserve"> in 2020/21)</w:t>
      </w:r>
      <w:r w:rsidRPr="00AF3755">
        <w:rPr>
          <w:rFonts w:ascii="Arial" w:hAnsi="Arial" w:cs="Arial"/>
          <w:sz w:val="20"/>
          <w:szCs w:val="20"/>
        </w:rPr>
        <w:t xml:space="preserve"> or 9</w:t>
      </w:r>
      <w:r w:rsidR="008A0691" w:rsidRPr="00AF3755">
        <w:rPr>
          <w:rFonts w:ascii="Arial" w:hAnsi="Arial" w:cs="Arial"/>
          <w:sz w:val="20"/>
          <w:szCs w:val="20"/>
        </w:rPr>
        <w:t>5</w:t>
      </w:r>
      <w:r w:rsidRPr="00AF3755">
        <w:rPr>
          <w:rFonts w:ascii="Arial" w:hAnsi="Arial" w:cs="Arial"/>
          <w:sz w:val="20"/>
          <w:szCs w:val="20"/>
        </w:rPr>
        <w:t>.3</w:t>
      </w:r>
      <w:r w:rsidR="00067E63" w:rsidRPr="00AF3755">
        <w:rPr>
          <w:rFonts w:ascii="Arial" w:hAnsi="Arial" w:cs="Arial"/>
          <w:sz w:val="20"/>
          <w:szCs w:val="20"/>
        </w:rPr>
        <w:t xml:space="preserve"> per cent</w:t>
      </w:r>
      <w:r w:rsidRPr="00AF3755">
        <w:rPr>
          <w:rFonts w:ascii="Arial" w:hAnsi="Arial" w:cs="Arial"/>
          <w:sz w:val="20"/>
          <w:szCs w:val="20"/>
        </w:rPr>
        <w:t xml:space="preserve"> on compensation of employees against the available budget of R9,</w:t>
      </w:r>
      <w:r w:rsidR="008A0691" w:rsidRPr="00AF3755">
        <w:rPr>
          <w:rFonts w:ascii="Arial" w:hAnsi="Arial" w:cs="Arial"/>
          <w:sz w:val="20"/>
          <w:szCs w:val="20"/>
        </w:rPr>
        <w:t>63</w:t>
      </w:r>
      <w:r w:rsidRPr="00AF3755">
        <w:rPr>
          <w:rFonts w:ascii="Arial" w:hAnsi="Arial" w:cs="Arial"/>
          <w:sz w:val="20"/>
          <w:szCs w:val="20"/>
        </w:rPr>
        <w:t xml:space="preserve"> billion, recording an underspending amounting to </w:t>
      </w:r>
      <w:r w:rsidR="008A0691" w:rsidRPr="00AF3755">
        <w:rPr>
          <w:rFonts w:ascii="Arial" w:hAnsi="Arial" w:cs="Arial"/>
          <w:sz w:val="20"/>
          <w:szCs w:val="20"/>
        </w:rPr>
        <w:t>R450,35</w:t>
      </w:r>
      <w:r w:rsidRPr="00AF3755">
        <w:rPr>
          <w:rFonts w:ascii="Arial" w:hAnsi="Arial" w:cs="Arial"/>
          <w:sz w:val="20"/>
          <w:szCs w:val="20"/>
        </w:rPr>
        <w:t xml:space="preserve"> million or </w:t>
      </w:r>
      <w:r w:rsidR="008A0691" w:rsidRPr="00AF3755">
        <w:rPr>
          <w:rFonts w:ascii="Arial" w:hAnsi="Arial" w:cs="Arial"/>
          <w:sz w:val="20"/>
          <w:szCs w:val="20"/>
        </w:rPr>
        <w:t>4</w:t>
      </w:r>
      <w:r w:rsidRPr="00AF3755">
        <w:rPr>
          <w:rFonts w:ascii="Arial" w:hAnsi="Arial" w:cs="Arial"/>
          <w:sz w:val="20"/>
          <w:szCs w:val="20"/>
        </w:rPr>
        <w:t>.7</w:t>
      </w:r>
      <w:r w:rsidR="00BC6041" w:rsidRPr="00AF3755">
        <w:rPr>
          <w:rFonts w:ascii="Arial" w:hAnsi="Arial" w:cs="Arial"/>
          <w:sz w:val="20"/>
          <w:szCs w:val="20"/>
        </w:rPr>
        <w:t xml:space="preserve"> per cent. </w:t>
      </w:r>
      <w:r w:rsidR="008A0691" w:rsidRPr="00AF3755">
        <w:rPr>
          <w:rFonts w:ascii="Arial" w:hAnsi="Arial" w:cs="Arial"/>
          <w:sz w:val="20"/>
          <w:szCs w:val="20"/>
        </w:rPr>
        <w:t>Notably, u</w:t>
      </w:r>
      <w:r w:rsidRPr="00AF3755">
        <w:rPr>
          <w:rFonts w:ascii="Arial" w:hAnsi="Arial" w:cs="Arial"/>
          <w:sz w:val="20"/>
          <w:szCs w:val="20"/>
        </w:rPr>
        <w:t xml:space="preserve">nderspending on compensation of employees, increased exponentially </w:t>
      </w:r>
      <w:r w:rsidR="008A0691" w:rsidRPr="00AF3755">
        <w:rPr>
          <w:rFonts w:ascii="Arial" w:hAnsi="Arial" w:cs="Arial"/>
          <w:sz w:val="20"/>
          <w:szCs w:val="20"/>
        </w:rPr>
        <w:t xml:space="preserve">by R100,11 million </w:t>
      </w:r>
      <w:r w:rsidRPr="00AF3755">
        <w:rPr>
          <w:rFonts w:ascii="Arial" w:hAnsi="Arial" w:cs="Arial"/>
          <w:sz w:val="20"/>
          <w:szCs w:val="20"/>
        </w:rPr>
        <w:t xml:space="preserve">from R350,24 million in 2020/21. The increase in the underspending was ascribed to </w:t>
      </w:r>
      <w:r w:rsidR="00103B81" w:rsidRPr="00AF3755">
        <w:rPr>
          <w:rFonts w:ascii="Arial" w:hAnsi="Arial" w:cs="Arial"/>
          <w:sz w:val="20"/>
          <w:szCs w:val="20"/>
        </w:rPr>
        <w:t xml:space="preserve">natural attrition, unfilled vacancies, implementation of Post Provisioning Norms for TVET colleges which has not taken place as planned and implementation of the standardisation of CET not taking place as planned. </w:t>
      </w:r>
      <w:r w:rsidR="00067E63" w:rsidRPr="00AF3755">
        <w:rPr>
          <w:rFonts w:ascii="Arial" w:hAnsi="Arial" w:cs="Arial"/>
          <w:sz w:val="20"/>
          <w:szCs w:val="20"/>
        </w:rPr>
        <w:t>U</w:t>
      </w:r>
      <w:r w:rsidRPr="00AF3755">
        <w:rPr>
          <w:rFonts w:ascii="Arial" w:hAnsi="Arial" w:cs="Arial"/>
          <w:sz w:val="20"/>
          <w:szCs w:val="20"/>
        </w:rPr>
        <w:t>nspent funds related to vacant posts in the Department posts on the staff establishment</w:t>
      </w:r>
      <w:r w:rsidR="00067E63" w:rsidRPr="00AF3755">
        <w:rPr>
          <w:rFonts w:ascii="Arial" w:hAnsi="Arial" w:cs="Arial"/>
          <w:sz w:val="20"/>
          <w:szCs w:val="20"/>
        </w:rPr>
        <w:t xml:space="preserve"> </w:t>
      </w:r>
      <w:r w:rsidRPr="00AF3755">
        <w:rPr>
          <w:rFonts w:ascii="Arial" w:hAnsi="Arial" w:cs="Arial"/>
          <w:sz w:val="20"/>
          <w:szCs w:val="20"/>
        </w:rPr>
        <w:t xml:space="preserve">were not filled timeously, as projected.  </w:t>
      </w:r>
    </w:p>
    <w:p w:rsidR="00B26BE5" w:rsidRPr="00AF3755" w:rsidRDefault="00B26BE5" w:rsidP="00AF3755">
      <w:pPr>
        <w:pStyle w:val="ListParagraph"/>
        <w:spacing w:after="0" w:line="240" w:lineRule="auto"/>
        <w:ind w:left="0"/>
        <w:rPr>
          <w:rFonts w:ascii="Arial" w:hAnsi="Arial" w:cs="Arial"/>
          <w:sz w:val="20"/>
          <w:szCs w:val="20"/>
        </w:rPr>
      </w:pPr>
    </w:p>
    <w:p w:rsidR="008D391C" w:rsidRPr="00AF3755" w:rsidRDefault="00B26BE5" w:rsidP="00AF3755">
      <w:pPr>
        <w:pStyle w:val="ListParagraph"/>
        <w:spacing w:after="0" w:line="240" w:lineRule="auto"/>
        <w:ind w:left="0"/>
        <w:rPr>
          <w:rFonts w:ascii="Arial" w:hAnsi="Arial" w:cs="Arial"/>
          <w:sz w:val="20"/>
          <w:szCs w:val="20"/>
        </w:rPr>
      </w:pPr>
      <w:r w:rsidRPr="00AF3755">
        <w:rPr>
          <w:rFonts w:ascii="Arial" w:hAnsi="Arial" w:cs="Arial"/>
          <w:sz w:val="20"/>
          <w:szCs w:val="20"/>
        </w:rPr>
        <w:t>In terms of goods and services, the Department had spent 9</w:t>
      </w:r>
      <w:r w:rsidR="008D391C" w:rsidRPr="00AF3755">
        <w:rPr>
          <w:rFonts w:ascii="Arial" w:hAnsi="Arial" w:cs="Arial"/>
          <w:sz w:val="20"/>
          <w:szCs w:val="20"/>
        </w:rPr>
        <w:t>7</w:t>
      </w:r>
      <w:r w:rsidRPr="00AF3755">
        <w:rPr>
          <w:rFonts w:ascii="Arial" w:hAnsi="Arial" w:cs="Arial"/>
          <w:sz w:val="20"/>
          <w:szCs w:val="20"/>
        </w:rPr>
        <w:t>.</w:t>
      </w:r>
      <w:r w:rsidR="008D391C" w:rsidRPr="00AF3755">
        <w:rPr>
          <w:rFonts w:ascii="Arial" w:hAnsi="Arial" w:cs="Arial"/>
          <w:sz w:val="20"/>
          <w:szCs w:val="20"/>
        </w:rPr>
        <w:t>8</w:t>
      </w:r>
      <w:r w:rsidR="00067E63" w:rsidRPr="00AF3755">
        <w:rPr>
          <w:rFonts w:ascii="Arial" w:hAnsi="Arial" w:cs="Arial"/>
          <w:sz w:val="20"/>
          <w:szCs w:val="20"/>
        </w:rPr>
        <w:t xml:space="preserve"> per cent </w:t>
      </w:r>
      <w:r w:rsidR="008D391C" w:rsidRPr="00AF3755">
        <w:rPr>
          <w:rFonts w:ascii="Arial" w:hAnsi="Arial" w:cs="Arial"/>
          <w:sz w:val="20"/>
          <w:szCs w:val="20"/>
        </w:rPr>
        <w:t xml:space="preserve">or R574,70 million </w:t>
      </w:r>
      <w:r w:rsidRPr="00AF3755">
        <w:rPr>
          <w:rFonts w:ascii="Arial" w:hAnsi="Arial" w:cs="Arial"/>
          <w:sz w:val="20"/>
          <w:szCs w:val="20"/>
        </w:rPr>
        <w:t>(R396,53 million</w:t>
      </w:r>
      <w:r w:rsidR="008D391C" w:rsidRPr="00AF3755">
        <w:rPr>
          <w:rFonts w:ascii="Arial" w:hAnsi="Arial" w:cs="Arial"/>
          <w:sz w:val="20"/>
          <w:szCs w:val="20"/>
        </w:rPr>
        <w:t xml:space="preserve"> in 2020/21</w:t>
      </w:r>
      <w:r w:rsidRPr="00AF3755">
        <w:rPr>
          <w:rFonts w:ascii="Arial" w:hAnsi="Arial" w:cs="Arial"/>
          <w:sz w:val="20"/>
          <w:szCs w:val="20"/>
        </w:rPr>
        <w:t>) against the budget of R</w:t>
      </w:r>
      <w:r w:rsidR="008D391C" w:rsidRPr="00AF3755">
        <w:rPr>
          <w:rFonts w:ascii="Arial" w:hAnsi="Arial" w:cs="Arial"/>
          <w:sz w:val="20"/>
          <w:szCs w:val="20"/>
        </w:rPr>
        <w:t>587,37</w:t>
      </w:r>
      <w:r w:rsidRPr="00AF3755">
        <w:rPr>
          <w:rFonts w:ascii="Arial" w:hAnsi="Arial" w:cs="Arial"/>
          <w:sz w:val="20"/>
          <w:szCs w:val="20"/>
        </w:rPr>
        <w:t xml:space="preserve"> million. The Department recorded an underspending amounting to </w:t>
      </w:r>
      <w:r w:rsidR="008D391C" w:rsidRPr="00AF3755">
        <w:rPr>
          <w:rFonts w:ascii="Arial" w:hAnsi="Arial" w:cs="Arial"/>
          <w:sz w:val="20"/>
          <w:szCs w:val="20"/>
        </w:rPr>
        <w:t>R12,67</w:t>
      </w:r>
      <w:r w:rsidRPr="00AF3755">
        <w:rPr>
          <w:rFonts w:ascii="Arial" w:hAnsi="Arial" w:cs="Arial"/>
          <w:sz w:val="20"/>
          <w:szCs w:val="20"/>
        </w:rPr>
        <w:t xml:space="preserve"> million, which was </w:t>
      </w:r>
      <w:r w:rsidR="008D391C" w:rsidRPr="00AF3755">
        <w:rPr>
          <w:rFonts w:ascii="Arial" w:hAnsi="Arial" w:cs="Arial"/>
          <w:sz w:val="20"/>
          <w:szCs w:val="20"/>
        </w:rPr>
        <w:t xml:space="preserve">ascribed </w:t>
      </w:r>
      <w:r w:rsidR="00067E63" w:rsidRPr="00AF3755">
        <w:rPr>
          <w:rFonts w:ascii="Arial" w:hAnsi="Arial" w:cs="Arial"/>
          <w:sz w:val="20"/>
          <w:szCs w:val="20"/>
        </w:rPr>
        <w:t xml:space="preserve">to </w:t>
      </w:r>
      <w:r w:rsidR="008D391C" w:rsidRPr="00AF3755">
        <w:rPr>
          <w:rFonts w:ascii="Arial" w:hAnsi="Arial" w:cs="Arial"/>
          <w:sz w:val="20"/>
          <w:szCs w:val="20"/>
        </w:rPr>
        <w:t>slower than projected expenditure due to the COVID-</w:t>
      </w:r>
      <w:r w:rsidR="00067E63" w:rsidRPr="00AF3755">
        <w:rPr>
          <w:rFonts w:ascii="Arial" w:hAnsi="Arial" w:cs="Arial"/>
          <w:sz w:val="20"/>
          <w:szCs w:val="20"/>
        </w:rPr>
        <w:t xml:space="preserve">19 </w:t>
      </w:r>
      <w:r w:rsidR="008D391C" w:rsidRPr="00AF3755">
        <w:rPr>
          <w:rFonts w:ascii="Arial" w:hAnsi="Arial" w:cs="Arial"/>
          <w:sz w:val="20"/>
          <w:szCs w:val="20"/>
        </w:rPr>
        <w:t>pandemic and that some activities were suspended</w:t>
      </w:r>
      <w:r w:rsidR="00067E63" w:rsidRPr="00AF3755">
        <w:rPr>
          <w:rFonts w:ascii="Arial" w:hAnsi="Arial" w:cs="Arial"/>
          <w:sz w:val="20"/>
          <w:szCs w:val="20"/>
        </w:rPr>
        <w:t>/</w:t>
      </w:r>
      <w:r w:rsidR="008D391C" w:rsidRPr="00AF3755">
        <w:rPr>
          <w:rFonts w:ascii="Arial" w:hAnsi="Arial" w:cs="Arial"/>
          <w:sz w:val="20"/>
          <w:szCs w:val="20"/>
        </w:rPr>
        <w:t xml:space="preserve">delayed. </w:t>
      </w:r>
      <w:r w:rsidR="00067E63" w:rsidRPr="00AF3755">
        <w:rPr>
          <w:rFonts w:ascii="Arial" w:hAnsi="Arial" w:cs="Arial"/>
          <w:sz w:val="20"/>
          <w:szCs w:val="20"/>
        </w:rPr>
        <w:t>Some savings</w:t>
      </w:r>
      <w:r w:rsidR="008D391C" w:rsidRPr="00AF3755">
        <w:rPr>
          <w:rFonts w:ascii="Arial" w:hAnsi="Arial" w:cs="Arial"/>
          <w:sz w:val="20"/>
          <w:szCs w:val="20"/>
        </w:rPr>
        <w:t xml:space="preserve"> were realised on travel and subsistence, printing and stationery due to virtual meetings, virtual workshops, </w:t>
      </w:r>
      <w:r w:rsidR="00067E63" w:rsidRPr="00AF3755">
        <w:rPr>
          <w:rFonts w:ascii="Arial" w:hAnsi="Arial" w:cs="Arial"/>
          <w:sz w:val="20"/>
          <w:szCs w:val="20"/>
        </w:rPr>
        <w:t xml:space="preserve">and </w:t>
      </w:r>
      <w:r w:rsidR="008D391C" w:rsidRPr="00AF3755">
        <w:rPr>
          <w:rFonts w:ascii="Arial" w:hAnsi="Arial" w:cs="Arial"/>
          <w:sz w:val="20"/>
          <w:szCs w:val="20"/>
        </w:rPr>
        <w:t xml:space="preserve">officials working from home. </w:t>
      </w:r>
    </w:p>
    <w:p w:rsidR="008D391C" w:rsidRPr="00AF3755" w:rsidRDefault="008D391C" w:rsidP="00AF3755">
      <w:pPr>
        <w:pStyle w:val="ListParagraph"/>
        <w:spacing w:after="0" w:line="240" w:lineRule="auto"/>
        <w:ind w:left="0"/>
        <w:rPr>
          <w:rFonts w:ascii="Arial" w:hAnsi="Arial" w:cs="Arial"/>
          <w:sz w:val="20"/>
          <w:szCs w:val="20"/>
        </w:rPr>
      </w:pPr>
    </w:p>
    <w:p w:rsidR="00B26BE5" w:rsidRPr="00AF3755" w:rsidRDefault="00B26BE5"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w:t>
      </w:r>
      <w:r w:rsidR="00067E63" w:rsidRPr="00AF3755">
        <w:rPr>
          <w:rFonts w:ascii="Arial" w:hAnsi="Arial" w:cs="Arial"/>
          <w:sz w:val="20"/>
          <w:szCs w:val="20"/>
        </w:rPr>
        <w:t>high-</w:t>
      </w:r>
      <w:r w:rsidRPr="00AF3755">
        <w:rPr>
          <w:rFonts w:ascii="Arial" w:hAnsi="Arial" w:cs="Arial"/>
          <w:sz w:val="20"/>
          <w:szCs w:val="20"/>
        </w:rPr>
        <w:t>cost drivers in goods and services were computer services (R11</w:t>
      </w:r>
      <w:r w:rsidR="005254B8" w:rsidRPr="00AF3755">
        <w:rPr>
          <w:rFonts w:ascii="Arial" w:hAnsi="Arial" w:cs="Arial"/>
          <w:sz w:val="20"/>
          <w:szCs w:val="20"/>
        </w:rPr>
        <w:t>7,01</w:t>
      </w:r>
      <w:r w:rsidRPr="00AF3755">
        <w:rPr>
          <w:rFonts w:ascii="Arial" w:hAnsi="Arial" w:cs="Arial"/>
          <w:sz w:val="20"/>
          <w:szCs w:val="20"/>
        </w:rPr>
        <w:t xml:space="preserve"> million), operating leases (R</w:t>
      </w:r>
      <w:r w:rsidR="005254B8" w:rsidRPr="00AF3755">
        <w:rPr>
          <w:rFonts w:ascii="Arial" w:hAnsi="Arial" w:cs="Arial"/>
          <w:sz w:val="20"/>
          <w:szCs w:val="20"/>
        </w:rPr>
        <w:t>100,04</w:t>
      </w:r>
      <w:r w:rsidRPr="00AF3755">
        <w:rPr>
          <w:rFonts w:ascii="Arial" w:hAnsi="Arial" w:cs="Arial"/>
          <w:sz w:val="20"/>
          <w:szCs w:val="20"/>
        </w:rPr>
        <w:t xml:space="preserve"> million), operating payments (R</w:t>
      </w:r>
      <w:r w:rsidR="005254B8" w:rsidRPr="00AF3755">
        <w:rPr>
          <w:rFonts w:ascii="Arial" w:hAnsi="Arial" w:cs="Arial"/>
          <w:sz w:val="20"/>
          <w:szCs w:val="20"/>
        </w:rPr>
        <w:t>100,83</w:t>
      </w:r>
      <w:r w:rsidRPr="00AF3755">
        <w:rPr>
          <w:rFonts w:ascii="Arial" w:hAnsi="Arial" w:cs="Arial"/>
          <w:sz w:val="20"/>
          <w:szCs w:val="20"/>
        </w:rPr>
        <w:t xml:space="preserve"> million)</w:t>
      </w:r>
      <w:r w:rsidR="005254B8" w:rsidRPr="00AF3755">
        <w:rPr>
          <w:rFonts w:ascii="Arial" w:hAnsi="Arial" w:cs="Arial"/>
          <w:sz w:val="20"/>
          <w:szCs w:val="20"/>
        </w:rPr>
        <w:t>, travel and subsistence (R89,73 million), and</w:t>
      </w:r>
      <w:r w:rsidRPr="00AF3755">
        <w:rPr>
          <w:rFonts w:ascii="Arial" w:hAnsi="Arial" w:cs="Arial"/>
          <w:sz w:val="20"/>
          <w:szCs w:val="20"/>
        </w:rPr>
        <w:t xml:space="preserve"> training and development (R</w:t>
      </w:r>
      <w:r w:rsidR="005254B8" w:rsidRPr="00AF3755">
        <w:rPr>
          <w:rFonts w:ascii="Arial" w:hAnsi="Arial" w:cs="Arial"/>
          <w:sz w:val="20"/>
          <w:szCs w:val="20"/>
        </w:rPr>
        <w:t>43,04</w:t>
      </w:r>
      <w:r w:rsidRPr="00AF3755">
        <w:rPr>
          <w:rFonts w:ascii="Arial" w:hAnsi="Arial" w:cs="Arial"/>
          <w:sz w:val="20"/>
          <w:szCs w:val="20"/>
        </w:rPr>
        <w:t xml:space="preserve"> million).  </w:t>
      </w:r>
    </w:p>
    <w:p w:rsidR="00B26BE5" w:rsidRPr="00AF3755" w:rsidRDefault="00B26BE5" w:rsidP="00AF3755">
      <w:pPr>
        <w:pStyle w:val="ListParagraph"/>
        <w:spacing w:after="0" w:line="240" w:lineRule="auto"/>
        <w:ind w:left="360"/>
        <w:rPr>
          <w:rFonts w:ascii="Arial" w:hAnsi="Arial" w:cs="Arial"/>
          <w:sz w:val="20"/>
          <w:szCs w:val="20"/>
        </w:rPr>
      </w:pPr>
    </w:p>
    <w:p w:rsidR="00314133" w:rsidRPr="00AF3755" w:rsidRDefault="00314133" w:rsidP="00AF3755">
      <w:pPr>
        <w:pStyle w:val="ListParagraph"/>
        <w:spacing w:after="0" w:line="240" w:lineRule="auto"/>
        <w:ind w:left="0"/>
        <w:rPr>
          <w:rFonts w:ascii="Arial" w:hAnsi="Arial" w:cs="Arial"/>
          <w:sz w:val="20"/>
          <w:szCs w:val="20"/>
        </w:rPr>
      </w:pPr>
      <w:r w:rsidRPr="00AF3755">
        <w:rPr>
          <w:rFonts w:ascii="Arial" w:hAnsi="Arial" w:cs="Arial"/>
          <w:sz w:val="20"/>
          <w:szCs w:val="20"/>
        </w:rPr>
        <w:t>In terms of expenditure on transfers and subsidies, t</w:t>
      </w:r>
      <w:r w:rsidR="00B26BE5" w:rsidRPr="00AF3755">
        <w:rPr>
          <w:rFonts w:ascii="Arial" w:hAnsi="Arial" w:cs="Arial"/>
          <w:sz w:val="20"/>
          <w:szCs w:val="20"/>
        </w:rPr>
        <w:t>he Department spent R</w:t>
      </w:r>
      <w:r w:rsidRPr="00AF3755">
        <w:rPr>
          <w:rFonts w:ascii="Arial" w:hAnsi="Arial" w:cs="Arial"/>
          <w:sz w:val="20"/>
          <w:szCs w:val="20"/>
        </w:rPr>
        <w:t>106,65 billion or 100 per cent, against a budget of R106,66</w:t>
      </w:r>
      <w:r w:rsidR="00B26BE5" w:rsidRPr="00AF3755">
        <w:rPr>
          <w:rFonts w:ascii="Arial" w:hAnsi="Arial" w:cs="Arial"/>
          <w:sz w:val="20"/>
          <w:szCs w:val="20"/>
        </w:rPr>
        <w:t> billion</w:t>
      </w:r>
      <w:r w:rsidRPr="00AF3755">
        <w:rPr>
          <w:rFonts w:ascii="Arial" w:hAnsi="Arial" w:cs="Arial"/>
          <w:sz w:val="20"/>
          <w:szCs w:val="20"/>
        </w:rPr>
        <w:t xml:space="preserve">. </w:t>
      </w:r>
      <w:r w:rsidR="00B26BE5" w:rsidRPr="00AF3755">
        <w:rPr>
          <w:rFonts w:ascii="Arial" w:hAnsi="Arial" w:cs="Arial"/>
          <w:sz w:val="20"/>
          <w:szCs w:val="20"/>
        </w:rPr>
        <w:t xml:space="preserve"> </w:t>
      </w:r>
      <w:r w:rsidRPr="00AF3755">
        <w:rPr>
          <w:rFonts w:ascii="Arial" w:hAnsi="Arial" w:cs="Arial"/>
          <w:sz w:val="20"/>
          <w:szCs w:val="20"/>
        </w:rPr>
        <w:t>The underspending on transfers and subsidies amounted to R2,97 million.</w:t>
      </w:r>
      <w:r w:rsidR="00B26BE5" w:rsidRPr="00AF3755">
        <w:rPr>
          <w:rFonts w:ascii="Arial" w:hAnsi="Arial" w:cs="Arial"/>
          <w:sz w:val="20"/>
          <w:szCs w:val="20"/>
        </w:rPr>
        <w:t xml:space="preserve"> </w:t>
      </w:r>
      <w:r w:rsidRPr="00AF3755">
        <w:rPr>
          <w:rFonts w:ascii="Arial" w:hAnsi="Arial" w:cs="Arial"/>
          <w:sz w:val="20"/>
          <w:szCs w:val="20"/>
        </w:rPr>
        <w:t>The</w:t>
      </w:r>
      <w:r w:rsidR="00B26BE5" w:rsidRPr="00AF3755">
        <w:rPr>
          <w:rFonts w:ascii="Arial" w:hAnsi="Arial" w:cs="Arial"/>
          <w:sz w:val="20"/>
          <w:szCs w:val="20"/>
        </w:rPr>
        <w:t xml:space="preserve"> expenditure on payment for </w:t>
      </w:r>
      <w:r w:rsidRPr="00AF3755">
        <w:rPr>
          <w:rFonts w:ascii="Arial" w:hAnsi="Arial" w:cs="Arial"/>
          <w:sz w:val="20"/>
          <w:szCs w:val="20"/>
        </w:rPr>
        <w:t xml:space="preserve">capital assets amounted to R10,0 million or 56.6 per cent of the available budget, thus recording an </w:t>
      </w:r>
      <w:r w:rsidR="00067E63" w:rsidRPr="00AF3755">
        <w:rPr>
          <w:rFonts w:ascii="Arial" w:hAnsi="Arial" w:cs="Arial"/>
          <w:sz w:val="20"/>
          <w:szCs w:val="20"/>
        </w:rPr>
        <w:t>under-</w:t>
      </w:r>
      <w:r w:rsidRPr="00AF3755">
        <w:rPr>
          <w:rFonts w:ascii="Arial" w:hAnsi="Arial" w:cs="Arial"/>
          <w:sz w:val="20"/>
          <w:szCs w:val="20"/>
        </w:rPr>
        <w:t xml:space="preserve">expenditure amounting to R7,99 </w:t>
      </w:r>
      <w:r w:rsidR="00B26BE5" w:rsidRPr="00AF3755">
        <w:rPr>
          <w:rFonts w:ascii="Arial" w:hAnsi="Arial" w:cs="Arial"/>
          <w:sz w:val="20"/>
          <w:szCs w:val="20"/>
        </w:rPr>
        <w:t>million</w:t>
      </w:r>
      <w:r w:rsidRPr="00AF3755">
        <w:rPr>
          <w:rFonts w:ascii="Arial" w:hAnsi="Arial" w:cs="Arial"/>
          <w:sz w:val="20"/>
          <w:szCs w:val="20"/>
        </w:rPr>
        <w:t>.</w:t>
      </w:r>
    </w:p>
    <w:p w:rsidR="00B26BE5" w:rsidRPr="00AF3755" w:rsidRDefault="00B26BE5"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 </w:t>
      </w:r>
    </w:p>
    <w:p w:rsidR="00D34691" w:rsidRPr="00AF3755" w:rsidRDefault="00513E06"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Department applied virements amounting to </w:t>
      </w:r>
      <w:r w:rsidR="00D34691" w:rsidRPr="00AF3755">
        <w:rPr>
          <w:rFonts w:ascii="Arial" w:hAnsi="Arial" w:cs="Arial"/>
          <w:sz w:val="20"/>
          <w:szCs w:val="20"/>
        </w:rPr>
        <w:t xml:space="preserve">R43,78 million. </w:t>
      </w:r>
      <w:r w:rsidR="00B26BE5" w:rsidRPr="00AF3755">
        <w:rPr>
          <w:rFonts w:ascii="Arial" w:hAnsi="Arial" w:cs="Arial"/>
          <w:sz w:val="20"/>
          <w:szCs w:val="20"/>
        </w:rPr>
        <w:t>Virements were applied from t</w:t>
      </w:r>
      <w:r w:rsidR="00D34691" w:rsidRPr="00AF3755">
        <w:rPr>
          <w:rFonts w:ascii="Arial" w:hAnsi="Arial" w:cs="Arial"/>
          <w:sz w:val="20"/>
          <w:szCs w:val="20"/>
        </w:rPr>
        <w:t>hree</w:t>
      </w:r>
      <w:r w:rsidR="00B26BE5" w:rsidRPr="00AF3755">
        <w:rPr>
          <w:rFonts w:ascii="Arial" w:hAnsi="Arial" w:cs="Arial"/>
          <w:sz w:val="20"/>
          <w:szCs w:val="20"/>
        </w:rPr>
        <w:t xml:space="preserve"> programmes as follows: </w:t>
      </w:r>
      <w:r w:rsidR="00D34691" w:rsidRPr="00AF3755">
        <w:rPr>
          <w:rFonts w:ascii="Arial" w:hAnsi="Arial" w:cs="Arial"/>
          <w:sz w:val="20"/>
          <w:szCs w:val="20"/>
        </w:rPr>
        <w:t>R2,24 million from University Education</w:t>
      </w:r>
      <w:r w:rsidR="00B26BE5" w:rsidRPr="00AF3755">
        <w:rPr>
          <w:rFonts w:ascii="Arial" w:hAnsi="Arial" w:cs="Arial"/>
          <w:sz w:val="20"/>
          <w:szCs w:val="20"/>
        </w:rPr>
        <w:t xml:space="preserve"> to Administration, </w:t>
      </w:r>
      <w:r w:rsidR="00D34691" w:rsidRPr="00AF3755">
        <w:rPr>
          <w:rFonts w:ascii="Arial" w:hAnsi="Arial" w:cs="Arial"/>
          <w:sz w:val="20"/>
          <w:szCs w:val="20"/>
        </w:rPr>
        <w:t>R4</w:t>
      </w:r>
      <w:r w:rsidR="00067E63" w:rsidRPr="00AF3755">
        <w:rPr>
          <w:rFonts w:ascii="Arial" w:hAnsi="Arial" w:cs="Arial"/>
          <w:sz w:val="20"/>
          <w:szCs w:val="20"/>
        </w:rPr>
        <w:t>,</w:t>
      </w:r>
      <w:r w:rsidR="00D34691" w:rsidRPr="00AF3755">
        <w:rPr>
          <w:rFonts w:ascii="Arial" w:hAnsi="Arial" w:cs="Arial"/>
          <w:sz w:val="20"/>
          <w:szCs w:val="20"/>
        </w:rPr>
        <w:t xml:space="preserve">55 million from Skills Development to Administration, R16,27 million from Skills Development to Planning, Policy and Strategy, R15,17 million from Skills Development to TVET and R5,53 million from CET to TVET. </w:t>
      </w:r>
    </w:p>
    <w:p w:rsidR="00D34691" w:rsidRPr="00AF3755" w:rsidRDefault="00D34691" w:rsidP="00AF3755">
      <w:pPr>
        <w:pStyle w:val="ListParagraph"/>
        <w:spacing w:after="0" w:line="240" w:lineRule="auto"/>
        <w:ind w:left="0"/>
        <w:rPr>
          <w:rFonts w:ascii="Arial" w:hAnsi="Arial" w:cs="Arial"/>
          <w:sz w:val="20"/>
          <w:szCs w:val="20"/>
        </w:rPr>
      </w:pPr>
    </w:p>
    <w:p w:rsidR="00D34691" w:rsidRPr="00AF3755" w:rsidRDefault="00B26BE5"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Department reported that the need for the virement to Programme 1: Administration was</w:t>
      </w:r>
      <w:r w:rsidR="00D34691" w:rsidRPr="00AF3755">
        <w:rPr>
          <w:rFonts w:ascii="Arial" w:hAnsi="Arial" w:cs="Arial"/>
          <w:sz w:val="20"/>
          <w:szCs w:val="20"/>
        </w:rPr>
        <w:t xml:space="preserve"> to finance excess expenditure on Office Accommodation, while the virement to Programme 2: Planning, Policy and Strategy was mainly required to fund an increase in the transfer to Higher Health in adequately addressing COVID-19 regulations in Community Education and Training and for preventative activities in relation to Gender-Based-Violence, as well as SAQA for the automation and digitisation of its manual processes. The virement to Programme 4: Technical and Vocational Education and Training was intended to fund a budget shortfall on the Examinations and Assessment sub-programme. Funds that were shifted from Goods and Services were mainly realised on slower-than-expected operational expenditure in various programmes, as well as for the Indlela Recapitalisation project in Programme 5: Skills Development and the development of a Finance Model in Programme 6: Community Education and Training. Savings on Compensation of Employees was apparent mainly due to vacant posts on the Departmental Staff Establishment that could not be filled as planned and concomitant savings resulting therefrom, as well as the non-implementation of the Post-Provisioning Norms in TVET colleges.</w:t>
      </w:r>
    </w:p>
    <w:p w:rsidR="00BA4129" w:rsidRPr="00AF3755" w:rsidRDefault="00BA4129" w:rsidP="00AF3755">
      <w:pPr>
        <w:pStyle w:val="ListParagraph"/>
        <w:spacing w:after="0" w:line="240" w:lineRule="auto"/>
        <w:ind w:left="0"/>
        <w:rPr>
          <w:rFonts w:ascii="Arial" w:hAnsi="Arial" w:cs="Arial"/>
          <w:sz w:val="20"/>
          <w:szCs w:val="20"/>
        </w:rPr>
      </w:pPr>
    </w:p>
    <w:p w:rsidR="00D34691" w:rsidRPr="00AF3755" w:rsidRDefault="00817E5B"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virements </w:t>
      </w:r>
      <w:r w:rsidR="004C5339" w:rsidRPr="00AF3755">
        <w:rPr>
          <w:rFonts w:ascii="Arial" w:hAnsi="Arial" w:cs="Arial"/>
          <w:sz w:val="20"/>
          <w:szCs w:val="20"/>
        </w:rPr>
        <w:t xml:space="preserve">effected by the Department </w:t>
      </w:r>
      <w:r w:rsidRPr="00AF3755">
        <w:rPr>
          <w:rFonts w:ascii="Arial" w:hAnsi="Arial" w:cs="Arial"/>
          <w:sz w:val="20"/>
          <w:szCs w:val="20"/>
        </w:rPr>
        <w:t>were approved by the Accounting Officer in terms of Section 43 of the PFMA and thereafter, reported to the Minister and National Treasury as required.</w:t>
      </w:r>
    </w:p>
    <w:p w:rsidR="00817E5B" w:rsidRPr="00AF3755" w:rsidRDefault="00817E5B" w:rsidP="00AF3755">
      <w:pPr>
        <w:pStyle w:val="ListParagraph"/>
        <w:spacing w:after="0" w:line="240" w:lineRule="auto"/>
        <w:ind w:left="0"/>
        <w:rPr>
          <w:rFonts w:ascii="Arial" w:hAnsi="Arial" w:cs="Arial"/>
          <w:sz w:val="20"/>
          <w:szCs w:val="20"/>
        </w:rPr>
      </w:pPr>
    </w:p>
    <w:p w:rsidR="00207C04" w:rsidRPr="00AF3755" w:rsidRDefault="00C61FCB"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e</w:t>
      </w:r>
      <w:r w:rsidR="00207C04" w:rsidRPr="00AF3755">
        <w:rPr>
          <w:rFonts w:ascii="Arial" w:hAnsi="Arial" w:cs="Arial"/>
          <w:b/>
          <w:sz w:val="20"/>
          <w:szCs w:val="20"/>
        </w:rPr>
        <w:t>xpenditure per programme</w:t>
      </w:r>
    </w:p>
    <w:p w:rsidR="002B2C77" w:rsidRPr="00AF3755" w:rsidRDefault="002B2C77" w:rsidP="00AF3755">
      <w:pPr>
        <w:pStyle w:val="ListParagraph"/>
        <w:spacing w:after="0" w:line="240" w:lineRule="auto"/>
        <w:ind w:left="504"/>
        <w:rPr>
          <w:rFonts w:ascii="Arial" w:hAnsi="Arial" w:cs="Arial"/>
          <w:b/>
          <w:sz w:val="20"/>
          <w:szCs w:val="20"/>
        </w:rPr>
      </w:pPr>
    </w:p>
    <w:p w:rsidR="00207C04" w:rsidRPr="00AF3755" w:rsidRDefault="00207C0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1: Administration</w:t>
      </w:r>
    </w:p>
    <w:p w:rsidR="00A4445C" w:rsidRPr="00AF3755" w:rsidRDefault="00A4445C"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purpose of this Programme is to provide strategic leadership, management and support services to the Department. </w:t>
      </w:r>
    </w:p>
    <w:p w:rsidR="007F69BD" w:rsidRPr="00AF3755" w:rsidRDefault="007F69BD" w:rsidP="00AF3755">
      <w:pPr>
        <w:pStyle w:val="ListParagraph"/>
        <w:spacing w:after="0" w:line="240" w:lineRule="auto"/>
        <w:ind w:left="0"/>
        <w:rPr>
          <w:rFonts w:ascii="Arial" w:hAnsi="Arial" w:cs="Arial"/>
          <w:sz w:val="20"/>
          <w:szCs w:val="20"/>
        </w:rPr>
      </w:pPr>
    </w:p>
    <w:p w:rsidR="00A4445C" w:rsidRPr="00AF3755" w:rsidRDefault="002E6B76"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programme’s 20</w:t>
      </w:r>
      <w:r w:rsidR="00A4445C" w:rsidRPr="00AF3755">
        <w:rPr>
          <w:rFonts w:ascii="Arial" w:hAnsi="Arial" w:cs="Arial"/>
          <w:sz w:val="20"/>
          <w:szCs w:val="20"/>
        </w:rPr>
        <w:t>21</w:t>
      </w:r>
      <w:r w:rsidRPr="00AF3755">
        <w:rPr>
          <w:rFonts w:ascii="Arial" w:hAnsi="Arial" w:cs="Arial"/>
          <w:sz w:val="20"/>
          <w:szCs w:val="20"/>
        </w:rPr>
        <w:t>/22</w:t>
      </w:r>
      <w:r w:rsidR="00A4445C" w:rsidRPr="00AF3755">
        <w:rPr>
          <w:rFonts w:ascii="Arial" w:hAnsi="Arial" w:cs="Arial"/>
          <w:sz w:val="20"/>
          <w:szCs w:val="20"/>
        </w:rPr>
        <w:t xml:space="preserve"> final appropriation amounted to </w:t>
      </w:r>
      <w:r w:rsidR="009F4B0B" w:rsidRPr="00AF3755">
        <w:rPr>
          <w:rFonts w:ascii="Arial" w:hAnsi="Arial" w:cs="Arial"/>
          <w:sz w:val="20"/>
          <w:szCs w:val="20"/>
        </w:rPr>
        <w:t>R470,39 million (</w:t>
      </w:r>
      <w:r w:rsidR="00A4445C" w:rsidRPr="00AF3755">
        <w:rPr>
          <w:rFonts w:ascii="Arial" w:hAnsi="Arial" w:cs="Arial"/>
          <w:sz w:val="20"/>
          <w:szCs w:val="20"/>
        </w:rPr>
        <w:t xml:space="preserve">R412,18 million </w:t>
      </w:r>
      <w:r w:rsidR="009F4B0B" w:rsidRPr="00AF3755">
        <w:rPr>
          <w:rFonts w:ascii="Arial" w:hAnsi="Arial" w:cs="Arial"/>
          <w:sz w:val="20"/>
          <w:szCs w:val="20"/>
        </w:rPr>
        <w:t>in 2020/21)</w:t>
      </w:r>
      <w:r w:rsidR="00A4445C" w:rsidRPr="00AF3755">
        <w:rPr>
          <w:rFonts w:ascii="Arial" w:hAnsi="Arial" w:cs="Arial"/>
          <w:sz w:val="20"/>
          <w:szCs w:val="20"/>
        </w:rPr>
        <w:t>. Expenditure at the end of the year amounted to R</w:t>
      </w:r>
      <w:r w:rsidR="009F4B0B" w:rsidRPr="00AF3755">
        <w:rPr>
          <w:rFonts w:ascii="Arial" w:hAnsi="Arial" w:cs="Arial"/>
          <w:sz w:val="20"/>
          <w:szCs w:val="20"/>
        </w:rPr>
        <w:t>432,57</w:t>
      </w:r>
      <w:r w:rsidR="00A4445C" w:rsidRPr="00AF3755">
        <w:rPr>
          <w:rFonts w:ascii="Arial" w:hAnsi="Arial" w:cs="Arial"/>
          <w:sz w:val="20"/>
          <w:szCs w:val="20"/>
        </w:rPr>
        <w:t xml:space="preserve"> million or 9</w:t>
      </w:r>
      <w:r w:rsidR="009F4B0B" w:rsidRPr="00AF3755">
        <w:rPr>
          <w:rFonts w:ascii="Arial" w:hAnsi="Arial" w:cs="Arial"/>
          <w:sz w:val="20"/>
          <w:szCs w:val="20"/>
        </w:rPr>
        <w:t>2</w:t>
      </w:r>
      <w:r w:rsidR="00067E63" w:rsidRPr="00AF3755">
        <w:rPr>
          <w:rFonts w:ascii="Arial" w:hAnsi="Arial" w:cs="Arial"/>
          <w:sz w:val="20"/>
          <w:szCs w:val="20"/>
        </w:rPr>
        <w:t xml:space="preserve"> per cent</w:t>
      </w:r>
      <w:r w:rsidR="00A4445C" w:rsidRPr="00AF3755">
        <w:rPr>
          <w:rFonts w:ascii="Arial" w:hAnsi="Arial" w:cs="Arial"/>
          <w:sz w:val="20"/>
          <w:szCs w:val="20"/>
        </w:rPr>
        <w:t xml:space="preserve"> against the available budget, with lower</w:t>
      </w:r>
      <w:r w:rsidR="00067E63" w:rsidRPr="00AF3755">
        <w:rPr>
          <w:rFonts w:ascii="Arial" w:hAnsi="Arial" w:cs="Arial"/>
          <w:sz w:val="20"/>
          <w:szCs w:val="20"/>
        </w:rPr>
        <w:t>-than-</w:t>
      </w:r>
      <w:r w:rsidR="00A4445C" w:rsidRPr="00AF3755">
        <w:rPr>
          <w:rFonts w:ascii="Arial" w:hAnsi="Arial" w:cs="Arial"/>
          <w:sz w:val="20"/>
          <w:szCs w:val="20"/>
        </w:rPr>
        <w:t>projected spending amounting to R</w:t>
      </w:r>
      <w:r w:rsidR="009F4B0B" w:rsidRPr="00AF3755">
        <w:rPr>
          <w:rFonts w:ascii="Arial" w:hAnsi="Arial" w:cs="Arial"/>
          <w:sz w:val="20"/>
          <w:szCs w:val="20"/>
        </w:rPr>
        <w:t>37,81</w:t>
      </w:r>
      <w:r w:rsidR="00A4445C" w:rsidRPr="00AF3755">
        <w:rPr>
          <w:rFonts w:ascii="Arial" w:hAnsi="Arial" w:cs="Arial"/>
          <w:sz w:val="20"/>
          <w:szCs w:val="20"/>
        </w:rPr>
        <w:t xml:space="preserve"> million. The bulk of the underspending was incurred in three sub-programmes as follows: </w:t>
      </w:r>
      <w:r w:rsidR="00C82334" w:rsidRPr="00AF3755">
        <w:rPr>
          <w:rFonts w:ascii="Arial" w:hAnsi="Arial" w:cs="Arial"/>
          <w:sz w:val="20"/>
          <w:szCs w:val="20"/>
        </w:rPr>
        <w:t xml:space="preserve">R24,36 million: </w:t>
      </w:r>
      <w:r w:rsidR="00B111F1" w:rsidRPr="00AF3755">
        <w:rPr>
          <w:rFonts w:ascii="Arial" w:hAnsi="Arial" w:cs="Arial"/>
          <w:sz w:val="20"/>
          <w:szCs w:val="20"/>
        </w:rPr>
        <w:t>Corporate Management Services</w:t>
      </w:r>
      <w:r w:rsidR="00C82334" w:rsidRPr="00AF3755">
        <w:rPr>
          <w:rFonts w:ascii="Arial" w:hAnsi="Arial" w:cs="Arial"/>
          <w:sz w:val="20"/>
          <w:szCs w:val="20"/>
        </w:rPr>
        <w:t>,</w:t>
      </w:r>
      <w:r w:rsidR="00A4445C" w:rsidRPr="00AF3755">
        <w:rPr>
          <w:rFonts w:ascii="Arial" w:hAnsi="Arial" w:cs="Arial"/>
          <w:sz w:val="20"/>
          <w:szCs w:val="20"/>
        </w:rPr>
        <w:t xml:space="preserve"> followed by </w:t>
      </w:r>
      <w:r w:rsidR="00C82334" w:rsidRPr="00AF3755">
        <w:rPr>
          <w:rFonts w:ascii="Arial" w:hAnsi="Arial" w:cs="Arial"/>
          <w:sz w:val="20"/>
          <w:szCs w:val="20"/>
        </w:rPr>
        <w:t xml:space="preserve">R6,77 million: </w:t>
      </w:r>
      <w:r w:rsidR="00B111F1" w:rsidRPr="00AF3755">
        <w:rPr>
          <w:rFonts w:ascii="Arial" w:hAnsi="Arial" w:cs="Arial"/>
          <w:sz w:val="20"/>
          <w:szCs w:val="20"/>
        </w:rPr>
        <w:t>Office of the Chief Financial Officer</w:t>
      </w:r>
      <w:r w:rsidR="00A4445C" w:rsidRPr="00AF3755">
        <w:rPr>
          <w:rFonts w:ascii="Arial" w:hAnsi="Arial" w:cs="Arial"/>
          <w:sz w:val="20"/>
          <w:szCs w:val="20"/>
        </w:rPr>
        <w:t xml:space="preserve"> an</w:t>
      </w:r>
      <w:r w:rsidR="00B111F1" w:rsidRPr="00AF3755">
        <w:rPr>
          <w:rFonts w:ascii="Arial" w:hAnsi="Arial" w:cs="Arial"/>
          <w:sz w:val="20"/>
          <w:szCs w:val="20"/>
        </w:rPr>
        <w:t xml:space="preserve">d </w:t>
      </w:r>
      <w:r w:rsidR="00C82334" w:rsidRPr="00AF3755">
        <w:rPr>
          <w:rFonts w:ascii="Arial" w:hAnsi="Arial" w:cs="Arial"/>
          <w:sz w:val="20"/>
          <w:szCs w:val="20"/>
        </w:rPr>
        <w:t>R6,35 million: Departmental Management</w:t>
      </w:r>
      <w:r w:rsidR="00A4445C" w:rsidRPr="00AF3755">
        <w:rPr>
          <w:rFonts w:ascii="Arial" w:hAnsi="Arial" w:cs="Arial"/>
          <w:sz w:val="20"/>
          <w:szCs w:val="20"/>
        </w:rPr>
        <w:t xml:space="preserve">. </w:t>
      </w:r>
      <w:r w:rsidR="003C3DC0" w:rsidRPr="00AF3755">
        <w:rPr>
          <w:rFonts w:ascii="Arial" w:hAnsi="Arial" w:cs="Arial"/>
          <w:sz w:val="20"/>
          <w:szCs w:val="20"/>
        </w:rPr>
        <w:t>The underspending on compensation of employees and goods and services amounted to R33,95 million (R9,84 million in 2020/21) and R1,05 million (R1,72 million in 2020/21), respectively.</w:t>
      </w:r>
      <w:r w:rsidR="00993CC8" w:rsidRPr="00AF3755">
        <w:rPr>
          <w:rFonts w:ascii="Arial" w:hAnsi="Arial" w:cs="Arial"/>
          <w:sz w:val="20"/>
          <w:szCs w:val="20"/>
        </w:rPr>
        <w:t xml:space="preserve"> </w:t>
      </w:r>
    </w:p>
    <w:p w:rsidR="00C56739" w:rsidRPr="00AF3755" w:rsidRDefault="00C56739" w:rsidP="00AF3755">
      <w:pPr>
        <w:pStyle w:val="ListParagraph"/>
        <w:spacing w:after="0" w:line="240" w:lineRule="auto"/>
        <w:ind w:left="0"/>
        <w:rPr>
          <w:rFonts w:ascii="Arial" w:hAnsi="Arial" w:cs="Arial"/>
          <w:sz w:val="20"/>
          <w:szCs w:val="20"/>
        </w:rPr>
      </w:pPr>
    </w:p>
    <w:p w:rsidR="00C56739" w:rsidRPr="00AF3755" w:rsidRDefault="00C56739" w:rsidP="00AF3755">
      <w:p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The under-spending was due mainly to attrition posts that became vacant during the year that could not be filled as projected and the concomitant savings on administrative expenditure. The low spending on machinery and equipment is due to delayed invoices for software and other intangible assets as well as the unavailability of computer equipment during the financial year. Savings were realised on travel and subsistence, printing and stationery due to COVID-19 pandemic restrictions.</w:t>
      </w:r>
    </w:p>
    <w:p w:rsidR="002B2C77" w:rsidRPr="00AF3755" w:rsidRDefault="002B2C77" w:rsidP="00AF3755">
      <w:pPr>
        <w:autoSpaceDE w:val="0"/>
        <w:autoSpaceDN w:val="0"/>
        <w:adjustRightInd w:val="0"/>
        <w:spacing w:after="0" w:line="240" w:lineRule="auto"/>
        <w:rPr>
          <w:rFonts w:ascii="Arial" w:hAnsi="Arial" w:cs="Arial"/>
          <w:sz w:val="20"/>
          <w:szCs w:val="20"/>
        </w:rPr>
      </w:pPr>
    </w:p>
    <w:p w:rsidR="002B2C77" w:rsidRPr="00AF3755" w:rsidRDefault="002B2C77" w:rsidP="00AF3755">
      <w:pPr>
        <w:autoSpaceDE w:val="0"/>
        <w:autoSpaceDN w:val="0"/>
        <w:adjustRightInd w:val="0"/>
        <w:spacing w:after="0" w:line="240" w:lineRule="auto"/>
        <w:rPr>
          <w:rFonts w:ascii="Arial" w:hAnsi="Arial" w:cs="Arial"/>
          <w:sz w:val="20"/>
          <w:szCs w:val="20"/>
        </w:rPr>
      </w:pPr>
    </w:p>
    <w:p w:rsidR="002B2C77" w:rsidRPr="00AF3755" w:rsidRDefault="002B2C77" w:rsidP="00AF3755">
      <w:pPr>
        <w:autoSpaceDE w:val="0"/>
        <w:autoSpaceDN w:val="0"/>
        <w:adjustRightInd w:val="0"/>
        <w:spacing w:after="0" w:line="240" w:lineRule="auto"/>
        <w:rPr>
          <w:rFonts w:ascii="Arial" w:hAnsi="Arial" w:cs="Arial"/>
          <w:sz w:val="20"/>
          <w:szCs w:val="20"/>
        </w:rPr>
      </w:pPr>
    </w:p>
    <w:p w:rsidR="00A4445C" w:rsidRPr="00AF3755" w:rsidRDefault="00207C0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2: Planning, Policy and Strategy</w:t>
      </w:r>
    </w:p>
    <w:p w:rsidR="00A4445C" w:rsidRPr="00AF3755" w:rsidRDefault="00A4445C"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purpose of the Programme is to provide strategic direction in the development, implementation and monitoring of Departmental policies and the Human Resource Development Strategy for South Africa. </w:t>
      </w:r>
    </w:p>
    <w:p w:rsidR="00331998" w:rsidRPr="00AF3755" w:rsidRDefault="00331998" w:rsidP="00AF3755">
      <w:pPr>
        <w:pStyle w:val="ListParagraph"/>
        <w:spacing w:after="0" w:line="240" w:lineRule="auto"/>
        <w:ind w:left="0"/>
        <w:rPr>
          <w:rFonts w:ascii="Arial" w:hAnsi="Arial" w:cs="Arial"/>
          <w:sz w:val="20"/>
          <w:szCs w:val="20"/>
        </w:rPr>
      </w:pPr>
    </w:p>
    <w:p w:rsidR="00B84FF3" w:rsidRPr="00AF3755" w:rsidRDefault="00A4445C"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programme’s final appropriation </w:t>
      </w:r>
      <w:r w:rsidR="00A95E4E" w:rsidRPr="00AF3755">
        <w:rPr>
          <w:rFonts w:ascii="Arial" w:hAnsi="Arial" w:cs="Arial"/>
          <w:sz w:val="20"/>
          <w:szCs w:val="20"/>
        </w:rPr>
        <w:t xml:space="preserve">in 2021/22 </w:t>
      </w:r>
      <w:r w:rsidRPr="00AF3755">
        <w:rPr>
          <w:rFonts w:ascii="Arial" w:hAnsi="Arial" w:cs="Arial"/>
          <w:sz w:val="20"/>
          <w:szCs w:val="20"/>
        </w:rPr>
        <w:t xml:space="preserve">amounted to </w:t>
      </w:r>
      <w:r w:rsidR="00A95E4E" w:rsidRPr="00AF3755">
        <w:rPr>
          <w:rFonts w:ascii="Arial" w:hAnsi="Arial" w:cs="Arial"/>
          <w:sz w:val="20"/>
          <w:szCs w:val="20"/>
        </w:rPr>
        <w:t>R256,10 million (</w:t>
      </w:r>
      <w:r w:rsidRPr="00AF3755">
        <w:rPr>
          <w:rFonts w:ascii="Arial" w:hAnsi="Arial" w:cs="Arial"/>
          <w:sz w:val="20"/>
          <w:szCs w:val="20"/>
        </w:rPr>
        <w:t>R195,12 million</w:t>
      </w:r>
      <w:r w:rsidR="00A95E4E" w:rsidRPr="00AF3755">
        <w:rPr>
          <w:rFonts w:ascii="Arial" w:hAnsi="Arial" w:cs="Arial"/>
          <w:sz w:val="20"/>
          <w:szCs w:val="20"/>
        </w:rPr>
        <w:t xml:space="preserve"> in 2020/21)</w:t>
      </w:r>
      <w:r w:rsidRPr="00AF3755">
        <w:rPr>
          <w:rFonts w:ascii="Arial" w:hAnsi="Arial" w:cs="Arial"/>
          <w:sz w:val="20"/>
          <w:szCs w:val="20"/>
        </w:rPr>
        <w:t>. Expenditure at the end of the year amounted to R</w:t>
      </w:r>
      <w:r w:rsidR="002224E8" w:rsidRPr="00AF3755">
        <w:rPr>
          <w:rFonts w:ascii="Arial" w:hAnsi="Arial" w:cs="Arial"/>
          <w:sz w:val="20"/>
          <w:szCs w:val="20"/>
        </w:rPr>
        <w:t>239,29</w:t>
      </w:r>
      <w:r w:rsidRPr="00AF3755">
        <w:rPr>
          <w:rFonts w:ascii="Arial" w:hAnsi="Arial" w:cs="Arial"/>
          <w:sz w:val="20"/>
          <w:szCs w:val="20"/>
        </w:rPr>
        <w:t xml:space="preserve"> million or </w:t>
      </w:r>
      <w:r w:rsidR="002224E8" w:rsidRPr="00AF3755">
        <w:rPr>
          <w:rFonts w:ascii="Arial" w:hAnsi="Arial" w:cs="Arial"/>
          <w:sz w:val="20"/>
          <w:szCs w:val="20"/>
        </w:rPr>
        <w:t>93.4 per cent</w:t>
      </w:r>
      <w:r w:rsidRPr="00AF3755">
        <w:rPr>
          <w:rFonts w:ascii="Arial" w:hAnsi="Arial" w:cs="Arial"/>
          <w:sz w:val="20"/>
          <w:szCs w:val="20"/>
        </w:rPr>
        <w:t xml:space="preserve"> against the available budget</w:t>
      </w:r>
      <w:r w:rsidR="00683A49" w:rsidRPr="00AF3755">
        <w:rPr>
          <w:rFonts w:ascii="Arial" w:hAnsi="Arial" w:cs="Arial"/>
          <w:sz w:val="20"/>
          <w:szCs w:val="20"/>
        </w:rPr>
        <w:t xml:space="preserve">. The programme recorded an underspending amounting to </w:t>
      </w:r>
      <w:r w:rsidR="00B84FF3" w:rsidRPr="00AF3755">
        <w:rPr>
          <w:rFonts w:ascii="Arial" w:hAnsi="Arial" w:cs="Arial"/>
          <w:sz w:val="20"/>
          <w:szCs w:val="20"/>
        </w:rPr>
        <w:t>R16,81 million (</w:t>
      </w:r>
      <w:r w:rsidRPr="00AF3755">
        <w:rPr>
          <w:rFonts w:ascii="Arial" w:hAnsi="Arial" w:cs="Arial"/>
          <w:sz w:val="20"/>
          <w:szCs w:val="20"/>
        </w:rPr>
        <w:t>R3,80 million</w:t>
      </w:r>
      <w:r w:rsidR="00B84FF3" w:rsidRPr="00AF3755">
        <w:rPr>
          <w:rFonts w:ascii="Arial" w:hAnsi="Arial" w:cs="Arial"/>
          <w:sz w:val="20"/>
          <w:szCs w:val="20"/>
        </w:rPr>
        <w:t xml:space="preserve"> in 2021/22)</w:t>
      </w:r>
      <w:r w:rsidRPr="00AF3755">
        <w:rPr>
          <w:rFonts w:ascii="Arial" w:hAnsi="Arial" w:cs="Arial"/>
          <w:sz w:val="20"/>
          <w:szCs w:val="20"/>
        </w:rPr>
        <w:t>. The</w:t>
      </w:r>
      <w:r w:rsidR="00B84FF3" w:rsidRPr="00AF3755">
        <w:rPr>
          <w:rFonts w:ascii="Arial" w:hAnsi="Arial" w:cs="Arial"/>
          <w:sz w:val="20"/>
          <w:szCs w:val="20"/>
        </w:rPr>
        <w:t xml:space="preserve"> bulk of the underspending is in sub-programme 6: Social Inclusion and Quality at R7,55 million, followed by R3,3</w:t>
      </w:r>
      <w:r w:rsidR="00BC6EED" w:rsidRPr="00AF3755">
        <w:rPr>
          <w:rFonts w:ascii="Arial" w:hAnsi="Arial" w:cs="Arial"/>
          <w:sz w:val="20"/>
          <w:szCs w:val="20"/>
        </w:rPr>
        <w:t>4</w:t>
      </w:r>
      <w:r w:rsidR="00B84FF3" w:rsidRPr="00AF3755">
        <w:rPr>
          <w:rFonts w:ascii="Arial" w:hAnsi="Arial" w:cs="Arial"/>
          <w:sz w:val="20"/>
          <w:szCs w:val="20"/>
        </w:rPr>
        <w:t xml:space="preserve"> million in sub-programme 4: International Relations and R</w:t>
      </w:r>
      <w:r w:rsidR="00BC6EED" w:rsidRPr="00AF3755">
        <w:rPr>
          <w:rFonts w:ascii="Arial" w:hAnsi="Arial" w:cs="Arial"/>
          <w:sz w:val="20"/>
          <w:szCs w:val="20"/>
        </w:rPr>
        <w:t>3</w:t>
      </w:r>
      <w:r w:rsidR="00067E63" w:rsidRPr="00AF3755">
        <w:rPr>
          <w:rFonts w:ascii="Arial" w:hAnsi="Arial" w:cs="Arial"/>
          <w:sz w:val="20"/>
          <w:szCs w:val="20"/>
        </w:rPr>
        <w:t>,</w:t>
      </w:r>
      <w:r w:rsidR="00BC6EED" w:rsidRPr="00AF3755">
        <w:rPr>
          <w:rFonts w:ascii="Arial" w:hAnsi="Arial" w:cs="Arial"/>
          <w:sz w:val="20"/>
          <w:szCs w:val="20"/>
        </w:rPr>
        <w:t>12 million sub-programme 3: Policy, Planning, Monitoring and Evaluation</w:t>
      </w:r>
      <w:r w:rsidR="00F61692" w:rsidRPr="00AF3755">
        <w:rPr>
          <w:rFonts w:ascii="Arial" w:hAnsi="Arial" w:cs="Arial"/>
          <w:sz w:val="20"/>
          <w:szCs w:val="20"/>
        </w:rPr>
        <w:t xml:space="preserve">. </w:t>
      </w:r>
      <w:r w:rsidR="00B84FF3" w:rsidRPr="00AF3755">
        <w:rPr>
          <w:rFonts w:ascii="Arial" w:hAnsi="Arial" w:cs="Arial"/>
          <w:sz w:val="20"/>
          <w:szCs w:val="20"/>
        </w:rPr>
        <w:t>Underspending on compensation of employees and goods and services amounted to R15,05 million and R499 000, respectively.</w:t>
      </w:r>
      <w:r w:rsidR="00937B81" w:rsidRPr="00AF3755">
        <w:rPr>
          <w:rFonts w:ascii="Arial" w:hAnsi="Arial" w:cs="Arial"/>
          <w:sz w:val="20"/>
          <w:szCs w:val="20"/>
        </w:rPr>
        <w:t xml:space="preserve"> The underspending on transfers and subsidies amounted to R1,02 million.</w:t>
      </w:r>
    </w:p>
    <w:p w:rsidR="00A4445C" w:rsidRPr="00AF3755" w:rsidRDefault="006867F7" w:rsidP="00AF3755">
      <w:p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 xml:space="preserve">The under-spending is due mainly to attrition posts that became vacant during the year </w:t>
      </w:r>
      <w:r w:rsidR="00A825BE" w:rsidRPr="00AF3755">
        <w:rPr>
          <w:rFonts w:ascii="Arial" w:hAnsi="Arial" w:cs="Arial"/>
          <w:sz w:val="20"/>
          <w:szCs w:val="20"/>
        </w:rPr>
        <w:t xml:space="preserve">and </w:t>
      </w:r>
      <w:r w:rsidRPr="00AF3755">
        <w:rPr>
          <w:rFonts w:ascii="Arial" w:hAnsi="Arial" w:cs="Arial"/>
          <w:sz w:val="20"/>
          <w:szCs w:val="20"/>
        </w:rPr>
        <w:t xml:space="preserve">could not be filled as projected and concomitant savings on administrative expenditure as well as the suspension of planned trips and activities that </w:t>
      </w:r>
      <w:r w:rsidR="00067E63" w:rsidRPr="00AF3755">
        <w:rPr>
          <w:rFonts w:ascii="Arial" w:hAnsi="Arial" w:cs="Arial"/>
          <w:sz w:val="20"/>
          <w:szCs w:val="20"/>
        </w:rPr>
        <w:t xml:space="preserve">were </w:t>
      </w:r>
      <w:r w:rsidRPr="00AF3755">
        <w:rPr>
          <w:rFonts w:ascii="Arial" w:hAnsi="Arial" w:cs="Arial"/>
          <w:sz w:val="20"/>
          <w:szCs w:val="20"/>
        </w:rPr>
        <w:t xml:space="preserve">suspended due to the COVID-19 pandemic. Savings </w:t>
      </w:r>
      <w:r w:rsidR="00067E63" w:rsidRPr="00AF3755">
        <w:rPr>
          <w:rFonts w:ascii="Arial" w:hAnsi="Arial" w:cs="Arial"/>
          <w:sz w:val="20"/>
          <w:szCs w:val="20"/>
        </w:rPr>
        <w:t xml:space="preserve">were </w:t>
      </w:r>
      <w:r w:rsidRPr="00AF3755">
        <w:rPr>
          <w:rFonts w:ascii="Arial" w:hAnsi="Arial" w:cs="Arial"/>
          <w:sz w:val="20"/>
          <w:szCs w:val="20"/>
        </w:rPr>
        <w:t>realised on the transfer to the Commonwealth of Learning due to a favourable Rand/Euro exchange rate.</w:t>
      </w:r>
    </w:p>
    <w:p w:rsidR="006867F7" w:rsidRPr="00AF3755" w:rsidRDefault="006867F7" w:rsidP="00AF3755">
      <w:pPr>
        <w:autoSpaceDE w:val="0"/>
        <w:autoSpaceDN w:val="0"/>
        <w:adjustRightInd w:val="0"/>
        <w:spacing w:after="0" w:line="240" w:lineRule="auto"/>
        <w:rPr>
          <w:rFonts w:ascii="Arial" w:hAnsi="Arial" w:cs="Arial"/>
          <w:b/>
          <w:sz w:val="20"/>
          <w:szCs w:val="20"/>
        </w:rPr>
      </w:pPr>
    </w:p>
    <w:p w:rsidR="00207C04" w:rsidRPr="00AF3755" w:rsidRDefault="00207C0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3: University Education</w:t>
      </w:r>
    </w:p>
    <w:p w:rsidR="00A4445C" w:rsidRPr="00AF3755" w:rsidRDefault="00A4445C"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 develops and coordinate</w:t>
      </w:r>
      <w:r w:rsidR="00067E63" w:rsidRPr="00AF3755">
        <w:rPr>
          <w:rFonts w:ascii="Arial" w:hAnsi="Arial" w:cs="Arial"/>
          <w:sz w:val="20"/>
          <w:szCs w:val="20"/>
        </w:rPr>
        <w:t>s</w:t>
      </w:r>
      <w:r w:rsidRPr="00AF3755">
        <w:rPr>
          <w:rFonts w:ascii="Arial" w:hAnsi="Arial" w:cs="Arial"/>
          <w:sz w:val="20"/>
          <w:szCs w:val="20"/>
        </w:rPr>
        <w:t xml:space="preserve"> the policy- and regulatory framework for an effective and efficient university education system. </w:t>
      </w:r>
    </w:p>
    <w:p w:rsidR="007F69BD" w:rsidRPr="00AF3755" w:rsidRDefault="007F69BD" w:rsidP="00AF3755">
      <w:pPr>
        <w:pStyle w:val="ListParagraph"/>
        <w:spacing w:after="0" w:line="240" w:lineRule="auto"/>
        <w:ind w:left="0"/>
        <w:rPr>
          <w:rFonts w:ascii="Arial" w:hAnsi="Arial" w:cs="Arial"/>
          <w:sz w:val="20"/>
          <w:szCs w:val="20"/>
        </w:rPr>
      </w:pPr>
    </w:p>
    <w:p w:rsidR="00CD7904" w:rsidRPr="00AF3755" w:rsidRDefault="00A4445C"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w:t>
      </w:r>
      <w:r w:rsidR="004F1E7F" w:rsidRPr="00AF3755">
        <w:rPr>
          <w:rFonts w:ascii="Arial" w:hAnsi="Arial" w:cs="Arial"/>
          <w:sz w:val="20"/>
          <w:szCs w:val="20"/>
        </w:rPr>
        <w:t>’s</w:t>
      </w:r>
      <w:r w:rsidRPr="00AF3755">
        <w:rPr>
          <w:rFonts w:ascii="Arial" w:hAnsi="Arial" w:cs="Arial"/>
          <w:sz w:val="20"/>
          <w:szCs w:val="20"/>
        </w:rPr>
        <w:t xml:space="preserve"> final appropriation </w:t>
      </w:r>
      <w:r w:rsidR="004F1E7F" w:rsidRPr="00AF3755">
        <w:rPr>
          <w:rFonts w:ascii="Arial" w:hAnsi="Arial" w:cs="Arial"/>
          <w:sz w:val="20"/>
          <w:szCs w:val="20"/>
        </w:rPr>
        <w:t xml:space="preserve">in 2021/22 </w:t>
      </w:r>
      <w:r w:rsidRPr="00AF3755">
        <w:rPr>
          <w:rFonts w:ascii="Arial" w:hAnsi="Arial" w:cs="Arial"/>
          <w:sz w:val="20"/>
          <w:szCs w:val="20"/>
        </w:rPr>
        <w:t>amount</w:t>
      </w:r>
      <w:r w:rsidR="004F1E7F" w:rsidRPr="00AF3755">
        <w:rPr>
          <w:rFonts w:ascii="Arial" w:hAnsi="Arial" w:cs="Arial"/>
          <w:sz w:val="20"/>
          <w:szCs w:val="20"/>
        </w:rPr>
        <w:t>ed</w:t>
      </w:r>
      <w:r w:rsidRPr="00AF3755">
        <w:rPr>
          <w:rFonts w:ascii="Arial" w:hAnsi="Arial" w:cs="Arial"/>
          <w:sz w:val="20"/>
          <w:szCs w:val="20"/>
        </w:rPr>
        <w:t xml:space="preserve"> to </w:t>
      </w:r>
      <w:r w:rsidR="00011AAA" w:rsidRPr="00AF3755">
        <w:rPr>
          <w:rFonts w:ascii="Arial" w:hAnsi="Arial" w:cs="Arial"/>
          <w:sz w:val="20"/>
          <w:szCs w:val="20"/>
        </w:rPr>
        <w:t>R81,92 billion (</w:t>
      </w:r>
      <w:r w:rsidRPr="00AF3755">
        <w:rPr>
          <w:rFonts w:ascii="Arial" w:hAnsi="Arial" w:cs="Arial"/>
          <w:sz w:val="20"/>
          <w:szCs w:val="20"/>
        </w:rPr>
        <w:t xml:space="preserve">R78,36 billion </w:t>
      </w:r>
      <w:r w:rsidR="00011AAA" w:rsidRPr="00AF3755">
        <w:rPr>
          <w:rFonts w:ascii="Arial" w:hAnsi="Arial" w:cs="Arial"/>
          <w:sz w:val="20"/>
          <w:szCs w:val="20"/>
        </w:rPr>
        <w:t>in</w:t>
      </w:r>
      <w:r w:rsidRPr="00AF3755">
        <w:rPr>
          <w:rFonts w:ascii="Arial" w:hAnsi="Arial" w:cs="Arial"/>
          <w:sz w:val="20"/>
          <w:szCs w:val="20"/>
        </w:rPr>
        <w:t xml:space="preserve"> 2020/21</w:t>
      </w:r>
      <w:r w:rsidR="00011AAA" w:rsidRPr="00AF3755">
        <w:rPr>
          <w:rFonts w:ascii="Arial" w:hAnsi="Arial" w:cs="Arial"/>
          <w:sz w:val="20"/>
          <w:szCs w:val="20"/>
        </w:rPr>
        <w:t>)</w:t>
      </w:r>
      <w:r w:rsidRPr="00AF3755">
        <w:rPr>
          <w:rFonts w:ascii="Arial" w:hAnsi="Arial" w:cs="Arial"/>
          <w:sz w:val="20"/>
          <w:szCs w:val="20"/>
        </w:rPr>
        <w:t>. Expenditure at the end of the year amounted to R</w:t>
      </w:r>
      <w:r w:rsidR="00011AAA" w:rsidRPr="00AF3755">
        <w:rPr>
          <w:rFonts w:ascii="Arial" w:hAnsi="Arial" w:cs="Arial"/>
          <w:sz w:val="20"/>
          <w:szCs w:val="20"/>
        </w:rPr>
        <w:t>81,89</w:t>
      </w:r>
      <w:r w:rsidRPr="00AF3755">
        <w:rPr>
          <w:rFonts w:ascii="Arial" w:hAnsi="Arial" w:cs="Arial"/>
          <w:sz w:val="20"/>
          <w:szCs w:val="20"/>
        </w:rPr>
        <w:t xml:space="preserve"> billion or 100</w:t>
      </w:r>
      <w:r w:rsidR="00067E63" w:rsidRPr="00AF3755">
        <w:rPr>
          <w:rFonts w:ascii="Arial" w:hAnsi="Arial" w:cs="Arial"/>
          <w:sz w:val="20"/>
          <w:szCs w:val="20"/>
        </w:rPr>
        <w:t xml:space="preserve"> per cent</w:t>
      </w:r>
      <w:r w:rsidRPr="00AF3755">
        <w:rPr>
          <w:rFonts w:ascii="Arial" w:hAnsi="Arial" w:cs="Arial"/>
          <w:sz w:val="20"/>
          <w:szCs w:val="20"/>
        </w:rPr>
        <w:t xml:space="preserve"> of the available budget, with lower than projected spending of R</w:t>
      </w:r>
      <w:r w:rsidR="00011AAA" w:rsidRPr="00AF3755">
        <w:rPr>
          <w:rFonts w:ascii="Arial" w:hAnsi="Arial" w:cs="Arial"/>
          <w:sz w:val="20"/>
          <w:szCs w:val="20"/>
        </w:rPr>
        <w:t>32,46</w:t>
      </w:r>
      <w:r w:rsidRPr="00AF3755">
        <w:rPr>
          <w:rFonts w:ascii="Arial" w:hAnsi="Arial" w:cs="Arial"/>
          <w:sz w:val="20"/>
          <w:szCs w:val="20"/>
        </w:rPr>
        <w:t xml:space="preserve"> million. The bulk of the underspending amounting to R</w:t>
      </w:r>
      <w:r w:rsidR="00011AAA" w:rsidRPr="00AF3755">
        <w:rPr>
          <w:rFonts w:ascii="Arial" w:hAnsi="Arial" w:cs="Arial"/>
          <w:sz w:val="20"/>
          <w:szCs w:val="20"/>
        </w:rPr>
        <w:t>29,89</w:t>
      </w:r>
      <w:r w:rsidRPr="00AF3755">
        <w:rPr>
          <w:rFonts w:ascii="Arial" w:hAnsi="Arial" w:cs="Arial"/>
          <w:sz w:val="20"/>
          <w:szCs w:val="20"/>
        </w:rPr>
        <w:t xml:space="preserve"> million and R1,86 million was recorded on compensation of employees and </w:t>
      </w:r>
      <w:r w:rsidR="00011AAA" w:rsidRPr="00AF3755">
        <w:rPr>
          <w:rFonts w:ascii="Arial" w:hAnsi="Arial" w:cs="Arial"/>
          <w:sz w:val="20"/>
          <w:szCs w:val="20"/>
        </w:rPr>
        <w:t>transfers and subsidies</w:t>
      </w:r>
      <w:r w:rsidRPr="00AF3755">
        <w:rPr>
          <w:rFonts w:ascii="Arial" w:hAnsi="Arial" w:cs="Arial"/>
          <w:sz w:val="20"/>
          <w:szCs w:val="20"/>
        </w:rPr>
        <w:t xml:space="preserve">, respectively. </w:t>
      </w:r>
    </w:p>
    <w:p w:rsidR="00CD7904" w:rsidRPr="00AF3755" w:rsidRDefault="00CD7904" w:rsidP="00AF3755">
      <w:pPr>
        <w:pStyle w:val="ListParagraph"/>
        <w:spacing w:after="0" w:line="240" w:lineRule="auto"/>
        <w:ind w:left="0"/>
        <w:rPr>
          <w:rFonts w:ascii="Arial" w:hAnsi="Arial" w:cs="Arial"/>
          <w:sz w:val="20"/>
          <w:szCs w:val="20"/>
        </w:rPr>
      </w:pPr>
    </w:p>
    <w:p w:rsidR="0042281C" w:rsidRPr="00AF3755" w:rsidRDefault="00CD7904"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underspending is due mainly to posts on the staff establishment that </w:t>
      </w:r>
      <w:r w:rsidR="00067E63" w:rsidRPr="00AF3755">
        <w:rPr>
          <w:rFonts w:ascii="Arial" w:hAnsi="Arial" w:cs="Arial"/>
          <w:sz w:val="20"/>
          <w:szCs w:val="20"/>
        </w:rPr>
        <w:t xml:space="preserve">were </w:t>
      </w:r>
      <w:r w:rsidRPr="00AF3755">
        <w:rPr>
          <w:rFonts w:ascii="Arial" w:hAnsi="Arial" w:cs="Arial"/>
          <w:sz w:val="20"/>
          <w:szCs w:val="20"/>
        </w:rPr>
        <w:t xml:space="preserve">not filled as projected and the concomitant savings on administrative expenditure. Planned monitoring and oversight visits </w:t>
      </w:r>
      <w:r w:rsidR="00067E63" w:rsidRPr="00AF3755">
        <w:rPr>
          <w:rFonts w:ascii="Arial" w:hAnsi="Arial" w:cs="Arial"/>
          <w:sz w:val="20"/>
          <w:szCs w:val="20"/>
        </w:rPr>
        <w:t xml:space="preserve">were </w:t>
      </w:r>
      <w:r w:rsidRPr="00AF3755">
        <w:rPr>
          <w:rFonts w:ascii="Arial" w:hAnsi="Arial" w:cs="Arial"/>
          <w:sz w:val="20"/>
          <w:szCs w:val="20"/>
        </w:rPr>
        <w:t>suspended due to COVID-19 restrictions. Virtual meetings, workshops and officials working from home replacing actual visits resulted in savings on travel and subsistence, printing and stationery.</w:t>
      </w:r>
    </w:p>
    <w:p w:rsidR="00CD7904" w:rsidRPr="00AF3755" w:rsidRDefault="00CD7904" w:rsidP="00AF3755">
      <w:pPr>
        <w:pStyle w:val="ListParagraph"/>
        <w:spacing w:after="0" w:line="240" w:lineRule="auto"/>
        <w:ind w:left="0"/>
        <w:rPr>
          <w:rFonts w:ascii="Arial" w:hAnsi="Arial" w:cs="Arial"/>
          <w:b/>
          <w:sz w:val="20"/>
          <w:szCs w:val="20"/>
        </w:rPr>
      </w:pPr>
    </w:p>
    <w:p w:rsidR="0042281C" w:rsidRPr="00AF3755" w:rsidRDefault="00207C0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4: Technical and Vocational Education and Training (TVET)</w:t>
      </w:r>
    </w:p>
    <w:p w:rsidR="00067E63" w:rsidRPr="00AF3755" w:rsidRDefault="0042281C"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purpose of this programme is to plan, develop, implement, monitor, maintain and evaluate national policy, programmes, assessment practices and systems for TVET. </w:t>
      </w:r>
    </w:p>
    <w:p w:rsidR="004849D3" w:rsidRPr="00AF3755" w:rsidRDefault="004849D3" w:rsidP="00AF3755">
      <w:pPr>
        <w:pStyle w:val="ListParagraph"/>
        <w:spacing w:after="0" w:line="240" w:lineRule="auto"/>
        <w:ind w:left="0"/>
        <w:rPr>
          <w:rFonts w:ascii="Arial" w:hAnsi="Arial" w:cs="Arial"/>
          <w:sz w:val="20"/>
          <w:szCs w:val="20"/>
        </w:rPr>
      </w:pPr>
    </w:p>
    <w:p w:rsidR="0042281C" w:rsidRPr="00AF3755" w:rsidRDefault="0042281C"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programme’s 202</w:t>
      </w:r>
      <w:r w:rsidR="00E0759F" w:rsidRPr="00AF3755">
        <w:rPr>
          <w:rFonts w:ascii="Arial" w:hAnsi="Arial" w:cs="Arial"/>
          <w:sz w:val="20"/>
          <w:szCs w:val="20"/>
        </w:rPr>
        <w:t>1</w:t>
      </w:r>
      <w:r w:rsidRPr="00AF3755">
        <w:rPr>
          <w:rFonts w:ascii="Arial" w:hAnsi="Arial" w:cs="Arial"/>
          <w:sz w:val="20"/>
          <w:szCs w:val="20"/>
        </w:rPr>
        <w:t>/2</w:t>
      </w:r>
      <w:r w:rsidR="00E0759F" w:rsidRPr="00AF3755">
        <w:rPr>
          <w:rFonts w:ascii="Arial" w:hAnsi="Arial" w:cs="Arial"/>
          <w:sz w:val="20"/>
          <w:szCs w:val="20"/>
        </w:rPr>
        <w:t>2</w:t>
      </w:r>
      <w:r w:rsidRPr="00AF3755">
        <w:rPr>
          <w:rFonts w:ascii="Arial" w:hAnsi="Arial" w:cs="Arial"/>
          <w:sz w:val="20"/>
          <w:szCs w:val="20"/>
        </w:rPr>
        <w:t xml:space="preserve"> final appropriation amounted to </w:t>
      </w:r>
      <w:r w:rsidR="00E0759F" w:rsidRPr="00AF3755">
        <w:rPr>
          <w:rFonts w:ascii="Arial" w:hAnsi="Arial" w:cs="Arial"/>
          <w:sz w:val="20"/>
          <w:szCs w:val="20"/>
        </w:rPr>
        <w:t>R12,46 billion (</w:t>
      </w:r>
      <w:r w:rsidRPr="00AF3755">
        <w:rPr>
          <w:rFonts w:ascii="Arial" w:hAnsi="Arial" w:cs="Arial"/>
          <w:sz w:val="20"/>
          <w:szCs w:val="20"/>
        </w:rPr>
        <w:t>R12,59 billion</w:t>
      </w:r>
      <w:r w:rsidR="00E0759F" w:rsidRPr="00AF3755">
        <w:rPr>
          <w:rFonts w:ascii="Arial" w:hAnsi="Arial" w:cs="Arial"/>
          <w:sz w:val="20"/>
          <w:szCs w:val="20"/>
        </w:rPr>
        <w:t xml:space="preserve"> in 2020/21)</w:t>
      </w:r>
      <w:r w:rsidRPr="00AF3755">
        <w:rPr>
          <w:rFonts w:ascii="Arial" w:hAnsi="Arial" w:cs="Arial"/>
          <w:sz w:val="20"/>
          <w:szCs w:val="20"/>
        </w:rPr>
        <w:t>. Expenditure at the end of the year amounted to R12,</w:t>
      </w:r>
      <w:r w:rsidR="00E0759F" w:rsidRPr="00AF3755">
        <w:rPr>
          <w:rFonts w:ascii="Arial" w:hAnsi="Arial" w:cs="Arial"/>
          <w:sz w:val="20"/>
          <w:szCs w:val="20"/>
        </w:rPr>
        <w:t>2</w:t>
      </w:r>
      <w:r w:rsidRPr="00AF3755">
        <w:rPr>
          <w:rFonts w:ascii="Arial" w:hAnsi="Arial" w:cs="Arial"/>
          <w:sz w:val="20"/>
          <w:szCs w:val="20"/>
        </w:rPr>
        <w:t>7 billion or 9</w:t>
      </w:r>
      <w:r w:rsidR="00E0759F" w:rsidRPr="00AF3755">
        <w:rPr>
          <w:rFonts w:ascii="Arial" w:hAnsi="Arial" w:cs="Arial"/>
          <w:sz w:val="20"/>
          <w:szCs w:val="20"/>
        </w:rPr>
        <w:t>8</w:t>
      </w:r>
      <w:r w:rsidRPr="00AF3755">
        <w:rPr>
          <w:rFonts w:ascii="Arial" w:hAnsi="Arial" w:cs="Arial"/>
          <w:sz w:val="20"/>
          <w:szCs w:val="20"/>
        </w:rPr>
        <w:t>.</w:t>
      </w:r>
      <w:r w:rsidR="00E0759F" w:rsidRPr="00AF3755">
        <w:rPr>
          <w:rFonts w:ascii="Arial" w:hAnsi="Arial" w:cs="Arial"/>
          <w:sz w:val="20"/>
          <w:szCs w:val="20"/>
        </w:rPr>
        <w:t>5 per cent</w:t>
      </w:r>
      <w:r w:rsidRPr="00AF3755">
        <w:rPr>
          <w:rFonts w:ascii="Arial" w:hAnsi="Arial" w:cs="Arial"/>
          <w:sz w:val="20"/>
          <w:szCs w:val="20"/>
        </w:rPr>
        <w:t xml:space="preserve"> against the available budget, with lower</w:t>
      </w:r>
      <w:r w:rsidR="00067E63" w:rsidRPr="00AF3755">
        <w:rPr>
          <w:rFonts w:ascii="Arial" w:hAnsi="Arial" w:cs="Arial"/>
          <w:sz w:val="20"/>
          <w:szCs w:val="20"/>
        </w:rPr>
        <w:t>-than-</w:t>
      </w:r>
      <w:r w:rsidRPr="00AF3755">
        <w:rPr>
          <w:rFonts w:ascii="Arial" w:hAnsi="Arial" w:cs="Arial"/>
          <w:sz w:val="20"/>
          <w:szCs w:val="20"/>
        </w:rPr>
        <w:t xml:space="preserve">projected spending amounting to </w:t>
      </w:r>
      <w:r w:rsidR="00E0759F" w:rsidRPr="00AF3755">
        <w:rPr>
          <w:rFonts w:ascii="Arial" w:hAnsi="Arial" w:cs="Arial"/>
          <w:sz w:val="20"/>
          <w:szCs w:val="20"/>
        </w:rPr>
        <w:t>R184,65 million (</w:t>
      </w:r>
      <w:r w:rsidRPr="00AF3755">
        <w:rPr>
          <w:rFonts w:ascii="Arial" w:hAnsi="Arial" w:cs="Arial"/>
          <w:sz w:val="20"/>
          <w:szCs w:val="20"/>
        </w:rPr>
        <w:t>R124,47 million</w:t>
      </w:r>
      <w:r w:rsidR="00E0759F" w:rsidRPr="00AF3755">
        <w:rPr>
          <w:rFonts w:ascii="Arial" w:hAnsi="Arial" w:cs="Arial"/>
          <w:sz w:val="20"/>
          <w:szCs w:val="20"/>
        </w:rPr>
        <w:t xml:space="preserve"> in 2020/21)</w:t>
      </w:r>
      <w:r w:rsidRPr="00AF3755">
        <w:rPr>
          <w:rFonts w:ascii="Arial" w:hAnsi="Arial" w:cs="Arial"/>
          <w:sz w:val="20"/>
          <w:szCs w:val="20"/>
        </w:rPr>
        <w:t xml:space="preserve">.  The bulk of the underspending at </w:t>
      </w:r>
      <w:r w:rsidR="00E0759F" w:rsidRPr="00AF3755">
        <w:rPr>
          <w:rFonts w:ascii="Arial" w:hAnsi="Arial" w:cs="Arial"/>
          <w:sz w:val="20"/>
          <w:szCs w:val="20"/>
        </w:rPr>
        <w:t>R135,89</w:t>
      </w:r>
      <w:r w:rsidRPr="00AF3755">
        <w:rPr>
          <w:rFonts w:ascii="Arial" w:hAnsi="Arial" w:cs="Arial"/>
          <w:sz w:val="20"/>
          <w:szCs w:val="20"/>
        </w:rPr>
        <w:t xml:space="preserve"> million was incurred in sub-programme </w:t>
      </w:r>
      <w:r w:rsidR="00E0759F" w:rsidRPr="00AF3755">
        <w:rPr>
          <w:rFonts w:ascii="Arial" w:hAnsi="Arial" w:cs="Arial"/>
          <w:sz w:val="20"/>
          <w:szCs w:val="20"/>
        </w:rPr>
        <w:t xml:space="preserve">2: TVET System Planning and Institutional Support </w:t>
      </w:r>
      <w:r w:rsidRPr="00AF3755">
        <w:rPr>
          <w:rFonts w:ascii="Arial" w:hAnsi="Arial" w:cs="Arial"/>
          <w:sz w:val="20"/>
          <w:szCs w:val="20"/>
        </w:rPr>
        <w:t>4: National</w:t>
      </w:r>
      <w:r w:rsidR="00E0759F" w:rsidRPr="00AF3755">
        <w:rPr>
          <w:rFonts w:ascii="Arial" w:hAnsi="Arial" w:cs="Arial"/>
          <w:sz w:val="20"/>
          <w:szCs w:val="20"/>
        </w:rPr>
        <w:t xml:space="preserve">, followed by sub-programme 6 at R24,24 million and sub-programme 4: </w:t>
      </w:r>
      <w:r w:rsidRPr="00AF3755">
        <w:rPr>
          <w:rFonts w:ascii="Arial" w:hAnsi="Arial" w:cs="Arial"/>
          <w:sz w:val="20"/>
          <w:szCs w:val="20"/>
        </w:rPr>
        <w:t xml:space="preserve"> Examinations and Assessment</w:t>
      </w:r>
      <w:r w:rsidR="00E0759F" w:rsidRPr="00AF3755">
        <w:rPr>
          <w:rFonts w:ascii="Arial" w:hAnsi="Arial" w:cs="Arial"/>
          <w:sz w:val="20"/>
          <w:szCs w:val="20"/>
        </w:rPr>
        <w:t xml:space="preserve"> at R16,95 million</w:t>
      </w:r>
      <w:r w:rsidRPr="00AF3755">
        <w:rPr>
          <w:rFonts w:ascii="Arial" w:hAnsi="Arial" w:cs="Arial"/>
          <w:sz w:val="20"/>
          <w:szCs w:val="20"/>
        </w:rPr>
        <w:t xml:space="preserve">. </w:t>
      </w:r>
      <w:r w:rsidR="00A17E33" w:rsidRPr="00AF3755">
        <w:rPr>
          <w:rFonts w:ascii="Arial" w:hAnsi="Arial" w:cs="Arial"/>
          <w:sz w:val="20"/>
          <w:szCs w:val="20"/>
        </w:rPr>
        <w:t>The u</w:t>
      </w:r>
      <w:r w:rsidRPr="00AF3755">
        <w:rPr>
          <w:rFonts w:ascii="Arial" w:hAnsi="Arial" w:cs="Arial"/>
          <w:sz w:val="20"/>
          <w:szCs w:val="20"/>
        </w:rPr>
        <w:t xml:space="preserve">nderspending on compensation of employees and </w:t>
      </w:r>
      <w:r w:rsidR="00710D70" w:rsidRPr="00AF3755">
        <w:rPr>
          <w:rFonts w:ascii="Arial" w:hAnsi="Arial" w:cs="Arial"/>
          <w:sz w:val="20"/>
          <w:szCs w:val="20"/>
        </w:rPr>
        <w:t>payments for capital assets</w:t>
      </w:r>
      <w:r w:rsidRPr="00AF3755">
        <w:rPr>
          <w:rFonts w:ascii="Arial" w:hAnsi="Arial" w:cs="Arial"/>
          <w:sz w:val="20"/>
          <w:szCs w:val="20"/>
        </w:rPr>
        <w:t xml:space="preserve"> amounted to R</w:t>
      </w:r>
      <w:r w:rsidR="00A17E33" w:rsidRPr="00AF3755">
        <w:rPr>
          <w:rFonts w:ascii="Arial" w:hAnsi="Arial" w:cs="Arial"/>
          <w:sz w:val="20"/>
          <w:szCs w:val="20"/>
        </w:rPr>
        <w:t>179,34</w:t>
      </w:r>
      <w:r w:rsidRPr="00AF3755">
        <w:rPr>
          <w:rFonts w:ascii="Arial" w:hAnsi="Arial" w:cs="Arial"/>
          <w:sz w:val="20"/>
          <w:szCs w:val="20"/>
        </w:rPr>
        <w:t xml:space="preserve"> million and R</w:t>
      </w:r>
      <w:r w:rsidR="00710D70" w:rsidRPr="00AF3755">
        <w:rPr>
          <w:rFonts w:ascii="Arial" w:hAnsi="Arial" w:cs="Arial"/>
          <w:sz w:val="20"/>
          <w:szCs w:val="20"/>
        </w:rPr>
        <w:t>4,25</w:t>
      </w:r>
      <w:r w:rsidRPr="00AF3755">
        <w:rPr>
          <w:rFonts w:ascii="Arial" w:hAnsi="Arial" w:cs="Arial"/>
          <w:sz w:val="20"/>
          <w:szCs w:val="20"/>
        </w:rPr>
        <w:t xml:space="preserve"> million, respectively. </w:t>
      </w:r>
    </w:p>
    <w:p w:rsidR="0042281C" w:rsidRPr="00AF3755" w:rsidRDefault="00176A5A" w:rsidP="00AF3755">
      <w:p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The under-expenditure is due mainly to vacant funded posts not be</w:t>
      </w:r>
      <w:r w:rsidR="00067E63" w:rsidRPr="00AF3755">
        <w:rPr>
          <w:rFonts w:ascii="Arial" w:hAnsi="Arial" w:cs="Arial"/>
          <w:sz w:val="20"/>
          <w:szCs w:val="20"/>
        </w:rPr>
        <w:t>ing</w:t>
      </w:r>
      <w:r w:rsidRPr="00AF3755">
        <w:rPr>
          <w:rFonts w:ascii="Arial" w:hAnsi="Arial" w:cs="Arial"/>
          <w:sz w:val="20"/>
          <w:szCs w:val="20"/>
        </w:rPr>
        <w:t xml:space="preserve"> filled as projected and the implementation of the </w:t>
      </w:r>
      <w:r w:rsidR="00067E63" w:rsidRPr="00AF3755">
        <w:rPr>
          <w:rFonts w:ascii="Arial" w:hAnsi="Arial" w:cs="Arial"/>
          <w:sz w:val="20"/>
          <w:szCs w:val="20"/>
        </w:rPr>
        <w:t>post-</w:t>
      </w:r>
      <w:r w:rsidRPr="00AF3755">
        <w:rPr>
          <w:rFonts w:ascii="Arial" w:hAnsi="Arial" w:cs="Arial"/>
          <w:sz w:val="20"/>
          <w:szCs w:val="20"/>
        </w:rPr>
        <w:t>provisioning norms for TVET colleges not taking place as planned. The low spending on computer equipment is due to the unavailability of computer equipment during the financial year.</w:t>
      </w:r>
    </w:p>
    <w:p w:rsidR="00176A5A" w:rsidRPr="00AF3755" w:rsidRDefault="00176A5A" w:rsidP="00AF3755">
      <w:pPr>
        <w:autoSpaceDE w:val="0"/>
        <w:autoSpaceDN w:val="0"/>
        <w:adjustRightInd w:val="0"/>
        <w:spacing w:after="0" w:line="240" w:lineRule="auto"/>
        <w:rPr>
          <w:rFonts w:ascii="Arial" w:hAnsi="Arial" w:cs="Arial"/>
          <w:b/>
          <w:sz w:val="20"/>
          <w:szCs w:val="20"/>
        </w:rPr>
      </w:pPr>
    </w:p>
    <w:p w:rsidR="00207C04" w:rsidRPr="00AF3755" w:rsidRDefault="00207C0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5: Skills Development</w:t>
      </w:r>
    </w:p>
    <w:p w:rsidR="00067E63" w:rsidRPr="00AF3755" w:rsidRDefault="0042281C"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purpose of the Programme is to promote and monitor the National Skills Development Strategy (NSDS III) and to develop a skills development policy and regulatory framework for an effective skills development system. </w:t>
      </w:r>
    </w:p>
    <w:p w:rsidR="00067E63" w:rsidRPr="00AF3755" w:rsidRDefault="00067E63" w:rsidP="00AF3755">
      <w:pPr>
        <w:pStyle w:val="ListParagraph"/>
        <w:spacing w:after="0" w:line="240" w:lineRule="auto"/>
        <w:ind w:left="0"/>
        <w:rPr>
          <w:rFonts w:ascii="Arial" w:hAnsi="Arial" w:cs="Arial"/>
          <w:sz w:val="20"/>
          <w:szCs w:val="20"/>
        </w:rPr>
      </w:pPr>
    </w:p>
    <w:p w:rsidR="0042281C" w:rsidRPr="00AF3755" w:rsidRDefault="0042281C"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programme’s total appropriation for the 202</w:t>
      </w:r>
      <w:r w:rsidR="00EF2BF8" w:rsidRPr="00AF3755">
        <w:rPr>
          <w:rFonts w:ascii="Arial" w:hAnsi="Arial" w:cs="Arial"/>
          <w:sz w:val="20"/>
          <w:szCs w:val="20"/>
        </w:rPr>
        <w:t>1</w:t>
      </w:r>
      <w:r w:rsidRPr="00AF3755">
        <w:rPr>
          <w:rFonts w:ascii="Arial" w:hAnsi="Arial" w:cs="Arial"/>
          <w:sz w:val="20"/>
          <w:szCs w:val="20"/>
        </w:rPr>
        <w:t>/2</w:t>
      </w:r>
      <w:r w:rsidR="00EF2BF8" w:rsidRPr="00AF3755">
        <w:rPr>
          <w:rFonts w:ascii="Arial" w:hAnsi="Arial" w:cs="Arial"/>
          <w:sz w:val="20"/>
          <w:szCs w:val="20"/>
        </w:rPr>
        <w:t>2</w:t>
      </w:r>
      <w:r w:rsidRPr="00AF3755">
        <w:rPr>
          <w:rFonts w:ascii="Arial" w:hAnsi="Arial" w:cs="Arial"/>
          <w:sz w:val="20"/>
          <w:szCs w:val="20"/>
        </w:rPr>
        <w:t xml:space="preserve"> financial year amounted to </w:t>
      </w:r>
      <w:r w:rsidR="00EF2BF8" w:rsidRPr="00AF3755">
        <w:rPr>
          <w:rFonts w:ascii="Arial" w:hAnsi="Arial" w:cs="Arial"/>
          <w:sz w:val="20"/>
          <w:szCs w:val="20"/>
        </w:rPr>
        <w:t>R414,04 million (</w:t>
      </w:r>
      <w:r w:rsidRPr="00AF3755">
        <w:rPr>
          <w:rFonts w:ascii="Arial" w:hAnsi="Arial" w:cs="Arial"/>
          <w:sz w:val="20"/>
          <w:szCs w:val="20"/>
        </w:rPr>
        <w:t xml:space="preserve">R275,10 million </w:t>
      </w:r>
      <w:r w:rsidR="00EF2BF8" w:rsidRPr="00AF3755">
        <w:rPr>
          <w:rFonts w:ascii="Arial" w:hAnsi="Arial" w:cs="Arial"/>
          <w:sz w:val="20"/>
          <w:szCs w:val="20"/>
        </w:rPr>
        <w:t>in 2020/21)</w:t>
      </w:r>
      <w:r w:rsidRPr="00AF3755">
        <w:rPr>
          <w:rFonts w:ascii="Arial" w:hAnsi="Arial" w:cs="Arial"/>
          <w:sz w:val="20"/>
          <w:szCs w:val="20"/>
        </w:rPr>
        <w:t>. Expenditure at the of the year amounted to R</w:t>
      </w:r>
      <w:r w:rsidR="00C6347C" w:rsidRPr="00AF3755">
        <w:rPr>
          <w:rFonts w:ascii="Arial" w:hAnsi="Arial" w:cs="Arial"/>
          <w:sz w:val="20"/>
          <w:szCs w:val="20"/>
        </w:rPr>
        <w:t>392,04</w:t>
      </w:r>
      <w:r w:rsidRPr="00AF3755">
        <w:rPr>
          <w:rFonts w:ascii="Arial" w:hAnsi="Arial" w:cs="Arial"/>
          <w:sz w:val="20"/>
          <w:szCs w:val="20"/>
        </w:rPr>
        <w:t xml:space="preserve"> million or 9</w:t>
      </w:r>
      <w:r w:rsidR="00C6347C" w:rsidRPr="00AF3755">
        <w:rPr>
          <w:rFonts w:ascii="Arial" w:hAnsi="Arial" w:cs="Arial"/>
          <w:sz w:val="20"/>
          <w:szCs w:val="20"/>
        </w:rPr>
        <w:t>4.7 per cent</w:t>
      </w:r>
      <w:r w:rsidRPr="00AF3755">
        <w:rPr>
          <w:rFonts w:ascii="Arial" w:hAnsi="Arial" w:cs="Arial"/>
          <w:sz w:val="20"/>
          <w:szCs w:val="20"/>
        </w:rPr>
        <w:t xml:space="preserve"> of the available budget, recording lower than projected spending of </w:t>
      </w:r>
      <w:r w:rsidR="00C6347C" w:rsidRPr="00AF3755">
        <w:rPr>
          <w:rFonts w:ascii="Arial" w:hAnsi="Arial" w:cs="Arial"/>
          <w:sz w:val="20"/>
          <w:szCs w:val="20"/>
        </w:rPr>
        <w:t>R22,0 million (</w:t>
      </w:r>
      <w:r w:rsidRPr="00AF3755">
        <w:rPr>
          <w:rFonts w:ascii="Arial" w:hAnsi="Arial" w:cs="Arial"/>
          <w:sz w:val="20"/>
          <w:szCs w:val="20"/>
        </w:rPr>
        <w:t>R1,35 million</w:t>
      </w:r>
      <w:r w:rsidR="00C6347C" w:rsidRPr="00AF3755">
        <w:rPr>
          <w:rFonts w:ascii="Arial" w:hAnsi="Arial" w:cs="Arial"/>
          <w:sz w:val="20"/>
          <w:szCs w:val="20"/>
        </w:rPr>
        <w:t xml:space="preserve"> in 2020/21)</w:t>
      </w:r>
      <w:r w:rsidRPr="00AF3755">
        <w:rPr>
          <w:rFonts w:ascii="Arial" w:hAnsi="Arial" w:cs="Arial"/>
          <w:sz w:val="20"/>
          <w:szCs w:val="20"/>
        </w:rPr>
        <w:t>. The bulk of the underspending amount</w:t>
      </w:r>
      <w:r w:rsidR="00A825BE" w:rsidRPr="00AF3755">
        <w:rPr>
          <w:rFonts w:ascii="Arial" w:hAnsi="Arial" w:cs="Arial"/>
          <w:sz w:val="20"/>
          <w:szCs w:val="20"/>
        </w:rPr>
        <w:t>ed</w:t>
      </w:r>
      <w:r w:rsidRPr="00AF3755">
        <w:rPr>
          <w:rFonts w:ascii="Arial" w:hAnsi="Arial" w:cs="Arial"/>
          <w:sz w:val="20"/>
          <w:szCs w:val="20"/>
        </w:rPr>
        <w:t xml:space="preserve"> to </w:t>
      </w:r>
      <w:r w:rsidR="00FE2EEA" w:rsidRPr="00AF3755">
        <w:rPr>
          <w:rFonts w:ascii="Arial" w:hAnsi="Arial" w:cs="Arial"/>
          <w:sz w:val="20"/>
          <w:szCs w:val="20"/>
        </w:rPr>
        <w:t xml:space="preserve">R12,41 million </w:t>
      </w:r>
      <w:r w:rsidRPr="00AF3755">
        <w:rPr>
          <w:rFonts w:ascii="Arial" w:hAnsi="Arial" w:cs="Arial"/>
          <w:sz w:val="20"/>
          <w:szCs w:val="20"/>
        </w:rPr>
        <w:t>on compensation of employees and R</w:t>
      </w:r>
      <w:r w:rsidR="00FE2EEA" w:rsidRPr="00AF3755">
        <w:rPr>
          <w:rFonts w:ascii="Arial" w:hAnsi="Arial" w:cs="Arial"/>
          <w:sz w:val="20"/>
          <w:szCs w:val="20"/>
        </w:rPr>
        <w:t>9,08 million</w:t>
      </w:r>
      <w:r w:rsidRPr="00AF3755">
        <w:rPr>
          <w:rFonts w:ascii="Arial" w:hAnsi="Arial" w:cs="Arial"/>
          <w:sz w:val="20"/>
          <w:szCs w:val="20"/>
        </w:rPr>
        <w:t xml:space="preserve"> on goods and services, followed by R</w:t>
      </w:r>
      <w:r w:rsidR="00FE2EEA" w:rsidRPr="00AF3755">
        <w:rPr>
          <w:rFonts w:ascii="Arial" w:hAnsi="Arial" w:cs="Arial"/>
          <w:sz w:val="20"/>
          <w:szCs w:val="20"/>
        </w:rPr>
        <w:t xml:space="preserve">413 </w:t>
      </w:r>
      <w:r w:rsidRPr="00AF3755">
        <w:rPr>
          <w:rFonts w:ascii="Arial" w:hAnsi="Arial" w:cs="Arial"/>
          <w:sz w:val="20"/>
          <w:szCs w:val="20"/>
        </w:rPr>
        <w:t xml:space="preserve">000 in payments for capital assets. </w:t>
      </w:r>
    </w:p>
    <w:p w:rsidR="0042281C" w:rsidRPr="00AF3755" w:rsidRDefault="004332ED" w:rsidP="00AF3755">
      <w:p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 xml:space="preserve">The under-spending is due mainly to attrition posts that became vacant during the year </w:t>
      </w:r>
      <w:r w:rsidR="00A825BE" w:rsidRPr="00AF3755">
        <w:rPr>
          <w:rFonts w:ascii="Arial" w:hAnsi="Arial" w:cs="Arial"/>
          <w:sz w:val="20"/>
          <w:szCs w:val="20"/>
        </w:rPr>
        <w:t xml:space="preserve">and </w:t>
      </w:r>
      <w:r w:rsidRPr="00AF3755">
        <w:rPr>
          <w:rFonts w:ascii="Arial" w:hAnsi="Arial" w:cs="Arial"/>
          <w:sz w:val="20"/>
          <w:szCs w:val="20"/>
        </w:rPr>
        <w:t xml:space="preserve">could not be filled as projected and the concomitant savings on administrative expenditure and a delay in </w:t>
      </w:r>
      <w:r w:rsidRPr="00AF3755">
        <w:rPr>
          <w:rFonts w:ascii="Arial" w:hAnsi="Arial" w:cs="Arial"/>
          <w:sz w:val="20"/>
          <w:szCs w:val="20"/>
        </w:rPr>
        <w:lastRenderedPageBreak/>
        <w:t>artisan testing at INDLELA due to the COVID-19 pandemic. The low spending on computer equipment is due to the unavailability of computer equipment during the financial year. Virtual meetings, workshops and officials working from home replacing actual visits resulted in savings on travel and subsistence, printing and stationery.</w:t>
      </w:r>
    </w:p>
    <w:p w:rsidR="004332ED" w:rsidRPr="00AF3755" w:rsidRDefault="004332ED" w:rsidP="00AF3755">
      <w:pPr>
        <w:autoSpaceDE w:val="0"/>
        <w:autoSpaceDN w:val="0"/>
        <w:adjustRightInd w:val="0"/>
        <w:spacing w:after="0" w:line="240" w:lineRule="auto"/>
        <w:rPr>
          <w:rFonts w:ascii="Arial" w:hAnsi="Arial" w:cs="Arial"/>
          <w:b/>
          <w:sz w:val="20"/>
          <w:szCs w:val="20"/>
        </w:rPr>
      </w:pPr>
    </w:p>
    <w:p w:rsidR="00207C04" w:rsidRPr="00AF3755" w:rsidRDefault="00207C0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6: Community Education and Training (CET)</w:t>
      </w:r>
    </w:p>
    <w:p w:rsidR="0042281C" w:rsidRPr="00AF3755" w:rsidRDefault="0042281C"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purpose of this Programme is to plan, develop, implement, monitor, maintain and evaluate national policy, programme assessment practices and systems for community education and training. </w:t>
      </w:r>
    </w:p>
    <w:p w:rsidR="007F69BD" w:rsidRPr="00AF3755" w:rsidRDefault="007F69BD" w:rsidP="00AF3755">
      <w:pPr>
        <w:pStyle w:val="ListParagraph"/>
        <w:spacing w:after="0" w:line="240" w:lineRule="auto"/>
        <w:ind w:left="0"/>
        <w:rPr>
          <w:rFonts w:ascii="Arial" w:hAnsi="Arial" w:cs="Arial"/>
          <w:sz w:val="20"/>
          <w:szCs w:val="20"/>
        </w:rPr>
      </w:pPr>
    </w:p>
    <w:p w:rsidR="0042281C" w:rsidRPr="00AF3755" w:rsidRDefault="0042281C"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programme’s 202</w:t>
      </w:r>
      <w:r w:rsidR="00EA01ED" w:rsidRPr="00AF3755">
        <w:rPr>
          <w:rFonts w:ascii="Arial" w:hAnsi="Arial" w:cs="Arial"/>
          <w:sz w:val="20"/>
          <w:szCs w:val="20"/>
        </w:rPr>
        <w:t>1</w:t>
      </w:r>
      <w:r w:rsidRPr="00AF3755">
        <w:rPr>
          <w:rFonts w:ascii="Arial" w:hAnsi="Arial" w:cs="Arial"/>
          <w:sz w:val="20"/>
          <w:szCs w:val="20"/>
        </w:rPr>
        <w:t>/2</w:t>
      </w:r>
      <w:r w:rsidR="00EA01ED" w:rsidRPr="00AF3755">
        <w:rPr>
          <w:rFonts w:ascii="Arial" w:hAnsi="Arial" w:cs="Arial"/>
          <w:sz w:val="20"/>
          <w:szCs w:val="20"/>
        </w:rPr>
        <w:t>2</w:t>
      </w:r>
      <w:r w:rsidRPr="00AF3755">
        <w:rPr>
          <w:rFonts w:ascii="Arial" w:hAnsi="Arial" w:cs="Arial"/>
          <w:sz w:val="20"/>
          <w:szCs w:val="20"/>
        </w:rPr>
        <w:t xml:space="preserve"> final appropriation amounted to </w:t>
      </w:r>
      <w:r w:rsidR="00EA01ED" w:rsidRPr="00AF3755">
        <w:rPr>
          <w:rFonts w:ascii="Arial" w:hAnsi="Arial" w:cs="Arial"/>
          <w:sz w:val="20"/>
          <w:szCs w:val="20"/>
        </w:rPr>
        <w:t>R2,36 billion (</w:t>
      </w:r>
      <w:r w:rsidRPr="00AF3755">
        <w:rPr>
          <w:rFonts w:ascii="Arial" w:hAnsi="Arial" w:cs="Arial"/>
          <w:sz w:val="20"/>
          <w:szCs w:val="20"/>
        </w:rPr>
        <w:t>R2,25 billion</w:t>
      </w:r>
      <w:r w:rsidR="00EA01ED" w:rsidRPr="00AF3755">
        <w:rPr>
          <w:rFonts w:ascii="Arial" w:hAnsi="Arial" w:cs="Arial"/>
          <w:sz w:val="20"/>
          <w:szCs w:val="20"/>
        </w:rPr>
        <w:t xml:space="preserve"> in 2020/21)</w:t>
      </w:r>
      <w:r w:rsidRPr="00AF3755">
        <w:rPr>
          <w:rFonts w:ascii="Arial" w:hAnsi="Arial" w:cs="Arial"/>
          <w:sz w:val="20"/>
          <w:szCs w:val="20"/>
        </w:rPr>
        <w:t>. Expenditure at the end of the year amounted to R2,</w:t>
      </w:r>
      <w:r w:rsidR="00EA01ED" w:rsidRPr="00AF3755">
        <w:rPr>
          <w:rFonts w:ascii="Arial" w:hAnsi="Arial" w:cs="Arial"/>
          <w:sz w:val="20"/>
          <w:szCs w:val="20"/>
        </w:rPr>
        <w:t>18</w:t>
      </w:r>
      <w:r w:rsidRPr="00AF3755">
        <w:rPr>
          <w:rFonts w:ascii="Arial" w:hAnsi="Arial" w:cs="Arial"/>
          <w:sz w:val="20"/>
          <w:szCs w:val="20"/>
        </w:rPr>
        <w:t xml:space="preserve"> billion or </w:t>
      </w:r>
      <w:r w:rsidR="00EA01ED" w:rsidRPr="00AF3755">
        <w:rPr>
          <w:rFonts w:ascii="Arial" w:hAnsi="Arial" w:cs="Arial"/>
          <w:sz w:val="20"/>
          <w:szCs w:val="20"/>
        </w:rPr>
        <w:t>92.4 per cent</w:t>
      </w:r>
      <w:r w:rsidRPr="00AF3755">
        <w:rPr>
          <w:rFonts w:ascii="Arial" w:hAnsi="Arial" w:cs="Arial"/>
          <w:sz w:val="20"/>
          <w:szCs w:val="20"/>
        </w:rPr>
        <w:t xml:space="preserve"> against the available budget</w:t>
      </w:r>
      <w:r w:rsidR="00EA01ED" w:rsidRPr="00AF3755">
        <w:rPr>
          <w:rFonts w:ascii="Arial" w:hAnsi="Arial" w:cs="Arial"/>
          <w:sz w:val="20"/>
          <w:szCs w:val="20"/>
        </w:rPr>
        <w:t>. The programme recorded lower than projected spending amounting to R180,25 million</w:t>
      </w:r>
      <w:r w:rsidR="006004C2" w:rsidRPr="00AF3755">
        <w:rPr>
          <w:rFonts w:ascii="Arial" w:hAnsi="Arial" w:cs="Arial"/>
          <w:sz w:val="20"/>
          <w:szCs w:val="20"/>
        </w:rPr>
        <w:t xml:space="preserve">. </w:t>
      </w:r>
      <w:r w:rsidRPr="00AF3755">
        <w:rPr>
          <w:rFonts w:ascii="Arial" w:hAnsi="Arial" w:cs="Arial"/>
          <w:sz w:val="20"/>
          <w:szCs w:val="20"/>
        </w:rPr>
        <w:t>The bulk of the underspending amounting to R</w:t>
      </w:r>
      <w:r w:rsidR="00C31842" w:rsidRPr="00AF3755">
        <w:rPr>
          <w:rFonts w:ascii="Arial" w:hAnsi="Arial" w:cs="Arial"/>
          <w:sz w:val="20"/>
          <w:szCs w:val="20"/>
        </w:rPr>
        <w:t>171,79</w:t>
      </w:r>
      <w:r w:rsidRPr="00AF3755">
        <w:rPr>
          <w:rFonts w:ascii="Arial" w:hAnsi="Arial" w:cs="Arial"/>
          <w:sz w:val="20"/>
          <w:szCs w:val="20"/>
        </w:rPr>
        <w:t xml:space="preserve"> million was incurred in sub-programme 2: Community Education and Training Colleges System Planning, Institutional Development and Support, followed by sub-programme 4: Education, Training and Development Assessment at R5</w:t>
      </w:r>
      <w:r w:rsidR="00DA5BC7" w:rsidRPr="00AF3755">
        <w:rPr>
          <w:rFonts w:ascii="Arial" w:hAnsi="Arial" w:cs="Arial"/>
          <w:sz w:val="20"/>
          <w:szCs w:val="20"/>
        </w:rPr>
        <w:t>,58</w:t>
      </w:r>
      <w:r w:rsidRPr="00AF3755">
        <w:rPr>
          <w:rFonts w:ascii="Arial" w:hAnsi="Arial" w:cs="Arial"/>
          <w:sz w:val="20"/>
          <w:szCs w:val="20"/>
        </w:rPr>
        <w:t xml:space="preserve"> million. Underspending on compensation of employees amounted to R</w:t>
      </w:r>
      <w:r w:rsidR="00DA5BC7" w:rsidRPr="00AF3755">
        <w:rPr>
          <w:rFonts w:ascii="Arial" w:hAnsi="Arial" w:cs="Arial"/>
          <w:sz w:val="20"/>
          <w:szCs w:val="20"/>
        </w:rPr>
        <w:t>179,70</w:t>
      </w:r>
      <w:r w:rsidRPr="00AF3755">
        <w:rPr>
          <w:rFonts w:ascii="Arial" w:hAnsi="Arial" w:cs="Arial"/>
          <w:sz w:val="20"/>
          <w:szCs w:val="20"/>
        </w:rPr>
        <w:t xml:space="preserve"> million.</w:t>
      </w:r>
    </w:p>
    <w:p w:rsidR="00A24C68" w:rsidRPr="00AF3755" w:rsidRDefault="00A24C68" w:rsidP="00AF3755">
      <w:pPr>
        <w:pStyle w:val="ListParagraph"/>
        <w:spacing w:after="0" w:line="240" w:lineRule="auto"/>
        <w:ind w:left="0"/>
        <w:rPr>
          <w:rFonts w:ascii="Arial" w:hAnsi="Arial" w:cs="Arial"/>
          <w:sz w:val="20"/>
          <w:szCs w:val="20"/>
        </w:rPr>
      </w:pPr>
    </w:p>
    <w:p w:rsidR="00A24C68" w:rsidRPr="00AF3755" w:rsidRDefault="00A24C68" w:rsidP="00AF3755">
      <w:p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The underspending was due mainly to posts on the staff establishment of the Department that were not filled as projected and the implementation of the standardisation of lecturing posts not taking place as originally planned.</w:t>
      </w:r>
    </w:p>
    <w:p w:rsidR="0042281C" w:rsidRPr="00AF3755" w:rsidRDefault="0042281C" w:rsidP="00AF3755">
      <w:pPr>
        <w:pStyle w:val="ListParagraph"/>
        <w:spacing w:after="0" w:line="240" w:lineRule="auto"/>
        <w:ind w:left="0"/>
        <w:rPr>
          <w:rFonts w:ascii="Arial" w:hAnsi="Arial" w:cs="Arial"/>
          <w:b/>
          <w:sz w:val="20"/>
          <w:szCs w:val="20"/>
        </w:rPr>
      </w:pPr>
    </w:p>
    <w:p w:rsidR="00FE3F51" w:rsidRPr="00AF3755" w:rsidRDefault="00FE3F51"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Irregular, fruitless and wasteful and unauthorised expenditure incurred in the 2021/</w:t>
      </w:r>
      <w:r w:rsidR="00067E63" w:rsidRPr="00AF3755">
        <w:rPr>
          <w:rFonts w:ascii="Arial" w:hAnsi="Arial" w:cs="Arial"/>
          <w:b/>
          <w:sz w:val="20"/>
          <w:szCs w:val="20"/>
        </w:rPr>
        <w:t xml:space="preserve">22 </w:t>
      </w:r>
      <w:r w:rsidRPr="00AF3755">
        <w:rPr>
          <w:rFonts w:ascii="Arial" w:hAnsi="Arial" w:cs="Arial"/>
          <w:b/>
          <w:sz w:val="20"/>
          <w:szCs w:val="20"/>
        </w:rPr>
        <w:t xml:space="preserve">financial </w:t>
      </w:r>
      <w:r w:rsidR="00067E63" w:rsidRPr="00AF3755">
        <w:rPr>
          <w:rFonts w:ascii="Arial" w:hAnsi="Arial" w:cs="Arial"/>
          <w:b/>
          <w:sz w:val="20"/>
          <w:szCs w:val="20"/>
        </w:rPr>
        <w:t>year</w:t>
      </w:r>
    </w:p>
    <w:p w:rsidR="00F35523" w:rsidRPr="00AF3755" w:rsidRDefault="00F35523"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irregular expenditure opening balance for 2021/22 is R148</w:t>
      </w:r>
      <w:r w:rsidR="00067E63" w:rsidRPr="00AF3755">
        <w:rPr>
          <w:rFonts w:ascii="Arial" w:hAnsi="Arial" w:cs="Arial"/>
          <w:sz w:val="20"/>
          <w:szCs w:val="20"/>
        </w:rPr>
        <w:t>,</w:t>
      </w:r>
      <w:r w:rsidRPr="00AF3755">
        <w:rPr>
          <w:rFonts w:ascii="Arial" w:hAnsi="Arial" w:cs="Arial"/>
          <w:sz w:val="20"/>
          <w:szCs w:val="20"/>
        </w:rPr>
        <w:t>9 million. For the 2021/22 financial year, the Department incurred irregular expenditure amounting to R2</w:t>
      </w:r>
      <w:r w:rsidR="00067E63" w:rsidRPr="00AF3755">
        <w:rPr>
          <w:rFonts w:ascii="Arial" w:hAnsi="Arial" w:cs="Arial"/>
          <w:sz w:val="20"/>
          <w:szCs w:val="20"/>
        </w:rPr>
        <w:t>,</w:t>
      </w:r>
      <w:r w:rsidRPr="00AF3755">
        <w:rPr>
          <w:rFonts w:ascii="Arial" w:hAnsi="Arial" w:cs="Arial"/>
          <w:sz w:val="20"/>
          <w:szCs w:val="20"/>
        </w:rPr>
        <w:t xml:space="preserve">44 million due to non-compliance with legislation. Of this irregular expenditure, R955 000 was incurred due to correct procurement procedures not followed and R1,49 million was due to appointments made not in line with State Attorneys Act. </w:t>
      </w:r>
    </w:p>
    <w:p w:rsidR="00F35523" w:rsidRPr="00AF3755" w:rsidRDefault="00F35523" w:rsidP="00AF3755">
      <w:pPr>
        <w:spacing w:after="0" w:line="240" w:lineRule="auto"/>
        <w:rPr>
          <w:rFonts w:ascii="Arial" w:hAnsi="Arial" w:cs="Arial"/>
          <w:sz w:val="20"/>
          <w:szCs w:val="20"/>
        </w:rPr>
      </w:pPr>
      <w:r w:rsidRPr="00AF3755">
        <w:rPr>
          <w:rFonts w:ascii="Arial" w:hAnsi="Arial" w:cs="Arial"/>
          <w:sz w:val="20"/>
          <w:szCs w:val="20"/>
        </w:rPr>
        <w:t xml:space="preserve">Prior year amounts condoned </w:t>
      </w:r>
      <w:r w:rsidR="00067E63" w:rsidRPr="00AF3755">
        <w:rPr>
          <w:rFonts w:ascii="Arial" w:hAnsi="Arial" w:cs="Arial"/>
          <w:sz w:val="20"/>
          <w:szCs w:val="20"/>
        </w:rPr>
        <w:t xml:space="preserve">were </w:t>
      </w:r>
      <w:r w:rsidRPr="00AF3755">
        <w:rPr>
          <w:rFonts w:ascii="Arial" w:hAnsi="Arial" w:cs="Arial"/>
          <w:sz w:val="20"/>
          <w:szCs w:val="20"/>
        </w:rPr>
        <w:t>R5 000. Amounts not condoned and removed is R144</w:t>
      </w:r>
      <w:r w:rsidR="00067E63" w:rsidRPr="00AF3755">
        <w:rPr>
          <w:rFonts w:ascii="Arial" w:hAnsi="Arial" w:cs="Arial"/>
          <w:sz w:val="20"/>
          <w:szCs w:val="20"/>
        </w:rPr>
        <w:t>,</w:t>
      </w:r>
      <w:r w:rsidRPr="00AF3755">
        <w:rPr>
          <w:rFonts w:ascii="Arial" w:hAnsi="Arial" w:cs="Arial"/>
          <w:sz w:val="20"/>
          <w:szCs w:val="20"/>
        </w:rPr>
        <w:t>3 million. Irregular expenditure awaiting condonation is R6</w:t>
      </w:r>
      <w:r w:rsidR="00067E63" w:rsidRPr="00AF3755">
        <w:rPr>
          <w:rFonts w:ascii="Arial" w:hAnsi="Arial" w:cs="Arial"/>
          <w:sz w:val="20"/>
          <w:szCs w:val="20"/>
        </w:rPr>
        <w:t>,</w:t>
      </w:r>
      <w:r w:rsidRPr="00AF3755">
        <w:rPr>
          <w:rFonts w:ascii="Arial" w:hAnsi="Arial" w:cs="Arial"/>
          <w:sz w:val="20"/>
          <w:szCs w:val="20"/>
        </w:rPr>
        <w:t>9 million. Investigations into irregular expenditure cases of the previous financial years to the amount of R137</w:t>
      </w:r>
      <w:r w:rsidR="00067E63" w:rsidRPr="00AF3755">
        <w:rPr>
          <w:rFonts w:ascii="Arial" w:hAnsi="Arial" w:cs="Arial"/>
          <w:sz w:val="20"/>
          <w:szCs w:val="20"/>
        </w:rPr>
        <w:t>,</w:t>
      </w:r>
      <w:r w:rsidRPr="00AF3755">
        <w:rPr>
          <w:rFonts w:ascii="Arial" w:hAnsi="Arial" w:cs="Arial"/>
          <w:sz w:val="20"/>
          <w:szCs w:val="20"/>
        </w:rPr>
        <w:t xml:space="preserve">910 million have been concluded and approval was obtained to remove this expenditure in the 2021/22 financial year. </w:t>
      </w:r>
    </w:p>
    <w:p w:rsidR="000E1E53" w:rsidRPr="00AF3755" w:rsidRDefault="000E1E53"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the Department’s programme performance for the 2021/22 financial year</w:t>
      </w:r>
    </w:p>
    <w:p w:rsidR="000E1E53" w:rsidRPr="00AF3755" w:rsidRDefault="000E1E53"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Department’s Programmes, with their related achievement against the performance targets for the 202</w:t>
      </w:r>
      <w:r w:rsidR="003E37BB" w:rsidRPr="00AF3755">
        <w:rPr>
          <w:rFonts w:ascii="Arial" w:hAnsi="Arial" w:cs="Arial"/>
          <w:sz w:val="20"/>
          <w:szCs w:val="20"/>
        </w:rPr>
        <w:t>1</w:t>
      </w:r>
      <w:r w:rsidRPr="00AF3755">
        <w:rPr>
          <w:rFonts w:ascii="Arial" w:hAnsi="Arial" w:cs="Arial"/>
          <w:sz w:val="20"/>
          <w:szCs w:val="20"/>
        </w:rPr>
        <w:t>/2</w:t>
      </w:r>
      <w:r w:rsidR="003E37BB" w:rsidRPr="00AF3755">
        <w:rPr>
          <w:rFonts w:ascii="Arial" w:hAnsi="Arial" w:cs="Arial"/>
          <w:sz w:val="20"/>
          <w:szCs w:val="20"/>
        </w:rPr>
        <w:t>2</w:t>
      </w:r>
      <w:r w:rsidRPr="00AF3755">
        <w:rPr>
          <w:rFonts w:ascii="Arial" w:hAnsi="Arial" w:cs="Arial"/>
          <w:sz w:val="20"/>
          <w:szCs w:val="20"/>
        </w:rPr>
        <w:t xml:space="preserve"> financial year, are shown in Table 3. </w:t>
      </w:r>
    </w:p>
    <w:p w:rsidR="0031589B" w:rsidRPr="00AF3755" w:rsidRDefault="0031589B" w:rsidP="00AF3755">
      <w:pPr>
        <w:pStyle w:val="ListParagraph"/>
        <w:spacing w:after="0" w:line="240" w:lineRule="auto"/>
        <w:ind w:left="0"/>
        <w:rPr>
          <w:rFonts w:ascii="Arial" w:hAnsi="Arial" w:cs="Arial"/>
          <w:sz w:val="20"/>
          <w:szCs w:val="20"/>
        </w:rPr>
      </w:pPr>
    </w:p>
    <w:p w:rsidR="000E1E53" w:rsidRPr="00AF3755" w:rsidRDefault="000E1E53"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 xml:space="preserve">Table 3: The Department’s programme </w:t>
      </w:r>
      <w:r w:rsidR="00CE27E8" w:rsidRPr="00AF3755">
        <w:rPr>
          <w:rFonts w:ascii="Arial" w:hAnsi="Arial" w:cs="Arial"/>
          <w:b/>
          <w:sz w:val="20"/>
          <w:szCs w:val="20"/>
        </w:rPr>
        <w:t xml:space="preserve">non-financial </w:t>
      </w:r>
      <w:r w:rsidRPr="00AF3755">
        <w:rPr>
          <w:rFonts w:ascii="Arial" w:hAnsi="Arial" w:cs="Arial"/>
          <w:b/>
          <w:sz w:val="20"/>
          <w:szCs w:val="20"/>
        </w:rPr>
        <w:t>performance for the 2021/22 financial year</w:t>
      </w:r>
    </w:p>
    <w:tbl>
      <w:tblPr>
        <w:tblW w:w="9214"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552"/>
        <w:gridCol w:w="1534"/>
        <w:gridCol w:w="1273"/>
        <w:gridCol w:w="1195"/>
        <w:gridCol w:w="1195"/>
        <w:gridCol w:w="1465"/>
      </w:tblGrid>
      <w:tr w:rsidR="00B058FA" w:rsidRPr="00AF3755" w:rsidTr="00FE3F51">
        <w:trPr>
          <w:trHeight w:val="600"/>
        </w:trPr>
        <w:tc>
          <w:tcPr>
            <w:tcW w:w="2552" w:type="dxa"/>
            <w:tcBorders>
              <w:bottom w:val="single" w:sz="6" w:space="0" w:color="000000"/>
              <w:right w:val="single" w:sz="6" w:space="0" w:color="000000"/>
            </w:tcBorders>
            <w:shd w:val="clear" w:color="auto" w:fill="D6DCE4"/>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PROGRAMMES</w:t>
            </w:r>
          </w:p>
        </w:tc>
        <w:tc>
          <w:tcPr>
            <w:tcW w:w="1534" w:type="dxa"/>
            <w:tcBorders>
              <w:left w:val="single" w:sz="6" w:space="0" w:color="000000"/>
              <w:bottom w:val="single" w:sz="6" w:space="0" w:color="000000"/>
              <w:right w:val="single" w:sz="6" w:space="0" w:color="000000"/>
            </w:tcBorders>
            <w:shd w:val="clear" w:color="auto" w:fill="D6DCE4"/>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APP Targets 2021/22</w:t>
            </w:r>
          </w:p>
        </w:tc>
        <w:tc>
          <w:tcPr>
            <w:tcW w:w="1273" w:type="dxa"/>
            <w:tcBorders>
              <w:left w:val="single" w:sz="6" w:space="0" w:color="000000"/>
              <w:bottom w:val="single" w:sz="6" w:space="0" w:color="000000"/>
              <w:right w:val="single" w:sz="6" w:space="0" w:color="000000"/>
            </w:tcBorders>
            <w:shd w:val="clear" w:color="auto" w:fill="D6DCE4"/>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Achieved</w:t>
            </w:r>
          </w:p>
        </w:tc>
        <w:tc>
          <w:tcPr>
            <w:tcW w:w="1195" w:type="dxa"/>
            <w:tcBorders>
              <w:left w:val="single" w:sz="6" w:space="0" w:color="000000"/>
              <w:bottom w:val="single" w:sz="6" w:space="0" w:color="000000"/>
              <w:right w:val="single" w:sz="6" w:space="0" w:color="000000"/>
            </w:tcBorders>
            <w:shd w:val="clear" w:color="auto" w:fill="D6DCE4"/>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Not Achieved</w:t>
            </w:r>
          </w:p>
        </w:tc>
        <w:tc>
          <w:tcPr>
            <w:tcW w:w="1195" w:type="dxa"/>
            <w:tcBorders>
              <w:left w:val="single" w:sz="6" w:space="0" w:color="000000"/>
              <w:bottom w:val="single" w:sz="6" w:space="0" w:color="000000"/>
              <w:right w:val="single" w:sz="6" w:space="0" w:color="000000"/>
            </w:tcBorders>
            <w:shd w:val="clear" w:color="auto" w:fill="D6DCE4"/>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 Achieved</w:t>
            </w:r>
          </w:p>
        </w:tc>
        <w:tc>
          <w:tcPr>
            <w:tcW w:w="1465" w:type="dxa"/>
            <w:tcBorders>
              <w:left w:val="single" w:sz="6" w:space="0" w:color="000000"/>
              <w:bottom w:val="single" w:sz="6" w:space="0" w:color="000000"/>
            </w:tcBorders>
            <w:shd w:val="clear" w:color="auto" w:fill="D6DCE4"/>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 xml:space="preserve">% </w:t>
            </w:r>
          </w:p>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Budget Spent</w:t>
            </w:r>
          </w:p>
        </w:tc>
      </w:tr>
      <w:tr w:rsidR="008D3750" w:rsidRPr="00AF3755" w:rsidTr="00FE3F51">
        <w:trPr>
          <w:trHeight w:val="285"/>
        </w:trPr>
        <w:tc>
          <w:tcPr>
            <w:tcW w:w="255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 Administration</w:t>
            </w:r>
          </w:p>
        </w:tc>
        <w:tc>
          <w:tcPr>
            <w:tcW w:w="1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7</w:t>
            </w:r>
          </w:p>
        </w:tc>
        <w:tc>
          <w:tcPr>
            <w:tcW w:w="12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5</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2</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71.4%</w:t>
            </w:r>
          </w:p>
        </w:tc>
        <w:tc>
          <w:tcPr>
            <w:tcW w:w="146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92.0%</w:t>
            </w:r>
          </w:p>
        </w:tc>
      </w:tr>
      <w:tr w:rsidR="008D3750" w:rsidRPr="00AF3755" w:rsidTr="00FE3F51">
        <w:trPr>
          <w:trHeight w:val="285"/>
        </w:trPr>
        <w:tc>
          <w:tcPr>
            <w:tcW w:w="255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2. Planning, Policy and Strategy</w:t>
            </w:r>
          </w:p>
        </w:tc>
        <w:tc>
          <w:tcPr>
            <w:tcW w:w="1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p>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12</w:t>
            </w:r>
          </w:p>
        </w:tc>
        <w:tc>
          <w:tcPr>
            <w:tcW w:w="12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p>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9</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p>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3</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p>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75%</w:t>
            </w:r>
          </w:p>
        </w:tc>
        <w:tc>
          <w:tcPr>
            <w:tcW w:w="146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93.4%</w:t>
            </w:r>
          </w:p>
        </w:tc>
      </w:tr>
      <w:tr w:rsidR="008D3750" w:rsidRPr="00AF3755" w:rsidTr="00FE3F51">
        <w:trPr>
          <w:trHeight w:val="285"/>
        </w:trPr>
        <w:tc>
          <w:tcPr>
            <w:tcW w:w="255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3. University Education</w:t>
            </w:r>
          </w:p>
        </w:tc>
        <w:tc>
          <w:tcPr>
            <w:tcW w:w="1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25</w:t>
            </w:r>
          </w:p>
        </w:tc>
        <w:tc>
          <w:tcPr>
            <w:tcW w:w="12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17</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8</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68%</w:t>
            </w:r>
          </w:p>
        </w:tc>
        <w:tc>
          <w:tcPr>
            <w:tcW w:w="146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100.0%</w:t>
            </w:r>
          </w:p>
        </w:tc>
      </w:tr>
      <w:tr w:rsidR="008D3750" w:rsidRPr="00AF3755" w:rsidTr="00FE3F51">
        <w:trPr>
          <w:trHeight w:val="570"/>
        </w:trPr>
        <w:tc>
          <w:tcPr>
            <w:tcW w:w="255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4. Technical and Vocational Education and Training</w:t>
            </w:r>
          </w:p>
        </w:tc>
        <w:tc>
          <w:tcPr>
            <w:tcW w:w="1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17</w:t>
            </w:r>
          </w:p>
        </w:tc>
        <w:tc>
          <w:tcPr>
            <w:tcW w:w="12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13</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4</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76%</w:t>
            </w:r>
          </w:p>
        </w:tc>
        <w:tc>
          <w:tcPr>
            <w:tcW w:w="146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98.5%</w:t>
            </w:r>
          </w:p>
        </w:tc>
      </w:tr>
      <w:tr w:rsidR="008D3750" w:rsidRPr="00AF3755" w:rsidTr="00FE3F51">
        <w:trPr>
          <w:trHeight w:val="285"/>
        </w:trPr>
        <w:tc>
          <w:tcPr>
            <w:tcW w:w="255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5. Skills Development</w:t>
            </w:r>
          </w:p>
        </w:tc>
        <w:tc>
          <w:tcPr>
            <w:tcW w:w="1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11</w:t>
            </w:r>
          </w:p>
        </w:tc>
        <w:tc>
          <w:tcPr>
            <w:tcW w:w="12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6</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5</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55%</w:t>
            </w:r>
          </w:p>
        </w:tc>
        <w:tc>
          <w:tcPr>
            <w:tcW w:w="146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94.5%</w:t>
            </w:r>
          </w:p>
        </w:tc>
      </w:tr>
      <w:tr w:rsidR="008D3750" w:rsidRPr="00AF3755" w:rsidTr="00FE3F51">
        <w:trPr>
          <w:trHeight w:val="285"/>
        </w:trPr>
        <w:tc>
          <w:tcPr>
            <w:tcW w:w="255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6. Community Education and Training</w:t>
            </w:r>
          </w:p>
        </w:tc>
        <w:tc>
          <w:tcPr>
            <w:tcW w:w="153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15</w:t>
            </w:r>
          </w:p>
        </w:tc>
        <w:tc>
          <w:tcPr>
            <w:tcW w:w="12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14</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1</w:t>
            </w:r>
          </w:p>
        </w:tc>
        <w:tc>
          <w:tcPr>
            <w:tcW w:w="119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93%</w:t>
            </w:r>
          </w:p>
        </w:tc>
        <w:tc>
          <w:tcPr>
            <w:tcW w:w="1465"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8D3750" w:rsidRPr="00AF3755" w:rsidRDefault="008D3750" w:rsidP="00AF3755">
            <w:pPr>
              <w:spacing w:after="0" w:line="240" w:lineRule="auto"/>
              <w:rPr>
                <w:rFonts w:ascii="Arial" w:hAnsi="Arial" w:cs="Arial"/>
                <w:color w:val="000000"/>
                <w:sz w:val="20"/>
                <w:szCs w:val="20"/>
              </w:rPr>
            </w:pPr>
            <w:r w:rsidRPr="00AF3755">
              <w:rPr>
                <w:rFonts w:ascii="Arial" w:hAnsi="Arial" w:cs="Arial"/>
                <w:color w:val="000000"/>
                <w:sz w:val="20"/>
                <w:szCs w:val="20"/>
              </w:rPr>
              <w:t>92.2%</w:t>
            </w:r>
          </w:p>
        </w:tc>
      </w:tr>
      <w:tr w:rsidR="00B058FA" w:rsidRPr="00AF3755" w:rsidTr="00FE3F51">
        <w:trPr>
          <w:trHeight w:val="285"/>
        </w:trPr>
        <w:tc>
          <w:tcPr>
            <w:tcW w:w="2552"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p>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Total</w:t>
            </w:r>
          </w:p>
        </w:tc>
        <w:tc>
          <w:tcPr>
            <w:tcW w:w="1534"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8</w:t>
            </w:r>
            <w:r w:rsidR="0081446F" w:rsidRPr="00AF3755">
              <w:rPr>
                <w:rFonts w:ascii="Arial" w:hAnsi="Arial" w:cs="Arial"/>
                <w:b/>
                <w:bCs/>
                <w:color w:val="000000"/>
                <w:sz w:val="20"/>
                <w:szCs w:val="20"/>
              </w:rPr>
              <w:t>7</w:t>
            </w:r>
          </w:p>
        </w:tc>
        <w:tc>
          <w:tcPr>
            <w:tcW w:w="1273"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6</w:t>
            </w:r>
            <w:r w:rsidR="0081446F" w:rsidRPr="00AF3755">
              <w:rPr>
                <w:rFonts w:ascii="Arial" w:hAnsi="Arial" w:cs="Arial"/>
                <w:b/>
                <w:bCs/>
                <w:color w:val="000000"/>
                <w:sz w:val="20"/>
                <w:szCs w:val="20"/>
              </w:rPr>
              <w:t>4</w:t>
            </w:r>
          </w:p>
        </w:tc>
        <w:tc>
          <w:tcPr>
            <w:tcW w:w="1195"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2</w:t>
            </w:r>
            <w:r w:rsidR="0081446F" w:rsidRPr="00AF3755">
              <w:rPr>
                <w:rFonts w:ascii="Arial" w:hAnsi="Arial" w:cs="Arial"/>
                <w:b/>
                <w:bCs/>
                <w:color w:val="000000"/>
                <w:sz w:val="20"/>
                <w:szCs w:val="20"/>
              </w:rPr>
              <w:t>3</w:t>
            </w:r>
          </w:p>
        </w:tc>
        <w:tc>
          <w:tcPr>
            <w:tcW w:w="1195" w:type="dxa"/>
            <w:tcBorders>
              <w:top w:val="single" w:sz="6" w:space="0" w:color="000000"/>
              <w:left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7</w:t>
            </w:r>
            <w:r w:rsidR="0081446F" w:rsidRPr="00AF3755">
              <w:rPr>
                <w:rFonts w:ascii="Arial" w:hAnsi="Arial" w:cs="Arial"/>
                <w:b/>
                <w:bCs/>
                <w:color w:val="000000"/>
                <w:sz w:val="20"/>
                <w:szCs w:val="20"/>
              </w:rPr>
              <w:t>3.6</w:t>
            </w:r>
            <w:r w:rsidRPr="00AF3755">
              <w:rPr>
                <w:rFonts w:ascii="Arial" w:hAnsi="Arial" w:cs="Arial"/>
                <w:b/>
                <w:bCs/>
                <w:color w:val="000000"/>
                <w:sz w:val="20"/>
                <w:szCs w:val="20"/>
              </w:rPr>
              <w:t>%</w:t>
            </w:r>
          </w:p>
        </w:tc>
        <w:tc>
          <w:tcPr>
            <w:tcW w:w="1465" w:type="dxa"/>
            <w:tcBorders>
              <w:top w:val="single" w:sz="6" w:space="0" w:color="000000"/>
              <w:left w:val="single" w:sz="6" w:space="0" w:color="000000"/>
              <w:bottom w:val="single" w:sz="6" w:space="0" w:color="000000"/>
            </w:tcBorders>
            <w:shd w:val="clear" w:color="auto" w:fill="D9D9D9"/>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99.6%</w:t>
            </w:r>
          </w:p>
        </w:tc>
      </w:tr>
      <w:tr w:rsidR="00B058FA" w:rsidRPr="00AF3755" w:rsidTr="00FE3F51">
        <w:trPr>
          <w:trHeight w:val="300"/>
        </w:trPr>
        <w:tc>
          <w:tcPr>
            <w:tcW w:w="2552" w:type="dxa"/>
            <w:tcBorders>
              <w:top w:val="single" w:sz="6" w:space="0" w:color="000000"/>
              <w:right w:val="single" w:sz="6" w:space="0" w:color="000000"/>
            </w:tcBorders>
            <w:tcMar>
              <w:top w:w="8" w:type="dxa"/>
              <w:left w:w="108" w:type="dxa"/>
              <w:bottom w:w="8" w:type="dxa"/>
              <w:right w:w="108" w:type="dxa"/>
            </w:tcMar>
            <w:hideMark/>
          </w:tcPr>
          <w:p w:rsidR="00B058FA" w:rsidRPr="00AF3755" w:rsidRDefault="0081446F"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2020/21</w:t>
            </w:r>
          </w:p>
        </w:tc>
        <w:tc>
          <w:tcPr>
            <w:tcW w:w="4002" w:type="dxa"/>
            <w:gridSpan w:val="3"/>
            <w:tcBorders>
              <w:top w:val="single" w:sz="6" w:space="0" w:color="000000"/>
              <w:left w:val="single" w:sz="6" w:space="0" w:color="000000"/>
              <w:right w:val="single" w:sz="6" w:space="0" w:color="000000"/>
            </w:tcBorders>
            <w:tcMar>
              <w:top w:w="8" w:type="dxa"/>
              <w:left w:w="108" w:type="dxa"/>
              <w:bottom w:w="8" w:type="dxa"/>
              <w:right w:w="108" w:type="dxa"/>
            </w:tcMar>
          </w:tcPr>
          <w:p w:rsidR="00B058FA" w:rsidRPr="00AF3755" w:rsidRDefault="00B058FA" w:rsidP="00AF3755">
            <w:pPr>
              <w:spacing w:after="0" w:line="240" w:lineRule="auto"/>
              <w:rPr>
                <w:rFonts w:ascii="Arial" w:hAnsi="Arial" w:cs="Arial"/>
                <w:color w:val="000000"/>
                <w:sz w:val="20"/>
                <w:szCs w:val="20"/>
              </w:rPr>
            </w:pPr>
          </w:p>
        </w:tc>
        <w:tc>
          <w:tcPr>
            <w:tcW w:w="1195" w:type="dxa"/>
            <w:tcBorders>
              <w:top w:val="single" w:sz="6" w:space="0" w:color="000000"/>
              <w:left w:val="single" w:sz="6" w:space="0" w:color="000000"/>
              <w:right w:val="single" w:sz="6" w:space="0" w:color="000000"/>
            </w:tcBorders>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7</w:t>
            </w:r>
            <w:r w:rsidR="0081446F" w:rsidRPr="00AF3755">
              <w:rPr>
                <w:rFonts w:ascii="Arial" w:hAnsi="Arial" w:cs="Arial"/>
                <w:b/>
                <w:bCs/>
                <w:color w:val="000000"/>
                <w:sz w:val="20"/>
                <w:szCs w:val="20"/>
              </w:rPr>
              <w:t>0</w:t>
            </w:r>
            <w:r w:rsidRPr="00AF3755">
              <w:rPr>
                <w:rFonts w:ascii="Arial" w:hAnsi="Arial" w:cs="Arial"/>
                <w:b/>
                <w:bCs/>
                <w:color w:val="000000"/>
                <w:sz w:val="20"/>
                <w:szCs w:val="20"/>
              </w:rPr>
              <w:t>%</w:t>
            </w:r>
          </w:p>
        </w:tc>
        <w:tc>
          <w:tcPr>
            <w:tcW w:w="1465" w:type="dxa"/>
            <w:tcBorders>
              <w:top w:val="single" w:sz="6" w:space="0" w:color="000000"/>
              <w:left w:val="single" w:sz="6" w:space="0" w:color="000000"/>
            </w:tcBorders>
            <w:tcMar>
              <w:top w:w="8" w:type="dxa"/>
              <w:left w:w="108" w:type="dxa"/>
              <w:bottom w:w="8" w:type="dxa"/>
              <w:right w:w="108" w:type="dxa"/>
            </w:tcMar>
            <w:hideMark/>
          </w:tcPr>
          <w:p w:rsidR="00B058FA" w:rsidRPr="00AF3755" w:rsidRDefault="00B058FA"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99.</w:t>
            </w:r>
            <w:r w:rsidR="0081446F" w:rsidRPr="00AF3755">
              <w:rPr>
                <w:rFonts w:ascii="Arial" w:hAnsi="Arial" w:cs="Arial"/>
                <w:b/>
                <w:bCs/>
                <w:color w:val="000000"/>
                <w:sz w:val="20"/>
                <w:szCs w:val="20"/>
              </w:rPr>
              <w:t>6</w:t>
            </w:r>
            <w:r w:rsidRPr="00AF3755">
              <w:rPr>
                <w:rFonts w:ascii="Arial" w:hAnsi="Arial" w:cs="Arial"/>
                <w:b/>
                <w:bCs/>
                <w:color w:val="000000"/>
                <w:sz w:val="20"/>
                <w:szCs w:val="20"/>
              </w:rPr>
              <w:t>%</w:t>
            </w:r>
          </w:p>
        </w:tc>
      </w:tr>
    </w:tbl>
    <w:p w:rsidR="00B058FA" w:rsidRPr="00AF3755" w:rsidRDefault="00B058FA" w:rsidP="00AF3755">
      <w:pPr>
        <w:pStyle w:val="ListParagraph"/>
        <w:spacing w:after="0" w:line="240" w:lineRule="auto"/>
        <w:ind w:left="0"/>
        <w:rPr>
          <w:rFonts w:ascii="Arial" w:hAnsi="Arial" w:cs="Arial"/>
          <w:b/>
          <w:sz w:val="20"/>
          <w:szCs w:val="20"/>
        </w:rPr>
      </w:pPr>
    </w:p>
    <w:p w:rsidR="00D666A5" w:rsidRPr="00AF3755" w:rsidRDefault="00FE5FCD" w:rsidP="00AF3755">
      <w:pPr>
        <w:spacing w:after="0" w:line="240" w:lineRule="auto"/>
        <w:rPr>
          <w:rFonts w:ascii="Arial" w:hAnsi="Arial" w:cs="Arial"/>
          <w:sz w:val="20"/>
          <w:szCs w:val="20"/>
        </w:rPr>
      </w:pPr>
      <w:r w:rsidRPr="00AF3755">
        <w:rPr>
          <w:rFonts w:ascii="Arial" w:hAnsi="Arial" w:cs="Arial"/>
          <w:sz w:val="20"/>
          <w:szCs w:val="20"/>
        </w:rPr>
        <w:t>During the period under review</w:t>
      </w:r>
      <w:r w:rsidR="00D666A5" w:rsidRPr="00AF3755">
        <w:rPr>
          <w:rFonts w:ascii="Arial" w:hAnsi="Arial" w:cs="Arial"/>
          <w:sz w:val="20"/>
          <w:szCs w:val="20"/>
        </w:rPr>
        <w:t>, the Department’s total consolidated predetermined targets were 1</w:t>
      </w:r>
      <w:r w:rsidRPr="00AF3755">
        <w:rPr>
          <w:rFonts w:ascii="Arial" w:hAnsi="Arial" w:cs="Arial"/>
          <w:sz w:val="20"/>
          <w:szCs w:val="20"/>
        </w:rPr>
        <w:t>23</w:t>
      </w:r>
      <w:r w:rsidR="00D666A5" w:rsidRPr="00AF3755">
        <w:rPr>
          <w:rFonts w:ascii="Arial" w:hAnsi="Arial" w:cs="Arial"/>
          <w:sz w:val="20"/>
          <w:szCs w:val="20"/>
        </w:rPr>
        <w:t>. Of this, 8</w:t>
      </w:r>
      <w:r w:rsidRPr="00AF3755">
        <w:rPr>
          <w:rFonts w:ascii="Arial" w:hAnsi="Arial" w:cs="Arial"/>
          <w:sz w:val="20"/>
          <w:szCs w:val="20"/>
        </w:rPr>
        <w:t>7</w:t>
      </w:r>
      <w:r w:rsidR="00D666A5" w:rsidRPr="00AF3755">
        <w:rPr>
          <w:rFonts w:ascii="Arial" w:hAnsi="Arial" w:cs="Arial"/>
          <w:sz w:val="20"/>
          <w:szCs w:val="20"/>
        </w:rPr>
        <w:t xml:space="preserve"> were the Departmental direct outputs and </w:t>
      </w:r>
      <w:r w:rsidRPr="00AF3755">
        <w:rPr>
          <w:rFonts w:ascii="Arial" w:hAnsi="Arial" w:cs="Arial"/>
          <w:sz w:val="20"/>
          <w:szCs w:val="20"/>
        </w:rPr>
        <w:t>36</w:t>
      </w:r>
      <w:r w:rsidR="00D666A5" w:rsidRPr="00AF3755">
        <w:rPr>
          <w:rFonts w:ascii="Arial" w:hAnsi="Arial" w:cs="Arial"/>
          <w:sz w:val="20"/>
          <w:szCs w:val="20"/>
        </w:rPr>
        <w:t xml:space="preserve"> system targets</w:t>
      </w:r>
      <w:r w:rsidRPr="00AF3755">
        <w:rPr>
          <w:rFonts w:ascii="Arial" w:hAnsi="Arial" w:cs="Arial"/>
          <w:sz w:val="20"/>
          <w:szCs w:val="20"/>
        </w:rPr>
        <w:t xml:space="preserve"> (shared amongst the</w:t>
      </w:r>
      <w:r w:rsidR="00D666A5" w:rsidRPr="00AF3755">
        <w:rPr>
          <w:rFonts w:ascii="Arial" w:hAnsi="Arial" w:cs="Arial"/>
          <w:sz w:val="20"/>
          <w:szCs w:val="20"/>
        </w:rPr>
        <w:t xml:space="preserve"> four delivery budget programme</w:t>
      </w:r>
      <w:r w:rsidRPr="00AF3755">
        <w:rPr>
          <w:rFonts w:ascii="Arial" w:hAnsi="Arial" w:cs="Arial"/>
          <w:sz w:val="20"/>
          <w:szCs w:val="20"/>
        </w:rPr>
        <w:t>s</w:t>
      </w:r>
      <w:r w:rsidR="00D666A5" w:rsidRPr="00AF3755">
        <w:rPr>
          <w:rFonts w:ascii="Arial" w:hAnsi="Arial" w:cs="Arial"/>
          <w:sz w:val="20"/>
          <w:szCs w:val="20"/>
        </w:rPr>
        <w:t>, namely, University Education, TVET, and Skills Development and CET</w:t>
      </w:r>
      <w:r w:rsidRPr="00AF3755">
        <w:rPr>
          <w:rFonts w:ascii="Arial" w:hAnsi="Arial" w:cs="Arial"/>
          <w:sz w:val="20"/>
          <w:szCs w:val="20"/>
        </w:rPr>
        <w:t xml:space="preserve">). </w:t>
      </w:r>
      <w:r w:rsidRPr="00AF3755">
        <w:rPr>
          <w:rFonts w:ascii="Arial" w:hAnsi="Arial" w:cs="Arial"/>
          <w:sz w:val="20"/>
          <w:szCs w:val="20"/>
        </w:rPr>
        <w:lastRenderedPageBreak/>
        <w:t>The Department achieved 64</w:t>
      </w:r>
      <w:r w:rsidR="00D666A5" w:rsidRPr="00AF3755">
        <w:rPr>
          <w:rFonts w:ascii="Arial" w:hAnsi="Arial" w:cs="Arial"/>
          <w:sz w:val="20"/>
          <w:szCs w:val="20"/>
        </w:rPr>
        <w:t xml:space="preserve"> </w:t>
      </w:r>
      <w:r w:rsidRPr="00AF3755">
        <w:rPr>
          <w:rFonts w:ascii="Arial" w:hAnsi="Arial" w:cs="Arial"/>
          <w:sz w:val="20"/>
          <w:szCs w:val="20"/>
        </w:rPr>
        <w:t xml:space="preserve">or 73.6 per cent </w:t>
      </w:r>
      <w:r w:rsidR="00D666A5" w:rsidRPr="00AF3755">
        <w:rPr>
          <w:rFonts w:ascii="Arial" w:hAnsi="Arial" w:cs="Arial"/>
          <w:sz w:val="20"/>
          <w:szCs w:val="20"/>
        </w:rPr>
        <w:t>of 8</w:t>
      </w:r>
      <w:r w:rsidRPr="00AF3755">
        <w:rPr>
          <w:rFonts w:ascii="Arial" w:hAnsi="Arial" w:cs="Arial"/>
          <w:sz w:val="20"/>
          <w:szCs w:val="20"/>
        </w:rPr>
        <w:t>7</w:t>
      </w:r>
      <w:r w:rsidR="00D666A5" w:rsidRPr="00AF3755">
        <w:rPr>
          <w:rFonts w:ascii="Arial" w:hAnsi="Arial" w:cs="Arial"/>
          <w:sz w:val="20"/>
          <w:szCs w:val="20"/>
        </w:rPr>
        <w:t xml:space="preserve"> direct </w:t>
      </w:r>
      <w:r w:rsidRPr="00AF3755">
        <w:rPr>
          <w:rFonts w:ascii="Arial" w:hAnsi="Arial" w:cs="Arial"/>
          <w:sz w:val="20"/>
          <w:szCs w:val="20"/>
        </w:rPr>
        <w:t xml:space="preserve">outputs. The overall performance increased by 3.6 per cent from 70 per cent </w:t>
      </w:r>
      <w:r w:rsidR="00067E63" w:rsidRPr="00AF3755">
        <w:rPr>
          <w:rFonts w:ascii="Arial" w:hAnsi="Arial" w:cs="Arial"/>
          <w:sz w:val="20"/>
          <w:szCs w:val="20"/>
        </w:rPr>
        <w:t xml:space="preserve">in </w:t>
      </w:r>
      <w:r w:rsidR="00D666A5" w:rsidRPr="00AF3755">
        <w:rPr>
          <w:rFonts w:ascii="Arial" w:hAnsi="Arial" w:cs="Arial"/>
          <w:sz w:val="20"/>
          <w:szCs w:val="20"/>
        </w:rPr>
        <w:t>2020</w:t>
      </w:r>
      <w:r w:rsidRPr="00AF3755">
        <w:rPr>
          <w:rFonts w:ascii="Arial" w:hAnsi="Arial" w:cs="Arial"/>
          <w:sz w:val="20"/>
          <w:szCs w:val="20"/>
        </w:rPr>
        <w:t>/21</w:t>
      </w:r>
      <w:r w:rsidR="00D666A5" w:rsidRPr="00AF3755">
        <w:rPr>
          <w:rFonts w:ascii="Arial" w:hAnsi="Arial" w:cs="Arial"/>
          <w:sz w:val="20"/>
          <w:szCs w:val="20"/>
        </w:rPr>
        <w:t xml:space="preserve">. </w:t>
      </w:r>
      <w:r w:rsidR="008570FF" w:rsidRPr="00AF3755">
        <w:rPr>
          <w:rFonts w:ascii="Arial" w:hAnsi="Arial" w:cs="Arial"/>
          <w:sz w:val="20"/>
          <w:szCs w:val="20"/>
        </w:rPr>
        <w:t xml:space="preserve">In terms of the system targets, the Department achieved 17 or 47.2 per cent of the 36 planned targets, recording an increase of 13.2 per cent from 43 per cent in 2020/21. </w:t>
      </w:r>
      <w:r w:rsidR="00D666A5" w:rsidRPr="00AF3755">
        <w:rPr>
          <w:rFonts w:ascii="Arial" w:hAnsi="Arial" w:cs="Arial"/>
          <w:sz w:val="20"/>
          <w:szCs w:val="20"/>
        </w:rPr>
        <w:t xml:space="preserve">Of concern to note is that programme 5: Skills Development has not achieved </w:t>
      </w:r>
      <w:r w:rsidR="008570FF" w:rsidRPr="00AF3755">
        <w:rPr>
          <w:rFonts w:ascii="Arial" w:hAnsi="Arial" w:cs="Arial"/>
          <w:sz w:val="20"/>
          <w:szCs w:val="20"/>
        </w:rPr>
        <w:t>most of the MTSF-</w:t>
      </w:r>
      <w:r w:rsidR="00D666A5" w:rsidRPr="00AF3755">
        <w:rPr>
          <w:rFonts w:ascii="Arial" w:hAnsi="Arial" w:cs="Arial"/>
          <w:sz w:val="20"/>
          <w:szCs w:val="20"/>
        </w:rPr>
        <w:t xml:space="preserve">related targets. </w:t>
      </w:r>
      <w:r w:rsidR="00C5460F" w:rsidRPr="00AF3755">
        <w:rPr>
          <w:rFonts w:ascii="Arial" w:hAnsi="Arial" w:cs="Arial"/>
          <w:sz w:val="20"/>
          <w:szCs w:val="20"/>
        </w:rPr>
        <w:t>Notably, p</w:t>
      </w:r>
      <w:r w:rsidR="00D666A5" w:rsidRPr="00AF3755">
        <w:rPr>
          <w:rFonts w:ascii="Arial" w:hAnsi="Arial" w:cs="Arial"/>
          <w:sz w:val="20"/>
          <w:szCs w:val="20"/>
        </w:rPr>
        <w:t xml:space="preserve">rogrammes 3 and 4, University Education and TVET have also recorded </w:t>
      </w:r>
      <w:r w:rsidR="00C5460F" w:rsidRPr="00AF3755">
        <w:rPr>
          <w:rFonts w:ascii="Arial" w:hAnsi="Arial" w:cs="Arial"/>
          <w:sz w:val="20"/>
          <w:szCs w:val="20"/>
        </w:rPr>
        <w:t>improvements</w:t>
      </w:r>
      <w:r w:rsidR="00D666A5" w:rsidRPr="00AF3755">
        <w:rPr>
          <w:rFonts w:ascii="Arial" w:hAnsi="Arial" w:cs="Arial"/>
          <w:sz w:val="20"/>
          <w:szCs w:val="20"/>
        </w:rPr>
        <w:t xml:space="preserve"> in their system targets performance compared to </w:t>
      </w:r>
      <w:r w:rsidR="00C5460F" w:rsidRPr="00AF3755">
        <w:rPr>
          <w:rFonts w:ascii="Arial" w:hAnsi="Arial" w:cs="Arial"/>
          <w:sz w:val="20"/>
          <w:szCs w:val="20"/>
        </w:rPr>
        <w:t>2020/21</w:t>
      </w:r>
      <w:r w:rsidR="00D666A5" w:rsidRPr="00AF3755">
        <w:rPr>
          <w:rFonts w:ascii="Arial" w:hAnsi="Arial" w:cs="Arial"/>
          <w:sz w:val="20"/>
          <w:szCs w:val="20"/>
        </w:rPr>
        <w:t xml:space="preserve">. </w:t>
      </w:r>
    </w:p>
    <w:p w:rsidR="000E1E53" w:rsidRPr="00AF3755" w:rsidRDefault="00CE27E8"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Non-financial performance per programme</w:t>
      </w:r>
    </w:p>
    <w:p w:rsidR="00CE27E8" w:rsidRPr="00AF3755" w:rsidRDefault="00CE27E8"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1: Administration</w:t>
      </w:r>
    </w:p>
    <w:p w:rsidR="00115211" w:rsidRPr="00AF3755" w:rsidRDefault="00115211"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programme had seven (7) targets for </w:t>
      </w:r>
      <w:r w:rsidR="00F93A94" w:rsidRPr="00AF3755">
        <w:rPr>
          <w:rFonts w:ascii="Arial" w:hAnsi="Arial" w:cs="Arial"/>
          <w:sz w:val="20"/>
          <w:szCs w:val="20"/>
        </w:rPr>
        <w:t xml:space="preserve">the </w:t>
      </w:r>
      <w:r w:rsidRPr="00AF3755">
        <w:rPr>
          <w:rFonts w:ascii="Arial" w:hAnsi="Arial" w:cs="Arial"/>
          <w:sz w:val="20"/>
          <w:szCs w:val="20"/>
        </w:rPr>
        <w:t>202</w:t>
      </w:r>
      <w:r w:rsidR="00F93A94" w:rsidRPr="00AF3755">
        <w:rPr>
          <w:rFonts w:ascii="Arial" w:hAnsi="Arial" w:cs="Arial"/>
          <w:sz w:val="20"/>
          <w:szCs w:val="20"/>
        </w:rPr>
        <w:t>1</w:t>
      </w:r>
      <w:r w:rsidRPr="00AF3755">
        <w:rPr>
          <w:rFonts w:ascii="Arial" w:hAnsi="Arial" w:cs="Arial"/>
          <w:sz w:val="20"/>
          <w:szCs w:val="20"/>
        </w:rPr>
        <w:t>/2</w:t>
      </w:r>
      <w:r w:rsidR="00F93A94" w:rsidRPr="00AF3755">
        <w:rPr>
          <w:rFonts w:ascii="Arial" w:hAnsi="Arial" w:cs="Arial"/>
          <w:sz w:val="20"/>
          <w:szCs w:val="20"/>
        </w:rPr>
        <w:t>2 financial year. The programme achieved five</w:t>
      </w:r>
      <w:r w:rsidRPr="00AF3755">
        <w:rPr>
          <w:rFonts w:ascii="Arial" w:hAnsi="Arial" w:cs="Arial"/>
          <w:sz w:val="20"/>
          <w:szCs w:val="20"/>
        </w:rPr>
        <w:t xml:space="preserve"> </w:t>
      </w:r>
      <w:r w:rsidR="00F93A94" w:rsidRPr="00AF3755">
        <w:rPr>
          <w:rFonts w:ascii="Arial" w:hAnsi="Arial" w:cs="Arial"/>
          <w:sz w:val="20"/>
          <w:szCs w:val="20"/>
        </w:rPr>
        <w:t xml:space="preserve">or </w:t>
      </w:r>
      <w:r w:rsidRPr="00AF3755">
        <w:rPr>
          <w:rFonts w:ascii="Arial" w:hAnsi="Arial" w:cs="Arial"/>
          <w:sz w:val="20"/>
          <w:szCs w:val="20"/>
        </w:rPr>
        <w:t>(7</w:t>
      </w:r>
      <w:r w:rsidR="00F93A94" w:rsidRPr="00AF3755">
        <w:rPr>
          <w:rFonts w:ascii="Arial" w:hAnsi="Arial" w:cs="Arial"/>
          <w:sz w:val="20"/>
          <w:szCs w:val="20"/>
        </w:rPr>
        <w:t>1.4</w:t>
      </w:r>
      <w:r w:rsidR="00067E63" w:rsidRPr="00AF3755">
        <w:rPr>
          <w:rFonts w:ascii="Arial" w:hAnsi="Arial" w:cs="Arial"/>
          <w:sz w:val="20"/>
          <w:szCs w:val="20"/>
        </w:rPr>
        <w:t xml:space="preserve"> per cent</w:t>
      </w:r>
      <w:r w:rsidRPr="00AF3755">
        <w:rPr>
          <w:rFonts w:ascii="Arial" w:hAnsi="Arial" w:cs="Arial"/>
          <w:sz w:val="20"/>
          <w:szCs w:val="20"/>
        </w:rPr>
        <w:t xml:space="preserve">) </w:t>
      </w:r>
      <w:r w:rsidR="00F93A94" w:rsidRPr="00AF3755">
        <w:rPr>
          <w:rFonts w:ascii="Arial" w:hAnsi="Arial" w:cs="Arial"/>
          <w:sz w:val="20"/>
          <w:szCs w:val="20"/>
        </w:rPr>
        <w:t>of the seven targets</w:t>
      </w:r>
      <w:r w:rsidRPr="00AF3755">
        <w:rPr>
          <w:rFonts w:ascii="Arial" w:hAnsi="Arial" w:cs="Arial"/>
          <w:sz w:val="20"/>
          <w:szCs w:val="20"/>
        </w:rPr>
        <w:t>.</w:t>
      </w:r>
      <w:r w:rsidR="00F93A94" w:rsidRPr="00AF3755">
        <w:rPr>
          <w:rFonts w:ascii="Arial" w:hAnsi="Arial" w:cs="Arial"/>
          <w:sz w:val="20"/>
          <w:szCs w:val="20"/>
        </w:rPr>
        <w:t xml:space="preserve"> The programme’s performance improved by 15.4 per cent from 57 per cent in 2020/21.</w:t>
      </w:r>
    </w:p>
    <w:p w:rsidR="00F93A94" w:rsidRPr="00AF3755" w:rsidRDefault="00F93A94" w:rsidP="00AF3755">
      <w:pPr>
        <w:pStyle w:val="ListParagraph"/>
        <w:spacing w:after="0" w:line="240" w:lineRule="auto"/>
        <w:ind w:left="0"/>
        <w:rPr>
          <w:rFonts w:ascii="Arial" w:hAnsi="Arial" w:cs="Arial"/>
          <w:sz w:val="20"/>
          <w:szCs w:val="20"/>
        </w:rPr>
      </w:pPr>
    </w:p>
    <w:p w:rsidR="00DF718F" w:rsidRPr="00AF3755" w:rsidRDefault="00DF718F"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 xml:space="preserve">Selected key achievements </w:t>
      </w:r>
    </w:p>
    <w:p w:rsidR="0049017A" w:rsidRPr="00AF3755" w:rsidRDefault="00685832" w:rsidP="00AF3755">
      <w:pPr>
        <w:pStyle w:val="ListParagraph"/>
        <w:numPr>
          <w:ilvl w:val="0"/>
          <w:numId w:val="56"/>
        </w:numPr>
        <w:spacing w:after="0" w:line="240" w:lineRule="auto"/>
        <w:rPr>
          <w:rFonts w:ascii="Arial" w:hAnsi="Arial" w:cs="Arial"/>
          <w:sz w:val="20"/>
          <w:szCs w:val="20"/>
        </w:rPr>
      </w:pPr>
      <w:r w:rsidRPr="00AF3755">
        <w:rPr>
          <w:rFonts w:ascii="Arial" w:hAnsi="Arial" w:cs="Arial"/>
          <w:sz w:val="20"/>
          <w:szCs w:val="20"/>
        </w:rPr>
        <w:t>Determination tests on irregular, fruitless and wasteful expenditure concluded within 12 months (achieved 100</w:t>
      </w:r>
      <w:r w:rsidR="00067E63" w:rsidRPr="00AF3755">
        <w:rPr>
          <w:rFonts w:ascii="Arial" w:hAnsi="Arial" w:cs="Arial"/>
          <w:sz w:val="20"/>
          <w:szCs w:val="20"/>
        </w:rPr>
        <w:t xml:space="preserve"> per cent</w:t>
      </w:r>
      <w:r w:rsidRPr="00AF3755">
        <w:rPr>
          <w:rFonts w:ascii="Arial" w:hAnsi="Arial" w:cs="Arial"/>
          <w:sz w:val="20"/>
          <w:szCs w:val="20"/>
        </w:rPr>
        <w:t>).</w:t>
      </w:r>
    </w:p>
    <w:p w:rsidR="00685832" w:rsidRPr="00AF3755" w:rsidRDefault="00685832" w:rsidP="00AF3755">
      <w:pPr>
        <w:pStyle w:val="ListParagraph"/>
        <w:numPr>
          <w:ilvl w:val="0"/>
          <w:numId w:val="56"/>
        </w:numPr>
        <w:spacing w:after="0" w:line="240" w:lineRule="auto"/>
        <w:rPr>
          <w:rFonts w:ascii="Arial" w:hAnsi="Arial" w:cs="Arial"/>
          <w:sz w:val="20"/>
          <w:szCs w:val="20"/>
        </w:rPr>
      </w:pPr>
      <w:r w:rsidRPr="00AF3755">
        <w:rPr>
          <w:rFonts w:ascii="Arial" w:hAnsi="Arial" w:cs="Arial"/>
          <w:sz w:val="20"/>
          <w:szCs w:val="20"/>
        </w:rPr>
        <w:t>Percentage (80</w:t>
      </w:r>
      <w:r w:rsidR="00067E63" w:rsidRPr="00AF3755">
        <w:rPr>
          <w:rFonts w:ascii="Arial" w:hAnsi="Arial" w:cs="Arial"/>
          <w:sz w:val="20"/>
          <w:szCs w:val="20"/>
        </w:rPr>
        <w:t xml:space="preserve"> per cent</w:t>
      </w:r>
      <w:r w:rsidRPr="00AF3755">
        <w:rPr>
          <w:rFonts w:ascii="Arial" w:hAnsi="Arial" w:cs="Arial"/>
          <w:sz w:val="20"/>
          <w:szCs w:val="20"/>
        </w:rPr>
        <w:t>) of disciplinary cases resolved within 90 days per annum (achieved 87</w:t>
      </w:r>
      <w:r w:rsidR="00067E63" w:rsidRPr="00AF3755">
        <w:rPr>
          <w:rFonts w:ascii="Arial" w:hAnsi="Arial" w:cs="Arial"/>
          <w:sz w:val="20"/>
          <w:szCs w:val="20"/>
        </w:rPr>
        <w:t xml:space="preserve"> per cent</w:t>
      </w:r>
      <w:r w:rsidRPr="00AF3755">
        <w:rPr>
          <w:rFonts w:ascii="Arial" w:hAnsi="Arial" w:cs="Arial"/>
          <w:sz w:val="20"/>
          <w:szCs w:val="20"/>
        </w:rPr>
        <w:t>)</w:t>
      </w:r>
    </w:p>
    <w:p w:rsidR="00685832" w:rsidRPr="00AF3755" w:rsidRDefault="00685832" w:rsidP="00AF3755">
      <w:pPr>
        <w:pStyle w:val="ListParagraph"/>
        <w:numPr>
          <w:ilvl w:val="0"/>
          <w:numId w:val="56"/>
        </w:numPr>
        <w:spacing w:after="0" w:line="240" w:lineRule="auto"/>
        <w:rPr>
          <w:rFonts w:ascii="Arial" w:hAnsi="Arial" w:cs="Arial"/>
          <w:sz w:val="20"/>
          <w:szCs w:val="20"/>
        </w:rPr>
      </w:pPr>
      <w:r w:rsidRPr="00AF3755">
        <w:rPr>
          <w:rFonts w:ascii="Arial" w:hAnsi="Arial" w:cs="Arial"/>
          <w:sz w:val="20"/>
          <w:szCs w:val="20"/>
        </w:rPr>
        <w:t>Average number (180 days) of days to fill an advertised post per annum (achieved 170 days).</w:t>
      </w:r>
    </w:p>
    <w:p w:rsidR="00685832" w:rsidRPr="00AF3755" w:rsidRDefault="00685832" w:rsidP="00AF3755">
      <w:pPr>
        <w:spacing w:after="0" w:line="240" w:lineRule="auto"/>
        <w:rPr>
          <w:rFonts w:ascii="Arial" w:hAnsi="Arial" w:cs="Arial"/>
          <w:b/>
          <w:sz w:val="20"/>
          <w:szCs w:val="20"/>
        </w:rPr>
      </w:pPr>
      <w:r w:rsidRPr="00AF3755">
        <w:rPr>
          <w:rFonts w:ascii="Arial" w:hAnsi="Arial" w:cs="Arial"/>
          <w:b/>
          <w:sz w:val="20"/>
          <w:szCs w:val="20"/>
        </w:rPr>
        <w:t>Targets not achieved</w:t>
      </w:r>
    </w:p>
    <w:p w:rsidR="001028F1" w:rsidRPr="00AF3755" w:rsidRDefault="001028F1" w:rsidP="00AF3755">
      <w:pPr>
        <w:numPr>
          <w:ilvl w:val="0"/>
          <w:numId w:val="57"/>
        </w:numPr>
        <w:pBdr>
          <w:left w:val="none" w:sz="0" w:space="1" w:color="auto"/>
        </w:pBdr>
        <w:spacing w:after="0" w:line="240" w:lineRule="auto"/>
        <w:ind w:left="360"/>
        <w:rPr>
          <w:rFonts w:ascii="Arial" w:eastAsia="serif" w:hAnsi="Arial" w:cs="Arial"/>
          <w:sz w:val="20"/>
          <w:szCs w:val="20"/>
        </w:rPr>
      </w:pPr>
      <w:r w:rsidRPr="00AF3755">
        <w:rPr>
          <w:rFonts w:ascii="Arial" w:hAnsi="Arial" w:cs="Arial"/>
          <w:sz w:val="20"/>
          <w:szCs w:val="20"/>
        </w:rPr>
        <w:t xml:space="preserve">Percentage </w:t>
      </w:r>
      <w:r w:rsidR="00022977" w:rsidRPr="00AF3755">
        <w:rPr>
          <w:rFonts w:ascii="Arial" w:hAnsi="Arial" w:cs="Arial"/>
          <w:sz w:val="20"/>
          <w:szCs w:val="20"/>
        </w:rPr>
        <w:t>(100</w:t>
      </w:r>
      <w:r w:rsidR="00067E63" w:rsidRPr="00AF3755">
        <w:rPr>
          <w:rFonts w:ascii="Arial" w:hAnsi="Arial" w:cs="Arial"/>
          <w:sz w:val="20"/>
          <w:szCs w:val="20"/>
        </w:rPr>
        <w:t xml:space="preserve"> per cent</w:t>
      </w:r>
      <w:r w:rsidR="00022977" w:rsidRPr="00AF3755">
        <w:rPr>
          <w:rFonts w:ascii="Arial" w:hAnsi="Arial" w:cs="Arial"/>
          <w:sz w:val="20"/>
          <w:szCs w:val="20"/>
        </w:rPr>
        <w:t xml:space="preserve">) </w:t>
      </w:r>
      <w:r w:rsidRPr="00AF3755">
        <w:rPr>
          <w:rFonts w:ascii="Arial" w:hAnsi="Arial" w:cs="Arial"/>
          <w:sz w:val="20"/>
          <w:szCs w:val="20"/>
        </w:rPr>
        <w:t>of valid invoices received from creditors paid within 30 days. The Department ascribed the reasons for the deviation to system downtime and no interfacing between systems- LOGIS and BAS.</w:t>
      </w:r>
    </w:p>
    <w:p w:rsidR="001028F1" w:rsidRPr="00AF3755" w:rsidRDefault="00022977" w:rsidP="00AF3755">
      <w:pPr>
        <w:numPr>
          <w:ilvl w:val="0"/>
          <w:numId w:val="57"/>
        </w:numPr>
        <w:pBdr>
          <w:left w:val="none" w:sz="0" w:space="1" w:color="auto"/>
        </w:pBdr>
        <w:spacing w:after="0" w:line="240" w:lineRule="auto"/>
        <w:ind w:left="360"/>
        <w:rPr>
          <w:rFonts w:ascii="Arial" w:eastAsia="serif" w:hAnsi="Arial" w:cs="Arial"/>
          <w:sz w:val="20"/>
          <w:szCs w:val="20"/>
        </w:rPr>
      </w:pPr>
      <w:r w:rsidRPr="00AF3755">
        <w:rPr>
          <w:rFonts w:ascii="Arial" w:hAnsi="Arial" w:cs="Arial"/>
          <w:sz w:val="20"/>
          <w:szCs w:val="20"/>
        </w:rPr>
        <w:t>Percentage (98</w:t>
      </w:r>
      <w:r w:rsidR="00067E63" w:rsidRPr="00AF3755">
        <w:rPr>
          <w:rFonts w:ascii="Arial" w:hAnsi="Arial" w:cs="Arial"/>
          <w:sz w:val="20"/>
          <w:szCs w:val="20"/>
        </w:rPr>
        <w:t xml:space="preserve"> per cent</w:t>
      </w:r>
      <w:r w:rsidRPr="00AF3755">
        <w:rPr>
          <w:rFonts w:ascii="Arial" w:hAnsi="Arial" w:cs="Arial"/>
          <w:sz w:val="20"/>
          <w:szCs w:val="20"/>
        </w:rPr>
        <w:t xml:space="preserve">) of </w:t>
      </w:r>
      <w:r w:rsidR="00A825BE" w:rsidRPr="00AF3755">
        <w:rPr>
          <w:rFonts w:ascii="Arial" w:hAnsi="Arial" w:cs="Arial"/>
          <w:sz w:val="20"/>
          <w:szCs w:val="20"/>
        </w:rPr>
        <w:t xml:space="preserve">the </w:t>
      </w:r>
      <w:r w:rsidRPr="00AF3755">
        <w:rPr>
          <w:rFonts w:ascii="Arial" w:hAnsi="Arial" w:cs="Arial"/>
          <w:sz w:val="20"/>
          <w:szCs w:val="20"/>
        </w:rPr>
        <w:t>network connectivity uptime per annum. The partial achievement was ascribed to the</w:t>
      </w:r>
      <w:r w:rsidR="00372643" w:rsidRPr="00AF3755">
        <w:rPr>
          <w:rFonts w:ascii="Arial" w:hAnsi="Arial" w:cs="Arial"/>
          <w:sz w:val="20"/>
          <w:szCs w:val="20"/>
        </w:rPr>
        <w:t xml:space="preserve"> State Information Technology Agency</w:t>
      </w:r>
      <w:r w:rsidRPr="00AF3755">
        <w:rPr>
          <w:rFonts w:ascii="Arial" w:hAnsi="Arial" w:cs="Arial"/>
          <w:sz w:val="20"/>
          <w:szCs w:val="20"/>
        </w:rPr>
        <w:t xml:space="preserve"> </w:t>
      </w:r>
      <w:r w:rsidR="00372643" w:rsidRPr="00AF3755">
        <w:rPr>
          <w:rFonts w:ascii="Arial" w:hAnsi="Arial" w:cs="Arial"/>
          <w:sz w:val="20"/>
          <w:szCs w:val="20"/>
        </w:rPr>
        <w:t>(</w:t>
      </w:r>
      <w:r w:rsidRPr="00AF3755">
        <w:rPr>
          <w:rFonts w:ascii="Arial" w:hAnsi="Arial" w:cs="Arial"/>
          <w:sz w:val="20"/>
          <w:szCs w:val="20"/>
        </w:rPr>
        <w:t>SITA</w:t>
      </w:r>
      <w:r w:rsidR="00372643" w:rsidRPr="00AF3755">
        <w:rPr>
          <w:rFonts w:ascii="Arial" w:hAnsi="Arial" w:cs="Arial"/>
          <w:sz w:val="20"/>
          <w:szCs w:val="20"/>
        </w:rPr>
        <w:t>)</w:t>
      </w:r>
      <w:r w:rsidRPr="00AF3755">
        <w:rPr>
          <w:rFonts w:ascii="Arial" w:hAnsi="Arial" w:cs="Arial"/>
          <w:sz w:val="20"/>
          <w:szCs w:val="20"/>
        </w:rPr>
        <w:t xml:space="preserve"> Data Centre power outages and breakages of fibre linking Centurion Data centre.</w:t>
      </w:r>
    </w:p>
    <w:p w:rsidR="00C5472C" w:rsidRPr="00AF3755" w:rsidRDefault="00C5472C" w:rsidP="00AF3755">
      <w:pPr>
        <w:pBdr>
          <w:left w:val="none" w:sz="0" w:space="1" w:color="auto"/>
        </w:pBdr>
        <w:spacing w:after="0" w:line="240" w:lineRule="auto"/>
        <w:ind w:left="360"/>
        <w:rPr>
          <w:rFonts w:ascii="Arial" w:eastAsia="serif" w:hAnsi="Arial" w:cs="Arial"/>
          <w:sz w:val="20"/>
          <w:szCs w:val="20"/>
        </w:rPr>
      </w:pPr>
    </w:p>
    <w:p w:rsidR="00CE27E8" w:rsidRPr="00AF3755" w:rsidRDefault="00CE27E8"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2: Planning, Policy and Strategy</w:t>
      </w:r>
    </w:p>
    <w:p w:rsidR="003E37BB" w:rsidRPr="00AF3755" w:rsidRDefault="003E37BB" w:rsidP="00AF3755">
      <w:pPr>
        <w:spacing w:after="0" w:line="240" w:lineRule="auto"/>
        <w:rPr>
          <w:rFonts w:ascii="Arial" w:hAnsi="Arial" w:cs="Arial"/>
          <w:sz w:val="20"/>
          <w:szCs w:val="20"/>
        </w:rPr>
      </w:pPr>
      <w:r w:rsidRPr="00AF3755">
        <w:rPr>
          <w:rFonts w:ascii="Arial" w:hAnsi="Arial" w:cs="Arial"/>
          <w:sz w:val="20"/>
          <w:szCs w:val="20"/>
        </w:rPr>
        <w:t xml:space="preserve">For the period under review, the programme had 12 targets. The programme achieved </w:t>
      </w:r>
      <w:r w:rsidR="00E1044F" w:rsidRPr="00AF3755">
        <w:rPr>
          <w:rFonts w:ascii="Arial" w:hAnsi="Arial" w:cs="Arial"/>
          <w:sz w:val="20"/>
          <w:szCs w:val="20"/>
        </w:rPr>
        <w:t>nine</w:t>
      </w:r>
      <w:r w:rsidRPr="00AF3755">
        <w:rPr>
          <w:rFonts w:ascii="Arial" w:hAnsi="Arial" w:cs="Arial"/>
          <w:sz w:val="20"/>
          <w:szCs w:val="20"/>
        </w:rPr>
        <w:t xml:space="preserve"> or </w:t>
      </w:r>
      <w:r w:rsidR="00E1044F" w:rsidRPr="00AF3755">
        <w:rPr>
          <w:rFonts w:ascii="Arial" w:hAnsi="Arial" w:cs="Arial"/>
          <w:sz w:val="20"/>
          <w:szCs w:val="20"/>
        </w:rPr>
        <w:t>75 per cent</w:t>
      </w:r>
      <w:r w:rsidRPr="00AF3755">
        <w:rPr>
          <w:rFonts w:ascii="Arial" w:hAnsi="Arial" w:cs="Arial"/>
          <w:sz w:val="20"/>
          <w:szCs w:val="20"/>
        </w:rPr>
        <w:t xml:space="preserve"> of the 12 targets. The programme</w:t>
      </w:r>
      <w:r w:rsidR="00E1044F" w:rsidRPr="00AF3755">
        <w:rPr>
          <w:rFonts w:ascii="Arial" w:hAnsi="Arial" w:cs="Arial"/>
          <w:sz w:val="20"/>
          <w:szCs w:val="20"/>
        </w:rPr>
        <w:t xml:space="preserve"> recorded an improved performance of 8 per cent from 67 per cent in 2020/21.</w:t>
      </w:r>
    </w:p>
    <w:p w:rsidR="00E1044F" w:rsidRPr="00AF3755" w:rsidRDefault="00E1044F" w:rsidP="00AF3755">
      <w:pPr>
        <w:spacing w:after="0" w:line="240" w:lineRule="auto"/>
        <w:rPr>
          <w:rFonts w:ascii="Arial" w:hAnsi="Arial" w:cs="Arial"/>
          <w:b/>
          <w:sz w:val="20"/>
          <w:szCs w:val="20"/>
        </w:rPr>
      </w:pPr>
      <w:r w:rsidRPr="00AF3755">
        <w:rPr>
          <w:rFonts w:ascii="Arial" w:hAnsi="Arial" w:cs="Arial"/>
          <w:b/>
          <w:sz w:val="20"/>
          <w:szCs w:val="20"/>
        </w:rPr>
        <w:t xml:space="preserve">Selected key achievements </w:t>
      </w:r>
    </w:p>
    <w:p w:rsidR="00E1044F" w:rsidRPr="00AF3755" w:rsidRDefault="00903A8A" w:rsidP="00AF3755">
      <w:pPr>
        <w:pStyle w:val="ListParagraph"/>
        <w:numPr>
          <w:ilvl w:val="0"/>
          <w:numId w:val="55"/>
        </w:numPr>
        <w:spacing w:after="0" w:line="240" w:lineRule="auto"/>
        <w:rPr>
          <w:rFonts w:ascii="Arial" w:hAnsi="Arial" w:cs="Arial"/>
          <w:sz w:val="20"/>
          <w:szCs w:val="20"/>
        </w:rPr>
      </w:pPr>
      <w:r w:rsidRPr="00AF3755">
        <w:rPr>
          <w:rFonts w:ascii="Arial" w:hAnsi="Arial" w:cs="Arial"/>
          <w:sz w:val="20"/>
          <w:szCs w:val="20"/>
        </w:rPr>
        <w:t xml:space="preserve">Number (5) courses available on the National Open Learning System (NOLS) (achieved 22). The overachievement was ascribed to the additional financial support that the Department received </w:t>
      </w:r>
      <w:r w:rsidR="00067E63" w:rsidRPr="00AF3755">
        <w:rPr>
          <w:rFonts w:ascii="Arial" w:hAnsi="Arial" w:cs="Arial"/>
          <w:sz w:val="20"/>
          <w:szCs w:val="20"/>
        </w:rPr>
        <w:t xml:space="preserve">from </w:t>
      </w:r>
      <w:r w:rsidRPr="00AF3755">
        <w:rPr>
          <w:rFonts w:ascii="Arial" w:hAnsi="Arial" w:cs="Arial"/>
          <w:sz w:val="20"/>
          <w:szCs w:val="20"/>
        </w:rPr>
        <w:t>the European Union</w:t>
      </w:r>
      <w:r w:rsidR="00D53909" w:rsidRPr="00AF3755">
        <w:rPr>
          <w:rFonts w:ascii="Arial" w:hAnsi="Arial" w:cs="Arial"/>
          <w:sz w:val="20"/>
          <w:szCs w:val="20"/>
        </w:rPr>
        <w:t>.</w:t>
      </w:r>
    </w:p>
    <w:p w:rsidR="009F1C53" w:rsidRPr="00AF3755" w:rsidRDefault="009F1C53" w:rsidP="00AF3755">
      <w:pPr>
        <w:pStyle w:val="ListParagraph"/>
        <w:numPr>
          <w:ilvl w:val="0"/>
          <w:numId w:val="55"/>
        </w:numPr>
        <w:spacing w:after="0" w:line="240" w:lineRule="auto"/>
        <w:rPr>
          <w:rFonts w:ascii="Arial" w:hAnsi="Arial" w:cs="Arial"/>
          <w:sz w:val="20"/>
          <w:szCs w:val="20"/>
        </w:rPr>
      </w:pPr>
      <w:r w:rsidRPr="00AF3755">
        <w:rPr>
          <w:rFonts w:ascii="Arial" w:hAnsi="Arial" w:cs="Arial"/>
          <w:sz w:val="20"/>
          <w:szCs w:val="20"/>
        </w:rPr>
        <w:t>The Department consulted on a report and amendments to the Recognition of Prior Learning Policy</w:t>
      </w:r>
      <w:r w:rsidR="00372643" w:rsidRPr="00AF3755">
        <w:rPr>
          <w:rFonts w:ascii="Arial" w:hAnsi="Arial" w:cs="Arial"/>
          <w:sz w:val="20"/>
          <w:szCs w:val="20"/>
        </w:rPr>
        <w:t xml:space="preserve"> (RPL)</w:t>
      </w:r>
      <w:r w:rsidRPr="00AF3755">
        <w:rPr>
          <w:rFonts w:ascii="Arial" w:hAnsi="Arial" w:cs="Arial"/>
          <w:sz w:val="20"/>
          <w:szCs w:val="20"/>
        </w:rPr>
        <w:t>.</w:t>
      </w:r>
    </w:p>
    <w:p w:rsidR="009F1C53" w:rsidRPr="00AF3755" w:rsidRDefault="009F1C53" w:rsidP="00AF3755">
      <w:pPr>
        <w:pStyle w:val="ListParagraph"/>
        <w:numPr>
          <w:ilvl w:val="0"/>
          <w:numId w:val="55"/>
        </w:numPr>
        <w:spacing w:after="0" w:line="240" w:lineRule="auto"/>
        <w:rPr>
          <w:rFonts w:ascii="Arial" w:hAnsi="Arial" w:cs="Arial"/>
          <w:sz w:val="20"/>
          <w:szCs w:val="20"/>
        </w:rPr>
      </w:pPr>
      <w:r w:rsidRPr="00AF3755">
        <w:rPr>
          <w:rFonts w:ascii="Arial" w:hAnsi="Arial" w:cs="Arial"/>
          <w:sz w:val="20"/>
          <w:szCs w:val="20"/>
        </w:rPr>
        <w:t xml:space="preserve">The Director-General approved the following: A baseline report for articulation implementation between TVET colleges and universities; a report on the implementation of Social Inclusion in the PSET system, a report on the implementation of </w:t>
      </w:r>
      <w:r w:rsidR="00067E63" w:rsidRPr="00AF3755">
        <w:rPr>
          <w:rFonts w:ascii="Arial" w:hAnsi="Arial" w:cs="Arial"/>
          <w:sz w:val="20"/>
          <w:szCs w:val="20"/>
        </w:rPr>
        <w:t xml:space="preserve">the </w:t>
      </w:r>
      <w:r w:rsidRPr="00AF3755">
        <w:rPr>
          <w:rFonts w:ascii="Arial" w:hAnsi="Arial" w:cs="Arial"/>
          <w:sz w:val="20"/>
          <w:szCs w:val="20"/>
        </w:rPr>
        <w:t xml:space="preserve">Integrated Infrastructure Support Programme (IIDSP); </w:t>
      </w:r>
      <w:r w:rsidR="00135F09" w:rsidRPr="00AF3755">
        <w:rPr>
          <w:rFonts w:ascii="Arial" w:hAnsi="Arial" w:cs="Arial"/>
          <w:sz w:val="20"/>
          <w:szCs w:val="20"/>
        </w:rPr>
        <w:t xml:space="preserve">and </w:t>
      </w:r>
      <w:r w:rsidRPr="00AF3755">
        <w:rPr>
          <w:rFonts w:ascii="Arial" w:hAnsi="Arial" w:cs="Arial"/>
          <w:sz w:val="20"/>
          <w:szCs w:val="20"/>
        </w:rPr>
        <w:t>a monitoring report on progress towards the achievement of the Macro Infrastructure Framework (MIF); and E-learning/Open Learning Strategy in PSET</w:t>
      </w:r>
      <w:r w:rsidR="00135F09" w:rsidRPr="00AF3755">
        <w:rPr>
          <w:rFonts w:ascii="Arial" w:hAnsi="Arial" w:cs="Arial"/>
          <w:sz w:val="20"/>
          <w:szCs w:val="20"/>
        </w:rPr>
        <w:t>.</w:t>
      </w:r>
    </w:p>
    <w:p w:rsidR="00135F09" w:rsidRPr="00AF3755" w:rsidRDefault="00135F09" w:rsidP="00AF3755">
      <w:pPr>
        <w:pStyle w:val="ListParagraph"/>
        <w:spacing w:after="0" w:line="240" w:lineRule="auto"/>
        <w:ind w:left="360"/>
        <w:rPr>
          <w:rFonts w:ascii="Arial" w:hAnsi="Arial" w:cs="Arial"/>
          <w:sz w:val="20"/>
          <w:szCs w:val="20"/>
        </w:rPr>
      </w:pPr>
    </w:p>
    <w:p w:rsidR="009F1C53" w:rsidRPr="00AF3755" w:rsidRDefault="009F1C53"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 xml:space="preserve">Targets </w:t>
      </w:r>
      <w:r w:rsidR="005E448E" w:rsidRPr="00AF3755">
        <w:rPr>
          <w:rFonts w:ascii="Arial" w:hAnsi="Arial" w:cs="Arial"/>
          <w:b/>
          <w:sz w:val="20"/>
          <w:szCs w:val="20"/>
        </w:rPr>
        <w:t>not achieved</w:t>
      </w:r>
    </w:p>
    <w:p w:rsidR="000E591F" w:rsidRPr="00AF3755" w:rsidRDefault="005E448E" w:rsidP="00AF3755">
      <w:pPr>
        <w:pStyle w:val="ListParagraph"/>
        <w:numPr>
          <w:ilvl w:val="0"/>
          <w:numId w:val="55"/>
        </w:numPr>
        <w:spacing w:after="0" w:line="240" w:lineRule="auto"/>
        <w:rPr>
          <w:rFonts w:ascii="Arial" w:hAnsi="Arial" w:cs="Arial"/>
          <w:sz w:val="20"/>
          <w:szCs w:val="20"/>
        </w:rPr>
      </w:pPr>
      <w:r w:rsidRPr="00AF3755">
        <w:rPr>
          <w:rFonts w:ascii="Arial" w:hAnsi="Arial" w:cs="Arial"/>
          <w:sz w:val="20"/>
          <w:szCs w:val="20"/>
        </w:rPr>
        <w:t xml:space="preserve">Number (2) of new agreements on international scholarships entered with foreign countries per annum. It was reported that there were delays in finalising the agreements due to travel restrictions caused by </w:t>
      </w:r>
      <w:r w:rsidR="00067E63" w:rsidRPr="00AF3755">
        <w:rPr>
          <w:rFonts w:ascii="Arial" w:hAnsi="Arial" w:cs="Arial"/>
          <w:sz w:val="20"/>
          <w:szCs w:val="20"/>
        </w:rPr>
        <w:t xml:space="preserve">the </w:t>
      </w:r>
      <w:r w:rsidRPr="00AF3755">
        <w:rPr>
          <w:rFonts w:ascii="Arial" w:hAnsi="Arial" w:cs="Arial"/>
          <w:sz w:val="20"/>
          <w:szCs w:val="20"/>
        </w:rPr>
        <w:t xml:space="preserve">COVID-19 pandemic. </w:t>
      </w:r>
    </w:p>
    <w:p w:rsidR="00B52762" w:rsidRPr="00AF3755" w:rsidRDefault="00762E57" w:rsidP="00AF3755">
      <w:pPr>
        <w:pStyle w:val="ListParagraph"/>
        <w:numPr>
          <w:ilvl w:val="0"/>
          <w:numId w:val="55"/>
        </w:numPr>
        <w:spacing w:after="0" w:line="240" w:lineRule="auto"/>
        <w:rPr>
          <w:rFonts w:ascii="Arial" w:hAnsi="Arial" w:cs="Arial"/>
          <w:sz w:val="20"/>
          <w:szCs w:val="20"/>
        </w:rPr>
      </w:pPr>
      <w:r w:rsidRPr="00AF3755">
        <w:rPr>
          <w:rFonts w:ascii="Arial" w:hAnsi="Arial" w:cs="Arial"/>
          <w:sz w:val="20"/>
          <w:szCs w:val="20"/>
        </w:rPr>
        <w:t xml:space="preserve">A report on the implementation of </w:t>
      </w:r>
      <w:r w:rsidR="00067E63" w:rsidRPr="00AF3755">
        <w:rPr>
          <w:rFonts w:ascii="Arial" w:hAnsi="Arial" w:cs="Arial"/>
          <w:sz w:val="20"/>
          <w:szCs w:val="20"/>
        </w:rPr>
        <w:t xml:space="preserve">the </w:t>
      </w:r>
      <w:r w:rsidRPr="00AF3755">
        <w:rPr>
          <w:rFonts w:ascii="Arial" w:hAnsi="Arial" w:cs="Arial"/>
          <w:sz w:val="20"/>
          <w:szCs w:val="20"/>
        </w:rPr>
        <w:t>Multi-Faceted Student Accommodation Strategy approved by the Director-General on 31 March 2022. Th</w:t>
      </w:r>
      <w:r w:rsidR="00A825BE" w:rsidRPr="00AF3755">
        <w:rPr>
          <w:rFonts w:ascii="Arial" w:hAnsi="Arial" w:cs="Arial"/>
          <w:sz w:val="20"/>
          <w:szCs w:val="20"/>
        </w:rPr>
        <w:t>is</w:t>
      </w:r>
      <w:r w:rsidRPr="00AF3755">
        <w:rPr>
          <w:rFonts w:ascii="Arial" w:hAnsi="Arial" w:cs="Arial"/>
          <w:sz w:val="20"/>
          <w:szCs w:val="20"/>
        </w:rPr>
        <w:t xml:space="preserve"> report was not developed as planned. It was noted that the development of the Multi-Faceted Student Accommodation Strategy was linked to the establishment of the Infrastructure Development Support Unit (IDSU) and that funding has not been secured for IDSU. </w:t>
      </w:r>
    </w:p>
    <w:p w:rsidR="009F1C53" w:rsidRPr="00AF3755" w:rsidRDefault="00762E57" w:rsidP="00AF3755">
      <w:pPr>
        <w:pStyle w:val="ListParagraph"/>
        <w:numPr>
          <w:ilvl w:val="0"/>
          <w:numId w:val="55"/>
        </w:numPr>
        <w:spacing w:after="0" w:line="240" w:lineRule="auto"/>
        <w:rPr>
          <w:rFonts w:ascii="Arial" w:hAnsi="Arial" w:cs="Arial"/>
          <w:sz w:val="20"/>
          <w:szCs w:val="20"/>
        </w:rPr>
      </w:pPr>
      <w:r w:rsidRPr="00AF3755">
        <w:rPr>
          <w:rFonts w:ascii="Arial" w:hAnsi="Arial" w:cs="Arial"/>
          <w:sz w:val="20"/>
          <w:szCs w:val="20"/>
        </w:rPr>
        <w:t>A r</w:t>
      </w:r>
      <w:r w:rsidR="009F1C53" w:rsidRPr="00AF3755">
        <w:rPr>
          <w:rFonts w:ascii="Arial" w:hAnsi="Arial" w:cs="Arial"/>
          <w:sz w:val="20"/>
          <w:szCs w:val="20"/>
        </w:rPr>
        <w:t xml:space="preserve">eport on Skills Supply and Demand approved by the Director-General by 31 March 2022. The Department reported that the Report was approved by the Director-General on 30 March 2022 as planned. However, the monitoring report on priority Skills was only approved by the Director-General on 30 March </w:t>
      </w:r>
      <w:r w:rsidR="003D751F" w:rsidRPr="00AF3755">
        <w:rPr>
          <w:rFonts w:ascii="Arial" w:hAnsi="Arial" w:cs="Arial"/>
          <w:sz w:val="20"/>
          <w:szCs w:val="20"/>
        </w:rPr>
        <w:t xml:space="preserve">2022 and </w:t>
      </w:r>
      <w:r w:rsidR="00067E63" w:rsidRPr="00AF3755">
        <w:rPr>
          <w:rFonts w:ascii="Arial" w:hAnsi="Arial" w:cs="Arial"/>
          <w:sz w:val="20"/>
          <w:szCs w:val="20"/>
        </w:rPr>
        <w:t xml:space="preserve">was </w:t>
      </w:r>
      <w:r w:rsidR="003D751F" w:rsidRPr="00AF3755">
        <w:rPr>
          <w:rFonts w:ascii="Arial" w:hAnsi="Arial" w:cs="Arial"/>
          <w:sz w:val="20"/>
          <w:szCs w:val="20"/>
        </w:rPr>
        <w:t xml:space="preserve">not submitted to the Minister as planned. The Department was still in the process of finalising the ERRP Skills Strategy, which eventually replaced the Priority Skills Plan. </w:t>
      </w:r>
    </w:p>
    <w:p w:rsidR="00C5472C" w:rsidRPr="00AF3755" w:rsidRDefault="00C5472C" w:rsidP="00AF3755">
      <w:pPr>
        <w:pStyle w:val="ListParagraph"/>
        <w:spacing w:after="0" w:line="240" w:lineRule="auto"/>
        <w:ind w:left="360"/>
        <w:rPr>
          <w:rFonts w:ascii="Arial" w:hAnsi="Arial" w:cs="Arial"/>
          <w:sz w:val="20"/>
          <w:szCs w:val="20"/>
        </w:rPr>
      </w:pPr>
    </w:p>
    <w:p w:rsidR="00CE27E8" w:rsidRPr="00AF3755" w:rsidRDefault="00CE27E8"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3: University Education</w:t>
      </w:r>
    </w:p>
    <w:p w:rsidR="0006360C" w:rsidRPr="00AF3755" w:rsidRDefault="0006360C" w:rsidP="00AF3755">
      <w:pPr>
        <w:pStyle w:val="ListParagraph"/>
        <w:spacing w:after="0" w:line="240" w:lineRule="auto"/>
        <w:ind w:left="0"/>
        <w:rPr>
          <w:rFonts w:ascii="Arial" w:hAnsi="Arial" w:cs="Arial"/>
          <w:sz w:val="20"/>
          <w:szCs w:val="20"/>
        </w:rPr>
      </w:pPr>
      <w:r w:rsidRPr="00AF3755">
        <w:rPr>
          <w:rFonts w:ascii="Arial" w:hAnsi="Arial" w:cs="Arial"/>
          <w:sz w:val="20"/>
          <w:szCs w:val="20"/>
        </w:rPr>
        <w:lastRenderedPageBreak/>
        <w:t xml:space="preserve">The programme’s total consolidated targets for the period under review </w:t>
      </w:r>
      <w:r w:rsidR="00067E63" w:rsidRPr="00AF3755">
        <w:rPr>
          <w:rFonts w:ascii="Arial" w:hAnsi="Arial" w:cs="Arial"/>
          <w:sz w:val="20"/>
          <w:szCs w:val="20"/>
        </w:rPr>
        <w:t xml:space="preserve">were </w:t>
      </w:r>
      <w:r w:rsidR="009530B3" w:rsidRPr="00AF3755">
        <w:rPr>
          <w:rFonts w:ascii="Arial" w:hAnsi="Arial" w:cs="Arial"/>
          <w:sz w:val="20"/>
          <w:szCs w:val="20"/>
        </w:rPr>
        <w:t>42</w:t>
      </w:r>
      <w:r w:rsidRPr="00AF3755">
        <w:rPr>
          <w:rFonts w:ascii="Arial" w:hAnsi="Arial" w:cs="Arial"/>
          <w:sz w:val="20"/>
          <w:szCs w:val="20"/>
        </w:rPr>
        <w:t xml:space="preserve">, </w:t>
      </w:r>
      <w:r w:rsidR="00067E63" w:rsidRPr="00AF3755">
        <w:rPr>
          <w:rFonts w:ascii="Arial" w:hAnsi="Arial" w:cs="Arial"/>
          <w:sz w:val="20"/>
          <w:szCs w:val="20"/>
        </w:rPr>
        <w:t>comprising </w:t>
      </w:r>
      <w:r w:rsidRPr="00AF3755">
        <w:rPr>
          <w:rFonts w:ascii="Arial" w:hAnsi="Arial" w:cs="Arial"/>
          <w:sz w:val="20"/>
          <w:szCs w:val="20"/>
        </w:rPr>
        <w:t>2</w:t>
      </w:r>
      <w:r w:rsidR="009530B3" w:rsidRPr="00AF3755">
        <w:rPr>
          <w:rFonts w:ascii="Arial" w:hAnsi="Arial" w:cs="Arial"/>
          <w:sz w:val="20"/>
          <w:szCs w:val="20"/>
        </w:rPr>
        <w:t>5</w:t>
      </w:r>
      <w:r w:rsidRPr="00AF3755">
        <w:rPr>
          <w:rFonts w:ascii="Arial" w:hAnsi="Arial" w:cs="Arial"/>
          <w:sz w:val="20"/>
          <w:szCs w:val="20"/>
        </w:rPr>
        <w:t xml:space="preserve"> direct outputs and 1</w:t>
      </w:r>
      <w:r w:rsidR="009530B3" w:rsidRPr="00AF3755">
        <w:rPr>
          <w:rFonts w:ascii="Arial" w:hAnsi="Arial" w:cs="Arial"/>
          <w:sz w:val="20"/>
          <w:szCs w:val="20"/>
        </w:rPr>
        <w:t>7</w:t>
      </w:r>
      <w:r w:rsidRPr="00AF3755">
        <w:rPr>
          <w:rFonts w:ascii="Arial" w:hAnsi="Arial" w:cs="Arial"/>
          <w:sz w:val="20"/>
          <w:szCs w:val="20"/>
        </w:rPr>
        <w:t xml:space="preserve"> system targets. The programme achieved </w:t>
      </w:r>
      <w:r w:rsidR="009530B3" w:rsidRPr="00AF3755">
        <w:rPr>
          <w:rFonts w:ascii="Arial" w:hAnsi="Arial" w:cs="Arial"/>
          <w:sz w:val="20"/>
          <w:szCs w:val="20"/>
        </w:rPr>
        <w:t>17</w:t>
      </w:r>
      <w:r w:rsidRPr="00AF3755">
        <w:rPr>
          <w:rFonts w:ascii="Arial" w:hAnsi="Arial" w:cs="Arial"/>
          <w:sz w:val="20"/>
          <w:szCs w:val="20"/>
        </w:rPr>
        <w:t xml:space="preserve"> or </w:t>
      </w:r>
      <w:r w:rsidR="009530B3" w:rsidRPr="00AF3755">
        <w:rPr>
          <w:rFonts w:ascii="Arial" w:hAnsi="Arial" w:cs="Arial"/>
          <w:sz w:val="20"/>
          <w:szCs w:val="20"/>
        </w:rPr>
        <w:t>68 per cent</w:t>
      </w:r>
      <w:r w:rsidRPr="00AF3755">
        <w:rPr>
          <w:rFonts w:ascii="Arial" w:hAnsi="Arial" w:cs="Arial"/>
          <w:sz w:val="20"/>
          <w:szCs w:val="20"/>
        </w:rPr>
        <w:t xml:space="preserve"> </w:t>
      </w:r>
      <w:r w:rsidR="009530B3" w:rsidRPr="00AF3755">
        <w:rPr>
          <w:rFonts w:ascii="Arial" w:hAnsi="Arial" w:cs="Arial"/>
          <w:sz w:val="20"/>
          <w:szCs w:val="20"/>
        </w:rPr>
        <w:t xml:space="preserve">of the direct output targets </w:t>
      </w:r>
      <w:r w:rsidRPr="00AF3755">
        <w:rPr>
          <w:rFonts w:ascii="Arial" w:hAnsi="Arial" w:cs="Arial"/>
          <w:sz w:val="20"/>
          <w:szCs w:val="20"/>
        </w:rPr>
        <w:t xml:space="preserve">and </w:t>
      </w:r>
      <w:r w:rsidR="009530B3" w:rsidRPr="00AF3755">
        <w:rPr>
          <w:rFonts w:ascii="Arial" w:hAnsi="Arial" w:cs="Arial"/>
          <w:sz w:val="20"/>
          <w:szCs w:val="20"/>
        </w:rPr>
        <w:t>11</w:t>
      </w:r>
      <w:r w:rsidRPr="00AF3755">
        <w:rPr>
          <w:rFonts w:ascii="Arial" w:hAnsi="Arial" w:cs="Arial"/>
          <w:sz w:val="20"/>
          <w:szCs w:val="20"/>
        </w:rPr>
        <w:t xml:space="preserve"> or </w:t>
      </w:r>
      <w:r w:rsidR="009530B3" w:rsidRPr="00AF3755">
        <w:rPr>
          <w:rFonts w:ascii="Arial" w:hAnsi="Arial" w:cs="Arial"/>
          <w:sz w:val="20"/>
          <w:szCs w:val="20"/>
        </w:rPr>
        <w:t>64.7 per cent</w:t>
      </w:r>
      <w:r w:rsidRPr="00AF3755">
        <w:rPr>
          <w:rFonts w:ascii="Arial" w:hAnsi="Arial" w:cs="Arial"/>
          <w:sz w:val="20"/>
          <w:szCs w:val="20"/>
        </w:rPr>
        <w:t xml:space="preserve"> of system targets. The programme performance on the </w:t>
      </w:r>
      <w:r w:rsidR="009530B3" w:rsidRPr="00AF3755">
        <w:rPr>
          <w:rFonts w:ascii="Arial" w:hAnsi="Arial" w:cs="Arial"/>
          <w:sz w:val="20"/>
          <w:szCs w:val="20"/>
        </w:rPr>
        <w:t>direct output</w:t>
      </w:r>
      <w:r w:rsidR="00BF67A9" w:rsidRPr="00AF3755">
        <w:rPr>
          <w:rFonts w:ascii="Arial" w:hAnsi="Arial" w:cs="Arial"/>
          <w:sz w:val="20"/>
          <w:szCs w:val="20"/>
        </w:rPr>
        <w:t>s</w:t>
      </w:r>
      <w:r w:rsidRPr="00AF3755">
        <w:rPr>
          <w:rFonts w:ascii="Arial" w:hAnsi="Arial" w:cs="Arial"/>
          <w:sz w:val="20"/>
          <w:szCs w:val="20"/>
        </w:rPr>
        <w:t xml:space="preserve"> regressed from </w:t>
      </w:r>
      <w:r w:rsidR="009530B3" w:rsidRPr="00AF3755">
        <w:rPr>
          <w:rFonts w:ascii="Arial" w:hAnsi="Arial" w:cs="Arial"/>
          <w:sz w:val="20"/>
          <w:szCs w:val="20"/>
        </w:rPr>
        <w:t>91 per cent</w:t>
      </w:r>
      <w:r w:rsidRPr="00AF3755">
        <w:rPr>
          <w:rFonts w:ascii="Arial" w:hAnsi="Arial" w:cs="Arial"/>
          <w:sz w:val="20"/>
          <w:szCs w:val="20"/>
        </w:rPr>
        <w:t xml:space="preserve"> in </w:t>
      </w:r>
      <w:r w:rsidR="009530B3" w:rsidRPr="00AF3755">
        <w:rPr>
          <w:rFonts w:ascii="Arial" w:hAnsi="Arial" w:cs="Arial"/>
          <w:sz w:val="20"/>
          <w:szCs w:val="20"/>
        </w:rPr>
        <w:t>2020/21</w:t>
      </w:r>
      <w:r w:rsidRPr="00AF3755">
        <w:rPr>
          <w:rFonts w:ascii="Arial" w:hAnsi="Arial" w:cs="Arial"/>
          <w:sz w:val="20"/>
          <w:szCs w:val="20"/>
        </w:rPr>
        <w:t xml:space="preserve"> to </w:t>
      </w:r>
      <w:r w:rsidR="009530B3" w:rsidRPr="00AF3755">
        <w:rPr>
          <w:rFonts w:ascii="Arial" w:hAnsi="Arial" w:cs="Arial"/>
          <w:sz w:val="20"/>
          <w:szCs w:val="20"/>
        </w:rPr>
        <w:t>68</w:t>
      </w:r>
      <w:r w:rsidR="00067E63" w:rsidRPr="00AF3755">
        <w:rPr>
          <w:rFonts w:ascii="Arial" w:hAnsi="Arial" w:cs="Arial"/>
          <w:sz w:val="20"/>
          <w:szCs w:val="20"/>
        </w:rPr>
        <w:t xml:space="preserve"> </w:t>
      </w:r>
      <w:r w:rsidR="009530B3" w:rsidRPr="00AF3755">
        <w:rPr>
          <w:rFonts w:ascii="Arial" w:hAnsi="Arial" w:cs="Arial"/>
          <w:sz w:val="20"/>
          <w:szCs w:val="20"/>
        </w:rPr>
        <w:t>per</w:t>
      </w:r>
      <w:r w:rsidR="00067E63" w:rsidRPr="00AF3755">
        <w:rPr>
          <w:rFonts w:ascii="Arial" w:hAnsi="Arial" w:cs="Arial"/>
          <w:sz w:val="20"/>
          <w:szCs w:val="20"/>
        </w:rPr>
        <w:t xml:space="preserve"> </w:t>
      </w:r>
      <w:r w:rsidR="009530B3" w:rsidRPr="00AF3755">
        <w:rPr>
          <w:rFonts w:ascii="Arial" w:hAnsi="Arial" w:cs="Arial"/>
          <w:sz w:val="20"/>
          <w:szCs w:val="20"/>
        </w:rPr>
        <w:t>cent</w:t>
      </w:r>
      <w:r w:rsidRPr="00AF3755">
        <w:rPr>
          <w:rFonts w:ascii="Arial" w:hAnsi="Arial" w:cs="Arial"/>
          <w:sz w:val="20"/>
          <w:szCs w:val="20"/>
        </w:rPr>
        <w:t xml:space="preserve"> in 202</w:t>
      </w:r>
      <w:r w:rsidR="009530B3" w:rsidRPr="00AF3755">
        <w:rPr>
          <w:rFonts w:ascii="Arial" w:hAnsi="Arial" w:cs="Arial"/>
          <w:sz w:val="20"/>
          <w:szCs w:val="20"/>
        </w:rPr>
        <w:t>1</w:t>
      </w:r>
      <w:r w:rsidRPr="00AF3755">
        <w:rPr>
          <w:rFonts w:ascii="Arial" w:hAnsi="Arial" w:cs="Arial"/>
          <w:sz w:val="20"/>
          <w:szCs w:val="20"/>
        </w:rPr>
        <w:t>/2</w:t>
      </w:r>
      <w:r w:rsidR="009530B3" w:rsidRPr="00AF3755">
        <w:rPr>
          <w:rFonts w:ascii="Arial" w:hAnsi="Arial" w:cs="Arial"/>
          <w:sz w:val="20"/>
          <w:szCs w:val="20"/>
        </w:rPr>
        <w:t>2</w:t>
      </w:r>
      <w:r w:rsidRPr="00AF3755">
        <w:rPr>
          <w:rFonts w:ascii="Arial" w:hAnsi="Arial" w:cs="Arial"/>
          <w:sz w:val="20"/>
          <w:szCs w:val="20"/>
        </w:rPr>
        <w:t xml:space="preserve">, while a </w:t>
      </w:r>
      <w:r w:rsidR="009530B3" w:rsidRPr="00AF3755">
        <w:rPr>
          <w:rFonts w:ascii="Arial" w:hAnsi="Arial" w:cs="Arial"/>
          <w:sz w:val="20"/>
          <w:szCs w:val="20"/>
        </w:rPr>
        <w:t>significant</w:t>
      </w:r>
      <w:r w:rsidRPr="00AF3755">
        <w:rPr>
          <w:rFonts w:ascii="Arial" w:hAnsi="Arial" w:cs="Arial"/>
          <w:sz w:val="20"/>
          <w:szCs w:val="20"/>
        </w:rPr>
        <w:t xml:space="preserve"> increase of </w:t>
      </w:r>
      <w:r w:rsidR="009530B3" w:rsidRPr="00AF3755">
        <w:rPr>
          <w:rFonts w:ascii="Arial" w:hAnsi="Arial" w:cs="Arial"/>
          <w:sz w:val="20"/>
          <w:szCs w:val="20"/>
        </w:rPr>
        <w:t>21.7</w:t>
      </w:r>
      <w:r w:rsidRPr="00AF3755">
        <w:rPr>
          <w:rFonts w:ascii="Arial" w:hAnsi="Arial" w:cs="Arial"/>
          <w:sz w:val="20"/>
          <w:szCs w:val="20"/>
        </w:rPr>
        <w:t xml:space="preserve"> per</w:t>
      </w:r>
      <w:r w:rsidR="009530B3" w:rsidRPr="00AF3755">
        <w:rPr>
          <w:rFonts w:ascii="Arial" w:hAnsi="Arial" w:cs="Arial"/>
          <w:sz w:val="20"/>
          <w:szCs w:val="20"/>
        </w:rPr>
        <w:t xml:space="preserve"> </w:t>
      </w:r>
      <w:r w:rsidRPr="00AF3755">
        <w:rPr>
          <w:rFonts w:ascii="Arial" w:hAnsi="Arial" w:cs="Arial"/>
          <w:sz w:val="20"/>
          <w:szCs w:val="20"/>
        </w:rPr>
        <w:t xml:space="preserve">cent was recorded in the performance of </w:t>
      </w:r>
      <w:r w:rsidR="009530B3" w:rsidRPr="00AF3755">
        <w:rPr>
          <w:rFonts w:ascii="Arial" w:hAnsi="Arial" w:cs="Arial"/>
          <w:sz w:val="20"/>
          <w:szCs w:val="20"/>
        </w:rPr>
        <w:t>system</w:t>
      </w:r>
      <w:r w:rsidRPr="00AF3755">
        <w:rPr>
          <w:rFonts w:ascii="Arial" w:hAnsi="Arial" w:cs="Arial"/>
          <w:sz w:val="20"/>
          <w:szCs w:val="20"/>
        </w:rPr>
        <w:t xml:space="preserve"> targets. </w:t>
      </w:r>
    </w:p>
    <w:p w:rsidR="00CD280B" w:rsidRPr="00AF3755" w:rsidRDefault="00CD280B" w:rsidP="00AF3755">
      <w:pPr>
        <w:pStyle w:val="ListParagraph"/>
        <w:spacing w:after="0" w:line="240" w:lineRule="auto"/>
        <w:ind w:left="0"/>
        <w:rPr>
          <w:rFonts w:ascii="Arial" w:hAnsi="Arial" w:cs="Arial"/>
          <w:sz w:val="20"/>
          <w:szCs w:val="20"/>
        </w:rPr>
      </w:pPr>
    </w:p>
    <w:p w:rsidR="00CD280B" w:rsidRPr="00AF3755" w:rsidRDefault="00CD280B" w:rsidP="00AF3755">
      <w:pPr>
        <w:pStyle w:val="ListParagraph"/>
        <w:spacing w:after="0" w:line="240" w:lineRule="auto"/>
        <w:ind w:left="0"/>
        <w:rPr>
          <w:rFonts w:ascii="Arial" w:hAnsi="Arial" w:cs="Arial"/>
          <w:sz w:val="20"/>
          <w:szCs w:val="20"/>
        </w:rPr>
      </w:pPr>
    </w:p>
    <w:p w:rsidR="00CD280B" w:rsidRPr="00AF3755" w:rsidRDefault="00CD280B" w:rsidP="00AF3755">
      <w:pPr>
        <w:pStyle w:val="ListParagraph"/>
        <w:spacing w:after="0" w:line="240" w:lineRule="auto"/>
        <w:ind w:left="0"/>
        <w:rPr>
          <w:rFonts w:ascii="Arial" w:hAnsi="Arial" w:cs="Arial"/>
          <w:sz w:val="20"/>
          <w:szCs w:val="20"/>
        </w:rPr>
      </w:pPr>
    </w:p>
    <w:p w:rsidR="00CD280B" w:rsidRPr="00AF3755" w:rsidRDefault="00CD280B" w:rsidP="00AF3755">
      <w:pPr>
        <w:pStyle w:val="ListParagraph"/>
        <w:spacing w:after="0" w:line="240" w:lineRule="auto"/>
        <w:ind w:left="0"/>
        <w:rPr>
          <w:rFonts w:ascii="Arial" w:hAnsi="Arial" w:cs="Arial"/>
          <w:sz w:val="20"/>
          <w:szCs w:val="20"/>
        </w:rPr>
      </w:pPr>
    </w:p>
    <w:p w:rsidR="001173DD" w:rsidRPr="00AF3755" w:rsidRDefault="0051588B" w:rsidP="00AF3755">
      <w:pPr>
        <w:spacing w:after="0" w:line="240" w:lineRule="auto"/>
        <w:rPr>
          <w:rFonts w:ascii="Arial" w:hAnsi="Arial" w:cs="Arial"/>
          <w:b/>
          <w:sz w:val="20"/>
          <w:szCs w:val="20"/>
        </w:rPr>
      </w:pPr>
      <w:r w:rsidRPr="00AF3755">
        <w:rPr>
          <w:rFonts w:ascii="Arial" w:hAnsi="Arial" w:cs="Arial"/>
          <w:b/>
          <w:sz w:val="20"/>
          <w:szCs w:val="20"/>
        </w:rPr>
        <w:t>Selected key achievements</w:t>
      </w:r>
    </w:p>
    <w:p w:rsidR="00BF67A9" w:rsidRPr="00AF3755" w:rsidRDefault="0051588B" w:rsidP="00AF3755">
      <w:pPr>
        <w:spacing w:after="0" w:line="240" w:lineRule="auto"/>
        <w:rPr>
          <w:rFonts w:ascii="Arial" w:hAnsi="Arial" w:cs="Arial"/>
          <w:b/>
          <w:sz w:val="20"/>
          <w:szCs w:val="20"/>
        </w:rPr>
      </w:pPr>
      <w:r w:rsidRPr="00AF3755">
        <w:rPr>
          <w:rFonts w:ascii="Arial" w:hAnsi="Arial" w:cs="Arial"/>
          <w:b/>
          <w:sz w:val="20"/>
          <w:szCs w:val="20"/>
        </w:rPr>
        <w:t>Direct output</w:t>
      </w:r>
      <w:r w:rsidR="00BF67A9" w:rsidRPr="00AF3755">
        <w:rPr>
          <w:rFonts w:ascii="Arial" w:hAnsi="Arial" w:cs="Arial"/>
          <w:b/>
          <w:sz w:val="20"/>
          <w:szCs w:val="20"/>
        </w:rPr>
        <w:t>s</w:t>
      </w:r>
    </w:p>
    <w:p w:rsidR="001173DD" w:rsidRPr="00AF3755" w:rsidRDefault="003B7011" w:rsidP="00AF3755">
      <w:pPr>
        <w:spacing w:after="0" w:line="240" w:lineRule="auto"/>
        <w:rPr>
          <w:rFonts w:ascii="Arial" w:hAnsi="Arial" w:cs="Arial"/>
          <w:sz w:val="20"/>
          <w:szCs w:val="20"/>
        </w:rPr>
      </w:pPr>
      <w:r w:rsidRPr="00AF3755">
        <w:rPr>
          <w:rFonts w:ascii="Arial" w:hAnsi="Arial" w:cs="Arial"/>
          <w:sz w:val="20"/>
          <w:szCs w:val="20"/>
        </w:rPr>
        <w:t xml:space="preserve">The Director-general approved the following: </w:t>
      </w:r>
      <w:r w:rsidRPr="00AF3755">
        <w:rPr>
          <w:rFonts w:ascii="Arial" w:hAnsi="Arial" w:cs="Arial"/>
          <w:sz w:val="20"/>
          <w:szCs w:val="20"/>
          <w:lang w:val="en-US"/>
        </w:rPr>
        <w:t xml:space="preserve">A report on the achievement of Ministerial enrolment planning targets </w:t>
      </w:r>
      <w:r w:rsidRPr="00AF3755">
        <w:rPr>
          <w:rFonts w:ascii="Arial" w:hAnsi="Arial" w:cs="Arial"/>
          <w:sz w:val="20"/>
          <w:szCs w:val="20"/>
        </w:rPr>
        <w:t xml:space="preserve">a report on the evaluation of the 2020 research outputs of public universities; a report on undergraduate cohort study report tracking student throughput </w:t>
      </w:r>
      <w:r w:rsidRPr="00AF3755">
        <w:rPr>
          <w:rFonts w:ascii="Arial" w:hAnsi="Arial" w:cs="Arial"/>
          <w:sz w:val="20"/>
          <w:szCs w:val="20"/>
          <w:lang w:val="en-US"/>
        </w:rPr>
        <w:t>a report on the evaluation of creative and innovation outputs by public universities; a</w:t>
      </w:r>
      <w:r w:rsidRPr="00AF3755">
        <w:rPr>
          <w:rFonts w:ascii="Arial" w:hAnsi="Arial" w:cs="Arial"/>
          <w:sz w:val="20"/>
          <w:szCs w:val="20"/>
        </w:rPr>
        <w:t xml:space="preserve"> report on the implementation report on International Scholarships Programme; a Programme for Entrepreneurship Development in Higher Education (EDHE).</w:t>
      </w:r>
    </w:p>
    <w:p w:rsidR="003B7011" w:rsidRPr="00AF3755" w:rsidRDefault="003B7011" w:rsidP="00AF3755">
      <w:pPr>
        <w:pStyle w:val="ListParagraph"/>
        <w:numPr>
          <w:ilvl w:val="0"/>
          <w:numId w:val="51"/>
        </w:numPr>
        <w:spacing w:after="0" w:line="240" w:lineRule="auto"/>
        <w:rPr>
          <w:rFonts w:ascii="Arial" w:hAnsi="Arial" w:cs="Arial"/>
          <w:sz w:val="20"/>
          <w:szCs w:val="20"/>
        </w:rPr>
      </w:pPr>
      <w:r w:rsidRPr="00AF3755">
        <w:rPr>
          <w:rFonts w:ascii="Arial" w:hAnsi="Arial" w:cs="Arial"/>
          <w:sz w:val="20"/>
          <w:szCs w:val="20"/>
        </w:rPr>
        <w:t>Forty-two scholarships or internship positions were allocated to universities through the Nurturing Emergency Scholars Programme.</w:t>
      </w:r>
    </w:p>
    <w:p w:rsidR="003B7011" w:rsidRPr="00AF3755" w:rsidRDefault="003B7011" w:rsidP="00AF3755">
      <w:pPr>
        <w:pStyle w:val="ListParagraph"/>
        <w:numPr>
          <w:ilvl w:val="0"/>
          <w:numId w:val="51"/>
        </w:numPr>
        <w:spacing w:after="0" w:line="240" w:lineRule="auto"/>
        <w:rPr>
          <w:rFonts w:ascii="Arial" w:hAnsi="Arial" w:cs="Arial"/>
          <w:sz w:val="20"/>
          <w:szCs w:val="20"/>
        </w:rPr>
      </w:pPr>
      <w:r w:rsidRPr="00AF3755">
        <w:rPr>
          <w:rFonts w:ascii="Arial" w:hAnsi="Arial" w:cs="Arial"/>
          <w:sz w:val="20"/>
          <w:szCs w:val="20"/>
        </w:rPr>
        <w:t>Eighty-seven new Generation of Academics Programme (nGAP) lecturer posts were supported at universities.</w:t>
      </w:r>
    </w:p>
    <w:p w:rsidR="003B7011" w:rsidRPr="00AF3755" w:rsidRDefault="003B7011" w:rsidP="00AF3755">
      <w:pPr>
        <w:pStyle w:val="ListParagraph"/>
        <w:numPr>
          <w:ilvl w:val="0"/>
          <w:numId w:val="51"/>
        </w:numPr>
        <w:spacing w:after="0" w:line="240" w:lineRule="auto"/>
        <w:rPr>
          <w:rFonts w:ascii="Arial" w:hAnsi="Arial" w:cs="Arial"/>
          <w:sz w:val="20"/>
          <w:szCs w:val="20"/>
        </w:rPr>
      </w:pPr>
      <w:r w:rsidRPr="00AF3755">
        <w:rPr>
          <w:rFonts w:ascii="Arial" w:hAnsi="Arial" w:cs="Arial"/>
          <w:sz w:val="20"/>
          <w:szCs w:val="20"/>
        </w:rPr>
        <w:t>Two intergovernmental international scholarships Forum meetings were convened.</w:t>
      </w:r>
    </w:p>
    <w:p w:rsidR="003B7011" w:rsidRPr="00AF3755" w:rsidRDefault="003B7011" w:rsidP="00AF3755">
      <w:pPr>
        <w:spacing w:after="0" w:line="240" w:lineRule="auto"/>
        <w:rPr>
          <w:rFonts w:ascii="Arial" w:hAnsi="Arial" w:cs="Arial"/>
          <w:b/>
          <w:sz w:val="20"/>
          <w:szCs w:val="20"/>
        </w:rPr>
      </w:pPr>
      <w:r w:rsidRPr="00AF3755">
        <w:rPr>
          <w:rFonts w:ascii="Arial" w:hAnsi="Arial" w:cs="Arial"/>
          <w:b/>
          <w:sz w:val="20"/>
          <w:szCs w:val="20"/>
        </w:rPr>
        <w:t>Targets not achieved</w:t>
      </w:r>
    </w:p>
    <w:p w:rsidR="00FE3F51" w:rsidRPr="00AF3755" w:rsidRDefault="00FE3F51" w:rsidP="00AF3755">
      <w:pPr>
        <w:pStyle w:val="ListParagraph"/>
        <w:numPr>
          <w:ilvl w:val="0"/>
          <w:numId w:val="52"/>
        </w:numPr>
        <w:spacing w:after="0" w:line="240" w:lineRule="auto"/>
        <w:rPr>
          <w:rFonts w:ascii="Arial" w:hAnsi="Arial" w:cs="Arial"/>
          <w:sz w:val="20"/>
          <w:szCs w:val="20"/>
        </w:rPr>
      </w:pPr>
      <w:r w:rsidRPr="00AF3755">
        <w:rPr>
          <w:rFonts w:ascii="Arial" w:hAnsi="Arial" w:cs="Arial"/>
          <w:sz w:val="20"/>
          <w:szCs w:val="20"/>
          <w:lang w:val="en-GB"/>
        </w:rPr>
        <w:t>A draft proposed Fee Regulation Framework approved by the Minister for consultation by 31 March 2022</w:t>
      </w:r>
      <w:r w:rsidR="00761F52" w:rsidRPr="00AF3755">
        <w:rPr>
          <w:rFonts w:ascii="Arial" w:hAnsi="Arial" w:cs="Arial"/>
          <w:sz w:val="20"/>
          <w:szCs w:val="20"/>
          <w:lang w:val="en-GB"/>
        </w:rPr>
        <w:t xml:space="preserve">. The Department reported that the draft Framework was developed and submitted to the Minister on 4 December 2021and it was being reviewed. It was noted that </w:t>
      </w:r>
      <w:r w:rsidR="00761F52" w:rsidRPr="00AF3755">
        <w:rPr>
          <w:rFonts w:ascii="Arial" w:hAnsi="Arial" w:cs="Arial"/>
          <w:sz w:val="20"/>
          <w:szCs w:val="20"/>
        </w:rPr>
        <w:t>the Minister requested further consultation on the framework, while the University Branch engaged in further consultations with higher education institutions to gather updated data that would feed into the framework.</w:t>
      </w:r>
    </w:p>
    <w:p w:rsidR="001867BB" w:rsidRPr="00AF3755" w:rsidRDefault="00A825BE" w:rsidP="00AF3755">
      <w:pPr>
        <w:pStyle w:val="ListParagraph"/>
        <w:numPr>
          <w:ilvl w:val="0"/>
          <w:numId w:val="52"/>
        </w:numPr>
        <w:spacing w:after="0" w:line="240" w:lineRule="auto"/>
        <w:rPr>
          <w:rFonts w:ascii="Arial" w:hAnsi="Arial" w:cs="Arial"/>
          <w:sz w:val="20"/>
          <w:szCs w:val="20"/>
        </w:rPr>
      </w:pPr>
      <w:r w:rsidRPr="00AF3755">
        <w:rPr>
          <w:rFonts w:ascii="Arial" w:hAnsi="Arial" w:cs="Arial"/>
          <w:sz w:val="20"/>
          <w:szCs w:val="20"/>
        </w:rPr>
        <w:t>The p</w:t>
      </w:r>
      <w:r w:rsidR="00FE3F51" w:rsidRPr="00AF3755">
        <w:rPr>
          <w:rFonts w:ascii="Arial" w:hAnsi="Arial" w:cs="Arial"/>
          <w:sz w:val="20"/>
          <w:szCs w:val="20"/>
        </w:rPr>
        <w:t>roposed framework for a new student funding policy submitted to the Minister for approval for consultation by 31 March 2022</w:t>
      </w:r>
      <w:r w:rsidR="00761F52" w:rsidRPr="00AF3755">
        <w:rPr>
          <w:rFonts w:ascii="Arial" w:hAnsi="Arial" w:cs="Arial"/>
          <w:sz w:val="20"/>
          <w:szCs w:val="20"/>
        </w:rPr>
        <w:t xml:space="preserve">. The proposed framework for student policy was developed and approved by the Director-General on 27 March 2022. The Ministerial Task Team was working on the identified areas of improvement </w:t>
      </w:r>
      <w:r w:rsidRPr="00AF3755">
        <w:rPr>
          <w:rFonts w:ascii="Arial" w:hAnsi="Arial" w:cs="Arial"/>
          <w:sz w:val="20"/>
          <w:szCs w:val="20"/>
        </w:rPr>
        <w:t xml:space="preserve">to </w:t>
      </w:r>
      <w:r w:rsidR="00761F52" w:rsidRPr="00AF3755">
        <w:rPr>
          <w:rFonts w:ascii="Arial" w:hAnsi="Arial" w:cs="Arial"/>
          <w:sz w:val="20"/>
          <w:szCs w:val="20"/>
        </w:rPr>
        <w:t xml:space="preserve">the proposed framework. The Ministerial </w:t>
      </w:r>
      <w:r w:rsidR="001867BB" w:rsidRPr="00AF3755">
        <w:rPr>
          <w:rFonts w:ascii="Arial" w:hAnsi="Arial" w:cs="Arial"/>
          <w:sz w:val="20"/>
          <w:szCs w:val="20"/>
        </w:rPr>
        <w:t>Task</w:t>
      </w:r>
      <w:r w:rsidR="00761F52" w:rsidRPr="00AF3755">
        <w:rPr>
          <w:rFonts w:ascii="Arial" w:hAnsi="Arial" w:cs="Arial"/>
          <w:sz w:val="20"/>
          <w:szCs w:val="20"/>
        </w:rPr>
        <w:t xml:space="preserve"> Team was continu</w:t>
      </w:r>
      <w:r w:rsidRPr="00AF3755">
        <w:rPr>
          <w:rFonts w:ascii="Arial" w:hAnsi="Arial" w:cs="Arial"/>
          <w:sz w:val="20"/>
          <w:szCs w:val="20"/>
        </w:rPr>
        <w:t>ed</w:t>
      </w:r>
      <w:r w:rsidR="00761F52" w:rsidRPr="00AF3755">
        <w:rPr>
          <w:rFonts w:ascii="Arial" w:hAnsi="Arial" w:cs="Arial"/>
          <w:sz w:val="20"/>
          <w:szCs w:val="20"/>
        </w:rPr>
        <w:t xml:space="preserve"> with </w:t>
      </w:r>
      <w:r w:rsidRPr="00AF3755">
        <w:rPr>
          <w:rFonts w:ascii="Arial" w:hAnsi="Arial" w:cs="Arial"/>
          <w:sz w:val="20"/>
          <w:szCs w:val="20"/>
        </w:rPr>
        <w:t xml:space="preserve">its </w:t>
      </w:r>
      <w:r w:rsidR="00761F52" w:rsidRPr="00AF3755">
        <w:rPr>
          <w:rFonts w:ascii="Arial" w:hAnsi="Arial" w:cs="Arial"/>
          <w:sz w:val="20"/>
          <w:szCs w:val="20"/>
        </w:rPr>
        <w:t>work towards providing a final report to the Minister.</w:t>
      </w:r>
    </w:p>
    <w:p w:rsidR="001867BB" w:rsidRPr="00AF3755" w:rsidRDefault="00FE3F51" w:rsidP="00AF3755">
      <w:pPr>
        <w:pStyle w:val="ListParagraph"/>
        <w:numPr>
          <w:ilvl w:val="0"/>
          <w:numId w:val="52"/>
        </w:numPr>
        <w:spacing w:after="0" w:line="240" w:lineRule="auto"/>
        <w:rPr>
          <w:rFonts w:ascii="Arial" w:hAnsi="Arial" w:cs="Arial"/>
          <w:sz w:val="20"/>
          <w:szCs w:val="20"/>
        </w:rPr>
      </w:pPr>
      <w:r w:rsidRPr="00AF3755">
        <w:rPr>
          <w:rFonts w:ascii="Arial" w:hAnsi="Arial" w:cs="Arial"/>
          <w:sz w:val="20"/>
          <w:szCs w:val="20"/>
        </w:rPr>
        <w:t xml:space="preserve">A feasibility study to establish the nature and scope, as well as </w:t>
      </w:r>
      <w:r w:rsidR="00067E63" w:rsidRPr="00AF3755">
        <w:rPr>
          <w:rFonts w:ascii="Arial" w:hAnsi="Arial" w:cs="Arial"/>
          <w:sz w:val="20"/>
          <w:szCs w:val="20"/>
        </w:rPr>
        <w:t xml:space="preserve">the </w:t>
      </w:r>
      <w:r w:rsidRPr="00AF3755">
        <w:rPr>
          <w:rFonts w:ascii="Arial" w:hAnsi="Arial" w:cs="Arial"/>
          <w:sz w:val="20"/>
          <w:szCs w:val="20"/>
        </w:rPr>
        <w:t>location of the new institutions in the Ekurhuleni Metro</w:t>
      </w:r>
      <w:r w:rsidR="00067E63" w:rsidRPr="00AF3755">
        <w:rPr>
          <w:rFonts w:ascii="Arial" w:hAnsi="Arial" w:cs="Arial"/>
          <w:sz w:val="20"/>
          <w:szCs w:val="20"/>
        </w:rPr>
        <w:t>,</w:t>
      </w:r>
      <w:r w:rsidRPr="00AF3755">
        <w:rPr>
          <w:rFonts w:ascii="Arial" w:hAnsi="Arial" w:cs="Arial"/>
          <w:sz w:val="20"/>
          <w:szCs w:val="20"/>
        </w:rPr>
        <w:t xml:space="preserve"> submitted to the Minister for approval by 31 March 2021</w:t>
      </w:r>
      <w:r w:rsidR="001867BB" w:rsidRPr="00AF3755">
        <w:rPr>
          <w:rFonts w:ascii="Arial" w:hAnsi="Arial" w:cs="Arial"/>
          <w:sz w:val="20"/>
          <w:szCs w:val="20"/>
        </w:rPr>
        <w:t>. The Department reported that the target was not achieved, however, work towards its achievement included meetings convened to discuss the academic enterprise and governance model for the two new universities at Ekurhuleni and Hammanskraal. A workshop was also convened to discuss the reports of the Academic and Governance work streams. The feasibility study report will be completed during the second quarter of the 2022/23 financial year.</w:t>
      </w:r>
    </w:p>
    <w:p w:rsidR="00FE3F51" w:rsidRPr="00AF3755" w:rsidRDefault="001867BB" w:rsidP="00AF3755">
      <w:pPr>
        <w:pStyle w:val="ListParagraph"/>
        <w:numPr>
          <w:ilvl w:val="0"/>
          <w:numId w:val="52"/>
        </w:numPr>
        <w:spacing w:after="0" w:line="240" w:lineRule="auto"/>
        <w:rPr>
          <w:rFonts w:ascii="Arial" w:hAnsi="Arial" w:cs="Arial"/>
          <w:sz w:val="20"/>
          <w:szCs w:val="20"/>
        </w:rPr>
      </w:pPr>
      <w:r w:rsidRPr="00AF3755">
        <w:rPr>
          <w:rFonts w:ascii="Arial" w:hAnsi="Arial" w:cs="Arial"/>
          <w:sz w:val="20"/>
          <w:szCs w:val="20"/>
        </w:rPr>
        <w:t xml:space="preserve"> </w:t>
      </w:r>
      <w:r w:rsidR="00A825BE" w:rsidRPr="00AF3755">
        <w:rPr>
          <w:rFonts w:ascii="Arial" w:hAnsi="Arial" w:cs="Arial"/>
          <w:sz w:val="20"/>
          <w:szCs w:val="20"/>
        </w:rPr>
        <w:t xml:space="preserve">Forty </w:t>
      </w:r>
      <w:r w:rsidR="00FE3F51" w:rsidRPr="00AF3755">
        <w:rPr>
          <w:rFonts w:ascii="Arial" w:hAnsi="Arial" w:cs="Arial"/>
          <w:sz w:val="20"/>
          <w:szCs w:val="20"/>
        </w:rPr>
        <w:t xml:space="preserve">doctoral scholarships </w:t>
      </w:r>
      <w:r w:rsidR="00067E63" w:rsidRPr="00AF3755">
        <w:rPr>
          <w:rFonts w:ascii="Arial" w:hAnsi="Arial" w:cs="Arial"/>
          <w:sz w:val="20"/>
          <w:szCs w:val="20"/>
        </w:rPr>
        <w:t xml:space="preserve">were </w:t>
      </w:r>
      <w:r w:rsidR="00FE3F51" w:rsidRPr="00AF3755">
        <w:rPr>
          <w:rFonts w:ascii="Arial" w:hAnsi="Arial" w:cs="Arial"/>
          <w:sz w:val="20"/>
          <w:szCs w:val="20"/>
        </w:rPr>
        <w:t>allocated to universities through the University Staff Doctoral Programme (USDP) for award to permanent instructional or research staff members</w:t>
      </w:r>
      <w:r w:rsidR="00314440" w:rsidRPr="00AF3755">
        <w:rPr>
          <w:rFonts w:ascii="Arial" w:hAnsi="Arial" w:cs="Arial"/>
          <w:sz w:val="20"/>
          <w:szCs w:val="20"/>
        </w:rPr>
        <w:t>. It was reported that the submission for approval was processed late due to human resource constraints.</w:t>
      </w:r>
    </w:p>
    <w:p w:rsidR="003B7011" w:rsidRPr="00AF3755" w:rsidRDefault="00314440" w:rsidP="00AF3755">
      <w:pPr>
        <w:spacing w:after="0" w:line="240" w:lineRule="auto"/>
        <w:rPr>
          <w:rFonts w:ascii="Arial" w:hAnsi="Arial" w:cs="Arial"/>
          <w:b/>
          <w:sz w:val="20"/>
          <w:szCs w:val="20"/>
        </w:rPr>
      </w:pPr>
      <w:r w:rsidRPr="00AF3755">
        <w:rPr>
          <w:rFonts w:ascii="Arial" w:hAnsi="Arial" w:cs="Arial"/>
          <w:b/>
          <w:sz w:val="20"/>
          <w:szCs w:val="20"/>
        </w:rPr>
        <w:t xml:space="preserve">Selected </w:t>
      </w:r>
      <w:r w:rsidR="00D771DF" w:rsidRPr="00AF3755">
        <w:rPr>
          <w:rFonts w:ascii="Arial" w:hAnsi="Arial" w:cs="Arial"/>
          <w:b/>
          <w:sz w:val="20"/>
          <w:szCs w:val="20"/>
        </w:rPr>
        <w:t xml:space="preserve">performance against the </w:t>
      </w:r>
      <w:r w:rsidR="005B52AE" w:rsidRPr="00AF3755">
        <w:rPr>
          <w:rFonts w:ascii="Arial" w:hAnsi="Arial" w:cs="Arial"/>
          <w:b/>
          <w:sz w:val="20"/>
          <w:szCs w:val="20"/>
        </w:rPr>
        <w:t>system</w:t>
      </w:r>
      <w:r w:rsidRPr="00AF3755">
        <w:rPr>
          <w:rFonts w:ascii="Arial" w:hAnsi="Arial" w:cs="Arial"/>
          <w:b/>
          <w:sz w:val="20"/>
          <w:szCs w:val="20"/>
        </w:rPr>
        <w:t xml:space="preserve"> targets</w:t>
      </w:r>
    </w:p>
    <w:p w:rsidR="00314440" w:rsidRPr="00AF3755" w:rsidRDefault="002D3AE8" w:rsidP="00AF3755">
      <w:pPr>
        <w:pStyle w:val="ListParagraph"/>
        <w:numPr>
          <w:ilvl w:val="0"/>
          <w:numId w:val="53"/>
        </w:numPr>
        <w:spacing w:after="0" w:line="240" w:lineRule="auto"/>
        <w:rPr>
          <w:rFonts w:ascii="Arial" w:hAnsi="Arial" w:cs="Arial"/>
          <w:sz w:val="20"/>
          <w:szCs w:val="20"/>
        </w:rPr>
      </w:pPr>
      <w:r w:rsidRPr="00AF3755">
        <w:rPr>
          <w:rFonts w:ascii="Arial" w:hAnsi="Arial" w:cs="Arial"/>
          <w:sz w:val="20"/>
          <w:szCs w:val="20"/>
        </w:rPr>
        <w:t xml:space="preserve">Number (1 090 000) of student enrolments at public universities (exceeded the target by </w:t>
      </w:r>
      <w:r w:rsidR="000765B9" w:rsidRPr="00AF3755">
        <w:rPr>
          <w:rFonts w:ascii="Arial" w:hAnsi="Arial" w:cs="Arial"/>
          <w:sz w:val="20"/>
          <w:szCs w:val="20"/>
        </w:rPr>
        <w:t>4</w:t>
      </w:r>
      <w:r w:rsidR="005911DB" w:rsidRPr="00AF3755">
        <w:rPr>
          <w:rFonts w:ascii="Arial" w:hAnsi="Arial" w:cs="Arial"/>
          <w:sz w:val="20"/>
          <w:szCs w:val="20"/>
        </w:rPr>
        <w:t> 808)</w:t>
      </w:r>
      <w:r w:rsidR="000765B9" w:rsidRPr="00AF3755">
        <w:rPr>
          <w:rFonts w:ascii="Arial" w:hAnsi="Arial" w:cs="Arial"/>
          <w:sz w:val="20"/>
          <w:szCs w:val="20"/>
        </w:rPr>
        <w:t>.</w:t>
      </w:r>
    </w:p>
    <w:p w:rsidR="000765B9" w:rsidRPr="00AF3755" w:rsidRDefault="000765B9" w:rsidP="00AF3755">
      <w:pPr>
        <w:pStyle w:val="ListParagraph"/>
        <w:numPr>
          <w:ilvl w:val="0"/>
          <w:numId w:val="53"/>
        </w:numPr>
        <w:spacing w:after="0" w:line="240" w:lineRule="auto"/>
        <w:rPr>
          <w:rFonts w:ascii="Arial" w:hAnsi="Arial" w:cs="Arial"/>
          <w:sz w:val="20"/>
          <w:szCs w:val="20"/>
        </w:rPr>
      </w:pPr>
      <w:r w:rsidRPr="00AF3755">
        <w:rPr>
          <w:rFonts w:ascii="Arial" w:hAnsi="Arial" w:cs="Arial"/>
          <w:sz w:val="20"/>
          <w:szCs w:val="20"/>
        </w:rPr>
        <w:t>Number (427 851) of students receiving funding through the National Student Financial Aid Scheme (NSFAS) bursaries annually (exceeded the target by 75</w:t>
      </w:r>
      <w:r w:rsidR="005911DB" w:rsidRPr="00AF3755">
        <w:rPr>
          <w:rFonts w:ascii="Arial" w:hAnsi="Arial" w:cs="Arial"/>
          <w:sz w:val="20"/>
          <w:szCs w:val="20"/>
        </w:rPr>
        <w:t> </w:t>
      </w:r>
      <w:r w:rsidRPr="00AF3755">
        <w:rPr>
          <w:rFonts w:ascii="Arial" w:hAnsi="Arial" w:cs="Arial"/>
          <w:sz w:val="20"/>
          <w:szCs w:val="20"/>
        </w:rPr>
        <w:t>485</w:t>
      </w:r>
      <w:r w:rsidR="005911DB" w:rsidRPr="00AF3755">
        <w:rPr>
          <w:rFonts w:ascii="Arial" w:hAnsi="Arial" w:cs="Arial"/>
          <w:sz w:val="20"/>
          <w:szCs w:val="20"/>
        </w:rPr>
        <w:t>)</w:t>
      </w:r>
      <w:r w:rsidRPr="00AF3755">
        <w:rPr>
          <w:rFonts w:ascii="Arial" w:hAnsi="Arial" w:cs="Arial"/>
          <w:sz w:val="20"/>
          <w:szCs w:val="20"/>
        </w:rPr>
        <w:t xml:space="preserve">. </w:t>
      </w:r>
      <w:r w:rsidRPr="00AF3755">
        <w:rPr>
          <w:rFonts w:ascii="Arial" w:eastAsia="Times New Roman" w:hAnsi="Arial" w:cs="Arial"/>
          <w:color w:val="000000"/>
          <w:sz w:val="20"/>
          <w:szCs w:val="20"/>
          <w:lang w:val="en-US" w:eastAsia="en-ZA"/>
        </w:rPr>
        <w:t xml:space="preserve">The Department noted that there are no limits imposed on the number of students </w:t>
      </w:r>
      <w:r w:rsidR="0049714D" w:rsidRPr="00AF3755">
        <w:rPr>
          <w:rFonts w:ascii="Arial" w:eastAsia="Times New Roman" w:hAnsi="Arial" w:cs="Arial"/>
          <w:color w:val="000000"/>
          <w:sz w:val="20"/>
          <w:szCs w:val="20"/>
          <w:lang w:val="en-US" w:eastAsia="en-ZA"/>
        </w:rPr>
        <w:t xml:space="preserve">who </w:t>
      </w:r>
      <w:r w:rsidRPr="00AF3755">
        <w:rPr>
          <w:rFonts w:ascii="Arial" w:eastAsia="Times New Roman" w:hAnsi="Arial" w:cs="Arial"/>
          <w:color w:val="000000"/>
          <w:sz w:val="20"/>
          <w:szCs w:val="20"/>
          <w:lang w:val="en-US" w:eastAsia="en-ZA"/>
        </w:rPr>
        <w:t>may be permitted to benefit under the scheme, nor any criteria to enable a limitation of this nature. The rules of the fund are such that a student is funded if they are financially eligible, meet the rules of the scheme and have a confirmed registration at a public higher education institution. As long as these criteria are met, the student is to be funded. This is in line with the high-level policy decision taken by Government.</w:t>
      </w:r>
    </w:p>
    <w:p w:rsidR="000765B9" w:rsidRPr="00AF3755" w:rsidRDefault="00196EE9" w:rsidP="00AF3755">
      <w:pPr>
        <w:pStyle w:val="ListParagraph"/>
        <w:numPr>
          <w:ilvl w:val="0"/>
          <w:numId w:val="53"/>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t>Number (222 000) of students completing a university qualification annually (exceeded the target by 15</w:t>
      </w:r>
      <w:r w:rsidR="005911DB" w:rsidRPr="00AF3755">
        <w:rPr>
          <w:rFonts w:ascii="Arial" w:eastAsia="Times New Roman" w:hAnsi="Arial" w:cs="Arial"/>
          <w:color w:val="000000"/>
          <w:sz w:val="20"/>
          <w:szCs w:val="20"/>
          <w:lang w:val="en-US" w:eastAsia="en-ZA"/>
        </w:rPr>
        <w:t> </w:t>
      </w:r>
      <w:r w:rsidRPr="00AF3755">
        <w:rPr>
          <w:rFonts w:ascii="Arial" w:eastAsia="Times New Roman" w:hAnsi="Arial" w:cs="Arial"/>
          <w:color w:val="000000"/>
          <w:sz w:val="20"/>
          <w:szCs w:val="20"/>
          <w:lang w:val="en-US" w:eastAsia="en-ZA"/>
        </w:rPr>
        <w:t>882</w:t>
      </w:r>
      <w:r w:rsidR="005911DB" w:rsidRPr="00AF3755">
        <w:rPr>
          <w:rFonts w:ascii="Arial" w:eastAsia="Times New Roman" w:hAnsi="Arial" w:cs="Arial"/>
          <w:color w:val="000000"/>
          <w:sz w:val="20"/>
          <w:szCs w:val="20"/>
          <w:lang w:val="en-US" w:eastAsia="en-ZA"/>
        </w:rPr>
        <w:t>).</w:t>
      </w:r>
      <w:r w:rsidRPr="00AF3755">
        <w:rPr>
          <w:rFonts w:ascii="Arial" w:eastAsia="Times New Roman" w:hAnsi="Arial" w:cs="Arial"/>
          <w:color w:val="000000"/>
          <w:sz w:val="20"/>
          <w:szCs w:val="20"/>
          <w:lang w:val="en-US" w:eastAsia="en-ZA"/>
        </w:rPr>
        <w:t xml:space="preserve"> </w:t>
      </w:r>
    </w:p>
    <w:p w:rsidR="00196EE9" w:rsidRPr="00AF3755" w:rsidRDefault="005B52AE" w:rsidP="00AF3755">
      <w:pPr>
        <w:spacing w:after="0" w:line="240" w:lineRule="auto"/>
        <w:rPr>
          <w:rFonts w:ascii="Arial" w:hAnsi="Arial" w:cs="Arial"/>
          <w:b/>
          <w:sz w:val="20"/>
          <w:szCs w:val="20"/>
        </w:rPr>
      </w:pPr>
      <w:r w:rsidRPr="00AF3755">
        <w:rPr>
          <w:rFonts w:ascii="Arial" w:hAnsi="Arial" w:cs="Arial"/>
          <w:b/>
          <w:sz w:val="20"/>
          <w:szCs w:val="20"/>
        </w:rPr>
        <w:t>System</w:t>
      </w:r>
      <w:r w:rsidR="00196EE9" w:rsidRPr="00AF3755">
        <w:rPr>
          <w:rFonts w:ascii="Arial" w:hAnsi="Arial" w:cs="Arial"/>
          <w:b/>
          <w:sz w:val="20"/>
          <w:szCs w:val="20"/>
        </w:rPr>
        <w:t xml:space="preserve"> targets not achieved</w:t>
      </w:r>
    </w:p>
    <w:p w:rsidR="00BE7032" w:rsidRPr="00AF3755" w:rsidRDefault="005911DB" w:rsidP="00AF3755">
      <w:pPr>
        <w:pStyle w:val="ListParagraph"/>
        <w:numPr>
          <w:ilvl w:val="0"/>
          <w:numId w:val="54"/>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t>Number (14 700) of graduates in engineering annually (2 048 below the planned target)</w:t>
      </w:r>
      <w:r w:rsidR="00BE7032" w:rsidRPr="00AF3755">
        <w:rPr>
          <w:rFonts w:ascii="Arial" w:eastAsia="Times New Roman" w:hAnsi="Arial" w:cs="Arial"/>
          <w:color w:val="000000"/>
          <w:sz w:val="20"/>
          <w:szCs w:val="20"/>
          <w:lang w:val="en-US" w:eastAsia="en-ZA"/>
        </w:rPr>
        <w:t xml:space="preserve">. </w:t>
      </w:r>
    </w:p>
    <w:p w:rsidR="00196EE9" w:rsidRPr="00AF3755" w:rsidRDefault="00BE7032" w:rsidP="00AF3755">
      <w:pPr>
        <w:pStyle w:val="ListParagraph"/>
        <w:numPr>
          <w:ilvl w:val="0"/>
          <w:numId w:val="54"/>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t>Number (10 600) of graduates in natural and physical sciences annually (958 below the planned target).</w:t>
      </w:r>
    </w:p>
    <w:p w:rsidR="00BE7032" w:rsidRPr="00AF3755" w:rsidRDefault="00BE7032" w:rsidP="00AF3755">
      <w:pPr>
        <w:pStyle w:val="ListParagraph"/>
        <w:numPr>
          <w:ilvl w:val="0"/>
          <w:numId w:val="54"/>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lastRenderedPageBreak/>
        <w:t>Number (9 960) of human health science graduates annually (314 below the planned target)</w:t>
      </w:r>
      <w:r w:rsidR="00593F99" w:rsidRPr="00AF3755">
        <w:rPr>
          <w:rFonts w:ascii="Arial" w:eastAsia="Times New Roman" w:hAnsi="Arial" w:cs="Arial"/>
          <w:color w:val="000000"/>
          <w:sz w:val="20"/>
          <w:szCs w:val="20"/>
          <w:lang w:val="en-US" w:eastAsia="en-ZA"/>
        </w:rPr>
        <w:t>.</w:t>
      </w:r>
    </w:p>
    <w:p w:rsidR="00593F99" w:rsidRPr="00AF3755" w:rsidRDefault="00593F99" w:rsidP="00AF3755">
      <w:pPr>
        <w:pStyle w:val="ListParagraph"/>
        <w:numPr>
          <w:ilvl w:val="0"/>
          <w:numId w:val="54"/>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t>Number (880) of animal health science graduates annually (13 below the planned target).</w:t>
      </w:r>
    </w:p>
    <w:p w:rsidR="00593F99" w:rsidRPr="00AF3755" w:rsidRDefault="00593F99" w:rsidP="00AF3755">
      <w:pPr>
        <w:pStyle w:val="ListParagraph"/>
        <w:numPr>
          <w:ilvl w:val="0"/>
          <w:numId w:val="54"/>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t xml:space="preserve">Number (14 000) of Master’s graduates (all Master’s) annually (1 078 below the </w:t>
      </w:r>
      <w:r w:rsidR="00D94D55" w:rsidRPr="00AF3755">
        <w:rPr>
          <w:rFonts w:ascii="Arial" w:eastAsia="Times New Roman" w:hAnsi="Arial" w:cs="Arial"/>
          <w:color w:val="000000"/>
          <w:sz w:val="20"/>
          <w:szCs w:val="20"/>
          <w:lang w:val="en-US" w:eastAsia="en-ZA"/>
        </w:rPr>
        <w:t xml:space="preserve">planned </w:t>
      </w:r>
      <w:r w:rsidRPr="00AF3755">
        <w:rPr>
          <w:rFonts w:ascii="Arial" w:eastAsia="Times New Roman" w:hAnsi="Arial" w:cs="Arial"/>
          <w:color w:val="000000"/>
          <w:sz w:val="20"/>
          <w:szCs w:val="20"/>
          <w:lang w:val="en-US" w:eastAsia="en-ZA"/>
        </w:rPr>
        <w:t>target)</w:t>
      </w:r>
    </w:p>
    <w:p w:rsidR="00062ABA" w:rsidRPr="00AF3755" w:rsidRDefault="00062ABA" w:rsidP="00AF3755">
      <w:pPr>
        <w:pStyle w:val="ListParagraph"/>
        <w:spacing w:after="0" w:line="240" w:lineRule="auto"/>
        <w:ind w:left="0"/>
        <w:rPr>
          <w:rFonts w:ascii="Arial" w:eastAsia="Times New Roman" w:hAnsi="Arial" w:cs="Arial"/>
          <w:color w:val="000000"/>
          <w:sz w:val="20"/>
          <w:szCs w:val="20"/>
          <w:lang w:val="en-US" w:eastAsia="en-ZA"/>
        </w:rPr>
      </w:pPr>
    </w:p>
    <w:p w:rsidR="00BE7032" w:rsidRPr="00AF3755" w:rsidRDefault="00BE7032" w:rsidP="00AF3755">
      <w:pPr>
        <w:pStyle w:val="ListParagraph"/>
        <w:spacing w:after="0" w:line="240" w:lineRule="auto"/>
        <w:ind w:left="0"/>
        <w:rPr>
          <w:rFonts w:ascii="Arial" w:eastAsia="Times New Roman" w:hAnsi="Arial" w:cs="Arial"/>
          <w:color w:val="000000"/>
          <w:sz w:val="20"/>
          <w:szCs w:val="20"/>
          <w:lang w:val="en-US" w:eastAsia="en-ZA"/>
        </w:rPr>
      </w:pPr>
      <w:r w:rsidRPr="00AF3755">
        <w:rPr>
          <w:rFonts w:ascii="Arial" w:eastAsia="Times New Roman" w:hAnsi="Arial" w:cs="Arial"/>
          <w:color w:val="000000"/>
          <w:sz w:val="20"/>
          <w:szCs w:val="20"/>
          <w:lang w:val="en-US" w:eastAsia="en-ZA"/>
        </w:rPr>
        <w:t xml:space="preserve">The Department indicated that the under-achievement of the aforementioned targets could be due to the COVID-19 pandemic as many of these students require work-integrated learning (WIL) before they can graduate. The various lockdowns could have impacted the ability of students to obtain employment opportunities to undergo their WIL, including </w:t>
      </w:r>
      <w:r w:rsidR="00067E63" w:rsidRPr="00AF3755">
        <w:rPr>
          <w:rFonts w:ascii="Arial" w:eastAsia="Times New Roman" w:hAnsi="Arial" w:cs="Arial"/>
          <w:color w:val="000000"/>
          <w:sz w:val="20"/>
          <w:szCs w:val="20"/>
          <w:lang w:val="en-US" w:eastAsia="en-ZA"/>
        </w:rPr>
        <w:t xml:space="preserve">the </w:t>
      </w:r>
      <w:r w:rsidRPr="00AF3755">
        <w:rPr>
          <w:rFonts w:ascii="Arial" w:eastAsia="Times New Roman" w:hAnsi="Arial" w:cs="Arial"/>
          <w:color w:val="000000"/>
          <w:sz w:val="20"/>
          <w:szCs w:val="20"/>
          <w:lang w:val="en-US" w:eastAsia="en-ZA"/>
        </w:rPr>
        <w:t>lack of access to laboratories for practicals for students in natural and physical and human and animal sciences.</w:t>
      </w:r>
    </w:p>
    <w:p w:rsidR="005340E9" w:rsidRPr="00AF3755" w:rsidRDefault="005340E9" w:rsidP="00AF3755">
      <w:pPr>
        <w:pStyle w:val="ListParagraph"/>
        <w:spacing w:after="0" w:line="240" w:lineRule="auto"/>
        <w:ind w:left="0"/>
        <w:rPr>
          <w:rFonts w:ascii="Arial" w:eastAsia="Times New Roman" w:hAnsi="Arial" w:cs="Arial"/>
          <w:color w:val="000000"/>
          <w:sz w:val="20"/>
          <w:szCs w:val="20"/>
          <w:lang w:eastAsia="en-ZA"/>
        </w:rPr>
      </w:pPr>
    </w:p>
    <w:p w:rsidR="00CE27E8" w:rsidRPr="00AF3755" w:rsidRDefault="00CE27E8"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4: Technical and Vocational Education and Training</w:t>
      </w:r>
    </w:p>
    <w:p w:rsidR="005C2BE1" w:rsidRPr="00AF3755" w:rsidRDefault="005C2BE1" w:rsidP="00AF3755">
      <w:pPr>
        <w:pStyle w:val="ListParagraph"/>
        <w:spacing w:after="0" w:line="240" w:lineRule="auto"/>
        <w:ind w:left="0"/>
        <w:rPr>
          <w:rFonts w:ascii="Arial" w:hAnsi="Arial" w:cs="Arial"/>
          <w:sz w:val="20"/>
          <w:szCs w:val="20"/>
        </w:rPr>
      </w:pPr>
      <w:r w:rsidRPr="00AF3755">
        <w:rPr>
          <w:rFonts w:ascii="Arial" w:hAnsi="Arial" w:cs="Arial"/>
          <w:sz w:val="20"/>
          <w:szCs w:val="20"/>
        </w:rPr>
        <w:t>For the 2021/22 financial year, the programme had 30 targets, comprised of 17 direct outputs and 13 system targets. The programme achieved 1</w:t>
      </w:r>
      <w:r w:rsidR="008C01D7" w:rsidRPr="00AF3755">
        <w:rPr>
          <w:rFonts w:ascii="Arial" w:hAnsi="Arial" w:cs="Arial"/>
          <w:sz w:val="20"/>
          <w:szCs w:val="20"/>
        </w:rPr>
        <w:t>3</w:t>
      </w:r>
      <w:r w:rsidRPr="00AF3755">
        <w:rPr>
          <w:rFonts w:ascii="Arial" w:hAnsi="Arial" w:cs="Arial"/>
          <w:sz w:val="20"/>
          <w:szCs w:val="20"/>
        </w:rPr>
        <w:t xml:space="preserve"> or </w:t>
      </w:r>
      <w:r w:rsidR="008C01D7" w:rsidRPr="00AF3755">
        <w:rPr>
          <w:rFonts w:ascii="Arial" w:hAnsi="Arial" w:cs="Arial"/>
          <w:sz w:val="20"/>
          <w:szCs w:val="20"/>
        </w:rPr>
        <w:t>76.4</w:t>
      </w:r>
      <w:r w:rsidRPr="00AF3755">
        <w:rPr>
          <w:rFonts w:ascii="Arial" w:hAnsi="Arial" w:cs="Arial"/>
          <w:sz w:val="20"/>
          <w:szCs w:val="20"/>
        </w:rPr>
        <w:t xml:space="preserve"> per cent of 17 direct outputs and </w:t>
      </w:r>
      <w:r w:rsidR="0026455C" w:rsidRPr="00AF3755">
        <w:rPr>
          <w:rFonts w:ascii="Arial" w:hAnsi="Arial" w:cs="Arial"/>
          <w:sz w:val="20"/>
          <w:szCs w:val="20"/>
        </w:rPr>
        <w:t xml:space="preserve">five </w:t>
      </w:r>
      <w:r w:rsidRPr="00AF3755">
        <w:rPr>
          <w:rFonts w:ascii="Arial" w:hAnsi="Arial" w:cs="Arial"/>
          <w:sz w:val="20"/>
          <w:szCs w:val="20"/>
        </w:rPr>
        <w:t xml:space="preserve">or </w:t>
      </w:r>
      <w:r w:rsidR="0026455C" w:rsidRPr="00AF3755">
        <w:rPr>
          <w:rFonts w:ascii="Arial" w:hAnsi="Arial" w:cs="Arial"/>
          <w:sz w:val="20"/>
          <w:szCs w:val="20"/>
        </w:rPr>
        <w:t>38.4</w:t>
      </w:r>
      <w:r w:rsidRPr="00AF3755">
        <w:rPr>
          <w:rFonts w:ascii="Arial" w:hAnsi="Arial" w:cs="Arial"/>
          <w:sz w:val="20"/>
          <w:szCs w:val="20"/>
        </w:rPr>
        <w:t xml:space="preserve"> per cent of 13 system targets. The programme</w:t>
      </w:r>
      <w:r w:rsidR="004E73CF" w:rsidRPr="00AF3755">
        <w:rPr>
          <w:rFonts w:ascii="Arial" w:hAnsi="Arial" w:cs="Arial"/>
          <w:sz w:val="20"/>
          <w:szCs w:val="20"/>
        </w:rPr>
        <w:t>’s performance on direct output</w:t>
      </w:r>
      <w:r w:rsidR="00BF67A9" w:rsidRPr="00AF3755">
        <w:rPr>
          <w:rFonts w:ascii="Arial" w:hAnsi="Arial" w:cs="Arial"/>
          <w:sz w:val="20"/>
          <w:szCs w:val="20"/>
        </w:rPr>
        <w:t>s</w:t>
      </w:r>
      <w:r w:rsidR="004E73CF" w:rsidRPr="00AF3755">
        <w:rPr>
          <w:rFonts w:ascii="Arial" w:hAnsi="Arial" w:cs="Arial"/>
          <w:sz w:val="20"/>
          <w:szCs w:val="20"/>
        </w:rPr>
        <w:t xml:space="preserve"> increased by </w:t>
      </w:r>
      <w:r w:rsidR="002B3AFB" w:rsidRPr="00AF3755">
        <w:rPr>
          <w:rFonts w:ascii="Arial" w:hAnsi="Arial" w:cs="Arial"/>
          <w:sz w:val="20"/>
          <w:szCs w:val="20"/>
        </w:rPr>
        <w:t>8.4</w:t>
      </w:r>
      <w:r w:rsidR="004E73CF" w:rsidRPr="00AF3755">
        <w:rPr>
          <w:rFonts w:ascii="Arial" w:hAnsi="Arial" w:cs="Arial"/>
          <w:sz w:val="20"/>
          <w:szCs w:val="20"/>
        </w:rPr>
        <w:t xml:space="preserve"> per cent from 68 per cent in 2021/22</w:t>
      </w:r>
      <w:r w:rsidR="0026455C" w:rsidRPr="00AF3755">
        <w:rPr>
          <w:rFonts w:ascii="Arial" w:hAnsi="Arial" w:cs="Arial"/>
          <w:sz w:val="20"/>
          <w:szCs w:val="20"/>
        </w:rPr>
        <w:t xml:space="preserve">, while </w:t>
      </w:r>
      <w:r w:rsidR="004E73CF" w:rsidRPr="00AF3755">
        <w:rPr>
          <w:rFonts w:ascii="Arial" w:hAnsi="Arial" w:cs="Arial"/>
          <w:sz w:val="20"/>
          <w:szCs w:val="20"/>
        </w:rPr>
        <w:t xml:space="preserve">performance on system targets improved </w:t>
      </w:r>
      <w:r w:rsidR="0026455C" w:rsidRPr="00AF3755">
        <w:rPr>
          <w:rFonts w:ascii="Arial" w:hAnsi="Arial" w:cs="Arial"/>
          <w:sz w:val="20"/>
          <w:szCs w:val="20"/>
        </w:rPr>
        <w:t xml:space="preserve">marginally </w:t>
      </w:r>
      <w:r w:rsidR="004E73CF" w:rsidRPr="00AF3755">
        <w:rPr>
          <w:rFonts w:ascii="Arial" w:hAnsi="Arial" w:cs="Arial"/>
          <w:sz w:val="20"/>
          <w:szCs w:val="20"/>
        </w:rPr>
        <w:t xml:space="preserve">by </w:t>
      </w:r>
      <w:r w:rsidR="0026455C" w:rsidRPr="00AF3755">
        <w:rPr>
          <w:rFonts w:ascii="Arial" w:hAnsi="Arial" w:cs="Arial"/>
          <w:sz w:val="20"/>
          <w:szCs w:val="20"/>
        </w:rPr>
        <w:t>2.4</w:t>
      </w:r>
      <w:r w:rsidR="004E73CF" w:rsidRPr="00AF3755">
        <w:rPr>
          <w:rFonts w:ascii="Arial" w:hAnsi="Arial" w:cs="Arial"/>
          <w:sz w:val="20"/>
          <w:szCs w:val="20"/>
        </w:rPr>
        <w:t xml:space="preserve"> per</w:t>
      </w:r>
      <w:r w:rsidR="00067E63" w:rsidRPr="00AF3755">
        <w:rPr>
          <w:rFonts w:ascii="Arial" w:hAnsi="Arial" w:cs="Arial"/>
          <w:sz w:val="20"/>
          <w:szCs w:val="20"/>
        </w:rPr>
        <w:t xml:space="preserve"> </w:t>
      </w:r>
      <w:r w:rsidR="004E73CF" w:rsidRPr="00AF3755">
        <w:rPr>
          <w:rFonts w:ascii="Arial" w:hAnsi="Arial" w:cs="Arial"/>
          <w:sz w:val="20"/>
          <w:szCs w:val="20"/>
        </w:rPr>
        <w:t xml:space="preserve">cent from 36 per cent in 2020/21. </w:t>
      </w:r>
    </w:p>
    <w:p w:rsidR="005C2BE1" w:rsidRPr="00AF3755" w:rsidRDefault="00E4394C" w:rsidP="00AF3755">
      <w:pPr>
        <w:spacing w:after="0" w:line="240" w:lineRule="auto"/>
        <w:rPr>
          <w:rFonts w:ascii="Arial" w:hAnsi="Arial" w:cs="Arial"/>
          <w:b/>
          <w:sz w:val="20"/>
          <w:szCs w:val="20"/>
        </w:rPr>
      </w:pPr>
      <w:r w:rsidRPr="00AF3755">
        <w:rPr>
          <w:rFonts w:ascii="Arial" w:hAnsi="Arial" w:cs="Arial"/>
          <w:b/>
          <w:sz w:val="20"/>
          <w:szCs w:val="20"/>
        </w:rPr>
        <w:t xml:space="preserve">Selected key achievements </w:t>
      </w:r>
    </w:p>
    <w:p w:rsidR="00E4394C" w:rsidRPr="00AF3755" w:rsidRDefault="00E4394C" w:rsidP="00AF3755">
      <w:pPr>
        <w:spacing w:after="0" w:line="240" w:lineRule="auto"/>
        <w:rPr>
          <w:rFonts w:ascii="Arial" w:hAnsi="Arial" w:cs="Arial"/>
          <w:b/>
          <w:sz w:val="20"/>
          <w:szCs w:val="20"/>
        </w:rPr>
      </w:pPr>
      <w:r w:rsidRPr="00AF3755">
        <w:rPr>
          <w:rFonts w:ascii="Arial" w:hAnsi="Arial" w:cs="Arial"/>
          <w:b/>
          <w:sz w:val="20"/>
          <w:szCs w:val="20"/>
        </w:rPr>
        <w:t>Direct outputs</w:t>
      </w:r>
    </w:p>
    <w:p w:rsidR="00E4394C" w:rsidRPr="00AF3755" w:rsidRDefault="00EF5BD2" w:rsidP="00AF3755">
      <w:pPr>
        <w:pStyle w:val="ListParagraph"/>
        <w:numPr>
          <w:ilvl w:val="0"/>
          <w:numId w:val="47"/>
        </w:numPr>
        <w:spacing w:after="0" w:line="240" w:lineRule="auto"/>
        <w:rPr>
          <w:rFonts w:ascii="Arial" w:hAnsi="Arial" w:cs="Arial"/>
          <w:sz w:val="20"/>
          <w:szCs w:val="20"/>
        </w:rPr>
      </w:pPr>
      <w:r w:rsidRPr="00AF3755">
        <w:rPr>
          <w:rFonts w:ascii="Arial" w:hAnsi="Arial" w:cs="Arial"/>
          <w:sz w:val="20"/>
          <w:szCs w:val="20"/>
        </w:rPr>
        <w:t>The DG approved the following: Draft three-year enrolment with differentiation in programme enrolment; a model for efficient utilisation of current TEVT infrastructure; a report on the cooperation agreement with Germany on SAIVCET work; an assessment framework and implementation plan for the institutional maturity model for TVET colleges.</w:t>
      </w:r>
    </w:p>
    <w:p w:rsidR="00EF5BD2" w:rsidRPr="00AF3755" w:rsidRDefault="00EF5BD2" w:rsidP="00AF3755">
      <w:pPr>
        <w:pStyle w:val="ListParagraph"/>
        <w:numPr>
          <w:ilvl w:val="0"/>
          <w:numId w:val="47"/>
        </w:numPr>
        <w:spacing w:after="0" w:line="240" w:lineRule="auto"/>
        <w:rPr>
          <w:rFonts w:ascii="Arial" w:hAnsi="Arial" w:cs="Arial"/>
          <w:sz w:val="20"/>
          <w:szCs w:val="20"/>
        </w:rPr>
      </w:pPr>
      <w:r w:rsidRPr="00AF3755">
        <w:rPr>
          <w:rFonts w:ascii="Arial" w:hAnsi="Arial" w:cs="Arial"/>
          <w:sz w:val="20"/>
          <w:szCs w:val="20"/>
        </w:rPr>
        <w:t xml:space="preserve">Four TVET colleges were TVET colleges established Disability Support units to support students with disabilities. </w:t>
      </w:r>
    </w:p>
    <w:p w:rsidR="004E7796" w:rsidRPr="00AF3755" w:rsidRDefault="004E7796" w:rsidP="00AF3755">
      <w:pPr>
        <w:pStyle w:val="ListParagraph"/>
        <w:numPr>
          <w:ilvl w:val="0"/>
          <w:numId w:val="47"/>
        </w:numPr>
        <w:spacing w:after="0" w:line="240" w:lineRule="auto"/>
        <w:rPr>
          <w:rFonts w:ascii="Arial" w:hAnsi="Arial" w:cs="Arial"/>
          <w:sz w:val="20"/>
          <w:szCs w:val="20"/>
        </w:rPr>
      </w:pPr>
      <w:r w:rsidRPr="00AF3755">
        <w:rPr>
          <w:rFonts w:ascii="Arial" w:hAnsi="Arial" w:cs="Arial"/>
          <w:sz w:val="20"/>
          <w:szCs w:val="20"/>
        </w:rPr>
        <w:t>Five TVET colleges were supported to establish entrepreneurship hubs.</w:t>
      </w:r>
    </w:p>
    <w:p w:rsidR="004E7796" w:rsidRPr="00AF3755" w:rsidRDefault="004E7796" w:rsidP="00AF3755">
      <w:pPr>
        <w:spacing w:after="0" w:line="240" w:lineRule="auto"/>
        <w:rPr>
          <w:rFonts w:ascii="Arial" w:hAnsi="Arial" w:cs="Arial"/>
          <w:b/>
          <w:sz w:val="20"/>
          <w:szCs w:val="20"/>
        </w:rPr>
      </w:pPr>
      <w:r w:rsidRPr="00AF3755">
        <w:rPr>
          <w:rFonts w:ascii="Arial" w:hAnsi="Arial" w:cs="Arial"/>
          <w:b/>
          <w:sz w:val="20"/>
          <w:szCs w:val="20"/>
        </w:rPr>
        <w:t>Targets not achieved</w:t>
      </w:r>
    </w:p>
    <w:p w:rsidR="00D83C84" w:rsidRPr="00AF3755" w:rsidRDefault="00D83C84" w:rsidP="00AF3755">
      <w:pPr>
        <w:pStyle w:val="ListParagraph"/>
        <w:numPr>
          <w:ilvl w:val="0"/>
          <w:numId w:val="48"/>
        </w:numPr>
        <w:spacing w:after="0" w:line="240" w:lineRule="auto"/>
        <w:rPr>
          <w:rFonts w:ascii="Arial" w:hAnsi="Arial" w:cs="Arial"/>
          <w:sz w:val="20"/>
          <w:szCs w:val="20"/>
        </w:rPr>
      </w:pPr>
      <w:r w:rsidRPr="00AF3755">
        <w:rPr>
          <w:rFonts w:ascii="Arial" w:hAnsi="Arial" w:cs="Arial"/>
          <w:sz w:val="20"/>
          <w:szCs w:val="20"/>
        </w:rPr>
        <w:t xml:space="preserve">Final framework and guidelines to accommodate students with disabilities </w:t>
      </w:r>
      <w:r w:rsidR="0049714D" w:rsidRPr="00AF3755">
        <w:rPr>
          <w:rFonts w:ascii="Arial" w:hAnsi="Arial" w:cs="Arial"/>
          <w:sz w:val="20"/>
          <w:szCs w:val="20"/>
        </w:rPr>
        <w:t xml:space="preserve">will be </w:t>
      </w:r>
      <w:r w:rsidRPr="00AF3755">
        <w:rPr>
          <w:rFonts w:ascii="Arial" w:hAnsi="Arial" w:cs="Arial"/>
          <w:sz w:val="20"/>
          <w:szCs w:val="20"/>
        </w:rPr>
        <w:t>approved by the Minister by 31 March 2022. It was reported that the framework was developed but not approved by the Minister at the time of reporting, although the submission was made within the financial year.</w:t>
      </w:r>
      <w:r w:rsidR="0011559C" w:rsidRPr="00AF3755">
        <w:rPr>
          <w:rFonts w:ascii="Arial" w:hAnsi="Arial" w:cs="Arial"/>
          <w:sz w:val="20"/>
          <w:szCs w:val="20"/>
        </w:rPr>
        <w:t xml:space="preserve"> The framework was approved outside the reporting time.</w:t>
      </w:r>
    </w:p>
    <w:p w:rsidR="001D59B0" w:rsidRPr="00AF3755" w:rsidRDefault="001D59B0" w:rsidP="00AF3755">
      <w:pPr>
        <w:pStyle w:val="ListParagraph"/>
        <w:numPr>
          <w:ilvl w:val="0"/>
          <w:numId w:val="48"/>
        </w:numPr>
        <w:spacing w:after="0" w:line="240" w:lineRule="auto"/>
        <w:rPr>
          <w:rFonts w:ascii="Arial" w:hAnsi="Arial" w:cs="Arial"/>
          <w:sz w:val="20"/>
          <w:szCs w:val="20"/>
        </w:rPr>
      </w:pPr>
      <w:r w:rsidRPr="00AF3755">
        <w:rPr>
          <w:rFonts w:ascii="Arial" w:hAnsi="Arial" w:cs="Arial"/>
          <w:sz w:val="20"/>
          <w:szCs w:val="20"/>
        </w:rPr>
        <w:t xml:space="preserve">Number (200) of TVET college lecturers holding appropriate qualifications supported to acquire professional qualifications annually (achieved 119). It was reported that there were not enough public TVET college lecturers who were registered </w:t>
      </w:r>
      <w:r w:rsidR="00067E63" w:rsidRPr="00AF3755">
        <w:rPr>
          <w:rFonts w:ascii="Arial" w:hAnsi="Arial" w:cs="Arial"/>
          <w:sz w:val="20"/>
          <w:szCs w:val="20"/>
        </w:rPr>
        <w:t xml:space="preserve">for </w:t>
      </w:r>
      <w:r w:rsidRPr="00AF3755">
        <w:rPr>
          <w:rFonts w:ascii="Arial" w:hAnsi="Arial" w:cs="Arial"/>
          <w:sz w:val="20"/>
          <w:szCs w:val="20"/>
        </w:rPr>
        <w:t xml:space="preserve">the Advanced Diploma TVT (Adv Dip TVT) programme by universities offering it. While an impression was created by universities that 242 lecturers </w:t>
      </w:r>
      <w:r w:rsidR="0049714D" w:rsidRPr="00AF3755">
        <w:rPr>
          <w:rFonts w:ascii="Arial" w:hAnsi="Arial" w:cs="Arial"/>
          <w:sz w:val="20"/>
          <w:szCs w:val="20"/>
        </w:rPr>
        <w:t xml:space="preserve">had </w:t>
      </w:r>
      <w:r w:rsidRPr="00AF3755">
        <w:rPr>
          <w:rFonts w:ascii="Arial" w:hAnsi="Arial" w:cs="Arial"/>
          <w:sz w:val="20"/>
          <w:szCs w:val="20"/>
        </w:rPr>
        <w:t xml:space="preserve">completed the Advanced Diploma. The Department further explained that </w:t>
      </w:r>
      <w:r w:rsidR="004D15D7" w:rsidRPr="00AF3755">
        <w:rPr>
          <w:rFonts w:ascii="Arial" w:hAnsi="Arial" w:cs="Arial"/>
          <w:sz w:val="20"/>
          <w:szCs w:val="20"/>
        </w:rPr>
        <w:t xml:space="preserve">closer scrutiny </w:t>
      </w:r>
      <w:r w:rsidR="00067E63" w:rsidRPr="00AF3755">
        <w:rPr>
          <w:rFonts w:ascii="Arial" w:hAnsi="Arial" w:cs="Arial"/>
          <w:sz w:val="20"/>
          <w:szCs w:val="20"/>
        </w:rPr>
        <w:t xml:space="preserve">of </w:t>
      </w:r>
      <w:r w:rsidR="004D15D7" w:rsidRPr="00AF3755">
        <w:rPr>
          <w:rFonts w:ascii="Arial" w:hAnsi="Arial" w:cs="Arial"/>
          <w:sz w:val="20"/>
          <w:szCs w:val="20"/>
        </w:rPr>
        <w:t>the number revealed that the 32 students who graduated from Tshwane University of Technology were not lecturers in any public TVET college, neither were 89 students from Nelson Mandela University and two of the three students who graduated from the Vaal University of Technology.</w:t>
      </w:r>
    </w:p>
    <w:p w:rsidR="001D59B0" w:rsidRPr="00AF3755" w:rsidRDefault="001D59B0" w:rsidP="00AF3755">
      <w:pPr>
        <w:pStyle w:val="ListParagraph"/>
        <w:numPr>
          <w:ilvl w:val="0"/>
          <w:numId w:val="48"/>
        </w:numPr>
        <w:spacing w:after="0" w:line="240" w:lineRule="auto"/>
        <w:rPr>
          <w:rFonts w:ascii="Arial" w:hAnsi="Arial" w:cs="Arial"/>
          <w:sz w:val="20"/>
          <w:szCs w:val="20"/>
        </w:rPr>
      </w:pPr>
      <w:r w:rsidRPr="00AF3755">
        <w:rPr>
          <w:rFonts w:ascii="Arial" w:hAnsi="Arial" w:cs="Arial"/>
          <w:sz w:val="20"/>
          <w:szCs w:val="20"/>
        </w:rPr>
        <w:t xml:space="preserve">Final governance standards for TVET college Councils approved by the Minister by 31 March 2022. It was reported that they were not developed as planned because the development of governance standards was deemed Ultra Vires by the state legal advisor. </w:t>
      </w:r>
    </w:p>
    <w:p w:rsidR="001D59B0" w:rsidRPr="00AF3755" w:rsidRDefault="001D59B0" w:rsidP="00AF3755">
      <w:pPr>
        <w:pStyle w:val="ListParagraph"/>
        <w:numPr>
          <w:ilvl w:val="0"/>
          <w:numId w:val="48"/>
        </w:numPr>
        <w:spacing w:after="0" w:line="240" w:lineRule="auto"/>
        <w:rPr>
          <w:rFonts w:ascii="Arial" w:hAnsi="Arial" w:cs="Arial"/>
          <w:sz w:val="20"/>
          <w:szCs w:val="20"/>
        </w:rPr>
      </w:pPr>
      <w:r w:rsidRPr="00AF3755">
        <w:rPr>
          <w:rFonts w:ascii="Arial" w:hAnsi="Arial" w:cs="Arial"/>
          <w:sz w:val="20"/>
          <w:szCs w:val="20"/>
        </w:rPr>
        <w:t>Percentage (5</w:t>
      </w:r>
      <w:r w:rsidR="00067E63" w:rsidRPr="00AF3755">
        <w:rPr>
          <w:rFonts w:ascii="Arial" w:hAnsi="Arial" w:cs="Arial"/>
          <w:sz w:val="20"/>
          <w:szCs w:val="20"/>
        </w:rPr>
        <w:t xml:space="preserve"> per cent</w:t>
      </w:r>
      <w:r w:rsidRPr="00AF3755">
        <w:rPr>
          <w:rFonts w:ascii="Arial" w:hAnsi="Arial" w:cs="Arial"/>
          <w:sz w:val="20"/>
          <w:szCs w:val="20"/>
        </w:rPr>
        <w:t>) increase in student placement in the workplace for experiential learning per annum (achievement was 0</w:t>
      </w:r>
      <w:r w:rsidR="00067E63" w:rsidRPr="00AF3755">
        <w:rPr>
          <w:rFonts w:ascii="Arial" w:hAnsi="Arial" w:cs="Arial"/>
          <w:sz w:val="20"/>
          <w:szCs w:val="20"/>
        </w:rPr>
        <w:t xml:space="preserve"> per cent</w:t>
      </w:r>
      <w:r w:rsidRPr="00AF3755">
        <w:rPr>
          <w:rFonts w:ascii="Arial" w:hAnsi="Arial" w:cs="Arial"/>
          <w:sz w:val="20"/>
          <w:szCs w:val="20"/>
        </w:rPr>
        <w:t>). It was reported that the total number of student placement</w:t>
      </w:r>
      <w:r w:rsidR="00067E63" w:rsidRPr="00AF3755">
        <w:rPr>
          <w:rFonts w:ascii="Arial" w:hAnsi="Arial" w:cs="Arial"/>
          <w:sz w:val="20"/>
          <w:szCs w:val="20"/>
        </w:rPr>
        <w:t>s</w:t>
      </w:r>
      <w:r w:rsidRPr="00AF3755">
        <w:rPr>
          <w:rFonts w:ascii="Arial" w:hAnsi="Arial" w:cs="Arial"/>
          <w:sz w:val="20"/>
          <w:szCs w:val="20"/>
        </w:rPr>
        <w:t xml:space="preserve"> decreased from 9 094 to 9 061 due to the adverse impact of </w:t>
      </w:r>
      <w:r w:rsidR="00067E63" w:rsidRPr="00AF3755">
        <w:rPr>
          <w:rFonts w:ascii="Arial" w:hAnsi="Arial" w:cs="Arial"/>
          <w:sz w:val="20"/>
          <w:szCs w:val="20"/>
        </w:rPr>
        <w:t xml:space="preserve">the </w:t>
      </w:r>
      <w:r w:rsidRPr="00AF3755">
        <w:rPr>
          <w:rFonts w:ascii="Arial" w:hAnsi="Arial" w:cs="Arial"/>
          <w:sz w:val="20"/>
          <w:szCs w:val="20"/>
        </w:rPr>
        <w:t>COVID-19 pandemic on employers.</w:t>
      </w:r>
    </w:p>
    <w:p w:rsidR="007F69BD" w:rsidRPr="00AF3755" w:rsidRDefault="007F69BD" w:rsidP="00AF3755">
      <w:pPr>
        <w:pStyle w:val="ListParagraph"/>
        <w:spacing w:after="0" w:line="240" w:lineRule="auto"/>
        <w:ind w:left="0"/>
        <w:rPr>
          <w:rFonts w:ascii="Arial" w:hAnsi="Arial" w:cs="Arial"/>
          <w:b/>
          <w:sz w:val="20"/>
          <w:szCs w:val="20"/>
        </w:rPr>
      </w:pPr>
    </w:p>
    <w:p w:rsidR="00D771DF" w:rsidRPr="00AF3755" w:rsidRDefault="00D771DF"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 xml:space="preserve">Selected performance against the </w:t>
      </w:r>
      <w:r w:rsidR="005B52AE" w:rsidRPr="00AF3755">
        <w:rPr>
          <w:rFonts w:ascii="Arial" w:hAnsi="Arial" w:cs="Arial"/>
          <w:b/>
          <w:sz w:val="20"/>
          <w:szCs w:val="20"/>
        </w:rPr>
        <w:t>system</w:t>
      </w:r>
      <w:r w:rsidRPr="00AF3755">
        <w:rPr>
          <w:rFonts w:ascii="Arial" w:hAnsi="Arial" w:cs="Arial"/>
          <w:b/>
          <w:sz w:val="20"/>
          <w:szCs w:val="20"/>
        </w:rPr>
        <w:t xml:space="preserve"> targets</w:t>
      </w:r>
    </w:p>
    <w:p w:rsidR="00AC772D" w:rsidRPr="00AF3755" w:rsidRDefault="0062225A" w:rsidP="00AF3755">
      <w:pPr>
        <w:pStyle w:val="ListParagraph"/>
        <w:numPr>
          <w:ilvl w:val="0"/>
          <w:numId w:val="49"/>
        </w:numPr>
        <w:spacing w:after="0" w:line="240" w:lineRule="auto"/>
        <w:rPr>
          <w:rFonts w:ascii="Arial" w:hAnsi="Arial" w:cs="Arial"/>
          <w:sz w:val="20"/>
          <w:szCs w:val="20"/>
        </w:rPr>
      </w:pPr>
      <w:r w:rsidRPr="00AF3755">
        <w:rPr>
          <w:rFonts w:ascii="Arial" w:hAnsi="Arial" w:cs="Arial"/>
          <w:sz w:val="20"/>
          <w:szCs w:val="20"/>
        </w:rPr>
        <w:t>Number (3 500) of students enrolled in Pre-Vocational Learning Programme (exceeded the target by 1 750);</w:t>
      </w:r>
    </w:p>
    <w:p w:rsidR="0062225A" w:rsidRPr="00AF3755" w:rsidRDefault="0062225A" w:rsidP="00AF3755">
      <w:pPr>
        <w:pStyle w:val="ListParagraph"/>
        <w:numPr>
          <w:ilvl w:val="0"/>
          <w:numId w:val="49"/>
        </w:numPr>
        <w:spacing w:after="0" w:line="240" w:lineRule="auto"/>
        <w:rPr>
          <w:rFonts w:ascii="Arial" w:hAnsi="Arial" w:cs="Arial"/>
          <w:sz w:val="20"/>
          <w:szCs w:val="20"/>
        </w:rPr>
      </w:pPr>
      <w:r w:rsidRPr="00AF3755">
        <w:rPr>
          <w:rFonts w:ascii="Arial" w:hAnsi="Arial" w:cs="Arial"/>
          <w:sz w:val="20"/>
          <w:szCs w:val="20"/>
        </w:rPr>
        <w:t>Percentage (65</w:t>
      </w:r>
      <w:r w:rsidR="00067E63" w:rsidRPr="00AF3755">
        <w:rPr>
          <w:rFonts w:ascii="Arial" w:hAnsi="Arial" w:cs="Arial"/>
          <w:sz w:val="20"/>
          <w:szCs w:val="20"/>
        </w:rPr>
        <w:t xml:space="preserve"> per cent</w:t>
      </w:r>
      <w:r w:rsidRPr="00AF3755">
        <w:rPr>
          <w:rFonts w:ascii="Arial" w:hAnsi="Arial" w:cs="Arial"/>
          <w:sz w:val="20"/>
          <w:szCs w:val="20"/>
        </w:rPr>
        <w:t>) of TVET college lecturers with professional qualifications (exceeded the target by 1</w:t>
      </w:r>
      <w:r w:rsidR="00067E63" w:rsidRPr="00AF3755">
        <w:rPr>
          <w:rFonts w:ascii="Arial" w:hAnsi="Arial" w:cs="Arial"/>
          <w:sz w:val="20"/>
          <w:szCs w:val="20"/>
        </w:rPr>
        <w:t xml:space="preserve"> per cent</w:t>
      </w:r>
      <w:r w:rsidRPr="00AF3755">
        <w:rPr>
          <w:rFonts w:ascii="Arial" w:hAnsi="Arial" w:cs="Arial"/>
          <w:sz w:val="20"/>
          <w:szCs w:val="20"/>
        </w:rPr>
        <w:t>)</w:t>
      </w:r>
      <w:r w:rsidR="004455E2" w:rsidRPr="00AF3755">
        <w:rPr>
          <w:rFonts w:ascii="Arial" w:hAnsi="Arial" w:cs="Arial"/>
          <w:sz w:val="20"/>
          <w:szCs w:val="20"/>
        </w:rPr>
        <w:t>;</w:t>
      </w:r>
    </w:p>
    <w:p w:rsidR="0062225A" w:rsidRPr="00AF3755" w:rsidRDefault="0062225A" w:rsidP="00AF3755">
      <w:pPr>
        <w:pStyle w:val="ListParagraph"/>
        <w:numPr>
          <w:ilvl w:val="0"/>
          <w:numId w:val="49"/>
        </w:numPr>
        <w:spacing w:after="0" w:line="240" w:lineRule="auto"/>
        <w:rPr>
          <w:rFonts w:ascii="Arial" w:hAnsi="Arial" w:cs="Arial"/>
          <w:sz w:val="20"/>
          <w:szCs w:val="20"/>
        </w:rPr>
      </w:pPr>
      <w:r w:rsidRPr="00AF3755">
        <w:rPr>
          <w:rFonts w:ascii="Arial" w:hAnsi="Arial" w:cs="Arial"/>
          <w:sz w:val="20"/>
          <w:szCs w:val="20"/>
        </w:rPr>
        <w:t>Number (770) of artisan learners trained in Centres of Specialisation (</w:t>
      </w:r>
      <w:r w:rsidR="004455E2" w:rsidRPr="00AF3755">
        <w:rPr>
          <w:rFonts w:ascii="Arial" w:hAnsi="Arial" w:cs="Arial"/>
          <w:sz w:val="20"/>
          <w:szCs w:val="20"/>
        </w:rPr>
        <w:t>exceeded the target by 88); and</w:t>
      </w:r>
    </w:p>
    <w:p w:rsidR="004455E2" w:rsidRPr="00AF3755" w:rsidRDefault="004455E2" w:rsidP="00AF3755">
      <w:pPr>
        <w:pStyle w:val="ListParagraph"/>
        <w:numPr>
          <w:ilvl w:val="0"/>
          <w:numId w:val="49"/>
        </w:numPr>
        <w:spacing w:after="0" w:line="240" w:lineRule="auto"/>
        <w:rPr>
          <w:rFonts w:ascii="Arial" w:hAnsi="Arial" w:cs="Arial"/>
          <w:sz w:val="20"/>
          <w:szCs w:val="20"/>
        </w:rPr>
      </w:pPr>
      <w:r w:rsidRPr="00AF3755">
        <w:rPr>
          <w:rFonts w:ascii="Arial" w:hAnsi="Arial" w:cs="Arial"/>
          <w:sz w:val="20"/>
          <w:szCs w:val="20"/>
        </w:rPr>
        <w:t xml:space="preserve">Number (500) of lecturers participating in </w:t>
      </w:r>
      <w:r w:rsidR="00067E63" w:rsidRPr="00AF3755">
        <w:rPr>
          <w:rFonts w:ascii="Arial" w:hAnsi="Arial" w:cs="Arial"/>
          <w:sz w:val="20"/>
          <w:szCs w:val="20"/>
        </w:rPr>
        <w:t xml:space="preserve">the </w:t>
      </w:r>
      <w:r w:rsidRPr="00AF3755">
        <w:rPr>
          <w:rFonts w:ascii="Arial" w:hAnsi="Arial" w:cs="Arial"/>
          <w:sz w:val="20"/>
          <w:szCs w:val="20"/>
        </w:rPr>
        <w:t>digital literacy programme (exceeded the target by 735).</w:t>
      </w:r>
    </w:p>
    <w:p w:rsidR="004455E2" w:rsidRPr="00AF3755" w:rsidRDefault="005B52AE" w:rsidP="00AF3755">
      <w:pPr>
        <w:spacing w:after="0" w:line="240" w:lineRule="auto"/>
        <w:rPr>
          <w:rFonts w:ascii="Arial" w:hAnsi="Arial" w:cs="Arial"/>
          <w:b/>
          <w:sz w:val="20"/>
          <w:szCs w:val="20"/>
        </w:rPr>
      </w:pPr>
      <w:r w:rsidRPr="00AF3755">
        <w:rPr>
          <w:rFonts w:ascii="Arial" w:hAnsi="Arial" w:cs="Arial"/>
          <w:b/>
          <w:sz w:val="20"/>
          <w:szCs w:val="20"/>
        </w:rPr>
        <w:t xml:space="preserve">System </w:t>
      </w:r>
      <w:r w:rsidR="00F6099E" w:rsidRPr="00AF3755">
        <w:rPr>
          <w:rFonts w:ascii="Arial" w:hAnsi="Arial" w:cs="Arial"/>
          <w:b/>
          <w:sz w:val="20"/>
          <w:szCs w:val="20"/>
        </w:rPr>
        <w:t>t</w:t>
      </w:r>
      <w:r w:rsidR="004455E2" w:rsidRPr="00AF3755">
        <w:rPr>
          <w:rFonts w:ascii="Arial" w:hAnsi="Arial" w:cs="Arial"/>
          <w:b/>
          <w:sz w:val="20"/>
          <w:szCs w:val="20"/>
        </w:rPr>
        <w:t>argets not achieved</w:t>
      </w:r>
    </w:p>
    <w:p w:rsidR="004455E2" w:rsidRPr="00AF3755" w:rsidRDefault="004455E2" w:rsidP="00AF3755">
      <w:pPr>
        <w:pStyle w:val="ListParagraph"/>
        <w:numPr>
          <w:ilvl w:val="0"/>
          <w:numId w:val="50"/>
        </w:numPr>
        <w:spacing w:after="0" w:line="240" w:lineRule="auto"/>
        <w:rPr>
          <w:rFonts w:ascii="Arial" w:hAnsi="Arial" w:cs="Arial"/>
          <w:sz w:val="20"/>
          <w:szCs w:val="20"/>
        </w:rPr>
      </w:pPr>
      <w:r w:rsidRPr="00AF3755">
        <w:rPr>
          <w:rFonts w:ascii="Arial" w:hAnsi="Arial" w:cs="Arial"/>
          <w:sz w:val="20"/>
          <w:szCs w:val="20"/>
        </w:rPr>
        <w:t xml:space="preserve">Number (610 000) of students enrolling at TVET colleges annually (achieved 452 277). The Department reported that the 2020 academic year was characterized by severe lockdowns and </w:t>
      </w:r>
      <w:r w:rsidRPr="00AF3755">
        <w:rPr>
          <w:rFonts w:ascii="Arial" w:hAnsi="Arial" w:cs="Arial"/>
          <w:sz w:val="20"/>
          <w:szCs w:val="20"/>
        </w:rPr>
        <w:lastRenderedPageBreak/>
        <w:t xml:space="preserve">disruption on the academic calendar and enrolment intakes. Semester two and trimester three were forfeited and these were substantial intakes. </w:t>
      </w:r>
    </w:p>
    <w:p w:rsidR="004455E2" w:rsidRPr="00AF3755" w:rsidRDefault="004455E2" w:rsidP="00AF3755">
      <w:pPr>
        <w:pStyle w:val="ListParagraph"/>
        <w:numPr>
          <w:ilvl w:val="0"/>
          <w:numId w:val="50"/>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t xml:space="preserve">Number (310 900) of college students receiving funding through NSFAS bursaries annually (achieved 265 747). It was noted that COVID-19 had an impact in terms of the academic calendar – fewer intakes – Semester two and Trimester three intakes were forfeited because of </w:t>
      </w:r>
      <w:r w:rsidR="00067E63" w:rsidRPr="00AF3755">
        <w:rPr>
          <w:rFonts w:ascii="Arial" w:eastAsia="Times New Roman" w:hAnsi="Arial" w:cs="Arial"/>
          <w:color w:val="000000"/>
          <w:sz w:val="20"/>
          <w:szCs w:val="20"/>
          <w:lang w:val="en-US" w:eastAsia="en-ZA"/>
        </w:rPr>
        <w:t xml:space="preserve">the </w:t>
      </w:r>
      <w:r w:rsidRPr="00AF3755">
        <w:rPr>
          <w:rFonts w:ascii="Arial" w:eastAsia="Times New Roman" w:hAnsi="Arial" w:cs="Arial"/>
          <w:color w:val="000000"/>
          <w:sz w:val="20"/>
          <w:szCs w:val="20"/>
          <w:lang w:val="en-US" w:eastAsia="en-ZA"/>
        </w:rPr>
        <w:t xml:space="preserve">lockdown. Thus, </w:t>
      </w:r>
      <w:r w:rsidR="00067E63" w:rsidRPr="00AF3755">
        <w:rPr>
          <w:rFonts w:ascii="Arial" w:eastAsia="Times New Roman" w:hAnsi="Arial" w:cs="Arial"/>
          <w:color w:val="000000"/>
          <w:sz w:val="20"/>
          <w:szCs w:val="20"/>
          <w:lang w:val="en-US" w:eastAsia="en-ZA"/>
        </w:rPr>
        <w:t xml:space="preserve">fewer students </w:t>
      </w:r>
      <w:r w:rsidR="0049714D" w:rsidRPr="00AF3755">
        <w:rPr>
          <w:rFonts w:ascii="Arial" w:eastAsia="Times New Roman" w:hAnsi="Arial" w:cs="Arial"/>
          <w:color w:val="000000"/>
          <w:sz w:val="20"/>
          <w:szCs w:val="20"/>
          <w:lang w:val="en-US" w:eastAsia="en-ZA"/>
        </w:rPr>
        <w:t>applied</w:t>
      </w:r>
      <w:r w:rsidRPr="00AF3755">
        <w:rPr>
          <w:rFonts w:ascii="Arial" w:eastAsia="Times New Roman" w:hAnsi="Arial" w:cs="Arial"/>
          <w:color w:val="000000"/>
          <w:sz w:val="20"/>
          <w:szCs w:val="20"/>
          <w:lang w:val="en-US" w:eastAsia="en-ZA"/>
        </w:rPr>
        <w:t xml:space="preserve"> for NSFAS.</w:t>
      </w:r>
    </w:p>
    <w:p w:rsidR="004455E2" w:rsidRPr="00AF3755" w:rsidRDefault="004455E2" w:rsidP="00AF3755">
      <w:pPr>
        <w:pStyle w:val="ListParagraph"/>
        <w:numPr>
          <w:ilvl w:val="0"/>
          <w:numId w:val="50"/>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t>Number (70 880) of TVET college students completing N6 qualification annually (achieved 14 700). The Department reported that the 80</w:t>
      </w:r>
      <w:r w:rsidR="00067E63" w:rsidRPr="00AF3755">
        <w:rPr>
          <w:rFonts w:ascii="Arial" w:eastAsia="Times New Roman" w:hAnsi="Arial" w:cs="Arial"/>
          <w:color w:val="000000"/>
          <w:sz w:val="20"/>
          <w:szCs w:val="20"/>
          <w:lang w:val="en-US" w:eastAsia="en-ZA"/>
        </w:rPr>
        <w:t xml:space="preserve"> </w:t>
      </w:r>
      <w:r w:rsidR="00067E63" w:rsidRPr="00AF3755">
        <w:rPr>
          <w:rFonts w:ascii="Arial" w:hAnsi="Arial" w:cs="Arial"/>
          <w:sz w:val="20"/>
          <w:szCs w:val="20"/>
        </w:rPr>
        <w:t>per cent</w:t>
      </w:r>
      <w:r w:rsidRPr="00AF3755">
        <w:rPr>
          <w:rFonts w:ascii="Arial" w:eastAsia="Times New Roman" w:hAnsi="Arial" w:cs="Arial"/>
          <w:color w:val="000000"/>
          <w:sz w:val="20"/>
          <w:szCs w:val="20"/>
          <w:lang w:val="en-US" w:eastAsia="en-ZA"/>
        </w:rPr>
        <w:t xml:space="preserve"> attendance requirement for admission into examinations was waivered in the 2020 academic year, which could have led to lower attendance of classes by students and therefore poor performance</w:t>
      </w:r>
    </w:p>
    <w:p w:rsidR="004455E2" w:rsidRPr="00AF3755" w:rsidRDefault="004455E2" w:rsidP="00AF3755">
      <w:pPr>
        <w:pStyle w:val="ListParagraph"/>
        <w:numPr>
          <w:ilvl w:val="0"/>
          <w:numId w:val="50"/>
        </w:numPr>
        <w:spacing w:after="0" w:line="240" w:lineRule="auto"/>
        <w:rPr>
          <w:rFonts w:ascii="Arial" w:hAnsi="Arial" w:cs="Arial"/>
          <w:sz w:val="20"/>
          <w:szCs w:val="20"/>
        </w:rPr>
      </w:pPr>
      <w:r w:rsidRPr="00AF3755">
        <w:rPr>
          <w:rFonts w:ascii="Arial" w:eastAsia="Times New Roman" w:hAnsi="Arial" w:cs="Arial"/>
          <w:color w:val="000000"/>
          <w:sz w:val="20"/>
          <w:szCs w:val="20"/>
          <w:lang w:val="en-US" w:eastAsia="en-ZA"/>
        </w:rPr>
        <w:t>Number (13 286) of TVET college students completing NC(V) Level 4 annually (achieved 12 507). It was reported that The 80</w:t>
      </w:r>
      <w:r w:rsidR="00067E63" w:rsidRPr="00AF3755">
        <w:rPr>
          <w:rFonts w:ascii="Arial" w:hAnsi="Arial" w:cs="Arial"/>
          <w:sz w:val="20"/>
          <w:szCs w:val="20"/>
        </w:rPr>
        <w:t xml:space="preserve"> per cent</w:t>
      </w:r>
      <w:r w:rsidR="00067E63" w:rsidRPr="00AF3755" w:rsidDel="00067E63">
        <w:rPr>
          <w:rFonts w:ascii="Arial" w:eastAsia="Times New Roman" w:hAnsi="Arial" w:cs="Arial"/>
          <w:color w:val="000000"/>
          <w:sz w:val="20"/>
          <w:szCs w:val="20"/>
          <w:lang w:val="en-US" w:eastAsia="en-ZA"/>
        </w:rPr>
        <w:t xml:space="preserve"> </w:t>
      </w:r>
      <w:r w:rsidRPr="00AF3755">
        <w:rPr>
          <w:rFonts w:ascii="Arial" w:eastAsia="Times New Roman" w:hAnsi="Arial" w:cs="Arial"/>
          <w:color w:val="000000"/>
          <w:sz w:val="20"/>
          <w:szCs w:val="20"/>
          <w:lang w:val="en-US" w:eastAsia="en-ZA"/>
        </w:rPr>
        <w:t>attendance requirement for admission into examinations was waivered in the 2020 academic year which could have led to lower attendance of classes by students and therefore poor performance</w:t>
      </w:r>
    </w:p>
    <w:p w:rsidR="004455E2" w:rsidRPr="00AF3755" w:rsidRDefault="004455E2" w:rsidP="00AF3755">
      <w:pPr>
        <w:pStyle w:val="ListParagraph"/>
        <w:spacing w:after="0" w:line="240" w:lineRule="auto"/>
        <w:ind w:left="360"/>
        <w:rPr>
          <w:rFonts w:ascii="Arial" w:hAnsi="Arial" w:cs="Arial"/>
          <w:sz w:val="20"/>
          <w:szCs w:val="20"/>
        </w:rPr>
      </w:pPr>
    </w:p>
    <w:p w:rsidR="00CE27E8" w:rsidRPr="00AF3755" w:rsidRDefault="00CE27E8"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5: Skills Development</w:t>
      </w:r>
    </w:p>
    <w:p w:rsidR="00F62A79" w:rsidRPr="00AF3755" w:rsidRDefault="003A39DF" w:rsidP="00AF3755">
      <w:pPr>
        <w:pStyle w:val="ListParagraph"/>
        <w:spacing w:after="0" w:line="240" w:lineRule="auto"/>
        <w:ind w:left="0"/>
        <w:rPr>
          <w:rFonts w:ascii="Arial" w:hAnsi="Arial" w:cs="Arial"/>
          <w:sz w:val="20"/>
          <w:szCs w:val="20"/>
        </w:rPr>
      </w:pPr>
      <w:r w:rsidRPr="00AF3755">
        <w:rPr>
          <w:rFonts w:ascii="Arial" w:hAnsi="Arial" w:cs="Arial"/>
          <w:sz w:val="20"/>
          <w:szCs w:val="20"/>
        </w:rPr>
        <w:t>T</w:t>
      </w:r>
      <w:r w:rsidR="00F62A79" w:rsidRPr="00AF3755">
        <w:rPr>
          <w:rFonts w:ascii="Arial" w:hAnsi="Arial" w:cs="Arial"/>
          <w:sz w:val="20"/>
          <w:szCs w:val="20"/>
        </w:rPr>
        <w:t>he programme had a combined total of 1</w:t>
      </w:r>
      <w:r w:rsidRPr="00AF3755">
        <w:rPr>
          <w:rFonts w:ascii="Arial" w:hAnsi="Arial" w:cs="Arial"/>
          <w:sz w:val="20"/>
          <w:szCs w:val="20"/>
        </w:rPr>
        <w:t>3</w:t>
      </w:r>
      <w:r w:rsidR="00F62A79" w:rsidRPr="00AF3755">
        <w:rPr>
          <w:rFonts w:ascii="Arial" w:hAnsi="Arial" w:cs="Arial"/>
          <w:sz w:val="20"/>
          <w:szCs w:val="20"/>
        </w:rPr>
        <w:t xml:space="preserve"> targets, comprised </w:t>
      </w:r>
      <w:r w:rsidR="00B72888" w:rsidRPr="00AF3755">
        <w:rPr>
          <w:rFonts w:ascii="Arial" w:hAnsi="Arial" w:cs="Arial"/>
          <w:sz w:val="20"/>
          <w:szCs w:val="20"/>
        </w:rPr>
        <w:t xml:space="preserve">of </w:t>
      </w:r>
      <w:r w:rsidR="005078A3" w:rsidRPr="00AF3755">
        <w:rPr>
          <w:rFonts w:ascii="Arial" w:hAnsi="Arial" w:cs="Arial"/>
          <w:sz w:val="20"/>
          <w:szCs w:val="20"/>
        </w:rPr>
        <w:t xml:space="preserve">11 </w:t>
      </w:r>
      <w:r w:rsidR="00B72888" w:rsidRPr="00AF3755">
        <w:rPr>
          <w:rFonts w:ascii="Arial" w:hAnsi="Arial" w:cs="Arial"/>
          <w:sz w:val="20"/>
          <w:szCs w:val="20"/>
        </w:rPr>
        <w:t>direct</w:t>
      </w:r>
      <w:r w:rsidR="00F62A79" w:rsidRPr="00AF3755">
        <w:rPr>
          <w:rFonts w:ascii="Arial" w:hAnsi="Arial" w:cs="Arial"/>
          <w:sz w:val="20"/>
          <w:szCs w:val="20"/>
        </w:rPr>
        <w:t xml:space="preserve"> outputs </w:t>
      </w:r>
      <w:r w:rsidRPr="00AF3755">
        <w:rPr>
          <w:rFonts w:ascii="Arial" w:hAnsi="Arial" w:cs="Arial"/>
          <w:sz w:val="20"/>
          <w:szCs w:val="20"/>
        </w:rPr>
        <w:t xml:space="preserve">and </w:t>
      </w:r>
      <w:r w:rsidR="005078A3" w:rsidRPr="00AF3755">
        <w:rPr>
          <w:rFonts w:ascii="Arial" w:hAnsi="Arial" w:cs="Arial"/>
          <w:sz w:val="20"/>
          <w:szCs w:val="20"/>
        </w:rPr>
        <w:t xml:space="preserve">two </w:t>
      </w:r>
      <w:r w:rsidR="00F62A79" w:rsidRPr="00AF3755">
        <w:rPr>
          <w:rFonts w:ascii="Arial" w:hAnsi="Arial" w:cs="Arial"/>
          <w:sz w:val="20"/>
          <w:szCs w:val="20"/>
        </w:rPr>
        <w:t xml:space="preserve">system targets. The programme achieved six </w:t>
      </w:r>
      <w:r w:rsidRPr="00AF3755">
        <w:rPr>
          <w:rFonts w:ascii="Arial" w:hAnsi="Arial" w:cs="Arial"/>
          <w:sz w:val="20"/>
          <w:szCs w:val="20"/>
        </w:rPr>
        <w:t xml:space="preserve">or </w:t>
      </w:r>
      <w:r w:rsidR="005078A3" w:rsidRPr="00AF3755">
        <w:rPr>
          <w:rFonts w:ascii="Arial" w:hAnsi="Arial" w:cs="Arial"/>
          <w:sz w:val="20"/>
          <w:szCs w:val="20"/>
        </w:rPr>
        <w:t>54.5</w:t>
      </w:r>
      <w:r w:rsidRPr="00AF3755">
        <w:rPr>
          <w:rFonts w:ascii="Arial" w:hAnsi="Arial" w:cs="Arial"/>
          <w:sz w:val="20"/>
          <w:szCs w:val="20"/>
        </w:rPr>
        <w:t xml:space="preserve"> per cent </w:t>
      </w:r>
      <w:r w:rsidR="00F62A79" w:rsidRPr="00AF3755">
        <w:rPr>
          <w:rFonts w:ascii="Arial" w:hAnsi="Arial" w:cs="Arial"/>
          <w:sz w:val="20"/>
          <w:szCs w:val="20"/>
        </w:rPr>
        <w:t xml:space="preserve">of </w:t>
      </w:r>
      <w:r w:rsidR="00E06697" w:rsidRPr="00AF3755">
        <w:rPr>
          <w:rFonts w:ascii="Arial" w:hAnsi="Arial" w:cs="Arial"/>
          <w:sz w:val="20"/>
          <w:szCs w:val="20"/>
        </w:rPr>
        <w:t xml:space="preserve">the </w:t>
      </w:r>
      <w:r w:rsidRPr="00AF3755">
        <w:rPr>
          <w:rFonts w:ascii="Arial" w:hAnsi="Arial" w:cs="Arial"/>
          <w:sz w:val="20"/>
          <w:szCs w:val="20"/>
        </w:rPr>
        <w:t>1</w:t>
      </w:r>
      <w:r w:rsidR="00D04BD4" w:rsidRPr="00AF3755">
        <w:rPr>
          <w:rFonts w:ascii="Arial" w:hAnsi="Arial" w:cs="Arial"/>
          <w:sz w:val="20"/>
          <w:szCs w:val="20"/>
        </w:rPr>
        <w:t>1</w:t>
      </w:r>
      <w:r w:rsidR="00F62A79" w:rsidRPr="00AF3755">
        <w:rPr>
          <w:rFonts w:ascii="Arial" w:hAnsi="Arial" w:cs="Arial"/>
          <w:sz w:val="20"/>
          <w:szCs w:val="20"/>
        </w:rPr>
        <w:t xml:space="preserve"> targets. </w:t>
      </w:r>
      <w:r w:rsidRPr="00AF3755">
        <w:rPr>
          <w:rFonts w:ascii="Arial" w:hAnsi="Arial" w:cs="Arial"/>
          <w:sz w:val="20"/>
          <w:szCs w:val="20"/>
        </w:rPr>
        <w:t xml:space="preserve">The programme </w:t>
      </w:r>
      <w:r w:rsidR="00D04BD4" w:rsidRPr="00AF3755">
        <w:rPr>
          <w:rFonts w:ascii="Arial" w:hAnsi="Arial" w:cs="Arial"/>
          <w:sz w:val="20"/>
          <w:szCs w:val="20"/>
        </w:rPr>
        <w:t xml:space="preserve">achieved zero per cent </w:t>
      </w:r>
      <w:r w:rsidR="00067E63" w:rsidRPr="00AF3755">
        <w:rPr>
          <w:rFonts w:ascii="Arial" w:hAnsi="Arial" w:cs="Arial"/>
          <w:sz w:val="20"/>
          <w:szCs w:val="20"/>
        </w:rPr>
        <w:t xml:space="preserve">of </w:t>
      </w:r>
      <w:r w:rsidRPr="00AF3755">
        <w:rPr>
          <w:rFonts w:ascii="Arial" w:hAnsi="Arial" w:cs="Arial"/>
          <w:sz w:val="20"/>
          <w:szCs w:val="20"/>
        </w:rPr>
        <w:t xml:space="preserve">the </w:t>
      </w:r>
      <w:r w:rsidR="00067E63" w:rsidRPr="00AF3755">
        <w:rPr>
          <w:rFonts w:ascii="Arial" w:hAnsi="Arial" w:cs="Arial"/>
          <w:sz w:val="20"/>
          <w:szCs w:val="20"/>
        </w:rPr>
        <w:t>MTSF-</w:t>
      </w:r>
      <w:r w:rsidRPr="00AF3755">
        <w:rPr>
          <w:rFonts w:ascii="Arial" w:hAnsi="Arial" w:cs="Arial"/>
          <w:sz w:val="20"/>
          <w:szCs w:val="20"/>
        </w:rPr>
        <w:t>related targets.</w:t>
      </w:r>
    </w:p>
    <w:p w:rsidR="00340801" w:rsidRPr="00AF3755" w:rsidRDefault="00EC1882" w:rsidP="00AF3755">
      <w:pPr>
        <w:spacing w:after="0" w:line="240" w:lineRule="auto"/>
        <w:rPr>
          <w:rFonts w:ascii="Arial" w:hAnsi="Arial" w:cs="Arial"/>
          <w:b/>
          <w:sz w:val="20"/>
          <w:szCs w:val="20"/>
        </w:rPr>
      </w:pPr>
      <w:r w:rsidRPr="00AF3755">
        <w:rPr>
          <w:rFonts w:ascii="Arial" w:hAnsi="Arial" w:cs="Arial"/>
          <w:b/>
          <w:sz w:val="20"/>
          <w:szCs w:val="20"/>
        </w:rPr>
        <w:t>Selected key achievements</w:t>
      </w:r>
    </w:p>
    <w:p w:rsidR="00EC1882" w:rsidRPr="00AF3755" w:rsidRDefault="003A39DF" w:rsidP="00AF3755">
      <w:pPr>
        <w:pStyle w:val="ListParagraph"/>
        <w:numPr>
          <w:ilvl w:val="0"/>
          <w:numId w:val="45"/>
        </w:numPr>
        <w:spacing w:after="0" w:line="240" w:lineRule="auto"/>
        <w:rPr>
          <w:rFonts w:ascii="Arial" w:hAnsi="Arial" w:cs="Arial"/>
          <w:sz w:val="20"/>
          <w:szCs w:val="20"/>
        </w:rPr>
      </w:pPr>
      <w:r w:rsidRPr="00AF3755">
        <w:rPr>
          <w:rFonts w:ascii="Arial" w:hAnsi="Arial" w:cs="Arial"/>
          <w:sz w:val="20"/>
          <w:szCs w:val="20"/>
        </w:rPr>
        <w:t>The Minister approved the Sector Skills Plans (SSPs) aligned to the updated SSP Framework.</w:t>
      </w:r>
    </w:p>
    <w:p w:rsidR="003A39DF" w:rsidRPr="00AF3755" w:rsidRDefault="003A39DF" w:rsidP="00AF3755">
      <w:pPr>
        <w:pStyle w:val="ListParagraph"/>
        <w:numPr>
          <w:ilvl w:val="0"/>
          <w:numId w:val="45"/>
        </w:numPr>
        <w:spacing w:after="0" w:line="240" w:lineRule="auto"/>
        <w:rPr>
          <w:rFonts w:ascii="Arial" w:hAnsi="Arial" w:cs="Arial"/>
          <w:sz w:val="20"/>
          <w:szCs w:val="20"/>
        </w:rPr>
      </w:pPr>
      <w:r w:rsidRPr="00AF3755">
        <w:rPr>
          <w:rFonts w:ascii="Arial" w:hAnsi="Arial" w:cs="Arial"/>
          <w:sz w:val="20"/>
          <w:szCs w:val="20"/>
        </w:rPr>
        <w:t xml:space="preserve">The Director-General approved the </w:t>
      </w:r>
      <w:r w:rsidR="008F50FB" w:rsidRPr="00AF3755">
        <w:rPr>
          <w:rFonts w:ascii="Arial" w:hAnsi="Arial" w:cs="Arial"/>
          <w:sz w:val="20"/>
          <w:szCs w:val="20"/>
        </w:rPr>
        <w:t>Sectorial</w:t>
      </w:r>
      <w:r w:rsidRPr="00AF3755">
        <w:rPr>
          <w:rFonts w:ascii="Arial" w:hAnsi="Arial" w:cs="Arial"/>
          <w:sz w:val="20"/>
          <w:szCs w:val="20"/>
        </w:rPr>
        <w:t xml:space="preserve"> occupations in high demand</w:t>
      </w:r>
      <w:r w:rsidR="008F50FB" w:rsidRPr="00AF3755">
        <w:rPr>
          <w:rFonts w:ascii="Arial" w:hAnsi="Arial" w:cs="Arial"/>
          <w:sz w:val="20"/>
          <w:szCs w:val="20"/>
        </w:rPr>
        <w:t xml:space="preserve"> and the three quarterly reports on the implementation of the National Skills Development Strategy (NSDS)</w:t>
      </w:r>
    </w:p>
    <w:p w:rsidR="008F50FB" w:rsidRPr="00AF3755" w:rsidRDefault="008F50FB" w:rsidP="00AF3755">
      <w:pPr>
        <w:pStyle w:val="ListParagraph"/>
        <w:numPr>
          <w:ilvl w:val="0"/>
          <w:numId w:val="45"/>
        </w:numPr>
        <w:spacing w:after="0" w:line="240" w:lineRule="auto"/>
        <w:rPr>
          <w:rFonts w:ascii="Arial" w:hAnsi="Arial" w:cs="Arial"/>
          <w:sz w:val="20"/>
          <w:szCs w:val="20"/>
        </w:rPr>
      </w:pPr>
      <w:r w:rsidRPr="00AF3755">
        <w:rPr>
          <w:rFonts w:ascii="Arial" w:hAnsi="Arial" w:cs="Arial"/>
          <w:sz w:val="20"/>
          <w:szCs w:val="20"/>
        </w:rPr>
        <w:t>The Minister approved the Skills Strategy.</w:t>
      </w:r>
    </w:p>
    <w:p w:rsidR="00EC1882" w:rsidRPr="00AF3755" w:rsidRDefault="00EC1882" w:rsidP="00AF3755">
      <w:pPr>
        <w:spacing w:after="0" w:line="240" w:lineRule="auto"/>
        <w:rPr>
          <w:rFonts w:ascii="Arial" w:hAnsi="Arial" w:cs="Arial"/>
          <w:b/>
          <w:sz w:val="20"/>
          <w:szCs w:val="20"/>
        </w:rPr>
      </w:pPr>
      <w:r w:rsidRPr="00AF3755">
        <w:rPr>
          <w:rFonts w:ascii="Arial" w:hAnsi="Arial" w:cs="Arial"/>
          <w:b/>
          <w:sz w:val="20"/>
          <w:szCs w:val="20"/>
        </w:rPr>
        <w:t>Targets not achieved</w:t>
      </w:r>
    </w:p>
    <w:p w:rsidR="008F50FB" w:rsidRPr="00AF3755" w:rsidRDefault="008F50FB" w:rsidP="00AF3755">
      <w:pPr>
        <w:pStyle w:val="ListParagraph"/>
        <w:numPr>
          <w:ilvl w:val="0"/>
          <w:numId w:val="46"/>
        </w:numPr>
        <w:spacing w:after="0" w:line="240" w:lineRule="auto"/>
        <w:ind w:left="714" w:hanging="357"/>
        <w:rPr>
          <w:rFonts w:ascii="Arial" w:hAnsi="Arial" w:cs="Arial"/>
          <w:sz w:val="20"/>
          <w:szCs w:val="20"/>
        </w:rPr>
      </w:pPr>
      <w:r w:rsidRPr="00AF3755">
        <w:rPr>
          <w:rFonts w:ascii="Arial" w:hAnsi="Arial" w:cs="Arial"/>
          <w:sz w:val="20"/>
          <w:szCs w:val="20"/>
        </w:rPr>
        <w:t>Annual number (103 750)</w:t>
      </w:r>
      <w:r w:rsidRPr="00AF3755">
        <w:rPr>
          <w:rFonts w:ascii="Arial" w:hAnsi="Arial" w:cs="Arial"/>
          <w:b/>
          <w:sz w:val="20"/>
          <w:szCs w:val="20"/>
        </w:rPr>
        <w:t xml:space="preserve"> </w:t>
      </w:r>
      <w:r w:rsidRPr="00AF3755">
        <w:rPr>
          <w:rFonts w:ascii="Arial" w:hAnsi="Arial" w:cs="Arial"/>
          <w:sz w:val="20"/>
          <w:szCs w:val="20"/>
        </w:rPr>
        <w:t>of learners or students placed in WBL programmes</w:t>
      </w:r>
      <w:r w:rsidR="00C91058" w:rsidRPr="00AF3755">
        <w:rPr>
          <w:rFonts w:ascii="Arial" w:hAnsi="Arial" w:cs="Arial"/>
          <w:sz w:val="20"/>
          <w:szCs w:val="20"/>
        </w:rPr>
        <w:t xml:space="preserve"> (achieved 78 317). </w:t>
      </w:r>
    </w:p>
    <w:p w:rsidR="00C91058" w:rsidRPr="00AF3755" w:rsidRDefault="00C91058" w:rsidP="00AF3755">
      <w:pPr>
        <w:pStyle w:val="ListParagraph"/>
        <w:numPr>
          <w:ilvl w:val="0"/>
          <w:numId w:val="46"/>
        </w:numPr>
        <w:spacing w:after="0" w:line="240" w:lineRule="auto"/>
        <w:ind w:left="714" w:hanging="357"/>
        <w:rPr>
          <w:rFonts w:ascii="Arial" w:hAnsi="Arial" w:cs="Arial"/>
          <w:sz w:val="20"/>
          <w:szCs w:val="20"/>
        </w:rPr>
      </w:pPr>
      <w:r w:rsidRPr="00AF3755">
        <w:rPr>
          <w:rFonts w:ascii="Arial" w:hAnsi="Arial" w:cs="Arial"/>
          <w:sz w:val="20"/>
          <w:szCs w:val="20"/>
        </w:rPr>
        <w:t>Number (147 000) of learners in skills development programmes annually (achieved 103 115).</w:t>
      </w:r>
    </w:p>
    <w:p w:rsidR="00C91058" w:rsidRPr="00AF3755" w:rsidRDefault="00C91058" w:rsidP="00AF3755">
      <w:pPr>
        <w:pStyle w:val="ListParagraph"/>
        <w:numPr>
          <w:ilvl w:val="0"/>
          <w:numId w:val="46"/>
        </w:numPr>
        <w:spacing w:after="0" w:line="240" w:lineRule="auto"/>
        <w:ind w:left="714" w:hanging="357"/>
        <w:rPr>
          <w:rFonts w:ascii="Arial" w:hAnsi="Arial" w:cs="Arial"/>
          <w:sz w:val="20"/>
          <w:szCs w:val="20"/>
        </w:rPr>
      </w:pPr>
      <w:r w:rsidRPr="00AF3755">
        <w:rPr>
          <w:rFonts w:ascii="Arial" w:hAnsi="Arial" w:cs="Arial"/>
          <w:sz w:val="20"/>
          <w:szCs w:val="20"/>
        </w:rPr>
        <w:t>Number (21 500) of learners entering artisanal programmes annually (achieved 10 302)</w:t>
      </w:r>
    </w:p>
    <w:p w:rsidR="00C91058" w:rsidRPr="00AF3755" w:rsidRDefault="00C91058" w:rsidP="00AF3755">
      <w:pPr>
        <w:pStyle w:val="ListParagraph"/>
        <w:numPr>
          <w:ilvl w:val="0"/>
          <w:numId w:val="46"/>
        </w:numPr>
        <w:spacing w:after="0" w:line="240" w:lineRule="auto"/>
        <w:ind w:left="714" w:hanging="357"/>
        <w:rPr>
          <w:rFonts w:ascii="Arial" w:hAnsi="Arial" w:cs="Arial"/>
          <w:sz w:val="20"/>
          <w:szCs w:val="20"/>
        </w:rPr>
      </w:pPr>
      <w:r w:rsidRPr="00AF3755">
        <w:rPr>
          <w:rFonts w:ascii="Arial" w:hAnsi="Arial" w:cs="Arial"/>
          <w:sz w:val="20"/>
          <w:szCs w:val="20"/>
        </w:rPr>
        <w:t>Number (19 500) of artisans found competent annually</w:t>
      </w:r>
      <w:r w:rsidR="00125EDE" w:rsidRPr="00AF3755">
        <w:rPr>
          <w:rFonts w:ascii="Arial" w:hAnsi="Arial" w:cs="Arial"/>
          <w:sz w:val="20"/>
          <w:szCs w:val="20"/>
        </w:rPr>
        <w:t xml:space="preserve"> (achieved 15 107)</w:t>
      </w:r>
      <w:r w:rsidR="00FE7A53" w:rsidRPr="00AF3755">
        <w:rPr>
          <w:rFonts w:ascii="Arial" w:hAnsi="Arial" w:cs="Arial"/>
          <w:sz w:val="20"/>
          <w:szCs w:val="20"/>
        </w:rPr>
        <w:t>.</w:t>
      </w:r>
    </w:p>
    <w:p w:rsidR="00FE7A53" w:rsidRPr="00AF3755" w:rsidRDefault="00FE7A53" w:rsidP="00AF3755">
      <w:pPr>
        <w:pStyle w:val="ListParagraph"/>
        <w:numPr>
          <w:ilvl w:val="0"/>
          <w:numId w:val="46"/>
        </w:numPr>
        <w:spacing w:after="0" w:line="240" w:lineRule="auto"/>
        <w:ind w:left="714" w:hanging="357"/>
        <w:rPr>
          <w:rFonts w:ascii="Arial" w:hAnsi="Arial" w:cs="Arial"/>
          <w:sz w:val="20"/>
          <w:szCs w:val="20"/>
        </w:rPr>
      </w:pPr>
      <w:r w:rsidRPr="00AF3755">
        <w:rPr>
          <w:rFonts w:ascii="Arial" w:hAnsi="Arial" w:cs="Arial"/>
          <w:sz w:val="20"/>
          <w:szCs w:val="20"/>
        </w:rPr>
        <w:t>Number (114 032) of learners who completed skulls programmes annually (achieved 98 908).</w:t>
      </w:r>
    </w:p>
    <w:p w:rsidR="00FE7A53" w:rsidRPr="00AF3755" w:rsidRDefault="00FE7A53" w:rsidP="00AF3755">
      <w:pPr>
        <w:pStyle w:val="ListParagraph"/>
        <w:numPr>
          <w:ilvl w:val="0"/>
          <w:numId w:val="46"/>
        </w:numPr>
        <w:spacing w:after="0" w:line="240" w:lineRule="auto"/>
        <w:ind w:left="714" w:hanging="357"/>
        <w:rPr>
          <w:rFonts w:ascii="Arial" w:hAnsi="Arial" w:cs="Arial"/>
          <w:sz w:val="20"/>
          <w:szCs w:val="20"/>
        </w:rPr>
      </w:pPr>
      <w:r w:rsidRPr="00AF3755">
        <w:rPr>
          <w:rFonts w:ascii="Arial" w:hAnsi="Arial" w:cs="Arial"/>
          <w:sz w:val="20"/>
          <w:szCs w:val="20"/>
        </w:rPr>
        <w:t>Percentage (95</w:t>
      </w:r>
      <w:r w:rsidR="00067E63" w:rsidRPr="00AF3755">
        <w:rPr>
          <w:rFonts w:ascii="Arial" w:hAnsi="Arial" w:cs="Arial"/>
          <w:sz w:val="20"/>
          <w:szCs w:val="20"/>
        </w:rPr>
        <w:t xml:space="preserve"> per cent</w:t>
      </w:r>
      <w:r w:rsidRPr="00AF3755">
        <w:rPr>
          <w:rFonts w:ascii="Arial" w:hAnsi="Arial" w:cs="Arial"/>
          <w:sz w:val="20"/>
          <w:szCs w:val="20"/>
        </w:rPr>
        <w:t xml:space="preserve">) of SETAs that meet standards of good governance. Information was not available to report performance. </w:t>
      </w:r>
    </w:p>
    <w:p w:rsidR="00B53CC2" w:rsidRPr="00AF3755" w:rsidRDefault="00B53CC2" w:rsidP="00AF3755">
      <w:pPr>
        <w:spacing w:after="0" w:line="240" w:lineRule="auto"/>
        <w:rPr>
          <w:rFonts w:ascii="Arial" w:hAnsi="Arial" w:cs="Arial"/>
          <w:sz w:val="20"/>
          <w:szCs w:val="20"/>
        </w:rPr>
      </w:pPr>
      <w:r w:rsidRPr="00AF3755">
        <w:rPr>
          <w:rFonts w:ascii="Arial" w:hAnsi="Arial" w:cs="Arial"/>
          <w:sz w:val="20"/>
          <w:szCs w:val="20"/>
        </w:rPr>
        <w:t xml:space="preserve">The underachievement of the </w:t>
      </w:r>
      <w:r w:rsidR="00067E63" w:rsidRPr="00AF3755">
        <w:rPr>
          <w:rFonts w:ascii="Arial" w:hAnsi="Arial" w:cs="Arial"/>
          <w:sz w:val="20"/>
          <w:szCs w:val="20"/>
        </w:rPr>
        <w:t>MTSF-</w:t>
      </w:r>
      <w:r w:rsidRPr="00AF3755">
        <w:rPr>
          <w:rFonts w:ascii="Arial" w:hAnsi="Arial" w:cs="Arial"/>
          <w:sz w:val="20"/>
          <w:szCs w:val="20"/>
        </w:rPr>
        <w:t>related targets was ascribed to the announcement of the skills levy holiday and closure of workplaces and trade centres</w:t>
      </w:r>
      <w:r w:rsidR="001B5382" w:rsidRPr="00AF3755">
        <w:rPr>
          <w:rFonts w:ascii="Arial" w:hAnsi="Arial" w:cs="Arial"/>
          <w:sz w:val="20"/>
          <w:szCs w:val="20"/>
        </w:rPr>
        <w:t xml:space="preserve"> </w:t>
      </w:r>
      <w:r w:rsidRPr="00AF3755">
        <w:rPr>
          <w:rFonts w:ascii="Arial" w:hAnsi="Arial" w:cs="Arial"/>
          <w:sz w:val="20"/>
          <w:szCs w:val="20"/>
        </w:rPr>
        <w:t>due to COVID-19 restrictions.</w:t>
      </w:r>
    </w:p>
    <w:p w:rsidR="00CE27E8" w:rsidRPr="00AF3755" w:rsidRDefault="00CE27E8"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6: Community Education and Training</w:t>
      </w:r>
    </w:p>
    <w:p w:rsidR="00C04956" w:rsidRPr="00AF3755" w:rsidRDefault="00C04956"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 had 19 targets, comprised of 15 direct output</w:t>
      </w:r>
      <w:r w:rsidR="00BF67A9" w:rsidRPr="00AF3755">
        <w:rPr>
          <w:rFonts w:ascii="Arial" w:hAnsi="Arial" w:cs="Arial"/>
          <w:sz w:val="20"/>
          <w:szCs w:val="20"/>
        </w:rPr>
        <w:t>s</w:t>
      </w:r>
      <w:r w:rsidRPr="00AF3755">
        <w:rPr>
          <w:rFonts w:ascii="Arial" w:hAnsi="Arial" w:cs="Arial"/>
          <w:sz w:val="20"/>
          <w:szCs w:val="20"/>
        </w:rPr>
        <w:t xml:space="preserve"> and four system targets. The programme achieved 14 or 93.3 per cent of the direct output</w:t>
      </w:r>
      <w:r w:rsidR="00BF67A9" w:rsidRPr="00AF3755">
        <w:rPr>
          <w:rFonts w:ascii="Arial" w:hAnsi="Arial" w:cs="Arial"/>
          <w:sz w:val="20"/>
          <w:szCs w:val="20"/>
        </w:rPr>
        <w:t>s</w:t>
      </w:r>
      <w:r w:rsidRPr="00AF3755">
        <w:rPr>
          <w:rFonts w:ascii="Arial" w:hAnsi="Arial" w:cs="Arial"/>
          <w:sz w:val="20"/>
          <w:szCs w:val="20"/>
        </w:rPr>
        <w:t xml:space="preserve"> and 1 of 25 per cent of the system targets. </w:t>
      </w:r>
      <w:r w:rsidR="00EF02AE" w:rsidRPr="00AF3755">
        <w:rPr>
          <w:rFonts w:ascii="Arial" w:hAnsi="Arial" w:cs="Arial"/>
          <w:sz w:val="20"/>
          <w:szCs w:val="20"/>
        </w:rPr>
        <w:t>Performance on the direct output</w:t>
      </w:r>
      <w:r w:rsidR="00BF67A9" w:rsidRPr="00AF3755">
        <w:rPr>
          <w:rFonts w:ascii="Arial" w:hAnsi="Arial" w:cs="Arial"/>
          <w:sz w:val="20"/>
          <w:szCs w:val="20"/>
        </w:rPr>
        <w:t>s</w:t>
      </w:r>
      <w:r w:rsidR="00EF02AE" w:rsidRPr="00AF3755">
        <w:rPr>
          <w:rFonts w:ascii="Arial" w:hAnsi="Arial" w:cs="Arial"/>
          <w:sz w:val="20"/>
          <w:szCs w:val="20"/>
        </w:rPr>
        <w:t xml:space="preserve"> has improved significantly from 57 per cent in 2020/21. Notably, performance on the system targets has stagnated. </w:t>
      </w:r>
    </w:p>
    <w:p w:rsidR="00EE5802" w:rsidRPr="00AF3755" w:rsidRDefault="00EE5802" w:rsidP="00AF3755">
      <w:pPr>
        <w:pStyle w:val="ListParagraph"/>
        <w:spacing w:after="0" w:line="240" w:lineRule="auto"/>
        <w:ind w:left="0"/>
        <w:rPr>
          <w:rFonts w:ascii="Arial" w:hAnsi="Arial" w:cs="Arial"/>
          <w:b/>
          <w:sz w:val="20"/>
          <w:szCs w:val="20"/>
        </w:rPr>
      </w:pPr>
    </w:p>
    <w:p w:rsidR="00CC7BA7" w:rsidRPr="00AF3755" w:rsidRDefault="00CC7BA7"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Selected key achievements</w:t>
      </w:r>
    </w:p>
    <w:p w:rsidR="00CC7BA7" w:rsidRPr="00AF3755" w:rsidRDefault="00E641B4" w:rsidP="00AF3755">
      <w:pPr>
        <w:pStyle w:val="ListParagraph"/>
        <w:numPr>
          <w:ilvl w:val="0"/>
          <w:numId w:val="43"/>
        </w:numPr>
        <w:spacing w:after="0" w:line="240" w:lineRule="auto"/>
        <w:rPr>
          <w:rFonts w:ascii="Arial" w:hAnsi="Arial" w:cs="Arial"/>
          <w:sz w:val="20"/>
          <w:szCs w:val="20"/>
        </w:rPr>
      </w:pPr>
      <w:r w:rsidRPr="00AF3755">
        <w:rPr>
          <w:rFonts w:ascii="Arial" w:hAnsi="Arial" w:cs="Arial"/>
          <w:sz w:val="20"/>
          <w:szCs w:val="20"/>
        </w:rPr>
        <w:t>The programme appointed the Service Provider for the development of a sustainable funding model for CET colleges.</w:t>
      </w:r>
    </w:p>
    <w:p w:rsidR="00E641B4" w:rsidRPr="00AF3755" w:rsidRDefault="00E641B4" w:rsidP="00AF3755">
      <w:pPr>
        <w:pStyle w:val="ListParagraph"/>
        <w:numPr>
          <w:ilvl w:val="0"/>
          <w:numId w:val="43"/>
        </w:numPr>
        <w:spacing w:after="0" w:line="240" w:lineRule="auto"/>
        <w:rPr>
          <w:rFonts w:ascii="Arial" w:hAnsi="Arial" w:cs="Arial"/>
          <w:sz w:val="20"/>
          <w:szCs w:val="20"/>
        </w:rPr>
      </w:pPr>
      <w:r w:rsidRPr="00AF3755">
        <w:rPr>
          <w:rFonts w:ascii="Arial" w:hAnsi="Arial" w:cs="Arial"/>
          <w:sz w:val="20"/>
          <w:szCs w:val="20"/>
        </w:rPr>
        <w:t>A report on the implementation of the Advocacy Strategy for CET colleges was approved by the Director-General.</w:t>
      </w:r>
    </w:p>
    <w:p w:rsidR="00E641B4" w:rsidRPr="00AF3755" w:rsidRDefault="00E641B4" w:rsidP="00AF3755">
      <w:pPr>
        <w:pStyle w:val="ListParagraph"/>
        <w:numPr>
          <w:ilvl w:val="0"/>
          <w:numId w:val="43"/>
        </w:numPr>
        <w:spacing w:after="0" w:line="240" w:lineRule="auto"/>
        <w:rPr>
          <w:rFonts w:ascii="Arial" w:hAnsi="Arial" w:cs="Arial"/>
          <w:sz w:val="20"/>
          <w:szCs w:val="20"/>
        </w:rPr>
      </w:pPr>
      <w:r w:rsidRPr="00AF3755">
        <w:rPr>
          <w:rFonts w:ascii="Arial" w:hAnsi="Arial" w:cs="Arial"/>
          <w:sz w:val="20"/>
          <w:szCs w:val="20"/>
        </w:rPr>
        <w:t>Final governance standards and regulations for CET college were approved by the Director-General.</w:t>
      </w:r>
    </w:p>
    <w:p w:rsidR="00E641B4" w:rsidRPr="00AF3755" w:rsidRDefault="00E641B4" w:rsidP="00AF3755">
      <w:pPr>
        <w:pStyle w:val="ListParagraph"/>
        <w:numPr>
          <w:ilvl w:val="0"/>
          <w:numId w:val="43"/>
        </w:numPr>
        <w:spacing w:after="0" w:line="240" w:lineRule="auto"/>
        <w:rPr>
          <w:rFonts w:ascii="Arial" w:hAnsi="Arial" w:cs="Arial"/>
          <w:sz w:val="20"/>
          <w:szCs w:val="20"/>
        </w:rPr>
      </w:pPr>
      <w:r w:rsidRPr="00AF3755">
        <w:rPr>
          <w:rFonts w:ascii="Arial" w:hAnsi="Arial" w:cs="Arial"/>
          <w:sz w:val="20"/>
          <w:szCs w:val="20"/>
        </w:rPr>
        <w:t>A report on capacity-building workshops conducted to capacitate student leadership, centre management and Councils was approved.</w:t>
      </w:r>
    </w:p>
    <w:p w:rsidR="00E641B4" w:rsidRPr="00AF3755" w:rsidRDefault="00E641B4" w:rsidP="00AF3755">
      <w:pPr>
        <w:pStyle w:val="ListParagraph"/>
        <w:numPr>
          <w:ilvl w:val="0"/>
          <w:numId w:val="43"/>
        </w:numPr>
        <w:spacing w:after="0" w:line="240" w:lineRule="auto"/>
        <w:rPr>
          <w:rFonts w:ascii="Arial" w:hAnsi="Arial" w:cs="Arial"/>
          <w:sz w:val="20"/>
          <w:szCs w:val="20"/>
        </w:rPr>
      </w:pPr>
      <w:r w:rsidRPr="00AF3755">
        <w:rPr>
          <w:rFonts w:ascii="Arial" w:hAnsi="Arial" w:cs="Arial"/>
          <w:sz w:val="20"/>
          <w:szCs w:val="20"/>
        </w:rPr>
        <w:t>Twenty per cent of the earmarked funding was allocated to CET colleges to capacitate 54 pilot centres.</w:t>
      </w:r>
    </w:p>
    <w:p w:rsidR="00E641B4" w:rsidRPr="00AF3755" w:rsidRDefault="00E641B4" w:rsidP="00AF3755">
      <w:pPr>
        <w:pStyle w:val="ListParagraph"/>
        <w:numPr>
          <w:ilvl w:val="0"/>
          <w:numId w:val="43"/>
        </w:numPr>
        <w:spacing w:after="0" w:line="240" w:lineRule="auto"/>
        <w:rPr>
          <w:rFonts w:ascii="Arial" w:hAnsi="Arial" w:cs="Arial"/>
          <w:sz w:val="20"/>
          <w:szCs w:val="20"/>
        </w:rPr>
      </w:pPr>
      <w:r w:rsidRPr="00AF3755">
        <w:rPr>
          <w:rFonts w:ascii="Arial" w:hAnsi="Arial" w:cs="Arial"/>
          <w:sz w:val="20"/>
          <w:szCs w:val="20"/>
        </w:rPr>
        <w:t xml:space="preserve">The Director-General approved two digital skills programmes and three entrepreneurship programmes in CET colleges. </w:t>
      </w:r>
    </w:p>
    <w:p w:rsidR="00E641B4" w:rsidRPr="00AF3755" w:rsidRDefault="00E641B4" w:rsidP="00AF3755">
      <w:pPr>
        <w:spacing w:after="0" w:line="240" w:lineRule="auto"/>
        <w:rPr>
          <w:rFonts w:ascii="Arial" w:hAnsi="Arial" w:cs="Arial"/>
          <w:sz w:val="20"/>
          <w:szCs w:val="20"/>
        </w:rPr>
      </w:pPr>
      <w:r w:rsidRPr="00AF3755">
        <w:rPr>
          <w:rFonts w:ascii="Arial" w:hAnsi="Arial" w:cs="Arial"/>
          <w:sz w:val="20"/>
          <w:szCs w:val="20"/>
        </w:rPr>
        <w:t>The programme did not achieve the target to have 100 per cent of CET colleges compliant with the policy in the conduct and management of examination</w:t>
      </w:r>
      <w:r w:rsidR="00067E63" w:rsidRPr="00AF3755">
        <w:rPr>
          <w:rFonts w:ascii="Arial" w:hAnsi="Arial" w:cs="Arial"/>
          <w:sz w:val="20"/>
          <w:szCs w:val="20"/>
        </w:rPr>
        <w:t>s</w:t>
      </w:r>
      <w:r w:rsidRPr="00AF3755">
        <w:rPr>
          <w:rFonts w:ascii="Arial" w:hAnsi="Arial" w:cs="Arial"/>
          <w:sz w:val="20"/>
          <w:szCs w:val="20"/>
        </w:rPr>
        <w:t xml:space="preserve"> and assessment</w:t>
      </w:r>
      <w:r w:rsidR="00067E63" w:rsidRPr="00AF3755">
        <w:rPr>
          <w:rFonts w:ascii="Arial" w:hAnsi="Arial" w:cs="Arial"/>
          <w:sz w:val="20"/>
          <w:szCs w:val="20"/>
        </w:rPr>
        <w:t>s</w:t>
      </w:r>
      <w:r w:rsidRPr="00AF3755">
        <w:rPr>
          <w:rFonts w:ascii="Arial" w:hAnsi="Arial" w:cs="Arial"/>
          <w:sz w:val="20"/>
          <w:szCs w:val="20"/>
        </w:rPr>
        <w:t xml:space="preserve"> per annum. The actual achievement was 99.99 per cent. It was reported that irregularities were identified in the centres that were monitored on moderation of site-based assessment, writing of examinations- marking scripts</w:t>
      </w:r>
      <w:r w:rsidR="006D171F" w:rsidRPr="00AF3755">
        <w:rPr>
          <w:rFonts w:ascii="Arial" w:hAnsi="Arial" w:cs="Arial"/>
          <w:sz w:val="20"/>
          <w:szCs w:val="20"/>
        </w:rPr>
        <w:t>.</w:t>
      </w:r>
    </w:p>
    <w:p w:rsidR="007B4CD5" w:rsidRPr="00AF3755" w:rsidRDefault="00EC1FA8"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lastRenderedPageBreak/>
        <w:t xml:space="preserve">Selected performance against the </w:t>
      </w:r>
      <w:r w:rsidR="005B52AE" w:rsidRPr="00AF3755">
        <w:rPr>
          <w:rFonts w:ascii="Arial" w:hAnsi="Arial" w:cs="Arial"/>
          <w:b/>
          <w:sz w:val="20"/>
          <w:szCs w:val="20"/>
        </w:rPr>
        <w:t>system</w:t>
      </w:r>
      <w:r w:rsidRPr="00AF3755">
        <w:rPr>
          <w:rFonts w:ascii="Arial" w:hAnsi="Arial" w:cs="Arial"/>
          <w:b/>
          <w:sz w:val="20"/>
          <w:szCs w:val="20"/>
        </w:rPr>
        <w:t xml:space="preserve"> targets</w:t>
      </w:r>
    </w:p>
    <w:p w:rsidR="00EC1FA8" w:rsidRPr="00AF3755" w:rsidRDefault="00EC1FA8"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Targets not achieved</w:t>
      </w:r>
    </w:p>
    <w:p w:rsidR="00EC1FA8" w:rsidRPr="00AF3755" w:rsidRDefault="00F2642A" w:rsidP="00AF3755">
      <w:pPr>
        <w:pStyle w:val="ListParagraph"/>
        <w:numPr>
          <w:ilvl w:val="0"/>
          <w:numId w:val="44"/>
        </w:numPr>
        <w:spacing w:after="0" w:line="240" w:lineRule="auto"/>
        <w:rPr>
          <w:rFonts w:ascii="Arial" w:hAnsi="Arial" w:cs="Arial"/>
          <w:sz w:val="20"/>
          <w:szCs w:val="20"/>
        </w:rPr>
      </w:pPr>
      <w:r w:rsidRPr="00AF3755">
        <w:rPr>
          <w:rFonts w:ascii="Arial" w:hAnsi="Arial" w:cs="Arial"/>
          <w:sz w:val="20"/>
          <w:szCs w:val="20"/>
        </w:rPr>
        <w:t xml:space="preserve">Number </w:t>
      </w:r>
      <w:r w:rsidR="00355775" w:rsidRPr="00AF3755">
        <w:rPr>
          <w:rFonts w:ascii="Arial" w:hAnsi="Arial" w:cs="Arial"/>
          <w:sz w:val="20"/>
          <w:szCs w:val="20"/>
        </w:rPr>
        <w:t xml:space="preserve">(220 549) </w:t>
      </w:r>
      <w:r w:rsidRPr="00AF3755">
        <w:rPr>
          <w:rFonts w:ascii="Arial" w:hAnsi="Arial" w:cs="Arial"/>
          <w:sz w:val="20"/>
          <w:szCs w:val="20"/>
        </w:rPr>
        <w:t>of student</w:t>
      </w:r>
      <w:r w:rsidR="00067E63" w:rsidRPr="00AF3755">
        <w:rPr>
          <w:rFonts w:ascii="Arial" w:hAnsi="Arial" w:cs="Arial"/>
          <w:sz w:val="20"/>
          <w:szCs w:val="20"/>
        </w:rPr>
        <w:t>s</w:t>
      </w:r>
      <w:r w:rsidRPr="00AF3755">
        <w:rPr>
          <w:rFonts w:ascii="Arial" w:hAnsi="Arial" w:cs="Arial"/>
          <w:sz w:val="20"/>
          <w:szCs w:val="20"/>
        </w:rPr>
        <w:t xml:space="preserve"> enrolling at CET colleges annually</w:t>
      </w:r>
      <w:r w:rsidR="00355775" w:rsidRPr="00AF3755">
        <w:rPr>
          <w:rFonts w:ascii="Arial" w:hAnsi="Arial" w:cs="Arial"/>
          <w:sz w:val="20"/>
          <w:szCs w:val="20"/>
        </w:rPr>
        <w:t xml:space="preserve"> and The actual achievement was 142 538. The Department ascribed the underachievement to the inability of the sector to diversify its programmes due to </w:t>
      </w:r>
      <w:r w:rsidR="00067E63" w:rsidRPr="00AF3755">
        <w:rPr>
          <w:rFonts w:ascii="Arial" w:hAnsi="Arial" w:cs="Arial"/>
          <w:sz w:val="20"/>
          <w:szCs w:val="20"/>
        </w:rPr>
        <w:t xml:space="preserve">a </w:t>
      </w:r>
      <w:r w:rsidR="00355775" w:rsidRPr="00AF3755">
        <w:rPr>
          <w:rFonts w:ascii="Arial" w:hAnsi="Arial" w:cs="Arial"/>
          <w:sz w:val="20"/>
          <w:szCs w:val="20"/>
        </w:rPr>
        <w:t xml:space="preserve">lack of physical and ICT resources, </w:t>
      </w:r>
      <w:r w:rsidR="00067E63" w:rsidRPr="00AF3755">
        <w:rPr>
          <w:rFonts w:ascii="Arial" w:hAnsi="Arial" w:cs="Arial"/>
          <w:sz w:val="20"/>
          <w:szCs w:val="20"/>
        </w:rPr>
        <w:t xml:space="preserve">and </w:t>
      </w:r>
      <w:r w:rsidR="00355775" w:rsidRPr="00AF3755">
        <w:rPr>
          <w:rFonts w:ascii="Arial" w:hAnsi="Arial" w:cs="Arial"/>
          <w:sz w:val="20"/>
          <w:szCs w:val="20"/>
        </w:rPr>
        <w:t xml:space="preserve">inadequate funding for CET colleges. poor uptake of responsive and diversified programmes and understaffed colleges. </w:t>
      </w:r>
    </w:p>
    <w:p w:rsidR="00622EF1" w:rsidRPr="00AF3755" w:rsidRDefault="00622EF1" w:rsidP="00AF3755">
      <w:pPr>
        <w:pStyle w:val="ListParagraph"/>
        <w:numPr>
          <w:ilvl w:val="0"/>
          <w:numId w:val="44"/>
        </w:numPr>
        <w:spacing w:after="0" w:line="240" w:lineRule="auto"/>
        <w:rPr>
          <w:rFonts w:ascii="Arial" w:hAnsi="Arial" w:cs="Arial"/>
          <w:sz w:val="20"/>
          <w:szCs w:val="20"/>
        </w:rPr>
      </w:pPr>
      <w:r w:rsidRPr="00AF3755">
        <w:rPr>
          <w:rFonts w:ascii="Arial" w:hAnsi="Arial" w:cs="Arial"/>
          <w:sz w:val="20"/>
          <w:szCs w:val="20"/>
        </w:rPr>
        <w:t>Number (41 638) of CET college students completing General Education and Training Certificate (GETC) Level 4 annually. The actual achievement was 38</w:t>
      </w:r>
      <w:r w:rsidR="00434DD3" w:rsidRPr="00AF3755">
        <w:rPr>
          <w:rFonts w:ascii="Arial" w:hAnsi="Arial" w:cs="Arial"/>
          <w:sz w:val="20"/>
          <w:szCs w:val="20"/>
        </w:rPr>
        <w:t> </w:t>
      </w:r>
      <w:r w:rsidRPr="00AF3755">
        <w:rPr>
          <w:rFonts w:ascii="Arial" w:hAnsi="Arial" w:cs="Arial"/>
          <w:sz w:val="20"/>
          <w:szCs w:val="20"/>
        </w:rPr>
        <w:t>814</w:t>
      </w:r>
      <w:r w:rsidR="00434DD3" w:rsidRPr="00AF3755">
        <w:rPr>
          <w:rFonts w:ascii="Arial" w:hAnsi="Arial" w:cs="Arial"/>
          <w:sz w:val="20"/>
          <w:szCs w:val="20"/>
        </w:rPr>
        <w:t xml:space="preserve">. The underachievement was attributed to the standardisation process that </w:t>
      </w:r>
      <w:r w:rsidR="0049714D" w:rsidRPr="00AF3755">
        <w:rPr>
          <w:rFonts w:ascii="Arial" w:hAnsi="Arial" w:cs="Arial"/>
          <w:sz w:val="20"/>
          <w:szCs w:val="20"/>
        </w:rPr>
        <w:t>impacted</w:t>
      </w:r>
      <w:r w:rsidR="00434DD3" w:rsidRPr="00AF3755">
        <w:rPr>
          <w:rFonts w:ascii="Arial" w:hAnsi="Arial" w:cs="Arial"/>
          <w:sz w:val="20"/>
          <w:szCs w:val="20"/>
        </w:rPr>
        <w:t xml:space="preserve"> learning and teaching, the ending of the SAICA project and the impact of the supply chain management (SCM) capacity for Learner, Teacher Support Materials (LTSM) procurement meant that students did not have sufficient learning</w:t>
      </w:r>
      <w:r w:rsidR="00B426B8" w:rsidRPr="00AF3755">
        <w:rPr>
          <w:rFonts w:ascii="Arial" w:hAnsi="Arial" w:cs="Arial"/>
          <w:sz w:val="20"/>
          <w:szCs w:val="20"/>
        </w:rPr>
        <w:t>.</w:t>
      </w:r>
    </w:p>
    <w:p w:rsidR="00B426B8" w:rsidRPr="00AF3755" w:rsidRDefault="00B426B8" w:rsidP="00AF3755">
      <w:pPr>
        <w:pStyle w:val="ListParagraph"/>
        <w:numPr>
          <w:ilvl w:val="0"/>
          <w:numId w:val="44"/>
        </w:numPr>
        <w:spacing w:after="0" w:line="240" w:lineRule="auto"/>
        <w:rPr>
          <w:rFonts w:ascii="Arial" w:hAnsi="Arial" w:cs="Arial"/>
          <w:sz w:val="20"/>
          <w:szCs w:val="20"/>
        </w:rPr>
      </w:pPr>
      <w:r w:rsidRPr="00AF3755">
        <w:rPr>
          <w:rFonts w:ascii="Arial" w:hAnsi="Arial" w:cs="Arial"/>
          <w:sz w:val="20"/>
          <w:szCs w:val="20"/>
        </w:rPr>
        <w:t xml:space="preserve">Number (60 000) of CET college students completing Grade 12 annually. It was reported that the report covers </w:t>
      </w:r>
      <w:r w:rsidR="00067E63" w:rsidRPr="00AF3755">
        <w:rPr>
          <w:rFonts w:ascii="Arial" w:hAnsi="Arial" w:cs="Arial"/>
          <w:sz w:val="20"/>
          <w:szCs w:val="20"/>
        </w:rPr>
        <w:t xml:space="preserve">a </w:t>
      </w:r>
      <w:r w:rsidRPr="00AF3755">
        <w:rPr>
          <w:rFonts w:ascii="Arial" w:hAnsi="Arial" w:cs="Arial"/>
          <w:sz w:val="20"/>
          <w:szCs w:val="20"/>
        </w:rPr>
        <w:t>number of enrolments and not of Grade 12 completion after enrolments.</w:t>
      </w:r>
    </w:p>
    <w:p w:rsidR="00836304" w:rsidRPr="00AF3755" w:rsidRDefault="00836304" w:rsidP="00AF3755">
      <w:pPr>
        <w:pStyle w:val="ListParagraph"/>
        <w:spacing w:after="0" w:line="240" w:lineRule="auto"/>
        <w:ind w:left="360"/>
        <w:rPr>
          <w:rFonts w:ascii="Arial" w:hAnsi="Arial" w:cs="Arial"/>
          <w:sz w:val="20"/>
          <w:szCs w:val="20"/>
        </w:rPr>
      </w:pPr>
    </w:p>
    <w:p w:rsidR="00C200AF" w:rsidRPr="00AF3755" w:rsidRDefault="00C200AF"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Auditor-General South Africa (AGSA)’s Report on the performance of the Department of Higher Education and Training</w:t>
      </w:r>
    </w:p>
    <w:p w:rsidR="000B7080" w:rsidRPr="00AF3755" w:rsidRDefault="000F1790"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Department obtained an unqualified audit opinion with findings from the AGSA</w:t>
      </w:r>
      <w:r w:rsidR="00281FFA" w:rsidRPr="00AF3755">
        <w:rPr>
          <w:rFonts w:ascii="Arial" w:hAnsi="Arial" w:cs="Arial"/>
          <w:sz w:val="20"/>
          <w:szCs w:val="20"/>
        </w:rPr>
        <w:t xml:space="preserve"> for the 2021/22 financial year</w:t>
      </w:r>
      <w:r w:rsidRPr="00AF3755">
        <w:rPr>
          <w:rFonts w:ascii="Arial" w:hAnsi="Arial" w:cs="Arial"/>
          <w:sz w:val="20"/>
          <w:szCs w:val="20"/>
        </w:rPr>
        <w:t xml:space="preserve">. </w:t>
      </w:r>
    </w:p>
    <w:p w:rsidR="00067E63" w:rsidRPr="00AF3755" w:rsidRDefault="00067E63" w:rsidP="00AF3755">
      <w:pPr>
        <w:pStyle w:val="ListParagraph"/>
        <w:spacing w:after="0" w:line="240" w:lineRule="auto"/>
        <w:ind w:left="0"/>
        <w:rPr>
          <w:rFonts w:ascii="Arial" w:hAnsi="Arial" w:cs="Arial"/>
          <w:b/>
          <w:sz w:val="20"/>
          <w:szCs w:val="20"/>
        </w:rPr>
      </w:pPr>
    </w:p>
    <w:p w:rsidR="00281FFA" w:rsidRPr="00AF3755" w:rsidRDefault="00281FFA"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Audit findings</w:t>
      </w:r>
    </w:p>
    <w:p w:rsidR="00281FFA" w:rsidRPr="00AF3755" w:rsidRDefault="00281FFA" w:rsidP="00AF3755">
      <w:pPr>
        <w:pStyle w:val="ListParagraph"/>
        <w:numPr>
          <w:ilvl w:val="0"/>
          <w:numId w:val="41"/>
        </w:numPr>
        <w:autoSpaceDE w:val="0"/>
        <w:autoSpaceDN w:val="0"/>
        <w:adjustRightInd w:val="0"/>
        <w:spacing w:after="0" w:line="240" w:lineRule="auto"/>
        <w:rPr>
          <w:rFonts w:ascii="Arial" w:hAnsi="Arial" w:cs="Arial"/>
          <w:sz w:val="20"/>
          <w:szCs w:val="20"/>
        </w:rPr>
      </w:pPr>
      <w:r w:rsidRPr="00AF3755">
        <w:rPr>
          <w:rFonts w:ascii="Arial" w:hAnsi="Arial" w:cs="Arial"/>
          <w:b/>
          <w:sz w:val="20"/>
          <w:szCs w:val="20"/>
        </w:rPr>
        <w:t>Usefulness and reliability:</w:t>
      </w:r>
      <w:r w:rsidR="007826FC" w:rsidRPr="00AF3755">
        <w:rPr>
          <w:rFonts w:ascii="Arial" w:hAnsi="Arial" w:cs="Arial"/>
          <w:b/>
          <w:sz w:val="20"/>
          <w:szCs w:val="20"/>
        </w:rPr>
        <w:t xml:space="preserve"> </w:t>
      </w:r>
      <w:r w:rsidR="007826FC" w:rsidRPr="00AF3755">
        <w:rPr>
          <w:rFonts w:ascii="Arial" w:hAnsi="Arial" w:cs="Arial"/>
          <w:sz w:val="20"/>
          <w:szCs w:val="20"/>
        </w:rPr>
        <w:t>The AGSA</w:t>
      </w:r>
      <w:r w:rsidR="007826FC" w:rsidRPr="00AF3755">
        <w:rPr>
          <w:rFonts w:ascii="Arial" w:hAnsi="Arial" w:cs="Arial"/>
          <w:b/>
          <w:sz w:val="20"/>
          <w:szCs w:val="20"/>
        </w:rPr>
        <w:t xml:space="preserve"> </w:t>
      </w:r>
      <w:r w:rsidR="007826FC" w:rsidRPr="00AF3755">
        <w:rPr>
          <w:rFonts w:ascii="Arial" w:hAnsi="Arial" w:cs="Arial"/>
          <w:sz w:val="20"/>
          <w:szCs w:val="20"/>
        </w:rPr>
        <w:t xml:space="preserve">has made findings on the usefulness and reliability of reported performance information of Programme 4: Technical and Vocational Education and Training. Notably, the AGSA has in the previous audit cycles made </w:t>
      </w:r>
      <w:r w:rsidR="00067E63" w:rsidRPr="00AF3755">
        <w:rPr>
          <w:rFonts w:ascii="Arial" w:hAnsi="Arial" w:cs="Arial"/>
          <w:sz w:val="20"/>
          <w:szCs w:val="20"/>
        </w:rPr>
        <w:t xml:space="preserve">the </w:t>
      </w:r>
      <w:r w:rsidR="007826FC" w:rsidRPr="00AF3755">
        <w:rPr>
          <w:rFonts w:ascii="Arial" w:hAnsi="Arial" w:cs="Arial"/>
          <w:sz w:val="20"/>
          <w:szCs w:val="20"/>
        </w:rPr>
        <w:t xml:space="preserve">same findings under </w:t>
      </w:r>
      <w:r w:rsidR="00067E63" w:rsidRPr="00AF3755">
        <w:rPr>
          <w:rFonts w:ascii="Arial" w:hAnsi="Arial" w:cs="Arial"/>
          <w:sz w:val="20"/>
          <w:szCs w:val="20"/>
        </w:rPr>
        <w:t xml:space="preserve">the </w:t>
      </w:r>
      <w:r w:rsidR="007826FC" w:rsidRPr="00AF3755">
        <w:rPr>
          <w:rFonts w:ascii="Arial" w:hAnsi="Arial" w:cs="Arial"/>
          <w:sz w:val="20"/>
          <w:szCs w:val="20"/>
        </w:rPr>
        <w:t xml:space="preserve">TVET programme. The finding </w:t>
      </w:r>
      <w:r w:rsidR="005611B5" w:rsidRPr="00AF3755">
        <w:rPr>
          <w:rFonts w:ascii="Arial" w:hAnsi="Arial" w:cs="Arial"/>
          <w:sz w:val="20"/>
          <w:szCs w:val="20"/>
        </w:rPr>
        <w:t>was</w:t>
      </w:r>
      <w:r w:rsidR="007826FC" w:rsidRPr="00AF3755">
        <w:rPr>
          <w:rFonts w:ascii="Arial" w:hAnsi="Arial" w:cs="Arial"/>
          <w:sz w:val="20"/>
          <w:szCs w:val="20"/>
        </w:rPr>
        <w:t xml:space="preserve"> on the achievement of </w:t>
      </w:r>
      <w:r w:rsidR="00067E63" w:rsidRPr="00AF3755">
        <w:rPr>
          <w:rFonts w:ascii="Arial" w:hAnsi="Arial" w:cs="Arial"/>
          <w:sz w:val="20"/>
          <w:szCs w:val="20"/>
        </w:rPr>
        <w:t xml:space="preserve">the </w:t>
      </w:r>
      <w:r w:rsidR="005611B5" w:rsidRPr="00AF3755">
        <w:rPr>
          <w:rFonts w:ascii="Arial" w:hAnsi="Arial" w:cs="Arial"/>
          <w:sz w:val="20"/>
          <w:szCs w:val="20"/>
        </w:rPr>
        <w:t xml:space="preserve">target on </w:t>
      </w:r>
      <w:r w:rsidR="00067E63" w:rsidRPr="00AF3755">
        <w:rPr>
          <w:rFonts w:ascii="Arial" w:hAnsi="Arial" w:cs="Arial"/>
          <w:sz w:val="20"/>
          <w:szCs w:val="20"/>
        </w:rPr>
        <w:t xml:space="preserve">the </w:t>
      </w:r>
      <w:r w:rsidR="00950416" w:rsidRPr="00AF3755">
        <w:rPr>
          <w:rFonts w:ascii="Arial" w:hAnsi="Arial" w:cs="Arial"/>
          <w:sz w:val="20"/>
          <w:szCs w:val="20"/>
        </w:rPr>
        <w:t>percentage of TVET college lecturers staff appropriately placed in industry or exchange programmes</w:t>
      </w:r>
      <w:r w:rsidR="005611B5" w:rsidRPr="00AF3755">
        <w:rPr>
          <w:rFonts w:ascii="Arial" w:hAnsi="Arial" w:cs="Arial"/>
          <w:sz w:val="20"/>
          <w:szCs w:val="20"/>
        </w:rPr>
        <w:t>;</w:t>
      </w:r>
      <w:r w:rsidR="00950416" w:rsidRPr="00AF3755">
        <w:rPr>
          <w:rFonts w:ascii="Arial" w:hAnsi="Arial" w:cs="Arial"/>
          <w:sz w:val="20"/>
          <w:szCs w:val="20"/>
        </w:rPr>
        <w:t xml:space="preserve"> </w:t>
      </w:r>
      <w:r w:rsidR="007826FC" w:rsidRPr="00AF3755">
        <w:rPr>
          <w:rFonts w:ascii="Arial" w:hAnsi="Arial" w:cs="Arial"/>
          <w:sz w:val="20"/>
          <w:szCs w:val="20"/>
        </w:rPr>
        <w:t xml:space="preserve">2.2 per cent, which was reported against the </w:t>
      </w:r>
      <w:r w:rsidRPr="00AF3755">
        <w:rPr>
          <w:rFonts w:ascii="Arial" w:hAnsi="Arial" w:cs="Arial"/>
          <w:sz w:val="20"/>
          <w:szCs w:val="20"/>
        </w:rPr>
        <w:t xml:space="preserve">target of 9 per cent in the annual performance report. </w:t>
      </w:r>
      <w:r w:rsidR="007826FC" w:rsidRPr="00AF3755">
        <w:rPr>
          <w:rFonts w:ascii="Arial" w:hAnsi="Arial" w:cs="Arial"/>
          <w:sz w:val="20"/>
          <w:szCs w:val="20"/>
        </w:rPr>
        <w:t xml:space="preserve">The AGSA noted that </w:t>
      </w:r>
      <w:r w:rsidRPr="00AF3755">
        <w:rPr>
          <w:rFonts w:ascii="Arial" w:hAnsi="Arial" w:cs="Arial"/>
          <w:sz w:val="20"/>
          <w:szCs w:val="20"/>
        </w:rPr>
        <w:t xml:space="preserve">the supporting evidence provided differed materially from the reported achievement, while in other instances </w:t>
      </w:r>
      <w:r w:rsidR="00555935" w:rsidRPr="00AF3755">
        <w:rPr>
          <w:rFonts w:ascii="Arial" w:hAnsi="Arial" w:cs="Arial"/>
          <w:sz w:val="20"/>
          <w:szCs w:val="20"/>
        </w:rPr>
        <w:t>the AGSA</w:t>
      </w:r>
      <w:r w:rsidRPr="00AF3755">
        <w:rPr>
          <w:rFonts w:ascii="Arial" w:hAnsi="Arial" w:cs="Arial"/>
          <w:sz w:val="20"/>
          <w:szCs w:val="20"/>
        </w:rPr>
        <w:t xml:space="preserve"> was</w:t>
      </w:r>
      <w:r w:rsidR="00555935" w:rsidRPr="00AF3755">
        <w:rPr>
          <w:rFonts w:ascii="Arial" w:hAnsi="Arial" w:cs="Arial"/>
          <w:sz w:val="20"/>
          <w:szCs w:val="20"/>
        </w:rPr>
        <w:t xml:space="preserve"> </w:t>
      </w:r>
      <w:r w:rsidRPr="00AF3755">
        <w:rPr>
          <w:rFonts w:ascii="Arial" w:hAnsi="Arial" w:cs="Arial"/>
          <w:sz w:val="20"/>
          <w:szCs w:val="20"/>
        </w:rPr>
        <w:t>unable to obtain sufficient appropriate audit evidence. This was due to the lack of accurate and complete records</w:t>
      </w:r>
      <w:r w:rsidR="00555935" w:rsidRPr="00AF3755">
        <w:rPr>
          <w:rFonts w:ascii="Arial" w:hAnsi="Arial" w:cs="Arial"/>
          <w:sz w:val="20"/>
          <w:szCs w:val="20"/>
        </w:rPr>
        <w:t>, and therefore, the AGSA was unable to further confirm the reported achievement by alternative means</w:t>
      </w:r>
      <w:r w:rsidRPr="00AF3755">
        <w:rPr>
          <w:rFonts w:ascii="Arial" w:hAnsi="Arial" w:cs="Arial"/>
          <w:sz w:val="20"/>
          <w:szCs w:val="20"/>
        </w:rPr>
        <w:t>.</w:t>
      </w:r>
      <w:r w:rsidR="00555935" w:rsidRPr="00AF3755">
        <w:rPr>
          <w:rFonts w:ascii="Arial" w:hAnsi="Arial" w:cs="Arial"/>
          <w:sz w:val="20"/>
          <w:szCs w:val="20"/>
        </w:rPr>
        <w:t xml:space="preserve"> Consequently, the AG</w:t>
      </w:r>
      <w:r w:rsidR="005611B5" w:rsidRPr="00AF3755">
        <w:rPr>
          <w:rFonts w:ascii="Arial" w:hAnsi="Arial" w:cs="Arial"/>
          <w:sz w:val="20"/>
          <w:szCs w:val="20"/>
        </w:rPr>
        <w:t>SA</w:t>
      </w:r>
      <w:r w:rsidR="00555935" w:rsidRPr="00AF3755">
        <w:rPr>
          <w:rFonts w:ascii="Arial" w:hAnsi="Arial" w:cs="Arial"/>
          <w:sz w:val="20"/>
          <w:szCs w:val="20"/>
        </w:rPr>
        <w:t xml:space="preserve"> was unable to </w:t>
      </w:r>
      <w:r w:rsidRPr="00AF3755">
        <w:rPr>
          <w:rFonts w:ascii="Arial" w:hAnsi="Arial" w:cs="Arial"/>
          <w:sz w:val="20"/>
          <w:szCs w:val="20"/>
        </w:rPr>
        <w:t>determine whether any further adjustments were required to the reported achievement.</w:t>
      </w:r>
    </w:p>
    <w:p w:rsidR="007E5874" w:rsidRPr="00AF3755" w:rsidRDefault="00950416" w:rsidP="00AF3755">
      <w:pPr>
        <w:pStyle w:val="ListParagraph"/>
        <w:numPr>
          <w:ilvl w:val="0"/>
          <w:numId w:val="41"/>
        </w:numPr>
        <w:spacing w:after="0" w:line="240" w:lineRule="auto"/>
        <w:rPr>
          <w:rFonts w:ascii="Arial" w:hAnsi="Arial" w:cs="Arial"/>
          <w:sz w:val="20"/>
          <w:szCs w:val="20"/>
        </w:rPr>
      </w:pPr>
      <w:r w:rsidRPr="00AF3755">
        <w:rPr>
          <w:rFonts w:ascii="Arial" w:hAnsi="Arial" w:cs="Arial"/>
          <w:b/>
          <w:sz w:val="20"/>
          <w:szCs w:val="20"/>
        </w:rPr>
        <w:t>Adjustment of material misstatements:</w:t>
      </w:r>
      <w:r w:rsidRPr="00AF3755">
        <w:rPr>
          <w:rFonts w:ascii="Arial" w:hAnsi="Arial" w:cs="Arial"/>
          <w:sz w:val="20"/>
          <w:szCs w:val="20"/>
        </w:rPr>
        <w:t xml:space="preserve"> </w:t>
      </w:r>
      <w:r w:rsidR="005611B5" w:rsidRPr="00AF3755">
        <w:rPr>
          <w:rFonts w:ascii="Arial" w:hAnsi="Arial" w:cs="Arial"/>
          <w:sz w:val="20"/>
          <w:szCs w:val="20"/>
        </w:rPr>
        <w:t xml:space="preserve">the AGSA identified material misstatements in the annual performance report submitted for auditing. The material misstatements were in the reported performance information of programme 4: TVET. Management subsequently corrected only some of the misstatements. </w:t>
      </w:r>
    </w:p>
    <w:p w:rsidR="007E5874" w:rsidRPr="00AF3755" w:rsidRDefault="007E5874" w:rsidP="00AF3755">
      <w:pPr>
        <w:pStyle w:val="ListParagraph"/>
        <w:spacing w:after="0" w:line="240" w:lineRule="auto"/>
        <w:ind w:left="360"/>
        <w:rPr>
          <w:rFonts w:ascii="Arial" w:hAnsi="Arial" w:cs="Arial"/>
          <w:b/>
          <w:sz w:val="20"/>
          <w:szCs w:val="20"/>
        </w:rPr>
      </w:pPr>
    </w:p>
    <w:p w:rsidR="007E5874" w:rsidRPr="00AF3755" w:rsidRDefault="007E5874" w:rsidP="00AF3755">
      <w:pPr>
        <w:pStyle w:val="ListParagraph"/>
        <w:numPr>
          <w:ilvl w:val="0"/>
          <w:numId w:val="42"/>
        </w:numPr>
        <w:spacing w:after="0" w:line="240" w:lineRule="auto"/>
        <w:ind w:left="357" w:hanging="357"/>
        <w:rPr>
          <w:rFonts w:ascii="Arial" w:hAnsi="Arial" w:cs="Arial"/>
          <w:sz w:val="20"/>
          <w:szCs w:val="20"/>
        </w:rPr>
      </w:pPr>
      <w:r w:rsidRPr="00AF3755">
        <w:rPr>
          <w:rFonts w:ascii="Arial" w:hAnsi="Arial" w:cs="Arial"/>
          <w:b/>
          <w:sz w:val="20"/>
          <w:szCs w:val="20"/>
        </w:rPr>
        <w:t>Internal control deficiencies:</w:t>
      </w:r>
      <w:r w:rsidRPr="00AF3755">
        <w:rPr>
          <w:rFonts w:ascii="Arial" w:hAnsi="Arial" w:cs="Arial"/>
          <w:sz w:val="20"/>
          <w:szCs w:val="20"/>
        </w:rPr>
        <w:t xml:space="preserve"> The AGSA noted that the Department’s Management did not implement adequate controls for recording, measuring, collation and preparation of actual performance achievements, to ensure that the reported achievements in the annual performance report are valid, accurate and complete. This resulted in material adjustment</w:t>
      </w:r>
      <w:r w:rsidR="00067E63" w:rsidRPr="00AF3755">
        <w:rPr>
          <w:rFonts w:ascii="Arial" w:hAnsi="Arial" w:cs="Arial"/>
          <w:sz w:val="20"/>
          <w:szCs w:val="20"/>
        </w:rPr>
        <w:t>s</w:t>
      </w:r>
      <w:r w:rsidRPr="00AF3755">
        <w:rPr>
          <w:rFonts w:ascii="Arial" w:hAnsi="Arial" w:cs="Arial"/>
          <w:sz w:val="20"/>
          <w:szCs w:val="20"/>
        </w:rPr>
        <w:t xml:space="preserve"> made on a number of indicators on the annual performance report. Furthermore, the AGSA stated that the leadership did not exercise adequate oversight, specifically regarding reporting of the predetermined objectives of the department as well as the related controls, resulting in material misstatements identified during the audit.</w:t>
      </w:r>
    </w:p>
    <w:p w:rsidR="007E5874" w:rsidRPr="00AF3755" w:rsidRDefault="007E5874" w:rsidP="00AF3755">
      <w:pPr>
        <w:pStyle w:val="ListParagraph"/>
        <w:spacing w:after="0" w:line="240" w:lineRule="auto"/>
        <w:ind w:left="0"/>
        <w:rPr>
          <w:rFonts w:ascii="Arial" w:hAnsi="Arial" w:cs="Arial"/>
          <w:sz w:val="20"/>
          <w:szCs w:val="20"/>
        </w:rPr>
      </w:pPr>
    </w:p>
    <w:p w:rsidR="007E5874" w:rsidRPr="00AF3755" w:rsidRDefault="007E5874" w:rsidP="00AF3755">
      <w:pPr>
        <w:pStyle w:val="ListParagraph"/>
        <w:spacing w:after="0" w:line="240" w:lineRule="auto"/>
        <w:ind w:left="0"/>
        <w:rPr>
          <w:rFonts w:ascii="Arial" w:hAnsi="Arial" w:cs="Arial"/>
          <w:sz w:val="20"/>
          <w:szCs w:val="20"/>
        </w:rPr>
      </w:pPr>
      <w:r w:rsidRPr="00AF3755">
        <w:rPr>
          <w:rFonts w:ascii="Arial" w:hAnsi="Arial" w:cs="Arial"/>
          <w:sz w:val="20"/>
          <w:szCs w:val="20"/>
        </w:rPr>
        <w:t>It is noted with grave concern that these audit findings are repeat findings as they were also reported in the previous audit cycles. This pointed to inadequate oversight by the leadership of the Department over those who were tasked with the responsibility of reporting the predetermined objectives as well as related controls.</w:t>
      </w:r>
    </w:p>
    <w:p w:rsidR="00555935" w:rsidRPr="00AF3755" w:rsidRDefault="00555935" w:rsidP="00AF3755">
      <w:pPr>
        <w:pStyle w:val="ListParagraph"/>
        <w:autoSpaceDE w:val="0"/>
        <w:autoSpaceDN w:val="0"/>
        <w:adjustRightInd w:val="0"/>
        <w:spacing w:after="0" w:line="240" w:lineRule="auto"/>
        <w:ind w:left="0"/>
        <w:rPr>
          <w:rFonts w:ascii="Arial" w:hAnsi="Arial" w:cs="Arial"/>
          <w:sz w:val="20"/>
          <w:szCs w:val="20"/>
        </w:rPr>
      </w:pPr>
    </w:p>
    <w:p w:rsidR="00C200AF" w:rsidRPr="00AF3755" w:rsidRDefault="00C200AF" w:rsidP="00AF3755">
      <w:pPr>
        <w:pStyle w:val="ListParagraph"/>
        <w:numPr>
          <w:ilvl w:val="0"/>
          <w:numId w:val="1"/>
        </w:numPr>
        <w:spacing w:after="0" w:line="240" w:lineRule="auto"/>
        <w:rPr>
          <w:rFonts w:ascii="Arial" w:hAnsi="Arial" w:cs="Arial"/>
          <w:b/>
          <w:sz w:val="20"/>
          <w:szCs w:val="20"/>
        </w:rPr>
      </w:pPr>
      <w:r w:rsidRPr="00AF3755">
        <w:rPr>
          <w:rFonts w:ascii="Arial" w:hAnsi="Arial" w:cs="Arial"/>
          <w:b/>
          <w:sz w:val="20"/>
          <w:szCs w:val="20"/>
        </w:rPr>
        <w:t>ENTITIES OF THE DEPARTMENT OF HIGHER EDUCATION AND TRAINING</w:t>
      </w:r>
    </w:p>
    <w:p w:rsidR="00C200AF" w:rsidRPr="00AF3755" w:rsidRDefault="00C200AF"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Quality Council for Trades and Occupations (QCTO)</w:t>
      </w:r>
    </w:p>
    <w:p w:rsidR="00CD280B" w:rsidRPr="00AF3755" w:rsidRDefault="0084467D"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QCTO was established as a juristic person in 2010 in terms of the Skills Development Act (SDA), 1998 (Act No. 97 of 1998) as amended in 2008. The QCTO, as a quality assurance body, is responsible for a part of the National Qualifications Framework (NQF), which is the Occupational Qualifications Sub-Framework (OQSF). The QCTO performs its functions in accordance with the Skills Development Act, 1998 as amended and the National Qualifications Framework Act, 2008.</w:t>
      </w:r>
    </w:p>
    <w:p w:rsidR="00CD280B" w:rsidRPr="00AF3755" w:rsidRDefault="00CD280B" w:rsidP="00AF3755">
      <w:pPr>
        <w:pStyle w:val="ListParagraph"/>
        <w:spacing w:after="0" w:line="240" w:lineRule="auto"/>
        <w:ind w:left="0"/>
        <w:rPr>
          <w:rFonts w:ascii="Arial" w:hAnsi="Arial" w:cs="Arial"/>
          <w:sz w:val="20"/>
          <w:szCs w:val="20"/>
        </w:rPr>
      </w:pPr>
    </w:p>
    <w:p w:rsidR="007407D8" w:rsidRPr="00AF3755" w:rsidRDefault="00C200AF"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the QCTO’</w:t>
      </w:r>
      <w:r w:rsidR="00735A4C" w:rsidRPr="00AF3755">
        <w:rPr>
          <w:rFonts w:ascii="Arial" w:hAnsi="Arial" w:cs="Arial"/>
          <w:b/>
          <w:sz w:val="20"/>
          <w:szCs w:val="20"/>
        </w:rPr>
        <w:t>s</w:t>
      </w:r>
      <w:r w:rsidRPr="00AF3755">
        <w:rPr>
          <w:rFonts w:ascii="Arial" w:hAnsi="Arial" w:cs="Arial"/>
          <w:b/>
          <w:sz w:val="20"/>
          <w:szCs w:val="20"/>
        </w:rPr>
        <w:t xml:space="preserve"> 2021/22 non-financial performance</w:t>
      </w:r>
    </w:p>
    <w:p w:rsidR="00C200AF" w:rsidRPr="00AF3755" w:rsidRDefault="00C200AF"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lastRenderedPageBreak/>
        <w:t xml:space="preserve">Table </w:t>
      </w:r>
      <w:r w:rsidR="009A75B5" w:rsidRPr="00AF3755">
        <w:rPr>
          <w:rFonts w:ascii="Arial" w:hAnsi="Arial" w:cs="Arial"/>
          <w:b/>
          <w:sz w:val="20"/>
          <w:szCs w:val="20"/>
        </w:rPr>
        <w:t>4</w:t>
      </w:r>
      <w:r w:rsidRPr="00AF3755">
        <w:rPr>
          <w:rFonts w:ascii="Arial" w:hAnsi="Arial" w:cs="Arial"/>
          <w:b/>
          <w:sz w:val="20"/>
          <w:szCs w:val="20"/>
        </w:rPr>
        <w:t>: The QCTO’s Programmes, with their related achievement against performance targets for the 2021/22 financial year</w:t>
      </w:r>
    </w:p>
    <w:tbl>
      <w:tblPr>
        <w:tblW w:w="9356"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686"/>
        <w:gridCol w:w="1701"/>
        <w:gridCol w:w="1195"/>
        <w:gridCol w:w="1158"/>
        <w:gridCol w:w="1616"/>
      </w:tblGrid>
      <w:tr w:rsidR="009274F9" w:rsidRPr="00AF3755" w:rsidTr="0060550C">
        <w:trPr>
          <w:trHeight w:val="300"/>
        </w:trPr>
        <w:tc>
          <w:tcPr>
            <w:tcW w:w="3686" w:type="dxa"/>
            <w:tcBorders>
              <w:bottom w:val="single" w:sz="6" w:space="0" w:color="000000"/>
              <w:right w:val="single" w:sz="6" w:space="0" w:color="000000"/>
            </w:tcBorders>
            <w:shd w:val="clear" w:color="auto" w:fill="D6DCE4"/>
            <w:tcMar>
              <w:top w:w="8" w:type="dxa"/>
              <w:left w:w="108"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Programme</w:t>
            </w:r>
          </w:p>
        </w:tc>
        <w:tc>
          <w:tcPr>
            <w:tcW w:w="1701" w:type="dxa"/>
            <w:tcBorders>
              <w:bottom w:val="single" w:sz="6" w:space="0" w:color="000000"/>
              <w:right w:val="single" w:sz="6" w:space="0" w:color="000000"/>
            </w:tcBorders>
            <w:shd w:val="clear" w:color="auto" w:fill="D6DCE4"/>
            <w:tcMar>
              <w:top w:w="8" w:type="dxa"/>
              <w:left w:w="113"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APP Targets 2021/22</w:t>
            </w:r>
          </w:p>
        </w:tc>
        <w:tc>
          <w:tcPr>
            <w:tcW w:w="1195" w:type="dxa"/>
            <w:tcBorders>
              <w:bottom w:val="single" w:sz="6" w:space="0" w:color="000000"/>
              <w:right w:val="single" w:sz="6" w:space="0" w:color="000000"/>
            </w:tcBorders>
            <w:shd w:val="clear" w:color="auto" w:fill="D6DCE4"/>
            <w:tcMar>
              <w:top w:w="8" w:type="dxa"/>
              <w:left w:w="113"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Achieved</w:t>
            </w:r>
          </w:p>
        </w:tc>
        <w:tc>
          <w:tcPr>
            <w:tcW w:w="1158" w:type="dxa"/>
            <w:tcBorders>
              <w:bottom w:val="single" w:sz="6" w:space="0" w:color="000000"/>
              <w:right w:val="single" w:sz="6" w:space="0" w:color="000000"/>
            </w:tcBorders>
            <w:shd w:val="clear" w:color="auto" w:fill="D6DCE4"/>
            <w:tcMar>
              <w:top w:w="8" w:type="dxa"/>
              <w:left w:w="113"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Not achieved</w:t>
            </w:r>
          </w:p>
        </w:tc>
        <w:tc>
          <w:tcPr>
            <w:tcW w:w="1616" w:type="dxa"/>
            <w:tcBorders>
              <w:bottom w:val="single" w:sz="6" w:space="0" w:color="000000"/>
            </w:tcBorders>
            <w:shd w:val="clear" w:color="auto" w:fill="D6DCE4"/>
            <w:tcMar>
              <w:top w:w="8" w:type="dxa"/>
              <w:left w:w="113"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 Achievement</w:t>
            </w:r>
          </w:p>
        </w:tc>
      </w:tr>
      <w:tr w:rsidR="009274F9" w:rsidRPr="00AF3755" w:rsidTr="009274F9">
        <w:trPr>
          <w:trHeight w:val="285"/>
        </w:trPr>
        <w:tc>
          <w:tcPr>
            <w:tcW w:w="3686" w:type="dxa"/>
            <w:tcBorders>
              <w:bottom w:val="single" w:sz="6" w:space="0" w:color="000000"/>
              <w:right w:val="single" w:sz="6" w:space="0" w:color="000000"/>
            </w:tcBorders>
            <w:tcMar>
              <w:top w:w="5" w:type="dxa"/>
              <w:left w:w="108"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color w:val="000000"/>
                <w:sz w:val="20"/>
                <w:szCs w:val="20"/>
              </w:rPr>
              <w:t>1.     Administration</w:t>
            </w:r>
          </w:p>
        </w:tc>
        <w:tc>
          <w:tcPr>
            <w:tcW w:w="1701" w:type="dxa"/>
            <w:tcBorders>
              <w:bottom w:val="single" w:sz="6" w:space="0" w:color="000000"/>
              <w:right w:val="single" w:sz="6" w:space="0" w:color="000000"/>
            </w:tcBorders>
            <w:tcMar>
              <w:top w:w="5" w:type="dxa"/>
              <w:left w:w="113" w:type="dxa"/>
              <w:bottom w:w="8" w:type="dxa"/>
              <w:right w:w="108" w:type="dxa"/>
            </w:tcMar>
          </w:tcPr>
          <w:p w:rsidR="009274F9" w:rsidRPr="00AF3755" w:rsidRDefault="001839C8" w:rsidP="00AF3755">
            <w:pPr>
              <w:spacing w:after="0" w:line="240" w:lineRule="auto"/>
              <w:rPr>
                <w:rFonts w:ascii="Arial" w:hAnsi="Arial" w:cs="Arial"/>
                <w:color w:val="000000"/>
                <w:sz w:val="20"/>
                <w:szCs w:val="20"/>
              </w:rPr>
            </w:pPr>
            <w:r w:rsidRPr="00AF3755">
              <w:rPr>
                <w:rFonts w:ascii="Arial" w:hAnsi="Arial" w:cs="Arial"/>
                <w:color w:val="000000"/>
                <w:sz w:val="20"/>
                <w:szCs w:val="20"/>
              </w:rPr>
              <w:t>5</w:t>
            </w:r>
          </w:p>
        </w:tc>
        <w:tc>
          <w:tcPr>
            <w:tcW w:w="1195" w:type="dxa"/>
            <w:tcBorders>
              <w:bottom w:val="single" w:sz="6" w:space="0" w:color="000000"/>
              <w:right w:val="single" w:sz="6" w:space="0" w:color="000000"/>
            </w:tcBorders>
            <w:tcMar>
              <w:top w:w="5" w:type="dxa"/>
              <w:left w:w="113" w:type="dxa"/>
              <w:bottom w:w="8" w:type="dxa"/>
              <w:right w:w="108" w:type="dxa"/>
            </w:tcMar>
          </w:tcPr>
          <w:p w:rsidR="009274F9" w:rsidRPr="00AF3755" w:rsidRDefault="001839C8" w:rsidP="00AF3755">
            <w:pPr>
              <w:spacing w:after="0" w:line="240" w:lineRule="auto"/>
              <w:rPr>
                <w:rFonts w:ascii="Arial" w:hAnsi="Arial" w:cs="Arial"/>
                <w:color w:val="000000"/>
                <w:sz w:val="20"/>
                <w:szCs w:val="20"/>
              </w:rPr>
            </w:pPr>
            <w:r w:rsidRPr="00AF3755">
              <w:rPr>
                <w:rFonts w:ascii="Arial" w:hAnsi="Arial" w:cs="Arial"/>
                <w:color w:val="000000"/>
                <w:sz w:val="20"/>
                <w:szCs w:val="20"/>
              </w:rPr>
              <w:t>4</w:t>
            </w:r>
          </w:p>
        </w:tc>
        <w:tc>
          <w:tcPr>
            <w:tcW w:w="1158" w:type="dxa"/>
            <w:tcBorders>
              <w:bottom w:val="single" w:sz="6" w:space="0" w:color="000000"/>
              <w:right w:val="single" w:sz="6" w:space="0" w:color="000000"/>
            </w:tcBorders>
            <w:tcMar>
              <w:top w:w="5" w:type="dxa"/>
              <w:left w:w="113" w:type="dxa"/>
              <w:bottom w:w="8" w:type="dxa"/>
              <w:right w:w="108" w:type="dxa"/>
            </w:tcMar>
          </w:tcPr>
          <w:p w:rsidR="009274F9" w:rsidRPr="00AF3755" w:rsidRDefault="001839C8" w:rsidP="00AF3755">
            <w:pPr>
              <w:spacing w:after="0" w:line="240" w:lineRule="auto"/>
              <w:rPr>
                <w:rFonts w:ascii="Arial" w:hAnsi="Arial" w:cs="Arial"/>
                <w:color w:val="000000"/>
                <w:sz w:val="20"/>
                <w:szCs w:val="20"/>
              </w:rPr>
            </w:pPr>
            <w:r w:rsidRPr="00AF3755">
              <w:rPr>
                <w:rFonts w:ascii="Arial" w:hAnsi="Arial" w:cs="Arial"/>
                <w:color w:val="000000"/>
                <w:sz w:val="20"/>
                <w:szCs w:val="20"/>
              </w:rPr>
              <w:t>1</w:t>
            </w:r>
          </w:p>
        </w:tc>
        <w:tc>
          <w:tcPr>
            <w:tcW w:w="1616" w:type="dxa"/>
            <w:tcBorders>
              <w:bottom w:val="single" w:sz="6" w:space="0" w:color="000000"/>
            </w:tcBorders>
            <w:tcMar>
              <w:top w:w="5" w:type="dxa"/>
              <w:left w:w="113" w:type="dxa"/>
              <w:bottom w:w="8" w:type="dxa"/>
              <w:right w:w="108" w:type="dxa"/>
            </w:tcMar>
          </w:tcPr>
          <w:p w:rsidR="009274F9" w:rsidRPr="00AF3755" w:rsidRDefault="006C0041" w:rsidP="00AF3755">
            <w:pPr>
              <w:spacing w:after="0" w:line="240" w:lineRule="auto"/>
              <w:rPr>
                <w:rFonts w:ascii="Arial" w:hAnsi="Arial" w:cs="Arial"/>
                <w:color w:val="000000"/>
                <w:sz w:val="20"/>
                <w:szCs w:val="20"/>
              </w:rPr>
            </w:pPr>
            <w:r w:rsidRPr="00AF3755">
              <w:rPr>
                <w:rFonts w:ascii="Arial" w:hAnsi="Arial" w:cs="Arial"/>
                <w:color w:val="000000"/>
                <w:sz w:val="20"/>
                <w:szCs w:val="20"/>
              </w:rPr>
              <w:t>80.0%</w:t>
            </w:r>
          </w:p>
        </w:tc>
      </w:tr>
      <w:tr w:rsidR="009274F9" w:rsidRPr="00AF3755" w:rsidTr="009274F9">
        <w:trPr>
          <w:trHeight w:val="285"/>
        </w:trPr>
        <w:tc>
          <w:tcPr>
            <w:tcW w:w="3686" w:type="dxa"/>
            <w:tcBorders>
              <w:bottom w:val="single" w:sz="6" w:space="0" w:color="000000"/>
              <w:right w:val="single" w:sz="6" w:space="0" w:color="000000"/>
            </w:tcBorders>
            <w:tcMar>
              <w:top w:w="5" w:type="dxa"/>
              <w:left w:w="108"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color w:val="000000"/>
                <w:sz w:val="20"/>
                <w:szCs w:val="20"/>
              </w:rPr>
              <w:t>2.    Occupational Qualifications Management and Certification</w:t>
            </w:r>
          </w:p>
        </w:tc>
        <w:tc>
          <w:tcPr>
            <w:tcW w:w="1701" w:type="dxa"/>
            <w:tcBorders>
              <w:bottom w:val="single" w:sz="6" w:space="0" w:color="000000"/>
              <w:right w:val="single" w:sz="6" w:space="0" w:color="000000"/>
            </w:tcBorders>
            <w:tcMar>
              <w:top w:w="5" w:type="dxa"/>
              <w:left w:w="113" w:type="dxa"/>
              <w:bottom w:w="8" w:type="dxa"/>
              <w:right w:w="108" w:type="dxa"/>
            </w:tcMar>
          </w:tcPr>
          <w:p w:rsidR="009274F9" w:rsidRPr="00AF3755" w:rsidRDefault="006C0041" w:rsidP="00AF3755">
            <w:pPr>
              <w:spacing w:after="0" w:line="240" w:lineRule="auto"/>
              <w:rPr>
                <w:rFonts w:ascii="Arial" w:hAnsi="Arial" w:cs="Arial"/>
                <w:color w:val="000000"/>
                <w:sz w:val="20"/>
                <w:szCs w:val="20"/>
              </w:rPr>
            </w:pPr>
            <w:r w:rsidRPr="00AF3755">
              <w:rPr>
                <w:rFonts w:ascii="Arial" w:hAnsi="Arial" w:cs="Arial"/>
                <w:color w:val="000000"/>
                <w:sz w:val="20"/>
                <w:szCs w:val="20"/>
              </w:rPr>
              <w:t>11</w:t>
            </w:r>
          </w:p>
        </w:tc>
        <w:tc>
          <w:tcPr>
            <w:tcW w:w="1195" w:type="dxa"/>
            <w:tcBorders>
              <w:bottom w:val="single" w:sz="6" w:space="0" w:color="000000"/>
              <w:right w:val="single" w:sz="6" w:space="0" w:color="000000"/>
            </w:tcBorders>
            <w:tcMar>
              <w:top w:w="5" w:type="dxa"/>
              <w:left w:w="113" w:type="dxa"/>
              <w:bottom w:w="8" w:type="dxa"/>
              <w:right w:w="108" w:type="dxa"/>
            </w:tcMar>
          </w:tcPr>
          <w:p w:rsidR="009274F9" w:rsidRPr="00AF3755" w:rsidRDefault="006C0041" w:rsidP="00AF3755">
            <w:pPr>
              <w:spacing w:after="0" w:line="240" w:lineRule="auto"/>
              <w:rPr>
                <w:rFonts w:ascii="Arial" w:hAnsi="Arial" w:cs="Arial"/>
                <w:color w:val="000000"/>
                <w:sz w:val="20"/>
                <w:szCs w:val="20"/>
              </w:rPr>
            </w:pPr>
            <w:r w:rsidRPr="00AF3755">
              <w:rPr>
                <w:rFonts w:ascii="Arial" w:hAnsi="Arial" w:cs="Arial"/>
                <w:color w:val="000000"/>
                <w:sz w:val="20"/>
                <w:szCs w:val="20"/>
              </w:rPr>
              <w:t>9</w:t>
            </w:r>
          </w:p>
        </w:tc>
        <w:tc>
          <w:tcPr>
            <w:tcW w:w="1158" w:type="dxa"/>
            <w:tcBorders>
              <w:bottom w:val="single" w:sz="6" w:space="0" w:color="000000"/>
              <w:right w:val="single" w:sz="6" w:space="0" w:color="000000"/>
            </w:tcBorders>
            <w:tcMar>
              <w:top w:w="5" w:type="dxa"/>
              <w:left w:w="113" w:type="dxa"/>
              <w:bottom w:w="8" w:type="dxa"/>
              <w:right w:w="108" w:type="dxa"/>
            </w:tcMar>
          </w:tcPr>
          <w:p w:rsidR="009274F9" w:rsidRPr="00AF3755" w:rsidRDefault="006C0041" w:rsidP="00AF3755">
            <w:pPr>
              <w:spacing w:after="0" w:line="240" w:lineRule="auto"/>
              <w:rPr>
                <w:rFonts w:ascii="Arial" w:hAnsi="Arial" w:cs="Arial"/>
                <w:color w:val="000000"/>
                <w:sz w:val="20"/>
                <w:szCs w:val="20"/>
              </w:rPr>
            </w:pPr>
            <w:r w:rsidRPr="00AF3755">
              <w:rPr>
                <w:rFonts w:ascii="Arial" w:hAnsi="Arial" w:cs="Arial"/>
                <w:color w:val="000000"/>
                <w:sz w:val="20"/>
                <w:szCs w:val="20"/>
              </w:rPr>
              <w:t>2</w:t>
            </w:r>
          </w:p>
        </w:tc>
        <w:tc>
          <w:tcPr>
            <w:tcW w:w="1616" w:type="dxa"/>
            <w:tcBorders>
              <w:bottom w:val="single" w:sz="6" w:space="0" w:color="000000"/>
            </w:tcBorders>
            <w:tcMar>
              <w:top w:w="5" w:type="dxa"/>
              <w:left w:w="113" w:type="dxa"/>
              <w:bottom w:w="8" w:type="dxa"/>
              <w:right w:w="108" w:type="dxa"/>
            </w:tcMar>
          </w:tcPr>
          <w:p w:rsidR="009274F9" w:rsidRPr="00AF3755" w:rsidRDefault="00E22C37" w:rsidP="00AF3755">
            <w:pPr>
              <w:spacing w:after="0" w:line="240" w:lineRule="auto"/>
              <w:rPr>
                <w:rFonts w:ascii="Arial" w:hAnsi="Arial" w:cs="Arial"/>
                <w:color w:val="000000"/>
                <w:sz w:val="20"/>
                <w:szCs w:val="20"/>
              </w:rPr>
            </w:pPr>
            <w:r w:rsidRPr="00AF3755">
              <w:rPr>
                <w:rFonts w:ascii="Arial" w:hAnsi="Arial" w:cs="Arial"/>
                <w:color w:val="000000"/>
                <w:sz w:val="20"/>
                <w:szCs w:val="20"/>
              </w:rPr>
              <w:t>81.8%</w:t>
            </w:r>
          </w:p>
        </w:tc>
      </w:tr>
      <w:tr w:rsidR="009274F9" w:rsidRPr="00AF3755" w:rsidTr="009274F9">
        <w:trPr>
          <w:trHeight w:val="285"/>
        </w:trPr>
        <w:tc>
          <w:tcPr>
            <w:tcW w:w="3686" w:type="dxa"/>
            <w:tcBorders>
              <w:bottom w:val="single" w:sz="6" w:space="0" w:color="000000"/>
              <w:right w:val="single" w:sz="6" w:space="0" w:color="000000"/>
            </w:tcBorders>
            <w:tcMar>
              <w:top w:w="5" w:type="dxa"/>
              <w:left w:w="108"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color w:val="000000"/>
                <w:sz w:val="20"/>
                <w:szCs w:val="20"/>
              </w:rPr>
              <w:t>3.     Occupational Qualifications Quality Assurance</w:t>
            </w:r>
          </w:p>
        </w:tc>
        <w:tc>
          <w:tcPr>
            <w:tcW w:w="1701" w:type="dxa"/>
            <w:tcBorders>
              <w:bottom w:val="single" w:sz="6" w:space="0" w:color="000000"/>
              <w:right w:val="single" w:sz="6" w:space="0" w:color="000000"/>
            </w:tcBorders>
            <w:tcMar>
              <w:top w:w="5" w:type="dxa"/>
              <w:left w:w="113" w:type="dxa"/>
              <w:bottom w:w="8" w:type="dxa"/>
              <w:right w:w="108" w:type="dxa"/>
            </w:tcMar>
          </w:tcPr>
          <w:p w:rsidR="009274F9" w:rsidRPr="00AF3755" w:rsidRDefault="009711CB" w:rsidP="00AF3755">
            <w:pPr>
              <w:spacing w:after="0" w:line="240" w:lineRule="auto"/>
              <w:rPr>
                <w:rFonts w:ascii="Arial" w:hAnsi="Arial" w:cs="Arial"/>
                <w:color w:val="000000"/>
                <w:sz w:val="20"/>
                <w:szCs w:val="20"/>
              </w:rPr>
            </w:pPr>
            <w:r w:rsidRPr="00AF3755">
              <w:rPr>
                <w:rFonts w:ascii="Arial" w:hAnsi="Arial" w:cs="Arial"/>
                <w:color w:val="000000"/>
                <w:sz w:val="20"/>
                <w:szCs w:val="20"/>
              </w:rPr>
              <w:t>13</w:t>
            </w:r>
          </w:p>
        </w:tc>
        <w:tc>
          <w:tcPr>
            <w:tcW w:w="1195" w:type="dxa"/>
            <w:tcBorders>
              <w:bottom w:val="single" w:sz="6" w:space="0" w:color="000000"/>
              <w:right w:val="single" w:sz="6" w:space="0" w:color="000000"/>
            </w:tcBorders>
            <w:tcMar>
              <w:top w:w="5" w:type="dxa"/>
              <w:left w:w="113" w:type="dxa"/>
              <w:bottom w:w="8" w:type="dxa"/>
              <w:right w:w="108" w:type="dxa"/>
            </w:tcMar>
          </w:tcPr>
          <w:p w:rsidR="009274F9" w:rsidRPr="00AF3755" w:rsidRDefault="009711CB" w:rsidP="00AF3755">
            <w:pPr>
              <w:spacing w:after="0" w:line="240" w:lineRule="auto"/>
              <w:rPr>
                <w:rFonts w:ascii="Arial" w:hAnsi="Arial" w:cs="Arial"/>
                <w:color w:val="000000"/>
                <w:sz w:val="20"/>
                <w:szCs w:val="20"/>
              </w:rPr>
            </w:pPr>
            <w:r w:rsidRPr="00AF3755">
              <w:rPr>
                <w:rFonts w:ascii="Arial" w:hAnsi="Arial" w:cs="Arial"/>
                <w:color w:val="000000"/>
                <w:sz w:val="20"/>
                <w:szCs w:val="20"/>
              </w:rPr>
              <w:t>9</w:t>
            </w:r>
          </w:p>
        </w:tc>
        <w:tc>
          <w:tcPr>
            <w:tcW w:w="1158" w:type="dxa"/>
            <w:tcBorders>
              <w:bottom w:val="single" w:sz="6" w:space="0" w:color="000000"/>
              <w:right w:val="single" w:sz="6" w:space="0" w:color="000000"/>
            </w:tcBorders>
            <w:tcMar>
              <w:top w:w="5" w:type="dxa"/>
              <w:left w:w="113" w:type="dxa"/>
              <w:bottom w:w="8" w:type="dxa"/>
              <w:right w:w="108" w:type="dxa"/>
            </w:tcMar>
          </w:tcPr>
          <w:p w:rsidR="009274F9" w:rsidRPr="00AF3755" w:rsidRDefault="009711CB" w:rsidP="00AF3755">
            <w:pPr>
              <w:spacing w:after="0" w:line="240" w:lineRule="auto"/>
              <w:rPr>
                <w:rFonts w:ascii="Arial" w:hAnsi="Arial" w:cs="Arial"/>
                <w:color w:val="000000"/>
                <w:sz w:val="20"/>
                <w:szCs w:val="20"/>
              </w:rPr>
            </w:pPr>
            <w:r w:rsidRPr="00AF3755">
              <w:rPr>
                <w:rFonts w:ascii="Arial" w:hAnsi="Arial" w:cs="Arial"/>
                <w:color w:val="000000"/>
                <w:sz w:val="20"/>
                <w:szCs w:val="20"/>
              </w:rPr>
              <w:t>4</w:t>
            </w:r>
          </w:p>
        </w:tc>
        <w:tc>
          <w:tcPr>
            <w:tcW w:w="1616" w:type="dxa"/>
            <w:tcBorders>
              <w:bottom w:val="single" w:sz="6" w:space="0" w:color="000000"/>
            </w:tcBorders>
            <w:tcMar>
              <w:top w:w="5" w:type="dxa"/>
              <w:left w:w="113" w:type="dxa"/>
              <w:bottom w:w="8" w:type="dxa"/>
              <w:right w:w="108" w:type="dxa"/>
            </w:tcMar>
          </w:tcPr>
          <w:p w:rsidR="009274F9" w:rsidRPr="00AF3755" w:rsidRDefault="009711CB" w:rsidP="00AF3755">
            <w:pPr>
              <w:spacing w:after="0" w:line="240" w:lineRule="auto"/>
              <w:rPr>
                <w:rFonts w:ascii="Arial" w:hAnsi="Arial" w:cs="Arial"/>
                <w:color w:val="000000"/>
                <w:sz w:val="20"/>
                <w:szCs w:val="20"/>
              </w:rPr>
            </w:pPr>
            <w:r w:rsidRPr="00AF3755">
              <w:rPr>
                <w:rFonts w:ascii="Arial" w:hAnsi="Arial" w:cs="Arial"/>
                <w:color w:val="000000"/>
                <w:sz w:val="20"/>
                <w:szCs w:val="20"/>
              </w:rPr>
              <w:t>69.2%</w:t>
            </w:r>
          </w:p>
        </w:tc>
      </w:tr>
      <w:tr w:rsidR="009274F9" w:rsidRPr="00AF3755" w:rsidTr="009274F9">
        <w:trPr>
          <w:trHeight w:val="345"/>
        </w:trPr>
        <w:tc>
          <w:tcPr>
            <w:tcW w:w="3686" w:type="dxa"/>
            <w:tcBorders>
              <w:bottom w:val="single" w:sz="6" w:space="0" w:color="000000"/>
              <w:right w:val="single" w:sz="6" w:space="0" w:color="000000"/>
            </w:tcBorders>
            <w:tcMar>
              <w:top w:w="5" w:type="dxa"/>
              <w:left w:w="108"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color w:val="000000"/>
                <w:sz w:val="20"/>
                <w:szCs w:val="20"/>
              </w:rPr>
              <w:t>4.     Research Analysis and Quality Assurance</w:t>
            </w:r>
          </w:p>
        </w:tc>
        <w:tc>
          <w:tcPr>
            <w:tcW w:w="1701" w:type="dxa"/>
            <w:tcBorders>
              <w:bottom w:val="single" w:sz="6" w:space="0" w:color="000000"/>
              <w:right w:val="single" w:sz="6" w:space="0" w:color="000000"/>
            </w:tcBorders>
            <w:tcMar>
              <w:top w:w="5" w:type="dxa"/>
              <w:left w:w="113" w:type="dxa"/>
              <w:bottom w:w="8" w:type="dxa"/>
              <w:right w:w="108" w:type="dxa"/>
            </w:tcMar>
          </w:tcPr>
          <w:p w:rsidR="009274F9" w:rsidRPr="00AF3755" w:rsidRDefault="001A76AD" w:rsidP="00AF3755">
            <w:pPr>
              <w:spacing w:after="0" w:line="240" w:lineRule="auto"/>
              <w:rPr>
                <w:rFonts w:ascii="Arial" w:hAnsi="Arial" w:cs="Arial"/>
                <w:color w:val="000000"/>
                <w:sz w:val="20"/>
                <w:szCs w:val="20"/>
              </w:rPr>
            </w:pPr>
            <w:r w:rsidRPr="00AF3755">
              <w:rPr>
                <w:rFonts w:ascii="Arial" w:hAnsi="Arial" w:cs="Arial"/>
                <w:color w:val="000000"/>
                <w:sz w:val="20"/>
                <w:szCs w:val="20"/>
              </w:rPr>
              <w:t>2</w:t>
            </w:r>
          </w:p>
        </w:tc>
        <w:tc>
          <w:tcPr>
            <w:tcW w:w="1195" w:type="dxa"/>
            <w:tcBorders>
              <w:bottom w:val="single" w:sz="6" w:space="0" w:color="000000"/>
              <w:right w:val="single" w:sz="6" w:space="0" w:color="000000"/>
            </w:tcBorders>
            <w:tcMar>
              <w:top w:w="5" w:type="dxa"/>
              <w:left w:w="113" w:type="dxa"/>
              <w:bottom w:w="8" w:type="dxa"/>
              <w:right w:w="108" w:type="dxa"/>
            </w:tcMar>
          </w:tcPr>
          <w:p w:rsidR="009274F9" w:rsidRPr="00AF3755" w:rsidRDefault="001A76AD" w:rsidP="00AF3755">
            <w:pPr>
              <w:spacing w:after="0" w:line="240" w:lineRule="auto"/>
              <w:rPr>
                <w:rFonts w:ascii="Arial" w:hAnsi="Arial" w:cs="Arial"/>
                <w:color w:val="000000"/>
                <w:sz w:val="20"/>
                <w:szCs w:val="20"/>
              </w:rPr>
            </w:pPr>
            <w:r w:rsidRPr="00AF3755">
              <w:rPr>
                <w:rFonts w:ascii="Arial" w:hAnsi="Arial" w:cs="Arial"/>
                <w:color w:val="000000"/>
                <w:sz w:val="20"/>
                <w:szCs w:val="20"/>
              </w:rPr>
              <w:t>2</w:t>
            </w:r>
          </w:p>
        </w:tc>
        <w:tc>
          <w:tcPr>
            <w:tcW w:w="1158" w:type="dxa"/>
            <w:tcBorders>
              <w:bottom w:val="single" w:sz="6" w:space="0" w:color="000000"/>
              <w:right w:val="single" w:sz="6" w:space="0" w:color="000000"/>
            </w:tcBorders>
            <w:tcMar>
              <w:top w:w="5" w:type="dxa"/>
              <w:left w:w="113" w:type="dxa"/>
              <w:bottom w:w="8" w:type="dxa"/>
              <w:right w:w="108" w:type="dxa"/>
            </w:tcMar>
          </w:tcPr>
          <w:p w:rsidR="009274F9" w:rsidRPr="00AF3755" w:rsidRDefault="001A76AD" w:rsidP="00AF3755">
            <w:pPr>
              <w:spacing w:after="0" w:line="240" w:lineRule="auto"/>
              <w:rPr>
                <w:rFonts w:ascii="Arial" w:hAnsi="Arial" w:cs="Arial"/>
                <w:color w:val="000000"/>
                <w:sz w:val="20"/>
                <w:szCs w:val="20"/>
              </w:rPr>
            </w:pPr>
            <w:r w:rsidRPr="00AF3755">
              <w:rPr>
                <w:rFonts w:ascii="Arial" w:hAnsi="Arial" w:cs="Arial"/>
                <w:color w:val="000000"/>
                <w:sz w:val="20"/>
                <w:szCs w:val="20"/>
              </w:rPr>
              <w:t>-</w:t>
            </w:r>
          </w:p>
        </w:tc>
        <w:tc>
          <w:tcPr>
            <w:tcW w:w="1616" w:type="dxa"/>
            <w:tcBorders>
              <w:bottom w:val="single" w:sz="6" w:space="0" w:color="000000"/>
            </w:tcBorders>
            <w:tcMar>
              <w:top w:w="5" w:type="dxa"/>
              <w:left w:w="113" w:type="dxa"/>
              <w:bottom w:w="8" w:type="dxa"/>
              <w:right w:w="108" w:type="dxa"/>
            </w:tcMar>
          </w:tcPr>
          <w:p w:rsidR="009274F9" w:rsidRPr="00AF3755" w:rsidRDefault="001A76AD" w:rsidP="00AF3755">
            <w:pPr>
              <w:spacing w:after="0" w:line="240" w:lineRule="auto"/>
              <w:rPr>
                <w:rFonts w:ascii="Arial" w:hAnsi="Arial" w:cs="Arial"/>
                <w:color w:val="000000"/>
                <w:sz w:val="20"/>
                <w:szCs w:val="20"/>
              </w:rPr>
            </w:pPr>
            <w:r w:rsidRPr="00AF3755">
              <w:rPr>
                <w:rFonts w:ascii="Arial" w:hAnsi="Arial" w:cs="Arial"/>
                <w:color w:val="000000"/>
                <w:sz w:val="20"/>
                <w:szCs w:val="20"/>
              </w:rPr>
              <w:t>100%</w:t>
            </w:r>
          </w:p>
        </w:tc>
      </w:tr>
      <w:tr w:rsidR="009274F9" w:rsidRPr="00AF3755" w:rsidTr="009274F9">
        <w:trPr>
          <w:trHeight w:val="345"/>
        </w:trPr>
        <w:tc>
          <w:tcPr>
            <w:tcW w:w="3686" w:type="dxa"/>
            <w:tcBorders>
              <w:right w:val="single" w:sz="6" w:space="0" w:color="000000"/>
            </w:tcBorders>
            <w:shd w:val="clear" w:color="auto" w:fill="D9D9D9"/>
            <w:tcMar>
              <w:top w:w="5" w:type="dxa"/>
              <w:left w:w="108" w:type="dxa"/>
              <w:bottom w:w="8" w:type="dxa"/>
              <w:right w:w="108" w:type="dxa"/>
            </w:tcMar>
            <w:hideMark/>
          </w:tcPr>
          <w:p w:rsidR="009274F9" w:rsidRPr="00AF3755" w:rsidRDefault="009274F9" w:rsidP="00AF3755">
            <w:pPr>
              <w:spacing w:after="0" w:line="240" w:lineRule="auto"/>
              <w:rPr>
                <w:rFonts w:ascii="Arial" w:hAnsi="Arial" w:cs="Arial"/>
                <w:color w:val="000000"/>
                <w:sz w:val="20"/>
                <w:szCs w:val="20"/>
              </w:rPr>
            </w:pPr>
            <w:r w:rsidRPr="00AF3755">
              <w:rPr>
                <w:rFonts w:ascii="Arial" w:hAnsi="Arial" w:cs="Arial"/>
                <w:b/>
                <w:bCs/>
                <w:color w:val="000000"/>
                <w:sz w:val="20"/>
                <w:szCs w:val="20"/>
              </w:rPr>
              <w:t>Total</w:t>
            </w:r>
          </w:p>
        </w:tc>
        <w:tc>
          <w:tcPr>
            <w:tcW w:w="1701" w:type="dxa"/>
            <w:tcBorders>
              <w:right w:val="single" w:sz="6" w:space="0" w:color="000000"/>
            </w:tcBorders>
            <w:shd w:val="clear" w:color="auto" w:fill="D9D9D9"/>
            <w:tcMar>
              <w:top w:w="5" w:type="dxa"/>
              <w:left w:w="113" w:type="dxa"/>
              <w:bottom w:w="8" w:type="dxa"/>
              <w:right w:w="108" w:type="dxa"/>
            </w:tcMar>
          </w:tcPr>
          <w:p w:rsidR="009274F9" w:rsidRPr="00AF3755" w:rsidRDefault="00965376"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31</w:t>
            </w:r>
          </w:p>
        </w:tc>
        <w:tc>
          <w:tcPr>
            <w:tcW w:w="1195" w:type="dxa"/>
            <w:tcBorders>
              <w:right w:val="single" w:sz="6" w:space="0" w:color="000000"/>
            </w:tcBorders>
            <w:shd w:val="clear" w:color="auto" w:fill="D9D9D9"/>
            <w:tcMar>
              <w:top w:w="5" w:type="dxa"/>
              <w:left w:w="113" w:type="dxa"/>
              <w:bottom w:w="8" w:type="dxa"/>
              <w:right w:w="108" w:type="dxa"/>
            </w:tcMar>
          </w:tcPr>
          <w:p w:rsidR="009274F9" w:rsidRPr="00AF3755" w:rsidRDefault="00965376"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24</w:t>
            </w:r>
          </w:p>
        </w:tc>
        <w:tc>
          <w:tcPr>
            <w:tcW w:w="1158" w:type="dxa"/>
            <w:tcBorders>
              <w:right w:val="single" w:sz="6" w:space="0" w:color="000000"/>
            </w:tcBorders>
            <w:shd w:val="clear" w:color="auto" w:fill="D9D9D9"/>
            <w:tcMar>
              <w:top w:w="5" w:type="dxa"/>
              <w:left w:w="113" w:type="dxa"/>
              <w:bottom w:w="8" w:type="dxa"/>
              <w:right w:w="108" w:type="dxa"/>
            </w:tcMar>
          </w:tcPr>
          <w:p w:rsidR="009274F9" w:rsidRPr="00AF3755" w:rsidRDefault="00965376"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5</w:t>
            </w:r>
          </w:p>
        </w:tc>
        <w:tc>
          <w:tcPr>
            <w:tcW w:w="1616" w:type="dxa"/>
            <w:shd w:val="clear" w:color="auto" w:fill="D9D9D9"/>
            <w:tcMar>
              <w:top w:w="5" w:type="dxa"/>
              <w:left w:w="113" w:type="dxa"/>
              <w:bottom w:w="8" w:type="dxa"/>
              <w:right w:w="108" w:type="dxa"/>
            </w:tcMar>
          </w:tcPr>
          <w:p w:rsidR="009274F9" w:rsidRPr="00AF3755" w:rsidRDefault="00965376" w:rsidP="00AF3755">
            <w:pPr>
              <w:spacing w:after="0" w:line="240" w:lineRule="auto"/>
              <w:rPr>
                <w:rFonts w:ascii="Arial" w:hAnsi="Arial" w:cs="Arial"/>
                <w:b/>
                <w:color w:val="000000"/>
                <w:sz w:val="20"/>
                <w:szCs w:val="20"/>
              </w:rPr>
            </w:pPr>
            <w:r w:rsidRPr="00AF3755">
              <w:rPr>
                <w:rFonts w:ascii="Arial" w:hAnsi="Arial" w:cs="Arial"/>
                <w:b/>
                <w:color w:val="000000"/>
                <w:sz w:val="20"/>
                <w:szCs w:val="20"/>
              </w:rPr>
              <w:t>77.4%</w:t>
            </w:r>
          </w:p>
        </w:tc>
      </w:tr>
    </w:tbl>
    <w:p w:rsidR="009274F9" w:rsidRPr="00AF3755" w:rsidRDefault="009274F9" w:rsidP="00AF3755">
      <w:pPr>
        <w:pStyle w:val="ListParagraph"/>
        <w:spacing w:after="0" w:line="240" w:lineRule="auto"/>
        <w:ind w:left="0"/>
        <w:rPr>
          <w:rFonts w:ascii="Arial" w:hAnsi="Arial" w:cs="Arial"/>
          <w:b/>
          <w:sz w:val="20"/>
          <w:szCs w:val="20"/>
        </w:rPr>
      </w:pPr>
    </w:p>
    <w:p w:rsidR="009643C9" w:rsidRPr="00AF3755" w:rsidRDefault="009643C9" w:rsidP="00AF3755">
      <w:pPr>
        <w:pStyle w:val="ListParagraph"/>
        <w:spacing w:after="0" w:line="240" w:lineRule="auto"/>
        <w:ind w:left="0"/>
        <w:rPr>
          <w:rFonts w:ascii="Arial" w:hAnsi="Arial" w:cs="Arial"/>
          <w:sz w:val="20"/>
          <w:szCs w:val="20"/>
        </w:rPr>
      </w:pPr>
      <w:r w:rsidRPr="00AF3755">
        <w:rPr>
          <w:rFonts w:ascii="Arial" w:hAnsi="Arial" w:cs="Arial"/>
          <w:sz w:val="20"/>
          <w:szCs w:val="20"/>
        </w:rPr>
        <w:t>During the year under review, the QCTO had 31 performance targets</w:t>
      </w:r>
      <w:r w:rsidR="00301298" w:rsidRPr="00AF3755">
        <w:rPr>
          <w:rFonts w:ascii="Arial" w:hAnsi="Arial" w:cs="Arial"/>
          <w:sz w:val="20"/>
          <w:szCs w:val="20"/>
        </w:rPr>
        <w:t xml:space="preserve"> and</w:t>
      </w:r>
      <w:r w:rsidRPr="00AF3755">
        <w:rPr>
          <w:rFonts w:ascii="Arial" w:hAnsi="Arial" w:cs="Arial"/>
          <w:sz w:val="20"/>
          <w:szCs w:val="20"/>
        </w:rPr>
        <w:t xml:space="preserve"> achieved 24 or 77.4 per cent of the planned targets. The </w:t>
      </w:r>
      <w:r w:rsidR="00301298" w:rsidRPr="00AF3755">
        <w:rPr>
          <w:rFonts w:ascii="Arial" w:hAnsi="Arial" w:cs="Arial"/>
          <w:sz w:val="20"/>
          <w:szCs w:val="20"/>
        </w:rPr>
        <w:t xml:space="preserve">QCTO’s </w:t>
      </w:r>
      <w:r w:rsidRPr="00AF3755">
        <w:rPr>
          <w:rFonts w:ascii="Arial" w:hAnsi="Arial" w:cs="Arial"/>
          <w:sz w:val="20"/>
          <w:szCs w:val="20"/>
        </w:rPr>
        <w:t xml:space="preserve">performance improved significantly by 13.4 per cent from 64 per cent recorded in the 2020/21 financial year. </w:t>
      </w:r>
    </w:p>
    <w:p w:rsidR="00CD280B" w:rsidRPr="00AF3755" w:rsidRDefault="00CD280B" w:rsidP="00AF3755">
      <w:pPr>
        <w:pStyle w:val="ListParagraph"/>
        <w:spacing w:after="0" w:line="240" w:lineRule="auto"/>
        <w:ind w:left="0"/>
        <w:rPr>
          <w:rFonts w:ascii="Arial" w:hAnsi="Arial" w:cs="Arial"/>
          <w:sz w:val="20"/>
          <w:szCs w:val="20"/>
        </w:rPr>
      </w:pPr>
    </w:p>
    <w:p w:rsidR="00C200AF" w:rsidRPr="00AF3755" w:rsidRDefault="00C200AF"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Non-financial performance per programme</w:t>
      </w:r>
    </w:p>
    <w:p w:rsidR="001839C8" w:rsidRPr="00AF3755" w:rsidRDefault="001839C8" w:rsidP="00AF3755">
      <w:pPr>
        <w:pStyle w:val="ListParagraph"/>
        <w:numPr>
          <w:ilvl w:val="0"/>
          <w:numId w:val="2"/>
        </w:numPr>
        <w:spacing w:after="0" w:line="240" w:lineRule="auto"/>
        <w:rPr>
          <w:rFonts w:ascii="Arial" w:hAnsi="Arial" w:cs="Arial"/>
          <w:b/>
          <w:sz w:val="20"/>
          <w:szCs w:val="20"/>
        </w:rPr>
      </w:pPr>
      <w:r w:rsidRPr="00AF3755">
        <w:rPr>
          <w:rFonts w:ascii="Arial" w:hAnsi="Arial" w:cs="Arial"/>
          <w:b/>
          <w:sz w:val="20"/>
          <w:szCs w:val="20"/>
        </w:rPr>
        <w:t>Programme 1: Administration</w:t>
      </w:r>
    </w:p>
    <w:p w:rsidR="00986736" w:rsidRPr="00AF3755" w:rsidRDefault="000247CF" w:rsidP="00AF3755">
      <w:pPr>
        <w:pStyle w:val="ListParagraph"/>
        <w:autoSpaceDE w:val="0"/>
        <w:autoSpaceDN w:val="0"/>
        <w:adjustRightInd w:val="0"/>
        <w:spacing w:after="0" w:line="240" w:lineRule="auto"/>
        <w:ind w:left="0"/>
        <w:rPr>
          <w:rFonts w:ascii="Arial" w:hAnsi="Arial" w:cs="Arial"/>
          <w:sz w:val="20"/>
          <w:szCs w:val="20"/>
        </w:rPr>
      </w:pPr>
      <w:r w:rsidRPr="00AF3755">
        <w:rPr>
          <w:rFonts w:ascii="Arial" w:hAnsi="Arial" w:cs="Arial"/>
          <w:sz w:val="20"/>
          <w:szCs w:val="20"/>
        </w:rPr>
        <w:t xml:space="preserve">The programme enables the QCTO performance through strategic leadership and reliable delivery of management support services that will ensure a responsive and learning organisation. It contributes towards Institutional Outcome 3: A responsive learning organisation. The programme provides for </w:t>
      </w:r>
      <w:r w:rsidR="00067E63" w:rsidRPr="00AF3755">
        <w:rPr>
          <w:rFonts w:ascii="Arial" w:hAnsi="Arial" w:cs="Arial"/>
          <w:sz w:val="20"/>
          <w:szCs w:val="20"/>
        </w:rPr>
        <w:t xml:space="preserve">the </w:t>
      </w:r>
      <w:r w:rsidRPr="00AF3755">
        <w:rPr>
          <w:rFonts w:ascii="Arial" w:hAnsi="Arial" w:cs="Arial"/>
          <w:sz w:val="20"/>
          <w:szCs w:val="20"/>
        </w:rPr>
        <w:t>development of the IT infrastructure; as well as</w:t>
      </w:r>
      <w:r w:rsidR="004A3138" w:rsidRPr="00AF3755">
        <w:rPr>
          <w:rFonts w:ascii="Arial" w:hAnsi="Arial" w:cs="Arial"/>
          <w:sz w:val="20"/>
          <w:szCs w:val="20"/>
        </w:rPr>
        <w:t xml:space="preserve"> the Human Resources capabilities required by the organisation. </w:t>
      </w:r>
    </w:p>
    <w:p w:rsidR="00CD280B" w:rsidRPr="00AF3755" w:rsidRDefault="00CD280B" w:rsidP="00AF3755">
      <w:pPr>
        <w:pStyle w:val="ListParagraph"/>
        <w:autoSpaceDE w:val="0"/>
        <w:autoSpaceDN w:val="0"/>
        <w:adjustRightInd w:val="0"/>
        <w:spacing w:after="0" w:line="240" w:lineRule="auto"/>
        <w:ind w:left="0"/>
        <w:rPr>
          <w:rFonts w:ascii="Arial" w:hAnsi="Arial" w:cs="Arial"/>
          <w:sz w:val="20"/>
          <w:szCs w:val="20"/>
        </w:rPr>
      </w:pPr>
    </w:p>
    <w:p w:rsidR="00CD280B" w:rsidRPr="00AF3755" w:rsidRDefault="00986736" w:rsidP="00AF3755">
      <w:pPr>
        <w:spacing w:after="0" w:line="240" w:lineRule="auto"/>
        <w:rPr>
          <w:rFonts w:ascii="Arial" w:hAnsi="Arial" w:cs="Arial"/>
          <w:sz w:val="20"/>
          <w:szCs w:val="20"/>
        </w:rPr>
      </w:pPr>
      <w:r w:rsidRPr="00AF3755">
        <w:rPr>
          <w:rFonts w:ascii="Arial" w:hAnsi="Arial" w:cs="Arial"/>
          <w:sz w:val="20"/>
          <w:szCs w:val="20"/>
        </w:rPr>
        <w:t>For the period under review</w:t>
      </w:r>
      <w:r w:rsidR="0077424E" w:rsidRPr="00AF3755">
        <w:rPr>
          <w:rFonts w:ascii="Arial" w:hAnsi="Arial" w:cs="Arial"/>
          <w:sz w:val="20"/>
          <w:szCs w:val="20"/>
        </w:rPr>
        <w:t>, the programme had five performance targets</w:t>
      </w:r>
      <w:r w:rsidR="007E6B65" w:rsidRPr="00AF3755">
        <w:rPr>
          <w:rFonts w:ascii="Arial" w:hAnsi="Arial" w:cs="Arial"/>
          <w:sz w:val="20"/>
          <w:szCs w:val="20"/>
        </w:rPr>
        <w:t xml:space="preserve">. </w:t>
      </w:r>
      <w:r w:rsidR="00AB0630" w:rsidRPr="00AF3755">
        <w:rPr>
          <w:rFonts w:ascii="Arial" w:hAnsi="Arial" w:cs="Arial"/>
          <w:sz w:val="20"/>
          <w:szCs w:val="20"/>
        </w:rPr>
        <w:t xml:space="preserve">The </w:t>
      </w:r>
      <w:r w:rsidR="003C29B6" w:rsidRPr="00AF3755">
        <w:rPr>
          <w:rFonts w:ascii="Arial" w:hAnsi="Arial" w:cs="Arial"/>
          <w:sz w:val="20"/>
          <w:szCs w:val="20"/>
        </w:rPr>
        <w:t>programme</w:t>
      </w:r>
      <w:r w:rsidR="00AB0630" w:rsidRPr="00AF3755">
        <w:rPr>
          <w:rFonts w:ascii="Arial" w:hAnsi="Arial" w:cs="Arial"/>
          <w:sz w:val="20"/>
          <w:szCs w:val="20"/>
        </w:rPr>
        <w:t xml:space="preserve"> achieved four (4) or 80 per cent of the five targets.</w:t>
      </w:r>
      <w:r w:rsidR="003C29B6" w:rsidRPr="00AF3755">
        <w:rPr>
          <w:rFonts w:ascii="Arial" w:hAnsi="Arial" w:cs="Arial"/>
          <w:sz w:val="20"/>
          <w:szCs w:val="20"/>
        </w:rPr>
        <w:t xml:space="preserve"> </w:t>
      </w:r>
      <w:r w:rsidR="007346B2" w:rsidRPr="00AF3755">
        <w:rPr>
          <w:rFonts w:ascii="Arial" w:hAnsi="Arial" w:cs="Arial"/>
          <w:sz w:val="20"/>
          <w:szCs w:val="20"/>
        </w:rPr>
        <w:t>The QCTO Council approved the Capacity building and Change Management strategies. During the period under review, the Q</w:t>
      </w:r>
      <w:r w:rsidR="0010035F" w:rsidRPr="00AF3755">
        <w:rPr>
          <w:rFonts w:ascii="Arial" w:hAnsi="Arial" w:cs="Arial"/>
          <w:sz w:val="20"/>
          <w:szCs w:val="20"/>
        </w:rPr>
        <w:t>C</w:t>
      </w:r>
      <w:r w:rsidR="007346B2" w:rsidRPr="00AF3755">
        <w:rPr>
          <w:rFonts w:ascii="Arial" w:hAnsi="Arial" w:cs="Arial"/>
          <w:sz w:val="20"/>
          <w:szCs w:val="20"/>
        </w:rPr>
        <w:t xml:space="preserve">TO </w:t>
      </w:r>
    </w:p>
    <w:p w:rsidR="00AB0630" w:rsidRPr="00AF3755" w:rsidRDefault="007346B2" w:rsidP="00AF3755">
      <w:pPr>
        <w:spacing w:after="0" w:line="240" w:lineRule="auto"/>
        <w:rPr>
          <w:rFonts w:ascii="Arial" w:hAnsi="Arial" w:cs="Arial"/>
          <w:sz w:val="20"/>
          <w:szCs w:val="20"/>
        </w:rPr>
      </w:pPr>
      <w:r w:rsidRPr="00AF3755">
        <w:rPr>
          <w:rFonts w:ascii="Arial" w:hAnsi="Arial" w:cs="Arial"/>
          <w:sz w:val="20"/>
          <w:szCs w:val="20"/>
        </w:rPr>
        <w:t xml:space="preserve">achieved 40 per cent implementation of the </w:t>
      </w:r>
      <w:r w:rsidR="00067E63" w:rsidRPr="00AF3755">
        <w:rPr>
          <w:rFonts w:ascii="Arial" w:hAnsi="Arial" w:cs="Arial"/>
          <w:sz w:val="20"/>
          <w:szCs w:val="20"/>
        </w:rPr>
        <w:t>capacity-</w:t>
      </w:r>
      <w:r w:rsidRPr="00AF3755">
        <w:rPr>
          <w:rFonts w:ascii="Arial" w:hAnsi="Arial" w:cs="Arial"/>
          <w:sz w:val="20"/>
          <w:szCs w:val="20"/>
        </w:rPr>
        <w:t>building strategy and 40 per cent of the implementation of the Marketing and Communication strategy.</w:t>
      </w:r>
    </w:p>
    <w:p w:rsidR="006D67D8" w:rsidRPr="00AF3755" w:rsidRDefault="007346B2" w:rsidP="00AF3755">
      <w:pPr>
        <w:spacing w:after="0" w:line="240" w:lineRule="auto"/>
        <w:rPr>
          <w:rFonts w:ascii="Arial" w:hAnsi="Arial" w:cs="Arial"/>
          <w:b/>
          <w:sz w:val="20"/>
          <w:szCs w:val="20"/>
        </w:rPr>
      </w:pPr>
      <w:r w:rsidRPr="00AF3755">
        <w:rPr>
          <w:rFonts w:ascii="Arial" w:hAnsi="Arial" w:cs="Arial"/>
          <w:b/>
          <w:sz w:val="20"/>
          <w:szCs w:val="20"/>
        </w:rPr>
        <w:t>Target not achieved</w:t>
      </w:r>
    </w:p>
    <w:p w:rsidR="00C57A7A" w:rsidRPr="00AF3755" w:rsidRDefault="00C57A7A" w:rsidP="00AF3755">
      <w:pPr>
        <w:pStyle w:val="ListParagraph"/>
        <w:numPr>
          <w:ilvl w:val="0"/>
          <w:numId w:val="2"/>
        </w:numPr>
        <w:spacing w:after="0" w:line="240" w:lineRule="auto"/>
        <w:rPr>
          <w:rFonts w:ascii="Arial" w:hAnsi="Arial" w:cs="Arial"/>
          <w:b/>
          <w:sz w:val="20"/>
          <w:szCs w:val="20"/>
        </w:rPr>
      </w:pPr>
      <w:r w:rsidRPr="00AF3755">
        <w:rPr>
          <w:rFonts w:ascii="Arial" w:hAnsi="Arial" w:cs="Arial"/>
          <w:sz w:val="20"/>
          <w:szCs w:val="20"/>
        </w:rPr>
        <w:t xml:space="preserve">The MSP Annual Plan deliverables were not fully implemented. The achievement was 31 per cent below the target of 100 per cent. </w:t>
      </w:r>
      <w:r w:rsidR="00630FD4" w:rsidRPr="00AF3755">
        <w:rPr>
          <w:rFonts w:ascii="Arial" w:hAnsi="Arial" w:cs="Arial"/>
          <w:sz w:val="20"/>
          <w:szCs w:val="20"/>
        </w:rPr>
        <w:t xml:space="preserve">The partial achievement was attributed to the hold as a result of the National Treasury’s instruction to halt procurement </w:t>
      </w:r>
      <w:r w:rsidR="00067E63" w:rsidRPr="00AF3755">
        <w:rPr>
          <w:rFonts w:ascii="Arial" w:hAnsi="Arial" w:cs="Arial"/>
          <w:sz w:val="20"/>
          <w:szCs w:val="20"/>
        </w:rPr>
        <w:t xml:space="preserve">of </w:t>
      </w:r>
      <w:r w:rsidR="00630FD4" w:rsidRPr="00AF3755">
        <w:rPr>
          <w:rFonts w:ascii="Arial" w:hAnsi="Arial" w:cs="Arial"/>
          <w:sz w:val="20"/>
          <w:szCs w:val="20"/>
        </w:rPr>
        <w:t>over R30,000 from 16 February 2022. It was reported that the project will be rolled out in the 2022/23 financial year</w:t>
      </w:r>
    </w:p>
    <w:p w:rsidR="00D52B83" w:rsidRPr="00AF3755" w:rsidRDefault="00D52B83" w:rsidP="00AF3755">
      <w:pPr>
        <w:pStyle w:val="ListParagraph"/>
        <w:spacing w:after="0" w:line="240" w:lineRule="auto"/>
        <w:ind w:left="360"/>
        <w:rPr>
          <w:rFonts w:ascii="Arial" w:hAnsi="Arial" w:cs="Arial"/>
          <w:sz w:val="20"/>
          <w:szCs w:val="20"/>
        </w:rPr>
      </w:pPr>
    </w:p>
    <w:p w:rsidR="00D52B83" w:rsidRPr="00AF3755" w:rsidRDefault="00D52B83" w:rsidP="00AF3755">
      <w:pPr>
        <w:pStyle w:val="ListParagraph"/>
        <w:numPr>
          <w:ilvl w:val="0"/>
          <w:numId w:val="2"/>
        </w:numPr>
        <w:spacing w:after="0" w:line="240" w:lineRule="auto"/>
        <w:rPr>
          <w:rFonts w:ascii="Arial" w:hAnsi="Arial" w:cs="Arial"/>
          <w:b/>
          <w:sz w:val="20"/>
          <w:szCs w:val="20"/>
        </w:rPr>
      </w:pPr>
      <w:r w:rsidRPr="00AF3755">
        <w:rPr>
          <w:rFonts w:ascii="Arial" w:hAnsi="Arial" w:cs="Arial"/>
          <w:b/>
          <w:sz w:val="20"/>
          <w:szCs w:val="20"/>
        </w:rPr>
        <w:t xml:space="preserve">Programme 2: </w:t>
      </w:r>
      <w:r w:rsidRPr="00AF3755">
        <w:rPr>
          <w:rFonts w:ascii="Arial" w:hAnsi="Arial" w:cs="Arial"/>
          <w:b/>
          <w:color w:val="000000"/>
          <w:sz w:val="20"/>
          <w:szCs w:val="20"/>
        </w:rPr>
        <w:t>Occupational Qualifications Management and Certification</w:t>
      </w:r>
    </w:p>
    <w:p w:rsidR="000247CF" w:rsidRPr="00AF3755" w:rsidRDefault="00E461B0" w:rsidP="00AF3755">
      <w:pPr>
        <w:pStyle w:val="ListParagraph"/>
        <w:autoSpaceDE w:val="0"/>
        <w:autoSpaceDN w:val="0"/>
        <w:adjustRightInd w:val="0"/>
        <w:spacing w:after="0" w:line="240" w:lineRule="auto"/>
        <w:ind w:left="0"/>
        <w:rPr>
          <w:rFonts w:ascii="Arial" w:hAnsi="Arial" w:cs="Arial"/>
          <w:sz w:val="20"/>
          <w:szCs w:val="20"/>
        </w:rPr>
      </w:pPr>
      <w:r w:rsidRPr="00AF3755">
        <w:rPr>
          <w:rFonts w:ascii="Arial" w:hAnsi="Arial" w:cs="Arial"/>
          <w:sz w:val="20"/>
          <w:szCs w:val="20"/>
        </w:rPr>
        <w:t xml:space="preserve">The programme ensures that occupational qualifications, part-qualifications and skills programmes on the Occupational Qualifications Sub-Framework </w:t>
      </w:r>
      <w:r w:rsidR="0010035F" w:rsidRPr="00AF3755">
        <w:rPr>
          <w:rFonts w:ascii="Arial" w:hAnsi="Arial" w:cs="Arial"/>
          <w:sz w:val="20"/>
          <w:szCs w:val="20"/>
        </w:rPr>
        <w:t xml:space="preserve">(OQSF) </w:t>
      </w:r>
      <w:r w:rsidRPr="00AF3755">
        <w:rPr>
          <w:rFonts w:ascii="Arial" w:hAnsi="Arial" w:cs="Arial"/>
          <w:sz w:val="20"/>
          <w:szCs w:val="20"/>
        </w:rPr>
        <w:t xml:space="preserve">are developed and registered on the NQF; issues certificates to qualifying learners; verify the authenticity of issued certificates and maintain stakeholder relationship. Furthermore, it contributes towards the achievement of Outcome 1: A single national quality assured Occupational Qualifications Sub-Framework that promotes synergy, simplification and effectiveness. </w:t>
      </w:r>
    </w:p>
    <w:p w:rsidR="0010035F" w:rsidRPr="00AF3755" w:rsidRDefault="0010035F" w:rsidP="00AF3755">
      <w:pPr>
        <w:pStyle w:val="ListParagraph"/>
        <w:autoSpaceDE w:val="0"/>
        <w:autoSpaceDN w:val="0"/>
        <w:adjustRightInd w:val="0"/>
        <w:spacing w:after="0" w:line="240" w:lineRule="auto"/>
        <w:ind w:left="0"/>
        <w:rPr>
          <w:rFonts w:ascii="Arial" w:hAnsi="Arial" w:cs="Arial"/>
          <w:sz w:val="20"/>
          <w:szCs w:val="20"/>
        </w:rPr>
      </w:pPr>
    </w:p>
    <w:p w:rsidR="0010035F" w:rsidRPr="00AF3755" w:rsidRDefault="0010035F" w:rsidP="00AF3755">
      <w:pPr>
        <w:pStyle w:val="ListParagraph"/>
        <w:autoSpaceDE w:val="0"/>
        <w:autoSpaceDN w:val="0"/>
        <w:adjustRightInd w:val="0"/>
        <w:spacing w:after="0" w:line="240" w:lineRule="auto"/>
        <w:ind w:left="0"/>
        <w:rPr>
          <w:rFonts w:ascii="Arial" w:hAnsi="Arial" w:cs="Arial"/>
          <w:sz w:val="20"/>
          <w:szCs w:val="20"/>
        </w:rPr>
      </w:pPr>
      <w:r w:rsidRPr="00AF3755">
        <w:rPr>
          <w:rFonts w:ascii="Arial" w:hAnsi="Arial" w:cs="Arial"/>
          <w:sz w:val="20"/>
          <w:szCs w:val="20"/>
        </w:rPr>
        <w:t xml:space="preserve">The programme had 11 targets, of which nine (9) or 81 per cent were achieved. </w:t>
      </w:r>
    </w:p>
    <w:p w:rsidR="00B553FF" w:rsidRPr="00AF3755" w:rsidRDefault="00B553FF" w:rsidP="00AF3755">
      <w:pPr>
        <w:pStyle w:val="ListParagraph"/>
        <w:autoSpaceDE w:val="0"/>
        <w:autoSpaceDN w:val="0"/>
        <w:adjustRightInd w:val="0"/>
        <w:spacing w:after="0" w:line="240" w:lineRule="auto"/>
        <w:ind w:left="0"/>
        <w:rPr>
          <w:rFonts w:ascii="Arial" w:hAnsi="Arial" w:cs="Arial"/>
          <w:b/>
          <w:sz w:val="20"/>
          <w:szCs w:val="20"/>
        </w:rPr>
      </w:pPr>
    </w:p>
    <w:p w:rsidR="00D52CD2" w:rsidRPr="00AF3755" w:rsidRDefault="00D52CD2" w:rsidP="00AF3755">
      <w:pPr>
        <w:pStyle w:val="ListParagraph"/>
        <w:autoSpaceDE w:val="0"/>
        <w:autoSpaceDN w:val="0"/>
        <w:adjustRightInd w:val="0"/>
        <w:spacing w:after="0" w:line="240" w:lineRule="auto"/>
        <w:ind w:left="0"/>
        <w:rPr>
          <w:rFonts w:ascii="Arial" w:hAnsi="Arial" w:cs="Arial"/>
          <w:b/>
          <w:sz w:val="20"/>
          <w:szCs w:val="20"/>
        </w:rPr>
      </w:pPr>
      <w:r w:rsidRPr="00AF3755">
        <w:rPr>
          <w:rFonts w:ascii="Arial" w:hAnsi="Arial" w:cs="Arial"/>
          <w:b/>
          <w:sz w:val="20"/>
          <w:szCs w:val="20"/>
        </w:rPr>
        <w:t xml:space="preserve">Selected key achievements </w:t>
      </w:r>
    </w:p>
    <w:p w:rsidR="00772D9F" w:rsidRPr="00AF3755" w:rsidRDefault="002B2C77" w:rsidP="00AF3755">
      <w:pPr>
        <w:pStyle w:val="ListParagraph"/>
        <w:numPr>
          <w:ilvl w:val="0"/>
          <w:numId w:val="6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 xml:space="preserve">Seventy-two </w:t>
      </w:r>
      <w:r w:rsidR="005E0993" w:rsidRPr="00AF3755">
        <w:rPr>
          <w:rFonts w:ascii="Arial" w:hAnsi="Arial" w:cs="Arial"/>
          <w:sz w:val="20"/>
          <w:szCs w:val="20"/>
        </w:rPr>
        <w:t xml:space="preserve">prioritised occupational qualifications (full/part) </w:t>
      </w:r>
      <w:r w:rsidRPr="00AF3755">
        <w:rPr>
          <w:rFonts w:ascii="Arial" w:hAnsi="Arial" w:cs="Arial"/>
          <w:sz w:val="20"/>
          <w:szCs w:val="20"/>
        </w:rPr>
        <w:t xml:space="preserve">were recommended to SAQA </w:t>
      </w:r>
      <w:r w:rsidR="005E0993" w:rsidRPr="00AF3755">
        <w:rPr>
          <w:rFonts w:ascii="Arial" w:hAnsi="Arial" w:cs="Arial"/>
          <w:sz w:val="20"/>
          <w:szCs w:val="20"/>
        </w:rPr>
        <w:t>for registration on the OQSF.</w:t>
      </w:r>
    </w:p>
    <w:p w:rsidR="005E0993" w:rsidRPr="00AF3755" w:rsidRDefault="002B2C77" w:rsidP="00AF3755">
      <w:pPr>
        <w:pStyle w:val="ListParagraph"/>
        <w:numPr>
          <w:ilvl w:val="0"/>
          <w:numId w:val="6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The programme recommended</w:t>
      </w:r>
      <w:r w:rsidR="004425FB" w:rsidRPr="00AF3755">
        <w:rPr>
          <w:rFonts w:ascii="Arial" w:hAnsi="Arial" w:cs="Arial"/>
          <w:sz w:val="20"/>
          <w:szCs w:val="20"/>
        </w:rPr>
        <w:t xml:space="preserve"> </w:t>
      </w:r>
      <w:r w:rsidR="002342A0" w:rsidRPr="00AF3755">
        <w:rPr>
          <w:rFonts w:ascii="Arial" w:hAnsi="Arial" w:cs="Arial"/>
          <w:sz w:val="20"/>
          <w:szCs w:val="20"/>
        </w:rPr>
        <w:t xml:space="preserve">to SAQA </w:t>
      </w:r>
      <w:r w:rsidR="004425FB" w:rsidRPr="00AF3755">
        <w:rPr>
          <w:rFonts w:ascii="Arial" w:hAnsi="Arial" w:cs="Arial"/>
          <w:sz w:val="20"/>
          <w:szCs w:val="20"/>
        </w:rPr>
        <w:t xml:space="preserve">472 historically registered qualifications for deactivation </w:t>
      </w:r>
      <w:r w:rsidR="002342A0" w:rsidRPr="00AF3755">
        <w:rPr>
          <w:rFonts w:ascii="Arial" w:hAnsi="Arial" w:cs="Arial"/>
          <w:sz w:val="20"/>
          <w:szCs w:val="20"/>
        </w:rPr>
        <w:t>on the OQSF.</w:t>
      </w:r>
    </w:p>
    <w:p w:rsidR="002342A0" w:rsidRPr="00AF3755" w:rsidRDefault="002B2C77" w:rsidP="00AF3755">
      <w:pPr>
        <w:pStyle w:val="ListParagraph"/>
        <w:numPr>
          <w:ilvl w:val="0"/>
          <w:numId w:val="6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The QCTO q</w:t>
      </w:r>
      <w:r w:rsidR="003A0879" w:rsidRPr="00AF3755">
        <w:rPr>
          <w:rFonts w:ascii="Arial" w:hAnsi="Arial" w:cs="Arial"/>
          <w:sz w:val="20"/>
          <w:szCs w:val="20"/>
        </w:rPr>
        <w:t>uality assured 100 per cent assessments for historically registered qualifications.</w:t>
      </w:r>
    </w:p>
    <w:p w:rsidR="003A0879" w:rsidRPr="00AF3755" w:rsidRDefault="002B2C77" w:rsidP="00AF3755">
      <w:pPr>
        <w:pStyle w:val="ListParagraph"/>
        <w:numPr>
          <w:ilvl w:val="0"/>
          <w:numId w:val="6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 xml:space="preserve">A Report </w:t>
      </w:r>
      <w:r w:rsidR="003A0879" w:rsidRPr="00AF3755">
        <w:rPr>
          <w:rFonts w:ascii="Arial" w:hAnsi="Arial" w:cs="Arial"/>
          <w:sz w:val="20"/>
          <w:szCs w:val="20"/>
        </w:rPr>
        <w:t xml:space="preserve">on the implementation of </w:t>
      </w:r>
      <w:r w:rsidR="00067E63" w:rsidRPr="00AF3755">
        <w:rPr>
          <w:rFonts w:ascii="Arial" w:hAnsi="Arial" w:cs="Arial"/>
          <w:sz w:val="20"/>
          <w:szCs w:val="20"/>
        </w:rPr>
        <w:t xml:space="preserve">the </w:t>
      </w:r>
      <w:r w:rsidR="003A0879" w:rsidRPr="00AF3755">
        <w:rPr>
          <w:rFonts w:ascii="Arial" w:hAnsi="Arial" w:cs="Arial"/>
          <w:sz w:val="20"/>
          <w:szCs w:val="20"/>
        </w:rPr>
        <w:t>Approved Council Plan</w:t>
      </w:r>
      <w:r w:rsidRPr="00AF3755">
        <w:rPr>
          <w:rFonts w:ascii="Arial" w:hAnsi="Arial" w:cs="Arial"/>
          <w:sz w:val="20"/>
          <w:szCs w:val="20"/>
        </w:rPr>
        <w:t xml:space="preserve"> was approved</w:t>
      </w:r>
      <w:r w:rsidR="003A0879" w:rsidRPr="00AF3755">
        <w:rPr>
          <w:rFonts w:ascii="Arial" w:hAnsi="Arial" w:cs="Arial"/>
          <w:sz w:val="20"/>
          <w:szCs w:val="20"/>
        </w:rPr>
        <w:t>.</w:t>
      </w:r>
    </w:p>
    <w:p w:rsidR="003A0879" w:rsidRPr="00AF3755" w:rsidRDefault="002B2C77" w:rsidP="00AF3755">
      <w:pPr>
        <w:pStyle w:val="ListParagraph"/>
        <w:numPr>
          <w:ilvl w:val="0"/>
          <w:numId w:val="6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The QCTO q</w:t>
      </w:r>
      <w:r w:rsidR="003A0879" w:rsidRPr="00AF3755">
        <w:rPr>
          <w:rFonts w:ascii="Arial" w:hAnsi="Arial" w:cs="Arial"/>
          <w:sz w:val="20"/>
          <w:szCs w:val="20"/>
        </w:rPr>
        <w:t>uality assured 100 per cent Assessment Quality Partners reports.</w:t>
      </w:r>
    </w:p>
    <w:p w:rsidR="003A0879" w:rsidRPr="00AF3755" w:rsidRDefault="003A0879" w:rsidP="00AF3755">
      <w:pPr>
        <w:pStyle w:val="ListParagraph"/>
        <w:autoSpaceDE w:val="0"/>
        <w:autoSpaceDN w:val="0"/>
        <w:adjustRightInd w:val="0"/>
        <w:spacing w:after="0" w:line="240" w:lineRule="auto"/>
        <w:ind w:left="360"/>
        <w:rPr>
          <w:rFonts w:ascii="Arial" w:hAnsi="Arial" w:cs="Arial"/>
          <w:sz w:val="20"/>
          <w:szCs w:val="20"/>
        </w:rPr>
      </w:pPr>
    </w:p>
    <w:p w:rsidR="00210707" w:rsidRPr="00AF3755" w:rsidRDefault="00210707" w:rsidP="00AF3755">
      <w:pPr>
        <w:autoSpaceDE w:val="0"/>
        <w:autoSpaceDN w:val="0"/>
        <w:adjustRightInd w:val="0"/>
        <w:spacing w:after="0" w:line="240" w:lineRule="auto"/>
        <w:rPr>
          <w:rFonts w:ascii="Arial" w:hAnsi="Arial" w:cs="Arial"/>
          <w:b/>
          <w:sz w:val="20"/>
          <w:szCs w:val="20"/>
        </w:rPr>
      </w:pPr>
      <w:r w:rsidRPr="00AF3755">
        <w:rPr>
          <w:rFonts w:ascii="Arial" w:hAnsi="Arial" w:cs="Arial"/>
          <w:b/>
          <w:sz w:val="20"/>
          <w:szCs w:val="20"/>
        </w:rPr>
        <w:t>Targets not achieved</w:t>
      </w:r>
    </w:p>
    <w:p w:rsidR="00210707" w:rsidRPr="00AF3755" w:rsidRDefault="00210707" w:rsidP="00AF3755">
      <w:pPr>
        <w:pStyle w:val="ListParagraph"/>
        <w:numPr>
          <w:ilvl w:val="0"/>
          <w:numId w:val="64"/>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lastRenderedPageBreak/>
        <w:t>Number (100) of skills programmes approved by the QCTO Council. the actual achievement was 81 and the partial achievement was ascribed to applications not meeting the QCTO requirements and the QCTO in-house delays in the processing of the skills programme applications.</w:t>
      </w:r>
    </w:p>
    <w:p w:rsidR="00210707" w:rsidRPr="00AF3755" w:rsidRDefault="00210707" w:rsidP="00AF3755">
      <w:pPr>
        <w:pStyle w:val="ListParagraph"/>
        <w:numPr>
          <w:ilvl w:val="0"/>
          <w:numId w:val="64"/>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Percentage (90</w:t>
      </w:r>
      <w:r w:rsidR="00067E63" w:rsidRPr="00AF3755">
        <w:rPr>
          <w:rFonts w:ascii="Arial" w:hAnsi="Arial" w:cs="Arial"/>
          <w:sz w:val="20"/>
          <w:szCs w:val="20"/>
        </w:rPr>
        <w:t xml:space="preserve"> per cent</w:t>
      </w:r>
      <w:r w:rsidRPr="00AF3755">
        <w:rPr>
          <w:rFonts w:ascii="Arial" w:hAnsi="Arial" w:cs="Arial"/>
          <w:sz w:val="20"/>
          <w:szCs w:val="20"/>
        </w:rPr>
        <w:t xml:space="preserve">) of assessments for </w:t>
      </w:r>
      <w:r w:rsidR="00067E63" w:rsidRPr="00AF3755">
        <w:rPr>
          <w:rFonts w:ascii="Arial" w:hAnsi="Arial" w:cs="Arial"/>
          <w:sz w:val="20"/>
          <w:szCs w:val="20"/>
        </w:rPr>
        <w:t>QCTO-</w:t>
      </w:r>
      <w:r w:rsidRPr="00AF3755">
        <w:rPr>
          <w:rFonts w:ascii="Arial" w:hAnsi="Arial" w:cs="Arial"/>
          <w:sz w:val="20"/>
          <w:szCs w:val="20"/>
        </w:rPr>
        <w:t>developed skills programmes quality assured against QCTO standards within 21 working days. There was zero per cent achievement and the deviation was attributed to no learner enrolments reported for skills programmes thus no final assessments have been conducted.</w:t>
      </w:r>
    </w:p>
    <w:p w:rsidR="00065713" w:rsidRPr="00AF3755" w:rsidRDefault="00065713" w:rsidP="00AF3755">
      <w:pPr>
        <w:pStyle w:val="ListParagraph"/>
        <w:autoSpaceDE w:val="0"/>
        <w:autoSpaceDN w:val="0"/>
        <w:adjustRightInd w:val="0"/>
        <w:spacing w:after="0" w:line="240" w:lineRule="auto"/>
        <w:ind w:left="0"/>
        <w:rPr>
          <w:rFonts w:ascii="Arial" w:hAnsi="Arial" w:cs="Arial"/>
          <w:sz w:val="20"/>
          <w:szCs w:val="20"/>
        </w:rPr>
      </w:pPr>
    </w:p>
    <w:p w:rsidR="0010035F" w:rsidRPr="00AF3755" w:rsidRDefault="0010035F" w:rsidP="00AF3755">
      <w:pPr>
        <w:pStyle w:val="ListParagraph"/>
        <w:numPr>
          <w:ilvl w:val="0"/>
          <w:numId w:val="3"/>
        </w:numPr>
        <w:autoSpaceDE w:val="0"/>
        <w:autoSpaceDN w:val="0"/>
        <w:adjustRightInd w:val="0"/>
        <w:spacing w:after="0" w:line="240" w:lineRule="auto"/>
        <w:rPr>
          <w:rFonts w:ascii="Arial" w:hAnsi="Arial" w:cs="Arial"/>
          <w:b/>
          <w:sz w:val="20"/>
          <w:szCs w:val="20"/>
        </w:rPr>
      </w:pPr>
      <w:r w:rsidRPr="00AF3755">
        <w:rPr>
          <w:rFonts w:ascii="Arial" w:hAnsi="Arial" w:cs="Arial"/>
          <w:b/>
          <w:sz w:val="20"/>
          <w:szCs w:val="20"/>
        </w:rPr>
        <w:t>Programme 3: Occupational Qualifications Quality Assurance</w:t>
      </w:r>
    </w:p>
    <w:p w:rsidR="0010035F" w:rsidRPr="00AF3755" w:rsidRDefault="0010035F" w:rsidP="00AF3755">
      <w:pPr>
        <w:pStyle w:val="ListParagraph"/>
        <w:autoSpaceDE w:val="0"/>
        <w:autoSpaceDN w:val="0"/>
        <w:adjustRightInd w:val="0"/>
        <w:spacing w:after="0" w:line="240" w:lineRule="auto"/>
        <w:ind w:left="0"/>
        <w:rPr>
          <w:rFonts w:ascii="Arial" w:hAnsi="Arial" w:cs="Arial"/>
          <w:sz w:val="20"/>
          <w:szCs w:val="20"/>
        </w:rPr>
      </w:pPr>
      <w:r w:rsidRPr="00AF3755">
        <w:rPr>
          <w:rFonts w:ascii="Arial" w:hAnsi="Arial" w:cs="Arial"/>
          <w:sz w:val="20"/>
          <w:szCs w:val="20"/>
        </w:rPr>
        <w:t xml:space="preserve">The programme establishes and maintains quality standards for Accreditation and Assessment within the OQSF, and contributes towards the following institutional Outcome 1: A single national </w:t>
      </w:r>
      <w:r w:rsidR="00067E63" w:rsidRPr="00AF3755">
        <w:rPr>
          <w:rFonts w:ascii="Arial" w:hAnsi="Arial" w:cs="Arial"/>
          <w:sz w:val="20"/>
          <w:szCs w:val="20"/>
        </w:rPr>
        <w:t>quality-</w:t>
      </w:r>
      <w:r w:rsidRPr="00AF3755">
        <w:rPr>
          <w:rFonts w:ascii="Arial" w:hAnsi="Arial" w:cs="Arial"/>
          <w:sz w:val="20"/>
          <w:szCs w:val="20"/>
        </w:rPr>
        <w:t>assured OQSF that promotes synergy, simplification and effectiveness.</w:t>
      </w:r>
    </w:p>
    <w:p w:rsidR="006C0041" w:rsidRPr="00AF3755" w:rsidRDefault="006C0041" w:rsidP="00AF3755">
      <w:pPr>
        <w:pStyle w:val="ListParagraph"/>
        <w:autoSpaceDE w:val="0"/>
        <w:autoSpaceDN w:val="0"/>
        <w:adjustRightInd w:val="0"/>
        <w:spacing w:after="0" w:line="240" w:lineRule="auto"/>
        <w:ind w:left="0"/>
        <w:rPr>
          <w:rFonts w:ascii="Arial" w:hAnsi="Arial" w:cs="Arial"/>
          <w:sz w:val="20"/>
          <w:szCs w:val="20"/>
        </w:rPr>
      </w:pPr>
    </w:p>
    <w:p w:rsidR="00410C82" w:rsidRPr="00AF3755" w:rsidRDefault="00410C82" w:rsidP="00AF3755">
      <w:pPr>
        <w:pStyle w:val="ListParagraph"/>
        <w:autoSpaceDE w:val="0"/>
        <w:autoSpaceDN w:val="0"/>
        <w:adjustRightInd w:val="0"/>
        <w:spacing w:after="0" w:line="240" w:lineRule="auto"/>
        <w:ind w:left="0"/>
        <w:rPr>
          <w:rFonts w:ascii="Arial" w:hAnsi="Arial" w:cs="Arial"/>
          <w:sz w:val="20"/>
          <w:szCs w:val="20"/>
        </w:rPr>
      </w:pPr>
      <w:r w:rsidRPr="00AF3755">
        <w:rPr>
          <w:rFonts w:ascii="Arial" w:hAnsi="Arial" w:cs="Arial"/>
          <w:sz w:val="20"/>
          <w:szCs w:val="20"/>
        </w:rPr>
        <w:t xml:space="preserve">The programme had 13 performance targets during the 2021/22 financial year. </w:t>
      </w:r>
      <w:r w:rsidR="00C94AB9" w:rsidRPr="00AF3755">
        <w:rPr>
          <w:rFonts w:ascii="Arial" w:hAnsi="Arial" w:cs="Arial"/>
          <w:sz w:val="20"/>
          <w:szCs w:val="20"/>
        </w:rPr>
        <w:t xml:space="preserve">The programme achieved nine (9) or 69.2 per cent of the 13 targets. </w:t>
      </w:r>
    </w:p>
    <w:p w:rsidR="00065713" w:rsidRPr="00AF3755" w:rsidRDefault="00065713" w:rsidP="00AF3755">
      <w:pPr>
        <w:pStyle w:val="ListParagraph"/>
        <w:autoSpaceDE w:val="0"/>
        <w:autoSpaceDN w:val="0"/>
        <w:adjustRightInd w:val="0"/>
        <w:spacing w:after="0" w:line="240" w:lineRule="auto"/>
        <w:ind w:left="0"/>
        <w:rPr>
          <w:rFonts w:ascii="Arial" w:hAnsi="Arial" w:cs="Arial"/>
          <w:b/>
          <w:sz w:val="20"/>
          <w:szCs w:val="20"/>
        </w:rPr>
      </w:pPr>
      <w:r w:rsidRPr="00AF3755">
        <w:rPr>
          <w:rFonts w:ascii="Arial" w:hAnsi="Arial" w:cs="Arial"/>
          <w:b/>
          <w:sz w:val="20"/>
          <w:szCs w:val="20"/>
        </w:rPr>
        <w:t xml:space="preserve">Selected key achievements </w:t>
      </w:r>
    </w:p>
    <w:p w:rsidR="00065713" w:rsidRPr="00AF3755" w:rsidRDefault="00065713" w:rsidP="00AF3755">
      <w:pPr>
        <w:pStyle w:val="ListParagraph"/>
        <w:numPr>
          <w:ilvl w:val="0"/>
          <w:numId w:val="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 xml:space="preserve">Processed within the turnaround time of 90 working days the following: 92 per cent (2 per cent above the target) </w:t>
      </w:r>
      <w:r w:rsidR="00067E63" w:rsidRPr="00AF3755">
        <w:rPr>
          <w:rFonts w:ascii="Arial" w:hAnsi="Arial" w:cs="Arial"/>
          <w:sz w:val="20"/>
          <w:szCs w:val="20"/>
        </w:rPr>
        <w:t xml:space="preserve">of </w:t>
      </w:r>
      <w:r w:rsidRPr="00AF3755">
        <w:rPr>
          <w:rFonts w:ascii="Arial" w:hAnsi="Arial" w:cs="Arial"/>
          <w:sz w:val="20"/>
          <w:szCs w:val="20"/>
        </w:rPr>
        <w:t xml:space="preserve">Skills Development Providers (SDP) accreditation applications; 100 per cent (90 out of 90) accreditation applications for </w:t>
      </w:r>
      <w:r w:rsidR="00067E63" w:rsidRPr="00AF3755">
        <w:rPr>
          <w:rFonts w:ascii="Arial" w:hAnsi="Arial" w:cs="Arial"/>
          <w:sz w:val="20"/>
          <w:szCs w:val="20"/>
        </w:rPr>
        <w:t>Council-</w:t>
      </w:r>
      <w:r w:rsidRPr="00AF3755">
        <w:rPr>
          <w:rFonts w:ascii="Arial" w:hAnsi="Arial" w:cs="Arial"/>
          <w:sz w:val="20"/>
          <w:szCs w:val="20"/>
        </w:rPr>
        <w:t xml:space="preserve">approved Skills Programmes; and 96 per cent of SDP accreditation applications. </w:t>
      </w:r>
    </w:p>
    <w:p w:rsidR="00065713" w:rsidRPr="00AF3755" w:rsidRDefault="00065713" w:rsidP="00AF3755">
      <w:pPr>
        <w:pStyle w:val="ListParagraph"/>
        <w:numPr>
          <w:ilvl w:val="0"/>
          <w:numId w:val="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Quality assured 55 (324 out of 593) per cent of accredited SDP with implemented historically registered qualifications with learner uptake.</w:t>
      </w:r>
    </w:p>
    <w:p w:rsidR="009711CB" w:rsidRPr="00AF3755" w:rsidRDefault="00A84E2F" w:rsidP="00AF3755">
      <w:pPr>
        <w:pStyle w:val="ListParagraph"/>
        <w:numPr>
          <w:ilvl w:val="0"/>
          <w:numId w:val="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Quality assured 151 NATED Report 190/191 exams sessions conducted at accredited SDPs.</w:t>
      </w:r>
    </w:p>
    <w:p w:rsidR="0055453E" w:rsidRPr="00AF3755" w:rsidRDefault="0055453E" w:rsidP="00AF3755">
      <w:pPr>
        <w:pStyle w:val="ListParagraph"/>
        <w:numPr>
          <w:ilvl w:val="0"/>
          <w:numId w:val="3"/>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Quality assured 42 exam monitoring centres.</w:t>
      </w:r>
    </w:p>
    <w:p w:rsidR="0055453E" w:rsidRPr="00AF3755" w:rsidRDefault="0055453E" w:rsidP="00AF3755">
      <w:pPr>
        <w:autoSpaceDE w:val="0"/>
        <w:autoSpaceDN w:val="0"/>
        <w:adjustRightInd w:val="0"/>
        <w:spacing w:after="0" w:line="240" w:lineRule="auto"/>
        <w:rPr>
          <w:rFonts w:ascii="Arial" w:hAnsi="Arial" w:cs="Arial"/>
          <w:sz w:val="20"/>
          <w:szCs w:val="20"/>
        </w:rPr>
      </w:pPr>
    </w:p>
    <w:p w:rsidR="00B54D34" w:rsidRPr="00AF3755" w:rsidRDefault="00B54D34" w:rsidP="00AF3755">
      <w:pPr>
        <w:autoSpaceDE w:val="0"/>
        <w:autoSpaceDN w:val="0"/>
        <w:adjustRightInd w:val="0"/>
        <w:spacing w:after="0" w:line="240" w:lineRule="auto"/>
        <w:rPr>
          <w:rFonts w:ascii="Arial" w:hAnsi="Arial" w:cs="Arial"/>
          <w:b/>
          <w:sz w:val="20"/>
          <w:szCs w:val="20"/>
        </w:rPr>
      </w:pPr>
      <w:r w:rsidRPr="00AF3755">
        <w:rPr>
          <w:rFonts w:ascii="Arial" w:hAnsi="Arial" w:cs="Arial"/>
          <w:b/>
          <w:sz w:val="20"/>
          <w:szCs w:val="20"/>
        </w:rPr>
        <w:t>Targets not achieved</w:t>
      </w:r>
    </w:p>
    <w:p w:rsidR="00B54D34" w:rsidRPr="00AF3755" w:rsidRDefault="00737249" w:rsidP="00AF3755">
      <w:pPr>
        <w:pStyle w:val="ListParagraph"/>
        <w:numPr>
          <w:ilvl w:val="0"/>
          <w:numId w:val="65"/>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Percentage (80</w:t>
      </w:r>
      <w:r w:rsidR="00067E63" w:rsidRPr="00AF3755">
        <w:rPr>
          <w:rFonts w:ascii="Arial" w:hAnsi="Arial" w:cs="Arial"/>
          <w:sz w:val="20"/>
          <w:szCs w:val="20"/>
        </w:rPr>
        <w:t xml:space="preserve"> per cent</w:t>
      </w:r>
      <w:r w:rsidRPr="00AF3755">
        <w:rPr>
          <w:rFonts w:ascii="Arial" w:hAnsi="Arial" w:cs="Arial"/>
          <w:sz w:val="20"/>
          <w:szCs w:val="20"/>
        </w:rPr>
        <w:t>) of accredited SDPs with implemented occupational qualifications and part qualifications quality assured according to QCTO standards. The actual achievement was 70 per cent (123 out of 176) and</w:t>
      </w:r>
      <w:r w:rsidR="00067E63" w:rsidRPr="00AF3755">
        <w:rPr>
          <w:rFonts w:ascii="Arial" w:hAnsi="Arial" w:cs="Arial"/>
          <w:sz w:val="20"/>
          <w:szCs w:val="20"/>
        </w:rPr>
        <w:t xml:space="preserve"> the</w:t>
      </w:r>
      <w:r w:rsidRPr="00AF3755">
        <w:rPr>
          <w:rFonts w:ascii="Arial" w:hAnsi="Arial" w:cs="Arial"/>
          <w:sz w:val="20"/>
          <w:szCs w:val="20"/>
        </w:rPr>
        <w:t xml:space="preserve"> deviation was due to low responses from SDPs during quarter 1 to quarter 3. </w:t>
      </w:r>
    </w:p>
    <w:p w:rsidR="00401993" w:rsidRPr="00AF3755" w:rsidRDefault="00737249" w:rsidP="00AF3755">
      <w:pPr>
        <w:pStyle w:val="ListParagraph"/>
        <w:numPr>
          <w:ilvl w:val="0"/>
          <w:numId w:val="65"/>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 xml:space="preserve">Number of occupational qualifications, part qualifications and skills programmes offered by TVET colleges (as per Ministerial Plan). </w:t>
      </w:r>
      <w:r w:rsidR="00401993" w:rsidRPr="00AF3755">
        <w:rPr>
          <w:rFonts w:ascii="Arial" w:hAnsi="Arial" w:cs="Arial"/>
          <w:sz w:val="20"/>
          <w:szCs w:val="20"/>
        </w:rPr>
        <w:t>There was no approved Ministerial Plan against which to measure progress</w:t>
      </w:r>
    </w:p>
    <w:p w:rsidR="00401993" w:rsidRPr="00AF3755" w:rsidRDefault="00401993" w:rsidP="00AF3755">
      <w:pPr>
        <w:pStyle w:val="ListParagraph"/>
        <w:numPr>
          <w:ilvl w:val="0"/>
          <w:numId w:val="65"/>
        </w:num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Number of occupational qualifications, part qualifications and skills programmes offered by the CET colleges (as per the Ministerial Plan). There was no approved Ministerial Plan against which to measure progress</w:t>
      </w:r>
    </w:p>
    <w:p w:rsidR="002126CC" w:rsidRPr="00AF3755" w:rsidRDefault="002126CC" w:rsidP="00AF3755">
      <w:pPr>
        <w:pStyle w:val="ListParagraph"/>
        <w:autoSpaceDE w:val="0"/>
        <w:autoSpaceDN w:val="0"/>
        <w:adjustRightInd w:val="0"/>
        <w:spacing w:after="0" w:line="240" w:lineRule="auto"/>
        <w:rPr>
          <w:rFonts w:ascii="Arial" w:hAnsi="Arial" w:cs="Arial"/>
          <w:sz w:val="20"/>
          <w:szCs w:val="20"/>
        </w:rPr>
      </w:pPr>
    </w:p>
    <w:p w:rsidR="009050F4" w:rsidRPr="00AF3755" w:rsidRDefault="009711CB" w:rsidP="00AF3755">
      <w:pPr>
        <w:pStyle w:val="ListParagraph"/>
        <w:numPr>
          <w:ilvl w:val="0"/>
          <w:numId w:val="2"/>
        </w:numPr>
        <w:autoSpaceDE w:val="0"/>
        <w:autoSpaceDN w:val="0"/>
        <w:adjustRightInd w:val="0"/>
        <w:spacing w:after="0" w:line="240" w:lineRule="auto"/>
        <w:rPr>
          <w:rFonts w:ascii="Arial" w:hAnsi="Arial" w:cs="Arial"/>
          <w:b/>
          <w:sz w:val="20"/>
          <w:szCs w:val="20"/>
        </w:rPr>
      </w:pPr>
      <w:r w:rsidRPr="00AF3755">
        <w:rPr>
          <w:rFonts w:ascii="Arial" w:hAnsi="Arial" w:cs="Arial"/>
          <w:b/>
          <w:sz w:val="20"/>
          <w:szCs w:val="20"/>
        </w:rPr>
        <w:t>Programme 4: Research Analysis and Quality Assurance</w:t>
      </w:r>
    </w:p>
    <w:p w:rsidR="009711CB" w:rsidRPr="00AF3755" w:rsidRDefault="009711CB" w:rsidP="00AF3755">
      <w:pPr>
        <w:pStyle w:val="ListParagraph"/>
        <w:autoSpaceDE w:val="0"/>
        <w:autoSpaceDN w:val="0"/>
        <w:adjustRightInd w:val="0"/>
        <w:spacing w:after="0" w:line="240" w:lineRule="auto"/>
        <w:ind w:left="0"/>
        <w:rPr>
          <w:rFonts w:ascii="Arial" w:hAnsi="Arial" w:cs="Arial"/>
          <w:sz w:val="20"/>
          <w:szCs w:val="20"/>
        </w:rPr>
      </w:pPr>
      <w:r w:rsidRPr="00AF3755">
        <w:rPr>
          <w:rFonts w:ascii="Arial" w:hAnsi="Arial" w:cs="Arial"/>
          <w:sz w:val="20"/>
          <w:szCs w:val="20"/>
        </w:rPr>
        <w:t>The programme establishes and maintains the QCTO Standards for quality assurance through research, monitoring, evaluation and analysis. It further contributes towards the institutional Outcome 1: A single national quality assured OQSF that promotes synergy, simplification and effectiveness.</w:t>
      </w:r>
    </w:p>
    <w:p w:rsidR="00065713" w:rsidRPr="00AF3755" w:rsidRDefault="00065713" w:rsidP="00AF3755">
      <w:pPr>
        <w:pStyle w:val="ListParagraph"/>
        <w:autoSpaceDE w:val="0"/>
        <w:autoSpaceDN w:val="0"/>
        <w:adjustRightInd w:val="0"/>
        <w:spacing w:after="0" w:line="240" w:lineRule="auto"/>
        <w:ind w:left="0"/>
        <w:rPr>
          <w:rFonts w:ascii="Arial" w:hAnsi="Arial" w:cs="Arial"/>
          <w:sz w:val="20"/>
          <w:szCs w:val="20"/>
        </w:rPr>
      </w:pPr>
    </w:p>
    <w:p w:rsidR="00AB32CB" w:rsidRPr="00AF3755" w:rsidRDefault="00AB32CB" w:rsidP="00AF3755">
      <w:pPr>
        <w:pStyle w:val="ListParagraph"/>
        <w:autoSpaceDE w:val="0"/>
        <w:autoSpaceDN w:val="0"/>
        <w:adjustRightInd w:val="0"/>
        <w:spacing w:after="0" w:line="240" w:lineRule="auto"/>
        <w:ind w:left="0"/>
        <w:rPr>
          <w:rFonts w:ascii="Arial" w:hAnsi="Arial" w:cs="Arial"/>
          <w:sz w:val="20"/>
          <w:szCs w:val="20"/>
        </w:rPr>
      </w:pPr>
      <w:r w:rsidRPr="00AF3755">
        <w:rPr>
          <w:rFonts w:ascii="Arial" w:hAnsi="Arial" w:cs="Arial"/>
          <w:sz w:val="20"/>
          <w:szCs w:val="20"/>
        </w:rPr>
        <w:t xml:space="preserve">During the period under review, the programme had two performance targets and both were achieved. Three research reports were approved by the Chief Executive Officer and one research bulletin was published online. </w:t>
      </w:r>
    </w:p>
    <w:p w:rsidR="00A32A73" w:rsidRPr="00AF3755" w:rsidRDefault="00A32A73" w:rsidP="00AF3755">
      <w:pPr>
        <w:pStyle w:val="ListParagraph"/>
        <w:autoSpaceDE w:val="0"/>
        <w:autoSpaceDN w:val="0"/>
        <w:adjustRightInd w:val="0"/>
        <w:spacing w:after="0" w:line="240" w:lineRule="auto"/>
        <w:ind w:left="0"/>
        <w:rPr>
          <w:rFonts w:ascii="Arial" w:hAnsi="Arial" w:cs="Arial"/>
          <w:sz w:val="20"/>
          <w:szCs w:val="20"/>
        </w:rPr>
      </w:pPr>
    </w:p>
    <w:p w:rsidR="007407D8" w:rsidRPr="00AF3755" w:rsidRDefault="007407D8"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the QCTO’s 2021/22 budget allocation and expenditure</w:t>
      </w:r>
    </w:p>
    <w:p w:rsidR="00373824" w:rsidRPr="00AF3755" w:rsidRDefault="00373824" w:rsidP="00AF3755">
      <w:pPr>
        <w:pStyle w:val="ListParagraph"/>
        <w:spacing w:after="0" w:line="240" w:lineRule="auto"/>
        <w:ind w:left="0"/>
        <w:rPr>
          <w:rFonts w:ascii="Arial" w:hAnsi="Arial" w:cs="Arial"/>
          <w:sz w:val="20"/>
          <w:szCs w:val="20"/>
        </w:rPr>
      </w:pPr>
      <w:r w:rsidRPr="00AF3755">
        <w:rPr>
          <w:rFonts w:ascii="Arial" w:hAnsi="Arial" w:cs="Arial"/>
          <w:sz w:val="20"/>
          <w:szCs w:val="20"/>
        </w:rPr>
        <w:t>For the 2021/22 financial year, the QCTO’s revenue amounted to R109,96 million (R132,08 million in 2020/21). The revenue comprised R9,94 million from exchange transactions (R5,93 million: from rendering services, R171 000 other income and R3,84 million interest received) and R100,01 million from non-exchange transactions (R95,37 million Government grants and subsidies and R4,64 million from National Skills Fund conditional grants).</w:t>
      </w:r>
    </w:p>
    <w:p w:rsidR="00CD280B" w:rsidRPr="00AF3755" w:rsidRDefault="00CD280B" w:rsidP="00AF3755">
      <w:pPr>
        <w:pStyle w:val="ListParagraph"/>
        <w:spacing w:after="0" w:line="240" w:lineRule="auto"/>
        <w:ind w:left="0"/>
        <w:rPr>
          <w:rFonts w:ascii="Arial" w:hAnsi="Arial" w:cs="Arial"/>
          <w:sz w:val="20"/>
          <w:szCs w:val="20"/>
        </w:rPr>
      </w:pPr>
    </w:p>
    <w:p w:rsidR="00373824" w:rsidRPr="00AF3755" w:rsidRDefault="00373824"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At the end of the 2021/22 financial year, the QCTO had spent R122,43 million, against the total revenue of R109,96 million, thus recording an over-expenditure amounting to R12,47 million. The QCTO reported that the over-expenditure was not a real deficit, but an accounting deficit, due to the approval granted to the entity to retain its accumulated cash surplus of R23,6 million to cover the shortfall in the budget. Since this amount was already accounted for in the prior year, it was not recorded as new revenue, however, it is kept in accumulated cash surplus. It was further indicated </w:t>
      </w:r>
      <w:r w:rsidRPr="00AF3755">
        <w:rPr>
          <w:rFonts w:ascii="Arial" w:hAnsi="Arial" w:cs="Arial"/>
          <w:sz w:val="20"/>
          <w:szCs w:val="20"/>
        </w:rPr>
        <w:lastRenderedPageBreak/>
        <w:t xml:space="preserve">that the only way to spend the approved surplus that resulted in </w:t>
      </w:r>
      <w:r w:rsidR="00067E63" w:rsidRPr="00AF3755">
        <w:rPr>
          <w:rFonts w:ascii="Arial" w:hAnsi="Arial" w:cs="Arial"/>
          <w:sz w:val="20"/>
          <w:szCs w:val="20"/>
        </w:rPr>
        <w:t xml:space="preserve">an </w:t>
      </w:r>
      <w:r w:rsidRPr="00AF3755">
        <w:rPr>
          <w:rFonts w:ascii="Arial" w:hAnsi="Arial" w:cs="Arial"/>
          <w:sz w:val="20"/>
          <w:szCs w:val="20"/>
        </w:rPr>
        <w:t xml:space="preserve">adjusted budget was through </w:t>
      </w:r>
      <w:r w:rsidR="00067E63" w:rsidRPr="00AF3755">
        <w:rPr>
          <w:rFonts w:ascii="Arial" w:hAnsi="Arial" w:cs="Arial"/>
          <w:sz w:val="20"/>
          <w:szCs w:val="20"/>
        </w:rPr>
        <w:t xml:space="preserve">the </w:t>
      </w:r>
      <w:r w:rsidRPr="00AF3755">
        <w:rPr>
          <w:rFonts w:ascii="Arial" w:hAnsi="Arial" w:cs="Arial"/>
          <w:sz w:val="20"/>
          <w:szCs w:val="20"/>
        </w:rPr>
        <w:t>reduction of accumulated surplus, which then resulted in a deficit.</w:t>
      </w:r>
    </w:p>
    <w:p w:rsidR="008F2ABF" w:rsidRPr="00AF3755" w:rsidRDefault="008F2ABF" w:rsidP="00AF3755">
      <w:pPr>
        <w:pStyle w:val="ListParagraph"/>
        <w:spacing w:after="0" w:line="240" w:lineRule="auto"/>
        <w:ind w:left="0"/>
        <w:rPr>
          <w:rFonts w:ascii="Arial" w:hAnsi="Arial" w:cs="Arial"/>
          <w:sz w:val="20"/>
          <w:szCs w:val="20"/>
        </w:rPr>
      </w:pPr>
    </w:p>
    <w:p w:rsidR="00373824" w:rsidRPr="00AF3755" w:rsidRDefault="00373824"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QCTO had spent R69,23 million on personnel costs, which account</w:t>
      </w:r>
      <w:r w:rsidR="0049714D" w:rsidRPr="00AF3755">
        <w:rPr>
          <w:rFonts w:ascii="Arial" w:hAnsi="Arial" w:cs="Arial"/>
          <w:sz w:val="20"/>
          <w:szCs w:val="20"/>
        </w:rPr>
        <w:t>ed</w:t>
      </w:r>
      <w:r w:rsidRPr="00AF3755">
        <w:rPr>
          <w:rFonts w:ascii="Arial" w:hAnsi="Arial" w:cs="Arial"/>
          <w:sz w:val="20"/>
          <w:szCs w:val="20"/>
        </w:rPr>
        <w:t xml:space="preserve"> for 56.5 per cent of the entity’s total expenditure for the year under review. Notably, expenditure on personnel costs decreased slightly by R729 000 from R69,96 million in 2021/22. In terms of administrative costs, the entity had spent R45,31 million. The cost drivers in terms of the administrative expenses were: consulting and professional fees: R11,28 million, lease rentals: R9,28 million, IT expenses: R7,04 million, water and electricity: R3,30 million and travel, subsistence and accommodation: R2,45 million. </w:t>
      </w:r>
    </w:p>
    <w:p w:rsidR="00373824" w:rsidRPr="00AF3755" w:rsidRDefault="00373824" w:rsidP="00AF3755">
      <w:pPr>
        <w:pStyle w:val="ListParagraph"/>
        <w:spacing w:after="0" w:line="240" w:lineRule="auto"/>
        <w:ind w:left="0"/>
        <w:rPr>
          <w:rFonts w:ascii="Arial" w:hAnsi="Arial" w:cs="Arial"/>
          <w:b/>
          <w:sz w:val="20"/>
          <w:szCs w:val="20"/>
        </w:rPr>
      </w:pPr>
    </w:p>
    <w:p w:rsidR="00D41E05" w:rsidRPr="00AF3755" w:rsidRDefault="00D41E0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Contingent liabilities</w:t>
      </w:r>
    </w:p>
    <w:p w:rsidR="00D41E05" w:rsidRPr="00AF3755" w:rsidRDefault="00D41E05" w:rsidP="00AF3755">
      <w:pPr>
        <w:pStyle w:val="ListParagraph"/>
        <w:autoSpaceDE w:val="0"/>
        <w:autoSpaceDN w:val="0"/>
        <w:adjustRightInd w:val="0"/>
        <w:spacing w:after="0" w:line="240" w:lineRule="auto"/>
        <w:ind w:left="0"/>
        <w:rPr>
          <w:rFonts w:ascii="Arial" w:hAnsi="Arial" w:cs="Arial"/>
          <w:sz w:val="20"/>
          <w:szCs w:val="20"/>
        </w:rPr>
      </w:pPr>
      <w:r w:rsidRPr="00AF3755">
        <w:rPr>
          <w:rFonts w:ascii="Arial" w:hAnsi="Arial" w:cs="Arial"/>
          <w:sz w:val="20"/>
          <w:szCs w:val="20"/>
        </w:rPr>
        <w:t xml:space="preserve">The QCTO reported that in </w:t>
      </w:r>
      <w:r w:rsidR="00067E63" w:rsidRPr="00AF3755">
        <w:rPr>
          <w:rFonts w:ascii="Arial" w:hAnsi="Arial" w:cs="Arial"/>
          <w:sz w:val="20"/>
          <w:szCs w:val="20"/>
        </w:rPr>
        <w:t xml:space="preserve">the </w:t>
      </w:r>
      <w:r w:rsidRPr="00AF3755">
        <w:rPr>
          <w:rFonts w:ascii="Arial" w:hAnsi="Arial" w:cs="Arial"/>
          <w:sz w:val="20"/>
          <w:szCs w:val="20"/>
        </w:rPr>
        <w:t>2020</w:t>
      </w:r>
      <w:r w:rsidR="00067E63" w:rsidRPr="00AF3755">
        <w:rPr>
          <w:rFonts w:ascii="Arial" w:hAnsi="Arial" w:cs="Arial"/>
          <w:sz w:val="20"/>
          <w:szCs w:val="20"/>
        </w:rPr>
        <w:t>/</w:t>
      </w:r>
      <w:r w:rsidRPr="00AF3755">
        <w:rPr>
          <w:rFonts w:ascii="Arial" w:hAnsi="Arial" w:cs="Arial"/>
          <w:sz w:val="20"/>
          <w:szCs w:val="20"/>
        </w:rPr>
        <w:t>21 financial year, a dispute has been declared between the entity and a service provider who donated the Management Information System (MIS) after the entity terminated the Service Level Agreement due to non-compliance with some prescripts of Public Finance Management Act (PFMA), the service provider is seeking damages of R7,057,402. The matter is currently under arbitration and is expected to be finalised within one year.</w:t>
      </w:r>
    </w:p>
    <w:p w:rsidR="00E72B62" w:rsidRPr="00AF3755" w:rsidRDefault="00E72B62" w:rsidP="00AF3755">
      <w:pPr>
        <w:autoSpaceDE w:val="0"/>
        <w:autoSpaceDN w:val="0"/>
        <w:adjustRightInd w:val="0"/>
        <w:spacing w:after="0" w:line="240" w:lineRule="auto"/>
        <w:rPr>
          <w:rFonts w:ascii="Arial" w:hAnsi="Arial" w:cs="Arial"/>
          <w:sz w:val="20"/>
          <w:szCs w:val="20"/>
        </w:rPr>
      </w:pPr>
      <w:r w:rsidRPr="00AF3755">
        <w:rPr>
          <w:rFonts w:ascii="Arial" w:hAnsi="Arial" w:cs="Arial"/>
          <w:sz w:val="20"/>
          <w:szCs w:val="20"/>
        </w:rPr>
        <w:t>Three former QCTO employees have taken the entity to the Commission for Conciliation, Mediation and Arbitration (CCMA) contesting their dismissals. Should all three succeed with their cases, the QCTO is likely to pay an estimated R1,024,826</w:t>
      </w:r>
      <w:r w:rsidR="001051B7" w:rsidRPr="00AF3755">
        <w:rPr>
          <w:rFonts w:ascii="Arial" w:hAnsi="Arial" w:cs="Arial"/>
          <w:sz w:val="20"/>
          <w:szCs w:val="20"/>
        </w:rPr>
        <w:t>,</w:t>
      </w:r>
      <w:r w:rsidRPr="00AF3755">
        <w:rPr>
          <w:rFonts w:ascii="Arial" w:hAnsi="Arial" w:cs="Arial"/>
          <w:sz w:val="20"/>
          <w:szCs w:val="20"/>
        </w:rPr>
        <w:t xml:space="preserve"> however</w:t>
      </w:r>
      <w:r w:rsidR="00067E63" w:rsidRPr="00AF3755">
        <w:rPr>
          <w:rFonts w:ascii="Arial" w:hAnsi="Arial" w:cs="Arial"/>
          <w:sz w:val="20"/>
          <w:szCs w:val="20"/>
        </w:rPr>
        <w:t>,</w:t>
      </w:r>
      <w:r w:rsidRPr="00AF3755">
        <w:rPr>
          <w:rFonts w:ascii="Arial" w:hAnsi="Arial" w:cs="Arial"/>
          <w:sz w:val="20"/>
          <w:szCs w:val="20"/>
        </w:rPr>
        <w:t xml:space="preserve"> management and its legal representatives have determined that the likelihood of the QCTO losing all the cases is very minimal.</w:t>
      </w:r>
    </w:p>
    <w:p w:rsidR="00E72B62" w:rsidRPr="00AF3755" w:rsidRDefault="00E72B62" w:rsidP="00AF3755">
      <w:pPr>
        <w:autoSpaceDE w:val="0"/>
        <w:autoSpaceDN w:val="0"/>
        <w:adjustRightInd w:val="0"/>
        <w:spacing w:after="0" w:line="240" w:lineRule="auto"/>
        <w:rPr>
          <w:rFonts w:ascii="Arial" w:hAnsi="Arial" w:cs="Arial"/>
          <w:sz w:val="20"/>
          <w:szCs w:val="20"/>
        </w:rPr>
      </w:pPr>
    </w:p>
    <w:p w:rsidR="00C200AF" w:rsidRPr="00AF3755" w:rsidRDefault="00157B93"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2021/22 Audit outcomes</w:t>
      </w:r>
    </w:p>
    <w:p w:rsidR="007F1F8E" w:rsidRPr="00AF3755" w:rsidRDefault="008C1E89"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QCTO received a clean audit opinion for the sixth consecutive year. </w:t>
      </w:r>
      <w:r w:rsidR="009D1B2B" w:rsidRPr="00AF3755">
        <w:rPr>
          <w:rFonts w:ascii="Arial" w:hAnsi="Arial" w:cs="Arial"/>
          <w:sz w:val="20"/>
          <w:szCs w:val="20"/>
        </w:rPr>
        <w:t xml:space="preserve">Of importance to note is that the entity did not have material findings on the annual financial statements, no findings on predetermined objectives, no findings on compliance with legislations and no deficiencies in the internal controls. </w:t>
      </w:r>
    </w:p>
    <w:p w:rsidR="008C1E89" w:rsidRPr="00AF3755" w:rsidRDefault="008C1E89" w:rsidP="00AF3755">
      <w:pPr>
        <w:pStyle w:val="ListParagraph"/>
        <w:spacing w:after="0" w:line="240" w:lineRule="auto"/>
        <w:ind w:left="0"/>
        <w:rPr>
          <w:rFonts w:ascii="Arial" w:hAnsi="Arial" w:cs="Arial"/>
          <w:sz w:val="20"/>
          <w:szCs w:val="20"/>
        </w:rPr>
      </w:pPr>
    </w:p>
    <w:p w:rsidR="00157B93" w:rsidRPr="00AF3755" w:rsidRDefault="00157B93"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Future outlook</w:t>
      </w:r>
    </w:p>
    <w:p w:rsidR="0060550C" w:rsidRPr="00AF3755" w:rsidRDefault="003E2B58"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QCTO reported that its allocation from the SETA Levy Grant has been increased from R96,1 million for </w:t>
      </w:r>
      <w:r w:rsidR="00067E63" w:rsidRPr="00AF3755">
        <w:rPr>
          <w:rFonts w:ascii="Arial" w:hAnsi="Arial" w:cs="Arial"/>
          <w:sz w:val="20"/>
          <w:szCs w:val="20"/>
        </w:rPr>
        <w:t xml:space="preserve">the </w:t>
      </w:r>
      <w:r w:rsidRPr="00AF3755">
        <w:rPr>
          <w:rFonts w:ascii="Arial" w:hAnsi="Arial" w:cs="Arial"/>
          <w:sz w:val="20"/>
          <w:szCs w:val="20"/>
        </w:rPr>
        <w:t xml:space="preserve">2022/23 financial year to R111,6 million for the 2023/24 financial year, although it had applied for R212 million. The requested </w:t>
      </w:r>
      <w:r w:rsidR="0060550C" w:rsidRPr="00AF3755">
        <w:rPr>
          <w:rFonts w:ascii="Arial" w:hAnsi="Arial" w:cs="Arial"/>
          <w:sz w:val="20"/>
          <w:szCs w:val="20"/>
          <w:lang w:val="en-GB"/>
        </w:rPr>
        <w:t xml:space="preserve">amount was to ensure that the organization has </w:t>
      </w:r>
      <w:r w:rsidRPr="00AF3755">
        <w:rPr>
          <w:rFonts w:ascii="Arial" w:hAnsi="Arial" w:cs="Arial"/>
          <w:sz w:val="20"/>
          <w:szCs w:val="20"/>
          <w:lang w:val="en-GB"/>
        </w:rPr>
        <w:t>sufficient resources</w:t>
      </w:r>
      <w:r w:rsidR="0060550C" w:rsidRPr="00AF3755">
        <w:rPr>
          <w:rFonts w:ascii="Arial" w:hAnsi="Arial" w:cs="Arial"/>
          <w:sz w:val="20"/>
          <w:szCs w:val="20"/>
          <w:lang w:val="en-GB"/>
        </w:rPr>
        <w:t xml:space="preserve"> to bolster its core performance areas.  This includes that the QCTO has </w:t>
      </w:r>
      <w:r w:rsidR="00067E63" w:rsidRPr="00AF3755">
        <w:rPr>
          <w:rFonts w:ascii="Arial" w:hAnsi="Arial" w:cs="Arial"/>
          <w:sz w:val="20"/>
          <w:szCs w:val="20"/>
          <w:lang w:val="en-GB"/>
        </w:rPr>
        <w:t xml:space="preserve">the </w:t>
      </w:r>
      <w:r w:rsidR="0060550C" w:rsidRPr="00AF3755">
        <w:rPr>
          <w:rFonts w:ascii="Arial" w:hAnsi="Arial" w:cs="Arial"/>
          <w:sz w:val="20"/>
          <w:szCs w:val="20"/>
          <w:lang w:val="en-GB"/>
        </w:rPr>
        <w:t xml:space="preserve">requisite human resource capacity to fulfil its mandate and respond to its response to the </w:t>
      </w:r>
      <w:r w:rsidRPr="00AF3755">
        <w:rPr>
          <w:rFonts w:ascii="Arial" w:hAnsi="Arial" w:cs="Arial"/>
          <w:sz w:val="20"/>
          <w:szCs w:val="20"/>
          <w:lang w:val="en-GB"/>
        </w:rPr>
        <w:t>Economic Recovery and Reconstruction Skills Strategy (</w:t>
      </w:r>
      <w:r w:rsidR="0060550C" w:rsidRPr="00AF3755">
        <w:rPr>
          <w:rFonts w:ascii="Arial" w:hAnsi="Arial" w:cs="Arial"/>
          <w:sz w:val="20"/>
          <w:szCs w:val="20"/>
          <w:lang w:val="en-GB"/>
        </w:rPr>
        <w:t>ERRSS</w:t>
      </w:r>
      <w:r w:rsidRPr="00AF3755">
        <w:rPr>
          <w:rFonts w:ascii="Arial" w:hAnsi="Arial" w:cs="Arial"/>
          <w:sz w:val="20"/>
          <w:szCs w:val="20"/>
          <w:lang w:val="en-GB"/>
        </w:rPr>
        <w:t>)</w:t>
      </w:r>
      <w:r w:rsidR="0060550C" w:rsidRPr="00AF3755">
        <w:rPr>
          <w:rFonts w:ascii="Arial" w:hAnsi="Arial" w:cs="Arial"/>
          <w:sz w:val="20"/>
          <w:szCs w:val="20"/>
          <w:lang w:val="en-GB"/>
        </w:rPr>
        <w:t xml:space="preserve">, the uptake of Occupational Qualifications in the PSET Sector, </w:t>
      </w:r>
      <w:r w:rsidRPr="00AF3755">
        <w:rPr>
          <w:rFonts w:ascii="Arial" w:hAnsi="Arial" w:cs="Arial"/>
          <w:sz w:val="20"/>
          <w:szCs w:val="20"/>
          <w:lang w:val="en-GB"/>
        </w:rPr>
        <w:t xml:space="preserve">the </w:t>
      </w:r>
      <w:r w:rsidR="00067E63" w:rsidRPr="00AF3755">
        <w:rPr>
          <w:rFonts w:ascii="Arial" w:hAnsi="Arial" w:cs="Arial"/>
          <w:sz w:val="20"/>
          <w:szCs w:val="20"/>
          <w:lang w:val="en-GB"/>
        </w:rPr>
        <w:t>roll-</w:t>
      </w:r>
      <w:r w:rsidR="0060550C" w:rsidRPr="00AF3755">
        <w:rPr>
          <w:rFonts w:ascii="Arial" w:hAnsi="Arial" w:cs="Arial"/>
          <w:sz w:val="20"/>
          <w:szCs w:val="20"/>
          <w:lang w:val="en-GB"/>
        </w:rPr>
        <w:t xml:space="preserve">out of the OQSF and completing the automation processes. </w:t>
      </w:r>
      <w:r w:rsidR="0060550C" w:rsidRPr="00AF3755">
        <w:rPr>
          <w:rFonts w:ascii="Arial" w:hAnsi="Arial" w:cs="Arial"/>
          <w:sz w:val="20"/>
          <w:szCs w:val="20"/>
        </w:rPr>
        <w:tab/>
      </w:r>
    </w:p>
    <w:p w:rsidR="00601B58" w:rsidRPr="00AF3755" w:rsidRDefault="00601B58" w:rsidP="00AF3755">
      <w:pPr>
        <w:pStyle w:val="ListParagraph"/>
        <w:spacing w:after="0" w:line="240" w:lineRule="auto"/>
        <w:ind w:left="0"/>
        <w:rPr>
          <w:rFonts w:ascii="Arial" w:hAnsi="Arial" w:cs="Arial"/>
          <w:sz w:val="20"/>
          <w:szCs w:val="20"/>
          <w:lang w:val="en-GB"/>
        </w:rPr>
      </w:pPr>
    </w:p>
    <w:p w:rsidR="0060550C" w:rsidRPr="00AF3755" w:rsidRDefault="00601B58" w:rsidP="00AF3755">
      <w:pPr>
        <w:pStyle w:val="ListParagraph"/>
        <w:spacing w:after="0" w:line="240" w:lineRule="auto"/>
        <w:ind w:left="0"/>
        <w:rPr>
          <w:rFonts w:ascii="Arial" w:hAnsi="Arial" w:cs="Arial"/>
          <w:sz w:val="20"/>
          <w:szCs w:val="20"/>
          <w:lang w:val="en-GB"/>
        </w:rPr>
      </w:pPr>
      <w:r w:rsidRPr="00AF3755">
        <w:rPr>
          <w:rFonts w:ascii="Arial" w:hAnsi="Arial" w:cs="Arial"/>
          <w:sz w:val="20"/>
          <w:szCs w:val="20"/>
          <w:lang w:val="en-GB"/>
        </w:rPr>
        <w:t xml:space="preserve">The </w:t>
      </w:r>
      <w:r w:rsidR="0060550C" w:rsidRPr="00AF3755">
        <w:rPr>
          <w:rFonts w:ascii="Arial" w:hAnsi="Arial" w:cs="Arial"/>
          <w:sz w:val="20"/>
          <w:szCs w:val="20"/>
          <w:lang w:val="en-GB"/>
        </w:rPr>
        <w:t>QCTO is still in the process of finalizing the purchase of its premises</w:t>
      </w:r>
      <w:r w:rsidRPr="00AF3755">
        <w:rPr>
          <w:rFonts w:ascii="Arial" w:hAnsi="Arial" w:cs="Arial"/>
          <w:sz w:val="20"/>
          <w:szCs w:val="20"/>
          <w:lang w:val="en-GB"/>
        </w:rPr>
        <w:t>,</w:t>
      </w:r>
      <w:r w:rsidR="0060550C" w:rsidRPr="00AF3755">
        <w:rPr>
          <w:rFonts w:ascii="Arial" w:hAnsi="Arial" w:cs="Arial"/>
          <w:sz w:val="20"/>
          <w:szCs w:val="20"/>
          <w:lang w:val="en-GB"/>
        </w:rPr>
        <w:t xml:space="preserve"> which will reduce costs significantly. The QCTO </w:t>
      </w:r>
      <w:r w:rsidRPr="00AF3755">
        <w:rPr>
          <w:rFonts w:ascii="Arial" w:hAnsi="Arial" w:cs="Arial"/>
          <w:sz w:val="20"/>
          <w:szCs w:val="20"/>
          <w:lang w:val="en-GB"/>
        </w:rPr>
        <w:t xml:space="preserve">had </w:t>
      </w:r>
      <w:r w:rsidR="0060550C" w:rsidRPr="00AF3755">
        <w:rPr>
          <w:rFonts w:ascii="Arial" w:hAnsi="Arial" w:cs="Arial"/>
          <w:sz w:val="20"/>
          <w:szCs w:val="20"/>
          <w:lang w:val="en-GB"/>
        </w:rPr>
        <w:t>responded to the clarifications sought b</w:t>
      </w:r>
      <w:r w:rsidRPr="00AF3755">
        <w:rPr>
          <w:rFonts w:ascii="Arial" w:hAnsi="Arial" w:cs="Arial"/>
          <w:sz w:val="20"/>
          <w:szCs w:val="20"/>
          <w:lang w:val="en-GB"/>
        </w:rPr>
        <w:t xml:space="preserve">y the Minister on 18 August 202 and was </w:t>
      </w:r>
      <w:r w:rsidR="0060550C" w:rsidRPr="00AF3755">
        <w:rPr>
          <w:rFonts w:ascii="Arial" w:hAnsi="Arial" w:cs="Arial"/>
          <w:sz w:val="20"/>
          <w:szCs w:val="20"/>
          <w:lang w:val="en-GB"/>
        </w:rPr>
        <w:t xml:space="preserve">awaiting a response in this regard. </w:t>
      </w:r>
      <w:r w:rsidRPr="00AF3755">
        <w:rPr>
          <w:rFonts w:ascii="Arial" w:hAnsi="Arial" w:cs="Arial"/>
          <w:sz w:val="20"/>
          <w:szCs w:val="20"/>
          <w:lang w:val="en-GB"/>
        </w:rPr>
        <w:t>Regarding the unbudgeted revenue, the</w:t>
      </w:r>
      <w:r w:rsidR="0060550C" w:rsidRPr="00AF3755">
        <w:rPr>
          <w:rFonts w:ascii="Arial" w:hAnsi="Arial" w:cs="Arial"/>
          <w:sz w:val="20"/>
          <w:szCs w:val="20"/>
          <w:lang w:val="en-GB"/>
        </w:rPr>
        <w:t xml:space="preserve"> QCTO has included in its budget for the 2022/23 financial year onwards</w:t>
      </w:r>
      <w:r w:rsidRPr="00AF3755">
        <w:rPr>
          <w:rFonts w:ascii="Arial" w:hAnsi="Arial" w:cs="Arial"/>
          <w:sz w:val="20"/>
          <w:szCs w:val="20"/>
          <w:lang w:val="en-GB"/>
        </w:rPr>
        <w:t>,</w:t>
      </w:r>
      <w:r w:rsidR="0060550C" w:rsidRPr="00AF3755">
        <w:rPr>
          <w:rFonts w:ascii="Arial" w:hAnsi="Arial" w:cs="Arial"/>
          <w:sz w:val="20"/>
          <w:szCs w:val="20"/>
          <w:lang w:val="en-GB"/>
        </w:rPr>
        <w:t xml:space="preserve"> previously unbudgeted </w:t>
      </w:r>
      <w:r w:rsidRPr="00AF3755">
        <w:rPr>
          <w:rFonts w:ascii="Arial" w:hAnsi="Arial" w:cs="Arial"/>
          <w:sz w:val="20"/>
          <w:szCs w:val="20"/>
          <w:lang w:val="en-GB"/>
        </w:rPr>
        <w:t>revenue</w:t>
      </w:r>
      <w:r w:rsidR="0060550C" w:rsidRPr="00AF3755">
        <w:rPr>
          <w:rFonts w:ascii="Arial" w:hAnsi="Arial" w:cs="Arial"/>
          <w:sz w:val="20"/>
          <w:szCs w:val="20"/>
          <w:lang w:val="en-GB"/>
        </w:rPr>
        <w:t xml:space="preserve"> sources (accreditation, verification, certification and interest income) as trends can be determined to estimate accurately.</w:t>
      </w:r>
      <w:r w:rsidRPr="00AF3755">
        <w:rPr>
          <w:rFonts w:ascii="Arial" w:hAnsi="Arial" w:cs="Arial"/>
          <w:sz w:val="20"/>
          <w:szCs w:val="20"/>
          <w:lang w:val="en-GB"/>
        </w:rPr>
        <w:t xml:space="preserve"> The entity had submitted to National Treasury a request for approval for the r</w:t>
      </w:r>
      <w:r w:rsidR="0060550C" w:rsidRPr="00AF3755">
        <w:rPr>
          <w:rFonts w:ascii="Arial" w:hAnsi="Arial" w:cs="Arial"/>
          <w:sz w:val="20"/>
          <w:szCs w:val="20"/>
          <w:lang w:val="en-GB"/>
        </w:rPr>
        <w:t xml:space="preserve">etention of cash surplus before the 30 September deadline and </w:t>
      </w:r>
      <w:r w:rsidRPr="00AF3755">
        <w:rPr>
          <w:rFonts w:ascii="Arial" w:hAnsi="Arial" w:cs="Arial"/>
          <w:sz w:val="20"/>
          <w:szCs w:val="20"/>
          <w:lang w:val="en-GB"/>
        </w:rPr>
        <w:t xml:space="preserve">it was </w:t>
      </w:r>
      <w:r w:rsidR="0060550C" w:rsidRPr="00AF3755">
        <w:rPr>
          <w:rFonts w:ascii="Arial" w:hAnsi="Arial" w:cs="Arial"/>
          <w:sz w:val="20"/>
          <w:szCs w:val="20"/>
          <w:lang w:val="en-GB"/>
        </w:rPr>
        <w:t xml:space="preserve">awaiting </w:t>
      </w:r>
      <w:r w:rsidRPr="00AF3755">
        <w:rPr>
          <w:rFonts w:ascii="Arial" w:hAnsi="Arial" w:cs="Arial"/>
          <w:sz w:val="20"/>
          <w:szCs w:val="20"/>
          <w:lang w:val="en-GB"/>
        </w:rPr>
        <w:t xml:space="preserve">a </w:t>
      </w:r>
      <w:r w:rsidR="0060550C" w:rsidRPr="00AF3755">
        <w:rPr>
          <w:rFonts w:ascii="Arial" w:hAnsi="Arial" w:cs="Arial"/>
          <w:sz w:val="20"/>
          <w:szCs w:val="20"/>
          <w:lang w:val="en-GB"/>
        </w:rPr>
        <w:t>response.</w:t>
      </w:r>
      <w:r w:rsidRPr="00AF3755">
        <w:rPr>
          <w:rFonts w:ascii="Arial" w:hAnsi="Arial" w:cs="Arial"/>
          <w:sz w:val="20"/>
          <w:szCs w:val="20"/>
          <w:lang w:val="en-GB"/>
        </w:rPr>
        <w:t xml:space="preserve"> </w:t>
      </w:r>
      <w:r w:rsidR="0060550C" w:rsidRPr="00AF3755">
        <w:rPr>
          <w:rFonts w:ascii="Arial" w:hAnsi="Arial" w:cs="Arial"/>
          <w:sz w:val="20"/>
          <w:szCs w:val="20"/>
          <w:lang w:val="en-GB"/>
        </w:rPr>
        <w:t xml:space="preserve">The </w:t>
      </w:r>
      <w:r w:rsidRPr="00AF3755">
        <w:rPr>
          <w:rFonts w:ascii="Arial" w:hAnsi="Arial" w:cs="Arial"/>
          <w:sz w:val="20"/>
          <w:szCs w:val="20"/>
          <w:lang w:val="en-GB"/>
        </w:rPr>
        <w:t>entity</w:t>
      </w:r>
      <w:r w:rsidR="0060550C" w:rsidRPr="00AF3755">
        <w:rPr>
          <w:rFonts w:ascii="Arial" w:hAnsi="Arial" w:cs="Arial"/>
          <w:sz w:val="20"/>
          <w:szCs w:val="20"/>
          <w:lang w:val="en-GB"/>
        </w:rPr>
        <w:t xml:space="preserve">’s funding is still not stable and relies heavily on </w:t>
      </w:r>
      <w:r w:rsidR="00067E63" w:rsidRPr="00AF3755">
        <w:rPr>
          <w:rFonts w:ascii="Arial" w:hAnsi="Arial" w:cs="Arial"/>
          <w:sz w:val="20"/>
          <w:szCs w:val="20"/>
          <w:lang w:val="en-GB"/>
        </w:rPr>
        <w:t xml:space="preserve">the </w:t>
      </w:r>
      <w:r w:rsidRPr="00AF3755">
        <w:rPr>
          <w:rFonts w:ascii="Arial" w:hAnsi="Arial" w:cs="Arial"/>
          <w:sz w:val="20"/>
          <w:szCs w:val="20"/>
          <w:lang w:val="en-GB"/>
        </w:rPr>
        <w:t>SETA Levy</w:t>
      </w:r>
      <w:r w:rsidR="0060550C" w:rsidRPr="00AF3755">
        <w:rPr>
          <w:rFonts w:ascii="Arial" w:hAnsi="Arial" w:cs="Arial"/>
          <w:sz w:val="20"/>
          <w:szCs w:val="20"/>
          <w:lang w:val="en-GB"/>
        </w:rPr>
        <w:t xml:space="preserve"> grant</w:t>
      </w:r>
      <w:r w:rsidRPr="00AF3755">
        <w:rPr>
          <w:rFonts w:ascii="Arial" w:hAnsi="Arial" w:cs="Arial"/>
          <w:sz w:val="20"/>
          <w:szCs w:val="20"/>
          <w:lang w:val="en-GB"/>
        </w:rPr>
        <w:t xml:space="preserve"> </w:t>
      </w:r>
      <w:r w:rsidR="0060550C" w:rsidRPr="00AF3755">
        <w:rPr>
          <w:rFonts w:ascii="Arial" w:hAnsi="Arial" w:cs="Arial"/>
          <w:sz w:val="20"/>
          <w:szCs w:val="20"/>
          <w:lang w:val="en-GB"/>
        </w:rPr>
        <w:t>(</w:t>
      </w:r>
      <w:r w:rsidRPr="00AF3755">
        <w:rPr>
          <w:rFonts w:ascii="Arial" w:hAnsi="Arial" w:cs="Arial"/>
          <w:sz w:val="20"/>
          <w:szCs w:val="20"/>
          <w:lang w:val="en-GB"/>
        </w:rPr>
        <w:t xml:space="preserve">which accounts for </w:t>
      </w:r>
      <w:r w:rsidR="0060550C" w:rsidRPr="00AF3755">
        <w:rPr>
          <w:rFonts w:ascii="Arial" w:hAnsi="Arial" w:cs="Arial"/>
          <w:sz w:val="20"/>
          <w:szCs w:val="20"/>
          <w:lang w:val="en-GB"/>
        </w:rPr>
        <w:t>77</w:t>
      </w:r>
      <w:r w:rsidR="001051B7" w:rsidRPr="00AF3755">
        <w:rPr>
          <w:rFonts w:ascii="Arial" w:hAnsi="Arial" w:cs="Arial"/>
          <w:sz w:val="20"/>
          <w:szCs w:val="20"/>
          <w:lang w:val="en-GB"/>
        </w:rPr>
        <w:t xml:space="preserve"> per cent</w:t>
      </w:r>
      <w:r w:rsidR="0060550C" w:rsidRPr="00AF3755">
        <w:rPr>
          <w:rFonts w:ascii="Arial" w:hAnsi="Arial" w:cs="Arial"/>
          <w:sz w:val="20"/>
          <w:szCs w:val="20"/>
          <w:lang w:val="en-GB"/>
        </w:rPr>
        <w:t xml:space="preserve"> of total funding for 2023/24)</w:t>
      </w:r>
      <w:r w:rsidRPr="00AF3755">
        <w:rPr>
          <w:rFonts w:ascii="Arial" w:hAnsi="Arial" w:cs="Arial"/>
          <w:sz w:val="20"/>
          <w:szCs w:val="20"/>
          <w:lang w:val="en-GB"/>
        </w:rPr>
        <w:t>,</w:t>
      </w:r>
      <w:r w:rsidR="0060550C" w:rsidRPr="00AF3755">
        <w:rPr>
          <w:rFonts w:ascii="Arial" w:hAnsi="Arial" w:cs="Arial"/>
          <w:sz w:val="20"/>
          <w:szCs w:val="20"/>
          <w:lang w:val="en-GB"/>
        </w:rPr>
        <w:t xml:space="preserve"> which is applied for annually.</w:t>
      </w:r>
      <w:r w:rsidR="000F614D" w:rsidRPr="00AF3755">
        <w:rPr>
          <w:rFonts w:ascii="Arial" w:hAnsi="Arial" w:cs="Arial"/>
          <w:sz w:val="20"/>
          <w:szCs w:val="20"/>
          <w:lang w:val="en-GB"/>
        </w:rPr>
        <w:t xml:space="preserve"> </w:t>
      </w:r>
    </w:p>
    <w:p w:rsidR="000F614D" w:rsidRPr="00AF3755" w:rsidRDefault="000F614D" w:rsidP="00AF3755">
      <w:pPr>
        <w:pStyle w:val="ListParagraph"/>
        <w:spacing w:after="0" w:line="240" w:lineRule="auto"/>
        <w:ind w:left="0"/>
        <w:rPr>
          <w:rFonts w:ascii="Arial" w:hAnsi="Arial" w:cs="Arial"/>
          <w:sz w:val="20"/>
          <w:szCs w:val="20"/>
        </w:rPr>
      </w:pPr>
      <w:r w:rsidRPr="00AF3755">
        <w:rPr>
          <w:rFonts w:ascii="Arial" w:hAnsi="Arial" w:cs="Arial"/>
          <w:sz w:val="20"/>
          <w:szCs w:val="20"/>
          <w:lang w:val="en-GB"/>
        </w:rPr>
        <w:t xml:space="preserve">The Department informed the Committee that processes were underway to review the SETA grant regulations to address the funding challenges that the QCTO is facing. </w:t>
      </w:r>
    </w:p>
    <w:p w:rsidR="00BD0017" w:rsidRPr="00AF3755" w:rsidRDefault="00BD0017"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South African Qualifications Authority (SAQA)</w:t>
      </w:r>
    </w:p>
    <w:p w:rsidR="00F6293A" w:rsidRPr="00AF3755" w:rsidRDefault="00F6293A"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SAQA is a schedule 3A public National Public entity as defined by the Public Finance Management Act (PFMA), 1999 (Act No. 1 of 1999). It derives its mandate from the Constitution of the Republic of South Africa (section 29 of the Constitution and the National Qualifications Framework Act, 2008 (Act No. 67 of 2008 as amended). </w:t>
      </w:r>
      <w:r w:rsidRPr="00AF3755">
        <w:rPr>
          <w:rFonts w:ascii="Arial" w:hAnsi="Arial" w:cs="Arial"/>
          <w:sz w:val="20"/>
          <w:szCs w:val="20"/>
        </w:rPr>
        <w:t xml:space="preserve">SAQA further derives its policy mandate from the NDP Vision 2030, the White Paper on PSET, including the National Plan for Post-School Education and Training, Economic </w:t>
      </w:r>
      <w:r w:rsidR="00941D76" w:rsidRPr="00AF3755">
        <w:rPr>
          <w:rFonts w:ascii="Arial" w:hAnsi="Arial" w:cs="Arial"/>
          <w:sz w:val="20"/>
          <w:szCs w:val="20"/>
        </w:rPr>
        <w:t xml:space="preserve">Reconstruction and </w:t>
      </w:r>
      <w:r w:rsidRPr="00AF3755">
        <w:rPr>
          <w:rFonts w:ascii="Arial" w:hAnsi="Arial" w:cs="Arial"/>
          <w:sz w:val="20"/>
          <w:szCs w:val="20"/>
        </w:rPr>
        <w:t xml:space="preserve">Recovery Plan and the Department’s five-year Strategic Plan. </w:t>
      </w:r>
    </w:p>
    <w:p w:rsidR="00F6293A" w:rsidRPr="00AF3755" w:rsidRDefault="00F6293A" w:rsidP="00AF3755">
      <w:pPr>
        <w:pStyle w:val="ListParagraph"/>
        <w:spacing w:after="0" w:line="240" w:lineRule="auto"/>
        <w:ind w:left="0"/>
        <w:rPr>
          <w:rFonts w:ascii="Arial" w:hAnsi="Arial" w:cs="Arial"/>
          <w:sz w:val="20"/>
          <w:szCs w:val="20"/>
        </w:rPr>
      </w:pPr>
      <w:r w:rsidRPr="00AF3755">
        <w:rPr>
          <w:rFonts w:ascii="Arial" w:hAnsi="Arial" w:cs="Arial"/>
          <w:sz w:val="20"/>
          <w:szCs w:val="20"/>
        </w:rPr>
        <w:t>In terms of section 13 of the Act, SAQA is mandated to, amongst others</w:t>
      </w:r>
    </w:p>
    <w:p w:rsidR="00941D76" w:rsidRPr="00AF3755" w:rsidRDefault="00F6293A" w:rsidP="00AF3755">
      <w:pPr>
        <w:pStyle w:val="ListParagraph"/>
        <w:numPr>
          <w:ilvl w:val="0"/>
          <w:numId w:val="2"/>
        </w:numP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Provide advice, oversee NQF implementation and collaborate with the Quality Councils;</w:t>
      </w:r>
    </w:p>
    <w:p w:rsidR="00941D76" w:rsidRPr="00AF3755" w:rsidRDefault="00F6293A" w:rsidP="00AF3755">
      <w:pPr>
        <w:pStyle w:val="ListParagraph"/>
        <w:numPr>
          <w:ilvl w:val="0"/>
          <w:numId w:val="2"/>
        </w:numP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Develop NQF policies and criteria;</w:t>
      </w:r>
    </w:p>
    <w:p w:rsidR="00941D76" w:rsidRPr="00AF3755" w:rsidRDefault="00F6293A" w:rsidP="00AF3755">
      <w:pPr>
        <w:pStyle w:val="ListParagraph"/>
        <w:numPr>
          <w:ilvl w:val="0"/>
          <w:numId w:val="2"/>
        </w:numP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Maintain a National Learners’ Records Database (NLRD), and provide an evaluation and advisory service with respect to foreign qualifications;</w:t>
      </w:r>
    </w:p>
    <w:p w:rsidR="00941D76" w:rsidRPr="00AF3755" w:rsidRDefault="00F6293A" w:rsidP="00AF3755">
      <w:pPr>
        <w:pStyle w:val="ListParagraph"/>
        <w:numPr>
          <w:ilvl w:val="0"/>
          <w:numId w:val="2"/>
        </w:numP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lastRenderedPageBreak/>
        <w:t>Undertake research, collaborate with international counterparts, and drive the communication and advocacy strategy to promote the understanding of the NQF architecture; and</w:t>
      </w:r>
    </w:p>
    <w:p w:rsidR="00F6293A" w:rsidRPr="00AF3755" w:rsidRDefault="00F6293A" w:rsidP="00AF3755">
      <w:pPr>
        <w:pStyle w:val="ListParagraph"/>
        <w:numPr>
          <w:ilvl w:val="0"/>
          <w:numId w:val="2"/>
        </w:numP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 xml:space="preserve">Perform any function consistent with the NQF Act that the Minister of Higher Education and Training may determine. </w:t>
      </w:r>
    </w:p>
    <w:p w:rsidR="00941D76" w:rsidRPr="00AF3755" w:rsidRDefault="00941D76" w:rsidP="00AF3755">
      <w:pPr>
        <w:pStyle w:val="ListParagraph"/>
        <w:spacing w:after="0" w:line="240" w:lineRule="auto"/>
        <w:ind w:left="360"/>
        <w:rPr>
          <w:rFonts w:ascii="Arial" w:eastAsia="serif" w:hAnsi="Arial" w:cs="Arial"/>
          <w:color w:val="000000" w:themeColor="text1"/>
          <w:sz w:val="20"/>
          <w:szCs w:val="20"/>
        </w:rPr>
      </w:pPr>
    </w:p>
    <w:p w:rsidR="00211C9B" w:rsidRPr="00AF3755" w:rsidRDefault="00735A4C"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the SAQA’s 2021/22 non-financial performance</w:t>
      </w:r>
    </w:p>
    <w:p w:rsidR="00211C9B" w:rsidRPr="00AF3755" w:rsidRDefault="00211C9B" w:rsidP="00AF3755">
      <w:pPr>
        <w:pStyle w:val="ListParagraph"/>
        <w:spacing w:after="0" w:line="240" w:lineRule="auto"/>
        <w:ind w:left="0"/>
        <w:rPr>
          <w:rFonts w:ascii="Arial" w:hAnsi="Arial" w:cs="Arial"/>
          <w:sz w:val="20"/>
          <w:szCs w:val="20"/>
        </w:rPr>
      </w:pPr>
      <w:r w:rsidRPr="00AF3755">
        <w:rPr>
          <w:rFonts w:ascii="Arial" w:hAnsi="Arial" w:cs="Arial"/>
          <w:sz w:val="20"/>
          <w:szCs w:val="20"/>
        </w:rPr>
        <w:t>For the 2021/22 financial year, SAQA had 20 planned targets shared amongst the six budget programmes. SAQA achieved 16 or 80 per cent of the 20 targets. The entity’s performance decreased slightly by 8 per cent from the 88 per cent achieved in the 2021/22 financial year. Summary of programme performance for the 2021/22 financial year is illustrated in Table: 5 below</w:t>
      </w:r>
      <w:r w:rsidR="008A32CA" w:rsidRPr="00AF3755">
        <w:rPr>
          <w:rFonts w:ascii="Arial" w:hAnsi="Arial" w:cs="Arial"/>
          <w:sz w:val="20"/>
          <w:szCs w:val="20"/>
        </w:rPr>
        <w:t>.</w:t>
      </w:r>
    </w:p>
    <w:p w:rsidR="00067E63" w:rsidRPr="00AF3755" w:rsidRDefault="00067E63" w:rsidP="00AF3755">
      <w:pPr>
        <w:pStyle w:val="ListParagraph"/>
        <w:spacing w:after="0" w:line="240" w:lineRule="auto"/>
        <w:ind w:left="0"/>
        <w:rPr>
          <w:rFonts w:ascii="Arial" w:hAnsi="Arial" w:cs="Arial"/>
          <w:sz w:val="20"/>
          <w:szCs w:val="20"/>
        </w:rPr>
      </w:pPr>
    </w:p>
    <w:p w:rsidR="00872A33" w:rsidRPr="00AF3755" w:rsidRDefault="00872A33"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 xml:space="preserve">Table 5: The </w:t>
      </w:r>
      <w:r w:rsidR="00317FDB" w:rsidRPr="00AF3755">
        <w:rPr>
          <w:rFonts w:ascii="Arial" w:hAnsi="Arial" w:cs="Arial"/>
          <w:b/>
          <w:sz w:val="20"/>
          <w:szCs w:val="20"/>
        </w:rPr>
        <w:t>SAQA</w:t>
      </w:r>
      <w:r w:rsidRPr="00AF3755">
        <w:rPr>
          <w:rFonts w:ascii="Arial" w:hAnsi="Arial" w:cs="Arial"/>
          <w:b/>
          <w:sz w:val="20"/>
          <w:szCs w:val="20"/>
        </w:rPr>
        <w:t>’s Programmes, with their related achievement against performance targets for the 2021/22 financial year</w:t>
      </w:r>
    </w:p>
    <w:tbl>
      <w:tblPr>
        <w:tblW w:w="9094" w:type="dxa"/>
        <w:tblLook w:val="04A0"/>
      </w:tblPr>
      <w:tblGrid>
        <w:gridCol w:w="3539"/>
        <w:gridCol w:w="1559"/>
        <w:gridCol w:w="1195"/>
        <w:gridCol w:w="1215"/>
        <w:gridCol w:w="1586"/>
      </w:tblGrid>
      <w:tr w:rsidR="00BA6478" w:rsidRPr="00AF3755" w:rsidTr="00BA6478">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rsidR="00BA6478" w:rsidRPr="00AF3755" w:rsidRDefault="00C21E7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Programmes</w:t>
            </w:r>
          </w:p>
        </w:tc>
        <w:tc>
          <w:tcPr>
            <w:tcW w:w="1559" w:type="dxa"/>
            <w:tcBorders>
              <w:top w:val="single" w:sz="4" w:space="0" w:color="auto"/>
              <w:left w:val="nil"/>
              <w:bottom w:val="single" w:sz="4" w:space="0" w:color="auto"/>
              <w:right w:val="single" w:sz="4" w:space="0" w:color="auto"/>
            </w:tcBorders>
            <w:shd w:val="clear" w:color="auto" w:fill="D5DCE4" w:themeFill="text2" w:themeFillTint="33"/>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APP Targets 2021/22</w:t>
            </w:r>
          </w:p>
        </w:tc>
        <w:tc>
          <w:tcPr>
            <w:tcW w:w="1195" w:type="dxa"/>
            <w:tcBorders>
              <w:top w:val="single" w:sz="4" w:space="0" w:color="auto"/>
              <w:left w:val="nil"/>
              <w:bottom w:val="single" w:sz="4" w:space="0" w:color="auto"/>
              <w:right w:val="single" w:sz="4" w:space="0" w:color="auto"/>
            </w:tcBorders>
            <w:shd w:val="clear" w:color="auto" w:fill="D5DCE4" w:themeFill="text2" w:themeFillTint="33"/>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Achieved</w:t>
            </w:r>
          </w:p>
        </w:tc>
        <w:tc>
          <w:tcPr>
            <w:tcW w:w="1215" w:type="dxa"/>
            <w:tcBorders>
              <w:top w:val="single" w:sz="4" w:space="0" w:color="auto"/>
              <w:left w:val="nil"/>
              <w:bottom w:val="single" w:sz="4" w:space="0" w:color="auto"/>
              <w:right w:val="single" w:sz="4" w:space="0" w:color="auto"/>
            </w:tcBorders>
            <w:shd w:val="clear" w:color="auto" w:fill="D5DCE4" w:themeFill="text2" w:themeFillTint="33"/>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 xml:space="preserve">Not achieved </w:t>
            </w:r>
          </w:p>
        </w:tc>
        <w:tc>
          <w:tcPr>
            <w:tcW w:w="1586" w:type="dxa"/>
            <w:tcBorders>
              <w:top w:val="single" w:sz="4" w:space="0" w:color="auto"/>
              <w:left w:val="nil"/>
              <w:bottom w:val="single" w:sz="4" w:space="0" w:color="auto"/>
              <w:right w:val="single" w:sz="4" w:space="0" w:color="auto"/>
            </w:tcBorders>
            <w:shd w:val="clear" w:color="auto" w:fill="D5DCE4" w:themeFill="text2" w:themeFillTint="33"/>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 Achievement</w:t>
            </w:r>
          </w:p>
        </w:tc>
      </w:tr>
      <w:tr w:rsidR="00BA6478" w:rsidRPr="00AF3755" w:rsidTr="0060550C">
        <w:trPr>
          <w:trHeight w:val="285"/>
        </w:trPr>
        <w:tc>
          <w:tcPr>
            <w:tcW w:w="3539" w:type="dxa"/>
            <w:tcBorders>
              <w:top w:val="nil"/>
              <w:left w:val="single" w:sz="4" w:space="0" w:color="auto"/>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eastAsia="Times New Roman" w:hAnsi="Arial" w:cs="Arial"/>
                <w:color w:val="000000"/>
                <w:sz w:val="20"/>
                <w:szCs w:val="20"/>
                <w:lang w:eastAsia="en-ZA"/>
              </w:rPr>
              <w:t xml:space="preserve">1.  Administration </w:t>
            </w:r>
            <w:r w:rsidR="00D460EA" w:rsidRPr="00AF3755">
              <w:rPr>
                <w:rFonts w:ascii="Arial" w:eastAsia="Times New Roman" w:hAnsi="Arial" w:cs="Arial"/>
                <w:color w:val="000000"/>
                <w:sz w:val="20"/>
                <w:szCs w:val="20"/>
                <w:lang w:eastAsia="en-ZA"/>
              </w:rPr>
              <w:t>&amp; Support</w:t>
            </w:r>
          </w:p>
        </w:tc>
        <w:tc>
          <w:tcPr>
            <w:tcW w:w="1559"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8</w:t>
            </w:r>
          </w:p>
        </w:tc>
        <w:tc>
          <w:tcPr>
            <w:tcW w:w="119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8</w:t>
            </w:r>
          </w:p>
        </w:tc>
        <w:tc>
          <w:tcPr>
            <w:tcW w:w="121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0</w:t>
            </w:r>
          </w:p>
        </w:tc>
        <w:tc>
          <w:tcPr>
            <w:tcW w:w="1586"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100%</w:t>
            </w:r>
          </w:p>
        </w:tc>
      </w:tr>
      <w:tr w:rsidR="00BA6478" w:rsidRPr="00AF3755" w:rsidTr="0060550C">
        <w:trPr>
          <w:trHeight w:val="285"/>
        </w:trPr>
        <w:tc>
          <w:tcPr>
            <w:tcW w:w="3539" w:type="dxa"/>
            <w:tcBorders>
              <w:top w:val="nil"/>
              <w:left w:val="single" w:sz="4" w:space="0" w:color="auto"/>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eastAsia="Times New Roman" w:hAnsi="Arial" w:cs="Arial"/>
                <w:color w:val="000000"/>
                <w:sz w:val="20"/>
                <w:szCs w:val="20"/>
                <w:lang w:eastAsia="en-ZA"/>
              </w:rPr>
              <w:t>2.  Registration and Recognition</w:t>
            </w:r>
          </w:p>
        </w:tc>
        <w:tc>
          <w:tcPr>
            <w:tcW w:w="1559"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3</w:t>
            </w:r>
          </w:p>
        </w:tc>
        <w:tc>
          <w:tcPr>
            <w:tcW w:w="119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2</w:t>
            </w:r>
          </w:p>
        </w:tc>
        <w:tc>
          <w:tcPr>
            <w:tcW w:w="121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w:t>
            </w:r>
          </w:p>
        </w:tc>
        <w:tc>
          <w:tcPr>
            <w:tcW w:w="1586"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66</w:t>
            </w:r>
            <w:r w:rsidR="00EC3549" w:rsidRPr="00AF3755">
              <w:rPr>
                <w:rFonts w:ascii="Arial" w:hAnsi="Arial" w:cs="Arial"/>
                <w:color w:val="000000"/>
                <w:sz w:val="20"/>
                <w:szCs w:val="20"/>
              </w:rPr>
              <w:t>.</w:t>
            </w:r>
            <w:r w:rsidRPr="00AF3755">
              <w:rPr>
                <w:rFonts w:ascii="Arial" w:hAnsi="Arial" w:cs="Arial"/>
                <w:color w:val="000000"/>
                <w:sz w:val="20"/>
                <w:szCs w:val="20"/>
              </w:rPr>
              <w:t>7%</w:t>
            </w:r>
          </w:p>
        </w:tc>
      </w:tr>
      <w:tr w:rsidR="00BA6478" w:rsidRPr="00AF3755" w:rsidTr="0060550C">
        <w:trPr>
          <w:trHeight w:val="285"/>
        </w:trPr>
        <w:tc>
          <w:tcPr>
            <w:tcW w:w="3539" w:type="dxa"/>
            <w:tcBorders>
              <w:top w:val="nil"/>
              <w:left w:val="single" w:sz="4" w:space="0" w:color="auto"/>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eastAsia="Times New Roman" w:hAnsi="Arial" w:cs="Arial"/>
                <w:color w:val="000000"/>
                <w:sz w:val="20"/>
                <w:szCs w:val="20"/>
                <w:lang w:eastAsia="en-ZA"/>
              </w:rPr>
              <w:t>3.  National Learners' Record Database</w:t>
            </w:r>
          </w:p>
        </w:tc>
        <w:tc>
          <w:tcPr>
            <w:tcW w:w="1559"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3</w:t>
            </w:r>
          </w:p>
        </w:tc>
        <w:tc>
          <w:tcPr>
            <w:tcW w:w="119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w:t>
            </w:r>
          </w:p>
        </w:tc>
        <w:tc>
          <w:tcPr>
            <w:tcW w:w="121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2</w:t>
            </w:r>
          </w:p>
        </w:tc>
        <w:tc>
          <w:tcPr>
            <w:tcW w:w="1586"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33</w:t>
            </w:r>
            <w:r w:rsidR="00EC3549" w:rsidRPr="00AF3755">
              <w:rPr>
                <w:rFonts w:ascii="Arial" w:hAnsi="Arial" w:cs="Arial"/>
                <w:color w:val="000000"/>
                <w:sz w:val="20"/>
                <w:szCs w:val="20"/>
              </w:rPr>
              <w:t>.</w:t>
            </w:r>
            <w:r w:rsidRPr="00AF3755">
              <w:rPr>
                <w:rFonts w:ascii="Arial" w:hAnsi="Arial" w:cs="Arial"/>
                <w:color w:val="000000"/>
                <w:sz w:val="20"/>
                <w:szCs w:val="20"/>
              </w:rPr>
              <w:t>3%</w:t>
            </w:r>
          </w:p>
        </w:tc>
      </w:tr>
      <w:tr w:rsidR="00BA6478" w:rsidRPr="00AF3755" w:rsidTr="0060550C">
        <w:trPr>
          <w:trHeight w:val="285"/>
        </w:trPr>
        <w:tc>
          <w:tcPr>
            <w:tcW w:w="3539" w:type="dxa"/>
            <w:tcBorders>
              <w:top w:val="nil"/>
              <w:left w:val="single" w:sz="4" w:space="0" w:color="auto"/>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eastAsia="Times New Roman" w:hAnsi="Arial" w:cs="Arial"/>
                <w:color w:val="000000"/>
                <w:sz w:val="20"/>
                <w:szCs w:val="20"/>
                <w:lang w:eastAsia="en-ZA"/>
              </w:rPr>
              <w:t>4.  Foreign Qualifications Evaluation and Advisory Services (DFQEAS)</w:t>
            </w:r>
          </w:p>
        </w:tc>
        <w:tc>
          <w:tcPr>
            <w:tcW w:w="1559"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w:t>
            </w:r>
          </w:p>
        </w:tc>
        <w:tc>
          <w:tcPr>
            <w:tcW w:w="119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0</w:t>
            </w:r>
          </w:p>
        </w:tc>
        <w:tc>
          <w:tcPr>
            <w:tcW w:w="121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w:t>
            </w:r>
          </w:p>
        </w:tc>
        <w:tc>
          <w:tcPr>
            <w:tcW w:w="1586"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0%</w:t>
            </w:r>
          </w:p>
        </w:tc>
      </w:tr>
      <w:tr w:rsidR="00BA6478" w:rsidRPr="00AF3755" w:rsidTr="0060550C">
        <w:trPr>
          <w:trHeight w:val="285"/>
        </w:trPr>
        <w:tc>
          <w:tcPr>
            <w:tcW w:w="3539" w:type="dxa"/>
            <w:tcBorders>
              <w:top w:val="nil"/>
              <w:left w:val="single" w:sz="4" w:space="0" w:color="auto"/>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eastAsia="Times New Roman" w:hAnsi="Arial" w:cs="Arial"/>
                <w:color w:val="000000"/>
                <w:sz w:val="20"/>
                <w:szCs w:val="20"/>
                <w:lang w:eastAsia="en-ZA"/>
              </w:rPr>
              <w:t xml:space="preserve">5.  Research </w:t>
            </w:r>
          </w:p>
        </w:tc>
        <w:tc>
          <w:tcPr>
            <w:tcW w:w="1559"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3</w:t>
            </w:r>
          </w:p>
        </w:tc>
        <w:tc>
          <w:tcPr>
            <w:tcW w:w="119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3</w:t>
            </w:r>
          </w:p>
        </w:tc>
        <w:tc>
          <w:tcPr>
            <w:tcW w:w="121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0</w:t>
            </w:r>
          </w:p>
        </w:tc>
        <w:tc>
          <w:tcPr>
            <w:tcW w:w="1586"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100%</w:t>
            </w:r>
          </w:p>
        </w:tc>
      </w:tr>
      <w:tr w:rsidR="00BA6478" w:rsidRPr="00AF3755" w:rsidTr="0060550C">
        <w:trPr>
          <w:trHeight w:val="285"/>
        </w:trPr>
        <w:tc>
          <w:tcPr>
            <w:tcW w:w="3539" w:type="dxa"/>
            <w:tcBorders>
              <w:top w:val="nil"/>
              <w:left w:val="single" w:sz="4" w:space="0" w:color="auto"/>
              <w:bottom w:val="single" w:sz="4" w:space="0" w:color="auto"/>
              <w:right w:val="single" w:sz="4" w:space="0" w:color="auto"/>
            </w:tcBorders>
            <w:shd w:val="clear" w:color="auto" w:fill="auto"/>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eastAsia="Times New Roman" w:hAnsi="Arial" w:cs="Arial"/>
                <w:color w:val="000000"/>
                <w:sz w:val="20"/>
                <w:szCs w:val="20"/>
                <w:lang w:eastAsia="en-ZA"/>
              </w:rPr>
              <w:t xml:space="preserve">6.  International Liaison </w:t>
            </w:r>
          </w:p>
        </w:tc>
        <w:tc>
          <w:tcPr>
            <w:tcW w:w="1559"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2</w:t>
            </w:r>
          </w:p>
        </w:tc>
        <w:tc>
          <w:tcPr>
            <w:tcW w:w="119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2</w:t>
            </w:r>
          </w:p>
        </w:tc>
        <w:tc>
          <w:tcPr>
            <w:tcW w:w="1215"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0</w:t>
            </w:r>
          </w:p>
        </w:tc>
        <w:tc>
          <w:tcPr>
            <w:tcW w:w="1586" w:type="dxa"/>
            <w:tcBorders>
              <w:top w:val="nil"/>
              <w:left w:val="nil"/>
              <w:bottom w:val="single" w:sz="4" w:space="0" w:color="auto"/>
              <w:right w:val="single" w:sz="4" w:space="0" w:color="auto"/>
            </w:tcBorders>
            <w:shd w:val="clear" w:color="auto" w:fill="auto"/>
            <w:noWrap/>
            <w:hideMark/>
          </w:tcPr>
          <w:p w:rsidR="00BA6478" w:rsidRPr="00AF3755" w:rsidRDefault="00BA647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100</w:t>
            </w:r>
            <w:r w:rsidR="00EC3549" w:rsidRPr="00AF3755">
              <w:rPr>
                <w:rFonts w:ascii="Arial" w:hAnsi="Arial" w:cs="Arial"/>
                <w:color w:val="000000"/>
                <w:sz w:val="20"/>
                <w:szCs w:val="20"/>
              </w:rPr>
              <w:t>.</w:t>
            </w:r>
            <w:r w:rsidRPr="00AF3755">
              <w:rPr>
                <w:rFonts w:ascii="Arial" w:hAnsi="Arial" w:cs="Arial"/>
                <w:color w:val="000000"/>
                <w:sz w:val="20"/>
                <w:szCs w:val="20"/>
              </w:rPr>
              <w:t>0%</w:t>
            </w:r>
          </w:p>
        </w:tc>
      </w:tr>
      <w:tr w:rsidR="00BA6478" w:rsidRPr="00AF3755" w:rsidTr="00BA6478">
        <w:trPr>
          <w:trHeight w:val="345"/>
        </w:trPr>
        <w:tc>
          <w:tcPr>
            <w:tcW w:w="3539"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Total</w:t>
            </w:r>
          </w:p>
        </w:tc>
        <w:tc>
          <w:tcPr>
            <w:tcW w:w="1559" w:type="dxa"/>
            <w:tcBorders>
              <w:top w:val="nil"/>
              <w:left w:val="nil"/>
              <w:bottom w:val="single" w:sz="4" w:space="0" w:color="auto"/>
              <w:right w:val="single" w:sz="4" w:space="0" w:color="auto"/>
            </w:tcBorders>
            <w:shd w:val="clear" w:color="auto" w:fill="D9D9D9" w:themeFill="background1" w:themeFillShade="D9"/>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hAnsi="Arial" w:cs="Arial"/>
                <w:b/>
                <w:bCs/>
                <w:color w:val="000000"/>
                <w:sz w:val="20"/>
                <w:szCs w:val="20"/>
              </w:rPr>
              <w:t>20</w:t>
            </w:r>
          </w:p>
        </w:tc>
        <w:tc>
          <w:tcPr>
            <w:tcW w:w="1195" w:type="dxa"/>
            <w:tcBorders>
              <w:top w:val="nil"/>
              <w:left w:val="nil"/>
              <w:bottom w:val="single" w:sz="4" w:space="0" w:color="auto"/>
              <w:right w:val="single" w:sz="4" w:space="0" w:color="auto"/>
            </w:tcBorders>
            <w:shd w:val="clear" w:color="auto" w:fill="D9D9D9" w:themeFill="background1" w:themeFillShade="D9"/>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hAnsi="Arial" w:cs="Arial"/>
                <w:b/>
                <w:bCs/>
                <w:color w:val="000000"/>
                <w:sz w:val="20"/>
                <w:szCs w:val="20"/>
              </w:rPr>
              <w:t>16</w:t>
            </w:r>
          </w:p>
        </w:tc>
        <w:tc>
          <w:tcPr>
            <w:tcW w:w="1215" w:type="dxa"/>
            <w:tcBorders>
              <w:top w:val="nil"/>
              <w:left w:val="nil"/>
              <w:bottom w:val="single" w:sz="4" w:space="0" w:color="auto"/>
              <w:right w:val="single" w:sz="4" w:space="0" w:color="auto"/>
            </w:tcBorders>
            <w:shd w:val="clear" w:color="auto" w:fill="D9D9D9" w:themeFill="background1" w:themeFillShade="D9"/>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hAnsi="Arial" w:cs="Arial"/>
                <w:b/>
                <w:bCs/>
                <w:color w:val="000000"/>
                <w:sz w:val="20"/>
                <w:szCs w:val="20"/>
              </w:rPr>
              <w:t>4</w:t>
            </w:r>
          </w:p>
        </w:tc>
        <w:tc>
          <w:tcPr>
            <w:tcW w:w="1586" w:type="dxa"/>
            <w:tcBorders>
              <w:top w:val="nil"/>
              <w:left w:val="nil"/>
              <w:bottom w:val="single" w:sz="4" w:space="0" w:color="auto"/>
              <w:right w:val="single" w:sz="4" w:space="0" w:color="auto"/>
            </w:tcBorders>
            <w:shd w:val="clear" w:color="auto" w:fill="D9D9D9" w:themeFill="background1" w:themeFillShade="D9"/>
            <w:noWrap/>
            <w:hideMark/>
          </w:tcPr>
          <w:p w:rsidR="00BA6478" w:rsidRPr="00AF3755" w:rsidRDefault="00BA6478" w:rsidP="00AF3755">
            <w:pPr>
              <w:spacing w:after="0" w:line="240" w:lineRule="auto"/>
              <w:rPr>
                <w:rFonts w:ascii="Arial" w:eastAsia="Times New Roman" w:hAnsi="Arial" w:cs="Arial"/>
                <w:b/>
                <w:bCs/>
                <w:color w:val="000000"/>
                <w:sz w:val="20"/>
                <w:szCs w:val="20"/>
                <w:lang w:eastAsia="en-ZA"/>
              </w:rPr>
            </w:pPr>
            <w:r w:rsidRPr="00AF3755">
              <w:rPr>
                <w:rFonts w:ascii="Arial" w:hAnsi="Arial" w:cs="Arial"/>
                <w:b/>
                <w:bCs/>
                <w:color w:val="000000"/>
                <w:sz w:val="20"/>
                <w:szCs w:val="20"/>
              </w:rPr>
              <w:t>80</w:t>
            </w:r>
            <w:r w:rsidR="00EC3549" w:rsidRPr="00AF3755">
              <w:rPr>
                <w:rFonts w:ascii="Arial" w:hAnsi="Arial" w:cs="Arial"/>
                <w:b/>
                <w:bCs/>
                <w:color w:val="000000"/>
                <w:sz w:val="20"/>
                <w:szCs w:val="20"/>
              </w:rPr>
              <w:t>.</w:t>
            </w:r>
            <w:r w:rsidRPr="00AF3755">
              <w:rPr>
                <w:rFonts w:ascii="Arial" w:hAnsi="Arial" w:cs="Arial"/>
                <w:b/>
                <w:bCs/>
                <w:color w:val="000000"/>
                <w:sz w:val="20"/>
                <w:szCs w:val="20"/>
              </w:rPr>
              <w:t>0%</w:t>
            </w:r>
          </w:p>
        </w:tc>
      </w:tr>
    </w:tbl>
    <w:p w:rsidR="009A75B5" w:rsidRPr="00AF3755" w:rsidRDefault="009A75B5" w:rsidP="00AF3755">
      <w:pPr>
        <w:pStyle w:val="ListParagraph"/>
        <w:spacing w:after="0" w:line="240" w:lineRule="auto"/>
        <w:ind w:left="0"/>
        <w:rPr>
          <w:rFonts w:ascii="Arial" w:hAnsi="Arial" w:cs="Arial"/>
          <w:b/>
          <w:sz w:val="20"/>
          <w:szCs w:val="20"/>
        </w:rPr>
      </w:pPr>
    </w:p>
    <w:p w:rsidR="009A75B5" w:rsidRPr="00AF3755" w:rsidRDefault="009A75B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Non-financial performance per programme</w:t>
      </w:r>
    </w:p>
    <w:p w:rsidR="004C5EA4" w:rsidRPr="00AF3755" w:rsidRDefault="004C5EA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1: Administration</w:t>
      </w:r>
    </w:p>
    <w:p w:rsidR="004C5EA4" w:rsidRPr="00AF3755" w:rsidRDefault="00070D36"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 contributes to the achievement of three of the SAQA’s Strategic Outcomes, namely; A dynamic NQF that is responsive</w:t>
      </w:r>
      <w:r w:rsidR="00067E63" w:rsidRPr="00AF3755">
        <w:rPr>
          <w:rFonts w:ascii="Arial" w:hAnsi="Arial" w:cs="Arial"/>
          <w:sz w:val="20"/>
          <w:szCs w:val="20"/>
        </w:rPr>
        <w:t>,</w:t>
      </w:r>
      <w:r w:rsidRPr="00AF3755">
        <w:rPr>
          <w:rFonts w:ascii="Arial" w:hAnsi="Arial" w:cs="Arial"/>
          <w:sz w:val="20"/>
          <w:szCs w:val="20"/>
        </w:rPr>
        <w:t xml:space="preserve"> adapts to and supports the changing needs of life-long learning; visionary and influential leadership that drives a clear, </w:t>
      </w:r>
      <w:r w:rsidR="00067E63" w:rsidRPr="00AF3755">
        <w:rPr>
          <w:rFonts w:ascii="Arial" w:hAnsi="Arial" w:cs="Arial"/>
          <w:sz w:val="20"/>
          <w:szCs w:val="20"/>
        </w:rPr>
        <w:t>evidence-</w:t>
      </w:r>
      <w:r w:rsidRPr="00AF3755">
        <w:rPr>
          <w:rFonts w:ascii="Arial" w:hAnsi="Arial" w:cs="Arial"/>
          <w:sz w:val="20"/>
          <w:szCs w:val="20"/>
        </w:rPr>
        <w:t xml:space="preserve">based NQF Agenda; and a competent team, dedicated and resourced to develop and maintain the NQF. </w:t>
      </w:r>
      <w:r w:rsidR="00010CCF" w:rsidRPr="00AF3755">
        <w:rPr>
          <w:rFonts w:ascii="Arial" w:hAnsi="Arial" w:cs="Arial"/>
          <w:sz w:val="20"/>
          <w:szCs w:val="20"/>
        </w:rPr>
        <w:t xml:space="preserve">The programme had eight (8) planned targets for 2021/22 and achieved 100 per cent of the targets. </w:t>
      </w:r>
    </w:p>
    <w:p w:rsidR="0049714D" w:rsidRPr="00AF3755" w:rsidRDefault="0049714D" w:rsidP="00AF3755">
      <w:pPr>
        <w:pStyle w:val="ListParagraph"/>
        <w:spacing w:after="0" w:line="240" w:lineRule="auto"/>
        <w:ind w:left="0"/>
        <w:rPr>
          <w:rFonts w:ascii="Arial" w:hAnsi="Arial" w:cs="Arial"/>
          <w:b/>
          <w:sz w:val="20"/>
          <w:szCs w:val="20"/>
        </w:rPr>
      </w:pPr>
    </w:p>
    <w:p w:rsidR="00010CCF" w:rsidRPr="00AF3755" w:rsidRDefault="00010CCF"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Selected key achievements</w:t>
      </w:r>
    </w:p>
    <w:p w:rsidR="00010CCF" w:rsidRPr="00AF3755" w:rsidRDefault="000F2E71" w:rsidP="00AF3755">
      <w:pPr>
        <w:pStyle w:val="ListParagraph"/>
        <w:numPr>
          <w:ilvl w:val="0"/>
          <w:numId w:val="2"/>
        </w:numPr>
        <w:spacing w:after="0" w:line="240" w:lineRule="auto"/>
        <w:rPr>
          <w:rFonts w:ascii="Arial" w:hAnsi="Arial" w:cs="Arial"/>
          <w:sz w:val="20"/>
          <w:szCs w:val="20"/>
        </w:rPr>
      </w:pPr>
      <w:r w:rsidRPr="00AF3755">
        <w:rPr>
          <w:rFonts w:ascii="Arial" w:hAnsi="Arial" w:cs="Arial"/>
          <w:sz w:val="20"/>
          <w:szCs w:val="20"/>
        </w:rPr>
        <w:t>SAQA reported on the effectiveness of the System of Collaboration, and the Board approved the report for submission to the Minister of Higher Education, Science and Innovation.</w:t>
      </w:r>
    </w:p>
    <w:p w:rsidR="00FA287D" w:rsidRPr="00AF3755" w:rsidRDefault="00FA287D" w:rsidP="00AF3755">
      <w:pPr>
        <w:pStyle w:val="ListParagraph"/>
        <w:numPr>
          <w:ilvl w:val="0"/>
          <w:numId w:val="2"/>
        </w:numPr>
        <w:spacing w:after="0" w:line="240" w:lineRule="auto"/>
        <w:rPr>
          <w:rFonts w:ascii="Arial" w:hAnsi="Arial" w:cs="Arial"/>
          <w:sz w:val="20"/>
          <w:szCs w:val="20"/>
        </w:rPr>
      </w:pPr>
      <w:r w:rsidRPr="00AF3755">
        <w:rPr>
          <w:rFonts w:ascii="Arial" w:hAnsi="Arial" w:cs="Arial"/>
          <w:sz w:val="20"/>
          <w:szCs w:val="20"/>
        </w:rPr>
        <w:t>Implemented the Alternative Funding Plan and generated additional revenue as follows:</w:t>
      </w:r>
    </w:p>
    <w:p w:rsidR="00FA287D" w:rsidRPr="00AF3755" w:rsidRDefault="00FA287D" w:rsidP="00AF3755">
      <w:pPr>
        <w:pStyle w:val="ListParagraph"/>
        <w:numPr>
          <w:ilvl w:val="1"/>
          <w:numId w:val="2"/>
        </w:numPr>
        <w:spacing w:after="0" w:line="240" w:lineRule="auto"/>
        <w:ind w:left="851"/>
        <w:rPr>
          <w:rFonts w:ascii="Arial" w:hAnsi="Arial" w:cs="Arial"/>
          <w:sz w:val="20"/>
          <w:szCs w:val="20"/>
        </w:rPr>
      </w:pPr>
      <w:r w:rsidRPr="00AF3755">
        <w:rPr>
          <w:rFonts w:ascii="Arial" w:hAnsi="Arial" w:cs="Arial"/>
          <w:sz w:val="20"/>
          <w:szCs w:val="20"/>
        </w:rPr>
        <w:t>R13 250 per month through a rental agreement for parking;</w:t>
      </w:r>
    </w:p>
    <w:p w:rsidR="00FA287D" w:rsidRPr="00AF3755" w:rsidRDefault="00FA287D" w:rsidP="00AF3755">
      <w:pPr>
        <w:pStyle w:val="ListParagraph"/>
        <w:numPr>
          <w:ilvl w:val="1"/>
          <w:numId w:val="2"/>
        </w:numPr>
        <w:spacing w:after="0" w:line="240" w:lineRule="auto"/>
        <w:ind w:left="851"/>
        <w:rPr>
          <w:rFonts w:ascii="Arial" w:hAnsi="Arial" w:cs="Arial"/>
          <w:sz w:val="20"/>
          <w:szCs w:val="20"/>
        </w:rPr>
      </w:pPr>
      <w:r w:rsidRPr="00AF3755">
        <w:rPr>
          <w:rFonts w:ascii="Arial" w:hAnsi="Arial" w:cs="Arial"/>
          <w:sz w:val="20"/>
          <w:szCs w:val="20"/>
        </w:rPr>
        <w:t>R600,000 through a contract with Durban University of Technology over three years;</w:t>
      </w:r>
    </w:p>
    <w:p w:rsidR="000F2E71" w:rsidRPr="00AF3755" w:rsidRDefault="00FA287D" w:rsidP="00AF3755">
      <w:pPr>
        <w:pStyle w:val="ListParagraph"/>
        <w:numPr>
          <w:ilvl w:val="1"/>
          <w:numId w:val="2"/>
        </w:numPr>
        <w:spacing w:after="0" w:line="240" w:lineRule="auto"/>
        <w:ind w:left="851"/>
        <w:rPr>
          <w:rFonts w:ascii="Arial" w:hAnsi="Arial" w:cs="Arial"/>
          <w:sz w:val="20"/>
          <w:szCs w:val="20"/>
        </w:rPr>
      </w:pPr>
      <w:r w:rsidRPr="00AF3755">
        <w:rPr>
          <w:rFonts w:ascii="Arial" w:hAnsi="Arial" w:cs="Arial"/>
          <w:sz w:val="20"/>
          <w:szCs w:val="20"/>
        </w:rPr>
        <w:t>Received additional income of R397 202 from Worlds Education Services for a pilot project involving the recognition of refugee qualifications;</w:t>
      </w:r>
    </w:p>
    <w:p w:rsidR="00FA287D" w:rsidRPr="00AF3755" w:rsidRDefault="00FA287D" w:rsidP="00AF3755">
      <w:pPr>
        <w:pStyle w:val="ListParagraph"/>
        <w:numPr>
          <w:ilvl w:val="1"/>
          <w:numId w:val="2"/>
        </w:numPr>
        <w:spacing w:after="0" w:line="240" w:lineRule="auto"/>
        <w:ind w:left="851"/>
        <w:rPr>
          <w:rFonts w:ascii="Arial" w:hAnsi="Arial" w:cs="Arial"/>
          <w:sz w:val="20"/>
          <w:szCs w:val="20"/>
        </w:rPr>
      </w:pPr>
      <w:r w:rsidRPr="00AF3755">
        <w:rPr>
          <w:rFonts w:ascii="Arial" w:hAnsi="Arial" w:cs="Arial"/>
          <w:sz w:val="20"/>
          <w:szCs w:val="20"/>
        </w:rPr>
        <w:t>Received additional funding of R9,9 million from DHET for the Automation Project</w:t>
      </w:r>
    </w:p>
    <w:p w:rsidR="00FA287D" w:rsidRPr="00AF3755" w:rsidRDefault="009C2FF4" w:rsidP="00AF3755">
      <w:pPr>
        <w:pStyle w:val="ListParagraph"/>
        <w:numPr>
          <w:ilvl w:val="0"/>
          <w:numId w:val="2"/>
        </w:numPr>
        <w:spacing w:after="0" w:line="240" w:lineRule="auto"/>
        <w:rPr>
          <w:rFonts w:ascii="Arial" w:hAnsi="Arial" w:cs="Arial"/>
          <w:sz w:val="20"/>
          <w:szCs w:val="20"/>
        </w:rPr>
      </w:pPr>
      <w:r w:rsidRPr="00AF3755">
        <w:rPr>
          <w:rFonts w:ascii="Arial" w:hAnsi="Arial" w:cs="Arial"/>
          <w:sz w:val="20"/>
          <w:szCs w:val="20"/>
        </w:rPr>
        <w:t>SAQA c</w:t>
      </w:r>
      <w:r w:rsidR="005930FF" w:rsidRPr="00AF3755">
        <w:rPr>
          <w:rFonts w:ascii="Arial" w:hAnsi="Arial" w:cs="Arial"/>
          <w:sz w:val="20"/>
          <w:szCs w:val="20"/>
        </w:rPr>
        <w:t>ompleted the development of the electronic Registers for misrepresented and fraudulent qualifications as part of the NQF MIS incorporating the NLRD.</w:t>
      </w:r>
    </w:p>
    <w:p w:rsidR="00BB74E1" w:rsidRPr="00AF3755" w:rsidRDefault="009C2FF4" w:rsidP="00AF3755">
      <w:pPr>
        <w:pStyle w:val="ListParagraph"/>
        <w:numPr>
          <w:ilvl w:val="0"/>
          <w:numId w:val="2"/>
        </w:numPr>
        <w:spacing w:after="0" w:line="240" w:lineRule="auto"/>
        <w:rPr>
          <w:rFonts w:ascii="Arial" w:hAnsi="Arial" w:cs="Arial"/>
          <w:sz w:val="20"/>
          <w:szCs w:val="20"/>
        </w:rPr>
      </w:pPr>
      <w:r w:rsidRPr="00AF3755">
        <w:rPr>
          <w:rFonts w:ascii="Arial" w:hAnsi="Arial" w:cs="Arial"/>
          <w:sz w:val="20"/>
          <w:szCs w:val="20"/>
        </w:rPr>
        <w:t>F</w:t>
      </w:r>
      <w:r w:rsidR="00BB74E1" w:rsidRPr="00AF3755">
        <w:rPr>
          <w:rFonts w:ascii="Arial" w:hAnsi="Arial" w:cs="Arial"/>
          <w:sz w:val="20"/>
          <w:szCs w:val="20"/>
        </w:rPr>
        <w:t>our online campaigns aimed at informing the public about the NQF</w:t>
      </w:r>
      <w:r w:rsidRPr="00AF3755">
        <w:rPr>
          <w:rFonts w:ascii="Arial" w:hAnsi="Arial" w:cs="Arial"/>
          <w:sz w:val="20"/>
          <w:szCs w:val="20"/>
        </w:rPr>
        <w:t xml:space="preserve"> were implemented</w:t>
      </w:r>
      <w:r w:rsidR="00BB74E1" w:rsidRPr="00AF3755">
        <w:rPr>
          <w:rFonts w:ascii="Arial" w:hAnsi="Arial" w:cs="Arial"/>
          <w:sz w:val="20"/>
          <w:szCs w:val="20"/>
        </w:rPr>
        <w:t xml:space="preserve">. </w:t>
      </w:r>
    </w:p>
    <w:p w:rsidR="009B6D91" w:rsidRPr="00AF3755" w:rsidRDefault="009B6D91" w:rsidP="00AF3755">
      <w:pPr>
        <w:pStyle w:val="ListParagraph"/>
        <w:spacing w:after="0" w:line="240" w:lineRule="auto"/>
        <w:ind w:left="360"/>
        <w:rPr>
          <w:rFonts w:ascii="Arial" w:hAnsi="Arial" w:cs="Arial"/>
          <w:sz w:val="20"/>
          <w:szCs w:val="20"/>
        </w:rPr>
      </w:pPr>
    </w:p>
    <w:p w:rsidR="004C5EA4" w:rsidRPr="00AF3755" w:rsidRDefault="004C5EA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2: Registration and Recognition</w:t>
      </w:r>
    </w:p>
    <w:p w:rsidR="005C04D3" w:rsidRPr="00AF3755" w:rsidRDefault="009B6D91"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programme is responsible for registering qualifications and part-qualifications, recognising professional bodies and registering professional designations. It contributes to two of the </w:t>
      </w:r>
      <w:r w:rsidR="007C3860" w:rsidRPr="00AF3755">
        <w:rPr>
          <w:rFonts w:ascii="Arial" w:hAnsi="Arial" w:cs="Arial"/>
          <w:sz w:val="20"/>
          <w:szCs w:val="20"/>
        </w:rPr>
        <w:t xml:space="preserve">SAQA’s </w:t>
      </w:r>
      <w:r w:rsidRPr="00AF3755">
        <w:rPr>
          <w:rFonts w:ascii="Arial" w:hAnsi="Arial" w:cs="Arial"/>
          <w:sz w:val="20"/>
          <w:szCs w:val="20"/>
        </w:rPr>
        <w:t xml:space="preserve">five Strategic Outcomes, namely; </w:t>
      </w:r>
    </w:p>
    <w:p w:rsidR="009B6D91" w:rsidRPr="00AF3755" w:rsidRDefault="009B6D91" w:rsidP="00AF3755">
      <w:pPr>
        <w:pStyle w:val="ListParagraph"/>
        <w:numPr>
          <w:ilvl w:val="0"/>
          <w:numId w:val="11"/>
        </w:numPr>
        <w:spacing w:after="0" w:line="240" w:lineRule="auto"/>
        <w:rPr>
          <w:rFonts w:ascii="Arial" w:hAnsi="Arial" w:cs="Arial"/>
          <w:sz w:val="20"/>
          <w:szCs w:val="20"/>
        </w:rPr>
      </w:pPr>
      <w:r w:rsidRPr="00AF3755">
        <w:rPr>
          <w:rFonts w:ascii="Arial" w:hAnsi="Arial" w:cs="Arial"/>
          <w:sz w:val="20"/>
          <w:szCs w:val="20"/>
        </w:rPr>
        <w:t xml:space="preserve">We have </w:t>
      </w:r>
      <w:r w:rsidR="007C3860" w:rsidRPr="00AF3755">
        <w:rPr>
          <w:rFonts w:ascii="Arial" w:hAnsi="Arial" w:cs="Arial"/>
          <w:sz w:val="20"/>
          <w:szCs w:val="20"/>
        </w:rPr>
        <w:t>well-articulated quality-assured-qualifications and relevant professional designations that instil trust and meet the needs of the people; and</w:t>
      </w:r>
    </w:p>
    <w:p w:rsidR="007C3860" w:rsidRPr="00AF3755" w:rsidRDefault="007C3860" w:rsidP="00AF3755">
      <w:pPr>
        <w:pStyle w:val="ListParagraph"/>
        <w:numPr>
          <w:ilvl w:val="0"/>
          <w:numId w:val="11"/>
        </w:numPr>
        <w:spacing w:after="0" w:line="240" w:lineRule="auto"/>
        <w:rPr>
          <w:rFonts w:ascii="Arial" w:hAnsi="Arial" w:cs="Arial"/>
          <w:sz w:val="20"/>
          <w:szCs w:val="20"/>
        </w:rPr>
      </w:pPr>
      <w:r w:rsidRPr="00AF3755">
        <w:rPr>
          <w:rFonts w:ascii="Arial" w:hAnsi="Arial" w:cs="Arial"/>
          <w:sz w:val="20"/>
          <w:szCs w:val="20"/>
        </w:rPr>
        <w:t>We have stakeholders and role-players who are aligned to deliver on the NQF.</w:t>
      </w:r>
    </w:p>
    <w:p w:rsidR="00990C45" w:rsidRPr="00AF3755" w:rsidRDefault="00990C45" w:rsidP="00AF3755">
      <w:pPr>
        <w:spacing w:after="0" w:line="240" w:lineRule="auto"/>
        <w:rPr>
          <w:rFonts w:ascii="Arial" w:hAnsi="Arial" w:cs="Arial"/>
          <w:sz w:val="20"/>
          <w:szCs w:val="20"/>
        </w:rPr>
      </w:pPr>
      <w:r w:rsidRPr="00AF3755">
        <w:rPr>
          <w:rFonts w:ascii="Arial" w:hAnsi="Arial" w:cs="Arial"/>
          <w:sz w:val="20"/>
          <w:szCs w:val="20"/>
        </w:rPr>
        <w:t xml:space="preserve">During the period under review, the programme had three (3) planned targets. The programme achieved two (2) or 66.7 per cent of the planned targets. </w:t>
      </w:r>
      <w:r w:rsidR="00CF289E" w:rsidRPr="00AF3755">
        <w:rPr>
          <w:rFonts w:ascii="Arial" w:hAnsi="Arial" w:cs="Arial"/>
          <w:sz w:val="20"/>
          <w:szCs w:val="20"/>
        </w:rPr>
        <w:t xml:space="preserve">The SAQA board approved the SAQA Professional Body Model derived from the findings of the research report. It </w:t>
      </w:r>
      <w:r w:rsidR="0049714D" w:rsidRPr="00AF3755">
        <w:rPr>
          <w:rFonts w:ascii="Arial" w:hAnsi="Arial" w:cs="Arial"/>
          <w:sz w:val="20"/>
          <w:szCs w:val="20"/>
        </w:rPr>
        <w:t xml:space="preserve">has been </w:t>
      </w:r>
      <w:r w:rsidR="00CF289E" w:rsidRPr="00AF3755">
        <w:rPr>
          <w:rFonts w:ascii="Arial" w:hAnsi="Arial" w:cs="Arial"/>
          <w:sz w:val="20"/>
          <w:szCs w:val="20"/>
        </w:rPr>
        <w:t xml:space="preserve">reported that this model will provide a foundation for working with statutory and non-statutory professional bodies. </w:t>
      </w:r>
    </w:p>
    <w:p w:rsidR="00CF289E" w:rsidRPr="00AF3755" w:rsidRDefault="00CF289E" w:rsidP="00AF3755">
      <w:pPr>
        <w:spacing w:after="0" w:line="240" w:lineRule="auto"/>
        <w:rPr>
          <w:rFonts w:ascii="Arial" w:hAnsi="Arial" w:cs="Arial"/>
          <w:sz w:val="20"/>
          <w:szCs w:val="20"/>
        </w:rPr>
      </w:pPr>
      <w:r w:rsidRPr="00AF3755">
        <w:rPr>
          <w:rFonts w:ascii="Arial" w:hAnsi="Arial" w:cs="Arial"/>
          <w:sz w:val="20"/>
          <w:szCs w:val="20"/>
        </w:rPr>
        <w:lastRenderedPageBreak/>
        <w:t xml:space="preserve">SAQA did not achieve the target to register qualifications recommended by Quality Councils that meet all SAQA’s criteria within four months of submission. It was reported that the </w:t>
      </w:r>
      <w:r w:rsidR="000E660A" w:rsidRPr="00AF3755">
        <w:rPr>
          <w:rFonts w:ascii="Arial" w:hAnsi="Arial" w:cs="Arial"/>
          <w:sz w:val="20"/>
          <w:szCs w:val="20"/>
        </w:rPr>
        <w:t xml:space="preserve">three qualifications were originally recommended for submission to the Qualifications Committee, but after further scrutiny, they met the requirements. However, the qualifications were cleared too late for the November Qualifications Committee meeting and stood over to the February meeting, which resulted in a delay in registering these qualifications. </w:t>
      </w:r>
    </w:p>
    <w:p w:rsidR="004C5EA4" w:rsidRPr="00AF3755" w:rsidRDefault="004C5EA4" w:rsidP="00AF3755">
      <w:pPr>
        <w:pStyle w:val="ListParagraph"/>
        <w:numPr>
          <w:ilvl w:val="3"/>
          <w:numId w:val="1"/>
        </w:numPr>
        <w:spacing w:after="0" w:line="240" w:lineRule="auto"/>
        <w:ind w:left="993" w:hanging="993"/>
        <w:rPr>
          <w:rFonts w:ascii="Arial" w:hAnsi="Arial" w:cs="Arial"/>
          <w:b/>
          <w:sz w:val="20"/>
          <w:szCs w:val="20"/>
        </w:rPr>
      </w:pPr>
      <w:r w:rsidRPr="00AF3755">
        <w:rPr>
          <w:rFonts w:ascii="Arial" w:hAnsi="Arial" w:cs="Arial"/>
          <w:b/>
          <w:sz w:val="20"/>
          <w:szCs w:val="20"/>
        </w:rPr>
        <w:t>Programme 3: National Learners’ Record Database (NLRD)</w:t>
      </w:r>
      <w:r w:rsidR="004D38BA" w:rsidRPr="00AF3755">
        <w:rPr>
          <w:rFonts w:ascii="Arial" w:hAnsi="Arial" w:cs="Arial"/>
          <w:b/>
          <w:sz w:val="20"/>
          <w:szCs w:val="20"/>
        </w:rPr>
        <w:t xml:space="preserve"> &amp; Verifications</w:t>
      </w:r>
    </w:p>
    <w:p w:rsidR="006E619B" w:rsidRPr="00AF3755" w:rsidRDefault="006E619B"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 contributes to achieving two of the five Strategic Outcomes, namely;</w:t>
      </w:r>
    </w:p>
    <w:p w:rsidR="006E619B" w:rsidRPr="00AF3755" w:rsidRDefault="006E619B" w:rsidP="00AF3755">
      <w:pPr>
        <w:pStyle w:val="ListParagraph"/>
        <w:numPr>
          <w:ilvl w:val="0"/>
          <w:numId w:val="11"/>
        </w:numPr>
        <w:spacing w:after="0" w:line="240" w:lineRule="auto"/>
        <w:rPr>
          <w:rFonts w:ascii="Arial" w:hAnsi="Arial" w:cs="Arial"/>
          <w:sz w:val="20"/>
          <w:szCs w:val="20"/>
        </w:rPr>
      </w:pPr>
      <w:r w:rsidRPr="00AF3755">
        <w:rPr>
          <w:rFonts w:ascii="Arial" w:hAnsi="Arial" w:cs="Arial"/>
          <w:sz w:val="20"/>
          <w:szCs w:val="20"/>
        </w:rPr>
        <w:t>We have well-articulated quality-assured-qualifications and relevant professional designations that instil trust and meet the needs of the people; and</w:t>
      </w:r>
    </w:p>
    <w:p w:rsidR="006E619B" w:rsidRPr="00AF3755" w:rsidRDefault="006E619B" w:rsidP="00AF3755">
      <w:pPr>
        <w:pStyle w:val="ListParagraph"/>
        <w:numPr>
          <w:ilvl w:val="0"/>
          <w:numId w:val="11"/>
        </w:numPr>
        <w:spacing w:after="0" w:line="240" w:lineRule="auto"/>
        <w:rPr>
          <w:rFonts w:ascii="Arial" w:hAnsi="Arial" w:cs="Arial"/>
          <w:sz w:val="20"/>
          <w:szCs w:val="20"/>
        </w:rPr>
      </w:pPr>
      <w:r w:rsidRPr="00AF3755">
        <w:rPr>
          <w:rFonts w:ascii="Arial" w:hAnsi="Arial" w:cs="Arial"/>
          <w:sz w:val="20"/>
          <w:szCs w:val="20"/>
        </w:rPr>
        <w:t>We have stakeholders and role-players who are aligned to deliver on the NQF.</w:t>
      </w:r>
    </w:p>
    <w:p w:rsidR="006E619B" w:rsidRPr="00AF3755" w:rsidRDefault="006E619B" w:rsidP="00AF3755">
      <w:pPr>
        <w:pStyle w:val="ListParagraph"/>
        <w:spacing w:after="0" w:line="240" w:lineRule="auto"/>
        <w:ind w:left="0"/>
        <w:rPr>
          <w:rFonts w:ascii="Arial" w:hAnsi="Arial" w:cs="Arial"/>
          <w:sz w:val="20"/>
          <w:szCs w:val="20"/>
        </w:rPr>
      </w:pPr>
    </w:p>
    <w:p w:rsidR="00233C0C" w:rsidRPr="00AF3755" w:rsidRDefault="00B60980"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programme had three (3) planned targets, of which one or 33.3 per cent was achieved. SAQA did not meet the target to have all recognised professional bodies load professional designation achievements that meet the requirements, </w:t>
      </w:r>
      <w:r w:rsidR="00067E63" w:rsidRPr="00AF3755">
        <w:rPr>
          <w:rFonts w:ascii="Arial" w:hAnsi="Arial" w:cs="Arial"/>
          <w:sz w:val="20"/>
          <w:szCs w:val="20"/>
        </w:rPr>
        <w:t xml:space="preserve">of </w:t>
      </w:r>
      <w:r w:rsidRPr="00AF3755">
        <w:rPr>
          <w:rFonts w:ascii="Arial" w:hAnsi="Arial" w:cs="Arial"/>
          <w:sz w:val="20"/>
          <w:szCs w:val="20"/>
        </w:rPr>
        <w:t>NLRD</w:t>
      </w:r>
      <w:r w:rsidR="00D8351C" w:rsidRPr="00AF3755">
        <w:rPr>
          <w:rFonts w:ascii="Arial" w:hAnsi="Arial" w:cs="Arial"/>
          <w:sz w:val="20"/>
          <w:szCs w:val="20"/>
        </w:rPr>
        <w:t xml:space="preserve">. Ninety-six of the 100 recognised professional bodies loaded data during the period under review. SAQA did not complete all applications received for the verification of national qualifications within 25 working days. </w:t>
      </w:r>
      <w:r w:rsidR="00824ABF" w:rsidRPr="00AF3755">
        <w:rPr>
          <w:rFonts w:ascii="Arial" w:hAnsi="Arial" w:cs="Arial"/>
          <w:sz w:val="20"/>
          <w:szCs w:val="20"/>
        </w:rPr>
        <w:t>The under-achievement was ascribed to the staff retrenchments resulting from the restructure, which contributed to the backlogs in this unit, and despite the use of temporary contract staff brought in to reduce the backlogs, the function was still not able to meet the targets. SAQA reported that its Automation Project will address this issue.</w:t>
      </w:r>
    </w:p>
    <w:p w:rsidR="008537CB" w:rsidRPr="00AF3755" w:rsidRDefault="00D8351C"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 </w:t>
      </w:r>
    </w:p>
    <w:p w:rsidR="00882271" w:rsidRPr="00AF3755" w:rsidRDefault="00882271" w:rsidP="00AF3755">
      <w:pPr>
        <w:pStyle w:val="ListParagraph"/>
        <w:spacing w:after="0" w:line="240" w:lineRule="auto"/>
        <w:ind w:left="0"/>
        <w:rPr>
          <w:rFonts w:ascii="Arial" w:hAnsi="Arial" w:cs="Arial"/>
          <w:sz w:val="20"/>
          <w:szCs w:val="20"/>
        </w:rPr>
      </w:pPr>
    </w:p>
    <w:p w:rsidR="004C5EA4" w:rsidRPr="00AF3755" w:rsidRDefault="004C5EA4" w:rsidP="00AF3755">
      <w:pPr>
        <w:pStyle w:val="ListParagraph"/>
        <w:numPr>
          <w:ilvl w:val="3"/>
          <w:numId w:val="1"/>
        </w:numPr>
        <w:spacing w:after="0" w:line="240" w:lineRule="auto"/>
        <w:ind w:left="993" w:hanging="993"/>
        <w:rPr>
          <w:rFonts w:ascii="Arial" w:hAnsi="Arial" w:cs="Arial"/>
          <w:b/>
          <w:sz w:val="20"/>
          <w:szCs w:val="20"/>
        </w:rPr>
      </w:pPr>
      <w:r w:rsidRPr="00AF3755">
        <w:rPr>
          <w:rFonts w:ascii="Arial" w:hAnsi="Arial" w:cs="Arial"/>
          <w:b/>
          <w:sz w:val="20"/>
          <w:szCs w:val="20"/>
        </w:rPr>
        <w:t>Programme 4: Foreign Qualifications Evaluation and Advisory Services (DFQEAS)</w:t>
      </w:r>
    </w:p>
    <w:p w:rsidR="00883316" w:rsidRPr="00AF3755" w:rsidRDefault="00883316"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programme is responsible for evaluating foreign qualifications and locating them on the South African NQF. It contributes to one of the five Strategic Outcomes, namely; A dynamic NQF that is responsive, adapts to and supports the changing needs of life-long learning. </w:t>
      </w:r>
    </w:p>
    <w:p w:rsidR="00883316" w:rsidRPr="00AF3755" w:rsidRDefault="00883316" w:rsidP="00AF3755">
      <w:pPr>
        <w:pStyle w:val="ListParagraph"/>
        <w:spacing w:after="0" w:line="240" w:lineRule="auto"/>
        <w:ind w:left="0"/>
        <w:rPr>
          <w:rFonts w:ascii="Arial" w:hAnsi="Arial" w:cs="Arial"/>
          <w:sz w:val="20"/>
          <w:szCs w:val="20"/>
        </w:rPr>
      </w:pPr>
    </w:p>
    <w:p w:rsidR="00883316" w:rsidRPr="00AF3755" w:rsidRDefault="00883316"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programme had one planned target during the year under review. The target to complete all compliant applications received for the evaluation of foreign qualifications within three months was not achieved. The non-achievement was ascribed to the staff retrenchments resulting from the restructure, which contributed to the backlogs in this unit, and despite the use of temporary contract staff brought in to reduce the backlogs, the function was still not able to meet the target. SAQA reported that its Automation Project will address this issue.</w:t>
      </w:r>
    </w:p>
    <w:p w:rsidR="00067E63" w:rsidRPr="00AF3755" w:rsidRDefault="00067E63" w:rsidP="00AF3755">
      <w:pPr>
        <w:pStyle w:val="ListParagraph"/>
        <w:spacing w:after="0" w:line="240" w:lineRule="auto"/>
        <w:ind w:left="0"/>
        <w:rPr>
          <w:rFonts w:ascii="Arial" w:hAnsi="Arial" w:cs="Arial"/>
          <w:sz w:val="20"/>
          <w:szCs w:val="20"/>
        </w:rPr>
      </w:pPr>
    </w:p>
    <w:p w:rsidR="0010563E" w:rsidRPr="00AF3755" w:rsidRDefault="00D35C19"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Committee viewed the non-achievement in a serious light as it may impact the applicants’ ability to secure employment or </w:t>
      </w:r>
      <w:r w:rsidR="001402AB" w:rsidRPr="00AF3755">
        <w:rPr>
          <w:rFonts w:ascii="Arial" w:hAnsi="Arial" w:cs="Arial"/>
          <w:sz w:val="20"/>
          <w:szCs w:val="20"/>
        </w:rPr>
        <w:t xml:space="preserve">study </w:t>
      </w:r>
      <w:r w:rsidRPr="00AF3755">
        <w:rPr>
          <w:rFonts w:ascii="Arial" w:hAnsi="Arial" w:cs="Arial"/>
          <w:sz w:val="20"/>
          <w:szCs w:val="20"/>
        </w:rPr>
        <w:t xml:space="preserve">opportunities. </w:t>
      </w:r>
    </w:p>
    <w:p w:rsidR="0010563E" w:rsidRPr="00AF3755" w:rsidRDefault="0010563E" w:rsidP="00AF3755">
      <w:pPr>
        <w:pStyle w:val="ListParagraph"/>
        <w:spacing w:after="0" w:line="240" w:lineRule="auto"/>
        <w:ind w:left="0"/>
        <w:rPr>
          <w:rFonts w:ascii="Arial" w:hAnsi="Arial" w:cs="Arial"/>
          <w:sz w:val="20"/>
          <w:szCs w:val="20"/>
        </w:rPr>
      </w:pPr>
    </w:p>
    <w:p w:rsidR="004C5EA4" w:rsidRPr="00AF3755" w:rsidRDefault="004C5EA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5: Research</w:t>
      </w:r>
    </w:p>
    <w:p w:rsidR="00FC4051" w:rsidRPr="00AF3755" w:rsidRDefault="0006055C" w:rsidP="00AF3755">
      <w:pPr>
        <w:spacing w:after="0" w:line="240" w:lineRule="auto"/>
        <w:rPr>
          <w:rFonts w:ascii="Arial" w:hAnsi="Arial" w:cs="Arial"/>
          <w:sz w:val="20"/>
          <w:szCs w:val="20"/>
        </w:rPr>
      </w:pPr>
      <w:r w:rsidRPr="00AF3755">
        <w:rPr>
          <w:rFonts w:ascii="Arial" w:hAnsi="Arial" w:cs="Arial"/>
          <w:sz w:val="20"/>
          <w:szCs w:val="20"/>
        </w:rPr>
        <w:t xml:space="preserve">The programme is responsible for conducting evidence-based research to track the development and implementation of the NQF and to evaluate the impact of the NQF on the people in South Africa. </w:t>
      </w:r>
    </w:p>
    <w:p w:rsidR="009D2264" w:rsidRPr="00AF3755" w:rsidRDefault="00FC4051" w:rsidP="00AF3755">
      <w:pPr>
        <w:spacing w:after="0" w:line="240" w:lineRule="auto"/>
        <w:rPr>
          <w:rFonts w:ascii="Arial" w:hAnsi="Arial" w:cs="Arial"/>
          <w:sz w:val="20"/>
          <w:szCs w:val="20"/>
        </w:rPr>
      </w:pPr>
      <w:r w:rsidRPr="00AF3755">
        <w:rPr>
          <w:rFonts w:ascii="Arial" w:hAnsi="Arial" w:cs="Arial"/>
          <w:sz w:val="20"/>
          <w:szCs w:val="20"/>
        </w:rPr>
        <w:t xml:space="preserve">The programme had three (3) targets for 2021/22 and achieved 100 per cent. SAQA reviewed the Criteria for Registering Qualifications and Part-Qualifications on the NQF and the approved Policy is available on SAQA’s website; produced the Draft 2021 NQF Impact Study Reports; and collated </w:t>
      </w:r>
      <w:r w:rsidR="0049714D" w:rsidRPr="00AF3755">
        <w:rPr>
          <w:rFonts w:ascii="Arial" w:hAnsi="Arial" w:cs="Arial"/>
          <w:sz w:val="20"/>
          <w:szCs w:val="20"/>
        </w:rPr>
        <w:t xml:space="preserve">a </w:t>
      </w:r>
      <w:r w:rsidRPr="00AF3755">
        <w:rPr>
          <w:rFonts w:ascii="Arial" w:hAnsi="Arial" w:cs="Arial"/>
          <w:sz w:val="20"/>
          <w:szCs w:val="20"/>
        </w:rPr>
        <w:t>report on the progress made in implementing the Articulation Policy for 2021/22, which was approved by the Board for submission to the Minister.</w:t>
      </w:r>
    </w:p>
    <w:p w:rsidR="004C5EA4" w:rsidRPr="00AF3755" w:rsidRDefault="004C5EA4"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 xml:space="preserve">Programme 6: International </w:t>
      </w:r>
      <w:r w:rsidR="00010CCF" w:rsidRPr="00AF3755">
        <w:rPr>
          <w:rFonts w:ascii="Arial" w:hAnsi="Arial" w:cs="Arial"/>
          <w:b/>
          <w:sz w:val="20"/>
          <w:szCs w:val="20"/>
        </w:rPr>
        <w:t>Liaison</w:t>
      </w:r>
    </w:p>
    <w:p w:rsidR="00771F5E" w:rsidRPr="00AF3755" w:rsidRDefault="000C3F0A" w:rsidP="00AF3755">
      <w:pPr>
        <w:spacing w:after="0" w:line="240" w:lineRule="auto"/>
        <w:rPr>
          <w:rFonts w:ascii="Arial" w:hAnsi="Arial" w:cs="Arial"/>
          <w:sz w:val="20"/>
          <w:szCs w:val="20"/>
        </w:rPr>
      </w:pPr>
      <w:r w:rsidRPr="00AF3755">
        <w:rPr>
          <w:rFonts w:ascii="Arial" w:hAnsi="Arial" w:cs="Arial"/>
          <w:sz w:val="20"/>
          <w:szCs w:val="20"/>
        </w:rPr>
        <w:t>The programme is responsible for working with international partners on matters concerning qualifications framework and sharing best practice</w:t>
      </w:r>
      <w:r w:rsidR="00067E63" w:rsidRPr="00AF3755">
        <w:rPr>
          <w:rFonts w:ascii="Arial" w:hAnsi="Arial" w:cs="Arial"/>
          <w:sz w:val="20"/>
          <w:szCs w:val="20"/>
        </w:rPr>
        <w:t>s</w:t>
      </w:r>
      <w:r w:rsidRPr="00AF3755">
        <w:rPr>
          <w:rFonts w:ascii="Arial" w:hAnsi="Arial" w:cs="Arial"/>
          <w:sz w:val="20"/>
          <w:szCs w:val="20"/>
        </w:rPr>
        <w:t xml:space="preserve"> with stakeholders. There were two targets under this programme and were achieved as planned.</w:t>
      </w:r>
      <w:r w:rsidR="00771F5E" w:rsidRPr="00AF3755">
        <w:rPr>
          <w:rFonts w:ascii="Arial" w:hAnsi="Arial" w:cs="Arial"/>
          <w:sz w:val="20"/>
          <w:szCs w:val="20"/>
        </w:rPr>
        <w:t xml:space="preserve"> </w:t>
      </w:r>
    </w:p>
    <w:p w:rsidR="00923AB1" w:rsidRPr="00AF3755" w:rsidRDefault="00771F5E" w:rsidP="00AF3755">
      <w:pPr>
        <w:spacing w:after="0" w:line="240" w:lineRule="auto"/>
        <w:rPr>
          <w:rFonts w:ascii="Arial" w:hAnsi="Arial" w:cs="Arial"/>
          <w:sz w:val="20"/>
          <w:szCs w:val="20"/>
        </w:rPr>
      </w:pPr>
      <w:r w:rsidRPr="00AF3755">
        <w:rPr>
          <w:rFonts w:ascii="Arial" w:hAnsi="Arial" w:cs="Arial"/>
          <w:sz w:val="20"/>
          <w:szCs w:val="20"/>
        </w:rPr>
        <w:t>SAQA implemented nine (9) initiatives to promote the South African NQF. The planned target of two initiatives and the target was exceeded by seven</w:t>
      </w:r>
      <w:r w:rsidR="00F35B9C" w:rsidRPr="00AF3755">
        <w:rPr>
          <w:rFonts w:ascii="Arial" w:hAnsi="Arial" w:cs="Arial"/>
          <w:sz w:val="20"/>
          <w:szCs w:val="20"/>
        </w:rPr>
        <w:t xml:space="preserve"> (7)</w:t>
      </w:r>
      <w:r w:rsidRPr="00AF3755">
        <w:rPr>
          <w:rFonts w:ascii="Arial" w:hAnsi="Arial" w:cs="Arial"/>
          <w:sz w:val="20"/>
          <w:szCs w:val="20"/>
        </w:rPr>
        <w:t xml:space="preserve">. </w:t>
      </w:r>
      <w:r w:rsidR="00F35B9C" w:rsidRPr="00AF3755">
        <w:rPr>
          <w:rFonts w:ascii="Arial" w:hAnsi="Arial" w:cs="Arial"/>
          <w:sz w:val="20"/>
          <w:szCs w:val="20"/>
        </w:rPr>
        <w:t>The entity also exceeded the target to identify and implement two (2) initiatives to share national and international best practice</w:t>
      </w:r>
      <w:r w:rsidR="00067E63" w:rsidRPr="00AF3755">
        <w:rPr>
          <w:rFonts w:ascii="Arial" w:hAnsi="Arial" w:cs="Arial"/>
          <w:sz w:val="20"/>
          <w:szCs w:val="20"/>
        </w:rPr>
        <w:t>s</w:t>
      </w:r>
      <w:r w:rsidR="00F35B9C" w:rsidRPr="00AF3755">
        <w:rPr>
          <w:rFonts w:ascii="Arial" w:hAnsi="Arial" w:cs="Arial"/>
          <w:sz w:val="20"/>
          <w:szCs w:val="20"/>
        </w:rPr>
        <w:t xml:space="preserve"> with stakeholder</w:t>
      </w:r>
      <w:r w:rsidR="00067E63" w:rsidRPr="00AF3755">
        <w:rPr>
          <w:rFonts w:ascii="Arial" w:hAnsi="Arial" w:cs="Arial"/>
          <w:sz w:val="20"/>
          <w:szCs w:val="20"/>
        </w:rPr>
        <w:t>s</w:t>
      </w:r>
      <w:r w:rsidR="00F35B9C" w:rsidRPr="00AF3755">
        <w:rPr>
          <w:rFonts w:ascii="Arial" w:hAnsi="Arial" w:cs="Arial"/>
          <w:sz w:val="20"/>
          <w:szCs w:val="20"/>
        </w:rPr>
        <w:t>. Six initiatives were identified and implemented.</w:t>
      </w:r>
    </w:p>
    <w:p w:rsidR="00BD0017" w:rsidRPr="00AF3755" w:rsidRDefault="009A75B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SAQA’s 2021/22 budget allocation</w:t>
      </w:r>
      <w:r w:rsidR="005B0F42" w:rsidRPr="00AF3755">
        <w:rPr>
          <w:rFonts w:ascii="Arial" w:hAnsi="Arial" w:cs="Arial"/>
          <w:b/>
          <w:sz w:val="20"/>
          <w:szCs w:val="20"/>
        </w:rPr>
        <w:t xml:space="preserve"> </w:t>
      </w:r>
      <w:r w:rsidRPr="00AF3755">
        <w:rPr>
          <w:rFonts w:ascii="Arial" w:hAnsi="Arial" w:cs="Arial"/>
          <w:b/>
          <w:sz w:val="20"/>
          <w:szCs w:val="20"/>
        </w:rPr>
        <w:t>and expenditure</w:t>
      </w:r>
    </w:p>
    <w:p w:rsidR="004F1FF0" w:rsidRPr="00AF3755" w:rsidRDefault="00871FF2" w:rsidP="00AF3755">
      <w:pPr>
        <w:spacing w:after="0" w:line="240" w:lineRule="auto"/>
        <w:rPr>
          <w:rFonts w:ascii="Arial" w:hAnsi="Arial" w:cs="Arial"/>
          <w:sz w:val="20"/>
          <w:szCs w:val="20"/>
        </w:rPr>
      </w:pPr>
      <w:r w:rsidRPr="00AF3755">
        <w:rPr>
          <w:rFonts w:ascii="Arial" w:hAnsi="Arial" w:cs="Arial"/>
          <w:sz w:val="20"/>
          <w:szCs w:val="20"/>
        </w:rPr>
        <w:t>SAQA had total revenue of R139,32 million (R120,74 million in 2021/22), compris</w:t>
      </w:r>
      <w:r w:rsidR="0049714D" w:rsidRPr="00AF3755">
        <w:rPr>
          <w:rFonts w:ascii="Arial" w:hAnsi="Arial" w:cs="Arial"/>
          <w:sz w:val="20"/>
          <w:szCs w:val="20"/>
        </w:rPr>
        <w:t>ing</w:t>
      </w:r>
      <w:r w:rsidRPr="00AF3755">
        <w:rPr>
          <w:rFonts w:ascii="Arial" w:hAnsi="Arial" w:cs="Arial"/>
          <w:sz w:val="20"/>
          <w:szCs w:val="20"/>
        </w:rPr>
        <w:t xml:space="preserve"> of R50,80 million of revenue from exchange transactions and R88,51 million from non-exchange transactions. </w:t>
      </w:r>
      <w:r w:rsidR="0047356E" w:rsidRPr="00AF3755">
        <w:rPr>
          <w:rFonts w:ascii="Arial" w:hAnsi="Arial" w:cs="Arial"/>
          <w:sz w:val="20"/>
          <w:szCs w:val="20"/>
        </w:rPr>
        <w:t xml:space="preserve">Revenue from </w:t>
      </w:r>
      <w:r w:rsidR="00067E63" w:rsidRPr="00AF3755">
        <w:rPr>
          <w:rFonts w:ascii="Arial" w:hAnsi="Arial" w:cs="Arial"/>
          <w:sz w:val="20"/>
          <w:szCs w:val="20"/>
        </w:rPr>
        <w:t xml:space="preserve">the </w:t>
      </w:r>
      <w:r w:rsidR="0047356E" w:rsidRPr="00AF3755">
        <w:rPr>
          <w:rFonts w:ascii="Arial" w:hAnsi="Arial" w:cs="Arial"/>
          <w:sz w:val="20"/>
          <w:szCs w:val="20"/>
        </w:rPr>
        <w:t>rendering of services constituted 94.3 per cent of the total revenue from exchange transactions and 34.4 per cent</w:t>
      </w:r>
      <w:r w:rsidR="00C326AB" w:rsidRPr="00AF3755">
        <w:rPr>
          <w:rFonts w:ascii="Arial" w:hAnsi="Arial" w:cs="Arial"/>
          <w:sz w:val="20"/>
          <w:szCs w:val="20"/>
        </w:rPr>
        <w:t xml:space="preserve"> of the total revenue of the entity. Notably, there is a slight increase of R2,38 million in revenue from rendering services from R45,54 million in 2020/21. </w:t>
      </w:r>
    </w:p>
    <w:p w:rsidR="00CC4775" w:rsidRPr="00AF3755" w:rsidRDefault="00CC4775" w:rsidP="00AF3755">
      <w:pPr>
        <w:spacing w:after="0" w:line="240" w:lineRule="auto"/>
        <w:rPr>
          <w:rFonts w:ascii="Arial" w:hAnsi="Arial" w:cs="Arial"/>
          <w:sz w:val="20"/>
          <w:szCs w:val="20"/>
        </w:rPr>
      </w:pPr>
      <w:r w:rsidRPr="00AF3755">
        <w:rPr>
          <w:rFonts w:ascii="Arial" w:hAnsi="Arial" w:cs="Arial"/>
          <w:sz w:val="20"/>
          <w:szCs w:val="20"/>
        </w:rPr>
        <w:lastRenderedPageBreak/>
        <w:t xml:space="preserve">At the end of the financial year, SAQA had spent </w:t>
      </w:r>
      <w:r w:rsidR="009424AD" w:rsidRPr="00AF3755">
        <w:rPr>
          <w:rFonts w:ascii="Arial" w:hAnsi="Arial" w:cs="Arial"/>
          <w:sz w:val="20"/>
          <w:szCs w:val="20"/>
        </w:rPr>
        <w:t>R90,99 million, which constitutes 65.3 per cent of the total revenue, recording lower</w:t>
      </w:r>
      <w:r w:rsidR="00067E63" w:rsidRPr="00AF3755">
        <w:rPr>
          <w:rFonts w:ascii="Arial" w:hAnsi="Arial" w:cs="Arial"/>
          <w:sz w:val="20"/>
          <w:szCs w:val="20"/>
        </w:rPr>
        <w:t>-than-</w:t>
      </w:r>
      <w:r w:rsidR="009424AD" w:rsidRPr="00AF3755">
        <w:rPr>
          <w:rFonts w:ascii="Arial" w:hAnsi="Arial" w:cs="Arial"/>
          <w:sz w:val="20"/>
          <w:szCs w:val="20"/>
        </w:rPr>
        <w:t xml:space="preserve">projected spending amounting to </w:t>
      </w:r>
      <w:r w:rsidR="00382BF7" w:rsidRPr="00AF3755">
        <w:rPr>
          <w:rFonts w:ascii="Arial" w:hAnsi="Arial" w:cs="Arial"/>
          <w:sz w:val="20"/>
          <w:szCs w:val="20"/>
        </w:rPr>
        <w:t xml:space="preserve">R48.32 million. </w:t>
      </w:r>
    </w:p>
    <w:p w:rsidR="00CD280B" w:rsidRPr="00AF3755" w:rsidRDefault="003512A0" w:rsidP="00AF3755">
      <w:pPr>
        <w:spacing w:after="0" w:line="240" w:lineRule="auto"/>
        <w:rPr>
          <w:rFonts w:ascii="Arial" w:hAnsi="Arial" w:cs="Arial"/>
          <w:sz w:val="20"/>
          <w:szCs w:val="20"/>
        </w:rPr>
      </w:pPr>
      <w:r w:rsidRPr="00AF3755">
        <w:rPr>
          <w:rFonts w:ascii="Arial" w:hAnsi="Arial" w:cs="Arial"/>
          <w:sz w:val="20"/>
          <w:szCs w:val="20"/>
        </w:rPr>
        <w:t xml:space="preserve">The expenditure on employee costs amounted to R59,49 million, which constituted 65.3 per cent of the total expenditure for 2021/22. Spending on general expenses amounted to R24,23 million. </w:t>
      </w:r>
      <w:r w:rsidR="008F2ABF" w:rsidRPr="00AF3755">
        <w:rPr>
          <w:rFonts w:ascii="Arial" w:hAnsi="Arial" w:cs="Arial"/>
          <w:sz w:val="20"/>
          <w:szCs w:val="20"/>
        </w:rPr>
        <w:t>The cost drivers in terms of the general expenses</w:t>
      </w:r>
      <w:r w:rsidR="003C3D15" w:rsidRPr="00AF3755">
        <w:rPr>
          <w:rFonts w:ascii="Arial" w:hAnsi="Arial" w:cs="Arial"/>
          <w:sz w:val="20"/>
          <w:szCs w:val="20"/>
        </w:rPr>
        <w:t xml:space="preserve"> include amongst others;</w:t>
      </w:r>
      <w:r w:rsidR="008F2ABF" w:rsidRPr="00AF3755">
        <w:rPr>
          <w:rFonts w:ascii="Arial" w:hAnsi="Arial" w:cs="Arial"/>
          <w:sz w:val="20"/>
          <w:szCs w:val="20"/>
        </w:rPr>
        <w:t xml:space="preserve"> IT support and maintenance</w:t>
      </w:r>
      <w:r w:rsidR="003C3D15" w:rsidRPr="00AF3755">
        <w:rPr>
          <w:rFonts w:ascii="Arial" w:hAnsi="Arial" w:cs="Arial"/>
          <w:sz w:val="20"/>
          <w:szCs w:val="20"/>
        </w:rPr>
        <w:t>: R4,</w:t>
      </w:r>
      <w:r w:rsidR="0060550C" w:rsidRPr="00AF3755">
        <w:rPr>
          <w:rFonts w:ascii="Arial" w:hAnsi="Arial" w:cs="Arial"/>
          <w:sz w:val="20"/>
          <w:szCs w:val="20"/>
        </w:rPr>
        <w:t>70 million, Consulting and professional fees: R3,75 million, Computer expenses: R3,11 million, Building costs (rates and taxes, security services and electricity and water): R3,99 million</w:t>
      </w:r>
      <w:r w:rsidR="003C3D15" w:rsidRPr="00AF3755">
        <w:rPr>
          <w:rFonts w:ascii="Arial" w:hAnsi="Arial" w:cs="Arial"/>
          <w:sz w:val="20"/>
          <w:szCs w:val="20"/>
        </w:rPr>
        <w:t xml:space="preserve">, and Auditor’s remuneration: R1,82 million. </w:t>
      </w:r>
      <w:r w:rsidR="008F2ABF" w:rsidRPr="00AF3755">
        <w:rPr>
          <w:rFonts w:ascii="Arial" w:hAnsi="Arial" w:cs="Arial"/>
          <w:sz w:val="20"/>
          <w:szCs w:val="20"/>
        </w:rPr>
        <w:t xml:space="preserve"> </w:t>
      </w:r>
    </w:p>
    <w:p w:rsidR="00210966" w:rsidRPr="00AF3755" w:rsidRDefault="00210966"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Irregular, fruitless and wasteful expenditure</w:t>
      </w:r>
    </w:p>
    <w:p w:rsidR="00210966" w:rsidRPr="00AF3755" w:rsidRDefault="00210966"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SAQA incurred irregular expenditure amounting to R496 800 during 2021/22, which was ascribed to a non-responsive request for a quotation that was awarded. </w:t>
      </w:r>
      <w:r w:rsidR="0049714D" w:rsidRPr="00AF3755">
        <w:rPr>
          <w:rFonts w:ascii="Arial" w:hAnsi="Arial" w:cs="Arial"/>
          <w:sz w:val="20"/>
          <w:szCs w:val="20"/>
        </w:rPr>
        <w:t xml:space="preserve">SAQA did not </w:t>
      </w:r>
      <w:r w:rsidR="00882271" w:rsidRPr="00AF3755">
        <w:rPr>
          <w:rFonts w:ascii="Arial" w:hAnsi="Arial" w:cs="Arial"/>
          <w:sz w:val="20"/>
          <w:szCs w:val="20"/>
        </w:rPr>
        <w:t>incur fruitless</w:t>
      </w:r>
      <w:r w:rsidRPr="00AF3755">
        <w:rPr>
          <w:rFonts w:ascii="Arial" w:hAnsi="Arial" w:cs="Arial"/>
          <w:sz w:val="20"/>
          <w:szCs w:val="20"/>
        </w:rPr>
        <w:t xml:space="preserve"> and wasteful expenditure during the year under review.</w:t>
      </w:r>
    </w:p>
    <w:p w:rsidR="00210966" w:rsidRPr="00AF3755" w:rsidRDefault="00210966" w:rsidP="00AF3755">
      <w:pPr>
        <w:pStyle w:val="ListParagraph"/>
        <w:spacing w:after="0" w:line="240" w:lineRule="auto"/>
        <w:ind w:left="0"/>
        <w:rPr>
          <w:rFonts w:ascii="Arial" w:hAnsi="Arial" w:cs="Arial"/>
          <w:sz w:val="20"/>
          <w:szCs w:val="20"/>
        </w:rPr>
      </w:pPr>
    </w:p>
    <w:p w:rsidR="00210966" w:rsidRPr="00AF3755" w:rsidRDefault="00210966"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Contingent liabilities</w:t>
      </w:r>
    </w:p>
    <w:p w:rsidR="001546E0" w:rsidRPr="00AF3755" w:rsidRDefault="0076413E"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SAQA reported the two cases that were with the Commission for Conciliation, Mediation and Arbitration (CCMA) and the Labour Court respectively. </w:t>
      </w:r>
    </w:p>
    <w:p w:rsidR="00067E63" w:rsidRPr="00AF3755" w:rsidRDefault="00067E63" w:rsidP="00AF3755">
      <w:pPr>
        <w:pStyle w:val="ListParagraph"/>
        <w:spacing w:after="0" w:line="240" w:lineRule="auto"/>
        <w:ind w:left="0"/>
        <w:rPr>
          <w:rFonts w:ascii="Arial" w:hAnsi="Arial" w:cs="Arial"/>
          <w:b/>
          <w:sz w:val="20"/>
          <w:szCs w:val="20"/>
        </w:rPr>
      </w:pPr>
    </w:p>
    <w:p w:rsidR="0076413E" w:rsidRPr="00AF3755" w:rsidRDefault="0076413E" w:rsidP="00AF3755">
      <w:pPr>
        <w:pStyle w:val="ListParagraph"/>
        <w:spacing w:after="0" w:line="240" w:lineRule="auto"/>
        <w:ind w:left="0"/>
        <w:rPr>
          <w:rFonts w:ascii="Arial" w:hAnsi="Arial" w:cs="Arial"/>
          <w:sz w:val="20"/>
          <w:szCs w:val="20"/>
        </w:rPr>
      </w:pPr>
      <w:r w:rsidRPr="00AF3755">
        <w:rPr>
          <w:rFonts w:ascii="Arial" w:hAnsi="Arial" w:cs="Arial"/>
          <w:b/>
          <w:sz w:val="20"/>
          <w:szCs w:val="20"/>
        </w:rPr>
        <w:t>CCMA Case</w:t>
      </w:r>
    </w:p>
    <w:p w:rsidR="0076413E" w:rsidRPr="00AF3755" w:rsidRDefault="0076413E"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Matter1: Claim for SAQA staff members retrenched: Following the retrenchment of employees implemented by SAQA in May 2021 in line with section 189 of the Labour relations Act, 34, former staff members lodged a claim at the CCMA claiming unfair labour practice. As </w:t>
      </w:r>
      <w:r w:rsidR="00067E63" w:rsidRPr="00AF3755">
        <w:rPr>
          <w:rFonts w:ascii="Arial" w:hAnsi="Arial" w:cs="Arial"/>
          <w:sz w:val="20"/>
          <w:szCs w:val="20"/>
        </w:rPr>
        <w:t xml:space="preserve">of </w:t>
      </w:r>
      <w:r w:rsidRPr="00AF3755">
        <w:rPr>
          <w:rFonts w:ascii="Arial" w:hAnsi="Arial" w:cs="Arial"/>
          <w:sz w:val="20"/>
          <w:szCs w:val="20"/>
        </w:rPr>
        <w:t>the date of this annual report, the matter has not progressed following a referral from the CCMA to the Labour Court.</w:t>
      </w:r>
    </w:p>
    <w:p w:rsidR="00DA2983" w:rsidRPr="00AF3755" w:rsidRDefault="00DA2983" w:rsidP="00AF3755">
      <w:pPr>
        <w:pStyle w:val="ListParagraph"/>
        <w:spacing w:after="0" w:line="240" w:lineRule="auto"/>
        <w:ind w:left="0"/>
        <w:rPr>
          <w:rFonts w:ascii="Arial" w:hAnsi="Arial" w:cs="Arial"/>
          <w:b/>
          <w:sz w:val="20"/>
          <w:szCs w:val="20"/>
        </w:rPr>
      </w:pPr>
    </w:p>
    <w:p w:rsidR="0076413E" w:rsidRPr="00AF3755" w:rsidRDefault="0076413E"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Labour Court Case</w:t>
      </w:r>
    </w:p>
    <w:p w:rsidR="00BF4569" w:rsidRPr="00AF3755" w:rsidRDefault="00BF4569" w:rsidP="00AF3755">
      <w:pPr>
        <w:pStyle w:val="ListParagraph"/>
        <w:numPr>
          <w:ilvl w:val="0"/>
          <w:numId w:val="12"/>
        </w:numPr>
        <w:spacing w:after="0" w:line="240" w:lineRule="auto"/>
        <w:rPr>
          <w:rFonts w:ascii="Arial" w:hAnsi="Arial" w:cs="Arial"/>
          <w:sz w:val="20"/>
          <w:szCs w:val="20"/>
        </w:rPr>
      </w:pPr>
      <w:r w:rsidRPr="00AF3755">
        <w:rPr>
          <w:rFonts w:ascii="Arial" w:hAnsi="Arial" w:cs="Arial"/>
          <w:b/>
          <w:sz w:val="20"/>
          <w:szCs w:val="20"/>
        </w:rPr>
        <w:t>Matter 2:</w:t>
      </w:r>
      <w:r w:rsidRPr="00AF3755">
        <w:rPr>
          <w:rFonts w:ascii="Arial" w:hAnsi="Arial" w:cs="Arial"/>
          <w:sz w:val="20"/>
          <w:szCs w:val="20"/>
        </w:rPr>
        <w:t xml:space="preserve"> This relates to the former Manager of Client Services who was retrenched. The applicant is seeking 12 months’ salary plus 7 per cent interest.</w:t>
      </w:r>
    </w:p>
    <w:p w:rsidR="00BF4569" w:rsidRPr="00AF3755" w:rsidRDefault="00BF4569" w:rsidP="00AF3755">
      <w:pPr>
        <w:pStyle w:val="ListParagraph"/>
        <w:numPr>
          <w:ilvl w:val="0"/>
          <w:numId w:val="12"/>
        </w:numPr>
        <w:spacing w:after="0" w:line="240" w:lineRule="auto"/>
        <w:rPr>
          <w:rFonts w:ascii="Arial" w:hAnsi="Arial" w:cs="Arial"/>
          <w:sz w:val="20"/>
          <w:szCs w:val="20"/>
        </w:rPr>
      </w:pPr>
      <w:r w:rsidRPr="00AF3755">
        <w:rPr>
          <w:rFonts w:ascii="Arial" w:hAnsi="Arial" w:cs="Arial"/>
          <w:b/>
          <w:sz w:val="20"/>
          <w:szCs w:val="20"/>
        </w:rPr>
        <w:t>Matter 3:</w:t>
      </w:r>
      <w:r w:rsidRPr="00AF3755">
        <w:rPr>
          <w:rFonts w:ascii="Arial" w:hAnsi="Arial" w:cs="Arial"/>
          <w:sz w:val="20"/>
          <w:szCs w:val="20"/>
        </w:rPr>
        <w:t xml:space="preserve"> The applicant referred the matter to the labour court on 22 February 2022. The statement of defence was finalised and lodged in March 2022, and the estimated compensation is 12 months’ salary.</w:t>
      </w:r>
    </w:p>
    <w:p w:rsidR="007F69BD" w:rsidRPr="00AF3755" w:rsidRDefault="007F69BD" w:rsidP="00AF3755">
      <w:pPr>
        <w:pStyle w:val="ListParagraph"/>
        <w:spacing w:after="0" w:line="240" w:lineRule="auto"/>
        <w:ind w:left="0"/>
        <w:rPr>
          <w:rFonts w:ascii="Arial" w:hAnsi="Arial" w:cs="Arial"/>
          <w:sz w:val="20"/>
          <w:szCs w:val="20"/>
        </w:rPr>
      </w:pPr>
    </w:p>
    <w:p w:rsidR="009A75B5" w:rsidRPr="00AF3755" w:rsidRDefault="009A75B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2021/22 Audit outcomes</w:t>
      </w:r>
    </w:p>
    <w:p w:rsidR="001546E0" w:rsidRPr="00AF3755" w:rsidRDefault="00B85777"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SAQA obtained an unqualified audit opinion with findings for the 2021/22 </w:t>
      </w:r>
      <w:r w:rsidR="007B4588" w:rsidRPr="00AF3755">
        <w:rPr>
          <w:rFonts w:ascii="Arial" w:hAnsi="Arial" w:cs="Arial"/>
          <w:sz w:val="20"/>
          <w:szCs w:val="20"/>
        </w:rPr>
        <w:t xml:space="preserve">financial year, which is a regression from a clean audit in 2020/21. </w:t>
      </w:r>
    </w:p>
    <w:p w:rsidR="00E30C0A" w:rsidRPr="00AF3755" w:rsidRDefault="00E30C0A" w:rsidP="00AF3755">
      <w:pPr>
        <w:pStyle w:val="ListParagraph"/>
        <w:spacing w:after="0" w:line="240" w:lineRule="auto"/>
        <w:ind w:left="0"/>
        <w:rPr>
          <w:rFonts w:ascii="Arial" w:hAnsi="Arial" w:cs="Arial"/>
          <w:b/>
          <w:sz w:val="20"/>
          <w:szCs w:val="20"/>
        </w:rPr>
      </w:pPr>
    </w:p>
    <w:p w:rsidR="007B4588" w:rsidRPr="00AF3755" w:rsidRDefault="007B4588"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Audit findings</w:t>
      </w:r>
    </w:p>
    <w:p w:rsidR="007B4588" w:rsidRPr="00AF3755" w:rsidRDefault="00A32706" w:rsidP="00AF3755">
      <w:pPr>
        <w:pStyle w:val="ListParagraph"/>
        <w:numPr>
          <w:ilvl w:val="0"/>
          <w:numId w:val="13"/>
        </w:numPr>
        <w:spacing w:after="0" w:line="240" w:lineRule="auto"/>
        <w:ind w:left="357" w:hanging="357"/>
        <w:rPr>
          <w:rFonts w:ascii="Arial" w:hAnsi="Arial" w:cs="Arial"/>
          <w:w w:val="105"/>
          <w:sz w:val="20"/>
          <w:szCs w:val="20"/>
          <w:lang w:val="en-US"/>
        </w:rPr>
      </w:pPr>
      <w:r w:rsidRPr="00AF3755">
        <w:rPr>
          <w:rFonts w:ascii="Arial" w:hAnsi="Arial" w:cs="Arial"/>
          <w:b/>
          <w:sz w:val="20"/>
          <w:szCs w:val="20"/>
        </w:rPr>
        <w:t>Annual Financial Statements</w:t>
      </w:r>
      <w:r w:rsidR="00E30C0A" w:rsidRPr="00AF3755">
        <w:rPr>
          <w:rFonts w:ascii="Arial" w:hAnsi="Arial" w:cs="Arial"/>
          <w:b/>
          <w:sz w:val="20"/>
          <w:szCs w:val="20"/>
        </w:rPr>
        <w:t xml:space="preserve">: </w:t>
      </w:r>
      <w:r w:rsidR="007B4588" w:rsidRPr="00AF3755">
        <w:rPr>
          <w:rFonts w:ascii="Arial" w:hAnsi="Arial" w:cs="Arial"/>
          <w:w w:val="105"/>
          <w:sz w:val="20"/>
          <w:szCs w:val="20"/>
          <w:lang w:val="en-US"/>
        </w:rPr>
        <w:t>The AG noted that the financial statements were not fully prepared in accordance with the prescribed financial reporting framework, as required by section 55(1) of the PFMA. Material misstatements of segment reporting and cash flow statements identified by the auditors in the submitted financial statement were corrected, resulting in the financial statements receiving an unqualified audit opinion.</w:t>
      </w:r>
    </w:p>
    <w:p w:rsidR="007B4588" w:rsidRPr="00AF3755" w:rsidRDefault="007B4588" w:rsidP="00AF3755">
      <w:pPr>
        <w:pStyle w:val="ListParagraph"/>
        <w:numPr>
          <w:ilvl w:val="0"/>
          <w:numId w:val="14"/>
        </w:numPr>
        <w:spacing w:after="0" w:line="240" w:lineRule="auto"/>
        <w:rPr>
          <w:rFonts w:ascii="Arial" w:hAnsi="Arial" w:cs="Arial"/>
          <w:w w:val="105"/>
          <w:sz w:val="20"/>
          <w:szCs w:val="20"/>
          <w:lang w:val="en-US"/>
        </w:rPr>
      </w:pPr>
      <w:r w:rsidRPr="00AF3755">
        <w:rPr>
          <w:rFonts w:ascii="Arial" w:hAnsi="Arial" w:cs="Arial"/>
          <w:b/>
          <w:w w:val="105"/>
          <w:sz w:val="20"/>
          <w:szCs w:val="20"/>
          <w:lang w:val="en-US"/>
        </w:rPr>
        <w:t>Internal control deficiencies</w:t>
      </w:r>
      <w:r w:rsidR="00E30C0A" w:rsidRPr="00AF3755">
        <w:rPr>
          <w:rFonts w:ascii="Arial" w:hAnsi="Arial" w:cs="Arial"/>
          <w:b/>
          <w:w w:val="105"/>
          <w:sz w:val="20"/>
          <w:szCs w:val="20"/>
          <w:lang w:val="en-US"/>
        </w:rPr>
        <w:t xml:space="preserve">: </w:t>
      </w:r>
      <w:r w:rsidRPr="00AF3755">
        <w:rPr>
          <w:rFonts w:ascii="Arial" w:hAnsi="Arial" w:cs="Arial"/>
          <w:w w:val="105"/>
          <w:sz w:val="20"/>
          <w:szCs w:val="20"/>
          <w:lang w:val="en-US"/>
        </w:rPr>
        <w:t>The AG noted the following</w:t>
      </w:r>
      <w:r w:rsidR="00ED3C2D" w:rsidRPr="00AF3755">
        <w:rPr>
          <w:rFonts w:ascii="Arial" w:hAnsi="Arial" w:cs="Arial"/>
          <w:w w:val="105"/>
          <w:sz w:val="20"/>
          <w:szCs w:val="20"/>
          <w:lang w:val="en-US"/>
        </w:rPr>
        <w:t>:</w:t>
      </w:r>
    </w:p>
    <w:p w:rsidR="007B4588" w:rsidRPr="00AF3755" w:rsidRDefault="007B4588" w:rsidP="00AF3755">
      <w:pPr>
        <w:pStyle w:val="ListParagraph"/>
        <w:numPr>
          <w:ilvl w:val="1"/>
          <w:numId w:val="14"/>
        </w:numPr>
        <w:spacing w:after="0" w:line="240" w:lineRule="auto"/>
        <w:rPr>
          <w:rFonts w:ascii="Arial" w:hAnsi="Arial" w:cs="Arial"/>
          <w:w w:val="105"/>
          <w:sz w:val="20"/>
          <w:szCs w:val="20"/>
          <w:lang w:val="en-US"/>
        </w:rPr>
      </w:pPr>
      <w:r w:rsidRPr="00AF3755">
        <w:rPr>
          <w:rFonts w:ascii="Arial" w:hAnsi="Arial" w:cs="Arial"/>
          <w:w w:val="105"/>
          <w:sz w:val="20"/>
          <w:szCs w:val="20"/>
          <w:lang w:val="en-US"/>
        </w:rPr>
        <w:t>Management did not ensure that an appropriate level of monitoring was established over the compilation of financial statements</w:t>
      </w:r>
      <w:r w:rsidR="0049714D" w:rsidRPr="00AF3755">
        <w:rPr>
          <w:rFonts w:ascii="Arial" w:hAnsi="Arial" w:cs="Arial"/>
          <w:w w:val="105"/>
          <w:sz w:val="20"/>
          <w:szCs w:val="20"/>
          <w:lang w:val="en-US"/>
        </w:rPr>
        <w:t>,</w:t>
      </w:r>
      <w:r w:rsidRPr="00AF3755">
        <w:rPr>
          <w:rFonts w:ascii="Arial" w:hAnsi="Arial" w:cs="Arial"/>
          <w:w w:val="105"/>
          <w:sz w:val="20"/>
          <w:szCs w:val="20"/>
          <w:lang w:val="en-US"/>
        </w:rPr>
        <w:t xml:space="preserve"> which could have prevented a number of material findings;</w:t>
      </w:r>
    </w:p>
    <w:p w:rsidR="007B4588" w:rsidRPr="00AF3755" w:rsidRDefault="007B4588" w:rsidP="00AF3755">
      <w:pPr>
        <w:pStyle w:val="ListParagraph"/>
        <w:numPr>
          <w:ilvl w:val="1"/>
          <w:numId w:val="14"/>
        </w:numPr>
        <w:spacing w:after="0" w:line="240" w:lineRule="auto"/>
        <w:rPr>
          <w:rFonts w:ascii="Arial" w:hAnsi="Arial" w:cs="Arial"/>
          <w:w w:val="105"/>
          <w:sz w:val="20"/>
          <w:szCs w:val="20"/>
          <w:lang w:val="en-US"/>
        </w:rPr>
      </w:pPr>
      <w:r w:rsidRPr="00AF3755">
        <w:rPr>
          <w:rFonts w:ascii="Arial" w:hAnsi="Arial" w:cs="Arial"/>
          <w:w w:val="105"/>
          <w:sz w:val="20"/>
          <w:szCs w:val="20"/>
          <w:lang w:val="en-US"/>
        </w:rPr>
        <w:t>Management did not ensure sufficient controls were in place to prepare adequate and complete financial statements that are supported and evidenced by complete and accurate information; and</w:t>
      </w:r>
    </w:p>
    <w:p w:rsidR="00ED3C2D" w:rsidRPr="00AF3755" w:rsidRDefault="007B4588" w:rsidP="00AF3755">
      <w:pPr>
        <w:pStyle w:val="ListParagraph"/>
        <w:numPr>
          <w:ilvl w:val="1"/>
          <w:numId w:val="14"/>
        </w:numPr>
        <w:spacing w:after="0" w:line="240" w:lineRule="auto"/>
        <w:rPr>
          <w:rFonts w:ascii="Arial" w:hAnsi="Arial" w:cs="Arial"/>
          <w:w w:val="105"/>
          <w:sz w:val="20"/>
          <w:szCs w:val="20"/>
          <w:lang w:val="en-US"/>
        </w:rPr>
      </w:pPr>
      <w:r w:rsidRPr="00AF3755">
        <w:rPr>
          <w:rFonts w:ascii="Arial" w:hAnsi="Arial" w:cs="Arial"/>
          <w:w w:val="105"/>
          <w:sz w:val="20"/>
          <w:szCs w:val="20"/>
          <w:lang w:val="en-US"/>
        </w:rPr>
        <w:t xml:space="preserve">Management did not implement proper record keeping in a timely manner to ensure that complete, relevant and accurate information is accessible and available to support the financial statements. </w:t>
      </w:r>
    </w:p>
    <w:p w:rsidR="00DB485D" w:rsidRPr="00AF3755" w:rsidRDefault="00DB485D" w:rsidP="00AF3755">
      <w:pPr>
        <w:spacing w:after="0" w:line="240" w:lineRule="auto"/>
        <w:rPr>
          <w:rFonts w:ascii="Arial" w:hAnsi="Arial" w:cs="Arial"/>
          <w:w w:val="105"/>
          <w:sz w:val="20"/>
          <w:szCs w:val="20"/>
          <w:lang w:val="en-US"/>
        </w:rPr>
      </w:pPr>
    </w:p>
    <w:p w:rsidR="00DB485D" w:rsidRPr="00AF3755" w:rsidRDefault="00DB485D" w:rsidP="00AF3755">
      <w:pPr>
        <w:spacing w:after="0" w:line="240" w:lineRule="auto"/>
        <w:rPr>
          <w:rFonts w:ascii="Arial" w:hAnsi="Arial" w:cs="Arial"/>
          <w:w w:val="105"/>
          <w:sz w:val="20"/>
          <w:szCs w:val="20"/>
          <w:lang w:val="en-US"/>
        </w:rPr>
      </w:pPr>
    </w:p>
    <w:p w:rsidR="009A75B5" w:rsidRPr="00AF3755" w:rsidRDefault="009A75B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Future outlook</w:t>
      </w:r>
    </w:p>
    <w:p w:rsidR="009A75B5" w:rsidRPr="00AF3755" w:rsidRDefault="00956146" w:rsidP="00AF3755">
      <w:pPr>
        <w:pStyle w:val="ListParagraph"/>
        <w:spacing w:after="0" w:line="240" w:lineRule="auto"/>
        <w:ind w:left="0"/>
        <w:rPr>
          <w:rFonts w:ascii="Arial" w:hAnsi="Arial" w:cs="Arial"/>
          <w:sz w:val="20"/>
          <w:szCs w:val="20"/>
        </w:rPr>
      </w:pPr>
      <w:r w:rsidRPr="00AF3755">
        <w:rPr>
          <w:rFonts w:ascii="Arial" w:hAnsi="Arial" w:cs="Arial"/>
          <w:sz w:val="20"/>
          <w:szCs w:val="20"/>
        </w:rPr>
        <w:t>SAQA reported that in line with the MTEF Budget Guidelines, it has sufficient budget for the next financial year that is made of Government Grant</w:t>
      </w:r>
      <w:r w:rsidR="00067E63" w:rsidRPr="00AF3755">
        <w:rPr>
          <w:rFonts w:ascii="Arial" w:hAnsi="Arial" w:cs="Arial"/>
          <w:sz w:val="20"/>
          <w:szCs w:val="20"/>
        </w:rPr>
        <w:t>s</w:t>
      </w:r>
      <w:r w:rsidRPr="00AF3755">
        <w:rPr>
          <w:rFonts w:ascii="Arial" w:hAnsi="Arial" w:cs="Arial"/>
          <w:sz w:val="20"/>
          <w:szCs w:val="20"/>
        </w:rPr>
        <w:t xml:space="preserve"> as well as its own generated revenue. </w:t>
      </w:r>
      <w:r w:rsidR="00F26D8D" w:rsidRPr="00AF3755">
        <w:rPr>
          <w:rFonts w:ascii="Arial" w:hAnsi="Arial" w:cs="Arial"/>
          <w:sz w:val="20"/>
          <w:szCs w:val="20"/>
        </w:rPr>
        <w:t>The entity receives only 70 per cent of its funds from the fiscus and that compels it to generate revenue, which is always volatile and affected by both its mandate and its capacity to deliver.</w:t>
      </w:r>
    </w:p>
    <w:p w:rsidR="00956146" w:rsidRPr="00AF3755" w:rsidRDefault="00956146" w:rsidP="00AF3755">
      <w:pPr>
        <w:pStyle w:val="ListParagraph"/>
        <w:spacing w:after="0" w:line="240" w:lineRule="auto"/>
        <w:ind w:left="0"/>
        <w:rPr>
          <w:rFonts w:ascii="Arial" w:hAnsi="Arial" w:cs="Arial"/>
          <w:sz w:val="20"/>
          <w:szCs w:val="20"/>
        </w:rPr>
      </w:pPr>
    </w:p>
    <w:p w:rsidR="009A75B5" w:rsidRPr="00AF3755" w:rsidRDefault="009A75B5"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Council on Higher Education (CHE)</w:t>
      </w:r>
    </w:p>
    <w:p w:rsidR="00AC79B1" w:rsidRPr="00AF3755" w:rsidRDefault="001F13ED"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sz w:val="20"/>
          <w:szCs w:val="20"/>
        </w:rPr>
        <w:lastRenderedPageBreak/>
        <w:t xml:space="preserve">The CHE is an independent statutory body established in terms of the Higher Education Act, 1997 (Act No.101 of 1997, as amended). </w:t>
      </w:r>
      <w:r w:rsidR="000F73A7" w:rsidRPr="00AF3755">
        <w:rPr>
          <w:rFonts w:ascii="Arial" w:hAnsi="Arial" w:cs="Arial"/>
          <w:sz w:val="20"/>
          <w:szCs w:val="20"/>
        </w:rPr>
        <w:t xml:space="preserve">It derives its mandate from </w:t>
      </w:r>
      <w:r w:rsidR="000F73A7" w:rsidRPr="00AF3755">
        <w:rPr>
          <w:rFonts w:ascii="Arial" w:hAnsi="Arial" w:cs="Arial"/>
          <w:color w:val="000000" w:themeColor="text1"/>
          <w:sz w:val="20"/>
          <w:szCs w:val="20"/>
        </w:rPr>
        <w:t xml:space="preserve">the Higher Education Act, 1997 (Act No. 101 as amended) and the National Qualifications Framework Act, 2008 (Act No. 67 of 2008 as amended). </w:t>
      </w:r>
    </w:p>
    <w:p w:rsidR="00AC79B1" w:rsidRPr="00AF3755" w:rsidRDefault="00AC79B1" w:rsidP="00AF3755">
      <w:pPr>
        <w:pStyle w:val="ListParagraph"/>
        <w:spacing w:after="0" w:line="240" w:lineRule="auto"/>
        <w:ind w:left="0"/>
        <w:rPr>
          <w:rFonts w:ascii="Arial" w:hAnsi="Arial" w:cs="Arial"/>
          <w:color w:val="000000" w:themeColor="text1"/>
          <w:sz w:val="20"/>
          <w:szCs w:val="20"/>
        </w:rPr>
      </w:pPr>
    </w:p>
    <w:p w:rsidR="000F73A7" w:rsidRPr="00AF3755" w:rsidRDefault="000F73A7"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In terms of its mandate as per the two primary legislation, the CHE is responsible for the following:</w:t>
      </w:r>
    </w:p>
    <w:p w:rsidR="000F73A7" w:rsidRPr="00AF3755" w:rsidRDefault="000F73A7" w:rsidP="00AF3755">
      <w:pPr>
        <w:numPr>
          <w:ilvl w:val="0"/>
          <w:numId w:val="15"/>
        </w:numPr>
        <w:pBdr>
          <w:left w:val="none" w:sz="0" w:space="1" w:color="auto"/>
        </w:pBd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Advising the Minister of Higher Education and Training on all higher education matters upon request and at its own initiative;</w:t>
      </w:r>
    </w:p>
    <w:p w:rsidR="000F73A7" w:rsidRPr="00AF3755" w:rsidRDefault="000F73A7" w:rsidP="00AF3755">
      <w:pPr>
        <w:numPr>
          <w:ilvl w:val="0"/>
          <w:numId w:val="15"/>
        </w:numPr>
        <w:pBdr>
          <w:left w:val="none" w:sz="0" w:space="1" w:color="auto"/>
        </w:pBd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 xml:space="preserve">Promoting quality and quality assurance in higher education through its permanent sub-committee, the Higher Education Quality Committee (HEQC), including auditing the quality assurance mechanisms and accrediting programmes offered by higher education institutions; </w:t>
      </w:r>
    </w:p>
    <w:p w:rsidR="000F73A7" w:rsidRPr="00AF3755" w:rsidRDefault="000F73A7" w:rsidP="00AF3755">
      <w:pPr>
        <w:numPr>
          <w:ilvl w:val="0"/>
          <w:numId w:val="15"/>
        </w:numPr>
        <w:pBdr>
          <w:left w:val="none" w:sz="0" w:space="1" w:color="auto"/>
        </w:pBd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Monitoring the state of higher education and publishing information regarding developments in higher education regularly, including arranging and co-ordinating conferences on higher education issues;</w:t>
      </w:r>
    </w:p>
    <w:p w:rsidR="005F3308" w:rsidRPr="00AF3755" w:rsidRDefault="000F73A7" w:rsidP="00AF3755">
      <w:pPr>
        <w:numPr>
          <w:ilvl w:val="0"/>
          <w:numId w:val="15"/>
        </w:numPr>
        <w:pBdr>
          <w:left w:val="none" w:sz="0" w:space="1" w:color="auto"/>
        </w:pBd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 xml:space="preserve">Developing and managing the qualification sub-framework for higher education, namely, the Higher Education Qualifications Sub-Framework (HEQSF), including the development of qualifications that are necessary for the higher education sector; </w:t>
      </w:r>
    </w:p>
    <w:p w:rsidR="005F3308" w:rsidRPr="00AF3755" w:rsidRDefault="005F3308" w:rsidP="00AF3755">
      <w:pPr>
        <w:numPr>
          <w:ilvl w:val="0"/>
          <w:numId w:val="15"/>
        </w:numPr>
        <w:pBdr>
          <w:left w:val="none" w:sz="0" w:space="1" w:color="auto"/>
        </w:pBd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Recommending higher education qualifications to SAQA for registration on the NQF;</w:t>
      </w:r>
    </w:p>
    <w:p w:rsidR="000F73A7" w:rsidRPr="00AF3755" w:rsidRDefault="005F3308" w:rsidP="00AF3755">
      <w:pPr>
        <w:numPr>
          <w:ilvl w:val="0"/>
          <w:numId w:val="15"/>
        </w:numPr>
        <w:pBdr>
          <w:left w:val="none" w:sz="0" w:space="1" w:color="auto"/>
        </w:pBd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 xml:space="preserve">Maintaining a database of learners’ achievements and submitting the data for recording on the NLRD; </w:t>
      </w:r>
      <w:r w:rsidR="000F73A7" w:rsidRPr="00AF3755">
        <w:rPr>
          <w:rFonts w:ascii="Arial" w:hAnsi="Arial" w:cs="Arial"/>
          <w:color w:val="000000" w:themeColor="text1"/>
          <w:sz w:val="20"/>
          <w:szCs w:val="20"/>
        </w:rPr>
        <w:t>and</w:t>
      </w:r>
    </w:p>
    <w:p w:rsidR="000F73A7" w:rsidRPr="00AF3755" w:rsidRDefault="000F73A7" w:rsidP="00AF3755">
      <w:pPr>
        <w:numPr>
          <w:ilvl w:val="0"/>
          <w:numId w:val="15"/>
        </w:numPr>
        <w:pBdr>
          <w:left w:val="none" w:sz="0" w:space="1" w:color="auto"/>
        </w:pBdr>
        <w:spacing w:after="0" w:line="240" w:lineRule="auto"/>
        <w:rPr>
          <w:rFonts w:ascii="Arial" w:eastAsia="serif" w:hAnsi="Arial" w:cs="Arial"/>
          <w:color w:val="000000" w:themeColor="text1"/>
          <w:sz w:val="20"/>
          <w:szCs w:val="20"/>
        </w:rPr>
      </w:pPr>
      <w:r w:rsidRPr="00AF3755">
        <w:rPr>
          <w:rFonts w:ascii="Arial" w:hAnsi="Arial" w:cs="Arial"/>
          <w:color w:val="000000" w:themeColor="text1"/>
          <w:sz w:val="20"/>
          <w:szCs w:val="20"/>
        </w:rPr>
        <w:t>Advising the Minister of Higher Education and Training on matters relating to the HEQSF.</w:t>
      </w:r>
    </w:p>
    <w:p w:rsidR="000F73A7" w:rsidRPr="00AF3755" w:rsidRDefault="000F73A7" w:rsidP="00AF3755">
      <w:pPr>
        <w:spacing w:after="0" w:line="240" w:lineRule="auto"/>
        <w:rPr>
          <w:rFonts w:ascii="Arial" w:hAnsi="Arial" w:cs="Arial"/>
          <w:color w:val="000000" w:themeColor="text1"/>
          <w:sz w:val="20"/>
          <w:szCs w:val="20"/>
        </w:rPr>
      </w:pPr>
    </w:p>
    <w:p w:rsidR="000F73A7" w:rsidRPr="00AF3755" w:rsidRDefault="000F73A7" w:rsidP="00AF3755">
      <w:p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mandate is further premised on key policies; namely the National Development Plan: Vision 2030, the White Paper for Post-School Education and Training, the National Plan for Higher Education, and the Medium-Term Strategic Framework 2019 – 2024: Priority 3: Education, Skills and Health, amongst others.</w:t>
      </w:r>
    </w:p>
    <w:p w:rsidR="000F73A7" w:rsidRPr="00AF3755" w:rsidRDefault="000F73A7" w:rsidP="00AF3755">
      <w:pPr>
        <w:pStyle w:val="ListParagraph"/>
        <w:spacing w:after="0" w:line="240" w:lineRule="auto"/>
        <w:ind w:left="0"/>
        <w:rPr>
          <w:rFonts w:ascii="Arial" w:hAnsi="Arial" w:cs="Arial"/>
          <w:sz w:val="20"/>
          <w:szCs w:val="20"/>
        </w:rPr>
      </w:pPr>
    </w:p>
    <w:p w:rsidR="009A75B5" w:rsidRPr="00AF3755" w:rsidRDefault="009A75B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the CHE’s 2021/22 non-financial performance</w:t>
      </w:r>
    </w:p>
    <w:p w:rsidR="00735D75" w:rsidRPr="00AF3755" w:rsidRDefault="00C4560B" w:rsidP="00AF3755">
      <w:pPr>
        <w:pStyle w:val="ListParagraph"/>
        <w:spacing w:after="0" w:line="240" w:lineRule="auto"/>
        <w:ind w:left="0"/>
        <w:rPr>
          <w:rFonts w:ascii="Arial" w:hAnsi="Arial" w:cs="Arial"/>
          <w:sz w:val="20"/>
          <w:szCs w:val="20"/>
        </w:rPr>
      </w:pPr>
      <w:r w:rsidRPr="00AF3755">
        <w:rPr>
          <w:rFonts w:ascii="Arial" w:hAnsi="Arial" w:cs="Arial"/>
          <w:sz w:val="20"/>
          <w:szCs w:val="20"/>
        </w:rPr>
        <w:t>During the 2021/22 financial year, the CHE had a total of 50 planned targets</w:t>
      </w:r>
      <w:r w:rsidR="00BD129E" w:rsidRPr="00AF3755">
        <w:rPr>
          <w:rFonts w:ascii="Arial" w:hAnsi="Arial" w:cs="Arial"/>
          <w:sz w:val="20"/>
          <w:szCs w:val="20"/>
        </w:rPr>
        <w:t>, which were shared across the four budget programmes, namely; Management of the Higher Education Qualifications Sub-Framework (HEQSF), Quality Assurance, Research, Monitoring and Advice and Corporate</w:t>
      </w:r>
      <w:r w:rsidRPr="00AF3755">
        <w:rPr>
          <w:rFonts w:ascii="Arial" w:hAnsi="Arial" w:cs="Arial"/>
          <w:sz w:val="20"/>
          <w:szCs w:val="20"/>
        </w:rPr>
        <w:t>. The CHE achieved 48 or 96 per cent of the 50</w:t>
      </w:r>
      <w:r w:rsidR="003D5456" w:rsidRPr="00AF3755">
        <w:rPr>
          <w:rFonts w:ascii="Arial" w:hAnsi="Arial" w:cs="Arial"/>
          <w:sz w:val="20"/>
          <w:szCs w:val="20"/>
        </w:rPr>
        <w:t xml:space="preserve"> targets, which is </w:t>
      </w:r>
      <w:r w:rsidR="00067E63" w:rsidRPr="00AF3755">
        <w:rPr>
          <w:rFonts w:ascii="Arial" w:hAnsi="Arial" w:cs="Arial"/>
          <w:sz w:val="20"/>
          <w:szCs w:val="20"/>
        </w:rPr>
        <w:t xml:space="preserve">a </w:t>
      </w:r>
      <w:r w:rsidR="0063320E" w:rsidRPr="00AF3755">
        <w:rPr>
          <w:rFonts w:ascii="Arial" w:hAnsi="Arial" w:cs="Arial"/>
          <w:sz w:val="20"/>
          <w:szCs w:val="20"/>
        </w:rPr>
        <w:t>significant improvement</w:t>
      </w:r>
      <w:r w:rsidR="003D5456" w:rsidRPr="00AF3755">
        <w:rPr>
          <w:rFonts w:ascii="Arial" w:hAnsi="Arial" w:cs="Arial"/>
          <w:sz w:val="20"/>
          <w:szCs w:val="20"/>
        </w:rPr>
        <w:t xml:space="preserve"> of 19.5 per cent from the 76.5 per cent achieved in 2020/21. </w:t>
      </w:r>
    </w:p>
    <w:p w:rsidR="008A32CA" w:rsidRPr="00AF3755" w:rsidRDefault="008A32CA" w:rsidP="00AF3755">
      <w:pPr>
        <w:pStyle w:val="ListParagraph"/>
        <w:spacing w:after="0" w:line="240" w:lineRule="auto"/>
        <w:ind w:left="0"/>
        <w:rPr>
          <w:rFonts w:ascii="Arial" w:hAnsi="Arial" w:cs="Arial"/>
          <w:sz w:val="20"/>
          <w:szCs w:val="20"/>
        </w:rPr>
      </w:pPr>
    </w:p>
    <w:p w:rsidR="00CD280B" w:rsidRPr="00AF3755" w:rsidRDefault="008A32CA" w:rsidP="00AF3755">
      <w:pPr>
        <w:pStyle w:val="ListParagraph"/>
        <w:spacing w:after="0" w:line="240" w:lineRule="auto"/>
        <w:ind w:left="0"/>
        <w:rPr>
          <w:rFonts w:ascii="Arial" w:hAnsi="Arial" w:cs="Arial"/>
          <w:sz w:val="20"/>
          <w:szCs w:val="20"/>
        </w:rPr>
      </w:pPr>
      <w:r w:rsidRPr="00AF3755">
        <w:rPr>
          <w:rFonts w:ascii="Arial" w:hAnsi="Arial" w:cs="Arial"/>
          <w:sz w:val="20"/>
          <w:szCs w:val="20"/>
        </w:rPr>
        <w:t>Summary of programme performance for the 2021/22 financial year is illustrated in Table: 5 below.</w:t>
      </w:r>
    </w:p>
    <w:p w:rsidR="00891CD8" w:rsidRPr="00AF3755" w:rsidRDefault="00891CD8" w:rsidP="00AF3755">
      <w:pPr>
        <w:pStyle w:val="ListParagraph"/>
        <w:spacing w:after="0" w:line="240" w:lineRule="auto"/>
        <w:ind w:left="0"/>
        <w:rPr>
          <w:rFonts w:ascii="Arial" w:hAnsi="Arial" w:cs="Arial"/>
          <w:b/>
          <w:sz w:val="20"/>
          <w:szCs w:val="20"/>
        </w:rPr>
      </w:pPr>
      <w:r w:rsidRPr="00AF3755">
        <w:rPr>
          <w:rFonts w:ascii="Arial" w:hAnsi="Arial" w:cs="Arial"/>
          <w:b/>
          <w:sz w:val="20"/>
          <w:szCs w:val="20"/>
        </w:rPr>
        <w:t>Table 6: The CHE’s Programmes, with their related achievement against performance targets for the 2021/22 financial year</w:t>
      </w:r>
    </w:p>
    <w:tbl>
      <w:tblPr>
        <w:tblW w:w="9042" w:type="dxa"/>
        <w:tblInd w:w="-5" w:type="dxa"/>
        <w:tblLook w:val="04A0"/>
      </w:tblPr>
      <w:tblGrid>
        <w:gridCol w:w="3828"/>
        <w:gridCol w:w="1275"/>
        <w:gridCol w:w="1195"/>
        <w:gridCol w:w="1158"/>
        <w:gridCol w:w="1586"/>
      </w:tblGrid>
      <w:tr w:rsidR="00891CD8" w:rsidRPr="00AF3755" w:rsidTr="00891CD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Programme</w:t>
            </w:r>
          </w:p>
        </w:tc>
        <w:tc>
          <w:tcPr>
            <w:tcW w:w="1275" w:type="dxa"/>
            <w:tcBorders>
              <w:top w:val="single" w:sz="4" w:space="0" w:color="auto"/>
              <w:left w:val="nil"/>
              <w:bottom w:val="single" w:sz="4" w:space="0" w:color="auto"/>
              <w:right w:val="single" w:sz="4" w:space="0" w:color="auto"/>
            </w:tcBorders>
            <w:shd w:val="clear" w:color="auto" w:fill="D5DCE4" w:themeFill="text2" w:themeFillTint="33"/>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APP Targets 2021/22</w:t>
            </w:r>
          </w:p>
        </w:tc>
        <w:tc>
          <w:tcPr>
            <w:tcW w:w="1195" w:type="dxa"/>
            <w:tcBorders>
              <w:top w:val="single" w:sz="4" w:space="0" w:color="auto"/>
              <w:left w:val="nil"/>
              <w:bottom w:val="single" w:sz="4" w:space="0" w:color="auto"/>
              <w:right w:val="single" w:sz="4" w:space="0" w:color="auto"/>
            </w:tcBorders>
            <w:shd w:val="clear" w:color="auto" w:fill="D5DCE4" w:themeFill="text2" w:themeFillTint="33"/>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Achieved</w:t>
            </w:r>
          </w:p>
        </w:tc>
        <w:tc>
          <w:tcPr>
            <w:tcW w:w="1158" w:type="dxa"/>
            <w:tcBorders>
              <w:top w:val="single" w:sz="4" w:space="0" w:color="auto"/>
              <w:left w:val="nil"/>
              <w:bottom w:val="single" w:sz="4" w:space="0" w:color="auto"/>
              <w:right w:val="single" w:sz="4" w:space="0" w:color="auto"/>
            </w:tcBorders>
            <w:shd w:val="clear" w:color="auto" w:fill="D5DCE4" w:themeFill="text2" w:themeFillTint="33"/>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Not achieved</w:t>
            </w:r>
          </w:p>
        </w:tc>
        <w:tc>
          <w:tcPr>
            <w:tcW w:w="1586" w:type="dxa"/>
            <w:tcBorders>
              <w:top w:val="single" w:sz="4" w:space="0" w:color="auto"/>
              <w:left w:val="nil"/>
              <w:bottom w:val="single" w:sz="4" w:space="0" w:color="auto"/>
              <w:right w:val="single" w:sz="4" w:space="0" w:color="auto"/>
            </w:tcBorders>
            <w:shd w:val="clear" w:color="auto" w:fill="D5DCE4" w:themeFill="text2" w:themeFillTint="33"/>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 Achievement</w:t>
            </w:r>
          </w:p>
        </w:tc>
      </w:tr>
      <w:tr w:rsidR="00891CD8" w:rsidRPr="00AF3755" w:rsidTr="000A6D1F">
        <w:trPr>
          <w:trHeight w:val="285"/>
        </w:trPr>
        <w:tc>
          <w:tcPr>
            <w:tcW w:w="3828" w:type="dxa"/>
            <w:tcBorders>
              <w:top w:val="nil"/>
              <w:left w:val="single" w:sz="4" w:space="0" w:color="auto"/>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1. Management of the HEQSF</w:t>
            </w:r>
          </w:p>
        </w:tc>
        <w:tc>
          <w:tcPr>
            <w:tcW w:w="1275" w:type="dxa"/>
            <w:tcBorders>
              <w:top w:val="nil"/>
              <w:left w:val="nil"/>
              <w:bottom w:val="single" w:sz="4" w:space="0" w:color="auto"/>
              <w:right w:val="single" w:sz="4" w:space="0" w:color="auto"/>
            </w:tcBorders>
            <w:shd w:val="clear" w:color="auto" w:fill="auto"/>
            <w:noWrap/>
            <w:vAlign w:val="bottom"/>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16</w:t>
            </w:r>
          </w:p>
        </w:tc>
        <w:tc>
          <w:tcPr>
            <w:tcW w:w="1195"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15</w:t>
            </w:r>
          </w:p>
        </w:tc>
        <w:tc>
          <w:tcPr>
            <w:tcW w:w="1158"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1</w:t>
            </w:r>
          </w:p>
        </w:tc>
        <w:tc>
          <w:tcPr>
            <w:tcW w:w="1586"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93.8%</w:t>
            </w:r>
          </w:p>
        </w:tc>
      </w:tr>
      <w:tr w:rsidR="00891CD8" w:rsidRPr="00AF3755" w:rsidTr="000A6D1F">
        <w:trPr>
          <w:trHeight w:val="285"/>
        </w:trPr>
        <w:tc>
          <w:tcPr>
            <w:tcW w:w="3828" w:type="dxa"/>
            <w:tcBorders>
              <w:top w:val="nil"/>
              <w:left w:val="single" w:sz="4" w:space="0" w:color="auto"/>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2. Quality Assurance</w:t>
            </w:r>
          </w:p>
        </w:tc>
        <w:tc>
          <w:tcPr>
            <w:tcW w:w="1275" w:type="dxa"/>
            <w:tcBorders>
              <w:top w:val="nil"/>
              <w:left w:val="nil"/>
              <w:bottom w:val="single" w:sz="4" w:space="0" w:color="auto"/>
              <w:right w:val="single" w:sz="4" w:space="0" w:color="auto"/>
            </w:tcBorders>
            <w:shd w:val="clear" w:color="auto" w:fill="auto"/>
            <w:noWrap/>
            <w:vAlign w:val="bottom"/>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10</w:t>
            </w:r>
          </w:p>
        </w:tc>
        <w:tc>
          <w:tcPr>
            <w:tcW w:w="1195"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10</w:t>
            </w:r>
          </w:p>
        </w:tc>
        <w:tc>
          <w:tcPr>
            <w:tcW w:w="1158"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0</w:t>
            </w:r>
          </w:p>
        </w:tc>
        <w:tc>
          <w:tcPr>
            <w:tcW w:w="1586"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100.0%</w:t>
            </w:r>
          </w:p>
        </w:tc>
      </w:tr>
      <w:tr w:rsidR="00891CD8" w:rsidRPr="00AF3755" w:rsidTr="000A6D1F">
        <w:trPr>
          <w:trHeight w:val="285"/>
        </w:trPr>
        <w:tc>
          <w:tcPr>
            <w:tcW w:w="3828" w:type="dxa"/>
            <w:tcBorders>
              <w:top w:val="nil"/>
              <w:left w:val="single" w:sz="4" w:space="0" w:color="auto"/>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3. Research, Monitoring and Advice</w:t>
            </w:r>
          </w:p>
        </w:tc>
        <w:tc>
          <w:tcPr>
            <w:tcW w:w="1275" w:type="dxa"/>
            <w:tcBorders>
              <w:top w:val="nil"/>
              <w:left w:val="nil"/>
              <w:bottom w:val="single" w:sz="4" w:space="0" w:color="auto"/>
              <w:right w:val="single" w:sz="4" w:space="0" w:color="auto"/>
            </w:tcBorders>
            <w:shd w:val="clear" w:color="auto" w:fill="auto"/>
            <w:noWrap/>
            <w:vAlign w:val="bottom"/>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9</w:t>
            </w:r>
          </w:p>
        </w:tc>
        <w:tc>
          <w:tcPr>
            <w:tcW w:w="1195"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9</w:t>
            </w:r>
          </w:p>
        </w:tc>
        <w:tc>
          <w:tcPr>
            <w:tcW w:w="1158"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0</w:t>
            </w:r>
          </w:p>
        </w:tc>
        <w:tc>
          <w:tcPr>
            <w:tcW w:w="1586"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eastAsia="Times New Roman" w:hAnsi="Arial" w:cs="Arial"/>
                <w:color w:val="000000"/>
                <w:sz w:val="20"/>
                <w:szCs w:val="20"/>
                <w:lang w:eastAsia="en-ZA"/>
              </w:rPr>
            </w:pPr>
            <w:r w:rsidRPr="00AF3755">
              <w:rPr>
                <w:rFonts w:ascii="Arial" w:hAnsi="Arial" w:cs="Arial"/>
                <w:color w:val="000000"/>
                <w:sz w:val="20"/>
                <w:szCs w:val="20"/>
              </w:rPr>
              <w:t>100.0%</w:t>
            </w:r>
          </w:p>
        </w:tc>
      </w:tr>
      <w:tr w:rsidR="00891CD8" w:rsidRPr="00AF3755" w:rsidTr="000A6D1F">
        <w:trPr>
          <w:trHeight w:val="285"/>
        </w:trPr>
        <w:tc>
          <w:tcPr>
            <w:tcW w:w="3828" w:type="dxa"/>
            <w:tcBorders>
              <w:top w:val="nil"/>
              <w:left w:val="single" w:sz="4" w:space="0" w:color="auto"/>
              <w:bottom w:val="single" w:sz="4" w:space="0" w:color="auto"/>
              <w:right w:val="single" w:sz="4" w:space="0" w:color="auto"/>
            </w:tcBorders>
            <w:shd w:val="clear" w:color="auto" w:fill="auto"/>
            <w:noWrap/>
            <w:hideMark/>
          </w:tcPr>
          <w:p w:rsidR="00891CD8" w:rsidRPr="00AF3755" w:rsidRDefault="00891CD8" w:rsidP="00AF3755">
            <w:pPr>
              <w:pStyle w:val="ListParagraph"/>
              <w:numPr>
                <w:ilvl w:val="0"/>
                <w:numId w:val="16"/>
              </w:numPr>
              <w:spacing w:after="0" w:line="240" w:lineRule="auto"/>
              <w:rPr>
                <w:rFonts w:ascii="Arial" w:hAnsi="Arial" w:cs="Arial"/>
                <w:color w:val="000000"/>
                <w:sz w:val="20"/>
                <w:szCs w:val="20"/>
              </w:rPr>
            </w:pPr>
            <w:r w:rsidRPr="00AF3755">
              <w:rPr>
                <w:rFonts w:ascii="Arial" w:hAnsi="Arial" w:cs="Arial"/>
                <w:color w:val="000000"/>
                <w:sz w:val="20"/>
                <w:szCs w:val="20"/>
              </w:rPr>
              <w:t>Corporate</w:t>
            </w:r>
          </w:p>
        </w:tc>
        <w:tc>
          <w:tcPr>
            <w:tcW w:w="1275" w:type="dxa"/>
            <w:tcBorders>
              <w:top w:val="nil"/>
              <w:left w:val="nil"/>
              <w:bottom w:val="single" w:sz="4" w:space="0" w:color="auto"/>
              <w:right w:val="single" w:sz="4" w:space="0" w:color="auto"/>
            </w:tcBorders>
            <w:shd w:val="clear" w:color="auto" w:fill="auto"/>
            <w:noWrap/>
            <w:vAlign w:val="bottom"/>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15</w:t>
            </w:r>
          </w:p>
        </w:tc>
        <w:tc>
          <w:tcPr>
            <w:tcW w:w="1195"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14</w:t>
            </w:r>
          </w:p>
        </w:tc>
        <w:tc>
          <w:tcPr>
            <w:tcW w:w="1158"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1</w:t>
            </w:r>
          </w:p>
        </w:tc>
        <w:tc>
          <w:tcPr>
            <w:tcW w:w="1586" w:type="dxa"/>
            <w:tcBorders>
              <w:top w:val="nil"/>
              <w:left w:val="nil"/>
              <w:bottom w:val="single" w:sz="4" w:space="0" w:color="auto"/>
              <w:right w:val="single" w:sz="4" w:space="0" w:color="auto"/>
            </w:tcBorders>
            <w:shd w:val="clear" w:color="auto" w:fill="auto"/>
            <w:noWrap/>
            <w:hideMark/>
          </w:tcPr>
          <w:p w:rsidR="00891CD8" w:rsidRPr="00AF3755" w:rsidRDefault="00891CD8" w:rsidP="00AF3755">
            <w:pPr>
              <w:spacing w:after="0" w:line="240" w:lineRule="auto"/>
              <w:rPr>
                <w:rFonts w:ascii="Arial" w:hAnsi="Arial" w:cs="Arial"/>
                <w:color w:val="000000"/>
                <w:sz w:val="20"/>
                <w:szCs w:val="20"/>
              </w:rPr>
            </w:pPr>
            <w:r w:rsidRPr="00AF3755">
              <w:rPr>
                <w:rFonts w:ascii="Arial" w:hAnsi="Arial" w:cs="Arial"/>
                <w:color w:val="000000"/>
                <w:sz w:val="20"/>
                <w:szCs w:val="20"/>
              </w:rPr>
              <w:t>93.3%</w:t>
            </w:r>
          </w:p>
        </w:tc>
      </w:tr>
      <w:tr w:rsidR="00891CD8" w:rsidRPr="00AF3755" w:rsidTr="00891CD8">
        <w:trPr>
          <w:trHeight w:val="345"/>
        </w:trPr>
        <w:tc>
          <w:tcPr>
            <w:tcW w:w="3828"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eastAsia="Times New Roman" w:hAnsi="Arial" w:cs="Arial"/>
                <w:b/>
                <w:bCs/>
                <w:color w:val="000000"/>
                <w:sz w:val="20"/>
                <w:szCs w:val="20"/>
                <w:lang w:eastAsia="en-ZA"/>
              </w:rPr>
              <w:t>Total</w:t>
            </w:r>
          </w:p>
        </w:tc>
        <w:tc>
          <w:tcPr>
            <w:tcW w:w="1275" w:type="dxa"/>
            <w:tcBorders>
              <w:top w:val="nil"/>
              <w:left w:val="nil"/>
              <w:bottom w:val="single" w:sz="4" w:space="0" w:color="auto"/>
              <w:right w:val="single" w:sz="4" w:space="0" w:color="auto"/>
            </w:tcBorders>
            <w:shd w:val="clear" w:color="auto" w:fill="D9D9D9" w:themeFill="background1" w:themeFillShade="D9"/>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hAnsi="Arial" w:cs="Arial"/>
                <w:b/>
                <w:bCs/>
                <w:color w:val="000000"/>
                <w:sz w:val="20"/>
                <w:szCs w:val="20"/>
              </w:rPr>
              <w:t>50</w:t>
            </w:r>
          </w:p>
        </w:tc>
        <w:tc>
          <w:tcPr>
            <w:tcW w:w="1195" w:type="dxa"/>
            <w:tcBorders>
              <w:top w:val="nil"/>
              <w:left w:val="nil"/>
              <w:bottom w:val="single" w:sz="4" w:space="0" w:color="auto"/>
              <w:right w:val="single" w:sz="4" w:space="0" w:color="auto"/>
            </w:tcBorders>
            <w:shd w:val="clear" w:color="auto" w:fill="D9D9D9" w:themeFill="background1" w:themeFillShade="D9"/>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hAnsi="Arial" w:cs="Arial"/>
                <w:b/>
                <w:bCs/>
                <w:color w:val="000000"/>
                <w:sz w:val="20"/>
                <w:szCs w:val="20"/>
              </w:rPr>
              <w:t>48</w:t>
            </w:r>
          </w:p>
        </w:tc>
        <w:tc>
          <w:tcPr>
            <w:tcW w:w="1158" w:type="dxa"/>
            <w:tcBorders>
              <w:top w:val="nil"/>
              <w:left w:val="nil"/>
              <w:bottom w:val="single" w:sz="4" w:space="0" w:color="auto"/>
              <w:right w:val="single" w:sz="4" w:space="0" w:color="auto"/>
            </w:tcBorders>
            <w:shd w:val="clear" w:color="auto" w:fill="D9D9D9" w:themeFill="background1" w:themeFillShade="D9"/>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hAnsi="Arial" w:cs="Arial"/>
                <w:b/>
                <w:bCs/>
                <w:color w:val="000000"/>
                <w:sz w:val="20"/>
                <w:szCs w:val="20"/>
              </w:rPr>
              <w:t>2</w:t>
            </w:r>
          </w:p>
        </w:tc>
        <w:tc>
          <w:tcPr>
            <w:tcW w:w="1586" w:type="dxa"/>
            <w:tcBorders>
              <w:top w:val="nil"/>
              <w:left w:val="nil"/>
              <w:bottom w:val="single" w:sz="4" w:space="0" w:color="auto"/>
              <w:right w:val="single" w:sz="4" w:space="0" w:color="auto"/>
            </w:tcBorders>
            <w:shd w:val="clear" w:color="auto" w:fill="D9D9D9" w:themeFill="background1" w:themeFillShade="D9"/>
            <w:noWrap/>
            <w:hideMark/>
          </w:tcPr>
          <w:p w:rsidR="00891CD8" w:rsidRPr="00AF3755" w:rsidRDefault="00891CD8" w:rsidP="00AF3755">
            <w:pPr>
              <w:spacing w:after="0" w:line="240" w:lineRule="auto"/>
              <w:rPr>
                <w:rFonts w:ascii="Arial" w:eastAsia="Times New Roman" w:hAnsi="Arial" w:cs="Arial"/>
                <w:b/>
                <w:bCs/>
                <w:color w:val="000000"/>
                <w:sz w:val="20"/>
                <w:szCs w:val="20"/>
                <w:lang w:eastAsia="en-ZA"/>
              </w:rPr>
            </w:pPr>
            <w:r w:rsidRPr="00AF3755">
              <w:rPr>
                <w:rFonts w:ascii="Arial" w:hAnsi="Arial" w:cs="Arial"/>
                <w:b/>
                <w:bCs/>
                <w:color w:val="000000"/>
                <w:sz w:val="20"/>
                <w:szCs w:val="20"/>
              </w:rPr>
              <w:t>96.0%</w:t>
            </w:r>
          </w:p>
        </w:tc>
      </w:tr>
    </w:tbl>
    <w:p w:rsidR="008A32CA" w:rsidRPr="00AF3755" w:rsidRDefault="008A32CA" w:rsidP="00AF3755">
      <w:pPr>
        <w:pStyle w:val="ListParagraph"/>
        <w:spacing w:after="0" w:line="240" w:lineRule="auto"/>
        <w:ind w:left="0"/>
        <w:rPr>
          <w:rFonts w:ascii="Arial" w:hAnsi="Arial" w:cs="Arial"/>
          <w:sz w:val="20"/>
          <w:szCs w:val="20"/>
        </w:rPr>
      </w:pPr>
    </w:p>
    <w:p w:rsidR="009A75B5" w:rsidRPr="00AF3755" w:rsidRDefault="009A75B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Non-financial performance per programme</w:t>
      </w:r>
    </w:p>
    <w:p w:rsidR="0079219C" w:rsidRPr="00AF3755" w:rsidRDefault="0079219C"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1: Management of the HEQSF</w:t>
      </w:r>
    </w:p>
    <w:p w:rsidR="00E96E76" w:rsidRPr="00AF3755" w:rsidRDefault="00193026"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The programme manage</w:t>
      </w:r>
      <w:r w:rsidR="00CA16B9" w:rsidRPr="00AF3755">
        <w:rPr>
          <w:rFonts w:ascii="Arial" w:hAnsi="Arial" w:cs="Arial"/>
          <w:color w:val="000000" w:themeColor="text1"/>
          <w:sz w:val="20"/>
          <w:szCs w:val="20"/>
        </w:rPr>
        <w:t>s</w:t>
      </w:r>
      <w:r w:rsidRPr="00AF3755">
        <w:rPr>
          <w:rFonts w:ascii="Arial" w:hAnsi="Arial" w:cs="Arial"/>
          <w:color w:val="000000" w:themeColor="text1"/>
          <w:sz w:val="20"/>
          <w:szCs w:val="20"/>
        </w:rPr>
        <w:t xml:space="preserve"> the development and implementation of HEQSF policies, qualification standards and data to meet the goals of the NQF, NPPSET and NDP.</w:t>
      </w:r>
      <w:r w:rsidR="00E96E76" w:rsidRPr="00AF3755">
        <w:rPr>
          <w:rFonts w:ascii="Arial" w:hAnsi="Arial" w:cs="Arial"/>
          <w:color w:val="000000" w:themeColor="text1"/>
          <w:sz w:val="20"/>
          <w:szCs w:val="20"/>
        </w:rPr>
        <w:t xml:space="preserve"> The programme contributes to one of the CHE’s five Strategic Outcome</w:t>
      </w:r>
      <w:r w:rsidR="00067E63" w:rsidRPr="00AF3755">
        <w:rPr>
          <w:rFonts w:ascii="Arial" w:hAnsi="Arial" w:cs="Arial"/>
          <w:color w:val="000000" w:themeColor="text1"/>
          <w:sz w:val="20"/>
          <w:szCs w:val="20"/>
        </w:rPr>
        <w:t>s</w:t>
      </w:r>
      <w:r w:rsidR="00E96E76" w:rsidRPr="00AF3755">
        <w:rPr>
          <w:rFonts w:ascii="Arial" w:hAnsi="Arial" w:cs="Arial"/>
          <w:color w:val="000000" w:themeColor="text1"/>
          <w:sz w:val="20"/>
          <w:szCs w:val="20"/>
        </w:rPr>
        <w:t>: CHE as an effective custodian of the HEQSF.</w:t>
      </w:r>
    </w:p>
    <w:p w:rsidR="00067E63" w:rsidRPr="00AF3755" w:rsidRDefault="00067E63" w:rsidP="00AF3755">
      <w:pPr>
        <w:pStyle w:val="ListParagraph"/>
        <w:spacing w:after="0" w:line="240" w:lineRule="auto"/>
        <w:ind w:left="0"/>
        <w:rPr>
          <w:rFonts w:ascii="Arial" w:hAnsi="Arial" w:cs="Arial"/>
          <w:color w:val="000000" w:themeColor="text1"/>
          <w:sz w:val="20"/>
          <w:szCs w:val="20"/>
        </w:rPr>
      </w:pPr>
    </w:p>
    <w:p w:rsidR="00E96E76" w:rsidRPr="00AF3755" w:rsidRDefault="00E96E76"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During the year under review, the programme had 16 planned targets shared amongst the five sub-programmes. The programme achieved 16 or 93.8 per cent of the planned targets.</w:t>
      </w:r>
    </w:p>
    <w:p w:rsidR="00DB485D" w:rsidRPr="00AF3755" w:rsidRDefault="00DB485D" w:rsidP="00AF3755">
      <w:pPr>
        <w:pStyle w:val="ListParagraph"/>
        <w:spacing w:after="0" w:line="240" w:lineRule="auto"/>
        <w:ind w:left="0"/>
        <w:rPr>
          <w:rFonts w:ascii="Arial" w:hAnsi="Arial" w:cs="Arial"/>
          <w:b/>
          <w:color w:val="000000" w:themeColor="text1"/>
          <w:sz w:val="20"/>
          <w:szCs w:val="20"/>
        </w:rPr>
      </w:pPr>
    </w:p>
    <w:p w:rsidR="00E96E76" w:rsidRPr="00AF3755" w:rsidRDefault="00E96E76" w:rsidP="00AF3755">
      <w:pPr>
        <w:pStyle w:val="ListParagraph"/>
        <w:spacing w:after="0" w:line="240" w:lineRule="auto"/>
        <w:ind w:left="0"/>
        <w:rPr>
          <w:rFonts w:ascii="Arial" w:hAnsi="Arial" w:cs="Arial"/>
          <w:b/>
          <w:color w:val="000000" w:themeColor="text1"/>
          <w:sz w:val="20"/>
          <w:szCs w:val="20"/>
        </w:rPr>
      </w:pPr>
      <w:r w:rsidRPr="00AF3755">
        <w:rPr>
          <w:rFonts w:ascii="Arial" w:hAnsi="Arial" w:cs="Arial"/>
          <w:b/>
          <w:color w:val="000000" w:themeColor="text1"/>
          <w:sz w:val="20"/>
          <w:szCs w:val="20"/>
        </w:rPr>
        <w:t>Selected key achievements</w:t>
      </w:r>
    </w:p>
    <w:p w:rsidR="00E96E76" w:rsidRPr="00AF3755" w:rsidRDefault="00EB42CE" w:rsidP="00AF3755">
      <w:pPr>
        <w:pStyle w:val="ListParagraph"/>
        <w:numPr>
          <w:ilvl w:val="0"/>
          <w:numId w:val="14"/>
        </w:numPr>
        <w:spacing w:after="0" w:line="240" w:lineRule="auto"/>
        <w:rPr>
          <w:rFonts w:ascii="Arial" w:hAnsi="Arial" w:cs="Arial"/>
          <w:sz w:val="20"/>
          <w:szCs w:val="20"/>
        </w:rPr>
      </w:pPr>
      <w:r w:rsidRPr="00AF3755">
        <w:rPr>
          <w:rFonts w:ascii="Arial" w:hAnsi="Arial" w:cs="Arial"/>
          <w:sz w:val="20"/>
          <w:szCs w:val="20"/>
        </w:rPr>
        <w:t>Two qualification</w:t>
      </w:r>
      <w:r w:rsidRPr="00AF3755">
        <w:rPr>
          <w:rFonts w:ascii="Arial" w:hAnsi="Arial" w:cs="Arial"/>
          <w:b/>
          <w:sz w:val="20"/>
          <w:szCs w:val="20"/>
        </w:rPr>
        <w:t xml:space="preserve"> </w:t>
      </w:r>
      <w:r w:rsidRPr="00AF3755">
        <w:rPr>
          <w:rFonts w:ascii="Arial" w:hAnsi="Arial" w:cs="Arial"/>
          <w:sz w:val="20"/>
          <w:szCs w:val="20"/>
        </w:rPr>
        <w:t>standard</w:t>
      </w:r>
      <w:r w:rsidR="00067E63" w:rsidRPr="00AF3755">
        <w:rPr>
          <w:rFonts w:ascii="Arial" w:hAnsi="Arial" w:cs="Arial"/>
          <w:sz w:val="20"/>
          <w:szCs w:val="20"/>
        </w:rPr>
        <w:t>s</w:t>
      </w:r>
      <w:r w:rsidRPr="00AF3755">
        <w:rPr>
          <w:rFonts w:ascii="Arial" w:hAnsi="Arial" w:cs="Arial"/>
          <w:sz w:val="20"/>
          <w:szCs w:val="20"/>
        </w:rPr>
        <w:t xml:space="preserve"> were developed and reviewed.</w:t>
      </w:r>
    </w:p>
    <w:p w:rsidR="00EB42CE" w:rsidRPr="00AF3755" w:rsidRDefault="00836AD9" w:rsidP="00AF3755">
      <w:pPr>
        <w:pStyle w:val="ListParagraph"/>
        <w:numPr>
          <w:ilvl w:val="0"/>
          <w:numId w:val="14"/>
        </w:numPr>
        <w:spacing w:after="0" w:line="240" w:lineRule="auto"/>
        <w:rPr>
          <w:rFonts w:ascii="Arial" w:hAnsi="Arial" w:cs="Arial"/>
          <w:sz w:val="20"/>
          <w:szCs w:val="20"/>
        </w:rPr>
      </w:pPr>
      <w:r w:rsidRPr="00AF3755">
        <w:rPr>
          <w:rFonts w:ascii="Arial" w:hAnsi="Arial" w:cs="Arial"/>
          <w:sz w:val="20"/>
          <w:szCs w:val="20"/>
        </w:rPr>
        <w:t xml:space="preserve">The CHE </w:t>
      </w:r>
      <w:r w:rsidR="00704C3B" w:rsidRPr="00AF3755">
        <w:rPr>
          <w:rFonts w:ascii="Arial" w:hAnsi="Arial" w:cs="Arial"/>
          <w:sz w:val="20"/>
          <w:szCs w:val="20"/>
        </w:rPr>
        <w:t xml:space="preserve">conducted </w:t>
      </w:r>
      <w:r w:rsidR="00EB42CE" w:rsidRPr="00AF3755">
        <w:rPr>
          <w:rFonts w:ascii="Arial" w:hAnsi="Arial" w:cs="Arial"/>
          <w:sz w:val="20"/>
          <w:szCs w:val="20"/>
        </w:rPr>
        <w:t>three events or projects to promote the use of qualification standards.</w:t>
      </w:r>
    </w:p>
    <w:p w:rsidR="00EB42CE" w:rsidRPr="00AF3755" w:rsidRDefault="00EB42CE" w:rsidP="00AF3755">
      <w:pPr>
        <w:pStyle w:val="ListParagraph"/>
        <w:numPr>
          <w:ilvl w:val="0"/>
          <w:numId w:val="14"/>
        </w:numPr>
        <w:spacing w:after="0" w:line="240" w:lineRule="auto"/>
        <w:rPr>
          <w:rFonts w:ascii="Arial" w:hAnsi="Arial" w:cs="Arial"/>
          <w:sz w:val="20"/>
          <w:szCs w:val="20"/>
        </w:rPr>
      </w:pPr>
      <w:r w:rsidRPr="00AF3755">
        <w:rPr>
          <w:rFonts w:ascii="Arial" w:hAnsi="Arial" w:cs="Arial"/>
          <w:sz w:val="20"/>
          <w:szCs w:val="20"/>
        </w:rPr>
        <w:lastRenderedPageBreak/>
        <w:t>Ninety-eight per cent of private education institutions have all required sets of data records in the database, against the target of 80 per cent.</w:t>
      </w:r>
    </w:p>
    <w:p w:rsidR="00EB42CE" w:rsidRPr="00AF3755" w:rsidRDefault="00836AD9" w:rsidP="00AF3755">
      <w:pPr>
        <w:pStyle w:val="ListParagraph"/>
        <w:numPr>
          <w:ilvl w:val="0"/>
          <w:numId w:val="14"/>
        </w:numPr>
        <w:spacing w:after="0" w:line="240" w:lineRule="auto"/>
        <w:rPr>
          <w:rFonts w:ascii="Arial" w:hAnsi="Arial" w:cs="Arial"/>
          <w:sz w:val="20"/>
          <w:szCs w:val="20"/>
        </w:rPr>
      </w:pPr>
      <w:r w:rsidRPr="00AF3755">
        <w:rPr>
          <w:rFonts w:ascii="Arial" w:hAnsi="Arial" w:cs="Arial"/>
          <w:sz w:val="20"/>
          <w:szCs w:val="20"/>
        </w:rPr>
        <w:t>F</w:t>
      </w:r>
      <w:r w:rsidR="00EB42CE" w:rsidRPr="00AF3755">
        <w:rPr>
          <w:rFonts w:ascii="Arial" w:hAnsi="Arial" w:cs="Arial"/>
          <w:sz w:val="20"/>
          <w:szCs w:val="20"/>
        </w:rPr>
        <w:t xml:space="preserve">our higher education institutions </w:t>
      </w:r>
      <w:r w:rsidRPr="00AF3755">
        <w:rPr>
          <w:rFonts w:ascii="Arial" w:hAnsi="Arial" w:cs="Arial"/>
          <w:sz w:val="20"/>
          <w:szCs w:val="20"/>
        </w:rPr>
        <w:t xml:space="preserve">were supported </w:t>
      </w:r>
      <w:r w:rsidR="00EB42CE" w:rsidRPr="00AF3755">
        <w:rPr>
          <w:rFonts w:ascii="Arial" w:hAnsi="Arial" w:cs="Arial"/>
          <w:sz w:val="20"/>
          <w:szCs w:val="20"/>
        </w:rPr>
        <w:t>with respect to the development and implementation of relevant institutional policies.</w:t>
      </w:r>
    </w:p>
    <w:p w:rsidR="00EB42CE" w:rsidRPr="00AF3755" w:rsidRDefault="00100AC4" w:rsidP="00AF3755">
      <w:pPr>
        <w:pStyle w:val="ListParagraph"/>
        <w:numPr>
          <w:ilvl w:val="0"/>
          <w:numId w:val="14"/>
        </w:numPr>
        <w:spacing w:after="0" w:line="240" w:lineRule="auto"/>
        <w:rPr>
          <w:rFonts w:ascii="Arial" w:hAnsi="Arial" w:cs="Arial"/>
          <w:sz w:val="20"/>
          <w:szCs w:val="20"/>
        </w:rPr>
      </w:pPr>
      <w:r w:rsidRPr="00AF3755">
        <w:rPr>
          <w:rFonts w:ascii="Arial" w:hAnsi="Arial" w:cs="Arial"/>
          <w:sz w:val="20"/>
          <w:szCs w:val="20"/>
        </w:rPr>
        <w:t>The CHE was involved in five national events and/fora on NQF, quality assurance and promotion.</w:t>
      </w:r>
    </w:p>
    <w:p w:rsidR="00100AC4" w:rsidRPr="00AF3755" w:rsidRDefault="00836AD9" w:rsidP="00AF3755">
      <w:pPr>
        <w:pStyle w:val="ListParagraph"/>
        <w:numPr>
          <w:ilvl w:val="0"/>
          <w:numId w:val="14"/>
        </w:numPr>
        <w:spacing w:after="0" w:line="240" w:lineRule="auto"/>
        <w:rPr>
          <w:rFonts w:ascii="Arial" w:hAnsi="Arial" w:cs="Arial"/>
          <w:sz w:val="20"/>
          <w:szCs w:val="20"/>
        </w:rPr>
      </w:pPr>
      <w:r w:rsidRPr="00AF3755">
        <w:rPr>
          <w:rFonts w:ascii="Arial" w:hAnsi="Arial" w:cs="Arial"/>
          <w:sz w:val="20"/>
          <w:szCs w:val="20"/>
        </w:rPr>
        <w:t>F</w:t>
      </w:r>
      <w:r w:rsidR="00100AC4" w:rsidRPr="00AF3755">
        <w:rPr>
          <w:rFonts w:ascii="Arial" w:hAnsi="Arial" w:cs="Arial"/>
          <w:sz w:val="20"/>
          <w:szCs w:val="20"/>
        </w:rPr>
        <w:t xml:space="preserve">our quality </w:t>
      </w:r>
      <w:r w:rsidR="003D54C5" w:rsidRPr="00AF3755">
        <w:rPr>
          <w:rFonts w:ascii="Arial" w:hAnsi="Arial" w:cs="Arial"/>
          <w:sz w:val="20"/>
          <w:szCs w:val="20"/>
        </w:rPr>
        <w:t>for</w:t>
      </w:r>
      <w:r w:rsidR="00100AC4" w:rsidRPr="00AF3755">
        <w:rPr>
          <w:rFonts w:ascii="Arial" w:hAnsi="Arial" w:cs="Arial"/>
          <w:sz w:val="20"/>
          <w:szCs w:val="20"/>
        </w:rPr>
        <w:t xml:space="preserve">a and/or </w:t>
      </w:r>
      <w:r w:rsidR="003D54C5" w:rsidRPr="00AF3755">
        <w:rPr>
          <w:rFonts w:ascii="Arial" w:hAnsi="Arial" w:cs="Arial"/>
          <w:sz w:val="20"/>
          <w:szCs w:val="20"/>
        </w:rPr>
        <w:t>workshops</w:t>
      </w:r>
      <w:r w:rsidRPr="00AF3755">
        <w:rPr>
          <w:rFonts w:ascii="Arial" w:hAnsi="Arial" w:cs="Arial"/>
          <w:sz w:val="20"/>
          <w:szCs w:val="20"/>
        </w:rPr>
        <w:t xml:space="preserve"> were organised</w:t>
      </w:r>
      <w:r w:rsidR="00100AC4" w:rsidRPr="00AF3755">
        <w:rPr>
          <w:rFonts w:ascii="Arial" w:hAnsi="Arial" w:cs="Arial"/>
          <w:sz w:val="20"/>
          <w:szCs w:val="20"/>
        </w:rPr>
        <w:t>.</w:t>
      </w:r>
    </w:p>
    <w:p w:rsidR="003D54C5" w:rsidRPr="00AF3755" w:rsidRDefault="00F54A8C" w:rsidP="00AF3755">
      <w:pPr>
        <w:spacing w:after="0" w:line="240" w:lineRule="auto"/>
        <w:rPr>
          <w:rFonts w:ascii="Arial" w:hAnsi="Arial" w:cs="Arial"/>
          <w:sz w:val="20"/>
          <w:szCs w:val="20"/>
        </w:rPr>
      </w:pPr>
      <w:r w:rsidRPr="00AF3755">
        <w:rPr>
          <w:rFonts w:ascii="Arial" w:hAnsi="Arial" w:cs="Arial"/>
          <w:sz w:val="20"/>
          <w:szCs w:val="20"/>
        </w:rPr>
        <w:t xml:space="preserve">The target on number (2) of data uploads onto the NLRD in a particular financial year was not achieved. There was one data upload and the </w:t>
      </w:r>
      <w:r w:rsidR="00836AD9" w:rsidRPr="00AF3755">
        <w:rPr>
          <w:rFonts w:ascii="Arial" w:hAnsi="Arial" w:cs="Arial"/>
          <w:sz w:val="20"/>
          <w:szCs w:val="20"/>
        </w:rPr>
        <w:t>CHE</w:t>
      </w:r>
      <w:r w:rsidRPr="00AF3755">
        <w:rPr>
          <w:rFonts w:ascii="Arial" w:hAnsi="Arial" w:cs="Arial"/>
          <w:sz w:val="20"/>
          <w:szCs w:val="20"/>
        </w:rPr>
        <w:t xml:space="preserve"> reported that there was no uploading onto the NLRD during the NLRD’</w:t>
      </w:r>
      <w:r w:rsidR="00067E63" w:rsidRPr="00AF3755">
        <w:rPr>
          <w:rFonts w:ascii="Arial" w:hAnsi="Arial" w:cs="Arial"/>
          <w:sz w:val="20"/>
          <w:szCs w:val="20"/>
        </w:rPr>
        <w:t>s</w:t>
      </w:r>
      <w:r w:rsidRPr="00AF3755">
        <w:rPr>
          <w:rFonts w:ascii="Arial" w:hAnsi="Arial" w:cs="Arial"/>
          <w:sz w:val="20"/>
          <w:szCs w:val="20"/>
        </w:rPr>
        <w:t xml:space="preserve"> January/February 2022 data load cycle because of challenges encountered with the use of a service provider that own</w:t>
      </w:r>
      <w:r w:rsidR="000834EA" w:rsidRPr="00AF3755">
        <w:rPr>
          <w:rFonts w:ascii="Arial" w:hAnsi="Arial" w:cs="Arial"/>
          <w:sz w:val="20"/>
          <w:szCs w:val="20"/>
        </w:rPr>
        <w:t>s</w:t>
      </w:r>
      <w:r w:rsidRPr="00AF3755">
        <w:rPr>
          <w:rFonts w:ascii="Arial" w:hAnsi="Arial" w:cs="Arial"/>
          <w:sz w:val="20"/>
          <w:szCs w:val="20"/>
        </w:rPr>
        <w:t xml:space="preserve"> validation software on which the data uploads rely. </w:t>
      </w:r>
      <w:r w:rsidR="000834EA" w:rsidRPr="00AF3755">
        <w:rPr>
          <w:rFonts w:ascii="Arial" w:hAnsi="Arial" w:cs="Arial"/>
          <w:sz w:val="20"/>
          <w:szCs w:val="20"/>
        </w:rPr>
        <w:t>A</w:t>
      </w:r>
      <w:r w:rsidR="00E66686" w:rsidRPr="00AF3755">
        <w:rPr>
          <w:rFonts w:ascii="Arial" w:hAnsi="Arial" w:cs="Arial"/>
          <w:sz w:val="20"/>
          <w:szCs w:val="20"/>
        </w:rPr>
        <w:t xml:space="preserve"> process had been put in place and with SAQA’s approval, the upload was made by end of June 2022.</w:t>
      </w:r>
    </w:p>
    <w:p w:rsidR="0079219C" w:rsidRPr="00AF3755" w:rsidRDefault="0079219C"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2: Quality Assurance</w:t>
      </w:r>
    </w:p>
    <w:p w:rsidR="00193026" w:rsidRPr="00AF3755" w:rsidRDefault="00193026"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The programme contributes toward the fulfilment of the mandate of the CHE as the national authority for quality assurance in higher education. The programme develops and implements processes to inform, assure, promote and monitor quality in Higher Education Institutions (HEIs).</w:t>
      </w:r>
      <w:r w:rsidR="00771F59" w:rsidRPr="00AF3755">
        <w:rPr>
          <w:rFonts w:ascii="Arial" w:hAnsi="Arial" w:cs="Arial"/>
          <w:color w:val="000000" w:themeColor="text1"/>
          <w:sz w:val="20"/>
          <w:szCs w:val="20"/>
        </w:rPr>
        <w:t xml:space="preserve"> For the 2021/22 financial year, the programme had </w:t>
      </w:r>
      <w:r w:rsidR="00DD55A0" w:rsidRPr="00AF3755">
        <w:rPr>
          <w:rFonts w:ascii="Arial" w:hAnsi="Arial" w:cs="Arial"/>
          <w:color w:val="000000" w:themeColor="text1"/>
          <w:sz w:val="20"/>
          <w:szCs w:val="20"/>
        </w:rPr>
        <w:t xml:space="preserve">10 targets </w:t>
      </w:r>
      <w:r w:rsidR="00E272CD" w:rsidRPr="00AF3755">
        <w:rPr>
          <w:rFonts w:ascii="Arial" w:hAnsi="Arial" w:cs="Arial"/>
          <w:color w:val="000000" w:themeColor="text1"/>
          <w:sz w:val="20"/>
          <w:szCs w:val="20"/>
        </w:rPr>
        <w:t xml:space="preserve">shared amongst the four sub-programmes. The programme </w:t>
      </w:r>
      <w:r w:rsidR="00DD55A0" w:rsidRPr="00AF3755">
        <w:rPr>
          <w:rFonts w:ascii="Arial" w:hAnsi="Arial" w:cs="Arial"/>
          <w:color w:val="000000" w:themeColor="text1"/>
          <w:sz w:val="20"/>
          <w:szCs w:val="20"/>
        </w:rPr>
        <w:t>achieved 100</w:t>
      </w:r>
      <w:r w:rsidR="00067E63" w:rsidRPr="00AF3755">
        <w:rPr>
          <w:rFonts w:ascii="Arial" w:hAnsi="Arial" w:cs="Arial"/>
          <w:color w:val="000000" w:themeColor="text1"/>
          <w:sz w:val="20"/>
          <w:szCs w:val="20"/>
        </w:rPr>
        <w:t xml:space="preserve"> </w:t>
      </w:r>
      <w:r w:rsidR="00DD55A0" w:rsidRPr="00AF3755">
        <w:rPr>
          <w:rFonts w:ascii="Arial" w:hAnsi="Arial" w:cs="Arial"/>
          <w:color w:val="000000" w:themeColor="text1"/>
          <w:sz w:val="20"/>
          <w:szCs w:val="20"/>
        </w:rPr>
        <w:t>per cent of the planned targets.</w:t>
      </w:r>
    </w:p>
    <w:p w:rsidR="00DD55A0" w:rsidRPr="00AF3755" w:rsidRDefault="00DD55A0" w:rsidP="00AF3755">
      <w:pPr>
        <w:pStyle w:val="ListParagraph"/>
        <w:spacing w:after="0" w:line="240" w:lineRule="auto"/>
        <w:ind w:left="0"/>
        <w:rPr>
          <w:rFonts w:ascii="Arial" w:hAnsi="Arial" w:cs="Arial"/>
          <w:color w:val="000000" w:themeColor="text1"/>
          <w:sz w:val="20"/>
          <w:szCs w:val="20"/>
        </w:rPr>
      </w:pPr>
    </w:p>
    <w:p w:rsidR="00DD55A0" w:rsidRPr="00AF3755" w:rsidRDefault="00DD55A0" w:rsidP="00AF3755">
      <w:pPr>
        <w:pStyle w:val="ListParagraph"/>
        <w:spacing w:after="0" w:line="240" w:lineRule="auto"/>
        <w:ind w:left="0"/>
        <w:rPr>
          <w:rFonts w:ascii="Arial" w:hAnsi="Arial" w:cs="Arial"/>
          <w:b/>
          <w:color w:val="000000" w:themeColor="text1"/>
          <w:sz w:val="20"/>
          <w:szCs w:val="20"/>
        </w:rPr>
      </w:pPr>
      <w:r w:rsidRPr="00AF3755">
        <w:rPr>
          <w:rFonts w:ascii="Arial" w:hAnsi="Arial" w:cs="Arial"/>
          <w:b/>
          <w:color w:val="000000" w:themeColor="text1"/>
          <w:sz w:val="20"/>
          <w:szCs w:val="20"/>
        </w:rPr>
        <w:t>Selected key achievements</w:t>
      </w:r>
    </w:p>
    <w:p w:rsidR="004B11FA" w:rsidRPr="00AF3755" w:rsidRDefault="003D6D1C" w:rsidP="00AF3755">
      <w:pPr>
        <w:pStyle w:val="ListParagraph"/>
        <w:numPr>
          <w:ilvl w:val="0"/>
          <w:numId w:val="17"/>
        </w:numPr>
        <w:spacing w:after="0" w:line="240" w:lineRule="auto"/>
        <w:rPr>
          <w:rFonts w:ascii="Arial" w:hAnsi="Arial" w:cs="Arial"/>
          <w:sz w:val="20"/>
          <w:szCs w:val="20"/>
        </w:rPr>
      </w:pPr>
      <w:r w:rsidRPr="00AF3755">
        <w:rPr>
          <w:rFonts w:ascii="Arial" w:hAnsi="Arial" w:cs="Arial"/>
          <w:sz w:val="20"/>
          <w:szCs w:val="20"/>
        </w:rPr>
        <w:t>Achieved 100 per cent (against the target of 85 per cent) of programme reaccreditation applications received that go through the accreditation process and are presented to the HEQC within 18 months from the date of appointment of evaluators.</w:t>
      </w:r>
    </w:p>
    <w:p w:rsidR="003D6D1C" w:rsidRPr="00AF3755" w:rsidRDefault="005A6A12" w:rsidP="00AF3755">
      <w:pPr>
        <w:pStyle w:val="ListParagraph"/>
        <w:numPr>
          <w:ilvl w:val="0"/>
          <w:numId w:val="17"/>
        </w:numPr>
        <w:spacing w:after="0" w:line="240" w:lineRule="auto"/>
        <w:rPr>
          <w:rFonts w:ascii="Arial" w:hAnsi="Arial" w:cs="Arial"/>
          <w:sz w:val="20"/>
          <w:szCs w:val="20"/>
        </w:rPr>
      </w:pPr>
      <w:r w:rsidRPr="00AF3755">
        <w:rPr>
          <w:rFonts w:ascii="Arial" w:hAnsi="Arial" w:cs="Arial"/>
          <w:sz w:val="20"/>
          <w:szCs w:val="20"/>
        </w:rPr>
        <w:t>The CHE h</w:t>
      </w:r>
      <w:r w:rsidR="008945E3" w:rsidRPr="00AF3755">
        <w:rPr>
          <w:rFonts w:ascii="Arial" w:hAnsi="Arial" w:cs="Arial"/>
          <w:sz w:val="20"/>
          <w:szCs w:val="20"/>
        </w:rPr>
        <w:t>eld 26 workshops (against the target of 10) related to the new framework for Institutional Audits. The increase in the number of workshops was due to the requests by institutions.</w:t>
      </w:r>
    </w:p>
    <w:p w:rsidR="0066679C" w:rsidRPr="00AF3755" w:rsidRDefault="005A6A12" w:rsidP="00AF3755">
      <w:pPr>
        <w:pStyle w:val="ListParagraph"/>
        <w:numPr>
          <w:ilvl w:val="0"/>
          <w:numId w:val="17"/>
        </w:numPr>
        <w:spacing w:after="0" w:line="240" w:lineRule="auto"/>
        <w:rPr>
          <w:rFonts w:ascii="Arial" w:hAnsi="Arial" w:cs="Arial"/>
          <w:sz w:val="20"/>
          <w:szCs w:val="20"/>
        </w:rPr>
      </w:pPr>
      <w:r w:rsidRPr="00AF3755">
        <w:rPr>
          <w:rFonts w:ascii="Arial" w:hAnsi="Arial" w:cs="Arial"/>
          <w:sz w:val="20"/>
          <w:szCs w:val="20"/>
        </w:rPr>
        <w:t>The CHE i</w:t>
      </w:r>
      <w:r w:rsidR="008945E3" w:rsidRPr="00AF3755">
        <w:rPr>
          <w:rFonts w:ascii="Arial" w:hAnsi="Arial" w:cs="Arial"/>
          <w:sz w:val="20"/>
          <w:szCs w:val="20"/>
        </w:rPr>
        <w:t>nitiated 15 Institutional Audits (against the target of 10)</w:t>
      </w:r>
      <w:r w:rsidRPr="00AF3755">
        <w:rPr>
          <w:rFonts w:ascii="Arial" w:hAnsi="Arial" w:cs="Arial"/>
          <w:sz w:val="20"/>
          <w:szCs w:val="20"/>
        </w:rPr>
        <w:t xml:space="preserve"> and </w:t>
      </w:r>
      <w:r w:rsidR="0066679C" w:rsidRPr="00AF3755">
        <w:rPr>
          <w:rFonts w:ascii="Arial" w:hAnsi="Arial" w:cs="Arial"/>
          <w:sz w:val="20"/>
          <w:szCs w:val="20"/>
        </w:rPr>
        <w:t>one National Review</w:t>
      </w:r>
    </w:p>
    <w:p w:rsidR="008945E3" w:rsidRPr="00AF3755" w:rsidRDefault="0066679C" w:rsidP="00AF3755">
      <w:pPr>
        <w:pStyle w:val="ListParagraph"/>
        <w:numPr>
          <w:ilvl w:val="0"/>
          <w:numId w:val="17"/>
        </w:numPr>
        <w:spacing w:after="0" w:line="240" w:lineRule="auto"/>
        <w:rPr>
          <w:rFonts w:ascii="Arial" w:hAnsi="Arial" w:cs="Arial"/>
          <w:sz w:val="20"/>
          <w:szCs w:val="20"/>
        </w:rPr>
      </w:pPr>
      <w:r w:rsidRPr="00AF3755">
        <w:rPr>
          <w:rFonts w:ascii="Arial" w:hAnsi="Arial" w:cs="Arial"/>
          <w:sz w:val="20"/>
          <w:szCs w:val="20"/>
        </w:rPr>
        <w:t xml:space="preserve">Achieved </w:t>
      </w:r>
      <w:r w:rsidR="00BC71B3" w:rsidRPr="00AF3755">
        <w:rPr>
          <w:rFonts w:ascii="Arial" w:hAnsi="Arial" w:cs="Arial"/>
          <w:sz w:val="20"/>
          <w:szCs w:val="20"/>
        </w:rPr>
        <w:t xml:space="preserve">100 per cent of </w:t>
      </w:r>
      <w:r w:rsidRPr="00AF3755">
        <w:rPr>
          <w:rFonts w:ascii="Arial" w:hAnsi="Arial" w:cs="Arial"/>
          <w:sz w:val="20"/>
          <w:szCs w:val="20"/>
        </w:rPr>
        <w:t xml:space="preserve">the completed </w:t>
      </w:r>
      <w:r w:rsidR="00BC71B3" w:rsidRPr="00AF3755">
        <w:rPr>
          <w:rFonts w:ascii="Arial" w:hAnsi="Arial" w:cs="Arial"/>
          <w:sz w:val="20"/>
          <w:szCs w:val="20"/>
        </w:rPr>
        <w:t xml:space="preserve">National Reviews </w:t>
      </w:r>
      <w:r w:rsidR="000834EA" w:rsidRPr="00AF3755">
        <w:rPr>
          <w:rFonts w:ascii="Arial" w:hAnsi="Arial" w:cs="Arial"/>
          <w:sz w:val="20"/>
          <w:szCs w:val="20"/>
        </w:rPr>
        <w:t>had</w:t>
      </w:r>
      <w:r w:rsidR="00BC71B3" w:rsidRPr="00AF3755">
        <w:rPr>
          <w:rFonts w:ascii="Arial" w:hAnsi="Arial" w:cs="Arial"/>
          <w:sz w:val="20"/>
          <w:szCs w:val="20"/>
        </w:rPr>
        <w:t xml:space="preserve"> their reports finalised and approved.</w:t>
      </w:r>
    </w:p>
    <w:p w:rsidR="006C1C3C" w:rsidRPr="00AF3755" w:rsidRDefault="006C1C3C" w:rsidP="00AF3755">
      <w:pPr>
        <w:pStyle w:val="ListParagraph"/>
        <w:spacing w:after="0" w:line="240" w:lineRule="auto"/>
        <w:ind w:left="360"/>
        <w:rPr>
          <w:rFonts w:ascii="Arial" w:hAnsi="Arial" w:cs="Arial"/>
          <w:sz w:val="20"/>
          <w:szCs w:val="20"/>
        </w:rPr>
      </w:pPr>
    </w:p>
    <w:p w:rsidR="00193026" w:rsidRPr="00AF3755" w:rsidRDefault="0079219C"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3: Research, Monitoring and Advice</w:t>
      </w:r>
    </w:p>
    <w:p w:rsidR="00193026" w:rsidRPr="00AF3755" w:rsidRDefault="00193026"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 xml:space="preserve">The programme aims to revitalise and strengthen the research, monitoring, evaluation and advice capabilities of the CHE to advance the realisation of Outcome 3: </w:t>
      </w:r>
      <w:r w:rsidR="007C0AD2" w:rsidRPr="00AF3755">
        <w:rPr>
          <w:rFonts w:ascii="Arial" w:hAnsi="Arial" w:cs="Arial"/>
          <w:color w:val="000000" w:themeColor="text1"/>
          <w:sz w:val="20"/>
          <w:szCs w:val="20"/>
        </w:rPr>
        <w:t>A</w:t>
      </w:r>
      <w:r w:rsidRPr="00AF3755">
        <w:rPr>
          <w:rFonts w:ascii="Arial" w:hAnsi="Arial" w:cs="Arial"/>
          <w:color w:val="000000" w:themeColor="text1"/>
          <w:sz w:val="20"/>
          <w:szCs w:val="20"/>
        </w:rPr>
        <w:t xml:space="preserve"> reputable centre of intellectual discourse, knowledge generation and advancement </w:t>
      </w:r>
      <w:r w:rsidR="00067E63" w:rsidRPr="00AF3755">
        <w:rPr>
          <w:rFonts w:ascii="Arial" w:hAnsi="Arial" w:cs="Arial"/>
          <w:color w:val="000000" w:themeColor="text1"/>
          <w:sz w:val="20"/>
          <w:szCs w:val="20"/>
        </w:rPr>
        <w:t xml:space="preserve">in </w:t>
      </w:r>
      <w:r w:rsidRPr="00AF3755">
        <w:rPr>
          <w:rFonts w:ascii="Arial" w:hAnsi="Arial" w:cs="Arial"/>
          <w:color w:val="000000" w:themeColor="text1"/>
          <w:sz w:val="20"/>
          <w:szCs w:val="20"/>
        </w:rPr>
        <w:t>higher education.</w:t>
      </w:r>
      <w:r w:rsidR="007C0AD2" w:rsidRPr="00AF3755">
        <w:rPr>
          <w:rFonts w:ascii="Arial" w:hAnsi="Arial" w:cs="Arial"/>
          <w:color w:val="000000" w:themeColor="text1"/>
          <w:sz w:val="20"/>
          <w:szCs w:val="20"/>
        </w:rPr>
        <w:t xml:space="preserve"> The programme had nine targets shared among the three sub-programmes. The programme achieved 100</w:t>
      </w:r>
      <w:r w:rsidR="00067E63" w:rsidRPr="00AF3755">
        <w:rPr>
          <w:rFonts w:ascii="Arial" w:hAnsi="Arial" w:cs="Arial"/>
          <w:color w:val="000000" w:themeColor="text1"/>
          <w:sz w:val="20"/>
          <w:szCs w:val="20"/>
        </w:rPr>
        <w:t xml:space="preserve"> </w:t>
      </w:r>
      <w:r w:rsidR="007C0AD2" w:rsidRPr="00AF3755">
        <w:rPr>
          <w:rFonts w:ascii="Arial" w:hAnsi="Arial" w:cs="Arial"/>
          <w:color w:val="000000" w:themeColor="text1"/>
          <w:sz w:val="20"/>
          <w:szCs w:val="20"/>
        </w:rPr>
        <w:t xml:space="preserve">per cent of the planned targets. </w:t>
      </w:r>
    </w:p>
    <w:p w:rsidR="00BC7848" w:rsidRPr="00AF3755" w:rsidRDefault="00BC7848" w:rsidP="00AF3755">
      <w:pPr>
        <w:pStyle w:val="ListParagraph"/>
        <w:spacing w:after="0" w:line="240" w:lineRule="auto"/>
        <w:ind w:left="0"/>
        <w:rPr>
          <w:rFonts w:ascii="Arial" w:hAnsi="Arial" w:cs="Arial"/>
          <w:color w:val="000000" w:themeColor="text1"/>
          <w:sz w:val="20"/>
          <w:szCs w:val="20"/>
        </w:rPr>
      </w:pPr>
    </w:p>
    <w:p w:rsidR="00BC7848" w:rsidRPr="00AF3755" w:rsidRDefault="00BC7848" w:rsidP="00AF3755">
      <w:pPr>
        <w:pStyle w:val="ListParagraph"/>
        <w:spacing w:after="0" w:line="240" w:lineRule="auto"/>
        <w:ind w:left="0"/>
        <w:rPr>
          <w:rFonts w:ascii="Arial" w:hAnsi="Arial" w:cs="Arial"/>
          <w:b/>
          <w:color w:val="000000" w:themeColor="text1"/>
          <w:sz w:val="20"/>
          <w:szCs w:val="20"/>
        </w:rPr>
      </w:pPr>
      <w:r w:rsidRPr="00AF3755">
        <w:rPr>
          <w:rFonts w:ascii="Arial" w:hAnsi="Arial" w:cs="Arial"/>
          <w:b/>
          <w:color w:val="000000" w:themeColor="text1"/>
          <w:sz w:val="20"/>
          <w:szCs w:val="20"/>
        </w:rPr>
        <w:t>Selected key achievements</w:t>
      </w:r>
    </w:p>
    <w:p w:rsidR="007C0AD2" w:rsidRPr="00AF3755" w:rsidRDefault="0069483D" w:rsidP="00AF3755">
      <w:pPr>
        <w:pStyle w:val="ListParagraph"/>
        <w:numPr>
          <w:ilvl w:val="0"/>
          <w:numId w:val="18"/>
        </w:numPr>
        <w:spacing w:after="0" w:line="240" w:lineRule="auto"/>
        <w:rPr>
          <w:rFonts w:ascii="Arial" w:hAnsi="Arial" w:cs="Arial"/>
          <w:b/>
          <w:sz w:val="20"/>
          <w:szCs w:val="20"/>
        </w:rPr>
      </w:pPr>
      <w:r w:rsidRPr="00AF3755">
        <w:rPr>
          <w:rFonts w:ascii="Arial" w:hAnsi="Arial" w:cs="Arial"/>
          <w:sz w:val="20"/>
          <w:szCs w:val="20"/>
        </w:rPr>
        <w:t xml:space="preserve">The CHE produced three research reports, against </w:t>
      </w:r>
      <w:r w:rsidR="000A3277" w:rsidRPr="00AF3755">
        <w:rPr>
          <w:rFonts w:ascii="Arial" w:hAnsi="Arial" w:cs="Arial"/>
          <w:sz w:val="20"/>
          <w:szCs w:val="20"/>
        </w:rPr>
        <w:t xml:space="preserve">a </w:t>
      </w:r>
      <w:r w:rsidRPr="00AF3755">
        <w:rPr>
          <w:rFonts w:ascii="Arial" w:hAnsi="Arial" w:cs="Arial"/>
          <w:sz w:val="20"/>
          <w:szCs w:val="20"/>
        </w:rPr>
        <w:t>target of two.</w:t>
      </w:r>
    </w:p>
    <w:p w:rsidR="0069483D" w:rsidRPr="00AF3755" w:rsidRDefault="0069483D" w:rsidP="00AF3755">
      <w:pPr>
        <w:pStyle w:val="ListParagraph"/>
        <w:numPr>
          <w:ilvl w:val="0"/>
          <w:numId w:val="18"/>
        </w:numPr>
        <w:spacing w:after="0" w:line="240" w:lineRule="auto"/>
        <w:rPr>
          <w:rFonts w:ascii="Arial" w:hAnsi="Arial" w:cs="Arial"/>
          <w:b/>
          <w:sz w:val="20"/>
          <w:szCs w:val="20"/>
        </w:rPr>
      </w:pPr>
      <w:r w:rsidRPr="00AF3755">
        <w:rPr>
          <w:rFonts w:ascii="Arial" w:hAnsi="Arial" w:cs="Arial"/>
          <w:sz w:val="20"/>
          <w:szCs w:val="20"/>
        </w:rPr>
        <w:t>During the year under review, the CHE organised three conferences, colloquia, seminars, or symposia.</w:t>
      </w:r>
    </w:p>
    <w:p w:rsidR="0069483D" w:rsidRPr="00AF3755" w:rsidRDefault="0080049A" w:rsidP="00AF3755">
      <w:pPr>
        <w:pStyle w:val="ListParagraph"/>
        <w:numPr>
          <w:ilvl w:val="0"/>
          <w:numId w:val="18"/>
        </w:numPr>
        <w:spacing w:after="0" w:line="240" w:lineRule="auto"/>
        <w:rPr>
          <w:rFonts w:ascii="Arial" w:hAnsi="Arial" w:cs="Arial"/>
          <w:b/>
          <w:sz w:val="20"/>
          <w:szCs w:val="20"/>
        </w:rPr>
      </w:pPr>
      <w:r w:rsidRPr="00AF3755">
        <w:rPr>
          <w:rFonts w:ascii="Arial" w:hAnsi="Arial" w:cs="Arial"/>
          <w:sz w:val="20"/>
          <w:szCs w:val="20"/>
        </w:rPr>
        <w:t>The CHE p</w:t>
      </w:r>
      <w:r w:rsidR="0069483D" w:rsidRPr="00AF3755">
        <w:rPr>
          <w:rFonts w:ascii="Arial" w:hAnsi="Arial" w:cs="Arial"/>
          <w:sz w:val="20"/>
          <w:szCs w:val="20"/>
        </w:rPr>
        <w:t>roduced two journals/journal articles or books/book chapters</w:t>
      </w:r>
      <w:r w:rsidRPr="00AF3755">
        <w:rPr>
          <w:rFonts w:ascii="Arial" w:hAnsi="Arial" w:cs="Arial"/>
          <w:sz w:val="20"/>
          <w:szCs w:val="20"/>
        </w:rPr>
        <w:t xml:space="preserve"> and </w:t>
      </w:r>
      <w:r w:rsidR="0069483D" w:rsidRPr="00AF3755">
        <w:rPr>
          <w:rFonts w:ascii="Arial" w:hAnsi="Arial" w:cs="Arial"/>
          <w:sz w:val="20"/>
          <w:szCs w:val="20"/>
        </w:rPr>
        <w:t>four policy briefs or Briefly Speaking articles.</w:t>
      </w:r>
    </w:p>
    <w:p w:rsidR="0069483D" w:rsidRPr="00AF3755" w:rsidRDefault="0069483D" w:rsidP="00AF3755">
      <w:pPr>
        <w:pStyle w:val="ListParagraph"/>
        <w:spacing w:after="0" w:line="240" w:lineRule="auto"/>
        <w:ind w:left="360"/>
        <w:rPr>
          <w:rFonts w:ascii="Arial" w:hAnsi="Arial" w:cs="Arial"/>
          <w:b/>
          <w:sz w:val="20"/>
          <w:szCs w:val="20"/>
        </w:rPr>
      </w:pPr>
      <w:r w:rsidRPr="00AF3755">
        <w:rPr>
          <w:rFonts w:ascii="Arial" w:hAnsi="Arial" w:cs="Arial"/>
          <w:sz w:val="20"/>
          <w:szCs w:val="20"/>
        </w:rPr>
        <w:t xml:space="preserve"> </w:t>
      </w:r>
    </w:p>
    <w:p w:rsidR="0079219C" w:rsidRPr="00AF3755" w:rsidRDefault="0079219C" w:rsidP="00AF3755">
      <w:pPr>
        <w:pStyle w:val="ListParagraph"/>
        <w:numPr>
          <w:ilvl w:val="3"/>
          <w:numId w:val="1"/>
        </w:numPr>
        <w:spacing w:after="0" w:line="240" w:lineRule="auto"/>
        <w:rPr>
          <w:rFonts w:ascii="Arial" w:hAnsi="Arial" w:cs="Arial"/>
          <w:b/>
          <w:sz w:val="20"/>
          <w:szCs w:val="20"/>
        </w:rPr>
      </w:pPr>
      <w:r w:rsidRPr="00AF3755">
        <w:rPr>
          <w:rFonts w:ascii="Arial" w:hAnsi="Arial" w:cs="Arial"/>
          <w:b/>
          <w:sz w:val="20"/>
          <w:szCs w:val="20"/>
        </w:rPr>
        <w:t>Programme 4: Corporate</w:t>
      </w:r>
    </w:p>
    <w:p w:rsidR="00193026" w:rsidRPr="00AF3755" w:rsidRDefault="00193026"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The programme provides leadership, oversight, systems, activities and structures that enable the organisation to operate effectively and efficiently in fulfilment of its mandates and pursuit of its outcomes.</w:t>
      </w:r>
      <w:r w:rsidR="0099667B" w:rsidRPr="00AF3755">
        <w:rPr>
          <w:rFonts w:ascii="Arial" w:hAnsi="Arial" w:cs="Arial"/>
          <w:color w:val="000000" w:themeColor="text1"/>
          <w:sz w:val="20"/>
          <w:szCs w:val="20"/>
        </w:rPr>
        <w:t xml:space="preserve"> The programme contributes to two of the CHE’s five Strategic Outcomes, namely; Strategic Outcome 4: Governance, compliance and risk management and Strategic Outcome 5: Sustainable, responsive and dynamic organisation.</w:t>
      </w:r>
    </w:p>
    <w:p w:rsidR="0099667B" w:rsidRPr="00AF3755" w:rsidRDefault="0099667B" w:rsidP="00AF3755">
      <w:pPr>
        <w:pStyle w:val="ListParagraph"/>
        <w:spacing w:after="0" w:line="240" w:lineRule="auto"/>
        <w:ind w:left="0"/>
        <w:rPr>
          <w:rFonts w:ascii="Arial" w:hAnsi="Arial" w:cs="Arial"/>
          <w:color w:val="000000" w:themeColor="text1"/>
          <w:sz w:val="20"/>
          <w:szCs w:val="20"/>
        </w:rPr>
      </w:pPr>
    </w:p>
    <w:p w:rsidR="005B1D58" w:rsidRPr="00AF3755" w:rsidRDefault="0099667B"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The programme</w:t>
      </w:r>
      <w:r w:rsidR="00067E63" w:rsidRPr="00AF3755">
        <w:rPr>
          <w:rFonts w:ascii="Arial" w:hAnsi="Arial" w:cs="Arial"/>
          <w:color w:val="000000" w:themeColor="text1"/>
          <w:sz w:val="20"/>
          <w:szCs w:val="20"/>
        </w:rPr>
        <w:t>'s</w:t>
      </w:r>
      <w:r w:rsidRPr="00AF3755">
        <w:rPr>
          <w:rFonts w:ascii="Arial" w:hAnsi="Arial" w:cs="Arial"/>
          <w:color w:val="000000" w:themeColor="text1"/>
          <w:sz w:val="20"/>
          <w:szCs w:val="20"/>
        </w:rPr>
        <w:t xml:space="preserve"> 15 targets </w:t>
      </w:r>
      <w:r w:rsidR="00067E63" w:rsidRPr="00AF3755">
        <w:rPr>
          <w:rFonts w:ascii="Arial" w:hAnsi="Arial" w:cs="Arial"/>
          <w:color w:val="000000" w:themeColor="text1"/>
          <w:sz w:val="20"/>
          <w:szCs w:val="20"/>
        </w:rPr>
        <w:t xml:space="preserve">are </w:t>
      </w:r>
      <w:r w:rsidRPr="00AF3755">
        <w:rPr>
          <w:rFonts w:ascii="Arial" w:hAnsi="Arial" w:cs="Arial"/>
          <w:color w:val="000000" w:themeColor="text1"/>
          <w:sz w:val="20"/>
          <w:szCs w:val="20"/>
        </w:rPr>
        <w:t>shared amongst the four sub-programmes.</w:t>
      </w:r>
      <w:r w:rsidR="005B1D58" w:rsidRPr="00AF3755">
        <w:rPr>
          <w:rFonts w:ascii="Arial" w:hAnsi="Arial" w:cs="Arial"/>
          <w:color w:val="000000" w:themeColor="text1"/>
          <w:sz w:val="20"/>
          <w:szCs w:val="20"/>
        </w:rPr>
        <w:t xml:space="preserve"> The programme achieved 14 or 93.3 per cent of the planned targets.</w:t>
      </w:r>
    </w:p>
    <w:p w:rsidR="00E30C0A" w:rsidRPr="00AF3755" w:rsidRDefault="00E30C0A" w:rsidP="00AF3755">
      <w:pPr>
        <w:pStyle w:val="ListParagraph"/>
        <w:spacing w:after="0" w:line="240" w:lineRule="auto"/>
        <w:ind w:left="0"/>
        <w:rPr>
          <w:rFonts w:ascii="Arial" w:hAnsi="Arial" w:cs="Arial"/>
          <w:color w:val="000000" w:themeColor="text1"/>
          <w:sz w:val="20"/>
          <w:szCs w:val="20"/>
        </w:rPr>
      </w:pPr>
    </w:p>
    <w:p w:rsidR="00002EE8" w:rsidRPr="00AF3755" w:rsidRDefault="00002EE8" w:rsidP="00AF3755">
      <w:pPr>
        <w:pStyle w:val="ListParagraph"/>
        <w:spacing w:after="0" w:line="240" w:lineRule="auto"/>
        <w:ind w:left="0"/>
        <w:rPr>
          <w:rFonts w:ascii="Arial" w:hAnsi="Arial" w:cs="Arial"/>
          <w:b/>
          <w:color w:val="000000" w:themeColor="text1"/>
          <w:sz w:val="20"/>
          <w:szCs w:val="20"/>
        </w:rPr>
      </w:pPr>
    </w:p>
    <w:p w:rsidR="005B1D58" w:rsidRPr="00AF3755" w:rsidRDefault="005B1D58" w:rsidP="00AF3755">
      <w:pPr>
        <w:pStyle w:val="ListParagraph"/>
        <w:spacing w:after="0" w:line="240" w:lineRule="auto"/>
        <w:ind w:left="0"/>
        <w:rPr>
          <w:rFonts w:ascii="Arial" w:hAnsi="Arial" w:cs="Arial"/>
          <w:b/>
          <w:color w:val="000000" w:themeColor="text1"/>
          <w:sz w:val="20"/>
          <w:szCs w:val="20"/>
        </w:rPr>
      </w:pPr>
      <w:r w:rsidRPr="00AF3755">
        <w:rPr>
          <w:rFonts w:ascii="Arial" w:hAnsi="Arial" w:cs="Arial"/>
          <w:b/>
          <w:color w:val="000000" w:themeColor="text1"/>
          <w:sz w:val="20"/>
          <w:szCs w:val="20"/>
        </w:rPr>
        <w:t>Selected key achievements</w:t>
      </w:r>
    </w:p>
    <w:p w:rsidR="0099667B" w:rsidRPr="00AF3755" w:rsidRDefault="005B1D58" w:rsidP="00AF3755">
      <w:pPr>
        <w:pStyle w:val="ListParagraph"/>
        <w:numPr>
          <w:ilvl w:val="0"/>
          <w:numId w:val="19"/>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CHE developed or reviewed 11 ICT policies, frameworks, guidelines and procedure</w:t>
      </w:r>
      <w:r w:rsidR="00067E63" w:rsidRPr="00AF3755">
        <w:rPr>
          <w:rFonts w:ascii="Arial" w:hAnsi="Arial" w:cs="Arial"/>
          <w:color w:val="000000" w:themeColor="text1"/>
          <w:sz w:val="20"/>
          <w:szCs w:val="20"/>
        </w:rPr>
        <w:t>s</w:t>
      </w:r>
      <w:r w:rsidRPr="00AF3755">
        <w:rPr>
          <w:rFonts w:ascii="Arial" w:hAnsi="Arial" w:cs="Arial"/>
          <w:color w:val="000000" w:themeColor="text1"/>
          <w:sz w:val="20"/>
          <w:szCs w:val="20"/>
        </w:rPr>
        <w:t>.</w:t>
      </w:r>
    </w:p>
    <w:p w:rsidR="005B1D58" w:rsidRPr="00AF3755" w:rsidRDefault="005B1D58" w:rsidP="00AF3755">
      <w:pPr>
        <w:pStyle w:val="ListParagraph"/>
        <w:numPr>
          <w:ilvl w:val="0"/>
          <w:numId w:val="19"/>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Nine Human Resources policies, frameworks, guidelines and procedures were developed or reviewed.</w:t>
      </w:r>
    </w:p>
    <w:p w:rsidR="005B1D58" w:rsidRPr="00AF3755" w:rsidRDefault="005B1D58" w:rsidP="00AF3755">
      <w:pPr>
        <w:pStyle w:val="ListParagraph"/>
        <w:numPr>
          <w:ilvl w:val="0"/>
          <w:numId w:val="19"/>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lastRenderedPageBreak/>
        <w:t>Eighteen financial and supply chain management policies, frameworks, guidelines, and procedures were developed or reviewed.</w:t>
      </w:r>
    </w:p>
    <w:p w:rsidR="005B1D58" w:rsidRPr="00AF3755" w:rsidRDefault="00960B2E" w:rsidP="00AF3755">
      <w:pPr>
        <w:pStyle w:val="ListParagraph"/>
        <w:numPr>
          <w:ilvl w:val="0"/>
          <w:numId w:val="19"/>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Thirty-four scheduled governance meetings were organised and held.</w:t>
      </w:r>
    </w:p>
    <w:p w:rsidR="00960B2E" w:rsidRPr="00AF3755" w:rsidRDefault="005A6AD6" w:rsidP="00AF3755">
      <w:pPr>
        <w:pStyle w:val="ListParagraph"/>
        <w:numPr>
          <w:ilvl w:val="0"/>
          <w:numId w:val="19"/>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Eighty-seven </w:t>
      </w:r>
      <w:r w:rsidR="0055187A" w:rsidRPr="00AF3755">
        <w:rPr>
          <w:rFonts w:ascii="Arial" w:hAnsi="Arial" w:cs="Arial"/>
          <w:color w:val="000000" w:themeColor="text1"/>
          <w:sz w:val="20"/>
          <w:szCs w:val="20"/>
        </w:rPr>
        <w:t>per cent of the approved posts on the organisational structure had incumbents.</w:t>
      </w:r>
    </w:p>
    <w:p w:rsidR="0055187A" w:rsidRPr="00AF3755" w:rsidRDefault="0055187A" w:rsidP="00AF3755">
      <w:pPr>
        <w:pStyle w:val="ListParagraph"/>
        <w:numPr>
          <w:ilvl w:val="0"/>
          <w:numId w:val="19"/>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 xml:space="preserve">The CHE paid 100 per cent of </w:t>
      </w:r>
      <w:r w:rsidR="009B26FF" w:rsidRPr="00AF3755">
        <w:rPr>
          <w:rFonts w:ascii="Arial" w:hAnsi="Arial" w:cs="Arial"/>
          <w:color w:val="000000" w:themeColor="text1"/>
          <w:sz w:val="20"/>
          <w:szCs w:val="20"/>
        </w:rPr>
        <w:t xml:space="preserve">eligible suppliers within 30 days from </w:t>
      </w:r>
      <w:r w:rsidR="00067E63" w:rsidRPr="00AF3755">
        <w:rPr>
          <w:rFonts w:ascii="Arial" w:hAnsi="Arial" w:cs="Arial"/>
          <w:color w:val="000000" w:themeColor="text1"/>
          <w:sz w:val="20"/>
          <w:szCs w:val="20"/>
        </w:rPr>
        <w:t xml:space="preserve">the </w:t>
      </w:r>
      <w:r w:rsidR="009B26FF" w:rsidRPr="00AF3755">
        <w:rPr>
          <w:rFonts w:ascii="Arial" w:hAnsi="Arial" w:cs="Arial"/>
          <w:color w:val="000000" w:themeColor="text1"/>
          <w:sz w:val="20"/>
          <w:szCs w:val="20"/>
        </w:rPr>
        <w:t>dates of receipt of their invoices.</w:t>
      </w:r>
    </w:p>
    <w:p w:rsidR="009B26FF" w:rsidRPr="00AF3755" w:rsidRDefault="009B26FF" w:rsidP="00AF3755">
      <w:pPr>
        <w:pStyle w:val="ListParagraph"/>
        <w:numPr>
          <w:ilvl w:val="0"/>
          <w:numId w:val="19"/>
        </w:numPr>
        <w:spacing w:after="0" w:line="240" w:lineRule="auto"/>
        <w:rPr>
          <w:rFonts w:ascii="Arial" w:hAnsi="Arial" w:cs="Arial"/>
          <w:color w:val="000000" w:themeColor="text1"/>
          <w:sz w:val="20"/>
          <w:szCs w:val="20"/>
        </w:rPr>
      </w:pPr>
      <w:r w:rsidRPr="00AF3755">
        <w:rPr>
          <w:rFonts w:ascii="Arial" w:hAnsi="Arial" w:cs="Arial"/>
          <w:color w:val="000000" w:themeColor="text1"/>
          <w:sz w:val="20"/>
          <w:szCs w:val="20"/>
        </w:rPr>
        <w:t>The CHE produced 36 media releases, newsletters and other information resources for external stakeholders.</w:t>
      </w:r>
    </w:p>
    <w:p w:rsidR="0069483D" w:rsidRPr="00AF3755" w:rsidRDefault="0069483D" w:rsidP="00AF3755">
      <w:pPr>
        <w:pStyle w:val="ListParagraph"/>
        <w:spacing w:after="0" w:line="240" w:lineRule="auto"/>
        <w:ind w:left="0"/>
        <w:rPr>
          <w:rFonts w:ascii="Arial" w:hAnsi="Arial" w:cs="Arial"/>
          <w:b/>
          <w:sz w:val="20"/>
          <w:szCs w:val="20"/>
        </w:rPr>
      </w:pPr>
    </w:p>
    <w:p w:rsidR="009A75B5" w:rsidRPr="00AF3755" w:rsidRDefault="009A75B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Overview and assessment of the CHE’s 2021/22 budget allocation and expenditure</w:t>
      </w:r>
    </w:p>
    <w:p w:rsidR="001C54CB" w:rsidRPr="00AF3755" w:rsidRDefault="001C54CB" w:rsidP="00AF3755">
      <w:pPr>
        <w:spacing w:after="0" w:line="240" w:lineRule="auto"/>
        <w:rPr>
          <w:rFonts w:ascii="Arial" w:hAnsi="Arial" w:cs="Arial"/>
          <w:sz w:val="20"/>
          <w:szCs w:val="20"/>
        </w:rPr>
      </w:pPr>
      <w:r w:rsidRPr="00AF3755">
        <w:rPr>
          <w:rFonts w:ascii="Arial" w:hAnsi="Arial" w:cs="Arial"/>
          <w:sz w:val="20"/>
          <w:szCs w:val="20"/>
        </w:rPr>
        <w:t>The CHE’s total revenue for the 2021/22 financial year amounted to R79.90 million (R76,16 million in 2020/21). The revenue comprised R8,0 million of exchange revenue (accreditation fees: R6,67 million, Interests received from investment: R1,24 million and Other income: R85 783) and R71,90 million of non-exchange revenue (Government Grant).</w:t>
      </w:r>
      <w:r w:rsidR="00E64FAE" w:rsidRPr="00AF3755">
        <w:rPr>
          <w:rFonts w:ascii="Arial" w:hAnsi="Arial" w:cs="Arial"/>
          <w:sz w:val="20"/>
          <w:szCs w:val="20"/>
        </w:rPr>
        <w:t xml:space="preserve"> The CHE’s total budget</w:t>
      </w:r>
      <w:r w:rsidR="008E2AA6" w:rsidRPr="00AF3755">
        <w:rPr>
          <w:rFonts w:ascii="Arial" w:hAnsi="Arial" w:cs="Arial"/>
          <w:sz w:val="20"/>
          <w:szCs w:val="20"/>
        </w:rPr>
        <w:t>,</w:t>
      </w:r>
      <w:r w:rsidR="00E64FAE" w:rsidRPr="00AF3755">
        <w:rPr>
          <w:rFonts w:ascii="Arial" w:hAnsi="Arial" w:cs="Arial"/>
          <w:sz w:val="20"/>
          <w:szCs w:val="20"/>
        </w:rPr>
        <w:t xml:space="preserve"> including the rollover funds</w:t>
      </w:r>
      <w:r w:rsidR="00067E63" w:rsidRPr="00AF3755">
        <w:rPr>
          <w:rFonts w:ascii="Arial" w:hAnsi="Arial" w:cs="Arial"/>
          <w:sz w:val="20"/>
          <w:szCs w:val="20"/>
        </w:rPr>
        <w:t>,</w:t>
      </w:r>
      <w:r w:rsidR="00E64FAE" w:rsidRPr="00AF3755">
        <w:rPr>
          <w:rFonts w:ascii="Arial" w:hAnsi="Arial" w:cs="Arial"/>
          <w:sz w:val="20"/>
          <w:szCs w:val="20"/>
        </w:rPr>
        <w:t xml:space="preserve"> amounted to R99,59 million.</w:t>
      </w:r>
    </w:p>
    <w:p w:rsidR="00BF275A" w:rsidRPr="00AF3755" w:rsidRDefault="00B355A8" w:rsidP="00AF3755">
      <w:pPr>
        <w:spacing w:after="0" w:line="240" w:lineRule="auto"/>
        <w:rPr>
          <w:rFonts w:ascii="Arial" w:hAnsi="Arial" w:cs="Arial"/>
          <w:sz w:val="20"/>
          <w:szCs w:val="20"/>
        </w:rPr>
      </w:pPr>
      <w:r w:rsidRPr="00AF3755">
        <w:rPr>
          <w:rFonts w:ascii="Arial" w:hAnsi="Arial" w:cs="Arial"/>
          <w:sz w:val="20"/>
          <w:szCs w:val="20"/>
        </w:rPr>
        <w:t>At the end of the</w:t>
      </w:r>
      <w:r w:rsidR="008E2AA6" w:rsidRPr="00AF3755">
        <w:rPr>
          <w:rFonts w:ascii="Arial" w:hAnsi="Arial" w:cs="Arial"/>
          <w:sz w:val="20"/>
          <w:szCs w:val="20"/>
        </w:rPr>
        <w:t xml:space="preserve"> </w:t>
      </w:r>
      <w:r w:rsidRPr="00AF3755">
        <w:rPr>
          <w:rFonts w:ascii="Arial" w:hAnsi="Arial" w:cs="Arial"/>
          <w:sz w:val="20"/>
          <w:szCs w:val="20"/>
        </w:rPr>
        <w:t>2021/22 financial year, the CHE had spent R75,64 million</w:t>
      </w:r>
      <w:r w:rsidR="00B71D9A" w:rsidRPr="00AF3755">
        <w:rPr>
          <w:rFonts w:ascii="Arial" w:hAnsi="Arial" w:cs="Arial"/>
          <w:sz w:val="20"/>
          <w:szCs w:val="20"/>
        </w:rPr>
        <w:t xml:space="preserve"> or </w:t>
      </w:r>
      <w:r w:rsidR="00E64FAE" w:rsidRPr="00AF3755">
        <w:rPr>
          <w:rFonts w:ascii="Arial" w:hAnsi="Arial" w:cs="Arial"/>
          <w:sz w:val="20"/>
          <w:szCs w:val="20"/>
        </w:rPr>
        <w:t>75.7</w:t>
      </w:r>
      <w:r w:rsidR="00B71D9A" w:rsidRPr="00AF3755">
        <w:rPr>
          <w:rFonts w:ascii="Arial" w:hAnsi="Arial" w:cs="Arial"/>
          <w:sz w:val="20"/>
          <w:szCs w:val="20"/>
        </w:rPr>
        <w:t xml:space="preserve"> per cent of the total </w:t>
      </w:r>
      <w:r w:rsidR="00E64FAE" w:rsidRPr="00AF3755">
        <w:rPr>
          <w:rFonts w:ascii="Arial" w:hAnsi="Arial" w:cs="Arial"/>
          <w:sz w:val="20"/>
          <w:szCs w:val="20"/>
        </w:rPr>
        <w:t>budget of R99,59 million</w:t>
      </w:r>
      <w:r w:rsidRPr="00AF3755">
        <w:rPr>
          <w:rFonts w:ascii="Arial" w:hAnsi="Arial" w:cs="Arial"/>
          <w:sz w:val="20"/>
          <w:szCs w:val="20"/>
        </w:rPr>
        <w:t xml:space="preserve">, recording lower </w:t>
      </w:r>
      <w:r w:rsidR="00067E63" w:rsidRPr="00AF3755">
        <w:rPr>
          <w:rFonts w:ascii="Arial" w:hAnsi="Arial" w:cs="Arial"/>
          <w:sz w:val="20"/>
          <w:szCs w:val="20"/>
        </w:rPr>
        <w:t>than-</w:t>
      </w:r>
      <w:r w:rsidRPr="00AF3755">
        <w:rPr>
          <w:rFonts w:ascii="Arial" w:hAnsi="Arial" w:cs="Arial"/>
          <w:sz w:val="20"/>
          <w:szCs w:val="20"/>
        </w:rPr>
        <w:t>projected spending of R</w:t>
      </w:r>
      <w:r w:rsidR="00E64FAE" w:rsidRPr="00AF3755">
        <w:rPr>
          <w:rFonts w:ascii="Arial" w:hAnsi="Arial" w:cs="Arial"/>
          <w:sz w:val="20"/>
          <w:szCs w:val="20"/>
        </w:rPr>
        <w:t>23,97</w:t>
      </w:r>
      <w:r w:rsidRPr="00AF3755">
        <w:rPr>
          <w:rFonts w:ascii="Arial" w:hAnsi="Arial" w:cs="Arial"/>
          <w:sz w:val="20"/>
          <w:szCs w:val="20"/>
        </w:rPr>
        <w:t xml:space="preserve"> million. </w:t>
      </w:r>
      <w:r w:rsidR="00511057" w:rsidRPr="00AF3755">
        <w:rPr>
          <w:rFonts w:ascii="Arial" w:hAnsi="Arial" w:cs="Arial"/>
          <w:sz w:val="20"/>
          <w:szCs w:val="20"/>
        </w:rPr>
        <w:t>The underspending</w:t>
      </w:r>
      <w:r w:rsidR="00067E63" w:rsidRPr="00AF3755">
        <w:rPr>
          <w:rFonts w:ascii="Arial" w:hAnsi="Arial" w:cs="Arial"/>
          <w:sz w:val="20"/>
          <w:szCs w:val="20"/>
        </w:rPr>
        <w:t xml:space="preserve"> of</w:t>
      </w:r>
      <w:r w:rsidR="00511057" w:rsidRPr="00AF3755">
        <w:rPr>
          <w:rFonts w:ascii="Arial" w:hAnsi="Arial" w:cs="Arial"/>
          <w:sz w:val="20"/>
          <w:szCs w:val="20"/>
        </w:rPr>
        <w:t xml:space="preserve"> cost of employees amounted </w:t>
      </w:r>
      <w:r w:rsidR="00067E63" w:rsidRPr="00AF3755">
        <w:rPr>
          <w:rFonts w:ascii="Arial" w:hAnsi="Arial" w:cs="Arial"/>
          <w:sz w:val="20"/>
          <w:szCs w:val="20"/>
        </w:rPr>
        <w:t xml:space="preserve">to </w:t>
      </w:r>
      <w:r w:rsidR="00511057" w:rsidRPr="00AF3755">
        <w:rPr>
          <w:rFonts w:ascii="Arial" w:hAnsi="Arial" w:cs="Arial"/>
          <w:sz w:val="20"/>
          <w:szCs w:val="20"/>
        </w:rPr>
        <w:t xml:space="preserve">R864 973 and was ascribed to seven vacant posts that were not filled </w:t>
      </w:r>
      <w:r w:rsidR="00BF275A" w:rsidRPr="00AF3755">
        <w:rPr>
          <w:rFonts w:ascii="Arial" w:hAnsi="Arial" w:cs="Arial"/>
          <w:sz w:val="20"/>
          <w:szCs w:val="20"/>
        </w:rPr>
        <w:t xml:space="preserve">timeously due to unforeseen delays; including the budgeted applicable rates increase in the cost of living not paid as per instruction from the National treasury due to national budget constraints and labour disputes with labour unions in the country. </w:t>
      </w:r>
    </w:p>
    <w:p w:rsidR="007A2868" w:rsidRPr="00AF3755" w:rsidRDefault="001A078B" w:rsidP="00AF3755">
      <w:pPr>
        <w:spacing w:after="0" w:line="240" w:lineRule="auto"/>
        <w:rPr>
          <w:rFonts w:ascii="Arial" w:hAnsi="Arial" w:cs="Arial"/>
          <w:sz w:val="20"/>
          <w:szCs w:val="20"/>
        </w:rPr>
      </w:pPr>
      <w:r w:rsidRPr="00AF3755">
        <w:rPr>
          <w:rFonts w:ascii="Arial" w:hAnsi="Arial" w:cs="Arial"/>
          <w:sz w:val="20"/>
          <w:szCs w:val="20"/>
        </w:rPr>
        <w:t xml:space="preserve">The bulk of the underspending, at 96.3 per cent was on goods and services. The CHE reported that the underspending was due to </w:t>
      </w:r>
      <w:r w:rsidR="00067E63" w:rsidRPr="00AF3755">
        <w:rPr>
          <w:rFonts w:ascii="Arial" w:hAnsi="Arial" w:cs="Arial"/>
          <w:sz w:val="20"/>
          <w:szCs w:val="20"/>
        </w:rPr>
        <w:t xml:space="preserve">fewer </w:t>
      </w:r>
      <w:r w:rsidRPr="00AF3755">
        <w:rPr>
          <w:rFonts w:ascii="Arial" w:hAnsi="Arial" w:cs="Arial"/>
          <w:sz w:val="20"/>
          <w:szCs w:val="20"/>
        </w:rPr>
        <w:t xml:space="preserve">legal claims for the period under review and </w:t>
      </w:r>
      <w:r w:rsidR="00067E63" w:rsidRPr="00AF3755">
        <w:rPr>
          <w:rFonts w:ascii="Arial" w:hAnsi="Arial" w:cs="Arial"/>
          <w:sz w:val="20"/>
          <w:szCs w:val="20"/>
        </w:rPr>
        <w:t xml:space="preserve">the </w:t>
      </w:r>
      <w:r w:rsidRPr="00AF3755">
        <w:rPr>
          <w:rFonts w:ascii="Arial" w:hAnsi="Arial" w:cs="Arial"/>
          <w:sz w:val="20"/>
          <w:szCs w:val="20"/>
        </w:rPr>
        <w:t>cancellation of some governance meetings</w:t>
      </w:r>
      <w:r w:rsidR="007A2868" w:rsidRPr="00AF3755">
        <w:rPr>
          <w:rFonts w:ascii="Arial" w:hAnsi="Arial" w:cs="Arial"/>
          <w:sz w:val="20"/>
          <w:szCs w:val="20"/>
        </w:rPr>
        <w:t>; t</w:t>
      </w:r>
      <w:r w:rsidRPr="00AF3755">
        <w:rPr>
          <w:rFonts w:ascii="Arial" w:hAnsi="Arial" w:cs="Arial"/>
          <w:sz w:val="20"/>
          <w:szCs w:val="20"/>
        </w:rPr>
        <w:t>he approved rollover of funds was received in October 2021 and was not fully spent because of the time taken to conclude IT procurement processes, as much as the funds were allocated to IT projects</w:t>
      </w:r>
      <w:r w:rsidR="007A2868" w:rsidRPr="00AF3755">
        <w:rPr>
          <w:rFonts w:ascii="Arial" w:hAnsi="Arial" w:cs="Arial"/>
          <w:sz w:val="20"/>
          <w:szCs w:val="20"/>
        </w:rPr>
        <w:t xml:space="preserve">; less payment of Honorarium vouchers for national reviews, no international registration fees paid for the period under review; no printing of publication for Good Practice requested for the period under review; no 3G cards/data claims made by the peer academics for policy development and partnerships and collaboration project; non-usage of conference registration fees budget and less contracted Peer Academics for the assessment of higher education institutions and less accreditation Evaluator </w:t>
      </w:r>
      <w:r w:rsidR="00581BD6" w:rsidRPr="00AF3755">
        <w:rPr>
          <w:rFonts w:ascii="Arial" w:hAnsi="Arial" w:cs="Arial"/>
          <w:sz w:val="20"/>
          <w:szCs w:val="20"/>
        </w:rPr>
        <w:t>c</w:t>
      </w:r>
      <w:r w:rsidR="007A2868" w:rsidRPr="00AF3755">
        <w:rPr>
          <w:rFonts w:ascii="Arial" w:hAnsi="Arial" w:cs="Arial"/>
          <w:sz w:val="20"/>
          <w:szCs w:val="20"/>
        </w:rPr>
        <w:t>laims.</w:t>
      </w:r>
    </w:p>
    <w:p w:rsidR="00B355A8" w:rsidRPr="00AF3755" w:rsidRDefault="00AC7372" w:rsidP="00AF3755">
      <w:pPr>
        <w:spacing w:after="0" w:line="240" w:lineRule="auto"/>
        <w:rPr>
          <w:rFonts w:ascii="Arial" w:hAnsi="Arial" w:cs="Arial"/>
          <w:sz w:val="20"/>
          <w:szCs w:val="20"/>
        </w:rPr>
      </w:pPr>
      <w:r w:rsidRPr="00AF3755">
        <w:rPr>
          <w:rFonts w:ascii="Arial" w:hAnsi="Arial" w:cs="Arial"/>
          <w:sz w:val="20"/>
          <w:szCs w:val="20"/>
        </w:rPr>
        <w:t>The cost drivers in terms of the general expenses include amongst others; Peer academics: R12,04 million, I</w:t>
      </w:r>
      <w:r w:rsidR="00067E63" w:rsidRPr="00AF3755">
        <w:rPr>
          <w:rFonts w:ascii="Arial" w:hAnsi="Arial" w:cs="Arial"/>
          <w:sz w:val="20"/>
          <w:szCs w:val="20"/>
        </w:rPr>
        <w:t>T</w:t>
      </w:r>
      <w:r w:rsidRPr="00AF3755">
        <w:rPr>
          <w:rFonts w:ascii="Arial" w:hAnsi="Arial" w:cs="Arial"/>
          <w:sz w:val="20"/>
          <w:szCs w:val="20"/>
        </w:rPr>
        <w:t xml:space="preserve"> expenses: R4,92 million, Consultancy services and Sub-committee members: R2,28 million, Remuneration of Council and Committee members: 2,02 million, Legal fees: R1,37 million</w:t>
      </w:r>
      <w:r w:rsidR="00906214" w:rsidRPr="00AF3755">
        <w:rPr>
          <w:rFonts w:ascii="Arial" w:hAnsi="Arial" w:cs="Arial"/>
          <w:sz w:val="20"/>
          <w:szCs w:val="20"/>
        </w:rPr>
        <w:t xml:space="preserve">, Auditors’ remuneration: R1,14 million and recruitment: R1,05 million. </w:t>
      </w:r>
    </w:p>
    <w:p w:rsidR="00EC4358" w:rsidRPr="00AF3755" w:rsidRDefault="00EC4358"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Irregular, fruitless and wasteful expenditure</w:t>
      </w:r>
    </w:p>
    <w:p w:rsidR="00EC4358" w:rsidRPr="00AF3755" w:rsidRDefault="006275D9"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CHE did not incur irregular expenditure for 2021/22. However, it has incurred fruitless and wasteful expenditure amounting to R577,00 related to </w:t>
      </w:r>
      <w:r w:rsidR="00D229F0" w:rsidRPr="00AF3755">
        <w:rPr>
          <w:rFonts w:ascii="Arial" w:hAnsi="Arial" w:cs="Arial"/>
          <w:sz w:val="20"/>
          <w:szCs w:val="20"/>
        </w:rPr>
        <w:t xml:space="preserve">the </w:t>
      </w:r>
      <w:r w:rsidRPr="00AF3755">
        <w:rPr>
          <w:rFonts w:ascii="Arial" w:hAnsi="Arial" w:cs="Arial"/>
          <w:sz w:val="20"/>
          <w:szCs w:val="20"/>
        </w:rPr>
        <w:t xml:space="preserve">interest charged </w:t>
      </w:r>
      <w:r w:rsidR="00373639" w:rsidRPr="00AF3755">
        <w:rPr>
          <w:rFonts w:ascii="Arial" w:hAnsi="Arial" w:cs="Arial"/>
          <w:sz w:val="20"/>
          <w:szCs w:val="20"/>
        </w:rPr>
        <w:t>on the late payment of a service provider invoice that was sent to an email of a resigned CHE official</w:t>
      </w:r>
      <w:r w:rsidRPr="00AF3755">
        <w:rPr>
          <w:rFonts w:ascii="Arial" w:hAnsi="Arial" w:cs="Arial"/>
          <w:sz w:val="20"/>
          <w:szCs w:val="20"/>
        </w:rPr>
        <w:t xml:space="preserve"> The CHE reported that the amount was written off as per Financial Misconduct Committee because the concerned employee was not found guilty of negligence.</w:t>
      </w:r>
    </w:p>
    <w:p w:rsidR="00067E63" w:rsidRPr="00AF3755" w:rsidRDefault="00067E63" w:rsidP="00AF3755">
      <w:pPr>
        <w:pStyle w:val="ListParagraph"/>
        <w:spacing w:after="0" w:line="240" w:lineRule="auto"/>
        <w:ind w:left="0"/>
        <w:rPr>
          <w:rFonts w:ascii="Arial" w:hAnsi="Arial" w:cs="Arial"/>
          <w:sz w:val="20"/>
          <w:szCs w:val="20"/>
        </w:rPr>
      </w:pPr>
    </w:p>
    <w:p w:rsidR="00CD58E0" w:rsidRPr="00AF3755" w:rsidRDefault="00CD58E0"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Contingent liability</w:t>
      </w:r>
    </w:p>
    <w:p w:rsidR="009B6564" w:rsidRPr="00AF3755" w:rsidRDefault="009B6564"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CHE had unspent cash of R24,125,492 from the budget of the year under review. This unspent cash is ordinarily supposed to be transferred back to </w:t>
      </w:r>
      <w:r w:rsidR="00991D6A" w:rsidRPr="00AF3755">
        <w:rPr>
          <w:rFonts w:ascii="Arial" w:hAnsi="Arial" w:cs="Arial"/>
          <w:sz w:val="20"/>
          <w:szCs w:val="20"/>
        </w:rPr>
        <w:t xml:space="preserve">the </w:t>
      </w:r>
      <w:r w:rsidRPr="00AF3755">
        <w:rPr>
          <w:rFonts w:ascii="Arial" w:hAnsi="Arial" w:cs="Arial"/>
          <w:sz w:val="20"/>
          <w:szCs w:val="20"/>
        </w:rPr>
        <w:t xml:space="preserve">National Treasury according to section 53(3) of the PFMA. The CHE has requested the retention of these funds from </w:t>
      </w:r>
      <w:r w:rsidR="00991D6A" w:rsidRPr="00AF3755">
        <w:rPr>
          <w:rFonts w:ascii="Arial" w:hAnsi="Arial" w:cs="Arial"/>
          <w:sz w:val="20"/>
          <w:szCs w:val="20"/>
        </w:rPr>
        <w:t xml:space="preserve">the </w:t>
      </w:r>
      <w:r w:rsidRPr="00AF3755">
        <w:rPr>
          <w:rFonts w:ascii="Arial" w:hAnsi="Arial" w:cs="Arial"/>
          <w:sz w:val="20"/>
          <w:szCs w:val="20"/>
        </w:rPr>
        <w:t xml:space="preserve">National Treasury to cater for the commitments made as well as the development of the </w:t>
      </w:r>
      <w:r w:rsidR="004F5D0B" w:rsidRPr="00AF3755">
        <w:rPr>
          <w:rFonts w:ascii="Arial" w:hAnsi="Arial" w:cs="Arial"/>
          <w:sz w:val="20"/>
          <w:szCs w:val="20"/>
        </w:rPr>
        <w:t>Quality Assurance Framework (</w:t>
      </w:r>
      <w:r w:rsidRPr="00AF3755">
        <w:rPr>
          <w:rFonts w:ascii="Arial" w:hAnsi="Arial" w:cs="Arial"/>
          <w:sz w:val="20"/>
          <w:szCs w:val="20"/>
        </w:rPr>
        <w:t>QAF</w:t>
      </w:r>
      <w:r w:rsidR="004F5D0B" w:rsidRPr="00AF3755">
        <w:rPr>
          <w:rFonts w:ascii="Arial" w:hAnsi="Arial" w:cs="Arial"/>
          <w:sz w:val="20"/>
          <w:szCs w:val="20"/>
        </w:rPr>
        <w:t>)</w:t>
      </w:r>
      <w:r w:rsidRPr="00AF3755">
        <w:rPr>
          <w:rFonts w:ascii="Arial" w:hAnsi="Arial" w:cs="Arial"/>
          <w:sz w:val="20"/>
          <w:szCs w:val="20"/>
        </w:rPr>
        <w:t xml:space="preserve"> MIS in the 2022-23 financial year.</w:t>
      </w:r>
    </w:p>
    <w:p w:rsidR="00CD58E0" w:rsidRPr="00AF3755" w:rsidRDefault="00CD58E0" w:rsidP="00AF3755">
      <w:pPr>
        <w:pStyle w:val="ListParagraph"/>
        <w:spacing w:after="0" w:line="240" w:lineRule="auto"/>
        <w:ind w:left="0"/>
        <w:rPr>
          <w:rFonts w:ascii="Arial" w:hAnsi="Arial" w:cs="Arial"/>
          <w:sz w:val="20"/>
          <w:szCs w:val="20"/>
        </w:rPr>
      </w:pPr>
    </w:p>
    <w:p w:rsidR="009A75B5" w:rsidRPr="00AF3755" w:rsidRDefault="009A75B5"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2021/22 Audit outcomes</w:t>
      </w:r>
    </w:p>
    <w:p w:rsidR="00F017D4" w:rsidRPr="00AF3755" w:rsidRDefault="00182C86" w:rsidP="00AF3755">
      <w:pPr>
        <w:pStyle w:val="ListParagraph"/>
        <w:spacing w:after="0" w:line="240" w:lineRule="auto"/>
        <w:ind w:left="0"/>
        <w:rPr>
          <w:rFonts w:ascii="Arial" w:hAnsi="Arial" w:cs="Arial"/>
          <w:sz w:val="20"/>
          <w:szCs w:val="20"/>
        </w:rPr>
      </w:pPr>
      <w:r w:rsidRPr="00AF3755">
        <w:rPr>
          <w:rFonts w:ascii="Arial" w:hAnsi="Arial" w:cs="Arial"/>
          <w:sz w:val="20"/>
          <w:szCs w:val="20"/>
        </w:rPr>
        <w:t>The CHE obtained an unqualified audit op</w:t>
      </w:r>
      <w:r w:rsidR="0061377D" w:rsidRPr="00AF3755">
        <w:rPr>
          <w:rFonts w:ascii="Arial" w:hAnsi="Arial" w:cs="Arial"/>
          <w:sz w:val="20"/>
          <w:szCs w:val="20"/>
        </w:rPr>
        <w:t>inion with findings from the AG for the second consecutive audit cycle.</w:t>
      </w:r>
    </w:p>
    <w:p w:rsidR="00E30C0A" w:rsidRPr="00AF3755" w:rsidRDefault="00E30C0A" w:rsidP="00AF3755">
      <w:pPr>
        <w:spacing w:after="0" w:line="240" w:lineRule="auto"/>
        <w:rPr>
          <w:rFonts w:ascii="Arial" w:hAnsi="Arial" w:cs="Arial"/>
          <w:b/>
          <w:w w:val="105"/>
          <w:sz w:val="20"/>
          <w:szCs w:val="20"/>
        </w:rPr>
      </w:pPr>
      <w:r w:rsidRPr="00AF3755">
        <w:rPr>
          <w:rFonts w:ascii="Arial" w:hAnsi="Arial" w:cs="Arial"/>
          <w:b/>
          <w:w w:val="105"/>
          <w:sz w:val="20"/>
          <w:szCs w:val="20"/>
        </w:rPr>
        <w:t>The material findings on compliance with the specific matters in key legislation are as follows:</w:t>
      </w:r>
    </w:p>
    <w:p w:rsidR="00E30C0A" w:rsidRPr="00AF3755" w:rsidRDefault="00E30C0A" w:rsidP="00AF3755">
      <w:pPr>
        <w:spacing w:after="0" w:line="240" w:lineRule="auto"/>
        <w:rPr>
          <w:rFonts w:ascii="Arial" w:hAnsi="Arial" w:cs="Arial"/>
          <w:b/>
          <w:w w:val="105"/>
          <w:sz w:val="20"/>
          <w:szCs w:val="20"/>
        </w:rPr>
      </w:pPr>
      <w:r w:rsidRPr="00AF3755">
        <w:rPr>
          <w:rFonts w:ascii="Arial" w:hAnsi="Arial" w:cs="Arial"/>
          <w:b/>
          <w:w w:val="105"/>
          <w:sz w:val="20"/>
          <w:szCs w:val="20"/>
        </w:rPr>
        <w:t>Audit findings</w:t>
      </w:r>
    </w:p>
    <w:p w:rsidR="00E30C0A" w:rsidRPr="00AF3755" w:rsidRDefault="00E30C0A" w:rsidP="00AF3755">
      <w:pPr>
        <w:pStyle w:val="ListParagraph"/>
        <w:numPr>
          <w:ilvl w:val="0"/>
          <w:numId w:val="20"/>
        </w:numPr>
        <w:spacing w:after="0" w:line="240" w:lineRule="auto"/>
        <w:rPr>
          <w:rFonts w:ascii="Arial" w:hAnsi="Arial" w:cs="Arial"/>
          <w:b/>
          <w:w w:val="105"/>
          <w:sz w:val="20"/>
          <w:szCs w:val="20"/>
        </w:rPr>
      </w:pPr>
      <w:r w:rsidRPr="00AF3755">
        <w:rPr>
          <w:rFonts w:ascii="Arial" w:hAnsi="Arial" w:cs="Arial"/>
          <w:b/>
          <w:w w:val="105"/>
          <w:sz w:val="20"/>
          <w:szCs w:val="20"/>
        </w:rPr>
        <w:t xml:space="preserve">Financial Statements: </w:t>
      </w:r>
      <w:r w:rsidRPr="00AF3755">
        <w:rPr>
          <w:rFonts w:ascii="Arial" w:hAnsi="Arial" w:cs="Arial"/>
          <w:w w:val="105"/>
          <w:sz w:val="20"/>
          <w:szCs w:val="20"/>
        </w:rPr>
        <w:t xml:space="preserve">The AG noted that the financial statements submitted for auditing were not fully prepared in accordance with the prescribed financial reporting framework, as required by section 55(1) (b) of the PFMA. The AG identified material misstatements in the financial statements during the audit and identified errors in the classification of certain amounts within cash flows from operating activities on the face of the Cash Flow Statement. </w:t>
      </w:r>
      <w:r w:rsidRPr="00AF3755">
        <w:rPr>
          <w:rFonts w:ascii="Arial" w:hAnsi="Arial" w:cs="Arial"/>
          <w:w w:val="105"/>
          <w:sz w:val="20"/>
          <w:szCs w:val="20"/>
        </w:rPr>
        <w:lastRenderedPageBreak/>
        <w:t>These misstatements were not prevented or detected by the entity’s system of internal control.</w:t>
      </w:r>
    </w:p>
    <w:p w:rsidR="00E30C0A" w:rsidRPr="00AF3755" w:rsidRDefault="00E30C0A" w:rsidP="00AF3755">
      <w:pPr>
        <w:pStyle w:val="ListParagraph"/>
        <w:numPr>
          <w:ilvl w:val="0"/>
          <w:numId w:val="20"/>
        </w:numPr>
        <w:spacing w:after="0" w:line="240" w:lineRule="auto"/>
        <w:rPr>
          <w:rFonts w:ascii="Arial" w:hAnsi="Arial" w:cs="Arial"/>
          <w:w w:val="105"/>
          <w:sz w:val="20"/>
          <w:szCs w:val="20"/>
        </w:rPr>
      </w:pPr>
      <w:r w:rsidRPr="00AF3755">
        <w:rPr>
          <w:rFonts w:ascii="Arial" w:hAnsi="Arial" w:cs="Arial"/>
          <w:b/>
          <w:w w:val="105"/>
          <w:sz w:val="20"/>
          <w:szCs w:val="20"/>
        </w:rPr>
        <w:t xml:space="preserve">Internal Control Deficiencies: </w:t>
      </w:r>
      <w:r w:rsidRPr="00AF3755">
        <w:rPr>
          <w:rFonts w:ascii="Arial" w:hAnsi="Arial" w:cs="Arial"/>
          <w:w w:val="105"/>
          <w:sz w:val="20"/>
          <w:szCs w:val="20"/>
        </w:rPr>
        <w:t xml:space="preserve">Management did not implement controls to review the cash flow statement to ensure that the amounts disclosed in the financial statements presented for audit </w:t>
      </w:r>
      <w:r w:rsidR="00991D6A" w:rsidRPr="00AF3755">
        <w:rPr>
          <w:rFonts w:ascii="Arial" w:hAnsi="Arial" w:cs="Arial"/>
          <w:w w:val="105"/>
          <w:sz w:val="20"/>
          <w:szCs w:val="20"/>
        </w:rPr>
        <w:t xml:space="preserve">were </w:t>
      </w:r>
      <w:r w:rsidRPr="00AF3755">
        <w:rPr>
          <w:rFonts w:ascii="Arial" w:hAnsi="Arial" w:cs="Arial"/>
          <w:w w:val="105"/>
          <w:sz w:val="20"/>
          <w:szCs w:val="20"/>
        </w:rPr>
        <w:t>free from material misstatement.</w:t>
      </w:r>
    </w:p>
    <w:p w:rsidR="00E30C0A" w:rsidRPr="00AF3755" w:rsidRDefault="00E30C0A" w:rsidP="00AF3755">
      <w:pPr>
        <w:pStyle w:val="ListParagraph"/>
        <w:spacing w:after="0" w:line="240" w:lineRule="auto"/>
        <w:ind w:left="0"/>
        <w:rPr>
          <w:rFonts w:ascii="Arial" w:hAnsi="Arial" w:cs="Arial"/>
          <w:sz w:val="20"/>
          <w:szCs w:val="20"/>
        </w:rPr>
      </w:pPr>
    </w:p>
    <w:p w:rsidR="004200F7" w:rsidRPr="00AF3755" w:rsidRDefault="009A75B5"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Future outlook</w:t>
      </w:r>
    </w:p>
    <w:p w:rsidR="001B085B" w:rsidRPr="00AF3755" w:rsidRDefault="001B085B" w:rsidP="00AF3755">
      <w:pPr>
        <w:pStyle w:val="ListParagraph"/>
        <w:spacing w:after="0" w:line="240" w:lineRule="auto"/>
        <w:ind w:left="0"/>
        <w:rPr>
          <w:rFonts w:ascii="Arial" w:hAnsi="Arial" w:cs="Arial"/>
          <w:sz w:val="20"/>
          <w:szCs w:val="20"/>
        </w:rPr>
      </w:pPr>
      <w:r w:rsidRPr="00AF3755">
        <w:rPr>
          <w:rFonts w:ascii="Arial" w:hAnsi="Arial" w:cs="Arial"/>
          <w:sz w:val="20"/>
          <w:szCs w:val="20"/>
        </w:rPr>
        <w:t xml:space="preserve">The CHE reported that 2022/23’s budget is under significant pressure as the institutional audits get fully underway, and it is highly likely that </w:t>
      </w:r>
      <w:r w:rsidR="00067E63" w:rsidRPr="00AF3755">
        <w:rPr>
          <w:rFonts w:ascii="Arial" w:hAnsi="Arial" w:cs="Arial"/>
          <w:sz w:val="20"/>
          <w:szCs w:val="20"/>
        </w:rPr>
        <w:t xml:space="preserve">the </w:t>
      </w:r>
      <w:r w:rsidRPr="00AF3755">
        <w:rPr>
          <w:rFonts w:ascii="Arial" w:hAnsi="Arial" w:cs="Arial"/>
          <w:sz w:val="20"/>
          <w:szCs w:val="20"/>
        </w:rPr>
        <w:t>budget will be fully spent. The compensation of employees’ budget allocation is a severe limitation on the ability of the CHE to implement its full organizational structure and this will be even more of a challenge as the revised organizational structure to support the implementation of the new Quality Assurance Framework is finalised.</w:t>
      </w:r>
      <w:r w:rsidR="003F303C" w:rsidRPr="00AF3755">
        <w:rPr>
          <w:rFonts w:ascii="Arial" w:hAnsi="Arial" w:cs="Arial"/>
          <w:sz w:val="20"/>
          <w:szCs w:val="20"/>
        </w:rPr>
        <w:t xml:space="preserve"> It was further reported that the CHE mandate is expanding, for example, it is taking over the Transformation Oversight function for the higher education sector. The CHE will need to expand its work to cover the higher education colleges that are becoming part of the higher education sector. These functions do require a resource injection to enable them to be executed effectively.</w:t>
      </w:r>
    </w:p>
    <w:p w:rsidR="006D49E5" w:rsidRPr="00AF3755" w:rsidRDefault="006D49E5" w:rsidP="00AF3755">
      <w:pPr>
        <w:pStyle w:val="ListParagraph"/>
        <w:spacing w:after="0" w:line="240" w:lineRule="auto"/>
        <w:ind w:left="0"/>
        <w:rPr>
          <w:rFonts w:ascii="Arial" w:hAnsi="Arial" w:cs="Arial"/>
          <w:sz w:val="20"/>
          <w:szCs w:val="20"/>
        </w:rPr>
      </w:pPr>
    </w:p>
    <w:p w:rsidR="005F51F5" w:rsidRPr="00AF3755" w:rsidRDefault="005F51F5" w:rsidP="00AF3755">
      <w:pPr>
        <w:pStyle w:val="ListParagraph"/>
        <w:numPr>
          <w:ilvl w:val="0"/>
          <w:numId w:val="1"/>
        </w:numPr>
        <w:spacing w:after="0" w:line="240" w:lineRule="auto"/>
        <w:rPr>
          <w:rFonts w:ascii="Arial" w:hAnsi="Arial" w:cs="Arial"/>
          <w:b/>
          <w:sz w:val="20"/>
          <w:szCs w:val="20"/>
        </w:rPr>
      </w:pPr>
      <w:r w:rsidRPr="00AF3755">
        <w:rPr>
          <w:rFonts w:ascii="Arial" w:hAnsi="Arial" w:cs="Arial"/>
          <w:b/>
          <w:sz w:val="20"/>
          <w:szCs w:val="20"/>
        </w:rPr>
        <w:t>OBSERVATIONS AND KEY FINDINGS</w:t>
      </w:r>
    </w:p>
    <w:p w:rsidR="000B77CE" w:rsidRPr="00AF3755" w:rsidRDefault="000B77CE"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t>The Committee, having assessed the 2021/22 Annual Reports of the Departments and entities, made the following observations and key findings.</w:t>
      </w:r>
    </w:p>
    <w:p w:rsidR="007F69BD" w:rsidRPr="00AF3755" w:rsidRDefault="007F69BD" w:rsidP="00AF3755">
      <w:pPr>
        <w:pStyle w:val="ListParagraph"/>
        <w:spacing w:after="0" w:line="240" w:lineRule="auto"/>
        <w:ind w:left="432"/>
        <w:rPr>
          <w:rFonts w:ascii="Arial" w:hAnsi="Arial" w:cs="Arial"/>
          <w:b/>
          <w:sz w:val="20"/>
          <w:szCs w:val="20"/>
        </w:rPr>
      </w:pPr>
    </w:p>
    <w:p w:rsidR="005F51F5" w:rsidRPr="00AF3755" w:rsidRDefault="005F51F5"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Department of Higher Education and Training</w:t>
      </w:r>
    </w:p>
    <w:p w:rsidR="000B77CE" w:rsidRPr="00AF3755" w:rsidRDefault="000B77CE"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1: Administration</w:t>
      </w:r>
    </w:p>
    <w:p w:rsidR="001807CA" w:rsidRPr="00AF3755" w:rsidRDefault="000B77CE" w:rsidP="00AF3755">
      <w:pPr>
        <w:pStyle w:val="ListParagraph"/>
        <w:numPr>
          <w:ilvl w:val="0"/>
          <w:numId w:val="40"/>
        </w:numPr>
        <w:spacing w:after="0" w:line="240" w:lineRule="auto"/>
        <w:rPr>
          <w:rFonts w:ascii="Arial" w:hAnsi="Arial" w:cs="Arial"/>
          <w:b/>
          <w:sz w:val="20"/>
          <w:szCs w:val="20"/>
        </w:rPr>
      </w:pPr>
      <w:r w:rsidRPr="00AF3755">
        <w:rPr>
          <w:rFonts w:ascii="Arial" w:hAnsi="Arial" w:cs="Arial"/>
          <w:sz w:val="20"/>
          <w:szCs w:val="20"/>
        </w:rPr>
        <w:t>The Committee has noted the improvements in the performance of this programme as the Department fill</w:t>
      </w:r>
      <w:r w:rsidR="006D6A73" w:rsidRPr="00AF3755">
        <w:rPr>
          <w:rFonts w:ascii="Arial" w:hAnsi="Arial" w:cs="Arial"/>
          <w:sz w:val="20"/>
          <w:szCs w:val="20"/>
        </w:rPr>
        <w:t>ed</w:t>
      </w:r>
      <w:r w:rsidRPr="00AF3755">
        <w:rPr>
          <w:rFonts w:ascii="Arial" w:hAnsi="Arial" w:cs="Arial"/>
          <w:sz w:val="20"/>
          <w:szCs w:val="20"/>
        </w:rPr>
        <w:t xml:space="preserve"> vacant positions within its stipulated timeframes and conclude</w:t>
      </w:r>
      <w:r w:rsidR="006D49E5" w:rsidRPr="00AF3755">
        <w:rPr>
          <w:rFonts w:ascii="Arial" w:hAnsi="Arial" w:cs="Arial"/>
          <w:sz w:val="20"/>
          <w:szCs w:val="20"/>
        </w:rPr>
        <w:t>d</w:t>
      </w:r>
      <w:r w:rsidRPr="00AF3755">
        <w:rPr>
          <w:rFonts w:ascii="Arial" w:hAnsi="Arial" w:cs="Arial"/>
          <w:sz w:val="20"/>
          <w:szCs w:val="20"/>
        </w:rPr>
        <w:t xml:space="preserve"> disciplinary cases on time. These were some of the two areas that the Department had been struggling to achieve </w:t>
      </w:r>
      <w:r w:rsidR="006D49E5" w:rsidRPr="00AF3755">
        <w:rPr>
          <w:rFonts w:ascii="Arial" w:hAnsi="Arial" w:cs="Arial"/>
          <w:sz w:val="20"/>
          <w:szCs w:val="20"/>
        </w:rPr>
        <w:t>in the previous years</w:t>
      </w:r>
      <w:r w:rsidRPr="00AF3755">
        <w:rPr>
          <w:rFonts w:ascii="Arial" w:hAnsi="Arial" w:cs="Arial"/>
          <w:sz w:val="20"/>
          <w:szCs w:val="20"/>
        </w:rPr>
        <w:t>.</w:t>
      </w:r>
    </w:p>
    <w:p w:rsidR="001807CA" w:rsidRPr="00AF3755" w:rsidRDefault="000B77CE" w:rsidP="00AF3755">
      <w:pPr>
        <w:pStyle w:val="ListParagraph"/>
        <w:numPr>
          <w:ilvl w:val="0"/>
          <w:numId w:val="40"/>
        </w:numPr>
        <w:spacing w:after="0" w:line="240" w:lineRule="auto"/>
        <w:rPr>
          <w:rFonts w:ascii="Arial" w:hAnsi="Arial" w:cs="Arial"/>
          <w:b/>
          <w:sz w:val="20"/>
          <w:szCs w:val="20"/>
        </w:rPr>
      </w:pPr>
      <w:r w:rsidRPr="00AF3755">
        <w:rPr>
          <w:rFonts w:ascii="Arial" w:hAnsi="Arial" w:cs="Arial"/>
          <w:sz w:val="20"/>
          <w:szCs w:val="20"/>
        </w:rPr>
        <w:t xml:space="preserve">It was noted that the employment of suitably qualified individuals with </w:t>
      </w:r>
      <w:r w:rsidR="00606FCC" w:rsidRPr="00AF3755">
        <w:rPr>
          <w:rFonts w:ascii="Arial" w:hAnsi="Arial" w:cs="Arial"/>
          <w:sz w:val="20"/>
          <w:szCs w:val="20"/>
        </w:rPr>
        <w:t xml:space="preserve">the </w:t>
      </w:r>
      <w:r w:rsidRPr="00AF3755">
        <w:rPr>
          <w:rFonts w:ascii="Arial" w:hAnsi="Arial" w:cs="Arial"/>
          <w:sz w:val="20"/>
          <w:szCs w:val="20"/>
        </w:rPr>
        <w:t xml:space="preserve">requisite experience and skills remains critical in the </w:t>
      </w:r>
      <w:r w:rsidR="00577550" w:rsidRPr="00AF3755">
        <w:rPr>
          <w:rFonts w:ascii="Arial" w:hAnsi="Arial" w:cs="Arial"/>
          <w:sz w:val="20"/>
          <w:szCs w:val="20"/>
        </w:rPr>
        <w:t>H</w:t>
      </w:r>
      <w:r w:rsidRPr="00AF3755">
        <w:rPr>
          <w:rFonts w:ascii="Arial" w:hAnsi="Arial" w:cs="Arial"/>
          <w:sz w:val="20"/>
          <w:szCs w:val="20"/>
        </w:rPr>
        <w:t xml:space="preserve">ET portfolio, and the Department has an important role to oversee this process.  </w:t>
      </w:r>
    </w:p>
    <w:p w:rsidR="000B77CE" w:rsidRPr="00AF3755" w:rsidRDefault="000B77CE" w:rsidP="00AF3755">
      <w:pPr>
        <w:pStyle w:val="ListParagraph"/>
        <w:numPr>
          <w:ilvl w:val="0"/>
          <w:numId w:val="40"/>
        </w:numPr>
        <w:spacing w:after="0" w:line="240" w:lineRule="auto"/>
        <w:rPr>
          <w:rFonts w:ascii="Arial" w:hAnsi="Arial" w:cs="Arial"/>
          <w:b/>
          <w:sz w:val="20"/>
          <w:szCs w:val="20"/>
        </w:rPr>
      </w:pPr>
      <w:r w:rsidRPr="00AF3755">
        <w:rPr>
          <w:rFonts w:ascii="Arial" w:hAnsi="Arial" w:cs="Arial"/>
          <w:sz w:val="20"/>
          <w:szCs w:val="20"/>
        </w:rPr>
        <w:t>The overall under-representation of people with disabilities in the PSET sector remains a concern.</w:t>
      </w:r>
    </w:p>
    <w:p w:rsidR="003745F5" w:rsidRPr="00AF3755" w:rsidRDefault="003745F5" w:rsidP="00AF3755">
      <w:pPr>
        <w:pStyle w:val="ListParagraph"/>
        <w:spacing w:after="0" w:line="240" w:lineRule="auto"/>
        <w:ind w:left="360"/>
        <w:rPr>
          <w:rFonts w:ascii="Arial" w:hAnsi="Arial" w:cs="Arial"/>
          <w:b/>
          <w:sz w:val="20"/>
          <w:szCs w:val="20"/>
        </w:rPr>
      </w:pPr>
    </w:p>
    <w:p w:rsidR="000B77CE" w:rsidRPr="00AF3755" w:rsidRDefault="000B77CE"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3: Planning, Policy and Strategy</w:t>
      </w:r>
    </w:p>
    <w:p w:rsidR="001807CA" w:rsidRPr="00AF3755" w:rsidRDefault="000B77CE" w:rsidP="00AF3755">
      <w:pPr>
        <w:pStyle w:val="ListParagraph"/>
        <w:numPr>
          <w:ilvl w:val="0"/>
          <w:numId w:val="39"/>
        </w:numPr>
        <w:spacing w:after="0" w:line="240" w:lineRule="auto"/>
        <w:rPr>
          <w:rFonts w:ascii="Arial" w:hAnsi="Arial" w:cs="Arial"/>
          <w:b/>
          <w:sz w:val="20"/>
          <w:szCs w:val="20"/>
        </w:rPr>
      </w:pPr>
      <w:r w:rsidRPr="00AF3755">
        <w:rPr>
          <w:rFonts w:ascii="Arial" w:hAnsi="Arial" w:cs="Arial"/>
          <w:sz w:val="20"/>
          <w:szCs w:val="20"/>
        </w:rPr>
        <w:t>The Department’s oversight and monitoring role over the PSET institutions remains a serious concern. Furthermore, the Committee indicated that inadequate consequence management in the HET portfolio has resulted in some entities being repeat offenders in terms of poor financial management and audit outcomes.</w:t>
      </w:r>
    </w:p>
    <w:p w:rsidR="001807CA" w:rsidRPr="00AF3755" w:rsidRDefault="00DC7EF7" w:rsidP="00AF3755">
      <w:pPr>
        <w:pStyle w:val="ListParagraph"/>
        <w:numPr>
          <w:ilvl w:val="0"/>
          <w:numId w:val="39"/>
        </w:numPr>
        <w:spacing w:after="0" w:line="240" w:lineRule="auto"/>
        <w:rPr>
          <w:rFonts w:ascii="Arial" w:hAnsi="Arial" w:cs="Arial"/>
          <w:b/>
          <w:sz w:val="20"/>
          <w:szCs w:val="20"/>
        </w:rPr>
      </w:pPr>
      <w:r w:rsidRPr="00AF3755">
        <w:rPr>
          <w:rFonts w:ascii="Arial" w:hAnsi="Arial" w:cs="Arial"/>
          <w:sz w:val="20"/>
          <w:szCs w:val="20"/>
        </w:rPr>
        <w:t xml:space="preserve">Notwithstanding the improved performance of 3.6 per cent during the year under review, from 70 per cent in 2020/21, the performance </w:t>
      </w:r>
      <w:r w:rsidR="000B77CE" w:rsidRPr="00AF3755">
        <w:rPr>
          <w:rFonts w:ascii="Arial" w:hAnsi="Arial" w:cs="Arial"/>
          <w:sz w:val="20"/>
          <w:szCs w:val="20"/>
        </w:rPr>
        <w:t xml:space="preserve">was not satisfactory considering that </w:t>
      </w:r>
      <w:r w:rsidRPr="00AF3755">
        <w:rPr>
          <w:rFonts w:ascii="Arial" w:hAnsi="Arial" w:cs="Arial"/>
          <w:sz w:val="20"/>
          <w:szCs w:val="20"/>
        </w:rPr>
        <w:t xml:space="preserve">the </w:t>
      </w:r>
      <w:r w:rsidR="001D06EE" w:rsidRPr="00AF3755">
        <w:rPr>
          <w:rFonts w:ascii="Arial" w:hAnsi="Arial" w:cs="Arial"/>
          <w:sz w:val="20"/>
          <w:szCs w:val="20"/>
        </w:rPr>
        <w:t>Department</w:t>
      </w:r>
      <w:r w:rsidRPr="00AF3755">
        <w:rPr>
          <w:rFonts w:ascii="Arial" w:hAnsi="Arial" w:cs="Arial"/>
          <w:sz w:val="20"/>
          <w:szCs w:val="20"/>
        </w:rPr>
        <w:t xml:space="preserve"> </w:t>
      </w:r>
      <w:r w:rsidR="000B77CE" w:rsidRPr="00AF3755">
        <w:rPr>
          <w:rFonts w:ascii="Arial" w:hAnsi="Arial" w:cs="Arial"/>
          <w:sz w:val="20"/>
          <w:szCs w:val="20"/>
        </w:rPr>
        <w:t>had spent 99</w:t>
      </w:r>
      <w:r w:rsidR="001807CA" w:rsidRPr="00AF3755">
        <w:rPr>
          <w:rFonts w:ascii="Arial" w:hAnsi="Arial" w:cs="Arial"/>
          <w:sz w:val="20"/>
          <w:szCs w:val="20"/>
        </w:rPr>
        <w:t xml:space="preserve"> per cent</w:t>
      </w:r>
      <w:r w:rsidR="000B77CE" w:rsidRPr="00AF3755">
        <w:rPr>
          <w:rFonts w:ascii="Arial" w:hAnsi="Arial" w:cs="Arial"/>
          <w:sz w:val="20"/>
          <w:szCs w:val="20"/>
        </w:rPr>
        <w:t xml:space="preserve"> of its budget. </w:t>
      </w:r>
    </w:p>
    <w:p w:rsidR="001807CA" w:rsidRPr="00AF3755" w:rsidRDefault="000B77CE" w:rsidP="00AF3755">
      <w:pPr>
        <w:pStyle w:val="ListParagraph"/>
        <w:numPr>
          <w:ilvl w:val="0"/>
          <w:numId w:val="39"/>
        </w:numPr>
        <w:spacing w:after="0" w:line="240" w:lineRule="auto"/>
        <w:rPr>
          <w:rFonts w:ascii="Arial" w:hAnsi="Arial" w:cs="Arial"/>
          <w:b/>
          <w:sz w:val="20"/>
          <w:szCs w:val="20"/>
        </w:rPr>
      </w:pPr>
      <w:r w:rsidRPr="00AF3755">
        <w:rPr>
          <w:rFonts w:ascii="Arial" w:hAnsi="Arial" w:cs="Arial"/>
          <w:sz w:val="20"/>
          <w:szCs w:val="20"/>
        </w:rPr>
        <w:t>The Committee welcomed the plan by the Department to develop the Master Skills Plan (MSP)</w:t>
      </w:r>
      <w:r w:rsidR="001D06EE" w:rsidRPr="00AF3755">
        <w:rPr>
          <w:rFonts w:ascii="Arial" w:hAnsi="Arial" w:cs="Arial"/>
          <w:sz w:val="20"/>
          <w:szCs w:val="20"/>
        </w:rPr>
        <w:t>,</w:t>
      </w:r>
      <w:r w:rsidRPr="00AF3755">
        <w:rPr>
          <w:rFonts w:ascii="Arial" w:hAnsi="Arial" w:cs="Arial"/>
          <w:sz w:val="20"/>
          <w:szCs w:val="20"/>
        </w:rPr>
        <w:t xml:space="preserve"> which will incorporate all the different skills strategies of the country.</w:t>
      </w:r>
    </w:p>
    <w:p w:rsidR="001807CA" w:rsidRPr="00AF3755" w:rsidRDefault="000B77CE" w:rsidP="00AF3755">
      <w:pPr>
        <w:pStyle w:val="ListParagraph"/>
        <w:numPr>
          <w:ilvl w:val="0"/>
          <w:numId w:val="39"/>
        </w:numPr>
        <w:spacing w:after="0" w:line="240" w:lineRule="auto"/>
        <w:rPr>
          <w:rFonts w:ascii="Arial" w:hAnsi="Arial" w:cs="Arial"/>
          <w:b/>
          <w:sz w:val="20"/>
          <w:szCs w:val="20"/>
        </w:rPr>
      </w:pPr>
      <w:r w:rsidRPr="00AF3755">
        <w:rPr>
          <w:rFonts w:ascii="Arial" w:hAnsi="Arial" w:cs="Arial"/>
          <w:sz w:val="20"/>
          <w:szCs w:val="20"/>
        </w:rPr>
        <w:t xml:space="preserve">The delays in the proclamation of the NQF Amendment Bill by the President </w:t>
      </w:r>
      <w:r w:rsidR="00067E63" w:rsidRPr="00AF3755">
        <w:rPr>
          <w:rFonts w:ascii="Arial" w:hAnsi="Arial" w:cs="Arial"/>
          <w:sz w:val="20"/>
          <w:szCs w:val="20"/>
        </w:rPr>
        <w:t xml:space="preserve">were </w:t>
      </w:r>
      <w:r w:rsidRPr="00AF3755">
        <w:rPr>
          <w:rFonts w:ascii="Arial" w:hAnsi="Arial" w:cs="Arial"/>
          <w:sz w:val="20"/>
          <w:szCs w:val="20"/>
        </w:rPr>
        <w:t xml:space="preserve">noted as a concern as this legislation has been with the Presidency since 2019. The Department has also been engaging stakeholders on the second NQF Amendment Bill despite the first one </w:t>
      </w:r>
      <w:r w:rsidR="00333B38" w:rsidRPr="00AF3755">
        <w:rPr>
          <w:rFonts w:ascii="Arial" w:hAnsi="Arial" w:cs="Arial"/>
          <w:sz w:val="20"/>
          <w:szCs w:val="20"/>
        </w:rPr>
        <w:t xml:space="preserve">being </w:t>
      </w:r>
      <w:r w:rsidRPr="00AF3755">
        <w:rPr>
          <w:rFonts w:ascii="Arial" w:hAnsi="Arial" w:cs="Arial"/>
          <w:sz w:val="20"/>
          <w:szCs w:val="20"/>
        </w:rPr>
        <w:t xml:space="preserve">still pending </w:t>
      </w:r>
      <w:r w:rsidR="001D06EE" w:rsidRPr="00AF3755">
        <w:rPr>
          <w:rFonts w:ascii="Arial" w:hAnsi="Arial" w:cs="Arial"/>
          <w:sz w:val="20"/>
          <w:szCs w:val="20"/>
        </w:rPr>
        <w:t>proclamation</w:t>
      </w:r>
      <w:r w:rsidRPr="00AF3755">
        <w:rPr>
          <w:rFonts w:ascii="Arial" w:hAnsi="Arial" w:cs="Arial"/>
          <w:sz w:val="20"/>
          <w:szCs w:val="20"/>
        </w:rPr>
        <w:t>.</w:t>
      </w:r>
    </w:p>
    <w:p w:rsidR="00DF6A7C" w:rsidRPr="00AF3755" w:rsidRDefault="000B77CE" w:rsidP="00AF3755">
      <w:pPr>
        <w:pStyle w:val="ListParagraph"/>
        <w:numPr>
          <w:ilvl w:val="0"/>
          <w:numId w:val="39"/>
        </w:numPr>
        <w:spacing w:after="0" w:line="240" w:lineRule="auto"/>
        <w:rPr>
          <w:rFonts w:ascii="Arial" w:hAnsi="Arial" w:cs="Arial"/>
          <w:b/>
          <w:sz w:val="20"/>
          <w:szCs w:val="20"/>
        </w:rPr>
      </w:pPr>
      <w:r w:rsidRPr="00AF3755">
        <w:rPr>
          <w:rFonts w:ascii="Arial" w:hAnsi="Arial" w:cs="Arial"/>
          <w:sz w:val="20"/>
          <w:szCs w:val="20"/>
        </w:rPr>
        <w:t xml:space="preserve">The inadequate implementation of consequence management in the PSET sector against officials responsible for </w:t>
      </w:r>
      <w:r w:rsidR="00067E63" w:rsidRPr="00AF3755">
        <w:rPr>
          <w:rFonts w:ascii="Arial" w:hAnsi="Arial" w:cs="Arial"/>
          <w:sz w:val="20"/>
          <w:szCs w:val="20"/>
        </w:rPr>
        <w:t xml:space="preserve">the </w:t>
      </w:r>
      <w:r w:rsidRPr="00AF3755">
        <w:rPr>
          <w:rFonts w:ascii="Arial" w:hAnsi="Arial" w:cs="Arial"/>
          <w:sz w:val="20"/>
          <w:szCs w:val="20"/>
        </w:rPr>
        <w:t xml:space="preserve">mismanagement of funds or underperformance remains a serious concern. </w:t>
      </w:r>
    </w:p>
    <w:p w:rsidR="001807CA" w:rsidRPr="00AF3755" w:rsidRDefault="001807CA" w:rsidP="00AF3755">
      <w:pPr>
        <w:pStyle w:val="ListParagraph"/>
        <w:spacing w:after="0" w:line="240" w:lineRule="auto"/>
        <w:ind w:left="360"/>
        <w:rPr>
          <w:rFonts w:ascii="Arial" w:hAnsi="Arial" w:cs="Arial"/>
          <w:b/>
          <w:sz w:val="20"/>
          <w:szCs w:val="20"/>
        </w:rPr>
      </w:pPr>
    </w:p>
    <w:p w:rsidR="00C6421A" w:rsidRPr="00AF3755" w:rsidRDefault="00C6421A"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3: University Education</w:t>
      </w:r>
    </w:p>
    <w:p w:rsidR="00C6421A" w:rsidRPr="00AF3755" w:rsidRDefault="00C6421A" w:rsidP="00AF3755">
      <w:pPr>
        <w:pStyle w:val="ListParagraph"/>
        <w:numPr>
          <w:ilvl w:val="0"/>
          <w:numId w:val="2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completion of the feasibility study for the establishment of a new University for Science and Innovation in Ekurhuleni was welcomed by the Committee. </w:t>
      </w:r>
      <w:r w:rsidR="00821181" w:rsidRPr="00AF3755">
        <w:rPr>
          <w:rFonts w:ascii="Arial" w:hAnsi="Arial" w:cs="Arial"/>
          <w:sz w:val="20"/>
          <w:szCs w:val="20"/>
        </w:rPr>
        <w:t xml:space="preserve">The Committee also noted the report that work was still underway towards the completion of the </w:t>
      </w:r>
      <w:r w:rsidR="002E5EC7" w:rsidRPr="00AF3755">
        <w:rPr>
          <w:rFonts w:ascii="Arial" w:hAnsi="Arial" w:cs="Arial"/>
          <w:sz w:val="20"/>
          <w:szCs w:val="20"/>
        </w:rPr>
        <w:t>Crime Detection University in Hammanskraal.</w:t>
      </w:r>
    </w:p>
    <w:p w:rsidR="00C6421A" w:rsidRPr="00AF3755" w:rsidRDefault="00C6421A" w:rsidP="00AF3755">
      <w:pPr>
        <w:pStyle w:val="ListParagraph"/>
        <w:numPr>
          <w:ilvl w:val="0"/>
          <w:numId w:val="2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The Committee welcomed the increased student enrolment (1.4</w:t>
      </w:r>
      <w:r w:rsidR="00067E63" w:rsidRPr="00AF3755">
        <w:rPr>
          <w:rFonts w:ascii="Arial" w:hAnsi="Arial" w:cs="Arial"/>
          <w:sz w:val="20"/>
          <w:szCs w:val="20"/>
        </w:rPr>
        <w:t xml:space="preserve"> per cent </w:t>
      </w:r>
      <w:r w:rsidRPr="00AF3755">
        <w:rPr>
          <w:rFonts w:ascii="Arial" w:hAnsi="Arial" w:cs="Arial"/>
          <w:sz w:val="20"/>
          <w:szCs w:val="20"/>
        </w:rPr>
        <w:t xml:space="preserve">achievement) and increased support of </w:t>
      </w:r>
      <w:r w:rsidR="00067E63" w:rsidRPr="00AF3755">
        <w:rPr>
          <w:rFonts w:ascii="Arial" w:hAnsi="Arial" w:cs="Arial"/>
          <w:sz w:val="20"/>
          <w:szCs w:val="20"/>
        </w:rPr>
        <w:t>NSFAS-</w:t>
      </w:r>
      <w:r w:rsidRPr="00AF3755">
        <w:rPr>
          <w:rFonts w:ascii="Arial" w:hAnsi="Arial" w:cs="Arial"/>
          <w:sz w:val="20"/>
          <w:szCs w:val="20"/>
        </w:rPr>
        <w:t>funded students (18</w:t>
      </w:r>
      <w:r w:rsidR="00067E63" w:rsidRPr="00AF3755">
        <w:rPr>
          <w:rFonts w:ascii="Arial" w:hAnsi="Arial" w:cs="Arial"/>
          <w:sz w:val="20"/>
          <w:szCs w:val="20"/>
        </w:rPr>
        <w:t xml:space="preserve"> per cent</w:t>
      </w:r>
      <w:r w:rsidRPr="00AF3755">
        <w:rPr>
          <w:rFonts w:ascii="Arial" w:hAnsi="Arial" w:cs="Arial"/>
          <w:sz w:val="20"/>
          <w:szCs w:val="20"/>
        </w:rPr>
        <w:t xml:space="preserve"> achievement) in universities, notwithstanding the COVID-19 and lockdown restrictions experienced during the year under review.</w:t>
      </w:r>
    </w:p>
    <w:p w:rsidR="00C6421A" w:rsidRPr="00AF3755" w:rsidRDefault="00C6421A" w:rsidP="00AF3755">
      <w:pPr>
        <w:pStyle w:val="ListParagraph"/>
        <w:numPr>
          <w:ilvl w:val="0"/>
          <w:numId w:val="2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lastRenderedPageBreak/>
        <w:t>The Committee was concerned that there were university employees that were doing business with universities without declaring their conflict of interest as reported by the AGSA.</w:t>
      </w:r>
    </w:p>
    <w:p w:rsidR="00C6421A" w:rsidRPr="00AF3755" w:rsidRDefault="00C6421A" w:rsidP="00AF3755">
      <w:pPr>
        <w:pStyle w:val="ListParagraph"/>
        <w:numPr>
          <w:ilvl w:val="0"/>
          <w:numId w:val="2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Similar to TVETs, universities were also not subjected to report on their finances in accordance </w:t>
      </w:r>
      <w:r w:rsidR="00067E63" w:rsidRPr="00AF3755">
        <w:rPr>
          <w:rFonts w:ascii="Arial" w:hAnsi="Arial" w:cs="Arial"/>
          <w:sz w:val="20"/>
          <w:szCs w:val="20"/>
        </w:rPr>
        <w:t xml:space="preserve">with </w:t>
      </w:r>
      <w:r w:rsidRPr="00AF3755">
        <w:rPr>
          <w:rFonts w:ascii="Arial" w:hAnsi="Arial" w:cs="Arial"/>
          <w:sz w:val="20"/>
          <w:szCs w:val="20"/>
        </w:rPr>
        <w:t>the PFMA, and this was highlighted as a concern by the Committee noting that universities receive part of their revenue from public funds.</w:t>
      </w:r>
    </w:p>
    <w:p w:rsidR="00C6421A" w:rsidRPr="00AF3755" w:rsidRDefault="00C6421A" w:rsidP="00AF3755">
      <w:pPr>
        <w:pStyle w:val="ListParagraph"/>
        <w:numPr>
          <w:ilvl w:val="0"/>
          <w:numId w:val="2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Committee </w:t>
      </w:r>
      <w:r w:rsidR="00A477F2" w:rsidRPr="00AF3755">
        <w:rPr>
          <w:rFonts w:ascii="Arial" w:hAnsi="Arial" w:cs="Arial"/>
          <w:sz w:val="20"/>
          <w:szCs w:val="20"/>
        </w:rPr>
        <w:t xml:space="preserve">noted </w:t>
      </w:r>
      <w:r w:rsidR="006A0525" w:rsidRPr="00AF3755">
        <w:rPr>
          <w:rFonts w:ascii="Arial" w:hAnsi="Arial" w:cs="Arial"/>
          <w:sz w:val="20"/>
          <w:szCs w:val="20"/>
        </w:rPr>
        <w:t xml:space="preserve">the report by the Department </w:t>
      </w:r>
      <w:r w:rsidR="00A477F2" w:rsidRPr="00AF3755">
        <w:rPr>
          <w:rFonts w:ascii="Arial" w:hAnsi="Arial" w:cs="Arial"/>
          <w:sz w:val="20"/>
          <w:szCs w:val="20"/>
        </w:rPr>
        <w:t xml:space="preserve">that the Cabinet will consider the Ministerial Task Team </w:t>
      </w:r>
      <w:r w:rsidR="006A0525" w:rsidRPr="00AF3755">
        <w:rPr>
          <w:rFonts w:ascii="Arial" w:hAnsi="Arial" w:cs="Arial"/>
          <w:sz w:val="20"/>
          <w:szCs w:val="20"/>
        </w:rPr>
        <w:t xml:space="preserve">Report </w:t>
      </w:r>
      <w:r w:rsidR="00A477F2" w:rsidRPr="00AF3755">
        <w:rPr>
          <w:rFonts w:ascii="Arial" w:hAnsi="Arial" w:cs="Arial"/>
          <w:sz w:val="20"/>
          <w:szCs w:val="20"/>
        </w:rPr>
        <w:t xml:space="preserve">and </w:t>
      </w:r>
      <w:r w:rsidR="00A969CA" w:rsidRPr="00AF3755">
        <w:rPr>
          <w:rFonts w:ascii="Arial" w:hAnsi="Arial" w:cs="Arial"/>
          <w:sz w:val="20"/>
          <w:szCs w:val="20"/>
        </w:rPr>
        <w:t xml:space="preserve">the proposed </w:t>
      </w:r>
      <w:r w:rsidR="00A477F2" w:rsidRPr="00AF3755">
        <w:rPr>
          <w:rFonts w:ascii="Arial" w:hAnsi="Arial" w:cs="Arial"/>
          <w:sz w:val="20"/>
          <w:szCs w:val="20"/>
        </w:rPr>
        <w:t xml:space="preserve">Student Funding </w:t>
      </w:r>
      <w:r w:rsidR="006A0525" w:rsidRPr="00AF3755">
        <w:rPr>
          <w:rFonts w:ascii="Arial" w:hAnsi="Arial" w:cs="Arial"/>
          <w:sz w:val="20"/>
          <w:szCs w:val="20"/>
        </w:rPr>
        <w:t xml:space="preserve">Model </w:t>
      </w:r>
      <w:r w:rsidR="00A477F2" w:rsidRPr="00AF3755">
        <w:rPr>
          <w:rFonts w:ascii="Arial" w:hAnsi="Arial" w:cs="Arial"/>
          <w:sz w:val="20"/>
          <w:szCs w:val="20"/>
        </w:rPr>
        <w:t>in November 2022</w:t>
      </w:r>
      <w:r w:rsidR="00441F9D" w:rsidRPr="00AF3755">
        <w:rPr>
          <w:rFonts w:ascii="Arial" w:hAnsi="Arial" w:cs="Arial"/>
          <w:sz w:val="20"/>
          <w:szCs w:val="20"/>
        </w:rPr>
        <w:t xml:space="preserve">. </w:t>
      </w:r>
      <w:r w:rsidR="00A969CA" w:rsidRPr="00AF3755">
        <w:rPr>
          <w:rFonts w:ascii="Arial" w:hAnsi="Arial" w:cs="Arial"/>
          <w:sz w:val="20"/>
          <w:szCs w:val="20"/>
        </w:rPr>
        <w:t>T</w:t>
      </w:r>
      <w:r w:rsidR="006A0525" w:rsidRPr="00AF3755">
        <w:rPr>
          <w:rFonts w:ascii="Arial" w:hAnsi="Arial" w:cs="Arial"/>
          <w:sz w:val="20"/>
          <w:szCs w:val="20"/>
        </w:rPr>
        <w:t xml:space="preserve">he Committee is concerned about the readiness </w:t>
      </w:r>
      <w:r w:rsidR="00A969CA" w:rsidRPr="00AF3755">
        <w:rPr>
          <w:rFonts w:ascii="Arial" w:hAnsi="Arial" w:cs="Arial"/>
          <w:sz w:val="20"/>
          <w:szCs w:val="20"/>
        </w:rPr>
        <w:t xml:space="preserve">of the </w:t>
      </w:r>
      <w:r w:rsidR="006A0525" w:rsidRPr="00AF3755">
        <w:rPr>
          <w:rFonts w:ascii="Arial" w:hAnsi="Arial" w:cs="Arial"/>
          <w:sz w:val="20"/>
          <w:szCs w:val="20"/>
        </w:rPr>
        <w:t>institutions and NSFAS to implement funding decisions that will arise from the new funding model for the 2023 academic year</w:t>
      </w:r>
      <w:r w:rsidR="00441F9D" w:rsidRPr="00AF3755">
        <w:rPr>
          <w:rFonts w:ascii="Arial" w:hAnsi="Arial" w:cs="Arial"/>
          <w:sz w:val="20"/>
          <w:szCs w:val="20"/>
        </w:rPr>
        <w:t>, given that the implementation of the new funding model is targeted for 2023</w:t>
      </w:r>
      <w:r w:rsidR="006A0525" w:rsidRPr="00AF3755">
        <w:rPr>
          <w:rFonts w:ascii="Arial" w:hAnsi="Arial" w:cs="Arial"/>
          <w:sz w:val="20"/>
          <w:szCs w:val="20"/>
        </w:rPr>
        <w:t xml:space="preserve">. </w:t>
      </w:r>
    </w:p>
    <w:p w:rsidR="00C6421A" w:rsidRPr="00AF3755" w:rsidRDefault="00C6421A" w:rsidP="00AF3755">
      <w:pPr>
        <w:pStyle w:val="ListParagraph"/>
        <w:numPr>
          <w:ilvl w:val="0"/>
          <w:numId w:val="2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The Committee was seriously concerned about the dual registration of students at universities, a</w:t>
      </w:r>
      <w:r w:rsidR="00DF6A7C" w:rsidRPr="00AF3755">
        <w:rPr>
          <w:rFonts w:ascii="Arial" w:hAnsi="Arial" w:cs="Arial"/>
          <w:sz w:val="20"/>
          <w:szCs w:val="20"/>
        </w:rPr>
        <w:t xml:space="preserve">s </w:t>
      </w:r>
      <w:r w:rsidRPr="00AF3755">
        <w:rPr>
          <w:rFonts w:ascii="Arial" w:hAnsi="Arial" w:cs="Arial"/>
          <w:sz w:val="20"/>
          <w:szCs w:val="20"/>
        </w:rPr>
        <w:t xml:space="preserve">this has implications the ability of NSFAS to pay students on time. </w:t>
      </w:r>
    </w:p>
    <w:p w:rsidR="000B77CE" w:rsidRPr="00AF3755" w:rsidRDefault="000B77CE" w:rsidP="00AF3755">
      <w:pPr>
        <w:pStyle w:val="ListParagraph"/>
        <w:spacing w:after="0" w:line="240" w:lineRule="auto"/>
        <w:ind w:left="0"/>
        <w:rPr>
          <w:rFonts w:ascii="Arial" w:hAnsi="Arial" w:cs="Arial"/>
          <w:b/>
          <w:sz w:val="20"/>
          <w:szCs w:val="20"/>
        </w:rPr>
      </w:pPr>
    </w:p>
    <w:p w:rsidR="009749F0" w:rsidRPr="00AF3755" w:rsidRDefault="009749F0"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4: Technical and Vocational Education and Training</w:t>
      </w:r>
    </w:p>
    <w:p w:rsidR="00A40705" w:rsidRPr="00AF3755" w:rsidRDefault="009749F0" w:rsidP="00AF3755">
      <w:pPr>
        <w:pStyle w:val="ListParagraph"/>
        <w:numPr>
          <w:ilvl w:val="0"/>
          <w:numId w:val="23"/>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underperformance </w:t>
      </w:r>
      <w:r w:rsidR="00984535" w:rsidRPr="00AF3755">
        <w:rPr>
          <w:rFonts w:ascii="Arial" w:hAnsi="Arial" w:cs="Arial"/>
          <w:sz w:val="20"/>
          <w:szCs w:val="20"/>
        </w:rPr>
        <w:t>o</w:t>
      </w:r>
      <w:r w:rsidR="008F4574" w:rsidRPr="00AF3755">
        <w:rPr>
          <w:rFonts w:ascii="Arial" w:hAnsi="Arial" w:cs="Arial"/>
          <w:sz w:val="20"/>
          <w:szCs w:val="20"/>
        </w:rPr>
        <w:t>f</w:t>
      </w:r>
      <w:r w:rsidR="00984535" w:rsidRPr="00AF3755">
        <w:rPr>
          <w:rFonts w:ascii="Arial" w:hAnsi="Arial" w:cs="Arial"/>
          <w:sz w:val="20"/>
          <w:szCs w:val="20"/>
        </w:rPr>
        <w:t xml:space="preserve"> the system targets </w:t>
      </w:r>
      <w:r w:rsidRPr="00AF3755">
        <w:rPr>
          <w:rFonts w:ascii="Arial" w:hAnsi="Arial" w:cs="Arial"/>
          <w:sz w:val="20"/>
          <w:szCs w:val="20"/>
        </w:rPr>
        <w:t xml:space="preserve">(6 out of 13 targets achieved) recorded by this programme during the year under review was noted as a concern. </w:t>
      </w:r>
    </w:p>
    <w:p w:rsidR="009749F0" w:rsidRPr="00AF3755" w:rsidRDefault="009749F0" w:rsidP="00AF3755">
      <w:pPr>
        <w:pStyle w:val="ListParagraph"/>
        <w:numPr>
          <w:ilvl w:val="0"/>
          <w:numId w:val="23"/>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Committee welcomed the eight (8) new TVET colleges campuses (</w:t>
      </w:r>
      <w:r w:rsidRPr="00AF3755">
        <w:rPr>
          <w:rFonts w:ascii="Arial" w:eastAsia="Arial" w:hAnsi="Arial" w:cs="Arial"/>
          <w:sz w:val="20"/>
          <w:szCs w:val="20"/>
        </w:rPr>
        <w:t>Msinga, Umzimkhulu, Nongoma, Aliwal North, Ngqungqushe, Graaf Reinet, Thabazimbi and Nkandla) that have reached 100</w:t>
      </w:r>
      <w:r w:rsidR="00067E63" w:rsidRPr="00AF3755">
        <w:rPr>
          <w:rFonts w:ascii="Arial" w:eastAsia="Arial" w:hAnsi="Arial" w:cs="Arial"/>
          <w:sz w:val="20"/>
          <w:szCs w:val="20"/>
        </w:rPr>
        <w:t xml:space="preserve"> </w:t>
      </w:r>
      <w:r w:rsidR="00067E63" w:rsidRPr="00AF3755">
        <w:rPr>
          <w:rFonts w:ascii="Arial" w:hAnsi="Arial" w:cs="Arial"/>
          <w:sz w:val="20"/>
          <w:szCs w:val="20"/>
        </w:rPr>
        <w:t>per cent</w:t>
      </w:r>
      <w:r w:rsidRPr="00AF3755">
        <w:rPr>
          <w:rFonts w:ascii="Arial" w:eastAsia="Arial" w:hAnsi="Arial" w:cs="Arial"/>
          <w:sz w:val="20"/>
          <w:szCs w:val="20"/>
        </w:rPr>
        <w:t xml:space="preserve"> completion and that the remaining 13 sites were between 66</w:t>
      </w:r>
      <w:r w:rsidR="00067E63" w:rsidRPr="00AF3755">
        <w:rPr>
          <w:rFonts w:ascii="Arial" w:eastAsia="Arial" w:hAnsi="Arial" w:cs="Arial"/>
          <w:sz w:val="20"/>
          <w:szCs w:val="20"/>
        </w:rPr>
        <w:t xml:space="preserve"> </w:t>
      </w:r>
      <w:r w:rsidR="00067E63" w:rsidRPr="00AF3755">
        <w:rPr>
          <w:rFonts w:ascii="Arial" w:hAnsi="Arial" w:cs="Arial"/>
          <w:sz w:val="20"/>
          <w:szCs w:val="20"/>
        </w:rPr>
        <w:t>per cent</w:t>
      </w:r>
      <w:r w:rsidRPr="00AF3755">
        <w:rPr>
          <w:rFonts w:ascii="Arial" w:eastAsia="Arial" w:hAnsi="Arial" w:cs="Arial"/>
          <w:sz w:val="20"/>
          <w:szCs w:val="20"/>
        </w:rPr>
        <w:t xml:space="preserve"> – 99</w:t>
      </w:r>
      <w:r w:rsidR="00067E63" w:rsidRPr="00AF3755">
        <w:rPr>
          <w:rFonts w:ascii="Arial" w:eastAsia="Arial" w:hAnsi="Arial" w:cs="Arial"/>
          <w:sz w:val="20"/>
          <w:szCs w:val="20"/>
        </w:rPr>
        <w:t xml:space="preserve"> </w:t>
      </w:r>
      <w:r w:rsidR="00067E63" w:rsidRPr="00AF3755">
        <w:rPr>
          <w:rFonts w:ascii="Arial" w:hAnsi="Arial" w:cs="Arial"/>
          <w:sz w:val="20"/>
          <w:szCs w:val="20"/>
        </w:rPr>
        <w:t>per cent</w:t>
      </w:r>
      <w:r w:rsidRPr="00AF3755">
        <w:rPr>
          <w:rFonts w:ascii="Arial" w:eastAsia="Arial" w:hAnsi="Arial" w:cs="Arial"/>
          <w:sz w:val="20"/>
          <w:szCs w:val="20"/>
        </w:rPr>
        <w:t xml:space="preserve"> complete.</w:t>
      </w:r>
    </w:p>
    <w:p w:rsidR="009749F0" w:rsidRPr="00AF3755" w:rsidRDefault="009749F0" w:rsidP="00AF3755">
      <w:pPr>
        <w:pStyle w:val="Footer"/>
        <w:numPr>
          <w:ilvl w:val="0"/>
          <w:numId w:val="23"/>
        </w:numPr>
        <w:spacing w:line="240" w:lineRule="auto"/>
        <w:rPr>
          <w:rFonts w:cs="Arial"/>
          <w:sz w:val="20"/>
          <w:szCs w:val="20"/>
        </w:rPr>
      </w:pPr>
      <w:r w:rsidRPr="00AF3755">
        <w:rPr>
          <w:rFonts w:cs="Arial"/>
          <w:sz w:val="20"/>
          <w:szCs w:val="20"/>
        </w:rPr>
        <w:t>Concerns were raised with the financial management and internal audit capacity of TVET colleges. The AGSA had reported that 44 out of the 50 TVET colleges were unable to produce financial statements that are free from material misstatements. As a result, the</w:t>
      </w:r>
      <w:r w:rsidR="00A14113" w:rsidRPr="00AF3755">
        <w:rPr>
          <w:rFonts w:cs="Arial"/>
          <w:sz w:val="20"/>
          <w:szCs w:val="20"/>
        </w:rPr>
        <w:t>y rely on the</w:t>
      </w:r>
      <w:r w:rsidRPr="00AF3755">
        <w:rPr>
          <w:rFonts w:cs="Arial"/>
          <w:sz w:val="20"/>
          <w:szCs w:val="20"/>
        </w:rPr>
        <w:t xml:space="preserve"> AGSA </w:t>
      </w:r>
      <w:r w:rsidR="00A14113" w:rsidRPr="00AF3755">
        <w:rPr>
          <w:rFonts w:cs="Arial"/>
          <w:sz w:val="20"/>
          <w:szCs w:val="20"/>
        </w:rPr>
        <w:t xml:space="preserve">to identify the misstatements despite them having internal audit units. </w:t>
      </w:r>
    </w:p>
    <w:p w:rsidR="009749F0" w:rsidRPr="00AF3755" w:rsidRDefault="009749F0" w:rsidP="00AF3755">
      <w:pPr>
        <w:pStyle w:val="Footer"/>
        <w:numPr>
          <w:ilvl w:val="0"/>
          <w:numId w:val="23"/>
        </w:numPr>
        <w:spacing w:line="240" w:lineRule="auto"/>
        <w:rPr>
          <w:rFonts w:cs="Arial"/>
          <w:sz w:val="20"/>
          <w:szCs w:val="20"/>
        </w:rPr>
      </w:pPr>
      <w:r w:rsidRPr="00AF3755">
        <w:rPr>
          <w:rFonts w:cs="Arial"/>
          <w:sz w:val="20"/>
          <w:szCs w:val="20"/>
        </w:rPr>
        <w:t>Concerns were raised regarding inadequate information and communication technology (ICT) infrastructure and connectivity</w:t>
      </w:r>
      <w:r w:rsidR="00EA553C" w:rsidRPr="00AF3755">
        <w:rPr>
          <w:rFonts w:cs="Arial"/>
          <w:sz w:val="20"/>
          <w:szCs w:val="20"/>
        </w:rPr>
        <w:t>,</w:t>
      </w:r>
      <w:r w:rsidRPr="00AF3755">
        <w:rPr>
          <w:rFonts w:cs="Arial"/>
          <w:sz w:val="20"/>
          <w:szCs w:val="20"/>
        </w:rPr>
        <w:t xml:space="preserve"> which had a negative impact </w:t>
      </w:r>
      <w:r w:rsidR="00067E63" w:rsidRPr="00AF3755">
        <w:rPr>
          <w:rFonts w:cs="Arial"/>
          <w:sz w:val="20"/>
          <w:szCs w:val="20"/>
        </w:rPr>
        <w:t xml:space="preserve">on </w:t>
      </w:r>
      <w:r w:rsidRPr="00AF3755">
        <w:rPr>
          <w:rFonts w:cs="Arial"/>
          <w:sz w:val="20"/>
          <w:szCs w:val="20"/>
        </w:rPr>
        <w:t>the enrolment of students in the TVET sector during the year under review.</w:t>
      </w:r>
    </w:p>
    <w:p w:rsidR="009749F0" w:rsidRPr="00AF3755" w:rsidRDefault="009749F0" w:rsidP="00AF3755">
      <w:pPr>
        <w:pStyle w:val="Footer"/>
        <w:numPr>
          <w:ilvl w:val="0"/>
          <w:numId w:val="23"/>
        </w:numPr>
        <w:spacing w:line="240" w:lineRule="auto"/>
        <w:rPr>
          <w:rFonts w:cs="Arial"/>
          <w:sz w:val="20"/>
          <w:szCs w:val="20"/>
        </w:rPr>
      </w:pPr>
      <w:r w:rsidRPr="00AF3755">
        <w:rPr>
          <w:rFonts w:cs="Arial"/>
          <w:sz w:val="20"/>
          <w:szCs w:val="20"/>
        </w:rPr>
        <w:t>The poor certification rates of the NC(V) including the NATED programmes remain</w:t>
      </w:r>
      <w:r w:rsidR="00EB4EF3" w:rsidRPr="00AF3755">
        <w:rPr>
          <w:rFonts w:cs="Arial"/>
          <w:sz w:val="20"/>
          <w:szCs w:val="20"/>
        </w:rPr>
        <w:t>s</w:t>
      </w:r>
      <w:r w:rsidRPr="00AF3755">
        <w:rPr>
          <w:rFonts w:cs="Arial"/>
          <w:sz w:val="20"/>
          <w:szCs w:val="20"/>
        </w:rPr>
        <w:t xml:space="preserve"> a concern. </w:t>
      </w:r>
    </w:p>
    <w:p w:rsidR="009749F0" w:rsidRPr="00AF3755" w:rsidRDefault="009749F0" w:rsidP="00AF3755">
      <w:pPr>
        <w:pStyle w:val="Footer"/>
        <w:numPr>
          <w:ilvl w:val="0"/>
          <w:numId w:val="23"/>
        </w:numPr>
        <w:spacing w:line="240" w:lineRule="auto"/>
        <w:rPr>
          <w:rFonts w:cs="Arial"/>
          <w:sz w:val="20"/>
          <w:szCs w:val="20"/>
        </w:rPr>
      </w:pPr>
      <w:r w:rsidRPr="00AF3755">
        <w:rPr>
          <w:rFonts w:cs="Arial"/>
          <w:sz w:val="20"/>
          <w:szCs w:val="20"/>
        </w:rPr>
        <w:t>The absence of a standardised policy framework for financial reporting by TVET colleges remains a concern. As a result, the AGSA experienced difficulties with auditing TVET colleges since they have different policies and procedures relating to procurement and contract management.</w:t>
      </w:r>
    </w:p>
    <w:p w:rsidR="009749F0" w:rsidRPr="00AF3755" w:rsidRDefault="009749F0" w:rsidP="00AF3755">
      <w:pPr>
        <w:pStyle w:val="Footer"/>
        <w:numPr>
          <w:ilvl w:val="0"/>
          <w:numId w:val="23"/>
        </w:numPr>
        <w:spacing w:line="240" w:lineRule="auto"/>
        <w:rPr>
          <w:rFonts w:cs="Arial"/>
          <w:sz w:val="20"/>
          <w:szCs w:val="20"/>
        </w:rPr>
      </w:pPr>
      <w:r w:rsidRPr="00AF3755">
        <w:rPr>
          <w:rFonts w:cs="Arial"/>
          <w:sz w:val="20"/>
          <w:szCs w:val="20"/>
        </w:rPr>
        <w:t xml:space="preserve">The Committee was concerned that TVET colleges were still not subjected to account </w:t>
      </w:r>
      <w:r w:rsidR="00067E63" w:rsidRPr="00AF3755">
        <w:rPr>
          <w:rFonts w:cs="Arial"/>
          <w:sz w:val="20"/>
          <w:szCs w:val="20"/>
        </w:rPr>
        <w:t xml:space="preserve">for </w:t>
      </w:r>
      <w:r w:rsidRPr="00AF3755">
        <w:rPr>
          <w:rFonts w:cs="Arial"/>
          <w:sz w:val="20"/>
          <w:szCs w:val="20"/>
        </w:rPr>
        <w:t xml:space="preserve">their finances in terms of the PFMA, Act 2000. It was noted that colleges receive their subsidies from public funds, and they should be able to account </w:t>
      </w:r>
      <w:r w:rsidR="00067E63" w:rsidRPr="00AF3755">
        <w:rPr>
          <w:rFonts w:cs="Arial"/>
          <w:sz w:val="20"/>
          <w:szCs w:val="20"/>
        </w:rPr>
        <w:t xml:space="preserve">for </w:t>
      </w:r>
      <w:r w:rsidRPr="00AF3755">
        <w:rPr>
          <w:rFonts w:cs="Arial"/>
          <w:sz w:val="20"/>
          <w:szCs w:val="20"/>
        </w:rPr>
        <w:t>such in terms of the PFMA.</w:t>
      </w:r>
    </w:p>
    <w:p w:rsidR="009749F0" w:rsidRPr="00AF3755" w:rsidRDefault="009749F0" w:rsidP="00AF3755">
      <w:pPr>
        <w:pStyle w:val="Footer"/>
        <w:numPr>
          <w:ilvl w:val="0"/>
          <w:numId w:val="23"/>
        </w:numPr>
        <w:spacing w:line="240" w:lineRule="auto"/>
        <w:rPr>
          <w:rFonts w:cs="Arial"/>
          <w:sz w:val="20"/>
          <w:szCs w:val="20"/>
        </w:rPr>
      </w:pPr>
      <w:r w:rsidRPr="00AF3755">
        <w:rPr>
          <w:rFonts w:cs="Arial"/>
          <w:sz w:val="20"/>
          <w:szCs w:val="20"/>
        </w:rPr>
        <w:t>The decline in irregular expenditure in TVET colleges from R32 million to R16 million during the year under review was noted.</w:t>
      </w:r>
    </w:p>
    <w:p w:rsidR="009749F0" w:rsidRPr="00AF3755" w:rsidRDefault="009749F0" w:rsidP="00AF3755">
      <w:pPr>
        <w:pStyle w:val="ListParagraph"/>
        <w:numPr>
          <w:ilvl w:val="0"/>
          <w:numId w:val="22"/>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absence of an effective asset management system in the TVET sector remains a concern. </w:t>
      </w:r>
    </w:p>
    <w:p w:rsidR="009749F0" w:rsidRPr="00AF3755" w:rsidRDefault="009749F0" w:rsidP="00AF3755">
      <w:pPr>
        <w:pStyle w:val="ListParagraph"/>
        <w:numPr>
          <w:ilvl w:val="0"/>
          <w:numId w:val="22"/>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underfunding of the TVET sector remains an ongoing concern for the Committee, and there has not been new funding </w:t>
      </w:r>
      <w:r w:rsidR="00904E0F" w:rsidRPr="00AF3755">
        <w:rPr>
          <w:rFonts w:ascii="Arial" w:hAnsi="Arial" w:cs="Arial"/>
          <w:sz w:val="20"/>
          <w:szCs w:val="20"/>
        </w:rPr>
        <w:t xml:space="preserve">for </w:t>
      </w:r>
      <w:r w:rsidRPr="00AF3755">
        <w:rPr>
          <w:rFonts w:ascii="Arial" w:hAnsi="Arial" w:cs="Arial"/>
          <w:sz w:val="20"/>
          <w:szCs w:val="20"/>
        </w:rPr>
        <w:t>the TVET sector to support its expansion and development.</w:t>
      </w:r>
    </w:p>
    <w:p w:rsidR="0082413B" w:rsidRPr="00AF3755" w:rsidRDefault="0082413B" w:rsidP="00AF3755">
      <w:pPr>
        <w:pStyle w:val="Footer"/>
        <w:numPr>
          <w:ilvl w:val="0"/>
          <w:numId w:val="22"/>
        </w:numPr>
        <w:spacing w:line="240" w:lineRule="auto"/>
        <w:rPr>
          <w:rFonts w:cs="Arial"/>
          <w:sz w:val="20"/>
          <w:szCs w:val="20"/>
        </w:rPr>
      </w:pPr>
      <w:r w:rsidRPr="00AF3755">
        <w:rPr>
          <w:rFonts w:cs="Arial"/>
          <w:sz w:val="20"/>
          <w:szCs w:val="20"/>
        </w:rPr>
        <w:t>The opening of 32 trade test centres in TVET colleges during the year under review was welcomed by the Committee. This will contribute to increasing the number of artisans.</w:t>
      </w:r>
    </w:p>
    <w:p w:rsidR="00067E63" w:rsidRPr="00AF3755" w:rsidRDefault="009749F0" w:rsidP="00AF3755">
      <w:pPr>
        <w:pStyle w:val="ListParagraph"/>
        <w:numPr>
          <w:ilvl w:val="0"/>
          <w:numId w:val="22"/>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The increase in the number of centres of specialisation which are aimed at making colleges respond to local and regional industry needs by specialising in particular trades was welcomed by the Committee.</w:t>
      </w:r>
    </w:p>
    <w:p w:rsidR="00067E63" w:rsidRPr="00AF3755" w:rsidRDefault="00067E63" w:rsidP="00AF3755">
      <w:pPr>
        <w:pStyle w:val="ListParagraph"/>
        <w:spacing w:after="0" w:line="240" w:lineRule="auto"/>
        <w:ind w:left="0"/>
        <w:rPr>
          <w:rFonts w:ascii="Arial" w:hAnsi="Arial" w:cs="Arial"/>
          <w:b/>
          <w:sz w:val="20"/>
          <w:szCs w:val="20"/>
        </w:rPr>
      </w:pPr>
    </w:p>
    <w:p w:rsidR="009749F0" w:rsidRPr="00AF3755" w:rsidRDefault="009749F0"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5: Skills Development</w:t>
      </w:r>
    </w:p>
    <w:p w:rsidR="009749F0" w:rsidRPr="00AF3755" w:rsidRDefault="009749F0" w:rsidP="00AF3755">
      <w:pPr>
        <w:pStyle w:val="ListParagraph"/>
        <w:numPr>
          <w:ilvl w:val="0"/>
          <w:numId w:val="24"/>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Committee noted the impact of COVID-19 and lockdown restrictions </w:t>
      </w:r>
      <w:r w:rsidR="00067E63" w:rsidRPr="00AF3755">
        <w:rPr>
          <w:rFonts w:ascii="Arial" w:hAnsi="Arial" w:cs="Arial"/>
          <w:sz w:val="20"/>
          <w:szCs w:val="20"/>
        </w:rPr>
        <w:t xml:space="preserve">on </w:t>
      </w:r>
      <w:r w:rsidRPr="00AF3755">
        <w:rPr>
          <w:rFonts w:ascii="Arial" w:hAnsi="Arial" w:cs="Arial"/>
          <w:sz w:val="20"/>
          <w:szCs w:val="20"/>
        </w:rPr>
        <w:t>the achievement of targets in the skills programme. The majority of the workplaces and trade test centres were closed during the lockdown period and this resulted in the non-achievement of targets in artisanal training programmes.</w:t>
      </w:r>
    </w:p>
    <w:p w:rsidR="009749F0" w:rsidRPr="00AF3755" w:rsidRDefault="009749F0" w:rsidP="00AF3755">
      <w:pPr>
        <w:pStyle w:val="ListParagraph"/>
        <w:numPr>
          <w:ilvl w:val="0"/>
          <w:numId w:val="24"/>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The Committee noted with concern the discrepancies identified by the AGSA during the auditing and analysing of data from different SETAs to obtain deeper insight into the offering of their skills interventions. Some discrepancies identified by the AGSA were shocking</w:t>
      </w:r>
      <w:r w:rsidR="006E4B2C" w:rsidRPr="00AF3755">
        <w:rPr>
          <w:rFonts w:ascii="Arial" w:hAnsi="Arial" w:cs="Arial"/>
          <w:sz w:val="20"/>
          <w:szCs w:val="20"/>
        </w:rPr>
        <w:t xml:space="preserve">, for example, learners enrolled in multiple SETAs, deceased learners reported to have been enrolled even when they were deceased before the training programme commenced, learners over 65 years enrolled in skills programmes and learners who received bursaries from NSFAS and SETAs. </w:t>
      </w:r>
      <w:r w:rsidRPr="00AF3755">
        <w:rPr>
          <w:rFonts w:ascii="Arial" w:hAnsi="Arial" w:cs="Arial"/>
          <w:sz w:val="20"/>
          <w:szCs w:val="20"/>
        </w:rPr>
        <w:t xml:space="preserve"> </w:t>
      </w:r>
      <w:r w:rsidR="006E4B2C" w:rsidRPr="00AF3755">
        <w:rPr>
          <w:rFonts w:ascii="Arial" w:hAnsi="Arial" w:cs="Arial"/>
          <w:sz w:val="20"/>
          <w:szCs w:val="20"/>
        </w:rPr>
        <w:t>T</w:t>
      </w:r>
      <w:r w:rsidRPr="00AF3755">
        <w:rPr>
          <w:rFonts w:ascii="Arial" w:hAnsi="Arial" w:cs="Arial"/>
          <w:sz w:val="20"/>
          <w:szCs w:val="20"/>
        </w:rPr>
        <w:t xml:space="preserve">he </w:t>
      </w:r>
      <w:r w:rsidRPr="00AF3755">
        <w:rPr>
          <w:rFonts w:ascii="Arial" w:hAnsi="Arial" w:cs="Arial"/>
          <w:sz w:val="20"/>
          <w:szCs w:val="20"/>
        </w:rPr>
        <w:lastRenderedPageBreak/>
        <w:t xml:space="preserve">Committee </w:t>
      </w:r>
      <w:r w:rsidR="006E4B2C" w:rsidRPr="00AF3755">
        <w:rPr>
          <w:rFonts w:ascii="Arial" w:hAnsi="Arial" w:cs="Arial"/>
          <w:sz w:val="20"/>
          <w:szCs w:val="20"/>
        </w:rPr>
        <w:t xml:space="preserve">ascribed the findings to </w:t>
      </w:r>
      <w:r w:rsidRPr="00AF3755">
        <w:rPr>
          <w:rFonts w:ascii="Arial" w:hAnsi="Arial" w:cs="Arial"/>
          <w:sz w:val="20"/>
          <w:szCs w:val="20"/>
        </w:rPr>
        <w:t xml:space="preserve">poor monitoring and evaluation </w:t>
      </w:r>
      <w:r w:rsidR="006E4B2C" w:rsidRPr="00AF3755">
        <w:rPr>
          <w:rFonts w:ascii="Arial" w:hAnsi="Arial" w:cs="Arial"/>
          <w:sz w:val="20"/>
          <w:szCs w:val="20"/>
        </w:rPr>
        <w:t xml:space="preserve">of the service providers implementing </w:t>
      </w:r>
      <w:r w:rsidRPr="00AF3755">
        <w:rPr>
          <w:rFonts w:ascii="Arial" w:hAnsi="Arial" w:cs="Arial"/>
          <w:sz w:val="20"/>
          <w:szCs w:val="20"/>
        </w:rPr>
        <w:t>skills development interventions</w:t>
      </w:r>
      <w:r w:rsidR="006E4B2C" w:rsidRPr="00AF3755">
        <w:rPr>
          <w:rFonts w:ascii="Arial" w:hAnsi="Arial" w:cs="Arial"/>
          <w:sz w:val="20"/>
          <w:szCs w:val="20"/>
        </w:rPr>
        <w:t xml:space="preserve"> funded by the SETAs</w:t>
      </w:r>
      <w:r w:rsidRPr="00AF3755">
        <w:rPr>
          <w:rFonts w:ascii="Arial" w:hAnsi="Arial" w:cs="Arial"/>
          <w:sz w:val="20"/>
          <w:szCs w:val="20"/>
        </w:rPr>
        <w:t xml:space="preserve">. </w:t>
      </w:r>
      <w:r w:rsidR="00187142" w:rsidRPr="00AF3755">
        <w:rPr>
          <w:rFonts w:ascii="Arial" w:hAnsi="Arial" w:cs="Arial"/>
          <w:sz w:val="20"/>
          <w:szCs w:val="20"/>
        </w:rPr>
        <w:t>A</w:t>
      </w:r>
      <w:r w:rsidRPr="00AF3755">
        <w:rPr>
          <w:rFonts w:ascii="Arial" w:hAnsi="Arial" w:cs="Arial"/>
          <w:sz w:val="20"/>
          <w:szCs w:val="20"/>
        </w:rPr>
        <w:t>ddition</w:t>
      </w:r>
      <w:r w:rsidR="00187142" w:rsidRPr="00AF3755">
        <w:rPr>
          <w:rFonts w:ascii="Arial" w:hAnsi="Arial" w:cs="Arial"/>
          <w:sz w:val="20"/>
          <w:szCs w:val="20"/>
        </w:rPr>
        <w:t>ally</w:t>
      </w:r>
      <w:r w:rsidRPr="00AF3755">
        <w:rPr>
          <w:rFonts w:ascii="Arial" w:hAnsi="Arial" w:cs="Arial"/>
          <w:sz w:val="20"/>
          <w:szCs w:val="20"/>
        </w:rPr>
        <w:t xml:space="preserve">, </w:t>
      </w:r>
      <w:r w:rsidR="006E4B2C" w:rsidRPr="00AF3755">
        <w:rPr>
          <w:rFonts w:ascii="Arial" w:hAnsi="Arial" w:cs="Arial"/>
          <w:sz w:val="20"/>
          <w:szCs w:val="20"/>
        </w:rPr>
        <w:t xml:space="preserve">the Committee was of the view that there might </w:t>
      </w:r>
      <w:r w:rsidR="00187142" w:rsidRPr="00AF3755">
        <w:rPr>
          <w:rFonts w:ascii="Arial" w:hAnsi="Arial" w:cs="Arial"/>
          <w:sz w:val="20"/>
          <w:szCs w:val="20"/>
        </w:rPr>
        <w:t xml:space="preserve">be </w:t>
      </w:r>
      <w:r w:rsidRPr="00AF3755">
        <w:rPr>
          <w:rFonts w:ascii="Arial" w:hAnsi="Arial" w:cs="Arial"/>
          <w:sz w:val="20"/>
          <w:szCs w:val="20"/>
        </w:rPr>
        <w:t xml:space="preserve">corruption </w:t>
      </w:r>
      <w:r w:rsidR="006E4B2C" w:rsidRPr="00AF3755">
        <w:rPr>
          <w:rFonts w:ascii="Arial" w:hAnsi="Arial" w:cs="Arial"/>
          <w:sz w:val="20"/>
          <w:szCs w:val="20"/>
        </w:rPr>
        <w:t xml:space="preserve">by </w:t>
      </w:r>
      <w:r w:rsidRPr="00AF3755">
        <w:rPr>
          <w:rFonts w:ascii="Arial" w:hAnsi="Arial" w:cs="Arial"/>
          <w:sz w:val="20"/>
          <w:szCs w:val="20"/>
        </w:rPr>
        <w:t xml:space="preserve">some </w:t>
      </w:r>
      <w:r w:rsidR="00BC621B" w:rsidRPr="00AF3755">
        <w:rPr>
          <w:rFonts w:ascii="Arial" w:hAnsi="Arial" w:cs="Arial"/>
          <w:sz w:val="20"/>
          <w:szCs w:val="20"/>
        </w:rPr>
        <w:t xml:space="preserve">SETA employees, working together with </w:t>
      </w:r>
      <w:r w:rsidRPr="00AF3755">
        <w:rPr>
          <w:rFonts w:ascii="Arial" w:hAnsi="Arial" w:cs="Arial"/>
          <w:sz w:val="20"/>
          <w:szCs w:val="20"/>
        </w:rPr>
        <w:t xml:space="preserve">service providers appointed to deliver training programmes. </w:t>
      </w:r>
    </w:p>
    <w:p w:rsidR="009749F0" w:rsidRPr="00AF3755" w:rsidRDefault="009749F0" w:rsidP="00AF3755">
      <w:pPr>
        <w:pStyle w:val="ListParagraph"/>
        <w:numPr>
          <w:ilvl w:val="0"/>
          <w:numId w:val="24"/>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The Committee supported the AGSA’s proposal that SETAs would benefit from having an integrated system</w:t>
      </w:r>
      <w:r w:rsidR="00062660" w:rsidRPr="00AF3755">
        <w:rPr>
          <w:rFonts w:ascii="Arial" w:hAnsi="Arial" w:cs="Arial"/>
          <w:sz w:val="20"/>
          <w:szCs w:val="20"/>
        </w:rPr>
        <w:t>,</w:t>
      </w:r>
      <w:r w:rsidRPr="00AF3755">
        <w:rPr>
          <w:rFonts w:ascii="Arial" w:hAnsi="Arial" w:cs="Arial"/>
          <w:sz w:val="20"/>
          <w:szCs w:val="20"/>
        </w:rPr>
        <w:t xml:space="preserve"> which will enable data sharing among SETAs in relation to their funded interventions. </w:t>
      </w:r>
    </w:p>
    <w:p w:rsidR="009749F0" w:rsidRPr="00AF3755" w:rsidRDefault="009749F0" w:rsidP="00AF3755">
      <w:pPr>
        <w:pStyle w:val="ListParagraph"/>
        <w:numPr>
          <w:ilvl w:val="0"/>
          <w:numId w:val="24"/>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Inadequate governance and poor financial management controls remain a serious concern in some SETAs, such as the Services SETA and Construction SETA.</w:t>
      </w:r>
    </w:p>
    <w:p w:rsidR="009749F0" w:rsidRPr="00AF3755" w:rsidRDefault="009749F0" w:rsidP="00AF3755">
      <w:pPr>
        <w:spacing w:after="0" w:line="240" w:lineRule="auto"/>
        <w:rPr>
          <w:rFonts w:ascii="Arial" w:hAnsi="Arial" w:cs="Arial"/>
          <w:b/>
          <w:sz w:val="20"/>
          <w:szCs w:val="20"/>
        </w:rPr>
      </w:pPr>
    </w:p>
    <w:p w:rsidR="009749F0" w:rsidRPr="00AF3755" w:rsidRDefault="009749F0"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6: Community Education and Training</w:t>
      </w:r>
    </w:p>
    <w:p w:rsidR="009749F0" w:rsidRPr="00AF3755" w:rsidRDefault="009749F0" w:rsidP="00AF3755">
      <w:pPr>
        <w:pStyle w:val="ListParagraph"/>
        <w:numPr>
          <w:ilvl w:val="0"/>
          <w:numId w:val="25"/>
        </w:numPr>
        <w:spacing w:after="0" w:line="240" w:lineRule="auto"/>
        <w:rPr>
          <w:rFonts w:ascii="Arial" w:hAnsi="Arial" w:cs="Arial"/>
          <w:b/>
          <w:sz w:val="20"/>
          <w:szCs w:val="20"/>
        </w:rPr>
      </w:pPr>
      <w:r w:rsidRPr="00AF3755">
        <w:rPr>
          <w:rFonts w:ascii="Arial" w:hAnsi="Arial" w:cs="Arial"/>
          <w:sz w:val="20"/>
          <w:szCs w:val="20"/>
        </w:rPr>
        <w:t>The underperformance</w:t>
      </w:r>
      <w:r w:rsidR="00395FEE" w:rsidRPr="00AF3755">
        <w:rPr>
          <w:rFonts w:ascii="Arial" w:hAnsi="Arial" w:cs="Arial"/>
          <w:sz w:val="20"/>
          <w:szCs w:val="20"/>
        </w:rPr>
        <w:t xml:space="preserve"> </w:t>
      </w:r>
      <w:r w:rsidR="00C45A41" w:rsidRPr="00AF3755">
        <w:rPr>
          <w:rFonts w:ascii="Arial" w:hAnsi="Arial" w:cs="Arial"/>
          <w:sz w:val="20"/>
          <w:szCs w:val="20"/>
        </w:rPr>
        <w:t xml:space="preserve">by the CET programme </w:t>
      </w:r>
      <w:r w:rsidR="00F87A4E" w:rsidRPr="00AF3755">
        <w:rPr>
          <w:rFonts w:ascii="Arial" w:hAnsi="Arial" w:cs="Arial"/>
          <w:sz w:val="20"/>
          <w:szCs w:val="20"/>
        </w:rPr>
        <w:t xml:space="preserve">on system targets </w:t>
      </w:r>
      <w:r w:rsidRPr="00AF3755">
        <w:rPr>
          <w:rFonts w:ascii="Arial" w:hAnsi="Arial" w:cs="Arial"/>
          <w:sz w:val="20"/>
          <w:szCs w:val="20"/>
        </w:rPr>
        <w:t>was noted as a concern</w:t>
      </w:r>
      <w:r w:rsidR="00F87A4E" w:rsidRPr="00AF3755">
        <w:rPr>
          <w:rFonts w:ascii="Arial" w:hAnsi="Arial" w:cs="Arial"/>
          <w:sz w:val="20"/>
          <w:szCs w:val="20"/>
        </w:rPr>
        <w:t>, as o</w:t>
      </w:r>
      <w:r w:rsidRPr="00AF3755">
        <w:rPr>
          <w:rFonts w:ascii="Arial" w:hAnsi="Arial" w:cs="Arial"/>
          <w:sz w:val="20"/>
          <w:szCs w:val="20"/>
        </w:rPr>
        <w:t>nly one of the four targets was achieved</w:t>
      </w:r>
      <w:r w:rsidR="00DC4D31" w:rsidRPr="00AF3755">
        <w:rPr>
          <w:rFonts w:ascii="Arial" w:hAnsi="Arial" w:cs="Arial"/>
          <w:sz w:val="20"/>
          <w:szCs w:val="20"/>
        </w:rPr>
        <w:t>.</w:t>
      </w:r>
      <w:r w:rsidRPr="00AF3755">
        <w:rPr>
          <w:rFonts w:ascii="Arial" w:hAnsi="Arial" w:cs="Arial"/>
          <w:sz w:val="20"/>
          <w:szCs w:val="20"/>
        </w:rPr>
        <w:t xml:space="preserve"> </w:t>
      </w:r>
    </w:p>
    <w:p w:rsidR="009749F0" w:rsidRPr="00AF3755" w:rsidRDefault="009749F0" w:rsidP="00AF3755">
      <w:pPr>
        <w:pStyle w:val="ListParagraph"/>
        <w:numPr>
          <w:ilvl w:val="0"/>
          <w:numId w:val="25"/>
        </w:numPr>
        <w:spacing w:after="0" w:line="240" w:lineRule="auto"/>
        <w:rPr>
          <w:rFonts w:ascii="Arial" w:hAnsi="Arial" w:cs="Arial"/>
          <w:b/>
          <w:sz w:val="20"/>
          <w:szCs w:val="20"/>
        </w:rPr>
      </w:pPr>
      <w:r w:rsidRPr="00AF3755">
        <w:rPr>
          <w:rFonts w:ascii="Arial" w:hAnsi="Arial" w:cs="Arial"/>
          <w:sz w:val="20"/>
          <w:szCs w:val="20"/>
        </w:rPr>
        <w:t xml:space="preserve">The Committee indicated that the CET sector needs support and requisite funding </w:t>
      </w:r>
      <w:r w:rsidR="00DC4D31" w:rsidRPr="00AF3755">
        <w:rPr>
          <w:rFonts w:ascii="Arial" w:hAnsi="Arial" w:cs="Arial"/>
          <w:sz w:val="20"/>
          <w:szCs w:val="20"/>
        </w:rPr>
        <w:t xml:space="preserve">to </w:t>
      </w:r>
      <w:r w:rsidRPr="00AF3755">
        <w:rPr>
          <w:rFonts w:ascii="Arial" w:hAnsi="Arial" w:cs="Arial"/>
          <w:sz w:val="20"/>
          <w:szCs w:val="20"/>
        </w:rPr>
        <w:t>expand and fulfil its intended objectives.</w:t>
      </w:r>
    </w:p>
    <w:p w:rsidR="009749F0" w:rsidRPr="00AF3755" w:rsidRDefault="009749F0" w:rsidP="00AF3755">
      <w:pPr>
        <w:pStyle w:val="ListParagraph"/>
        <w:numPr>
          <w:ilvl w:val="0"/>
          <w:numId w:val="25"/>
        </w:numPr>
        <w:spacing w:after="0" w:line="240" w:lineRule="auto"/>
        <w:rPr>
          <w:rFonts w:ascii="Arial" w:hAnsi="Arial" w:cs="Arial"/>
          <w:b/>
          <w:sz w:val="20"/>
          <w:szCs w:val="20"/>
        </w:rPr>
      </w:pPr>
      <w:r w:rsidRPr="00AF3755">
        <w:rPr>
          <w:rFonts w:ascii="Arial" w:hAnsi="Arial" w:cs="Arial"/>
          <w:sz w:val="20"/>
          <w:szCs w:val="20"/>
        </w:rPr>
        <w:t>The hosting of the CET Summit in March 2022 was a notable development for the sector and the Committee wished that the Summit resolutions would go a long way to</w:t>
      </w:r>
      <w:r w:rsidR="00D46C31" w:rsidRPr="00AF3755">
        <w:rPr>
          <w:rFonts w:ascii="Arial" w:hAnsi="Arial" w:cs="Arial"/>
          <w:sz w:val="20"/>
          <w:szCs w:val="20"/>
        </w:rPr>
        <w:t>wards</w:t>
      </w:r>
      <w:r w:rsidRPr="00AF3755">
        <w:rPr>
          <w:rFonts w:ascii="Arial" w:hAnsi="Arial" w:cs="Arial"/>
          <w:sz w:val="20"/>
          <w:szCs w:val="20"/>
        </w:rPr>
        <w:t xml:space="preserve"> develop</w:t>
      </w:r>
      <w:r w:rsidR="00D46C31" w:rsidRPr="00AF3755">
        <w:rPr>
          <w:rFonts w:ascii="Arial" w:hAnsi="Arial" w:cs="Arial"/>
          <w:sz w:val="20"/>
          <w:szCs w:val="20"/>
        </w:rPr>
        <w:t>ing</w:t>
      </w:r>
      <w:r w:rsidRPr="00AF3755">
        <w:rPr>
          <w:rFonts w:ascii="Arial" w:hAnsi="Arial" w:cs="Arial"/>
          <w:sz w:val="20"/>
          <w:szCs w:val="20"/>
        </w:rPr>
        <w:t xml:space="preserve"> the sector going forward.</w:t>
      </w:r>
    </w:p>
    <w:p w:rsidR="009749F0" w:rsidRPr="00AF3755" w:rsidRDefault="009749F0" w:rsidP="00AF3755">
      <w:pPr>
        <w:pStyle w:val="ListParagraph"/>
        <w:numPr>
          <w:ilvl w:val="0"/>
          <w:numId w:val="25"/>
        </w:numPr>
        <w:spacing w:after="0" w:line="240" w:lineRule="auto"/>
        <w:rPr>
          <w:rFonts w:ascii="Arial" w:hAnsi="Arial" w:cs="Arial"/>
          <w:b/>
          <w:sz w:val="20"/>
          <w:szCs w:val="20"/>
        </w:rPr>
      </w:pPr>
      <w:r w:rsidRPr="00AF3755">
        <w:rPr>
          <w:rFonts w:ascii="Arial" w:hAnsi="Arial" w:cs="Arial"/>
          <w:sz w:val="20"/>
          <w:szCs w:val="20"/>
        </w:rPr>
        <w:t xml:space="preserve">The training of 249 CET lecturers in the CET sector was noted </w:t>
      </w:r>
      <w:r w:rsidR="002D5FEF" w:rsidRPr="00AF3755">
        <w:rPr>
          <w:rFonts w:ascii="Arial" w:hAnsi="Arial" w:cs="Arial"/>
          <w:sz w:val="20"/>
          <w:szCs w:val="20"/>
        </w:rPr>
        <w:t xml:space="preserve">and </w:t>
      </w:r>
      <w:r w:rsidRPr="00AF3755">
        <w:rPr>
          <w:rFonts w:ascii="Arial" w:hAnsi="Arial" w:cs="Arial"/>
          <w:sz w:val="20"/>
          <w:szCs w:val="20"/>
        </w:rPr>
        <w:t xml:space="preserve">the Committee </w:t>
      </w:r>
      <w:r w:rsidR="002D5FEF" w:rsidRPr="00AF3755">
        <w:rPr>
          <w:rFonts w:ascii="Arial" w:hAnsi="Arial" w:cs="Arial"/>
          <w:sz w:val="20"/>
          <w:szCs w:val="20"/>
        </w:rPr>
        <w:t xml:space="preserve">urged </w:t>
      </w:r>
      <w:r w:rsidRPr="00AF3755">
        <w:rPr>
          <w:rFonts w:ascii="Arial" w:hAnsi="Arial" w:cs="Arial"/>
          <w:sz w:val="20"/>
          <w:szCs w:val="20"/>
        </w:rPr>
        <w:t>the Department to expand this training programme to improve the performance and learning outcomes of the sector.</w:t>
      </w:r>
    </w:p>
    <w:p w:rsidR="009749F0" w:rsidRPr="00AF3755" w:rsidRDefault="009749F0" w:rsidP="00AF3755">
      <w:pPr>
        <w:pStyle w:val="ListParagraph"/>
        <w:numPr>
          <w:ilvl w:val="0"/>
          <w:numId w:val="25"/>
        </w:numPr>
        <w:spacing w:after="0" w:line="240" w:lineRule="auto"/>
        <w:rPr>
          <w:rFonts w:ascii="Arial" w:hAnsi="Arial" w:cs="Arial"/>
          <w:b/>
          <w:sz w:val="20"/>
          <w:szCs w:val="20"/>
        </w:rPr>
      </w:pPr>
      <w:r w:rsidRPr="00AF3755">
        <w:rPr>
          <w:rFonts w:ascii="Arial" w:hAnsi="Arial" w:cs="Arial"/>
          <w:sz w:val="20"/>
          <w:szCs w:val="20"/>
        </w:rPr>
        <w:t xml:space="preserve">Underfunding of the CET sector remains a concern given that up to 80% of the budget dedicated to the sector is directed </w:t>
      </w:r>
      <w:r w:rsidR="00067E63" w:rsidRPr="00AF3755">
        <w:rPr>
          <w:rFonts w:ascii="Arial" w:hAnsi="Arial" w:cs="Arial"/>
          <w:sz w:val="20"/>
          <w:szCs w:val="20"/>
        </w:rPr>
        <w:t>toward</w:t>
      </w:r>
      <w:r w:rsidR="007C5481" w:rsidRPr="00AF3755">
        <w:rPr>
          <w:rFonts w:ascii="Arial" w:hAnsi="Arial" w:cs="Arial"/>
          <w:sz w:val="20"/>
          <w:szCs w:val="20"/>
        </w:rPr>
        <w:t>s</w:t>
      </w:r>
      <w:r w:rsidR="00067E63" w:rsidRPr="00AF3755">
        <w:rPr>
          <w:rFonts w:ascii="Arial" w:hAnsi="Arial" w:cs="Arial"/>
          <w:sz w:val="20"/>
          <w:szCs w:val="20"/>
        </w:rPr>
        <w:t xml:space="preserve"> </w:t>
      </w:r>
      <w:r w:rsidR="007C5481" w:rsidRPr="00AF3755">
        <w:rPr>
          <w:rFonts w:ascii="Arial" w:hAnsi="Arial" w:cs="Arial"/>
          <w:sz w:val="20"/>
          <w:szCs w:val="20"/>
        </w:rPr>
        <w:t xml:space="preserve">the </w:t>
      </w:r>
      <w:r w:rsidRPr="00AF3755">
        <w:rPr>
          <w:rFonts w:ascii="Arial" w:hAnsi="Arial" w:cs="Arial"/>
          <w:sz w:val="20"/>
          <w:szCs w:val="20"/>
        </w:rPr>
        <w:t xml:space="preserve">compensation of employees. CET colleges mostly depend on </w:t>
      </w:r>
      <w:r w:rsidR="00067E63" w:rsidRPr="00AF3755">
        <w:rPr>
          <w:rFonts w:ascii="Arial" w:hAnsi="Arial" w:cs="Arial"/>
          <w:sz w:val="20"/>
          <w:szCs w:val="20"/>
        </w:rPr>
        <w:t xml:space="preserve">the </w:t>
      </w:r>
      <w:r w:rsidRPr="00AF3755">
        <w:rPr>
          <w:rFonts w:ascii="Arial" w:hAnsi="Arial" w:cs="Arial"/>
          <w:sz w:val="20"/>
          <w:szCs w:val="20"/>
        </w:rPr>
        <w:t>infrastructure provided by schools for their teaching and learning. Moreover, there is insufficient funding for operations and related costs for the sector.</w:t>
      </w:r>
    </w:p>
    <w:p w:rsidR="007334CD" w:rsidRPr="00AF3755" w:rsidRDefault="007334CD" w:rsidP="00AF3755">
      <w:pPr>
        <w:pStyle w:val="ListParagraph"/>
        <w:spacing w:after="0" w:line="240" w:lineRule="auto"/>
        <w:ind w:left="360"/>
        <w:rPr>
          <w:rFonts w:ascii="Arial" w:hAnsi="Arial" w:cs="Arial"/>
          <w:b/>
          <w:sz w:val="20"/>
          <w:szCs w:val="20"/>
        </w:rPr>
      </w:pPr>
    </w:p>
    <w:p w:rsidR="005F51F5" w:rsidRPr="00AF3755" w:rsidRDefault="005F51F5"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Quality Council for Trades and Occupations</w:t>
      </w:r>
    </w:p>
    <w:p w:rsidR="009749F0" w:rsidRPr="00AF3755" w:rsidRDefault="009749F0" w:rsidP="00AF3755">
      <w:pPr>
        <w:pStyle w:val="ListParagraph"/>
        <w:numPr>
          <w:ilvl w:val="0"/>
          <w:numId w:val="26"/>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sixth consecutive clean audit achieved by the entity was commendable and </w:t>
      </w:r>
      <w:r w:rsidR="002D5FEF" w:rsidRPr="00AF3755">
        <w:rPr>
          <w:rFonts w:ascii="Arial" w:eastAsia="Arial" w:hAnsi="Arial" w:cs="Arial"/>
          <w:sz w:val="20"/>
          <w:szCs w:val="20"/>
        </w:rPr>
        <w:t xml:space="preserve">the Committee commended </w:t>
      </w:r>
      <w:r w:rsidRPr="00AF3755">
        <w:rPr>
          <w:rFonts w:ascii="Arial" w:eastAsia="Arial" w:hAnsi="Arial" w:cs="Arial"/>
          <w:sz w:val="20"/>
          <w:szCs w:val="20"/>
        </w:rPr>
        <w:t xml:space="preserve">the staff of the entity for their </w:t>
      </w:r>
      <w:r w:rsidR="002D5FEF" w:rsidRPr="00AF3755">
        <w:rPr>
          <w:rFonts w:ascii="Arial" w:eastAsia="Arial" w:hAnsi="Arial" w:cs="Arial"/>
          <w:sz w:val="20"/>
          <w:szCs w:val="20"/>
        </w:rPr>
        <w:t xml:space="preserve">commitment and </w:t>
      </w:r>
      <w:r w:rsidRPr="00AF3755">
        <w:rPr>
          <w:rFonts w:ascii="Arial" w:eastAsia="Arial" w:hAnsi="Arial" w:cs="Arial"/>
          <w:sz w:val="20"/>
          <w:szCs w:val="20"/>
        </w:rPr>
        <w:t xml:space="preserve">hard work. </w:t>
      </w:r>
    </w:p>
    <w:p w:rsidR="009749F0" w:rsidRPr="00AF3755" w:rsidRDefault="009749F0" w:rsidP="00AF3755">
      <w:pPr>
        <w:pStyle w:val="ListParagraph"/>
        <w:numPr>
          <w:ilvl w:val="0"/>
          <w:numId w:val="26"/>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delays in the filling of vacant </w:t>
      </w:r>
      <w:r w:rsidR="002D5FEF" w:rsidRPr="00AF3755">
        <w:rPr>
          <w:rFonts w:ascii="Arial" w:eastAsia="Arial" w:hAnsi="Arial" w:cs="Arial"/>
          <w:sz w:val="20"/>
          <w:szCs w:val="20"/>
        </w:rPr>
        <w:t xml:space="preserve">funded </w:t>
      </w:r>
      <w:r w:rsidRPr="00AF3755">
        <w:rPr>
          <w:rFonts w:ascii="Arial" w:eastAsia="Arial" w:hAnsi="Arial" w:cs="Arial"/>
          <w:sz w:val="20"/>
          <w:szCs w:val="20"/>
        </w:rPr>
        <w:t xml:space="preserve">positions and the filling of vacant positions on the entity’s </w:t>
      </w:r>
      <w:r w:rsidR="002D5FEF" w:rsidRPr="00AF3755">
        <w:rPr>
          <w:rFonts w:ascii="Arial" w:eastAsia="Arial" w:hAnsi="Arial" w:cs="Arial"/>
          <w:sz w:val="20"/>
          <w:szCs w:val="20"/>
        </w:rPr>
        <w:t>C</w:t>
      </w:r>
      <w:r w:rsidRPr="00AF3755">
        <w:rPr>
          <w:rFonts w:ascii="Arial" w:eastAsia="Arial" w:hAnsi="Arial" w:cs="Arial"/>
          <w:sz w:val="20"/>
          <w:szCs w:val="20"/>
        </w:rPr>
        <w:t>ouncil</w:t>
      </w:r>
      <w:r w:rsidR="002D5FEF" w:rsidRPr="00AF3755">
        <w:rPr>
          <w:rFonts w:ascii="Arial" w:eastAsia="Arial" w:hAnsi="Arial" w:cs="Arial"/>
          <w:sz w:val="20"/>
          <w:szCs w:val="20"/>
        </w:rPr>
        <w:t>,</w:t>
      </w:r>
      <w:r w:rsidRPr="00AF3755">
        <w:rPr>
          <w:rFonts w:ascii="Arial" w:eastAsia="Arial" w:hAnsi="Arial" w:cs="Arial"/>
          <w:sz w:val="20"/>
          <w:szCs w:val="20"/>
        </w:rPr>
        <w:t xml:space="preserve"> including the appointment of a permanent Chairperson remain a concern. The Acting Chairperson has been in that position for two years despite commitments from the Department that the position would be filled. </w:t>
      </w:r>
    </w:p>
    <w:p w:rsidR="009749F0" w:rsidRPr="00AF3755" w:rsidRDefault="009749F0" w:rsidP="00AF3755">
      <w:pPr>
        <w:pStyle w:val="ListParagraph"/>
        <w:numPr>
          <w:ilvl w:val="0"/>
          <w:numId w:val="26"/>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Business Case of the entity has not yet been approved by the Department although the engagements started </w:t>
      </w:r>
      <w:r w:rsidR="00067E63" w:rsidRPr="00AF3755">
        <w:rPr>
          <w:rFonts w:ascii="Arial" w:eastAsia="Arial" w:hAnsi="Arial" w:cs="Arial"/>
          <w:sz w:val="20"/>
          <w:szCs w:val="20"/>
        </w:rPr>
        <w:t xml:space="preserve">in </w:t>
      </w:r>
      <w:r w:rsidRPr="00AF3755">
        <w:rPr>
          <w:rFonts w:ascii="Arial" w:eastAsia="Arial" w:hAnsi="Arial" w:cs="Arial"/>
          <w:sz w:val="20"/>
          <w:szCs w:val="20"/>
        </w:rPr>
        <w:t xml:space="preserve">2017. The plan was for the entity to take over the quality assurance role of the SETAs, however, to date, the entity still shares this responsibility with SETAs through </w:t>
      </w:r>
      <w:r w:rsidR="00067E63" w:rsidRPr="00AF3755">
        <w:rPr>
          <w:rFonts w:ascii="Arial" w:eastAsia="Arial" w:hAnsi="Arial" w:cs="Arial"/>
          <w:sz w:val="20"/>
          <w:szCs w:val="20"/>
        </w:rPr>
        <w:t>service-</w:t>
      </w:r>
      <w:r w:rsidRPr="00AF3755">
        <w:rPr>
          <w:rFonts w:ascii="Arial" w:eastAsia="Arial" w:hAnsi="Arial" w:cs="Arial"/>
          <w:sz w:val="20"/>
          <w:szCs w:val="20"/>
        </w:rPr>
        <w:t xml:space="preserve">level agreements. The delays </w:t>
      </w:r>
      <w:r w:rsidR="005C16B8" w:rsidRPr="00AF3755">
        <w:rPr>
          <w:rFonts w:ascii="Arial" w:eastAsia="Arial" w:hAnsi="Arial" w:cs="Arial"/>
          <w:sz w:val="20"/>
          <w:szCs w:val="20"/>
        </w:rPr>
        <w:t xml:space="preserve">in </w:t>
      </w:r>
      <w:r w:rsidRPr="00AF3755">
        <w:rPr>
          <w:rFonts w:ascii="Arial" w:eastAsia="Arial" w:hAnsi="Arial" w:cs="Arial"/>
          <w:sz w:val="20"/>
          <w:szCs w:val="20"/>
        </w:rPr>
        <w:t>the approval of the entity’s Business Case has implications in terms of its funding and operations. The entity’s approved organogram has 246 posts</w:t>
      </w:r>
      <w:r w:rsidR="005C16B8" w:rsidRPr="00AF3755">
        <w:rPr>
          <w:rFonts w:ascii="Arial" w:eastAsia="Arial" w:hAnsi="Arial" w:cs="Arial"/>
          <w:sz w:val="20"/>
          <w:szCs w:val="20"/>
        </w:rPr>
        <w:t>. H</w:t>
      </w:r>
      <w:r w:rsidRPr="00AF3755">
        <w:rPr>
          <w:rFonts w:ascii="Arial" w:eastAsia="Arial" w:hAnsi="Arial" w:cs="Arial"/>
          <w:sz w:val="20"/>
          <w:szCs w:val="20"/>
        </w:rPr>
        <w:t>owever, in real terms, it can only fund 110 posts.</w:t>
      </w:r>
    </w:p>
    <w:p w:rsidR="00845705" w:rsidRPr="00AF3755" w:rsidRDefault="009749F0" w:rsidP="00AF3755">
      <w:pPr>
        <w:pStyle w:val="ListParagraph"/>
        <w:numPr>
          <w:ilvl w:val="0"/>
          <w:numId w:val="26"/>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w:t>
      </w:r>
      <w:r w:rsidR="00474CFE" w:rsidRPr="00AF3755">
        <w:rPr>
          <w:rFonts w:ascii="Arial" w:eastAsia="Arial" w:hAnsi="Arial" w:cs="Arial"/>
          <w:sz w:val="20"/>
          <w:szCs w:val="20"/>
        </w:rPr>
        <w:t>delays in the finalisation of the processes put in place by</w:t>
      </w:r>
      <w:r w:rsidR="00DF6A7C" w:rsidRPr="00AF3755">
        <w:rPr>
          <w:rFonts w:ascii="Arial" w:eastAsia="Arial" w:hAnsi="Arial" w:cs="Arial"/>
          <w:sz w:val="20"/>
          <w:szCs w:val="20"/>
        </w:rPr>
        <w:t xml:space="preserve"> the </w:t>
      </w:r>
      <w:r w:rsidR="00474CFE" w:rsidRPr="00AF3755">
        <w:rPr>
          <w:rFonts w:ascii="Arial" w:eastAsia="Arial" w:hAnsi="Arial" w:cs="Arial"/>
          <w:sz w:val="20"/>
          <w:szCs w:val="20"/>
        </w:rPr>
        <w:t xml:space="preserve">entity to purchase the </w:t>
      </w:r>
      <w:r w:rsidR="00A0494D" w:rsidRPr="00AF3755">
        <w:rPr>
          <w:rFonts w:ascii="Arial" w:eastAsia="Arial" w:hAnsi="Arial" w:cs="Arial"/>
          <w:sz w:val="20"/>
          <w:szCs w:val="20"/>
        </w:rPr>
        <w:t>premises it</w:t>
      </w:r>
      <w:r w:rsidR="00474CFE" w:rsidRPr="00AF3755">
        <w:rPr>
          <w:rFonts w:ascii="Arial" w:eastAsia="Arial" w:hAnsi="Arial" w:cs="Arial"/>
          <w:sz w:val="20"/>
          <w:szCs w:val="20"/>
        </w:rPr>
        <w:t xml:space="preserve"> currently leases was noted</w:t>
      </w:r>
      <w:r w:rsidR="00EB4EF3" w:rsidRPr="00AF3755">
        <w:rPr>
          <w:rFonts w:ascii="Arial" w:eastAsia="Arial" w:hAnsi="Arial" w:cs="Arial"/>
          <w:sz w:val="20"/>
          <w:szCs w:val="20"/>
        </w:rPr>
        <w:t xml:space="preserve"> with concern</w:t>
      </w:r>
      <w:r w:rsidR="00474CFE" w:rsidRPr="00AF3755">
        <w:rPr>
          <w:rFonts w:ascii="Arial" w:eastAsia="Arial" w:hAnsi="Arial" w:cs="Arial"/>
          <w:sz w:val="20"/>
          <w:szCs w:val="20"/>
        </w:rPr>
        <w:t xml:space="preserve">. </w:t>
      </w:r>
      <w:r w:rsidRPr="00AF3755">
        <w:rPr>
          <w:rFonts w:ascii="Arial" w:eastAsia="Arial" w:hAnsi="Arial" w:cs="Arial"/>
          <w:sz w:val="20"/>
          <w:szCs w:val="20"/>
        </w:rPr>
        <w:t xml:space="preserve">The Committee has been recommending </w:t>
      </w:r>
      <w:r w:rsidR="00A0494D" w:rsidRPr="00AF3755">
        <w:rPr>
          <w:rFonts w:ascii="Arial" w:eastAsia="Arial" w:hAnsi="Arial" w:cs="Arial"/>
          <w:sz w:val="20"/>
          <w:szCs w:val="20"/>
        </w:rPr>
        <w:t xml:space="preserve">to the Department to fast-track the </w:t>
      </w:r>
      <w:r w:rsidRPr="00AF3755">
        <w:rPr>
          <w:rFonts w:ascii="Arial" w:eastAsia="Arial" w:hAnsi="Arial" w:cs="Arial"/>
          <w:sz w:val="20"/>
          <w:szCs w:val="20"/>
        </w:rPr>
        <w:t>process in the approv</w:t>
      </w:r>
      <w:r w:rsidR="00A0494D" w:rsidRPr="00AF3755">
        <w:rPr>
          <w:rFonts w:ascii="Arial" w:eastAsia="Arial" w:hAnsi="Arial" w:cs="Arial"/>
          <w:sz w:val="20"/>
          <w:szCs w:val="20"/>
        </w:rPr>
        <w:t>ing</w:t>
      </w:r>
      <w:r w:rsidRPr="00AF3755">
        <w:rPr>
          <w:rFonts w:ascii="Arial" w:eastAsia="Arial" w:hAnsi="Arial" w:cs="Arial"/>
          <w:sz w:val="20"/>
          <w:szCs w:val="20"/>
        </w:rPr>
        <w:t xml:space="preserve"> of the purchasing of </w:t>
      </w:r>
      <w:r w:rsidR="00A0494D" w:rsidRPr="00AF3755">
        <w:rPr>
          <w:rFonts w:ascii="Arial" w:eastAsia="Arial" w:hAnsi="Arial" w:cs="Arial"/>
          <w:sz w:val="20"/>
          <w:szCs w:val="20"/>
        </w:rPr>
        <w:t>the premises</w:t>
      </w:r>
      <w:r w:rsidR="00845705" w:rsidRPr="00AF3755">
        <w:rPr>
          <w:rFonts w:ascii="Arial" w:eastAsia="Arial" w:hAnsi="Arial" w:cs="Arial"/>
          <w:sz w:val="20"/>
          <w:szCs w:val="20"/>
        </w:rPr>
        <w:t xml:space="preserve">. </w:t>
      </w:r>
      <w:r w:rsidRPr="00AF3755">
        <w:rPr>
          <w:rFonts w:ascii="Arial" w:eastAsia="Arial" w:hAnsi="Arial" w:cs="Arial"/>
          <w:sz w:val="20"/>
          <w:szCs w:val="20"/>
        </w:rPr>
        <w:t xml:space="preserve"> </w:t>
      </w:r>
      <w:r w:rsidR="00845705" w:rsidRPr="00AF3755">
        <w:rPr>
          <w:rFonts w:ascii="Arial" w:eastAsia="Arial" w:hAnsi="Arial" w:cs="Arial"/>
          <w:sz w:val="20"/>
          <w:szCs w:val="20"/>
        </w:rPr>
        <w:t xml:space="preserve">The Committee noted the report that the Minister was considering a response from the QCTO on the issues that were raised with regard to its approval request. </w:t>
      </w:r>
    </w:p>
    <w:p w:rsidR="009749F0" w:rsidRPr="00AF3755" w:rsidRDefault="009749F0" w:rsidP="00AF3755">
      <w:pPr>
        <w:pStyle w:val="ListParagraph"/>
        <w:numPr>
          <w:ilvl w:val="0"/>
          <w:numId w:val="26"/>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The improvement in the entity’s performance</w:t>
      </w:r>
      <w:r w:rsidR="001657CC" w:rsidRPr="00AF3755">
        <w:rPr>
          <w:rFonts w:ascii="Arial" w:eastAsia="Arial" w:hAnsi="Arial" w:cs="Arial"/>
          <w:sz w:val="20"/>
          <w:szCs w:val="20"/>
        </w:rPr>
        <w:t>,</w:t>
      </w:r>
      <w:r w:rsidRPr="00AF3755">
        <w:rPr>
          <w:rFonts w:ascii="Arial" w:eastAsia="Arial" w:hAnsi="Arial" w:cs="Arial"/>
          <w:sz w:val="20"/>
          <w:szCs w:val="20"/>
        </w:rPr>
        <w:t xml:space="preserve"> 77</w:t>
      </w:r>
      <w:r w:rsidR="00067E63" w:rsidRPr="00AF3755">
        <w:rPr>
          <w:rFonts w:ascii="Arial" w:eastAsia="Arial" w:hAnsi="Arial" w:cs="Arial"/>
          <w:sz w:val="20"/>
          <w:szCs w:val="20"/>
        </w:rPr>
        <w:t xml:space="preserve"> per cent</w:t>
      </w:r>
      <w:r w:rsidRPr="00AF3755">
        <w:rPr>
          <w:rFonts w:ascii="Arial" w:eastAsia="Arial" w:hAnsi="Arial" w:cs="Arial"/>
          <w:sz w:val="20"/>
          <w:szCs w:val="20"/>
        </w:rPr>
        <w:t xml:space="preserve"> for the year under review</w:t>
      </w:r>
      <w:r w:rsidR="001657CC" w:rsidRPr="00AF3755">
        <w:rPr>
          <w:rFonts w:ascii="Arial" w:eastAsia="Arial" w:hAnsi="Arial" w:cs="Arial"/>
          <w:sz w:val="20"/>
          <w:szCs w:val="20"/>
        </w:rPr>
        <w:t>, from 64 per cent in 2020/21</w:t>
      </w:r>
      <w:r w:rsidRPr="00AF3755">
        <w:rPr>
          <w:rFonts w:ascii="Arial" w:eastAsia="Arial" w:hAnsi="Arial" w:cs="Arial"/>
          <w:sz w:val="20"/>
          <w:szCs w:val="20"/>
        </w:rPr>
        <w:t xml:space="preserve"> was welcomed. The entity </w:t>
      </w:r>
      <w:r w:rsidR="001657CC" w:rsidRPr="00AF3755">
        <w:rPr>
          <w:rFonts w:ascii="Arial" w:eastAsia="Arial" w:hAnsi="Arial" w:cs="Arial"/>
          <w:sz w:val="20"/>
          <w:szCs w:val="20"/>
        </w:rPr>
        <w:t xml:space="preserve">implemented </w:t>
      </w:r>
      <w:r w:rsidRPr="00AF3755">
        <w:rPr>
          <w:rFonts w:ascii="Arial" w:eastAsia="Arial" w:hAnsi="Arial" w:cs="Arial"/>
          <w:sz w:val="20"/>
          <w:szCs w:val="20"/>
        </w:rPr>
        <w:t xml:space="preserve">its planned activities </w:t>
      </w:r>
      <w:r w:rsidR="001657CC" w:rsidRPr="00AF3755">
        <w:rPr>
          <w:rFonts w:ascii="Arial" w:eastAsia="Arial" w:hAnsi="Arial" w:cs="Arial"/>
          <w:sz w:val="20"/>
          <w:szCs w:val="20"/>
        </w:rPr>
        <w:t>as per the approved 2021/22 Annual Performance Plan despite the</w:t>
      </w:r>
      <w:r w:rsidRPr="00AF3755">
        <w:rPr>
          <w:rFonts w:ascii="Arial" w:eastAsia="Arial" w:hAnsi="Arial" w:cs="Arial"/>
          <w:sz w:val="20"/>
          <w:szCs w:val="20"/>
        </w:rPr>
        <w:t xml:space="preserve"> budget cuts, due to the reduced SETA levy grant from R97</w:t>
      </w:r>
      <w:r w:rsidR="00067E63" w:rsidRPr="00AF3755">
        <w:rPr>
          <w:rFonts w:ascii="Arial" w:eastAsia="Arial" w:hAnsi="Arial" w:cs="Arial"/>
          <w:sz w:val="20"/>
          <w:szCs w:val="20"/>
        </w:rPr>
        <w:t>,</w:t>
      </w:r>
      <w:r w:rsidRPr="00AF3755">
        <w:rPr>
          <w:rFonts w:ascii="Arial" w:eastAsia="Arial" w:hAnsi="Arial" w:cs="Arial"/>
          <w:sz w:val="20"/>
          <w:szCs w:val="20"/>
        </w:rPr>
        <w:t>2 million in 2020/21 to R67</w:t>
      </w:r>
      <w:r w:rsidR="00067E63" w:rsidRPr="00AF3755">
        <w:rPr>
          <w:rFonts w:ascii="Arial" w:eastAsia="Arial" w:hAnsi="Arial" w:cs="Arial"/>
          <w:sz w:val="20"/>
          <w:szCs w:val="20"/>
        </w:rPr>
        <w:t>,</w:t>
      </w:r>
      <w:r w:rsidRPr="00AF3755">
        <w:rPr>
          <w:rFonts w:ascii="Arial" w:eastAsia="Arial" w:hAnsi="Arial" w:cs="Arial"/>
          <w:sz w:val="20"/>
          <w:szCs w:val="20"/>
        </w:rPr>
        <w:t>7 million in 2021/22.</w:t>
      </w:r>
    </w:p>
    <w:p w:rsidR="009749F0" w:rsidRPr="00AF3755" w:rsidRDefault="009749F0" w:rsidP="00AF3755">
      <w:pPr>
        <w:pStyle w:val="ListParagraph"/>
        <w:numPr>
          <w:ilvl w:val="0"/>
          <w:numId w:val="26"/>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The approval of the Occupational Qualifications Sub-Framework (OQSF) during the year under review was welcomed by the Committee as a positive development which would position the entity as a key role player in the PSET sector.</w:t>
      </w:r>
    </w:p>
    <w:p w:rsidR="009749F0" w:rsidRPr="00AF3755" w:rsidRDefault="009749F0" w:rsidP="00AF3755">
      <w:pPr>
        <w:pStyle w:val="ListParagraph"/>
        <w:numPr>
          <w:ilvl w:val="0"/>
          <w:numId w:val="26"/>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slow uptake of occupational qualifications and skills programmes by TVET colleges remains a concern as these programmes are critical in equipping students with </w:t>
      </w:r>
      <w:r w:rsidR="00067E63" w:rsidRPr="00AF3755">
        <w:rPr>
          <w:rFonts w:ascii="Arial" w:eastAsia="Arial" w:hAnsi="Arial" w:cs="Arial"/>
          <w:sz w:val="20"/>
          <w:szCs w:val="20"/>
        </w:rPr>
        <w:t>much-</w:t>
      </w:r>
      <w:r w:rsidRPr="00AF3755">
        <w:rPr>
          <w:rFonts w:ascii="Arial" w:eastAsia="Arial" w:hAnsi="Arial" w:cs="Arial"/>
          <w:sz w:val="20"/>
          <w:szCs w:val="20"/>
        </w:rPr>
        <w:t xml:space="preserve">needed skills to </w:t>
      </w:r>
      <w:r w:rsidR="001657CC" w:rsidRPr="00AF3755">
        <w:rPr>
          <w:rFonts w:ascii="Arial" w:eastAsia="Arial" w:hAnsi="Arial" w:cs="Arial"/>
          <w:sz w:val="20"/>
          <w:szCs w:val="20"/>
        </w:rPr>
        <w:t xml:space="preserve">become active participants in </w:t>
      </w:r>
      <w:r w:rsidRPr="00AF3755">
        <w:rPr>
          <w:rFonts w:ascii="Arial" w:eastAsia="Arial" w:hAnsi="Arial" w:cs="Arial"/>
          <w:sz w:val="20"/>
          <w:szCs w:val="20"/>
        </w:rPr>
        <w:t>the economy.</w:t>
      </w:r>
    </w:p>
    <w:p w:rsidR="009749F0" w:rsidRPr="00AF3755" w:rsidRDefault="009749F0" w:rsidP="00AF3755">
      <w:pPr>
        <w:pStyle w:val="ListParagraph"/>
        <w:numPr>
          <w:ilvl w:val="0"/>
          <w:numId w:val="26"/>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proposed offering of the </w:t>
      </w:r>
      <w:r w:rsidR="00067E63" w:rsidRPr="00AF3755">
        <w:rPr>
          <w:rFonts w:ascii="Arial" w:eastAsia="Arial" w:hAnsi="Arial" w:cs="Arial"/>
          <w:sz w:val="20"/>
          <w:szCs w:val="20"/>
        </w:rPr>
        <w:t>OQSF-</w:t>
      </w:r>
      <w:r w:rsidRPr="00AF3755">
        <w:rPr>
          <w:rFonts w:ascii="Arial" w:eastAsia="Arial" w:hAnsi="Arial" w:cs="Arial"/>
          <w:sz w:val="20"/>
          <w:szCs w:val="20"/>
        </w:rPr>
        <w:t>aligned qualifications by higher education institutions and skills programmes by CET colleges was noted as a positive development for the entire PSET system.</w:t>
      </w:r>
    </w:p>
    <w:p w:rsidR="009425AC" w:rsidRPr="00AF3755" w:rsidRDefault="009425AC" w:rsidP="00AF3755">
      <w:pPr>
        <w:pStyle w:val="ListParagraph"/>
        <w:suppressAutoHyphens/>
        <w:autoSpaceDN w:val="0"/>
        <w:spacing w:after="0" w:line="240" w:lineRule="auto"/>
        <w:ind w:left="360"/>
        <w:contextualSpacing w:val="0"/>
        <w:textAlignment w:val="baseline"/>
        <w:rPr>
          <w:rFonts w:ascii="Arial" w:eastAsia="Arial" w:hAnsi="Arial" w:cs="Arial"/>
          <w:sz w:val="20"/>
          <w:szCs w:val="20"/>
        </w:rPr>
      </w:pPr>
    </w:p>
    <w:p w:rsidR="005F51F5" w:rsidRPr="00AF3755" w:rsidRDefault="005F51F5"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South African Qualifications Authority</w:t>
      </w:r>
    </w:p>
    <w:p w:rsidR="009749F0" w:rsidRPr="00AF3755" w:rsidRDefault="009749F0" w:rsidP="00AF3755">
      <w:pPr>
        <w:pStyle w:val="ListParagraph"/>
        <w:numPr>
          <w:ilvl w:val="0"/>
          <w:numId w:val="27"/>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lastRenderedPageBreak/>
        <w:t xml:space="preserve">The Committee expressed its gratitude to the outgoing CEO, Dr Reddy, who had served the entity with excellence during her tenure and wished her well in her future endeavours. It also welcomed the smooth transition to the newly appointed CEO, Ms Starr, who also has been part </w:t>
      </w:r>
      <w:r w:rsidR="00067E63" w:rsidRPr="00AF3755">
        <w:rPr>
          <w:rFonts w:ascii="Arial" w:eastAsia="Arial" w:hAnsi="Arial" w:cs="Arial"/>
          <w:sz w:val="20"/>
          <w:szCs w:val="20"/>
        </w:rPr>
        <w:t xml:space="preserve">of </w:t>
      </w:r>
      <w:r w:rsidRPr="00AF3755">
        <w:rPr>
          <w:rFonts w:ascii="Arial" w:eastAsia="Arial" w:hAnsi="Arial" w:cs="Arial"/>
          <w:sz w:val="20"/>
          <w:szCs w:val="20"/>
        </w:rPr>
        <w:t>the entity and would take over from 1 December 2022.</w:t>
      </w:r>
    </w:p>
    <w:p w:rsidR="009749F0" w:rsidRPr="00AF3755" w:rsidRDefault="009749F0" w:rsidP="00AF3755">
      <w:pPr>
        <w:pStyle w:val="ListParagraph"/>
        <w:numPr>
          <w:ilvl w:val="0"/>
          <w:numId w:val="27"/>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The entity’s achievement of 80 per cent of its targets during the year under review was commended, noting that it had retrenched 73 staff members due to financial difficulties.</w:t>
      </w:r>
    </w:p>
    <w:p w:rsidR="009749F0" w:rsidRPr="00AF3755" w:rsidRDefault="009749F0" w:rsidP="00AF3755">
      <w:pPr>
        <w:pStyle w:val="ListParagraph"/>
        <w:numPr>
          <w:ilvl w:val="0"/>
          <w:numId w:val="27"/>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The confidence and commitment to women</w:t>
      </w:r>
      <w:r w:rsidR="00067E63" w:rsidRPr="00AF3755">
        <w:rPr>
          <w:rFonts w:ascii="Arial" w:eastAsia="Arial" w:hAnsi="Arial" w:cs="Arial"/>
          <w:sz w:val="20"/>
          <w:szCs w:val="20"/>
        </w:rPr>
        <w:t>'s</w:t>
      </w:r>
      <w:r w:rsidRPr="00AF3755">
        <w:rPr>
          <w:rFonts w:ascii="Arial" w:eastAsia="Arial" w:hAnsi="Arial" w:cs="Arial"/>
          <w:sz w:val="20"/>
          <w:szCs w:val="20"/>
        </w:rPr>
        <w:t xml:space="preserve"> empowerment as evidenced by the entity in appointing women to occupy strategic positions in its senior management positions is highly commended. The Board Chairperson and CEO of the entity were women. </w:t>
      </w:r>
    </w:p>
    <w:p w:rsidR="009749F0" w:rsidRPr="00AF3755" w:rsidRDefault="009749F0" w:rsidP="00AF3755">
      <w:pPr>
        <w:pStyle w:val="ListParagraph"/>
        <w:numPr>
          <w:ilvl w:val="0"/>
          <w:numId w:val="27"/>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delays by the entity in completing applications received for verification of qualifications and its </w:t>
      </w:r>
      <w:r w:rsidR="00EA64C5" w:rsidRPr="00AF3755">
        <w:rPr>
          <w:rFonts w:ascii="Arial" w:eastAsia="Arial" w:hAnsi="Arial" w:cs="Arial"/>
          <w:sz w:val="20"/>
          <w:szCs w:val="20"/>
        </w:rPr>
        <w:t xml:space="preserve">possible </w:t>
      </w:r>
      <w:r w:rsidRPr="00AF3755">
        <w:rPr>
          <w:rFonts w:ascii="Arial" w:eastAsia="Arial" w:hAnsi="Arial" w:cs="Arial"/>
          <w:sz w:val="20"/>
          <w:szCs w:val="20"/>
        </w:rPr>
        <w:t>impact on the applicants were noted as a concern. Compounding th</w:t>
      </w:r>
      <w:r w:rsidR="004D7810" w:rsidRPr="00AF3755">
        <w:rPr>
          <w:rFonts w:ascii="Arial" w:eastAsia="Arial" w:hAnsi="Arial" w:cs="Arial"/>
          <w:sz w:val="20"/>
          <w:szCs w:val="20"/>
        </w:rPr>
        <w:t>is</w:t>
      </w:r>
      <w:r w:rsidRPr="00AF3755">
        <w:rPr>
          <w:rFonts w:ascii="Arial" w:eastAsia="Arial" w:hAnsi="Arial" w:cs="Arial"/>
          <w:sz w:val="20"/>
          <w:szCs w:val="20"/>
        </w:rPr>
        <w:t xml:space="preserve"> situation was the </w:t>
      </w:r>
      <w:r w:rsidR="009C0358" w:rsidRPr="00AF3755">
        <w:rPr>
          <w:rFonts w:ascii="Arial" w:eastAsia="Arial" w:hAnsi="Arial" w:cs="Arial"/>
          <w:sz w:val="20"/>
          <w:szCs w:val="20"/>
        </w:rPr>
        <w:t>amount</w:t>
      </w:r>
      <w:r w:rsidRPr="00AF3755">
        <w:rPr>
          <w:rFonts w:ascii="Arial" w:eastAsia="Arial" w:hAnsi="Arial" w:cs="Arial"/>
          <w:sz w:val="20"/>
          <w:szCs w:val="20"/>
        </w:rPr>
        <w:t xml:space="preserve"> of information and records that were still not digitised by SAQA</w:t>
      </w:r>
      <w:r w:rsidR="00EA64C5" w:rsidRPr="00AF3755">
        <w:rPr>
          <w:rFonts w:ascii="Arial" w:eastAsia="Arial" w:hAnsi="Arial" w:cs="Arial"/>
          <w:sz w:val="20"/>
          <w:szCs w:val="20"/>
        </w:rPr>
        <w:t>,</w:t>
      </w:r>
      <w:r w:rsidRPr="00AF3755">
        <w:rPr>
          <w:rFonts w:ascii="Arial" w:eastAsia="Arial" w:hAnsi="Arial" w:cs="Arial"/>
          <w:sz w:val="20"/>
          <w:szCs w:val="20"/>
        </w:rPr>
        <w:t xml:space="preserve"> which impacts the turn-around time.</w:t>
      </w:r>
    </w:p>
    <w:p w:rsidR="009749F0" w:rsidRPr="00AF3755" w:rsidRDefault="009749F0" w:rsidP="00AF3755">
      <w:pPr>
        <w:pStyle w:val="ListParagraph"/>
        <w:numPr>
          <w:ilvl w:val="0"/>
          <w:numId w:val="27"/>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delays in the implementation of the fully functional automation system to improve the verifications and related functions of the entity remain a concern. It was noted that the implementation of the automation project will assist the entity </w:t>
      </w:r>
      <w:r w:rsidR="00067E63" w:rsidRPr="00AF3755">
        <w:rPr>
          <w:rFonts w:ascii="Arial" w:eastAsia="Arial" w:hAnsi="Arial" w:cs="Arial"/>
          <w:sz w:val="20"/>
          <w:szCs w:val="20"/>
        </w:rPr>
        <w:t>in</w:t>
      </w:r>
      <w:r w:rsidR="004D7810" w:rsidRPr="00AF3755">
        <w:rPr>
          <w:rFonts w:ascii="Arial" w:eastAsia="Arial" w:hAnsi="Arial" w:cs="Arial"/>
          <w:sz w:val="20"/>
          <w:szCs w:val="20"/>
        </w:rPr>
        <w:t xml:space="preserve"> the</w:t>
      </w:r>
      <w:r w:rsidR="00067E63" w:rsidRPr="00AF3755">
        <w:rPr>
          <w:rFonts w:ascii="Arial" w:eastAsia="Arial" w:hAnsi="Arial" w:cs="Arial"/>
          <w:sz w:val="20"/>
          <w:szCs w:val="20"/>
        </w:rPr>
        <w:t xml:space="preserve"> </w:t>
      </w:r>
      <w:r w:rsidRPr="00AF3755">
        <w:rPr>
          <w:rFonts w:ascii="Arial" w:eastAsia="Arial" w:hAnsi="Arial" w:cs="Arial"/>
          <w:sz w:val="20"/>
          <w:szCs w:val="20"/>
        </w:rPr>
        <w:t xml:space="preserve">speed-up </w:t>
      </w:r>
      <w:r w:rsidR="004D7810" w:rsidRPr="00AF3755">
        <w:rPr>
          <w:rFonts w:ascii="Arial" w:eastAsia="Arial" w:hAnsi="Arial" w:cs="Arial"/>
          <w:sz w:val="20"/>
          <w:szCs w:val="20"/>
        </w:rPr>
        <w:t xml:space="preserve">of </w:t>
      </w:r>
      <w:r w:rsidRPr="00AF3755">
        <w:rPr>
          <w:rFonts w:ascii="Arial" w:eastAsia="Arial" w:hAnsi="Arial" w:cs="Arial"/>
          <w:sz w:val="20"/>
          <w:szCs w:val="20"/>
        </w:rPr>
        <w:t xml:space="preserve">the verification processes considering its reduced human resource capacity and also position it as </w:t>
      </w:r>
      <w:r w:rsidR="00067E63" w:rsidRPr="00AF3755">
        <w:rPr>
          <w:rFonts w:ascii="Arial" w:eastAsia="Arial" w:hAnsi="Arial" w:cs="Arial"/>
          <w:sz w:val="20"/>
          <w:szCs w:val="20"/>
        </w:rPr>
        <w:t xml:space="preserve">a </w:t>
      </w:r>
      <w:r w:rsidRPr="00AF3755">
        <w:rPr>
          <w:rFonts w:ascii="Arial" w:eastAsia="Arial" w:hAnsi="Arial" w:cs="Arial"/>
          <w:sz w:val="20"/>
          <w:szCs w:val="20"/>
        </w:rPr>
        <w:t xml:space="preserve">key role player in the verification of qualifications. </w:t>
      </w:r>
    </w:p>
    <w:p w:rsidR="00942C2B" w:rsidRPr="00AF3755" w:rsidRDefault="00942C2B" w:rsidP="00AF3755">
      <w:pPr>
        <w:pStyle w:val="ListParagraph"/>
        <w:numPr>
          <w:ilvl w:val="0"/>
          <w:numId w:val="27"/>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The underspending amounting to R48 million during the year under review was noted as a concern noting that the entity has retrenched employees during the year under review.</w:t>
      </w:r>
    </w:p>
    <w:p w:rsidR="00942C2B" w:rsidRPr="00AF3755" w:rsidRDefault="00942C2B" w:rsidP="00AF3755">
      <w:pPr>
        <w:pStyle w:val="ListParagraph"/>
        <w:numPr>
          <w:ilvl w:val="0"/>
          <w:numId w:val="27"/>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The Committee commended SAQA for implementing consequence management without fear of favour. Swift action was taken by the entity in suspending its CFO for underperformance and suspicious activities. The Committee has been advocating for consequence management to be implemented against underperformance in public entities.</w:t>
      </w:r>
    </w:p>
    <w:p w:rsidR="009749F0" w:rsidRPr="00AF3755" w:rsidRDefault="009749F0" w:rsidP="00AF3755">
      <w:pPr>
        <w:pStyle w:val="ListParagraph"/>
        <w:numPr>
          <w:ilvl w:val="0"/>
          <w:numId w:val="27"/>
        </w:numPr>
        <w:suppressAutoHyphens/>
        <w:autoSpaceDN w:val="0"/>
        <w:spacing w:after="0" w:line="240" w:lineRule="auto"/>
        <w:contextualSpacing w:val="0"/>
        <w:textAlignment w:val="baseline"/>
        <w:rPr>
          <w:rFonts w:ascii="Arial" w:eastAsia="Arial" w:hAnsi="Arial" w:cs="Arial"/>
          <w:sz w:val="20"/>
          <w:szCs w:val="20"/>
        </w:rPr>
      </w:pPr>
      <w:r w:rsidRPr="00AF3755">
        <w:rPr>
          <w:rFonts w:ascii="Arial" w:eastAsia="Arial" w:hAnsi="Arial" w:cs="Arial"/>
          <w:sz w:val="20"/>
          <w:szCs w:val="20"/>
        </w:rPr>
        <w:t xml:space="preserve">The entity has regressed from a clean audit opinion in 2020/21 to </w:t>
      </w:r>
      <w:r w:rsidR="00067E63" w:rsidRPr="00AF3755">
        <w:rPr>
          <w:rFonts w:ascii="Arial" w:eastAsia="Arial" w:hAnsi="Arial" w:cs="Arial"/>
          <w:sz w:val="20"/>
          <w:szCs w:val="20"/>
        </w:rPr>
        <w:t xml:space="preserve">an </w:t>
      </w:r>
      <w:r w:rsidRPr="00AF3755">
        <w:rPr>
          <w:rFonts w:ascii="Arial" w:eastAsia="Arial" w:hAnsi="Arial" w:cs="Arial"/>
          <w:sz w:val="20"/>
          <w:szCs w:val="20"/>
        </w:rPr>
        <w:t xml:space="preserve">unqualified audit opinion with findings in 2021/22, and the Committee encouraged the entity to put measures in place to ensure </w:t>
      </w:r>
      <w:r w:rsidR="00942C2B" w:rsidRPr="00AF3755">
        <w:rPr>
          <w:rFonts w:ascii="Arial" w:eastAsia="Arial" w:hAnsi="Arial" w:cs="Arial"/>
          <w:sz w:val="20"/>
          <w:szCs w:val="20"/>
        </w:rPr>
        <w:t xml:space="preserve">that </w:t>
      </w:r>
      <w:r w:rsidRPr="00AF3755">
        <w:rPr>
          <w:rFonts w:ascii="Arial" w:eastAsia="Arial" w:hAnsi="Arial" w:cs="Arial"/>
          <w:sz w:val="20"/>
          <w:szCs w:val="20"/>
        </w:rPr>
        <w:t>it achieves a clean audit.</w:t>
      </w:r>
    </w:p>
    <w:p w:rsidR="009749F0" w:rsidRPr="00AF3755" w:rsidRDefault="009749F0" w:rsidP="00AF3755">
      <w:pPr>
        <w:pStyle w:val="ListParagraph"/>
        <w:spacing w:after="0" w:line="240" w:lineRule="auto"/>
        <w:ind w:left="0"/>
        <w:rPr>
          <w:rFonts w:ascii="Arial" w:hAnsi="Arial" w:cs="Arial"/>
          <w:b/>
          <w:sz w:val="20"/>
          <w:szCs w:val="20"/>
        </w:rPr>
      </w:pPr>
    </w:p>
    <w:p w:rsidR="005F51F5" w:rsidRPr="00AF3755" w:rsidRDefault="005F51F5"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Council on Higher Education</w:t>
      </w:r>
    </w:p>
    <w:p w:rsidR="009749F0" w:rsidRPr="00AF3755" w:rsidRDefault="009749F0" w:rsidP="00AF3755">
      <w:pPr>
        <w:pStyle w:val="ListParagraph"/>
        <w:numPr>
          <w:ilvl w:val="0"/>
          <w:numId w:val="28"/>
        </w:numPr>
        <w:suppressAutoHyphens/>
        <w:autoSpaceDN w:val="0"/>
        <w:spacing w:after="0" w:line="240" w:lineRule="auto"/>
        <w:contextualSpacing w:val="0"/>
        <w:textAlignment w:val="baseline"/>
        <w:rPr>
          <w:rFonts w:ascii="Arial" w:eastAsia="Arial" w:hAnsi="Arial" w:cs="Arial"/>
          <w:bCs/>
          <w:sz w:val="20"/>
          <w:szCs w:val="20"/>
        </w:rPr>
      </w:pPr>
      <w:r w:rsidRPr="00AF3755">
        <w:rPr>
          <w:rFonts w:ascii="Arial" w:eastAsia="Arial" w:hAnsi="Arial" w:cs="Arial"/>
          <w:bCs/>
          <w:sz w:val="20"/>
          <w:szCs w:val="20"/>
        </w:rPr>
        <w:t>The delays in the filling of funded vacan</w:t>
      </w:r>
      <w:r w:rsidR="00E510FD" w:rsidRPr="00AF3755">
        <w:rPr>
          <w:rFonts w:ascii="Arial" w:eastAsia="Arial" w:hAnsi="Arial" w:cs="Arial"/>
          <w:bCs/>
          <w:sz w:val="20"/>
          <w:szCs w:val="20"/>
        </w:rPr>
        <w:t>t position</w:t>
      </w:r>
      <w:r w:rsidR="004D7810" w:rsidRPr="00AF3755">
        <w:rPr>
          <w:rFonts w:ascii="Arial" w:eastAsia="Arial" w:hAnsi="Arial" w:cs="Arial"/>
          <w:bCs/>
          <w:sz w:val="20"/>
          <w:szCs w:val="20"/>
        </w:rPr>
        <w:t>s</w:t>
      </w:r>
      <w:r w:rsidRPr="00AF3755">
        <w:rPr>
          <w:rFonts w:ascii="Arial" w:eastAsia="Arial" w:hAnsi="Arial" w:cs="Arial"/>
          <w:bCs/>
          <w:sz w:val="20"/>
          <w:szCs w:val="20"/>
        </w:rPr>
        <w:t xml:space="preserve"> during the year under review </w:t>
      </w:r>
      <w:r w:rsidR="00067E63" w:rsidRPr="00AF3755">
        <w:rPr>
          <w:rFonts w:ascii="Arial" w:eastAsia="Arial" w:hAnsi="Arial" w:cs="Arial"/>
          <w:bCs/>
          <w:sz w:val="20"/>
          <w:szCs w:val="20"/>
        </w:rPr>
        <w:t xml:space="preserve">were </w:t>
      </w:r>
      <w:r w:rsidRPr="00AF3755">
        <w:rPr>
          <w:rFonts w:ascii="Arial" w:eastAsia="Arial" w:hAnsi="Arial" w:cs="Arial"/>
          <w:bCs/>
          <w:sz w:val="20"/>
          <w:szCs w:val="20"/>
        </w:rPr>
        <w:t xml:space="preserve">noted as a concern. The Committee also noted that the entity relied mostly on contract appointments due to the limited budget for compensation of employees. </w:t>
      </w:r>
    </w:p>
    <w:p w:rsidR="009749F0" w:rsidRPr="00AF3755" w:rsidRDefault="009749F0" w:rsidP="00AF3755">
      <w:pPr>
        <w:pStyle w:val="ListParagraph"/>
        <w:numPr>
          <w:ilvl w:val="0"/>
          <w:numId w:val="28"/>
        </w:numPr>
        <w:suppressAutoHyphens/>
        <w:autoSpaceDN w:val="0"/>
        <w:spacing w:after="0" w:line="240" w:lineRule="auto"/>
        <w:contextualSpacing w:val="0"/>
        <w:textAlignment w:val="baseline"/>
        <w:rPr>
          <w:rFonts w:ascii="Arial" w:eastAsia="Arial" w:hAnsi="Arial" w:cs="Arial"/>
          <w:bCs/>
          <w:sz w:val="20"/>
          <w:szCs w:val="20"/>
        </w:rPr>
      </w:pPr>
      <w:r w:rsidRPr="00AF3755">
        <w:rPr>
          <w:rFonts w:ascii="Arial" w:eastAsia="Arial" w:hAnsi="Arial" w:cs="Arial"/>
          <w:bCs/>
          <w:sz w:val="20"/>
          <w:szCs w:val="20"/>
        </w:rPr>
        <w:t xml:space="preserve">The quality of the curriculum for </w:t>
      </w:r>
      <w:r w:rsidR="004D7810" w:rsidRPr="00AF3755">
        <w:rPr>
          <w:rFonts w:ascii="Arial" w:eastAsia="Arial" w:hAnsi="Arial" w:cs="Arial"/>
          <w:bCs/>
          <w:sz w:val="20"/>
          <w:szCs w:val="20"/>
        </w:rPr>
        <w:t xml:space="preserve">the </w:t>
      </w:r>
      <w:r w:rsidRPr="00AF3755">
        <w:rPr>
          <w:rFonts w:ascii="Arial" w:eastAsia="Arial" w:hAnsi="Arial" w:cs="Arial"/>
          <w:bCs/>
          <w:sz w:val="20"/>
          <w:szCs w:val="20"/>
        </w:rPr>
        <w:t xml:space="preserve">initial teacher education programme, in particular at the University of South Africa (UNISA) was noted as a concern. It was further noted that UNISA is among the institutions that produce the highest number of graduates in teaching and the weakness in its programme needs to be rectified.   </w:t>
      </w:r>
    </w:p>
    <w:p w:rsidR="009749F0" w:rsidRPr="00AF3755" w:rsidRDefault="009749F0" w:rsidP="00AF3755">
      <w:pPr>
        <w:pStyle w:val="ListParagraph"/>
        <w:numPr>
          <w:ilvl w:val="0"/>
          <w:numId w:val="28"/>
        </w:numPr>
        <w:suppressAutoHyphens/>
        <w:autoSpaceDN w:val="0"/>
        <w:spacing w:after="0" w:line="240" w:lineRule="auto"/>
        <w:contextualSpacing w:val="0"/>
        <w:textAlignment w:val="baseline"/>
        <w:rPr>
          <w:rFonts w:ascii="Arial" w:eastAsia="Arial" w:hAnsi="Arial" w:cs="Arial"/>
          <w:bCs/>
          <w:sz w:val="20"/>
          <w:szCs w:val="20"/>
        </w:rPr>
      </w:pPr>
      <w:r w:rsidRPr="00AF3755">
        <w:rPr>
          <w:rFonts w:ascii="Arial" w:eastAsia="Arial" w:hAnsi="Arial" w:cs="Arial"/>
          <w:bCs/>
          <w:sz w:val="20"/>
          <w:szCs w:val="20"/>
        </w:rPr>
        <w:t>The offering of legacy qualifications that have reached their teaching</w:t>
      </w:r>
      <w:r w:rsidR="00DF6A7C" w:rsidRPr="00AF3755">
        <w:rPr>
          <w:rFonts w:ascii="Arial" w:eastAsia="Arial" w:hAnsi="Arial" w:cs="Arial"/>
          <w:bCs/>
          <w:sz w:val="20"/>
          <w:szCs w:val="20"/>
        </w:rPr>
        <w:t>-</w:t>
      </w:r>
      <w:r w:rsidRPr="00AF3755">
        <w:rPr>
          <w:rFonts w:ascii="Arial" w:eastAsia="Arial" w:hAnsi="Arial" w:cs="Arial"/>
          <w:bCs/>
          <w:sz w:val="20"/>
          <w:szCs w:val="20"/>
        </w:rPr>
        <w:t xml:space="preserve">out period </w:t>
      </w:r>
      <w:r w:rsidR="004D7810" w:rsidRPr="00AF3755">
        <w:rPr>
          <w:rFonts w:ascii="Arial" w:eastAsia="Arial" w:hAnsi="Arial" w:cs="Arial"/>
          <w:bCs/>
          <w:sz w:val="20"/>
          <w:szCs w:val="20"/>
        </w:rPr>
        <w:t xml:space="preserve">in </w:t>
      </w:r>
      <w:r w:rsidRPr="00AF3755">
        <w:rPr>
          <w:rFonts w:ascii="Arial" w:eastAsia="Arial" w:hAnsi="Arial" w:cs="Arial"/>
          <w:bCs/>
          <w:sz w:val="20"/>
          <w:szCs w:val="20"/>
        </w:rPr>
        <w:t xml:space="preserve">some universities, and how this impacts the funding of students who are enrolled in these programmes was noted as a concern. It was further noted that NSFAS is unable to fund these programmes, and students registered in some of these programmes need to find alternative means </w:t>
      </w:r>
      <w:r w:rsidR="00E510FD" w:rsidRPr="00AF3755">
        <w:rPr>
          <w:rFonts w:ascii="Arial" w:eastAsia="Arial" w:hAnsi="Arial" w:cs="Arial"/>
          <w:bCs/>
          <w:sz w:val="20"/>
          <w:szCs w:val="20"/>
        </w:rPr>
        <w:t xml:space="preserve">to </w:t>
      </w:r>
      <w:r w:rsidRPr="00AF3755">
        <w:rPr>
          <w:rFonts w:ascii="Arial" w:eastAsia="Arial" w:hAnsi="Arial" w:cs="Arial"/>
          <w:bCs/>
          <w:sz w:val="20"/>
          <w:szCs w:val="20"/>
        </w:rPr>
        <w:t xml:space="preserve">fund their studies.  Thus, it is critical for the CHE </w:t>
      </w:r>
      <w:r w:rsidR="00067E63" w:rsidRPr="00AF3755">
        <w:rPr>
          <w:rFonts w:ascii="Arial" w:eastAsia="Arial" w:hAnsi="Arial" w:cs="Arial"/>
          <w:bCs/>
          <w:sz w:val="20"/>
          <w:szCs w:val="20"/>
        </w:rPr>
        <w:t xml:space="preserve">to work </w:t>
      </w:r>
      <w:r w:rsidRPr="00AF3755">
        <w:rPr>
          <w:rFonts w:ascii="Arial" w:eastAsia="Arial" w:hAnsi="Arial" w:cs="Arial"/>
          <w:bCs/>
          <w:sz w:val="20"/>
          <w:szCs w:val="20"/>
        </w:rPr>
        <w:t>with SAQA and DHET to ensure that such qualifications are no longer offered by universities.</w:t>
      </w:r>
    </w:p>
    <w:p w:rsidR="009749F0" w:rsidRPr="00AF3755" w:rsidRDefault="009749F0" w:rsidP="00AF3755">
      <w:pPr>
        <w:pStyle w:val="ListParagraph"/>
        <w:numPr>
          <w:ilvl w:val="0"/>
          <w:numId w:val="28"/>
        </w:numPr>
        <w:suppressAutoHyphens/>
        <w:autoSpaceDN w:val="0"/>
        <w:spacing w:after="0" w:line="240" w:lineRule="auto"/>
        <w:contextualSpacing w:val="0"/>
        <w:textAlignment w:val="baseline"/>
        <w:rPr>
          <w:rFonts w:ascii="Arial" w:eastAsia="Arial" w:hAnsi="Arial" w:cs="Arial"/>
          <w:bCs/>
          <w:sz w:val="20"/>
          <w:szCs w:val="20"/>
        </w:rPr>
      </w:pPr>
      <w:r w:rsidRPr="00AF3755">
        <w:rPr>
          <w:rFonts w:ascii="Arial" w:eastAsia="Arial" w:hAnsi="Arial" w:cs="Arial"/>
          <w:bCs/>
          <w:sz w:val="20"/>
          <w:szCs w:val="20"/>
        </w:rPr>
        <w:t>The lack of standardisation of advanced diplomas by some universities as reported to the Committee by NSFAS was noted with concern and the CHE and SAQA were requested to look into the matter.</w:t>
      </w:r>
    </w:p>
    <w:p w:rsidR="009749F0" w:rsidRPr="00AF3755" w:rsidRDefault="009749F0" w:rsidP="00AF3755">
      <w:pPr>
        <w:pStyle w:val="ListParagraph"/>
        <w:numPr>
          <w:ilvl w:val="0"/>
          <w:numId w:val="28"/>
        </w:numPr>
        <w:suppressAutoHyphens/>
        <w:autoSpaceDN w:val="0"/>
        <w:spacing w:after="0" w:line="240" w:lineRule="auto"/>
        <w:contextualSpacing w:val="0"/>
        <w:textAlignment w:val="baseline"/>
        <w:rPr>
          <w:rFonts w:ascii="Arial" w:eastAsia="Arial" w:hAnsi="Arial" w:cs="Arial"/>
          <w:bCs/>
          <w:sz w:val="20"/>
          <w:szCs w:val="20"/>
        </w:rPr>
      </w:pPr>
      <w:r w:rsidRPr="00AF3755">
        <w:rPr>
          <w:rFonts w:ascii="Arial" w:eastAsia="Arial" w:hAnsi="Arial" w:cs="Arial"/>
          <w:bCs/>
          <w:sz w:val="20"/>
          <w:szCs w:val="20"/>
        </w:rPr>
        <w:t xml:space="preserve">The lack of representation of the minority groups such as Indian and White people, including people with disabilities (PWD) in the entity remains a concern. </w:t>
      </w:r>
    </w:p>
    <w:p w:rsidR="009749F0" w:rsidRPr="00AF3755" w:rsidRDefault="009749F0" w:rsidP="00AF3755">
      <w:pPr>
        <w:pStyle w:val="ListParagraph"/>
        <w:numPr>
          <w:ilvl w:val="0"/>
          <w:numId w:val="28"/>
        </w:numPr>
        <w:suppressAutoHyphens/>
        <w:autoSpaceDN w:val="0"/>
        <w:spacing w:after="0" w:line="240" w:lineRule="auto"/>
        <w:contextualSpacing w:val="0"/>
        <w:textAlignment w:val="baseline"/>
        <w:rPr>
          <w:rFonts w:ascii="Arial" w:eastAsia="Arial" w:hAnsi="Arial" w:cs="Arial"/>
          <w:bCs/>
          <w:sz w:val="20"/>
          <w:szCs w:val="20"/>
        </w:rPr>
      </w:pPr>
      <w:r w:rsidRPr="00AF3755">
        <w:rPr>
          <w:rFonts w:ascii="Arial" w:eastAsia="Arial" w:hAnsi="Arial" w:cs="Arial"/>
          <w:bCs/>
          <w:sz w:val="20"/>
          <w:szCs w:val="20"/>
        </w:rPr>
        <w:t xml:space="preserve">The delays in the filling of the Board Chairperson position, which was vacant since 14 July 2022 </w:t>
      </w:r>
      <w:r w:rsidR="00067E63" w:rsidRPr="00AF3755">
        <w:rPr>
          <w:rFonts w:ascii="Arial" w:eastAsia="Arial" w:hAnsi="Arial" w:cs="Arial"/>
          <w:bCs/>
          <w:sz w:val="20"/>
          <w:szCs w:val="20"/>
        </w:rPr>
        <w:t xml:space="preserve">were </w:t>
      </w:r>
      <w:r w:rsidRPr="00AF3755">
        <w:rPr>
          <w:rFonts w:ascii="Arial" w:eastAsia="Arial" w:hAnsi="Arial" w:cs="Arial"/>
          <w:bCs/>
          <w:sz w:val="20"/>
          <w:szCs w:val="20"/>
        </w:rPr>
        <w:t xml:space="preserve">noted with concern. Furthermore, the Committee noted that the term of the current Board was coming to an end soon and requested the Department to put in place measures to fill the positions to ensure </w:t>
      </w:r>
      <w:r w:rsidR="004D7810" w:rsidRPr="00AF3755">
        <w:rPr>
          <w:rFonts w:ascii="Arial" w:eastAsia="Arial" w:hAnsi="Arial" w:cs="Arial"/>
          <w:bCs/>
          <w:sz w:val="20"/>
          <w:szCs w:val="20"/>
        </w:rPr>
        <w:t xml:space="preserve">a </w:t>
      </w:r>
      <w:r w:rsidRPr="00AF3755">
        <w:rPr>
          <w:rFonts w:ascii="Arial" w:eastAsia="Arial" w:hAnsi="Arial" w:cs="Arial"/>
          <w:bCs/>
          <w:sz w:val="20"/>
          <w:szCs w:val="20"/>
        </w:rPr>
        <w:t>smooth transition.</w:t>
      </w:r>
    </w:p>
    <w:p w:rsidR="009749F0" w:rsidRPr="00AF3755" w:rsidRDefault="009749F0" w:rsidP="00AF3755">
      <w:pPr>
        <w:pStyle w:val="ListParagraph"/>
        <w:numPr>
          <w:ilvl w:val="0"/>
          <w:numId w:val="28"/>
        </w:numPr>
        <w:suppressAutoHyphens/>
        <w:autoSpaceDN w:val="0"/>
        <w:spacing w:after="0" w:line="240" w:lineRule="auto"/>
        <w:contextualSpacing w:val="0"/>
        <w:textAlignment w:val="baseline"/>
        <w:rPr>
          <w:rFonts w:ascii="Arial" w:eastAsia="Arial" w:hAnsi="Arial" w:cs="Arial"/>
          <w:bCs/>
          <w:sz w:val="20"/>
          <w:szCs w:val="20"/>
        </w:rPr>
      </w:pPr>
      <w:r w:rsidRPr="00AF3755">
        <w:rPr>
          <w:rFonts w:ascii="Arial" w:eastAsia="Arial" w:hAnsi="Arial" w:cs="Arial"/>
          <w:bCs/>
          <w:sz w:val="20"/>
          <w:szCs w:val="20"/>
        </w:rPr>
        <w:t xml:space="preserve">The transfer of the Transformation Oversight function to the CHE was welcomed, given the proliferation of racial incidents in institutions of higher learning. However, the Committee noted that the function shift to the CHE was not followed by the requisite funding. Thus, this would impact the ability of the entity to </w:t>
      </w:r>
      <w:r w:rsidR="00E510FD" w:rsidRPr="00AF3755">
        <w:rPr>
          <w:rFonts w:ascii="Arial" w:eastAsia="Arial" w:hAnsi="Arial" w:cs="Arial"/>
          <w:bCs/>
          <w:sz w:val="20"/>
          <w:szCs w:val="20"/>
        </w:rPr>
        <w:t xml:space="preserve">meaningfully </w:t>
      </w:r>
      <w:r w:rsidRPr="00AF3755">
        <w:rPr>
          <w:rFonts w:ascii="Arial" w:eastAsia="Arial" w:hAnsi="Arial" w:cs="Arial"/>
          <w:bCs/>
          <w:sz w:val="20"/>
          <w:szCs w:val="20"/>
        </w:rPr>
        <w:t xml:space="preserve">fulfil this critical function. </w:t>
      </w:r>
    </w:p>
    <w:p w:rsidR="009749F0" w:rsidRPr="00AF3755" w:rsidRDefault="009749F0" w:rsidP="00AF3755">
      <w:pPr>
        <w:pStyle w:val="ListParagraph"/>
        <w:numPr>
          <w:ilvl w:val="0"/>
          <w:numId w:val="28"/>
        </w:numPr>
        <w:suppressAutoHyphens/>
        <w:autoSpaceDN w:val="0"/>
        <w:spacing w:after="0" w:line="240" w:lineRule="auto"/>
        <w:contextualSpacing w:val="0"/>
        <w:textAlignment w:val="baseline"/>
        <w:rPr>
          <w:rFonts w:ascii="Arial" w:eastAsia="Arial" w:hAnsi="Arial" w:cs="Arial"/>
          <w:bCs/>
          <w:sz w:val="20"/>
          <w:szCs w:val="20"/>
        </w:rPr>
      </w:pPr>
      <w:r w:rsidRPr="00AF3755">
        <w:rPr>
          <w:rFonts w:ascii="Arial" w:eastAsia="Arial" w:hAnsi="Arial" w:cs="Arial"/>
          <w:bCs/>
          <w:sz w:val="20"/>
          <w:szCs w:val="20"/>
        </w:rPr>
        <w:t xml:space="preserve">The responsiveness of the programme offerings by universities to the changing world of work is critical for building the economy. </w:t>
      </w:r>
    </w:p>
    <w:p w:rsidR="005F51F5" w:rsidRPr="00AF3755" w:rsidRDefault="005F51F5" w:rsidP="00AF3755">
      <w:pPr>
        <w:pStyle w:val="ListParagraph"/>
        <w:spacing w:after="0" w:line="240" w:lineRule="auto"/>
        <w:ind w:left="0"/>
        <w:rPr>
          <w:rFonts w:ascii="Arial" w:hAnsi="Arial" w:cs="Arial"/>
          <w:b/>
          <w:sz w:val="20"/>
          <w:szCs w:val="20"/>
        </w:rPr>
      </w:pPr>
    </w:p>
    <w:p w:rsidR="005F51F5" w:rsidRPr="00AF3755" w:rsidRDefault="005F51F5" w:rsidP="00AF3755">
      <w:pPr>
        <w:pStyle w:val="ListParagraph"/>
        <w:numPr>
          <w:ilvl w:val="0"/>
          <w:numId w:val="1"/>
        </w:numPr>
        <w:spacing w:after="0" w:line="240" w:lineRule="auto"/>
        <w:rPr>
          <w:rFonts w:ascii="Arial" w:hAnsi="Arial" w:cs="Arial"/>
          <w:b/>
          <w:sz w:val="20"/>
          <w:szCs w:val="20"/>
        </w:rPr>
      </w:pPr>
      <w:r w:rsidRPr="00AF3755">
        <w:rPr>
          <w:rFonts w:ascii="Arial" w:hAnsi="Arial" w:cs="Arial"/>
          <w:b/>
          <w:sz w:val="20"/>
          <w:szCs w:val="20"/>
        </w:rPr>
        <w:t>RECOMMENDATIONS</w:t>
      </w:r>
    </w:p>
    <w:p w:rsidR="009749F0" w:rsidRPr="00AF3755" w:rsidRDefault="009749F0" w:rsidP="00AF3755">
      <w:pPr>
        <w:pStyle w:val="ListParagraph"/>
        <w:spacing w:after="0" w:line="240" w:lineRule="auto"/>
        <w:ind w:left="0"/>
        <w:rPr>
          <w:rFonts w:ascii="Arial" w:hAnsi="Arial" w:cs="Arial"/>
          <w:color w:val="000000" w:themeColor="text1"/>
          <w:sz w:val="20"/>
          <w:szCs w:val="20"/>
        </w:rPr>
      </w:pPr>
      <w:r w:rsidRPr="00AF3755">
        <w:rPr>
          <w:rFonts w:ascii="Arial" w:hAnsi="Arial" w:cs="Arial"/>
          <w:color w:val="000000" w:themeColor="text1"/>
          <w:sz w:val="20"/>
          <w:szCs w:val="20"/>
        </w:rPr>
        <w:lastRenderedPageBreak/>
        <w:t>The Committee, having assessed the 2021/22 Annual Reports of the Department and entities, recommends that the Minister of Higher Education, Science and Innovation and the Minister of Finance consider the following:</w:t>
      </w:r>
    </w:p>
    <w:p w:rsidR="009749F0" w:rsidRPr="00AF3755" w:rsidRDefault="009749F0" w:rsidP="00AF3755">
      <w:pPr>
        <w:pStyle w:val="ListParagraph"/>
        <w:spacing w:after="0" w:line="240" w:lineRule="auto"/>
        <w:ind w:left="0"/>
        <w:rPr>
          <w:rFonts w:ascii="Arial" w:hAnsi="Arial" w:cs="Arial"/>
          <w:b/>
          <w:sz w:val="20"/>
          <w:szCs w:val="20"/>
        </w:rPr>
      </w:pPr>
    </w:p>
    <w:p w:rsidR="00EC1B43" w:rsidRPr="00AF3755" w:rsidRDefault="00EC1B43"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Department of Higher Education and Training</w:t>
      </w:r>
    </w:p>
    <w:p w:rsidR="00933876" w:rsidRPr="00AF3755" w:rsidRDefault="00933876"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1: Administration</w:t>
      </w:r>
    </w:p>
    <w:p w:rsidR="00933876" w:rsidRPr="00AF3755" w:rsidRDefault="00CB7BEC" w:rsidP="00AF3755">
      <w:pPr>
        <w:pStyle w:val="ListParagraph"/>
        <w:numPr>
          <w:ilvl w:val="0"/>
          <w:numId w:val="29"/>
        </w:numPr>
        <w:spacing w:after="0" w:line="240" w:lineRule="auto"/>
        <w:rPr>
          <w:rFonts w:ascii="Arial" w:hAnsi="Arial" w:cs="Arial"/>
          <w:b/>
          <w:sz w:val="20"/>
          <w:szCs w:val="20"/>
        </w:rPr>
      </w:pPr>
      <w:r w:rsidRPr="00AF3755">
        <w:rPr>
          <w:rFonts w:ascii="Arial" w:eastAsia="Arial" w:hAnsi="Arial" w:cs="Arial"/>
          <w:bCs/>
          <w:sz w:val="20"/>
          <w:szCs w:val="20"/>
        </w:rPr>
        <w:t>The Department e</w:t>
      </w:r>
      <w:r w:rsidR="00933876" w:rsidRPr="00AF3755">
        <w:rPr>
          <w:rFonts w:ascii="Arial" w:eastAsia="Arial" w:hAnsi="Arial" w:cs="Arial"/>
          <w:bCs/>
          <w:sz w:val="20"/>
          <w:szCs w:val="20"/>
        </w:rPr>
        <w:t xml:space="preserve">nsures that there is an improvement in the appointment of people with disabilities in the PSET sector to promote an inclusive work environment. </w:t>
      </w:r>
    </w:p>
    <w:p w:rsidR="00933876" w:rsidRPr="00AF3755" w:rsidRDefault="00CB7BEC" w:rsidP="00AF3755">
      <w:pPr>
        <w:pStyle w:val="ListParagraph"/>
        <w:numPr>
          <w:ilvl w:val="0"/>
          <w:numId w:val="29"/>
        </w:numPr>
        <w:spacing w:after="0" w:line="240" w:lineRule="auto"/>
        <w:rPr>
          <w:rFonts w:ascii="Arial" w:hAnsi="Arial" w:cs="Arial"/>
          <w:b/>
          <w:sz w:val="20"/>
          <w:szCs w:val="20"/>
        </w:rPr>
      </w:pPr>
      <w:r w:rsidRPr="00AF3755">
        <w:rPr>
          <w:rFonts w:ascii="Arial" w:eastAsia="Arial" w:hAnsi="Arial" w:cs="Arial"/>
          <w:bCs/>
          <w:sz w:val="20"/>
          <w:szCs w:val="20"/>
        </w:rPr>
        <w:t>The Department e</w:t>
      </w:r>
      <w:r w:rsidR="00933876" w:rsidRPr="00AF3755">
        <w:rPr>
          <w:rFonts w:ascii="Arial" w:eastAsia="Arial" w:hAnsi="Arial" w:cs="Arial"/>
          <w:bCs/>
          <w:sz w:val="20"/>
          <w:szCs w:val="20"/>
        </w:rPr>
        <w:t xml:space="preserve">nsures that the employees appointed to occupy positions in the PSET institutions possess suitable qualifications and </w:t>
      </w:r>
      <w:r w:rsidR="00C63CB8" w:rsidRPr="00AF3755">
        <w:rPr>
          <w:rFonts w:ascii="Arial" w:eastAsia="Arial" w:hAnsi="Arial" w:cs="Arial"/>
          <w:bCs/>
          <w:sz w:val="20"/>
          <w:szCs w:val="20"/>
        </w:rPr>
        <w:t xml:space="preserve">the </w:t>
      </w:r>
      <w:r w:rsidR="00933876" w:rsidRPr="00AF3755">
        <w:rPr>
          <w:rFonts w:ascii="Arial" w:eastAsia="Arial" w:hAnsi="Arial" w:cs="Arial"/>
          <w:bCs/>
          <w:sz w:val="20"/>
          <w:szCs w:val="20"/>
        </w:rPr>
        <w:t xml:space="preserve">requisite experience. The </w:t>
      </w:r>
      <w:r w:rsidR="00840578" w:rsidRPr="00AF3755">
        <w:rPr>
          <w:rFonts w:ascii="Arial" w:eastAsia="Arial" w:hAnsi="Arial" w:cs="Arial"/>
          <w:bCs/>
          <w:sz w:val="20"/>
          <w:szCs w:val="20"/>
        </w:rPr>
        <w:t xml:space="preserve">appointment </w:t>
      </w:r>
      <w:r w:rsidR="00933876" w:rsidRPr="00AF3755">
        <w:rPr>
          <w:rFonts w:ascii="Arial" w:eastAsia="Arial" w:hAnsi="Arial" w:cs="Arial"/>
          <w:bCs/>
          <w:sz w:val="20"/>
          <w:szCs w:val="20"/>
        </w:rPr>
        <w:t xml:space="preserve">of unqualified and underperforming employees in the PSET </w:t>
      </w:r>
      <w:r w:rsidR="00D63882" w:rsidRPr="00AF3755">
        <w:rPr>
          <w:rFonts w:ascii="Arial" w:eastAsia="Arial" w:hAnsi="Arial" w:cs="Arial"/>
          <w:bCs/>
          <w:sz w:val="20"/>
          <w:szCs w:val="20"/>
        </w:rPr>
        <w:t xml:space="preserve">system </w:t>
      </w:r>
      <w:r w:rsidR="00933876" w:rsidRPr="00AF3755">
        <w:rPr>
          <w:rFonts w:ascii="Arial" w:eastAsia="Arial" w:hAnsi="Arial" w:cs="Arial"/>
          <w:bCs/>
          <w:sz w:val="20"/>
          <w:szCs w:val="20"/>
        </w:rPr>
        <w:t xml:space="preserve">has a negative impact </w:t>
      </w:r>
      <w:r w:rsidR="00067E63" w:rsidRPr="00AF3755">
        <w:rPr>
          <w:rFonts w:ascii="Arial" w:eastAsia="Arial" w:hAnsi="Arial" w:cs="Arial"/>
          <w:bCs/>
          <w:sz w:val="20"/>
          <w:szCs w:val="20"/>
        </w:rPr>
        <w:t xml:space="preserve">on </w:t>
      </w:r>
      <w:r w:rsidR="00933876" w:rsidRPr="00AF3755">
        <w:rPr>
          <w:rFonts w:ascii="Arial" w:eastAsia="Arial" w:hAnsi="Arial" w:cs="Arial"/>
          <w:bCs/>
          <w:sz w:val="20"/>
          <w:szCs w:val="20"/>
        </w:rPr>
        <w:t xml:space="preserve">the performance and audit outcomes of these institutions. </w:t>
      </w:r>
    </w:p>
    <w:p w:rsidR="00933876" w:rsidRPr="00AF3755" w:rsidRDefault="00A24DE2" w:rsidP="00AF3755">
      <w:pPr>
        <w:pStyle w:val="ListParagraph"/>
        <w:numPr>
          <w:ilvl w:val="0"/>
          <w:numId w:val="29"/>
        </w:numPr>
        <w:spacing w:after="0" w:line="240" w:lineRule="auto"/>
        <w:rPr>
          <w:rFonts w:ascii="Arial" w:hAnsi="Arial" w:cs="Arial"/>
          <w:b/>
          <w:sz w:val="20"/>
          <w:szCs w:val="20"/>
        </w:rPr>
      </w:pPr>
      <w:r w:rsidRPr="00AF3755">
        <w:rPr>
          <w:rFonts w:ascii="Arial" w:eastAsia="Arial" w:hAnsi="Arial" w:cs="Arial"/>
          <w:bCs/>
          <w:sz w:val="20"/>
          <w:szCs w:val="20"/>
        </w:rPr>
        <w:t xml:space="preserve">The Department put </w:t>
      </w:r>
      <w:r w:rsidR="00933876" w:rsidRPr="00AF3755">
        <w:rPr>
          <w:rFonts w:ascii="Arial" w:eastAsia="Arial" w:hAnsi="Arial" w:cs="Arial"/>
          <w:bCs/>
          <w:sz w:val="20"/>
          <w:szCs w:val="20"/>
        </w:rPr>
        <w:t xml:space="preserve">measures in place to address internal control deficiencies and improve </w:t>
      </w:r>
      <w:r w:rsidR="00840578" w:rsidRPr="00AF3755">
        <w:rPr>
          <w:rFonts w:ascii="Arial" w:eastAsia="Arial" w:hAnsi="Arial" w:cs="Arial"/>
          <w:bCs/>
          <w:sz w:val="20"/>
          <w:szCs w:val="20"/>
        </w:rPr>
        <w:t xml:space="preserve">its audit outcomes </w:t>
      </w:r>
      <w:r w:rsidR="00933876" w:rsidRPr="00AF3755">
        <w:rPr>
          <w:rFonts w:ascii="Arial" w:eastAsia="Arial" w:hAnsi="Arial" w:cs="Arial"/>
          <w:bCs/>
          <w:sz w:val="20"/>
          <w:szCs w:val="20"/>
        </w:rPr>
        <w:t xml:space="preserve">from unqualified audit opinion </w:t>
      </w:r>
      <w:r w:rsidR="00840578" w:rsidRPr="00AF3755">
        <w:rPr>
          <w:rFonts w:ascii="Arial" w:eastAsia="Arial" w:hAnsi="Arial" w:cs="Arial"/>
          <w:bCs/>
          <w:sz w:val="20"/>
          <w:szCs w:val="20"/>
        </w:rPr>
        <w:t xml:space="preserve">with findings </w:t>
      </w:r>
      <w:r w:rsidR="00933876" w:rsidRPr="00AF3755">
        <w:rPr>
          <w:rFonts w:ascii="Arial" w:eastAsia="Arial" w:hAnsi="Arial" w:cs="Arial"/>
          <w:bCs/>
          <w:sz w:val="20"/>
          <w:szCs w:val="20"/>
        </w:rPr>
        <w:t>to achieve</w:t>
      </w:r>
      <w:r w:rsidR="00840578" w:rsidRPr="00AF3755">
        <w:rPr>
          <w:rFonts w:ascii="Arial" w:eastAsia="Arial" w:hAnsi="Arial" w:cs="Arial"/>
          <w:bCs/>
          <w:sz w:val="20"/>
          <w:szCs w:val="20"/>
        </w:rPr>
        <w:t xml:space="preserve"> a clean</w:t>
      </w:r>
      <w:r w:rsidR="00933876" w:rsidRPr="00AF3755">
        <w:rPr>
          <w:rFonts w:ascii="Arial" w:eastAsia="Arial" w:hAnsi="Arial" w:cs="Arial"/>
          <w:bCs/>
          <w:sz w:val="20"/>
          <w:szCs w:val="20"/>
        </w:rPr>
        <w:t xml:space="preserve"> audit in the 2022/23 financial year. </w:t>
      </w:r>
    </w:p>
    <w:p w:rsidR="00933876" w:rsidRPr="00AF3755" w:rsidRDefault="00933876" w:rsidP="00AF3755">
      <w:pPr>
        <w:pStyle w:val="ListParagraph"/>
        <w:numPr>
          <w:ilvl w:val="0"/>
          <w:numId w:val="29"/>
        </w:numPr>
        <w:spacing w:after="0" w:line="240" w:lineRule="auto"/>
        <w:rPr>
          <w:rFonts w:ascii="Arial" w:hAnsi="Arial" w:cs="Arial"/>
          <w:b/>
          <w:sz w:val="20"/>
          <w:szCs w:val="20"/>
        </w:rPr>
      </w:pPr>
      <w:r w:rsidRPr="00AF3755">
        <w:rPr>
          <w:rFonts w:ascii="Arial" w:eastAsia="Arial" w:hAnsi="Arial" w:cs="Arial"/>
          <w:bCs/>
          <w:sz w:val="20"/>
          <w:szCs w:val="20"/>
        </w:rPr>
        <w:t xml:space="preserve">The review of the Department’s organogram </w:t>
      </w:r>
      <w:r w:rsidR="003A08E9" w:rsidRPr="00AF3755">
        <w:rPr>
          <w:rFonts w:ascii="Arial" w:eastAsia="Arial" w:hAnsi="Arial" w:cs="Arial"/>
          <w:bCs/>
          <w:sz w:val="20"/>
          <w:szCs w:val="20"/>
        </w:rPr>
        <w:t xml:space="preserve">should </w:t>
      </w:r>
      <w:r w:rsidRPr="00AF3755">
        <w:rPr>
          <w:rFonts w:ascii="Arial" w:eastAsia="Arial" w:hAnsi="Arial" w:cs="Arial"/>
          <w:bCs/>
          <w:sz w:val="20"/>
          <w:szCs w:val="20"/>
        </w:rPr>
        <w:t>consider the need to review the organogram of TVET colleges to strengthen their financial and supply chain management capacity.</w:t>
      </w:r>
    </w:p>
    <w:p w:rsidR="00933876" w:rsidRPr="00AF3755" w:rsidRDefault="00933876" w:rsidP="00AF3755">
      <w:pPr>
        <w:pStyle w:val="ListParagraph"/>
        <w:numPr>
          <w:ilvl w:val="0"/>
          <w:numId w:val="29"/>
        </w:numPr>
        <w:spacing w:after="0" w:line="240" w:lineRule="auto"/>
        <w:rPr>
          <w:rFonts w:ascii="Arial" w:hAnsi="Arial" w:cs="Arial"/>
          <w:b/>
          <w:sz w:val="20"/>
          <w:szCs w:val="20"/>
        </w:rPr>
      </w:pPr>
      <w:r w:rsidRPr="00AF3755">
        <w:rPr>
          <w:rFonts w:ascii="Arial" w:eastAsia="Arial" w:hAnsi="Arial" w:cs="Arial"/>
          <w:bCs/>
          <w:sz w:val="20"/>
          <w:szCs w:val="20"/>
        </w:rPr>
        <w:t xml:space="preserve">The appointment of the Board/Council Chairpersons </w:t>
      </w:r>
      <w:r w:rsidR="003A08E9" w:rsidRPr="00AF3755">
        <w:rPr>
          <w:rFonts w:ascii="Arial" w:eastAsia="Arial" w:hAnsi="Arial" w:cs="Arial"/>
          <w:bCs/>
          <w:sz w:val="20"/>
          <w:szCs w:val="20"/>
        </w:rPr>
        <w:t xml:space="preserve">and members </w:t>
      </w:r>
      <w:r w:rsidRPr="00AF3755">
        <w:rPr>
          <w:rFonts w:ascii="Arial" w:eastAsia="Arial" w:hAnsi="Arial" w:cs="Arial"/>
          <w:bCs/>
          <w:sz w:val="20"/>
          <w:szCs w:val="20"/>
        </w:rPr>
        <w:t xml:space="preserve">of public entities in the HET portfolio be expedited to minimise the governance vacuum. </w:t>
      </w:r>
    </w:p>
    <w:p w:rsidR="00933876" w:rsidRPr="00AF3755" w:rsidRDefault="00933876" w:rsidP="00AF3755">
      <w:pPr>
        <w:pStyle w:val="ListParagraph"/>
        <w:spacing w:after="0" w:line="240" w:lineRule="auto"/>
        <w:ind w:left="0"/>
        <w:rPr>
          <w:rFonts w:ascii="Arial" w:hAnsi="Arial" w:cs="Arial"/>
          <w:b/>
          <w:sz w:val="20"/>
          <w:szCs w:val="20"/>
        </w:rPr>
      </w:pPr>
    </w:p>
    <w:p w:rsidR="00933876" w:rsidRPr="00AF3755" w:rsidRDefault="00933876"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Planning, Policy and Strategy</w:t>
      </w:r>
    </w:p>
    <w:p w:rsidR="00933876" w:rsidRPr="00AF3755" w:rsidRDefault="00933876" w:rsidP="00AF3755">
      <w:pPr>
        <w:pStyle w:val="ListParagraph"/>
        <w:numPr>
          <w:ilvl w:val="0"/>
          <w:numId w:val="30"/>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monitoring and evaluation systems of the Department over PSET entities need urgent improvement to strengthen the accountability ecosystem of the PSET sector. Closer monitoring of these institutions will assist the Department </w:t>
      </w:r>
      <w:r w:rsidR="00C63CB8" w:rsidRPr="00AF3755">
        <w:rPr>
          <w:rFonts w:ascii="Arial" w:hAnsi="Arial" w:cs="Arial"/>
          <w:sz w:val="20"/>
          <w:szCs w:val="20"/>
        </w:rPr>
        <w:t xml:space="preserve">in </w:t>
      </w:r>
      <w:r w:rsidRPr="00AF3755">
        <w:rPr>
          <w:rFonts w:ascii="Arial" w:hAnsi="Arial" w:cs="Arial"/>
          <w:sz w:val="20"/>
          <w:szCs w:val="20"/>
        </w:rPr>
        <w:t>assess</w:t>
      </w:r>
      <w:r w:rsidR="00C63CB8" w:rsidRPr="00AF3755">
        <w:rPr>
          <w:rFonts w:ascii="Arial" w:hAnsi="Arial" w:cs="Arial"/>
          <w:sz w:val="20"/>
          <w:szCs w:val="20"/>
        </w:rPr>
        <w:t>ing</w:t>
      </w:r>
      <w:r w:rsidRPr="00AF3755">
        <w:rPr>
          <w:rFonts w:ascii="Arial" w:hAnsi="Arial" w:cs="Arial"/>
          <w:sz w:val="20"/>
          <w:szCs w:val="20"/>
        </w:rPr>
        <w:t xml:space="preserve"> the implementation of corrective action</w:t>
      </w:r>
      <w:r w:rsidR="00C63CB8" w:rsidRPr="00AF3755">
        <w:rPr>
          <w:rFonts w:ascii="Arial" w:hAnsi="Arial" w:cs="Arial"/>
          <w:sz w:val="20"/>
          <w:szCs w:val="20"/>
        </w:rPr>
        <w:t>s</w:t>
      </w:r>
      <w:r w:rsidRPr="00AF3755">
        <w:rPr>
          <w:rFonts w:ascii="Arial" w:hAnsi="Arial" w:cs="Arial"/>
          <w:sz w:val="20"/>
          <w:szCs w:val="20"/>
        </w:rPr>
        <w:t xml:space="preserve"> that </w:t>
      </w:r>
      <w:r w:rsidR="00C63CB8" w:rsidRPr="00AF3755">
        <w:rPr>
          <w:rFonts w:ascii="Arial" w:hAnsi="Arial" w:cs="Arial"/>
          <w:sz w:val="20"/>
          <w:szCs w:val="20"/>
        </w:rPr>
        <w:t xml:space="preserve">are </w:t>
      </w:r>
      <w:r w:rsidRPr="00AF3755">
        <w:rPr>
          <w:rFonts w:ascii="Arial" w:hAnsi="Arial" w:cs="Arial"/>
          <w:sz w:val="20"/>
          <w:szCs w:val="20"/>
        </w:rPr>
        <w:t>needed to turn</w:t>
      </w:r>
      <w:r w:rsidR="00067E63" w:rsidRPr="00AF3755">
        <w:rPr>
          <w:rFonts w:ascii="Arial" w:hAnsi="Arial" w:cs="Arial"/>
          <w:sz w:val="20"/>
          <w:szCs w:val="20"/>
        </w:rPr>
        <w:t xml:space="preserve"> </w:t>
      </w:r>
      <w:r w:rsidRPr="00AF3755">
        <w:rPr>
          <w:rFonts w:ascii="Arial" w:hAnsi="Arial" w:cs="Arial"/>
          <w:sz w:val="20"/>
          <w:szCs w:val="20"/>
        </w:rPr>
        <w:t xml:space="preserve">around the performance and audit outcomes of PSET institutions. </w:t>
      </w:r>
    </w:p>
    <w:p w:rsidR="00933876" w:rsidRPr="00AF3755" w:rsidRDefault="00933876" w:rsidP="00AF3755">
      <w:pPr>
        <w:pStyle w:val="ListParagraph"/>
        <w:numPr>
          <w:ilvl w:val="0"/>
          <w:numId w:val="30"/>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Department and PSET institutions</w:t>
      </w:r>
      <w:r w:rsidR="00630BA1" w:rsidRPr="00AF3755">
        <w:rPr>
          <w:rFonts w:ascii="Arial" w:hAnsi="Arial" w:cs="Arial"/>
          <w:sz w:val="20"/>
          <w:szCs w:val="20"/>
        </w:rPr>
        <w:t>,</w:t>
      </w:r>
      <w:r w:rsidRPr="00AF3755">
        <w:rPr>
          <w:rFonts w:ascii="Arial" w:hAnsi="Arial" w:cs="Arial"/>
          <w:sz w:val="20"/>
          <w:szCs w:val="20"/>
        </w:rPr>
        <w:t xml:space="preserve"> take appropriate steps to effectively deal with transgressions by officials involved in corruption, maladministration and underperformance </w:t>
      </w:r>
      <w:r w:rsidR="00630BA1" w:rsidRPr="00AF3755">
        <w:rPr>
          <w:rFonts w:ascii="Arial" w:hAnsi="Arial" w:cs="Arial"/>
          <w:sz w:val="20"/>
          <w:szCs w:val="20"/>
        </w:rPr>
        <w:t xml:space="preserve">at </w:t>
      </w:r>
      <w:r w:rsidRPr="00AF3755">
        <w:rPr>
          <w:rFonts w:ascii="Arial" w:hAnsi="Arial" w:cs="Arial"/>
          <w:sz w:val="20"/>
          <w:szCs w:val="20"/>
        </w:rPr>
        <w:t xml:space="preserve">public entities. Meaningful implementation of consequence management in the PSET sector will contribute positively towards deterring irregular conduct and underperformance. </w:t>
      </w:r>
    </w:p>
    <w:p w:rsidR="00933876" w:rsidRPr="00AF3755" w:rsidRDefault="00933876" w:rsidP="00AF3755">
      <w:pPr>
        <w:pStyle w:val="ListParagraph"/>
        <w:numPr>
          <w:ilvl w:val="0"/>
          <w:numId w:val="30"/>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Consideration </w:t>
      </w:r>
      <w:r w:rsidR="00C63CB8" w:rsidRPr="00AF3755">
        <w:rPr>
          <w:rFonts w:ascii="Arial" w:hAnsi="Arial" w:cs="Arial"/>
          <w:sz w:val="20"/>
          <w:szCs w:val="20"/>
        </w:rPr>
        <w:t xml:space="preserve">should </w:t>
      </w:r>
      <w:r w:rsidRPr="00AF3755">
        <w:rPr>
          <w:rFonts w:ascii="Arial" w:hAnsi="Arial" w:cs="Arial"/>
          <w:sz w:val="20"/>
          <w:szCs w:val="20"/>
        </w:rPr>
        <w:t xml:space="preserve">be given </w:t>
      </w:r>
      <w:r w:rsidR="00067E63" w:rsidRPr="00AF3755">
        <w:rPr>
          <w:rFonts w:ascii="Arial" w:hAnsi="Arial" w:cs="Arial"/>
          <w:sz w:val="20"/>
          <w:szCs w:val="20"/>
        </w:rPr>
        <w:t xml:space="preserve">to </w:t>
      </w:r>
      <w:r w:rsidRPr="00AF3755">
        <w:rPr>
          <w:rFonts w:ascii="Arial" w:hAnsi="Arial" w:cs="Arial"/>
          <w:sz w:val="20"/>
          <w:szCs w:val="20"/>
        </w:rPr>
        <w:t>legislation reviews</w:t>
      </w:r>
      <w:r w:rsidR="00630BA1" w:rsidRPr="00AF3755">
        <w:rPr>
          <w:rFonts w:ascii="Arial" w:hAnsi="Arial" w:cs="Arial"/>
          <w:sz w:val="20"/>
          <w:szCs w:val="20"/>
        </w:rPr>
        <w:t>,</w:t>
      </w:r>
      <w:r w:rsidRPr="00AF3755">
        <w:rPr>
          <w:rFonts w:ascii="Arial" w:hAnsi="Arial" w:cs="Arial"/>
          <w:sz w:val="20"/>
          <w:szCs w:val="20"/>
        </w:rPr>
        <w:t xml:space="preserve"> which will enable universities and TVET colleges to account in accordance </w:t>
      </w:r>
      <w:r w:rsidR="00067E63" w:rsidRPr="00AF3755">
        <w:rPr>
          <w:rFonts w:ascii="Arial" w:hAnsi="Arial" w:cs="Arial"/>
          <w:sz w:val="20"/>
          <w:szCs w:val="20"/>
        </w:rPr>
        <w:t xml:space="preserve">with </w:t>
      </w:r>
      <w:r w:rsidRPr="00AF3755">
        <w:rPr>
          <w:rFonts w:ascii="Arial" w:hAnsi="Arial" w:cs="Arial"/>
          <w:sz w:val="20"/>
          <w:szCs w:val="20"/>
        </w:rPr>
        <w:t xml:space="preserve">its regulations. Reporting in accordance </w:t>
      </w:r>
      <w:r w:rsidR="00067E63" w:rsidRPr="00AF3755">
        <w:rPr>
          <w:rFonts w:ascii="Arial" w:hAnsi="Arial" w:cs="Arial"/>
          <w:sz w:val="20"/>
          <w:szCs w:val="20"/>
        </w:rPr>
        <w:t xml:space="preserve">with </w:t>
      </w:r>
      <w:r w:rsidRPr="00AF3755">
        <w:rPr>
          <w:rFonts w:ascii="Arial" w:hAnsi="Arial" w:cs="Arial"/>
          <w:sz w:val="20"/>
          <w:szCs w:val="20"/>
        </w:rPr>
        <w:t xml:space="preserve">the PFMA regulations will also compel these institutions to be more transparent in terms of the utilisation of public funds allocated to them. </w:t>
      </w:r>
    </w:p>
    <w:p w:rsidR="00933876" w:rsidRPr="00AF3755" w:rsidRDefault="00933876" w:rsidP="00AF3755">
      <w:pPr>
        <w:pStyle w:val="ListParagraph"/>
        <w:numPr>
          <w:ilvl w:val="0"/>
          <w:numId w:val="30"/>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Intervention strategies </w:t>
      </w:r>
      <w:r w:rsidR="00C63CB8" w:rsidRPr="00AF3755">
        <w:rPr>
          <w:rFonts w:ascii="Arial" w:hAnsi="Arial" w:cs="Arial"/>
          <w:sz w:val="20"/>
          <w:szCs w:val="20"/>
        </w:rPr>
        <w:t xml:space="preserve">should </w:t>
      </w:r>
      <w:r w:rsidRPr="00AF3755">
        <w:rPr>
          <w:rFonts w:ascii="Arial" w:hAnsi="Arial" w:cs="Arial"/>
          <w:sz w:val="20"/>
          <w:szCs w:val="20"/>
        </w:rPr>
        <w:t>be developed to overcome the perennial areas of underperformance in the programmes of the Department.</w:t>
      </w:r>
    </w:p>
    <w:p w:rsidR="00CD280B" w:rsidRPr="00AF3755" w:rsidRDefault="00933876" w:rsidP="00AF3755">
      <w:pPr>
        <w:pStyle w:val="ListParagraph"/>
        <w:numPr>
          <w:ilvl w:val="0"/>
          <w:numId w:val="30"/>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strengthening of good governance and accountability in the PSET sector ecosystem remains a priority for the Department.</w:t>
      </w:r>
    </w:p>
    <w:p w:rsidR="0024463A" w:rsidRPr="00AF3755" w:rsidRDefault="0024463A" w:rsidP="00AF3755">
      <w:pPr>
        <w:pStyle w:val="ListParagraph"/>
        <w:suppressAutoHyphens/>
        <w:autoSpaceDN w:val="0"/>
        <w:spacing w:after="0" w:line="240" w:lineRule="auto"/>
        <w:ind w:left="360"/>
        <w:contextualSpacing w:val="0"/>
        <w:textAlignment w:val="baseline"/>
        <w:rPr>
          <w:rFonts w:ascii="Arial" w:hAnsi="Arial" w:cs="Arial"/>
          <w:sz w:val="20"/>
          <w:szCs w:val="20"/>
        </w:rPr>
      </w:pPr>
    </w:p>
    <w:p w:rsidR="00933876" w:rsidRPr="00AF3755" w:rsidRDefault="000D7826"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University Education</w:t>
      </w:r>
    </w:p>
    <w:p w:rsidR="000D7826" w:rsidRPr="00AF3755" w:rsidRDefault="000D7826" w:rsidP="00AF3755">
      <w:pPr>
        <w:pStyle w:val="ListParagraph"/>
        <w:numPr>
          <w:ilvl w:val="0"/>
          <w:numId w:val="3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finalisation of the feasibility study report into the establishment of a University for Crime Detection in Hammanskraal be expedited. The Department </w:t>
      </w:r>
      <w:r w:rsidR="00C63CB8" w:rsidRPr="00AF3755">
        <w:rPr>
          <w:rFonts w:ascii="Arial" w:hAnsi="Arial" w:cs="Arial"/>
          <w:sz w:val="20"/>
          <w:szCs w:val="20"/>
        </w:rPr>
        <w:t xml:space="preserve">should </w:t>
      </w:r>
      <w:r w:rsidRPr="00AF3755">
        <w:rPr>
          <w:rFonts w:ascii="Arial" w:hAnsi="Arial" w:cs="Arial"/>
          <w:sz w:val="20"/>
          <w:szCs w:val="20"/>
        </w:rPr>
        <w:t>quantify the costs involved in the establishment of the two new universities in Gauteng, and have clear timeframes on all processes involved towards their establishment.</w:t>
      </w:r>
    </w:p>
    <w:p w:rsidR="000D7826" w:rsidRPr="00AF3755" w:rsidRDefault="000D7826" w:rsidP="00AF3755">
      <w:pPr>
        <w:pStyle w:val="ListParagraph"/>
        <w:numPr>
          <w:ilvl w:val="0"/>
          <w:numId w:val="3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finalisation of the MTT Report on Student Funding Model for </w:t>
      </w:r>
      <w:r w:rsidR="00067E63" w:rsidRPr="00AF3755">
        <w:rPr>
          <w:rFonts w:ascii="Arial" w:hAnsi="Arial" w:cs="Arial"/>
          <w:sz w:val="20"/>
          <w:szCs w:val="20"/>
        </w:rPr>
        <w:t xml:space="preserve">the </w:t>
      </w:r>
      <w:r w:rsidRPr="00AF3755">
        <w:rPr>
          <w:rFonts w:ascii="Arial" w:hAnsi="Arial" w:cs="Arial"/>
          <w:sz w:val="20"/>
          <w:szCs w:val="20"/>
        </w:rPr>
        <w:t xml:space="preserve">PSET sector </w:t>
      </w:r>
      <w:r w:rsidR="00C63CB8" w:rsidRPr="00AF3755">
        <w:rPr>
          <w:rFonts w:ascii="Arial" w:hAnsi="Arial" w:cs="Arial"/>
          <w:sz w:val="20"/>
          <w:szCs w:val="20"/>
        </w:rPr>
        <w:t xml:space="preserve">should </w:t>
      </w:r>
      <w:r w:rsidRPr="00AF3755">
        <w:rPr>
          <w:rFonts w:ascii="Arial" w:hAnsi="Arial" w:cs="Arial"/>
          <w:sz w:val="20"/>
          <w:szCs w:val="20"/>
        </w:rPr>
        <w:t>be expedited so that it can be implemented in 2023 as per the Annual Performance Plan (APP) 2022/23. The Department also needs to consider inputs from the FFC before finalising this report.</w:t>
      </w:r>
    </w:p>
    <w:p w:rsidR="000D7826" w:rsidRPr="00AF3755" w:rsidRDefault="000D7826" w:rsidP="00AF3755">
      <w:pPr>
        <w:pStyle w:val="ListParagraph"/>
        <w:numPr>
          <w:ilvl w:val="0"/>
          <w:numId w:val="3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Department institutes a forensic investigation to determine the extent of dual registration </w:t>
      </w:r>
      <w:r w:rsidR="00630BA1" w:rsidRPr="00AF3755">
        <w:rPr>
          <w:rFonts w:ascii="Arial" w:hAnsi="Arial" w:cs="Arial"/>
          <w:sz w:val="20"/>
          <w:szCs w:val="20"/>
        </w:rPr>
        <w:t>and</w:t>
      </w:r>
      <w:r w:rsidRPr="00AF3755">
        <w:rPr>
          <w:rFonts w:ascii="Arial" w:hAnsi="Arial" w:cs="Arial"/>
          <w:sz w:val="20"/>
          <w:szCs w:val="20"/>
        </w:rPr>
        <w:t xml:space="preserve"> double dipping by students in universities and the implications of this on funding of the NSFAS beneficiaries.</w:t>
      </w:r>
    </w:p>
    <w:p w:rsidR="000D7826" w:rsidRPr="00AF3755" w:rsidRDefault="000D7826" w:rsidP="00AF3755">
      <w:pPr>
        <w:pStyle w:val="ListParagraph"/>
        <w:numPr>
          <w:ilvl w:val="0"/>
          <w:numId w:val="3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Working in collaboration with NSFAS, the Department ensures that the NSFAS applications portal is </w:t>
      </w:r>
      <w:r w:rsidR="00067E63" w:rsidRPr="00AF3755">
        <w:rPr>
          <w:rFonts w:ascii="Arial" w:hAnsi="Arial" w:cs="Arial"/>
          <w:sz w:val="20"/>
          <w:szCs w:val="20"/>
        </w:rPr>
        <w:t>user-</w:t>
      </w:r>
      <w:r w:rsidRPr="00AF3755">
        <w:rPr>
          <w:rFonts w:ascii="Arial" w:hAnsi="Arial" w:cs="Arial"/>
          <w:sz w:val="20"/>
          <w:szCs w:val="20"/>
        </w:rPr>
        <w:t>friendly.</w:t>
      </w:r>
    </w:p>
    <w:p w:rsidR="000D7826" w:rsidRPr="00AF3755" w:rsidRDefault="000D7826" w:rsidP="00AF3755">
      <w:pPr>
        <w:pStyle w:val="ListParagraph"/>
        <w:numPr>
          <w:ilvl w:val="0"/>
          <w:numId w:val="31"/>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Consideration </w:t>
      </w:r>
      <w:r w:rsidR="00C63CB8" w:rsidRPr="00AF3755">
        <w:rPr>
          <w:rFonts w:ascii="Arial" w:hAnsi="Arial" w:cs="Arial"/>
          <w:sz w:val="20"/>
          <w:szCs w:val="20"/>
        </w:rPr>
        <w:t xml:space="preserve">should </w:t>
      </w:r>
      <w:r w:rsidRPr="00AF3755">
        <w:rPr>
          <w:rFonts w:ascii="Arial" w:hAnsi="Arial" w:cs="Arial"/>
          <w:sz w:val="20"/>
          <w:szCs w:val="20"/>
        </w:rPr>
        <w:t xml:space="preserve">be given </w:t>
      </w:r>
      <w:r w:rsidR="00067E63" w:rsidRPr="00AF3755">
        <w:rPr>
          <w:rFonts w:ascii="Arial" w:hAnsi="Arial" w:cs="Arial"/>
          <w:sz w:val="20"/>
          <w:szCs w:val="20"/>
        </w:rPr>
        <w:t xml:space="preserve">to </w:t>
      </w:r>
      <w:r w:rsidRPr="00AF3755">
        <w:rPr>
          <w:rFonts w:ascii="Arial" w:hAnsi="Arial" w:cs="Arial"/>
          <w:sz w:val="20"/>
          <w:szCs w:val="20"/>
        </w:rPr>
        <w:t xml:space="preserve">systemic investment into the remote teaching and learning modalities post-COVID-19 period at universities to enable students </w:t>
      </w:r>
      <w:r w:rsidR="00067E63" w:rsidRPr="00AF3755">
        <w:rPr>
          <w:rFonts w:ascii="Arial" w:hAnsi="Arial" w:cs="Arial"/>
          <w:sz w:val="20"/>
          <w:szCs w:val="20"/>
        </w:rPr>
        <w:t xml:space="preserve">to </w:t>
      </w:r>
      <w:r w:rsidRPr="00AF3755">
        <w:rPr>
          <w:rFonts w:ascii="Arial" w:hAnsi="Arial" w:cs="Arial"/>
          <w:sz w:val="20"/>
          <w:szCs w:val="20"/>
        </w:rPr>
        <w:t>access this new approach of accessing higher education. The limited university infrastructure is unable to meet the demand for higher education, thus blended learning can be further explored.</w:t>
      </w:r>
    </w:p>
    <w:p w:rsidR="000D7826" w:rsidRPr="00AF3755" w:rsidRDefault="000D7826" w:rsidP="00AF3755">
      <w:pPr>
        <w:pStyle w:val="ListParagraph"/>
        <w:spacing w:after="0" w:line="240" w:lineRule="auto"/>
        <w:ind w:left="0"/>
        <w:rPr>
          <w:rFonts w:ascii="Arial" w:hAnsi="Arial" w:cs="Arial"/>
          <w:b/>
          <w:sz w:val="20"/>
          <w:szCs w:val="20"/>
        </w:rPr>
      </w:pPr>
    </w:p>
    <w:p w:rsidR="000D7826" w:rsidRPr="00AF3755" w:rsidRDefault="000D7826"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 xml:space="preserve">Programme 4: </w:t>
      </w:r>
      <w:r w:rsidR="00067E63" w:rsidRPr="00AF3755">
        <w:rPr>
          <w:rFonts w:ascii="Arial" w:hAnsi="Arial" w:cs="Arial"/>
          <w:b/>
          <w:sz w:val="20"/>
          <w:szCs w:val="20"/>
        </w:rPr>
        <w:t xml:space="preserve">Technical </w:t>
      </w:r>
      <w:r w:rsidRPr="00AF3755">
        <w:rPr>
          <w:rFonts w:ascii="Arial" w:hAnsi="Arial" w:cs="Arial"/>
          <w:b/>
          <w:sz w:val="20"/>
          <w:szCs w:val="20"/>
        </w:rPr>
        <w:t>and Vocational Education and Training</w:t>
      </w:r>
    </w:p>
    <w:p w:rsidR="000D7826" w:rsidRPr="00AF3755" w:rsidRDefault="000D7826" w:rsidP="00AF3755">
      <w:pPr>
        <w:pStyle w:val="ListParagraph"/>
        <w:numPr>
          <w:ilvl w:val="0"/>
          <w:numId w:val="32"/>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standardisation of policies relating to procurement, contract management and financial reporting </w:t>
      </w:r>
      <w:r w:rsidR="00DF6A7C" w:rsidRPr="00AF3755">
        <w:rPr>
          <w:rFonts w:ascii="Arial" w:hAnsi="Arial" w:cs="Arial"/>
          <w:sz w:val="20"/>
          <w:szCs w:val="20"/>
        </w:rPr>
        <w:t>should be</w:t>
      </w:r>
      <w:r w:rsidR="00C63CB8" w:rsidRPr="00AF3755">
        <w:rPr>
          <w:rFonts w:ascii="Arial" w:hAnsi="Arial" w:cs="Arial"/>
          <w:sz w:val="20"/>
          <w:szCs w:val="20"/>
        </w:rPr>
        <w:t xml:space="preserve"> </w:t>
      </w:r>
      <w:r w:rsidRPr="00AF3755">
        <w:rPr>
          <w:rFonts w:ascii="Arial" w:hAnsi="Arial" w:cs="Arial"/>
          <w:sz w:val="20"/>
          <w:szCs w:val="20"/>
        </w:rPr>
        <w:t xml:space="preserve">expedited in the TVET sector. The standardised framework or guidelines will </w:t>
      </w:r>
      <w:r w:rsidRPr="00AF3755">
        <w:rPr>
          <w:rFonts w:ascii="Arial" w:hAnsi="Arial" w:cs="Arial"/>
          <w:sz w:val="20"/>
          <w:szCs w:val="20"/>
        </w:rPr>
        <w:lastRenderedPageBreak/>
        <w:t>assist colleges to prepare adequately for auditing by the AGSA and possibly contribute to improvement in their audit outcomes.</w:t>
      </w:r>
    </w:p>
    <w:p w:rsidR="000D7826" w:rsidRPr="00AF3755" w:rsidRDefault="000D7826" w:rsidP="00AF3755">
      <w:pPr>
        <w:pStyle w:val="ListParagraph"/>
        <w:numPr>
          <w:ilvl w:val="0"/>
          <w:numId w:val="32"/>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Intervention strategies be put in place to address the recurring under-performance of the </w:t>
      </w:r>
      <w:r w:rsidR="00191811" w:rsidRPr="00AF3755">
        <w:rPr>
          <w:rFonts w:ascii="Arial" w:hAnsi="Arial" w:cs="Arial"/>
          <w:sz w:val="20"/>
          <w:szCs w:val="20"/>
        </w:rPr>
        <w:t>system targets</w:t>
      </w:r>
      <w:r w:rsidRPr="00AF3755">
        <w:rPr>
          <w:rFonts w:ascii="Arial" w:hAnsi="Arial" w:cs="Arial"/>
          <w:sz w:val="20"/>
          <w:szCs w:val="20"/>
        </w:rPr>
        <w:t xml:space="preserve">. </w:t>
      </w:r>
    </w:p>
    <w:p w:rsidR="000D7826" w:rsidRPr="00AF3755" w:rsidRDefault="000D7826" w:rsidP="00AF3755">
      <w:pPr>
        <w:pStyle w:val="ListParagraph"/>
        <w:numPr>
          <w:ilvl w:val="0"/>
          <w:numId w:val="32"/>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adaptation to alternative means of teaching and learning such as remote learning was very slow in the TVET sector during the lockdown period</w:t>
      </w:r>
      <w:r w:rsidR="00B547ED" w:rsidRPr="00AF3755">
        <w:rPr>
          <w:rFonts w:ascii="Arial" w:hAnsi="Arial" w:cs="Arial"/>
          <w:sz w:val="20"/>
          <w:szCs w:val="20"/>
        </w:rPr>
        <w:t>.</w:t>
      </w:r>
      <w:r w:rsidRPr="00AF3755">
        <w:rPr>
          <w:rFonts w:ascii="Arial" w:hAnsi="Arial" w:cs="Arial"/>
          <w:sz w:val="20"/>
          <w:szCs w:val="20"/>
        </w:rPr>
        <w:t xml:space="preserve"> </w:t>
      </w:r>
      <w:r w:rsidR="00191811" w:rsidRPr="00AF3755">
        <w:rPr>
          <w:rFonts w:ascii="Arial" w:hAnsi="Arial" w:cs="Arial"/>
          <w:sz w:val="20"/>
          <w:szCs w:val="20"/>
        </w:rPr>
        <w:t>C</w:t>
      </w:r>
      <w:r w:rsidRPr="00AF3755">
        <w:rPr>
          <w:rFonts w:ascii="Arial" w:hAnsi="Arial" w:cs="Arial"/>
          <w:sz w:val="20"/>
          <w:szCs w:val="20"/>
        </w:rPr>
        <w:t xml:space="preserve">onsequently, the sector experienced </w:t>
      </w:r>
      <w:r w:rsidR="00067E63" w:rsidRPr="00AF3755">
        <w:rPr>
          <w:rFonts w:ascii="Arial" w:hAnsi="Arial" w:cs="Arial"/>
          <w:sz w:val="20"/>
          <w:szCs w:val="20"/>
        </w:rPr>
        <w:t xml:space="preserve">a </w:t>
      </w:r>
      <w:r w:rsidRPr="00AF3755">
        <w:rPr>
          <w:rFonts w:ascii="Arial" w:hAnsi="Arial" w:cs="Arial"/>
          <w:sz w:val="20"/>
          <w:szCs w:val="20"/>
        </w:rPr>
        <w:t>decline in its enrolment and academic performance. TVET</w:t>
      </w:r>
      <w:r w:rsidR="00191811" w:rsidRPr="00AF3755">
        <w:rPr>
          <w:rFonts w:ascii="Arial" w:hAnsi="Arial" w:cs="Arial"/>
          <w:sz w:val="20"/>
          <w:szCs w:val="20"/>
        </w:rPr>
        <w:t xml:space="preserve"> college</w:t>
      </w:r>
      <w:r w:rsidRPr="00AF3755">
        <w:rPr>
          <w:rFonts w:ascii="Arial" w:hAnsi="Arial" w:cs="Arial"/>
          <w:sz w:val="20"/>
          <w:szCs w:val="20"/>
        </w:rPr>
        <w:t>s need to embrace and implement digital transformation.</w:t>
      </w:r>
    </w:p>
    <w:p w:rsidR="000D7826" w:rsidRPr="00AF3755" w:rsidRDefault="000D7826" w:rsidP="00AF3755">
      <w:pPr>
        <w:pStyle w:val="ListParagraph"/>
        <w:numPr>
          <w:ilvl w:val="0"/>
          <w:numId w:val="32"/>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alignment and relevance of the TVET sector curriculum content with industry needs</w:t>
      </w:r>
      <w:r w:rsidR="00DF6A7C" w:rsidRPr="00AF3755">
        <w:rPr>
          <w:rFonts w:ascii="Arial" w:hAnsi="Arial" w:cs="Arial"/>
          <w:sz w:val="20"/>
          <w:szCs w:val="20"/>
        </w:rPr>
        <w:t xml:space="preserve"> </w:t>
      </w:r>
      <w:r w:rsidR="00B547ED" w:rsidRPr="00AF3755">
        <w:rPr>
          <w:rFonts w:ascii="Arial" w:hAnsi="Arial" w:cs="Arial"/>
          <w:sz w:val="20"/>
          <w:szCs w:val="20"/>
        </w:rPr>
        <w:t>is critical</w:t>
      </w:r>
      <w:r w:rsidRPr="00AF3755">
        <w:rPr>
          <w:rFonts w:ascii="Arial" w:hAnsi="Arial" w:cs="Arial"/>
          <w:sz w:val="20"/>
          <w:szCs w:val="20"/>
        </w:rPr>
        <w:t xml:space="preserve">. Strong partnerships with industry will expand opportunities for </w:t>
      </w:r>
      <w:r w:rsidR="00067E63" w:rsidRPr="00AF3755">
        <w:rPr>
          <w:rFonts w:ascii="Arial" w:hAnsi="Arial" w:cs="Arial"/>
          <w:sz w:val="20"/>
          <w:szCs w:val="20"/>
        </w:rPr>
        <w:t>work-</w:t>
      </w:r>
      <w:r w:rsidRPr="00AF3755">
        <w:rPr>
          <w:rFonts w:ascii="Arial" w:hAnsi="Arial" w:cs="Arial"/>
          <w:sz w:val="20"/>
          <w:szCs w:val="20"/>
        </w:rPr>
        <w:t>based learning for TVET students and also prepare them for the world of work.</w:t>
      </w:r>
    </w:p>
    <w:p w:rsidR="000D7826" w:rsidRPr="00AF3755" w:rsidRDefault="000D7826" w:rsidP="00AF3755">
      <w:pPr>
        <w:pStyle w:val="ListParagraph"/>
        <w:numPr>
          <w:ilvl w:val="0"/>
          <w:numId w:val="32"/>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lecturers’ development and training programmes be expanded to equip TVET lecturers with the necessary skills and pedagogy to improve the academic learning outcomes of </w:t>
      </w:r>
      <w:r w:rsidR="00067E63" w:rsidRPr="00AF3755">
        <w:rPr>
          <w:rFonts w:ascii="Arial" w:hAnsi="Arial" w:cs="Arial"/>
          <w:sz w:val="20"/>
          <w:szCs w:val="20"/>
        </w:rPr>
        <w:t xml:space="preserve">the </w:t>
      </w:r>
      <w:r w:rsidRPr="00AF3755">
        <w:rPr>
          <w:rFonts w:ascii="Arial" w:hAnsi="Arial" w:cs="Arial"/>
          <w:sz w:val="20"/>
          <w:szCs w:val="20"/>
        </w:rPr>
        <w:t xml:space="preserve">sector, especially for the NC(V) Level 4 and NATED 6 programmes. Similarly, student support services need to be better resourced to help students with programmes aimed at improving their academic performance. </w:t>
      </w:r>
    </w:p>
    <w:p w:rsidR="000D7826" w:rsidRPr="00AF3755" w:rsidRDefault="000D7826" w:rsidP="00AF3755">
      <w:pPr>
        <w:pStyle w:val="ListParagraph"/>
        <w:numPr>
          <w:ilvl w:val="0"/>
          <w:numId w:val="32"/>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Additional support </w:t>
      </w:r>
      <w:r w:rsidR="00C63CB8" w:rsidRPr="00AF3755">
        <w:rPr>
          <w:rFonts w:ascii="Arial" w:hAnsi="Arial" w:cs="Arial"/>
          <w:sz w:val="20"/>
          <w:szCs w:val="20"/>
        </w:rPr>
        <w:t xml:space="preserve">should </w:t>
      </w:r>
      <w:r w:rsidRPr="00AF3755">
        <w:rPr>
          <w:rFonts w:ascii="Arial" w:hAnsi="Arial" w:cs="Arial"/>
          <w:sz w:val="20"/>
          <w:szCs w:val="20"/>
        </w:rPr>
        <w:t>be given to colleges to improve their capacity in offering occupational and skills programmes aligned to the OQSF.</w:t>
      </w:r>
    </w:p>
    <w:p w:rsidR="00191811" w:rsidRPr="00AF3755" w:rsidRDefault="00191811" w:rsidP="00AF3755">
      <w:pPr>
        <w:pStyle w:val="ListParagraph"/>
        <w:numPr>
          <w:ilvl w:val="0"/>
          <w:numId w:val="32"/>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roll-out of capacity development and training programmes on financial management be prioritised to assist college employees with the requisite skills to produce credible financial statements. </w:t>
      </w:r>
    </w:p>
    <w:p w:rsidR="000D7826" w:rsidRPr="00AF3755" w:rsidRDefault="000D7826" w:rsidP="00AF3755">
      <w:pPr>
        <w:pStyle w:val="ListParagraph"/>
        <w:numPr>
          <w:ilvl w:val="0"/>
          <w:numId w:val="32"/>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Underspending</w:t>
      </w:r>
      <w:r w:rsidR="00067E63" w:rsidRPr="00AF3755">
        <w:rPr>
          <w:rFonts w:ascii="Arial" w:hAnsi="Arial" w:cs="Arial"/>
          <w:sz w:val="20"/>
          <w:szCs w:val="20"/>
        </w:rPr>
        <w:t xml:space="preserve"> on</w:t>
      </w:r>
      <w:r w:rsidRPr="00AF3755">
        <w:rPr>
          <w:rFonts w:ascii="Arial" w:hAnsi="Arial" w:cs="Arial"/>
          <w:sz w:val="20"/>
          <w:szCs w:val="20"/>
        </w:rPr>
        <w:t xml:space="preserve"> capital infrastructure efficiency grants (CIEG) in the TVET sector remain a concern, and colleges need to be provided with additional support on procurement and project management.</w:t>
      </w:r>
      <w:r w:rsidR="00DF6A7C" w:rsidRPr="00AF3755">
        <w:rPr>
          <w:rFonts w:ascii="Arial" w:hAnsi="Arial" w:cs="Arial"/>
          <w:sz w:val="20"/>
          <w:szCs w:val="20"/>
        </w:rPr>
        <w:t xml:space="preserve"> </w:t>
      </w:r>
      <w:r w:rsidR="00F54A6F" w:rsidRPr="00AF3755">
        <w:rPr>
          <w:rFonts w:ascii="Arial" w:hAnsi="Arial" w:cs="Arial"/>
          <w:sz w:val="20"/>
          <w:szCs w:val="20"/>
        </w:rPr>
        <w:t xml:space="preserve">The Department should </w:t>
      </w:r>
      <w:r w:rsidR="00B547ED" w:rsidRPr="00AF3755">
        <w:rPr>
          <w:rFonts w:ascii="Arial" w:hAnsi="Arial" w:cs="Arial"/>
          <w:sz w:val="20"/>
          <w:szCs w:val="20"/>
        </w:rPr>
        <w:t>update the</w:t>
      </w:r>
      <w:r w:rsidR="00F54A6F" w:rsidRPr="00AF3755">
        <w:rPr>
          <w:rFonts w:ascii="Arial" w:hAnsi="Arial" w:cs="Arial"/>
          <w:sz w:val="20"/>
          <w:szCs w:val="20"/>
        </w:rPr>
        <w:t xml:space="preserve"> Committee on the impact of their capacitation programme. </w:t>
      </w:r>
    </w:p>
    <w:p w:rsidR="00191811" w:rsidRPr="00AF3755" w:rsidRDefault="00191811" w:rsidP="00AF3755">
      <w:pPr>
        <w:pStyle w:val="ListParagraph"/>
        <w:suppressAutoHyphens/>
        <w:autoSpaceDN w:val="0"/>
        <w:spacing w:after="0" w:line="240" w:lineRule="auto"/>
        <w:ind w:left="360"/>
        <w:contextualSpacing w:val="0"/>
        <w:textAlignment w:val="baseline"/>
        <w:rPr>
          <w:rFonts w:ascii="Arial" w:hAnsi="Arial" w:cs="Arial"/>
          <w:sz w:val="20"/>
          <w:szCs w:val="20"/>
        </w:rPr>
      </w:pPr>
    </w:p>
    <w:p w:rsidR="00D9074C" w:rsidRPr="00AF3755" w:rsidRDefault="000D7826"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4: Skills Development</w:t>
      </w:r>
    </w:p>
    <w:p w:rsidR="00D9074C" w:rsidRPr="00AF3755" w:rsidRDefault="002863A4" w:rsidP="00AF3755">
      <w:pPr>
        <w:pStyle w:val="ListParagraph"/>
        <w:numPr>
          <w:ilvl w:val="0"/>
          <w:numId w:val="33"/>
        </w:numPr>
        <w:spacing w:after="0" w:line="240" w:lineRule="auto"/>
        <w:rPr>
          <w:rFonts w:ascii="Arial" w:hAnsi="Arial" w:cs="Arial"/>
          <w:b/>
          <w:sz w:val="20"/>
          <w:szCs w:val="20"/>
        </w:rPr>
      </w:pPr>
      <w:r w:rsidRPr="00AF3755">
        <w:rPr>
          <w:rFonts w:ascii="Arial" w:hAnsi="Arial" w:cs="Arial"/>
          <w:sz w:val="20"/>
          <w:szCs w:val="20"/>
        </w:rPr>
        <w:t>The Department i</w:t>
      </w:r>
      <w:r w:rsidR="00D9074C" w:rsidRPr="00AF3755">
        <w:rPr>
          <w:rFonts w:ascii="Arial" w:hAnsi="Arial" w:cs="Arial"/>
          <w:sz w:val="20"/>
          <w:szCs w:val="20"/>
        </w:rPr>
        <w:t xml:space="preserve">nstitutes a forensic investigation into the extent of malpractices in the execution of SETAs’ skills development interventions as reported in the AGSA’s value add findings within a month after the adoption of </w:t>
      </w:r>
      <w:r w:rsidR="00067E63" w:rsidRPr="00AF3755">
        <w:rPr>
          <w:rFonts w:ascii="Arial" w:hAnsi="Arial" w:cs="Arial"/>
          <w:sz w:val="20"/>
          <w:szCs w:val="20"/>
        </w:rPr>
        <w:t xml:space="preserve">the </w:t>
      </w:r>
      <w:r w:rsidR="00D9074C" w:rsidRPr="00AF3755">
        <w:rPr>
          <w:rFonts w:ascii="Arial" w:hAnsi="Arial" w:cs="Arial"/>
          <w:sz w:val="20"/>
          <w:szCs w:val="20"/>
        </w:rPr>
        <w:t>BRR Report by the NA.</w:t>
      </w:r>
    </w:p>
    <w:p w:rsidR="00D9074C" w:rsidRPr="00AF3755" w:rsidRDefault="002863A4" w:rsidP="00AF3755">
      <w:pPr>
        <w:pStyle w:val="ListParagraph"/>
        <w:numPr>
          <w:ilvl w:val="0"/>
          <w:numId w:val="33"/>
        </w:numPr>
        <w:spacing w:after="0" w:line="240" w:lineRule="auto"/>
        <w:rPr>
          <w:rFonts w:ascii="Arial" w:hAnsi="Arial" w:cs="Arial"/>
          <w:b/>
          <w:sz w:val="20"/>
          <w:szCs w:val="20"/>
        </w:rPr>
      </w:pPr>
      <w:r w:rsidRPr="00AF3755">
        <w:rPr>
          <w:rFonts w:ascii="Arial" w:hAnsi="Arial" w:cs="Arial"/>
          <w:sz w:val="20"/>
          <w:szCs w:val="20"/>
        </w:rPr>
        <w:t>The Department d</w:t>
      </w:r>
      <w:r w:rsidR="00D9074C" w:rsidRPr="00AF3755">
        <w:rPr>
          <w:rFonts w:ascii="Arial" w:hAnsi="Arial" w:cs="Arial"/>
          <w:sz w:val="20"/>
          <w:szCs w:val="20"/>
        </w:rPr>
        <w:t>evelops an integrated information management system for SETAs</w:t>
      </w:r>
      <w:r w:rsidR="00F054E0" w:rsidRPr="00AF3755">
        <w:rPr>
          <w:rFonts w:ascii="Arial" w:hAnsi="Arial" w:cs="Arial"/>
          <w:sz w:val="20"/>
          <w:szCs w:val="20"/>
        </w:rPr>
        <w:t>,</w:t>
      </w:r>
      <w:r w:rsidR="00D9074C" w:rsidRPr="00AF3755">
        <w:rPr>
          <w:rFonts w:ascii="Arial" w:hAnsi="Arial" w:cs="Arial"/>
          <w:sz w:val="20"/>
          <w:szCs w:val="20"/>
        </w:rPr>
        <w:t xml:space="preserve"> which will enable seamless data exchange among SETAs in relation to their skills development interventions</w:t>
      </w:r>
      <w:r w:rsidR="00F054E0" w:rsidRPr="00AF3755">
        <w:rPr>
          <w:rFonts w:ascii="Arial" w:hAnsi="Arial" w:cs="Arial"/>
          <w:sz w:val="20"/>
          <w:szCs w:val="20"/>
        </w:rPr>
        <w:t>,</w:t>
      </w:r>
      <w:r w:rsidR="00D9074C" w:rsidRPr="00AF3755">
        <w:rPr>
          <w:rFonts w:ascii="Arial" w:hAnsi="Arial" w:cs="Arial"/>
          <w:sz w:val="20"/>
          <w:szCs w:val="20"/>
        </w:rPr>
        <w:t xml:space="preserve"> including the beneficiaries thereof.  This system will also enable SETAs to detect irregularities and discrepancies by service providers and beneficiaries of skills development programmes. </w:t>
      </w:r>
      <w:r w:rsidR="00D9074C" w:rsidRPr="00AF3755">
        <w:rPr>
          <w:rFonts w:ascii="Arial" w:eastAsia="Arial" w:hAnsi="Arial" w:cs="Arial"/>
          <w:bCs/>
          <w:sz w:val="20"/>
          <w:szCs w:val="20"/>
        </w:rPr>
        <w:t>An implementation plan, with timeframes for the integrated information management system for the SETA</w:t>
      </w:r>
      <w:r w:rsidR="00F054E0" w:rsidRPr="00AF3755">
        <w:rPr>
          <w:rFonts w:ascii="Arial" w:eastAsia="Arial" w:hAnsi="Arial" w:cs="Arial"/>
          <w:bCs/>
          <w:sz w:val="20"/>
          <w:szCs w:val="20"/>
        </w:rPr>
        <w:t>s</w:t>
      </w:r>
      <w:r w:rsidR="00067E63" w:rsidRPr="00AF3755">
        <w:rPr>
          <w:rFonts w:ascii="Arial" w:eastAsia="Arial" w:hAnsi="Arial" w:cs="Arial"/>
          <w:bCs/>
          <w:sz w:val="20"/>
          <w:szCs w:val="20"/>
        </w:rPr>
        <w:t>,</w:t>
      </w:r>
      <w:r w:rsidR="00D9074C" w:rsidRPr="00AF3755">
        <w:rPr>
          <w:rFonts w:ascii="Arial" w:eastAsia="Arial" w:hAnsi="Arial" w:cs="Arial"/>
          <w:bCs/>
          <w:sz w:val="20"/>
          <w:szCs w:val="20"/>
        </w:rPr>
        <w:t xml:space="preserve"> should be submitted to the Committee within three months of the adoption of the BRR Report by the National Assembly (NA).</w:t>
      </w:r>
    </w:p>
    <w:p w:rsidR="00D9074C" w:rsidRPr="00AF3755" w:rsidRDefault="002863A4" w:rsidP="00AF3755">
      <w:pPr>
        <w:pStyle w:val="ListParagraph"/>
        <w:numPr>
          <w:ilvl w:val="0"/>
          <w:numId w:val="33"/>
        </w:numPr>
        <w:spacing w:after="0" w:line="240" w:lineRule="auto"/>
        <w:rPr>
          <w:rFonts w:ascii="Arial" w:hAnsi="Arial" w:cs="Arial"/>
          <w:b/>
          <w:sz w:val="20"/>
          <w:szCs w:val="20"/>
        </w:rPr>
      </w:pPr>
      <w:r w:rsidRPr="00AF3755">
        <w:rPr>
          <w:rFonts w:ascii="Arial" w:eastAsia="Arial" w:hAnsi="Arial" w:cs="Arial"/>
          <w:bCs/>
          <w:sz w:val="20"/>
          <w:szCs w:val="20"/>
        </w:rPr>
        <w:t>The Department should enforce</w:t>
      </w:r>
      <w:r w:rsidR="00D9074C" w:rsidRPr="00AF3755">
        <w:rPr>
          <w:rFonts w:ascii="Arial" w:eastAsia="Arial" w:hAnsi="Arial" w:cs="Arial"/>
          <w:bCs/>
          <w:sz w:val="20"/>
          <w:szCs w:val="20"/>
        </w:rPr>
        <w:t xml:space="preserve"> the provision of the White Paper for PSET on the </w:t>
      </w:r>
      <w:r w:rsidR="00067E63" w:rsidRPr="00AF3755">
        <w:rPr>
          <w:rFonts w:ascii="Arial" w:eastAsia="Arial" w:hAnsi="Arial" w:cs="Arial"/>
          <w:bCs/>
          <w:sz w:val="20"/>
          <w:szCs w:val="20"/>
        </w:rPr>
        <w:t>ring-</w:t>
      </w:r>
      <w:r w:rsidR="00D9074C" w:rsidRPr="00AF3755">
        <w:rPr>
          <w:rFonts w:ascii="Arial" w:eastAsia="Arial" w:hAnsi="Arial" w:cs="Arial"/>
          <w:bCs/>
          <w:sz w:val="20"/>
          <w:szCs w:val="20"/>
        </w:rPr>
        <w:t xml:space="preserve">fencing of the SETA bursary allocation to NSFAS to prevent duplication of services. </w:t>
      </w:r>
    </w:p>
    <w:p w:rsidR="00D9074C" w:rsidRPr="00AF3755" w:rsidRDefault="002863A4" w:rsidP="00AF3755">
      <w:pPr>
        <w:pStyle w:val="ListParagraph"/>
        <w:numPr>
          <w:ilvl w:val="0"/>
          <w:numId w:val="33"/>
        </w:numPr>
        <w:spacing w:after="0" w:line="240" w:lineRule="auto"/>
        <w:rPr>
          <w:rFonts w:ascii="Arial" w:hAnsi="Arial" w:cs="Arial"/>
          <w:b/>
          <w:sz w:val="20"/>
          <w:szCs w:val="20"/>
        </w:rPr>
      </w:pPr>
      <w:r w:rsidRPr="00AF3755">
        <w:rPr>
          <w:rFonts w:ascii="Arial" w:eastAsia="Arial" w:hAnsi="Arial" w:cs="Arial"/>
          <w:bCs/>
          <w:sz w:val="20"/>
          <w:szCs w:val="20"/>
        </w:rPr>
        <w:t>The Minister should e</w:t>
      </w:r>
      <w:r w:rsidR="000B3539" w:rsidRPr="00AF3755">
        <w:rPr>
          <w:rFonts w:ascii="Arial" w:eastAsia="Arial" w:hAnsi="Arial" w:cs="Arial"/>
          <w:bCs/>
          <w:sz w:val="20"/>
          <w:szCs w:val="20"/>
        </w:rPr>
        <w:t xml:space="preserve">xpedite the </w:t>
      </w:r>
      <w:r w:rsidR="00D9074C" w:rsidRPr="00AF3755">
        <w:rPr>
          <w:rFonts w:ascii="Arial" w:eastAsia="Arial" w:hAnsi="Arial" w:cs="Arial"/>
          <w:bCs/>
          <w:sz w:val="20"/>
          <w:szCs w:val="20"/>
        </w:rPr>
        <w:t xml:space="preserve">approval of the QCTO’s submission for purchasing </w:t>
      </w:r>
      <w:r w:rsidR="00F054E0" w:rsidRPr="00AF3755">
        <w:rPr>
          <w:rFonts w:ascii="Arial" w:eastAsia="Arial" w:hAnsi="Arial" w:cs="Arial"/>
          <w:bCs/>
          <w:sz w:val="20"/>
          <w:szCs w:val="20"/>
        </w:rPr>
        <w:t>the</w:t>
      </w:r>
      <w:r w:rsidR="00D9074C" w:rsidRPr="00AF3755">
        <w:rPr>
          <w:rFonts w:ascii="Arial" w:eastAsia="Arial" w:hAnsi="Arial" w:cs="Arial"/>
          <w:bCs/>
          <w:sz w:val="20"/>
          <w:szCs w:val="20"/>
        </w:rPr>
        <w:t xml:space="preserve"> premises so that it can save money from rental expenses to fund other skills development priorities. </w:t>
      </w:r>
    </w:p>
    <w:p w:rsidR="00D9074C" w:rsidRPr="00AF3755" w:rsidRDefault="00D9074C" w:rsidP="00AF3755">
      <w:pPr>
        <w:pStyle w:val="ListParagraph"/>
        <w:numPr>
          <w:ilvl w:val="0"/>
          <w:numId w:val="33"/>
        </w:numPr>
        <w:spacing w:after="0" w:line="240" w:lineRule="auto"/>
        <w:rPr>
          <w:rFonts w:ascii="Arial" w:hAnsi="Arial" w:cs="Arial"/>
          <w:b/>
          <w:sz w:val="20"/>
          <w:szCs w:val="20"/>
        </w:rPr>
      </w:pPr>
      <w:r w:rsidRPr="00AF3755">
        <w:rPr>
          <w:rFonts w:ascii="Arial" w:eastAsia="Arial" w:hAnsi="Arial" w:cs="Arial"/>
          <w:bCs/>
          <w:sz w:val="20"/>
          <w:szCs w:val="20"/>
        </w:rPr>
        <w:t>The clearance of the certification backlog in the SETAs</w:t>
      </w:r>
      <w:r w:rsidR="002863A4" w:rsidRPr="00AF3755">
        <w:rPr>
          <w:rFonts w:ascii="Arial" w:eastAsia="Arial" w:hAnsi="Arial" w:cs="Arial"/>
          <w:bCs/>
          <w:sz w:val="20"/>
          <w:szCs w:val="20"/>
        </w:rPr>
        <w:t xml:space="preserve"> should</w:t>
      </w:r>
      <w:r w:rsidRPr="00AF3755">
        <w:rPr>
          <w:rFonts w:ascii="Arial" w:eastAsia="Arial" w:hAnsi="Arial" w:cs="Arial"/>
          <w:bCs/>
          <w:sz w:val="20"/>
          <w:szCs w:val="20"/>
        </w:rPr>
        <w:t xml:space="preserve"> be prioritised so that beneficiaries can get their certificates and be able to utilise them to pursue further learning or employment opportunities.</w:t>
      </w:r>
    </w:p>
    <w:p w:rsidR="00D9074C" w:rsidRPr="00AF3755" w:rsidRDefault="00D9074C" w:rsidP="00AF3755">
      <w:pPr>
        <w:pStyle w:val="ListParagraph"/>
        <w:numPr>
          <w:ilvl w:val="0"/>
          <w:numId w:val="33"/>
        </w:numPr>
        <w:spacing w:after="0" w:line="240" w:lineRule="auto"/>
        <w:rPr>
          <w:rFonts w:ascii="Arial" w:hAnsi="Arial" w:cs="Arial"/>
          <w:b/>
          <w:sz w:val="20"/>
          <w:szCs w:val="20"/>
        </w:rPr>
      </w:pPr>
      <w:r w:rsidRPr="00AF3755">
        <w:rPr>
          <w:rFonts w:ascii="Arial" w:eastAsia="Arial" w:hAnsi="Arial" w:cs="Arial"/>
          <w:bCs/>
          <w:sz w:val="20"/>
          <w:szCs w:val="20"/>
        </w:rPr>
        <w:t xml:space="preserve">Corrective measures </w:t>
      </w:r>
      <w:r w:rsidR="00C63CB8" w:rsidRPr="00AF3755">
        <w:rPr>
          <w:rFonts w:ascii="Arial" w:eastAsia="Arial" w:hAnsi="Arial" w:cs="Arial"/>
          <w:bCs/>
          <w:sz w:val="20"/>
          <w:szCs w:val="20"/>
        </w:rPr>
        <w:t xml:space="preserve">should </w:t>
      </w:r>
      <w:r w:rsidRPr="00AF3755">
        <w:rPr>
          <w:rFonts w:ascii="Arial" w:eastAsia="Arial" w:hAnsi="Arial" w:cs="Arial"/>
          <w:bCs/>
          <w:sz w:val="20"/>
          <w:szCs w:val="20"/>
        </w:rPr>
        <w:t xml:space="preserve">be taken concerning recurring poor performance and audit outcomes by some SETAs. </w:t>
      </w:r>
    </w:p>
    <w:p w:rsidR="000D7826" w:rsidRPr="00AF3755" w:rsidRDefault="000D7826" w:rsidP="00AF3755">
      <w:pPr>
        <w:pStyle w:val="ListParagraph"/>
        <w:spacing w:after="0" w:line="240" w:lineRule="auto"/>
        <w:ind w:left="0"/>
        <w:rPr>
          <w:rFonts w:ascii="Arial" w:hAnsi="Arial" w:cs="Arial"/>
          <w:b/>
          <w:sz w:val="20"/>
          <w:szCs w:val="20"/>
        </w:rPr>
      </w:pPr>
    </w:p>
    <w:p w:rsidR="00BD246C" w:rsidRPr="00AF3755" w:rsidRDefault="00BD246C"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t>Programme 6: Community Education and Training</w:t>
      </w:r>
    </w:p>
    <w:p w:rsidR="00A330FC" w:rsidRPr="00AF3755" w:rsidRDefault="00A330FC" w:rsidP="00AF3755">
      <w:pPr>
        <w:pStyle w:val="ListParagraph"/>
        <w:numPr>
          <w:ilvl w:val="0"/>
          <w:numId w:val="34"/>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Additional support and resources are needed for the CET sector </w:t>
      </w:r>
      <w:r w:rsidR="00067E63" w:rsidRPr="00AF3755">
        <w:rPr>
          <w:rFonts w:ascii="Arial" w:hAnsi="Arial" w:cs="Arial"/>
          <w:sz w:val="20"/>
          <w:szCs w:val="20"/>
        </w:rPr>
        <w:t xml:space="preserve">to </w:t>
      </w:r>
      <w:r w:rsidRPr="00AF3755">
        <w:rPr>
          <w:rFonts w:ascii="Arial" w:hAnsi="Arial" w:cs="Arial"/>
          <w:sz w:val="20"/>
          <w:szCs w:val="20"/>
        </w:rPr>
        <w:t xml:space="preserve">deliver on its core mandate and </w:t>
      </w:r>
      <w:r w:rsidR="00F054E0" w:rsidRPr="00AF3755">
        <w:rPr>
          <w:rFonts w:ascii="Arial" w:hAnsi="Arial" w:cs="Arial"/>
          <w:sz w:val="20"/>
          <w:szCs w:val="20"/>
        </w:rPr>
        <w:t xml:space="preserve">to </w:t>
      </w:r>
      <w:r w:rsidRPr="00AF3755">
        <w:rPr>
          <w:rFonts w:ascii="Arial" w:hAnsi="Arial" w:cs="Arial"/>
          <w:sz w:val="20"/>
          <w:szCs w:val="20"/>
        </w:rPr>
        <w:t xml:space="preserve">function optimally. </w:t>
      </w:r>
    </w:p>
    <w:p w:rsidR="00A330FC" w:rsidRPr="00AF3755" w:rsidRDefault="00A330FC" w:rsidP="00AF3755">
      <w:pPr>
        <w:pStyle w:val="ListParagraph"/>
        <w:numPr>
          <w:ilvl w:val="0"/>
          <w:numId w:val="34"/>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implementation of the recommendations coming </w:t>
      </w:r>
      <w:r w:rsidR="00067E63" w:rsidRPr="00AF3755">
        <w:rPr>
          <w:rFonts w:ascii="Arial" w:hAnsi="Arial" w:cs="Arial"/>
          <w:sz w:val="20"/>
          <w:szCs w:val="20"/>
        </w:rPr>
        <w:t xml:space="preserve">from </w:t>
      </w:r>
      <w:r w:rsidRPr="00AF3755">
        <w:rPr>
          <w:rFonts w:ascii="Arial" w:hAnsi="Arial" w:cs="Arial"/>
          <w:sz w:val="20"/>
          <w:szCs w:val="20"/>
        </w:rPr>
        <w:t>the CET Summit in March 2022 be expedited.</w:t>
      </w:r>
    </w:p>
    <w:p w:rsidR="00A330FC" w:rsidRPr="00AF3755" w:rsidRDefault="00A330FC" w:rsidP="00AF3755">
      <w:pPr>
        <w:pStyle w:val="ListParagraph"/>
        <w:numPr>
          <w:ilvl w:val="0"/>
          <w:numId w:val="34"/>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CET lecturers be provided with the training and skills needed to offer skills programmes aligned to the OQSF. The skills programmes for CET colleges will assist them in responding to their respective local and regional </w:t>
      </w:r>
      <w:r w:rsidR="00F054E0" w:rsidRPr="00AF3755">
        <w:rPr>
          <w:rFonts w:ascii="Arial" w:hAnsi="Arial" w:cs="Arial"/>
          <w:sz w:val="20"/>
          <w:szCs w:val="20"/>
        </w:rPr>
        <w:t xml:space="preserve">economic </w:t>
      </w:r>
      <w:r w:rsidRPr="00AF3755">
        <w:rPr>
          <w:rFonts w:ascii="Arial" w:hAnsi="Arial" w:cs="Arial"/>
          <w:sz w:val="20"/>
          <w:szCs w:val="20"/>
        </w:rPr>
        <w:t xml:space="preserve">needs. </w:t>
      </w:r>
    </w:p>
    <w:p w:rsidR="00A330FC" w:rsidRPr="00AF3755" w:rsidRDefault="00A330FC" w:rsidP="00AF3755">
      <w:pPr>
        <w:pStyle w:val="ListParagraph"/>
        <w:numPr>
          <w:ilvl w:val="0"/>
          <w:numId w:val="34"/>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Department working with the municipalities</w:t>
      </w:r>
      <w:r w:rsidR="00DF6A7C" w:rsidRPr="00AF3755">
        <w:rPr>
          <w:rFonts w:ascii="Arial" w:hAnsi="Arial" w:cs="Arial"/>
          <w:sz w:val="20"/>
          <w:szCs w:val="20"/>
        </w:rPr>
        <w:t xml:space="preserve">, public works </w:t>
      </w:r>
      <w:r w:rsidRPr="00AF3755">
        <w:rPr>
          <w:rFonts w:ascii="Arial" w:hAnsi="Arial" w:cs="Arial"/>
          <w:sz w:val="20"/>
          <w:szCs w:val="20"/>
        </w:rPr>
        <w:t>and other relevant authorities need to identify under-utilised public infrastructure to be used as community learning centres to minimise the over-reliance on schools</w:t>
      </w:r>
      <w:r w:rsidR="00C63CB8" w:rsidRPr="00AF3755">
        <w:rPr>
          <w:rFonts w:ascii="Arial" w:hAnsi="Arial" w:cs="Arial"/>
          <w:sz w:val="20"/>
          <w:szCs w:val="20"/>
        </w:rPr>
        <w:t>’</w:t>
      </w:r>
      <w:r w:rsidRPr="00AF3755">
        <w:rPr>
          <w:rFonts w:ascii="Arial" w:hAnsi="Arial" w:cs="Arial"/>
          <w:sz w:val="20"/>
          <w:szCs w:val="20"/>
        </w:rPr>
        <w:t xml:space="preserve"> </w:t>
      </w:r>
      <w:r w:rsidR="00630C15" w:rsidRPr="00AF3755">
        <w:rPr>
          <w:rFonts w:ascii="Arial" w:hAnsi="Arial" w:cs="Arial"/>
          <w:sz w:val="20"/>
          <w:szCs w:val="20"/>
        </w:rPr>
        <w:t xml:space="preserve">infrastructure </w:t>
      </w:r>
      <w:r w:rsidRPr="00AF3755">
        <w:rPr>
          <w:rFonts w:ascii="Arial" w:hAnsi="Arial" w:cs="Arial"/>
          <w:sz w:val="20"/>
          <w:szCs w:val="20"/>
        </w:rPr>
        <w:t xml:space="preserve">for CET </w:t>
      </w:r>
      <w:r w:rsidR="00630C15" w:rsidRPr="00AF3755">
        <w:rPr>
          <w:rFonts w:ascii="Arial" w:hAnsi="Arial" w:cs="Arial"/>
          <w:sz w:val="20"/>
          <w:szCs w:val="20"/>
        </w:rPr>
        <w:t>programmes</w:t>
      </w:r>
      <w:r w:rsidRPr="00AF3755">
        <w:rPr>
          <w:rFonts w:ascii="Arial" w:hAnsi="Arial" w:cs="Arial"/>
          <w:sz w:val="20"/>
          <w:szCs w:val="20"/>
        </w:rPr>
        <w:t xml:space="preserve">. </w:t>
      </w:r>
    </w:p>
    <w:p w:rsidR="00BD246C" w:rsidRPr="00AF3755" w:rsidRDefault="00BD246C" w:rsidP="00AF3755">
      <w:pPr>
        <w:pStyle w:val="ListParagraph"/>
        <w:spacing w:after="0" w:line="240" w:lineRule="auto"/>
        <w:ind w:left="0"/>
        <w:rPr>
          <w:rFonts w:ascii="Arial" w:hAnsi="Arial" w:cs="Arial"/>
          <w:b/>
          <w:sz w:val="20"/>
          <w:szCs w:val="20"/>
        </w:rPr>
      </w:pPr>
    </w:p>
    <w:p w:rsidR="00A330FC" w:rsidRPr="00AF3755" w:rsidRDefault="00A330FC" w:rsidP="00AF3755">
      <w:pPr>
        <w:pStyle w:val="ListParagraph"/>
        <w:numPr>
          <w:ilvl w:val="2"/>
          <w:numId w:val="1"/>
        </w:numPr>
        <w:spacing w:after="0" w:line="240" w:lineRule="auto"/>
        <w:rPr>
          <w:rFonts w:ascii="Arial" w:hAnsi="Arial" w:cs="Arial"/>
          <w:b/>
          <w:sz w:val="20"/>
          <w:szCs w:val="20"/>
        </w:rPr>
      </w:pPr>
      <w:r w:rsidRPr="00AF3755">
        <w:rPr>
          <w:rFonts w:ascii="Arial" w:hAnsi="Arial" w:cs="Arial"/>
          <w:b/>
          <w:sz w:val="20"/>
          <w:szCs w:val="20"/>
        </w:rPr>
        <w:lastRenderedPageBreak/>
        <w:t>Budget consideration</w:t>
      </w:r>
      <w:r w:rsidR="00C63CB8" w:rsidRPr="00AF3755">
        <w:rPr>
          <w:rFonts w:ascii="Arial" w:hAnsi="Arial" w:cs="Arial"/>
          <w:b/>
          <w:sz w:val="20"/>
          <w:szCs w:val="20"/>
        </w:rPr>
        <w:t>s</w:t>
      </w:r>
    </w:p>
    <w:p w:rsidR="00A330FC" w:rsidRPr="00AF3755" w:rsidRDefault="00A330FC" w:rsidP="00AF3755">
      <w:pPr>
        <w:pStyle w:val="ListParagraph"/>
        <w:numPr>
          <w:ilvl w:val="0"/>
          <w:numId w:val="35"/>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Department needs additional funding to increase </w:t>
      </w:r>
      <w:r w:rsidR="00067E63" w:rsidRPr="00AF3755">
        <w:rPr>
          <w:rFonts w:ascii="Arial" w:hAnsi="Arial" w:cs="Arial"/>
          <w:sz w:val="20"/>
          <w:szCs w:val="20"/>
        </w:rPr>
        <w:t xml:space="preserve">the </w:t>
      </w:r>
      <w:r w:rsidRPr="00AF3755">
        <w:rPr>
          <w:rFonts w:ascii="Arial" w:hAnsi="Arial" w:cs="Arial"/>
          <w:sz w:val="20"/>
          <w:szCs w:val="20"/>
        </w:rPr>
        <w:t xml:space="preserve">enrolment of students in the TVET and CET sectors. Even though the budget of the Department is </w:t>
      </w:r>
      <w:r w:rsidR="003D0F03" w:rsidRPr="00AF3755">
        <w:rPr>
          <w:rFonts w:ascii="Arial" w:hAnsi="Arial" w:cs="Arial"/>
          <w:sz w:val="20"/>
          <w:szCs w:val="20"/>
        </w:rPr>
        <w:t>projected to increase</w:t>
      </w:r>
      <w:r w:rsidRPr="00AF3755">
        <w:rPr>
          <w:rFonts w:ascii="Arial" w:hAnsi="Arial" w:cs="Arial"/>
          <w:sz w:val="20"/>
          <w:szCs w:val="20"/>
        </w:rPr>
        <w:t xml:space="preserve"> over the MTEF period, it remains inadequate to meet the NDP targets for enrolment in the TVET and CET sectors and also inadequate to address the funding needs of the missing middle and post-graduate students who are unable to secure funding from other bursaries.</w:t>
      </w:r>
    </w:p>
    <w:p w:rsidR="00A330FC" w:rsidRPr="00AF3755" w:rsidRDefault="00A330FC" w:rsidP="00AF3755">
      <w:pPr>
        <w:pStyle w:val="ListParagraph"/>
        <w:numPr>
          <w:ilvl w:val="0"/>
          <w:numId w:val="35"/>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Department’s cost pressures and unfunded priorities over the MTEF period amount to R12</w:t>
      </w:r>
      <w:r w:rsidR="00067E63" w:rsidRPr="00AF3755">
        <w:rPr>
          <w:rFonts w:ascii="Arial" w:hAnsi="Arial" w:cs="Arial"/>
          <w:sz w:val="20"/>
          <w:szCs w:val="20"/>
        </w:rPr>
        <w:t>,</w:t>
      </w:r>
      <w:r w:rsidRPr="00AF3755">
        <w:rPr>
          <w:rFonts w:ascii="Arial" w:hAnsi="Arial" w:cs="Arial"/>
          <w:sz w:val="20"/>
          <w:szCs w:val="20"/>
        </w:rPr>
        <w:t xml:space="preserve">6 billion. </w:t>
      </w:r>
      <w:r w:rsidR="003D0F03" w:rsidRPr="00AF3755">
        <w:rPr>
          <w:rFonts w:ascii="Arial" w:hAnsi="Arial" w:cs="Arial"/>
          <w:sz w:val="20"/>
          <w:szCs w:val="20"/>
        </w:rPr>
        <w:t xml:space="preserve">notwithstanding the current fiscus constraints, the Committee recommends that consideration be made to allocate </w:t>
      </w:r>
      <w:r w:rsidRPr="00AF3755">
        <w:rPr>
          <w:rFonts w:ascii="Arial" w:hAnsi="Arial" w:cs="Arial"/>
          <w:sz w:val="20"/>
          <w:szCs w:val="20"/>
        </w:rPr>
        <w:t xml:space="preserve">additional funding to the Department to meet its objectives. Spending on priorities of the PSET system is an investment </w:t>
      </w:r>
      <w:r w:rsidR="00067E63" w:rsidRPr="00AF3755">
        <w:rPr>
          <w:rFonts w:ascii="Arial" w:hAnsi="Arial" w:cs="Arial"/>
          <w:sz w:val="20"/>
          <w:szCs w:val="20"/>
        </w:rPr>
        <w:t xml:space="preserve">in </w:t>
      </w:r>
      <w:r w:rsidRPr="00AF3755">
        <w:rPr>
          <w:rFonts w:ascii="Arial" w:hAnsi="Arial" w:cs="Arial"/>
          <w:sz w:val="20"/>
          <w:szCs w:val="20"/>
        </w:rPr>
        <w:t xml:space="preserve">human capital and </w:t>
      </w:r>
      <w:r w:rsidR="00067E63" w:rsidRPr="00AF3755">
        <w:rPr>
          <w:rFonts w:ascii="Arial" w:hAnsi="Arial" w:cs="Arial"/>
          <w:sz w:val="20"/>
          <w:szCs w:val="20"/>
        </w:rPr>
        <w:t xml:space="preserve">is </w:t>
      </w:r>
      <w:r w:rsidRPr="00AF3755">
        <w:rPr>
          <w:rFonts w:ascii="Arial" w:hAnsi="Arial" w:cs="Arial"/>
          <w:sz w:val="20"/>
          <w:szCs w:val="20"/>
        </w:rPr>
        <w:t>critical for sustainable development.</w:t>
      </w:r>
    </w:p>
    <w:p w:rsidR="00A330FC" w:rsidRPr="00AF3755" w:rsidRDefault="00A330FC" w:rsidP="00AF3755">
      <w:pPr>
        <w:pStyle w:val="ListParagraph"/>
        <w:numPr>
          <w:ilvl w:val="0"/>
          <w:numId w:val="35"/>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inequities in the funding of various programmes within the Department need to be reviewed. There is a massive gap between the funding of University Education and other core delivery programmes such as TVET and CET. Up to 80</w:t>
      </w:r>
      <w:r w:rsidR="00067E63" w:rsidRPr="00AF3755">
        <w:rPr>
          <w:rFonts w:ascii="Arial" w:hAnsi="Arial" w:cs="Arial"/>
          <w:sz w:val="20"/>
          <w:szCs w:val="20"/>
        </w:rPr>
        <w:t xml:space="preserve"> per cent</w:t>
      </w:r>
      <w:r w:rsidRPr="00AF3755">
        <w:rPr>
          <w:rFonts w:ascii="Arial" w:hAnsi="Arial" w:cs="Arial"/>
          <w:sz w:val="20"/>
          <w:szCs w:val="20"/>
        </w:rPr>
        <w:t xml:space="preserve"> of the Departmental budget is reserved for transfers to universities</w:t>
      </w:r>
      <w:r w:rsidR="003D0F03" w:rsidRPr="00AF3755">
        <w:rPr>
          <w:rFonts w:ascii="Arial" w:hAnsi="Arial" w:cs="Arial"/>
          <w:sz w:val="20"/>
          <w:szCs w:val="20"/>
        </w:rPr>
        <w:t xml:space="preserve"> and NSFAS</w:t>
      </w:r>
      <w:r w:rsidRPr="00AF3755">
        <w:rPr>
          <w:rFonts w:ascii="Arial" w:hAnsi="Arial" w:cs="Arial"/>
          <w:sz w:val="20"/>
          <w:szCs w:val="20"/>
        </w:rPr>
        <w:t>. This trend is not sustainable considering the need to promote increased access and success to TVET and CET colleges. Thus, equity in the distribution of resources in the PSET sector should be prioritised.</w:t>
      </w:r>
    </w:p>
    <w:p w:rsidR="00A330FC" w:rsidRPr="00AF3755" w:rsidRDefault="00A330FC" w:rsidP="00AF3755">
      <w:pPr>
        <w:pStyle w:val="ListParagraph"/>
        <w:numPr>
          <w:ilvl w:val="0"/>
          <w:numId w:val="35"/>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Department </w:t>
      </w:r>
      <w:r w:rsidR="00C63CB8" w:rsidRPr="00AF3755">
        <w:rPr>
          <w:rFonts w:ascii="Arial" w:hAnsi="Arial" w:cs="Arial"/>
          <w:sz w:val="20"/>
          <w:szCs w:val="20"/>
        </w:rPr>
        <w:t>should</w:t>
      </w:r>
      <w:r w:rsidRPr="00AF3755">
        <w:rPr>
          <w:rFonts w:ascii="Arial" w:hAnsi="Arial" w:cs="Arial"/>
          <w:sz w:val="20"/>
          <w:szCs w:val="20"/>
        </w:rPr>
        <w:t xml:space="preserve"> review the subsidy allocated to the CHE since it is unable to fulfil the objectives of the entity. The entity relies on the utilisation of its roll-over funds to meet some key performance indicators and this is not sustainable. The entity is also unable to fund its revised organisational structure due to limited funding.</w:t>
      </w:r>
    </w:p>
    <w:p w:rsidR="00A330FC" w:rsidRPr="00AF3755" w:rsidRDefault="00A330FC" w:rsidP="00AF3755">
      <w:pPr>
        <w:pStyle w:val="ListParagraph"/>
        <w:numPr>
          <w:ilvl w:val="0"/>
          <w:numId w:val="35"/>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Additional funding </w:t>
      </w:r>
      <w:r w:rsidR="00C63CB8" w:rsidRPr="00AF3755">
        <w:rPr>
          <w:rFonts w:ascii="Arial" w:hAnsi="Arial" w:cs="Arial"/>
          <w:sz w:val="20"/>
          <w:szCs w:val="20"/>
        </w:rPr>
        <w:t>should be considered for</w:t>
      </w:r>
      <w:r w:rsidRPr="00AF3755">
        <w:rPr>
          <w:rFonts w:ascii="Arial" w:hAnsi="Arial" w:cs="Arial"/>
          <w:sz w:val="20"/>
          <w:szCs w:val="20"/>
        </w:rPr>
        <w:t xml:space="preserve"> the QCTO to fulfil its mandate in line with its revised organisational structure and additional mandate of taking over the quality assurance role of the SETAs. Thus, the approval of its Business Case </w:t>
      </w:r>
      <w:r w:rsidR="00F54645" w:rsidRPr="00AF3755">
        <w:rPr>
          <w:rFonts w:ascii="Arial" w:hAnsi="Arial" w:cs="Arial"/>
          <w:sz w:val="20"/>
          <w:szCs w:val="20"/>
        </w:rPr>
        <w:t>and the review of the SETA Grant Regulations to address the QCTO funding requirements should</w:t>
      </w:r>
      <w:r w:rsidRPr="00AF3755">
        <w:rPr>
          <w:rFonts w:ascii="Arial" w:hAnsi="Arial" w:cs="Arial"/>
          <w:sz w:val="20"/>
          <w:szCs w:val="20"/>
        </w:rPr>
        <w:t xml:space="preserve"> </w:t>
      </w:r>
      <w:r w:rsidR="00265AB4" w:rsidRPr="00AF3755">
        <w:rPr>
          <w:rFonts w:ascii="Arial" w:hAnsi="Arial" w:cs="Arial"/>
          <w:sz w:val="20"/>
          <w:szCs w:val="20"/>
        </w:rPr>
        <w:t xml:space="preserve">be </w:t>
      </w:r>
      <w:r w:rsidRPr="00AF3755">
        <w:rPr>
          <w:rFonts w:ascii="Arial" w:hAnsi="Arial" w:cs="Arial"/>
          <w:sz w:val="20"/>
          <w:szCs w:val="20"/>
        </w:rPr>
        <w:t>expedited</w:t>
      </w:r>
      <w:r w:rsidR="00F54645" w:rsidRPr="00AF3755">
        <w:rPr>
          <w:rFonts w:ascii="Arial" w:hAnsi="Arial" w:cs="Arial"/>
          <w:sz w:val="20"/>
          <w:szCs w:val="20"/>
        </w:rPr>
        <w:t>.</w:t>
      </w:r>
    </w:p>
    <w:p w:rsidR="000F21D7" w:rsidRPr="00AF3755" w:rsidRDefault="000F21D7" w:rsidP="00AF3755">
      <w:pPr>
        <w:pStyle w:val="ListParagraph"/>
        <w:suppressAutoHyphens/>
        <w:autoSpaceDN w:val="0"/>
        <w:spacing w:after="0" w:line="240" w:lineRule="auto"/>
        <w:ind w:left="360"/>
        <w:contextualSpacing w:val="0"/>
        <w:textAlignment w:val="baseline"/>
        <w:rPr>
          <w:rFonts w:ascii="Arial" w:hAnsi="Arial" w:cs="Arial"/>
          <w:sz w:val="20"/>
          <w:szCs w:val="20"/>
        </w:rPr>
      </w:pPr>
    </w:p>
    <w:p w:rsidR="00EC1B43" w:rsidRPr="00AF3755" w:rsidRDefault="00EC1B43"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Quality for Trades and Occupations</w:t>
      </w:r>
    </w:p>
    <w:p w:rsidR="00A330FC" w:rsidRPr="00AF3755" w:rsidRDefault="002863A4" w:rsidP="00AF3755">
      <w:pPr>
        <w:pStyle w:val="ListParagraph"/>
        <w:numPr>
          <w:ilvl w:val="0"/>
          <w:numId w:val="36"/>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entity c</w:t>
      </w:r>
      <w:r w:rsidR="00A330FC" w:rsidRPr="00AF3755">
        <w:rPr>
          <w:rFonts w:ascii="Arial" w:hAnsi="Arial" w:cs="Arial"/>
          <w:sz w:val="20"/>
          <w:szCs w:val="20"/>
        </w:rPr>
        <w:t xml:space="preserve">onsiders working closely with the SETAs to assist them in clearing the certification backlog. </w:t>
      </w:r>
    </w:p>
    <w:p w:rsidR="00A330FC" w:rsidRPr="00AF3755" w:rsidRDefault="00A330FC" w:rsidP="00AF3755">
      <w:pPr>
        <w:pStyle w:val="ListParagraph"/>
        <w:numPr>
          <w:ilvl w:val="0"/>
          <w:numId w:val="36"/>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filling of the outstanding vacancies be expedited at the entity to increase its capacity and performance.</w:t>
      </w:r>
    </w:p>
    <w:p w:rsidR="00A330FC" w:rsidRPr="00AF3755" w:rsidRDefault="00A330FC" w:rsidP="00AF3755">
      <w:pPr>
        <w:pStyle w:val="ListParagraph"/>
        <w:numPr>
          <w:ilvl w:val="0"/>
          <w:numId w:val="36"/>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entity</w:t>
      </w:r>
      <w:r w:rsidR="00AE1B7F" w:rsidRPr="00AF3755">
        <w:rPr>
          <w:rFonts w:ascii="Arial" w:hAnsi="Arial" w:cs="Arial"/>
          <w:sz w:val="20"/>
          <w:szCs w:val="20"/>
        </w:rPr>
        <w:t>,</w:t>
      </w:r>
      <w:r w:rsidRPr="00AF3755">
        <w:rPr>
          <w:rFonts w:ascii="Arial" w:hAnsi="Arial" w:cs="Arial"/>
          <w:sz w:val="20"/>
          <w:szCs w:val="20"/>
        </w:rPr>
        <w:t xml:space="preserve"> working closely with the Department embark</w:t>
      </w:r>
      <w:r w:rsidR="00265AB4" w:rsidRPr="00AF3755">
        <w:rPr>
          <w:rFonts w:ascii="Arial" w:hAnsi="Arial" w:cs="Arial"/>
          <w:sz w:val="20"/>
          <w:szCs w:val="20"/>
        </w:rPr>
        <w:t>s</w:t>
      </w:r>
      <w:r w:rsidRPr="00AF3755">
        <w:rPr>
          <w:rFonts w:ascii="Arial" w:hAnsi="Arial" w:cs="Arial"/>
          <w:sz w:val="20"/>
          <w:szCs w:val="20"/>
        </w:rPr>
        <w:t xml:space="preserve"> on an advocacy campaign to promote the importance and uptake of occupational and skills programmes</w:t>
      </w:r>
      <w:r w:rsidR="00265AB4" w:rsidRPr="00AF3755">
        <w:rPr>
          <w:rFonts w:ascii="Arial" w:hAnsi="Arial" w:cs="Arial"/>
          <w:sz w:val="20"/>
          <w:szCs w:val="20"/>
        </w:rPr>
        <w:t>,</w:t>
      </w:r>
      <w:r w:rsidRPr="00AF3755">
        <w:rPr>
          <w:rFonts w:ascii="Arial" w:hAnsi="Arial" w:cs="Arial"/>
          <w:sz w:val="20"/>
          <w:szCs w:val="20"/>
        </w:rPr>
        <w:t xml:space="preserve"> especially by TVET colleges.</w:t>
      </w:r>
    </w:p>
    <w:p w:rsidR="00A06A6A" w:rsidRPr="00AF3755" w:rsidRDefault="00A06A6A" w:rsidP="00AF3755">
      <w:pPr>
        <w:pStyle w:val="ListParagraph"/>
        <w:suppressAutoHyphens/>
        <w:autoSpaceDN w:val="0"/>
        <w:spacing w:after="0" w:line="240" w:lineRule="auto"/>
        <w:ind w:left="360"/>
        <w:contextualSpacing w:val="0"/>
        <w:textAlignment w:val="baseline"/>
        <w:rPr>
          <w:rFonts w:ascii="Arial" w:hAnsi="Arial" w:cs="Arial"/>
          <w:sz w:val="20"/>
          <w:szCs w:val="20"/>
        </w:rPr>
      </w:pPr>
    </w:p>
    <w:p w:rsidR="00EC1B43" w:rsidRPr="00AF3755" w:rsidRDefault="00EC1B43"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South African Qualifications Authority</w:t>
      </w:r>
    </w:p>
    <w:p w:rsidR="00A330FC" w:rsidRPr="00AF3755" w:rsidRDefault="00A330FC" w:rsidP="00AF3755">
      <w:pPr>
        <w:pStyle w:val="ListParagraph"/>
        <w:numPr>
          <w:ilvl w:val="0"/>
          <w:numId w:val="37"/>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The entity puts measures in place to improve the turn-around time for the verification of qualifications. This will also enable the entity to generate more revenue by processing more qualifications within </w:t>
      </w:r>
      <w:r w:rsidR="009F5D37" w:rsidRPr="00AF3755">
        <w:rPr>
          <w:rFonts w:ascii="Arial" w:hAnsi="Arial" w:cs="Arial"/>
          <w:sz w:val="20"/>
          <w:szCs w:val="20"/>
        </w:rPr>
        <w:t>timeframes</w:t>
      </w:r>
      <w:r w:rsidRPr="00AF3755">
        <w:rPr>
          <w:rFonts w:ascii="Arial" w:hAnsi="Arial" w:cs="Arial"/>
          <w:sz w:val="20"/>
          <w:szCs w:val="20"/>
        </w:rPr>
        <w:t>.</w:t>
      </w:r>
    </w:p>
    <w:p w:rsidR="00A330FC" w:rsidRPr="00AF3755" w:rsidRDefault="00776A66" w:rsidP="00AF3755">
      <w:pPr>
        <w:pStyle w:val="ListParagraph"/>
        <w:numPr>
          <w:ilvl w:val="0"/>
          <w:numId w:val="37"/>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SAQA c</w:t>
      </w:r>
      <w:r w:rsidR="00A330FC" w:rsidRPr="00AF3755">
        <w:rPr>
          <w:rFonts w:ascii="Arial" w:hAnsi="Arial" w:cs="Arial"/>
          <w:sz w:val="20"/>
          <w:szCs w:val="20"/>
        </w:rPr>
        <w:t xml:space="preserve">onsiders investing in </w:t>
      </w:r>
      <w:r w:rsidR="0024463A" w:rsidRPr="00AF3755">
        <w:rPr>
          <w:rFonts w:ascii="Arial" w:hAnsi="Arial" w:cs="Arial"/>
          <w:sz w:val="20"/>
          <w:szCs w:val="20"/>
        </w:rPr>
        <w:t>block-chain</w:t>
      </w:r>
      <w:r w:rsidR="00A330FC" w:rsidRPr="00AF3755">
        <w:rPr>
          <w:rFonts w:ascii="Arial" w:hAnsi="Arial" w:cs="Arial"/>
          <w:sz w:val="20"/>
          <w:szCs w:val="20"/>
        </w:rPr>
        <w:t xml:space="preserve"> technology to expand the verification function to include verification of curriculum vitae (CVs) to make the entity financially sustainable going forward.</w:t>
      </w:r>
    </w:p>
    <w:p w:rsidR="00A330FC" w:rsidRPr="00AF3755" w:rsidRDefault="00776A66" w:rsidP="00AF3755">
      <w:pPr>
        <w:pStyle w:val="ListParagraph"/>
        <w:numPr>
          <w:ilvl w:val="0"/>
          <w:numId w:val="37"/>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entity s</w:t>
      </w:r>
      <w:r w:rsidR="00A330FC" w:rsidRPr="00AF3755">
        <w:rPr>
          <w:rFonts w:ascii="Arial" w:hAnsi="Arial" w:cs="Arial"/>
          <w:sz w:val="20"/>
          <w:szCs w:val="20"/>
        </w:rPr>
        <w:t xml:space="preserve">ubmits an audit action plan within one month after the adoption of the Committee’s BRRR, which contains </w:t>
      </w:r>
      <w:r w:rsidR="00265AB4" w:rsidRPr="00AF3755">
        <w:rPr>
          <w:rFonts w:ascii="Arial" w:hAnsi="Arial" w:cs="Arial"/>
          <w:sz w:val="20"/>
          <w:szCs w:val="20"/>
        </w:rPr>
        <w:t xml:space="preserve">a </w:t>
      </w:r>
      <w:r w:rsidR="00A330FC" w:rsidRPr="00AF3755">
        <w:rPr>
          <w:rFonts w:ascii="Arial" w:hAnsi="Arial" w:cs="Arial"/>
          <w:sz w:val="20"/>
          <w:szCs w:val="20"/>
        </w:rPr>
        <w:t>clear timeframe for improving audit outcomes to achieve a clean audit in the 2022/23 financial year.</w:t>
      </w:r>
    </w:p>
    <w:p w:rsidR="00A330FC" w:rsidRPr="00AF3755" w:rsidRDefault="00A330FC" w:rsidP="00AF3755">
      <w:pPr>
        <w:pStyle w:val="ListParagraph"/>
        <w:numPr>
          <w:ilvl w:val="0"/>
          <w:numId w:val="37"/>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entity puts measures in place to reduce underspending and to curb irregular expenditure.</w:t>
      </w:r>
    </w:p>
    <w:p w:rsidR="00A330FC" w:rsidRPr="00AF3755" w:rsidRDefault="00A330FC" w:rsidP="00AF3755">
      <w:pPr>
        <w:pStyle w:val="ListParagraph"/>
        <w:numPr>
          <w:ilvl w:val="0"/>
          <w:numId w:val="37"/>
        </w:numPr>
        <w:suppressAutoHyphens/>
        <w:autoSpaceDN w:val="0"/>
        <w:spacing w:after="0" w:line="240" w:lineRule="auto"/>
        <w:contextualSpacing w:val="0"/>
        <w:textAlignment w:val="baseline"/>
        <w:rPr>
          <w:rFonts w:ascii="Arial" w:hAnsi="Arial" w:cs="Arial"/>
          <w:b/>
          <w:sz w:val="20"/>
          <w:szCs w:val="20"/>
        </w:rPr>
      </w:pPr>
      <w:r w:rsidRPr="00AF3755">
        <w:rPr>
          <w:rFonts w:ascii="Arial" w:hAnsi="Arial" w:cs="Arial"/>
          <w:sz w:val="20"/>
          <w:szCs w:val="20"/>
        </w:rPr>
        <w:t xml:space="preserve">The digitisation of old records (qualifications / part-qualifications) and their inclusion into the National Learner’s Records Database (NLRD) </w:t>
      </w:r>
      <w:r w:rsidR="00776A66" w:rsidRPr="00AF3755">
        <w:rPr>
          <w:rFonts w:ascii="Arial" w:hAnsi="Arial" w:cs="Arial"/>
          <w:sz w:val="20"/>
          <w:szCs w:val="20"/>
        </w:rPr>
        <w:t xml:space="preserve">should </w:t>
      </w:r>
      <w:r w:rsidRPr="00AF3755">
        <w:rPr>
          <w:rFonts w:ascii="Arial" w:hAnsi="Arial" w:cs="Arial"/>
          <w:sz w:val="20"/>
          <w:szCs w:val="20"/>
        </w:rPr>
        <w:t xml:space="preserve">be expedited so that the entity </w:t>
      </w:r>
      <w:r w:rsidR="00A06A6A" w:rsidRPr="00AF3755">
        <w:rPr>
          <w:rFonts w:ascii="Arial" w:hAnsi="Arial" w:cs="Arial"/>
          <w:sz w:val="20"/>
          <w:szCs w:val="20"/>
        </w:rPr>
        <w:t>can</w:t>
      </w:r>
      <w:r w:rsidRPr="00AF3755">
        <w:rPr>
          <w:rFonts w:ascii="Arial" w:hAnsi="Arial" w:cs="Arial"/>
          <w:sz w:val="20"/>
          <w:szCs w:val="20"/>
        </w:rPr>
        <w:t xml:space="preserve"> improve the turn-around time of verification of these records.</w:t>
      </w:r>
    </w:p>
    <w:p w:rsidR="00A330FC" w:rsidRPr="00AF3755" w:rsidRDefault="00776A66" w:rsidP="00AF3755">
      <w:pPr>
        <w:pStyle w:val="ListParagraph"/>
        <w:numPr>
          <w:ilvl w:val="0"/>
          <w:numId w:val="37"/>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SAQA w</w:t>
      </w:r>
      <w:r w:rsidR="00A330FC" w:rsidRPr="00AF3755">
        <w:rPr>
          <w:rFonts w:ascii="Arial" w:hAnsi="Arial" w:cs="Arial"/>
          <w:sz w:val="20"/>
          <w:szCs w:val="20"/>
        </w:rPr>
        <w:t xml:space="preserve">orking with the CHE and DHET </w:t>
      </w:r>
      <w:r w:rsidRPr="00AF3755">
        <w:rPr>
          <w:rFonts w:ascii="Arial" w:hAnsi="Arial" w:cs="Arial"/>
          <w:sz w:val="20"/>
          <w:szCs w:val="20"/>
        </w:rPr>
        <w:t>should ensure</w:t>
      </w:r>
      <w:r w:rsidR="00A330FC" w:rsidRPr="00AF3755">
        <w:rPr>
          <w:rFonts w:ascii="Arial" w:hAnsi="Arial" w:cs="Arial"/>
          <w:sz w:val="20"/>
          <w:szCs w:val="20"/>
        </w:rPr>
        <w:t xml:space="preserve"> that the legacy qualifications</w:t>
      </w:r>
      <w:r w:rsidR="00265AB4" w:rsidRPr="00AF3755">
        <w:rPr>
          <w:rFonts w:ascii="Arial" w:hAnsi="Arial" w:cs="Arial"/>
          <w:sz w:val="20"/>
          <w:szCs w:val="20"/>
        </w:rPr>
        <w:t>/</w:t>
      </w:r>
      <w:r w:rsidR="00A330FC" w:rsidRPr="00AF3755">
        <w:rPr>
          <w:rFonts w:ascii="Arial" w:hAnsi="Arial" w:cs="Arial"/>
          <w:sz w:val="20"/>
          <w:szCs w:val="20"/>
        </w:rPr>
        <w:t xml:space="preserve">part qualifications </w:t>
      </w:r>
      <w:r w:rsidR="009F5D37" w:rsidRPr="00AF3755">
        <w:rPr>
          <w:rFonts w:ascii="Arial" w:hAnsi="Arial" w:cs="Arial"/>
          <w:sz w:val="20"/>
          <w:szCs w:val="20"/>
        </w:rPr>
        <w:t xml:space="preserve">that have reached teach out time are </w:t>
      </w:r>
      <w:r w:rsidR="00A330FC" w:rsidRPr="00AF3755">
        <w:rPr>
          <w:rFonts w:ascii="Arial" w:hAnsi="Arial" w:cs="Arial"/>
          <w:sz w:val="20"/>
          <w:szCs w:val="20"/>
        </w:rPr>
        <w:t>deregistered from the NQF.</w:t>
      </w:r>
    </w:p>
    <w:p w:rsidR="00A330FC" w:rsidRPr="00AF3755" w:rsidRDefault="00A330FC" w:rsidP="00AF3755">
      <w:pPr>
        <w:pStyle w:val="ListParagraph"/>
        <w:spacing w:after="0" w:line="240" w:lineRule="auto"/>
        <w:ind w:left="0"/>
        <w:rPr>
          <w:rFonts w:ascii="Arial" w:hAnsi="Arial" w:cs="Arial"/>
          <w:b/>
          <w:sz w:val="20"/>
          <w:szCs w:val="20"/>
        </w:rPr>
      </w:pPr>
    </w:p>
    <w:p w:rsidR="00EC1B43" w:rsidRPr="00AF3755" w:rsidRDefault="00EC1B43" w:rsidP="00AF3755">
      <w:pPr>
        <w:pStyle w:val="ListParagraph"/>
        <w:numPr>
          <w:ilvl w:val="1"/>
          <w:numId w:val="1"/>
        </w:numPr>
        <w:spacing w:after="0" w:line="240" w:lineRule="auto"/>
        <w:rPr>
          <w:rFonts w:ascii="Arial" w:hAnsi="Arial" w:cs="Arial"/>
          <w:b/>
          <w:sz w:val="20"/>
          <w:szCs w:val="20"/>
        </w:rPr>
      </w:pPr>
      <w:r w:rsidRPr="00AF3755">
        <w:rPr>
          <w:rFonts w:ascii="Arial" w:hAnsi="Arial" w:cs="Arial"/>
          <w:b/>
          <w:sz w:val="20"/>
          <w:szCs w:val="20"/>
        </w:rPr>
        <w:t>Council on Higher Education</w:t>
      </w:r>
    </w:p>
    <w:p w:rsidR="00A330FC" w:rsidRPr="00AF3755" w:rsidRDefault="00A330FC" w:rsidP="00AF3755">
      <w:pPr>
        <w:pStyle w:val="ListParagraph"/>
        <w:numPr>
          <w:ilvl w:val="0"/>
          <w:numId w:val="38"/>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entity expedites the filling of vacant posts and put</w:t>
      </w:r>
      <w:r w:rsidR="004C66FF" w:rsidRPr="00AF3755">
        <w:rPr>
          <w:rFonts w:ascii="Arial" w:hAnsi="Arial" w:cs="Arial"/>
          <w:sz w:val="20"/>
          <w:szCs w:val="20"/>
        </w:rPr>
        <w:t>s</w:t>
      </w:r>
      <w:r w:rsidRPr="00AF3755">
        <w:rPr>
          <w:rFonts w:ascii="Arial" w:hAnsi="Arial" w:cs="Arial"/>
          <w:sz w:val="20"/>
          <w:szCs w:val="20"/>
        </w:rPr>
        <w:t xml:space="preserve"> measures in place to attract people with disabilities and minority groups into the entity. </w:t>
      </w:r>
    </w:p>
    <w:p w:rsidR="00A330FC" w:rsidRPr="00AF3755" w:rsidRDefault="00A330FC" w:rsidP="00AF3755">
      <w:pPr>
        <w:pStyle w:val="ListParagraph"/>
        <w:numPr>
          <w:ilvl w:val="0"/>
          <w:numId w:val="38"/>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 xml:space="preserve">Working with the Department and SAQA, the entity ensures that universities do not offer qualifications or part qualifications that are not aligned to the Higher Education Qualifications Sub-Framework (HESQF).  </w:t>
      </w:r>
    </w:p>
    <w:p w:rsidR="00A330FC" w:rsidRPr="00AF3755" w:rsidRDefault="00551A5F" w:rsidP="00AF3755">
      <w:pPr>
        <w:pStyle w:val="ListParagraph"/>
        <w:numPr>
          <w:ilvl w:val="0"/>
          <w:numId w:val="38"/>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entity p</w:t>
      </w:r>
      <w:r w:rsidR="00A330FC" w:rsidRPr="00AF3755">
        <w:rPr>
          <w:rFonts w:ascii="Arial" w:hAnsi="Arial" w:cs="Arial"/>
          <w:sz w:val="20"/>
          <w:szCs w:val="20"/>
        </w:rPr>
        <w:t>uts mechanisms in place to achieve a clean audit for the 2022/23 financial year and reduce over-spending on its subsidy allocation from the Department.</w:t>
      </w:r>
    </w:p>
    <w:p w:rsidR="004B0512" w:rsidRPr="00AF3755" w:rsidRDefault="00A330FC" w:rsidP="00AF3755">
      <w:pPr>
        <w:pStyle w:val="ListParagraph"/>
        <w:numPr>
          <w:ilvl w:val="0"/>
          <w:numId w:val="38"/>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lastRenderedPageBreak/>
        <w:t xml:space="preserve">The entity needs additional funding from the Department to support the work of the Transformation Oversight function for higher education. Transformation in higher education has different dimensions, all </w:t>
      </w:r>
      <w:r w:rsidR="00265AB4" w:rsidRPr="00AF3755">
        <w:rPr>
          <w:rFonts w:ascii="Arial" w:hAnsi="Arial" w:cs="Arial"/>
          <w:sz w:val="20"/>
          <w:szCs w:val="20"/>
        </w:rPr>
        <w:t xml:space="preserve">of </w:t>
      </w:r>
      <w:r w:rsidRPr="00AF3755">
        <w:rPr>
          <w:rFonts w:ascii="Arial" w:hAnsi="Arial" w:cs="Arial"/>
          <w:sz w:val="20"/>
          <w:szCs w:val="20"/>
        </w:rPr>
        <w:t>which are important, and the work of the CHE in this regard will be critical in advising the Minister about the best possible practices for a transformed higher education sector.</w:t>
      </w:r>
    </w:p>
    <w:p w:rsidR="00A330FC" w:rsidRPr="00AF3755" w:rsidRDefault="00A330FC" w:rsidP="00AF3755">
      <w:pPr>
        <w:pStyle w:val="ListParagraph"/>
        <w:numPr>
          <w:ilvl w:val="0"/>
          <w:numId w:val="38"/>
        </w:numPr>
        <w:suppressAutoHyphens/>
        <w:autoSpaceDN w:val="0"/>
        <w:spacing w:after="0" w:line="240" w:lineRule="auto"/>
        <w:contextualSpacing w:val="0"/>
        <w:textAlignment w:val="baseline"/>
        <w:rPr>
          <w:rFonts w:ascii="Arial" w:hAnsi="Arial" w:cs="Arial"/>
          <w:sz w:val="20"/>
          <w:szCs w:val="20"/>
        </w:rPr>
      </w:pPr>
      <w:r w:rsidRPr="00AF3755">
        <w:rPr>
          <w:rFonts w:ascii="Arial" w:hAnsi="Arial" w:cs="Arial"/>
          <w:sz w:val="20"/>
          <w:szCs w:val="20"/>
        </w:rPr>
        <w:t>The entity needs additional funding which will cover the employee costs for the 2023/24 to 2025/26 MTEF period so it can implement its revised organisational structure with additional mandates.</w:t>
      </w:r>
    </w:p>
    <w:p w:rsidR="005F51F5" w:rsidRPr="00AF3755" w:rsidRDefault="005F51F5" w:rsidP="00AF3755">
      <w:pPr>
        <w:pStyle w:val="ListParagraph"/>
        <w:spacing w:after="0" w:line="240" w:lineRule="auto"/>
        <w:ind w:left="0"/>
        <w:rPr>
          <w:rFonts w:ascii="Arial" w:hAnsi="Arial" w:cs="Arial"/>
          <w:b/>
          <w:sz w:val="20"/>
          <w:szCs w:val="20"/>
        </w:rPr>
      </w:pPr>
    </w:p>
    <w:p w:rsidR="005F51F5" w:rsidRPr="00AF3755" w:rsidRDefault="005F51F5" w:rsidP="00AF3755">
      <w:pPr>
        <w:pStyle w:val="ListParagraph"/>
        <w:spacing w:after="0" w:line="240" w:lineRule="auto"/>
        <w:ind w:left="360"/>
        <w:rPr>
          <w:rFonts w:ascii="Arial" w:hAnsi="Arial" w:cs="Arial"/>
          <w:sz w:val="20"/>
          <w:szCs w:val="20"/>
        </w:rPr>
      </w:pPr>
      <w:r w:rsidRPr="00AF3755">
        <w:rPr>
          <w:rFonts w:ascii="Arial" w:hAnsi="Arial" w:cs="Arial"/>
          <w:sz w:val="20"/>
          <w:szCs w:val="20"/>
        </w:rPr>
        <w:t>Report to be considered</w:t>
      </w:r>
    </w:p>
    <w:sectPr w:rsidR="005F51F5" w:rsidRPr="00AF3755" w:rsidSect="00C0445D">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3757" w16cex:dateUtc="2022-11-04T05:01:00Z"/>
  <w16cex:commentExtensible w16cex:durableId="270F3764" w16cex:dateUtc="2022-11-04T05:01:00Z"/>
  <w16cex:commentExtensible w16cex:durableId="270F40C4" w16cex:dateUtc="2022-11-04T05:41:00Z"/>
  <w16cex:commentExtensible w16cex:durableId="270F4878" w16cex:dateUtc="2022-11-04T06:14:00Z"/>
  <w16cex:commentExtensible w16cex:durableId="270F49D2" w16cex:dateUtc="2022-11-04T06:20:00Z"/>
  <w16cex:commentExtensible w16cex:durableId="270F4BDE" w16cex:dateUtc="2022-11-04T06:29:00Z"/>
  <w16cex:commentExtensible w16cex:durableId="270F4C6E" w16cex:dateUtc="2022-11-04T06:31:00Z"/>
  <w16cex:commentExtensible w16cex:durableId="270F4CF8" w16cex:dateUtc="2022-11-04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ED975" w16cid:durableId="270F3757"/>
  <w16cid:commentId w16cid:paraId="72CA7E31" w16cid:durableId="270F3764"/>
  <w16cid:commentId w16cid:paraId="7CD729E2" w16cid:durableId="270F40C4"/>
  <w16cid:commentId w16cid:paraId="3732FA4E" w16cid:durableId="270F4878"/>
  <w16cid:commentId w16cid:paraId="143449ED" w16cid:durableId="270F49D2"/>
  <w16cid:commentId w16cid:paraId="68450E14" w16cid:durableId="270F4BDE"/>
  <w16cid:commentId w16cid:paraId="4D99FF92" w16cid:durableId="270F4C6E"/>
  <w16cid:commentId w16cid:paraId="74DD6D0C" w16cid:durableId="270F4C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1E" w:rsidRDefault="00D9261E" w:rsidP="007334CD">
      <w:pPr>
        <w:spacing w:after="0" w:line="240" w:lineRule="auto"/>
      </w:pPr>
      <w:r>
        <w:separator/>
      </w:r>
    </w:p>
  </w:endnote>
  <w:endnote w:type="continuationSeparator" w:id="0">
    <w:p w:rsidR="00D9261E" w:rsidRDefault="00D9261E" w:rsidP="0073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969138"/>
      <w:docPartObj>
        <w:docPartGallery w:val="Page Numbers (Bottom of Page)"/>
        <w:docPartUnique/>
      </w:docPartObj>
    </w:sdtPr>
    <w:sdtEndPr>
      <w:rPr>
        <w:rFonts w:ascii="Times New Roman" w:hAnsi="Times New Roman"/>
        <w:noProof/>
        <w:sz w:val="24"/>
        <w:szCs w:val="24"/>
      </w:rPr>
    </w:sdtEndPr>
    <w:sdtContent>
      <w:p w:rsidR="00BB1345" w:rsidRPr="002B2C77" w:rsidRDefault="00C0445D">
        <w:pPr>
          <w:pStyle w:val="Footer"/>
          <w:jc w:val="right"/>
          <w:rPr>
            <w:rFonts w:ascii="Times New Roman" w:hAnsi="Times New Roman"/>
            <w:sz w:val="24"/>
            <w:szCs w:val="24"/>
          </w:rPr>
        </w:pPr>
        <w:r w:rsidRPr="002B2C77">
          <w:rPr>
            <w:rFonts w:ascii="Times New Roman" w:hAnsi="Times New Roman"/>
            <w:sz w:val="24"/>
            <w:szCs w:val="24"/>
          </w:rPr>
          <w:fldChar w:fldCharType="begin"/>
        </w:r>
        <w:r w:rsidR="00BB1345" w:rsidRPr="002B2C77">
          <w:rPr>
            <w:rFonts w:ascii="Times New Roman" w:hAnsi="Times New Roman"/>
            <w:sz w:val="24"/>
            <w:szCs w:val="24"/>
          </w:rPr>
          <w:instrText xml:space="preserve"> PAGE   \* MERGEFORMAT </w:instrText>
        </w:r>
        <w:r w:rsidRPr="002B2C77">
          <w:rPr>
            <w:rFonts w:ascii="Times New Roman" w:hAnsi="Times New Roman"/>
            <w:sz w:val="24"/>
            <w:szCs w:val="24"/>
          </w:rPr>
          <w:fldChar w:fldCharType="separate"/>
        </w:r>
        <w:r w:rsidR="00AF3755">
          <w:rPr>
            <w:rFonts w:ascii="Times New Roman" w:hAnsi="Times New Roman"/>
            <w:noProof/>
            <w:sz w:val="24"/>
            <w:szCs w:val="24"/>
          </w:rPr>
          <w:t>1</w:t>
        </w:r>
        <w:r w:rsidRPr="002B2C77">
          <w:rPr>
            <w:rFonts w:ascii="Times New Roman" w:hAnsi="Times New Roman"/>
            <w:noProof/>
            <w:sz w:val="24"/>
            <w:szCs w:val="24"/>
          </w:rPr>
          <w:fldChar w:fldCharType="end"/>
        </w:r>
      </w:p>
    </w:sdtContent>
  </w:sdt>
  <w:p w:rsidR="00BB1345" w:rsidRDefault="00BB1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1E" w:rsidRDefault="00D9261E" w:rsidP="007334CD">
      <w:pPr>
        <w:spacing w:after="0" w:line="240" w:lineRule="auto"/>
      </w:pPr>
      <w:r>
        <w:separator/>
      </w:r>
    </w:p>
  </w:footnote>
  <w:footnote w:type="continuationSeparator" w:id="0">
    <w:p w:rsidR="00D9261E" w:rsidRDefault="00D9261E" w:rsidP="00733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8B468B16">
      <w:start w:val="1"/>
      <w:numFmt w:val="bullet"/>
      <w:lvlText w:val=""/>
      <w:lvlJc w:val="left"/>
      <w:pPr>
        <w:ind w:left="720" w:hanging="360"/>
      </w:pPr>
      <w:rPr>
        <w:rFonts w:ascii="Symbol" w:hAnsi="Symbol"/>
        <w:b w:val="0"/>
        <w:bCs w:val="0"/>
      </w:rPr>
    </w:lvl>
    <w:lvl w:ilvl="1" w:tplc="6A78108E">
      <w:start w:val="1"/>
      <w:numFmt w:val="bullet"/>
      <w:lvlText w:val="o"/>
      <w:lvlJc w:val="left"/>
      <w:pPr>
        <w:tabs>
          <w:tab w:val="num" w:pos="1440"/>
        </w:tabs>
        <w:ind w:left="1440" w:hanging="360"/>
      </w:pPr>
      <w:rPr>
        <w:rFonts w:ascii="Courier New" w:hAnsi="Courier New"/>
      </w:rPr>
    </w:lvl>
    <w:lvl w:ilvl="2" w:tplc="77CEB844">
      <w:start w:val="1"/>
      <w:numFmt w:val="bullet"/>
      <w:lvlText w:val=""/>
      <w:lvlJc w:val="left"/>
      <w:pPr>
        <w:tabs>
          <w:tab w:val="num" w:pos="2160"/>
        </w:tabs>
        <w:ind w:left="2160" w:hanging="360"/>
      </w:pPr>
      <w:rPr>
        <w:rFonts w:ascii="Wingdings" w:hAnsi="Wingdings"/>
      </w:rPr>
    </w:lvl>
    <w:lvl w:ilvl="3" w:tplc="AC220AAA">
      <w:start w:val="1"/>
      <w:numFmt w:val="bullet"/>
      <w:lvlText w:val=""/>
      <w:lvlJc w:val="left"/>
      <w:pPr>
        <w:tabs>
          <w:tab w:val="num" w:pos="2880"/>
        </w:tabs>
        <w:ind w:left="2880" w:hanging="360"/>
      </w:pPr>
      <w:rPr>
        <w:rFonts w:ascii="Symbol" w:hAnsi="Symbol"/>
      </w:rPr>
    </w:lvl>
    <w:lvl w:ilvl="4" w:tplc="6BF02E7A">
      <w:start w:val="1"/>
      <w:numFmt w:val="bullet"/>
      <w:lvlText w:val="o"/>
      <w:lvlJc w:val="left"/>
      <w:pPr>
        <w:tabs>
          <w:tab w:val="num" w:pos="3600"/>
        </w:tabs>
        <w:ind w:left="3600" w:hanging="360"/>
      </w:pPr>
      <w:rPr>
        <w:rFonts w:ascii="Courier New" w:hAnsi="Courier New"/>
      </w:rPr>
    </w:lvl>
    <w:lvl w:ilvl="5" w:tplc="7EF04824">
      <w:start w:val="1"/>
      <w:numFmt w:val="bullet"/>
      <w:lvlText w:val=""/>
      <w:lvlJc w:val="left"/>
      <w:pPr>
        <w:tabs>
          <w:tab w:val="num" w:pos="4320"/>
        </w:tabs>
        <w:ind w:left="4320" w:hanging="360"/>
      </w:pPr>
      <w:rPr>
        <w:rFonts w:ascii="Wingdings" w:hAnsi="Wingdings"/>
      </w:rPr>
    </w:lvl>
    <w:lvl w:ilvl="6" w:tplc="E2AEE91A">
      <w:start w:val="1"/>
      <w:numFmt w:val="bullet"/>
      <w:lvlText w:val=""/>
      <w:lvlJc w:val="left"/>
      <w:pPr>
        <w:tabs>
          <w:tab w:val="num" w:pos="5040"/>
        </w:tabs>
        <w:ind w:left="5040" w:hanging="360"/>
      </w:pPr>
      <w:rPr>
        <w:rFonts w:ascii="Symbol" w:hAnsi="Symbol"/>
      </w:rPr>
    </w:lvl>
    <w:lvl w:ilvl="7" w:tplc="2B30138E">
      <w:start w:val="1"/>
      <w:numFmt w:val="bullet"/>
      <w:lvlText w:val="o"/>
      <w:lvlJc w:val="left"/>
      <w:pPr>
        <w:tabs>
          <w:tab w:val="num" w:pos="5760"/>
        </w:tabs>
        <w:ind w:left="5760" w:hanging="360"/>
      </w:pPr>
      <w:rPr>
        <w:rFonts w:ascii="Courier New" w:hAnsi="Courier New"/>
      </w:rPr>
    </w:lvl>
    <w:lvl w:ilvl="8" w:tplc="B030C36A">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00000003"/>
    <w:lvl w:ilvl="0" w:tplc="A7A02438">
      <w:start w:val="1"/>
      <w:numFmt w:val="bullet"/>
      <w:lvlText w:val=""/>
      <w:lvlJc w:val="left"/>
      <w:pPr>
        <w:ind w:left="720" w:hanging="360"/>
      </w:pPr>
      <w:rPr>
        <w:rFonts w:ascii="Symbol" w:hAnsi="Symbol"/>
        <w:b w:val="0"/>
        <w:bCs w:val="0"/>
      </w:rPr>
    </w:lvl>
    <w:lvl w:ilvl="1" w:tplc="EB48E70A">
      <w:start w:val="1"/>
      <w:numFmt w:val="bullet"/>
      <w:lvlText w:val="o"/>
      <w:lvlJc w:val="left"/>
      <w:pPr>
        <w:tabs>
          <w:tab w:val="num" w:pos="1440"/>
        </w:tabs>
        <w:ind w:left="1440" w:hanging="360"/>
      </w:pPr>
      <w:rPr>
        <w:rFonts w:ascii="Courier New" w:hAnsi="Courier New"/>
      </w:rPr>
    </w:lvl>
    <w:lvl w:ilvl="2" w:tplc="08E6CCFC">
      <w:start w:val="1"/>
      <w:numFmt w:val="bullet"/>
      <w:lvlText w:val=""/>
      <w:lvlJc w:val="left"/>
      <w:pPr>
        <w:tabs>
          <w:tab w:val="num" w:pos="2160"/>
        </w:tabs>
        <w:ind w:left="2160" w:hanging="360"/>
      </w:pPr>
      <w:rPr>
        <w:rFonts w:ascii="Wingdings" w:hAnsi="Wingdings"/>
      </w:rPr>
    </w:lvl>
    <w:lvl w:ilvl="3" w:tplc="82CE94A0">
      <w:start w:val="1"/>
      <w:numFmt w:val="bullet"/>
      <w:lvlText w:val=""/>
      <w:lvlJc w:val="left"/>
      <w:pPr>
        <w:tabs>
          <w:tab w:val="num" w:pos="2880"/>
        </w:tabs>
        <w:ind w:left="2880" w:hanging="360"/>
      </w:pPr>
      <w:rPr>
        <w:rFonts w:ascii="Symbol" w:hAnsi="Symbol"/>
      </w:rPr>
    </w:lvl>
    <w:lvl w:ilvl="4" w:tplc="5900AEFA">
      <w:start w:val="1"/>
      <w:numFmt w:val="bullet"/>
      <w:lvlText w:val="o"/>
      <w:lvlJc w:val="left"/>
      <w:pPr>
        <w:tabs>
          <w:tab w:val="num" w:pos="3600"/>
        </w:tabs>
        <w:ind w:left="3600" w:hanging="360"/>
      </w:pPr>
      <w:rPr>
        <w:rFonts w:ascii="Courier New" w:hAnsi="Courier New"/>
      </w:rPr>
    </w:lvl>
    <w:lvl w:ilvl="5" w:tplc="219EEE74">
      <w:start w:val="1"/>
      <w:numFmt w:val="bullet"/>
      <w:lvlText w:val=""/>
      <w:lvlJc w:val="left"/>
      <w:pPr>
        <w:tabs>
          <w:tab w:val="num" w:pos="4320"/>
        </w:tabs>
        <w:ind w:left="4320" w:hanging="360"/>
      </w:pPr>
      <w:rPr>
        <w:rFonts w:ascii="Wingdings" w:hAnsi="Wingdings"/>
      </w:rPr>
    </w:lvl>
    <w:lvl w:ilvl="6" w:tplc="860853A6">
      <w:start w:val="1"/>
      <w:numFmt w:val="bullet"/>
      <w:lvlText w:val=""/>
      <w:lvlJc w:val="left"/>
      <w:pPr>
        <w:tabs>
          <w:tab w:val="num" w:pos="5040"/>
        </w:tabs>
        <w:ind w:left="5040" w:hanging="360"/>
      </w:pPr>
      <w:rPr>
        <w:rFonts w:ascii="Symbol" w:hAnsi="Symbol"/>
      </w:rPr>
    </w:lvl>
    <w:lvl w:ilvl="7" w:tplc="7230316C">
      <w:start w:val="1"/>
      <w:numFmt w:val="bullet"/>
      <w:lvlText w:val="o"/>
      <w:lvlJc w:val="left"/>
      <w:pPr>
        <w:tabs>
          <w:tab w:val="num" w:pos="5760"/>
        </w:tabs>
        <w:ind w:left="5760" w:hanging="360"/>
      </w:pPr>
      <w:rPr>
        <w:rFonts w:ascii="Courier New" w:hAnsi="Courier New"/>
      </w:rPr>
    </w:lvl>
    <w:lvl w:ilvl="8" w:tplc="4604795C">
      <w:start w:val="1"/>
      <w:numFmt w:val="bullet"/>
      <w:lvlText w:val=""/>
      <w:lvlJc w:val="left"/>
      <w:pPr>
        <w:tabs>
          <w:tab w:val="num" w:pos="6480"/>
        </w:tabs>
        <w:ind w:left="6480" w:hanging="360"/>
      </w:pPr>
      <w:rPr>
        <w:rFonts w:ascii="Wingdings" w:hAnsi="Wingdings"/>
      </w:rPr>
    </w:lvl>
  </w:abstractNum>
  <w:abstractNum w:abstractNumId="2">
    <w:nsid w:val="00000004"/>
    <w:multiLevelType w:val="hybridMultilevel"/>
    <w:tmpl w:val="00000004"/>
    <w:lvl w:ilvl="0" w:tplc="F9C6EBC0">
      <w:start w:val="1"/>
      <w:numFmt w:val="bullet"/>
      <w:lvlText w:val=""/>
      <w:lvlJc w:val="left"/>
      <w:pPr>
        <w:ind w:left="720" w:hanging="360"/>
      </w:pPr>
      <w:rPr>
        <w:rFonts w:ascii="Symbol" w:hAnsi="Symbol"/>
        <w:b w:val="0"/>
        <w:bCs w:val="0"/>
      </w:rPr>
    </w:lvl>
    <w:lvl w:ilvl="1" w:tplc="EB12AD0E">
      <w:start w:val="1"/>
      <w:numFmt w:val="bullet"/>
      <w:lvlText w:val="o"/>
      <w:lvlJc w:val="left"/>
      <w:pPr>
        <w:tabs>
          <w:tab w:val="num" w:pos="1440"/>
        </w:tabs>
        <w:ind w:left="1440" w:hanging="360"/>
      </w:pPr>
      <w:rPr>
        <w:rFonts w:ascii="Courier New" w:hAnsi="Courier New"/>
      </w:rPr>
    </w:lvl>
    <w:lvl w:ilvl="2" w:tplc="71B22E3C">
      <w:start w:val="1"/>
      <w:numFmt w:val="bullet"/>
      <w:lvlText w:val=""/>
      <w:lvlJc w:val="left"/>
      <w:pPr>
        <w:tabs>
          <w:tab w:val="num" w:pos="2160"/>
        </w:tabs>
        <w:ind w:left="2160" w:hanging="360"/>
      </w:pPr>
      <w:rPr>
        <w:rFonts w:ascii="Wingdings" w:hAnsi="Wingdings"/>
      </w:rPr>
    </w:lvl>
    <w:lvl w:ilvl="3" w:tplc="28A0CCCC">
      <w:start w:val="1"/>
      <w:numFmt w:val="bullet"/>
      <w:lvlText w:val=""/>
      <w:lvlJc w:val="left"/>
      <w:pPr>
        <w:tabs>
          <w:tab w:val="num" w:pos="2880"/>
        </w:tabs>
        <w:ind w:left="2880" w:hanging="360"/>
      </w:pPr>
      <w:rPr>
        <w:rFonts w:ascii="Symbol" w:hAnsi="Symbol"/>
      </w:rPr>
    </w:lvl>
    <w:lvl w:ilvl="4" w:tplc="4E5C800C">
      <w:start w:val="1"/>
      <w:numFmt w:val="bullet"/>
      <w:lvlText w:val="o"/>
      <w:lvlJc w:val="left"/>
      <w:pPr>
        <w:tabs>
          <w:tab w:val="num" w:pos="3600"/>
        </w:tabs>
        <w:ind w:left="3600" w:hanging="360"/>
      </w:pPr>
      <w:rPr>
        <w:rFonts w:ascii="Courier New" w:hAnsi="Courier New"/>
      </w:rPr>
    </w:lvl>
    <w:lvl w:ilvl="5" w:tplc="AD422772">
      <w:start w:val="1"/>
      <w:numFmt w:val="bullet"/>
      <w:lvlText w:val=""/>
      <w:lvlJc w:val="left"/>
      <w:pPr>
        <w:tabs>
          <w:tab w:val="num" w:pos="4320"/>
        </w:tabs>
        <w:ind w:left="4320" w:hanging="360"/>
      </w:pPr>
      <w:rPr>
        <w:rFonts w:ascii="Wingdings" w:hAnsi="Wingdings"/>
      </w:rPr>
    </w:lvl>
    <w:lvl w:ilvl="6" w:tplc="84820B16">
      <w:start w:val="1"/>
      <w:numFmt w:val="bullet"/>
      <w:lvlText w:val=""/>
      <w:lvlJc w:val="left"/>
      <w:pPr>
        <w:tabs>
          <w:tab w:val="num" w:pos="5040"/>
        </w:tabs>
        <w:ind w:left="5040" w:hanging="360"/>
      </w:pPr>
      <w:rPr>
        <w:rFonts w:ascii="Symbol" w:hAnsi="Symbol"/>
      </w:rPr>
    </w:lvl>
    <w:lvl w:ilvl="7" w:tplc="AC84FA50">
      <w:start w:val="1"/>
      <w:numFmt w:val="bullet"/>
      <w:lvlText w:val="o"/>
      <w:lvlJc w:val="left"/>
      <w:pPr>
        <w:tabs>
          <w:tab w:val="num" w:pos="5760"/>
        </w:tabs>
        <w:ind w:left="5760" w:hanging="360"/>
      </w:pPr>
      <w:rPr>
        <w:rFonts w:ascii="Courier New" w:hAnsi="Courier New"/>
      </w:rPr>
    </w:lvl>
    <w:lvl w:ilvl="8" w:tplc="969458E4">
      <w:start w:val="1"/>
      <w:numFmt w:val="bullet"/>
      <w:lvlText w:val=""/>
      <w:lvlJc w:val="left"/>
      <w:pPr>
        <w:tabs>
          <w:tab w:val="num" w:pos="6480"/>
        </w:tabs>
        <w:ind w:left="6480" w:hanging="360"/>
      </w:pPr>
      <w:rPr>
        <w:rFonts w:ascii="Wingdings" w:hAnsi="Wingdings"/>
      </w:rPr>
    </w:lvl>
  </w:abstractNum>
  <w:abstractNum w:abstractNumId="3">
    <w:nsid w:val="00000005"/>
    <w:multiLevelType w:val="hybridMultilevel"/>
    <w:tmpl w:val="00000005"/>
    <w:lvl w:ilvl="0" w:tplc="0C4CFCBE">
      <w:start w:val="1"/>
      <w:numFmt w:val="bullet"/>
      <w:lvlText w:val=""/>
      <w:lvlJc w:val="left"/>
      <w:pPr>
        <w:ind w:left="720" w:hanging="360"/>
      </w:pPr>
      <w:rPr>
        <w:rFonts w:ascii="Symbol" w:hAnsi="Symbol"/>
        <w:b w:val="0"/>
        <w:bCs w:val="0"/>
      </w:rPr>
    </w:lvl>
    <w:lvl w:ilvl="1" w:tplc="CFD0E12A">
      <w:start w:val="1"/>
      <w:numFmt w:val="bullet"/>
      <w:lvlText w:val="o"/>
      <w:lvlJc w:val="left"/>
      <w:pPr>
        <w:tabs>
          <w:tab w:val="num" w:pos="1440"/>
        </w:tabs>
        <w:ind w:left="1440" w:hanging="360"/>
      </w:pPr>
      <w:rPr>
        <w:rFonts w:ascii="Courier New" w:hAnsi="Courier New"/>
      </w:rPr>
    </w:lvl>
    <w:lvl w:ilvl="2" w:tplc="8B06D05E">
      <w:start w:val="1"/>
      <w:numFmt w:val="bullet"/>
      <w:lvlText w:val=""/>
      <w:lvlJc w:val="left"/>
      <w:pPr>
        <w:tabs>
          <w:tab w:val="num" w:pos="2160"/>
        </w:tabs>
        <w:ind w:left="2160" w:hanging="360"/>
      </w:pPr>
      <w:rPr>
        <w:rFonts w:ascii="Wingdings" w:hAnsi="Wingdings"/>
      </w:rPr>
    </w:lvl>
    <w:lvl w:ilvl="3" w:tplc="571C602A">
      <w:start w:val="1"/>
      <w:numFmt w:val="bullet"/>
      <w:lvlText w:val=""/>
      <w:lvlJc w:val="left"/>
      <w:pPr>
        <w:tabs>
          <w:tab w:val="num" w:pos="2880"/>
        </w:tabs>
        <w:ind w:left="2880" w:hanging="360"/>
      </w:pPr>
      <w:rPr>
        <w:rFonts w:ascii="Symbol" w:hAnsi="Symbol"/>
      </w:rPr>
    </w:lvl>
    <w:lvl w:ilvl="4" w:tplc="92E83750">
      <w:start w:val="1"/>
      <w:numFmt w:val="bullet"/>
      <w:lvlText w:val="o"/>
      <w:lvlJc w:val="left"/>
      <w:pPr>
        <w:tabs>
          <w:tab w:val="num" w:pos="3600"/>
        </w:tabs>
        <w:ind w:left="3600" w:hanging="360"/>
      </w:pPr>
      <w:rPr>
        <w:rFonts w:ascii="Courier New" w:hAnsi="Courier New"/>
      </w:rPr>
    </w:lvl>
    <w:lvl w:ilvl="5" w:tplc="81005EBC">
      <w:start w:val="1"/>
      <w:numFmt w:val="bullet"/>
      <w:lvlText w:val=""/>
      <w:lvlJc w:val="left"/>
      <w:pPr>
        <w:tabs>
          <w:tab w:val="num" w:pos="4320"/>
        </w:tabs>
        <w:ind w:left="4320" w:hanging="360"/>
      </w:pPr>
      <w:rPr>
        <w:rFonts w:ascii="Wingdings" w:hAnsi="Wingdings"/>
      </w:rPr>
    </w:lvl>
    <w:lvl w:ilvl="6" w:tplc="C6624F0A">
      <w:start w:val="1"/>
      <w:numFmt w:val="bullet"/>
      <w:lvlText w:val=""/>
      <w:lvlJc w:val="left"/>
      <w:pPr>
        <w:tabs>
          <w:tab w:val="num" w:pos="5040"/>
        </w:tabs>
        <w:ind w:left="5040" w:hanging="360"/>
      </w:pPr>
      <w:rPr>
        <w:rFonts w:ascii="Symbol" w:hAnsi="Symbol"/>
      </w:rPr>
    </w:lvl>
    <w:lvl w:ilvl="7" w:tplc="C23852B8">
      <w:start w:val="1"/>
      <w:numFmt w:val="bullet"/>
      <w:lvlText w:val="o"/>
      <w:lvlJc w:val="left"/>
      <w:pPr>
        <w:tabs>
          <w:tab w:val="num" w:pos="5760"/>
        </w:tabs>
        <w:ind w:left="5760" w:hanging="360"/>
      </w:pPr>
      <w:rPr>
        <w:rFonts w:ascii="Courier New" w:hAnsi="Courier New"/>
      </w:rPr>
    </w:lvl>
    <w:lvl w:ilvl="8" w:tplc="CF48ADC2">
      <w:start w:val="1"/>
      <w:numFmt w:val="bullet"/>
      <w:lvlText w:val=""/>
      <w:lvlJc w:val="left"/>
      <w:pPr>
        <w:tabs>
          <w:tab w:val="num" w:pos="6480"/>
        </w:tabs>
        <w:ind w:left="6480" w:hanging="360"/>
      </w:pPr>
      <w:rPr>
        <w:rFonts w:ascii="Wingdings" w:hAnsi="Wingdings"/>
      </w:rPr>
    </w:lvl>
  </w:abstractNum>
  <w:abstractNum w:abstractNumId="4">
    <w:nsid w:val="00000006"/>
    <w:multiLevelType w:val="hybridMultilevel"/>
    <w:tmpl w:val="00000006"/>
    <w:lvl w:ilvl="0" w:tplc="41886104">
      <w:start w:val="1"/>
      <w:numFmt w:val="bullet"/>
      <w:lvlText w:val=""/>
      <w:lvlJc w:val="left"/>
      <w:pPr>
        <w:ind w:left="720" w:hanging="360"/>
      </w:pPr>
      <w:rPr>
        <w:rFonts w:ascii="Symbol" w:hAnsi="Symbol"/>
        <w:b w:val="0"/>
        <w:bCs w:val="0"/>
      </w:rPr>
    </w:lvl>
    <w:lvl w:ilvl="1" w:tplc="45B0FA0E">
      <w:start w:val="1"/>
      <w:numFmt w:val="bullet"/>
      <w:lvlText w:val="o"/>
      <w:lvlJc w:val="left"/>
      <w:pPr>
        <w:tabs>
          <w:tab w:val="num" w:pos="1440"/>
        </w:tabs>
        <w:ind w:left="1440" w:hanging="360"/>
      </w:pPr>
      <w:rPr>
        <w:rFonts w:ascii="Courier New" w:hAnsi="Courier New"/>
      </w:rPr>
    </w:lvl>
    <w:lvl w:ilvl="2" w:tplc="B4361B86">
      <w:start w:val="1"/>
      <w:numFmt w:val="bullet"/>
      <w:lvlText w:val=""/>
      <w:lvlJc w:val="left"/>
      <w:pPr>
        <w:tabs>
          <w:tab w:val="num" w:pos="2160"/>
        </w:tabs>
        <w:ind w:left="2160" w:hanging="360"/>
      </w:pPr>
      <w:rPr>
        <w:rFonts w:ascii="Wingdings" w:hAnsi="Wingdings"/>
      </w:rPr>
    </w:lvl>
    <w:lvl w:ilvl="3" w:tplc="5B2C28D2">
      <w:start w:val="1"/>
      <w:numFmt w:val="bullet"/>
      <w:lvlText w:val=""/>
      <w:lvlJc w:val="left"/>
      <w:pPr>
        <w:tabs>
          <w:tab w:val="num" w:pos="2880"/>
        </w:tabs>
        <w:ind w:left="2880" w:hanging="360"/>
      </w:pPr>
      <w:rPr>
        <w:rFonts w:ascii="Symbol" w:hAnsi="Symbol"/>
      </w:rPr>
    </w:lvl>
    <w:lvl w:ilvl="4" w:tplc="7F86B448">
      <w:start w:val="1"/>
      <w:numFmt w:val="bullet"/>
      <w:lvlText w:val="o"/>
      <w:lvlJc w:val="left"/>
      <w:pPr>
        <w:tabs>
          <w:tab w:val="num" w:pos="3600"/>
        </w:tabs>
        <w:ind w:left="3600" w:hanging="360"/>
      </w:pPr>
      <w:rPr>
        <w:rFonts w:ascii="Courier New" w:hAnsi="Courier New"/>
      </w:rPr>
    </w:lvl>
    <w:lvl w:ilvl="5" w:tplc="CC9050A4">
      <w:start w:val="1"/>
      <w:numFmt w:val="bullet"/>
      <w:lvlText w:val=""/>
      <w:lvlJc w:val="left"/>
      <w:pPr>
        <w:tabs>
          <w:tab w:val="num" w:pos="4320"/>
        </w:tabs>
        <w:ind w:left="4320" w:hanging="360"/>
      </w:pPr>
      <w:rPr>
        <w:rFonts w:ascii="Wingdings" w:hAnsi="Wingdings"/>
      </w:rPr>
    </w:lvl>
    <w:lvl w:ilvl="6" w:tplc="068A383C">
      <w:start w:val="1"/>
      <w:numFmt w:val="bullet"/>
      <w:lvlText w:val=""/>
      <w:lvlJc w:val="left"/>
      <w:pPr>
        <w:tabs>
          <w:tab w:val="num" w:pos="5040"/>
        </w:tabs>
        <w:ind w:left="5040" w:hanging="360"/>
      </w:pPr>
      <w:rPr>
        <w:rFonts w:ascii="Symbol" w:hAnsi="Symbol"/>
      </w:rPr>
    </w:lvl>
    <w:lvl w:ilvl="7" w:tplc="D624DBB4">
      <w:start w:val="1"/>
      <w:numFmt w:val="bullet"/>
      <w:lvlText w:val="o"/>
      <w:lvlJc w:val="left"/>
      <w:pPr>
        <w:tabs>
          <w:tab w:val="num" w:pos="5760"/>
        </w:tabs>
        <w:ind w:left="5760" w:hanging="360"/>
      </w:pPr>
      <w:rPr>
        <w:rFonts w:ascii="Courier New" w:hAnsi="Courier New"/>
      </w:rPr>
    </w:lvl>
    <w:lvl w:ilvl="8" w:tplc="1F00A822">
      <w:start w:val="1"/>
      <w:numFmt w:val="bullet"/>
      <w:lvlText w:val=""/>
      <w:lvlJc w:val="left"/>
      <w:pPr>
        <w:tabs>
          <w:tab w:val="num" w:pos="6480"/>
        </w:tabs>
        <w:ind w:left="6480" w:hanging="360"/>
      </w:pPr>
      <w:rPr>
        <w:rFonts w:ascii="Wingdings" w:hAnsi="Wingdings"/>
      </w:rPr>
    </w:lvl>
  </w:abstractNum>
  <w:abstractNum w:abstractNumId="5">
    <w:nsid w:val="00000007"/>
    <w:multiLevelType w:val="hybridMultilevel"/>
    <w:tmpl w:val="00000007"/>
    <w:lvl w:ilvl="0" w:tplc="8BD28058">
      <w:start w:val="1"/>
      <w:numFmt w:val="bullet"/>
      <w:lvlText w:val=""/>
      <w:lvlJc w:val="left"/>
      <w:pPr>
        <w:ind w:left="720" w:hanging="360"/>
      </w:pPr>
      <w:rPr>
        <w:rFonts w:ascii="Symbol" w:hAnsi="Symbol"/>
        <w:b w:val="0"/>
        <w:bCs w:val="0"/>
      </w:rPr>
    </w:lvl>
    <w:lvl w:ilvl="1" w:tplc="482ABF70">
      <w:start w:val="1"/>
      <w:numFmt w:val="bullet"/>
      <w:lvlText w:val="o"/>
      <w:lvlJc w:val="left"/>
      <w:pPr>
        <w:tabs>
          <w:tab w:val="num" w:pos="1440"/>
        </w:tabs>
        <w:ind w:left="1440" w:hanging="360"/>
      </w:pPr>
      <w:rPr>
        <w:rFonts w:ascii="Courier New" w:hAnsi="Courier New"/>
      </w:rPr>
    </w:lvl>
    <w:lvl w:ilvl="2" w:tplc="DFE6193C">
      <w:start w:val="1"/>
      <w:numFmt w:val="bullet"/>
      <w:lvlText w:val=""/>
      <w:lvlJc w:val="left"/>
      <w:pPr>
        <w:tabs>
          <w:tab w:val="num" w:pos="2160"/>
        </w:tabs>
        <w:ind w:left="2160" w:hanging="360"/>
      </w:pPr>
      <w:rPr>
        <w:rFonts w:ascii="Wingdings" w:hAnsi="Wingdings"/>
      </w:rPr>
    </w:lvl>
    <w:lvl w:ilvl="3" w:tplc="5204F844">
      <w:start w:val="1"/>
      <w:numFmt w:val="bullet"/>
      <w:lvlText w:val=""/>
      <w:lvlJc w:val="left"/>
      <w:pPr>
        <w:tabs>
          <w:tab w:val="num" w:pos="2880"/>
        </w:tabs>
        <w:ind w:left="2880" w:hanging="360"/>
      </w:pPr>
      <w:rPr>
        <w:rFonts w:ascii="Symbol" w:hAnsi="Symbol"/>
      </w:rPr>
    </w:lvl>
    <w:lvl w:ilvl="4" w:tplc="04BAAECC">
      <w:start w:val="1"/>
      <w:numFmt w:val="bullet"/>
      <w:lvlText w:val="o"/>
      <w:lvlJc w:val="left"/>
      <w:pPr>
        <w:tabs>
          <w:tab w:val="num" w:pos="3600"/>
        </w:tabs>
        <w:ind w:left="3600" w:hanging="360"/>
      </w:pPr>
      <w:rPr>
        <w:rFonts w:ascii="Courier New" w:hAnsi="Courier New"/>
      </w:rPr>
    </w:lvl>
    <w:lvl w:ilvl="5" w:tplc="4C2C9E32">
      <w:start w:val="1"/>
      <w:numFmt w:val="bullet"/>
      <w:lvlText w:val=""/>
      <w:lvlJc w:val="left"/>
      <w:pPr>
        <w:tabs>
          <w:tab w:val="num" w:pos="4320"/>
        </w:tabs>
        <w:ind w:left="4320" w:hanging="360"/>
      </w:pPr>
      <w:rPr>
        <w:rFonts w:ascii="Wingdings" w:hAnsi="Wingdings"/>
      </w:rPr>
    </w:lvl>
    <w:lvl w:ilvl="6" w:tplc="762E5B1C">
      <w:start w:val="1"/>
      <w:numFmt w:val="bullet"/>
      <w:lvlText w:val=""/>
      <w:lvlJc w:val="left"/>
      <w:pPr>
        <w:tabs>
          <w:tab w:val="num" w:pos="5040"/>
        </w:tabs>
        <w:ind w:left="5040" w:hanging="360"/>
      </w:pPr>
      <w:rPr>
        <w:rFonts w:ascii="Symbol" w:hAnsi="Symbol"/>
      </w:rPr>
    </w:lvl>
    <w:lvl w:ilvl="7" w:tplc="DC462538">
      <w:start w:val="1"/>
      <w:numFmt w:val="bullet"/>
      <w:lvlText w:val="o"/>
      <w:lvlJc w:val="left"/>
      <w:pPr>
        <w:tabs>
          <w:tab w:val="num" w:pos="5760"/>
        </w:tabs>
        <w:ind w:left="5760" w:hanging="360"/>
      </w:pPr>
      <w:rPr>
        <w:rFonts w:ascii="Courier New" w:hAnsi="Courier New"/>
      </w:rPr>
    </w:lvl>
    <w:lvl w:ilvl="8" w:tplc="536810A2">
      <w:start w:val="1"/>
      <w:numFmt w:val="bullet"/>
      <w:lvlText w:val=""/>
      <w:lvlJc w:val="left"/>
      <w:pPr>
        <w:tabs>
          <w:tab w:val="num" w:pos="6480"/>
        </w:tabs>
        <w:ind w:left="6480" w:hanging="360"/>
      </w:pPr>
      <w:rPr>
        <w:rFonts w:ascii="Wingdings" w:hAnsi="Wingdings"/>
      </w:rPr>
    </w:lvl>
  </w:abstractNum>
  <w:abstractNum w:abstractNumId="6">
    <w:nsid w:val="00000008"/>
    <w:multiLevelType w:val="hybridMultilevel"/>
    <w:tmpl w:val="00000008"/>
    <w:lvl w:ilvl="0" w:tplc="176E2748">
      <w:start w:val="1"/>
      <w:numFmt w:val="bullet"/>
      <w:lvlText w:val=""/>
      <w:lvlJc w:val="left"/>
      <w:pPr>
        <w:ind w:left="720" w:hanging="360"/>
      </w:pPr>
      <w:rPr>
        <w:rFonts w:ascii="Symbol" w:hAnsi="Symbol"/>
        <w:b w:val="0"/>
        <w:bCs w:val="0"/>
      </w:rPr>
    </w:lvl>
    <w:lvl w:ilvl="1" w:tplc="5E6E09A6">
      <w:start w:val="1"/>
      <w:numFmt w:val="bullet"/>
      <w:lvlText w:val="o"/>
      <w:lvlJc w:val="left"/>
      <w:pPr>
        <w:tabs>
          <w:tab w:val="num" w:pos="1440"/>
        </w:tabs>
        <w:ind w:left="1440" w:hanging="360"/>
      </w:pPr>
      <w:rPr>
        <w:rFonts w:ascii="Courier New" w:hAnsi="Courier New"/>
      </w:rPr>
    </w:lvl>
    <w:lvl w:ilvl="2" w:tplc="A66E6C10">
      <w:start w:val="1"/>
      <w:numFmt w:val="bullet"/>
      <w:lvlText w:val=""/>
      <w:lvlJc w:val="left"/>
      <w:pPr>
        <w:tabs>
          <w:tab w:val="num" w:pos="2160"/>
        </w:tabs>
        <w:ind w:left="2160" w:hanging="360"/>
      </w:pPr>
      <w:rPr>
        <w:rFonts w:ascii="Wingdings" w:hAnsi="Wingdings"/>
      </w:rPr>
    </w:lvl>
    <w:lvl w:ilvl="3" w:tplc="20D049AC">
      <w:start w:val="1"/>
      <w:numFmt w:val="bullet"/>
      <w:lvlText w:val=""/>
      <w:lvlJc w:val="left"/>
      <w:pPr>
        <w:tabs>
          <w:tab w:val="num" w:pos="2880"/>
        </w:tabs>
        <w:ind w:left="2880" w:hanging="360"/>
      </w:pPr>
      <w:rPr>
        <w:rFonts w:ascii="Symbol" w:hAnsi="Symbol"/>
      </w:rPr>
    </w:lvl>
    <w:lvl w:ilvl="4" w:tplc="CCD0E122">
      <w:start w:val="1"/>
      <w:numFmt w:val="bullet"/>
      <w:lvlText w:val="o"/>
      <w:lvlJc w:val="left"/>
      <w:pPr>
        <w:tabs>
          <w:tab w:val="num" w:pos="3600"/>
        </w:tabs>
        <w:ind w:left="3600" w:hanging="360"/>
      </w:pPr>
      <w:rPr>
        <w:rFonts w:ascii="Courier New" w:hAnsi="Courier New"/>
      </w:rPr>
    </w:lvl>
    <w:lvl w:ilvl="5" w:tplc="92F40F72">
      <w:start w:val="1"/>
      <w:numFmt w:val="bullet"/>
      <w:lvlText w:val=""/>
      <w:lvlJc w:val="left"/>
      <w:pPr>
        <w:tabs>
          <w:tab w:val="num" w:pos="4320"/>
        </w:tabs>
        <w:ind w:left="4320" w:hanging="360"/>
      </w:pPr>
      <w:rPr>
        <w:rFonts w:ascii="Wingdings" w:hAnsi="Wingdings"/>
      </w:rPr>
    </w:lvl>
    <w:lvl w:ilvl="6" w:tplc="D4BE2812">
      <w:start w:val="1"/>
      <w:numFmt w:val="bullet"/>
      <w:lvlText w:val=""/>
      <w:lvlJc w:val="left"/>
      <w:pPr>
        <w:tabs>
          <w:tab w:val="num" w:pos="5040"/>
        </w:tabs>
        <w:ind w:left="5040" w:hanging="360"/>
      </w:pPr>
      <w:rPr>
        <w:rFonts w:ascii="Symbol" w:hAnsi="Symbol"/>
      </w:rPr>
    </w:lvl>
    <w:lvl w:ilvl="7" w:tplc="8F5A18B8">
      <w:start w:val="1"/>
      <w:numFmt w:val="bullet"/>
      <w:lvlText w:val="o"/>
      <w:lvlJc w:val="left"/>
      <w:pPr>
        <w:tabs>
          <w:tab w:val="num" w:pos="5760"/>
        </w:tabs>
        <w:ind w:left="5760" w:hanging="360"/>
      </w:pPr>
      <w:rPr>
        <w:rFonts w:ascii="Courier New" w:hAnsi="Courier New"/>
      </w:rPr>
    </w:lvl>
    <w:lvl w:ilvl="8" w:tplc="BBA09DEE">
      <w:start w:val="1"/>
      <w:numFmt w:val="bullet"/>
      <w:lvlText w:val=""/>
      <w:lvlJc w:val="left"/>
      <w:pPr>
        <w:tabs>
          <w:tab w:val="num" w:pos="6480"/>
        </w:tabs>
        <w:ind w:left="6480" w:hanging="360"/>
      </w:pPr>
      <w:rPr>
        <w:rFonts w:ascii="Wingdings" w:hAnsi="Wingdings"/>
      </w:rPr>
    </w:lvl>
  </w:abstractNum>
  <w:abstractNum w:abstractNumId="7">
    <w:nsid w:val="00000009"/>
    <w:multiLevelType w:val="hybridMultilevel"/>
    <w:tmpl w:val="00000009"/>
    <w:lvl w:ilvl="0" w:tplc="2FCADB08">
      <w:start w:val="1"/>
      <w:numFmt w:val="bullet"/>
      <w:lvlText w:val=""/>
      <w:lvlJc w:val="left"/>
      <w:pPr>
        <w:ind w:left="720" w:hanging="360"/>
      </w:pPr>
      <w:rPr>
        <w:rFonts w:ascii="Symbol" w:hAnsi="Symbol"/>
        <w:b w:val="0"/>
        <w:bCs w:val="0"/>
      </w:rPr>
    </w:lvl>
    <w:lvl w:ilvl="1" w:tplc="6F7C4DF2">
      <w:start w:val="1"/>
      <w:numFmt w:val="bullet"/>
      <w:lvlText w:val="o"/>
      <w:lvlJc w:val="left"/>
      <w:pPr>
        <w:tabs>
          <w:tab w:val="num" w:pos="1440"/>
        </w:tabs>
        <w:ind w:left="1440" w:hanging="360"/>
      </w:pPr>
      <w:rPr>
        <w:rFonts w:ascii="Courier New" w:hAnsi="Courier New"/>
      </w:rPr>
    </w:lvl>
    <w:lvl w:ilvl="2" w:tplc="9AA8CE78">
      <w:start w:val="1"/>
      <w:numFmt w:val="bullet"/>
      <w:lvlText w:val=""/>
      <w:lvlJc w:val="left"/>
      <w:pPr>
        <w:tabs>
          <w:tab w:val="num" w:pos="2160"/>
        </w:tabs>
        <w:ind w:left="2160" w:hanging="360"/>
      </w:pPr>
      <w:rPr>
        <w:rFonts w:ascii="Wingdings" w:hAnsi="Wingdings"/>
      </w:rPr>
    </w:lvl>
    <w:lvl w:ilvl="3" w:tplc="6C0A4BAA">
      <w:start w:val="1"/>
      <w:numFmt w:val="bullet"/>
      <w:lvlText w:val=""/>
      <w:lvlJc w:val="left"/>
      <w:pPr>
        <w:tabs>
          <w:tab w:val="num" w:pos="2880"/>
        </w:tabs>
        <w:ind w:left="2880" w:hanging="360"/>
      </w:pPr>
      <w:rPr>
        <w:rFonts w:ascii="Symbol" w:hAnsi="Symbol"/>
      </w:rPr>
    </w:lvl>
    <w:lvl w:ilvl="4" w:tplc="2AC63D92">
      <w:start w:val="1"/>
      <w:numFmt w:val="bullet"/>
      <w:lvlText w:val="o"/>
      <w:lvlJc w:val="left"/>
      <w:pPr>
        <w:tabs>
          <w:tab w:val="num" w:pos="3600"/>
        </w:tabs>
        <w:ind w:left="3600" w:hanging="360"/>
      </w:pPr>
      <w:rPr>
        <w:rFonts w:ascii="Courier New" w:hAnsi="Courier New"/>
      </w:rPr>
    </w:lvl>
    <w:lvl w:ilvl="5" w:tplc="8D406DE0">
      <w:start w:val="1"/>
      <w:numFmt w:val="bullet"/>
      <w:lvlText w:val=""/>
      <w:lvlJc w:val="left"/>
      <w:pPr>
        <w:tabs>
          <w:tab w:val="num" w:pos="4320"/>
        </w:tabs>
        <w:ind w:left="4320" w:hanging="360"/>
      </w:pPr>
      <w:rPr>
        <w:rFonts w:ascii="Wingdings" w:hAnsi="Wingdings"/>
      </w:rPr>
    </w:lvl>
    <w:lvl w:ilvl="6" w:tplc="B3BA6F3A">
      <w:start w:val="1"/>
      <w:numFmt w:val="bullet"/>
      <w:lvlText w:val=""/>
      <w:lvlJc w:val="left"/>
      <w:pPr>
        <w:tabs>
          <w:tab w:val="num" w:pos="5040"/>
        </w:tabs>
        <w:ind w:left="5040" w:hanging="360"/>
      </w:pPr>
      <w:rPr>
        <w:rFonts w:ascii="Symbol" w:hAnsi="Symbol"/>
      </w:rPr>
    </w:lvl>
    <w:lvl w:ilvl="7" w:tplc="6DEC81B2">
      <w:start w:val="1"/>
      <w:numFmt w:val="bullet"/>
      <w:lvlText w:val="o"/>
      <w:lvlJc w:val="left"/>
      <w:pPr>
        <w:tabs>
          <w:tab w:val="num" w:pos="5760"/>
        </w:tabs>
        <w:ind w:left="5760" w:hanging="360"/>
      </w:pPr>
      <w:rPr>
        <w:rFonts w:ascii="Courier New" w:hAnsi="Courier New"/>
      </w:rPr>
    </w:lvl>
    <w:lvl w:ilvl="8" w:tplc="ECB478B4">
      <w:start w:val="1"/>
      <w:numFmt w:val="bullet"/>
      <w:lvlText w:val=""/>
      <w:lvlJc w:val="left"/>
      <w:pPr>
        <w:tabs>
          <w:tab w:val="num" w:pos="6480"/>
        </w:tabs>
        <w:ind w:left="6480" w:hanging="360"/>
      </w:pPr>
      <w:rPr>
        <w:rFonts w:ascii="Wingdings" w:hAnsi="Wingdings"/>
      </w:rPr>
    </w:lvl>
  </w:abstractNum>
  <w:abstractNum w:abstractNumId="8">
    <w:nsid w:val="0000000A"/>
    <w:multiLevelType w:val="hybridMultilevel"/>
    <w:tmpl w:val="0000000A"/>
    <w:lvl w:ilvl="0" w:tplc="E1E0F3D2">
      <w:start w:val="1"/>
      <w:numFmt w:val="bullet"/>
      <w:lvlText w:val=""/>
      <w:lvlJc w:val="left"/>
      <w:pPr>
        <w:ind w:left="720" w:hanging="360"/>
      </w:pPr>
      <w:rPr>
        <w:rFonts w:ascii="Symbol" w:hAnsi="Symbol"/>
        <w:b w:val="0"/>
        <w:bCs w:val="0"/>
      </w:rPr>
    </w:lvl>
    <w:lvl w:ilvl="1" w:tplc="7AB882CE">
      <w:start w:val="1"/>
      <w:numFmt w:val="bullet"/>
      <w:lvlText w:val="o"/>
      <w:lvlJc w:val="left"/>
      <w:pPr>
        <w:tabs>
          <w:tab w:val="num" w:pos="1440"/>
        </w:tabs>
        <w:ind w:left="1440" w:hanging="360"/>
      </w:pPr>
      <w:rPr>
        <w:rFonts w:ascii="Courier New" w:hAnsi="Courier New"/>
      </w:rPr>
    </w:lvl>
    <w:lvl w:ilvl="2" w:tplc="971A252C">
      <w:start w:val="1"/>
      <w:numFmt w:val="bullet"/>
      <w:lvlText w:val=""/>
      <w:lvlJc w:val="left"/>
      <w:pPr>
        <w:tabs>
          <w:tab w:val="num" w:pos="2160"/>
        </w:tabs>
        <w:ind w:left="2160" w:hanging="360"/>
      </w:pPr>
      <w:rPr>
        <w:rFonts w:ascii="Wingdings" w:hAnsi="Wingdings"/>
      </w:rPr>
    </w:lvl>
    <w:lvl w:ilvl="3" w:tplc="4C269D22">
      <w:start w:val="1"/>
      <w:numFmt w:val="bullet"/>
      <w:lvlText w:val=""/>
      <w:lvlJc w:val="left"/>
      <w:pPr>
        <w:tabs>
          <w:tab w:val="num" w:pos="2880"/>
        </w:tabs>
        <w:ind w:left="2880" w:hanging="360"/>
      </w:pPr>
      <w:rPr>
        <w:rFonts w:ascii="Symbol" w:hAnsi="Symbol"/>
      </w:rPr>
    </w:lvl>
    <w:lvl w:ilvl="4" w:tplc="CED42C4C">
      <w:start w:val="1"/>
      <w:numFmt w:val="bullet"/>
      <w:lvlText w:val="o"/>
      <w:lvlJc w:val="left"/>
      <w:pPr>
        <w:tabs>
          <w:tab w:val="num" w:pos="3600"/>
        </w:tabs>
        <w:ind w:left="3600" w:hanging="360"/>
      </w:pPr>
      <w:rPr>
        <w:rFonts w:ascii="Courier New" w:hAnsi="Courier New"/>
      </w:rPr>
    </w:lvl>
    <w:lvl w:ilvl="5" w:tplc="BA6659BE">
      <w:start w:val="1"/>
      <w:numFmt w:val="bullet"/>
      <w:lvlText w:val=""/>
      <w:lvlJc w:val="left"/>
      <w:pPr>
        <w:tabs>
          <w:tab w:val="num" w:pos="4320"/>
        </w:tabs>
        <w:ind w:left="4320" w:hanging="360"/>
      </w:pPr>
      <w:rPr>
        <w:rFonts w:ascii="Wingdings" w:hAnsi="Wingdings"/>
      </w:rPr>
    </w:lvl>
    <w:lvl w:ilvl="6" w:tplc="30B27082">
      <w:start w:val="1"/>
      <w:numFmt w:val="bullet"/>
      <w:lvlText w:val=""/>
      <w:lvlJc w:val="left"/>
      <w:pPr>
        <w:tabs>
          <w:tab w:val="num" w:pos="5040"/>
        </w:tabs>
        <w:ind w:left="5040" w:hanging="360"/>
      </w:pPr>
      <w:rPr>
        <w:rFonts w:ascii="Symbol" w:hAnsi="Symbol"/>
      </w:rPr>
    </w:lvl>
    <w:lvl w:ilvl="7" w:tplc="9C0C08D0">
      <w:start w:val="1"/>
      <w:numFmt w:val="bullet"/>
      <w:lvlText w:val="o"/>
      <w:lvlJc w:val="left"/>
      <w:pPr>
        <w:tabs>
          <w:tab w:val="num" w:pos="5760"/>
        </w:tabs>
        <w:ind w:left="5760" w:hanging="360"/>
      </w:pPr>
      <w:rPr>
        <w:rFonts w:ascii="Courier New" w:hAnsi="Courier New"/>
      </w:rPr>
    </w:lvl>
    <w:lvl w:ilvl="8" w:tplc="6664A684">
      <w:start w:val="1"/>
      <w:numFmt w:val="bullet"/>
      <w:lvlText w:val=""/>
      <w:lvlJc w:val="left"/>
      <w:pPr>
        <w:tabs>
          <w:tab w:val="num" w:pos="6480"/>
        </w:tabs>
        <w:ind w:left="6480" w:hanging="360"/>
      </w:pPr>
      <w:rPr>
        <w:rFonts w:ascii="Wingdings" w:hAnsi="Wingdings"/>
      </w:rPr>
    </w:lvl>
  </w:abstractNum>
  <w:abstractNum w:abstractNumId="9">
    <w:nsid w:val="0000000E"/>
    <w:multiLevelType w:val="hybridMultilevel"/>
    <w:tmpl w:val="0000000E"/>
    <w:lvl w:ilvl="0" w:tplc="1F902CBE">
      <w:start w:val="1"/>
      <w:numFmt w:val="bullet"/>
      <w:lvlText w:val=""/>
      <w:lvlJc w:val="left"/>
      <w:pPr>
        <w:ind w:left="720" w:hanging="360"/>
      </w:pPr>
      <w:rPr>
        <w:rFonts w:ascii="Symbol" w:hAnsi="Symbol"/>
        <w:b w:val="0"/>
        <w:bCs w:val="0"/>
      </w:rPr>
    </w:lvl>
    <w:lvl w:ilvl="1" w:tplc="E0EE900E">
      <w:start w:val="1"/>
      <w:numFmt w:val="bullet"/>
      <w:lvlText w:val="o"/>
      <w:lvlJc w:val="left"/>
      <w:pPr>
        <w:tabs>
          <w:tab w:val="num" w:pos="1440"/>
        </w:tabs>
        <w:ind w:left="1440" w:hanging="360"/>
      </w:pPr>
      <w:rPr>
        <w:rFonts w:ascii="Courier New" w:hAnsi="Courier New"/>
      </w:rPr>
    </w:lvl>
    <w:lvl w:ilvl="2" w:tplc="E3D4F3E8">
      <w:start w:val="1"/>
      <w:numFmt w:val="bullet"/>
      <w:lvlText w:val=""/>
      <w:lvlJc w:val="left"/>
      <w:pPr>
        <w:tabs>
          <w:tab w:val="num" w:pos="2160"/>
        </w:tabs>
        <w:ind w:left="2160" w:hanging="360"/>
      </w:pPr>
      <w:rPr>
        <w:rFonts w:ascii="Wingdings" w:hAnsi="Wingdings"/>
      </w:rPr>
    </w:lvl>
    <w:lvl w:ilvl="3" w:tplc="BBFE83A0">
      <w:start w:val="1"/>
      <w:numFmt w:val="bullet"/>
      <w:lvlText w:val=""/>
      <w:lvlJc w:val="left"/>
      <w:pPr>
        <w:tabs>
          <w:tab w:val="num" w:pos="2880"/>
        </w:tabs>
        <w:ind w:left="2880" w:hanging="360"/>
      </w:pPr>
      <w:rPr>
        <w:rFonts w:ascii="Symbol" w:hAnsi="Symbol"/>
      </w:rPr>
    </w:lvl>
    <w:lvl w:ilvl="4" w:tplc="1A42BFEC">
      <w:start w:val="1"/>
      <w:numFmt w:val="bullet"/>
      <w:lvlText w:val="o"/>
      <w:lvlJc w:val="left"/>
      <w:pPr>
        <w:tabs>
          <w:tab w:val="num" w:pos="3600"/>
        </w:tabs>
        <w:ind w:left="3600" w:hanging="360"/>
      </w:pPr>
      <w:rPr>
        <w:rFonts w:ascii="Courier New" w:hAnsi="Courier New"/>
      </w:rPr>
    </w:lvl>
    <w:lvl w:ilvl="5" w:tplc="78BC5932">
      <w:start w:val="1"/>
      <w:numFmt w:val="bullet"/>
      <w:lvlText w:val=""/>
      <w:lvlJc w:val="left"/>
      <w:pPr>
        <w:tabs>
          <w:tab w:val="num" w:pos="4320"/>
        </w:tabs>
        <w:ind w:left="4320" w:hanging="360"/>
      </w:pPr>
      <w:rPr>
        <w:rFonts w:ascii="Wingdings" w:hAnsi="Wingdings"/>
      </w:rPr>
    </w:lvl>
    <w:lvl w:ilvl="6" w:tplc="67B647F6">
      <w:start w:val="1"/>
      <w:numFmt w:val="bullet"/>
      <w:lvlText w:val=""/>
      <w:lvlJc w:val="left"/>
      <w:pPr>
        <w:tabs>
          <w:tab w:val="num" w:pos="5040"/>
        </w:tabs>
        <w:ind w:left="5040" w:hanging="360"/>
      </w:pPr>
      <w:rPr>
        <w:rFonts w:ascii="Symbol" w:hAnsi="Symbol"/>
      </w:rPr>
    </w:lvl>
    <w:lvl w:ilvl="7" w:tplc="0526DEB2">
      <w:start w:val="1"/>
      <w:numFmt w:val="bullet"/>
      <w:lvlText w:val="o"/>
      <w:lvlJc w:val="left"/>
      <w:pPr>
        <w:tabs>
          <w:tab w:val="num" w:pos="5760"/>
        </w:tabs>
        <w:ind w:left="5760" w:hanging="360"/>
      </w:pPr>
      <w:rPr>
        <w:rFonts w:ascii="Courier New" w:hAnsi="Courier New"/>
      </w:rPr>
    </w:lvl>
    <w:lvl w:ilvl="8" w:tplc="0DDC0BCE">
      <w:start w:val="1"/>
      <w:numFmt w:val="bullet"/>
      <w:lvlText w:val=""/>
      <w:lvlJc w:val="left"/>
      <w:pPr>
        <w:tabs>
          <w:tab w:val="num" w:pos="6480"/>
        </w:tabs>
        <w:ind w:left="6480" w:hanging="360"/>
      </w:pPr>
      <w:rPr>
        <w:rFonts w:ascii="Wingdings" w:hAnsi="Wingdings"/>
      </w:rPr>
    </w:lvl>
  </w:abstractNum>
  <w:abstractNum w:abstractNumId="10">
    <w:nsid w:val="00000011"/>
    <w:multiLevelType w:val="hybridMultilevel"/>
    <w:tmpl w:val="00000011"/>
    <w:lvl w:ilvl="0" w:tplc="F0BE3E08">
      <w:start w:val="1"/>
      <w:numFmt w:val="bullet"/>
      <w:lvlText w:val=""/>
      <w:lvlJc w:val="left"/>
      <w:pPr>
        <w:ind w:left="720" w:hanging="360"/>
      </w:pPr>
      <w:rPr>
        <w:rFonts w:ascii="Symbol" w:hAnsi="Symbol"/>
        <w:b w:val="0"/>
        <w:bCs w:val="0"/>
      </w:rPr>
    </w:lvl>
    <w:lvl w:ilvl="1" w:tplc="162A865A">
      <w:start w:val="1"/>
      <w:numFmt w:val="bullet"/>
      <w:lvlText w:val="o"/>
      <w:lvlJc w:val="left"/>
      <w:pPr>
        <w:tabs>
          <w:tab w:val="num" w:pos="1440"/>
        </w:tabs>
        <w:ind w:left="1440" w:hanging="360"/>
      </w:pPr>
      <w:rPr>
        <w:rFonts w:ascii="Courier New" w:hAnsi="Courier New"/>
      </w:rPr>
    </w:lvl>
    <w:lvl w:ilvl="2" w:tplc="AED0E1D8">
      <w:start w:val="1"/>
      <w:numFmt w:val="bullet"/>
      <w:lvlText w:val=""/>
      <w:lvlJc w:val="left"/>
      <w:pPr>
        <w:tabs>
          <w:tab w:val="num" w:pos="2160"/>
        </w:tabs>
        <w:ind w:left="2160" w:hanging="360"/>
      </w:pPr>
      <w:rPr>
        <w:rFonts w:ascii="Wingdings" w:hAnsi="Wingdings"/>
      </w:rPr>
    </w:lvl>
    <w:lvl w:ilvl="3" w:tplc="AA2A89E2">
      <w:start w:val="1"/>
      <w:numFmt w:val="bullet"/>
      <w:lvlText w:val=""/>
      <w:lvlJc w:val="left"/>
      <w:pPr>
        <w:tabs>
          <w:tab w:val="num" w:pos="2880"/>
        </w:tabs>
        <w:ind w:left="2880" w:hanging="360"/>
      </w:pPr>
      <w:rPr>
        <w:rFonts w:ascii="Symbol" w:hAnsi="Symbol"/>
      </w:rPr>
    </w:lvl>
    <w:lvl w:ilvl="4" w:tplc="2522ED18">
      <w:start w:val="1"/>
      <w:numFmt w:val="bullet"/>
      <w:lvlText w:val="o"/>
      <w:lvlJc w:val="left"/>
      <w:pPr>
        <w:tabs>
          <w:tab w:val="num" w:pos="3600"/>
        </w:tabs>
        <w:ind w:left="3600" w:hanging="360"/>
      </w:pPr>
      <w:rPr>
        <w:rFonts w:ascii="Courier New" w:hAnsi="Courier New"/>
      </w:rPr>
    </w:lvl>
    <w:lvl w:ilvl="5" w:tplc="5BDC75A0">
      <w:start w:val="1"/>
      <w:numFmt w:val="bullet"/>
      <w:lvlText w:val=""/>
      <w:lvlJc w:val="left"/>
      <w:pPr>
        <w:tabs>
          <w:tab w:val="num" w:pos="4320"/>
        </w:tabs>
        <w:ind w:left="4320" w:hanging="360"/>
      </w:pPr>
      <w:rPr>
        <w:rFonts w:ascii="Wingdings" w:hAnsi="Wingdings"/>
      </w:rPr>
    </w:lvl>
    <w:lvl w:ilvl="6" w:tplc="EB465D04">
      <w:start w:val="1"/>
      <w:numFmt w:val="bullet"/>
      <w:lvlText w:val=""/>
      <w:lvlJc w:val="left"/>
      <w:pPr>
        <w:tabs>
          <w:tab w:val="num" w:pos="5040"/>
        </w:tabs>
        <w:ind w:left="5040" w:hanging="360"/>
      </w:pPr>
      <w:rPr>
        <w:rFonts w:ascii="Symbol" w:hAnsi="Symbol"/>
      </w:rPr>
    </w:lvl>
    <w:lvl w:ilvl="7" w:tplc="DEE6D190">
      <w:start w:val="1"/>
      <w:numFmt w:val="bullet"/>
      <w:lvlText w:val="o"/>
      <w:lvlJc w:val="left"/>
      <w:pPr>
        <w:tabs>
          <w:tab w:val="num" w:pos="5760"/>
        </w:tabs>
        <w:ind w:left="5760" w:hanging="360"/>
      </w:pPr>
      <w:rPr>
        <w:rFonts w:ascii="Courier New" w:hAnsi="Courier New"/>
      </w:rPr>
    </w:lvl>
    <w:lvl w:ilvl="8" w:tplc="376CAA92">
      <w:start w:val="1"/>
      <w:numFmt w:val="bullet"/>
      <w:lvlText w:val=""/>
      <w:lvlJc w:val="left"/>
      <w:pPr>
        <w:tabs>
          <w:tab w:val="num" w:pos="6480"/>
        </w:tabs>
        <w:ind w:left="6480" w:hanging="360"/>
      </w:pPr>
      <w:rPr>
        <w:rFonts w:ascii="Wingdings" w:hAnsi="Wingdings"/>
      </w:rPr>
    </w:lvl>
  </w:abstractNum>
  <w:abstractNum w:abstractNumId="11">
    <w:nsid w:val="022B66C6"/>
    <w:multiLevelType w:val="hybridMultilevel"/>
    <w:tmpl w:val="F77874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02BC0C80"/>
    <w:multiLevelType w:val="hybridMultilevel"/>
    <w:tmpl w:val="818664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04A00D21"/>
    <w:multiLevelType w:val="hybridMultilevel"/>
    <w:tmpl w:val="C220D6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04F723A9"/>
    <w:multiLevelType w:val="multilevel"/>
    <w:tmpl w:val="FF7AB1A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decimal"/>
      <w:lvlText w:val="%1.%2.%3.%4."/>
      <w:lvlJc w:val="left"/>
      <w:pPr>
        <w:ind w:left="64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7347D8F"/>
    <w:multiLevelType w:val="hybridMultilevel"/>
    <w:tmpl w:val="861C4D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085B485A"/>
    <w:multiLevelType w:val="hybridMultilevel"/>
    <w:tmpl w:val="E256AB58"/>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097617C4"/>
    <w:multiLevelType w:val="hybridMultilevel"/>
    <w:tmpl w:val="F9969E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09B92DDC"/>
    <w:multiLevelType w:val="hybridMultilevel"/>
    <w:tmpl w:val="123A9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0E07486D"/>
    <w:multiLevelType w:val="hybridMultilevel"/>
    <w:tmpl w:val="716CD1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132E6F4B"/>
    <w:multiLevelType w:val="hybridMultilevel"/>
    <w:tmpl w:val="B7DCEA4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152C68CD"/>
    <w:multiLevelType w:val="hybridMultilevel"/>
    <w:tmpl w:val="9E64E6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18B63C50"/>
    <w:multiLevelType w:val="hybridMultilevel"/>
    <w:tmpl w:val="EF923C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199B76DC"/>
    <w:multiLevelType w:val="hybridMultilevel"/>
    <w:tmpl w:val="3528A048"/>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1C540862"/>
    <w:multiLevelType w:val="hybridMultilevel"/>
    <w:tmpl w:val="7772EB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1CC025ED"/>
    <w:multiLevelType w:val="hybridMultilevel"/>
    <w:tmpl w:val="477CC6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1D795C6A"/>
    <w:multiLevelType w:val="hybridMultilevel"/>
    <w:tmpl w:val="24BE0D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21BA1505"/>
    <w:multiLevelType w:val="hybridMultilevel"/>
    <w:tmpl w:val="26003C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26A956F3"/>
    <w:multiLevelType w:val="hybridMultilevel"/>
    <w:tmpl w:val="0540BC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26C6241A"/>
    <w:multiLevelType w:val="hybridMultilevel"/>
    <w:tmpl w:val="43FA1B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27EC5290"/>
    <w:multiLevelType w:val="hybridMultilevel"/>
    <w:tmpl w:val="517A33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2A5D7404"/>
    <w:multiLevelType w:val="hybridMultilevel"/>
    <w:tmpl w:val="FB6631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2BAA49CD"/>
    <w:multiLevelType w:val="hybridMultilevel"/>
    <w:tmpl w:val="28CC9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2BFE7840"/>
    <w:multiLevelType w:val="hybridMultilevel"/>
    <w:tmpl w:val="ED766E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2F84160E"/>
    <w:multiLevelType w:val="hybridMultilevel"/>
    <w:tmpl w:val="C05655A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34E16182"/>
    <w:multiLevelType w:val="hybridMultilevel"/>
    <w:tmpl w:val="BBA07AA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708"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5FD600A"/>
    <w:multiLevelType w:val="hybridMultilevel"/>
    <w:tmpl w:val="6742B9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36367DAE"/>
    <w:multiLevelType w:val="hybridMultilevel"/>
    <w:tmpl w:val="BF4A20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3BCB1B1F"/>
    <w:multiLevelType w:val="hybridMultilevel"/>
    <w:tmpl w:val="3EDE3C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3E394991"/>
    <w:multiLevelType w:val="hybridMultilevel"/>
    <w:tmpl w:val="2870B3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44A07BC6"/>
    <w:multiLevelType w:val="hybridMultilevel"/>
    <w:tmpl w:val="5FC6AA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46A266C0"/>
    <w:multiLevelType w:val="hybridMultilevel"/>
    <w:tmpl w:val="4C06E4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473B73DC"/>
    <w:multiLevelType w:val="hybridMultilevel"/>
    <w:tmpl w:val="1AA476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48D271E4"/>
    <w:multiLevelType w:val="hybridMultilevel"/>
    <w:tmpl w:val="F3440B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4A561213"/>
    <w:multiLevelType w:val="hybridMultilevel"/>
    <w:tmpl w:val="114630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4CFB752E"/>
    <w:multiLevelType w:val="hybridMultilevel"/>
    <w:tmpl w:val="840640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4FDB5465"/>
    <w:multiLevelType w:val="hybridMultilevel"/>
    <w:tmpl w:val="ED2EB8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52694573"/>
    <w:multiLevelType w:val="hybridMultilevel"/>
    <w:tmpl w:val="1F30F6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53BF7D1B"/>
    <w:multiLevelType w:val="hybridMultilevel"/>
    <w:tmpl w:val="A70035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586731E0"/>
    <w:multiLevelType w:val="hybridMultilevel"/>
    <w:tmpl w:val="EBD4E0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58D35CE1"/>
    <w:multiLevelType w:val="hybridMultilevel"/>
    <w:tmpl w:val="E35E1B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5C3C2529"/>
    <w:multiLevelType w:val="hybridMultilevel"/>
    <w:tmpl w:val="86AE4B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5D892692"/>
    <w:multiLevelType w:val="hybridMultilevel"/>
    <w:tmpl w:val="BF0809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659A1C2C"/>
    <w:multiLevelType w:val="hybridMultilevel"/>
    <w:tmpl w:val="A78C270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36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6950722A"/>
    <w:multiLevelType w:val="hybridMultilevel"/>
    <w:tmpl w:val="2752BB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69F06767"/>
    <w:multiLevelType w:val="hybridMultilevel"/>
    <w:tmpl w:val="D3D417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6B2F264D"/>
    <w:multiLevelType w:val="hybridMultilevel"/>
    <w:tmpl w:val="290869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nsid w:val="704A0FC8"/>
    <w:multiLevelType w:val="hybridMultilevel"/>
    <w:tmpl w:val="38DA56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nsid w:val="7072102F"/>
    <w:multiLevelType w:val="hybridMultilevel"/>
    <w:tmpl w:val="F8905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7166166B"/>
    <w:multiLevelType w:val="hybridMultilevel"/>
    <w:tmpl w:val="7B2CD6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0">
    <w:nsid w:val="75D07A38"/>
    <w:multiLevelType w:val="hybridMultilevel"/>
    <w:tmpl w:val="90D264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76CF2AE4"/>
    <w:multiLevelType w:val="hybridMultilevel"/>
    <w:tmpl w:val="4544A6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7ADF0D6B"/>
    <w:multiLevelType w:val="hybridMultilevel"/>
    <w:tmpl w:val="F2483E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7C9B2934"/>
    <w:multiLevelType w:val="hybridMultilevel"/>
    <w:tmpl w:val="B19089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nsid w:val="7D2D0D21"/>
    <w:multiLevelType w:val="hybridMultilevel"/>
    <w:tmpl w:val="30323E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4"/>
  </w:num>
  <w:num w:numId="2">
    <w:abstractNumId w:val="53"/>
  </w:num>
  <w:num w:numId="3">
    <w:abstractNumId w:val="64"/>
  </w:num>
  <w:num w:numId="4">
    <w:abstractNumId w:val="23"/>
  </w:num>
  <w:num w:numId="5">
    <w:abstractNumId w:val="16"/>
  </w:num>
  <w:num w:numId="6">
    <w:abstractNumId w:val="4"/>
  </w:num>
  <w:num w:numId="7">
    <w:abstractNumId w:val="5"/>
  </w:num>
  <w:num w:numId="8">
    <w:abstractNumId w:val="6"/>
  </w:num>
  <w:num w:numId="9">
    <w:abstractNumId w:val="7"/>
  </w:num>
  <w:num w:numId="10">
    <w:abstractNumId w:val="8"/>
  </w:num>
  <w:num w:numId="11">
    <w:abstractNumId w:val="30"/>
  </w:num>
  <w:num w:numId="12">
    <w:abstractNumId w:val="42"/>
  </w:num>
  <w:num w:numId="13">
    <w:abstractNumId w:val="60"/>
  </w:num>
  <w:num w:numId="14">
    <w:abstractNumId w:val="35"/>
  </w:num>
  <w:num w:numId="15">
    <w:abstractNumId w:val="9"/>
  </w:num>
  <w:num w:numId="16">
    <w:abstractNumId w:val="34"/>
  </w:num>
  <w:num w:numId="17">
    <w:abstractNumId w:val="56"/>
  </w:num>
  <w:num w:numId="18">
    <w:abstractNumId w:val="31"/>
  </w:num>
  <w:num w:numId="19">
    <w:abstractNumId w:val="52"/>
  </w:num>
  <w:num w:numId="20">
    <w:abstractNumId w:val="15"/>
  </w:num>
  <w:num w:numId="21">
    <w:abstractNumId w:val="25"/>
  </w:num>
  <w:num w:numId="22">
    <w:abstractNumId w:val="49"/>
  </w:num>
  <w:num w:numId="23">
    <w:abstractNumId w:val="38"/>
  </w:num>
  <w:num w:numId="24">
    <w:abstractNumId w:val="59"/>
  </w:num>
  <w:num w:numId="25">
    <w:abstractNumId w:val="43"/>
  </w:num>
  <w:num w:numId="26">
    <w:abstractNumId w:val="45"/>
  </w:num>
  <w:num w:numId="27">
    <w:abstractNumId w:val="61"/>
  </w:num>
  <w:num w:numId="28">
    <w:abstractNumId w:val="58"/>
  </w:num>
  <w:num w:numId="29">
    <w:abstractNumId w:val="28"/>
  </w:num>
  <w:num w:numId="30">
    <w:abstractNumId w:val="26"/>
  </w:num>
  <w:num w:numId="31">
    <w:abstractNumId w:val="44"/>
  </w:num>
  <w:num w:numId="32">
    <w:abstractNumId w:val="57"/>
  </w:num>
  <w:num w:numId="33">
    <w:abstractNumId w:val="12"/>
  </w:num>
  <w:num w:numId="34">
    <w:abstractNumId w:val="36"/>
  </w:num>
  <w:num w:numId="35">
    <w:abstractNumId w:val="33"/>
  </w:num>
  <w:num w:numId="36">
    <w:abstractNumId w:val="63"/>
  </w:num>
  <w:num w:numId="37">
    <w:abstractNumId w:val="21"/>
  </w:num>
  <w:num w:numId="38">
    <w:abstractNumId w:val="54"/>
  </w:num>
  <w:num w:numId="39">
    <w:abstractNumId w:val="19"/>
  </w:num>
  <w:num w:numId="40">
    <w:abstractNumId w:val="13"/>
  </w:num>
  <w:num w:numId="41">
    <w:abstractNumId w:val="55"/>
  </w:num>
  <w:num w:numId="42">
    <w:abstractNumId w:val="22"/>
  </w:num>
  <w:num w:numId="43">
    <w:abstractNumId w:val="37"/>
  </w:num>
  <w:num w:numId="44">
    <w:abstractNumId w:val="29"/>
  </w:num>
  <w:num w:numId="45">
    <w:abstractNumId w:val="39"/>
  </w:num>
  <w:num w:numId="46">
    <w:abstractNumId w:val="18"/>
  </w:num>
  <w:num w:numId="47">
    <w:abstractNumId w:val="20"/>
  </w:num>
  <w:num w:numId="48">
    <w:abstractNumId w:val="62"/>
  </w:num>
  <w:num w:numId="49">
    <w:abstractNumId w:val="24"/>
  </w:num>
  <w:num w:numId="50">
    <w:abstractNumId w:val="51"/>
  </w:num>
  <w:num w:numId="51">
    <w:abstractNumId w:val="11"/>
  </w:num>
  <w:num w:numId="52">
    <w:abstractNumId w:val="48"/>
  </w:num>
  <w:num w:numId="53">
    <w:abstractNumId w:val="50"/>
  </w:num>
  <w:num w:numId="54">
    <w:abstractNumId w:val="17"/>
  </w:num>
  <w:num w:numId="55">
    <w:abstractNumId w:val="46"/>
  </w:num>
  <w:num w:numId="56">
    <w:abstractNumId w:val="41"/>
  </w:num>
  <w:num w:numId="57">
    <w:abstractNumId w:val="10"/>
  </w:num>
  <w:num w:numId="58">
    <w:abstractNumId w:val="1"/>
  </w:num>
  <w:num w:numId="59">
    <w:abstractNumId w:val="2"/>
  </w:num>
  <w:num w:numId="60">
    <w:abstractNumId w:val="0"/>
  </w:num>
  <w:num w:numId="61">
    <w:abstractNumId w:val="3"/>
  </w:num>
  <w:num w:numId="62">
    <w:abstractNumId w:val="32"/>
  </w:num>
  <w:num w:numId="63">
    <w:abstractNumId w:val="47"/>
  </w:num>
  <w:num w:numId="64">
    <w:abstractNumId w:val="27"/>
  </w:num>
  <w:num w:numId="65">
    <w:abstractNumId w:val="4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SwNDcyMzY3NDQ3NzFT0lEKTi0uzszPAykwqgUAeoveIiwAAAA="/>
  </w:docVars>
  <w:rsids>
    <w:rsidRoot w:val="003F7E49"/>
    <w:rsid w:val="00002EE8"/>
    <w:rsid w:val="00010CCF"/>
    <w:rsid w:val="00011AAA"/>
    <w:rsid w:val="00014991"/>
    <w:rsid w:val="00022977"/>
    <w:rsid w:val="000247CF"/>
    <w:rsid w:val="00041F60"/>
    <w:rsid w:val="0004355E"/>
    <w:rsid w:val="00046678"/>
    <w:rsid w:val="00056D37"/>
    <w:rsid w:val="0006055C"/>
    <w:rsid w:val="00062660"/>
    <w:rsid w:val="00062ABA"/>
    <w:rsid w:val="0006360C"/>
    <w:rsid w:val="00063B05"/>
    <w:rsid w:val="00065713"/>
    <w:rsid w:val="00067E63"/>
    <w:rsid w:val="00070D36"/>
    <w:rsid w:val="000729CB"/>
    <w:rsid w:val="000765B9"/>
    <w:rsid w:val="000834EA"/>
    <w:rsid w:val="0008563A"/>
    <w:rsid w:val="00087DBC"/>
    <w:rsid w:val="0009703E"/>
    <w:rsid w:val="00097411"/>
    <w:rsid w:val="000A06FF"/>
    <w:rsid w:val="000A3277"/>
    <w:rsid w:val="000A6D1F"/>
    <w:rsid w:val="000B3539"/>
    <w:rsid w:val="000B7080"/>
    <w:rsid w:val="000B77CE"/>
    <w:rsid w:val="000C3F0A"/>
    <w:rsid w:val="000D658D"/>
    <w:rsid w:val="000D7826"/>
    <w:rsid w:val="000E1E53"/>
    <w:rsid w:val="000E591F"/>
    <w:rsid w:val="000E660A"/>
    <w:rsid w:val="000F1790"/>
    <w:rsid w:val="000F21D7"/>
    <w:rsid w:val="000F2E71"/>
    <w:rsid w:val="000F614D"/>
    <w:rsid w:val="000F73A7"/>
    <w:rsid w:val="0010035F"/>
    <w:rsid w:val="00100AC4"/>
    <w:rsid w:val="001028F1"/>
    <w:rsid w:val="00103B81"/>
    <w:rsid w:val="001051B7"/>
    <w:rsid w:val="0010563E"/>
    <w:rsid w:val="001125ED"/>
    <w:rsid w:val="00115211"/>
    <w:rsid w:val="0011559C"/>
    <w:rsid w:val="001173DD"/>
    <w:rsid w:val="00125EDE"/>
    <w:rsid w:val="001279A3"/>
    <w:rsid w:val="00135F09"/>
    <w:rsid w:val="001402AB"/>
    <w:rsid w:val="00144870"/>
    <w:rsid w:val="001546E0"/>
    <w:rsid w:val="00157B93"/>
    <w:rsid w:val="001651E1"/>
    <w:rsid w:val="001657CC"/>
    <w:rsid w:val="00173658"/>
    <w:rsid w:val="00173DF1"/>
    <w:rsid w:val="00176A5A"/>
    <w:rsid w:val="001807CA"/>
    <w:rsid w:val="00182C86"/>
    <w:rsid w:val="001839C8"/>
    <w:rsid w:val="001867BB"/>
    <w:rsid w:val="00187142"/>
    <w:rsid w:val="00191811"/>
    <w:rsid w:val="00193026"/>
    <w:rsid w:val="001944AC"/>
    <w:rsid w:val="00195628"/>
    <w:rsid w:val="00196EE9"/>
    <w:rsid w:val="00197344"/>
    <w:rsid w:val="0019791F"/>
    <w:rsid w:val="001A078B"/>
    <w:rsid w:val="001A2629"/>
    <w:rsid w:val="001A76AD"/>
    <w:rsid w:val="001B085B"/>
    <w:rsid w:val="001B5325"/>
    <w:rsid w:val="001B5382"/>
    <w:rsid w:val="001B6050"/>
    <w:rsid w:val="001C3000"/>
    <w:rsid w:val="001C54CB"/>
    <w:rsid w:val="001D06EE"/>
    <w:rsid w:val="001D4AB6"/>
    <w:rsid w:val="001D59B0"/>
    <w:rsid w:val="001F13ED"/>
    <w:rsid w:val="001F6FB8"/>
    <w:rsid w:val="00205BF9"/>
    <w:rsid w:val="00206B99"/>
    <w:rsid w:val="00207C04"/>
    <w:rsid w:val="0021064F"/>
    <w:rsid w:val="00210707"/>
    <w:rsid w:val="00210966"/>
    <w:rsid w:val="00211C9B"/>
    <w:rsid w:val="002126CC"/>
    <w:rsid w:val="002224E8"/>
    <w:rsid w:val="00233C0C"/>
    <w:rsid w:val="002342A0"/>
    <w:rsid w:val="0024463A"/>
    <w:rsid w:val="0026455C"/>
    <w:rsid w:val="00265AB4"/>
    <w:rsid w:val="002767BA"/>
    <w:rsid w:val="00277DA6"/>
    <w:rsid w:val="00281FFA"/>
    <w:rsid w:val="002863A4"/>
    <w:rsid w:val="00287157"/>
    <w:rsid w:val="00295BAE"/>
    <w:rsid w:val="002B22E0"/>
    <w:rsid w:val="002B2C77"/>
    <w:rsid w:val="002B3AFB"/>
    <w:rsid w:val="002C0DC3"/>
    <w:rsid w:val="002C300E"/>
    <w:rsid w:val="002D32FA"/>
    <w:rsid w:val="002D3AE8"/>
    <w:rsid w:val="002D5FEF"/>
    <w:rsid w:val="002D7191"/>
    <w:rsid w:val="002E5EC7"/>
    <w:rsid w:val="002E6B76"/>
    <w:rsid w:val="00300E7E"/>
    <w:rsid w:val="00301298"/>
    <w:rsid w:val="00314133"/>
    <w:rsid w:val="00314440"/>
    <w:rsid w:val="0031589B"/>
    <w:rsid w:val="00317FDB"/>
    <w:rsid w:val="00331998"/>
    <w:rsid w:val="00333B38"/>
    <w:rsid w:val="00340801"/>
    <w:rsid w:val="00347C70"/>
    <w:rsid w:val="003512A0"/>
    <w:rsid w:val="00355775"/>
    <w:rsid w:val="003567CE"/>
    <w:rsid w:val="00360B8C"/>
    <w:rsid w:val="0036625B"/>
    <w:rsid w:val="00367884"/>
    <w:rsid w:val="00372643"/>
    <w:rsid w:val="00372FBD"/>
    <w:rsid w:val="00373639"/>
    <w:rsid w:val="00373824"/>
    <w:rsid w:val="003745F5"/>
    <w:rsid w:val="00382BF7"/>
    <w:rsid w:val="00395FEE"/>
    <w:rsid w:val="003A04AC"/>
    <w:rsid w:val="003A0879"/>
    <w:rsid w:val="003A08E9"/>
    <w:rsid w:val="003A39DF"/>
    <w:rsid w:val="003A3B86"/>
    <w:rsid w:val="003A50D2"/>
    <w:rsid w:val="003A7238"/>
    <w:rsid w:val="003B7011"/>
    <w:rsid w:val="003C29B6"/>
    <w:rsid w:val="003C3D15"/>
    <w:rsid w:val="003C3DC0"/>
    <w:rsid w:val="003C5E51"/>
    <w:rsid w:val="003C60D7"/>
    <w:rsid w:val="003D0F03"/>
    <w:rsid w:val="003D1A4A"/>
    <w:rsid w:val="003D5456"/>
    <w:rsid w:val="003D54C5"/>
    <w:rsid w:val="003D6D1C"/>
    <w:rsid w:val="003D751F"/>
    <w:rsid w:val="003E0EA0"/>
    <w:rsid w:val="003E2B58"/>
    <w:rsid w:val="003E37BB"/>
    <w:rsid w:val="003F303C"/>
    <w:rsid w:val="003F70CC"/>
    <w:rsid w:val="003F7E49"/>
    <w:rsid w:val="004005A8"/>
    <w:rsid w:val="00401993"/>
    <w:rsid w:val="00410C82"/>
    <w:rsid w:val="00416553"/>
    <w:rsid w:val="004200F7"/>
    <w:rsid w:val="0042052B"/>
    <w:rsid w:val="0042281C"/>
    <w:rsid w:val="004234AE"/>
    <w:rsid w:val="004332ED"/>
    <w:rsid w:val="00434DD3"/>
    <w:rsid w:val="00435970"/>
    <w:rsid w:val="00435CAD"/>
    <w:rsid w:val="00441F9D"/>
    <w:rsid w:val="004425FB"/>
    <w:rsid w:val="0044462B"/>
    <w:rsid w:val="004455E2"/>
    <w:rsid w:val="004506CC"/>
    <w:rsid w:val="00467C2A"/>
    <w:rsid w:val="0047356E"/>
    <w:rsid w:val="00474CFE"/>
    <w:rsid w:val="0048284B"/>
    <w:rsid w:val="004849D3"/>
    <w:rsid w:val="0049017A"/>
    <w:rsid w:val="004948EF"/>
    <w:rsid w:val="0049705C"/>
    <w:rsid w:val="0049714D"/>
    <w:rsid w:val="004A3138"/>
    <w:rsid w:val="004A6554"/>
    <w:rsid w:val="004B0512"/>
    <w:rsid w:val="004B08FC"/>
    <w:rsid w:val="004B11FA"/>
    <w:rsid w:val="004B4560"/>
    <w:rsid w:val="004C1CD3"/>
    <w:rsid w:val="004C5339"/>
    <w:rsid w:val="004C549C"/>
    <w:rsid w:val="004C5EA4"/>
    <w:rsid w:val="004C66FF"/>
    <w:rsid w:val="004D15D7"/>
    <w:rsid w:val="004D2A79"/>
    <w:rsid w:val="004D38BA"/>
    <w:rsid w:val="004D7810"/>
    <w:rsid w:val="004E73CF"/>
    <w:rsid w:val="004E7796"/>
    <w:rsid w:val="004E7997"/>
    <w:rsid w:val="004F1E7F"/>
    <w:rsid w:val="004F1FF0"/>
    <w:rsid w:val="004F5D0B"/>
    <w:rsid w:val="004F6B27"/>
    <w:rsid w:val="005078A3"/>
    <w:rsid w:val="00511057"/>
    <w:rsid w:val="00513E06"/>
    <w:rsid w:val="0051588B"/>
    <w:rsid w:val="005254B8"/>
    <w:rsid w:val="0052574D"/>
    <w:rsid w:val="005340E9"/>
    <w:rsid w:val="0053471C"/>
    <w:rsid w:val="00537A95"/>
    <w:rsid w:val="00537E6E"/>
    <w:rsid w:val="005429BC"/>
    <w:rsid w:val="0055187A"/>
    <w:rsid w:val="00551A5F"/>
    <w:rsid w:val="00552B70"/>
    <w:rsid w:val="0055453E"/>
    <w:rsid w:val="00554B87"/>
    <w:rsid w:val="00555935"/>
    <w:rsid w:val="005611B5"/>
    <w:rsid w:val="0056187B"/>
    <w:rsid w:val="005618CB"/>
    <w:rsid w:val="00565D54"/>
    <w:rsid w:val="00574641"/>
    <w:rsid w:val="00577550"/>
    <w:rsid w:val="00581BD6"/>
    <w:rsid w:val="00585090"/>
    <w:rsid w:val="0058641E"/>
    <w:rsid w:val="005911DB"/>
    <w:rsid w:val="005930FF"/>
    <w:rsid w:val="00593F99"/>
    <w:rsid w:val="005A559B"/>
    <w:rsid w:val="005A6A12"/>
    <w:rsid w:val="005A6AD6"/>
    <w:rsid w:val="005B0F42"/>
    <w:rsid w:val="005B1D58"/>
    <w:rsid w:val="005B52AE"/>
    <w:rsid w:val="005B5A99"/>
    <w:rsid w:val="005C04D3"/>
    <w:rsid w:val="005C16B8"/>
    <w:rsid w:val="005C2BE1"/>
    <w:rsid w:val="005D15C2"/>
    <w:rsid w:val="005D304D"/>
    <w:rsid w:val="005D7619"/>
    <w:rsid w:val="005E047D"/>
    <w:rsid w:val="005E0993"/>
    <w:rsid w:val="005E448E"/>
    <w:rsid w:val="005E6927"/>
    <w:rsid w:val="005F166F"/>
    <w:rsid w:val="005F3308"/>
    <w:rsid w:val="005F51F5"/>
    <w:rsid w:val="006004C2"/>
    <w:rsid w:val="00600C2D"/>
    <w:rsid w:val="00601B58"/>
    <w:rsid w:val="0060550C"/>
    <w:rsid w:val="00606FCC"/>
    <w:rsid w:val="0061267E"/>
    <w:rsid w:val="0061377D"/>
    <w:rsid w:val="0062225A"/>
    <w:rsid w:val="00622EF1"/>
    <w:rsid w:val="00623B54"/>
    <w:rsid w:val="006275D9"/>
    <w:rsid w:val="00630967"/>
    <w:rsid w:val="00630BA1"/>
    <w:rsid w:val="00630C15"/>
    <w:rsid w:val="00630FD4"/>
    <w:rsid w:val="0063320E"/>
    <w:rsid w:val="006462E4"/>
    <w:rsid w:val="0066263D"/>
    <w:rsid w:val="0066679C"/>
    <w:rsid w:val="00673C8C"/>
    <w:rsid w:val="00682785"/>
    <w:rsid w:val="00683A49"/>
    <w:rsid w:val="00685832"/>
    <w:rsid w:val="006867F7"/>
    <w:rsid w:val="00687DD5"/>
    <w:rsid w:val="006903A9"/>
    <w:rsid w:val="0069483D"/>
    <w:rsid w:val="006A0525"/>
    <w:rsid w:val="006A33CE"/>
    <w:rsid w:val="006C0041"/>
    <w:rsid w:val="006C1C3C"/>
    <w:rsid w:val="006C2A39"/>
    <w:rsid w:val="006C6DF0"/>
    <w:rsid w:val="006D171F"/>
    <w:rsid w:val="006D3266"/>
    <w:rsid w:val="006D3975"/>
    <w:rsid w:val="006D49E5"/>
    <w:rsid w:val="006D67D8"/>
    <w:rsid w:val="006D6A73"/>
    <w:rsid w:val="006E1B08"/>
    <w:rsid w:val="006E49EA"/>
    <w:rsid w:val="006E4B2C"/>
    <w:rsid w:val="006E619B"/>
    <w:rsid w:val="006F4918"/>
    <w:rsid w:val="00704C3B"/>
    <w:rsid w:val="0070739C"/>
    <w:rsid w:val="00710D70"/>
    <w:rsid w:val="00723E46"/>
    <w:rsid w:val="007334CD"/>
    <w:rsid w:val="007346B2"/>
    <w:rsid w:val="00735A4C"/>
    <w:rsid w:val="00735D75"/>
    <w:rsid w:val="00737249"/>
    <w:rsid w:val="007407D8"/>
    <w:rsid w:val="00746A03"/>
    <w:rsid w:val="00761E2D"/>
    <w:rsid w:val="00761F4A"/>
    <w:rsid w:val="00761F52"/>
    <w:rsid w:val="00762E57"/>
    <w:rsid w:val="0076413E"/>
    <w:rsid w:val="00771F59"/>
    <w:rsid w:val="00771F5E"/>
    <w:rsid w:val="00772D9F"/>
    <w:rsid w:val="0077424E"/>
    <w:rsid w:val="00776A66"/>
    <w:rsid w:val="00777002"/>
    <w:rsid w:val="007826FC"/>
    <w:rsid w:val="00785C00"/>
    <w:rsid w:val="0079219C"/>
    <w:rsid w:val="00796097"/>
    <w:rsid w:val="00797FE3"/>
    <w:rsid w:val="007A2868"/>
    <w:rsid w:val="007B1438"/>
    <w:rsid w:val="007B4588"/>
    <w:rsid w:val="007B4CD5"/>
    <w:rsid w:val="007C0AD2"/>
    <w:rsid w:val="007C3860"/>
    <w:rsid w:val="007C5481"/>
    <w:rsid w:val="007C7603"/>
    <w:rsid w:val="007D1584"/>
    <w:rsid w:val="007D5781"/>
    <w:rsid w:val="007E5874"/>
    <w:rsid w:val="007E6B65"/>
    <w:rsid w:val="007F1F8E"/>
    <w:rsid w:val="007F3037"/>
    <w:rsid w:val="007F69BD"/>
    <w:rsid w:val="0080049A"/>
    <w:rsid w:val="0080098C"/>
    <w:rsid w:val="008032BF"/>
    <w:rsid w:val="00810A1F"/>
    <w:rsid w:val="0081446F"/>
    <w:rsid w:val="00816D78"/>
    <w:rsid w:val="00817E5B"/>
    <w:rsid w:val="00821181"/>
    <w:rsid w:val="0082413B"/>
    <w:rsid w:val="00824ABF"/>
    <w:rsid w:val="00836304"/>
    <w:rsid w:val="00836531"/>
    <w:rsid w:val="00836AD9"/>
    <w:rsid w:val="00840578"/>
    <w:rsid w:val="0084467D"/>
    <w:rsid w:val="00845705"/>
    <w:rsid w:val="008479E3"/>
    <w:rsid w:val="00850F20"/>
    <w:rsid w:val="00852230"/>
    <w:rsid w:val="008537CB"/>
    <w:rsid w:val="008552FB"/>
    <w:rsid w:val="008570FF"/>
    <w:rsid w:val="00861C53"/>
    <w:rsid w:val="00871FF2"/>
    <w:rsid w:val="00872A33"/>
    <w:rsid w:val="00875DD2"/>
    <w:rsid w:val="00882271"/>
    <w:rsid w:val="00883316"/>
    <w:rsid w:val="00890E2C"/>
    <w:rsid w:val="00890EB1"/>
    <w:rsid w:val="00891CD8"/>
    <w:rsid w:val="008945E3"/>
    <w:rsid w:val="008A0691"/>
    <w:rsid w:val="008A32CA"/>
    <w:rsid w:val="008A688E"/>
    <w:rsid w:val="008B3846"/>
    <w:rsid w:val="008C01D7"/>
    <w:rsid w:val="008C1E89"/>
    <w:rsid w:val="008C2BA7"/>
    <w:rsid w:val="008D3750"/>
    <w:rsid w:val="008D391C"/>
    <w:rsid w:val="008D7F4D"/>
    <w:rsid w:val="008E2AA6"/>
    <w:rsid w:val="008E2E4B"/>
    <w:rsid w:val="008E5CBF"/>
    <w:rsid w:val="008F2ABF"/>
    <w:rsid w:val="008F4574"/>
    <w:rsid w:val="008F50FB"/>
    <w:rsid w:val="00903A8A"/>
    <w:rsid w:val="00904E0F"/>
    <w:rsid w:val="009050F4"/>
    <w:rsid w:val="00906214"/>
    <w:rsid w:val="009114B9"/>
    <w:rsid w:val="00923AB1"/>
    <w:rsid w:val="009274F9"/>
    <w:rsid w:val="00933876"/>
    <w:rsid w:val="00937B81"/>
    <w:rsid w:val="00941D76"/>
    <w:rsid w:val="009424AD"/>
    <w:rsid w:val="009425AC"/>
    <w:rsid w:val="00942C2B"/>
    <w:rsid w:val="00947427"/>
    <w:rsid w:val="00950416"/>
    <w:rsid w:val="00951D9D"/>
    <w:rsid w:val="009530B3"/>
    <w:rsid w:val="00956146"/>
    <w:rsid w:val="0095785E"/>
    <w:rsid w:val="00960B2E"/>
    <w:rsid w:val="009643C9"/>
    <w:rsid w:val="00965376"/>
    <w:rsid w:val="009711CB"/>
    <w:rsid w:val="009749F0"/>
    <w:rsid w:val="00977E26"/>
    <w:rsid w:val="00984535"/>
    <w:rsid w:val="00986736"/>
    <w:rsid w:val="00990C45"/>
    <w:rsid w:val="00991D6A"/>
    <w:rsid w:val="00991D6D"/>
    <w:rsid w:val="00993CC8"/>
    <w:rsid w:val="0099667B"/>
    <w:rsid w:val="009A5591"/>
    <w:rsid w:val="009A75B5"/>
    <w:rsid w:val="009B0ACB"/>
    <w:rsid w:val="009B1BE1"/>
    <w:rsid w:val="009B26FF"/>
    <w:rsid w:val="009B27B1"/>
    <w:rsid w:val="009B6564"/>
    <w:rsid w:val="009B6D91"/>
    <w:rsid w:val="009C0358"/>
    <w:rsid w:val="009C2FF4"/>
    <w:rsid w:val="009C36E4"/>
    <w:rsid w:val="009D1B2B"/>
    <w:rsid w:val="009D2264"/>
    <w:rsid w:val="009E3E61"/>
    <w:rsid w:val="009E6470"/>
    <w:rsid w:val="009F1C53"/>
    <w:rsid w:val="009F2410"/>
    <w:rsid w:val="009F4B0B"/>
    <w:rsid w:val="009F5D37"/>
    <w:rsid w:val="00A0273D"/>
    <w:rsid w:val="00A0494D"/>
    <w:rsid w:val="00A06A6A"/>
    <w:rsid w:val="00A11F66"/>
    <w:rsid w:val="00A14113"/>
    <w:rsid w:val="00A151FF"/>
    <w:rsid w:val="00A17E33"/>
    <w:rsid w:val="00A22F00"/>
    <w:rsid w:val="00A2361B"/>
    <w:rsid w:val="00A24C68"/>
    <w:rsid w:val="00A24DE2"/>
    <w:rsid w:val="00A32706"/>
    <w:rsid w:val="00A32A73"/>
    <w:rsid w:val="00A330FC"/>
    <w:rsid w:val="00A37F5C"/>
    <w:rsid w:val="00A400CC"/>
    <w:rsid w:val="00A40705"/>
    <w:rsid w:val="00A4093A"/>
    <w:rsid w:val="00A4445C"/>
    <w:rsid w:val="00A477F2"/>
    <w:rsid w:val="00A5329D"/>
    <w:rsid w:val="00A825BE"/>
    <w:rsid w:val="00A84E2F"/>
    <w:rsid w:val="00A8582F"/>
    <w:rsid w:val="00A92668"/>
    <w:rsid w:val="00A95E4E"/>
    <w:rsid w:val="00A963E5"/>
    <w:rsid w:val="00A969CA"/>
    <w:rsid w:val="00AA2F01"/>
    <w:rsid w:val="00AA3E56"/>
    <w:rsid w:val="00AA40FC"/>
    <w:rsid w:val="00AB0630"/>
    <w:rsid w:val="00AB32CB"/>
    <w:rsid w:val="00AC0390"/>
    <w:rsid w:val="00AC219E"/>
    <w:rsid w:val="00AC7372"/>
    <w:rsid w:val="00AC772D"/>
    <w:rsid w:val="00AC79B1"/>
    <w:rsid w:val="00AD2437"/>
    <w:rsid w:val="00AD5274"/>
    <w:rsid w:val="00AE1B7F"/>
    <w:rsid w:val="00AE3CA4"/>
    <w:rsid w:val="00AE6E26"/>
    <w:rsid w:val="00AE780A"/>
    <w:rsid w:val="00AF2572"/>
    <w:rsid w:val="00AF3755"/>
    <w:rsid w:val="00B00B12"/>
    <w:rsid w:val="00B03841"/>
    <w:rsid w:val="00B058FA"/>
    <w:rsid w:val="00B109D0"/>
    <w:rsid w:val="00B111F1"/>
    <w:rsid w:val="00B12B1A"/>
    <w:rsid w:val="00B134D1"/>
    <w:rsid w:val="00B25E9A"/>
    <w:rsid w:val="00B26BE5"/>
    <w:rsid w:val="00B26F47"/>
    <w:rsid w:val="00B300CC"/>
    <w:rsid w:val="00B305B8"/>
    <w:rsid w:val="00B35514"/>
    <w:rsid w:val="00B355A8"/>
    <w:rsid w:val="00B426B8"/>
    <w:rsid w:val="00B52762"/>
    <w:rsid w:val="00B53CC2"/>
    <w:rsid w:val="00B547ED"/>
    <w:rsid w:val="00B54D34"/>
    <w:rsid w:val="00B54D38"/>
    <w:rsid w:val="00B553FF"/>
    <w:rsid w:val="00B60980"/>
    <w:rsid w:val="00B7131A"/>
    <w:rsid w:val="00B71D9A"/>
    <w:rsid w:val="00B72888"/>
    <w:rsid w:val="00B74AE6"/>
    <w:rsid w:val="00B75E1C"/>
    <w:rsid w:val="00B776E4"/>
    <w:rsid w:val="00B84FF3"/>
    <w:rsid w:val="00B85777"/>
    <w:rsid w:val="00BA4129"/>
    <w:rsid w:val="00BA6478"/>
    <w:rsid w:val="00BB1345"/>
    <w:rsid w:val="00BB3BC1"/>
    <w:rsid w:val="00BB74E1"/>
    <w:rsid w:val="00BB74F8"/>
    <w:rsid w:val="00BC5939"/>
    <w:rsid w:val="00BC6041"/>
    <w:rsid w:val="00BC621B"/>
    <w:rsid w:val="00BC6EED"/>
    <w:rsid w:val="00BC7144"/>
    <w:rsid w:val="00BC71B3"/>
    <w:rsid w:val="00BC7848"/>
    <w:rsid w:val="00BD0017"/>
    <w:rsid w:val="00BD129E"/>
    <w:rsid w:val="00BD246C"/>
    <w:rsid w:val="00BE7032"/>
    <w:rsid w:val="00BE755B"/>
    <w:rsid w:val="00BF275A"/>
    <w:rsid w:val="00BF40F1"/>
    <w:rsid w:val="00BF4569"/>
    <w:rsid w:val="00BF67A9"/>
    <w:rsid w:val="00C03277"/>
    <w:rsid w:val="00C0445D"/>
    <w:rsid w:val="00C04956"/>
    <w:rsid w:val="00C05388"/>
    <w:rsid w:val="00C055B7"/>
    <w:rsid w:val="00C200AF"/>
    <w:rsid w:val="00C21E78"/>
    <w:rsid w:val="00C23FBF"/>
    <w:rsid w:val="00C31842"/>
    <w:rsid w:val="00C326AB"/>
    <w:rsid w:val="00C357E5"/>
    <w:rsid w:val="00C418A0"/>
    <w:rsid w:val="00C4560B"/>
    <w:rsid w:val="00C45A41"/>
    <w:rsid w:val="00C46FD9"/>
    <w:rsid w:val="00C5460F"/>
    <w:rsid w:val="00C5472C"/>
    <w:rsid w:val="00C56122"/>
    <w:rsid w:val="00C56739"/>
    <w:rsid w:val="00C57A7A"/>
    <w:rsid w:val="00C61CDD"/>
    <w:rsid w:val="00C61FCB"/>
    <w:rsid w:val="00C62175"/>
    <w:rsid w:val="00C6249A"/>
    <w:rsid w:val="00C62B63"/>
    <w:rsid w:val="00C6347C"/>
    <w:rsid w:val="00C63CB8"/>
    <w:rsid w:val="00C6421A"/>
    <w:rsid w:val="00C670BA"/>
    <w:rsid w:val="00C70259"/>
    <w:rsid w:val="00C73FCD"/>
    <w:rsid w:val="00C757AA"/>
    <w:rsid w:val="00C77FC5"/>
    <w:rsid w:val="00C82334"/>
    <w:rsid w:val="00C842EC"/>
    <w:rsid w:val="00C872DC"/>
    <w:rsid w:val="00C91058"/>
    <w:rsid w:val="00C94AB9"/>
    <w:rsid w:val="00CA16B9"/>
    <w:rsid w:val="00CA3CD8"/>
    <w:rsid w:val="00CB7BEC"/>
    <w:rsid w:val="00CC03F4"/>
    <w:rsid w:val="00CC3D91"/>
    <w:rsid w:val="00CC4775"/>
    <w:rsid w:val="00CC7BA7"/>
    <w:rsid w:val="00CD280B"/>
    <w:rsid w:val="00CD2AE7"/>
    <w:rsid w:val="00CD58E0"/>
    <w:rsid w:val="00CD7904"/>
    <w:rsid w:val="00CE0D96"/>
    <w:rsid w:val="00CE27E8"/>
    <w:rsid w:val="00CE447E"/>
    <w:rsid w:val="00CF1653"/>
    <w:rsid w:val="00CF289E"/>
    <w:rsid w:val="00D00B38"/>
    <w:rsid w:val="00D04BD4"/>
    <w:rsid w:val="00D15BB4"/>
    <w:rsid w:val="00D17BB9"/>
    <w:rsid w:val="00D17CBE"/>
    <w:rsid w:val="00D229F0"/>
    <w:rsid w:val="00D2332A"/>
    <w:rsid w:val="00D31047"/>
    <w:rsid w:val="00D34691"/>
    <w:rsid w:val="00D35C19"/>
    <w:rsid w:val="00D41E05"/>
    <w:rsid w:val="00D424E4"/>
    <w:rsid w:val="00D460EA"/>
    <w:rsid w:val="00D46C31"/>
    <w:rsid w:val="00D52B83"/>
    <w:rsid w:val="00D52CD2"/>
    <w:rsid w:val="00D53909"/>
    <w:rsid w:val="00D63882"/>
    <w:rsid w:val="00D666A5"/>
    <w:rsid w:val="00D6696F"/>
    <w:rsid w:val="00D72663"/>
    <w:rsid w:val="00D76BEE"/>
    <w:rsid w:val="00D771DF"/>
    <w:rsid w:val="00D773A7"/>
    <w:rsid w:val="00D81DC7"/>
    <w:rsid w:val="00D8351C"/>
    <w:rsid w:val="00D83C84"/>
    <w:rsid w:val="00D9074C"/>
    <w:rsid w:val="00D9261E"/>
    <w:rsid w:val="00D94D55"/>
    <w:rsid w:val="00DA2983"/>
    <w:rsid w:val="00DA5BC7"/>
    <w:rsid w:val="00DB3B61"/>
    <w:rsid w:val="00DB485D"/>
    <w:rsid w:val="00DC270B"/>
    <w:rsid w:val="00DC4D31"/>
    <w:rsid w:val="00DC7EF7"/>
    <w:rsid w:val="00DD2BB7"/>
    <w:rsid w:val="00DD55A0"/>
    <w:rsid w:val="00DE67DB"/>
    <w:rsid w:val="00DF6A7C"/>
    <w:rsid w:val="00DF718F"/>
    <w:rsid w:val="00E04EE1"/>
    <w:rsid w:val="00E04FA0"/>
    <w:rsid w:val="00E055B6"/>
    <w:rsid w:val="00E06697"/>
    <w:rsid w:val="00E0759F"/>
    <w:rsid w:val="00E1044F"/>
    <w:rsid w:val="00E11898"/>
    <w:rsid w:val="00E22C37"/>
    <w:rsid w:val="00E272CD"/>
    <w:rsid w:val="00E30C0A"/>
    <w:rsid w:val="00E31417"/>
    <w:rsid w:val="00E42865"/>
    <w:rsid w:val="00E4394C"/>
    <w:rsid w:val="00E442DC"/>
    <w:rsid w:val="00E461B0"/>
    <w:rsid w:val="00E510FD"/>
    <w:rsid w:val="00E518D5"/>
    <w:rsid w:val="00E57362"/>
    <w:rsid w:val="00E641B4"/>
    <w:rsid w:val="00E64FAE"/>
    <w:rsid w:val="00E66686"/>
    <w:rsid w:val="00E72B62"/>
    <w:rsid w:val="00E82561"/>
    <w:rsid w:val="00E835E6"/>
    <w:rsid w:val="00E96E76"/>
    <w:rsid w:val="00EA01ED"/>
    <w:rsid w:val="00EA553C"/>
    <w:rsid w:val="00EA64C5"/>
    <w:rsid w:val="00EB42CE"/>
    <w:rsid w:val="00EB4EF3"/>
    <w:rsid w:val="00EC1882"/>
    <w:rsid w:val="00EC1B43"/>
    <w:rsid w:val="00EC1FA8"/>
    <w:rsid w:val="00EC2095"/>
    <w:rsid w:val="00EC3549"/>
    <w:rsid w:val="00EC4358"/>
    <w:rsid w:val="00ED3C2D"/>
    <w:rsid w:val="00EE5802"/>
    <w:rsid w:val="00EE5E13"/>
    <w:rsid w:val="00EF02AE"/>
    <w:rsid w:val="00EF2BF8"/>
    <w:rsid w:val="00EF46F5"/>
    <w:rsid w:val="00EF5BD2"/>
    <w:rsid w:val="00F017D4"/>
    <w:rsid w:val="00F02116"/>
    <w:rsid w:val="00F043E5"/>
    <w:rsid w:val="00F054E0"/>
    <w:rsid w:val="00F06EFB"/>
    <w:rsid w:val="00F25A16"/>
    <w:rsid w:val="00F2610F"/>
    <w:rsid w:val="00F2642A"/>
    <w:rsid w:val="00F26D8D"/>
    <w:rsid w:val="00F3239C"/>
    <w:rsid w:val="00F333B8"/>
    <w:rsid w:val="00F35523"/>
    <w:rsid w:val="00F35B9C"/>
    <w:rsid w:val="00F439D8"/>
    <w:rsid w:val="00F44D07"/>
    <w:rsid w:val="00F54645"/>
    <w:rsid w:val="00F54A6F"/>
    <w:rsid w:val="00F54A8C"/>
    <w:rsid w:val="00F6099E"/>
    <w:rsid w:val="00F61692"/>
    <w:rsid w:val="00F6293A"/>
    <w:rsid w:val="00F62A79"/>
    <w:rsid w:val="00F65D95"/>
    <w:rsid w:val="00F66EC0"/>
    <w:rsid w:val="00F67C6E"/>
    <w:rsid w:val="00F84801"/>
    <w:rsid w:val="00F864AD"/>
    <w:rsid w:val="00F87A4E"/>
    <w:rsid w:val="00F93A94"/>
    <w:rsid w:val="00FA00C4"/>
    <w:rsid w:val="00FA287D"/>
    <w:rsid w:val="00FB3817"/>
    <w:rsid w:val="00FB5A2C"/>
    <w:rsid w:val="00FC4051"/>
    <w:rsid w:val="00FD3EA5"/>
    <w:rsid w:val="00FE2EEA"/>
    <w:rsid w:val="00FE3F51"/>
    <w:rsid w:val="00FE5FCD"/>
    <w:rsid w:val="00FE7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5D"/>
  </w:style>
  <w:style w:type="paragraph" w:styleId="Heading1">
    <w:name w:val="heading 1"/>
    <w:basedOn w:val="Normal"/>
    <w:next w:val="Normal"/>
    <w:link w:val="Heading1Char"/>
    <w:uiPriority w:val="9"/>
    <w:qFormat/>
    <w:rsid w:val="008F50FB"/>
    <w:pPr>
      <w:keepNext/>
      <w:keepLines/>
      <w:spacing w:after="0" w:line="280" w:lineRule="exact"/>
      <w:jc w:val="both"/>
      <w:outlineLvl w:val="0"/>
    </w:pPr>
    <w:rPr>
      <w:rFonts w:ascii="Arial" w:eastAsia="Times New Roman" w:hAnsi="Arial" w:cs="Times New Roman"/>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Recommendation,List Paragraph1"/>
    <w:basedOn w:val="Normal"/>
    <w:link w:val="ListParagraphChar"/>
    <w:uiPriority w:val="1"/>
    <w:qFormat/>
    <w:rsid w:val="00C055B7"/>
    <w:pPr>
      <w:ind w:left="720"/>
      <w:contextualSpacing/>
    </w:pPr>
  </w:style>
  <w:style w:type="character" w:customStyle="1" w:styleId="ListParagraphChar">
    <w:name w:val="List Paragraph Char"/>
    <w:aliases w:val="List Paragraph 1 Char,Bullets Char,Table of contents numbered Char,footer text Char,Recommendation Char,List Paragraph1 Char"/>
    <w:link w:val="ListParagraph"/>
    <w:uiPriority w:val="34"/>
    <w:locked/>
    <w:rsid w:val="00BF4569"/>
  </w:style>
  <w:style w:type="character" w:customStyle="1" w:styleId="PlaceholderText1">
    <w:name w:val="Placeholder Text1"/>
    <w:basedOn w:val="DefaultParagraphFont"/>
    <w:uiPriority w:val="99"/>
    <w:semiHidden/>
    <w:rsid w:val="00193026"/>
    <w:rPr>
      <w:color w:val="808080"/>
    </w:rPr>
  </w:style>
  <w:style w:type="paragraph" w:styleId="Footer">
    <w:name w:val="footer"/>
    <w:basedOn w:val="Normal"/>
    <w:link w:val="FooterChar"/>
    <w:uiPriority w:val="99"/>
    <w:rsid w:val="009749F0"/>
    <w:pPr>
      <w:suppressAutoHyphens/>
      <w:autoSpaceDN w:val="0"/>
      <w:spacing w:after="0" w:line="280" w:lineRule="exact"/>
      <w:textAlignment w:val="baseline"/>
    </w:pPr>
    <w:rPr>
      <w:rFonts w:ascii="Arial" w:eastAsia="Times New Roman" w:hAnsi="Arial" w:cs="Times New Roman"/>
      <w:spacing w:val="6"/>
      <w:sz w:val="14"/>
      <w:szCs w:val="14"/>
      <w:lang w:val="en-GB" w:eastAsia="en-GB"/>
    </w:rPr>
  </w:style>
  <w:style w:type="character" w:customStyle="1" w:styleId="FooterChar">
    <w:name w:val="Footer Char"/>
    <w:basedOn w:val="DefaultParagraphFont"/>
    <w:link w:val="Footer"/>
    <w:uiPriority w:val="99"/>
    <w:rsid w:val="009749F0"/>
    <w:rPr>
      <w:rFonts w:ascii="Arial" w:eastAsia="Times New Roman" w:hAnsi="Arial" w:cs="Times New Roman"/>
      <w:spacing w:val="6"/>
      <w:sz w:val="14"/>
      <w:szCs w:val="14"/>
      <w:lang w:val="en-GB" w:eastAsia="en-GB"/>
    </w:rPr>
  </w:style>
  <w:style w:type="character" w:customStyle="1" w:styleId="Heading1Char">
    <w:name w:val="Heading 1 Char"/>
    <w:basedOn w:val="DefaultParagraphFont"/>
    <w:link w:val="Heading1"/>
    <w:uiPriority w:val="9"/>
    <w:rsid w:val="008F50FB"/>
    <w:rPr>
      <w:rFonts w:ascii="Arial" w:eastAsia="Times New Roman" w:hAnsi="Arial" w:cs="Times New Roman"/>
      <w:b/>
      <w:caps/>
      <w:color w:val="538135" w:themeColor="accent6" w:themeShade="BF"/>
      <w:szCs w:val="32"/>
    </w:rPr>
  </w:style>
  <w:style w:type="paragraph" w:styleId="NormalWeb">
    <w:name w:val="Normal (Web)"/>
    <w:basedOn w:val="Normal"/>
    <w:uiPriority w:val="99"/>
    <w:semiHidden/>
    <w:unhideWhenUsed/>
    <w:rsid w:val="003B701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18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CD"/>
  </w:style>
  <w:style w:type="character" w:styleId="CommentReference">
    <w:name w:val="annotation reference"/>
    <w:basedOn w:val="DefaultParagraphFont"/>
    <w:uiPriority w:val="99"/>
    <w:semiHidden/>
    <w:unhideWhenUsed/>
    <w:rsid w:val="00067E63"/>
    <w:rPr>
      <w:sz w:val="16"/>
      <w:szCs w:val="16"/>
    </w:rPr>
  </w:style>
  <w:style w:type="paragraph" w:styleId="CommentText">
    <w:name w:val="annotation text"/>
    <w:basedOn w:val="Normal"/>
    <w:link w:val="CommentTextChar"/>
    <w:uiPriority w:val="99"/>
    <w:semiHidden/>
    <w:unhideWhenUsed/>
    <w:rsid w:val="00067E63"/>
    <w:pPr>
      <w:spacing w:line="240" w:lineRule="auto"/>
    </w:pPr>
    <w:rPr>
      <w:sz w:val="20"/>
      <w:szCs w:val="20"/>
    </w:rPr>
  </w:style>
  <w:style w:type="character" w:customStyle="1" w:styleId="CommentTextChar">
    <w:name w:val="Comment Text Char"/>
    <w:basedOn w:val="DefaultParagraphFont"/>
    <w:link w:val="CommentText"/>
    <w:uiPriority w:val="99"/>
    <w:semiHidden/>
    <w:rsid w:val="00067E63"/>
    <w:rPr>
      <w:sz w:val="20"/>
      <w:szCs w:val="20"/>
    </w:rPr>
  </w:style>
  <w:style w:type="paragraph" w:styleId="CommentSubject">
    <w:name w:val="annotation subject"/>
    <w:basedOn w:val="CommentText"/>
    <w:next w:val="CommentText"/>
    <w:link w:val="CommentSubjectChar"/>
    <w:uiPriority w:val="99"/>
    <w:semiHidden/>
    <w:unhideWhenUsed/>
    <w:rsid w:val="00067E63"/>
    <w:rPr>
      <w:b/>
      <w:bCs/>
    </w:rPr>
  </w:style>
  <w:style w:type="character" w:customStyle="1" w:styleId="CommentSubjectChar">
    <w:name w:val="Comment Subject Char"/>
    <w:basedOn w:val="CommentTextChar"/>
    <w:link w:val="CommentSubject"/>
    <w:uiPriority w:val="99"/>
    <w:semiHidden/>
    <w:rsid w:val="00067E63"/>
    <w:rPr>
      <w:b/>
      <w:bCs/>
      <w:sz w:val="20"/>
      <w:szCs w:val="20"/>
    </w:rPr>
  </w:style>
  <w:style w:type="paragraph" w:styleId="BalloonText">
    <w:name w:val="Balloon Text"/>
    <w:basedOn w:val="Normal"/>
    <w:link w:val="BalloonTextChar"/>
    <w:uiPriority w:val="99"/>
    <w:semiHidden/>
    <w:unhideWhenUsed/>
    <w:rsid w:val="00067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E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7321888">
      <w:bodyDiv w:val="1"/>
      <w:marLeft w:val="0"/>
      <w:marRight w:val="0"/>
      <w:marTop w:val="0"/>
      <w:marBottom w:val="0"/>
      <w:divBdr>
        <w:top w:val="none" w:sz="0" w:space="0" w:color="auto"/>
        <w:left w:val="none" w:sz="0" w:space="0" w:color="auto"/>
        <w:bottom w:val="none" w:sz="0" w:space="0" w:color="auto"/>
        <w:right w:val="none" w:sz="0" w:space="0" w:color="auto"/>
      </w:divBdr>
      <w:divsChild>
        <w:div w:id="739131714">
          <w:marLeft w:val="547"/>
          <w:marRight w:val="0"/>
          <w:marTop w:val="0"/>
          <w:marBottom w:val="0"/>
          <w:divBdr>
            <w:top w:val="none" w:sz="0" w:space="0" w:color="auto"/>
            <w:left w:val="none" w:sz="0" w:space="0" w:color="auto"/>
            <w:bottom w:val="none" w:sz="0" w:space="0" w:color="auto"/>
            <w:right w:val="none" w:sz="0" w:space="0" w:color="auto"/>
          </w:divBdr>
        </w:div>
      </w:divsChild>
    </w:div>
    <w:div w:id="397749690">
      <w:bodyDiv w:val="1"/>
      <w:marLeft w:val="0"/>
      <w:marRight w:val="0"/>
      <w:marTop w:val="0"/>
      <w:marBottom w:val="0"/>
      <w:divBdr>
        <w:top w:val="none" w:sz="0" w:space="0" w:color="auto"/>
        <w:left w:val="none" w:sz="0" w:space="0" w:color="auto"/>
        <w:bottom w:val="none" w:sz="0" w:space="0" w:color="auto"/>
        <w:right w:val="none" w:sz="0" w:space="0" w:color="auto"/>
      </w:divBdr>
    </w:div>
    <w:div w:id="876086205">
      <w:bodyDiv w:val="1"/>
      <w:marLeft w:val="0"/>
      <w:marRight w:val="0"/>
      <w:marTop w:val="0"/>
      <w:marBottom w:val="0"/>
      <w:divBdr>
        <w:top w:val="none" w:sz="0" w:space="0" w:color="auto"/>
        <w:left w:val="none" w:sz="0" w:space="0" w:color="auto"/>
        <w:bottom w:val="none" w:sz="0" w:space="0" w:color="auto"/>
        <w:right w:val="none" w:sz="0" w:space="0" w:color="auto"/>
      </w:divBdr>
      <w:divsChild>
        <w:div w:id="1663700280">
          <w:marLeft w:val="706"/>
          <w:marRight w:val="0"/>
          <w:marTop w:val="0"/>
          <w:marBottom w:val="0"/>
          <w:divBdr>
            <w:top w:val="none" w:sz="0" w:space="0" w:color="auto"/>
            <w:left w:val="none" w:sz="0" w:space="0" w:color="auto"/>
            <w:bottom w:val="none" w:sz="0" w:space="0" w:color="auto"/>
            <w:right w:val="none" w:sz="0" w:space="0" w:color="auto"/>
          </w:divBdr>
        </w:div>
      </w:divsChild>
    </w:div>
    <w:div w:id="1398672398">
      <w:bodyDiv w:val="1"/>
      <w:marLeft w:val="0"/>
      <w:marRight w:val="0"/>
      <w:marTop w:val="0"/>
      <w:marBottom w:val="0"/>
      <w:divBdr>
        <w:top w:val="none" w:sz="0" w:space="0" w:color="auto"/>
        <w:left w:val="none" w:sz="0" w:space="0" w:color="auto"/>
        <w:bottom w:val="none" w:sz="0" w:space="0" w:color="auto"/>
        <w:right w:val="none" w:sz="0" w:space="0" w:color="auto"/>
      </w:divBdr>
      <w:divsChild>
        <w:div w:id="113259829">
          <w:marLeft w:val="360"/>
          <w:marRight w:val="0"/>
          <w:marTop w:val="200"/>
          <w:marBottom w:val="0"/>
          <w:divBdr>
            <w:top w:val="none" w:sz="0" w:space="0" w:color="auto"/>
            <w:left w:val="none" w:sz="0" w:space="0" w:color="auto"/>
            <w:bottom w:val="none" w:sz="0" w:space="0" w:color="auto"/>
            <w:right w:val="none" w:sz="0" w:space="0" w:color="auto"/>
          </w:divBdr>
        </w:div>
        <w:div w:id="1622540796">
          <w:marLeft w:val="360"/>
          <w:marRight w:val="0"/>
          <w:marTop w:val="200"/>
          <w:marBottom w:val="0"/>
          <w:divBdr>
            <w:top w:val="none" w:sz="0" w:space="0" w:color="auto"/>
            <w:left w:val="none" w:sz="0" w:space="0" w:color="auto"/>
            <w:bottom w:val="none" w:sz="0" w:space="0" w:color="auto"/>
            <w:right w:val="none" w:sz="0" w:space="0" w:color="auto"/>
          </w:divBdr>
        </w:div>
        <w:div w:id="469518418">
          <w:marLeft w:val="360"/>
          <w:marRight w:val="0"/>
          <w:marTop w:val="200"/>
          <w:marBottom w:val="0"/>
          <w:divBdr>
            <w:top w:val="none" w:sz="0" w:space="0" w:color="auto"/>
            <w:left w:val="none" w:sz="0" w:space="0" w:color="auto"/>
            <w:bottom w:val="none" w:sz="0" w:space="0" w:color="auto"/>
            <w:right w:val="none" w:sz="0" w:space="0" w:color="auto"/>
          </w:divBdr>
        </w:div>
        <w:div w:id="1474709645">
          <w:marLeft w:val="360"/>
          <w:marRight w:val="0"/>
          <w:marTop w:val="200"/>
          <w:marBottom w:val="0"/>
          <w:divBdr>
            <w:top w:val="none" w:sz="0" w:space="0" w:color="auto"/>
            <w:left w:val="none" w:sz="0" w:space="0" w:color="auto"/>
            <w:bottom w:val="none" w:sz="0" w:space="0" w:color="auto"/>
            <w:right w:val="none" w:sz="0" w:space="0" w:color="auto"/>
          </w:divBdr>
        </w:div>
        <w:div w:id="682635923">
          <w:marLeft w:val="360"/>
          <w:marRight w:val="0"/>
          <w:marTop w:val="200"/>
          <w:marBottom w:val="0"/>
          <w:divBdr>
            <w:top w:val="none" w:sz="0" w:space="0" w:color="auto"/>
            <w:left w:val="none" w:sz="0" w:space="0" w:color="auto"/>
            <w:bottom w:val="none" w:sz="0" w:space="0" w:color="auto"/>
            <w:right w:val="none" w:sz="0" w:space="0" w:color="auto"/>
          </w:divBdr>
        </w:div>
      </w:divsChild>
    </w:div>
    <w:div w:id="1418556935">
      <w:bodyDiv w:val="1"/>
      <w:marLeft w:val="0"/>
      <w:marRight w:val="0"/>
      <w:marTop w:val="0"/>
      <w:marBottom w:val="0"/>
      <w:divBdr>
        <w:top w:val="none" w:sz="0" w:space="0" w:color="auto"/>
        <w:left w:val="none" w:sz="0" w:space="0" w:color="auto"/>
        <w:bottom w:val="none" w:sz="0" w:space="0" w:color="auto"/>
        <w:right w:val="none" w:sz="0" w:space="0" w:color="auto"/>
      </w:divBdr>
      <w:divsChild>
        <w:div w:id="1370254673">
          <w:marLeft w:val="706"/>
          <w:marRight w:val="0"/>
          <w:marTop w:val="0"/>
          <w:marBottom w:val="0"/>
          <w:divBdr>
            <w:top w:val="none" w:sz="0" w:space="0" w:color="auto"/>
            <w:left w:val="none" w:sz="0" w:space="0" w:color="auto"/>
            <w:bottom w:val="none" w:sz="0" w:space="0" w:color="auto"/>
            <w:right w:val="none" w:sz="0" w:space="0" w:color="auto"/>
          </w:divBdr>
        </w:div>
      </w:divsChild>
    </w:div>
    <w:div w:id="1817335577">
      <w:bodyDiv w:val="1"/>
      <w:marLeft w:val="0"/>
      <w:marRight w:val="0"/>
      <w:marTop w:val="0"/>
      <w:marBottom w:val="0"/>
      <w:divBdr>
        <w:top w:val="none" w:sz="0" w:space="0" w:color="auto"/>
        <w:left w:val="none" w:sz="0" w:space="0" w:color="auto"/>
        <w:bottom w:val="none" w:sz="0" w:space="0" w:color="auto"/>
        <w:right w:val="none" w:sz="0" w:space="0" w:color="auto"/>
      </w:divBdr>
      <w:divsChild>
        <w:div w:id="756679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17588</Words>
  <Characters>100256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User</cp:lastModifiedBy>
  <cp:revision>2</cp:revision>
  <dcterms:created xsi:type="dcterms:W3CDTF">2022-11-08T19:29:00Z</dcterms:created>
  <dcterms:modified xsi:type="dcterms:W3CDTF">2022-11-08T19:29:00Z</dcterms:modified>
</cp:coreProperties>
</file>