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22F" w:rsidRPr="005D4748" w:rsidRDefault="005D4748" w:rsidP="005D4748">
      <w:pPr>
        <w:spacing w:after="0" w:line="240" w:lineRule="auto"/>
        <w:rPr>
          <w:rFonts w:ascii="Arial" w:hAnsi="Arial" w:cs="Arial"/>
          <w:b/>
          <w:sz w:val="20"/>
          <w:szCs w:val="20"/>
          <w:lang w:val="en-GB"/>
        </w:rPr>
      </w:pPr>
      <w:r>
        <w:rPr>
          <w:rFonts w:ascii="Arial" w:hAnsi="Arial" w:cs="Arial"/>
          <w:b/>
          <w:sz w:val="20"/>
          <w:szCs w:val="20"/>
          <w:lang w:val="en-GB"/>
        </w:rPr>
        <w:t>Budgetary Review a</w:t>
      </w:r>
      <w:r w:rsidRPr="005D4748">
        <w:rPr>
          <w:rFonts w:ascii="Arial" w:hAnsi="Arial" w:cs="Arial"/>
          <w:b/>
          <w:sz w:val="20"/>
          <w:szCs w:val="20"/>
          <w:lang w:val="en-GB"/>
        </w:rPr>
        <w:t>nd Recommendation Report of the Portfolio Committee on Higher Edu</w:t>
      </w:r>
      <w:r>
        <w:rPr>
          <w:rFonts w:ascii="Arial" w:hAnsi="Arial" w:cs="Arial"/>
          <w:b/>
          <w:sz w:val="20"/>
          <w:szCs w:val="20"/>
          <w:lang w:val="en-GB"/>
        </w:rPr>
        <w:t>cation, Science and Innovation on t</w:t>
      </w:r>
      <w:r w:rsidRPr="005D4748">
        <w:rPr>
          <w:rFonts w:ascii="Arial" w:hAnsi="Arial" w:cs="Arial"/>
          <w:b/>
          <w:sz w:val="20"/>
          <w:szCs w:val="20"/>
          <w:lang w:val="en-GB"/>
        </w:rPr>
        <w:t>he Performance of the</w:t>
      </w:r>
      <w:r>
        <w:rPr>
          <w:rFonts w:ascii="Arial" w:hAnsi="Arial" w:cs="Arial"/>
          <w:b/>
          <w:sz w:val="20"/>
          <w:szCs w:val="20"/>
          <w:lang w:val="en-GB"/>
        </w:rPr>
        <w:t xml:space="preserve"> Department o</w:t>
      </w:r>
      <w:r w:rsidRPr="005D4748">
        <w:rPr>
          <w:rFonts w:ascii="Arial" w:hAnsi="Arial" w:cs="Arial"/>
          <w:b/>
          <w:sz w:val="20"/>
          <w:szCs w:val="20"/>
          <w:lang w:val="en-GB"/>
        </w:rPr>
        <w:t>f Science and Innovation for the 2021/22 Financial Year, Dated 4 November 2022</w:t>
      </w:r>
    </w:p>
    <w:p w:rsidR="002C0C92" w:rsidRPr="005D4748" w:rsidRDefault="002C0C92" w:rsidP="005D4748">
      <w:pPr>
        <w:spacing w:after="0" w:line="240" w:lineRule="auto"/>
        <w:rPr>
          <w:rFonts w:ascii="Arial" w:hAnsi="Arial" w:cs="Arial"/>
          <w:sz w:val="20"/>
          <w:szCs w:val="20"/>
          <w:lang w:val="en-GB"/>
        </w:rPr>
      </w:pPr>
    </w:p>
    <w:p w:rsidR="0075422F" w:rsidRPr="005D4748" w:rsidRDefault="0075422F" w:rsidP="005D4748">
      <w:pPr>
        <w:spacing w:after="0" w:line="240" w:lineRule="auto"/>
        <w:rPr>
          <w:rFonts w:ascii="Arial" w:hAnsi="Arial" w:cs="Arial"/>
          <w:b/>
          <w:sz w:val="20"/>
          <w:szCs w:val="20"/>
          <w:lang w:val="en-GB"/>
        </w:rPr>
      </w:pPr>
      <w:r w:rsidRPr="005D4748">
        <w:rPr>
          <w:rFonts w:ascii="Arial" w:hAnsi="Arial" w:cs="Arial"/>
          <w:b/>
          <w:sz w:val="20"/>
          <w:szCs w:val="20"/>
          <w:lang w:val="en-GB"/>
        </w:rPr>
        <w:t xml:space="preserve">The Portfolio Committee on </w:t>
      </w:r>
      <w:r w:rsidR="006A21CC" w:rsidRPr="005D4748">
        <w:rPr>
          <w:rFonts w:ascii="Arial" w:hAnsi="Arial" w:cs="Arial"/>
          <w:b/>
          <w:sz w:val="20"/>
          <w:szCs w:val="20"/>
          <w:lang w:val="en-GB"/>
        </w:rPr>
        <w:t xml:space="preserve">Higher Education, </w:t>
      </w:r>
      <w:r w:rsidR="006E4A2F" w:rsidRPr="005D4748">
        <w:rPr>
          <w:rFonts w:ascii="Arial" w:hAnsi="Arial" w:cs="Arial"/>
          <w:b/>
          <w:sz w:val="20"/>
          <w:szCs w:val="20"/>
          <w:lang w:val="en-GB"/>
        </w:rPr>
        <w:t xml:space="preserve">Science and </w:t>
      </w:r>
      <w:r w:rsidR="00903A94" w:rsidRPr="005D4748">
        <w:rPr>
          <w:rFonts w:ascii="Arial" w:hAnsi="Arial" w:cs="Arial"/>
          <w:b/>
          <w:sz w:val="20"/>
          <w:szCs w:val="20"/>
          <w:lang w:val="en-GB"/>
        </w:rPr>
        <w:t>Innovation</w:t>
      </w:r>
      <w:r w:rsidRPr="005D4748">
        <w:rPr>
          <w:rFonts w:ascii="Arial" w:hAnsi="Arial" w:cs="Arial"/>
          <w:b/>
          <w:sz w:val="20"/>
          <w:szCs w:val="20"/>
          <w:lang w:val="en-GB"/>
        </w:rPr>
        <w:t xml:space="preserve">, having </w:t>
      </w:r>
      <w:r w:rsidR="00C35120" w:rsidRPr="005D4748">
        <w:rPr>
          <w:rFonts w:ascii="Arial" w:hAnsi="Arial" w:cs="Arial"/>
          <w:b/>
          <w:sz w:val="20"/>
          <w:szCs w:val="20"/>
          <w:lang w:val="en-GB"/>
        </w:rPr>
        <w:t xml:space="preserve">considered the performance </w:t>
      </w:r>
      <w:r w:rsidRPr="005D4748">
        <w:rPr>
          <w:rFonts w:ascii="Arial" w:hAnsi="Arial" w:cs="Arial"/>
          <w:b/>
          <w:sz w:val="20"/>
          <w:szCs w:val="20"/>
          <w:lang w:val="en-GB"/>
        </w:rPr>
        <w:t>of the Department</w:t>
      </w:r>
      <w:r w:rsidR="009C0105" w:rsidRPr="005D4748">
        <w:rPr>
          <w:rFonts w:ascii="Arial" w:hAnsi="Arial" w:cs="Arial"/>
          <w:b/>
          <w:sz w:val="20"/>
          <w:szCs w:val="20"/>
          <w:lang w:val="en-GB"/>
        </w:rPr>
        <w:t xml:space="preserve"> of Science and </w:t>
      </w:r>
      <w:r w:rsidR="00F93F79" w:rsidRPr="005D4748">
        <w:rPr>
          <w:rFonts w:ascii="Arial" w:hAnsi="Arial" w:cs="Arial"/>
          <w:b/>
          <w:sz w:val="20"/>
          <w:szCs w:val="20"/>
          <w:lang w:val="en-GB"/>
        </w:rPr>
        <w:t>Innovation</w:t>
      </w:r>
      <w:r w:rsidR="0052623E" w:rsidRPr="005D4748">
        <w:rPr>
          <w:rFonts w:ascii="Arial" w:hAnsi="Arial" w:cs="Arial"/>
          <w:b/>
          <w:sz w:val="20"/>
          <w:szCs w:val="20"/>
          <w:lang w:val="en-GB"/>
        </w:rPr>
        <w:t>, Council for Scientific and Industrial Research, Human Sciences Research Council, National Research Foundation</w:t>
      </w:r>
      <w:r w:rsidR="00903A94" w:rsidRPr="005D4748">
        <w:rPr>
          <w:rFonts w:ascii="Arial" w:hAnsi="Arial" w:cs="Arial"/>
          <w:b/>
          <w:sz w:val="20"/>
          <w:szCs w:val="20"/>
          <w:lang w:val="en-GB"/>
        </w:rPr>
        <w:t>,</w:t>
      </w:r>
      <w:r w:rsidR="0052623E" w:rsidRPr="005D4748">
        <w:rPr>
          <w:rFonts w:ascii="Arial" w:hAnsi="Arial" w:cs="Arial"/>
          <w:b/>
          <w:sz w:val="20"/>
          <w:szCs w:val="20"/>
          <w:lang w:val="en-GB"/>
        </w:rPr>
        <w:t xml:space="preserve"> South African National Space Agency </w:t>
      </w:r>
      <w:r w:rsidR="00903A94" w:rsidRPr="005D4748">
        <w:rPr>
          <w:rFonts w:ascii="Arial" w:hAnsi="Arial" w:cs="Arial"/>
          <w:b/>
          <w:sz w:val="20"/>
          <w:szCs w:val="20"/>
          <w:lang w:val="en-GB"/>
        </w:rPr>
        <w:t xml:space="preserve">and the Technology Innovation Agency </w:t>
      </w:r>
      <w:r w:rsidR="0052623E" w:rsidRPr="005D4748">
        <w:rPr>
          <w:rFonts w:ascii="Arial" w:hAnsi="Arial" w:cs="Arial"/>
          <w:b/>
          <w:sz w:val="20"/>
          <w:szCs w:val="20"/>
          <w:lang w:val="en-GB"/>
        </w:rPr>
        <w:t xml:space="preserve">for </w:t>
      </w:r>
      <w:r w:rsidR="00292704" w:rsidRPr="005D4748">
        <w:rPr>
          <w:rFonts w:ascii="Arial" w:hAnsi="Arial" w:cs="Arial"/>
          <w:b/>
          <w:sz w:val="20"/>
          <w:szCs w:val="20"/>
          <w:lang w:val="en-GB"/>
        </w:rPr>
        <w:t xml:space="preserve">the </w:t>
      </w:r>
      <w:r w:rsidR="006706C3" w:rsidRPr="005D4748">
        <w:rPr>
          <w:rFonts w:ascii="Arial" w:hAnsi="Arial" w:cs="Arial"/>
          <w:b/>
          <w:sz w:val="20"/>
          <w:szCs w:val="20"/>
          <w:lang w:val="en-GB"/>
        </w:rPr>
        <w:t>20</w:t>
      </w:r>
      <w:r w:rsidR="00D51E57" w:rsidRPr="005D4748">
        <w:rPr>
          <w:rFonts w:ascii="Arial" w:hAnsi="Arial" w:cs="Arial"/>
          <w:b/>
          <w:sz w:val="20"/>
          <w:szCs w:val="20"/>
          <w:lang w:val="en-GB"/>
        </w:rPr>
        <w:t>21</w:t>
      </w:r>
      <w:r w:rsidR="00903A94" w:rsidRPr="005D4748">
        <w:rPr>
          <w:rFonts w:ascii="Arial" w:hAnsi="Arial" w:cs="Arial"/>
          <w:b/>
          <w:sz w:val="20"/>
          <w:szCs w:val="20"/>
          <w:lang w:val="en-GB"/>
        </w:rPr>
        <w:t>/22</w:t>
      </w:r>
      <w:r w:rsidR="00F048C5" w:rsidRPr="005D4748">
        <w:rPr>
          <w:rFonts w:ascii="Arial" w:hAnsi="Arial" w:cs="Arial"/>
          <w:b/>
          <w:sz w:val="20"/>
          <w:szCs w:val="20"/>
          <w:lang w:val="en-GB"/>
        </w:rPr>
        <w:t xml:space="preserve"> financial year,</w:t>
      </w:r>
      <w:r w:rsidRPr="005D4748">
        <w:rPr>
          <w:rFonts w:ascii="Arial" w:hAnsi="Arial" w:cs="Arial"/>
          <w:b/>
          <w:sz w:val="20"/>
          <w:szCs w:val="20"/>
          <w:lang w:val="en-GB"/>
        </w:rPr>
        <w:t xml:space="preserve"> reports as follows:</w:t>
      </w:r>
    </w:p>
    <w:p w:rsidR="002C0C92" w:rsidRPr="005D4748" w:rsidRDefault="002C0C92" w:rsidP="005D4748">
      <w:pPr>
        <w:spacing w:after="0" w:line="240" w:lineRule="auto"/>
        <w:rPr>
          <w:rFonts w:ascii="Arial" w:hAnsi="Arial" w:cs="Arial"/>
          <w:sz w:val="20"/>
          <w:szCs w:val="20"/>
          <w:lang w:val="en-GB"/>
        </w:rPr>
      </w:pPr>
    </w:p>
    <w:p w:rsidR="0075422F" w:rsidRPr="005D4748" w:rsidRDefault="0075422F" w:rsidP="005D4748">
      <w:pPr>
        <w:pStyle w:val="ListParagraph"/>
        <w:numPr>
          <w:ilvl w:val="0"/>
          <w:numId w:val="1"/>
        </w:numPr>
        <w:spacing w:after="0" w:line="240" w:lineRule="auto"/>
        <w:ind w:left="0" w:firstLine="0"/>
        <w:rPr>
          <w:rFonts w:ascii="Arial" w:hAnsi="Arial" w:cs="Arial"/>
          <w:b/>
          <w:caps/>
          <w:sz w:val="20"/>
          <w:szCs w:val="20"/>
          <w:lang w:val="en-GB"/>
        </w:rPr>
      </w:pPr>
      <w:r w:rsidRPr="005D4748">
        <w:rPr>
          <w:rFonts w:ascii="Arial" w:hAnsi="Arial" w:cs="Arial"/>
          <w:b/>
          <w:caps/>
          <w:sz w:val="20"/>
          <w:szCs w:val="20"/>
          <w:lang w:val="en-GB"/>
        </w:rPr>
        <w:t>Introduction</w:t>
      </w:r>
    </w:p>
    <w:p w:rsidR="0075422F" w:rsidRPr="005D4748" w:rsidRDefault="0075422F" w:rsidP="005D4748">
      <w:pPr>
        <w:pStyle w:val="ListParagraph"/>
        <w:spacing w:after="0" w:line="240" w:lineRule="auto"/>
        <w:ind w:left="0"/>
        <w:rPr>
          <w:rFonts w:ascii="Arial" w:hAnsi="Arial" w:cs="Arial"/>
          <w:sz w:val="20"/>
          <w:szCs w:val="20"/>
          <w:lang w:val="en-GB"/>
        </w:rPr>
      </w:pPr>
    </w:p>
    <w:p w:rsidR="00182EE2" w:rsidRPr="005D4748" w:rsidRDefault="00C35120" w:rsidP="005D4748">
      <w:pPr>
        <w:pStyle w:val="ListParagraph"/>
        <w:numPr>
          <w:ilvl w:val="1"/>
          <w:numId w:val="1"/>
        </w:numPr>
        <w:spacing w:after="0" w:line="240" w:lineRule="auto"/>
        <w:ind w:left="0" w:firstLine="0"/>
        <w:rPr>
          <w:rFonts w:ascii="Arial" w:hAnsi="Arial" w:cs="Arial"/>
          <w:b/>
          <w:sz w:val="20"/>
          <w:szCs w:val="20"/>
          <w:lang w:val="en-GB"/>
        </w:rPr>
      </w:pPr>
      <w:r w:rsidRPr="005D4748">
        <w:rPr>
          <w:rFonts w:ascii="Arial" w:hAnsi="Arial" w:cs="Arial"/>
          <w:b/>
          <w:sz w:val="20"/>
          <w:szCs w:val="20"/>
          <w:lang w:val="en-GB"/>
        </w:rPr>
        <w:t xml:space="preserve">Mandate </w:t>
      </w:r>
      <w:r w:rsidR="00CD29EC" w:rsidRPr="005D4748">
        <w:rPr>
          <w:rFonts w:ascii="Arial" w:hAnsi="Arial" w:cs="Arial"/>
          <w:b/>
          <w:sz w:val="20"/>
          <w:szCs w:val="20"/>
          <w:lang w:val="en-GB"/>
        </w:rPr>
        <w:t xml:space="preserve">of the Portfolio Committee on </w:t>
      </w:r>
      <w:r w:rsidR="006A21CC" w:rsidRPr="005D4748">
        <w:rPr>
          <w:rFonts w:ascii="Arial" w:hAnsi="Arial" w:cs="Arial"/>
          <w:b/>
          <w:sz w:val="20"/>
          <w:szCs w:val="20"/>
          <w:lang w:val="en-GB"/>
        </w:rPr>
        <w:t xml:space="preserve">Higher Education, </w:t>
      </w:r>
      <w:r w:rsidR="00CD29EC" w:rsidRPr="005D4748">
        <w:rPr>
          <w:rFonts w:ascii="Arial" w:hAnsi="Arial" w:cs="Arial"/>
          <w:b/>
          <w:sz w:val="20"/>
          <w:szCs w:val="20"/>
          <w:lang w:val="en-GB"/>
        </w:rPr>
        <w:t xml:space="preserve">Science and </w:t>
      </w:r>
      <w:r w:rsidR="00903A94" w:rsidRPr="005D4748">
        <w:rPr>
          <w:rFonts w:ascii="Arial" w:hAnsi="Arial" w:cs="Arial"/>
          <w:b/>
          <w:sz w:val="20"/>
          <w:szCs w:val="20"/>
          <w:lang w:val="en-GB"/>
        </w:rPr>
        <w:t>Innovation</w:t>
      </w:r>
    </w:p>
    <w:p w:rsidR="00182EE2" w:rsidRPr="005D4748" w:rsidRDefault="00182EE2" w:rsidP="005D4748">
      <w:pPr>
        <w:pStyle w:val="ListParagraph"/>
        <w:spacing w:after="0" w:line="240" w:lineRule="auto"/>
        <w:ind w:left="0"/>
        <w:rPr>
          <w:rFonts w:ascii="Arial" w:hAnsi="Arial" w:cs="Arial"/>
          <w:sz w:val="20"/>
          <w:szCs w:val="20"/>
          <w:lang w:val="en-GB"/>
        </w:rPr>
      </w:pPr>
    </w:p>
    <w:p w:rsidR="00BA4F80" w:rsidRPr="005D4748" w:rsidRDefault="00EB41CE" w:rsidP="005D4748">
      <w:pPr>
        <w:autoSpaceDE w:val="0"/>
        <w:autoSpaceDN w:val="0"/>
        <w:adjustRightInd w:val="0"/>
        <w:spacing w:after="0" w:line="240" w:lineRule="auto"/>
        <w:rPr>
          <w:rFonts w:ascii="Arial" w:hAnsi="Arial" w:cs="Arial"/>
          <w:sz w:val="20"/>
          <w:szCs w:val="20"/>
          <w:lang w:val="en-GB"/>
        </w:rPr>
      </w:pPr>
      <w:r w:rsidRPr="005D4748">
        <w:rPr>
          <w:rFonts w:ascii="Arial" w:hAnsi="Arial" w:cs="Arial"/>
          <w:sz w:val="20"/>
          <w:szCs w:val="20"/>
          <w:lang w:val="en-GB"/>
        </w:rPr>
        <w:t xml:space="preserve">The </w:t>
      </w:r>
      <w:r w:rsidR="00DB08FB" w:rsidRPr="005D4748">
        <w:rPr>
          <w:rFonts w:ascii="Arial" w:hAnsi="Arial" w:cs="Arial"/>
          <w:sz w:val="20"/>
          <w:szCs w:val="20"/>
          <w:lang w:val="en-GB"/>
        </w:rPr>
        <w:t xml:space="preserve">Portfolio Committee on </w:t>
      </w:r>
      <w:r w:rsidR="006A21CC" w:rsidRPr="005D4748">
        <w:rPr>
          <w:rFonts w:ascii="Arial" w:hAnsi="Arial" w:cs="Arial"/>
          <w:sz w:val="20"/>
          <w:szCs w:val="20"/>
          <w:lang w:val="en-GB"/>
        </w:rPr>
        <w:t xml:space="preserve">Higher Education, </w:t>
      </w:r>
      <w:r w:rsidR="00DB08FB" w:rsidRPr="005D4748">
        <w:rPr>
          <w:rFonts w:ascii="Arial" w:hAnsi="Arial" w:cs="Arial"/>
          <w:sz w:val="20"/>
          <w:szCs w:val="20"/>
          <w:lang w:val="en-GB"/>
        </w:rPr>
        <w:t xml:space="preserve">Science and </w:t>
      </w:r>
      <w:r w:rsidR="00903A94" w:rsidRPr="005D4748">
        <w:rPr>
          <w:rFonts w:ascii="Arial" w:hAnsi="Arial" w:cs="Arial"/>
          <w:sz w:val="20"/>
          <w:szCs w:val="20"/>
          <w:lang w:val="en-GB"/>
        </w:rPr>
        <w:t xml:space="preserve">Innovation </w:t>
      </w:r>
      <w:r w:rsidR="00DB08FB" w:rsidRPr="005D4748">
        <w:rPr>
          <w:rFonts w:ascii="Arial" w:hAnsi="Arial" w:cs="Arial"/>
          <w:sz w:val="20"/>
          <w:szCs w:val="20"/>
          <w:lang w:val="en-GB"/>
        </w:rPr>
        <w:t>(</w:t>
      </w:r>
      <w:r w:rsidR="006A21CC" w:rsidRPr="005D4748">
        <w:rPr>
          <w:rFonts w:ascii="Arial" w:hAnsi="Arial" w:cs="Arial"/>
          <w:sz w:val="20"/>
          <w:szCs w:val="20"/>
          <w:lang w:val="en-GB"/>
        </w:rPr>
        <w:t xml:space="preserve">hereafter, </w:t>
      </w:r>
      <w:r w:rsidR="00D029C0" w:rsidRPr="005D4748">
        <w:rPr>
          <w:rFonts w:ascii="Arial" w:hAnsi="Arial" w:cs="Arial"/>
          <w:sz w:val="20"/>
          <w:szCs w:val="20"/>
          <w:lang w:val="en-GB"/>
        </w:rPr>
        <w:t xml:space="preserve">the </w:t>
      </w:r>
      <w:r w:rsidRPr="005D4748">
        <w:rPr>
          <w:rFonts w:ascii="Arial" w:hAnsi="Arial" w:cs="Arial"/>
          <w:sz w:val="20"/>
          <w:szCs w:val="20"/>
          <w:lang w:val="en-GB"/>
        </w:rPr>
        <w:t>Committee</w:t>
      </w:r>
      <w:r w:rsidR="00DB08FB" w:rsidRPr="005D4748">
        <w:rPr>
          <w:rFonts w:ascii="Arial" w:hAnsi="Arial" w:cs="Arial"/>
          <w:sz w:val="20"/>
          <w:szCs w:val="20"/>
          <w:lang w:val="en-GB"/>
        </w:rPr>
        <w:t>)</w:t>
      </w:r>
      <w:r w:rsidRPr="005D4748">
        <w:rPr>
          <w:rFonts w:ascii="Arial" w:hAnsi="Arial" w:cs="Arial"/>
          <w:sz w:val="20"/>
          <w:szCs w:val="20"/>
          <w:lang w:val="en-GB"/>
        </w:rPr>
        <w:t xml:space="preserve"> is</w:t>
      </w:r>
      <w:r w:rsidR="00597CF4" w:rsidRPr="005D4748">
        <w:rPr>
          <w:rFonts w:ascii="Arial" w:hAnsi="Arial" w:cs="Arial"/>
          <w:sz w:val="20"/>
          <w:szCs w:val="20"/>
          <w:lang w:val="en-GB"/>
        </w:rPr>
        <w:t xml:space="preserve"> mandated by the Constitution and the Rules of Parliament to oversee the activities and performance of </w:t>
      </w:r>
      <w:r w:rsidRPr="005D4748">
        <w:rPr>
          <w:rFonts w:ascii="Arial" w:hAnsi="Arial" w:cs="Arial"/>
          <w:sz w:val="20"/>
          <w:szCs w:val="20"/>
          <w:lang w:val="en-GB"/>
        </w:rPr>
        <w:t xml:space="preserve">the Department of Science and </w:t>
      </w:r>
      <w:r w:rsidR="00F93F79" w:rsidRPr="005D4748">
        <w:rPr>
          <w:rFonts w:ascii="Arial" w:hAnsi="Arial" w:cs="Arial"/>
          <w:sz w:val="20"/>
          <w:szCs w:val="20"/>
          <w:lang w:val="en-GB"/>
        </w:rPr>
        <w:t>Innovation</w:t>
      </w:r>
      <w:r w:rsidRPr="005D4748">
        <w:rPr>
          <w:rFonts w:ascii="Arial" w:hAnsi="Arial" w:cs="Arial"/>
          <w:sz w:val="20"/>
          <w:szCs w:val="20"/>
          <w:lang w:val="en-GB"/>
        </w:rPr>
        <w:t xml:space="preserve"> (</w:t>
      </w:r>
      <w:r w:rsidR="006A21CC" w:rsidRPr="005D4748">
        <w:rPr>
          <w:rFonts w:ascii="Arial" w:hAnsi="Arial" w:cs="Arial"/>
          <w:sz w:val="20"/>
          <w:szCs w:val="20"/>
          <w:lang w:val="en-GB"/>
        </w:rPr>
        <w:t xml:space="preserve">hereafter, </w:t>
      </w:r>
      <w:r w:rsidRPr="005D4748">
        <w:rPr>
          <w:rFonts w:ascii="Arial" w:hAnsi="Arial" w:cs="Arial"/>
          <w:sz w:val="20"/>
          <w:szCs w:val="20"/>
          <w:lang w:val="en-GB"/>
        </w:rPr>
        <w:t>the Department</w:t>
      </w:r>
      <w:r w:rsidR="00BD12E6" w:rsidRPr="005D4748">
        <w:rPr>
          <w:rFonts w:ascii="Arial" w:hAnsi="Arial" w:cs="Arial"/>
          <w:sz w:val="20"/>
          <w:szCs w:val="20"/>
          <w:lang w:val="en-GB"/>
        </w:rPr>
        <w:t xml:space="preserve"> or DS</w:t>
      </w:r>
      <w:r w:rsidR="00F93F79" w:rsidRPr="005D4748">
        <w:rPr>
          <w:rFonts w:ascii="Arial" w:hAnsi="Arial" w:cs="Arial"/>
          <w:sz w:val="20"/>
          <w:szCs w:val="20"/>
          <w:lang w:val="en-GB"/>
        </w:rPr>
        <w:t>I</w:t>
      </w:r>
      <w:r w:rsidRPr="005D4748">
        <w:rPr>
          <w:rFonts w:ascii="Arial" w:hAnsi="Arial" w:cs="Arial"/>
          <w:sz w:val="20"/>
          <w:szCs w:val="20"/>
          <w:lang w:val="en-GB"/>
        </w:rPr>
        <w:t xml:space="preserve">) and the </w:t>
      </w:r>
      <w:r w:rsidR="00597CF4" w:rsidRPr="005D4748">
        <w:rPr>
          <w:rFonts w:ascii="Arial" w:hAnsi="Arial" w:cs="Arial"/>
          <w:sz w:val="20"/>
          <w:szCs w:val="20"/>
          <w:lang w:val="en-GB"/>
        </w:rPr>
        <w:t xml:space="preserve">entities that report to it. </w:t>
      </w:r>
      <w:r w:rsidR="00D22C0C" w:rsidRPr="005D4748">
        <w:rPr>
          <w:rFonts w:ascii="Arial" w:hAnsi="Arial" w:cs="Arial"/>
          <w:sz w:val="20"/>
          <w:szCs w:val="20"/>
          <w:lang w:val="en-GB"/>
        </w:rPr>
        <w:t>Furthermore</w:t>
      </w:r>
      <w:r w:rsidR="002D7D39" w:rsidRPr="005D4748">
        <w:rPr>
          <w:rFonts w:ascii="Arial" w:hAnsi="Arial" w:cs="Arial"/>
          <w:sz w:val="20"/>
          <w:szCs w:val="20"/>
          <w:lang w:val="en-GB"/>
        </w:rPr>
        <w:t>, the Committee must consider, amend and/or initiate legislation; consider international agreements and provide a platform for the public to present views on issues and/or legislation specific to the science, technology and innovation</w:t>
      </w:r>
      <w:r w:rsidR="00AC4747" w:rsidRPr="005D4748">
        <w:rPr>
          <w:rFonts w:ascii="Arial" w:hAnsi="Arial" w:cs="Arial"/>
          <w:sz w:val="20"/>
          <w:szCs w:val="20"/>
          <w:lang w:val="en-GB"/>
        </w:rPr>
        <w:t xml:space="preserve"> (STI)</w:t>
      </w:r>
      <w:r w:rsidR="002D7D39" w:rsidRPr="005D4748">
        <w:rPr>
          <w:rFonts w:ascii="Arial" w:hAnsi="Arial" w:cs="Arial"/>
          <w:sz w:val="20"/>
          <w:szCs w:val="20"/>
          <w:lang w:val="en-GB"/>
        </w:rPr>
        <w:t xml:space="preserve"> system.</w:t>
      </w:r>
    </w:p>
    <w:p w:rsidR="00AE2D60" w:rsidRPr="005D4748" w:rsidRDefault="00AE2D60" w:rsidP="005D4748">
      <w:pPr>
        <w:autoSpaceDE w:val="0"/>
        <w:autoSpaceDN w:val="0"/>
        <w:adjustRightInd w:val="0"/>
        <w:spacing w:after="0" w:line="240" w:lineRule="auto"/>
        <w:rPr>
          <w:rFonts w:ascii="Arial" w:hAnsi="Arial" w:cs="Arial"/>
          <w:sz w:val="20"/>
          <w:szCs w:val="20"/>
          <w:lang w:val="en-GB"/>
        </w:rPr>
      </w:pPr>
    </w:p>
    <w:p w:rsidR="00CE10A5" w:rsidRPr="005D4748" w:rsidRDefault="00D22C0C" w:rsidP="005D4748">
      <w:pPr>
        <w:pStyle w:val="ListParagraph"/>
        <w:numPr>
          <w:ilvl w:val="1"/>
          <w:numId w:val="1"/>
        </w:numPr>
        <w:spacing w:after="0" w:line="240" w:lineRule="auto"/>
        <w:ind w:left="567" w:hanging="567"/>
        <w:contextualSpacing w:val="0"/>
        <w:rPr>
          <w:rFonts w:ascii="Arial" w:hAnsi="Arial" w:cs="Arial"/>
          <w:b/>
          <w:sz w:val="20"/>
          <w:szCs w:val="20"/>
          <w:lang w:val="en-GB"/>
        </w:rPr>
      </w:pPr>
      <w:r w:rsidRPr="005D4748">
        <w:rPr>
          <w:rFonts w:ascii="Arial" w:hAnsi="Arial" w:cs="Arial"/>
          <w:b/>
          <w:sz w:val="20"/>
          <w:szCs w:val="20"/>
          <w:lang w:val="en-GB"/>
        </w:rPr>
        <w:t>Purpose of and m</w:t>
      </w:r>
      <w:r w:rsidR="00CE10A5" w:rsidRPr="005D4748">
        <w:rPr>
          <w:rFonts w:ascii="Arial" w:hAnsi="Arial" w:cs="Arial"/>
          <w:b/>
          <w:sz w:val="20"/>
          <w:szCs w:val="20"/>
          <w:lang w:val="en-GB"/>
        </w:rPr>
        <w:t>ethod to develop the 20</w:t>
      </w:r>
      <w:r w:rsidR="00F93F79" w:rsidRPr="005D4748">
        <w:rPr>
          <w:rFonts w:ascii="Arial" w:hAnsi="Arial" w:cs="Arial"/>
          <w:b/>
          <w:sz w:val="20"/>
          <w:szCs w:val="20"/>
          <w:lang w:val="en-GB"/>
        </w:rPr>
        <w:t>2</w:t>
      </w:r>
      <w:r w:rsidR="00903A94" w:rsidRPr="005D4748">
        <w:rPr>
          <w:rFonts w:ascii="Arial" w:hAnsi="Arial" w:cs="Arial"/>
          <w:b/>
          <w:sz w:val="20"/>
          <w:szCs w:val="20"/>
          <w:lang w:val="en-GB"/>
        </w:rPr>
        <w:t>2</w:t>
      </w:r>
      <w:r w:rsidR="00CE10A5" w:rsidRPr="005D4748">
        <w:rPr>
          <w:rFonts w:ascii="Arial" w:hAnsi="Arial" w:cs="Arial"/>
          <w:b/>
          <w:sz w:val="20"/>
          <w:szCs w:val="20"/>
          <w:lang w:val="en-GB"/>
        </w:rPr>
        <w:t xml:space="preserve"> Budget</w:t>
      </w:r>
      <w:r w:rsidR="00AC4747" w:rsidRPr="005D4748">
        <w:rPr>
          <w:rFonts w:ascii="Arial" w:hAnsi="Arial" w:cs="Arial"/>
          <w:b/>
          <w:sz w:val="20"/>
          <w:szCs w:val="20"/>
          <w:lang w:val="en-GB"/>
        </w:rPr>
        <w:t>ary</w:t>
      </w:r>
      <w:r w:rsidR="00CE10A5" w:rsidRPr="005D4748">
        <w:rPr>
          <w:rFonts w:ascii="Arial" w:hAnsi="Arial" w:cs="Arial"/>
          <w:b/>
          <w:sz w:val="20"/>
          <w:szCs w:val="20"/>
          <w:lang w:val="en-GB"/>
        </w:rPr>
        <w:t xml:space="preserve"> Review and Recommendation Report of the Portfolio Committee on</w:t>
      </w:r>
      <w:r w:rsidR="006A21CC" w:rsidRPr="005D4748">
        <w:rPr>
          <w:rFonts w:ascii="Arial" w:hAnsi="Arial" w:cs="Arial"/>
          <w:b/>
          <w:sz w:val="20"/>
          <w:szCs w:val="20"/>
          <w:lang w:val="en-GB"/>
        </w:rPr>
        <w:t xml:space="preserve"> Higher Education,</w:t>
      </w:r>
      <w:r w:rsidR="00CE10A5" w:rsidRPr="005D4748">
        <w:rPr>
          <w:rFonts w:ascii="Arial" w:hAnsi="Arial" w:cs="Arial"/>
          <w:b/>
          <w:sz w:val="20"/>
          <w:szCs w:val="20"/>
          <w:lang w:val="en-GB"/>
        </w:rPr>
        <w:t xml:space="preserve"> Science and </w:t>
      </w:r>
      <w:r w:rsidR="00903A94" w:rsidRPr="005D4748">
        <w:rPr>
          <w:rFonts w:ascii="Arial" w:hAnsi="Arial" w:cs="Arial"/>
          <w:b/>
          <w:sz w:val="20"/>
          <w:szCs w:val="20"/>
          <w:lang w:val="en-GB"/>
        </w:rPr>
        <w:t>Innovation</w:t>
      </w:r>
    </w:p>
    <w:p w:rsidR="00CE10A5" w:rsidRPr="005D4748" w:rsidRDefault="00CE10A5" w:rsidP="005D4748">
      <w:pPr>
        <w:spacing w:after="0" w:line="240" w:lineRule="auto"/>
        <w:rPr>
          <w:rFonts w:ascii="Arial" w:hAnsi="Arial" w:cs="Arial"/>
          <w:sz w:val="20"/>
          <w:szCs w:val="20"/>
          <w:lang w:val="en-GB"/>
        </w:rPr>
      </w:pPr>
    </w:p>
    <w:p w:rsidR="00707075" w:rsidRPr="005D4748" w:rsidRDefault="00707075" w:rsidP="005D4748">
      <w:pPr>
        <w:spacing w:after="0" w:line="240" w:lineRule="auto"/>
        <w:rPr>
          <w:rFonts w:ascii="Arial" w:hAnsi="Arial" w:cs="Arial"/>
          <w:sz w:val="20"/>
          <w:szCs w:val="20"/>
          <w:lang w:val="en-GB"/>
        </w:rPr>
      </w:pPr>
      <w:r w:rsidRPr="005D4748">
        <w:rPr>
          <w:rFonts w:ascii="Arial" w:hAnsi="Arial" w:cs="Arial"/>
          <w:sz w:val="20"/>
          <w:szCs w:val="20"/>
          <w:lang w:val="en-GB"/>
        </w:rPr>
        <w:t>To enhance Parliament’s oversight role, the Money Bills Amendment Procedure and Related Matters Act (No. 9 of 2009) was promulgated to provide Parliament with a procedure to make recommendations to the Minister of Finance to amend the budget of a national department. A key provision of this Act is that Portfolio Committees must annually compile Budgetary Review and Recommendation (BRR) Reports. These BRR Reports provide an assessment of service delivery performance given available resources; evaluates the effective and efficient use of resources; and may make recommendations on the forward use of resources. The BRR Reports are also source documents for the Committees on Appropriations when they make recommendations to the Houses of Parliament on the Medium-Term Budget Policy Statement (MTBPS).</w:t>
      </w:r>
    </w:p>
    <w:p w:rsidR="00707075" w:rsidRPr="005D4748" w:rsidRDefault="00707075" w:rsidP="005D4748">
      <w:pPr>
        <w:spacing w:after="0" w:line="240" w:lineRule="auto"/>
        <w:rPr>
          <w:rFonts w:ascii="Arial" w:hAnsi="Arial" w:cs="Arial"/>
          <w:sz w:val="20"/>
          <w:szCs w:val="20"/>
          <w:lang w:val="en-GB"/>
        </w:rPr>
      </w:pPr>
    </w:p>
    <w:p w:rsidR="00E34B4F" w:rsidRPr="005D4748" w:rsidRDefault="00C47B66" w:rsidP="005D4748">
      <w:pPr>
        <w:spacing w:after="0" w:line="240" w:lineRule="auto"/>
        <w:rPr>
          <w:rFonts w:ascii="Arial" w:hAnsi="Arial" w:cs="Arial"/>
          <w:sz w:val="20"/>
          <w:szCs w:val="20"/>
          <w:lang w:val="en-GB"/>
        </w:rPr>
      </w:pPr>
      <w:r w:rsidRPr="005D4748">
        <w:rPr>
          <w:rFonts w:ascii="Arial" w:hAnsi="Arial" w:cs="Arial"/>
          <w:sz w:val="20"/>
          <w:szCs w:val="20"/>
          <w:lang w:val="en-GB"/>
        </w:rPr>
        <w:t>Accordingly</w:t>
      </w:r>
      <w:r w:rsidR="005D194E" w:rsidRPr="005D4748">
        <w:rPr>
          <w:rFonts w:ascii="Arial" w:hAnsi="Arial" w:cs="Arial"/>
          <w:sz w:val="20"/>
          <w:szCs w:val="20"/>
          <w:lang w:val="en-GB"/>
        </w:rPr>
        <w:t xml:space="preserve">, </w:t>
      </w:r>
      <w:r w:rsidR="009178E3" w:rsidRPr="005D4748">
        <w:rPr>
          <w:rFonts w:ascii="Arial" w:hAnsi="Arial" w:cs="Arial"/>
          <w:sz w:val="20"/>
          <w:szCs w:val="20"/>
          <w:lang w:val="en-GB"/>
        </w:rPr>
        <w:t>the Committee</w:t>
      </w:r>
      <w:r w:rsidR="002039EC" w:rsidRPr="005D4748">
        <w:rPr>
          <w:rFonts w:ascii="Arial" w:hAnsi="Arial" w:cs="Arial"/>
          <w:sz w:val="20"/>
          <w:szCs w:val="20"/>
          <w:lang w:val="en-GB"/>
        </w:rPr>
        <w:t xml:space="preserve"> </w:t>
      </w:r>
      <w:r w:rsidR="00B42DE3" w:rsidRPr="005D4748">
        <w:rPr>
          <w:rFonts w:ascii="Arial" w:hAnsi="Arial" w:cs="Arial"/>
          <w:sz w:val="20"/>
          <w:szCs w:val="20"/>
          <w:lang w:val="en-GB"/>
        </w:rPr>
        <w:t>c</w:t>
      </w:r>
      <w:r w:rsidR="00C330DD" w:rsidRPr="005D4748">
        <w:rPr>
          <w:rFonts w:ascii="Arial" w:hAnsi="Arial" w:cs="Arial"/>
          <w:sz w:val="20"/>
          <w:szCs w:val="20"/>
          <w:lang w:val="en-GB"/>
        </w:rPr>
        <w:t>onsider</w:t>
      </w:r>
      <w:r w:rsidR="00137261" w:rsidRPr="005D4748">
        <w:rPr>
          <w:rFonts w:ascii="Arial" w:hAnsi="Arial" w:cs="Arial"/>
          <w:sz w:val="20"/>
          <w:szCs w:val="20"/>
          <w:lang w:val="en-GB"/>
        </w:rPr>
        <w:t>ed</w:t>
      </w:r>
      <w:r w:rsidR="00C330DD" w:rsidRPr="005D4748">
        <w:rPr>
          <w:rFonts w:ascii="Arial" w:hAnsi="Arial" w:cs="Arial"/>
          <w:sz w:val="20"/>
          <w:szCs w:val="20"/>
          <w:lang w:val="en-GB"/>
        </w:rPr>
        <w:t xml:space="preserve"> t</w:t>
      </w:r>
      <w:r w:rsidR="00607A60" w:rsidRPr="005D4748">
        <w:rPr>
          <w:rFonts w:ascii="Arial" w:hAnsi="Arial" w:cs="Arial"/>
          <w:sz w:val="20"/>
          <w:szCs w:val="20"/>
          <w:lang w:val="en-GB"/>
        </w:rPr>
        <w:t xml:space="preserve">he </w:t>
      </w:r>
      <w:r w:rsidR="00AA2EAB" w:rsidRPr="005D4748">
        <w:rPr>
          <w:rFonts w:ascii="Arial" w:hAnsi="Arial" w:cs="Arial"/>
          <w:sz w:val="20"/>
          <w:szCs w:val="20"/>
          <w:lang w:val="en-GB"/>
        </w:rPr>
        <w:t xml:space="preserve">Department and entities’ </w:t>
      </w:r>
      <w:r w:rsidR="006C3A06" w:rsidRPr="005D4748">
        <w:rPr>
          <w:rFonts w:ascii="Arial" w:hAnsi="Arial" w:cs="Arial"/>
          <w:sz w:val="20"/>
          <w:szCs w:val="20"/>
          <w:lang w:val="en-GB"/>
        </w:rPr>
        <w:t>2021</w:t>
      </w:r>
      <w:r w:rsidR="00903A94" w:rsidRPr="005D4748">
        <w:rPr>
          <w:rFonts w:ascii="Arial" w:hAnsi="Arial" w:cs="Arial"/>
          <w:sz w:val="20"/>
          <w:szCs w:val="20"/>
          <w:lang w:val="en-GB"/>
        </w:rPr>
        <w:t>/22</w:t>
      </w:r>
      <w:r w:rsidR="006C3A06" w:rsidRPr="005D4748">
        <w:rPr>
          <w:rFonts w:ascii="Arial" w:hAnsi="Arial" w:cs="Arial"/>
          <w:sz w:val="20"/>
          <w:szCs w:val="20"/>
          <w:lang w:val="en-GB"/>
        </w:rPr>
        <w:t xml:space="preserve"> Annual Performance </w:t>
      </w:r>
      <w:r w:rsidR="00607A60" w:rsidRPr="005D4748">
        <w:rPr>
          <w:rFonts w:ascii="Arial" w:hAnsi="Arial" w:cs="Arial"/>
          <w:sz w:val="20"/>
          <w:szCs w:val="20"/>
          <w:lang w:val="en-GB"/>
        </w:rPr>
        <w:t>Plan</w:t>
      </w:r>
      <w:r w:rsidR="00414255" w:rsidRPr="005D4748">
        <w:rPr>
          <w:rFonts w:ascii="Arial" w:hAnsi="Arial" w:cs="Arial"/>
          <w:sz w:val="20"/>
          <w:szCs w:val="20"/>
          <w:lang w:val="en-GB"/>
        </w:rPr>
        <w:t>s</w:t>
      </w:r>
      <w:r w:rsidR="00137261" w:rsidRPr="005D4748">
        <w:rPr>
          <w:rFonts w:ascii="Arial" w:hAnsi="Arial" w:cs="Arial"/>
          <w:sz w:val="20"/>
          <w:szCs w:val="20"/>
          <w:lang w:val="en-GB"/>
        </w:rPr>
        <w:t>,</w:t>
      </w:r>
      <w:r w:rsidR="00607A60" w:rsidRPr="005D4748">
        <w:rPr>
          <w:rFonts w:ascii="Arial" w:hAnsi="Arial" w:cs="Arial"/>
          <w:sz w:val="20"/>
          <w:szCs w:val="20"/>
          <w:lang w:val="en-GB"/>
        </w:rPr>
        <w:t xml:space="preserve"> </w:t>
      </w:r>
      <w:r w:rsidR="00C330DD" w:rsidRPr="005D4748">
        <w:rPr>
          <w:rFonts w:ascii="Arial" w:hAnsi="Arial" w:cs="Arial"/>
          <w:sz w:val="20"/>
          <w:szCs w:val="20"/>
          <w:lang w:val="en-GB"/>
        </w:rPr>
        <w:t>b</w:t>
      </w:r>
      <w:r w:rsidR="00414255" w:rsidRPr="005D4748">
        <w:rPr>
          <w:rFonts w:ascii="Arial" w:hAnsi="Arial" w:cs="Arial"/>
          <w:sz w:val="20"/>
          <w:szCs w:val="20"/>
          <w:lang w:val="en-GB"/>
        </w:rPr>
        <w:t>udget</w:t>
      </w:r>
      <w:r w:rsidR="00B36D14" w:rsidRPr="005D4748">
        <w:rPr>
          <w:rFonts w:ascii="Arial" w:hAnsi="Arial" w:cs="Arial"/>
          <w:sz w:val="20"/>
          <w:szCs w:val="20"/>
          <w:lang w:val="en-GB"/>
        </w:rPr>
        <w:t xml:space="preserve"> </w:t>
      </w:r>
      <w:r w:rsidR="00414255" w:rsidRPr="005D4748">
        <w:rPr>
          <w:rFonts w:ascii="Arial" w:hAnsi="Arial" w:cs="Arial"/>
          <w:sz w:val="20"/>
          <w:szCs w:val="20"/>
          <w:lang w:val="en-GB"/>
        </w:rPr>
        <w:t>allocations</w:t>
      </w:r>
      <w:r w:rsidR="00B42DE3" w:rsidRPr="005D4748">
        <w:rPr>
          <w:rFonts w:ascii="Arial" w:hAnsi="Arial" w:cs="Arial"/>
          <w:sz w:val="20"/>
          <w:szCs w:val="20"/>
          <w:lang w:val="en-GB"/>
        </w:rPr>
        <w:t xml:space="preserve">, </w:t>
      </w:r>
      <w:r w:rsidR="00607A60" w:rsidRPr="005D4748">
        <w:rPr>
          <w:rFonts w:ascii="Arial" w:hAnsi="Arial" w:cs="Arial"/>
          <w:sz w:val="20"/>
          <w:szCs w:val="20"/>
          <w:lang w:val="en-GB"/>
        </w:rPr>
        <w:t>quarterly performance and expenditure trends</w:t>
      </w:r>
      <w:r w:rsidR="00B42DE3" w:rsidRPr="005D4748">
        <w:rPr>
          <w:rFonts w:ascii="Arial" w:hAnsi="Arial" w:cs="Arial"/>
          <w:sz w:val="20"/>
          <w:szCs w:val="20"/>
          <w:lang w:val="en-GB"/>
        </w:rPr>
        <w:t>, and c</w:t>
      </w:r>
      <w:r w:rsidR="00414255" w:rsidRPr="005D4748">
        <w:rPr>
          <w:rFonts w:ascii="Arial" w:hAnsi="Arial" w:cs="Arial"/>
          <w:sz w:val="20"/>
          <w:szCs w:val="20"/>
          <w:lang w:val="en-GB"/>
        </w:rPr>
        <w:t>onduct</w:t>
      </w:r>
      <w:r w:rsidR="00137261" w:rsidRPr="005D4748">
        <w:rPr>
          <w:rFonts w:ascii="Arial" w:hAnsi="Arial" w:cs="Arial"/>
          <w:sz w:val="20"/>
          <w:szCs w:val="20"/>
          <w:lang w:val="en-GB"/>
        </w:rPr>
        <w:t>ed</w:t>
      </w:r>
      <w:r w:rsidR="00414255" w:rsidRPr="005D4748">
        <w:rPr>
          <w:rFonts w:ascii="Arial" w:hAnsi="Arial" w:cs="Arial"/>
          <w:sz w:val="20"/>
          <w:szCs w:val="20"/>
          <w:lang w:val="en-GB"/>
        </w:rPr>
        <w:t xml:space="preserve"> oversight by having briefings on specific initiatives and programmes</w:t>
      </w:r>
      <w:r w:rsidR="00B36D14" w:rsidRPr="005D4748">
        <w:rPr>
          <w:rFonts w:ascii="Arial" w:hAnsi="Arial" w:cs="Arial"/>
          <w:sz w:val="20"/>
          <w:szCs w:val="20"/>
          <w:lang w:val="en-GB"/>
        </w:rPr>
        <w:t>.</w:t>
      </w:r>
      <w:r w:rsidRPr="005D4748">
        <w:rPr>
          <w:rFonts w:ascii="Arial" w:hAnsi="Arial" w:cs="Arial"/>
          <w:sz w:val="20"/>
          <w:szCs w:val="20"/>
          <w:lang w:val="en-GB"/>
        </w:rPr>
        <w:t xml:space="preserve"> </w:t>
      </w:r>
      <w:r w:rsidR="00724C97" w:rsidRPr="005D4748">
        <w:rPr>
          <w:rFonts w:ascii="Arial" w:hAnsi="Arial" w:cs="Arial"/>
          <w:sz w:val="20"/>
          <w:szCs w:val="20"/>
          <w:lang w:val="en-GB"/>
        </w:rPr>
        <w:t>O</w:t>
      </w:r>
      <w:r w:rsidR="00150D1C" w:rsidRPr="005D4748">
        <w:rPr>
          <w:rFonts w:ascii="Arial" w:hAnsi="Arial" w:cs="Arial"/>
          <w:sz w:val="20"/>
          <w:szCs w:val="20"/>
          <w:lang w:val="en-GB"/>
        </w:rPr>
        <w:t>n 1</w:t>
      </w:r>
      <w:r w:rsidR="00903A94" w:rsidRPr="005D4748">
        <w:rPr>
          <w:rFonts w:ascii="Arial" w:hAnsi="Arial" w:cs="Arial"/>
          <w:sz w:val="20"/>
          <w:szCs w:val="20"/>
          <w:lang w:val="en-GB"/>
        </w:rPr>
        <w:t>9 and 21 Octo</w:t>
      </w:r>
      <w:r w:rsidR="00150D1C" w:rsidRPr="005D4748">
        <w:rPr>
          <w:rFonts w:ascii="Arial" w:hAnsi="Arial" w:cs="Arial"/>
          <w:sz w:val="20"/>
          <w:szCs w:val="20"/>
          <w:lang w:val="en-GB"/>
        </w:rPr>
        <w:t>ber 202</w:t>
      </w:r>
      <w:r w:rsidR="00903A94" w:rsidRPr="005D4748">
        <w:rPr>
          <w:rFonts w:ascii="Arial" w:hAnsi="Arial" w:cs="Arial"/>
          <w:sz w:val="20"/>
          <w:szCs w:val="20"/>
          <w:lang w:val="en-GB"/>
        </w:rPr>
        <w:t>2</w:t>
      </w:r>
      <w:r w:rsidR="00150D1C" w:rsidRPr="005D4748">
        <w:rPr>
          <w:rFonts w:ascii="Arial" w:hAnsi="Arial" w:cs="Arial"/>
          <w:sz w:val="20"/>
          <w:szCs w:val="20"/>
          <w:lang w:val="en-GB"/>
        </w:rPr>
        <w:t xml:space="preserve">, </w:t>
      </w:r>
      <w:r w:rsidR="00640D65" w:rsidRPr="005D4748">
        <w:rPr>
          <w:rFonts w:ascii="Arial" w:hAnsi="Arial" w:cs="Arial"/>
          <w:sz w:val="20"/>
          <w:szCs w:val="20"/>
          <w:lang w:val="en-GB"/>
        </w:rPr>
        <w:t xml:space="preserve">the Committee </w:t>
      </w:r>
      <w:r w:rsidRPr="005D4748">
        <w:rPr>
          <w:rFonts w:ascii="Arial" w:hAnsi="Arial" w:cs="Arial"/>
          <w:sz w:val="20"/>
          <w:szCs w:val="20"/>
          <w:lang w:val="en-GB"/>
        </w:rPr>
        <w:t>consider</w:t>
      </w:r>
      <w:r w:rsidR="00640D65" w:rsidRPr="005D4748">
        <w:rPr>
          <w:rFonts w:ascii="Arial" w:hAnsi="Arial" w:cs="Arial"/>
          <w:sz w:val="20"/>
          <w:szCs w:val="20"/>
          <w:lang w:val="en-GB"/>
        </w:rPr>
        <w:t>ed</w:t>
      </w:r>
      <w:r w:rsidRPr="005D4748">
        <w:rPr>
          <w:rFonts w:ascii="Arial" w:hAnsi="Arial" w:cs="Arial"/>
          <w:sz w:val="20"/>
          <w:szCs w:val="20"/>
          <w:lang w:val="en-GB"/>
        </w:rPr>
        <w:t xml:space="preserve"> the 2021</w:t>
      </w:r>
      <w:r w:rsidR="00903A94" w:rsidRPr="005D4748">
        <w:rPr>
          <w:rFonts w:ascii="Arial" w:hAnsi="Arial" w:cs="Arial"/>
          <w:sz w:val="20"/>
          <w:szCs w:val="20"/>
          <w:lang w:val="en-GB"/>
        </w:rPr>
        <w:t>/22</w:t>
      </w:r>
      <w:r w:rsidRPr="005D4748">
        <w:rPr>
          <w:rFonts w:ascii="Arial" w:hAnsi="Arial" w:cs="Arial"/>
          <w:sz w:val="20"/>
          <w:szCs w:val="20"/>
          <w:lang w:val="en-GB"/>
        </w:rPr>
        <w:t xml:space="preserve"> Annual Reports</w:t>
      </w:r>
      <w:r w:rsidR="0052121F" w:rsidRPr="005D4748">
        <w:rPr>
          <w:rFonts w:ascii="Arial" w:hAnsi="Arial" w:cs="Arial"/>
          <w:sz w:val="20"/>
          <w:szCs w:val="20"/>
          <w:lang w:val="en-GB"/>
        </w:rPr>
        <w:t xml:space="preserve"> of the Department</w:t>
      </w:r>
      <w:r w:rsidR="00903A94" w:rsidRPr="005D4748">
        <w:rPr>
          <w:rFonts w:ascii="Arial" w:hAnsi="Arial" w:cs="Arial"/>
          <w:sz w:val="20"/>
          <w:szCs w:val="20"/>
          <w:lang w:val="en-GB"/>
        </w:rPr>
        <w:t>,</w:t>
      </w:r>
      <w:r w:rsidR="0052121F" w:rsidRPr="005D4748">
        <w:rPr>
          <w:rFonts w:ascii="Arial" w:hAnsi="Arial" w:cs="Arial"/>
          <w:sz w:val="20"/>
          <w:szCs w:val="20"/>
          <w:lang w:val="en-GB"/>
        </w:rPr>
        <w:t xml:space="preserve"> </w:t>
      </w:r>
      <w:r w:rsidR="00903A94" w:rsidRPr="005D4748">
        <w:rPr>
          <w:rFonts w:ascii="Arial" w:hAnsi="Arial" w:cs="Arial"/>
          <w:sz w:val="20"/>
          <w:szCs w:val="20"/>
          <w:lang w:val="en-GB"/>
        </w:rPr>
        <w:t>Council for Scientific and Industrial Research (CSIR), Human Sciences Research Council (HSRC), National Research Foundation (NRF), South African National Space Agency (SANSA) and the Technology Innovation Agency (TIA).</w:t>
      </w:r>
      <w:r w:rsidR="00903A94" w:rsidRPr="005D4748" w:rsidDel="00903A94">
        <w:rPr>
          <w:rFonts w:ascii="Arial" w:hAnsi="Arial" w:cs="Arial"/>
          <w:sz w:val="20"/>
          <w:szCs w:val="20"/>
          <w:lang w:val="en-GB"/>
        </w:rPr>
        <w:t xml:space="preserve"> </w:t>
      </w:r>
      <w:r w:rsidR="00903A94" w:rsidRPr="005D4748">
        <w:rPr>
          <w:rFonts w:ascii="Arial" w:hAnsi="Arial" w:cs="Arial"/>
          <w:sz w:val="20"/>
          <w:szCs w:val="20"/>
          <w:lang w:val="en-GB"/>
        </w:rPr>
        <w:t xml:space="preserve">The Committee also </w:t>
      </w:r>
      <w:r w:rsidR="0052121F" w:rsidRPr="005D4748">
        <w:rPr>
          <w:rFonts w:ascii="Arial" w:hAnsi="Arial" w:cs="Arial"/>
          <w:sz w:val="20"/>
          <w:szCs w:val="20"/>
          <w:lang w:val="en-GB"/>
        </w:rPr>
        <w:t xml:space="preserve">invited </w:t>
      </w:r>
      <w:r w:rsidR="00A402DD" w:rsidRPr="005D4748">
        <w:rPr>
          <w:rFonts w:ascii="Arial" w:hAnsi="Arial" w:cs="Arial"/>
          <w:sz w:val="20"/>
          <w:szCs w:val="20"/>
          <w:lang w:val="en-GB"/>
        </w:rPr>
        <w:t>the</w:t>
      </w:r>
      <w:r w:rsidR="00903A94" w:rsidRPr="005D4748">
        <w:rPr>
          <w:rFonts w:ascii="Arial" w:hAnsi="Arial" w:cs="Arial"/>
          <w:sz w:val="20"/>
          <w:szCs w:val="20"/>
          <w:lang w:val="en-GB"/>
        </w:rPr>
        <w:t xml:space="preserve"> Financial and Fiscal Commission (FFC) and</w:t>
      </w:r>
      <w:r w:rsidR="00A402DD" w:rsidRPr="005D4748">
        <w:rPr>
          <w:rFonts w:ascii="Arial" w:hAnsi="Arial" w:cs="Arial"/>
          <w:sz w:val="20"/>
          <w:szCs w:val="20"/>
          <w:lang w:val="en-GB"/>
        </w:rPr>
        <w:t xml:space="preserve"> </w:t>
      </w:r>
      <w:r w:rsidR="00903A94" w:rsidRPr="005D4748">
        <w:rPr>
          <w:rFonts w:ascii="Arial" w:hAnsi="Arial" w:cs="Arial"/>
          <w:sz w:val="20"/>
          <w:szCs w:val="20"/>
          <w:lang w:val="en-GB"/>
        </w:rPr>
        <w:t xml:space="preserve">the </w:t>
      </w:r>
      <w:r w:rsidR="00A402DD" w:rsidRPr="005D4748">
        <w:rPr>
          <w:rFonts w:ascii="Arial" w:hAnsi="Arial" w:cs="Arial"/>
          <w:sz w:val="20"/>
          <w:szCs w:val="20"/>
          <w:lang w:val="en-GB"/>
        </w:rPr>
        <w:t xml:space="preserve">Auditor-General </w:t>
      </w:r>
      <w:r w:rsidR="00F76015" w:rsidRPr="005D4748">
        <w:rPr>
          <w:rFonts w:ascii="Arial" w:hAnsi="Arial" w:cs="Arial"/>
          <w:sz w:val="20"/>
          <w:szCs w:val="20"/>
          <w:lang w:val="en-GB"/>
        </w:rPr>
        <w:t xml:space="preserve">of South Africa </w:t>
      </w:r>
      <w:r w:rsidR="00A402DD" w:rsidRPr="005D4748">
        <w:rPr>
          <w:rFonts w:ascii="Arial" w:hAnsi="Arial" w:cs="Arial"/>
          <w:sz w:val="20"/>
          <w:szCs w:val="20"/>
          <w:lang w:val="en-GB"/>
        </w:rPr>
        <w:t>(AG</w:t>
      </w:r>
      <w:r w:rsidR="00F76015" w:rsidRPr="005D4748">
        <w:rPr>
          <w:rFonts w:ascii="Arial" w:hAnsi="Arial" w:cs="Arial"/>
          <w:sz w:val="20"/>
          <w:szCs w:val="20"/>
          <w:lang w:val="en-GB"/>
        </w:rPr>
        <w:t>SA</w:t>
      </w:r>
      <w:r w:rsidR="00A402DD" w:rsidRPr="005D4748">
        <w:rPr>
          <w:rFonts w:ascii="Arial" w:hAnsi="Arial" w:cs="Arial"/>
          <w:sz w:val="20"/>
          <w:szCs w:val="20"/>
          <w:lang w:val="en-GB"/>
        </w:rPr>
        <w:t>)</w:t>
      </w:r>
      <w:r w:rsidR="00C330DD" w:rsidRPr="005D4748">
        <w:rPr>
          <w:rFonts w:ascii="Arial" w:hAnsi="Arial" w:cs="Arial"/>
          <w:sz w:val="20"/>
          <w:szCs w:val="20"/>
          <w:lang w:val="en-GB"/>
        </w:rPr>
        <w:t xml:space="preserve"> to </w:t>
      </w:r>
      <w:r w:rsidR="00903A94" w:rsidRPr="005D4748">
        <w:rPr>
          <w:rFonts w:ascii="Arial" w:hAnsi="Arial" w:cs="Arial"/>
          <w:sz w:val="20"/>
          <w:szCs w:val="20"/>
          <w:lang w:val="en-GB"/>
        </w:rPr>
        <w:t xml:space="preserve">provide an analysis of the budget and performance, and </w:t>
      </w:r>
      <w:r w:rsidR="00C330DD" w:rsidRPr="005D4748">
        <w:rPr>
          <w:rFonts w:ascii="Arial" w:hAnsi="Arial" w:cs="Arial"/>
          <w:sz w:val="20"/>
          <w:szCs w:val="20"/>
          <w:lang w:val="en-GB"/>
        </w:rPr>
        <w:t xml:space="preserve">explain the audit outcomes </w:t>
      </w:r>
      <w:r w:rsidR="008E132B" w:rsidRPr="005D4748">
        <w:rPr>
          <w:rFonts w:ascii="Arial" w:hAnsi="Arial" w:cs="Arial"/>
          <w:sz w:val="20"/>
          <w:szCs w:val="20"/>
          <w:lang w:val="en-GB"/>
        </w:rPr>
        <w:t>of</w:t>
      </w:r>
      <w:r w:rsidR="00C330DD" w:rsidRPr="005D4748">
        <w:rPr>
          <w:rFonts w:ascii="Arial" w:hAnsi="Arial" w:cs="Arial"/>
          <w:sz w:val="20"/>
          <w:szCs w:val="20"/>
          <w:lang w:val="en-GB"/>
        </w:rPr>
        <w:t xml:space="preserve"> the </w:t>
      </w:r>
      <w:r w:rsidR="00150D1C" w:rsidRPr="005D4748">
        <w:rPr>
          <w:rFonts w:ascii="Arial" w:hAnsi="Arial" w:cs="Arial"/>
          <w:sz w:val="20"/>
          <w:szCs w:val="20"/>
          <w:lang w:val="en-GB"/>
        </w:rPr>
        <w:t>science and innovation portfolio</w:t>
      </w:r>
      <w:r w:rsidR="00903A94" w:rsidRPr="005D4748">
        <w:rPr>
          <w:rFonts w:ascii="Arial" w:hAnsi="Arial" w:cs="Arial"/>
          <w:sz w:val="20"/>
          <w:szCs w:val="20"/>
          <w:lang w:val="en-GB"/>
        </w:rPr>
        <w:t>, respectively</w:t>
      </w:r>
      <w:r w:rsidR="00E34B4F" w:rsidRPr="005D4748">
        <w:rPr>
          <w:rFonts w:ascii="Arial" w:hAnsi="Arial" w:cs="Arial"/>
          <w:sz w:val="20"/>
          <w:szCs w:val="20"/>
          <w:lang w:val="en-GB"/>
        </w:rPr>
        <w:t>.</w:t>
      </w:r>
    </w:p>
    <w:p w:rsidR="00E34B4F" w:rsidRPr="005D4748" w:rsidRDefault="00E34B4F" w:rsidP="005D4748">
      <w:pPr>
        <w:pStyle w:val="ListParagraph"/>
        <w:spacing w:after="0" w:line="240" w:lineRule="auto"/>
        <w:ind w:left="0"/>
        <w:rPr>
          <w:rFonts w:ascii="Arial" w:hAnsi="Arial" w:cs="Arial"/>
          <w:sz w:val="20"/>
          <w:szCs w:val="20"/>
          <w:lang w:val="en-GB"/>
        </w:rPr>
      </w:pPr>
    </w:p>
    <w:p w:rsidR="00393199" w:rsidRPr="005D4748" w:rsidRDefault="000735ED" w:rsidP="005D4748">
      <w:pPr>
        <w:pStyle w:val="ListParagraph"/>
        <w:numPr>
          <w:ilvl w:val="0"/>
          <w:numId w:val="1"/>
        </w:numPr>
        <w:spacing w:after="0" w:line="240" w:lineRule="auto"/>
        <w:ind w:left="567" w:hanging="567"/>
        <w:contextualSpacing w:val="0"/>
        <w:rPr>
          <w:rFonts w:ascii="Arial" w:hAnsi="Arial" w:cs="Arial"/>
          <w:b/>
          <w:sz w:val="20"/>
          <w:szCs w:val="20"/>
          <w:lang w:val="en-GB" w:eastAsia="en-ZA"/>
        </w:rPr>
      </w:pPr>
      <w:r w:rsidRPr="005D4748">
        <w:rPr>
          <w:rFonts w:ascii="Arial" w:hAnsi="Arial" w:cs="Arial"/>
          <w:b/>
          <w:sz w:val="20"/>
          <w:szCs w:val="20"/>
          <w:lang w:val="en-GB" w:eastAsia="en-ZA"/>
        </w:rPr>
        <w:t>POLICY CONTEXT</w:t>
      </w:r>
    </w:p>
    <w:p w:rsidR="00393199" w:rsidRPr="005D4748" w:rsidRDefault="00393199" w:rsidP="005D4748">
      <w:pPr>
        <w:pStyle w:val="ListParagraph"/>
        <w:spacing w:after="0" w:line="240" w:lineRule="auto"/>
        <w:ind w:left="0"/>
        <w:contextualSpacing w:val="0"/>
        <w:rPr>
          <w:rFonts w:ascii="Arial" w:hAnsi="Arial" w:cs="Arial"/>
          <w:sz w:val="20"/>
          <w:szCs w:val="20"/>
          <w:lang w:val="en-GB" w:eastAsia="en-ZA"/>
        </w:rPr>
      </w:pPr>
    </w:p>
    <w:p w:rsidR="00F338C3" w:rsidRPr="005D4748" w:rsidRDefault="00F338C3" w:rsidP="005D4748">
      <w:pPr>
        <w:pStyle w:val="ListParagraph"/>
        <w:numPr>
          <w:ilvl w:val="1"/>
          <w:numId w:val="1"/>
        </w:numPr>
        <w:spacing w:after="0" w:line="240" w:lineRule="auto"/>
        <w:ind w:left="567" w:hanging="567"/>
        <w:contextualSpacing w:val="0"/>
        <w:rPr>
          <w:rFonts w:ascii="Arial" w:hAnsi="Arial" w:cs="Arial"/>
          <w:sz w:val="20"/>
          <w:szCs w:val="20"/>
          <w:lang w:val="en-GB" w:eastAsia="en-ZA"/>
        </w:rPr>
      </w:pPr>
      <w:r w:rsidRPr="005D4748">
        <w:rPr>
          <w:rFonts w:ascii="Arial" w:hAnsi="Arial" w:cs="Arial"/>
          <w:b/>
          <w:sz w:val="20"/>
          <w:szCs w:val="20"/>
          <w:lang w:val="en-GB" w:eastAsia="en-ZA"/>
        </w:rPr>
        <w:t>National Development Plan</w:t>
      </w:r>
      <w:r w:rsidR="00375185" w:rsidRPr="005D4748">
        <w:rPr>
          <w:rFonts w:ascii="Arial" w:hAnsi="Arial" w:cs="Arial"/>
          <w:b/>
          <w:sz w:val="20"/>
          <w:szCs w:val="20"/>
          <w:lang w:val="en-GB" w:eastAsia="en-ZA"/>
        </w:rPr>
        <w:t xml:space="preserve"> and M</w:t>
      </w:r>
      <w:r w:rsidR="00BC70FE" w:rsidRPr="005D4748">
        <w:rPr>
          <w:rFonts w:ascii="Arial" w:hAnsi="Arial" w:cs="Arial"/>
          <w:b/>
          <w:sz w:val="20"/>
          <w:szCs w:val="20"/>
          <w:lang w:val="en-GB" w:eastAsia="en-ZA"/>
        </w:rPr>
        <w:t>edium-</w:t>
      </w:r>
      <w:r w:rsidR="00375185" w:rsidRPr="005D4748">
        <w:rPr>
          <w:rFonts w:ascii="Arial" w:hAnsi="Arial" w:cs="Arial"/>
          <w:b/>
          <w:sz w:val="20"/>
          <w:szCs w:val="20"/>
          <w:lang w:val="en-GB" w:eastAsia="en-ZA"/>
        </w:rPr>
        <w:t>Term Strategic Framework</w:t>
      </w:r>
    </w:p>
    <w:p w:rsidR="00F338C3" w:rsidRPr="005D4748" w:rsidRDefault="00F338C3" w:rsidP="005D4748">
      <w:pPr>
        <w:pStyle w:val="ListParagraph"/>
        <w:spacing w:after="0" w:line="240" w:lineRule="auto"/>
        <w:ind w:left="0"/>
        <w:contextualSpacing w:val="0"/>
        <w:rPr>
          <w:rFonts w:ascii="Arial" w:hAnsi="Arial" w:cs="Arial"/>
          <w:sz w:val="20"/>
          <w:szCs w:val="20"/>
          <w:lang w:val="en-GB" w:eastAsia="en-ZA"/>
        </w:rPr>
      </w:pPr>
    </w:p>
    <w:p w:rsidR="00FE4142" w:rsidRPr="005D4748" w:rsidRDefault="00182EE2" w:rsidP="005D4748">
      <w:pPr>
        <w:pStyle w:val="ListParagraph"/>
        <w:spacing w:after="0" w:line="240" w:lineRule="auto"/>
        <w:ind w:left="0"/>
        <w:rPr>
          <w:rFonts w:ascii="Arial" w:hAnsi="Arial" w:cs="Arial"/>
          <w:sz w:val="20"/>
          <w:szCs w:val="20"/>
          <w:lang w:val="en-GB"/>
        </w:rPr>
      </w:pPr>
      <w:r w:rsidRPr="005D4748">
        <w:rPr>
          <w:rFonts w:ascii="Arial" w:hAnsi="Arial" w:cs="Arial"/>
          <w:sz w:val="20"/>
          <w:szCs w:val="20"/>
          <w:lang w:val="en-GB"/>
        </w:rPr>
        <w:t>Science</w:t>
      </w:r>
      <w:r w:rsidR="00AC60A1" w:rsidRPr="005D4748">
        <w:rPr>
          <w:rFonts w:ascii="Arial" w:hAnsi="Arial" w:cs="Arial"/>
          <w:sz w:val="20"/>
          <w:szCs w:val="20"/>
          <w:lang w:val="en-GB"/>
        </w:rPr>
        <w:t xml:space="preserve">, </w:t>
      </w:r>
      <w:r w:rsidRPr="005D4748">
        <w:rPr>
          <w:rFonts w:ascii="Arial" w:hAnsi="Arial" w:cs="Arial"/>
          <w:sz w:val="20"/>
          <w:szCs w:val="20"/>
          <w:lang w:val="en-GB"/>
        </w:rPr>
        <w:t>technology</w:t>
      </w:r>
      <w:r w:rsidR="00AC60A1" w:rsidRPr="005D4748">
        <w:rPr>
          <w:rFonts w:ascii="Arial" w:hAnsi="Arial" w:cs="Arial"/>
          <w:sz w:val="20"/>
          <w:szCs w:val="20"/>
          <w:lang w:val="en-GB"/>
        </w:rPr>
        <w:t xml:space="preserve"> and innovation</w:t>
      </w:r>
      <w:r w:rsidRPr="005D4748">
        <w:rPr>
          <w:rFonts w:ascii="Arial" w:hAnsi="Arial" w:cs="Arial"/>
          <w:sz w:val="20"/>
          <w:szCs w:val="20"/>
          <w:lang w:val="en-GB"/>
        </w:rPr>
        <w:t xml:space="preserve"> are considered crucial for the creation of wealth and improving the quality of life in modern society</w:t>
      </w:r>
      <w:r w:rsidR="00B2350F" w:rsidRPr="005D4748">
        <w:rPr>
          <w:rFonts w:ascii="Arial" w:hAnsi="Arial" w:cs="Arial"/>
          <w:sz w:val="20"/>
          <w:szCs w:val="20"/>
          <w:lang w:val="en-GB"/>
        </w:rPr>
        <w:t xml:space="preserve">, and </w:t>
      </w:r>
      <w:r w:rsidR="00EA00BA" w:rsidRPr="005D4748">
        <w:rPr>
          <w:rFonts w:ascii="Arial" w:hAnsi="Arial" w:cs="Arial"/>
          <w:sz w:val="20"/>
          <w:szCs w:val="20"/>
          <w:lang w:val="en-GB"/>
        </w:rPr>
        <w:t xml:space="preserve">countries that increase their investment in STI during times of </w:t>
      </w:r>
      <w:r w:rsidR="00CD1951" w:rsidRPr="005D4748">
        <w:rPr>
          <w:rFonts w:ascii="Arial" w:hAnsi="Arial" w:cs="Arial"/>
          <w:sz w:val="20"/>
          <w:szCs w:val="20"/>
          <w:lang w:val="en-GB"/>
        </w:rPr>
        <w:t>economic crisis</w:t>
      </w:r>
      <w:r w:rsidR="00AB67D7" w:rsidRPr="005D4748">
        <w:rPr>
          <w:rFonts w:ascii="Arial" w:hAnsi="Arial" w:cs="Arial"/>
          <w:sz w:val="20"/>
          <w:szCs w:val="20"/>
          <w:lang w:val="en-GB"/>
        </w:rPr>
        <w:t xml:space="preserve"> </w:t>
      </w:r>
      <w:r w:rsidR="00A87DB7" w:rsidRPr="005D4748">
        <w:rPr>
          <w:rFonts w:ascii="Arial" w:hAnsi="Arial" w:cs="Arial"/>
          <w:sz w:val="20"/>
          <w:szCs w:val="20"/>
          <w:lang w:val="en-GB"/>
        </w:rPr>
        <w:t>fared better in recovering from its effects than those that maintain or decrease STI investment levels.</w:t>
      </w:r>
      <w:r w:rsidR="00EA00BA" w:rsidRPr="005D4748">
        <w:rPr>
          <w:rFonts w:ascii="Arial" w:hAnsi="Arial" w:cs="Arial"/>
          <w:sz w:val="20"/>
          <w:szCs w:val="20"/>
          <w:lang w:val="en-GB"/>
        </w:rPr>
        <w:t xml:space="preserve"> </w:t>
      </w:r>
      <w:r w:rsidR="008C6FCA" w:rsidRPr="005D4748">
        <w:rPr>
          <w:rFonts w:ascii="Arial" w:hAnsi="Arial" w:cs="Arial"/>
          <w:sz w:val="20"/>
          <w:szCs w:val="20"/>
          <w:lang w:val="en-GB"/>
        </w:rPr>
        <w:t xml:space="preserve">The National Development Plan (NDP) </w:t>
      </w:r>
      <w:r w:rsidR="009527F4" w:rsidRPr="005D4748">
        <w:rPr>
          <w:rFonts w:ascii="Arial" w:hAnsi="Arial" w:cs="Arial"/>
          <w:sz w:val="20"/>
          <w:szCs w:val="20"/>
          <w:lang w:val="en-GB"/>
        </w:rPr>
        <w:t xml:space="preserve">2030 </w:t>
      </w:r>
      <w:r w:rsidR="008C6FCA" w:rsidRPr="005D4748">
        <w:rPr>
          <w:rFonts w:ascii="Arial" w:hAnsi="Arial" w:cs="Arial"/>
          <w:sz w:val="20"/>
          <w:szCs w:val="20"/>
          <w:lang w:val="en-GB"/>
        </w:rPr>
        <w:t xml:space="preserve">identifies the need to increase the size, coherence and effectiveness of the </w:t>
      </w:r>
      <w:r w:rsidR="00AB6A32" w:rsidRPr="005D4748">
        <w:rPr>
          <w:rFonts w:ascii="Arial" w:hAnsi="Arial" w:cs="Arial"/>
          <w:sz w:val="20"/>
          <w:szCs w:val="20"/>
          <w:lang w:val="en-GB"/>
        </w:rPr>
        <w:t>National System of Innovation (</w:t>
      </w:r>
      <w:r w:rsidR="008C6FCA" w:rsidRPr="005D4748">
        <w:rPr>
          <w:rFonts w:ascii="Arial" w:hAnsi="Arial" w:cs="Arial"/>
          <w:sz w:val="20"/>
          <w:szCs w:val="20"/>
          <w:lang w:val="en-GB"/>
        </w:rPr>
        <w:t>NSI</w:t>
      </w:r>
      <w:r w:rsidR="00AB6A32" w:rsidRPr="005D4748">
        <w:rPr>
          <w:rFonts w:ascii="Arial" w:hAnsi="Arial" w:cs="Arial"/>
          <w:sz w:val="20"/>
          <w:szCs w:val="20"/>
          <w:lang w:val="en-GB"/>
        </w:rPr>
        <w:t>)</w:t>
      </w:r>
      <w:r w:rsidR="008C6FCA" w:rsidRPr="005D4748">
        <w:rPr>
          <w:rFonts w:ascii="Arial" w:hAnsi="Arial" w:cs="Arial"/>
          <w:sz w:val="20"/>
          <w:szCs w:val="20"/>
          <w:lang w:val="en-GB"/>
        </w:rPr>
        <w:t xml:space="preserve"> because STI is crucial for national development. Hence, the country must enhance its investment in infrastructure, improve the skills base and ensure that it better exploits the knowledge generated from its investments in research, development and innovation (RDI).</w:t>
      </w:r>
      <w:r w:rsidR="00667248" w:rsidRPr="005D4748">
        <w:rPr>
          <w:rFonts w:ascii="Arial" w:hAnsi="Arial" w:cs="Arial"/>
          <w:sz w:val="20"/>
          <w:szCs w:val="20"/>
          <w:lang w:val="en-GB"/>
        </w:rPr>
        <w:t xml:space="preserve"> </w:t>
      </w:r>
      <w:r w:rsidR="00FE4142" w:rsidRPr="005D4748">
        <w:rPr>
          <w:rFonts w:ascii="Arial" w:hAnsi="Arial" w:cs="Arial"/>
          <w:sz w:val="20"/>
          <w:szCs w:val="20"/>
          <w:lang w:val="en-GB"/>
        </w:rPr>
        <w:t>This requires that, among others:</w:t>
      </w:r>
    </w:p>
    <w:p w:rsidR="00FE4142" w:rsidRPr="005D4748" w:rsidRDefault="00FE4142" w:rsidP="005D4748">
      <w:pPr>
        <w:pStyle w:val="ListParagraph"/>
        <w:spacing w:after="0" w:line="240" w:lineRule="auto"/>
        <w:ind w:left="0"/>
        <w:rPr>
          <w:rFonts w:ascii="Arial" w:hAnsi="Arial" w:cs="Arial"/>
          <w:sz w:val="20"/>
          <w:szCs w:val="20"/>
          <w:lang w:val="en-GB"/>
        </w:rPr>
      </w:pPr>
    </w:p>
    <w:p w:rsidR="00FE4142" w:rsidRPr="005D4748" w:rsidRDefault="00FE4142" w:rsidP="005D4748">
      <w:pPr>
        <w:numPr>
          <w:ilvl w:val="0"/>
          <w:numId w:val="2"/>
        </w:numPr>
        <w:spacing w:after="0" w:line="240" w:lineRule="auto"/>
        <w:ind w:left="567" w:hanging="567"/>
        <w:rPr>
          <w:rFonts w:ascii="Arial" w:eastAsia="Times New Roman" w:hAnsi="Arial" w:cs="Arial"/>
          <w:color w:val="000000"/>
          <w:spacing w:val="6"/>
          <w:sz w:val="20"/>
          <w:szCs w:val="20"/>
          <w:lang w:val="en-GB" w:eastAsia="en-GB"/>
        </w:rPr>
      </w:pPr>
      <w:r w:rsidRPr="005D4748">
        <w:rPr>
          <w:rFonts w:ascii="Arial" w:eastAsia="Times New Roman" w:hAnsi="Arial" w:cs="Arial"/>
          <w:color w:val="000000"/>
          <w:spacing w:val="6"/>
          <w:sz w:val="20"/>
          <w:szCs w:val="20"/>
          <w:lang w:val="en-GB" w:eastAsia="en-GB"/>
        </w:rPr>
        <w:t>South Africa invests more in research and development (R&amp;D);</w:t>
      </w:r>
    </w:p>
    <w:p w:rsidR="00FE4142" w:rsidRPr="005D4748" w:rsidRDefault="00FE4142" w:rsidP="005D4748">
      <w:pPr>
        <w:numPr>
          <w:ilvl w:val="0"/>
          <w:numId w:val="2"/>
        </w:numPr>
        <w:spacing w:after="0" w:line="240" w:lineRule="auto"/>
        <w:ind w:left="567" w:hanging="567"/>
        <w:rPr>
          <w:rFonts w:ascii="Arial" w:eastAsia="Times New Roman" w:hAnsi="Arial" w:cs="Arial"/>
          <w:color w:val="000000"/>
          <w:spacing w:val="6"/>
          <w:sz w:val="20"/>
          <w:szCs w:val="20"/>
          <w:lang w:val="en-GB" w:eastAsia="en-GB"/>
        </w:rPr>
      </w:pPr>
      <w:r w:rsidRPr="005D4748">
        <w:rPr>
          <w:rFonts w:ascii="Arial" w:eastAsia="Times New Roman" w:hAnsi="Arial" w:cs="Arial"/>
          <w:color w:val="000000"/>
          <w:spacing w:val="6"/>
          <w:sz w:val="20"/>
          <w:szCs w:val="20"/>
          <w:lang w:val="en-GB" w:eastAsia="en-GB"/>
        </w:rPr>
        <w:t>The STI institutional arrangement improves the link between innovation and the productive needs of industry;</w:t>
      </w:r>
    </w:p>
    <w:p w:rsidR="00FE4142" w:rsidRPr="005D4748" w:rsidRDefault="00FE4142" w:rsidP="005D4748">
      <w:pPr>
        <w:numPr>
          <w:ilvl w:val="0"/>
          <w:numId w:val="2"/>
        </w:numPr>
        <w:spacing w:after="0" w:line="240" w:lineRule="auto"/>
        <w:ind w:left="567" w:hanging="567"/>
        <w:rPr>
          <w:rFonts w:ascii="Arial" w:eastAsia="Times New Roman" w:hAnsi="Arial" w:cs="Arial"/>
          <w:color w:val="000000"/>
          <w:spacing w:val="6"/>
          <w:sz w:val="20"/>
          <w:szCs w:val="20"/>
          <w:lang w:val="en-GB" w:eastAsia="en-GB"/>
        </w:rPr>
      </w:pPr>
      <w:r w:rsidRPr="005D4748">
        <w:rPr>
          <w:rFonts w:ascii="Arial" w:eastAsia="Times New Roman" w:hAnsi="Arial" w:cs="Arial"/>
          <w:color w:val="000000"/>
          <w:spacing w:val="6"/>
          <w:sz w:val="20"/>
          <w:szCs w:val="20"/>
          <w:lang w:val="en-GB" w:eastAsia="en-GB"/>
        </w:rPr>
        <w:lastRenderedPageBreak/>
        <w:t>Government should collaborate with the private sector to raise the level of R&amp;D in companies; and</w:t>
      </w:r>
    </w:p>
    <w:p w:rsidR="00FE4142" w:rsidRPr="005D4748" w:rsidRDefault="00FE4142" w:rsidP="005D4748">
      <w:pPr>
        <w:numPr>
          <w:ilvl w:val="0"/>
          <w:numId w:val="2"/>
        </w:numPr>
        <w:spacing w:after="0" w:line="240" w:lineRule="auto"/>
        <w:ind w:left="567" w:hanging="567"/>
        <w:rPr>
          <w:rFonts w:ascii="Arial" w:eastAsia="Times New Roman" w:hAnsi="Arial" w:cs="Arial"/>
          <w:color w:val="000000"/>
          <w:spacing w:val="6"/>
          <w:sz w:val="20"/>
          <w:szCs w:val="20"/>
          <w:lang w:val="en-GB" w:eastAsia="en-GB"/>
        </w:rPr>
      </w:pPr>
      <w:r w:rsidRPr="005D4748">
        <w:rPr>
          <w:rFonts w:ascii="Arial" w:eastAsia="Times New Roman" w:hAnsi="Arial" w:cs="Arial"/>
          <w:color w:val="000000"/>
          <w:spacing w:val="6"/>
          <w:sz w:val="20"/>
          <w:szCs w:val="20"/>
          <w:lang w:val="en-GB" w:eastAsia="en-GB"/>
        </w:rPr>
        <w:t>Public investments in research infrastructure should be focussed on and fulfil the needs of a modern economy.</w:t>
      </w:r>
    </w:p>
    <w:p w:rsidR="00FE4142" w:rsidRPr="005D4748" w:rsidRDefault="00FE4142" w:rsidP="005D4748">
      <w:pPr>
        <w:pStyle w:val="ListParagraph"/>
        <w:spacing w:after="0" w:line="240" w:lineRule="auto"/>
        <w:ind w:left="0"/>
        <w:rPr>
          <w:rFonts w:ascii="Arial" w:hAnsi="Arial" w:cs="Arial"/>
          <w:sz w:val="20"/>
          <w:szCs w:val="20"/>
          <w:lang w:val="en-GB"/>
        </w:rPr>
      </w:pPr>
    </w:p>
    <w:p w:rsidR="005C227F" w:rsidRPr="005D4748" w:rsidRDefault="00BC70FE" w:rsidP="005D4748">
      <w:pPr>
        <w:pStyle w:val="ListParagraph"/>
        <w:spacing w:after="0" w:line="240" w:lineRule="auto"/>
        <w:ind w:left="0"/>
        <w:rPr>
          <w:rFonts w:ascii="Arial" w:hAnsi="Arial" w:cs="Arial"/>
          <w:sz w:val="20"/>
          <w:szCs w:val="20"/>
          <w:lang w:val="en-GB"/>
        </w:rPr>
      </w:pPr>
      <w:r w:rsidRPr="005D4748">
        <w:rPr>
          <w:rFonts w:ascii="Arial" w:hAnsi="Arial" w:cs="Arial"/>
          <w:sz w:val="20"/>
          <w:szCs w:val="20"/>
          <w:lang w:val="en-GB"/>
        </w:rPr>
        <w:t>The 2019-2024 Medium-</w:t>
      </w:r>
      <w:r w:rsidR="00C545A6" w:rsidRPr="005D4748">
        <w:rPr>
          <w:rFonts w:ascii="Arial" w:hAnsi="Arial" w:cs="Arial"/>
          <w:sz w:val="20"/>
          <w:szCs w:val="20"/>
          <w:lang w:val="en-GB"/>
        </w:rPr>
        <w:t xml:space="preserve">Term Strategic Framework (MTSF) </w:t>
      </w:r>
      <w:r w:rsidR="004701AE" w:rsidRPr="005D4748">
        <w:rPr>
          <w:rFonts w:ascii="Arial" w:hAnsi="Arial" w:cs="Arial"/>
          <w:sz w:val="20"/>
          <w:szCs w:val="20"/>
          <w:lang w:val="en-GB"/>
        </w:rPr>
        <w:t xml:space="preserve">is framed around </w:t>
      </w:r>
      <w:r w:rsidR="00C545A6" w:rsidRPr="005D4748">
        <w:rPr>
          <w:rFonts w:ascii="Arial" w:hAnsi="Arial" w:cs="Arial"/>
          <w:sz w:val="20"/>
          <w:szCs w:val="20"/>
          <w:lang w:val="en-GB"/>
        </w:rPr>
        <w:t xml:space="preserve">seven </w:t>
      </w:r>
      <w:r w:rsidR="004701AE" w:rsidRPr="005D4748">
        <w:rPr>
          <w:rFonts w:ascii="Arial" w:hAnsi="Arial" w:cs="Arial"/>
          <w:sz w:val="20"/>
          <w:szCs w:val="20"/>
          <w:lang w:val="en-GB"/>
        </w:rPr>
        <w:t xml:space="preserve">apex </w:t>
      </w:r>
      <w:r w:rsidR="00C545A6" w:rsidRPr="005D4748">
        <w:rPr>
          <w:rFonts w:ascii="Arial" w:hAnsi="Arial" w:cs="Arial"/>
          <w:sz w:val="20"/>
          <w:szCs w:val="20"/>
          <w:lang w:val="en-GB"/>
        </w:rPr>
        <w:t xml:space="preserve">priorities. </w:t>
      </w:r>
      <w:r w:rsidR="005C227F" w:rsidRPr="005D4748">
        <w:rPr>
          <w:rFonts w:ascii="Arial" w:hAnsi="Arial" w:cs="Arial"/>
          <w:sz w:val="20"/>
          <w:szCs w:val="20"/>
          <w:lang w:val="en-GB"/>
        </w:rPr>
        <w:t>Although the</w:t>
      </w:r>
      <w:r w:rsidR="00CB6B11" w:rsidRPr="005D4748">
        <w:rPr>
          <w:rFonts w:ascii="Arial" w:hAnsi="Arial" w:cs="Arial"/>
          <w:sz w:val="20"/>
          <w:szCs w:val="20"/>
          <w:lang w:val="en-GB"/>
        </w:rPr>
        <w:t>se</w:t>
      </w:r>
      <w:r w:rsidR="005C227F" w:rsidRPr="005D4748">
        <w:rPr>
          <w:rFonts w:ascii="Arial" w:hAnsi="Arial" w:cs="Arial"/>
          <w:sz w:val="20"/>
          <w:szCs w:val="20"/>
          <w:lang w:val="en-GB"/>
        </w:rPr>
        <w:t xml:space="preserve"> apex priorities are all interrelated, the Department’s focus and commitments are mainly on Priorities 2 (Economic Transformation and Job Creation) and 3 (Education, Skills and Health). The interventions led by the Department are:</w:t>
      </w:r>
    </w:p>
    <w:p w:rsidR="005C227F" w:rsidRPr="005D4748" w:rsidRDefault="005C227F" w:rsidP="005D4748">
      <w:pPr>
        <w:pStyle w:val="ListParagraph"/>
        <w:spacing w:after="0" w:line="240" w:lineRule="auto"/>
        <w:ind w:left="0"/>
        <w:rPr>
          <w:rFonts w:ascii="Arial" w:hAnsi="Arial" w:cs="Arial"/>
          <w:sz w:val="20"/>
          <w:szCs w:val="20"/>
          <w:lang w:val="en-GB"/>
        </w:rPr>
      </w:pPr>
    </w:p>
    <w:p w:rsidR="005C227F" w:rsidRPr="005D4748" w:rsidRDefault="005C227F" w:rsidP="005D4748">
      <w:pPr>
        <w:pStyle w:val="ListParagraph"/>
        <w:spacing w:after="0" w:line="240" w:lineRule="auto"/>
        <w:ind w:left="0"/>
        <w:rPr>
          <w:rFonts w:ascii="Arial" w:hAnsi="Arial" w:cs="Arial"/>
          <w:b/>
          <w:sz w:val="20"/>
          <w:szCs w:val="20"/>
          <w:lang w:val="en-GB"/>
        </w:rPr>
      </w:pPr>
      <w:r w:rsidRPr="005D4748">
        <w:rPr>
          <w:rFonts w:ascii="Arial" w:hAnsi="Arial" w:cs="Arial"/>
          <w:b/>
          <w:sz w:val="20"/>
          <w:szCs w:val="20"/>
          <w:lang w:val="en-GB"/>
        </w:rPr>
        <w:t>Priority 2: Economic Transformation and Job Creation</w:t>
      </w:r>
    </w:p>
    <w:p w:rsidR="005C227F" w:rsidRPr="005D4748" w:rsidRDefault="005C227F" w:rsidP="005D4748">
      <w:pPr>
        <w:pStyle w:val="ListParagraph"/>
        <w:spacing w:after="0" w:line="240" w:lineRule="auto"/>
        <w:ind w:left="0"/>
        <w:rPr>
          <w:rFonts w:ascii="Arial" w:hAnsi="Arial" w:cs="Arial"/>
          <w:b/>
          <w:sz w:val="20"/>
          <w:szCs w:val="20"/>
          <w:lang w:val="en-GB"/>
        </w:rPr>
      </w:pPr>
      <w:r w:rsidRPr="005D4748">
        <w:rPr>
          <w:rFonts w:ascii="Arial" w:hAnsi="Arial" w:cs="Arial"/>
          <w:b/>
          <w:sz w:val="20"/>
          <w:szCs w:val="20"/>
          <w:lang w:val="en-GB"/>
        </w:rPr>
        <w:t>Outcome: Improve competitiveness through Information and Communication Technology (ICT) adoption.</w:t>
      </w:r>
    </w:p>
    <w:p w:rsidR="005C227F" w:rsidRPr="005D4748" w:rsidRDefault="005C227F" w:rsidP="005D4748">
      <w:pPr>
        <w:numPr>
          <w:ilvl w:val="0"/>
          <w:numId w:val="2"/>
        </w:numPr>
        <w:spacing w:after="0" w:line="240" w:lineRule="auto"/>
        <w:ind w:left="567" w:hanging="567"/>
        <w:rPr>
          <w:rFonts w:ascii="Arial" w:eastAsia="Times New Roman" w:hAnsi="Arial" w:cs="Arial"/>
          <w:color w:val="000000"/>
          <w:spacing w:val="6"/>
          <w:sz w:val="20"/>
          <w:szCs w:val="20"/>
          <w:lang w:val="en-GB" w:eastAsia="en-GB"/>
        </w:rPr>
      </w:pPr>
      <w:r w:rsidRPr="005D4748">
        <w:rPr>
          <w:rFonts w:ascii="Arial" w:eastAsia="Times New Roman" w:hAnsi="Arial" w:cs="Arial"/>
          <w:color w:val="000000"/>
          <w:spacing w:val="6"/>
          <w:sz w:val="20"/>
          <w:szCs w:val="20"/>
          <w:lang w:val="en-GB" w:eastAsia="en-GB"/>
        </w:rPr>
        <w:t xml:space="preserve">Intervention: Increase investment in gross expenditure on </w:t>
      </w:r>
      <w:r w:rsidR="00037D74" w:rsidRPr="005D4748">
        <w:rPr>
          <w:rFonts w:ascii="Arial" w:eastAsia="Times New Roman" w:hAnsi="Arial" w:cs="Arial"/>
          <w:color w:val="000000"/>
          <w:spacing w:val="6"/>
          <w:sz w:val="20"/>
          <w:szCs w:val="20"/>
          <w:lang w:val="en-GB" w:eastAsia="en-GB"/>
        </w:rPr>
        <w:t>R&amp;D</w:t>
      </w:r>
      <w:r w:rsidRPr="005D4748">
        <w:rPr>
          <w:rFonts w:ascii="Arial" w:eastAsia="Times New Roman" w:hAnsi="Arial" w:cs="Arial"/>
          <w:color w:val="000000"/>
          <w:spacing w:val="6"/>
          <w:sz w:val="20"/>
          <w:szCs w:val="20"/>
          <w:lang w:val="en-GB" w:eastAsia="en-GB"/>
        </w:rPr>
        <w:t xml:space="preserve"> to 1.1% of GDP by 2024.</w:t>
      </w:r>
    </w:p>
    <w:p w:rsidR="005C227F" w:rsidRPr="005D4748" w:rsidRDefault="005C227F" w:rsidP="005D4748">
      <w:pPr>
        <w:numPr>
          <w:ilvl w:val="0"/>
          <w:numId w:val="2"/>
        </w:numPr>
        <w:spacing w:after="0" w:line="240" w:lineRule="auto"/>
        <w:ind w:left="567" w:hanging="567"/>
        <w:rPr>
          <w:rFonts w:ascii="Arial" w:hAnsi="Arial" w:cs="Arial"/>
          <w:sz w:val="20"/>
          <w:szCs w:val="20"/>
          <w:lang w:val="en-GB"/>
        </w:rPr>
      </w:pPr>
      <w:r w:rsidRPr="005D4748">
        <w:rPr>
          <w:rFonts w:ascii="Arial" w:eastAsia="Times New Roman" w:hAnsi="Arial" w:cs="Arial"/>
          <w:color w:val="000000"/>
          <w:spacing w:val="6"/>
          <w:sz w:val="20"/>
          <w:szCs w:val="20"/>
          <w:lang w:val="en-GB" w:eastAsia="en-GB"/>
        </w:rPr>
        <w:t xml:space="preserve">Intervention: Strengthen the NSI by publishing 35 000 research articles by </w:t>
      </w:r>
      <w:r w:rsidR="00FF0FF8" w:rsidRPr="005D4748">
        <w:rPr>
          <w:rFonts w:ascii="Arial" w:eastAsia="Times New Roman" w:hAnsi="Arial" w:cs="Arial"/>
          <w:color w:val="000000"/>
          <w:spacing w:val="6"/>
          <w:sz w:val="20"/>
          <w:szCs w:val="20"/>
          <w:lang w:val="en-GB" w:eastAsia="en-GB"/>
        </w:rPr>
        <w:t>NRF</w:t>
      </w:r>
      <w:r w:rsidRPr="005D4748">
        <w:rPr>
          <w:rFonts w:ascii="Arial" w:hAnsi="Arial" w:cs="Arial"/>
          <w:sz w:val="20"/>
          <w:szCs w:val="20"/>
          <w:lang w:val="en-GB"/>
        </w:rPr>
        <w:t>-funded researchers cite</w:t>
      </w:r>
      <w:r w:rsidR="00B2350F" w:rsidRPr="005D4748">
        <w:rPr>
          <w:rFonts w:ascii="Arial" w:hAnsi="Arial" w:cs="Arial"/>
          <w:sz w:val="20"/>
          <w:szCs w:val="20"/>
          <w:lang w:val="en-GB"/>
        </w:rPr>
        <w:t>d</w:t>
      </w:r>
      <w:r w:rsidRPr="005D4748">
        <w:rPr>
          <w:rFonts w:ascii="Arial" w:hAnsi="Arial" w:cs="Arial"/>
          <w:sz w:val="20"/>
          <w:szCs w:val="20"/>
          <w:lang w:val="en-GB"/>
        </w:rPr>
        <w:t xml:space="preserve"> in the Web of Science Citation database by 2024.</w:t>
      </w:r>
    </w:p>
    <w:p w:rsidR="005C227F" w:rsidRPr="005D4748" w:rsidRDefault="005C227F" w:rsidP="005D4748">
      <w:pPr>
        <w:pStyle w:val="ListParagraph"/>
        <w:spacing w:after="0" w:line="240" w:lineRule="auto"/>
        <w:ind w:left="0"/>
        <w:rPr>
          <w:rFonts w:ascii="Arial" w:hAnsi="Arial" w:cs="Arial"/>
          <w:sz w:val="20"/>
          <w:szCs w:val="20"/>
          <w:lang w:val="en-GB"/>
        </w:rPr>
      </w:pPr>
    </w:p>
    <w:p w:rsidR="005C227F" w:rsidRPr="005D4748" w:rsidRDefault="005C227F" w:rsidP="005D4748">
      <w:pPr>
        <w:pStyle w:val="ListParagraph"/>
        <w:spacing w:after="0" w:line="240" w:lineRule="auto"/>
        <w:ind w:left="0"/>
        <w:rPr>
          <w:rFonts w:ascii="Arial" w:hAnsi="Arial" w:cs="Arial"/>
          <w:b/>
          <w:sz w:val="20"/>
          <w:szCs w:val="20"/>
          <w:lang w:val="en-GB"/>
        </w:rPr>
      </w:pPr>
      <w:r w:rsidRPr="005D4748">
        <w:rPr>
          <w:rFonts w:ascii="Arial" w:hAnsi="Arial" w:cs="Arial"/>
          <w:b/>
          <w:sz w:val="20"/>
          <w:szCs w:val="20"/>
          <w:lang w:val="en-GB"/>
        </w:rPr>
        <w:t>Priority 3: Education, Skills and Health</w:t>
      </w:r>
    </w:p>
    <w:p w:rsidR="005C227F" w:rsidRPr="005D4748" w:rsidRDefault="005C227F" w:rsidP="005D4748">
      <w:pPr>
        <w:pStyle w:val="ListParagraph"/>
        <w:spacing w:after="0" w:line="240" w:lineRule="auto"/>
        <w:ind w:left="0"/>
        <w:rPr>
          <w:rFonts w:ascii="Arial" w:hAnsi="Arial" w:cs="Arial"/>
          <w:b/>
          <w:sz w:val="20"/>
          <w:szCs w:val="20"/>
          <w:lang w:val="en-GB"/>
        </w:rPr>
      </w:pPr>
      <w:r w:rsidRPr="005D4748">
        <w:rPr>
          <w:rFonts w:ascii="Arial" w:hAnsi="Arial" w:cs="Arial"/>
          <w:b/>
          <w:sz w:val="20"/>
          <w:szCs w:val="20"/>
          <w:lang w:val="en-GB"/>
        </w:rPr>
        <w:t xml:space="preserve">Outcome: Expanded access to </w:t>
      </w:r>
      <w:r w:rsidR="003B01FB" w:rsidRPr="005D4748">
        <w:rPr>
          <w:rFonts w:ascii="Arial" w:hAnsi="Arial" w:cs="Arial"/>
          <w:b/>
          <w:sz w:val="20"/>
          <w:szCs w:val="20"/>
          <w:lang w:val="en-GB"/>
        </w:rPr>
        <w:t>Post-School Education and Training (</w:t>
      </w:r>
      <w:r w:rsidRPr="005D4748">
        <w:rPr>
          <w:rFonts w:ascii="Arial" w:hAnsi="Arial" w:cs="Arial"/>
          <w:b/>
          <w:sz w:val="20"/>
          <w:szCs w:val="20"/>
          <w:lang w:val="en-GB"/>
        </w:rPr>
        <w:t>PSET</w:t>
      </w:r>
      <w:r w:rsidR="003B01FB" w:rsidRPr="005D4748">
        <w:rPr>
          <w:rFonts w:ascii="Arial" w:hAnsi="Arial" w:cs="Arial"/>
          <w:b/>
          <w:sz w:val="20"/>
          <w:szCs w:val="20"/>
          <w:lang w:val="en-GB"/>
        </w:rPr>
        <w:t>)</w:t>
      </w:r>
      <w:r w:rsidRPr="005D4748">
        <w:rPr>
          <w:rFonts w:ascii="Arial" w:hAnsi="Arial" w:cs="Arial"/>
          <w:b/>
          <w:sz w:val="20"/>
          <w:szCs w:val="20"/>
          <w:lang w:val="en-GB"/>
        </w:rPr>
        <w:t xml:space="preserve"> opportunities.</w:t>
      </w:r>
    </w:p>
    <w:p w:rsidR="005C227F" w:rsidRPr="005D4748" w:rsidRDefault="005C227F" w:rsidP="005D4748">
      <w:pPr>
        <w:numPr>
          <w:ilvl w:val="0"/>
          <w:numId w:val="2"/>
        </w:numPr>
        <w:spacing w:after="0" w:line="240" w:lineRule="auto"/>
        <w:ind w:left="567" w:hanging="567"/>
        <w:rPr>
          <w:rFonts w:ascii="Arial" w:hAnsi="Arial" w:cs="Arial"/>
          <w:sz w:val="20"/>
          <w:szCs w:val="20"/>
          <w:lang w:val="en-GB"/>
        </w:rPr>
      </w:pPr>
      <w:r w:rsidRPr="005D4748">
        <w:rPr>
          <w:rFonts w:ascii="Arial" w:hAnsi="Arial" w:cs="Arial"/>
          <w:sz w:val="20"/>
          <w:szCs w:val="20"/>
          <w:lang w:val="en-GB"/>
        </w:rPr>
        <w:t xml:space="preserve">Intervention: Increase the number of black lecturers supported through the </w:t>
      </w:r>
      <w:r w:rsidR="00697953" w:rsidRPr="005D4748">
        <w:rPr>
          <w:rFonts w:ascii="Arial" w:hAnsi="Arial" w:cs="Arial"/>
          <w:sz w:val="20"/>
          <w:szCs w:val="20"/>
          <w:lang w:val="en-GB"/>
        </w:rPr>
        <w:t>New Generation of Academics Programme (</w:t>
      </w:r>
      <w:r w:rsidRPr="005D4748">
        <w:rPr>
          <w:rFonts w:ascii="Arial" w:hAnsi="Arial" w:cs="Arial"/>
          <w:sz w:val="20"/>
          <w:szCs w:val="20"/>
          <w:lang w:val="en-GB"/>
        </w:rPr>
        <w:t>nGAP</w:t>
      </w:r>
      <w:r w:rsidR="00697953" w:rsidRPr="005D4748">
        <w:rPr>
          <w:rFonts w:ascii="Arial" w:hAnsi="Arial" w:cs="Arial"/>
          <w:sz w:val="20"/>
          <w:szCs w:val="20"/>
          <w:lang w:val="en-GB"/>
        </w:rPr>
        <w:t>)</w:t>
      </w:r>
      <w:r w:rsidRPr="005D4748">
        <w:rPr>
          <w:rFonts w:ascii="Arial" w:hAnsi="Arial" w:cs="Arial"/>
          <w:sz w:val="20"/>
          <w:szCs w:val="20"/>
          <w:lang w:val="en-GB"/>
        </w:rPr>
        <w:t xml:space="preserve"> by awarding bursaries to 12 200 PhD students by 2024.</w:t>
      </w:r>
    </w:p>
    <w:p w:rsidR="005C227F" w:rsidRPr="005D4748" w:rsidRDefault="005C227F" w:rsidP="005D4748">
      <w:pPr>
        <w:pStyle w:val="ListParagraph"/>
        <w:spacing w:after="0" w:line="240" w:lineRule="auto"/>
        <w:ind w:left="0"/>
        <w:rPr>
          <w:rFonts w:ascii="Arial" w:hAnsi="Arial" w:cs="Arial"/>
          <w:sz w:val="20"/>
          <w:szCs w:val="20"/>
          <w:lang w:val="en-GB"/>
        </w:rPr>
      </w:pPr>
    </w:p>
    <w:p w:rsidR="005C227F" w:rsidRPr="005D4748" w:rsidRDefault="005C227F" w:rsidP="005D4748">
      <w:pPr>
        <w:pStyle w:val="ListParagraph"/>
        <w:spacing w:after="0" w:line="240" w:lineRule="auto"/>
        <w:ind w:left="0"/>
        <w:rPr>
          <w:rFonts w:ascii="Arial" w:hAnsi="Arial" w:cs="Arial"/>
          <w:b/>
          <w:sz w:val="20"/>
          <w:szCs w:val="20"/>
          <w:lang w:val="en-GB"/>
        </w:rPr>
      </w:pPr>
      <w:r w:rsidRPr="005D4748">
        <w:rPr>
          <w:rFonts w:ascii="Arial" w:hAnsi="Arial" w:cs="Arial"/>
          <w:b/>
          <w:sz w:val="20"/>
          <w:szCs w:val="20"/>
          <w:lang w:val="en-GB"/>
        </w:rPr>
        <w:t>Outcome: Improved quality of PSET provisioning.</w:t>
      </w:r>
    </w:p>
    <w:p w:rsidR="005C227F" w:rsidRPr="005D4748" w:rsidRDefault="005C227F" w:rsidP="005D4748">
      <w:pPr>
        <w:numPr>
          <w:ilvl w:val="0"/>
          <w:numId w:val="2"/>
        </w:numPr>
        <w:spacing w:after="0" w:line="240" w:lineRule="auto"/>
        <w:ind w:left="567" w:hanging="567"/>
        <w:rPr>
          <w:rFonts w:ascii="Arial" w:hAnsi="Arial" w:cs="Arial"/>
          <w:sz w:val="20"/>
          <w:szCs w:val="20"/>
          <w:lang w:val="en-GB"/>
        </w:rPr>
      </w:pPr>
      <w:r w:rsidRPr="005D4748">
        <w:rPr>
          <w:rFonts w:ascii="Arial" w:hAnsi="Arial" w:cs="Arial"/>
          <w:sz w:val="20"/>
          <w:szCs w:val="20"/>
          <w:lang w:val="en-GB"/>
        </w:rPr>
        <w:t xml:space="preserve">Intervention: Implement the nGAP by awarding bursaries to 24 400 pipeline postgraduate </w:t>
      </w:r>
      <w:r w:rsidR="00D76F29" w:rsidRPr="005D4748">
        <w:rPr>
          <w:rFonts w:ascii="Arial" w:hAnsi="Arial" w:cs="Arial"/>
          <w:sz w:val="20"/>
          <w:szCs w:val="20"/>
          <w:lang w:val="en-GB"/>
        </w:rPr>
        <w:t xml:space="preserve">(honours and masters) </w:t>
      </w:r>
      <w:r w:rsidRPr="005D4748">
        <w:rPr>
          <w:rFonts w:ascii="Arial" w:hAnsi="Arial" w:cs="Arial"/>
          <w:sz w:val="20"/>
          <w:szCs w:val="20"/>
          <w:lang w:val="en-GB"/>
        </w:rPr>
        <w:t>students by 2024.</w:t>
      </w:r>
    </w:p>
    <w:p w:rsidR="005C227F" w:rsidRPr="005D4748" w:rsidRDefault="005C227F" w:rsidP="005D4748">
      <w:pPr>
        <w:numPr>
          <w:ilvl w:val="0"/>
          <w:numId w:val="2"/>
        </w:numPr>
        <w:spacing w:after="0" w:line="240" w:lineRule="auto"/>
        <w:ind w:left="567" w:hanging="567"/>
        <w:rPr>
          <w:rFonts w:ascii="Arial" w:hAnsi="Arial" w:cs="Arial"/>
          <w:sz w:val="20"/>
          <w:szCs w:val="20"/>
          <w:lang w:val="en-GB"/>
        </w:rPr>
      </w:pPr>
      <w:r w:rsidRPr="005D4748">
        <w:rPr>
          <w:rFonts w:ascii="Arial" w:hAnsi="Arial" w:cs="Arial"/>
          <w:sz w:val="20"/>
          <w:szCs w:val="20"/>
          <w:lang w:val="en-GB"/>
        </w:rPr>
        <w:t>Intervention: Increase the number of emerging researcher grants to 3 000 by 2024 to improve the percentage of PhD-qualified staff.</w:t>
      </w:r>
    </w:p>
    <w:p w:rsidR="005C227F" w:rsidRPr="005D4748" w:rsidRDefault="005C227F" w:rsidP="005D4748">
      <w:pPr>
        <w:pStyle w:val="ListParagraph"/>
        <w:spacing w:after="0" w:line="240" w:lineRule="auto"/>
        <w:ind w:left="0"/>
        <w:rPr>
          <w:rFonts w:ascii="Arial" w:hAnsi="Arial" w:cs="Arial"/>
          <w:sz w:val="20"/>
          <w:szCs w:val="20"/>
          <w:lang w:val="en-GB"/>
        </w:rPr>
      </w:pPr>
    </w:p>
    <w:p w:rsidR="005C227F" w:rsidRPr="005D4748" w:rsidRDefault="005C227F" w:rsidP="005D4748">
      <w:pPr>
        <w:pStyle w:val="ListParagraph"/>
        <w:spacing w:after="0" w:line="240" w:lineRule="auto"/>
        <w:ind w:left="0"/>
        <w:rPr>
          <w:rFonts w:ascii="Arial" w:hAnsi="Arial" w:cs="Arial"/>
          <w:sz w:val="20"/>
          <w:szCs w:val="20"/>
          <w:lang w:val="en-GB"/>
        </w:rPr>
      </w:pPr>
      <w:r w:rsidRPr="005D4748">
        <w:rPr>
          <w:rFonts w:ascii="Arial" w:hAnsi="Arial" w:cs="Arial"/>
          <w:b/>
          <w:sz w:val="20"/>
          <w:szCs w:val="20"/>
          <w:lang w:val="en-GB"/>
        </w:rPr>
        <w:t>Outcome: A responsive PSET system</w:t>
      </w:r>
      <w:r w:rsidRPr="005D4748">
        <w:rPr>
          <w:rFonts w:ascii="Arial" w:hAnsi="Arial" w:cs="Arial"/>
          <w:sz w:val="20"/>
          <w:szCs w:val="20"/>
          <w:lang w:val="en-GB"/>
        </w:rPr>
        <w:t>.</w:t>
      </w:r>
    </w:p>
    <w:p w:rsidR="005C227F" w:rsidRPr="005D4748" w:rsidRDefault="005C227F" w:rsidP="005D4748">
      <w:pPr>
        <w:numPr>
          <w:ilvl w:val="0"/>
          <w:numId w:val="2"/>
        </w:numPr>
        <w:spacing w:after="0" w:line="240" w:lineRule="auto"/>
        <w:ind w:left="567" w:hanging="567"/>
        <w:rPr>
          <w:rFonts w:ascii="Arial" w:hAnsi="Arial" w:cs="Arial"/>
          <w:sz w:val="20"/>
          <w:szCs w:val="20"/>
          <w:lang w:val="en-GB"/>
        </w:rPr>
      </w:pPr>
      <w:r w:rsidRPr="005D4748">
        <w:rPr>
          <w:rFonts w:ascii="Arial" w:hAnsi="Arial" w:cs="Arial"/>
          <w:sz w:val="20"/>
          <w:szCs w:val="20"/>
          <w:lang w:val="en-GB"/>
        </w:rPr>
        <w:t xml:space="preserve">Intervention: Conduct 20 </w:t>
      </w:r>
      <w:r w:rsidR="003B01FB" w:rsidRPr="005D4748">
        <w:rPr>
          <w:rFonts w:ascii="Arial" w:hAnsi="Arial" w:cs="Arial"/>
          <w:sz w:val="20"/>
          <w:szCs w:val="20"/>
          <w:lang w:val="en-GB"/>
        </w:rPr>
        <w:t>intellectual property (</w:t>
      </w:r>
      <w:r w:rsidRPr="005D4748">
        <w:rPr>
          <w:rFonts w:ascii="Arial" w:hAnsi="Arial" w:cs="Arial"/>
          <w:sz w:val="20"/>
          <w:szCs w:val="20"/>
          <w:lang w:val="en-GB"/>
        </w:rPr>
        <w:t>IP</w:t>
      </w:r>
      <w:r w:rsidR="003B01FB" w:rsidRPr="005D4748">
        <w:rPr>
          <w:rFonts w:ascii="Arial" w:hAnsi="Arial" w:cs="Arial"/>
          <w:sz w:val="20"/>
          <w:szCs w:val="20"/>
          <w:lang w:val="en-GB"/>
        </w:rPr>
        <w:t>)</w:t>
      </w:r>
      <w:r w:rsidRPr="005D4748">
        <w:rPr>
          <w:rFonts w:ascii="Arial" w:hAnsi="Arial" w:cs="Arial"/>
          <w:sz w:val="20"/>
          <w:szCs w:val="20"/>
          <w:lang w:val="en-GB"/>
        </w:rPr>
        <w:t xml:space="preserve"> awareness sessions at </w:t>
      </w:r>
      <w:r w:rsidR="003B01FB" w:rsidRPr="005D4748">
        <w:rPr>
          <w:rFonts w:ascii="Arial" w:hAnsi="Arial" w:cs="Arial"/>
          <w:sz w:val="20"/>
          <w:szCs w:val="20"/>
          <w:lang w:val="en-GB"/>
        </w:rPr>
        <w:t>Technical and Vocational Education and Training (</w:t>
      </w:r>
      <w:r w:rsidRPr="005D4748">
        <w:rPr>
          <w:rFonts w:ascii="Arial" w:hAnsi="Arial" w:cs="Arial"/>
          <w:sz w:val="20"/>
          <w:szCs w:val="20"/>
          <w:lang w:val="en-GB"/>
        </w:rPr>
        <w:t>TVET</w:t>
      </w:r>
      <w:r w:rsidR="003B01FB" w:rsidRPr="005D4748">
        <w:rPr>
          <w:rFonts w:ascii="Arial" w:hAnsi="Arial" w:cs="Arial"/>
          <w:sz w:val="20"/>
          <w:szCs w:val="20"/>
          <w:lang w:val="en-GB"/>
        </w:rPr>
        <w:t>)</w:t>
      </w:r>
      <w:r w:rsidRPr="005D4748">
        <w:rPr>
          <w:rFonts w:ascii="Arial" w:hAnsi="Arial" w:cs="Arial"/>
          <w:sz w:val="20"/>
          <w:szCs w:val="20"/>
          <w:lang w:val="en-GB"/>
        </w:rPr>
        <w:t xml:space="preserve"> colleges by 2024.</w:t>
      </w:r>
    </w:p>
    <w:p w:rsidR="00C545A6" w:rsidRPr="005D4748" w:rsidRDefault="005C227F" w:rsidP="005D4748">
      <w:pPr>
        <w:numPr>
          <w:ilvl w:val="0"/>
          <w:numId w:val="2"/>
        </w:numPr>
        <w:spacing w:after="0" w:line="240" w:lineRule="auto"/>
        <w:ind w:left="567" w:hanging="567"/>
        <w:rPr>
          <w:rFonts w:ascii="Arial" w:hAnsi="Arial" w:cs="Arial"/>
          <w:sz w:val="20"/>
          <w:szCs w:val="20"/>
          <w:lang w:val="en-GB"/>
        </w:rPr>
      </w:pPr>
      <w:r w:rsidRPr="005D4748">
        <w:rPr>
          <w:rFonts w:ascii="Arial" w:hAnsi="Arial" w:cs="Arial"/>
          <w:sz w:val="20"/>
          <w:szCs w:val="20"/>
          <w:lang w:val="en-GB"/>
        </w:rPr>
        <w:t xml:space="preserve">Intervention: Support 1.3 million users from the university and post-school sectors, national research facilities, science councils, and all public research-performing institutions through the South African National Research Network (SANReN) by 2024. </w:t>
      </w:r>
    </w:p>
    <w:p w:rsidR="00563996" w:rsidRPr="005D4748" w:rsidRDefault="00563996" w:rsidP="005D4748">
      <w:pPr>
        <w:pStyle w:val="ListParagraph"/>
        <w:spacing w:after="0" w:line="240" w:lineRule="auto"/>
        <w:ind w:left="0"/>
        <w:contextualSpacing w:val="0"/>
        <w:rPr>
          <w:rFonts w:ascii="Arial" w:hAnsi="Arial" w:cs="Arial"/>
          <w:sz w:val="20"/>
          <w:szCs w:val="20"/>
          <w:lang w:val="en-GB"/>
        </w:rPr>
      </w:pPr>
    </w:p>
    <w:p w:rsidR="00B17B2A" w:rsidRPr="005D4748" w:rsidRDefault="00B17B2A" w:rsidP="005D4748">
      <w:pPr>
        <w:pStyle w:val="ListParagraph"/>
        <w:numPr>
          <w:ilvl w:val="1"/>
          <w:numId w:val="1"/>
        </w:numPr>
        <w:spacing w:after="0" w:line="240" w:lineRule="auto"/>
        <w:ind w:left="567" w:hanging="567"/>
        <w:contextualSpacing w:val="0"/>
        <w:rPr>
          <w:rFonts w:ascii="Arial" w:hAnsi="Arial" w:cs="Arial"/>
          <w:sz w:val="20"/>
          <w:szCs w:val="20"/>
          <w:lang w:val="en-GB"/>
        </w:rPr>
      </w:pPr>
      <w:r w:rsidRPr="005D4748">
        <w:rPr>
          <w:rFonts w:ascii="Arial" w:hAnsi="Arial" w:cs="Arial"/>
          <w:b/>
          <w:sz w:val="20"/>
          <w:szCs w:val="20"/>
          <w:lang w:val="en-GB"/>
        </w:rPr>
        <w:t xml:space="preserve">2019 White Paper on Science, </w:t>
      </w:r>
      <w:r w:rsidR="002E7CBD" w:rsidRPr="005D4748">
        <w:rPr>
          <w:rFonts w:ascii="Arial" w:hAnsi="Arial" w:cs="Arial"/>
          <w:b/>
          <w:sz w:val="20"/>
          <w:szCs w:val="20"/>
          <w:lang w:val="en-GB"/>
        </w:rPr>
        <w:t>T</w:t>
      </w:r>
      <w:r w:rsidRPr="005D4748">
        <w:rPr>
          <w:rFonts w:ascii="Arial" w:hAnsi="Arial" w:cs="Arial"/>
          <w:b/>
          <w:sz w:val="20"/>
          <w:szCs w:val="20"/>
          <w:lang w:val="en-GB"/>
        </w:rPr>
        <w:t>echnology and Innovation</w:t>
      </w:r>
    </w:p>
    <w:p w:rsidR="00B17B2A" w:rsidRPr="005D4748" w:rsidRDefault="00B17B2A" w:rsidP="005D4748">
      <w:pPr>
        <w:pStyle w:val="ListParagraph"/>
        <w:spacing w:after="0" w:line="240" w:lineRule="auto"/>
        <w:ind w:left="0"/>
        <w:contextualSpacing w:val="0"/>
        <w:rPr>
          <w:rFonts w:ascii="Arial" w:hAnsi="Arial" w:cs="Arial"/>
          <w:sz w:val="20"/>
          <w:szCs w:val="20"/>
          <w:lang w:val="en-GB"/>
        </w:rPr>
      </w:pPr>
    </w:p>
    <w:p w:rsidR="00112852" w:rsidRPr="005D4748" w:rsidRDefault="00C05FE8" w:rsidP="005D4748">
      <w:pPr>
        <w:pStyle w:val="ListParagraph"/>
        <w:spacing w:after="0" w:line="240" w:lineRule="auto"/>
        <w:ind w:left="0"/>
        <w:contextualSpacing w:val="0"/>
        <w:rPr>
          <w:rFonts w:ascii="Arial" w:hAnsi="Arial" w:cs="Arial"/>
          <w:sz w:val="20"/>
          <w:szCs w:val="20"/>
          <w:lang w:val="en-GB"/>
        </w:rPr>
      </w:pPr>
      <w:r w:rsidRPr="005D4748">
        <w:rPr>
          <w:rFonts w:ascii="Arial" w:hAnsi="Arial" w:cs="Arial"/>
          <w:sz w:val="20"/>
          <w:szCs w:val="20"/>
          <w:lang w:val="en-GB"/>
        </w:rPr>
        <w:t xml:space="preserve">Cabinet approved a new STI White Paper in March 2019. </w:t>
      </w:r>
      <w:r w:rsidR="00C350E3" w:rsidRPr="005D4748">
        <w:rPr>
          <w:rFonts w:ascii="Arial" w:hAnsi="Arial" w:cs="Arial"/>
          <w:sz w:val="20"/>
          <w:szCs w:val="20"/>
          <w:lang w:val="en-GB"/>
        </w:rPr>
        <w:t>Henceforth</w:t>
      </w:r>
      <w:r w:rsidRPr="005D4748">
        <w:rPr>
          <w:rFonts w:ascii="Arial" w:hAnsi="Arial" w:cs="Arial"/>
          <w:sz w:val="20"/>
          <w:szCs w:val="20"/>
          <w:lang w:val="en-GB"/>
        </w:rPr>
        <w:t xml:space="preserve">, the Department has been keenly focused on formulating and finalising the implementation plan for this White Paper; namely, the 2021-2031 STI Decadal Plan. Although significant strides were made under the former 1996 Science and Technology White Paper, the current STI White Paper and Decadal Plan proposes the vision of a “whole-of-government approach” to innovation to ensure that greater and inclusive well-being and prosperity is derived through STI. </w:t>
      </w:r>
      <w:r w:rsidR="00112852" w:rsidRPr="005D4748">
        <w:rPr>
          <w:rFonts w:ascii="Arial" w:hAnsi="Arial" w:cs="Arial"/>
          <w:sz w:val="20"/>
          <w:szCs w:val="20"/>
          <w:lang w:val="en-GB"/>
        </w:rPr>
        <w:t>To realise the potential contribution of science and innovation to South Africa’s socio-economic ambitions, the STI Decadal Plan sets a number of system goals. These include (i) an inclusive and coherent NSI, (ii) an expanded and transformed research system, (iii) increased and future-proof human capabilities, (iv) an enabling innovation environment, and (v) significantly increased funding for the NSI.</w:t>
      </w:r>
    </w:p>
    <w:p w:rsidR="000A768C" w:rsidRPr="005D4748" w:rsidRDefault="000A768C" w:rsidP="005D4748">
      <w:pPr>
        <w:spacing w:after="0" w:line="240" w:lineRule="auto"/>
        <w:rPr>
          <w:rFonts w:ascii="Arial" w:hAnsi="Arial" w:cs="Arial"/>
          <w:sz w:val="20"/>
          <w:szCs w:val="20"/>
          <w:lang w:val="en-GB"/>
        </w:rPr>
      </w:pPr>
    </w:p>
    <w:p w:rsidR="00684491" w:rsidRPr="005D4748" w:rsidRDefault="00093886" w:rsidP="005D4748">
      <w:pPr>
        <w:pStyle w:val="ListParagraph"/>
        <w:numPr>
          <w:ilvl w:val="1"/>
          <w:numId w:val="1"/>
        </w:numPr>
        <w:spacing w:after="0" w:line="240" w:lineRule="auto"/>
        <w:ind w:left="0" w:firstLine="0"/>
        <w:contextualSpacing w:val="0"/>
        <w:rPr>
          <w:rFonts w:ascii="Arial" w:hAnsi="Arial" w:cs="Arial"/>
          <w:sz w:val="20"/>
          <w:szCs w:val="20"/>
          <w:lang w:val="en-GB"/>
        </w:rPr>
      </w:pPr>
      <w:r w:rsidRPr="005D4748">
        <w:rPr>
          <w:rFonts w:ascii="Arial" w:hAnsi="Arial" w:cs="Arial"/>
          <w:b/>
          <w:sz w:val="20"/>
          <w:szCs w:val="20"/>
          <w:lang w:val="en-GB"/>
        </w:rPr>
        <w:t xml:space="preserve">Strategic Outcome-Oriented Goals </w:t>
      </w:r>
      <w:r w:rsidR="00684491" w:rsidRPr="005D4748">
        <w:rPr>
          <w:rFonts w:ascii="Arial" w:hAnsi="Arial" w:cs="Arial"/>
          <w:b/>
          <w:sz w:val="20"/>
          <w:szCs w:val="20"/>
          <w:lang w:val="en-GB"/>
        </w:rPr>
        <w:t xml:space="preserve">of the </w:t>
      </w:r>
      <w:r w:rsidR="007C64D4" w:rsidRPr="005D4748">
        <w:rPr>
          <w:rFonts w:ascii="Arial" w:hAnsi="Arial" w:cs="Arial"/>
          <w:b/>
          <w:sz w:val="20"/>
          <w:szCs w:val="20"/>
          <w:lang w:val="en-GB"/>
        </w:rPr>
        <w:t>Department of Science and Innovation</w:t>
      </w:r>
    </w:p>
    <w:p w:rsidR="00684491" w:rsidRPr="005D4748" w:rsidRDefault="00684491" w:rsidP="005D4748">
      <w:pPr>
        <w:autoSpaceDE w:val="0"/>
        <w:autoSpaceDN w:val="0"/>
        <w:adjustRightInd w:val="0"/>
        <w:spacing w:after="0" w:line="240" w:lineRule="auto"/>
        <w:rPr>
          <w:rFonts w:ascii="Arial" w:hAnsi="Arial" w:cs="Arial"/>
          <w:sz w:val="20"/>
          <w:szCs w:val="20"/>
          <w:lang w:val="en-GB"/>
        </w:rPr>
      </w:pPr>
    </w:p>
    <w:p w:rsidR="0079693C" w:rsidRPr="005D4748" w:rsidRDefault="00E6695F" w:rsidP="005D4748">
      <w:pPr>
        <w:spacing w:after="0" w:line="240" w:lineRule="auto"/>
        <w:rPr>
          <w:rFonts w:ascii="Arial" w:hAnsi="Arial" w:cs="Arial"/>
          <w:sz w:val="20"/>
          <w:szCs w:val="20"/>
        </w:rPr>
      </w:pPr>
      <w:r w:rsidRPr="005D4748">
        <w:rPr>
          <w:rFonts w:ascii="Arial" w:hAnsi="Arial" w:cs="Arial"/>
          <w:sz w:val="20"/>
          <w:szCs w:val="20"/>
          <w:lang w:val="en-GB"/>
        </w:rPr>
        <w:t>T</w:t>
      </w:r>
      <w:r w:rsidR="0079693C" w:rsidRPr="005D4748">
        <w:rPr>
          <w:rFonts w:ascii="Arial" w:hAnsi="Arial" w:cs="Arial"/>
          <w:sz w:val="20"/>
          <w:szCs w:val="20"/>
        </w:rPr>
        <w:t>h</w:t>
      </w:r>
      <w:r w:rsidRPr="005D4748">
        <w:rPr>
          <w:rFonts w:ascii="Arial" w:hAnsi="Arial" w:cs="Arial"/>
          <w:sz w:val="20"/>
          <w:szCs w:val="20"/>
        </w:rPr>
        <w:t>e</w:t>
      </w:r>
      <w:r w:rsidR="0079693C" w:rsidRPr="005D4748">
        <w:rPr>
          <w:rFonts w:ascii="Arial" w:hAnsi="Arial" w:cs="Arial"/>
          <w:sz w:val="20"/>
          <w:szCs w:val="20"/>
        </w:rPr>
        <w:t xml:space="preserve"> </w:t>
      </w:r>
      <w:r w:rsidR="0079693C" w:rsidRPr="005D4748">
        <w:rPr>
          <w:rFonts w:ascii="Arial" w:hAnsi="Arial" w:cs="Arial"/>
          <w:i/>
          <w:sz w:val="20"/>
          <w:szCs w:val="20"/>
        </w:rPr>
        <w:t>new era</w:t>
      </w:r>
      <w:r w:rsidR="0079693C" w:rsidRPr="005D4748">
        <w:rPr>
          <w:rFonts w:ascii="Arial" w:hAnsi="Arial" w:cs="Arial"/>
          <w:sz w:val="20"/>
          <w:szCs w:val="20"/>
        </w:rPr>
        <w:t xml:space="preserve"> of STI policy places greater emphasis on technology and innovation deployment, the use of innovation in support of a capable state and service delivery, inclusivity, transformation, partnerships to address policy coherence, the development of human capabilities, knowledge expansion, innovation performance and increased investment. Hence, the D</w:t>
      </w:r>
      <w:r w:rsidRPr="005D4748">
        <w:rPr>
          <w:rFonts w:ascii="Arial" w:hAnsi="Arial" w:cs="Arial"/>
          <w:sz w:val="20"/>
          <w:szCs w:val="20"/>
        </w:rPr>
        <w:t>epartment</w:t>
      </w:r>
      <w:r w:rsidR="0079693C" w:rsidRPr="005D4748">
        <w:rPr>
          <w:rFonts w:ascii="Arial" w:hAnsi="Arial" w:cs="Arial"/>
          <w:sz w:val="20"/>
          <w:szCs w:val="20"/>
        </w:rPr>
        <w:t xml:space="preserve"> identified the following six strategic outcomes for the period 2020-2025:</w:t>
      </w:r>
    </w:p>
    <w:p w:rsidR="0079693C" w:rsidRPr="005D4748" w:rsidRDefault="0079693C" w:rsidP="005D4748">
      <w:pPr>
        <w:spacing w:after="0" w:line="240" w:lineRule="auto"/>
        <w:outlineLvl w:val="1"/>
        <w:rPr>
          <w:rFonts w:ascii="Arial" w:hAnsi="Arial" w:cs="Arial"/>
          <w:sz w:val="20"/>
          <w:szCs w:val="20"/>
        </w:rPr>
      </w:pPr>
    </w:p>
    <w:p w:rsidR="0079693C" w:rsidRPr="005D4748" w:rsidRDefault="0079693C" w:rsidP="005D4748">
      <w:pPr>
        <w:spacing w:after="0" w:line="240" w:lineRule="auto"/>
        <w:ind w:left="1701" w:hanging="1701"/>
        <w:rPr>
          <w:rFonts w:ascii="Arial" w:hAnsi="Arial" w:cs="Arial"/>
          <w:sz w:val="20"/>
          <w:szCs w:val="20"/>
        </w:rPr>
      </w:pPr>
      <w:r w:rsidRPr="005D4748">
        <w:rPr>
          <w:rFonts w:ascii="Arial" w:hAnsi="Arial" w:cs="Arial"/>
          <w:b/>
          <w:sz w:val="20"/>
          <w:szCs w:val="20"/>
        </w:rPr>
        <w:t>Outcome 1:</w:t>
      </w:r>
      <w:r w:rsidRPr="005D4748">
        <w:rPr>
          <w:rFonts w:ascii="Arial" w:hAnsi="Arial" w:cs="Arial"/>
          <w:sz w:val="20"/>
          <w:szCs w:val="20"/>
        </w:rPr>
        <w:tab/>
        <w:t>A transformed, inclusive, responsive and coherent NSI;</w:t>
      </w:r>
    </w:p>
    <w:p w:rsidR="0079693C" w:rsidRPr="005D4748" w:rsidRDefault="0079693C" w:rsidP="005D4748">
      <w:pPr>
        <w:spacing w:after="0" w:line="240" w:lineRule="auto"/>
        <w:ind w:left="1701" w:hanging="1701"/>
        <w:rPr>
          <w:rFonts w:ascii="Arial" w:hAnsi="Arial" w:cs="Arial"/>
          <w:sz w:val="20"/>
          <w:szCs w:val="20"/>
        </w:rPr>
      </w:pPr>
      <w:r w:rsidRPr="005D4748">
        <w:rPr>
          <w:rFonts w:ascii="Arial" w:hAnsi="Arial" w:cs="Arial"/>
          <w:b/>
          <w:sz w:val="20"/>
          <w:szCs w:val="20"/>
        </w:rPr>
        <w:t>Outcome 2:</w:t>
      </w:r>
      <w:r w:rsidRPr="005D4748">
        <w:rPr>
          <w:rFonts w:ascii="Arial" w:hAnsi="Arial" w:cs="Arial"/>
          <w:sz w:val="20"/>
          <w:szCs w:val="20"/>
        </w:rPr>
        <w:tab/>
        <w:t>Human capabilities and skills for the economy and for development;</w:t>
      </w:r>
    </w:p>
    <w:p w:rsidR="0079693C" w:rsidRPr="005D4748" w:rsidRDefault="0079693C" w:rsidP="005D4748">
      <w:pPr>
        <w:spacing w:after="0" w:line="240" w:lineRule="auto"/>
        <w:ind w:left="1701" w:hanging="1701"/>
        <w:rPr>
          <w:rFonts w:ascii="Arial" w:hAnsi="Arial" w:cs="Arial"/>
          <w:sz w:val="20"/>
          <w:szCs w:val="20"/>
        </w:rPr>
      </w:pPr>
      <w:r w:rsidRPr="005D4748">
        <w:rPr>
          <w:rFonts w:ascii="Arial" w:hAnsi="Arial" w:cs="Arial"/>
          <w:b/>
          <w:sz w:val="20"/>
          <w:szCs w:val="20"/>
        </w:rPr>
        <w:t>Outcome 3:</w:t>
      </w:r>
      <w:r w:rsidRPr="005D4748">
        <w:rPr>
          <w:rFonts w:ascii="Arial" w:hAnsi="Arial" w:cs="Arial"/>
          <w:sz w:val="20"/>
          <w:szCs w:val="20"/>
        </w:rPr>
        <w:tab/>
        <w:t>Increase knowledge generation and innovation output;</w:t>
      </w:r>
    </w:p>
    <w:p w:rsidR="0079693C" w:rsidRPr="005D4748" w:rsidRDefault="0079693C" w:rsidP="005D4748">
      <w:pPr>
        <w:spacing w:after="0" w:line="240" w:lineRule="auto"/>
        <w:ind w:left="1701" w:hanging="1701"/>
        <w:rPr>
          <w:rFonts w:ascii="Arial" w:hAnsi="Arial" w:cs="Arial"/>
          <w:sz w:val="20"/>
          <w:szCs w:val="20"/>
        </w:rPr>
      </w:pPr>
      <w:r w:rsidRPr="005D4748">
        <w:rPr>
          <w:rFonts w:ascii="Arial" w:hAnsi="Arial" w:cs="Arial"/>
          <w:b/>
          <w:sz w:val="20"/>
          <w:szCs w:val="20"/>
        </w:rPr>
        <w:lastRenderedPageBreak/>
        <w:t>Outcome 4:</w:t>
      </w:r>
      <w:r w:rsidRPr="005D4748">
        <w:rPr>
          <w:rFonts w:ascii="Arial" w:hAnsi="Arial" w:cs="Arial"/>
          <w:sz w:val="20"/>
          <w:szCs w:val="20"/>
        </w:rPr>
        <w:tab/>
        <w:t xml:space="preserve">Knowledge utilisation for economic development in (a) revitalising existing industries and (b) stimulating </w:t>
      </w:r>
      <w:r w:rsidR="00037D74" w:rsidRPr="005D4748">
        <w:rPr>
          <w:rFonts w:ascii="Arial" w:hAnsi="Arial" w:cs="Arial"/>
          <w:sz w:val="20"/>
          <w:szCs w:val="20"/>
        </w:rPr>
        <w:t>R&amp;D</w:t>
      </w:r>
      <w:r w:rsidRPr="005D4748">
        <w:rPr>
          <w:rFonts w:ascii="Arial" w:hAnsi="Arial" w:cs="Arial"/>
          <w:sz w:val="20"/>
          <w:szCs w:val="20"/>
        </w:rPr>
        <w:t>-led industrial development;</w:t>
      </w:r>
    </w:p>
    <w:p w:rsidR="0079693C" w:rsidRPr="005D4748" w:rsidRDefault="0079693C" w:rsidP="005D4748">
      <w:pPr>
        <w:spacing w:after="0" w:line="240" w:lineRule="auto"/>
        <w:ind w:left="1701" w:hanging="1701"/>
        <w:rPr>
          <w:rFonts w:ascii="Arial" w:hAnsi="Arial" w:cs="Arial"/>
          <w:sz w:val="20"/>
          <w:szCs w:val="20"/>
        </w:rPr>
      </w:pPr>
      <w:r w:rsidRPr="005D4748">
        <w:rPr>
          <w:rFonts w:ascii="Arial" w:hAnsi="Arial" w:cs="Arial"/>
          <w:b/>
          <w:sz w:val="20"/>
          <w:szCs w:val="20"/>
        </w:rPr>
        <w:t>Outcome 5:</w:t>
      </w:r>
      <w:r w:rsidRPr="005D4748">
        <w:rPr>
          <w:rFonts w:ascii="Arial" w:hAnsi="Arial" w:cs="Arial"/>
          <w:sz w:val="20"/>
          <w:szCs w:val="20"/>
        </w:rPr>
        <w:tab/>
        <w:t>Knowledge utilisation for inclusive development; and</w:t>
      </w:r>
    </w:p>
    <w:p w:rsidR="0079693C" w:rsidRPr="005D4748" w:rsidRDefault="0079693C" w:rsidP="005D4748">
      <w:pPr>
        <w:spacing w:after="0" w:line="240" w:lineRule="auto"/>
        <w:ind w:left="1701" w:hanging="1701"/>
        <w:rPr>
          <w:rFonts w:ascii="Arial" w:hAnsi="Arial" w:cs="Arial"/>
          <w:sz w:val="20"/>
          <w:szCs w:val="20"/>
        </w:rPr>
      </w:pPr>
      <w:r w:rsidRPr="005D4748">
        <w:rPr>
          <w:rFonts w:ascii="Arial" w:hAnsi="Arial" w:cs="Arial"/>
          <w:b/>
          <w:sz w:val="20"/>
          <w:szCs w:val="20"/>
        </w:rPr>
        <w:t>Outcome 6:</w:t>
      </w:r>
      <w:r w:rsidRPr="005D4748">
        <w:rPr>
          <w:rFonts w:ascii="Arial" w:hAnsi="Arial" w:cs="Arial"/>
          <w:sz w:val="20"/>
          <w:szCs w:val="20"/>
        </w:rPr>
        <w:tab/>
        <w:t>Innovation in support of a capable and development state.</w:t>
      </w:r>
    </w:p>
    <w:p w:rsidR="00E6695F" w:rsidRPr="005D4748" w:rsidRDefault="00E6695F" w:rsidP="005D4748">
      <w:pPr>
        <w:spacing w:after="0" w:line="240" w:lineRule="auto"/>
        <w:ind w:left="1701" w:hanging="1701"/>
        <w:rPr>
          <w:rFonts w:ascii="Arial" w:hAnsi="Arial" w:cs="Arial"/>
          <w:sz w:val="20"/>
          <w:szCs w:val="20"/>
        </w:rPr>
      </w:pPr>
    </w:p>
    <w:p w:rsidR="0075422F" w:rsidRPr="005D4748" w:rsidRDefault="00E34B4F" w:rsidP="005D4748">
      <w:pPr>
        <w:pStyle w:val="ListParagraph"/>
        <w:numPr>
          <w:ilvl w:val="0"/>
          <w:numId w:val="1"/>
        </w:numPr>
        <w:spacing w:after="0" w:line="240" w:lineRule="auto"/>
        <w:ind w:left="567" w:hanging="567"/>
        <w:rPr>
          <w:rFonts w:ascii="Arial" w:hAnsi="Arial" w:cs="Arial"/>
          <w:b/>
          <w:caps/>
          <w:sz w:val="20"/>
          <w:szCs w:val="20"/>
          <w:lang w:val="en-GB"/>
        </w:rPr>
      </w:pPr>
      <w:r w:rsidRPr="005D4748">
        <w:rPr>
          <w:rFonts w:ascii="Arial" w:hAnsi="Arial" w:cs="Arial"/>
          <w:b/>
          <w:caps/>
          <w:sz w:val="20"/>
          <w:szCs w:val="20"/>
          <w:lang w:val="en-GB"/>
        </w:rPr>
        <w:t>20</w:t>
      </w:r>
      <w:r w:rsidR="009C1EF9" w:rsidRPr="005D4748">
        <w:rPr>
          <w:rFonts w:ascii="Arial" w:hAnsi="Arial" w:cs="Arial"/>
          <w:b/>
          <w:caps/>
          <w:sz w:val="20"/>
          <w:szCs w:val="20"/>
          <w:lang w:val="en-GB"/>
        </w:rPr>
        <w:t>2</w:t>
      </w:r>
      <w:r w:rsidR="004A06D5" w:rsidRPr="005D4748">
        <w:rPr>
          <w:rFonts w:ascii="Arial" w:hAnsi="Arial" w:cs="Arial"/>
          <w:b/>
          <w:caps/>
          <w:sz w:val="20"/>
          <w:szCs w:val="20"/>
          <w:lang w:val="en-GB"/>
        </w:rPr>
        <w:t>1</w:t>
      </w:r>
      <w:r w:rsidR="00010EDA" w:rsidRPr="005D4748">
        <w:rPr>
          <w:rFonts w:ascii="Arial" w:hAnsi="Arial" w:cs="Arial"/>
          <w:b/>
          <w:caps/>
          <w:sz w:val="20"/>
          <w:szCs w:val="20"/>
          <w:lang w:val="en-GB"/>
        </w:rPr>
        <w:t>/22</w:t>
      </w:r>
      <w:r w:rsidR="00407F87" w:rsidRPr="005D4748">
        <w:rPr>
          <w:rFonts w:ascii="Arial" w:hAnsi="Arial" w:cs="Arial"/>
          <w:b/>
          <w:caps/>
          <w:sz w:val="20"/>
          <w:szCs w:val="20"/>
          <w:lang w:val="en-GB"/>
        </w:rPr>
        <w:t xml:space="preserve"> </w:t>
      </w:r>
      <w:r w:rsidR="0075422F" w:rsidRPr="005D4748">
        <w:rPr>
          <w:rFonts w:ascii="Arial" w:hAnsi="Arial" w:cs="Arial"/>
          <w:b/>
          <w:caps/>
          <w:sz w:val="20"/>
          <w:szCs w:val="20"/>
          <w:lang w:val="en-GB"/>
        </w:rPr>
        <w:t>financial performance</w:t>
      </w:r>
      <w:r w:rsidR="000C7872" w:rsidRPr="005D4748">
        <w:rPr>
          <w:rFonts w:ascii="Arial" w:hAnsi="Arial" w:cs="Arial"/>
          <w:b/>
          <w:caps/>
          <w:sz w:val="20"/>
          <w:szCs w:val="20"/>
          <w:lang w:val="en-GB"/>
        </w:rPr>
        <w:t xml:space="preserve"> OF THE </w:t>
      </w:r>
      <w:r w:rsidR="007C64D4" w:rsidRPr="005D4748">
        <w:rPr>
          <w:rFonts w:ascii="Arial" w:hAnsi="Arial" w:cs="Arial"/>
          <w:b/>
          <w:caps/>
          <w:sz w:val="20"/>
          <w:szCs w:val="20"/>
          <w:lang w:val="en-GB"/>
        </w:rPr>
        <w:t>DEPARTMENT OF SCIENCE AND INNOVATION</w:t>
      </w:r>
    </w:p>
    <w:p w:rsidR="0075422F" w:rsidRPr="005D4748" w:rsidRDefault="0075422F" w:rsidP="005D4748">
      <w:pPr>
        <w:pStyle w:val="ListParagraph"/>
        <w:spacing w:after="0" w:line="240" w:lineRule="auto"/>
        <w:ind w:left="0"/>
        <w:rPr>
          <w:rFonts w:ascii="Arial" w:hAnsi="Arial" w:cs="Arial"/>
          <w:sz w:val="20"/>
          <w:szCs w:val="20"/>
          <w:lang w:val="en-GB"/>
        </w:rPr>
      </w:pPr>
    </w:p>
    <w:p w:rsidR="004D6CFC" w:rsidRPr="005D4748" w:rsidRDefault="004D6CFC" w:rsidP="005D4748">
      <w:pPr>
        <w:spacing w:after="0" w:line="240" w:lineRule="auto"/>
        <w:rPr>
          <w:rFonts w:ascii="Arial" w:hAnsi="Arial" w:cs="Arial"/>
          <w:sz w:val="20"/>
          <w:szCs w:val="20"/>
        </w:rPr>
      </w:pPr>
      <w:r w:rsidRPr="005D4748">
        <w:rPr>
          <w:rFonts w:ascii="Arial" w:hAnsi="Arial" w:cs="Arial"/>
          <w:sz w:val="20"/>
          <w:szCs w:val="20"/>
        </w:rPr>
        <w:t xml:space="preserve">The President stated in the 2021 State of the Nation Address that the overriding priorities of 2021 were to (i) defeat the coronavirus pandemic, (ii) accelerate economic recovery, (iii) implement economic reforms to create sustainable jobs and drive inclusive growth, and (iv) strengthen the state and fight corruption. The pandemic, more so than other recent crises, has emphasised the importance of science and innovation to both prepare for and react to future crises and has highlighted the need to ensure that STI policies direct RDI efforts toward achieving socio-economic and environmental sustainability, inclusivity and resilience. Hence, the resurgence of thought that advocates that </w:t>
      </w:r>
      <w:r w:rsidR="000D6D7D" w:rsidRPr="005D4748">
        <w:rPr>
          <w:rFonts w:ascii="Arial" w:hAnsi="Arial" w:cs="Arial"/>
          <w:sz w:val="20"/>
          <w:szCs w:val="20"/>
        </w:rPr>
        <w:t>STI</w:t>
      </w:r>
      <w:r w:rsidRPr="005D4748">
        <w:rPr>
          <w:rFonts w:ascii="Arial" w:hAnsi="Arial" w:cs="Arial"/>
          <w:sz w:val="20"/>
          <w:szCs w:val="20"/>
        </w:rPr>
        <w:t xml:space="preserve"> should be considered an investment and not merely an expenditure item against the national fiscus.</w:t>
      </w:r>
    </w:p>
    <w:p w:rsidR="003D02C4" w:rsidRPr="005D4748" w:rsidRDefault="003D02C4" w:rsidP="005D4748">
      <w:pPr>
        <w:spacing w:after="0" w:line="240" w:lineRule="auto"/>
        <w:rPr>
          <w:rFonts w:ascii="Arial" w:hAnsi="Arial" w:cs="Arial"/>
          <w:sz w:val="20"/>
          <w:szCs w:val="20"/>
        </w:rPr>
      </w:pPr>
    </w:p>
    <w:p w:rsidR="00424A18" w:rsidRPr="005D4748" w:rsidRDefault="00312A20" w:rsidP="005D4748">
      <w:pPr>
        <w:pStyle w:val="ListParagraph"/>
        <w:spacing w:after="0" w:line="240" w:lineRule="auto"/>
        <w:ind w:left="0"/>
        <w:rPr>
          <w:rFonts w:ascii="Arial" w:hAnsi="Arial" w:cs="Arial"/>
          <w:sz w:val="20"/>
          <w:szCs w:val="20"/>
          <w:lang w:val="en-GB"/>
        </w:rPr>
      </w:pPr>
      <w:r w:rsidRPr="005D4748">
        <w:rPr>
          <w:rFonts w:ascii="Arial" w:hAnsi="Arial" w:cs="Arial"/>
          <w:sz w:val="20"/>
          <w:szCs w:val="20"/>
        </w:rPr>
        <w:t>The 2021 Budget was framed by the policy objectives set out in the 2020 MTBPS, which were to promote economic recovery and return public finances to a sustainable position. Hence, fiscal policy continued to focus on short-term economic support, pro-growth fiscal consolidation and debt stabilisation.</w:t>
      </w:r>
      <w:r w:rsidRPr="005D4748">
        <w:rPr>
          <w:rFonts w:ascii="Arial" w:hAnsi="Arial" w:cs="Arial"/>
          <w:sz w:val="20"/>
          <w:szCs w:val="20"/>
          <w:lang w:val="en-GB"/>
        </w:rPr>
        <w:t xml:space="preserve"> The 2021/22 consolidated government </w:t>
      </w:r>
      <w:r w:rsidR="005A1CF2" w:rsidRPr="005D4748">
        <w:rPr>
          <w:rFonts w:ascii="Arial" w:hAnsi="Arial" w:cs="Arial"/>
          <w:sz w:val="20"/>
          <w:szCs w:val="20"/>
          <w:lang w:val="en-GB"/>
        </w:rPr>
        <w:t xml:space="preserve">allocation </w:t>
      </w:r>
      <w:r w:rsidRPr="005D4748">
        <w:rPr>
          <w:rFonts w:ascii="Arial" w:hAnsi="Arial" w:cs="Arial"/>
          <w:sz w:val="20"/>
          <w:szCs w:val="20"/>
          <w:lang w:val="en-GB"/>
        </w:rPr>
        <w:t xml:space="preserve">for innovation, science and technology was R17.4 billion (R15.4 billion in 2020/21, revised estimate), which was 1% of the total Medium Term Expenditure Framework (MTEF) allocation and 8.4% of the consolidated economic development </w:t>
      </w:r>
      <w:r w:rsidR="005A1CF2" w:rsidRPr="005D4748">
        <w:rPr>
          <w:rFonts w:ascii="Arial" w:hAnsi="Arial" w:cs="Arial"/>
          <w:sz w:val="20"/>
          <w:szCs w:val="20"/>
          <w:lang w:val="en-GB"/>
        </w:rPr>
        <w:t xml:space="preserve">allocation </w:t>
      </w:r>
      <w:r w:rsidRPr="005D4748">
        <w:rPr>
          <w:rFonts w:ascii="Arial" w:hAnsi="Arial" w:cs="Arial"/>
          <w:sz w:val="20"/>
          <w:szCs w:val="20"/>
          <w:lang w:val="en-GB"/>
        </w:rPr>
        <w:t>of R207.5 billion.</w:t>
      </w:r>
    </w:p>
    <w:p w:rsidR="004D6CFC" w:rsidRPr="005D4748" w:rsidRDefault="004D6CFC" w:rsidP="005D4748">
      <w:pPr>
        <w:pStyle w:val="ListParagraph"/>
        <w:spacing w:after="0" w:line="240" w:lineRule="auto"/>
        <w:ind w:left="0"/>
        <w:rPr>
          <w:rFonts w:ascii="Arial" w:hAnsi="Arial" w:cs="Arial"/>
          <w:sz w:val="20"/>
          <w:szCs w:val="20"/>
          <w:lang w:val="en-GB"/>
        </w:rPr>
      </w:pPr>
    </w:p>
    <w:p w:rsidR="00424A18" w:rsidRPr="005D4748" w:rsidRDefault="00D62F97" w:rsidP="005D4748">
      <w:pPr>
        <w:pStyle w:val="ListParagraph"/>
        <w:numPr>
          <w:ilvl w:val="1"/>
          <w:numId w:val="1"/>
        </w:numPr>
        <w:spacing w:after="0" w:line="240" w:lineRule="auto"/>
        <w:ind w:left="567" w:hanging="567"/>
        <w:rPr>
          <w:rFonts w:ascii="Arial" w:hAnsi="Arial" w:cs="Arial"/>
          <w:b/>
          <w:sz w:val="20"/>
          <w:szCs w:val="20"/>
          <w:lang w:val="en-GB"/>
        </w:rPr>
      </w:pPr>
      <w:r w:rsidRPr="005D4748">
        <w:rPr>
          <w:rFonts w:ascii="Arial" w:hAnsi="Arial" w:cs="Arial"/>
          <w:b/>
          <w:sz w:val="20"/>
          <w:szCs w:val="20"/>
          <w:lang w:val="en-GB"/>
        </w:rPr>
        <w:t xml:space="preserve">Vote 35: Science and Innovation </w:t>
      </w:r>
      <w:r w:rsidR="00AB733E" w:rsidRPr="005D4748">
        <w:rPr>
          <w:rFonts w:ascii="Arial" w:hAnsi="Arial" w:cs="Arial"/>
          <w:b/>
          <w:sz w:val="20"/>
          <w:szCs w:val="20"/>
          <w:lang w:val="en-GB"/>
        </w:rPr>
        <w:t>2021</w:t>
      </w:r>
      <w:r w:rsidR="00744C53" w:rsidRPr="005D4748">
        <w:rPr>
          <w:rFonts w:ascii="Arial" w:hAnsi="Arial" w:cs="Arial"/>
          <w:b/>
          <w:sz w:val="20"/>
          <w:szCs w:val="20"/>
          <w:lang w:val="en-GB"/>
        </w:rPr>
        <w:t>/22</w:t>
      </w:r>
      <w:r w:rsidRPr="005D4748">
        <w:rPr>
          <w:rFonts w:ascii="Arial" w:hAnsi="Arial" w:cs="Arial"/>
          <w:b/>
          <w:sz w:val="20"/>
          <w:szCs w:val="20"/>
          <w:lang w:val="en-GB"/>
        </w:rPr>
        <w:t xml:space="preserve"> Budget Allocation</w:t>
      </w:r>
    </w:p>
    <w:p w:rsidR="00AB733E" w:rsidRPr="005D4748" w:rsidRDefault="00AB733E" w:rsidP="005D4748">
      <w:pPr>
        <w:pStyle w:val="ListParagraph"/>
        <w:spacing w:after="0" w:line="240" w:lineRule="auto"/>
        <w:ind w:left="0"/>
        <w:rPr>
          <w:rFonts w:ascii="Arial" w:hAnsi="Arial" w:cs="Arial"/>
          <w:sz w:val="20"/>
          <w:szCs w:val="20"/>
          <w:lang w:val="en-GB"/>
        </w:rPr>
      </w:pPr>
    </w:p>
    <w:p w:rsidR="00AD0AC7" w:rsidRPr="005D4748" w:rsidRDefault="00AD0AC7" w:rsidP="005D4748">
      <w:pPr>
        <w:pStyle w:val="ListParagraph"/>
        <w:spacing w:after="0" w:line="240" w:lineRule="auto"/>
        <w:ind w:left="0"/>
        <w:rPr>
          <w:rFonts w:ascii="Arial" w:hAnsi="Arial" w:cs="Arial"/>
          <w:sz w:val="20"/>
          <w:szCs w:val="20"/>
          <w:lang w:val="en-GB"/>
        </w:rPr>
      </w:pPr>
      <w:r w:rsidRPr="005D4748">
        <w:rPr>
          <w:rFonts w:ascii="Arial" w:hAnsi="Arial" w:cs="Arial"/>
          <w:sz w:val="20"/>
          <w:szCs w:val="20"/>
          <w:lang w:val="en-GB"/>
        </w:rPr>
        <w:t>The Department’s 2021/22 budget allocation increased from R7.3 billion in the 2020/21 financial year to R8.9 billion. This represented, when adjusted for inflation, a real increase of 17.8% and closely returned the Department’s allocation to what it was in 2020 (R8.8 billion) before the budget cuts to meet the needs of the national COVID-19 response. In terms of economic classification, the apportionment of the Department’s 2021/22 budget allocation of R8.9 billion remained the same as in previous years and comprised Current payments of R566.5 million (6.3%), Transfers and subsidies of R8.4 billion (93.6%), which increased from R6.8 billion in 2020/21, and Payments for capital assets of R2.9 million (0.03%).</w:t>
      </w:r>
    </w:p>
    <w:p w:rsidR="00AD0AC7" w:rsidRPr="005D4748" w:rsidRDefault="00AD0AC7" w:rsidP="005D4748">
      <w:pPr>
        <w:pStyle w:val="ListParagraph"/>
        <w:spacing w:after="0" w:line="240" w:lineRule="auto"/>
        <w:ind w:left="0"/>
        <w:rPr>
          <w:rFonts w:ascii="Arial" w:hAnsi="Arial" w:cs="Arial"/>
          <w:sz w:val="20"/>
          <w:szCs w:val="20"/>
          <w:lang w:val="en-GB"/>
        </w:rPr>
      </w:pPr>
    </w:p>
    <w:p w:rsidR="00955EB8" w:rsidRPr="005D4748" w:rsidRDefault="00955EB8" w:rsidP="005D4748">
      <w:pPr>
        <w:spacing w:after="0" w:line="240" w:lineRule="auto"/>
        <w:rPr>
          <w:rFonts w:ascii="Arial" w:hAnsi="Arial" w:cs="Arial"/>
          <w:sz w:val="20"/>
          <w:szCs w:val="20"/>
        </w:rPr>
      </w:pPr>
      <w:r w:rsidRPr="005D4748">
        <w:rPr>
          <w:rFonts w:ascii="Arial" w:hAnsi="Arial" w:cs="Arial"/>
          <w:sz w:val="20"/>
          <w:szCs w:val="20"/>
        </w:rPr>
        <w:t>The Department’s budget funds five major programmes, namely:</w:t>
      </w:r>
    </w:p>
    <w:p w:rsidR="00955EB8" w:rsidRPr="005D4748" w:rsidRDefault="00955EB8" w:rsidP="005D4748">
      <w:pPr>
        <w:spacing w:after="0" w:line="240" w:lineRule="auto"/>
        <w:rPr>
          <w:rFonts w:ascii="Arial" w:hAnsi="Arial" w:cs="Arial"/>
          <w:sz w:val="20"/>
          <w:szCs w:val="20"/>
        </w:rPr>
      </w:pPr>
    </w:p>
    <w:p w:rsidR="00955EB8" w:rsidRPr="005D4748" w:rsidRDefault="00955EB8" w:rsidP="005D4748">
      <w:pPr>
        <w:numPr>
          <w:ilvl w:val="1"/>
          <w:numId w:val="6"/>
        </w:numPr>
        <w:spacing w:after="0" w:line="240" w:lineRule="auto"/>
        <w:ind w:left="567" w:hanging="567"/>
        <w:rPr>
          <w:rFonts w:ascii="Arial" w:hAnsi="Arial" w:cs="Arial"/>
          <w:sz w:val="20"/>
          <w:szCs w:val="20"/>
        </w:rPr>
      </w:pPr>
      <w:r w:rsidRPr="005D4748">
        <w:rPr>
          <w:rFonts w:ascii="Arial" w:hAnsi="Arial" w:cs="Arial"/>
          <w:sz w:val="20"/>
          <w:szCs w:val="20"/>
        </w:rPr>
        <w:t>Programme 1 – Administration</w:t>
      </w:r>
    </w:p>
    <w:p w:rsidR="00955EB8" w:rsidRPr="005D4748" w:rsidRDefault="00955EB8" w:rsidP="005D4748">
      <w:pPr>
        <w:numPr>
          <w:ilvl w:val="1"/>
          <w:numId w:val="6"/>
        </w:numPr>
        <w:spacing w:after="0" w:line="240" w:lineRule="auto"/>
        <w:ind w:left="567" w:hanging="567"/>
        <w:rPr>
          <w:rFonts w:ascii="Arial" w:hAnsi="Arial" w:cs="Arial"/>
          <w:sz w:val="20"/>
          <w:szCs w:val="20"/>
        </w:rPr>
      </w:pPr>
      <w:r w:rsidRPr="005D4748">
        <w:rPr>
          <w:rFonts w:ascii="Arial" w:hAnsi="Arial" w:cs="Arial"/>
          <w:sz w:val="20"/>
          <w:szCs w:val="20"/>
        </w:rPr>
        <w:t>Programme 2 – Technology Innovation</w:t>
      </w:r>
    </w:p>
    <w:p w:rsidR="00955EB8" w:rsidRPr="005D4748" w:rsidRDefault="00955EB8" w:rsidP="005D4748">
      <w:pPr>
        <w:numPr>
          <w:ilvl w:val="1"/>
          <w:numId w:val="6"/>
        </w:numPr>
        <w:spacing w:after="0" w:line="240" w:lineRule="auto"/>
        <w:ind w:left="567" w:hanging="567"/>
        <w:rPr>
          <w:rFonts w:ascii="Arial" w:hAnsi="Arial" w:cs="Arial"/>
          <w:sz w:val="20"/>
          <w:szCs w:val="20"/>
        </w:rPr>
      </w:pPr>
      <w:r w:rsidRPr="005D4748">
        <w:rPr>
          <w:rFonts w:ascii="Arial" w:hAnsi="Arial" w:cs="Arial"/>
          <w:sz w:val="20"/>
          <w:szCs w:val="20"/>
        </w:rPr>
        <w:t>Programme 3 – International Cooperation and Resources</w:t>
      </w:r>
    </w:p>
    <w:p w:rsidR="00955EB8" w:rsidRPr="005D4748" w:rsidRDefault="00955EB8" w:rsidP="005D4748">
      <w:pPr>
        <w:numPr>
          <w:ilvl w:val="1"/>
          <w:numId w:val="6"/>
        </w:numPr>
        <w:spacing w:after="0" w:line="240" w:lineRule="auto"/>
        <w:ind w:left="567" w:hanging="567"/>
        <w:rPr>
          <w:rFonts w:ascii="Arial" w:hAnsi="Arial" w:cs="Arial"/>
          <w:sz w:val="20"/>
          <w:szCs w:val="20"/>
        </w:rPr>
      </w:pPr>
      <w:r w:rsidRPr="005D4748">
        <w:rPr>
          <w:rFonts w:ascii="Arial" w:hAnsi="Arial" w:cs="Arial"/>
          <w:sz w:val="20"/>
          <w:szCs w:val="20"/>
        </w:rPr>
        <w:t>Programme 4 – Research, Development and Support</w:t>
      </w:r>
    </w:p>
    <w:p w:rsidR="00AD0AC7" w:rsidRPr="005D4748" w:rsidRDefault="00955EB8" w:rsidP="005D4748">
      <w:pPr>
        <w:numPr>
          <w:ilvl w:val="1"/>
          <w:numId w:val="6"/>
        </w:numPr>
        <w:spacing w:after="0" w:line="240" w:lineRule="auto"/>
        <w:ind w:left="567" w:hanging="567"/>
        <w:rPr>
          <w:rFonts w:ascii="Arial" w:hAnsi="Arial" w:cs="Arial"/>
          <w:sz w:val="20"/>
          <w:szCs w:val="20"/>
          <w:lang w:val="en-GB"/>
        </w:rPr>
      </w:pPr>
      <w:r w:rsidRPr="005D4748">
        <w:rPr>
          <w:rFonts w:ascii="Arial" w:hAnsi="Arial" w:cs="Arial"/>
          <w:sz w:val="20"/>
          <w:szCs w:val="20"/>
        </w:rPr>
        <w:t>Programme 5 – Socio-economic Innovation Partnerships</w:t>
      </w:r>
    </w:p>
    <w:p w:rsidR="00AD0AC7" w:rsidRPr="005D4748" w:rsidRDefault="00AD0AC7" w:rsidP="005D4748">
      <w:pPr>
        <w:pStyle w:val="ListParagraph"/>
        <w:spacing w:after="0" w:line="240" w:lineRule="auto"/>
        <w:ind w:left="0"/>
        <w:rPr>
          <w:rFonts w:ascii="Arial" w:hAnsi="Arial" w:cs="Arial"/>
          <w:sz w:val="20"/>
          <w:szCs w:val="20"/>
          <w:lang w:val="en-GB"/>
        </w:rPr>
      </w:pPr>
    </w:p>
    <w:p w:rsidR="00C4013F" w:rsidRPr="005D4748" w:rsidRDefault="00C4013F" w:rsidP="005D4748">
      <w:pPr>
        <w:spacing w:after="0" w:line="240" w:lineRule="auto"/>
        <w:rPr>
          <w:rFonts w:ascii="Arial" w:hAnsi="Arial" w:cs="Arial"/>
          <w:sz w:val="20"/>
          <w:szCs w:val="20"/>
        </w:rPr>
      </w:pPr>
      <w:r w:rsidRPr="005D4748">
        <w:rPr>
          <w:rFonts w:ascii="Arial" w:hAnsi="Arial" w:cs="Arial"/>
          <w:sz w:val="20"/>
          <w:szCs w:val="20"/>
        </w:rPr>
        <w:t>The percentage budget allocation to the Programmes remained essentially the same as in previous financial years and Programmes 2, 4 and 5 that are responsible for the Transfers to the Department’s entities, received 94.7% of the Department’s total budget allocation.</w:t>
      </w:r>
    </w:p>
    <w:p w:rsidR="00C4013F" w:rsidRPr="005D4748" w:rsidRDefault="00C4013F" w:rsidP="005D4748">
      <w:pPr>
        <w:spacing w:after="0" w:line="240" w:lineRule="auto"/>
        <w:rPr>
          <w:rFonts w:ascii="Arial" w:hAnsi="Arial" w:cs="Arial"/>
          <w:sz w:val="20"/>
          <w:szCs w:val="20"/>
        </w:rPr>
      </w:pPr>
    </w:p>
    <w:p w:rsidR="00C4013F" w:rsidRPr="005D4748" w:rsidRDefault="00C4013F" w:rsidP="005D4748">
      <w:pPr>
        <w:spacing w:after="0" w:line="240" w:lineRule="auto"/>
        <w:rPr>
          <w:rFonts w:ascii="Arial" w:hAnsi="Arial" w:cs="Arial"/>
          <w:sz w:val="20"/>
          <w:szCs w:val="20"/>
        </w:rPr>
      </w:pPr>
      <w:r w:rsidRPr="005D4748">
        <w:rPr>
          <w:rFonts w:ascii="Arial" w:hAnsi="Arial" w:cs="Arial"/>
          <w:sz w:val="20"/>
          <w:szCs w:val="20"/>
        </w:rPr>
        <w:t>Notable changes in the allocations to Transfers and subsidies from 2020/21 to 2021/22 included:</w:t>
      </w:r>
    </w:p>
    <w:p w:rsidR="00C4013F" w:rsidRPr="005D4748" w:rsidRDefault="00C4013F" w:rsidP="005D4748">
      <w:pPr>
        <w:spacing w:after="0" w:line="240" w:lineRule="auto"/>
        <w:rPr>
          <w:rFonts w:ascii="Arial" w:hAnsi="Arial" w:cs="Arial"/>
          <w:sz w:val="20"/>
          <w:szCs w:val="20"/>
        </w:rPr>
      </w:pPr>
    </w:p>
    <w:p w:rsidR="00C4013F" w:rsidRPr="005D4748" w:rsidRDefault="00C4013F" w:rsidP="005D4748">
      <w:pPr>
        <w:numPr>
          <w:ilvl w:val="1"/>
          <w:numId w:val="7"/>
        </w:numPr>
        <w:spacing w:after="0" w:line="240" w:lineRule="auto"/>
        <w:ind w:left="567" w:hanging="567"/>
        <w:rPr>
          <w:rFonts w:ascii="Arial" w:hAnsi="Arial" w:cs="Arial"/>
          <w:sz w:val="20"/>
          <w:szCs w:val="20"/>
        </w:rPr>
      </w:pPr>
      <w:r w:rsidRPr="005D4748">
        <w:rPr>
          <w:rFonts w:ascii="Arial" w:hAnsi="Arial" w:cs="Arial"/>
          <w:sz w:val="20"/>
          <w:szCs w:val="20"/>
        </w:rPr>
        <w:t xml:space="preserve">The allocation for Innovation Projects research increased from R171.4 million to R503.3 million. This allocation supports innovation activities that aim to increase, commercialise and use publicly funded </w:t>
      </w:r>
      <w:r w:rsidR="008B3C83" w:rsidRPr="005D4748">
        <w:rPr>
          <w:rFonts w:ascii="Arial" w:hAnsi="Arial" w:cs="Arial"/>
          <w:sz w:val="20"/>
          <w:szCs w:val="20"/>
        </w:rPr>
        <w:t>IP</w:t>
      </w:r>
      <w:r w:rsidRPr="005D4748">
        <w:rPr>
          <w:rFonts w:ascii="Arial" w:hAnsi="Arial" w:cs="Arial"/>
          <w:sz w:val="20"/>
          <w:szCs w:val="20"/>
        </w:rPr>
        <w:t>.</w:t>
      </w:r>
    </w:p>
    <w:p w:rsidR="00C4013F" w:rsidRPr="005D4748" w:rsidRDefault="00C4013F" w:rsidP="005D4748">
      <w:pPr>
        <w:numPr>
          <w:ilvl w:val="1"/>
          <w:numId w:val="7"/>
        </w:numPr>
        <w:spacing w:after="0" w:line="240" w:lineRule="auto"/>
        <w:ind w:left="567" w:hanging="567"/>
        <w:rPr>
          <w:rFonts w:ascii="Arial" w:hAnsi="Arial" w:cs="Arial"/>
          <w:sz w:val="20"/>
          <w:szCs w:val="20"/>
        </w:rPr>
      </w:pPr>
      <w:r w:rsidRPr="005D4748">
        <w:rPr>
          <w:rFonts w:ascii="Arial" w:hAnsi="Arial" w:cs="Arial"/>
          <w:sz w:val="20"/>
          <w:szCs w:val="20"/>
        </w:rPr>
        <w:t>The allocation for Science awareness and initiatives to encourage youth participation in science increased from R33.5 million to R91.6 million.</w:t>
      </w:r>
    </w:p>
    <w:p w:rsidR="00C4013F" w:rsidRPr="005D4748" w:rsidRDefault="00C4013F" w:rsidP="005D4748">
      <w:pPr>
        <w:numPr>
          <w:ilvl w:val="1"/>
          <w:numId w:val="7"/>
        </w:numPr>
        <w:spacing w:after="0" w:line="240" w:lineRule="auto"/>
        <w:ind w:left="567" w:hanging="567"/>
        <w:rPr>
          <w:rFonts w:ascii="Arial" w:hAnsi="Arial" w:cs="Arial"/>
          <w:sz w:val="20"/>
          <w:szCs w:val="20"/>
        </w:rPr>
      </w:pPr>
      <w:r w:rsidRPr="005D4748">
        <w:rPr>
          <w:rFonts w:ascii="Arial" w:hAnsi="Arial" w:cs="Arial"/>
          <w:sz w:val="20"/>
          <w:szCs w:val="20"/>
        </w:rPr>
        <w:t xml:space="preserve">The allocation for the Square Kilometre Array’s (SKA) capital contribution to research increased from R456.6 million to R802.4 million. This </w:t>
      </w:r>
      <w:r w:rsidR="008B3C83" w:rsidRPr="005D4748">
        <w:rPr>
          <w:rFonts w:ascii="Arial" w:hAnsi="Arial" w:cs="Arial"/>
          <w:sz w:val="20"/>
          <w:szCs w:val="20"/>
        </w:rPr>
        <w:t>wa</w:t>
      </w:r>
      <w:r w:rsidRPr="005D4748">
        <w:rPr>
          <w:rFonts w:ascii="Arial" w:hAnsi="Arial" w:cs="Arial"/>
          <w:sz w:val="20"/>
          <w:szCs w:val="20"/>
        </w:rPr>
        <w:t>s for the 20 antennae that will be added to the MeerKAT.</w:t>
      </w:r>
    </w:p>
    <w:p w:rsidR="00C4013F" w:rsidRPr="005D4748" w:rsidRDefault="00C4013F" w:rsidP="005D4748">
      <w:pPr>
        <w:numPr>
          <w:ilvl w:val="1"/>
          <w:numId w:val="7"/>
        </w:numPr>
        <w:spacing w:after="0" w:line="240" w:lineRule="auto"/>
        <w:ind w:left="567" w:hanging="567"/>
        <w:rPr>
          <w:rFonts w:ascii="Arial" w:hAnsi="Arial" w:cs="Arial"/>
          <w:sz w:val="20"/>
          <w:szCs w:val="20"/>
        </w:rPr>
      </w:pPr>
      <w:r w:rsidRPr="005D4748">
        <w:rPr>
          <w:rFonts w:ascii="Arial" w:hAnsi="Arial" w:cs="Arial"/>
          <w:sz w:val="20"/>
          <w:szCs w:val="20"/>
        </w:rPr>
        <w:t>The allocation to the CSIR: Mining R&amp;D increased from R41.7 million to R63.5 million.</w:t>
      </w:r>
    </w:p>
    <w:p w:rsidR="00C4013F" w:rsidRPr="005D4748" w:rsidRDefault="00C4013F" w:rsidP="005D4748">
      <w:pPr>
        <w:numPr>
          <w:ilvl w:val="1"/>
          <w:numId w:val="7"/>
        </w:numPr>
        <w:spacing w:after="0" w:line="240" w:lineRule="auto"/>
        <w:ind w:left="567" w:hanging="567"/>
        <w:rPr>
          <w:rFonts w:ascii="Arial" w:hAnsi="Arial" w:cs="Arial"/>
          <w:sz w:val="20"/>
          <w:szCs w:val="20"/>
        </w:rPr>
      </w:pPr>
      <w:r w:rsidRPr="005D4748">
        <w:rPr>
          <w:rFonts w:ascii="Arial" w:hAnsi="Arial" w:cs="Arial"/>
          <w:sz w:val="20"/>
          <w:szCs w:val="20"/>
        </w:rPr>
        <w:lastRenderedPageBreak/>
        <w:t xml:space="preserve">The allocation to the CSIR: Cyberinfrastructure R&amp;D increased from R60.2 million to R272.1 million. This </w:t>
      </w:r>
      <w:r w:rsidR="008B3C83" w:rsidRPr="005D4748">
        <w:rPr>
          <w:rFonts w:ascii="Arial" w:hAnsi="Arial" w:cs="Arial"/>
          <w:sz w:val="20"/>
          <w:szCs w:val="20"/>
        </w:rPr>
        <w:t>wa</w:t>
      </w:r>
      <w:r w:rsidRPr="005D4748">
        <w:rPr>
          <w:rFonts w:ascii="Arial" w:hAnsi="Arial" w:cs="Arial"/>
          <w:sz w:val="20"/>
          <w:szCs w:val="20"/>
        </w:rPr>
        <w:t xml:space="preserve">s the next tranche of funding to enhance the National Integrated Cyberinfrastructure System, which </w:t>
      </w:r>
      <w:r w:rsidR="008B3C83" w:rsidRPr="005D4748">
        <w:rPr>
          <w:rFonts w:ascii="Arial" w:hAnsi="Arial" w:cs="Arial"/>
          <w:sz w:val="20"/>
          <w:szCs w:val="20"/>
        </w:rPr>
        <w:t>wa</w:t>
      </w:r>
      <w:r w:rsidRPr="005D4748">
        <w:rPr>
          <w:rFonts w:ascii="Arial" w:hAnsi="Arial" w:cs="Arial"/>
          <w:sz w:val="20"/>
          <w:szCs w:val="20"/>
        </w:rPr>
        <w:t>s allocated R3.6 billion over the medium term.</w:t>
      </w:r>
    </w:p>
    <w:p w:rsidR="00C4013F" w:rsidRPr="005D4748" w:rsidRDefault="00C4013F" w:rsidP="005D4748">
      <w:pPr>
        <w:spacing w:after="0" w:line="240" w:lineRule="auto"/>
        <w:rPr>
          <w:rFonts w:ascii="Arial" w:hAnsi="Arial" w:cs="Arial"/>
          <w:sz w:val="20"/>
          <w:szCs w:val="20"/>
        </w:rPr>
      </w:pPr>
    </w:p>
    <w:p w:rsidR="00C4013F" w:rsidRPr="005D4748" w:rsidRDefault="00C4013F" w:rsidP="005D4748">
      <w:pPr>
        <w:spacing w:after="0" w:line="240" w:lineRule="auto"/>
        <w:rPr>
          <w:rFonts w:ascii="Arial" w:hAnsi="Arial" w:cs="Arial"/>
          <w:sz w:val="20"/>
          <w:szCs w:val="20"/>
        </w:rPr>
      </w:pPr>
      <w:r w:rsidRPr="005D4748">
        <w:rPr>
          <w:rFonts w:ascii="Arial" w:hAnsi="Arial" w:cs="Arial"/>
          <w:sz w:val="20"/>
          <w:szCs w:val="20"/>
        </w:rPr>
        <w:t>The 2021 MTBPS stated that the Department had reprioritised funds over the MTEF to support technology localisation, beneficiation, advanced manufacturing and research by the NRF. The 2021/22 Adjusted Estimates of National Expenditure (AENE) showed that the Department’s budget allocation increased by R72.3 million to equal R9 billion. This increase comprised R67 million for Transfers and subsidies, R2.8 million for Current payments and R2.5 million for Payments for capital assets</w:t>
      </w:r>
    </w:p>
    <w:p w:rsidR="00C4013F" w:rsidRPr="005D4748" w:rsidRDefault="00C4013F" w:rsidP="005D4748">
      <w:pPr>
        <w:spacing w:after="0" w:line="240" w:lineRule="auto"/>
        <w:rPr>
          <w:rFonts w:ascii="Arial" w:hAnsi="Arial" w:cs="Arial"/>
          <w:sz w:val="20"/>
          <w:szCs w:val="20"/>
        </w:rPr>
      </w:pPr>
    </w:p>
    <w:p w:rsidR="00C4013F" w:rsidRPr="005D4748" w:rsidRDefault="00C4013F" w:rsidP="005D4748">
      <w:pPr>
        <w:spacing w:after="0" w:line="240" w:lineRule="auto"/>
        <w:rPr>
          <w:rFonts w:ascii="Arial" w:hAnsi="Arial" w:cs="Arial"/>
          <w:sz w:val="20"/>
          <w:szCs w:val="20"/>
        </w:rPr>
      </w:pPr>
      <w:r w:rsidRPr="005D4748">
        <w:rPr>
          <w:rFonts w:ascii="Arial" w:hAnsi="Arial" w:cs="Arial"/>
          <w:sz w:val="20"/>
          <w:szCs w:val="20"/>
        </w:rPr>
        <w:t>The R67 million allocated for Transfers and subsidies formed part of the Presidential Youth Employment Intervention. Of this:</w:t>
      </w:r>
    </w:p>
    <w:p w:rsidR="00C4013F" w:rsidRPr="005D4748" w:rsidRDefault="00C4013F" w:rsidP="005D4748">
      <w:pPr>
        <w:spacing w:after="0" w:line="240" w:lineRule="auto"/>
        <w:rPr>
          <w:rFonts w:ascii="Arial" w:hAnsi="Arial" w:cs="Arial"/>
          <w:sz w:val="20"/>
          <w:szCs w:val="20"/>
        </w:rPr>
      </w:pPr>
    </w:p>
    <w:p w:rsidR="00C4013F" w:rsidRPr="005D4748" w:rsidRDefault="00C4013F" w:rsidP="005D4748">
      <w:pPr>
        <w:numPr>
          <w:ilvl w:val="0"/>
          <w:numId w:val="8"/>
        </w:numPr>
        <w:spacing w:after="0" w:line="240" w:lineRule="auto"/>
        <w:ind w:left="567" w:hanging="567"/>
        <w:rPr>
          <w:rFonts w:ascii="Arial" w:hAnsi="Arial" w:cs="Arial"/>
          <w:sz w:val="20"/>
          <w:szCs w:val="20"/>
        </w:rPr>
      </w:pPr>
      <w:r w:rsidRPr="005D4748">
        <w:rPr>
          <w:rFonts w:ascii="Arial" w:hAnsi="Arial" w:cs="Arial"/>
          <w:sz w:val="20"/>
          <w:szCs w:val="20"/>
        </w:rPr>
        <w:t>R25 million was to provide training to 450 graduates and 50 community mentors as environmental champions to conduct door</w:t>
      </w:r>
      <w:r w:rsidRPr="005D4748">
        <w:rPr>
          <w:rFonts w:ascii="Times New Roman" w:hAnsi="Times New Roman" w:cs="Arial"/>
          <w:sz w:val="20"/>
          <w:szCs w:val="20"/>
        </w:rPr>
        <w:t>‐</w:t>
      </w:r>
      <w:r w:rsidRPr="005D4748">
        <w:rPr>
          <w:rFonts w:ascii="Arial" w:hAnsi="Arial" w:cs="Arial"/>
          <w:sz w:val="20"/>
          <w:szCs w:val="20"/>
        </w:rPr>
        <w:t>to</w:t>
      </w:r>
      <w:r w:rsidRPr="005D4748">
        <w:rPr>
          <w:rFonts w:ascii="Times New Roman" w:hAnsi="Times New Roman" w:cs="Arial"/>
          <w:sz w:val="20"/>
          <w:szCs w:val="20"/>
        </w:rPr>
        <w:t>‐</w:t>
      </w:r>
      <w:r w:rsidRPr="005D4748">
        <w:rPr>
          <w:rFonts w:ascii="Arial" w:hAnsi="Arial" w:cs="Arial"/>
          <w:sz w:val="20"/>
          <w:szCs w:val="20"/>
        </w:rPr>
        <w:t>door community education and awareness campaigns in partnership with the Duzi Umngezi Conversation Trust;</w:t>
      </w:r>
    </w:p>
    <w:p w:rsidR="00C4013F" w:rsidRPr="005D4748" w:rsidRDefault="00C4013F" w:rsidP="005D4748">
      <w:pPr>
        <w:numPr>
          <w:ilvl w:val="0"/>
          <w:numId w:val="8"/>
        </w:numPr>
        <w:spacing w:after="0" w:line="240" w:lineRule="auto"/>
        <w:ind w:left="567" w:hanging="567"/>
        <w:rPr>
          <w:rFonts w:ascii="Arial" w:hAnsi="Arial" w:cs="Arial"/>
          <w:sz w:val="20"/>
          <w:szCs w:val="20"/>
        </w:rPr>
      </w:pPr>
      <w:r w:rsidRPr="005D4748">
        <w:rPr>
          <w:rFonts w:ascii="Arial" w:hAnsi="Arial" w:cs="Arial"/>
          <w:sz w:val="20"/>
          <w:szCs w:val="20"/>
        </w:rPr>
        <w:t>R32 million was to appoint 900 unemployed graduates through the Water Research Commission’s water graduate employment programme, aimed at improving employment readiness in the water sector; and</w:t>
      </w:r>
    </w:p>
    <w:p w:rsidR="00C4013F" w:rsidRPr="005D4748" w:rsidRDefault="00C4013F" w:rsidP="005D4748">
      <w:pPr>
        <w:numPr>
          <w:ilvl w:val="0"/>
          <w:numId w:val="8"/>
        </w:numPr>
        <w:spacing w:after="0" w:line="240" w:lineRule="auto"/>
        <w:ind w:left="567" w:hanging="567"/>
        <w:rPr>
          <w:rFonts w:ascii="Arial" w:hAnsi="Arial" w:cs="Arial"/>
          <w:sz w:val="20"/>
          <w:szCs w:val="20"/>
        </w:rPr>
      </w:pPr>
      <w:r w:rsidRPr="005D4748">
        <w:rPr>
          <w:rFonts w:ascii="Arial" w:hAnsi="Arial" w:cs="Arial"/>
          <w:sz w:val="20"/>
          <w:szCs w:val="20"/>
        </w:rPr>
        <w:t xml:space="preserve">R10 million was to provide training to 250 graduates at the CSIR, to support </w:t>
      </w:r>
      <w:r w:rsidR="00241D86" w:rsidRPr="005D4748">
        <w:rPr>
          <w:rFonts w:ascii="Arial" w:hAnsi="Arial" w:cs="Arial"/>
          <w:sz w:val="20"/>
          <w:szCs w:val="20"/>
        </w:rPr>
        <w:t>it</w:t>
      </w:r>
      <w:r w:rsidRPr="005D4748">
        <w:rPr>
          <w:rFonts w:ascii="Arial" w:hAnsi="Arial" w:cs="Arial"/>
          <w:sz w:val="20"/>
          <w:szCs w:val="20"/>
        </w:rPr>
        <w:t xml:space="preserve"> in various fields.</w:t>
      </w:r>
    </w:p>
    <w:p w:rsidR="00C4013F" w:rsidRPr="005D4748" w:rsidRDefault="00C4013F" w:rsidP="005D4748">
      <w:pPr>
        <w:spacing w:after="0" w:line="240" w:lineRule="auto"/>
        <w:rPr>
          <w:rFonts w:ascii="Arial" w:hAnsi="Arial" w:cs="Arial"/>
          <w:sz w:val="20"/>
          <w:szCs w:val="20"/>
        </w:rPr>
      </w:pPr>
    </w:p>
    <w:p w:rsidR="00C4013F" w:rsidRPr="005D4748" w:rsidRDefault="00C4013F" w:rsidP="005D4748">
      <w:pPr>
        <w:spacing w:after="0" w:line="240" w:lineRule="auto"/>
        <w:rPr>
          <w:rFonts w:ascii="Arial" w:hAnsi="Arial" w:cs="Arial"/>
          <w:sz w:val="20"/>
          <w:szCs w:val="20"/>
        </w:rPr>
      </w:pPr>
      <w:r w:rsidRPr="005D4748">
        <w:rPr>
          <w:rFonts w:ascii="Arial" w:hAnsi="Arial" w:cs="Arial"/>
          <w:sz w:val="20"/>
          <w:szCs w:val="20"/>
        </w:rPr>
        <w:t>The remaining R5.3 million of the R72.3 million increase was allocated for higher salary increases than what the main budget provided for.</w:t>
      </w:r>
    </w:p>
    <w:p w:rsidR="00C4013F" w:rsidRPr="005D4748" w:rsidRDefault="00C4013F" w:rsidP="005D4748">
      <w:pPr>
        <w:spacing w:after="0" w:line="240" w:lineRule="auto"/>
        <w:rPr>
          <w:rFonts w:ascii="Arial" w:hAnsi="Arial" w:cs="Arial"/>
          <w:sz w:val="20"/>
          <w:szCs w:val="20"/>
        </w:rPr>
      </w:pPr>
    </w:p>
    <w:p w:rsidR="00C4013F" w:rsidRPr="005D4748" w:rsidRDefault="00C4013F" w:rsidP="005D4748">
      <w:pPr>
        <w:spacing w:after="0" w:line="240" w:lineRule="auto"/>
        <w:rPr>
          <w:rFonts w:ascii="Arial" w:hAnsi="Arial" w:cs="Arial"/>
          <w:sz w:val="20"/>
          <w:szCs w:val="20"/>
        </w:rPr>
      </w:pPr>
      <w:r w:rsidRPr="005D4748">
        <w:rPr>
          <w:rFonts w:ascii="Arial" w:hAnsi="Arial" w:cs="Arial"/>
          <w:sz w:val="20"/>
          <w:szCs w:val="20"/>
        </w:rPr>
        <w:t xml:space="preserve">Significant virements and shifts were effected to meet South Africa’s obligations for the </w:t>
      </w:r>
      <w:r w:rsidR="008B3C83" w:rsidRPr="005D4748">
        <w:rPr>
          <w:rFonts w:ascii="Arial" w:hAnsi="Arial" w:cs="Arial"/>
          <w:sz w:val="20"/>
          <w:szCs w:val="20"/>
        </w:rPr>
        <w:t>SKA</w:t>
      </w:r>
      <w:r w:rsidRPr="005D4748">
        <w:rPr>
          <w:rFonts w:ascii="Arial" w:hAnsi="Arial" w:cs="Arial"/>
          <w:sz w:val="20"/>
          <w:szCs w:val="20"/>
        </w:rPr>
        <w:t>’s capital contribution to research. These totalled R215.7 million and included:</w:t>
      </w:r>
    </w:p>
    <w:p w:rsidR="00C4013F" w:rsidRPr="005D4748" w:rsidRDefault="00C4013F" w:rsidP="005D4748">
      <w:pPr>
        <w:spacing w:after="0" w:line="240" w:lineRule="auto"/>
        <w:rPr>
          <w:rFonts w:ascii="Arial" w:hAnsi="Arial" w:cs="Arial"/>
          <w:sz w:val="20"/>
          <w:szCs w:val="20"/>
        </w:rPr>
      </w:pPr>
    </w:p>
    <w:p w:rsidR="00C4013F" w:rsidRPr="005D4748" w:rsidRDefault="00C4013F" w:rsidP="005D4748">
      <w:pPr>
        <w:numPr>
          <w:ilvl w:val="0"/>
          <w:numId w:val="9"/>
        </w:numPr>
        <w:spacing w:after="0" w:line="240" w:lineRule="auto"/>
        <w:ind w:left="567" w:hanging="567"/>
        <w:rPr>
          <w:rFonts w:ascii="Arial" w:hAnsi="Arial" w:cs="Arial"/>
          <w:sz w:val="20"/>
          <w:szCs w:val="20"/>
        </w:rPr>
      </w:pPr>
      <w:r w:rsidRPr="005D4748">
        <w:rPr>
          <w:rFonts w:ascii="Arial" w:hAnsi="Arial" w:cs="Arial"/>
          <w:sz w:val="20"/>
          <w:szCs w:val="20"/>
        </w:rPr>
        <w:t>From Programme 2: R70 million from TIA and R5.7 million from the Green Nano Chemistry and Nano Medicine Platforms; and</w:t>
      </w:r>
    </w:p>
    <w:p w:rsidR="00C4013F" w:rsidRPr="005D4748" w:rsidRDefault="00C4013F" w:rsidP="005D4748">
      <w:pPr>
        <w:numPr>
          <w:ilvl w:val="0"/>
          <w:numId w:val="9"/>
        </w:numPr>
        <w:spacing w:after="0" w:line="240" w:lineRule="auto"/>
        <w:ind w:left="567" w:hanging="567"/>
        <w:rPr>
          <w:rFonts w:ascii="Arial" w:hAnsi="Arial" w:cs="Arial"/>
          <w:sz w:val="20"/>
          <w:szCs w:val="20"/>
        </w:rPr>
      </w:pPr>
      <w:r w:rsidRPr="005D4748">
        <w:rPr>
          <w:rFonts w:ascii="Arial" w:hAnsi="Arial" w:cs="Arial"/>
          <w:sz w:val="20"/>
          <w:szCs w:val="20"/>
        </w:rPr>
        <w:t>From Programme 4: R105 million shifted within the NRF and R35 million from the CSIR’s Cyberinfrastructure R&amp;D.</w:t>
      </w:r>
    </w:p>
    <w:p w:rsidR="00C4013F" w:rsidRPr="005D4748" w:rsidRDefault="00C4013F" w:rsidP="005D4748">
      <w:pPr>
        <w:spacing w:after="0" w:line="240" w:lineRule="auto"/>
        <w:rPr>
          <w:rFonts w:ascii="Arial" w:hAnsi="Arial" w:cs="Arial"/>
          <w:sz w:val="20"/>
          <w:szCs w:val="20"/>
        </w:rPr>
      </w:pPr>
    </w:p>
    <w:p w:rsidR="00C4013F" w:rsidRPr="005D4748" w:rsidRDefault="00C4013F" w:rsidP="005D4748">
      <w:pPr>
        <w:spacing w:after="0" w:line="240" w:lineRule="auto"/>
        <w:rPr>
          <w:rFonts w:ascii="Arial" w:hAnsi="Arial" w:cs="Arial"/>
          <w:sz w:val="20"/>
          <w:szCs w:val="20"/>
        </w:rPr>
      </w:pPr>
      <w:r w:rsidRPr="005D4748">
        <w:rPr>
          <w:rFonts w:ascii="Arial" w:hAnsi="Arial" w:cs="Arial"/>
          <w:sz w:val="20"/>
          <w:szCs w:val="20"/>
        </w:rPr>
        <w:t>Other significant virements and shifts included:</w:t>
      </w:r>
    </w:p>
    <w:p w:rsidR="00C4013F" w:rsidRPr="005D4748" w:rsidRDefault="00C4013F" w:rsidP="005D4748">
      <w:pPr>
        <w:spacing w:after="0" w:line="240" w:lineRule="auto"/>
        <w:rPr>
          <w:rFonts w:ascii="Arial" w:hAnsi="Arial" w:cs="Arial"/>
          <w:sz w:val="20"/>
          <w:szCs w:val="20"/>
        </w:rPr>
      </w:pPr>
    </w:p>
    <w:p w:rsidR="00C4013F" w:rsidRPr="005D4748" w:rsidRDefault="00C4013F" w:rsidP="005D4748">
      <w:pPr>
        <w:numPr>
          <w:ilvl w:val="0"/>
          <w:numId w:val="9"/>
        </w:numPr>
        <w:spacing w:after="0" w:line="240" w:lineRule="auto"/>
        <w:ind w:left="567" w:hanging="567"/>
        <w:rPr>
          <w:rFonts w:ascii="Arial" w:hAnsi="Arial" w:cs="Arial"/>
          <w:sz w:val="20"/>
          <w:szCs w:val="20"/>
        </w:rPr>
      </w:pPr>
      <w:r w:rsidRPr="005D4748">
        <w:rPr>
          <w:rFonts w:ascii="Arial" w:hAnsi="Arial" w:cs="Arial"/>
          <w:sz w:val="20"/>
          <w:szCs w:val="20"/>
        </w:rPr>
        <w:t xml:space="preserve">R33.9 million shifted from the </w:t>
      </w:r>
      <w:r w:rsidR="00E71BB9" w:rsidRPr="005D4748">
        <w:rPr>
          <w:rFonts w:ascii="Arial" w:hAnsi="Arial" w:cs="Arial"/>
          <w:sz w:val="20"/>
          <w:szCs w:val="20"/>
        </w:rPr>
        <w:t xml:space="preserve">South African </w:t>
      </w:r>
      <w:r w:rsidRPr="005D4748">
        <w:rPr>
          <w:rFonts w:ascii="Arial" w:hAnsi="Arial" w:cs="Arial"/>
          <w:sz w:val="20"/>
          <w:szCs w:val="20"/>
        </w:rPr>
        <w:t xml:space="preserve">Medical Research Council </w:t>
      </w:r>
      <w:r w:rsidR="00E71BB9" w:rsidRPr="005D4748">
        <w:rPr>
          <w:rFonts w:ascii="Arial" w:hAnsi="Arial" w:cs="Arial"/>
          <w:sz w:val="20"/>
          <w:szCs w:val="20"/>
        </w:rPr>
        <w:t xml:space="preserve">(SAMRC) </w:t>
      </w:r>
      <w:r w:rsidRPr="005D4748">
        <w:rPr>
          <w:rFonts w:ascii="Arial" w:hAnsi="Arial" w:cs="Arial"/>
          <w:sz w:val="20"/>
          <w:szCs w:val="20"/>
        </w:rPr>
        <w:t xml:space="preserve">to the Network for Genomic Surveillance and mRNA </w:t>
      </w:r>
      <w:r w:rsidR="00E71BB9" w:rsidRPr="005D4748">
        <w:rPr>
          <w:rFonts w:ascii="Arial" w:hAnsi="Arial" w:cs="Arial"/>
          <w:sz w:val="20"/>
          <w:szCs w:val="20"/>
        </w:rPr>
        <w:t xml:space="preserve">Vaccine </w:t>
      </w:r>
      <w:r w:rsidRPr="005D4748">
        <w:rPr>
          <w:rFonts w:ascii="Arial" w:hAnsi="Arial" w:cs="Arial"/>
          <w:sz w:val="20"/>
          <w:szCs w:val="20"/>
        </w:rPr>
        <w:t>Technology Transfer Hub within Programme 2;</w:t>
      </w:r>
    </w:p>
    <w:p w:rsidR="00C4013F" w:rsidRPr="005D4748" w:rsidRDefault="00C4013F" w:rsidP="005D4748">
      <w:pPr>
        <w:numPr>
          <w:ilvl w:val="0"/>
          <w:numId w:val="9"/>
        </w:numPr>
        <w:spacing w:after="0" w:line="240" w:lineRule="auto"/>
        <w:ind w:left="567" w:hanging="567"/>
        <w:rPr>
          <w:rFonts w:ascii="Arial" w:hAnsi="Arial" w:cs="Arial"/>
          <w:sz w:val="20"/>
          <w:szCs w:val="20"/>
        </w:rPr>
      </w:pPr>
      <w:r w:rsidRPr="005D4748">
        <w:rPr>
          <w:rFonts w:ascii="Arial" w:hAnsi="Arial" w:cs="Arial"/>
          <w:sz w:val="20"/>
          <w:szCs w:val="20"/>
        </w:rPr>
        <w:t>R30.9 million shifted from TIA to SANSA for the Space Weather Centre;</w:t>
      </w:r>
    </w:p>
    <w:p w:rsidR="00C4013F" w:rsidRPr="005D4748" w:rsidRDefault="00C4013F" w:rsidP="005D4748">
      <w:pPr>
        <w:numPr>
          <w:ilvl w:val="0"/>
          <w:numId w:val="9"/>
        </w:numPr>
        <w:spacing w:after="0" w:line="240" w:lineRule="auto"/>
        <w:ind w:left="567" w:hanging="567"/>
        <w:rPr>
          <w:rFonts w:ascii="Arial" w:hAnsi="Arial" w:cs="Arial"/>
          <w:sz w:val="20"/>
          <w:szCs w:val="20"/>
        </w:rPr>
      </w:pPr>
      <w:r w:rsidRPr="005D4748">
        <w:rPr>
          <w:rFonts w:ascii="Arial" w:hAnsi="Arial" w:cs="Arial"/>
          <w:sz w:val="20"/>
          <w:szCs w:val="20"/>
        </w:rPr>
        <w:t>R20 million shifted within the NRF for human resource development at the Centres of Excellence;</w:t>
      </w:r>
    </w:p>
    <w:p w:rsidR="00C4013F" w:rsidRPr="005D4748" w:rsidRDefault="00C4013F" w:rsidP="005D4748">
      <w:pPr>
        <w:numPr>
          <w:ilvl w:val="0"/>
          <w:numId w:val="9"/>
        </w:numPr>
        <w:spacing w:after="0" w:line="240" w:lineRule="auto"/>
        <w:ind w:left="567" w:hanging="567"/>
        <w:rPr>
          <w:rFonts w:ascii="Arial" w:hAnsi="Arial" w:cs="Arial"/>
          <w:sz w:val="20"/>
          <w:szCs w:val="20"/>
        </w:rPr>
      </w:pPr>
      <w:r w:rsidRPr="005D4748">
        <w:rPr>
          <w:rFonts w:ascii="Arial" w:hAnsi="Arial" w:cs="Arial"/>
          <w:sz w:val="20"/>
          <w:szCs w:val="20"/>
        </w:rPr>
        <w:t>R25.9 million from the NRF to Programme 5 for Innovation for Inclusive Development; and</w:t>
      </w:r>
    </w:p>
    <w:p w:rsidR="00C4013F" w:rsidRPr="005D4748" w:rsidRDefault="00C4013F" w:rsidP="005D4748">
      <w:pPr>
        <w:numPr>
          <w:ilvl w:val="0"/>
          <w:numId w:val="9"/>
        </w:numPr>
        <w:spacing w:after="0" w:line="240" w:lineRule="auto"/>
        <w:ind w:left="567" w:hanging="567"/>
        <w:rPr>
          <w:rFonts w:ascii="Arial" w:hAnsi="Arial" w:cs="Arial"/>
          <w:sz w:val="20"/>
          <w:szCs w:val="20"/>
        </w:rPr>
      </w:pPr>
      <w:r w:rsidRPr="005D4748">
        <w:rPr>
          <w:rFonts w:ascii="Arial" w:hAnsi="Arial" w:cs="Arial"/>
          <w:sz w:val="20"/>
          <w:szCs w:val="20"/>
        </w:rPr>
        <w:t>R38.6 million from the CSIR to the Technology Stations Programme.</w:t>
      </w:r>
    </w:p>
    <w:p w:rsidR="00C4013F" w:rsidRPr="005D4748" w:rsidRDefault="00C4013F" w:rsidP="005D4748">
      <w:pPr>
        <w:spacing w:after="0" w:line="240" w:lineRule="auto"/>
        <w:rPr>
          <w:rFonts w:ascii="Arial" w:hAnsi="Arial" w:cs="Arial"/>
          <w:sz w:val="20"/>
          <w:szCs w:val="20"/>
        </w:rPr>
      </w:pPr>
    </w:p>
    <w:p w:rsidR="00C4013F" w:rsidRPr="005D4748" w:rsidRDefault="00C4013F" w:rsidP="005D4748">
      <w:pPr>
        <w:spacing w:after="0" w:line="240" w:lineRule="auto"/>
        <w:rPr>
          <w:rFonts w:ascii="Arial" w:hAnsi="Arial" w:cs="Arial"/>
          <w:sz w:val="20"/>
          <w:szCs w:val="20"/>
        </w:rPr>
      </w:pPr>
      <w:r w:rsidRPr="005D4748">
        <w:rPr>
          <w:rFonts w:ascii="Arial" w:hAnsi="Arial" w:cs="Arial"/>
          <w:sz w:val="20"/>
          <w:szCs w:val="20"/>
        </w:rPr>
        <w:t>The 2021/22 AENE stated that the Department’s entities spent more of their ring</w:t>
      </w:r>
      <w:r w:rsidRPr="005D4748">
        <w:rPr>
          <w:rFonts w:ascii="Times New Roman" w:hAnsi="Times New Roman" w:cs="Arial"/>
          <w:sz w:val="20"/>
          <w:szCs w:val="20"/>
        </w:rPr>
        <w:t>‐</w:t>
      </w:r>
      <w:r w:rsidRPr="005D4748">
        <w:rPr>
          <w:rFonts w:ascii="Arial" w:hAnsi="Arial" w:cs="Arial"/>
          <w:sz w:val="20"/>
          <w:szCs w:val="20"/>
        </w:rPr>
        <w:t>fenced funds in 2021/22 for projects undertaken on behalf of the Department than they did in 2020/21, resulting in fewer surplus funds being surrendered to the Department.</w:t>
      </w:r>
    </w:p>
    <w:p w:rsidR="00C4013F" w:rsidRPr="005D4748" w:rsidRDefault="00C4013F" w:rsidP="005D4748">
      <w:pPr>
        <w:spacing w:after="0" w:line="240" w:lineRule="auto"/>
        <w:rPr>
          <w:rFonts w:ascii="Arial" w:hAnsi="Arial" w:cs="Arial"/>
          <w:sz w:val="20"/>
          <w:szCs w:val="20"/>
        </w:rPr>
      </w:pPr>
    </w:p>
    <w:p w:rsidR="00C4013F" w:rsidRPr="005D4748" w:rsidRDefault="00C4013F" w:rsidP="005D4748">
      <w:pPr>
        <w:spacing w:after="0" w:line="240" w:lineRule="auto"/>
        <w:rPr>
          <w:rFonts w:ascii="Arial" w:hAnsi="Arial" w:cs="Arial"/>
          <w:sz w:val="20"/>
          <w:szCs w:val="20"/>
        </w:rPr>
      </w:pPr>
      <w:r w:rsidRPr="005D4748">
        <w:rPr>
          <w:rFonts w:ascii="Arial" w:hAnsi="Arial" w:cs="Arial"/>
          <w:sz w:val="20"/>
          <w:szCs w:val="20"/>
        </w:rPr>
        <w:t>After the AENE process, further virements totalling R62.9 million were effected. In addition, R11.2 million was shifted within Transfers and subsidies. The latter funds were used for:</w:t>
      </w:r>
    </w:p>
    <w:p w:rsidR="00C4013F" w:rsidRPr="005D4748" w:rsidRDefault="00C4013F" w:rsidP="005D4748">
      <w:pPr>
        <w:spacing w:after="0" w:line="240" w:lineRule="auto"/>
        <w:rPr>
          <w:rFonts w:ascii="Arial" w:hAnsi="Arial" w:cs="Arial"/>
          <w:sz w:val="20"/>
          <w:szCs w:val="20"/>
        </w:rPr>
      </w:pPr>
    </w:p>
    <w:p w:rsidR="00C4013F" w:rsidRPr="005D4748" w:rsidRDefault="00C4013F" w:rsidP="005D4748">
      <w:pPr>
        <w:pStyle w:val="ListParagraph"/>
        <w:numPr>
          <w:ilvl w:val="0"/>
          <w:numId w:val="10"/>
        </w:numPr>
        <w:spacing w:after="0" w:line="240" w:lineRule="auto"/>
        <w:ind w:left="567" w:hanging="567"/>
        <w:contextualSpacing w:val="0"/>
        <w:rPr>
          <w:rFonts w:ascii="Arial" w:hAnsi="Arial" w:cs="Arial"/>
          <w:sz w:val="20"/>
          <w:szCs w:val="20"/>
        </w:rPr>
      </w:pPr>
      <w:r w:rsidRPr="005D4748">
        <w:rPr>
          <w:rFonts w:ascii="Arial" w:hAnsi="Arial" w:cs="Arial"/>
          <w:sz w:val="20"/>
          <w:szCs w:val="20"/>
        </w:rPr>
        <w:t xml:space="preserve">A wastewater surveillance system for </w:t>
      </w:r>
      <w:r w:rsidR="00E71BB9" w:rsidRPr="005D4748">
        <w:rPr>
          <w:rFonts w:ascii="Arial" w:hAnsi="Arial" w:cs="Arial"/>
          <w:sz w:val="20"/>
          <w:szCs w:val="20"/>
        </w:rPr>
        <w:t>COVID-19</w:t>
      </w:r>
      <w:r w:rsidRPr="005D4748">
        <w:rPr>
          <w:rFonts w:ascii="Arial" w:hAnsi="Arial" w:cs="Arial"/>
          <w:sz w:val="20"/>
          <w:szCs w:val="20"/>
        </w:rPr>
        <w:t>;</w:t>
      </w:r>
    </w:p>
    <w:p w:rsidR="00C4013F" w:rsidRPr="005D4748" w:rsidRDefault="00C4013F" w:rsidP="005D4748">
      <w:pPr>
        <w:pStyle w:val="ListParagraph"/>
        <w:numPr>
          <w:ilvl w:val="0"/>
          <w:numId w:val="10"/>
        </w:numPr>
        <w:spacing w:after="0" w:line="240" w:lineRule="auto"/>
        <w:ind w:left="567" w:hanging="567"/>
        <w:contextualSpacing w:val="0"/>
        <w:rPr>
          <w:rFonts w:ascii="Arial" w:hAnsi="Arial" w:cs="Arial"/>
          <w:sz w:val="20"/>
          <w:szCs w:val="20"/>
        </w:rPr>
      </w:pPr>
      <w:r w:rsidRPr="005D4748">
        <w:rPr>
          <w:rFonts w:ascii="Arial" w:hAnsi="Arial" w:cs="Arial"/>
          <w:sz w:val="20"/>
          <w:szCs w:val="20"/>
        </w:rPr>
        <w:t xml:space="preserve">The relocation of the Centre for Proteomic and Genomic Research to the Cape Health Innovation Campus; </w:t>
      </w:r>
    </w:p>
    <w:p w:rsidR="00C4013F" w:rsidRPr="005D4748" w:rsidRDefault="00C4013F" w:rsidP="005D4748">
      <w:pPr>
        <w:pStyle w:val="ListParagraph"/>
        <w:numPr>
          <w:ilvl w:val="0"/>
          <w:numId w:val="10"/>
        </w:numPr>
        <w:spacing w:after="0" w:line="240" w:lineRule="auto"/>
        <w:ind w:left="567" w:hanging="567"/>
        <w:contextualSpacing w:val="0"/>
        <w:rPr>
          <w:rFonts w:ascii="Arial" w:hAnsi="Arial" w:cs="Arial"/>
          <w:sz w:val="20"/>
          <w:szCs w:val="20"/>
        </w:rPr>
      </w:pPr>
      <w:r w:rsidRPr="005D4748">
        <w:rPr>
          <w:rFonts w:ascii="Arial" w:hAnsi="Arial" w:cs="Arial"/>
          <w:sz w:val="20"/>
          <w:szCs w:val="20"/>
        </w:rPr>
        <w:t>The development of a plant-based bio-surfactant as a pharmaceutical product;</w:t>
      </w:r>
    </w:p>
    <w:p w:rsidR="00C4013F" w:rsidRPr="005D4748" w:rsidRDefault="00C4013F" w:rsidP="005D4748">
      <w:pPr>
        <w:pStyle w:val="ListParagraph"/>
        <w:numPr>
          <w:ilvl w:val="0"/>
          <w:numId w:val="10"/>
        </w:numPr>
        <w:spacing w:after="0" w:line="240" w:lineRule="auto"/>
        <w:ind w:left="567" w:hanging="567"/>
        <w:contextualSpacing w:val="0"/>
        <w:rPr>
          <w:rFonts w:ascii="Arial" w:hAnsi="Arial" w:cs="Arial"/>
          <w:sz w:val="20"/>
          <w:szCs w:val="20"/>
        </w:rPr>
      </w:pPr>
      <w:r w:rsidRPr="005D4748">
        <w:rPr>
          <w:rFonts w:ascii="Arial" w:hAnsi="Arial" w:cs="Arial"/>
          <w:sz w:val="20"/>
          <w:szCs w:val="20"/>
        </w:rPr>
        <w:t xml:space="preserve">A vaccine development strategy and the mRNA </w:t>
      </w:r>
      <w:r w:rsidR="00E71BB9" w:rsidRPr="005D4748">
        <w:rPr>
          <w:rFonts w:ascii="Arial" w:hAnsi="Arial" w:cs="Arial"/>
          <w:sz w:val="20"/>
          <w:szCs w:val="20"/>
        </w:rPr>
        <w:t xml:space="preserve">Vaccine </w:t>
      </w:r>
      <w:r w:rsidRPr="005D4748">
        <w:rPr>
          <w:rFonts w:ascii="Arial" w:hAnsi="Arial" w:cs="Arial"/>
          <w:sz w:val="20"/>
          <w:szCs w:val="20"/>
        </w:rPr>
        <w:t>Technology Transfer Hub;</w:t>
      </w:r>
    </w:p>
    <w:p w:rsidR="00C4013F" w:rsidRPr="005D4748" w:rsidRDefault="00C4013F" w:rsidP="005D4748">
      <w:pPr>
        <w:pStyle w:val="ListParagraph"/>
        <w:numPr>
          <w:ilvl w:val="0"/>
          <w:numId w:val="10"/>
        </w:numPr>
        <w:spacing w:after="0" w:line="240" w:lineRule="auto"/>
        <w:ind w:left="567" w:hanging="567"/>
        <w:contextualSpacing w:val="0"/>
        <w:rPr>
          <w:rFonts w:ascii="Arial" w:hAnsi="Arial" w:cs="Arial"/>
          <w:sz w:val="20"/>
          <w:szCs w:val="20"/>
        </w:rPr>
      </w:pPr>
      <w:r w:rsidRPr="005D4748">
        <w:rPr>
          <w:rFonts w:ascii="Arial" w:hAnsi="Arial" w:cs="Arial"/>
          <w:sz w:val="20"/>
          <w:szCs w:val="20"/>
        </w:rPr>
        <w:t xml:space="preserve">Capacity development for </w:t>
      </w:r>
      <w:r w:rsidR="00E558DB" w:rsidRPr="005D4748">
        <w:rPr>
          <w:rFonts w:ascii="Arial" w:hAnsi="Arial" w:cs="Arial"/>
          <w:sz w:val="20"/>
          <w:szCs w:val="20"/>
        </w:rPr>
        <w:t>Historically Disadvantaged Individuals/Institutions (</w:t>
      </w:r>
      <w:r w:rsidRPr="005D4748">
        <w:rPr>
          <w:rFonts w:ascii="Arial" w:hAnsi="Arial" w:cs="Arial"/>
          <w:sz w:val="20"/>
          <w:szCs w:val="20"/>
        </w:rPr>
        <w:t>HDIs</w:t>
      </w:r>
      <w:r w:rsidR="00E558DB" w:rsidRPr="005D4748">
        <w:rPr>
          <w:rFonts w:ascii="Arial" w:hAnsi="Arial" w:cs="Arial"/>
          <w:sz w:val="20"/>
          <w:szCs w:val="20"/>
        </w:rPr>
        <w:t>)</w:t>
      </w:r>
      <w:r w:rsidRPr="005D4748">
        <w:rPr>
          <w:rFonts w:ascii="Arial" w:hAnsi="Arial" w:cs="Arial"/>
          <w:sz w:val="20"/>
          <w:szCs w:val="20"/>
        </w:rPr>
        <w:t>;</w:t>
      </w:r>
    </w:p>
    <w:p w:rsidR="00C4013F" w:rsidRPr="005D4748" w:rsidRDefault="00BA78AB" w:rsidP="005D4748">
      <w:pPr>
        <w:pStyle w:val="ListParagraph"/>
        <w:numPr>
          <w:ilvl w:val="0"/>
          <w:numId w:val="10"/>
        </w:numPr>
        <w:spacing w:after="0" w:line="240" w:lineRule="auto"/>
        <w:ind w:left="567" w:hanging="567"/>
        <w:contextualSpacing w:val="0"/>
        <w:rPr>
          <w:rFonts w:ascii="Arial" w:hAnsi="Arial" w:cs="Arial"/>
          <w:sz w:val="20"/>
          <w:szCs w:val="20"/>
        </w:rPr>
      </w:pPr>
      <w:r w:rsidRPr="005D4748">
        <w:rPr>
          <w:rFonts w:ascii="Arial" w:hAnsi="Arial" w:cs="Arial"/>
          <w:sz w:val="20"/>
          <w:szCs w:val="20"/>
        </w:rPr>
        <w:t xml:space="preserve">A </w:t>
      </w:r>
      <w:r w:rsidR="00C4013F" w:rsidRPr="005D4748">
        <w:rPr>
          <w:rFonts w:ascii="Arial" w:hAnsi="Arial" w:cs="Arial"/>
          <w:sz w:val="20"/>
          <w:szCs w:val="20"/>
        </w:rPr>
        <w:t>K-line imager advanced technology development;</w:t>
      </w:r>
    </w:p>
    <w:p w:rsidR="00C4013F" w:rsidRPr="005D4748" w:rsidRDefault="00C4013F" w:rsidP="005D4748">
      <w:pPr>
        <w:pStyle w:val="ListParagraph"/>
        <w:numPr>
          <w:ilvl w:val="0"/>
          <w:numId w:val="10"/>
        </w:numPr>
        <w:spacing w:after="0" w:line="240" w:lineRule="auto"/>
        <w:ind w:left="567" w:hanging="567"/>
        <w:contextualSpacing w:val="0"/>
        <w:rPr>
          <w:rFonts w:ascii="Arial" w:hAnsi="Arial" w:cs="Arial"/>
          <w:sz w:val="20"/>
          <w:szCs w:val="20"/>
        </w:rPr>
      </w:pPr>
      <w:r w:rsidRPr="005D4748">
        <w:rPr>
          <w:rFonts w:ascii="Arial" w:hAnsi="Arial" w:cs="Arial"/>
          <w:sz w:val="20"/>
          <w:szCs w:val="20"/>
        </w:rPr>
        <w:t>A sorghum cluster and agroprocessing facility and hub; and</w:t>
      </w:r>
    </w:p>
    <w:p w:rsidR="00C4013F" w:rsidRPr="005D4748" w:rsidRDefault="00C4013F" w:rsidP="005D4748">
      <w:pPr>
        <w:pStyle w:val="ListParagraph"/>
        <w:numPr>
          <w:ilvl w:val="0"/>
          <w:numId w:val="10"/>
        </w:numPr>
        <w:spacing w:after="0" w:line="240" w:lineRule="auto"/>
        <w:ind w:left="567" w:hanging="567"/>
        <w:contextualSpacing w:val="0"/>
        <w:rPr>
          <w:rFonts w:ascii="Arial" w:hAnsi="Arial" w:cs="Arial"/>
          <w:sz w:val="20"/>
          <w:szCs w:val="20"/>
        </w:rPr>
      </w:pPr>
      <w:r w:rsidRPr="005D4748">
        <w:rPr>
          <w:rFonts w:ascii="Arial" w:hAnsi="Arial" w:cs="Arial"/>
          <w:sz w:val="20"/>
          <w:szCs w:val="20"/>
        </w:rPr>
        <w:t>The Indigenous Knowledge</w:t>
      </w:r>
      <w:r w:rsidR="00F74279" w:rsidRPr="005D4748">
        <w:rPr>
          <w:rFonts w:ascii="Arial" w:hAnsi="Arial" w:cs="Arial"/>
          <w:sz w:val="20"/>
          <w:szCs w:val="20"/>
        </w:rPr>
        <w:t xml:space="preserve"> (IK)</w:t>
      </w:r>
      <w:r w:rsidRPr="005D4748">
        <w:rPr>
          <w:rFonts w:ascii="Arial" w:hAnsi="Arial" w:cs="Arial"/>
          <w:sz w:val="20"/>
          <w:szCs w:val="20"/>
        </w:rPr>
        <w:t xml:space="preserve"> Registration System.</w:t>
      </w:r>
    </w:p>
    <w:p w:rsidR="00C4013F" w:rsidRPr="005D4748" w:rsidRDefault="00C4013F" w:rsidP="005D4748">
      <w:pPr>
        <w:spacing w:after="0" w:line="240" w:lineRule="auto"/>
        <w:rPr>
          <w:rFonts w:ascii="Arial" w:hAnsi="Arial" w:cs="Arial"/>
          <w:sz w:val="20"/>
          <w:szCs w:val="20"/>
        </w:rPr>
      </w:pPr>
    </w:p>
    <w:p w:rsidR="00C4013F" w:rsidRPr="005D4748" w:rsidRDefault="00C4013F" w:rsidP="005D4748">
      <w:pPr>
        <w:spacing w:after="0" w:line="240" w:lineRule="auto"/>
        <w:rPr>
          <w:rFonts w:ascii="Arial" w:hAnsi="Arial" w:cs="Arial"/>
          <w:sz w:val="20"/>
          <w:szCs w:val="20"/>
        </w:rPr>
      </w:pPr>
      <w:r w:rsidRPr="005D4748">
        <w:rPr>
          <w:rFonts w:ascii="Arial" w:hAnsi="Arial" w:cs="Arial"/>
          <w:sz w:val="20"/>
          <w:szCs w:val="20"/>
        </w:rPr>
        <w:t>Additional revenue raised by the Department comprised R1.09 million from surpluses on project funds, commission from Persal transactions, interest received from a deposit account at a commercial bank, payment of bursary debts and other recoverable expenditure. The Department also received R69.8 million in donor funds from the European Union (EU) and spent R59.9 million of these funds.</w:t>
      </w:r>
    </w:p>
    <w:p w:rsidR="00AD0AC7" w:rsidRPr="005D4748" w:rsidRDefault="00AD0AC7" w:rsidP="005D4748">
      <w:pPr>
        <w:pStyle w:val="ListParagraph"/>
        <w:spacing w:after="0" w:line="240" w:lineRule="auto"/>
        <w:ind w:left="0"/>
        <w:rPr>
          <w:rFonts w:ascii="Arial" w:hAnsi="Arial" w:cs="Arial"/>
          <w:sz w:val="20"/>
          <w:szCs w:val="20"/>
          <w:lang w:val="en-GB"/>
        </w:rPr>
      </w:pPr>
    </w:p>
    <w:p w:rsidR="00F74279" w:rsidRPr="005D4748" w:rsidRDefault="00F74279" w:rsidP="005D4748">
      <w:pPr>
        <w:pStyle w:val="ListParagraph"/>
        <w:numPr>
          <w:ilvl w:val="1"/>
          <w:numId w:val="1"/>
        </w:numPr>
        <w:spacing w:after="0" w:line="240" w:lineRule="auto"/>
        <w:ind w:left="567" w:hanging="567"/>
        <w:rPr>
          <w:rFonts w:ascii="Arial" w:hAnsi="Arial" w:cs="Arial"/>
          <w:b/>
          <w:sz w:val="20"/>
          <w:szCs w:val="20"/>
          <w:lang w:val="en-GB"/>
        </w:rPr>
      </w:pPr>
      <w:r w:rsidRPr="005D4748">
        <w:rPr>
          <w:rFonts w:ascii="Arial" w:hAnsi="Arial" w:cs="Arial"/>
          <w:b/>
          <w:sz w:val="20"/>
          <w:szCs w:val="20"/>
          <w:lang w:val="en-GB"/>
        </w:rPr>
        <w:t>Vote 35: Science and Innovation 2021/22 Budget Expenditure</w:t>
      </w:r>
    </w:p>
    <w:p w:rsidR="00F74279" w:rsidRPr="005D4748" w:rsidRDefault="00F74279" w:rsidP="005D4748">
      <w:pPr>
        <w:spacing w:after="0" w:line="240" w:lineRule="auto"/>
        <w:rPr>
          <w:rFonts w:ascii="Arial" w:hAnsi="Arial" w:cs="Arial"/>
          <w:sz w:val="20"/>
          <w:szCs w:val="20"/>
          <w:lang w:val="en-GB"/>
        </w:rPr>
      </w:pPr>
    </w:p>
    <w:p w:rsidR="004F01E5" w:rsidRPr="005D4748" w:rsidRDefault="004F01E5" w:rsidP="005D4748">
      <w:pPr>
        <w:spacing w:after="0" w:line="240" w:lineRule="auto"/>
        <w:rPr>
          <w:rFonts w:ascii="Arial" w:hAnsi="Arial" w:cs="Arial"/>
          <w:sz w:val="20"/>
          <w:szCs w:val="20"/>
        </w:rPr>
      </w:pPr>
      <w:r w:rsidRPr="005D4748">
        <w:rPr>
          <w:rFonts w:ascii="Arial" w:hAnsi="Arial" w:cs="Arial"/>
          <w:sz w:val="20"/>
          <w:szCs w:val="20"/>
        </w:rPr>
        <w:t>The Department spent 99.5% (98.4% in 2020/21), i.e. R8.9 billion of R9 billion (underspending of R43.6 million), of its 2021/22 budget. Table 1 shows the expenditure by Programme and economic classification. The material variance in expenditure per programme was due to Programme 1: Administration and was due to delays in filling prioritised positions. Programme 1: Administration account</w:t>
      </w:r>
      <w:r w:rsidR="00F6495F" w:rsidRPr="005D4748">
        <w:rPr>
          <w:rFonts w:ascii="Arial" w:hAnsi="Arial" w:cs="Arial"/>
          <w:sz w:val="20"/>
          <w:szCs w:val="20"/>
        </w:rPr>
        <w:t>ed</w:t>
      </w:r>
      <w:r w:rsidRPr="005D4748">
        <w:rPr>
          <w:rFonts w:ascii="Arial" w:hAnsi="Arial" w:cs="Arial"/>
          <w:sz w:val="20"/>
          <w:szCs w:val="20"/>
        </w:rPr>
        <w:t xml:space="preserve"> for R23.9 million of the R43.6 million total </w:t>
      </w:r>
      <w:r w:rsidR="00EA31C1" w:rsidRPr="005D4748">
        <w:rPr>
          <w:rFonts w:ascii="Arial" w:hAnsi="Arial" w:cs="Arial"/>
          <w:sz w:val="20"/>
          <w:szCs w:val="20"/>
        </w:rPr>
        <w:t>under-expenditure</w:t>
      </w:r>
      <w:r w:rsidRPr="005D4748">
        <w:rPr>
          <w:rFonts w:ascii="Arial" w:hAnsi="Arial" w:cs="Arial"/>
          <w:sz w:val="20"/>
          <w:szCs w:val="20"/>
        </w:rPr>
        <w:t xml:space="preserve"> for 2021/22, with the largest contributor being Compensation of employees at R17.6 million. The material variance in expenditure per economic classification attributed R30.5 million </w:t>
      </w:r>
      <w:r w:rsidR="00EA31C1" w:rsidRPr="005D4748">
        <w:rPr>
          <w:rFonts w:ascii="Arial" w:hAnsi="Arial" w:cs="Arial"/>
          <w:sz w:val="20"/>
          <w:szCs w:val="20"/>
        </w:rPr>
        <w:t>under-expenditure</w:t>
      </w:r>
      <w:r w:rsidRPr="005D4748">
        <w:rPr>
          <w:rFonts w:ascii="Arial" w:hAnsi="Arial" w:cs="Arial"/>
          <w:sz w:val="20"/>
          <w:szCs w:val="20"/>
        </w:rPr>
        <w:t xml:space="preserve"> on Compensation of employees across all programmes, R5.7 million </w:t>
      </w:r>
      <w:r w:rsidR="00EA31C1" w:rsidRPr="005D4748">
        <w:rPr>
          <w:rFonts w:ascii="Arial" w:hAnsi="Arial" w:cs="Arial"/>
          <w:sz w:val="20"/>
          <w:szCs w:val="20"/>
        </w:rPr>
        <w:t>under-expenditure</w:t>
      </w:r>
      <w:r w:rsidRPr="005D4748">
        <w:rPr>
          <w:rFonts w:ascii="Arial" w:hAnsi="Arial" w:cs="Arial"/>
          <w:sz w:val="20"/>
          <w:szCs w:val="20"/>
        </w:rPr>
        <w:t xml:space="preserve"> on Goods and services and R3.8 million </w:t>
      </w:r>
      <w:r w:rsidR="00EA31C1" w:rsidRPr="005D4748">
        <w:rPr>
          <w:rFonts w:ascii="Arial" w:hAnsi="Arial" w:cs="Arial"/>
          <w:sz w:val="20"/>
          <w:szCs w:val="20"/>
        </w:rPr>
        <w:t>under-expenditure</w:t>
      </w:r>
      <w:r w:rsidRPr="005D4748">
        <w:rPr>
          <w:rFonts w:ascii="Arial" w:hAnsi="Arial" w:cs="Arial"/>
          <w:sz w:val="20"/>
          <w:szCs w:val="20"/>
        </w:rPr>
        <w:t xml:space="preserve"> on the Payments for capital assets, which was due to delays in finalising the procurement of laptops and tablets. The </w:t>
      </w:r>
      <w:r w:rsidR="00EA31C1" w:rsidRPr="005D4748">
        <w:rPr>
          <w:rFonts w:ascii="Arial" w:hAnsi="Arial" w:cs="Arial"/>
          <w:sz w:val="20"/>
          <w:szCs w:val="20"/>
        </w:rPr>
        <w:t>under-expenditure</w:t>
      </w:r>
      <w:r w:rsidRPr="005D4748">
        <w:rPr>
          <w:rFonts w:ascii="Arial" w:hAnsi="Arial" w:cs="Arial"/>
          <w:sz w:val="20"/>
          <w:szCs w:val="20"/>
        </w:rPr>
        <w:t xml:space="preserve"> on Transfers and subsidies comprised R1.6 million by Programme 4 and R2 million by Programme 5.</w:t>
      </w:r>
    </w:p>
    <w:p w:rsidR="00F74279" w:rsidRPr="005D4748" w:rsidRDefault="00F74279" w:rsidP="005D4748">
      <w:pPr>
        <w:spacing w:after="0" w:line="240" w:lineRule="auto"/>
        <w:rPr>
          <w:rFonts w:ascii="Arial" w:hAnsi="Arial" w:cs="Arial"/>
          <w:sz w:val="20"/>
          <w:szCs w:val="20"/>
          <w:lang w:val="en-GB"/>
        </w:rPr>
      </w:pPr>
    </w:p>
    <w:p w:rsidR="00F64195" w:rsidRPr="005D4748" w:rsidRDefault="00F64195" w:rsidP="005D4748">
      <w:pPr>
        <w:spacing w:after="0" w:line="240" w:lineRule="auto"/>
        <w:rPr>
          <w:rFonts w:ascii="Arial" w:hAnsi="Arial" w:cs="Arial"/>
          <w:b/>
          <w:sz w:val="20"/>
          <w:szCs w:val="20"/>
          <w:lang w:val="en-GB"/>
        </w:rPr>
      </w:pPr>
      <w:r w:rsidRPr="005D4748">
        <w:rPr>
          <w:rFonts w:ascii="Arial" w:hAnsi="Arial" w:cs="Arial"/>
          <w:b/>
          <w:sz w:val="20"/>
          <w:szCs w:val="20"/>
          <w:lang w:val="en-GB"/>
        </w:rPr>
        <w:t>Table 1:</w:t>
      </w:r>
      <w:r w:rsidRPr="005D4748">
        <w:rPr>
          <w:rFonts w:ascii="Arial" w:hAnsi="Arial" w:cs="Arial"/>
          <w:sz w:val="20"/>
          <w:szCs w:val="20"/>
          <w:lang w:val="en-GB"/>
        </w:rPr>
        <w:tab/>
      </w:r>
      <w:r w:rsidRPr="005D4748">
        <w:rPr>
          <w:rFonts w:ascii="Arial" w:hAnsi="Arial" w:cs="Arial"/>
          <w:b/>
          <w:sz w:val="20"/>
          <w:szCs w:val="20"/>
          <w:lang w:val="en-GB"/>
        </w:rPr>
        <w:t>Department</w:t>
      </w:r>
      <w:r w:rsidR="007464E7" w:rsidRPr="005D4748">
        <w:rPr>
          <w:rFonts w:ascii="Arial" w:hAnsi="Arial" w:cs="Arial"/>
          <w:b/>
          <w:sz w:val="20"/>
          <w:szCs w:val="20"/>
          <w:lang w:val="en-GB"/>
        </w:rPr>
        <w:t xml:space="preserve"> of Science and Innovation</w:t>
      </w:r>
      <w:r w:rsidRPr="005D4748">
        <w:rPr>
          <w:rFonts w:ascii="Arial" w:hAnsi="Arial" w:cs="Arial"/>
          <w:b/>
          <w:sz w:val="20"/>
          <w:szCs w:val="20"/>
          <w:lang w:val="en-GB"/>
        </w:rPr>
        <w:t xml:space="preserve">’s </w:t>
      </w:r>
      <w:r w:rsidR="00E34B4F" w:rsidRPr="005D4748">
        <w:rPr>
          <w:rFonts w:ascii="Arial" w:hAnsi="Arial" w:cs="Arial"/>
          <w:b/>
          <w:sz w:val="20"/>
          <w:szCs w:val="20"/>
          <w:lang w:val="en-GB"/>
        </w:rPr>
        <w:t>20</w:t>
      </w:r>
      <w:r w:rsidR="007464E7" w:rsidRPr="005D4748">
        <w:rPr>
          <w:rFonts w:ascii="Arial" w:hAnsi="Arial" w:cs="Arial"/>
          <w:b/>
          <w:sz w:val="20"/>
          <w:szCs w:val="20"/>
          <w:lang w:val="en-GB"/>
        </w:rPr>
        <w:t>2</w:t>
      </w:r>
      <w:r w:rsidR="00837427" w:rsidRPr="005D4748">
        <w:rPr>
          <w:rFonts w:ascii="Arial" w:hAnsi="Arial" w:cs="Arial"/>
          <w:b/>
          <w:sz w:val="20"/>
          <w:szCs w:val="20"/>
          <w:lang w:val="en-GB"/>
        </w:rPr>
        <w:t>1</w:t>
      </w:r>
      <w:r w:rsidR="00F74279" w:rsidRPr="005D4748">
        <w:rPr>
          <w:rFonts w:ascii="Arial" w:hAnsi="Arial" w:cs="Arial"/>
          <w:b/>
          <w:sz w:val="20"/>
          <w:szCs w:val="20"/>
          <w:lang w:val="en-GB"/>
        </w:rPr>
        <w:t>/22</w:t>
      </w:r>
      <w:r w:rsidRPr="005D4748">
        <w:rPr>
          <w:rFonts w:ascii="Arial" w:hAnsi="Arial" w:cs="Arial"/>
          <w:b/>
          <w:sz w:val="20"/>
          <w:szCs w:val="20"/>
          <w:lang w:val="en-GB"/>
        </w:rPr>
        <w:t xml:space="preserve"> </w:t>
      </w:r>
      <w:r w:rsidR="00615E3F" w:rsidRPr="005D4748">
        <w:rPr>
          <w:rFonts w:ascii="Arial" w:hAnsi="Arial" w:cs="Arial"/>
          <w:b/>
          <w:sz w:val="20"/>
          <w:szCs w:val="20"/>
          <w:lang w:val="en-GB"/>
        </w:rPr>
        <w:t>E</w:t>
      </w:r>
      <w:r w:rsidRPr="005D4748">
        <w:rPr>
          <w:rFonts w:ascii="Arial" w:hAnsi="Arial" w:cs="Arial"/>
          <w:b/>
          <w:sz w:val="20"/>
          <w:szCs w:val="20"/>
          <w:lang w:val="en-GB"/>
        </w:rPr>
        <w:t>xpenditure</w:t>
      </w:r>
      <w:r w:rsidR="007464E7" w:rsidRPr="005D4748">
        <w:rPr>
          <w:rFonts w:ascii="Arial" w:hAnsi="Arial" w:cs="Arial"/>
          <w:b/>
          <w:sz w:val="20"/>
          <w:szCs w:val="20"/>
          <w:lang w:val="en-GB"/>
        </w:rPr>
        <w:t xml:space="preserve"> by Programme and Economic </w:t>
      </w:r>
      <w:r w:rsidR="00615E3F" w:rsidRPr="005D4748">
        <w:rPr>
          <w:rFonts w:ascii="Arial" w:hAnsi="Arial" w:cs="Arial"/>
          <w:b/>
          <w:sz w:val="20"/>
          <w:szCs w:val="20"/>
          <w:lang w:val="en-GB"/>
        </w:rPr>
        <w:t>C</w:t>
      </w:r>
      <w:r w:rsidR="007464E7" w:rsidRPr="005D4748">
        <w:rPr>
          <w:rFonts w:ascii="Arial" w:hAnsi="Arial" w:cs="Arial"/>
          <w:b/>
          <w:sz w:val="20"/>
          <w:szCs w:val="20"/>
          <w:lang w:val="en-GB"/>
        </w:rPr>
        <w:t>lassification</w:t>
      </w:r>
    </w:p>
    <w:tbl>
      <w:tblPr>
        <w:tblStyle w:val="TableGrid"/>
        <w:tblW w:w="0" w:type="auto"/>
        <w:tblLook w:val="04A0"/>
      </w:tblPr>
      <w:tblGrid>
        <w:gridCol w:w="2067"/>
        <w:gridCol w:w="1978"/>
        <w:gridCol w:w="1871"/>
        <w:gridCol w:w="1391"/>
        <w:gridCol w:w="1979"/>
      </w:tblGrid>
      <w:tr w:rsidR="00E35884" w:rsidRPr="005D4748" w:rsidTr="00401155">
        <w:tc>
          <w:tcPr>
            <w:tcW w:w="2182" w:type="dxa"/>
            <w:vMerge w:val="restart"/>
          </w:tcPr>
          <w:p w:rsidR="00E35884" w:rsidRPr="005D4748" w:rsidRDefault="00E35884" w:rsidP="005D4748">
            <w:pPr>
              <w:rPr>
                <w:rFonts w:ascii="Arial" w:hAnsi="Arial" w:cs="Arial"/>
                <w:b/>
                <w:sz w:val="20"/>
                <w:szCs w:val="20"/>
              </w:rPr>
            </w:pPr>
            <w:r w:rsidRPr="005D4748">
              <w:rPr>
                <w:rFonts w:ascii="Arial" w:hAnsi="Arial" w:cs="Arial"/>
                <w:b/>
                <w:sz w:val="20"/>
                <w:szCs w:val="20"/>
              </w:rPr>
              <w:t>Programme</w:t>
            </w:r>
          </w:p>
        </w:tc>
        <w:tc>
          <w:tcPr>
            <w:tcW w:w="2125" w:type="dxa"/>
          </w:tcPr>
          <w:p w:rsidR="00E35884" w:rsidRPr="005D4748" w:rsidRDefault="00E35884" w:rsidP="005D4748">
            <w:pPr>
              <w:rPr>
                <w:rFonts w:ascii="Arial" w:hAnsi="Arial" w:cs="Arial"/>
                <w:b/>
                <w:sz w:val="20"/>
                <w:szCs w:val="20"/>
              </w:rPr>
            </w:pPr>
            <w:r w:rsidRPr="005D4748">
              <w:rPr>
                <w:rFonts w:ascii="Arial" w:hAnsi="Arial" w:cs="Arial"/>
                <w:b/>
                <w:sz w:val="20"/>
                <w:szCs w:val="20"/>
              </w:rPr>
              <w:t>Final appropriation</w:t>
            </w:r>
          </w:p>
        </w:tc>
        <w:tc>
          <w:tcPr>
            <w:tcW w:w="2032" w:type="dxa"/>
          </w:tcPr>
          <w:p w:rsidR="00E35884" w:rsidRPr="005D4748" w:rsidRDefault="00E35884" w:rsidP="005D4748">
            <w:pPr>
              <w:rPr>
                <w:rFonts w:ascii="Arial" w:hAnsi="Arial" w:cs="Arial"/>
                <w:b/>
                <w:sz w:val="20"/>
                <w:szCs w:val="20"/>
              </w:rPr>
            </w:pPr>
            <w:r w:rsidRPr="005D4748">
              <w:rPr>
                <w:rFonts w:ascii="Arial" w:hAnsi="Arial" w:cs="Arial"/>
                <w:b/>
                <w:sz w:val="20"/>
                <w:szCs w:val="20"/>
              </w:rPr>
              <w:t>Actual expenditure</w:t>
            </w:r>
          </w:p>
        </w:tc>
        <w:tc>
          <w:tcPr>
            <w:tcW w:w="1497" w:type="dxa"/>
          </w:tcPr>
          <w:p w:rsidR="00E35884" w:rsidRPr="005D4748" w:rsidRDefault="00E35884" w:rsidP="005D4748">
            <w:pPr>
              <w:rPr>
                <w:rFonts w:ascii="Arial" w:hAnsi="Arial" w:cs="Arial"/>
                <w:b/>
                <w:sz w:val="20"/>
                <w:szCs w:val="20"/>
              </w:rPr>
            </w:pPr>
            <w:r w:rsidRPr="005D4748">
              <w:rPr>
                <w:rFonts w:ascii="Arial" w:hAnsi="Arial" w:cs="Arial"/>
                <w:b/>
                <w:sz w:val="20"/>
                <w:szCs w:val="20"/>
              </w:rPr>
              <w:t>Variance</w:t>
            </w:r>
          </w:p>
        </w:tc>
        <w:tc>
          <w:tcPr>
            <w:tcW w:w="2126" w:type="dxa"/>
            <w:vMerge w:val="restart"/>
          </w:tcPr>
          <w:p w:rsidR="00E35884" w:rsidRPr="005D4748" w:rsidRDefault="00E35884" w:rsidP="005D4748">
            <w:pPr>
              <w:rPr>
                <w:rFonts w:ascii="Arial" w:hAnsi="Arial" w:cs="Arial"/>
                <w:b/>
                <w:sz w:val="20"/>
                <w:szCs w:val="20"/>
              </w:rPr>
            </w:pPr>
            <w:r w:rsidRPr="005D4748">
              <w:rPr>
                <w:rFonts w:ascii="Arial" w:hAnsi="Arial" w:cs="Arial"/>
                <w:b/>
                <w:sz w:val="20"/>
                <w:szCs w:val="20"/>
              </w:rPr>
              <w:t>Expenditure as a % of final appropriation</w:t>
            </w:r>
          </w:p>
        </w:tc>
      </w:tr>
      <w:tr w:rsidR="00E35884" w:rsidRPr="005D4748" w:rsidTr="00401155">
        <w:tc>
          <w:tcPr>
            <w:tcW w:w="2182" w:type="dxa"/>
            <w:vMerge/>
          </w:tcPr>
          <w:p w:rsidR="00E35884" w:rsidRPr="005D4748" w:rsidRDefault="00E35884" w:rsidP="005D4748">
            <w:pPr>
              <w:rPr>
                <w:rFonts w:ascii="Arial" w:hAnsi="Arial" w:cs="Arial"/>
                <w:b/>
                <w:sz w:val="20"/>
                <w:szCs w:val="20"/>
              </w:rPr>
            </w:pPr>
          </w:p>
        </w:tc>
        <w:tc>
          <w:tcPr>
            <w:tcW w:w="5654" w:type="dxa"/>
            <w:gridSpan w:val="3"/>
          </w:tcPr>
          <w:p w:rsidR="00E35884" w:rsidRPr="005D4748" w:rsidRDefault="00E35884" w:rsidP="005D4748">
            <w:pPr>
              <w:rPr>
                <w:rFonts w:ascii="Arial" w:hAnsi="Arial" w:cs="Arial"/>
                <w:b/>
                <w:sz w:val="20"/>
                <w:szCs w:val="20"/>
              </w:rPr>
            </w:pPr>
            <w:r w:rsidRPr="005D4748">
              <w:rPr>
                <w:rFonts w:ascii="Arial" w:hAnsi="Arial" w:cs="Arial"/>
                <w:b/>
                <w:sz w:val="20"/>
                <w:szCs w:val="20"/>
              </w:rPr>
              <w:t>R’000</w:t>
            </w:r>
          </w:p>
        </w:tc>
        <w:tc>
          <w:tcPr>
            <w:tcW w:w="2126" w:type="dxa"/>
            <w:vMerge/>
          </w:tcPr>
          <w:p w:rsidR="00E35884" w:rsidRPr="005D4748" w:rsidRDefault="00E35884" w:rsidP="005D4748">
            <w:pPr>
              <w:rPr>
                <w:rFonts w:ascii="Arial" w:hAnsi="Arial" w:cs="Arial"/>
                <w:b/>
                <w:sz w:val="20"/>
                <w:szCs w:val="20"/>
              </w:rPr>
            </w:pPr>
          </w:p>
        </w:tc>
      </w:tr>
      <w:tr w:rsidR="00E35884" w:rsidRPr="005D4748" w:rsidTr="00401155">
        <w:trPr>
          <w:trHeight w:val="393"/>
        </w:trPr>
        <w:tc>
          <w:tcPr>
            <w:tcW w:w="2182" w:type="dxa"/>
          </w:tcPr>
          <w:p w:rsidR="00E35884" w:rsidRPr="005D4748" w:rsidRDefault="00E35884" w:rsidP="005D4748">
            <w:pPr>
              <w:rPr>
                <w:rFonts w:ascii="Arial" w:hAnsi="Arial" w:cs="Arial"/>
                <w:b/>
                <w:sz w:val="20"/>
                <w:szCs w:val="20"/>
              </w:rPr>
            </w:pPr>
            <w:r w:rsidRPr="005D4748">
              <w:rPr>
                <w:rFonts w:ascii="Arial" w:hAnsi="Arial" w:cs="Arial"/>
                <w:b/>
                <w:sz w:val="20"/>
                <w:szCs w:val="20"/>
              </w:rPr>
              <w:t>1. Administration</w:t>
            </w:r>
          </w:p>
        </w:tc>
        <w:tc>
          <w:tcPr>
            <w:tcW w:w="2125" w:type="dxa"/>
            <w:vAlign w:val="bottom"/>
          </w:tcPr>
          <w:p w:rsidR="00E35884" w:rsidRPr="005D4748" w:rsidRDefault="00E35884" w:rsidP="005D4748">
            <w:pPr>
              <w:rPr>
                <w:rFonts w:ascii="Arial" w:hAnsi="Arial" w:cs="Arial"/>
                <w:sz w:val="20"/>
                <w:szCs w:val="20"/>
              </w:rPr>
            </w:pPr>
            <w:r w:rsidRPr="005D4748">
              <w:rPr>
                <w:rFonts w:ascii="Arial" w:hAnsi="Arial" w:cs="Arial"/>
                <w:sz w:val="20"/>
                <w:szCs w:val="20"/>
              </w:rPr>
              <w:t>328 308</w:t>
            </w:r>
          </w:p>
        </w:tc>
        <w:tc>
          <w:tcPr>
            <w:tcW w:w="2032" w:type="dxa"/>
            <w:vAlign w:val="bottom"/>
          </w:tcPr>
          <w:p w:rsidR="00E35884" w:rsidRPr="005D4748" w:rsidRDefault="00E35884" w:rsidP="005D4748">
            <w:pPr>
              <w:rPr>
                <w:rFonts w:ascii="Arial" w:hAnsi="Arial" w:cs="Arial"/>
                <w:sz w:val="20"/>
                <w:szCs w:val="20"/>
              </w:rPr>
            </w:pPr>
            <w:r w:rsidRPr="005D4748">
              <w:rPr>
                <w:rFonts w:ascii="Arial" w:hAnsi="Arial" w:cs="Arial"/>
                <w:sz w:val="20"/>
                <w:szCs w:val="20"/>
              </w:rPr>
              <w:t>304 454</w:t>
            </w:r>
          </w:p>
        </w:tc>
        <w:tc>
          <w:tcPr>
            <w:tcW w:w="1497" w:type="dxa"/>
            <w:vAlign w:val="bottom"/>
          </w:tcPr>
          <w:p w:rsidR="00E35884" w:rsidRPr="005D4748" w:rsidRDefault="00E35884" w:rsidP="005D4748">
            <w:pPr>
              <w:rPr>
                <w:rFonts w:ascii="Arial" w:hAnsi="Arial" w:cs="Arial"/>
                <w:sz w:val="20"/>
                <w:szCs w:val="20"/>
              </w:rPr>
            </w:pPr>
            <w:r w:rsidRPr="005D4748">
              <w:rPr>
                <w:rFonts w:ascii="Arial" w:hAnsi="Arial" w:cs="Arial"/>
                <w:sz w:val="20"/>
                <w:szCs w:val="20"/>
              </w:rPr>
              <w:t>23 854</w:t>
            </w:r>
          </w:p>
        </w:tc>
        <w:tc>
          <w:tcPr>
            <w:tcW w:w="2126" w:type="dxa"/>
            <w:vAlign w:val="bottom"/>
          </w:tcPr>
          <w:p w:rsidR="00E35884" w:rsidRPr="005D4748" w:rsidRDefault="00E35884" w:rsidP="005D4748">
            <w:pPr>
              <w:rPr>
                <w:rFonts w:ascii="Arial" w:hAnsi="Arial" w:cs="Arial"/>
                <w:sz w:val="20"/>
                <w:szCs w:val="20"/>
              </w:rPr>
            </w:pPr>
            <w:r w:rsidRPr="005D4748">
              <w:rPr>
                <w:rFonts w:ascii="Arial" w:hAnsi="Arial" w:cs="Arial"/>
                <w:sz w:val="20"/>
                <w:szCs w:val="20"/>
              </w:rPr>
              <w:t>92.7%</w:t>
            </w:r>
          </w:p>
        </w:tc>
      </w:tr>
      <w:tr w:rsidR="00E35884" w:rsidRPr="005D4748" w:rsidTr="00401155">
        <w:tc>
          <w:tcPr>
            <w:tcW w:w="2182" w:type="dxa"/>
          </w:tcPr>
          <w:p w:rsidR="00E35884" w:rsidRPr="005D4748" w:rsidRDefault="00E35884" w:rsidP="005D4748">
            <w:pPr>
              <w:rPr>
                <w:rFonts w:ascii="Arial" w:hAnsi="Arial" w:cs="Arial"/>
                <w:b/>
                <w:sz w:val="20"/>
                <w:szCs w:val="20"/>
              </w:rPr>
            </w:pPr>
            <w:r w:rsidRPr="005D4748">
              <w:rPr>
                <w:rFonts w:ascii="Arial" w:hAnsi="Arial" w:cs="Arial"/>
                <w:b/>
                <w:sz w:val="20"/>
                <w:szCs w:val="20"/>
              </w:rPr>
              <w:t>2. Technology Innovation</w:t>
            </w:r>
          </w:p>
        </w:tc>
        <w:tc>
          <w:tcPr>
            <w:tcW w:w="2125" w:type="dxa"/>
            <w:vAlign w:val="bottom"/>
          </w:tcPr>
          <w:p w:rsidR="00E35884" w:rsidRPr="005D4748" w:rsidRDefault="00E35884" w:rsidP="005D4748">
            <w:pPr>
              <w:rPr>
                <w:rFonts w:ascii="Arial" w:hAnsi="Arial" w:cs="Arial"/>
                <w:sz w:val="20"/>
                <w:szCs w:val="20"/>
              </w:rPr>
            </w:pPr>
            <w:r w:rsidRPr="005D4748">
              <w:rPr>
                <w:rFonts w:ascii="Arial" w:hAnsi="Arial" w:cs="Arial"/>
                <w:sz w:val="20"/>
                <w:szCs w:val="20"/>
              </w:rPr>
              <w:t>1 725 017</w:t>
            </w:r>
          </w:p>
        </w:tc>
        <w:tc>
          <w:tcPr>
            <w:tcW w:w="2032" w:type="dxa"/>
            <w:vAlign w:val="bottom"/>
          </w:tcPr>
          <w:p w:rsidR="00E35884" w:rsidRPr="005D4748" w:rsidRDefault="00E35884" w:rsidP="005D4748">
            <w:pPr>
              <w:rPr>
                <w:rFonts w:ascii="Arial" w:hAnsi="Arial" w:cs="Arial"/>
                <w:sz w:val="20"/>
                <w:szCs w:val="20"/>
              </w:rPr>
            </w:pPr>
            <w:r w:rsidRPr="005D4748">
              <w:rPr>
                <w:rFonts w:ascii="Arial" w:hAnsi="Arial" w:cs="Arial"/>
                <w:sz w:val="20"/>
                <w:szCs w:val="20"/>
              </w:rPr>
              <w:t>1 719 613</w:t>
            </w:r>
          </w:p>
        </w:tc>
        <w:tc>
          <w:tcPr>
            <w:tcW w:w="1497" w:type="dxa"/>
            <w:vAlign w:val="bottom"/>
          </w:tcPr>
          <w:p w:rsidR="00E35884" w:rsidRPr="005D4748" w:rsidRDefault="00E35884" w:rsidP="005D4748">
            <w:pPr>
              <w:rPr>
                <w:rFonts w:ascii="Arial" w:hAnsi="Arial" w:cs="Arial"/>
                <w:sz w:val="20"/>
                <w:szCs w:val="20"/>
              </w:rPr>
            </w:pPr>
            <w:r w:rsidRPr="005D4748">
              <w:rPr>
                <w:rFonts w:ascii="Arial" w:hAnsi="Arial" w:cs="Arial"/>
                <w:sz w:val="20"/>
                <w:szCs w:val="20"/>
              </w:rPr>
              <w:t>5 404</w:t>
            </w:r>
          </w:p>
        </w:tc>
        <w:tc>
          <w:tcPr>
            <w:tcW w:w="2126" w:type="dxa"/>
            <w:vAlign w:val="bottom"/>
          </w:tcPr>
          <w:p w:rsidR="00E35884" w:rsidRPr="005D4748" w:rsidRDefault="00E35884" w:rsidP="005D4748">
            <w:pPr>
              <w:rPr>
                <w:rFonts w:ascii="Arial" w:hAnsi="Arial" w:cs="Arial"/>
                <w:sz w:val="20"/>
                <w:szCs w:val="20"/>
              </w:rPr>
            </w:pPr>
            <w:r w:rsidRPr="005D4748">
              <w:rPr>
                <w:rFonts w:ascii="Arial" w:hAnsi="Arial" w:cs="Arial"/>
                <w:sz w:val="20"/>
                <w:szCs w:val="20"/>
              </w:rPr>
              <w:t>99.7%</w:t>
            </w:r>
          </w:p>
        </w:tc>
      </w:tr>
      <w:tr w:rsidR="00E35884" w:rsidRPr="005D4748" w:rsidTr="00401155">
        <w:tc>
          <w:tcPr>
            <w:tcW w:w="2182" w:type="dxa"/>
          </w:tcPr>
          <w:p w:rsidR="00E35884" w:rsidRPr="005D4748" w:rsidRDefault="00E35884" w:rsidP="005D4748">
            <w:pPr>
              <w:rPr>
                <w:rFonts w:ascii="Arial" w:hAnsi="Arial" w:cs="Arial"/>
                <w:b/>
                <w:sz w:val="20"/>
                <w:szCs w:val="20"/>
              </w:rPr>
            </w:pPr>
            <w:r w:rsidRPr="005D4748">
              <w:rPr>
                <w:rFonts w:ascii="Arial" w:hAnsi="Arial" w:cs="Arial"/>
                <w:b/>
                <w:sz w:val="20"/>
                <w:szCs w:val="20"/>
              </w:rPr>
              <w:t>3. International Cooperation and Resources</w:t>
            </w:r>
          </w:p>
        </w:tc>
        <w:tc>
          <w:tcPr>
            <w:tcW w:w="2125" w:type="dxa"/>
            <w:vAlign w:val="bottom"/>
          </w:tcPr>
          <w:p w:rsidR="00E35884" w:rsidRPr="005D4748" w:rsidRDefault="00E35884" w:rsidP="005D4748">
            <w:pPr>
              <w:rPr>
                <w:rFonts w:ascii="Arial" w:hAnsi="Arial" w:cs="Arial"/>
                <w:sz w:val="20"/>
                <w:szCs w:val="20"/>
              </w:rPr>
            </w:pPr>
            <w:r w:rsidRPr="005D4748">
              <w:rPr>
                <w:rFonts w:ascii="Arial" w:hAnsi="Arial" w:cs="Arial"/>
                <w:sz w:val="20"/>
                <w:szCs w:val="20"/>
              </w:rPr>
              <w:t>136 276</w:t>
            </w:r>
          </w:p>
        </w:tc>
        <w:tc>
          <w:tcPr>
            <w:tcW w:w="2032" w:type="dxa"/>
            <w:vAlign w:val="bottom"/>
          </w:tcPr>
          <w:p w:rsidR="00E35884" w:rsidRPr="005D4748" w:rsidRDefault="00E35884" w:rsidP="005D4748">
            <w:pPr>
              <w:rPr>
                <w:rFonts w:ascii="Arial" w:hAnsi="Arial" w:cs="Arial"/>
                <w:sz w:val="20"/>
                <w:szCs w:val="20"/>
              </w:rPr>
            </w:pPr>
            <w:r w:rsidRPr="005D4748">
              <w:rPr>
                <w:rFonts w:ascii="Arial" w:hAnsi="Arial" w:cs="Arial"/>
                <w:sz w:val="20"/>
                <w:szCs w:val="20"/>
              </w:rPr>
              <w:t>131 808</w:t>
            </w:r>
          </w:p>
        </w:tc>
        <w:tc>
          <w:tcPr>
            <w:tcW w:w="1497" w:type="dxa"/>
            <w:vAlign w:val="bottom"/>
          </w:tcPr>
          <w:p w:rsidR="00E35884" w:rsidRPr="005D4748" w:rsidRDefault="00E35884" w:rsidP="005D4748">
            <w:pPr>
              <w:rPr>
                <w:rFonts w:ascii="Arial" w:hAnsi="Arial" w:cs="Arial"/>
                <w:sz w:val="20"/>
                <w:szCs w:val="20"/>
              </w:rPr>
            </w:pPr>
            <w:r w:rsidRPr="005D4748">
              <w:rPr>
                <w:rFonts w:ascii="Arial" w:hAnsi="Arial" w:cs="Arial"/>
                <w:sz w:val="20"/>
                <w:szCs w:val="20"/>
              </w:rPr>
              <w:t>4 468</w:t>
            </w:r>
          </w:p>
        </w:tc>
        <w:tc>
          <w:tcPr>
            <w:tcW w:w="2126" w:type="dxa"/>
            <w:vAlign w:val="bottom"/>
          </w:tcPr>
          <w:p w:rsidR="00E35884" w:rsidRPr="005D4748" w:rsidRDefault="00E35884" w:rsidP="005D4748">
            <w:pPr>
              <w:rPr>
                <w:rFonts w:ascii="Arial" w:hAnsi="Arial" w:cs="Arial"/>
                <w:sz w:val="20"/>
                <w:szCs w:val="20"/>
              </w:rPr>
            </w:pPr>
            <w:r w:rsidRPr="005D4748">
              <w:rPr>
                <w:rFonts w:ascii="Arial" w:hAnsi="Arial" w:cs="Arial"/>
                <w:sz w:val="20"/>
                <w:szCs w:val="20"/>
              </w:rPr>
              <w:t>96.7%</w:t>
            </w:r>
          </w:p>
        </w:tc>
      </w:tr>
      <w:tr w:rsidR="00E35884" w:rsidRPr="005D4748" w:rsidTr="00401155">
        <w:tc>
          <w:tcPr>
            <w:tcW w:w="2182" w:type="dxa"/>
          </w:tcPr>
          <w:p w:rsidR="00E35884" w:rsidRPr="005D4748" w:rsidRDefault="00E35884" w:rsidP="005D4748">
            <w:pPr>
              <w:rPr>
                <w:rFonts w:ascii="Arial" w:hAnsi="Arial" w:cs="Arial"/>
                <w:b/>
                <w:sz w:val="20"/>
                <w:szCs w:val="20"/>
              </w:rPr>
            </w:pPr>
            <w:r w:rsidRPr="005D4748">
              <w:rPr>
                <w:rFonts w:ascii="Arial" w:hAnsi="Arial" w:cs="Arial"/>
                <w:b/>
                <w:sz w:val="20"/>
                <w:szCs w:val="20"/>
              </w:rPr>
              <w:t>4. Research, Development and Support</w:t>
            </w:r>
          </w:p>
        </w:tc>
        <w:tc>
          <w:tcPr>
            <w:tcW w:w="2125" w:type="dxa"/>
            <w:vAlign w:val="bottom"/>
          </w:tcPr>
          <w:p w:rsidR="00E35884" w:rsidRPr="005D4748" w:rsidRDefault="00E35884" w:rsidP="005D4748">
            <w:pPr>
              <w:rPr>
                <w:rFonts w:ascii="Arial" w:hAnsi="Arial" w:cs="Arial"/>
                <w:sz w:val="20"/>
                <w:szCs w:val="20"/>
              </w:rPr>
            </w:pPr>
            <w:r w:rsidRPr="005D4748">
              <w:rPr>
                <w:rFonts w:ascii="Arial" w:hAnsi="Arial" w:cs="Arial"/>
                <w:sz w:val="20"/>
                <w:szCs w:val="20"/>
              </w:rPr>
              <w:t>4 995 061</w:t>
            </w:r>
          </w:p>
        </w:tc>
        <w:tc>
          <w:tcPr>
            <w:tcW w:w="2032" w:type="dxa"/>
            <w:vAlign w:val="bottom"/>
          </w:tcPr>
          <w:p w:rsidR="00E35884" w:rsidRPr="005D4748" w:rsidRDefault="00E35884" w:rsidP="005D4748">
            <w:pPr>
              <w:rPr>
                <w:rFonts w:ascii="Arial" w:hAnsi="Arial" w:cs="Arial"/>
                <w:sz w:val="20"/>
                <w:szCs w:val="20"/>
              </w:rPr>
            </w:pPr>
            <w:r w:rsidRPr="005D4748">
              <w:rPr>
                <w:rFonts w:ascii="Arial" w:hAnsi="Arial" w:cs="Arial"/>
                <w:sz w:val="20"/>
                <w:szCs w:val="20"/>
              </w:rPr>
              <w:t>4 991 443</w:t>
            </w:r>
          </w:p>
        </w:tc>
        <w:tc>
          <w:tcPr>
            <w:tcW w:w="1497" w:type="dxa"/>
            <w:vAlign w:val="bottom"/>
          </w:tcPr>
          <w:p w:rsidR="00E35884" w:rsidRPr="005D4748" w:rsidRDefault="00E35884" w:rsidP="005D4748">
            <w:pPr>
              <w:rPr>
                <w:rFonts w:ascii="Arial" w:hAnsi="Arial" w:cs="Arial"/>
                <w:sz w:val="20"/>
                <w:szCs w:val="20"/>
              </w:rPr>
            </w:pPr>
            <w:r w:rsidRPr="005D4748">
              <w:rPr>
                <w:rFonts w:ascii="Arial" w:hAnsi="Arial" w:cs="Arial"/>
                <w:sz w:val="20"/>
                <w:szCs w:val="20"/>
              </w:rPr>
              <w:t>3 618</w:t>
            </w:r>
          </w:p>
        </w:tc>
        <w:tc>
          <w:tcPr>
            <w:tcW w:w="2126" w:type="dxa"/>
            <w:vAlign w:val="bottom"/>
          </w:tcPr>
          <w:p w:rsidR="00E35884" w:rsidRPr="005D4748" w:rsidRDefault="00E35884" w:rsidP="005D4748">
            <w:pPr>
              <w:rPr>
                <w:rFonts w:ascii="Arial" w:hAnsi="Arial" w:cs="Arial"/>
                <w:sz w:val="20"/>
                <w:szCs w:val="20"/>
              </w:rPr>
            </w:pPr>
            <w:r w:rsidRPr="005D4748">
              <w:rPr>
                <w:rFonts w:ascii="Arial" w:hAnsi="Arial" w:cs="Arial"/>
                <w:sz w:val="20"/>
                <w:szCs w:val="20"/>
              </w:rPr>
              <w:t>99.9%</w:t>
            </w:r>
          </w:p>
        </w:tc>
      </w:tr>
      <w:tr w:rsidR="00E35884" w:rsidRPr="005D4748" w:rsidTr="00401155">
        <w:tc>
          <w:tcPr>
            <w:tcW w:w="2182" w:type="dxa"/>
          </w:tcPr>
          <w:p w:rsidR="00E35884" w:rsidRPr="005D4748" w:rsidRDefault="00E35884" w:rsidP="005D4748">
            <w:pPr>
              <w:rPr>
                <w:rFonts w:ascii="Arial" w:hAnsi="Arial" w:cs="Arial"/>
                <w:b/>
                <w:sz w:val="20"/>
                <w:szCs w:val="20"/>
              </w:rPr>
            </w:pPr>
            <w:r w:rsidRPr="005D4748">
              <w:rPr>
                <w:rFonts w:ascii="Arial" w:hAnsi="Arial" w:cs="Arial"/>
                <w:b/>
                <w:sz w:val="20"/>
                <w:szCs w:val="20"/>
              </w:rPr>
              <w:t>5. Socioeconomic Innovation Partnerships</w:t>
            </w:r>
          </w:p>
        </w:tc>
        <w:tc>
          <w:tcPr>
            <w:tcW w:w="2125" w:type="dxa"/>
            <w:vAlign w:val="bottom"/>
          </w:tcPr>
          <w:p w:rsidR="00E35884" w:rsidRPr="005D4748" w:rsidRDefault="00E35884" w:rsidP="005D4748">
            <w:pPr>
              <w:rPr>
                <w:rFonts w:ascii="Arial" w:hAnsi="Arial" w:cs="Arial"/>
                <w:sz w:val="20"/>
                <w:szCs w:val="20"/>
              </w:rPr>
            </w:pPr>
            <w:r w:rsidRPr="005D4748">
              <w:rPr>
                <w:rFonts w:ascii="Arial" w:hAnsi="Arial" w:cs="Arial"/>
                <w:sz w:val="20"/>
                <w:szCs w:val="20"/>
              </w:rPr>
              <w:t>1 820 977</w:t>
            </w:r>
          </w:p>
        </w:tc>
        <w:tc>
          <w:tcPr>
            <w:tcW w:w="2032" w:type="dxa"/>
            <w:vAlign w:val="bottom"/>
          </w:tcPr>
          <w:p w:rsidR="00E35884" w:rsidRPr="005D4748" w:rsidRDefault="00E35884" w:rsidP="005D4748">
            <w:pPr>
              <w:rPr>
                <w:rFonts w:ascii="Arial" w:hAnsi="Arial" w:cs="Arial"/>
                <w:sz w:val="20"/>
                <w:szCs w:val="20"/>
              </w:rPr>
            </w:pPr>
            <w:r w:rsidRPr="005D4748">
              <w:rPr>
                <w:rFonts w:ascii="Arial" w:hAnsi="Arial" w:cs="Arial"/>
                <w:sz w:val="20"/>
                <w:szCs w:val="20"/>
              </w:rPr>
              <w:t>1 814 725</w:t>
            </w:r>
          </w:p>
        </w:tc>
        <w:tc>
          <w:tcPr>
            <w:tcW w:w="1497" w:type="dxa"/>
            <w:vAlign w:val="bottom"/>
          </w:tcPr>
          <w:p w:rsidR="00E35884" w:rsidRPr="005D4748" w:rsidRDefault="00E35884" w:rsidP="005D4748">
            <w:pPr>
              <w:rPr>
                <w:rFonts w:ascii="Arial" w:hAnsi="Arial" w:cs="Arial"/>
                <w:sz w:val="20"/>
                <w:szCs w:val="20"/>
              </w:rPr>
            </w:pPr>
            <w:r w:rsidRPr="005D4748">
              <w:rPr>
                <w:rFonts w:ascii="Arial" w:hAnsi="Arial" w:cs="Arial"/>
                <w:sz w:val="20"/>
                <w:szCs w:val="20"/>
              </w:rPr>
              <w:t>6 252</w:t>
            </w:r>
          </w:p>
        </w:tc>
        <w:tc>
          <w:tcPr>
            <w:tcW w:w="2126" w:type="dxa"/>
            <w:vAlign w:val="bottom"/>
          </w:tcPr>
          <w:p w:rsidR="00E35884" w:rsidRPr="005D4748" w:rsidRDefault="00E35884" w:rsidP="005D4748">
            <w:pPr>
              <w:rPr>
                <w:rFonts w:ascii="Arial" w:hAnsi="Arial" w:cs="Arial"/>
                <w:sz w:val="20"/>
                <w:szCs w:val="20"/>
              </w:rPr>
            </w:pPr>
            <w:r w:rsidRPr="005D4748">
              <w:rPr>
                <w:rFonts w:ascii="Arial" w:hAnsi="Arial" w:cs="Arial"/>
                <w:sz w:val="20"/>
                <w:szCs w:val="20"/>
              </w:rPr>
              <w:t>99.7%</w:t>
            </w:r>
          </w:p>
        </w:tc>
      </w:tr>
      <w:tr w:rsidR="00BA78AB" w:rsidRPr="005D4748" w:rsidTr="00F66061">
        <w:tc>
          <w:tcPr>
            <w:tcW w:w="2182" w:type="dxa"/>
            <w:shd w:val="clear" w:color="auto" w:fill="C6D9F1" w:themeFill="text2" w:themeFillTint="33"/>
          </w:tcPr>
          <w:p w:rsidR="00E35884" w:rsidRPr="005D4748" w:rsidRDefault="00E35884" w:rsidP="005D4748">
            <w:pPr>
              <w:rPr>
                <w:rFonts w:ascii="Arial" w:hAnsi="Arial" w:cs="Arial"/>
                <w:b/>
                <w:sz w:val="20"/>
                <w:szCs w:val="20"/>
              </w:rPr>
            </w:pPr>
            <w:r w:rsidRPr="005D4748">
              <w:rPr>
                <w:rFonts w:ascii="Arial" w:hAnsi="Arial" w:cs="Arial"/>
                <w:b/>
                <w:sz w:val="20"/>
                <w:szCs w:val="20"/>
              </w:rPr>
              <w:t>Total</w:t>
            </w:r>
          </w:p>
        </w:tc>
        <w:tc>
          <w:tcPr>
            <w:tcW w:w="2125" w:type="dxa"/>
            <w:shd w:val="clear" w:color="auto" w:fill="C6D9F1" w:themeFill="text2" w:themeFillTint="33"/>
            <w:vAlign w:val="bottom"/>
          </w:tcPr>
          <w:p w:rsidR="00E35884" w:rsidRPr="005D4748" w:rsidRDefault="00E35884" w:rsidP="005D4748">
            <w:pPr>
              <w:rPr>
                <w:rFonts w:ascii="Arial" w:hAnsi="Arial" w:cs="Arial"/>
                <w:b/>
                <w:sz w:val="20"/>
                <w:szCs w:val="20"/>
              </w:rPr>
            </w:pPr>
            <w:r w:rsidRPr="005D4748">
              <w:rPr>
                <w:rFonts w:ascii="Arial" w:hAnsi="Arial" w:cs="Arial"/>
                <w:b/>
                <w:sz w:val="20"/>
                <w:szCs w:val="20"/>
              </w:rPr>
              <w:t>9 005 638</w:t>
            </w:r>
          </w:p>
        </w:tc>
        <w:tc>
          <w:tcPr>
            <w:tcW w:w="2032" w:type="dxa"/>
            <w:shd w:val="clear" w:color="auto" w:fill="C6D9F1" w:themeFill="text2" w:themeFillTint="33"/>
            <w:vAlign w:val="bottom"/>
          </w:tcPr>
          <w:p w:rsidR="00E35884" w:rsidRPr="005D4748" w:rsidRDefault="00E35884" w:rsidP="005D4748">
            <w:pPr>
              <w:rPr>
                <w:rFonts w:ascii="Arial" w:hAnsi="Arial" w:cs="Arial"/>
                <w:b/>
                <w:sz w:val="20"/>
                <w:szCs w:val="20"/>
              </w:rPr>
            </w:pPr>
            <w:r w:rsidRPr="005D4748">
              <w:rPr>
                <w:rFonts w:ascii="Arial" w:hAnsi="Arial" w:cs="Arial"/>
                <w:b/>
                <w:sz w:val="20"/>
                <w:szCs w:val="20"/>
              </w:rPr>
              <w:t>8 962 043</w:t>
            </w:r>
          </w:p>
        </w:tc>
        <w:tc>
          <w:tcPr>
            <w:tcW w:w="1497" w:type="dxa"/>
            <w:shd w:val="clear" w:color="auto" w:fill="C6D9F1" w:themeFill="text2" w:themeFillTint="33"/>
            <w:vAlign w:val="bottom"/>
          </w:tcPr>
          <w:p w:rsidR="00E35884" w:rsidRPr="005D4748" w:rsidRDefault="00E35884" w:rsidP="005D4748">
            <w:pPr>
              <w:rPr>
                <w:rFonts w:ascii="Arial" w:hAnsi="Arial" w:cs="Arial"/>
                <w:b/>
                <w:sz w:val="20"/>
                <w:szCs w:val="20"/>
              </w:rPr>
            </w:pPr>
            <w:r w:rsidRPr="005D4748">
              <w:rPr>
                <w:rFonts w:ascii="Arial" w:hAnsi="Arial" w:cs="Arial"/>
                <w:b/>
                <w:sz w:val="20"/>
                <w:szCs w:val="20"/>
              </w:rPr>
              <w:t>43 595</w:t>
            </w:r>
          </w:p>
        </w:tc>
        <w:tc>
          <w:tcPr>
            <w:tcW w:w="2126" w:type="dxa"/>
            <w:shd w:val="clear" w:color="auto" w:fill="C6D9F1" w:themeFill="text2" w:themeFillTint="33"/>
            <w:vAlign w:val="bottom"/>
          </w:tcPr>
          <w:p w:rsidR="00E35884" w:rsidRPr="005D4748" w:rsidRDefault="00E35884" w:rsidP="005D4748">
            <w:pPr>
              <w:rPr>
                <w:rFonts w:ascii="Arial" w:hAnsi="Arial" w:cs="Arial"/>
                <w:b/>
                <w:sz w:val="20"/>
                <w:szCs w:val="20"/>
              </w:rPr>
            </w:pPr>
            <w:r w:rsidRPr="005D4748">
              <w:rPr>
                <w:rFonts w:ascii="Arial" w:hAnsi="Arial" w:cs="Arial"/>
                <w:b/>
                <w:sz w:val="20"/>
                <w:szCs w:val="20"/>
              </w:rPr>
              <w:t>99.5%</w:t>
            </w:r>
          </w:p>
        </w:tc>
      </w:tr>
      <w:tr w:rsidR="00E35884" w:rsidRPr="005D4748" w:rsidTr="00401155">
        <w:tc>
          <w:tcPr>
            <w:tcW w:w="2182" w:type="dxa"/>
          </w:tcPr>
          <w:p w:rsidR="00E35884" w:rsidRPr="005D4748" w:rsidRDefault="00E35884" w:rsidP="005D4748">
            <w:pPr>
              <w:rPr>
                <w:rFonts w:ascii="Arial" w:hAnsi="Arial" w:cs="Arial"/>
                <w:b/>
                <w:sz w:val="20"/>
                <w:szCs w:val="20"/>
              </w:rPr>
            </w:pPr>
            <w:r w:rsidRPr="005D4748">
              <w:rPr>
                <w:rFonts w:ascii="Arial" w:hAnsi="Arial" w:cs="Arial"/>
                <w:b/>
                <w:sz w:val="20"/>
                <w:szCs w:val="20"/>
              </w:rPr>
              <w:t>Current payments</w:t>
            </w:r>
          </w:p>
        </w:tc>
        <w:tc>
          <w:tcPr>
            <w:tcW w:w="2125" w:type="dxa"/>
            <w:vAlign w:val="bottom"/>
          </w:tcPr>
          <w:p w:rsidR="00E35884" w:rsidRPr="005D4748" w:rsidRDefault="00E35884" w:rsidP="005D4748">
            <w:pPr>
              <w:rPr>
                <w:rFonts w:ascii="Arial" w:hAnsi="Arial" w:cs="Arial"/>
                <w:sz w:val="20"/>
                <w:szCs w:val="20"/>
              </w:rPr>
            </w:pPr>
            <w:r w:rsidRPr="005D4748">
              <w:rPr>
                <w:rFonts w:ascii="Arial" w:hAnsi="Arial" w:cs="Arial"/>
                <w:sz w:val="20"/>
                <w:szCs w:val="20"/>
              </w:rPr>
              <w:t>521 882</w:t>
            </w:r>
          </w:p>
        </w:tc>
        <w:tc>
          <w:tcPr>
            <w:tcW w:w="2032" w:type="dxa"/>
            <w:vAlign w:val="bottom"/>
          </w:tcPr>
          <w:p w:rsidR="00E35884" w:rsidRPr="005D4748" w:rsidRDefault="00E35884" w:rsidP="005D4748">
            <w:pPr>
              <w:rPr>
                <w:rFonts w:ascii="Arial" w:hAnsi="Arial" w:cs="Arial"/>
                <w:sz w:val="20"/>
                <w:szCs w:val="20"/>
              </w:rPr>
            </w:pPr>
            <w:r w:rsidRPr="005D4748">
              <w:rPr>
                <w:rFonts w:ascii="Arial" w:hAnsi="Arial" w:cs="Arial"/>
                <w:sz w:val="20"/>
                <w:szCs w:val="20"/>
              </w:rPr>
              <w:t>485 583</w:t>
            </w:r>
          </w:p>
        </w:tc>
        <w:tc>
          <w:tcPr>
            <w:tcW w:w="1497" w:type="dxa"/>
            <w:vAlign w:val="bottom"/>
          </w:tcPr>
          <w:p w:rsidR="00E35884" w:rsidRPr="005D4748" w:rsidRDefault="00E35884" w:rsidP="005D4748">
            <w:pPr>
              <w:rPr>
                <w:rFonts w:ascii="Arial" w:hAnsi="Arial" w:cs="Arial"/>
                <w:sz w:val="20"/>
                <w:szCs w:val="20"/>
              </w:rPr>
            </w:pPr>
            <w:r w:rsidRPr="005D4748">
              <w:rPr>
                <w:rFonts w:ascii="Arial" w:hAnsi="Arial" w:cs="Arial"/>
                <w:sz w:val="20"/>
                <w:szCs w:val="20"/>
              </w:rPr>
              <w:t>36 299</w:t>
            </w:r>
          </w:p>
        </w:tc>
        <w:tc>
          <w:tcPr>
            <w:tcW w:w="2126" w:type="dxa"/>
            <w:vAlign w:val="bottom"/>
          </w:tcPr>
          <w:p w:rsidR="00E35884" w:rsidRPr="005D4748" w:rsidRDefault="00E35884" w:rsidP="005D4748">
            <w:pPr>
              <w:rPr>
                <w:rFonts w:ascii="Arial" w:hAnsi="Arial" w:cs="Arial"/>
                <w:sz w:val="20"/>
                <w:szCs w:val="20"/>
              </w:rPr>
            </w:pPr>
            <w:r w:rsidRPr="005D4748">
              <w:rPr>
                <w:rFonts w:ascii="Arial" w:hAnsi="Arial" w:cs="Arial"/>
                <w:sz w:val="20"/>
                <w:szCs w:val="20"/>
              </w:rPr>
              <w:t>93%</w:t>
            </w:r>
          </w:p>
        </w:tc>
      </w:tr>
      <w:tr w:rsidR="00E35884" w:rsidRPr="005D4748" w:rsidTr="00401155">
        <w:tc>
          <w:tcPr>
            <w:tcW w:w="2182" w:type="dxa"/>
          </w:tcPr>
          <w:p w:rsidR="00E35884" w:rsidRPr="005D4748" w:rsidRDefault="00E35884" w:rsidP="005D4748">
            <w:pPr>
              <w:rPr>
                <w:rFonts w:ascii="Arial" w:hAnsi="Arial" w:cs="Arial"/>
                <w:b/>
                <w:sz w:val="20"/>
                <w:szCs w:val="20"/>
              </w:rPr>
            </w:pPr>
            <w:r w:rsidRPr="005D4748">
              <w:rPr>
                <w:rFonts w:ascii="Arial" w:hAnsi="Arial" w:cs="Arial"/>
                <w:b/>
                <w:sz w:val="20"/>
                <w:szCs w:val="20"/>
              </w:rPr>
              <w:t>Transfers and subsidies</w:t>
            </w:r>
          </w:p>
        </w:tc>
        <w:tc>
          <w:tcPr>
            <w:tcW w:w="2125" w:type="dxa"/>
            <w:vAlign w:val="bottom"/>
          </w:tcPr>
          <w:p w:rsidR="00E35884" w:rsidRPr="005D4748" w:rsidRDefault="00E35884" w:rsidP="005D4748">
            <w:pPr>
              <w:rPr>
                <w:rFonts w:ascii="Arial" w:hAnsi="Arial" w:cs="Arial"/>
                <w:sz w:val="20"/>
                <w:szCs w:val="20"/>
              </w:rPr>
            </w:pPr>
            <w:r w:rsidRPr="005D4748">
              <w:rPr>
                <w:rFonts w:ascii="Arial" w:hAnsi="Arial" w:cs="Arial"/>
                <w:sz w:val="20"/>
                <w:szCs w:val="20"/>
              </w:rPr>
              <w:t>8 470 925</w:t>
            </w:r>
          </w:p>
        </w:tc>
        <w:tc>
          <w:tcPr>
            <w:tcW w:w="2032" w:type="dxa"/>
            <w:vAlign w:val="bottom"/>
          </w:tcPr>
          <w:p w:rsidR="00E35884" w:rsidRPr="005D4748" w:rsidRDefault="00E35884" w:rsidP="005D4748">
            <w:pPr>
              <w:rPr>
                <w:rFonts w:ascii="Arial" w:hAnsi="Arial" w:cs="Arial"/>
                <w:sz w:val="20"/>
                <w:szCs w:val="20"/>
              </w:rPr>
            </w:pPr>
            <w:r w:rsidRPr="005D4748">
              <w:rPr>
                <w:rFonts w:ascii="Arial" w:hAnsi="Arial" w:cs="Arial"/>
                <w:sz w:val="20"/>
                <w:szCs w:val="20"/>
              </w:rPr>
              <w:t>8 467 427</w:t>
            </w:r>
          </w:p>
        </w:tc>
        <w:tc>
          <w:tcPr>
            <w:tcW w:w="1497" w:type="dxa"/>
            <w:vAlign w:val="bottom"/>
          </w:tcPr>
          <w:p w:rsidR="00E35884" w:rsidRPr="005D4748" w:rsidRDefault="00E35884" w:rsidP="005D4748">
            <w:pPr>
              <w:rPr>
                <w:rFonts w:ascii="Arial" w:hAnsi="Arial" w:cs="Arial"/>
                <w:sz w:val="20"/>
                <w:szCs w:val="20"/>
              </w:rPr>
            </w:pPr>
            <w:r w:rsidRPr="005D4748">
              <w:rPr>
                <w:rFonts w:ascii="Arial" w:hAnsi="Arial" w:cs="Arial"/>
                <w:sz w:val="20"/>
                <w:szCs w:val="20"/>
              </w:rPr>
              <w:t>3 498</w:t>
            </w:r>
          </w:p>
        </w:tc>
        <w:tc>
          <w:tcPr>
            <w:tcW w:w="2126" w:type="dxa"/>
            <w:vAlign w:val="bottom"/>
          </w:tcPr>
          <w:p w:rsidR="00E35884" w:rsidRPr="005D4748" w:rsidRDefault="00E35884" w:rsidP="005D4748">
            <w:pPr>
              <w:rPr>
                <w:rFonts w:ascii="Arial" w:hAnsi="Arial" w:cs="Arial"/>
                <w:sz w:val="20"/>
                <w:szCs w:val="20"/>
              </w:rPr>
            </w:pPr>
            <w:r w:rsidRPr="005D4748">
              <w:rPr>
                <w:rFonts w:ascii="Arial" w:hAnsi="Arial" w:cs="Arial"/>
                <w:sz w:val="20"/>
                <w:szCs w:val="20"/>
              </w:rPr>
              <w:t>99.9%</w:t>
            </w:r>
          </w:p>
        </w:tc>
      </w:tr>
      <w:tr w:rsidR="00E35884" w:rsidRPr="005D4748" w:rsidTr="00401155">
        <w:trPr>
          <w:trHeight w:val="427"/>
        </w:trPr>
        <w:tc>
          <w:tcPr>
            <w:tcW w:w="2182" w:type="dxa"/>
          </w:tcPr>
          <w:p w:rsidR="00E35884" w:rsidRPr="005D4748" w:rsidRDefault="00E35884" w:rsidP="005D4748">
            <w:pPr>
              <w:rPr>
                <w:rFonts w:ascii="Arial" w:hAnsi="Arial" w:cs="Arial"/>
                <w:b/>
                <w:sz w:val="20"/>
                <w:szCs w:val="20"/>
              </w:rPr>
            </w:pPr>
            <w:r w:rsidRPr="005D4748">
              <w:rPr>
                <w:rFonts w:ascii="Arial" w:hAnsi="Arial" w:cs="Arial"/>
                <w:b/>
                <w:sz w:val="20"/>
                <w:szCs w:val="20"/>
              </w:rPr>
              <w:t>Payments for capital assets</w:t>
            </w:r>
          </w:p>
        </w:tc>
        <w:tc>
          <w:tcPr>
            <w:tcW w:w="2125" w:type="dxa"/>
            <w:vAlign w:val="bottom"/>
          </w:tcPr>
          <w:p w:rsidR="00E35884" w:rsidRPr="005D4748" w:rsidRDefault="00E35884" w:rsidP="005D4748">
            <w:pPr>
              <w:rPr>
                <w:rFonts w:ascii="Arial" w:hAnsi="Arial" w:cs="Arial"/>
                <w:sz w:val="20"/>
                <w:szCs w:val="20"/>
              </w:rPr>
            </w:pPr>
            <w:r w:rsidRPr="005D4748">
              <w:rPr>
                <w:rFonts w:ascii="Arial" w:hAnsi="Arial" w:cs="Arial"/>
                <w:sz w:val="20"/>
                <w:szCs w:val="20"/>
              </w:rPr>
              <w:t>12 731</w:t>
            </w:r>
          </w:p>
        </w:tc>
        <w:tc>
          <w:tcPr>
            <w:tcW w:w="2032" w:type="dxa"/>
            <w:vAlign w:val="bottom"/>
          </w:tcPr>
          <w:p w:rsidR="00E35884" w:rsidRPr="005D4748" w:rsidRDefault="00E35884" w:rsidP="005D4748">
            <w:pPr>
              <w:rPr>
                <w:rFonts w:ascii="Arial" w:hAnsi="Arial" w:cs="Arial"/>
                <w:sz w:val="20"/>
                <w:szCs w:val="20"/>
              </w:rPr>
            </w:pPr>
            <w:r w:rsidRPr="005D4748">
              <w:rPr>
                <w:rFonts w:ascii="Arial" w:hAnsi="Arial" w:cs="Arial"/>
                <w:sz w:val="20"/>
                <w:szCs w:val="20"/>
              </w:rPr>
              <w:t>8 941</w:t>
            </w:r>
          </w:p>
        </w:tc>
        <w:tc>
          <w:tcPr>
            <w:tcW w:w="1497" w:type="dxa"/>
            <w:vAlign w:val="bottom"/>
          </w:tcPr>
          <w:p w:rsidR="00E35884" w:rsidRPr="005D4748" w:rsidRDefault="00E35884" w:rsidP="005D4748">
            <w:pPr>
              <w:rPr>
                <w:rFonts w:ascii="Arial" w:hAnsi="Arial" w:cs="Arial"/>
                <w:sz w:val="20"/>
                <w:szCs w:val="20"/>
              </w:rPr>
            </w:pPr>
            <w:r w:rsidRPr="005D4748">
              <w:rPr>
                <w:rFonts w:ascii="Arial" w:hAnsi="Arial" w:cs="Arial"/>
                <w:sz w:val="20"/>
                <w:szCs w:val="20"/>
              </w:rPr>
              <w:t>3 790</w:t>
            </w:r>
          </w:p>
        </w:tc>
        <w:tc>
          <w:tcPr>
            <w:tcW w:w="2126" w:type="dxa"/>
            <w:vAlign w:val="bottom"/>
          </w:tcPr>
          <w:p w:rsidR="00E35884" w:rsidRPr="005D4748" w:rsidRDefault="00E35884" w:rsidP="005D4748">
            <w:pPr>
              <w:rPr>
                <w:rFonts w:ascii="Arial" w:hAnsi="Arial" w:cs="Arial"/>
                <w:sz w:val="20"/>
                <w:szCs w:val="20"/>
              </w:rPr>
            </w:pPr>
            <w:r w:rsidRPr="005D4748">
              <w:rPr>
                <w:rFonts w:ascii="Arial" w:hAnsi="Arial" w:cs="Arial"/>
                <w:sz w:val="20"/>
                <w:szCs w:val="20"/>
              </w:rPr>
              <w:t>70.2%</w:t>
            </w:r>
          </w:p>
        </w:tc>
      </w:tr>
      <w:tr w:rsidR="00E35884" w:rsidRPr="005D4748" w:rsidTr="00401155">
        <w:tc>
          <w:tcPr>
            <w:tcW w:w="2182" w:type="dxa"/>
          </w:tcPr>
          <w:p w:rsidR="00E35884" w:rsidRPr="005D4748" w:rsidRDefault="00E35884" w:rsidP="005D4748">
            <w:pPr>
              <w:rPr>
                <w:rFonts w:ascii="Arial" w:hAnsi="Arial" w:cs="Arial"/>
                <w:b/>
                <w:sz w:val="20"/>
                <w:szCs w:val="20"/>
              </w:rPr>
            </w:pPr>
            <w:r w:rsidRPr="005D4748">
              <w:rPr>
                <w:rFonts w:ascii="Arial" w:hAnsi="Arial" w:cs="Arial"/>
                <w:b/>
                <w:sz w:val="20"/>
                <w:szCs w:val="20"/>
              </w:rPr>
              <w:t>Payments for financial assets</w:t>
            </w:r>
          </w:p>
        </w:tc>
        <w:tc>
          <w:tcPr>
            <w:tcW w:w="2125" w:type="dxa"/>
            <w:vAlign w:val="bottom"/>
          </w:tcPr>
          <w:p w:rsidR="00E35884" w:rsidRPr="005D4748" w:rsidRDefault="00E35884" w:rsidP="005D4748">
            <w:pPr>
              <w:rPr>
                <w:rFonts w:ascii="Arial" w:hAnsi="Arial" w:cs="Arial"/>
                <w:sz w:val="20"/>
                <w:szCs w:val="20"/>
              </w:rPr>
            </w:pPr>
            <w:r w:rsidRPr="005D4748">
              <w:rPr>
                <w:rFonts w:ascii="Arial" w:hAnsi="Arial" w:cs="Arial"/>
                <w:sz w:val="20"/>
                <w:szCs w:val="20"/>
              </w:rPr>
              <w:t>100</w:t>
            </w:r>
          </w:p>
        </w:tc>
        <w:tc>
          <w:tcPr>
            <w:tcW w:w="2032" w:type="dxa"/>
            <w:vAlign w:val="bottom"/>
          </w:tcPr>
          <w:p w:rsidR="00E35884" w:rsidRPr="005D4748" w:rsidRDefault="00E35884" w:rsidP="005D4748">
            <w:pPr>
              <w:rPr>
                <w:rFonts w:ascii="Arial" w:hAnsi="Arial" w:cs="Arial"/>
                <w:sz w:val="20"/>
                <w:szCs w:val="20"/>
              </w:rPr>
            </w:pPr>
            <w:r w:rsidRPr="005D4748">
              <w:rPr>
                <w:rFonts w:ascii="Arial" w:hAnsi="Arial" w:cs="Arial"/>
                <w:sz w:val="20"/>
                <w:szCs w:val="20"/>
              </w:rPr>
              <w:t>92</w:t>
            </w:r>
          </w:p>
        </w:tc>
        <w:tc>
          <w:tcPr>
            <w:tcW w:w="1497" w:type="dxa"/>
            <w:vAlign w:val="bottom"/>
          </w:tcPr>
          <w:p w:rsidR="00E35884" w:rsidRPr="005D4748" w:rsidRDefault="00E35884" w:rsidP="005D4748">
            <w:pPr>
              <w:rPr>
                <w:rFonts w:ascii="Arial" w:hAnsi="Arial" w:cs="Arial"/>
                <w:sz w:val="20"/>
                <w:szCs w:val="20"/>
              </w:rPr>
            </w:pPr>
            <w:r w:rsidRPr="005D4748">
              <w:rPr>
                <w:rFonts w:ascii="Arial" w:hAnsi="Arial" w:cs="Arial"/>
                <w:sz w:val="20"/>
                <w:szCs w:val="20"/>
              </w:rPr>
              <w:t>8</w:t>
            </w:r>
          </w:p>
        </w:tc>
        <w:tc>
          <w:tcPr>
            <w:tcW w:w="2126" w:type="dxa"/>
            <w:vAlign w:val="bottom"/>
          </w:tcPr>
          <w:p w:rsidR="00E35884" w:rsidRPr="005D4748" w:rsidRDefault="00E35884" w:rsidP="005D4748">
            <w:pPr>
              <w:rPr>
                <w:rFonts w:ascii="Arial" w:hAnsi="Arial" w:cs="Arial"/>
                <w:sz w:val="20"/>
                <w:szCs w:val="20"/>
              </w:rPr>
            </w:pPr>
            <w:r w:rsidRPr="005D4748">
              <w:rPr>
                <w:rFonts w:ascii="Arial" w:hAnsi="Arial" w:cs="Arial"/>
                <w:sz w:val="20"/>
                <w:szCs w:val="20"/>
              </w:rPr>
              <w:t>92%</w:t>
            </w:r>
          </w:p>
        </w:tc>
      </w:tr>
      <w:tr w:rsidR="00BA78AB" w:rsidRPr="005D4748" w:rsidTr="00F66061">
        <w:tc>
          <w:tcPr>
            <w:tcW w:w="2182" w:type="dxa"/>
            <w:shd w:val="clear" w:color="auto" w:fill="C6D9F1" w:themeFill="text2" w:themeFillTint="33"/>
          </w:tcPr>
          <w:p w:rsidR="00E35884" w:rsidRPr="005D4748" w:rsidRDefault="00E35884" w:rsidP="005D4748">
            <w:pPr>
              <w:rPr>
                <w:rFonts w:ascii="Arial" w:hAnsi="Arial" w:cs="Arial"/>
                <w:b/>
                <w:sz w:val="20"/>
                <w:szCs w:val="20"/>
              </w:rPr>
            </w:pPr>
            <w:r w:rsidRPr="005D4748">
              <w:rPr>
                <w:rFonts w:ascii="Arial" w:hAnsi="Arial" w:cs="Arial"/>
                <w:b/>
                <w:sz w:val="20"/>
                <w:szCs w:val="20"/>
              </w:rPr>
              <w:t>Total</w:t>
            </w:r>
          </w:p>
        </w:tc>
        <w:tc>
          <w:tcPr>
            <w:tcW w:w="2125" w:type="dxa"/>
            <w:shd w:val="clear" w:color="auto" w:fill="C6D9F1" w:themeFill="text2" w:themeFillTint="33"/>
            <w:vAlign w:val="bottom"/>
          </w:tcPr>
          <w:p w:rsidR="00E35884" w:rsidRPr="005D4748" w:rsidRDefault="00E35884" w:rsidP="005D4748">
            <w:pPr>
              <w:rPr>
                <w:rFonts w:ascii="Arial" w:hAnsi="Arial" w:cs="Arial"/>
                <w:sz w:val="20"/>
                <w:szCs w:val="20"/>
              </w:rPr>
            </w:pPr>
            <w:r w:rsidRPr="005D4748">
              <w:rPr>
                <w:rFonts w:ascii="Arial" w:hAnsi="Arial" w:cs="Arial"/>
                <w:b/>
                <w:sz w:val="20"/>
                <w:szCs w:val="20"/>
              </w:rPr>
              <w:t>9 005 638</w:t>
            </w:r>
          </w:p>
        </w:tc>
        <w:tc>
          <w:tcPr>
            <w:tcW w:w="2032" w:type="dxa"/>
            <w:shd w:val="clear" w:color="auto" w:fill="C6D9F1" w:themeFill="text2" w:themeFillTint="33"/>
            <w:vAlign w:val="bottom"/>
          </w:tcPr>
          <w:p w:rsidR="00E35884" w:rsidRPr="005D4748" w:rsidRDefault="00E35884" w:rsidP="005D4748">
            <w:pPr>
              <w:rPr>
                <w:rFonts w:ascii="Arial" w:hAnsi="Arial" w:cs="Arial"/>
                <w:sz w:val="20"/>
                <w:szCs w:val="20"/>
              </w:rPr>
            </w:pPr>
            <w:r w:rsidRPr="005D4748">
              <w:rPr>
                <w:rFonts w:ascii="Arial" w:hAnsi="Arial" w:cs="Arial"/>
                <w:b/>
                <w:sz w:val="20"/>
                <w:szCs w:val="20"/>
              </w:rPr>
              <w:t>8 962 043</w:t>
            </w:r>
          </w:p>
        </w:tc>
        <w:tc>
          <w:tcPr>
            <w:tcW w:w="1497" w:type="dxa"/>
            <w:shd w:val="clear" w:color="auto" w:fill="C6D9F1" w:themeFill="text2" w:themeFillTint="33"/>
            <w:vAlign w:val="bottom"/>
          </w:tcPr>
          <w:p w:rsidR="00E35884" w:rsidRPr="005D4748" w:rsidRDefault="00E35884" w:rsidP="005D4748">
            <w:pPr>
              <w:rPr>
                <w:rFonts w:ascii="Arial" w:hAnsi="Arial" w:cs="Arial"/>
                <w:sz w:val="20"/>
                <w:szCs w:val="20"/>
              </w:rPr>
            </w:pPr>
            <w:r w:rsidRPr="005D4748">
              <w:rPr>
                <w:rFonts w:ascii="Arial" w:hAnsi="Arial" w:cs="Arial"/>
                <w:b/>
                <w:sz w:val="20"/>
                <w:szCs w:val="20"/>
              </w:rPr>
              <w:t>43 595</w:t>
            </w:r>
          </w:p>
        </w:tc>
        <w:tc>
          <w:tcPr>
            <w:tcW w:w="2126" w:type="dxa"/>
            <w:shd w:val="clear" w:color="auto" w:fill="C6D9F1" w:themeFill="text2" w:themeFillTint="33"/>
            <w:vAlign w:val="bottom"/>
          </w:tcPr>
          <w:p w:rsidR="00E35884" w:rsidRPr="005D4748" w:rsidRDefault="00E35884" w:rsidP="005D4748">
            <w:pPr>
              <w:rPr>
                <w:rFonts w:ascii="Arial" w:hAnsi="Arial" w:cs="Arial"/>
                <w:sz w:val="20"/>
                <w:szCs w:val="20"/>
              </w:rPr>
            </w:pPr>
            <w:r w:rsidRPr="005D4748">
              <w:rPr>
                <w:rFonts w:ascii="Arial" w:hAnsi="Arial" w:cs="Arial"/>
                <w:b/>
                <w:sz w:val="20"/>
                <w:szCs w:val="20"/>
              </w:rPr>
              <w:t>99.5%</w:t>
            </w:r>
          </w:p>
        </w:tc>
      </w:tr>
    </w:tbl>
    <w:p w:rsidR="005873A4" w:rsidRPr="005D4748" w:rsidRDefault="00976D79" w:rsidP="005D4748">
      <w:pPr>
        <w:pStyle w:val="ListParagraph"/>
        <w:spacing w:after="0" w:line="240" w:lineRule="auto"/>
        <w:ind w:left="0"/>
        <w:rPr>
          <w:rFonts w:ascii="Arial" w:hAnsi="Arial" w:cs="Arial"/>
          <w:sz w:val="20"/>
          <w:szCs w:val="20"/>
          <w:lang w:val="en-GB"/>
        </w:rPr>
      </w:pPr>
      <w:r w:rsidRPr="005D4748">
        <w:rPr>
          <w:rFonts w:ascii="Arial" w:hAnsi="Arial" w:cs="Arial"/>
          <w:sz w:val="20"/>
          <w:szCs w:val="20"/>
          <w:lang w:val="en-GB"/>
        </w:rPr>
        <w:t>Source: 2021</w:t>
      </w:r>
      <w:r w:rsidR="00F74279" w:rsidRPr="005D4748">
        <w:rPr>
          <w:rFonts w:ascii="Arial" w:hAnsi="Arial" w:cs="Arial"/>
          <w:sz w:val="20"/>
          <w:szCs w:val="20"/>
          <w:lang w:val="en-GB"/>
        </w:rPr>
        <w:t>/22</w:t>
      </w:r>
      <w:r w:rsidRPr="005D4748">
        <w:rPr>
          <w:rFonts w:ascii="Arial" w:hAnsi="Arial" w:cs="Arial"/>
          <w:sz w:val="20"/>
          <w:szCs w:val="20"/>
          <w:lang w:val="en-GB"/>
        </w:rPr>
        <w:t xml:space="preserve"> Annual Report of the Department of Science and Innovation</w:t>
      </w:r>
    </w:p>
    <w:p w:rsidR="0087301E" w:rsidRPr="005D4748" w:rsidRDefault="0087301E" w:rsidP="005D4748">
      <w:pPr>
        <w:spacing w:after="0" w:line="240" w:lineRule="auto"/>
        <w:rPr>
          <w:rFonts w:ascii="Arial" w:hAnsi="Arial" w:cs="Arial"/>
          <w:sz w:val="20"/>
          <w:szCs w:val="20"/>
          <w:lang w:val="en-GB"/>
        </w:rPr>
      </w:pPr>
    </w:p>
    <w:p w:rsidR="00301B45" w:rsidRPr="005D4748" w:rsidRDefault="0052323F" w:rsidP="005D4748">
      <w:pPr>
        <w:pStyle w:val="ListParagraph"/>
        <w:numPr>
          <w:ilvl w:val="1"/>
          <w:numId w:val="1"/>
        </w:numPr>
        <w:spacing w:after="0" w:line="240" w:lineRule="auto"/>
        <w:ind w:left="567" w:hanging="567"/>
        <w:rPr>
          <w:rFonts w:ascii="Arial" w:hAnsi="Arial" w:cs="Arial"/>
          <w:b/>
          <w:sz w:val="20"/>
          <w:szCs w:val="20"/>
          <w:lang w:val="en-GB"/>
        </w:rPr>
      </w:pPr>
      <w:r w:rsidRPr="005D4748">
        <w:rPr>
          <w:rFonts w:ascii="Arial" w:hAnsi="Arial" w:cs="Arial"/>
          <w:b/>
          <w:sz w:val="20"/>
          <w:szCs w:val="20"/>
          <w:lang w:val="en-GB"/>
        </w:rPr>
        <w:t>Auditor</w:t>
      </w:r>
      <w:r w:rsidR="00927FAB" w:rsidRPr="005D4748">
        <w:rPr>
          <w:rFonts w:ascii="Arial" w:hAnsi="Arial" w:cs="Arial"/>
          <w:b/>
          <w:sz w:val="20"/>
          <w:szCs w:val="20"/>
          <w:lang w:val="en-GB"/>
        </w:rPr>
        <w:t>-</w:t>
      </w:r>
      <w:r w:rsidRPr="005D4748">
        <w:rPr>
          <w:rFonts w:ascii="Arial" w:hAnsi="Arial" w:cs="Arial"/>
          <w:b/>
          <w:sz w:val="20"/>
          <w:szCs w:val="20"/>
          <w:lang w:val="en-GB"/>
        </w:rPr>
        <w:t xml:space="preserve">General’s </w:t>
      </w:r>
      <w:r w:rsidR="00D62F97" w:rsidRPr="005D4748">
        <w:rPr>
          <w:rFonts w:ascii="Arial" w:hAnsi="Arial" w:cs="Arial"/>
          <w:b/>
          <w:sz w:val="20"/>
          <w:szCs w:val="20"/>
          <w:lang w:val="en-GB"/>
        </w:rPr>
        <w:t>R</w:t>
      </w:r>
      <w:r w:rsidRPr="005D4748">
        <w:rPr>
          <w:rFonts w:ascii="Arial" w:hAnsi="Arial" w:cs="Arial"/>
          <w:b/>
          <w:sz w:val="20"/>
          <w:szCs w:val="20"/>
          <w:lang w:val="en-GB"/>
        </w:rPr>
        <w:t>eport</w:t>
      </w:r>
      <w:r w:rsidR="00BD5A07" w:rsidRPr="005D4748">
        <w:rPr>
          <w:rFonts w:ascii="Arial" w:hAnsi="Arial" w:cs="Arial"/>
          <w:b/>
          <w:sz w:val="20"/>
          <w:szCs w:val="20"/>
          <w:lang w:val="en-GB"/>
        </w:rPr>
        <w:t xml:space="preserve"> on the </w:t>
      </w:r>
      <w:r w:rsidR="00D62F97" w:rsidRPr="005D4748">
        <w:rPr>
          <w:rFonts w:ascii="Arial" w:hAnsi="Arial" w:cs="Arial"/>
          <w:b/>
          <w:sz w:val="20"/>
          <w:szCs w:val="20"/>
          <w:lang w:val="en-GB"/>
        </w:rPr>
        <w:t>F</w:t>
      </w:r>
      <w:r w:rsidR="00BD5A07" w:rsidRPr="005D4748">
        <w:rPr>
          <w:rFonts w:ascii="Arial" w:hAnsi="Arial" w:cs="Arial"/>
          <w:b/>
          <w:sz w:val="20"/>
          <w:szCs w:val="20"/>
          <w:lang w:val="en-GB"/>
        </w:rPr>
        <w:t xml:space="preserve">inancial </w:t>
      </w:r>
      <w:r w:rsidR="00D62F97" w:rsidRPr="005D4748">
        <w:rPr>
          <w:rFonts w:ascii="Arial" w:hAnsi="Arial" w:cs="Arial"/>
          <w:b/>
          <w:sz w:val="20"/>
          <w:szCs w:val="20"/>
          <w:lang w:val="en-GB"/>
        </w:rPr>
        <w:t>S</w:t>
      </w:r>
      <w:r w:rsidR="00BD5A07" w:rsidRPr="005D4748">
        <w:rPr>
          <w:rFonts w:ascii="Arial" w:hAnsi="Arial" w:cs="Arial"/>
          <w:b/>
          <w:sz w:val="20"/>
          <w:szCs w:val="20"/>
          <w:lang w:val="en-GB"/>
        </w:rPr>
        <w:t>tatements of the Department</w:t>
      </w:r>
      <w:r w:rsidR="000C7872" w:rsidRPr="005D4748">
        <w:rPr>
          <w:rFonts w:ascii="Arial" w:hAnsi="Arial" w:cs="Arial"/>
          <w:b/>
          <w:sz w:val="20"/>
          <w:szCs w:val="20"/>
          <w:lang w:val="en-GB"/>
        </w:rPr>
        <w:t xml:space="preserve"> of Science and </w:t>
      </w:r>
      <w:r w:rsidR="007C64D4" w:rsidRPr="005D4748">
        <w:rPr>
          <w:rFonts w:ascii="Arial" w:hAnsi="Arial" w:cs="Arial"/>
          <w:b/>
          <w:sz w:val="20"/>
          <w:szCs w:val="20"/>
          <w:lang w:val="en-GB"/>
        </w:rPr>
        <w:t>Innovation</w:t>
      </w:r>
    </w:p>
    <w:p w:rsidR="00301B45" w:rsidRPr="005D4748" w:rsidRDefault="00301B45" w:rsidP="005D4748">
      <w:pPr>
        <w:spacing w:after="0" w:line="240" w:lineRule="auto"/>
        <w:rPr>
          <w:rFonts w:ascii="Arial" w:hAnsi="Arial" w:cs="Arial"/>
          <w:sz w:val="20"/>
          <w:szCs w:val="20"/>
          <w:lang w:val="en-GB"/>
        </w:rPr>
      </w:pPr>
    </w:p>
    <w:p w:rsidR="00E35884" w:rsidRPr="005D4748" w:rsidRDefault="007125C9" w:rsidP="005D4748">
      <w:pPr>
        <w:spacing w:after="0" w:line="240" w:lineRule="auto"/>
        <w:rPr>
          <w:rFonts w:ascii="Arial" w:hAnsi="Arial" w:cs="Arial"/>
          <w:sz w:val="20"/>
          <w:szCs w:val="20"/>
        </w:rPr>
      </w:pPr>
      <w:r w:rsidRPr="005D4748">
        <w:rPr>
          <w:rFonts w:ascii="Arial" w:hAnsi="Arial" w:cs="Arial"/>
          <w:sz w:val="20"/>
          <w:szCs w:val="20"/>
          <w:lang w:val="en-GB"/>
        </w:rPr>
        <w:t xml:space="preserve">The </w:t>
      </w:r>
      <w:r w:rsidR="00E6365C" w:rsidRPr="005D4748">
        <w:rPr>
          <w:rFonts w:ascii="Arial" w:hAnsi="Arial" w:cs="Arial"/>
          <w:sz w:val="20"/>
          <w:szCs w:val="20"/>
          <w:lang w:val="en-GB"/>
        </w:rPr>
        <w:t>A</w:t>
      </w:r>
      <w:r w:rsidR="00F76015" w:rsidRPr="005D4748">
        <w:rPr>
          <w:rFonts w:ascii="Arial" w:hAnsi="Arial" w:cs="Arial"/>
          <w:sz w:val="20"/>
          <w:szCs w:val="20"/>
          <w:lang w:val="en-GB"/>
        </w:rPr>
        <w:t>GSA</w:t>
      </w:r>
      <w:r w:rsidRPr="005D4748">
        <w:rPr>
          <w:rFonts w:ascii="Arial" w:hAnsi="Arial" w:cs="Arial"/>
          <w:sz w:val="20"/>
          <w:szCs w:val="20"/>
          <w:lang w:val="en-GB"/>
        </w:rPr>
        <w:t xml:space="preserve"> </w:t>
      </w:r>
      <w:r w:rsidR="00E35884" w:rsidRPr="005D4748">
        <w:rPr>
          <w:rFonts w:ascii="Arial" w:hAnsi="Arial" w:cs="Arial"/>
          <w:sz w:val="20"/>
          <w:szCs w:val="20"/>
        </w:rPr>
        <w:t>awarded the Department an unqualified audit opinion with no findings; hence, a clean audit, for the fourth consecutive financial year. The AGSA stated that no material findings on compliance with key legislation and no significant deficiencies in internal control were identified. In addition, The AGSA stated that, “The relevant role players within the accountability ecosystem (i.e. the minister, accounting officer, audit committee and internal audit unit) provided the necessary assurance, which contributed to the sustained key internal controls, particularly those relating to leadership and governance”.</w:t>
      </w:r>
    </w:p>
    <w:p w:rsidR="00E35884" w:rsidRPr="005D4748" w:rsidRDefault="00E35884" w:rsidP="005D4748">
      <w:pPr>
        <w:spacing w:after="0" w:line="240" w:lineRule="auto"/>
        <w:rPr>
          <w:rFonts w:ascii="Arial" w:hAnsi="Arial" w:cs="Arial"/>
          <w:sz w:val="20"/>
          <w:szCs w:val="20"/>
        </w:rPr>
      </w:pPr>
    </w:p>
    <w:p w:rsidR="00E35884" w:rsidRPr="005D4748" w:rsidRDefault="00E35884" w:rsidP="005D4748">
      <w:pPr>
        <w:spacing w:after="0" w:line="240" w:lineRule="auto"/>
        <w:rPr>
          <w:rFonts w:ascii="Arial" w:hAnsi="Arial" w:cs="Arial"/>
          <w:sz w:val="20"/>
          <w:szCs w:val="20"/>
        </w:rPr>
      </w:pPr>
      <w:r w:rsidRPr="005D4748">
        <w:rPr>
          <w:rFonts w:ascii="Arial" w:hAnsi="Arial" w:cs="Arial"/>
          <w:sz w:val="20"/>
          <w:szCs w:val="20"/>
        </w:rPr>
        <w:lastRenderedPageBreak/>
        <w:t>The Department did not incur any irregular expenditure or fruitless and wasteful expenditure in 2021/22. Irregular expenditure relating to prior years and awaiting condonation by National Treasury amount</w:t>
      </w:r>
      <w:r w:rsidR="002B4658" w:rsidRPr="005D4748">
        <w:rPr>
          <w:rFonts w:ascii="Arial" w:hAnsi="Arial" w:cs="Arial"/>
          <w:sz w:val="20"/>
          <w:szCs w:val="20"/>
        </w:rPr>
        <w:t>ed</w:t>
      </w:r>
      <w:r w:rsidRPr="005D4748">
        <w:rPr>
          <w:rFonts w:ascii="Arial" w:hAnsi="Arial" w:cs="Arial"/>
          <w:sz w:val="20"/>
          <w:szCs w:val="20"/>
        </w:rPr>
        <w:t xml:space="preserve"> to R7.9 million.</w:t>
      </w:r>
    </w:p>
    <w:p w:rsidR="00E35884" w:rsidRPr="005D4748" w:rsidRDefault="00E35884" w:rsidP="005D4748">
      <w:pPr>
        <w:spacing w:after="0" w:line="240" w:lineRule="auto"/>
        <w:rPr>
          <w:rFonts w:ascii="Arial" w:hAnsi="Arial" w:cs="Arial"/>
          <w:sz w:val="20"/>
          <w:szCs w:val="20"/>
        </w:rPr>
      </w:pPr>
    </w:p>
    <w:p w:rsidR="0075422F" w:rsidRPr="005D4748" w:rsidRDefault="00E34B4F" w:rsidP="005D4748">
      <w:pPr>
        <w:pStyle w:val="ListParagraph"/>
        <w:numPr>
          <w:ilvl w:val="0"/>
          <w:numId w:val="1"/>
        </w:numPr>
        <w:spacing w:after="0" w:line="240" w:lineRule="auto"/>
        <w:ind w:left="567" w:hanging="567"/>
        <w:rPr>
          <w:rFonts w:ascii="Arial" w:hAnsi="Arial" w:cs="Arial"/>
          <w:b/>
          <w:caps/>
          <w:sz w:val="20"/>
          <w:szCs w:val="20"/>
          <w:lang w:val="en-GB"/>
        </w:rPr>
      </w:pPr>
      <w:r w:rsidRPr="005D4748">
        <w:rPr>
          <w:rFonts w:ascii="Arial" w:hAnsi="Arial" w:cs="Arial"/>
          <w:b/>
          <w:caps/>
          <w:sz w:val="20"/>
          <w:szCs w:val="20"/>
          <w:lang w:val="en-GB"/>
        </w:rPr>
        <w:t>20</w:t>
      </w:r>
      <w:r w:rsidR="00B937BC" w:rsidRPr="005D4748">
        <w:rPr>
          <w:rFonts w:ascii="Arial" w:hAnsi="Arial" w:cs="Arial"/>
          <w:b/>
          <w:caps/>
          <w:sz w:val="20"/>
          <w:szCs w:val="20"/>
          <w:lang w:val="en-GB"/>
        </w:rPr>
        <w:t>2</w:t>
      </w:r>
      <w:r w:rsidR="000B007E" w:rsidRPr="005D4748">
        <w:rPr>
          <w:rFonts w:ascii="Arial" w:hAnsi="Arial" w:cs="Arial"/>
          <w:b/>
          <w:caps/>
          <w:sz w:val="20"/>
          <w:szCs w:val="20"/>
          <w:lang w:val="en-GB"/>
        </w:rPr>
        <w:t>1</w:t>
      </w:r>
      <w:r w:rsidR="002B4658" w:rsidRPr="005D4748">
        <w:rPr>
          <w:rFonts w:ascii="Arial" w:hAnsi="Arial" w:cs="Arial"/>
          <w:b/>
          <w:caps/>
          <w:sz w:val="20"/>
          <w:szCs w:val="20"/>
          <w:lang w:val="en-GB"/>
        </w:rPr>
        <w:t>/22</w:t>
      </w:r>
      <w:r w:rsidR="00407F87" w:rsidRPr="005D4748">
        <w:rPr>
          <w:rFonts w:ascii="Arial" w:hAnsi="Arial" w:cs="Arial"/>
          <w:b/>
          <w:caps/>
          <w:sz w:val="20"/>
          <w:szCs w:val="20"/>
          <w:lang w:val="en-GB"/>
        </w:rPr>
        <w:t xml:space="preserve"> </w:t>
      </w:r>
      <w:r w:rsidR="0075422F" w:rsidRPr="005D4748">
        <w:rPr>
          <w:rFonts w:ascii="Arial" w:hAnsi="Arial" w:cs="Arial"/>
          <w:b/>
          <w:caps/>
          <w:sz w:val="20"/>
          <w:szCs w:val="20"/>
          <w:lang w:val="en-GB"/>
        </w:rPr>
        <w:t>performance</w:t>
      </w:r>
      <w:r w:rsidR="000C7872" w:rsidRPr="005D4748">
        <w:rPr>
          <w:rFonts w:ascii="Arial" w:hAnsi="Arial" w:cs="Arial"/>
          <w:b/>
          <w:caps/>
          <w:sz w:val="20"/>
          <w:szCs w:val="20"/>
          <w:lang w:val="en-GB"/>
        </w:rPr>
        <w:t xml:space="preserve"> OF THE </w:t>
      </w:r>
      <w:r w:rsidR="007C64D4" w:rsidRPr="005D4748">
        <w:rPr>
          <w:rFonts w:ascii="Arial" w:hAnsi="Arial" w:cs="Arial"/>
          <w:b/>
          <w:caps/>
          <w:sz w:val="20"/>
          <w:szCs w:val="20"/>
          <w:lang w:val="en-GB"/>
        </w:rPr>
        <w:t>DEPARTMENT OF SCIENCE AND INNOVATION</w:t>
      </w:r>
      <w:r w:rsidR="00FC0B75" w:rsidRPr="005D4748">
        <w:rPr>
          <w:rFonts w:ascii="Arial" w:hAnsi="Arial" w:cs="Arial"/>
          <w:b/>
          <w:caps/>
          <w:sz w:val="20"/>
          <w:szCs w:val="20"/>
          <w:lang w:val="en-GB"/>
        </w:rPr>
        <w:t xml:space="preserve"> </w:t>
      </w:r>
    </w:p>
    <w:p w:rsidR="0075422F" w:rsidRPr="005D4748" w:rsidRDefault="0075422F" w:rsidP="005D4748">
      <w:pPr>
        <w:pStyle w:val="ListParagraph"/>
        <w:spacing w:after="0" w:line="240" w:lineRule="auto"/>
        <w:ind w:left="0"/>
        <w:rPr>
          <w:rFonts w:ascii="Arial" w:hAnsi="Arial" w:cs="Arial"/>
          <w:sz w:val="20"/>
          <w:szCs w:val="20"/>
          <w:lang w:val="en-GB"/>
        </w:rPr>
      </w:pPr>
    </w:p>
    <w:p w:rsidR="00B23F51" w:rsidRPr="005D4748" w:rsidRDefault="00B23F51" w:rsidP="005D4748">
      <w:pPr>
        <w:spacing w:after="0" w:line="240" w:lineRule="auto"/>
        <w:rPr>
          <w:rFonts w:ascii="Arial" w:hAnsi="Arial" w:cs="Arial"/>
          <w:sz w:val="20"/>
          <w:szCs w:val="20"/>
        </w:rPr>
      </w:pPr>
      <w:r w:rsidRPr="005D4748">
        <w:rPr>
          <w:rFonts w:ascii="Arial" w:hAnsi="Arial" w:cs="Arial"/>
          <w:sz w:val="20"/>
          <w:szCs w:val="20"/>
        </w:rPr>
        <w:t>The Department captured its performance into 52 annual performance targets. These were further broken-down into quarterly targets that were reported on when the Committee considered the Department’s quarterly financial and non-financial performance reports.</w:t>
      </w:r>
    </w:p>
    <w:p w:rsidR="00726642" w:rsidRPr="005D4748" w:rsidRDefault="00726642" w:rsidP="005D4748">
      <w:pPr>
        <w:spacing w:after="0" w:line="240" w:lineRule="auto"/>
        <w:rPr>
          <w:rFonts w:ascii="Arial" w:hAnsi="Arial" w:cs="Arial"/>
          <w:sz w:val="20"/>
          <w:szCs w:val="20"/>
          <w:lang w:val="en-GB"/>
        </w:rPr>
      </w:pPr>
    </w:p>
    <w:p w:rsidR="00563016" w:rsidRPr="005D4748" w:rsidRDefault="00A9298E" w:rsidP="005D4748">
      <w:pPr>
        <w:spacing w:after="0" w:line="240" w:lineRule="auto"/>
        <w:rPr>
          <w:rFonts w:ascii="Arial" w:hAnsi="Arial" w:cs="Arial"/>
          <w:b/>
          <w:sz w:val="20"/>
          <w:szCs w:val="20"/>
          <w:lang w:val="en-GB"/>
        </w:rPr>
      </w:pPr>
      <w:r w:rsidRPr="005D4748">
        <w:rPr>
          <w:rFonts w:ascii="Arial" w:hAnsi="Arial" w:cs="Arial"/>
          <w:b/>
          <w:sz w:val="20"/>
          <w:szCs w:val="20"/>
          <w:lang w:val="en-GB"/>
        </w:rPr>
        <w:t>Table 2:</w:t>
      </w:r>
      <w:r w:rsidRPr="005D4748">
        <w:rPr>
          <w:rFonts w:ascii="Arial" w:hAnsi="Arial" w:cs="Arial"/>
          <w:b/>
          <w:sz w:val="20"/>
          <w:szCs w:val="20"/>
          <w:lang w:val="en-GB"/>
        </w:rPr>
        <w:tab/>
      </w:r>
      <w:r w:rsidR="00563016" w:rsidRPr="005D4748">
        <w:rPr>
          <w:rFonts w:ascii="Arial" w:hAnsi="Arial" w:cs="Arial"/>
          <w:b/>
          <w:sz w:val="20"/>
          <w:szCs w:val="20"/>
          <w:lang w:val="en-GB"/>
        </w:rPr>
        <w:t>2021</w:t>
      </w:r>
      <w:r w:rsidR="00570EA4" w:rsidRPr="005D4748">
        <w:rPr>
          <w:rFonts w:ascii="Arial" w:hAnsi="Arial" w:cs="Arial"/>
          <w:b/>
          <w:sz w:val="20"/>
          <w:szCs w:val="20"/>
          <w:lang w:val="en-GB"/>
        </w:rPr>
        <w:t>/22</w:t>
      </w:r>
      <w:r w:rsidR="00563016" w:rsidRPr="005D4748">
        <w:rPr>
          <w:rFonts w:ascii="Arial" w:hAnsi="Arial" w:cs="Arial"/>
          <w:b/>
          <w:sz w:val="20"/>
          <w:szCs w:val="20"/>
          <w:lang w:val="en-GB"/>
        </w:rPr>
        <w:t xml:space="preserve"> Quarterly and Annual Programme Performance</w:t>
      </w:r>
      <w:r w:rsidR="00776B60" w:rsidRPr="005D4748">
        <w:rPr>
          <w:rFonts w:ascii="Arial" w:hAnsi="Arial" w:cs="Arial"/>
          <w:b/>
          <w:sz w:val="20"/>
          <w:szCs w:val="20"/>
          <w:lang w:val="en-GB"/>
        </w:rPr>
        <w:t xml:space="preserve"> of the Department of Science and Innovation</w:t>
      </w:r>
    </w:p>
    <w:tbl>
      <w:tblPr>
        <w:tblStyle w:val="TableGrid"/>
        <w:tblpPr w:leftFromText="180" w:rightFromText="180" w:vertAnchor="text" w:tblpY="1"/>
        <w:tblOverlap w:val="never"/>
        <w:tblW w:w="5120" w:type="pct"/>
        <w:tblLook w:val="04A0"/>
      </w:tblPr>
      <w:tblGrid>
        <w:gridCol w:w="2148"/>
        <w:gridCol w:w="750"/>
        <w:gridCol w:w="592"/>
        <w:gridCol w:w="750"/>
        <w:gridCol w:w="609"/>
        <w:gridCol w:w="750"/>
        <w:gridCol w:w="634"/>
        <w:gridCol w:w="750"/>
        <w:gridCol w:w="660"/>
        <w:gridCol w:w="953"/>
        <w:gridCol w:w="913"/>
      </w:tblGrid>
      <w:tr w:rsidR="00B23F51" w:rsidRPr="005D4748" w:rsidTr="00401155">
        <w:trPr>
          <w:trHeight w:val="700"/>
        </w:trPr>
        <w:tc>
          <w:tcPr>
            <w:tcW w:w="1136" w:type="pct"/>
            <w:vMerge w:val="restart"/>
            <w:vAlign w:val="center"/>
          </w:tcPr>
          <w:p w:rsidR="00B23F51" w:rsidRPr="005D4748" w:rsidRDefault="00B23F51" w:rsidP="005D4748">
            <w:pPr>
              <w:rPr>
                <w:rFonts w:ascii="Arial" w:hAnsi="Arial" w:cs="Arial"/>
                <w:b/>
                <w:sz w:val="20"/>
                <w:szCs w:val="20"/>
              </w:rPr>
            </w:pPr>
            <w:r w:rsidRPr="005D4748">
              <w:rPr>
                <w:rFonts w:ascii="Arial" w:hAnsi="Arial" w:cs="Arial"/>
                <w:b/>
                <w:sz w:val="20"/>
                <w:szCs w:val="20"/>
              </w:rPr>
              <w:t>Programme</w:t>
            </w:r>
          </w:p>
        </w:tc>
        <w:tc>
          <w:tcPr>
            <w:tcW w:w="701" w:type="pct"/>
            <w:gridSpan w:val="2"/>
            <w:shd w:val="clear" w:color="auto" w:fill="D9D9D9" w:themeFill="background1" w:themeFillShade="D9"/>
            <w:vAlign w:val="center"/>
          </w:tcPr>
          <w:p w:rsidR="00B23F51" w:rsidRPr="005D4748" w:rsidRDefault="00B23F51" w:rsidP="005D4748">
            <w:pPr>
              <w:rPr>
                <w:rFonts w:ascii="Arial" w:hAnsi="Arial" w:cs="Arial"/>
                <w:b/>
                <w:sz w:val="20"/>
                <w:szCs w:val="20"/>
              </w:rPr>
            </w:pPr>
            <w:r w:rsidRPr="005D4748">
              <w:rPr>
                <w:rFonts w:ascii="Arial" w:hAnsi="Arial" w:cs="Arial"/>
                <w:b/>
                <w:sz w:val="20"/>
                <w:szCs w:val="20"/>
              </w:rPr>
              <w:t>Quarter 1</w:t>
            </w:r>
          </w:p>
        </w:tc>
        <w:tc>
          <w:tcPr>
            <w:tcW w:w="710" w:type="pct"/>
            <w:gridSpan w:val="2"/>
            <w:vAlign w:val="center"/>
          </w:tcPr>
          <w:p w:rsidR="00B23F51" w:rsidRPr="005D4748" w:rsidRDefault="00B23F51" w:rsidP="005D4748">
            <w:pPr>
              <w:rPr>
                <w:rFonts w:ascii="Arial" w:hAnsi="Arial" w:cs="Arial"/>
                <w:b/>
                <w:sz w:val="20"/>
                <w:szCs w:val="20"/>
              </w:rPr>
            </w:pPr>
            <w:r w:rsidRPr="005D4748">
              <w:rPr>
                <w:rFonts w:ascii="Arial" w:hAnsi="Arial" w:cs="Arial"/>
                <w:b/>
                <w:sz w:val="20"/>
                <w:szCs w:val="20"/>
              </w:rPr>
              <w:t>Quarter 2</w:t>
            </w:r>
          </w:p>
        </w:tc>
        <w:tc>
          <w:tcPr>
            <w:tcW w:w="723" w:type="pct"/>
            <w:gridSpan w:val="2"/>
            <w:shd w:val="clear" w:color="auto" w:fill="D9D9D9" w:themeFill="background1" w:themeFillShade="D9"/>
            <w:vAlign w:val="center"/>
          </w:tcPr>
          <w:p w:rsidR="00B23F51" w:rsidRPr="005D4748" w:rsidRDefault="00B23F51" w:rsidP="005D4748">
            <w:pPr>
              <w:rPr>
                <w:rFonts w:ascii="Arial" w:hAnsi="Arial" w:cs="Arial"/>
                <w:b/>
                <w:sz w:val="20"/>
                <w:szCs w:val="20"/>
              </w:rPr>
            </w:pPr>
            <w:r w:rsidRPr="005D4748">
              <w:rPr>
                <w:rFonts w:ascii="Arial" w:hAnsi="Arial" w:cs="Arial"/>
                <w:b/>
                <w:sz w:val="20"/>
                <w:szCs w:val="20"/>
              </w:rPr>
              <w:t>Quarter 3</w:t>
            </w:r>
          </w:p>
        </w:tc>
        <w:tc>
          <w:tcPr>
            <w:tcW w:w="737" w:type="pct"/>
            <w:gridSpan w:val="2"/>
            <w:tcBorders>
              <w:right w:val="double" w:sz="12" w:space="0" w:color="000000"/>
            </w:tcBorders>
            <w:vAlign w:val="center"/>
          </w:tcPr>
          <w:p w:rsidR="00B23F51" w:rsidRPr="005D4748" w:rsidRDefault="00B23F51" w:rsidP="005D4748">
            <w:pPr>
              <w:rPr>
                <w:rFonts w:ascii="Arial" w:hAnsi="Arial" w:cs="Arial"/>
                <w:b/>
                <w:sz w:val="20"/>
                <w:szCs w:val="20"/>
              </w:rPr>
            </w:pPr>
            <w:r w:rsidRPr="005D4748">
              <w:rPr>
                <w:rFonts w:ascii="Arial" w:hAnsi="Arial" w:cs="Arial"/>
                <w:b/>
                <w:sz w:val="20"/>
                <w:szCs w:val="20"/>
              </w:rPr>
              <w:t>Quarter 4</w:t>
            </w:r>
          </w:p>
        </w:tc>
        <w:tc>
          <w:tcPr>
            <w:tcW w:w="993" w:type="pct"/>
            <w:gridSpan w:val="2"/>
            <w:tcBorders>
              <w:left w:val="double" w:sz="12" w:space="0" w:color="000000"/>
            </w:tcBorders>
            <w:shd w:val="clear" w:color="auto" w:fill="C6D9F1" w:themeFill="text2" w:themeFillTint="33"/>
            <w:vAlign w:val="center"/>
          </w:tcPr>
          <w:p w:rsidR="00B23F51" w:rsidRPr="005D4748" w:rsidRDefault="00B23F51" w:rsidP="005D4748">
            <w:pPr>
              <w:rPr>
                <w:rFonts w:ascii="Arial" w:hAnsi="Arial" w:cs="Arial"/>
                <w:b/>
                <w:sz w:val="20"/>
                <w:szCs w:val="20"/>
              </w:rPr>
            </w:pPr>
            <w:r w:rsidRPr="005D4748">
              <w:rPr>
                <w:rFonts w:ascii="Arial" w:hAnsi="Arial" w:cs="Arial"/>
                <w:b/>
                <w:sz w:val="20"/>
                <w:szCs w:val="20"/>
              </w:rPr>
              <w:t>2021/22 Annual</w:t>
            </w:r>
          </w:p>
          <w:p w:rsidR="00B23F51" w:rsidRPr="005D4748" w:rsidRDefault="00B23F51" w:rsidP="005D4748">
            <w:pPr>
              <w:rPr>
                <w:rFonts w:ascii="Arial" w:hAnsi="Arial" w:cs="Arial"/>
                <w:b/>
                <w:sz w:val="20"/>
                <w:szCs w:val="20"/>
              </w:rPr>
            </w:pPr>
            <w:r w:rsidRPr="005D4748">
              <w:rPr>
                <w:rFonts w:ascii="Arial" w:hAnsi="Arial" w:cs="Arial"/>
                <w:b/>
                <w:sz w:val="20"/>
                <w:szCs w:val="20"/>
              </w:rPr>
              <w:t>Performance)</w:t>
            </w:r>
          </w:p>
        </w:tc>
      </w:tr>
      <w:tr w:rsidR="00B23F51" w:rsidRPr="005D4748" w:rsidTr="00401155">
        <w:trPr>
          <w:trHeight w:val="553"/>
        </w:trPr>
        <w:tc>
          <w:tcPr>
            <w:tcW w:w="1136" w:type="pct"/>
            <w:vMerge/>
            <w:vAlign w:val="center"/>
          </w:tcPr>
          <w:p w:rsidR="00B23F51" w:rsidRPr="005D4748" w:rsidRDefault="00B23F51" w:rsidP="005D4748">
            <w:pPr>
              <w:rPr>
                <w:rFonts w:ascii="Arial" w:hAnsi="Arial" w:cs="Arial"/>
                <w:b/>
                <w:sz w:val="20"/>
                <w:szCs w:val="20"/>
              </w:rPr>
            </w:pPr>
          </w:p>
        </w:tc>
        <w:tc>
          <w:tcPr>
            <w:tcW w:w="384" w:type="pct"/>
            <w:shd w:val="clear" w:color="auto" w:fill="D9D9D9" w:themeFill="background1" w:themeFillShade="D9"/>
            <w:vAlign w:val="center"/>
          </w:tcPr>
          <w:p w:rsidR="00B23F51" w:rsidRPr="005D4748" w:rsidRDefault="00B23F51" w:rsidP="005D4748">
            <w:pPr>
              <w:rPr>
                <w:rFonts w:ascii="Arial" w:hAnsi="Arial" w:cs="Arial"/>
                <w:b/>
                <w:sz w:val="20"/>
                <w:szCs w:val="20"/>
              </w:rPr>
            </w:pPr>
            <w:r w:rsidRPr="005D4748">
              <w:rPr>
                <w:rFonts w:ascii="Arial" w:hAnsi="Arial" w:cs="Arial"/>
                <w:b/>
                <w:sz w:val="20"/>
                <w:szCs w:val="20"/>
              </w:rPr>
              <w:sym w:font="Wingdings" w:char="F0FC"/>
            </w:r>
          </w:p>
        </w:tc>
        <w:tc>
          <w:tcPr>
            <w:tcW w:w="317" w:type="pct"/>
            <w:shd w:val="clear" w:color="auto" w:fill="D9D9D9" w:themeFill="background1" w:themeFillShade="D9"/>
            <w:vAlign w:val="center"/>
          </w:tcPr>
          <w:p w:rsidR="00B23F51" w:rsidRPr="005D4748" w:rsidRDefault="00B23F51" w:rsidP="005D4748">
            <w:pPr>
              <w:rPr>
                <w:rFonts w:ascii="Arial" w:hAnsi="Arial" w:cs="Arial"/>
                <w:b/>
                <w:sz w:val="20"/>
                <w:szCs w:val="20"/>
              </w:rPr>
            </w:pPr>
            <w:r w:rsidRPr="005D4748">
              <w:rPr>
                <w:rFonts w:ascii="Arial" w:hAnsi="Arial" w:cs="Arial"/>
                <w:b/>
                <w:sz w:val="20"/>
                <w:szCs w:val="20"/>
              </w:rPr>
              <w:sym w:font="Wingdings 2" w:char="F0D3"/>
            </w:r>
          </w:p>
        </w:tc>
        <w:tc>
          <w:tcPr>
            <w:tcW w:w="384" w:type="pct"/>
            <w:vAlign w:val="center"/>
          </w:tcPr>
          <w:p w:rsidR="00B23F51" w:rsidRPr="005D4748" w:rsidRDefault="00B23F51" w:rsidP="005D4748">
            <w:pPr>
              <w:rPr>
                <w:rFonts w:ascii="Arial" w:hAnsi="Arial" w:cs="Arial"/>
                <w:b/>
                <w:sz w:val="20"/>
                <w:szCs w:val="20"/>
              </w:rPr>
            </w:pPr>
            <w:r w:rsidRPr="005D4748">
              <w:rPr>
                <w:rFonts w:ascii="Arial" w:hAnsi="Arial" w:cs="Arial"/>
                <w:b/>
                <w:sz w:val="20"/>
                <w:szCs w:val="20"/>
              </w:rPr>
              <w:sym w:font="Wingdings" w:char="F0FC"/>
            </w:r>
          </w:p>
        </w:tc>
        <w:tc>
          <w:tcPr>
            <w:tcW w:w="325" w:type="pct"/>
            <w:vAlign w:val="center"/>
          </w:tcPr>
          <w:p w:rsidR="00B23F51" w:rsidRPr="005D4748" w:rsidRDefault="00B23F51" w:rsidP="005D4748">
            <w:pPr>
              <w:rPr>
                <w:rFonts w:ascii="Arial" w:hAnsi="Arial" w:cs="Arial"/>
                <w:b/>
                <w:sz w:val="20"/>
                <w:szCs w:val="20"/>
              </w:rPr>
            </w:pPr>
            <w:r w:rsidRPr="005D4748">
              <w:rPr>
                <w:rFonts w:ascii="Arial" w:hAnsi="Arial" w:cs="Arial"/>
                <w:b/>
                <w:sz w:val="20"/>
                <w:szCs w:val="20"/>
              </w:rPr>
              <w:sym w:font="Wingdings 2" w:char="F0D3"/>
            </w:r>
          </w:p>
        </w:tc>
        <w:tc>
          <w:tcPr>
            <w:tcW w:w="384" w:type="pct"/>
            <w:shd w:val="clear" w:color="auto" w:fill="D9D9D9" w:themeFill="background1" w:themeFillShade="D9"/>
            <w:vAlign w:val="center"/>
          </w:tcPr>
          <w:p w:rsidR="00B23F51" w:rsidRPr="005D4748" w:rsidRDefault="00B23F51" w:rsidP="005D4748">
            <w:pPr>
              <w:rPr>
                <w:rFonts w:ascii="Arial" w:hAnsi="Arial" w:cs="Arial"/>
                <w:b/>
                <w:sz w:val="20"/>
                <w:szCs w:val="20"/>
              </w:rPr>
            </w:pPr>
            <w:r w:rsidRPr="005D4748">
              <w:rPr>
                <w:rFonts w:ascii="Arial" w:hAnsi="Arial" w:cs="Arial"/>
                <w:b/>
                <w:sz w:val="20"/>
                <w:szCs w:val="20"/>
              </w:rPr>
              <w:sym w:font="Wingdings" w:char="F0FC"/>
            </w:r>
          </w:p>
        </w:tc>
        <w:tc>
          <w:tcPr>
            <w:tcW w:w="339" w:type="pct"/>
            <w:shd w:val="clear" w:color="auto" w:fill="D9D9D9" w:themeFill="background1" w:themeFillShade="D9"/>
            <w:vAlign w:val="center"/>
          </w:tcPr>
          <w:p w:rsidR="00B23F51" w:rsidRPr="005D4748" w:rsidRDefault="00B23F51" w:rsidP="005D4748">
            <w:pPr>
              <w:rPr>
                <w:rFonts w:ascii="Arial" w:hAnsi="Arial" w:cs="Arial"/>
                <w:b/>
                <w:sz w:val="20"/>
                <w:szCs w:val="20"/>
              </w:rPr>
            </w:pPr>
            <w:r w:rsidRPr="005D4748">
              <w:rPr>
                <w:rFonts w:ascii="Arial" w:hAnsi="Arial" w:cs="Arial"/>
                <w:b/>
                <w:sz w:val="20"/>
                <w:szCs w:val="20"/>
              </w:rPr>
              <w:sym w:font="Wingdings 2" w:char="F0D3"/>
            </w:r>
          </w:p>
        </w:tc>
        <w:tc>
          <w:tcPr>
            <w:tcW w:w="384" w:type="pct"/>
            <w:vAlign w:val="center"/>
          </w:tcPr>
          <w:p w:rsidR="00B23F51" w:rsidRPr="005D4748" w:rsidRDefault="00B23F51" w:rsidP="005D4748">
            <w:pPr>
              <w:rPr>
                <w:rFonts w:ascii="Arial" w:hAnsi="Arial" w:cs="Arial"/>
                <w:b/>
                <w:sz w:val="20"/>
                <w:szCs w:val="20"/>
              </w:rPr>
            </w:pPr>
            <w:r w:rsidRPr="005D4748">
              <w:rPr>
                <w:rFonts w:ascii="Arial" w:hAnsi="Arial" w:cs="Arial"/>
                <w:b/>
                <w:sz w:val="20"/>
                <w:szCs w:val="20"/>
              </w:rPr>
              <w:sym w:font="Wingdings" w:char="F0FC"/>
            </w:r>
          </w:p>
        </w:tc>
        <w:tc>
          <w:tcPr>
            <w:tcW w:w="353" w:type="pct"/>
            <w:tcBorders>
              <w:right w:val="double" w:sz="12" w:space="0" w:color="000000"/>
            </w:tcBorders>
            <w:vAlign w:val="center"/>
          </w:tcPr>
          <w:p w:rsidR="00B23F51" w:rsidRPr="005D4748" w:rsidRDefault="00B23F51" w:rsidP="005D4748">
            <w:pPr>
              <w:rPr>
                <w:rFonts w:ascii="Arial" w:hAnsi="Arial" w:cs="Arial"/>
                <w:b/>
                <w:sz w:val="20"/>
                <w:szCs w:val="20"/>
              </w:rPr>
            </w:pPr>
            <w:r w:rsidRPr="005D4748">
              <w:rPr>
                <w:rFonts w:ascii="Arial" w:hAnsi="Arial" w:cs="Arial"/>
                <w:b/>
                <w:sz w:val="20"/>
                <w:szCs w:val="20"/>
              </w:rPr>
              <w:sym w:font="Wingdings 2" w:char="F0D3"/>
            </w:r>
          </w:p>
        </w:tc>
        <w:tc>
          <w:tcPr>
            <w:tcW w:w="507" w:type="pct"/>
            <w:tcBorders>
              <w:left w:val="double" w:sz="12" w:space="0" w:color="000000"/>
            </w:tcBorders>
            <w:shd w:val="clear" w:color="auto" w:fill="C6D9F1" w:themeFill="text2" w:themeFillTint="33"/>
            <w:vAlign w:val="center"/>
          </w:tcPr>
          <w:p w:rsidR="00B23F51" w:rsidRPr="005D4748" w:rsidRDefault="00B23F51" w:rsidP="005D4748">
            <w:pPr>
              <w:rPr>
                <w:rFonts w:ascii="Arial" w:hAnsi="Arial" w:cs="Arial"/>
                <w:b/>
                <w:sz w:val="20"/>
                <w:szCs w:val="20"/>
              </w:rPr>
            </w:pPr>
            <w:r w:rsidRPr="005D4748">
              <w:rPr>
                <w:rFonts w:ascii="Arial" w:hAnsi="Arial" w:cs="Arial"/>
                <w:b/>
                <w:sz w:val="20"/>
                <w:szCs w:val="20"/>
              </w:rPr>
              <w:sym w:font="Wingdings" w:char="F0FC"/>
            </w:r>
          </w:p>
        </w:tc>
        <w:tc>
          <w:tcPr>
            <w:tcW w:w="486" w:type="pct"/>
            <w:shd w:val="clear" w:color="auto" w:fill="C6D9F1" w:themeFill="text2" w:themeFillTint="33"/>
            <w:vAlign w:val="center"/>
          </w:tcPr>
          <w:p w:rsidR="00B23F51" w:rsidRPr="005D4748" w:rsidRDefault="00B23F51" w:rsidP="005D4748">
            <w:pPr>
              <w:rPr>
                <w:rFonts w:ascii="Arial" w:hAnsi="Arial" w:cs="Arial"/>
                <w:b/>
                <w:sz w:val="20"/>
                <w:szCs w:val="20"/>
              </w:rPr>
            </w:pPr>
            <w:r w:rsidRPr="005D4748">
              <w:rPr>
                <w:rFonts w:ascii="Arial" w:hAnsi="Arial" w:cs="Arial"/>
                <w:b/>
                <w:sz w:val="20"/>
                <w:szCs w:val="20"/>
              </w:rPr>
              <w:sym w:font="Wingdings 2" w:char="F0D3"/>
            </w:r>
          </w:p>
        </w:tc>
      </w:tr>
      <w:tr w:rsidR="00B23F51" w:rsidRPr="005D4748" w:rsidTr="00401155">
        <w:trPr>
          <w:trHeight w:val="419"/>
        </w:trPr>
        <w:tc>
          <w:tcPr>
            <w:tcW w:w="1136" w:type="pct"/>
          </w:tcPr>
          <w:p w:rsidR="00B23F51" w:rsidRPr="005D4748" w:rsidRDefault="00B23F51" w:rsidP="005D4748">
            <w:pPr>
              <w:rPr>
                <w:rFonts w:ascii="Arial" w:hAnsi="Arial" w:cs="Arial"/>
                <w:b/>
                <w:sz w:val="20"/>
                <w:szCs w:val="20"/>
              </w:rPr>
            </w:pPr>
            <w:r w:rsidRPr="005D4748">
              <w:rPr>
                <w:rFonts w:ascii="Arial" w:hAnsi="Arial" w:cs="Arial"/>
                <w:b/>
                <w:sz w:val="20"/>
                <w:szCs w:val="20"/>
              </w:rPr>
              <w:t>1. Administration</w:t>
            </w:r>
          </w:p>
        </w:tc>
        <w:tc>
          <w:tcPr>
            <w:tcW w:w="384" w:type="pct"/>
            <w:shd w:val="clear" w:color="auto" w:fill="D9D9D9" w:themeFill="background1" w:themeFillShade="D9"/>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2</w:t>
            </w:r>
          </w:p>
        </w:tc>
        <w:tc>
          <w:tcPr>
            <w:tcW w:w="317" w:type="pct"/>
            <w:shd w:val="clear" w:color="auto" w:fill="D9D9D9" w:themeFill="background1" w:themeFillShade="D9"/>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0</w:t>
            </w:r>
          </w:p>
        </w:tc>
        <w:tc>
          <w:tcPr>
            <w:tcW w:w="384" w:type="pct"/>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3</w:t>
            </w:r>
          </w:p>
        </w:tc>
        <w:tc>
          <w:tcPr>
            <w:tcW w:w="325" w:type="pct"/>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1</w:t>
            </w:r>
          </w:p>
        </w:tc>
        <w:tc>
          <w:tcPr>
            <w:tcW w:w="384" w:type="pct"/>
            <w:shd w:val="clear" w:color="auto" w:fill="D9D9D9" w:themeFill="background1" w:themeFillShade="D9"/>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2</w:t>
            </w:r>
          </w:p>
        </w:tc>
        <w:tc>
          <w:tcPr>
            <w:tcW w:w="339" w:type="pct"/>
            <w:shd w:val="clear" w:color="auto" w:fill="D9D9D9" w:themeFill="background1" w:themeFillShade="D9"/>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1</w:t>
            </w:r>
          </w:p>
        </w:tc>
        <w:tc>
          <w:tcPr>
            <w:tcW w:w="384" w:type="pct"/>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4</w:t>
            </w:r>
          </w:p>
        </w:tc>
        <w:tc>
          <w:tcPr>
            <w:tcW w:w="353" w:type="pct"/>
            <w:tcBorders>
              <w:right w:val="double" w:sz="12" w:space="0" w:color="000000"/>
            </w:tcBorders>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1</w:t>
            </w:r>
          </w:p>
        </w:tc>
        <w:tc>
          <w:tcPr>
            <w:tcW w:w="507" w:type="pct"/>
            <w:tcBorders>
              <w:left w:val="double" w:sz="12" w:space="0" w:color="000000"/>
            </w:tcBorders>
            <w:shd w:val="clear" w:color="auto" w:fill="C6D9F1" w:themeFill="text2" w:themeFillTint="33"/>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6</w:t>
            </w:r>
          </w:p>
        </w:tc>
        <w:tc>
          <w:tcPr>
            <w:tcW w:w="486" w:type="pct"/>
            <w:shd w:val="clear" w:color="auto" w:fill="C6D9F1" w:themeFill="text2" w:themeFillTint="33"/>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0</w:t>
            </w:r>
          </w:p>
        </w:tc>
      </w:tr>
      <w:tr w:rsidR="00B23F51" w:rsidRPr="005D4748" w:rsidTr="00401155">
        <w:trPr>
          <w:trHeight w:val="694"/>
        </w:trPr>
        <w:tc>
          <w:tcPr>
            <w:tcW w:w="1136" w:type="pct"/>
          </w:tcPr>
          <w:p w:rsidR="00B23F51" w:rsidRPr="005D4748" w:rsidRDefault="00B23F51" w:rsidP="005D4748">
            <w:pPr>
              <w:rPr>
                <w:rFonts w:ascii="Arial" w:hAnsi="Arial" w:cs="Arial"/>
                <w:b/>
                <w:sz w:val="20"/>
                <w:szCs w:val="20"/>
              </w:rPr>
            </w:pPr>
            <w:r w:rsidRPr="005D4748">
              <w:rPr>
                <w:rFonts w:ascii="Arial" w:hAnsi="Arial" w:cs="Arial"/>
                <w:b/>
                <w:sz w:val="20"/>
                <w:szCs w:val="20"/>
              </w:rPr>
              <w:t>2. Technology Innovation</w:t>
            </w:r>
          </w:p>
        </w:tc>
        <w:tc>
          <w:tcPr>
            <w:tcW w:w="384" w:type="pct"/>
            <w:shd w:val="clear" w:color="auto" w:fill="D9D9D9" w:themeFill="background1" w:themeFillShade="D9"/>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3</w:t>
            </w:r>
          </w:p>
        </w:tc>
        <w:tc>
          <w:tcPr>
            <w:tcW w:w="317" w:type="pct"/>
            <w:shd w:val="clear" w:color="auto" w:fill="D9D9D9" w:themeFill="background1" w:themeFillShade="D9"/>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2</w:t>
            </w:r>
          </w:p>
        </w:tc>
        <w:tc>
          <w:tcPr>
            <w:tcW w:w="384" w:type="pct"/>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2</w:t>
            </w:r>
          </w:p>
        </w:tc>
        <w:tc>
          <w:tcPr>
            <w:tcW w:w="325" w:type="pct"/>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0</w:t>
            </w:r>
          </w:p>
        </w:tc>
        <w:tc>
          <w:tcPr>
            <w:tcW w:w="384" w:type="pct"/>
            <w:shd w:val="clear" w:color="auto" w:fill="D9D9D9" w:themeFill="background1" w:themeFillShade="D9"/>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4</w:t>
            </w:r>
          </w:p>
        </w:tc>
        <w:tc>
          <w:tcPr>
            <w:tcW w:w="339" w:type="pct"/>
            <w:shd w:val="clear" w:color="auto" w:fill="D9D9D9" w:themeFill="background1" w:themeFillShade="D9"/>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1</w:t>
            </w:r>
          </w:p>
        </w:tc>
        <w:tc>
          <w:tcPr>
            <w:tcW w:w="384" w:type="pct"/>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11</w:t>
            </w:r>
          </w:p>
        </w:tc>
        <w:tc>
          <w:tcPr>
            <w:tcW w:w="353" w:type="pct"/>
            <w:tcBorders>
              <w:right w:val="double" w:sz="12" w:space="0" w:color="000000"/>
            </w:tcBorders>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1</w:t>
            </w:r>
          </w:p>
        </w:tc>
        <w:tc>
          <w:tcPr>
            <w:tcW w:w="507" w:type="pct"/>
            <w:tcBorders>
              <w:left w:val="double" w:sz="12" w:space="0" w:color="000000"/>
            </w:tcBorders>
            <w:shd w:val="clear" w:color="auto" w:fill="C6D9F1" w:themeFill="text2" w:themeFillTint="33"/>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15</w:t>
            </w:r>
          </w:p>
        </w:tc>
        <w:tc>
          <w:tcPr>
            <w:tcW w:w="486" w:type="pct"/>
            <w:shd w:val="clear" w:color="auto" w:fill="C6D9F1" w:themeFill="text2" w:themeFillTint="33"/>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0</w:t>
            </w:r>
          </w:p>
        </w:tc>
      </w:tr>
      <w:tr w:rsidR="00B23F51" w:rsidRPr="005D4748" w:rsidTr="00401155">
        <w:trPr>
          <w:trHeight w:val="988"/>
        </w:trPr>
        <w:tc>
          <w:tcPr>
            <w:tcW w:w="1136" w:type="pct"/>
          </w:tcPr>
          <w:p w:rsidR="00B23F51" w:rsidRPr="005D4748" w:rsidRDefault="00B23F51" w:rsidP="005D4748">
            <w:pPr>
              <w:rPr>
                <w:rFonts w:ascii="Arial" w:hAnsi="Arial" w:cs="Arial"/>
                <w:b/>
                <w:sz w:val="20"/>
                <w:szCs w:val="20"/>
              </w:rPr>
            </w:pPr>
            <w:r w:rsidRPr="005D4748">
              <w:rPr>
                <w:rFonts w:ascii="Arial" w:hAnsi="Arial" w:cs="Arial"/>
                <w:b/>
                <w:sz w:val="20"/>
                <w:szCs w:val="20"/>
              </w:rPr>
              <w:t>3. International Cooperation and Resources</w:t>
            </w:r>
          </w:p>
        </w:tc>
        <w:tc>
          <w:tcPr>
            <w:tcW w:w="384" w:type="pct"/>
            <w:shd w:val="clear" w:color="auto" w:fill="D9D9D9" w:themeFill="background1" w:themeFillShade="D9"/>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6</w:t>
            </w:r>
          </w:p>
        </w:tc>
        <w:tc>
          <w:tcPr>
            <w:tcW w:w="317" w:type="pct"/>
            <w:shd w:val="clear" w:color="auto" w:fill="D9D9D9" w:themeFill="background1" w:themeFillShade="D9"/>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1</w:t>
            </w:r>
          </w:p>
        </w:tc>
        <w:tc>
          <w:tcPr>
            <w:tcW w:w="384" w:type="pct"/>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7</w:t>
            </w:r>
          </w:p>
        </w:tc>
        <w:tc>
          <w:tcPr>
            <w:tcW w:w="325" w:type="pct"/>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1</w:t>
            </w:r>
          </w:p>
        </w:tc>
        <w:tc>
          <w:tcPr>
            <w:tcW w:w="384" w:type="pct"/>
            <w:shd w:val="clear" w:color="auto" w:fill="D9D9D9" w:themeFill="background1" w:themeFillShade="D9"/>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6</w:t>
            </w:r>
          </w:p>
        </w:tc>
        <w:tc>
          <w:tcPr>
            <w:tcW w:w="339" w:type="pct"/>
            <w:shd w:val="clear" w:color="auto" w:fill="D9D9D9" w:themeFill="background1" w:themeFillShade="D9"/>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3</w:t>
            </w:r>
          </w:p>
        </w:tc>
        <w:tc>
          <w:tcPr>
            <w:tcW w:w="384" w:type="pct"/>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4</w:t>
            </w:r>
          </w:p>
        </w:tc>
        <w:tc>
          <w:tcPr>
            <w:tcW w:w="353" w:type="pct"/>
            <w:tcBorders>
              <w:right w:val="double" w:sz="12" w:space="0" w:color="000000"/>
            </w:tcBorders>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5</w:t>
            </w:r>
          </w:p>
        </w:tc>
        <w:tc>
          <w:tcPr>
            <w:tcW w:w="507" w:type="pct"/>
            <w:tcBorders>
              <w:left w:val="double" w:sz="12" w:space="0" w:color="000000"/>
            </w:tcBorders>
            <w:shd w:val="clear" w:color="auto" w:fill="C6D9F1" w:themeFill="text2" w:themeFillTint="33"/>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8</w:t>
            </w:r>
          </w:p>
        </w:tc>
        <w:tc>
          <w:tcPr>
            <w:tcW w:w="486" w:type="pct"/>
            <w:shd w:val="clear" w:color="auto" w:fill="C6D9F1" w:themeFill="text2" w:themeFillTint="33"/>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1</w:t>
            </w:r>
          </w:p>
        </w:tc>
      </w:tr>
      <w:tr w:rsidR="00B23F51" w:rsidRPr="005D4748" w:rsidTr="00401155">
        <w:trPr>
          <w:trHeight w:val="974"/>
        </w:trPr>
        <w:tc>
          <w:tcPr>
            <w:tcW w:w="1136" w:type="pct"/>
          </w:tcPr>
          <w:p w:rsidR="00B23F51" w:rsidRPr="005D4748" w:rsidRDefault="00B23F51" w:rsidP="005D4748">
            <w:pPr>
              <w:rPr>
                <w:rFonts w:ascii="Arial" w:hAnsi="Arial" w:cs="Arial"/>
                <w:b/>
                <w:sz w:val="20"/>
                <w:szCs w:val="20"/>
              </w:rPr>
            </w:pPr>
            <w:r w:rsidRPr="005D4748">
              <w:rPr>
                <w:rFonts w:ascii="Arial" w:hAnsi="Arial" w:cs="Arial"/>
                <w:b/>
                <w:sz w:val="20"/>
                <w:szCs w:val="20"/>
              </w:rPr>
              <w:t>4. Research, Development and Support</w:t>
            </w:r>
          </w:p>
        </w:tc>
        <w:tc>
          <w:tcPr>
            <w:tcW w:w="384" w:type="pct"/>
            <w:tcBorders>
              <w:bottom w:val="single" w:sz="4" w:space="0" w:color="000000"/>
            </w:tcBorders>
            <w:shd w:val="clear" w:color="auto" w:fill="D9D9D9" w:themeFill="background1" w:themeFillShade="D9"/>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5</w:t>
            </w:r>
          </w:p>
        </w:tc>
        <w:tc>
          <w:tcPr>
            <w:tcW w:w="317" w:type="pct"/>
            <w:tcBorders>
              <w:bottom w:val="single" w:sz="4" w:space="0" w:color="000000"/>
            </w:tcBorders>
            <w:shd w:val="clear" w:color="auto" w:fill="D9D9D9" w:themeFill="background1" w:themeFillShade="D9"/>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3</w:t>
            </w:r>
          </w:p>
        </w:tc>
        <w:tc>
          <w:tcPr>
            <w:tcW w:w="384" w:type="pct"/>
            <w:tcBorders>
              <w:bottom w:val="single" w:sz="4" w:space="0" w:color="auto"/>
            </w:tcBorders>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8</w:t>
            </w:r>
          </w:p>
        </w:tc>
        <w:tc>
          <w:tcPr>
            <w:tcW w:w="325" w:type="pct"/>
            <w:tcBorders>
              <w:bottom w:val="single" w:sz="4" w:space="0" w:color="auto"/>
            </w:tcBorders>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2</w:t>
            </w:r>
          </w:p>
        </w:tc>
        <w:tc>
          <w:tcPr>
            <w:tcW w:w="384" w:type="pct"/>
            <w:tcBorders>
              <w:bottom w:val="single" w:sz="4" w:space="0" w:color="auto"/>
            </w:tcBorders>
            <w:shd w:val="clear" w:color="auto" w:fill="D9D9D9" w:themeFill="background1" w:themeFillShade="D9"/>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6</w:t>
            </w:r>
          </w:p>
        </w:tc>
        <w:tc>
          <w:tcPr>
            <w:tcW w:w="339" w:type="pct"/>
            <w:tcBorders>
              <w:bottom w:val="single" w:sz="4" w:space="0" w:color="auto"/>
            </w:tcBorders>
            <w:shd w:val="clear" w:color="auto" w:fill="D9D9D9" w:themeFill="background1" w:themeFillShade="D9"/>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2</w:t>
            </w:r>
          </w:p>
        </w:tc>
        <w:tc>
          <w:tcPr>
            <w:tcW w:w="384" w:type="pct"/>
            <w:tcBorders>
              <w:bottom w:val="single" w:sz="4" w:space="0" w:color="auto"/>
            </w:tcBorders>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10</w:t>
            </w:r>
          </w:p>
        </w:tc>
        <w:tc>
          <w:tcPr>
            <w:tcW w:w="353" w:type="pct"/>
            <w:tcBorders>
              <w:bottom w:val="single" w:sz="4" w:space="0" w:color="auto"/>
              <w:right w:val="double" w:sz="12" w:space="0" w:color="000000"/>
            </w:tcBorders>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2</w:t>
            </w:r>
          </w:p>
        </w:tc>
        <w:tc>
          <w:tcPr>
            <w:tcW w:w="507" w:type="pct"/>
            <w:tcBorders>
              <w:left w:val="double" w:sz="12" w:space="0" w:color="000000"/>
              <w:bottom w:val="single" w:sz="4" w:space="0" w:color="auto"/>
            </w:tcBorders>
            <w:shd w:val="clear" w:color="auto" w:fill="C6D9F1" w:themeFill="text2" w:themeFillTint="33"/>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11</w:t>
            </w:r>
          </w:p>
        </w:tc>
        <w:tc>
          <w:tcPr>
            <w:tcW w:w="486" w:type="pct"/>
            <w:tcBorders>
              <w:bottom w:val="single" w:sz="4" w:space="0" w:color="auto"/>
            </w:tcBorders>
            <w:shd w:val="clear" w:color="auto" w:fill="C6D9F1" w:themeFill="text2" w:themeFillTint="33"/>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1</w:t>
            </w:r>
          </w:p>
        </w:tc>
      </w:tr>
      <w:tr w:rsidR="00B23F51" w:rsidRPr="005D4748" w:rsidTr="00401155">
        <w:trPr>
          <w:trHeight w:val="987"/>
        </w:trPr>
        <w:tc>
          <w:tcPr>
            <w:tcW w:w="1136" w:type="pct"/>
          </w:tcPr>
          <w:p w:rsidR="00B23F51" w:rsidRPr="005D4748" w:rsidRDefault="00B23F51" w:rsidP="005D4748">
            <w:pPr>
              <w:rPr>
                <w:rFonts w:ascii="Arial" w:hAnsi="Arial" w:cs="Arial"/>
                <w:b/>
                <w:sz w:val="20"/>
                <w:szCs w:val="20"/>
              </w:rPr>
            </w:pPr>
            <w:r w:rsidRPr="005D4748">
              <w:rPr>
                <w:rFonts w:ascii="Arial" w:hAnsi="Arial" w:cs="Arial"/>
                <w:b/>
                <w:sz w:val="20"/>
                <w:szCs w:val="20"/>
              </w:rPr>
              <w:t>5. Socio-economic Innovation Partnerships</w:t>
            </w:r>
          </w:p>
        </w:tc>
        <w:tc>
          <w:tcPr>
            <w:tcW w:w="384" w:type="pct"/>
            <w:tcBorders>
              <w:bottom w:val="single" w:sz="4" w:space="0" w:color="auto"/>
            </w:tcBorders>
            <w:shd w:val="clear" w:color="auto" w:fill="D9D9D9" w:themeFill="background1" w:themeFillShade="D9"/>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6</w:t>
            </w:r>
          </w:p>
        </w:tc>
        <w:tc>
          <w:tcPr>
            <w:tcW w:w="317" w:type="pct"/>
            <w:tcBorders>
              <w:bottom w:val="single" w:sz="4" w:space="0" w:color="auto"/>
            </w:tcBorders>
            <w:shd w:val="clear" w:color="auto" w:fill="D9D9D9" w:themeFill="background1" w:themeFillShade="D9"/>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2</w:t>
            </w:r>
          </w:p>
        </w:tc>
        <w:tc>
          <w:tcPr>
            <w:tcW w:w="384" w:type="pct"/>
            <w:tcBorders>
              <w:bottom w:val="single" w:sz="4" w:space="0" w:color="auto"/>
            </w:tcBorders>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5</w:t>
            </w:r>
          </w:p>
        </w:tc>
        <w:tc>
          <w:tcPr>
            <w:tcW w:w="325" w:type="pct"/>
            <w:tcBorders>
              <w:bottom w:val="single" w:sz="4" w:space="0" w:color="auto"/>
            </w:tcBorders>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2</w:t>
            </w:r>
          </w:p>
        </w:tc>
        <w:tc>
          <w:tcPr>
            <w:tcW w:w="384" w:type="pct"/>
            <w:tcBorders>
              <w:bottom w:val="single" w:sz="4" w:space="0" w:color="auto"/>
            </w:tcBorders>
            <w:shd w:val="clear" w:color="auto" w:fill="D9D9D9" w:themeFill="background1" w:themeFillShade="D9"/>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4</w:t>
            </w:r>
          </w:p>
        </w:tc>
        <w:tc>
          <w:tcPr>
            <w:tcW w:w="339" w:type="pct"/>
            <w:tcBorders>
              <w:bottom w:val="single" w:sz="4" w:space="0" w:color="auto"/>
            </w:tcBorders>
            <w:shd w:val="clear" w:color="auto" w:fill="D9D9D9" w:themeFill="background1" w:themeFillShade="D9"/>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3</w:t>
            </w:r>
          </w:p>
        </w:tc>
        <w:tc>
          <w:tcPr>
            <w:tcW w:w="384" w:type="pct"/>
            <w:tcBorders>
              <w:bottom w:val="single" w:sz="4" w:space="0" w:color="auto"/>
            </w:tcBorders>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6</w:t>
            </w:r>
          </w:p>
        </w:tc>
        <w:tc>
          <w:tcPr>
            <w:tcW w:w="353" w:type="pct"/>
            <w:tcBorders>
              <w:bottom w:val="single" w:sz="4" w:space="0" w:color="auto"/>
              <w:right w:val="double" w:sz="12" w:space="0" w:color="000000"/>
            </w:tcBorders>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3</w:t>
            </w:r>
          </w:p>
        </w:tc>
        <w:tc>
          <w:tcPr>
            <w:tcW w:w="507" w:type="pct"/>
            <w:tcBorders>
              <w:top w:val="single" w:sz="4" w:space="0" w:color="auto"/>
              <w:left w:val="double" w:sz="12" w:space="0" w:color="000000"/>
              <w:bottom w:val="single" w:sz="4" w:space="0" w:color="auto"/>
            </w:tcBorders>
            <w:shd w:val="clear" w:color="auto" w:fill="C6D9F1" w:themeFill="text2" w:themeFillTint="33"/>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8</w:t>
            </w:r>
          </w:p>
        </w:tc>
        <w:tc>
          <w:tcPr>
            <w:tcW w:w="486" w:type="pct"/>
            <w:tcBorders>
              <w:top w:val="single" w:sz="4" w:space="0" w:color="auto"/>
              <w:bottom w:val="single" w:sz="4" w:space="0" w:color="auto"/>
            </w:tcBorders>
            <w:shd w:val="clear" w:color="auto" w:fill="C6D9F1" w:themeFill="text2" w:themeFillTint="33"/>
            <w:vAlign w:val="center"/>
          </w:tcPr>
          <w:p w:rsidR="00B23F51" w:rsidRPr="005D4748" w:rsidRDefault="00B23F51" w:rsidP="005D4748">
            <w:pPr>
              <w:rPr>
                <w:rFonts w:ascii="Arial" w:hAnsi="Arial" w:cs="Arial"/>
                <w:sz w:val="20"/>
                <w:szCs w:val="20"/>
              </w:rPr>
            </w:pPr>
            <w:r w:rsidRPr="005D4748">
              <w:rPr>
                <w:rFonts w:ascii="Arial" w:hAnsi="Arial" w:cs="Arial"/>
                <w:sz w:val="20"/>
                <w:szCs w:val="20"/>
              </w:rPr>
              <w:t>2</w:t>
            </w:r>
          </w:p>
        </w:tc>
      </w:tr>
      <w:tr w:rsidR="00B23F51" w:rsidRPr="005D4748" w:rsidTr="00401155">
        <w:trPr>
          <w:trHeight w:val="704"/>
        </w:trPr>
        <w:tc>
          <w:tcPr>
            <w:tcW w:w="1136" w:type="pct"/>
            <w:vAlign w:val="center"/>
          </w:tcPr>
          <w:p w:rsidR="00B23F51" w:rsidRPr="005D4748" w:rsidRDefault="00B23F51" w:rsidP="005D4748">
            <w:pPr>
              <w:rPr>
                <w:rFonts w:ascii="Arial" w:hAnsi="Arial" w:cs="Arial"/>
                <w:b/>
                <w:sz w:val="20"/>
                <w:szCs w:val="20"/>
              </w:rPr>
            </w:pPr>
            <w:r w:rsidRPr="005D4748">
              <w:rPr>
                <w:rFonts w:ascii="Arial" w:hAnsi="Arial" w:cs="Arial"/>
                <w:b/>
                <w:sz w:val="20"/>
                <w:szCs w:val="20"/>
              </w:rPr>
              <w:t>Total achieved and not achieved</w:t>
            </w:r>
          </w:p>
        </w:tc>
        <w:tc>
          <w:tcPr>
            <w:tcW w:w="384" w:type="pct"/>
            <w:shd w:val="clear" w:color="auto" w:fill="D9D9D9" w:themeFill="background1" w:themeFillShade="D9"/>
            <w:vAlign w:val="center"/>
          </w:tcPr>
          <w:p w:rsidR="00B23F51" w:rsidRPr="005D4748" w:rsidRDefault="00B23F51" w:rsidP="005D4748">
            <w:pPr>
              <w:rPr>
                <w:rFonts w:ascii="Arial" w:hAnsi="Arial" w:cs="Arial"/>
                <w:b/>
                <w:sz w:val="20"/>
                <w:szCs w:val="20"/>
              </w:rPr>
            </w:pPr>
            <w:r w:rsidRPr="005D4748">
              <w:rPr>
                <w:rFonts w:ascii="Arial" w:hAnsi="Arial" w:cs="Arial"/>
                <w:b/>
                <w:sz w:val="20"/>
                <w:szCs w:val="20"/>
              </w:rPr>
              <w:t>22</w:t>
            </w:r>
          </w:p>
          <w:p w:rsidR="00B23F51" w:rsidRPr="005D4748" w:rsidRDefault="00B23F51" w:rsidP="005D4748">
            <w:pPr>
              <w:rPr>
                <w:rFonts w:ascii="Arial" w:hAnsi="Arial" w:cs="Arial"/>
                <w:b/>
                <w:sz w:val="20"/>
                <w:szCs w:val="20"/>
              </w:rPr>
            </w:pPr>
            <w:r w:rsidRPr="005D4748">
              <w:rPr>
                <w:rFonts w:ascii="Arial" w:hAnsi="Arial" w:cs="Arial"/>
                <w:b/>
                <w:sz w:val="20"/>
                <w:szCs w:val="20"/>
              </w:rPr>
              <w:t>(73%)</w:t>
            </w:r>
          </w:p>
        </w:tc>
        <w:tc>
          <w:tcPr>
            <w:tcW w:w="317" w:type="pct"/>
            <w:shd w:val="clear" w:color="auto" w:fill="D9D9D9" w:themeFill="background1" w:themeFillShade="D9"/>
            <w:vAlign w:val="center"/>
          </w:tcPr>
          <w:p w:rsidR="00B23F51" w:rsidRPr="005D4748" w:rsidRDefault="00B23F51" w:rsidP="005D4748">
            <w:pPr>
              <w:rPr>
                <w:rFonts w:ascii="Arial" w:hAnsi="Arial" w:cs="Arial"/>
                <w:b/>
                <w:sz w:val="20"/>
                <w:szCs w:val="20"/>
              </w:rPr>
            </w:pPr>
            <w:r w:rsidRPr="005D4748">
              <w:rPr>
                <w:rFonts w:ascii="Arial" w:hAnsi="Arial" w:cs="Arial"/>
                <w:b/>
                <w:sz w:val="20"/>
                <w:szCs w:val="20"/>
              </w:rPr>
              <w:t>8</w:t>
            </w:r>
          </w:p>
        </w:tc>
        <w:tc>
          <w:tcPr>
            <w:tcW w:w="384" w:type="pct"/>
            <w:vAlign w:val="center"/>
          </w:tcPr>
          <w:p w:rsidR="00B23F51" w:rsidRPr="005D4748" w:rsidRDefault="00B23F51" w:rsidP="005D4748">
            <w:pPr>
              <w:rPr>
                <w:rFonts w:ascii="Arial" w:hAnsi="Arial" w:cs="Arial"/>
                <w:b/>
                <w:sz w:val="20"/>
                <w:szCs w:val="20"/>
              </w:rPr>
            </w:pPr>
            <w:r w:rsidRPr="005D4748">
              <w:rPr>
                <w:rFonts w:ascii="Arial" w:hAnsi="Arial" w:cs="Arial"/>
                <w:b/>
                <w:sz w:val="20"/>
                <w:szCs w:val="20"/>
              </w:rPr>
              <w:t>25</w:t>
            </w:r>
          </w:p>
          <w:p w:rsidR="00B23F51" w:rsidRPr="005D4748" w:rsidRDefault="00B23F51" w:rsidP="005D4748">
            <w:pPr>
              <w:rPr>
                <w:rFonts w:ascii="Arial" w:hAnsi="Arial" w:cs="Arial"/>
                <w:b/>
                <w:sz w:val="20"/>
                <w:szCs w:val="20"/>
              </w:rPr>
            </w:pPr>
            <w:r w:rsidRPr="005D4748">
              <w:rPr>
                <w:rFonts w:ascii="Arial" w:hAnsi="Arial" w:cs="Arial"/>
                <w:b/>
                <w:sz w:val="20"/>
                <w:szCs w:val="20"/>
              </w:rPr>
              <w:t>(81%)</w:t>
            </w:r>
          </w:p>
        </w:tc>
        <w:tc>
          <w:tcPr>
            <w:tcW w:w="325" w:type="pct"/>
            <w:vAlign w:val="center"/>
          </w:tcPr>
          <w:p w:rsidR="00B23F51" w:rsidRPr="005D4748" w:rsidRDefault="00B23F51" w:rsidP="005D4748">
            <w:pPr>
              <w:rPr>
                <w:rFonts w:ascii="Arial" w:hAnsi="Arial" w:cs="Arial"/>
                <w:b/>
                <w:sz w:val="20"/>
                <w:szCs w:val="20"/>
              </w:rPr>
            </w:pPr>
            <w:r w:rsidRPr="005D4748">
              <w:rPr>
                <w:rFonts w:ascii="Arial" w:hAnsi="Arial" w:cs="Arial"/>
                <w:b/>
                <w:sz w:val="20"/>
                <w:szCs w:val="20"/>
              </w:rPr>
              <w:t>6</w:t>
            </w:r>
          </w:p>
        </w:tc>
        <w:tc>
          <w:tcPr>
            <w:tcW w:w="384" w:type="pct"/>
            <w:shd w:val="clear" w:color="auto" w:fill="D9D9D9" w:themeFill="background1" w:themeFillShade="D9"/>
            <w:vAlign w:val="center"/>
          </w:tcPr>
          <w:p w:rsidR="00B23F51" w:rsidRPr="005D4748" w:rsidRDefault="00B23F51" w:rsidP="005D4748">
            <w:pPr>
              <w:rPr>
                <w:rFonts w:ascii="Arial" w:hAnsi="Arial" w:cs="Arial"/>
                <w:b/>
                <w:sz w:val="20"/>
                <w:szCs w:val="20"/>
              </w:rPr>
            </w:pPr>
            <w:r w:rsidRPr="005D4748">
              <w:rPr>
                <w:rFonts w:ascii="Arial" w:hAnsi="Arial" w:cs="Arial"/>
                <w:b/>
                <w:sz w:val="20"/>
                <w:szCs w:val="20"/>
              </w:rPr>
              <w:t>22</w:t>
            </w:r>
          </w:p>
          <w:p w:rsidR="00B23F51" w:rsidRPr="005D4748" w:rsidRDefault="00B23F51" w:rsidP="005D4748">
            <w:pPr>
              <w:rPr>
                <w:rFonts w:ascii="Arial" w:hAnsi="Arial" w:cs="Arial"/>
                <w:b/>
                <w:sz w:val="20"/>
                <w:szCs w:val="20"/>
              </w:rPr>
            </w:pPr>
            <w:r w:rsidRPr="005D4748">
              <w:rPr>
                <w:rFonts w:ascii="Arial" w:hAnsi="Arial" w:cs="Arial"/>
                <w:b/>
                <w:sz w:val="20"/>
                <w:szCs w:val="20"/>
              </w:rPr>
              <w:t>(69%)</w:t>
            </w:r>
          </w:p>
        </w:tc>
        <w:tc>
          <w:tcPr>
            <w:tcW w:w="339" w:type="pct"/>
            <w:shd w:val="clear" w:color="auto" w:fill="D9D9D9" w:themeFill="background1" w:themeFillShade="D9"/>
            <w:vAlign w:val="center"/>
          </w:tcPr>
          <w:p w:rsidR="00B23F51" w:rsidRPr="005D4748" w:rsidRDefault="00B23F51" w:rsidP="005D4748">
            <w:pPr>
              <w:rPr>
                <w:rFonts w:ascii="Arial" w:hAnsi="Arial" w:cs="Arial"/>
                <w:b/>
                <w:sz w:val="20"/>
                <w:szCs w:val="20"/>
              </w:rPr>
            </w:pPr>
            <w:r w:rsidRPr="005D4748">
              <w:rPr>
                <w:rFonts w:ascii="Arial" w:hAnsi="Arial" w:cs="Arial"/>
                <w:b/>
                <w:sz w:val="20"/>
                <w:szCs w:val="20"/>
              </w:rPr>
              <w:t>10</w:t>
            </w:r>
          </w:p>
        </w:tc>
        <w:tc>
          <w:tcPr>
            <w:tcW w:w="384" w:type="pct"/>
            <w:vAlign w:val="center"/>
          </w:tcPr>
          <w:p w:rsidR="00B23F51" w:rsidRPr="005D4748" w:rsidRDefault="00B23F51" w:rsidP="005D4748">
            <w:pPr>
              <w:rPr>
                <w:rFonts w:ascii="Arial" w:hAnsi="Arial" w:cs="Arial"/>
                <w:b/>
                <w:sz w:val="20"/>
                <w:szCs w:val="20"/>
              </w:rPr>
            </w:pPr>
            <w:r w:rsidRPr="005D4748">
              <w:rPr>
                <w:rFonts w:ascii="Arial" w:hAnsi="Arial" w:cs="Arial"/>
                <w:b/>
                <w:sz w:val="20"/>
                <w:szCs w:val="20"/>
              </w:rPr>
              <w:t>35</w:t>
            </w:r>
          </w:p>
          <w:p w:rsidR="00B23F51" w:rsidRPr="005D4748" w:rsidRDefault="00B23F51" w:rsidP="005D4748">
            <w:pPr>
              <w:rPr>
                <w:rFonts w:ascii="Arial" w:hAnsi="Arial" w:cs="Arial"/>
                <w:b/>
                <w:sz w:val="20"/>
                <w:szCs w:val="20"/>
              </w:rPr>
            </w:pPr>
            <w:r w:rsidRPr="005D4748">
              <w:rPr>
                <w:rFonts w:ascii="Arial" w:hAnsi="Arial" w:cs="Arial"/>
                <w:b/>
                <w:sz w:val="20"/>
                <w:szCs w:val="20"/>
              </w:rPr>
              <w:t>(74%)</w:t>
            </w:r>
          </w:p>
        </w:tc>
        <w:tc>
          <w:tcPr>
            <w:tcW w:w="353" w:type="pct"/>
            <w:tcBorders>
              <w:right w:val="double" w:sz="12" w:space="0" w:color="000000"/>
            </w:tcBorders>
            <w:vAlign w:val="center"/>
          </w:tcPr>
          <w:p w:rsidR="00B23F51" w:rsidRPr="005D4748" w:rsidRDefault="00B23F51" w:rsidP="005D4748">
            <w:pPr>
              <w:rPr>
                <w:rFonts w:ascii="Arial" w:hAnsi="Arial" w:cs="Arial"/>
                <w:b/>
                <w:sz w:val="20"/>
                <w:szCs w:val="20"/>
              </w:rPr>
            </w:pPr>
            <w:r w:rsidRPr="005D4748">
              <w:rPr>
                <w:rFonts w:ascii="Arial" w:hAnsi="Arial" w:cs="Arial"/>
                <w:b/>
                <w:sz w:val="20"/>
                <w:szCs w:val="20"/>
              </w:rPr>
              <w:t>12</w:t>
            </w:r>
          </w:p>
        </w:tc>
        <w:tc>
          <w:tcPr>
            <w:tcW w:w="507" w:type="pct"/>
            <w:tcBorders>
              <w:top w:val="single" w:sz="4" w:space="0" w:color="auto"/>
              <w:left w:val="double" w:sz="12" w:space="0" w:color="000000"/>
              <w:bottom w:val="single" w:sz="4" w:space="0" w:color="auto"/>
            </w:tcBorders>
            <w:shd w:val="clear" w:color="auto" w:fill="C6D9F1" w:themeFill="text2" w:themeFillTint="33"/>
            <w:vAlign w:val="center"/>
          </w:tcPr>
          <w:p w:rsidR="00B23F51" w:rsidRPr="005D4748" w:rsidRDefault="00B23F51" w:rsidP="005D4748">
            <w:pPr>
              <w:rPr>
                <w:rFonts w:ascii="Arial" w:hAnsi="Arial" w:cs="Arial"/>
                <w:b/>
                <w:sz w:val="20"/>
                <w:szCs w:val="20"/>
              </w:rPr>
            </w:pPr>
            <w:r w:rsidRPr="005D4748">
              <w:rPr>
                <w:rFonts w:ascii="Arial" w:hAnsi="Arial" w:cs="Arial"/>
                <w:b/>
                <w:sz w:val="20"/>
                <w:szCs w:val="20"/>
              </w:rPr>
              <w:t>48</w:t>
            </w:r>
          </w:p>
          <w:p w:rsidR="00B23F51" w:rsidRPr="005D4748" w:rsidRDefault="00B23F51" w:rsidP="005D4748">
            <w:pPr>
              <w:rPr>
                <w:rFonts w:ascii="Arial" w:hAnsi="Arial" w:cs="Arial"/>
                <w:b/>
                <w:sz w:val="20"/>
                <w:szCs w:val="20"/>
              </w:rPr>
            </w:pPr>
            <w:r w:rsidRPr="005D4748">
              <w:rPr>
                <w:rFonts w:ascii="Arial" w:hAnsi="Arial" w:cs="Arial"/>
                <w:b/>
                <w:sz w:val="20"/>
                <w:szCs w:val="20"/>
              </w:rPr>
              <w:t>(92%)</w:t>
            </w:r>
          </w:p>
        </w:tc>
        <w:tc>
          <w:tcPr>
            <w:tcW w:w="486" w:type="pct"/>
            <w:tcBorders>
              <w:top w:val="single" w:sz="4" w:space="0" w:color="auto"/>
              <w:bottom w:val="single" w:sz="4" w:space="0" w:color="auto"/>
            </w:tcBorders>
            <w:shd w:val="clear" w:color="auto" w:fill="C6D9F1" w:themeFill="text2" w:themeFillTint="33"/>
            <w:vAlign w:val="center"/>
          </w:tcPr>
          <w:p w:rsidR="00B23F51" w:rsidRPr="005D4748" w:rsidRDefault="00B23F51" w:rsidP="005D4748">
            <w:pPr>
              <w:rPr>
                <w:rFonts w:ascii="Arial" w:hAnsi="Arial" w:cs="Arial"/>
                <w:b/>
                <w:sz w:val="20"/>
                <w:szCs w:val="20"/>
              </w:rPr>
            </w:pPr>
            <w:r w:rsidRPr="005D4748">
              <w:rPr>
                <w:rFonts w:ascii="Arial" w:hAnsi="Arial" w:cs="Arial"/>
                <w:b/>
                <w:sz w:val="20"/>
                <w:szCs w:val="20"/>
              </w:rPr>
              <w:t>4</w:t>
            </w:r>
          </w:p>
        </w:tc>
      </w:tr>
      <w:tr w:rsidR="00B23F51" w:rsidRPr="005D4748" w:rsidTr="00401155">
        <w:trPr>
          <w:trHeight w:val="558"/>
        </w:trPr>
        <w:tc>
          <w:tcPr>
            <w:tcW w:w="1136" w:type="pct"/>
            <w:tcBorders>
              <w:bottom w:val="single" w:sz="4" w:space="0" w:color="auto"/>
            </w:tcBorders>
            <w:vAlign w:val="center"/>
          </w:tcPr>
          <w:p w:rsidR="00B23F51" w:rsidRPr="005D4748" w:rsidRDefault="00B23F51" w:rsidP="005D4748">
            <w:pPr>
              <w:rPr>
                <w:rFonts w:ascii="Arial" w:hAnsi="Arial" w:cs="Arial"/>
                <w:b/>
                <w:sz w:val="20"/>
                <w:szCs w:val="20"/>
              </w:rPr>
            </w:pPr>
            <w:r w:rsidRPr="005D4748">
              <w:rPr>
                <w:rFonts w:ascii="Arial" w:hAnsi="Arial" w:cs="Arial"/>
                <w:b/>
                <w:sz w:val="20"/>
                <w:szCs w:val="20"/>
              </w:rPr>
              <w:t>Total performance targets</w:t>
            </w:r>
          </w:p>
        </w:tc>
        <w:tc>
          <w:tcPr>
            <w:tcW w:w="701" w:type="pct"/>
            <w:gridSpan w:val="2"/>
            <w:tcBorders>
              <w:bottom w:val="single" w:sz="4" w:space="0" w:color="auto"/>
            </w:tcBorders>
            <w:shd w:val="clear" w:color="auto" w:fill="D9D9D9" w:themeFill="background1" w:themeFillShade="D9"/>
            <w:vAlign w:val="center"/>
          </w:tcPr>
          <w:p w:rsidR="00B23F51" w:rsidRPr="005D4748" w:rsidRDefault="00B23F51" w:rsidP="005D4748">
            <w:pPr>
              <w:rPr>
                <w:rFonts w:ascii="Arial" w:hAnsi="Arial" w:cs="Arial"/>
                <w:b/>
                <w:sz w:val="20"/>
                <w:szCs w:val="20"/>
              </w:rPr>
            </w:pPr>
            <w:r w:rsidRPr="005D4748">
              <w:rPr>
                <w:rFonts w:ascii="Arial" w:hAnsi="Arial" w:cs="Arial"/>
                <w:b/>
                <w:sz w:val="20"/>
                <w:szCs w:val="20"/>
              </w:rPr>
              <w:t>30</w:t>
            </w:r>
          </w:p>
        </w:tc>
        <w:tc>
          <w:tcPr>
            <w:tcW w:w="710" w:type="pct"/>
            <w:gridSpan w:val="2"/>
            <w:tcBorders>
              <w:bottom w:val="single" w:sz="4" w:space="0" w:color="auto"/>
            </w:tcBorders>
            <w:vAlign w:val="center"/>
          </w:tcPr>
          <w:p w:rsidR="00B23F51" w:rsidRPr="005D4748" w:rsidRDefault="00B23F51" w:rsidP="005D4748">
            <w:pPr>
              <w:rPr>
                <w:rFonts w:ascii="Arial" w:hAnsi="Arial" w:cs="Arial"/>
                <w:b/>
                <w:sz w:val="20"/>
                <w:szCs w:val="20"/>
              </w:rPr>
            </w:pPr>
            <w:r w:rsidRPr="005D4748">
              <w:rPr>
                <w:rFonts w:ascii="Arial" w:hAnsi="Arial" w:cs="Arial"/>
                <w:b/>
                <w:sz w:val="20"/>
                <w:szCs w:val="20"/>
              </w:rPr>
              <w:t>31</w:t>
            </w:r>
          </w:p>
        </w:tc>
        <w:tc>
          <w:tcPr>
            <w:tcW w:w="723" w:type="pct"/>
            <w:gridSpan w:val="2"/>
            <w:tcBorders>
              <w:bottom w:val="single" w:sz="4" w:space="0" w:color="auto"/>
            </w:tcBorders>
            <w:shd w:val="clear" w:color="auto" w:fill="D9D9D9" w:themeFill="background1" w:themeFillShade="D9"/>
            <w:vAlign w:val="center"/>
          </w:tcPr>
          <w:p w:rsidR="00B23F51" w:rsidRPr="005D4748" w:rsidRDefault="00B23F51" w:rsidP="005D4748">
            <w:pPr>
              <w:rPr>
                <w:rFonts w:ascii="Arial" w:hAnsi="Arial" w:cs="Arial"/>
                <w:b/>
                <w:sz w:val="20"/>
                <w:szCs w:val="20"/>
              </w:rPr>
            </w:pPr>
            <w:r w:rsidRPr="005D4748">
              <w:rPr>
                <w:rFonts w:ascii="Arial" w:hAnsi="Arial" w:cs="Arial"/>
                <w:b/>
                <w:sz w:val="20"/>
                <w:szCs w:val="20"/>
              </w:rPr>
              <w:t>32</w:t>
            </w:r>
          </w:p>
        </w:tc>
        <w:tc>
          <w:tcPr>
            <w:tcW w:w="737" w:type="pct"/>
            <w:gridSpan w:val="2"/>
            <w:tcBorders>
              <w:bottom w:val="single" w:sz="4" w:space="0" w:color="auto"/>
              <w:right w:val="double" w:sz="12" w:space="0" w:color="000000"/>
            </w:tcBorders>
            <w:vAlign w:val="center"/>
          </w:tcPr>
          <w:p w:rsidR="00B23F51" w:rsidRPr="005D4748" w:rsidRDefault="00B23F51" w:rsidP="005D4748">
            <w:pPr>
              <w:rPr>
                <w:rFonts w:ascii="Arial" w:hAnsi="Arial" w:cs="Arial"/>
                <w:b/>
                <w:sz w:val="20"/>
                <w:szCs w:val="20"/>
              </w:rPr>
            </w:pPr>
            <w:r w:rsidRPr="005D4748">
              <w:rPr>
                <w:rFonts w:ascii="Arial" w:hAnsi="Arial" w:cs="Arial"/>
                <w:b/>
                <w:sz w:val="20"/>
                <w:szCs w:val="20"/>
              </w:rPr>
              <w:t>47</w:t>
            </w:r>
          </w:p>
        </w:tc>
        <w:tc>
          <w:tcPr>
            <w:tcW w:w="993" w:type="pct"/>
            <w:gridSpan w:val="2"/>
            <w:tcBorders>
              <w:top w:val="single" w:sz="4" w:space="0" w:color="auto"/>
              <w:left w:val="double" w:sz="12" w:space="0" w:color="000000"/>
              <w:bottom w:val="single" w:sz="4" w:space="0" w:color="auto"/>
            </w:tcBorders>
            <w:shd w:val="clear" w:color="auto" w:fill="C6D9F1" w:themeFill="text2" w:themeFillTint="33"/>
            <w:vAlign w:val="center"/>
          </w:tcPr>
          <w:p w:rsidR="00B23F51" w:rsidRPr="005D4748" w:rsidRDefault="00B23F51" w:rsidP="005D4748">
            <w:pPr>
              <w:rPr>
                <w:rFonts w:ascii="Arial" w:hAnsi="Arial" w:cs="Arial"/>
                <w:b/>
                <w:sz w:val="20"/>
                <w:szCs w:val="20"/>
              </w:rPr>
            </w:pPr>
            <w:r w:rsidRPr="005D4748">
              <w:rPr>
                <w:rFonts w:ascii="Arial" w:hAnsi="Arial" w:cs="Arial"/>
                <w:b/>
                <w:sz w:val="20"/>
                <w:szCs w:val="20"/>
              </w:rPr>
              <w:t>52</w:t>
            </w:r>
          </w:p>
        </w:tc>
      </w:tr>
    </w:tbl>
    <w:p w:rsidR="00563016" w:rsidRPr="005D4748" w:rsidRDefault="00563016" w:rsidP="005D4748">
      <w:pPr>
        <w:spacing w:after="0" w:line="240" w:lineRule="auto"/>
        <w:rPr>
          <w:rFonts w:ascii="Arial" w:hAnsi="Arial" w:cs="Arial"/>
          <w:sz w:val="20"/>
          <w:szCs w:val="20"/>
        </w:rPr>
      </w:pPr>
      <w:r w:rsidRPr="005D4748">
        <w:rPr>
          <w:rFonts w:ascii="Arial" w:hAnsi="Arial" w:cs="Arial"/>
          <w:b/>
          <w:sz w:val="20"/>
          <w:szCs w:val="20"/>
        </w:rPr>
        <w:sym w:font="Wingdings" w:char="F0FC"/>
      </w:r>
      <w:r w:rsidRPr="005D4748">
        <w:rPr>
          <w:rFonts w:ascii="Arial" w:hAnsi="Arial" w:cs="Arial"/>
          <w:sz w:val="20"/>
          <w:szCs w:val="20"/>
        </w:rPr>
        <w:t xml:space="preserve"> Achieved</w:t>
      </w:r>
    </w:p>
    <w:p w:rsidR="00563016" w:rsidRPr="005D4748" w:rsidRDefault="00563016" w:rsidP="005D4748">
      <w:pPr>
        <w:spacing w:after="0" w:line="240" w:lineRule="auto"/>
        <w:rPr>
          <w:rFonts w:ascii="Arial" w:hAnsi="Arial" w:cs="Arial"/>
          <w:sz w:val="20"/>
          <w:szCs w:val="20"/>
        </w:rPr>
      </w:pPr>
      <w:r w:rsidRPr="005D4748">
        <w:rPr>
          <w:rFonts w:ascii="Arial" w:hAnsi="Arial" w:cs="Arial"/>
          <w:b/>
          <w:sz w:val="20"/>
          <w:szCs w:val="20"/>
        </w:rPr>
        <w:sym w:font="Wingdings 2" w:char="F0D3"/>
      </w:r>
      <w:r w:rsidRPr="005D4748">
        <w:rPr>
          <w:rFonts w:ascii="Arial" w:hAnsi="Arial" w:cs="Arial"/>
          <w:b/>
          <w:sz w:val="20"/>
          <w:szCs w:val="20"/>
        </w:rPr>
        <w:t xml:space="preserve"> </w:t>
      </w:r>
      <w:r w:rsidRPr="005D4748">
        <w:rPr>
          <w:rFonts w:ascii="Arial" w:hAnsi="Arial" w:cs="Arial"/>
          <w:sz w:val="20"/>
          <w:szCs w:val="20"/>
        </w:rPr>
        <w:t>Not achieved</w:t>
      </w:r>
    </w:p>
    <w:p w:rsidR="00563016" w:rsidRPr="005D4748" w:rsidRDefault="00563016" w:rsidP="005D4748">
      <w:pPr>
        <w:spacing w:after="0" w:line="240" w:lineRule="auto"/>
        <w:rPr>
          <w:rFonts w:ascii="Arial" w:hAnsi="Arial" w:cs="Arial"/>
          <w:sz w:val="20"/>
          <w:szCs w:val="20"/>
          <w:lang w:val="en-GB"/>
        </w:rPr>
      </w:pPr>
    </w:p>
    <w:p w:rsidR="00207E9E" w:rsidRPr="005D4748" w:rsidRDefault="00207E9E" w:rsidP="005D4748">
      <w:pPr>
        <w:spacing w:after="0" w:line="240" w:lineRule="auto"/>
        <w:rPr>
          <w:rFonts w:ascii="Arial" w:hAnsi="Arial" w:cs="Arial"/>
          <w:sz w:val="20"/>
          <w:szCs w:val="20"/>
          <w:lang w:val="en-GB"/>
        </w:rPr>
      </w:pPr>
      <w:r w:rsidRPr="005D4748">
        <w:rPr>
          <w:rFonts w:ascii="Arial" w:hAnsi="Arial" w:cs="Arial"/>
          <w:sz w:val="20"/>
          <w:szCs w:val="20"/>
          <w:lang w:val="en-GB"/>
        </w:rPr>
        <w:t>For 2021/22, the Department achieved an overall performance of 92% (83% in 2020/21</w:t>
      </w:r>
      <w:r w:rsidRPr="005D4748">
        <w:rPr>
          <w:rStyle w:val="FootnoteReference"/>
          <w:rFonts w:ascii="Arial" w:hAnsi="Arial" w:cs="Arial"/>
          <w:sz w:val="20"/>
          <w:szCs w:val="20"/>
        </w:rPr>
        <w:footnoteReference w:id="1"/>
      </w:r>
      <w:r w:rsidRPr="005D4748">
        <w:rPr>
          <w:rFonts w:ascii="Arial" w:hAnsi="Arial" w:cs="Arial"/>
          <w:sz w:val="20"/>
          <w:szCs w:val="20"/>
          <w:lang w:val="en-GB"/>
        </w:rPr>
        <w:t xml:space="preserve"> and 87% in 2019/20), achieving 48 of its 52 performance targets (Table 2). During the Committee’s assessment of the Department’s quarterly performance, attention was drawn to the negative trajectory in performance between the second and third quarters. Although the decline was mostly ascribed to factors that were outside the Department’s span of control, the Committee nonetheless cautioned that due attention be given to ensure that the issues do not reoccur.</w:t>
      </w:r>
    </w:p>
    <w:p w:rsidR="00207E9E" w:rsidRPr="005D4748" w:rsidRDefault="00207E9E" w:rsidP="005D4748">
      <w:pPr>
        <w:spacing w:after="0" w:line="240" w:lineRule="auto"/>
        <w:rPr>
          <w:rFonts w:ascii="Arial" w:hAnsi="Arial" w:cs="Arial"/>
          <w:sz w:val="20"/>
          <w:szCs w:val="20"/>
          <w:lang w:val="en-GB"/>
        </w:rPr>
      </w:pPr>
    </w:p>
    <w:p w:rsidR="00207E9E" w:rsidRPr="005D4748" w:rsidRDefault="00207E9E" w:rsidP="005D4748">
      <w:pPr>
        <w:spacing w:after="0" w:line="240" w:lineRule="auto"/>
        <w:rPr>
          <w:rFonts w:ascii="Arial" w:hAnsi="Arial" w:cs="Arial"/>
          <w:sz w:val="20"/>
          <w:szCs w:val="20"/>
          <w:lang w:val="en-GB"/>
        </w:rPr>
      </w:pPr>
      <w:r w:rsidRPr="005D4748">
        <w:rPr>
          <w:rFonts w:ascii="Arial" w:hAnsi="Arial" w:cs="Arial"/>
          <w:sz w:val="20"/>
          <w:szCs w:val="20"/>
          <w:lang w:val="en-GB"/>
        </w:rPr>
        <w:t xml:space="preserve">In relation to overall performance for 2021/22, the four targets that were not achieved are shown in Table 3. Two of the performance targets, </w:t>
      </w:r>
      <w:r w:rsidR="00037D74" w:rsidRPr="005D4748">
        <w:rPr>
          <w:rFonts w:ascii="Arial" w:hAnsi="Arial" w:cs="Arial"/>
          <w:sz w:val="20"/>
          <w:szCs w:val="20"/>
          <w:lang w:val="en-GB"/>
        </w:rPr>
        <w:t>namely</w:t>
      </w:r>
      <w:r w:rsidRPr="005D4748">
        <w:rPr>
          <w:rFonts w:ascii="Arial" w:hAnsi="Arial" w:cs="Arial"/>
          <w:sz w:val="20"/>
          <w:szCs w:val="20"/>
          <w:lang w:val="en-GB"/>
        </w:rPr>
        <w:t xml:space="preserve"> </w:t>
      </w:r>
      <w:r w:rsidR="00037D74" w:rsidRPr="005D4748">
        <w:rPr>
          <w:rFonts w:ascii="Arial" w:hAnsi="Arial" w:cs="Arial"/>
          <w:sz w:val="20"/>
          <w:szCs w:val="20"/>
          <w:lang w:val="en-GB"/>
        </w:rPr>
        <w:t>HDIs</w:t>
      </w:r>
      <w:r w:rsidRPr="005D4748">
        <w:rPr>
          <w:rFonts w:ascii="Arial" w:hAnsi="Arial" w:cs="Arial"/>
          <w:sz w:val="20"/>
          <w:szCs w:val="20"/>
          <w:lang w:val="en-GB"/>
        </w:rPr>
        <w:t xml:space="preserve"> capacity building initiatives for international </w:t>
      </w:r>
      <w:r w:rsidRPr="005D4748">
        <w:rPr>
          <w:rFonts w:ascii="Arial" w:hAnsi="Arial" w:cs="Arial"/>
          <w:sz w:val="20"/>
          <w:szCs w:val="20"/>
          <w:lang w:val="en-GB"/>
        </w:rPr>
        <w:lastRenderedPageBreak/>
        <w:t>cooperation and pre-approval decisions for the R&amp;D Tax Incentive, were not achieved in the previous financial year as well.</w:t>
      </w:r>
    </w:p>
    <w:p w:rsidR="00207E9E" w:rsidRPr="005D4748" w:rsidRDefault="00207E9E" w:rsidP="005D4748">
      <w:pPr>
        <w:spacing w:after="0" w:line="240" w:lineRule="auto"/>
        <w:rPr>
          <w:rFonts w:ascii="Arial" w:hAnsi="Arial" w:cs="Arial"/>
          <w:sz w:val="20"/>
          <w:szCs w:val="20"/>
          <w:lang w:val="en-GB"/>
        </w:rPr>
      </w:pPr>
    </w:p>
    <w:p w:rsidR="00A9298E" w:rsidRPr="005D4748" w:rsidRDefault="00FA5C68" w:rsidP="005D4748">
      <w:pPr>
        <w:spacing w:after="0" w:line="240" w:lineRule="auto"/>
        <w:rPr>
          <w:rFonts w:ascii="Arial" w:hAnsi="Arial" w:cs="Arial"/>
          <w:b/>
          <w:sz w:val="20"/>
          <w:szCs w:val="20"/>
          <w:lang w:val="en-GB"/>
        </w:rPr>
      </w:pPr>
      <w:r w:rsidRPr="005D4748">
        <w:rPr>
          <w:rFonts w:ascii="Arial" w:hAnsi="Arial" w:cs="Arial"/>
          <w:b/>
          <w:sz w:val="20"/>
          <w:szCs w:val="20"/>
          <w:lang w:val="en-GB"/>
        </w:rPr>
        <w:t xml:space="preserve">Table </w:t>
      </w:r>
      <w:r w:rsidR="00570EA4" w:rsidRPr="005D4748">
        <w:rPr>
          <w:rFonts w:ascii="Arial" w:hAnsi="Arial" w:cs="Arial"/>
          <w:b/>
          <w:sz w:val="20"/>
          <w:szCs w:val="20"/>
          <w:lang w:val="en-GB"/>
        </w:rPr>
        <w:t>3</w:t>
      </w:r>
      <w:r w:rsidRPr="005D4748">
        <w:rPr>
          <w:rFonts w:ascii="Arial" w:hAnsi="Arial" w:cs="Arial"/>
          <w:b/>
          <w:sz w:val="20"/>
          <w:szCs w:val="20"/>
          <w:lang w:val="en-GB"/>
        </w:rPr>
        <w:t>:</w:t>
      </w:r>
      <w:r w:rsidRPr="005D4748">
        <w:rPr>
          <w:rFonts w:ascii="Arial" w:hAnsi="Arial" w:cs="Arial"/>
          <w:b/>
          <w:sz w:val="20"/>
          <w:szCs w:val="20"/>
          <w:lang w:val="en-GB"/>
        </w:rPr>
        <w:tab/>
        <w:t>2021</w:t>
      </w:r>
      <w:r w:rsidR="00570EA4" w:rsidRPr="005D4748">
        <w:rPr>
          <w:rFonts w:ascii="Arial" w:hAnsi="Arial" w:cs="Arial"/>
          <w:b/>
          <w:sz w:val="20"/>
          <w:szCs w:val="20"/>
          <w:lang w:val="en-GB"/>
        </w:rPr>
        <w:t>/22</w:t>
      </w:r>
      <w:r w:rsidRPr="005D4748">
        <w:rPr>
          <w:rFonts w:ascii="Arial" w:hAnsi="Arial" w:cs="Arial"/>
          <w:b/>
          <w:sz w:val="20"/>
          <w:szCs w:val="20"/>
          <w:lang w:val="en-GB"/>
        </w:rPr>
        <w:t xml:space="preserve"> Performance Targets that were Not Achieved</w:t>
      </w:r>
    </w:p>
    <w:tbl>
      <w:tblPr>
        <w:tblStyle w:val="TableGrid"/>
        <w:tblW w:w="0" w:type="auto"/>
        <w:tblLook w:val="04A0"/>
      </w:tblPr>
      <w:tblGrid>
        <w:gridCol w:w="1724"/>
        <w:gridCol w:w="1958"/>
        <w:gridCol w:w="1561"/>
        <w:gridCol w:w="1891"/>
        <w:gridCol w:w="2152"/>
      </w:tblGrid>
      <w:tr w:rsidR="00207E9E" w:rsidRPr="005D4748" w:rsidTr="004C127E">
        <w:trPr>
          <w:trHeight w:val="64"/>
          <w:tblHeader/>
        </w:trPr>
        <w:tc>
          <w:tcPr>
            <w:tcW w:w="1788" w:type="dxa"/>
            <w:vMerge w:val="restart"/>
          </w:tcPr>
          <w:p w:rsidR="00207E9E" w:rsidRPr="005D4748" w:rsidRDefault="00207E9E" w:rsidP="005D4748">
            <w:pPr>
              <w:pStyle w:val="ListParagraph"/>
              <w:ind w:left="0"/>
              <w:rPr>
                <w:rFonts w:ascii="Arial" w:hAnsi="Arial" w:cs="Arial"/>
                <w:b/>
                <w:sz w:val="20"/>
                <w:szCs w:val="20"/>
              </w:rPr>
            </w:pPr>
            <w:r w:rsidRPr="005D4748">
              <w:rPr>
                <w:rFonts w:ascii="Arial" w:hAnsi="Arial" w:cs="Arial"/>
                <w:b/>
                <w:sz w:val="20"/>
                <w:szCs w:val="20"/>
              </w:rPr>
              <w:t>Programme</w:t>
            </w:r>
          </w:p>
        </w:tc>
        <w:tc>
          <w:tcPr>
            <w:tcW w:w="2009" w:type="dxa"/>
            <w:vMerge w:val="restart"/>
          </w:tcPr>
          <w:p w:rsidR="00207E9E" w:rsidRPr="005D4748" w:rsidRDefault="00207E9E" w:rsidP="005D4748">
            <w:pPr>
              <w:pStyle w:val="ListParagraph"/>
              <w:ind w:left="0"/>
              <w:rPr>
                <w:rFonts w:ascii="Arial" w:hAnsi="Arial" w:cs="Arial"/>
                <w:b/>
                <w:sz w:val="20"/>
                <w:szCs w:val="20"/>
              </w:rPr>
            </w:pPr>
            <w:r w:rsidRPr="005D4748">
              <w:rPr>
                <w:rFonts w:ascii="Arial" w:hAnsi="Arial" w:cs="Arial"/>
                <w:b/>
                <w:sz w:val="20"/>
                <w:szCs w:val="20"/>
              </w:rPr>
              <w:t>Planned performance target</w:t>
            </w:r>
          </w:p>
        </w:tc>
        <w:tc>
          <w:tcPr>
            <w:tcW w:w="5745" w:type="dxa"/>
            <w:gridSpan w:val="3"/>
            <w:shd w:val="clear" w:color="auto" w:fill="auto"/>
          </w:tcPr>
          <w:p w:rsidR="00207E9E" w:rsidRPr="005D4748" w:rsidRDefault="00207E9E" w:rsidP="005D4748">
            <w:pPr>
              <w:pStyle w:val="ListParagraph"/>
              <w:ind w:left="0"/>
              <w:rPr>
                <w:rFonts w:ascii="Arial" w:hAnsi="Arial" w:cs="Arial"/>
                <w:b/>
                <w:sz w:val="20"/>
                <w:szCs w:val="20"/>
              </w:rPr>
            </w:pPr>
            <w:r w:rsidRPr="005D4748">
              <w:rPr>
                <w:rFonts w:ascii="Arial" w:hAnsi="Arial" w:cs="Arial"/>
                <w:b/>
                <w:sz w:val="20"/>
                <w:szCs w:val="20"/>
              </w:rPr>
              <w:t>2021/22</w:t>
            </w:r>
          </w:p>
        </w:tc>
      </w:tr>
      <w:tr w:rsidR="00207E9E" w:rsidRPr="005D4748" w:rsidTr="004C127E">
        <w:trPr>
          <w:trHeight w:val="64"/>
          <w:tblHeader/>
        </w:trPr>
        <w:tc>
          <w:tcPr>
            <w:tcW w:w="1788" w:type="dxa"/>
            <w:vMerge/>
          </w:tcPr>
          <w:p w:rsidR="00207E9E" w:rsidRPr="005D4748" w:rsidRDefault="00207E9E" w:rsidP="005D4748">
            <w:pPr>
              <w:pStyle w:val="ListParagraph"/>
              <w:ind w:left="0"/>
              <w:rPr>
                <w:rFonts w:ascii="Arial" w:hAnsi="Arial" w:cs="Arial"/>
                <w:b/>
                <w:sz w:val="20"/>
                <w:szCs w:val="20"/>
              </w:rPr>
            </w:pPr>
          </w:p>
        </w:tc>
        <w:tc>
          <w:tcPr>
            <w:tcW w:w="2009" w:type="dxa"/>
            <w:vMerge/>
          </w:tcPr>
          <w:p w:rsidR="00207E9E" w:rsidRPr="005D4748" w:rsidRDefault="00207E9E" w:rsidP="005D4748">
            <w:pPr>
              <w:pStyle w:val="ListParagraph"/>
              <w:ind w:left="0"/>
              <w:rPr>
                <w:rFonts w:ascii="Arial" w:hAnsi="Arial" w:cs="Arial"/>
                <w:b/>
                <w:sz w:val="20"/>
                <w:szCs w:val="20"/>
              </w:rPr>
            </w:pPr>
          </w:p>
        </w:tc>
        <w:tc>
          <w:tcPr>
            <w:tcW w:w="1594" w:type="dxa"/>
            <w:shd w:val="clear" w:color="auto" w:fill="auto"/>
          </w:tcPr>
          <w:p w:rsidR="00207E9E" w:rsidRPr="005D4748" w:rsidRDefault="00207E9E" w:rsidP="005D4748">
            <w:pPr>
              <w:pStyle w:val="ListParagraph"/>
              <w:ind w:left="0"/>
              <w:rPr>
                <w:rFonts w:ascii="Arial" w:hAnsi="Arial" w:cs="Arial"/>
                <w:b/>
                <w:sz w:val="20"/>
                <w:szCs w:val="20"/>
              </w:rPr>
            </w:pPr>
            <w:r w:rsidRPr="005D4748">
              <w:rPr>
                <w:rFonts w:ascii="Arial" w:hAnsi="Arial" w:cs="Arial"/>
                <w:b/>
                <w:sz w:val="20"/>
                <w:szCs w:val="20"/>
              </w:rPr>
              <w:t>Actual achievement</w:t>
            </w:r>
          </w:p>
        </w:tc>
        <w:tc>
          <w:tcPr>
            <w:tcW w:w="1957" w:type="dxa"/>
            <w:shd w:val="clear" w:color="auto" w:fill="auto"/>
          </w:tcPr>
          <w:p w:rsidR="00207E9E" w:rsidRPr="005D4748" w:rsidRDefault="00207E9E" w:rsidP="005D4748">
            <w:pPr>
              <w:pStyle w:val="ListParagraph"/>
              <w:ind w:left="0"/>
              <w:rPr>
                <w:rFonts w:ascii="Arial" w:hAnsi="Arial" w:cs="Arial"/>
                <w:b/>
                <w:sz w:val="20"/>
                <w:szCs w:val="20"/>
              </w:rPr>
            </w:pPr>
            <w:r w:rsidRPr="005D4748">
              <w:rPr>
                <w:rFonts w:ascii="Arial" w:hAnsi="Arial" w:cs="Arial"/>
                <w:b/>
                <w:sz w:val="20"/>
                <w:szCs w:val="20"/>
              </w:rPr>
              <w:t>Reasons for variance</w:t>
            </w:r>
          </w:p>
        </w:tc>
        <w:tc>
          <w:tcPr>
            <w:tcW w:w="2194" w:type="dxa"/>
            <w:shd w:val="clear" w:color="auto" w:fill="auto"/>
          </w:tcPr>
          <w:p w:rsidR="00207E9E" w:rsidRPr="005D4748" w:rsidRDefault="00207E9E" w:rsidP="005D4748">
            <w:pPr>
              <w:pStyle w:val="ListParagraph"/>
              <w:ind w:left="0"/>
              <w:rPr>
                <w:rFonts w:ascii="Arial" w:hAnsi="Arial" w:cs="Arial"/>
                <w:b/>
                <w:sz w:val="20"/>
                <w:szCs w:val="20"/>
              </w:rPr>
            </w:pPr>
            <w:r w:rsidRPr="005D4748">
              <w:rPr>
                <w:rFonts w:ascii="Arial" w:hAnsi="Arial" w:cs="Arial"/>
                <w:b/>
                <w:sz w:val="20"/>
                <w:szCs w:val="20"/>
              </w:rPr>
              <w:t>Addressing underperformance</w:t>
            </w:r>
          </w:p>
        </w:tc>
      </w:tr>
      <w:tr w:rsidR="00207E9E" w:rsidRPr="005D4748" w:rsidTr="004C127E">
        <w:tc>
          <w:tcPr>
            <w:tcW w:w="1788" w:type="dxa"/>
          </w:tcPr>
          <w:p w:rsidR="00207E9E" w:rsidRPr="005D4748" w:rsidRDefault="00207E9E" w:rsidP="005D4748">
            <w:pPr>
              <w:rPr>
                <w:rFonts w:ascii="Arial" w:hAnsi="Arial" w:cs="Arial"/>
                <w:b/>
                <w:sz w:val="20"/>
                <w:szCs w:val="20"/>
              </w:rPr>
            </w:pPr>
            <w:r w:rsidRPr="005D4748">
              <w:rPr>
                <w:rFonts w:ascii="Arial" w:hAnsi="Arial" w:cs="Arial"/>
                <w:b/>
                <w:color w:val="000000"/>
                <w:spacing w:val="6"/>
                <w:sz w:val="20"/>
                <w:szCs w:val="20"/>
                <w:lang w:eastAsia="en-GB"/>
              </w:rPr>
              <w:t>3.</w:t>
            </w:r>
            <w:r w:rsidRPr="005D4748">
              <w:rPr>
                <w:rFonts w:ascii="Arial" w:hAnsi="Arial" w:cs="Arial"/>
                <w:b/>
                <w:sz w:val="20"/>
                <w:szCs w:val="20"/>
              </w:rPr>
              <w:t xml:space="preserve"> International Cooperation and Resources</w:t>
            </w:r>
          </w:p>
        </w:tc>
        <w:tc>
          <w:tcPr>
            <w:tcW w:w="2009" w:type="dxa"/>
          </w:tcPr>
          <w:p w:rsidR="00207E9E" w:rsidRPr="005D4748" w:rsidRDefault="00207E9E" w:rsidP="005D4748">
            <w:pPr>
              <w:pStyle w:val="ListParagraph"/>
              <w:ind w:left="0"/>
              <w:rPr>
                <w:rFonts w:ascii="Arial" w:hAnsi="Arial" w:cs="Arial"/>
                <w:sz w:val="20"/>
                <w:szCs w:val="20"/>
              </w:rPr>
            </w:pPr>
            <w:r w:rsidRPr="005D4748">
              <w:rPr>
                <w:rFonts w:ascii="Arial" w:hAnsi="Arial" w:cs="Arial"/>
                <w:sz w:val="20"/>
                <w:szCs w:val="20"/>
              </w:rPr>
              <w:t>32 capacity-building initiatives for international cooperation specifically targeting historically disadvantaged institutions and individuals by 31 Mar 2021, and by 31 March 2022.</w:t>
            </w:r>
          </w:p>
        </w:tc>
        <w:tc>
          <w:tcPr>
            <w:tcW w:w="1594" w:type="dxa"/>
            <w:shd w:val="clear" w:color="auto" w:fill="auto"/>
          </w:tcPr>
          <w:p w:rsidR="00207E9E" w:rsidRPr="005D4748" w:rsidRDefault="00207E9E" w:rsidP="005D4748">
            <w:pPr>
              <w:pStyle w:val="ListParagraph"/>
              <w:ind w:left="0"/>
              <w:rPr>
                <w:rFonts w:ascii="Arial" w:hAnsi="Arial" w:cs="Arial"/>
                <w:sz w:val="20"/>
                <w:szCs w:val="20"/>
              </w:rPr>
            </w:pPr>
            <w:r w:rsidRPr="005D4748">
              <w:rPr>
                <w:rFonts w:ascii="Arial" w:hAnsi="Arial" w:cs="Arial"/>
                <w:sz w:val="20"/>
                <w:szCs w:val="20"/>
              </w:rPr>
              <w:t>24 capacity building initiatives</w:t>
            </w:r>
          </w:p>
        </w:tc>
        <w:tc>
          <w:tcPr>
            <w:tcW w:w="1957" w:type="dxa"/>
            <w:shd w:val="clear" w:color="auto" w:fill="auto"/>
          </w:tcPr>
          <w:tbl>
            <w:tblPr>
              <w:tblW w:w="0" w:type="auto"/>
              <w:tblBorders>
                <w:top w:val="nil"/>
                <w:left w:val="nil"/>
                <w:bottom w:val="nil"/>
                <w:right w:val="nil"/>
              </w:tblBorders>
              <w:tblLook w:val="0000"/>
            </w:tblPr>
            <w:tblGrid>
              <w:gridCol w:w="1675"/>
            </w:tblGrid>
            <w:tr w:rsidR="00207E9E" w:rsidRPr="005D4748" w:rsidTr="00401155">
              <w:tc>
                <w:tcPr>
                  <w:tcW w:w="0" w:type="auto"/>
                </w:tcPr>
                <w:p w:rsidR="00207E9E" w:rsidRPr="005D4748" w:rsidRDefault="00207E9E" w:rsidP="005D4748">
                  <w:pPr>
                    <w:pStyle w:val="ListParagraph"/>
                    <w:spacing w:after="0" w:line="240" w:lineRule="auto"/>
                    <w:ind w:left="-107"/>
                    <w:rPr>
                      <w:rFonts w:ascii="Arial" w:hAnsi="Arial" w:cs="Arial"/>
                      <w:sz w:val="20"/>
                      <w:szCs w:val="20"/>
                    </w:rPr>
                  </w:pPr>
                  <w:r w:rsidRPr="005D4748">
                    <w:rPr>
                      <w:rFonts w:ascii="Arial" w:hAnsi="Arial" w:cs="Arial"/>
                      <w:sz w:val="20"/>
                      <w:szCs w:val="20"/>
                    </w:rPr>
                    <w:t xml:space="preserve">A holistic strategic approach to the inclusion of historically disadvantaged institutions was not emphasised in engagements on international opportunities. </w:t>
                  </w:r>
                </w:p>
              </w:tc>
            </w:tr>
          </w:tbl>
          <w:p w:rsidR="00207E9E" w:rsidRPr="005D4748" w:rsidRDefault="00207E9E" w:rsidP="005D4748">
            <w:pPr>
              <w:pStyle w:val="ListParagraph"/>
              <w:ind w:left="0"/>
              <w:rPr>
                <w:rFonts w:ascii="Arial" w:hAnsi="Arial" w:cs="Arial"/>
                <w:sz w:val="20"/>
                <w:szCs w:val="20"/>
              </w:rPr>
            </w:pPr>
          </w:p>
        </w:tc>
        <w:tc>
          <w:tcPr>
            <w:tcW w:w="2194" w:type="dxa"/>
            <w:shd w:val="clear" w:color="auto" w:fill="auto"/>
          </w:tcPr>
          <w:p w:rsidR="00207E9E" w:rsidRPr="005D4748" w:rsidRDefault="00207E9E" w:rsidP="005D4748">
            <w:pPr>
              <w:rPr>
                <w:rFonts w:ascii="Arial" w:hAnsi="Arial" w:cs="Arial"/>
                <w:sz w:val="20"/>
                <w:szCs w:val="20"/>
                <w:highlight w:val="yellow"/>
              </w:rPr>
            </w:pPr>
            <w:r w:rsidRPr="005D4748">
              <w:rPr>
                <w:rFonts w:ascii="Arial" w:hAnsi="Arial" w:cs="Arial"/>
                <w:sz w:val="20"/>
                <w:szCs w:val="20"/>
              </w:rPr>
              <w:t>The Programme has to improve its strategic approach towards the inclusion of historically disadvantages institutions in its engagements on international opportunities.</w:t>
            </w:r>
          </w:p>
        </w:tc>
      </w:tr>
      <w:tr w:rsidR="00207E9E" w:rsidRPr="005D4748" w:rsidTr="004C127E">
        <w:trPr>
          <w:trHeight w:val="582"/>
        </w:trPr>
        <w:tc>
          <w:tcPr>
            <w:tcW w:w="1788" w:type="dxa"/>
          </w:tcPr>
          <w:p w:rsidR="00207E9E" w:rsidRPr="005D4748" w:rsidRDefault="00207E9E" w:rsidP="005D4748">
            <w:pPr>
              <w:pStyle w:val="ListParagraph"/>
              <w:ind w:left="0"/>
              <w:rPr>
                <w:rFonts w:ascii="Arial" w:hAnsi="Arial" w:cs="Arial"/>
                <w:b/>
                <w:sz w:val="20"/>
                <w:szCs w:val="20"/>
              </w:rPr>
            </w:pPr>
            <w:r w:rsidRPr="005D4748">
              <w:rPr>
                <w:rFonts w:ascii="Arial" w:hAnsi="Arial" w:cs="Arial"/>
                <w:b/>
                <w:sz w:val="20"/>
                <w:szCs w:val="20"/>
              </w:rPr>
              <w:t>4. Research, Development and Support</w:t>
            </w:r>
          </w:p>
        </w:tc>
        <w:tc>
          <w:tcPr>
            <w:tcW w:w="2009" w:type="dxa"/>
          </w:tcPr>
          <w:p w:rsidR="00207E9E" w:rsidRPr="005D4748" w:rsidRDefault="00207E9E" w:rsidP="005D4748">
            <w:pPr>
              <w:pStyle w:val="ListParagraph"/>
              <w:ind w:left="0"/>
              <w:rPr>
                <w:rFonts w:ascii="Arial" w:hAnsi="Arial" w:cs="Arial"/>
                <w:sz w:val="20"/>
                <w:szCs w:val="20"/>
              </w:rPr>
            </w:pPr>
            <w:r w:rsidRPr="005D4748">
              <w:rPr>
                <w:rFonts w:ascii="Arial" w:hAnsi="Arial" w:cs="Arial"/>
                <w:sz w:val="20"/>
                <w:szCs w:val="20"/>
              </w:rPr>
              <w:t>No fewer than 6 200 pipeline postgraduate students awarded bursaries annually as reflected in the reports from the NRF and other relevant entities by 31 Mar 2022.</w:t>
            </w:r>
          </w:p>
        </w:tc>
        <w:tc>
          <w:tcPr>
            <w:tcW w:w="1594" w:type="dxa"/>
            <w:shd w:val="clear" w:color="auto" w:fill="auto"/>
          </w:tcPr>
          <w:p w:rsidR="00207E9E" w:rsidRPr="005D4748" w:rsidRDefault="00207E9E" w:rsidP="005D4748">
            <w:pPr>
              <w:pStyle w:val="ListParagraph"/>
              <w:ind w:left="0"/>
              <w:rPr>
                <w:rFonts w:ascii="Arial" w:hAnsi="Arial" w:cs="Arial"/>
                <w:sz w:val="20"/>
                <w:szCs w:val="20"/>
              </w:rPr>
            </w:pPr>
            <w:r w:rsidRPr="005D4748">
              <w:rPr>
                <w:rFonts w:ascii="Arial" w:hAnsi="Arial" w:cs="Arial"/>
                <w:sz w:val="20"/>
                <w:szCs w:val="20"/>
              </w:rPr>
              <w:t>5 643 pipeline postgraduate students were awarded bursaries.</w:t>
            </w:r>
          </w:p>
        </w:tc>
        <w:tc>
          <w:tcPr>
            <w:tcW w:w="1957" w:type="dxa"/>
            <w:shd w:val="clear" w:color="auto" w:fill="auto"/>
          </w:tcPr>
          <w:p w:rsidR="00207E9E" w:rsidRPr="005D4748" w:rsidRDefault="00207E9E" w:rsidP="005D4748">
            <w:pPr>
              <w:pStyle w:val="ListParagraph"/>
              <w:ind w:left="0"/>
              <w:rPr>
                <w:rFonts w:ascii="Arial" w:hAnsi="Arial" w:cs="Arial"/>
                <w:sz w:val="20"/>
                <w:szCs w:val="20"/>
              </w:rPr>
            </w:pPr>
            <w:r w:rsidRPr="005D4748">
              <w:rPr>
                <w:rFonts w:ascii="Arial" w:hAnsi="Arial" w:cs="Arial"/>
                <w:sz w:val="20"/>
                <w:szCs w:val="20"/>
              </w:rPr>
              <w:t>It is difficult to make accurate projections of the number of PhD students versus pipeline (honours and master’s) students to be supported as such numbers are ultimately dependent on the demand, i.e. the number of applications in each category.</w:t>
            </w:r>
          </w:p>
        </w:tc>
        <w:tc>
          <w:tcPr>
            <w:tcW w:w="2194" w:type="dxa"/>
            <w:shd w:val="clear" w:color="auto" w:fill="auto"/>
          </w:tcPr>
          <w:p w:rsidR="00207E9E" w:rsidRPr="005D4748" w:rsidRDefault="00207E9E" w:rsidP="005D4748">
            <w:pPr>
              <w:pStyle w:val="ListParagraph"/>
              <w:ind w:left="0"/>
              <w:rPr>
                <w:rFonts w:ascii="Arial" w:hAnsi="Arial" w:cs="Arial"/>
                <w:sz w:val="20"/>
                <w:szCs w:val="20"/>
              </w:rPr>
            </w:pPr>
            <w:r w:rsidRPr="005D4748">
              <w:rPr>
                <w:rFonts w:ascii="Arial" w:hAnsi="Arial" w:cs="Arial"/>
                <w:sz w:val="20"/>
                <w:szCs w:val="20"/>
              </w:rPr>
              <w:t>A conservative but reasonably fair target has been set for 2022/23, and more attention will be given to the pipeline (honours and master’s) bursary target than to the PhD bursary target, which was exceeded.</w:t>
            </w:r>
          </w:p>
        </w:tc>
      </w:tr>
      <w:tr w:rsidR="00207E9E" w:rsidRPr="005D4748" w:rsidTr="004C127E">
        <w:tc>
          <w:tcPr>
            <w:tcW w:w="1788" w:type="dxa"/>
            <w:vMerge w:val="restart"/>
          </w:tcPr>
          <w:p w:rsidR="00207E9E" w:rsidRPr="005D4748" w:rsidRDefault="00207E9E" w:rsidP="005D4748">
            <w:pPr>
              <w:pStyle w:val="ListParagraph"/>
              <w:ind w:left="0"/>
              <w:rPr>
                <w:rFonts w:ascii="Arial" w:hAnsi="Arial" w:cs="Arial"/>
                <w:b/>
                <w:sz w:val="20"/>
                <w:szCs w:val="20"/>
              </w:rPr>
            </w:pPr>
            <w:r w:rsidRPr="005D4748">
              <w:rPr>
                <w:rFonts w:ascii="Arial" w:hAnsi="Arial" w:cs="Arial"/>
                <w:b/>
                <w:sz w:val="20"/>
                <w:szCs w:val="20"/>
              </w:rPr>
              <w:t>5. Socio-economic Innovation Partnerships</w:t>
            </w:r>
          </w:p>
        </w:tc>
        <w:tc>
          <w:tcPr>
            <w:tcW w:w="2009" w:type="dxa"/>
          </w:tcPr>
          <w:tbl>
            <w:tblPr>
              <w:tblW w:w="0" w:type="auto"/>
              <w:tblBorders>
                <w:top w:val="nil"/>
                <w:left w:val="nil"/>
                <w:bottom w:val="nil"/>
                <w:right w:val="nil"/>
              </w:tblBorders>
              <w:tblLook w:val="0000"/>
            </w:tblPr>
            <w:tblGrid>
              <w:gridCol w:w="1742"/>
            </w:tblGrid>
            <w:tr w:rsidR="00207E9E" w:rsidRPr="005D4748" w:rsidTr="00401155">
              <w:tc>
                <w:tcPr>
                  <w:tcW w:w="0" w:type="auto"/>
                </w:tcPr>
                <w:p w:rsidR="00207E9E" w:rsidRPr="005D4748" w:rsidRDefault="00207E9E" w:rsidP="005D4748">
                  <w:pPr>
                    <w:pStyle w:val="ListParagraph"/>
                    <w:spacing w:after="0" w:line="240" w:lineRule="auto"/>
                    <w:ind w:left="0"/>
                    <w:rPr>
                      <w:rFonts w:ascii="Arial" w:hAnsi="Arial" w:cs="Arial"/>
                      <w:sz w:val="20"/>
                      <w:szCs w:val="20"/>
                    </w:rPr>
                  </w:pPr>
                  <w:r w:rsidRPr="005D4748">
                    <w:rPr>
                      <w:rFonts w:ascii="Arial" w:hAnsi="Arial" w:cs="Arial"/>
                      <w:sz w:val="20"/>
                      <w:szCs w:val="20"/>
                    </w:rPr>
                    <w:t>392 high-level research students (of which 57 at PhD level) fully funded or co-funded in designated niche areas (advanced manufacturing, aerospace, chemicals, mining, advanced metals, ICTs, the Industry Innovation Programme (incl. SIFs and green economy) by 31 March 2022 (non-cumulative target).</w:t>
                  </w:r>
                </w:p>
              </w:tc>
            </w:tr>
          </w:tbl>
          <w:p w:rsidR="00207E9E" w:rsidRPr="005D4748" w:rsidRDefault="00207E9E" w:rsidP="005D4748">
            <w:pPr>
              <w:pStyle w:val="ListParagraph"/>
              <w:ind w:left="0"/>
              <w:rPr>
                <w:rFonts w:ascii="Arial" w:hAnsi="Arial" w:cs="Arial"/>
                <w:sz w:val="20"/>
                <w:szCs w:val="20"/>
              </w:rPr>
            </w:pPr>
          </w:p>
        </w:tc>
        <w:tc>
          <w:tcPr>
            <w:tcW w:w="1594" w:type="dxa"/>
            <w:shd w:val="clear" w:color="auto" w:fill="auto"/>
          </w:tcPr>
          <w:p w:rsidR="00207E9E" w:rsidRPr="005D4748" w:rsidRDefault="00207E9E" w:rsidP="005D4748">
            <w:pPr>
              <w:pStyle w:val="ListParagraph"/>
              <w:ind w:left="0"/>
              <w:rPr>
                <w:rFonts w:ascii="Arial" w:hAnsi="Arial" w:cs="Arial"/>
                <w:sz w:val="20"/>
                <w:szCs w:val="20"/>
              </w:rPr>
            </w:pPr>
            <w:r w:rsidRPr="005D4748">
              <w:rPr>
                <w:rFonts w:ascii="Arial" w:hAnsi="Arial" w:cs="Arial"/>
                <w:sz w:val="20"/>
                <w:szCs w:val="20"/>
              </w:rPr>
              <w:t xml:space="preserve">287 high-level research students (of which 57 at PhD level) fully funded or co-funded in designated niche areas. </w:t>
            </w:r>
          </w:p>
        </w:tc>
        <w:tc>
          <w:tcPr>
            <w:tcW w:w="1957" w:type="dxa"/>
            <w:shd w:val="clear" w:color="auto" w:fill="auto"/>
          </w:tcPr>
          <w:p w:rsidR="00207E9E" w:rsidRPr="005D4748" w:rsidRDefault="00207E9E" w:rsidP="005D4748">
            <w:pPr>
              <w:pStyle w:val="ListParagraph"/>
              <w:ind w:left="0"/>
              <w:rPr>
                <w:rFonts w:ascii="Arial" w:hAnsi="Arial" w:cs="Arial"/>
                <w:sz w:val="20"/>
                <w:szCs w:val="20"/>
              </w:rPr>
            </w:pPr>
            <w:r w:rsidRPr="005D4748">
              <w:rPr>
                <w:rFonts w:ascii="Arial" w:hAnsi="Arial" w:cs="Arial"/>
                <w:sz w:val="20"/>
                <w:szCs w:val="20"/>
              </w:rPr>
              <w:t>Significant funds from technology development projects (e.g. the Advanced Metals Initiative and the Advanced Manufacturing Technology Strategy) were allocated to technology diffusion projects (e.g. the Technology Stations Programme and the Technology Localisation Implementation Unit).</w:t>
            </w:r>
          </w:p>
          <w:p w:rsidR="00207E9E" w:rsidRPr="005D4748" w:rsidRDefault="00207E9E" w:rsidP="005D4748">
            <w:pPr>
              <w:pStyle w:val="ListParagraph"/>
              <w:ind w:left="0"/>
              <w:rPr>
                <w:rFonts w:ascii="Arial" w:hAnsi="Arial" w:cs="Arial"/>
                <w:sz w:val="20"/>
                <w:szCs w:val="20"/>
              </w:rPr>
            </w:pPr>
          </w:p>
          <w:p w:rsidR="00207E9E" w:rsidRPr="005D4748" w:rsidRDefault="00207E9E" w:rsidP="005D4748">
            <w:pPr>
              <w:pStyle w:val="ListParagraph"/>
              <w:ind w:left="0"/>
              <w:rPr>
                <w:rFonts w:ascii="Arial" w:hAnsi="Arial" w:cs="Arial"/>
                <w:sz w:val="20"/>
                <w:szCs w:val="20"/>
              </w:rPr>
            </w:pPr>
            <w:r w:rsidRPr="005D4748">
              <w:rPr>
                <w:rFonts w:ascii="Arial" w:hAnsi="Arial" w:cs="Arial"/>
                <w:sz w:val="20"/>
                <w:szCs w:val="20"/>
              </w:rPr>
              <w:t xml:space="preserve">There were also difficulties in verifying the </w:t>
            </w:r>
            <w:r w:rsidRPr="005D4748">
              <w:rPr>
                <w:rFonts w:ascii="Arial" w:hAnsi="Arial" w:cs="Arial"/>
                <w:sz w:val="20"/>
                <w:szCs w:val="20"/>
              </w:rPr>
              <w:lastRenderedPageBreak/>
              <w:t xml:space="preserve">number of students. </w:t>
            </w:r>
          </w:p>
        </w:tc>
        <w:tc>
          <w:tcPr>
            <w:tcW w:w="2194" w:type="dxa"/>
            <w:shd w:val="clear" w:color="auto" w:fill="auto"/>
          </w:tcPr>
          <w:p w:rsidR="00207E9E" w:rsidRPr="005D4748" w:rsidRDefault="00207E9E" w:rsidP="005D4748">
            <w:pPr>
              <w:pStyle w:val="ListParagraph"/>
              <w:ind w:left="0"/>
              <w:rPr>
                <w:rFonts w:ascii="Arial" w:hAnsi="Arial" w:cs="Arial"/>
                <w:sz w:val="20"/>
                <w:szCs w:val="20"/>
              </w:rPr>
            </w:pPr>
            <w:r w:rsidRPr="005D4748">
              <w:rPr>
                <w:rFonts w:ascii="Arial" w:hAnsi="Arial" w:cs="Arial"/>
                <w:sz w:val="20"/>
                <w:szCs w:val="20"/>
              </w:rPr>
              <w:lastRenderedPageBreak/>
              <w:t>The planning process for the funding or co-funding of high-level research students in designated niche areas (advanced manufacturing, aerospace, chemicals, mining, advanced metals, ICTs, the Industry Innovation Programme (incl. SIFs and green economy) will be improved with a greater emphasis on the breakdown of the key performance indicator target and of the technical indicator description definitions in the context of experienced validation difficulties.</w:t>
            </w:r>
          </w:p>
        </w:tc>
      </w:tr>
      <w:tr w:rsidR="00207E9E" w:rsidRPr="005D4748" w:rsidTr="004C127E">
        <w:tc>
          <w:tcPr>
            <w:tcW w:w="1788" w:type="dxa"/>
            <w:vMerge/>
          </w:tcPr>
          <w:p w:rsidR="00207E9E" w:rsidRPr="005D4748" w:rsidRDefault="00207E9E" w:rsidP="005D4748">
            <w:pPr>
              <w:pStyle w:val="ListParagraph"/>
              <w:ind w:left="0"/>
              <w:rPr>
                <w:rFonts w:ascii="Arial" w:hAnsi="Arial" w:cs="Arial"/>
                <w:b/>
                <w:sz w:val="20"/>
                <w:szCs w:val="20"/>
              </w:rPr>
            </w:pPr>
          </w:p>
        </w:tc>
        <w:tc>
          <w:tcPr>
            <w:tcW w:w="2009" w:type="dxa"/>
          </w:tcPr>
          <w:p w:rsidR="00207E9E" w:rsidRPr="005D4748" w:rsidRDefault="00207E9E" w:rsidP="005D4748">
            <w:pPr>
              <w:pStyle w:val="ListParagraph"/>
              <w:ind w:left="0"/>
              <w:rPr>
                <w:rFonts w:ascii="Arial" w:hAnsi="Arial" w:cs="Arial"/>
                <w:sz w:val="20"/>
                <w:szCs w:val="20"/>
              </w:rPr>
            </w:pPr>
            <w:r w:rsidRPr="005D4748">
              <w:rPr>
                <w:rFonts w:ascii="Arial" w:hAnsi="Arial" w:cs="Arial"/>
                <w:sz w:val="20"/>
                <w:szCs w:val="20"/>
              </w:rPr>
              <w:t>Pre-approval decisions provided within 90 days from the date of receipt for 80% of the applications for the R&amp;D Tax Incentive received between 1 Jan and 31 Dec 2021.</w:t>
            </w:r>
          </w:p>
        </w:tc>
        <w:tc>
          <w:tcPr>
            <w:tcW w:w="1594" w:type="dxa"/>
            <w:shd w:val="clear" w:color="auto" w:fill="auto"/>
          </w:tcPr>
          <w:p w:rsidR="00207E9E" w:rsidRPr="005D4748" w:rsidRDefault="00207E9E" w:rsidP="005D4748">
            <w:pPr>
              <w:pStyle w:val="ListParagraph"/>
              <w:ind w:left="0"/>
              <w:rPr>
                <w:rFonts w:ascii="Arial" w:hAnsi="Arial" w:cs="Arial"/>
                <w:sz w:val="20"/>
                <w:szCs w:val="20"/>
              </w:rPr>
            </w:pPr>
            <w:r w:rsidRPr="005D4748">
              <w:rPr>
                <w:rFonts w:ascii="Arial" w:hAnsi="Arial" w:cs="Arial"/>
                <w:sz w:val="20"/>
                <w:szCs w:val="20"/>
              </w:rPr>
              <w:t>54% (or 67) of 124 applications for the R&amp;D Tax Incentive were provided with pre-approval decisions.</w:t>
            </w:r>
          </w:p>
        </w:tc>
        <w:tc>
          <w:tcPr>
            <w:tcW w:w="1957" w:type="dxa"/>
            <w:shd w:val="clear" w:color="auto" w:fill="auto"/>
          </w:tcPr>
          <w:p w:rsidR="00207E9E" w:rsidRPr="005D4748" w:rsidRDefault="00207E9E" w:rsidP="005D4748">
            <w:pPr>
              <w:pStyle w:val="ListParagraph"/>
              <w:ind w:left="0"/>
              <w:rPr>
                <w:rFonts w:ascii="Arial" w:hAnsi="Arial" w:cs="Arial"/>
                <w:sz w:val="20"/>
                <w:szCs w:val="20"/>
              </w:rPr>
            </w:pPr>
            <w:r w:rsidRPr="005D4748">
              <w:rPr>
                <w:rFonts w:ascii="Arial" w:hAnsi="Arial" w:cs="Arial"/>
                <w:sz w:val="20"/>
                <w:szCs w:val="20"/>
              </w:rPr>
              <w:t xml:space="preserve">The quality of information received from applicants is still problematic. A lack of automation and staff shortages has an effect on the monitoring and processing of applications. </w:t>
            </w:r>
          </w:p>
        </w:tc>
        <w:tc>
          <w:tcPr>
            <w:tcW w:w="2194" w:type="dxa"/>
            <w:shd w:val="clear" w:color="auto" w:fill="auto"/>
          </w:tcPr>
          <w:p w:rsidR="00207E9E" w:rsidRPr="005D4748" w:rsidRDefault="00207E9E" w:rsidP="005D4748">
            <w:pPr>
              <w:rPr>
                <w:rFonts w:ascii="Arial" w:hAnsi="Arial" w:cs="Arial"/>
                <w:color w:val="000000"/>
                <w:spacing w:val="6"/>
                <w:sz w:val="20"/>
                <w:szCs w:val="20"/>
                <w:lang w:eastAsia="en-GB"/>
              </w:rPr>
            </w:pPr>
            <w:r w:rsidRPr="005D4748">
              <w:rPr>
                <w:rFonts w:ascii="Arial" w:hAnsi="Arial" w:cs="Arial"/>
                <w:color w:val="000000"/>
                <w:spacing w:val="6"/>
                <w:sz w:val="20"/>
                <w:szCs w:val="20"/>
                <w:lang w:eastAsia="en-GB"/>
              </w:rPr>
              <w:t>To ensure turnaround times are adhered to, ensure that the R&amp;D Tax Incentive pre-approval application process is automated and ensure that staff shortages are addressed by the better monitoring and processing of applications.</w:t>
            </w:r>
          </w:p>
        </w:tc>
      </w:tr>
    </w:tbl>
    <w:p w:rsidR="00A9298E" w:rsidRPr="005D4748" w:rsidRDefault="008C16A3" w:rsidP="005D4748">
      <w:pPr>
        <w:spacing w:after="0" w:line="240" w:lineRule="auto"/>
        <w:rPr>
          <w:rFonts w:ascii="Arial" w:hAnsi="Arial" w:cs="Arial"/>
          <w:sz w:val="20"/>
          <w:szCs w:val="20"/>
          <w:lang w:val="en-GB"/>
        </w:rPr>
      </w:pPr>
      <w:r w:rsidRPr="005D4748">
        <w:rPr>
          <w:rFonts w:ascii="Arial" w:hAnsi="Arial" w:cs="Arial"/>
          <w:sz w:val="20"/>
          <w:szCs w:val="20"/>
          <w:lang w:val="en-GB"/>
        </w:rPr>
        <w:t>Source: 2021</w:t>
      </w:r>
      <w:r w:rsidR="00570EA4" w:rsidRPr="005D4748">
        <w:rPr>
          <w:rFonts w:ascii="Arial" w:hAnsi="Arial" w:cs="Arial"/>
          <w:sz w:val="20"/>
          <w:szCs w:val="20"/>
          <w:lang w:val="en-GB"/>
        </w:rPr>
        <w:t>/22</w:t>
      </w:r>
      <w:r w:rsidRPr="005D4748">
        <w:rPr>
          <w:rFonts w:ascii="Arial" w:hAnsi="Arial" w:cs="Arial"/>
          <w:sz w:val="20"/>
          <w:szCs w:val="20"/>
          <w:lang w:val="en-GB"/>
        </w:rPr>
        <w:t xml:space="preserve"> Annual Report of the Department of Science and Innovation</w:t>
      </w:r>
    </w:p>
    <w:p w:rsidR="0027012E" w:rsidRPr="005D4748" w:rsidRDefault="0027012E" w:rsidP="005D4748">
      <w:pPr>
        <w:spacing w:after="0" w:line="240" w:lineRule="auto"/>
        <w:rPr>
          <w:rFonts w:ascii="Arial" w:hAnsi="Arial" w:cs="Arial"/>
          <w:sz w:val="20"/>
          <w:szCs w:val="20"/>
          <w:lang w:val="en-GB"/>
        </w:rPr>
      </w:pPr>
    </w:p>
    <w:p w:rsidR="00207E9E" w:rsidRPr="005D4748" w:rsidRDefault="00207E9E" w:rsidP="005D4748">
      <w:pPr>
        <w:pStyle w:val="ListParagraph"/>
        <w:numPr>
          <w:ilvl w:val="1"/>
          <w:numId w:val="1"/>
        </w:numPr>
        <w:spacing w:after="0" w:line="240" w:lineRule="auto"/>
        <w:ind w:left="567" w:hanging="567"/>
        <w:rPr>
          <w:rFonts w:ascii="Arial" w:hAnsi="Arial" w:cs="Arial"/>
          <w:b/>
          <w:sz w:val="20"/>
          <w:szCs w:val="20"/>
          <w:lang w:val="en-GB"/>
        </w:rPr>
      </w:pPr>
      <w:r w:rsidRPr="005D4748">
        <w:rPr>
          <w:rFonts w:ascii="Arial" w:hAnsi="Arial" w:cs="Arial"/>
          <w:b/>
          <w:sz w:val="20"/>
          <w:szCs w:val="20"/>
          <w:lang w:val="en-GB"/>
        </w:rPr>
        <w:t>Notable Achievements in 2021/22</w:t>
      </w:r>
    </w:p>
    <w:p w:rsidR="00F66061" w:rsidRPr="005D4748" w:rsidRDefault="00F66061" w:rsidP="005D4748">
      <w:pPr>
        <w:spacing w:after="0" w:line="240" w:lineRule="auto"/>
        <w:rPr>
          <w:rFonts w:ascii="Arial" w:hAnsi="Arial" w:cs="Arial"/>
          <w:sz w:val="20"/>
          <w:szCs w:val="20"/>
          <w:lang w:val="en-GB"/>
        </w:rPr>
      </w:pPr>
    </w:p>
    <w:p w:rsidR="00F161E6" w:rsidRPr="005D4748" w:rsidRDefault="00F161E6" w:rsidP="005D4748">
      <w:pPr>
        <w:pStyle w:val="ListParagraph"/>
        <w:numPr>
          <w:ilvl w:val="0"/>
          <w:numId w:val="11"/>
        </w:numPr>
        <w:spacing w:after="0" w:line="240" w:lineRule="auto"/>
        <w:ind w:left="567" w:hanging="567"/>
        <w:contextualSpacing w:val="0"/>
        <w:rPr>
          <w:rFonts w:ascii="Arial" w:hAnsi="Arial" w:cs="Arial"/>
          <w:sz w:val="20"/>
          <w:szCs w:val="20"/>
        </w:rPr>
      </w:pPr>
      <w:r w:rsidRPr="005D4748">
        <w:rPr>
          <w:rFonts w:ascii="Arial" w:hAnsi="Arial" w:cs="Arial"/>
          <w:sz w:val="20"/>
          <w:szCs w:val="20"/>
        </w:rPr>
        <w:t>In relation to efforts to implement the 2019 STI White Paper and finalise the 2021-2031 STI Decadal Plan, the following milestones were achieved:</w:t>
      </w:r>
    </w:p>
    <w:p w:rsidR="00F161E6" w:rsidRPr="005D4748" w:rsidRDefault="00F161E6" w:rsidP="005D4748">
      <w:pPr>
        <w:pStyle w:val="ListParagraph"/>
        <w:numPr>
          <w:ilvl w:val="1"/>
          <w:numId w:val="11"/>
        </w:numPr>
        <w:spacing w:after="0" w:line="240" w:lineRule="auto"/>
        <w:ind w:left="1134" w:hanging="567"/>
        <w:contextualSpacing w:val="0"/>
        <w:rPr>
          <w:rFonts w:ascii="Arial" w:hAnsi="Arial" w:cs="Arial"/>
          <w:sz w:val="20"/>
          <w:szCs w:val="20"/>
        </w:rPr>
      </w:pPr>
      <w:r w:rsidRPr="005D4748">
        <w:rPr>
          <w:rFonts w:ascii="Arial" w:hAnsi="Arial" w:cs="Arial"/>
          <w:sz w:val="20"/>
          <w:szCs w:val="20"/>
        </w:rPr>
        <w:t xml:space="preserve">The first Interministerial Committee (IMC) on STI was held in November 2021 and </w:t>
      </w:r>
      <w:r w:rsidR="006C1561" w:rsidRPr="005D4748">
        <w:rPr>
          <w:rFonts w:ascii="Arial" w:hAnsi="Arial" w:cs="Arial"/>
          <w:sz w:val="20"/>
          <w:szCs w:val="20"/>
        </w:rPr>
        <w:t xml:space="preserve">the </w:t>
      </w:r>
      <w:r w:rsidRPr="005D4748">
        <w:rPr>
          <w:rFonts w:ascii="Arial" w:hAnsi="Arial" w:cs="Arial"/>
          <w:sz w:val="20"/>
          <w:szCs w:val="20"/>
        </w:rPr>
        <w:t xml:space="preserve">Ministers and Directors-General </w:t>
      </w:r>
      <w:r w:rsidR="006C1561" w:rsidRPr="005D4748">
        <w:rPr>
          <w:rFonts w:ascii="Arial" w:hAnsi="Arial" w:cs="Arial"/>
          <w:sz w:val="20"/>
          <w:szCs w:val="20"/>
        </w:rPr>
        <w:t xml:space="preserve">that were </w:t>
      </w:r>
      <w:r w:rsidRPr="005D4748">
        <w:rPr>
          <w:rFonts w:ascii="Arial" w:hAnsi="Arial" w:cs="Arial"/>
          <w:sz w:val="20"/>
          <w:szCs w:val="20"/>
        </w:rPr>
        <w:t>in attendance expressed their support for the STI Decadal Plan initiatives, and committed to working together to realise the vision of the STI White Paper.</w:t>
      </w:r>
    </w:p>
    <w:p w:rsidR="00F161E6" w:rsidRPr="005D4748" w:rsidRDefault="00F161E6" w:rsidP="005D4748">
      <w:pPr>
        <w:pStyle w:val="ListParagraph"/>
        <w:numPr>
          <w:ilvl w:val="1"/>
          <w:numId w:val="11"/>
        </w:numPr>
        <w:spacing w:after="0" w:line="240" w:lineRule="auto"/>
        <w:ind w:left="1134" w:hanging="567"/>
        <w:contextualSpacing w:val="0"/>
        <w:rPr>
          <w:rFonts w:ascii="Arial" w:hAnsi="Arial" w:cs="Arial"/>
          <w:sz w:val="20"/>
          <w:szCs w:val="20"/>
        </w:rPr>
      </w:pPr>
      <w:r w:rsidRPr="005D4748">
        <w:rPr>
          <w:rFonts w:ascii="Arial" w:hAnsi="Arial" w:cs="Arial"/>
          <w:sz w:val="20"/>
          <w:szCs w:val="20"/>
        </w:rPr>
        <w:t>A number of engagements were held on the STI Public Budget Coordination Mechanism where the support of provincial governments for the principles of the budget coordination mechanism were obtained, and it was agreed that provinces would earmark the procurement of R&amp;D by their own entities (rather than by consultants) as focus items for STI spending going forward.</w:t>
      </w:r>
    </w:p>
    <w:p w:rsidR="00F66061" w:rsidRPr="005D4748" w:rsidRDefault="00F66061" w:rsidP="005D4748">
      <w:pPr>
        <w:spacing w:after="0" w:line="240" w:lineRule="auto"/>
        <w:rPr>
          <w:rFonts w:ascii="Arial" w:hAnsi="Arial" w:cs="Arial"/>
          <w:sz w:val="20"/>
          <w:szCs w:val="20"/>
          <w:lang w:val="en-GB"/>
        </w:rPr>
      </w:pPr>
    </w:p>
    <w:p w:rsidR="00F161E6" w:rsidRPr="005D4748" w:rsidRDefault="00F161E6" w:rsidP="005D4748">
      <w:pPr>
        <w:pStyle w:val="ListParagraph"/>
        <w:numPr>
          <w:ilvl w:val="0"/>
          <w:numId w:val="11"/>
        </w:numPr>
        <w:spacing w:after="0" w:line="240" w:lineRule="auto"/>
        <w:ind w:left="567" w:hanging="567"/>
        <w:contextualSpacing w:val="0"/>
        <w:rPr>
          <w:rFonts w:ascii="Arial" w:hAnsi="Arial" w:cs="Arial"/>
          <w:sz w:val="20"/>
          <w:szCs w:val="20"/>
        </w:rPr>
      </w:pPr>
      <w:r w:rsidRPr="005D4748">
        <w:rPr>
          <w:rFonts w:ascii="Arial" w:hAnsi="Arial" w:cs="Arial"/>
          <w:sz w:val="20"/>
          <w:szCs w:val="20"/>
        </w:rPr>
        <w:t>The Department has been supporting the development of domestic rocket engine technologies since 2010. The Aerospace Systems Research Group at the University of KwaZulu-Natal spearheaded the development of rocket engine technologies in both liquid and solid rockets. The Ablative Blow-down Liquid Engine (ABLE) was successfully tested in November 2021 at the Denel Overberg Test Range in the Western Cape. The powerful liquid-propellant rocket engine is the first step towards locally developing a launch vehicle for placing satellites into orbit. Furthermore, ABLE is one of the most powerful student-built liquid rocket engines ever produced.</w:t>
      </w:r>
    </w:p>
    <w:p w:rsidR="00F66061" w:rsidRPr="005D4748" w:rsidRDefault="00F66061" w:rsidP="005D4748">
      <w:pPr>
        <w:spacing w:after="0" w:line="240" w:lineRule="auto"/>
        <w:rPr>
          <w:rFonts w:ascii="Arial" w:hAnsi="Arial" w:cs="Arial"/>
          <w:sz w:val="20"/>
          <w:szCs w:val="20"/>
          <w:lang w:val="en-GB"/>
        </w:rPr>
      </w:pPr>
    </w:p>
    <w:p w:rsidR="00F161E6" w:rsidRPr="005D4748" w:rsidRDefault="00F161E6" w:rsidP="005D4748">
      <w:pPr>
        <w:pStyle w:val="ListParagraph"/>
        <w:numPr>
          <w:ilvl w:val="0"/>
          <w:numId w:val="11"/>
        </w:numPr>
        <w:spacing w:after="0" w:line="240" w:lineRule="auto"/>
        <w:ind w:left="567" w:hanging="567"/>
        <w:contextualSpacing w:val="0"/>
        <w:rPr>
          <w:rFonts w:ascii="Arial" w:hAnsi="Arial" w:cs="Arial"/>
          <w:sz w:val="20"/>
          <w:szCs w:val="20"/>
        </w:rPr>
      </w:pPr>
      <w:r w:rsidRPr="005D4748">
        <w:rPr>
          <w:rFonts w:ascii="Arial" w:hAnsi="Arial" w:cs="Arial"/>
          <w:sz w:val="20"/>
          <w:szCs w:val="20"/>
        </w:rPr>
        <w:t>Through The Grassroots Innovation Programme (GIP) and the Technology Acquisition and Deployment Fund (TADF), the Department facilitated access to multi-tiered support packages (including technology development, IP protection, mentorship, etc.) for over 100 beneficiaries. This support for the commercialisation of locally developed technologies and innovations by youth, women and people with disabilities, benefited unemployed graduates emerging as entrepreneurs. The GIP launched 10 innovation products on the market. The programme will now expand its offering to include GIP Robotics, GIP Enterprise and GIP Exchange, which will facilitate technology exchange between South African grassroots entrepreneurs and their Indian counterparts.</w:t>
      </w:r>
    </w:p>
    <w:p w:rsidR="00F66061" w:rsidRPr="005D4748" w:rsidRDefault="00F66061" w:rsidP="005D4748">
      <w:pPr>
        <w:spacing w:after="0" w:line="240" w:lineRule="auto"/>
        <w:rPr>
          <w:rFonts w:ascii="Arial" w:hAnsi="Arial" w:cs="Arial"/>
          <w:sz w:val="20"/>
          <w:szCs w:val="20"/>
          <w:lang w:val="en-GB"/>
        </w:rPr>
      </w:pPr>
    </w:p>
    <w:p w:rsidR="00842C53" w:rsidRPr="005D4748" w:rsidRDefault="00842C53" w:rsidP="005D4748">
      <w:pPr>
        <w:pStyle w:val="ListParagraph"/>
        <w:numPr>
          <w:ilvl w:val="0"/>
          <w:numId w:val="11"/>
        </w:numPr>
        <w:spacing w:after="0" w:line="240" w:lineRule="auto"/>
        <w:ind w:left="567" w:hanging="567"/>
        <w:contextualSpacing w:val="0"/>
        <w:rPr>
          <w:rFonts w:ascii="Arial" w:hAnsi="Arial" w:cs="Arial"/>
          <w:sz w:val="20"/>
          <w:szCs w:val="20"/>
        </w:rPr>
      </w:pPr>
      <w:r w:rsidRPr="005D4748">
        <w:rPr>
          <w:rFonts w:ascii="Arial" w:hAnsi="Arial" w:cs="Arial"/>
          <w:sz w:val="20"/>
          <w:szCs w:val="20"/>
        </w:rPr>
        <w:t xml:space="preserve">A notable achievement in the year under review was the critical role played by the Department in positioning South Africa as the host for the mRNA Vaccine Technology Transfer Hub, an initiative of the World Health Organization in partnership with the South African and French governments and the Medicines Patent Pool. The aim of the </w:t>
      </w:r>
      <w:r w:rsidR="0035156A" w:rsidRPr="005D4748">
        <w:rPr>
          <w:rFonts w:ascii="Arial" w:hAnsi="Arial" w:cs="Arial"/>
          <w:sz w:val="20"/>
          <w:szCs w:val="20"/>
        </w:rPr>
        <w:t>H</w:t>
      </w:r>
      <w:r w:rsidRPr="005D4748">
        <w:rPr>
          <w:rFonts w:ascii="Arial" w:hAnsi="Arial" w:cs="Arial"/>
          <w:sz w:val="20"/>
          <w:szCs w:val="20"/>
        </w:rPr>
        <w:t xml:space="preserve">ub is to diversify vaccine manufacturing and, specifically, to accelerate vaccine production in Africa, through a consortium made up of the Medicines Patent Pool, Biovac, Afrigen Biologics and Vaccines, the Department, </w:t>
      </w:r>
      <w:r w:rsidRPr="005D4748">
        <w:rPr>
          <w:rFonts w:ascii="Arial" w:hAnsi="Arial" w:cs="Arial"/>
          <w:sz w:val="20"/>
          <w:szCs w:val="20"/>
        </w:rPr>
        <w:lastRenderedPageBreak/>
        <w:t xml:space="preserve">the </w:t>
      </w:r>
      <w:r w:rsidR="0035156A" w:rsidRPr="005D4748">
        <w:rPr>
          <w:rFonts w:ascii="Arial" w:hAnsi="Arial" w:cs="Arial"/>
          <w:sz w:val="20"/>
          <w:szCs w:val="20"/>
        </w:rPr>
        <w:t>SAMRC</w:t>
      </w:r>
      <w:r w:rsidRPr="005D4748">
        <w:rPr>
          <w:rFonts w:ascii="Arial" w:hAnsi="Arial" w:cs="Arial"/>
          <w:sz w:val="20"/>
          <w:szCs w:val="20"/>
        </w:rPr>
        <w:t xml:space="preserve">, a network of universities and the Africa Centres for Disease Control and Prevention. The main objective is to establish a training facility where mRNA </w:t>
      </w:r>
      <w:r w:rsidR="0035156A" w:rsidRPr="005D4748">
        <w:rPr>
          <w:rFonts w:ascii="Arial" w:hAnsi="Arial" w:cs="Arial"/>
          <w:sz w:val="20"/>
          <w:szCs w:val="20"/>
        </w:rPr>
        <w:t xml:space="preserve">vaccine </w:t>
      </w:r>
      <w:r w:rsidRPr="005D4748">
        <w:rPr>
          <w:rFonts w:ascii="Arial" w:hAnsi="Arial" w:cs="Arial"/>
          <w:sz w:val="20"/>
          <w:szCs w:val="20"/>
        </w:rPr>
        <w:t>technology is developed to the scale required for the mass production of vaccines, and for the full package of technology developed to be transferrable to multiple recipients in low and middle-income countries.</w:t>
      </w:r>
    </w:p>
    <w:p w:rsidR="00F66061" w:rsidRPr="005D4748" w:rsidRDefault="00F66061" w:rsidP="005D4748">
      <w:pPr>
        <w:spacing w:after="0" w:line="240" w:lineRule="auto"/>
        <w:rPr>
          <w:rFonts w:ascii="Arial" w:hAnsi="Arial" w:cs="Arial"/>
          <w:sz w:val="20"/>
          <w:szCs w:val="20"/>
          <w:lang w:val="en-GB"/>
        </w:rPr>
      </w:pPr>
    </w:p>
    <w:p w:rsidR="00842C53" w:rsidRPr="005D4748" w:rsidRDefault="00842C53" w:rsidP="005D4748">
      <w:pPr>
        <w:pStyle w:val="ListParagraph"/>
        <w:numPr>
          <w:ilvl w:val="0"/>
          <w:numId w:val="11"/>
        </w:numPr>
        <w:spacing w:after="0" w:line="240" w:lineRule="auto"/>
        <w:ind w:left="567" w:hanging="567"/>
        <w:contextualSpacing w:val="0"/>
        <w:rPr>
          <w:rFonts w:ascii="Arial" w:hAnsi="Arial" w:cs="Arial"/>
          <w:sz w:val="20"/>
          <w:szCs w:val="20"/>
        </w:rPr>
      </w:pPr>
      <w:r w:rsidRPr="005D4748">
        <w:rPr>
          <w:rFonts w:ascii="Arial" w:hAnsi="Arial" w:cs="Arial"/>
          <w:sz w:val="20"/>
          <w:szCs w:val="20"/>
        </w:rPr>
        <w:t xml:space="preserve">To strengthen the use of IK for innovation, the Department and North-West University launched the </w:t>
      </w:r>
      <w:r w:rsidR="00041ED5" w:rsidRPr="005D4748">
        <w:rPr>
          <w:rFonts w:ascii="Arial" w:hAnsi="Arial" w:cs="Arial"/>
          <w:sz w:val="20"/>
          <w:szCs w:val="20"/>
        </w:rPr>
        <w:t>IK</w:t>
      </w:r>
      <w:r w:rsidRPr="005D4748">
        <w:rPr>
          <w:rFonts w:ascii="Arial" w:hAnsi="Arial" w:cs="Arial"/>
          <w:sz w:val="20"/>
          <w:szCs w:val="20"/>
        </w:rPr>
        <w:t xml:space="preserve"> Registration System in March 2022.</w:t>
      </w:r>
    </w:p>
    <w:p w:rsidR="00F66061" w:rsidRPr="005D4748" w:rsidRDefault="00F66061" w:rsidP="005D4748">
      <w:pPr>
        <w:spacing w:after="0" w:line="240" w:lineRule="auto"/>
        <w:rPr>
          <w:rFonts w:ascii="Arial" w:hAnsi="Arial" w:cs="Arial"/>
          <w:sz w:val="20"/>
          <w:szCs w:val="20"/>
          <w:lang w:val="en-GB"/>
        </w:rPr>
      </w:pPr>
    </w:p>
    <w:p w:rsidR="00394E8E" w:rsidRPr="005D4748" w:rsidRDefault="00394E8E" w:rsidP="005D4748">
      <w:pPr>
        <w:pStyle w:val="ListParagraph"/>
        <w:numPr>
          <w:ilvl w:val="1"/>
          <w:numId w:val="1"/>
        </w:numPr>
        <w:spacing w:after="0" w:line="240" w:lineRule="auto"/>
        <w:ind w:left="567" w:hanging="567"/>
        <w:rPr>
          <w:rFonts w:ascii="Arial" w:hAnsi="Arial" w:cs="Arial"/>
          <w:b/>
          <w:sz w:val="20"/>
          <w:szCs w:val="20"/>
          <w:lang w:val="en-GB"/>
        </w:rPr>
      </w:pPr>
      <w:r w:rsidRPr="005D4748">
        <w:rPr>
          <w:rFonts w:ascii="Arial" w:hAnsi="Arial" w:cs="Arial"/>
          <w:b/>
          <w:sz w:val="20"/>
          <w:szCs w:val="20"/>
          <w:lang w:val="en-GB"/>
        </w:rPr>
        <w:t xml:space="preserve">Auditor-General’s </w:t>
      </w:r>
      <w:r w:rsidR="00D62F97" w:rsidRPr="005D4748">
        <w:rPr>
          <w:rFonts w:ascii="Arial" w:hAnsi="Arial" w:cs="Arial"/>
          <w:b/>
          <w:sz w:val="20"/>
          <w:szCs w:val="20"/>
          <w:lang w:val="en-GB"/>
        </w:rPr>
        <w:t>Test of</w:t>
      </w:r>
      <w:r w:rsidRPr="005D4748">
        <w:rPr>
          <w:rFonts w:ascii="Arial" w:hAnsi="Arial" w:cs="Arial"/>
          <w:b/>
          <w:sz w:val="20"/>
          <w:szCs w:val="20"/>
          <w:lang w:val="en-GB"/>
        </w:rPr>
        <w:t xml:space="preserve"> the</w:t>
      </w:r>
      <w:r w:rsidR="00D62F97" w:rsidRPr="005D4748">
        <w:rPr>
          <w:rFonts w:ascii="Arial" w:hAnsi="Arial" w:cs="Arial"/>
          <w:b/>
          <w:sz w:val="20"/>
          <w:szCs w:val="20"/>
          <w:lang w:val="en-GB"/>
        </w:rPr>
        <w:t xml:space="preserve"> Performance </w:t>
      </w:r>
      <w:r w:rsidR="001F70FA" w:rsidRPr="005D4748">
        <w:rPr>
          <w:rFonts w:ascii="Arial" w:hAnsi="Arial" w:cs="Arial"/>
          <w:b/>
          <w:sz w:val="20"/>
          <w:szCs w:val="20"/>
          <w:lang w:val="en-GB"/>
        </w:rPr>
        <w:t>Information</w:t>
      </w:r>
      <w:r w:rsidRPr="005D4748">
        <w:rPr>
          <w:rFonts w:ascii="Arial" w:hAnsi="Arial" w:cs="Arial"/>
          <w:b/>
          <w:sz w:val="20"/>
          <w:szCs w:val="20"/>
          <w:lang w:val="en-GB"/>
        </w:rPr>
        <w:t xml:space="preserve"> of the </w:t>
      </w:r>
      <w:r w:rsidR="007C64D4" w:rsidRPr="005D4748">
        <w:rPr>
          <w:rFonts w:ascii="Arial" w:hAnsi="Arial" w:cs="Arial"/>
          <w:b/>
          <w:sz w:val="20"/>
          <w:szCs w:val="20"/>
          <w:lang w:val="en-GB"/>
        </w:rPr>
        <w:t>Department of Science and Innovation</w:t>
      </w:r>
    </w:p>
    <w:p w:rsidR="006E0130" w:rsidRPr="005D4748" w:rsidRDefault="006E0130" w:rsidP="005D4748">
      <w:pPr>
        <w:spacing w:after="0" w:line="240" w:lineRule="auto"/>
        <w:rPr>
          <w:rFonts w:ascii="Arial" w:hAnsi="Arial" w:cs="Arial"/>
          <w:sz w:val="20"/>
          <w:szCs w:val="20"/>
          <w:lang w:val="en-GB"/>
        </w:rPr>
      </w:pPr>
    </w:p>
    <w:p w:rsidR="006E0130" w:rsidRPr="005D4748" w:rsidRDefault="006E0130" w:rsidP="005D4748">
      <w:pPr>
        <w:spacing w:after="0" w:line="240" w:lineRule="auto"/>
        <w:rPr>
          <w:rFonts w:ascii="Arial" w:hAnsi="Arial" w:cs="Arial"/>
          <w:sz w:val="20"/>
          <w:szCs w:val="20"/>
          <w:lang w:val="en-GB"/>
        </w:rPr>
      </w:pPr>
      <w:r w:rsidRPr="005D4748">
        <w:rPr>
          <w:rFonts w:ascii="Arial" w:hAnsi="Arial" w:cs="Arial"/>
          <w:sz w:val="20"/>
          <w:szCs w:val="20"/>
          <w:lang w:val="en-GB"/>
        </w:rPr>
        <w:t xml:space="preserve">The </w:t>
      </w:r>
      <w:r w:rsidR="00F76015" w:rsidRPr="005D4748">
        <w:rPr>
          <w:rFonts w:ascii="Arial" w:hAnsi="Arial" w:cs="Arial"/>
          <w:sz w:val="20"/>
          <w:szCs w:val="20"/>
          <w:lang w:val="en-GB"/>
        </w:rPr>
        <w:t>AGSA</w:t>
      </w:r>
      <w:r w:rsidRPr="005D4748">
        <w:rPr>
          <w:rFonts w:ascii="Arial" w:hAnsi="Arial" w:cs="Arial"/>
          <w:sz w:val="20"/>
          <w:szCs w:val="20"/>
          <w:lang w:val="en-GB"/>
        </w:rPr>
        <w:t xml:space="preserve"> </w:t>
      </w:r>
      <w:r w:rsidR="003F74D4" w:rsidRPr="005D4748">
        <w:rPr>
          <w:rFonts w:ascii="Arial" w:hAnsi="Arial" w:cs="Arial"/>
          <w:sz w:val="20"/>
          <w:szCs w:val="20"/>
          <w:lang w:val="en-GB"/>
        </w:rPr>
        <w:t>does not express an opinion or conclusion on the reported performance information. Neither does the AGSA evaluate the completeness and appropriateness of the performance indicators. However, the AGSA does test the usefulness and reliability of the reported performance information for selected Programmes. In this case, Programme 2</w:t>
      </w:r>
      <w:r w:rsidR="00842C53" w:rsidRPr="005D4748">
        <w:rPr>
          <w:rFonts w:ascii="Arial" w:hAnsi="Arial" w:cs="Arial"/>
          <w:sz w:val="20"/>
          <w:szCs w:val="20"/>
          <w:lang w:val="en-GB"/>
        </w:rPr>
        <w:t>: Technology Innovation</w:t>
      </w:r>
      <w:r w:rsidR="003F74D4" w:rsidRPr="005D4748">
        <w:rPr>
          <w:rFonts w:ascii="Arial" w:hAnsi="Arial" w:cs="Arial"/>
          <w:sz w:val="20"/>
          <w:szCs w:val="20"/>
          <w:lang w:val="en-GB"/>
        </w:rPr>
        <w:t xml:space="preserve"> was selected. During the audit process, the AGSA identified material misstatements in the annual performance report of Programme 2: Technology Innovation. However, since the Department’s management corrected these misstatements, the AGSA did not raise any material findings on the usefulness and reliability of the reported information for this Programme</w:t>
      </w:r>
      <w:r w:rsidR="00736025" w:rsidRPr="005D4748">
        <w:rPr>
          <w:rFonts w:ascii="Arial" w:hAnsi="Arial" w:cs="Arial"/>
          <w:sz w:val="20"/>
          <w:szCs w:val="20"/>
          <w:lang w:val="en-GB"/>
        </w:rPr>
        <w:t>.</w:t>
      </w:r>
    </w:p>
    <w:p w:rsidR="00293950" w:rsidRPr="005D4748" w:rsidRDefault="00293950" w:rsidP="005D4748">
      <w:pPr>
        <w:spacing w:after="0" w:line="240" w:lineRule="auto"/>
        <w:rPr>
          <w:rFonts w:ascii="Arial" w:hAnsi="Arial" w:cs="Arial"/>
          <w:sz w:val="20"/>
          <w:szCs w:val="20"/>
          <w:lang w:val="en-GB"/>
        </w:rPr>
      </w:pPr>
    </w:p>
    <w:p w:rsidR="00293950" w:rsidRPr="005D4748" w:rsidRDefault="00293950" w:rsidP="005D4748">
      <w:pPr>
        <w:pStyle w:val="ListParagraph"/>
        <w:numPr>
          <w:ilvl w:val="0"/>
          <w:numId w:val="1"/>
        </w:numPr>
        <w:spacing w:after="0" w:line="240" w:lineRule="auto"/>
        <w:ind w:left="0" w:firstLine="0"/>
        <w:rPr>
          <w:rFonts w:ascii="Arial" w:eastAsia="Times New Roman" w:hAnsi="Arial" w:cs="Arial"/>
          <w:sz w:val="20"/>
          <w:szCs w:val="20"/>
          <w:lang w:val="en-GB"/>
        </w:rPr>
      </w:pPr>
      <w:r w:rsidRPr="005D4748">
        <w:rPr>
          <w:rFonts w:ascii="Arial" w:eastAsia="Times New Roman" w:hAnsi="Arial" w:cs="Arial"/>
          <w:b/>
          <w:sz w:val="20"/>
          <w:szCs w:val="20"/>
          <w:lang w:val="en-GB"/>
        </w:rPr>
        <w:t>ENTITIES OF THE DEPARTMENT OF SCIENCE AND INNOVATION</w:t>
      </w:r>
    </w:p>
    <w:p w:rsidR="00293950" w:rsidRPr="005D4748" w:rsidRDefault="00293950" w:rsidP="005D4748">
      <w:pPr>
        <w:pStyle w:val="ListParagraph"/>
        <w:spacing w:after="0" w:line="240" w:lineRule="auto"/>
        <w:ind w:left="0"/>
        <w:rPr>
          <w:rFonts w:ascii="Arial" w:eastAsia="Times New Roman" w:hAnsi="Arial" w:cs="Arial"/>
          <w:sz w:val="20"/>
          <w:szCs w:val="20"/>
          <w:lang w:val="en-GB"/>
        </w:rPr>
      </w:pPr>
    </w:p>
    <w:p w:rsidR="00293950" w:rsidRPr="005D4748" w:rsidRDefault="00293950" w:rsidP="005D4748">
      <w:pPr>
        <w:pStyle w:val="ListParagraph"/>
        <w:spacing w:after="0" w:line="240" w:lineRule="auto"/>
        <w:ind w:left="0"/>
        <w:rPr>
          <w:rFonts w:ascii="Arial" w:eastAsia="Times New Roman" w:hAnsi="Arial" w:cs="Arial"/>
          <w:sz w:val="20"/>
          <w:szCs w:val="20"/>
          <w:lang w:val="en-GB"/>
        </w:rPr>
      </w:pPr>
      <w:r w:rsidRPr="005D4748">
        <w:rPr>
          <w:rFonts w:ascii="Arial" w:eastAsia="Times New Roman" w:hAnsi="Arial" w:cs="Arial"/>
          <w:sz w:val="20"/>
          <w:szCs w:val="20"/>
          <w:lang w:val="en-GB"/>
        </w:rPr>
        <w:t xml:space="preserve">The Department’s entities are funded through an annual baseline allocation also known as the </w:t>
      </w:r>
      <w:r w:rsidR="009804A0" w:rsidRPr="005D4748">
        <w:rPr>
          <w:rFonts w:ascii="Arial" w:eastAsia="Times New Roman" w:hAnsi="Arial" w:cs="Arial"/>
          <w:sz w:val="20"/>
          <w:szCs w:val="20"/>
          <w:lang w:val="en-GB"/>
        </w:rPr>
        <w:t>p</w:t>
      </w:r>
      <w:r w:rsidRPr="005D4748">
        <w:rPr>
          <w:rFonts w:ascii="Arial" w:eastAsia="Times New Roman" w:hAnsi="Arial" w:cs="Arial"/>
          <w:sz w:val="20"/>
          <w:szCs w:val="20"/>
          <w:lang w:val="en-GB"/>
        </w:rPr>
        <w:t>arliamentary grant</w:t>
      </w:r>
      <w:r w:rsidR="00836D83" w:rsidRPr="005D4748">
        <w:rPr>
          <w:rFonts w:ascii="Arial" w:eastAsia="Times New Roman" w:hAnsi="Arial" w:cs="Arial"/>
          <w:sz w:val="20"/>
          <w:szCs w:val="20"/>
          <w:lang w:val="en-GB"/>
        </w:rPr>
        <w:t>;</w:t>
      </w:r>
      <w:r w:rsidRPr="005D4748">
        <w:rPr>
          <w:rFonts w:ascii="Arial" w:eastAsia="Times New Roman" w:hAnsi="Arial" w:cs="Arial"/>
          <w:sz w:val="20"/>
          <w:szCs w:val="20"/>
          <w:lang w:val="en-GB"/>
        </w:rPr>
        <w:t xml:space="preserve"> specific project and/or contract funds; or from income that is generated from research and commissioned projects</w:t>
      </w:r>
      <w:r w:rsidR="00836D83" w:rsidRPr="005D4748">
        <w:rPr>
          <w:rFonts w:ascii="Arial" w:eastAsia="Times New Roman" w:hAnsi="Arial" w:cs="Arial"/>
          <w:sz w:val="20"/>
          <w:szCs w:val="20"/>
          <w:lang w:val="en-GB"/>
        </w:rPr>
        <w:t>;</w:t>
      </w:r>
      <w:r w:rsidRPr="005D4748">
        <w:rPr>
          <w:rFonts w:ascii="Arial" w:eastAsia="Times New Roman" w:hAnsi="Arial" w:cs="Arial"/>
          <w:sz w:val="20"/>
          <w:szCs w:val="20"/>
          <w:lang w:val="en-GB"/>
        </w:rPr>
        <w:t xml:space="preserve"> or from income that is generated from royalty, publishing, membership, registration and/or facility fees.</w:t>
      </w:r>
    </w:p>
    <w:p w:rsidR="009804A0" w:rsidRPr="005D4748" w:rsidRDefault="009804A0" w:rsidP="005D4748">
      <w:pPr>
        <w:pStyle w:val="ListParagraph"/>
        <w:spacing w:after="0" w:line="240" w:lineRule="auto"/>
        <w:ind w:left="0"/>
        <w:rPr>
          <w:rFonts w:ascii="Arial" w:eastAsia="Times New Roman" w:hAnsi="Arial" w:cs="Arial"/>
          <w:sz w:val="20"/>
          <w:szCs w:val="20"/>
          <w:lang w:val="en-GB"/>
        </w:rPr>
      </w:pPr>
    </w:p>
    <w:p w:rsidR="009804A0" w:rsidRPr="005D4748" w:rsidRDefault="009804A0" w:rsidP="005D4748">
      <w:pPr>
        <w:spacing w:after="0" w:line="240" w:lineRule="auto"/>
        <w:rPr>
          <w:rFonts w:ascii="Arial" w:eastAsia="Times New Roman" w:hAnsi="Arial" w:cs="Arial"/>
          <w:sz w:val="20"/>
          <w:szCs w:val="20"/>
          <w:lang w:val="en-GB"/>
        </w:rPr>
      </w:pPr>
      <w:r w:rsidRPr="005D4748">
        <w:rPr>
          <w:rFonts w:ascii="Arial" w:hAnsi="Arial" w:cs="Arial"/>
          <w:sz w:val="20"/>
          <w:szCs w:val="20"/>
          <w:lang w:val="en-GB"/>
        </w:rPr>
        <w:t>For the current reporting period, the Committee considered the 2021/22 Annual Reports of the CSIR, HSRC, NRF, SANSA and TIA.</w:t>
      </w:r>
    </w:p>
    <w:p w:rsidR="00293950" w:rsidRPr="005D4748" w:rsidRDefault="00293950" w:rsidP="005D4748">
      <w:pPr>
        <w:spacing w:after="0" w:line="240" w:lineRule="auto"/>
        <w:rPr>
          <w:rFonts w:ascii="Arial" w:hAnsi="Arial" w:cs="Arial"/>
          <w:sz w:val="20"/>
          <w:szCs w:val="20"/>
          <w:lang w:val="en-GB"/>
        </w:rPr>
      </w:pPr>
    </w:p>
    <w:p w:rsidR="00293950" w:rsidRPr="005D4748" w:rsidRDefault="002769C9" w:rsidP="005D4748">
      <w:pPr>
        <w:spacing w:after="0" w:line="240" w:lineRule="auto"/>
        <w:rPr>
          <w:rFonts w:ascii="Arial" w:hAnsi="Arial" w:cs="Arial"/>
          <w:b/>
          <w:sz w:val="20"/>
          <w:szCs w:val="20"/>
          <w:lang w:val="en-GB"/>
        </w:rPr>
      </w:pPr>
      <w:r w:rsidRPr="005D4748">
        <w:rPr>
          <w:rFonts w:ascii="Arial" w:hAnsi="Arial" w:cs="Arial"/>
          <w:b/>
          <w:sz w:val="20"/>
          <w:szCs w:val="20"/>
          <w:lang w:val="en-GB"/>
        </w:rPr>
        <w:t xml:space="preserve">Table </w:t>
      </w:r>
      <w:r w:rsidR="009804A0" w:rsidRPr="005D4748">
        <w:rPr>
          <w:rFonts w:ascii="Arial" w:hAnsi="Arial" w:cs="Arial"/>
          <w:b/>
          <w:sz w:val="20"/>
          <w:szCs w:val="20"/>
          <w:lang w:val="en-GB"/>
        </w:rPr>
        <w:t>4</w:t>
      </w:r>
      <w:r w:rsidRPr="005D4748">
        <w:rPr>
          <w:rFonts w:ascii="Arial" w:hAnsi="Arial" w:cs="Arial"/>
          <w:b/>
          <w:sz w:val="20"/>
          <w:szCs w:val="20"/>
          <w:lang w:val="en-GB"/>
        </w:rPr>
        <w:t>:</w:t>
      </w:r>
      <w:r w:rsidRPr="005D4748">
        <w:rPr>
          <w:rFonts w:ascii="Arial" w:hAnsi="Arial" w:cs="Arial"/>
          <w:b/>
          <w:sz w:val="20"/>
          <w:szCs w:val="20"/>
          <w:lang w:val="en-GB"/>
        </w:rPr>
        <w:tab/>
        <w:t>2021</w:t>
      </w:r>
      <w:r w:rsidR="00087714" w:rsidRPr="005D4748">
        <w:rPr>
          <w:rFonts w:ascii="Arial" w:hAnsi="Arial" w:cs="Arial"/>
          <w:b/>
          <w:sz w:val="20"/>
          <w:szCs w:val="20"/>
          <w:lang w:val="en-GB"/>
        </w:rPr>
        <w:t>/22</w:t>
      </w:r>
      <w:r w:rsidRPr="005D4748">
        <w:rPr>
          <w:rFonts w:ascii="Arial" w:hAnsi="Arial" w:cs="Arial"/>
          <w:b/>
          <w:sz w:val="20"/>
          <w:szCs w:val="20"/>
          <w:lang w:val="en-GB"/>
        </w:rPr>
        <w:t xml:space="preserve"> </w:t>
      </w:r>
      <w:r w:rsidR="001D0201" w:rsidRPr="005D4748">
        <w:rPr>
          <w:rFonts w:ascii="Arial" w:hAnsi="Arial" w:cs="Arial"/>
          <w:b/>
          <w:sz w:val="20"/>
          <w:szCs w:val="20"/>
          <w:lang w:val="en-GB"/>
        </w:rPr>
        <w:t>Departmental transfer</w:t>
      </w:r>
      <w:r w:rsidR="00DE194E" w:rsidRPr="005D4748">
        <w:rPr>
          <w:rFonts w:ascii="Arial" w:hAnsi="Arial" w:cs="Arial"/>
          <w:b/>
          <w:sz w:val="20"/>
          <w:szCs w:val="20"/>
          <w:lang w:val="en-GB"/>
        </w:rPr>
        <w:t>s</w:t>
      </w:r>
      <w:r w:rsidRPr="005D4748">
        <w:rPr>
          <w:rFonts w:ascii="Arial" w:hAnsi="Arial" w:cs="Arial"/>
          <w:b/>
          <w:sz w:val="20"/>
          <w:szCs w:val="20"/>
          <w:lang w:val="en-GB"/>
        </w:rPr>
        <w:t xml:space="preserve"> </w:t>
      </w:r>
      <w:r w:rsidR="008674C4" w:rsidRPr="005D4748">
        <w:rPr>
          <w:rFonts w:ascii="Arial" w:hAnsi="Arial" w:cs="Arial"/>
          <w:b/>
          <w:sz w:val="20"/>
          <w:szCs w:val="20"/>
          <w:lang w:val="en-GB"/>
        </w:rPr>
        <w:t xml:space="preserve">and performance </w:t>
      </w:r>
      <w:r w:rsidR="00DE194E" w:rsidRPr="005D4748">
        <w:rPr>
          <w:rFonts w:ascii="Arial" w:hAnsi="Arial" w:cs="Arial"/>
          <w:b/>
          <w:sz w:val="20"/>
          <w:szCs w:val="20"/>
          <w:lang w:val="en-GB"/>
        </w:rPr>
        <w:t>summary</w:t>
      </w:r>
      <w:r w:rsidR="008674C4" w:rsidRPr="005D4748">
        <w:rPr>
          <w:rFonts w:ascii="Arial" w:hAnsi="Arial" w:cs="Arial"/>
          <w:b/>
          <w:sz w:val="20"/>
          <w:szCs w:val="20"/>
          <w:lang w:val="en-GB"/>
        </w:rPr>
        <w:t xml:space="preserve"> of</w:t>
      </w:r>
      <w:r w:rsidRPr="005D4748">
        <w:rPr>
          <w:rFonts w:ascii="Arial" w:hAnsi="Arial" w:cs="Arial"/>
          <w:b/>
          <w:sz w:val="20"/>
          <w:szCs w:val="20"/>
          <w:lang w:val="en-GB"/>
        </w:rPr>
        <w:t xml:space="preserve"> the entities of the Department of Science and Innovation</w:t>
      </w:r>
    </w:p>
    <w:tbl>
      <w:tblPr>
        <w:tblStyle w:val="TableGrid"/>
        <w:tblW w:w="5000" w:type="pct"/>
        <w:jc w:val="center"/>
        <w:tblLayout w:type="fixed"/>
        <w:tblLook w:val="04A0"/>
      </w:tblPr>
      <w:tblGrid>
        <w:gridCol w:w="1449"/>
        <w:gridCol w:w="1307"/>
        <w:gridCol w:w="1307"/>
        <w:gridCol w:w="1163"/>
        <w:gridCol w:w="1163"/>
        <w:gridCol w:w="1450"/>
        <w:gridCol w:w="1447"/>
      </w:tblGrid>
      <w:tr w:rsidR="00583C30" w:rsidRPr="005D4748" w:rsidTr="00C51379">
        <w:trPr>
          <w:tblHeader/>
          <w:jc w:val="center"/>
        </w:trPr>
        <w:tc>
          <w:tcPr>
            <w:tcW w:w="780" w:type="pct"/>
            <w:vMerge w:val="restart"/>
            <w:vAlign w:val="center"/>
          </w:tcPr>
          <w:p w:rsidR="00401155" w:rsidRPr="005D4748" w:rsidRDefault="00401155" w:rsidP="005D4748">
            <w:pPr>
              <w:rPr>
                <w:rFonts w:ascii="Arial" w:hAnsi="Arial" w:cs="Arial"/>
                <w:b/>
                <w:sz w:val="20"/>
                <w:szCs w:val="20"/>
                <w:lang w:val="en-GB"/>
              </w:rPr>
            </w:pPr>
            <w:r w:rsidRPr="005D4748">
              <w:rPr>
                <w:rFonts w:ascii="Arial" w:hAnsi="Arial" w:cs="Arial"/>
                <w:b/>
                <w:sz w:val="20"/>
                <w:szCs w:val="20"/>
                <w:lang w:val="en-GB"/>
              </w:rPr>
              <w:t>Entity</w:t>
            </w:r>
          </w:p>
        </w:tc>
        <w:tc>
          <w:tcPr>
            <w:tcW w:w="1408" w:type="pct"/>
            <w:gridSpan w:val="2"/>
            <w:vAlign w:val="center"/>
          </w:tcPr>
          <w:p w:rsidR="00401155" w:rsidRPr="005D4748" w:rsidRDefault="001D0201" w:rsidP="005D4748">
            <w:pPr>
              <w:rPr>
                <w:rFonts w:ascii="Arial" w:hAnsi="Arial" w:cs="Arial"/>
                <w:b/>
                <w:sz w:val="20"/>
                <w:szCs w:val="20"/>
                <w:lang w:val="en-GB"/>
              </w:rPr>
            </w:pPr>
            <w:r w:rsidRPr="005D4748">
              <w:rPr>
                <w:rFonts w:ascii="Arial" w:hAnsi="Arial" w:cs="Arial"/>
                <w:b/>
                <w:sz w:val="20"/>
                <w:szCs w:val="20"/>
                <w:lang w:val="en-GB"/>
              </w:rPr>
              <w:t>Departmental transfer</w:t>
            </w:r>
          </w:p>
          <w:p w:rsidR="00401155" w:rsidRPr="005D4748" w:rsidRDefault="00401155" w:rsidP="005D4748">
            <w:pPr>
              <w:rPr>
                <w:rFonts w:ascii="Arial" w:hAnsi="Arial" w:cs="Arial"/>
                <w:b/>
                <w:sz w:val="20"/>
                <w:szCs w:val="20"/>
                <w:lang w:val="en-GB"/>
              </w:rPr>
            </w:pPr>
            <w:r w:rsidRPr="005D4748">
              <w:rPr>
                <w:rFonts w:ascii="Arial" w:hAnsi="Arial" w:cs="Arial"/>
                <w:b/>
                <w:sz w:val="20"/>
                <w:szCs w:val="20"/>
                <w:lang w:val="en-GB"/>
              </w:rPr>
              <w:t>R’000</w:t>
            </w:r>
          </w:p>
        </w:tc>
        <w:tc>
          <w:tcPr>
            <w:tcW w:w="1252" w:type="pct"/>
            <w:gridSpan w:val="2"/>
            <w:vAlign w:val="center"/>
          </w:tcPr>
          <w:p w:rsidR="00401155" w:rsidRPr="005D4748" w:rsidRDefault="00401155" w:rsidP="005D4748">
            <w:pPr>
              <w:rPr>
                <w:rFonts w:ascii="Arial" w:hAnsi="Arial" w:cs="Arial"/>
                <w:b/>
                <w:sz w:val="20"/>
                <w:szCs w:val="20"/>
                <w:lang w:val="en-GB"/>
              </w:rPr>
            </w:pPr>
            <w:r w:rsidRPr="005D4748">
              <w:rPr>
                <w:rFonts w:ascii="Arial" w:hAnsi="Arial" w:cs="Arial"/>
                <w:b/>
                <w:sz w:val="20"/>
                <w:szCs w:val="20"/>
                <w:lang w:val="en-GB"/>
              </w:rPr>
              <w:t>Performance</w:t>
            </w:r>
          </w:p>
        </w:tc>
        <w:tc>
          <w:tcPr>
            <w:tcW w:w="1560" w:type="pct"/>
            <w:gridSpan w:val="2"/>
            <w:vAlign w:val="center"/>
          </w:tcPr>
          <w:p w:rsidR="00401155" w:rsidRPr="005D4748" w:rsidRDefault="00401155" w:rsidP="005D4748">
            <w:pPr>
              <w:rPr>
                <w:rFonts w:ascii="Arial" w:hAnsi="Arial" w:cs="Arial"/>
                <w:b/>
                <w:sz w:val="20"/>
                <w:szCs w:val="20"/>
                <w:lang w:val="en-GB"/>
              </w:rPr>
            </w:pPr>
            <w:r w:rsidRPr="005D4748">
              <w:rPr>
                <w:rFonts w:ascii="Arial" w:hAnsi="Arial" w:cs="Arial"/>
                <w:b/>
                <w:sz w:val="20"/>
                <w:szCs w:val="20"/>
                <w:lang w:val="en-GB"/>
              </w:rPr>
              <w:t>Audit outcome</w:t>
            </w:r>
          </w:p>
        </w:tc>
      </w:tr>
      <w:tr w:rsidR="00C51379" w:rsidRPr="005D4748" w:rsidTr="00C51379">
        <w:trPr>
          <w:jc w:val="center"/>
        </w:trPr>
        <w:tc>
          <w:tcPr>
            <w:tcW w:w="780" w:type="pct"/>
            <w:vMerge/>
            <w:vAlign w:val="center"/>
          </w:tcPr>
          <w:p w:rsidR="00401155" w:rsidRPr="005D4748" w:rsidRDefault="00401155" w:rsidP="005D4748">
            <w:pPr>
              <w:rPr>
                <w:rFonts w:ascii="Arial" w:hAnsi="Arial" w:cs="Arial"/>
                <w:b/>
                <w:sz w:val="20"/>
                <w:szCs w:val="20"/>
                <w:lang w:val="en-GB"/>
              </w:rPr>
            </w:pPr>
          </w:p>
        </w:tc>
        <w:tc>
          <w:tcPr>
            <w:tcW w:w="704" w:type="pct"/>
            <w:vAlign w:val="center"/>
          </w:tcPr>
          <w:p w:rsidR="00401155" w:rsidRPr="005D4748" w:rsidRDefault="00401155" w:rsidP="005D4748">
            <w:pPr>
              <w:rPr>
                <w:rFonts w:ascii="Arial" w:hAnsi="Arial" w:cs="Arial"/>
                <w:b/>
                <w:sz w:val="20"/>
                <w:szCs w:val="20"/>
                <w:lang w:val="en-GB"/>
              </w:rPr>
            </w:pPr>
            <w:r w:rsidRPr="005D4748">
              <w:rPr>
                <w:rFonts w:ascii="Arial" w:hAnsi="Arial" w:cs="Arial"/>
                <w:b/>
                <w:sz w:val="20"/>
                <w:szCs w:val="20"/>
                <w:lang w:val="en-GB"/>
              </w:rPr>
              <w:t>2020/21</w:t>
            </w:r>
          </w:p>
        </w:tc>
        <w:tc>
          <w:tcPr>
            <w:tcW w:w="704" w:type="pct"/>
            <w:shd w:val="clear" w:color="auto" w:fill="C6D9F1" w:themeFill="text2" w:themeFillTint="33"/>
            <w:vAlign w:val="center"/>
          </w:tcPr>
          <w:p w:rsidR="00401155" w:rsidRPr="005D4748" w:rsidRDefault="00401155" w:rsidP="005D4748">
            <w:pPr>
              <w:rPr>
                <w:rFonts w:ascii="Arial" w:hAnsi="Arial" w:cs="Arial"/>
                <w:b/>
                <w:sz w:val="20"/>
                <w:szCs w:val="20"/>
                <w:lang w:val="en-GB"/>
              </w:rPr>
            </w:pPr>
            <w:r w:rsidRPr="005D4748">
              <w:rPr>
                <w:rFonts w:ascii="Arial" w:hAnsi="Arial" w:cs="Arial"/>
                <w:b/>
                <w:sz w:val="20"/>
                <w:szCs w:val="20"/>
                <w:lang w:val="en-GB"/>
              </w:rPr>
              <w:t>2021/22</w:t>
            </w:r>
          </w:p>
        </w:tc>
        <w:tc>
          <w:tcPr>
            <w:tcW w:w="626" w:type="pct"/>
            <w:vAlign w:val="center"/>
          </w:tcPr>
          <w:p w:rsidR="00401155" w:rsidRPr="005D4748" w:rsidRDefault="00401155" w:rsidP="005D4748">
            <w:pPr>
              <w:rPr>
                <w:rFonts w:ascii="Arial" w:hAnsi="Arial" w:cs="Arial"/>
                <w:b/>
                <w:sz w:val="20"/>
                <w:szCs w:val="20"/>
                <w:lang w:val="en-GB"/>
              </w:rPr>
            </w:pPr>
            <w:r w:rsidRPr="005D4748">
              <w:rPr>
                <w:rFonts w:ascii="Arial" w:hAnsi="Arial" w:cs="Arial"/>
                <w:b/>
                <w:sz w:val="20"/>
                <w:szCs w:val="20"/>
                <w:lang w:val="en-GB"/>
              </w:rPr>
              <w:t>2020/21</w:t>
            </w:r>
          </w:p>
        </w:tc>
        <w:tc>
          <w:tcPr>
            <w:tcW w:w="626" w:type="pct"/>
            <w:shd w:val="clear" w:color="auto" w:fill="C6D9F1" w:themeFill="text2" w:themeFillTint="33"/>
            <w:vAlign w:val="center"/>
          </w:tcPr>
          <w:p w:rsidR="00401155" w:rsidRPr="005D4748" w:rsidRDefault="00401155" w:rsidP="005D4748">
            <w:pPr>
              <w:rPr>
                <w:rFonts w:ascii="Arial" w:hAnsi="Arial" w:cs="Arial"/>
                <w:b/>
                <w:sz w:val="20"/>
                <w:szCs w:val="20"/>
                <w:lang w:val="en-GB"/>
              </w:rPr>
            </w:pPr>
            <w:r w:rsidRPr="005D4748">
              <w:rPr>
                <w:rFonts w:ascii="Arial" w:hAnsi="Arial" w:cs="Arial"/>
                <w:b/>
                <w:sz w:val="20"/>
                <w:szCs w:val="20"/>
                <w:lang w:val="en-GB"/>
              </w:rPr>
              <w:t>2021/22</w:t>
            </w:r>
          </w:p>
        </w:tc>
        <w:tc>
          <w:tcPr>
            <w:tcW w:w="781" w:type="pct"/>
            <w:vAlign w:val="center"/>
          </w:tcPr>
          <w:p w:rsidR="00401155" w:rsidRPr="005D4748" w:rsidRDefault="00401155" w:rsidP="005D4748">
            <w:pPr>
              <w:rPr>
                <w:rFonts w:ascii="Arial" w:hAnsi="Arial" w:cs="Arial"/>
                <w:b/>
                <w:sz w:val="20"/>
                <w:szCs w:val="20"/>
                <w:lang w:val="en-GB"/>
              </w:rPr>
            </w:pPr>
            <w:r w:rsidRPr="005D4748">
              <w:rPr>
                <w:rFonts w:ascii="Arial" w:hAnsi="Arial" w:cs="Arial"/>
                <w:b/>
                <w:sz w:val="20"/>
                <w:szCs w:val="20"/>
                <w:lang w:val="en-GB"/>
              </w:rPr>
              <w:t>2020/21</w:t>
            </w:r>
          </w:p>
        </w:tc>
        <w:tc>
          <w:tcPr>
            <w:tcW w:w="779" w:type="pct"/>
            <w:shd w:val="clear" w:color="auto" w:fill="C6D9F1" w:themeFill="text2" w:themeFillTint="33"/>
            <w:vAlign w:val="center"/>
          </w:tcPr>
          <w:p w:rsidR="00401155" w:rsidRPr="005D4748" w:rsidRDefault="00401155" w:rsidP="005D4748">
            <w:pPr>
              <w:rPr>
                <w:rFonts w:ascii="Arial" w:hAnsi="Arial" w:cs="Arial"/>
                <w:b/>
                <w:sz w:val="20"/>
                <w:szCs w:val="20"/>
                <w:lang w:val="en-GB"/>
              </w:rPr>
            </w:pPr>
            <w:r w:rsidRPr="005D4748">
              <w:rPr>
                <w:rFonts w:ascii="Arial" w:hAnsi="Arial" w:cs="Arial"/>
                <w:b/>
                <w:sz w:val="20"/>
                <w:szCs w:val="20"/>
                <w:lang w:val="en-GB"/>
              </w:rPr>
              <w:t>2021/22</w:t>
            </w:r>
          </w:p>
        </w:tc>
      </w:tr>
      <w:tr w:rsidR="00C51379" w:rsidRPr="005D4748" w:rsidTr="00C51379">
        <w:trPr>
          <w:jc w:val="center"/>
        </w:trPr>
        <w:tc>
          <w:tcPr>
            <w:tcW w:w="780" w:type="pct"/>
          </w:tcPr>
          <w:p w:rsidR="00401155" w:rsidRPr="005D4748" w:rsidRDefault="00401155" w:rsidP="005D4748">
            <w:pPr>
              <w:rPr>
                <w:rFonts w:ascii="Arial" w:hAnsi="Arial" w:cs="Arial"/>
                <w:sz w:val="20"/>
                <w:szCs w:val="20"/>
                <w:lang w:val="en-GB"/>
              </w:rPr>
            </w:pPr>
            <w:r w:rsidRPr="005D4748">
              <w:rPr>
                <w:rFonts w:ascii="Arial" w:eastAsia="Times New Roman" w:hAnsi="Arial" w:cs="Arial"/>
                <w:sz w:val="20"/>
                <w:szCs w:val="20"/>
                <w:lang w:val="en-US"/>
              </w:rPr>
              <w:t>Council for Scientific and Industrial Research</w:t>
            </w:r>
          </w:p>
        </w:tc>
        <w:tc>
          <w:tcPr>
            <w:tcW w:w="704" w:type="pct"/>
            <w:vAlign w:val="center"/>
          </w:tcPr>
          <w:p w:rsidR="00401155" w:rsidRPr="005D4748" w:rsidRDefault="00401155" w:rsidP="005D4748">
            <w:pPr>
              <w:rPr>
                <w:rFonts w:ascii="Arial" w:hAnsi="Arial" w:cs="Arial"/>
                <w:sz w:val="20"/>
                <w:szCs w:val="20"/>
                <w:lang w:val="en-GB"/>
              </w:rPr>
            </w:pPr>
            <w:r w:rsidRPr="005D4748">
              <w:rPr>
                <w:rFonts w:ascii="Arial" w:hAnsi="Arial" w:cs="Arial"/>
                <w:sz w:val="20"/>
                <w:szCs w:val="20"/>
                <w:lang w:val="en-GB"/>
              </w:rPr>
              <w:t>893 581</w:t>
            </w:r>
          </w:p>
        </w:tc>
        <w:tc>
          <w:tcPr>
            <w:tcW w:w="704" w:type="pct"/>
            <w:shd w:val="clear" w:color="auto" w:fill="C6D9F1" w:themeFill="text2" w:themeFillTint="33"/>
            <w:vAlign w:val="center"/>
          </w:tcPr>
          <w:p w:rsidR="00401155" w:rsidRPr="005D4748" w:rsidRDefault="00780B76" w:rsidP="005D4748">
            <w:pPr>
              <w:rPr>
                <w:rFonts w:ascii="Arial" w:hAnsi="Arial" w:cs="Arial"/>
                <w:sz w:val="20"/>
                <w:szCs w:val="20"/>
                <w:lang w:val="en-GB"/>
              </w:rPr>
            </w:pPr>
            <w:r w:rsidRPr="005D4748">
              <w:rPr>
                <w:rFonts w:ascii="Arial" w:hAnsi="Arial" w:cs="Arial"/>
                <w:sz w:val="20"/>
                <w:szCs w:val="20"/>
                <w:lang w:val="en-GB"/>
              </w:rPr>
              <w:t>978 449</w:t>
            </w:r>
          </w:p>
        </w:tc>
        <w:tc>
          <w:tcPr>
            <w:tcW w:w="626" w:type="pct"/>
            <w:vAlign w:val="center"/>
          </w:tcPr>
          <w:p w:rsidR="00401155" w:rsidRPr="005D4748" w:rsidRDefault="00401155" w:rsidP="005D4748">
            <w:pPr>
              <w:rPr>
                <w:rFonts w:ascii="Arial" w:hAnsi="Arial" w:cs="Arial"/>
                <w:sz w:val="20"/>
                <w:szCs w:val="20"/>
                <w:lang w:val="en-GB"/>
              </w:rPr>
            </w:pPr>
            <w:r w:rsidRPr="005D4748">
              <w:rPr>
                <w:rFonts w:ascii="Arial" w:hAnsi="Arial" w:cs="Arial"/>
                <w:sz w:val="20"/>
                <w:szCs w:val="20"/>
                <w:lang w:val="en-GB"/>
              </w:rPr>
              <w:t>80%</w:t>
            </w:r>
          </w:p>
        </w:tc>
        <w:tc>
          <w:tcPr>
            <w:tcW w:w="626" w:type="pct"/>
            <w:shd w:val="clear" w:color="auto" w:fill="C6D9F1" w:themeFill="text2" w:themeFillTint="33"/>
            <w:vAlign w:val="center"/>
          </w:tcPr>
          <w:p w:rsidR="00401155" w:rsidRPr="005D4748" w:rsidRDefault="00C51379" w:rsidP="005D4748">
            <w:pPr>
              <w:rPr>
                <w:rFonts w:ascii="Arial" w:hAnsi="Arial" w:cs="Arial"/>
                <w:sz w:val="20"/>
                <w:szCs w:val="20"/>
                <w:lang w:val="en-GB"/>
              </w:rPr>
            </w:pPr>
            <w:r w:rsidRPr="005D4748">
              <w:rPr>
                <w:rFonts w:ascii="Arial" w:hAnsi="Arial" w:cs="Arial"/>
                <w:sz w:val="20"/>
                <w:szCs w:val="20"/>
                <w:lang w:val="en-GB"/>
              </w:rPr>
              <w:t>81%</w:t>
            </w:r>
          </w:p>
        </w:tc>
        <w:tc>
          <w:tcPr>
            <w:tcW w:w="781" w:type="pct"/>
            <w:vAlign w:val="center"/>
          </w:tcPr>
          <w:p w:rsidR="00401155" w:rsidRPr="005D4748" w:rsidRDefault="00401155" w:rsidP="005D4748">
            <w:pPr>
              <w:rPr>
                <w:rFonts w:ascii="Arial" w:hAnsi="Arial" w:cs="Arial"/>
                <w:sz w:val="20"/>
                <w:szCs w:val="20"/>
                <w:lang w:val="en-GB"/>
              </w:rPr>
            </w:pPr>
            <w:r w:rsidRPr="005D4748">
              <w:rPr>
                <w:rFonts w:ascii="Arial" w:hAnsi="Arial" w:cs="Arial"/>
                <w:sz w:val="20"/>
                <w:szCs w:val="20"/>
                <w:lang w:val="en-GB"/>
              </w:rPr>
              <w:t>Unqualified with no findings</w:t>
            </w:r>
          </w:p>
        </w:tc>
        <w:tc>
          <w:tcPr>
            <w:tcW w:w="779" w:type="pct"/>
            <w:shd w:val="clear" w:color="auto" w:fill="C6D9F1" w:themeFill="text2" w:themeFillTint="33"/>
            <w:vAlign w:val="center"/>
          </w:tcPr>
          <w:p w:rsidR="00401155" w:rsidRPr="005D4748" w:rsidRDefault="00C51379" w:rsidP="005D4748">
            <w:pPr>
              <w:rPr>
                <w:rFonts w:ascii="Arial" w:hAnsi="Arial" w:cs="Arial"/>
                <w:sz w:val="20"/>
                <w:szCs w:val="20"/>
                <w:lang w:val="en-GB"/>
              </w:rPr>
            </w:pPr>
            <w:r w:rsidRPr="005D4748">
              <w:rPr>
                <w:rFonts w:ascii="Arial" w:hAnsi="Arial" w:cs="Arial"/>
                <w:sz w:val="20"/>
                <w:szCs w:val="20"/>
                <w:lang w:val="en-GB"/>
              </w:rPr>
              <w:t>Unqualified with no findings</w:t>
            </w:r>
          </w:p>
        </w:tc>
      </w:tr>
      <w:tr w:rsidR="00C51379" w:rsidRPr="005D4748" w:rsidTr="00C51379">
        <w:trPr>
          <w:jc w:val="center"/>
        </w:trPr>
        <w:tc>
          <w:tcPr>
            <w:tcW w:w="780" w:type="pct"/>
            <w:vAlign w:val="center"/>
          </w:tcPr>
          <w:p w:rsidR="00401155" w:rsidRPr="005D4748" w:rsidRDefault="00401155" w:rsidP="005D4748">
            <w:pPr>
              <w:pStyle w:val="ListParagraph"/>
              <w:ind w:left="33"/>
              <w:rPr>
                <w:rFonts w:ascii="Arial" w:eastAsia="Times New Roman" w:hAnsi="Arial" w:cs="Arial"/>
                <w:sz w:val="20"/>
                <w:szCs w:val="20"/>
              </w:rPr>
            </w:pPr>
            <w:r w:rsidRPr="005D4748">
              <w:rPr>
                <w:rFonts w:ascii="Arial" w:eastAsia="Times New Roman" w:hAnsi="Arial" w:cs="Arial"/>
                <w:sz w:val="20"/>
                <w:szCs w:val="20"/>
                <w:lang w:val="en-US"/>
              </w:rPr>
              <w:t>Human Sciences Research Council</w:t>
            </w:r>
          </w:p>
        </w:tc>
        <w:tc>
          <w:tcPr>
            <w:tcW w:w="704" w:type="pct"/>
            <w:vAlign w:val="center"/>
          </w:tcPr>
          <w:p w:rsidR="00401155" w:rsidRPr="005D4748" w:rsidRDefault="00401155" w:rsidP="005D4748">
            <w:pPr>
              <w:rPr>
                <w:rFonts w:ascii="Arial" w:hAnsi="Arial" w:cs="Arial"/>
                <w:sz w:val="20"/>
                <w:szCs w:val="20"/>
                <w:lang w:val="en-GB"/>
              </w:rPr>
            </w:pPr>
            <w:r w:rsidRPr="005D4748">
              <w:rPr>
                <w:rFonts w:ascii="Arial" w:hAnsi="Arial" w:cs="Arial"/>
                <w:sz w:val="20"/>
                <w:szCs w:val="20"/>
                <w:lang w:val="en-GB"/>
              </w:rPr>
              <w:t>289 325</w:t>
            </w:r>
          </w:p>
        </w:tc>
        <w:tc>
          <w:tcPr>
            <w:tcW w:w="704" w:type="pct"/>
            <w:shd w:val="clear" w:color="auto" w:fill="C6D9F1" w:themeFill="text2" w:themeFillTint="33"/>
            <w:vAlign w:val="center"/>
          </w:tcPr>
          <w:p w:rsidR="00401155" w:rsidRPr="005D4748" w:rsidRDefault="00780B76" w:rsidP="005D4748">
            <w:pPr>
              <w:rPr>
                <w:rFonts w:ascii="Arial" w:hAnsi="Arial" w:cs="Arial"/>
                <w:sz w:val="20"/>
                <w:szCs w:val="20"/>
                <w:lang w:val="en-GB"/>
              </w:rPr>
            </w:pPr>
            <w:r w:rsidRPr="005D4748">
              <w:rPr>
                <w:rFonts w:ascii="Arial" w:hAnsi="Arial" w:cs="Arial"/>
                <w:sz w:val="20"/>
                <w:szCs w:val="20"/>
                <w:lang w:val="en-GB"/>
              </w:rPr>
              <w:t>314 391</w:t>
            </w:r>
          </w:p>
        </w:tc>
        <w:tc>
          <w:tcPr>
            <w:tcW w:w="626" w:type="pct"/>
            <w:vAlign w:val="center"/>
          </w:tcPr>
          <w:p w:rsidR="00401155" w:rsidRPr="005D4748" w:rsidRDefault="00401155" w:rsidP="005D4748">
            <w:pPr>
              <w:rPr>
                <w:rFonts w:ascii="Arial" w:hAnsi="Arial" w:cs="Arial"/>
                <w:sz w:val="20"/>
                <w:szCs w:val="20"/>
                <w:lang w:val="en-GB"/>
              </w:rPr>
            </w:pPr>
            <w:r w:rsidRPr="005D4748">
              <w:rPr>
                <w:rFonts w:ascii="Arial" w:hAnsi="Arial" w:cs="Arial"/>
                <w:sz w:val="20"/>
                <w:szCs w:val="20"/>
                <w:lang w:val="en-GB"/>
              </w:rPr>
              <w:t>90%</w:t>
            </w:r>
          </w:p>
        </w:tc>
        <w:tc>
          <w:tcPr>
            <w:tcW w:w="626" w:type="pct"/>
            <w:shd w:val="clear" w:color="auto" w:fill="C6D9F1" w:themeFill="text2" w:themeFillTint="33"/>
            <w:vAlign w:val="center"/>
          </w:tcPr>
          <w:p w:rsidR="00401155" w:rsidRPr="005D4748" w:rsidRDefault="00C51379" w:rsidP="005D4748">
            <w:pPr>
              <w:rPr>
                <w:rFonts w:ascii="Arial" w:hAnsi="Arial" w:cs="Arial"/>
                <w:sz w:val="20"/>
                <w:szCs w:val="20"/>
                <w:lang w:val="en-GB"/>
              </w:rPr>
            </w:pPr>
            <w:r w:rsidRPr="005D4748">
              <w:rPr>
                <w:rFonts w:ascii="Arial" w:hAnsi="Arial" w:cs="Arial"/>
                <w:sz w:val="20"/>
                <w:szCs w:val="20"/>
                <w:lang w:val="en-GB"/>
              </w:rPr>
              <w:t>90%</w:t>
            </w:r>
          </w:p>
        </w:tc>
        <w:tc>
          <w:tcPr>
            <w:tcW w:w="781" w:type="pct"/>
            <w:vAlign w:val="center"/>
          </w:tcPr>
          <w:p w:rsidR="00401155" w:rsidRPr="005D4748" w:rsidRDefault="00401155" w:rsidP="005D4748">
            <w:pPr>
              <w:rPr>
                <w:rFonts w:ascii="Arial" w:hAnsi="Arial" w:cs="Arial"/>
                <w:sz w:val="20"/>
                <w:szCs w:val="20"/>
                <w:lang w:val="en-GB"/>
              </w:rPr>
            </w:pPr>
            <w:r w:rsidRPr="005D4748">
              <w:rPr>
                <w:rFonts w:ascii="Arial" w:hAnsi="Arial" w:cs="Arial"/>
                <w:sz w:val="20"/>
                <w:szCs w:val="20"/>
                <w:lang w:val="en-GB"/>
              </w:rPr>
              <w:t>Unqualified with findings</w:t>
            </w:r>
          </w:p>
        </w:tc>
        <w:tc>
          <w:tcPr>
            <w:tcW w:w="779" w:type="pct"/>
            <w:shd w:val="clear" w:color="auto" w:fill="C6D9F1" w:themeFill="text2" w:themeFillTint="33"/>
            <w:vAlign w:val="center"/>
          </w:tcPr>
          <w:p w:rsidR="00401155" w:rsidRPr="005D4748" w:rsidRDefault="00C51379" w:rsidP="005D4748">
            <w:pPr>
              <w:rPr>
                <w:rFonts w:ascii="Arial" w:hAnsi="Arial" w:cs="Arial"/>
                <w:sz w:val="20"/>
                <w:szCs w:val="20"/>
                <w:lang w:val="en-GB"/>
              </w:rPr>
            </w:pPr>
            <w:r w:rsidRPr="005D4748">
              <w:rPr>
                <w:rFonts w:ascii="Arial" w:hAnsi="Arial" w:cs="Arial"/>
                <w:sz w:val="20"/>
                <w:szCs w:val="20"/>
                <w:lang w:val="en-GB"/>
              </w:rPr>
              <w:t>Qualified with findings</w:t>
            </w:r>
          </w:p>
        </w:tc>
      </w:tr>
      <w:tr w:rsidR="00C51379" w:rsidRPr="005D4748" w:rsidTr="00C51379">
        <w:trPr>
          <w:jc w:val="center"/>
        </w:trPr>
        <w:tc>
          <w:tcPr>
            <w:tcW w:w="780" w:type="pct"/>
            <w:vAlign w:val="center"/>
          </w:tcPr>
          <w:p w:rsidR="00401155" w:rsidRPr="005D4748" w:rsidRDefault="00401155" w:rsidP="005D4748">
            <w:pPr>
              <w:pStyle w:val="ListParagraph"/>
              <w:ind w:left="33"/>
              <w:rPr>
                <w:rFonts w:ascii="Arial" w:eastAsia="Times New Roman" w:hAnsi="Arial" w:cs="Arial"/>
                <w:sz w:val="20"/>
                <w:szCs w:val="20"/>
              </w:rPr>
            </w:pPr>
            <w:r w:rsidRPr="005D4748">
              <w:rPr>
                <w:rFonts w:ascii="Arial" w:eastAsia="Times New Roman" w:hAnsi="Arial" w:cs="Arial"/>
                <w:sz w:val="20"/>
                <w:szCs w:val="20"/>
                <w:lang w:val="en-US"/>
              </w:rPr>
              <w:t>National Research Foundation</w:t>
            </w:r>
          </w:p>
        </w:tc>
        <w:tc>
          <w:tcPr>
            <w:tcW w:w="704" w:type="pct"/>
            <w:vAlign w:val="center"/>
          </w:tcPr>
          <w:p w:rsidR="00401155" w:rsidRPr="005D4748" w:rsidRDefault="00401155" w:rsidP="005D4748">
            <w:pPr>
              <w:rPr>
                <w:rFonts w:ascii="Arial" w:hAnsi="Arial" w:cs="Arial"/>
                <w:sz w:val="20"/>
                <w:szCs w:val="20"/>
                <w:lang w:val="en-GB"/>
              </w:rPr>
            </w:pPr>
            <w:r w:rsidRPr="005D4748">
              <w:rPr>
                <w:rFonts w:ascii="Arial" w:hAnsi="Arial" w:cs="Arial"/>
                <w:sz w:val="20"/>
                <w:szCs w:val="20"/>
                <w:lang w:val="en-GB"/>
              </w:rPr>
              <w:t>859 469</w:t>
            </w:r>
          </w:p>
        </w:tc>
        <w:tc>
          <w:tcPr>
            <w:tcW w:w="704" w:type="pct"/>
            <w:shd w:val="clear" w:color="auto" w:fill="C6D9F1" w:themeFill="text2" w:themeFillTint="33"/>
            <w:vAlign w:val="center"/>
          </w:tcPr>
          <w:p w:rsidR="00401155" w:rsidRPr="005D4748" w:rsidRDefault="00780B76" w:rsidP="005D4748">
            <w:pPr>
              <w:rPr>
                <w:rFonts w:ascii="Arial" w:hAnsi="Arial" w:cs="Arial"/>
                <w:sz w:val="20"/>
                <w:szCs w:val="20"/>
                <w:lang w:val="en-GB"/>
              </w:rPr>
            </w:pPr>
            <w:r w:rsidRPr="005D4748">
              <w:rPr>
                <w:rFonts w:ascii="Arial" w:hAnsi="Arial" w:cs="Arial"/>
                <w:sz w:val="20"/>
                <w:szCs w:val="20"/>
                <w:lang w:val="en-GB"/>
              </w:rPr>
              <w:t>962 587</w:t>
            </w:r>
          </w:p>
        </w:tc>
        <w:tc>
          <w:tcPr>
            <w:tcW w:w="626" w:type="pct"/>
            <w:vAlign w:val="center"/>
          </w:tcPr>
          <w:p w:rsidR="00401155" w:rsidRPr="005D4748" w:rsidRDefault="00401155" w:rsidP="005D4748">
            <w:pPr>
              <w:rPr>
                <w:rFonts w:ascii="Arial" w:hAnsi="Arial" w:cs="Arial"/>
                <w:sz w:val="20"/>
                <w:szCs w:val="20"/>
                <w:lang w:val="en-GB"/>
              </w:rPr>
            </w:pPr>
            <w:r w:rsidRPr="005D4748">
              <w:rPr>
                <w:rFonts w:ascii="Arial" w:hAnsi="Arial" w:cs="Arial"/>
                <w:sz w:val="20"/>
                <w:szCs w:val="20"/>
                <w:lang w:val="en-GB"/>
              </w:rPr>
              <w:t>78%</w:t>
            </w:r>
          </w:p>
        </w:tc>
        <w:tc>
          <w:tcPr>
            <w:tcW w:w="626" w:type="pct"/>
            <w:shd w:val="clear" w:color="auto" w:fill="C6D9F1" w:themeFill="text2" w:themeFillTint="33"/>
            <w:vAlign w:val="center"/>
          </w:tcPr>
          <w:p w:rsidR="00401155" w:rsidRPr="005D4748" w:rsidRDefault="00C51379" w:rsidP="005D4748">
            <w:pPr>
              <w:rPr>
                <w:rFonts w:ascii="Arial" w:hAnsi="Arial" w:cs="Arial"/>
                <w:sz w:val="20"/>
                <w:szCs w:val="20"/>
                <w:lang w:val="en-GB"/>
              </w:rPr>
            </w:pPr>
            <w:r w:rsidRPr="005D4748">
              <w:rPr>
                <w:rFonts w:ascii="Arial" w:hAnsi="Arial" w:cs="Arial"/>
                <w:sz w:val="20"/>
                <w:szCs w:val="20"/>
                <w:lang w:val="en-GB"/>
              </w:rPr>
              <w:t>72%</w:t>
            </w:r>
          </w:p>
        </w:tc>
        <w:tc>
          <w:tcPr>
            <w:tcW w:w="781" w:type="pct"/>
            <w:vAlign w:val="center"/>
          </w:tcPr>
          <w:p w:rsidR="00401155" w:rsidRPr="005D4748" w:rsidRDefault="00401155" w:rsidP="005D4748">
            <w:pPr>
              <w:rPr>
                <w:rFonts w:ascii="Arial" w:hAnsi="Arial" w:cs="Arial"/>
                <w:sz w:val="20"/>
                <w:szCs w:val="20"/>
                <w:lang w:val="en-GB"/>
              </w:rPr>
            </w:pPr>
            <w:r w:rsidRPr="005D4748">
              <w:rPr>
                <w:rFonts w:ascii="Arial" w:hAnsi="Arial" w:cs="Arial"/>
                <w:sz w:val="20"/>
                <w:szCs w:val="20"/>
                <w:lang w:val="en-GB"/>
              </w:rPr>
              <w:t>Unqualified with no findings</w:t>
            </w:r>
          </w:p>
        </w:tc>
        <w:tc>
          <w:tcPr>
            <w:tcW w:w="779" w:type="pct"/>
            <w:shd w:val="clear" w:color="auto" w:fill="C6D9F1" w:themeFill="text2" w:themeFillTint="33"/>
            <w:vAlign w:val="center"/>
          </w:tcPr>
          <w:p w:rsidR="00401155" w:rsidRPr="005D4748" w:rsidRDefault="00C51379" w:rsidP="005D4748">
            <w:pPr>
              <w:rPr>
                <w:rFonts w:ascii="Arial" w:hAnsi="Arial" w:cs="Arial"/>
                <w:sz w:val="20"/>
                <w:szCs w:val="20"/>
                <w:lang w:val="en-GB"/>
              </w:rPr>
            </w:pPr>
            <w:r w:rsidRPr="005D4748">
              <w:rPr>
                <w:rFonts w:ascii="Arial" w:hAnsi="Arial" w:cs="Arial"/>
                <w:sz w:val="20"/>
                <w:szCs w:val="20"/>
                <w:lang w:val="en-GB"/>
              </w:rPr>
              <w:t>Unqualified with no findings</w:t>
            </w:r>
          </w:p>
        </w:tc>
      </w:tr>
      <w:tr w:rsidR="00C51379" w:rsidRPr="005D4748" w:rsidTr="00C51379">
        <w:trPr>
          <w:jc w:val="center"/>
        </w:trPr>
        <w:tc>
          <w:tcPr>
            <w:tcW w:w="780" w:type="pct"/>
            <w:vAlign w:val="center"/>
          </w:tcPr>
          <w:p w:rsidR="00401155" w:rsidRPr="005D4748" w:rsidRDefault="00401155" w:rsidP="005D4748">
            <w:pPr>
              <w:pStyle w:val="ListParagraph"/>
              <w:ind w:left="33"/>
              <w:rPr>
                <w:rFonts w:ascii="Arial" w:eastAsia="Times New Roman" w:hAnsi="Arial" w:cs="Arial"/>
                <w:sz w:val="20"/>
                <w:szCs w:val="20"/>
              </w:rPr>
            </w:pPr>
            <w:r w:rsidRPr="005D4748">
              <w:rPr>
                <w:rFonts w:ascii="Arial" w:eastAsia="Times New Roman" w:hAnsi="Arial" w:cs="Arial"/>
                <w:sz w:val="20"/>
                <w:szCs w:val="20"/>
                <w:lang w:val="en-US"/>
              </w:rPr>
              <w:t>South African National Space Agency</w:t>
            </w:r>
          </w:p>
        </w:tc>
        <w:tc>
          <w:tcPr>
            <w:tcW w:w="704" w:type="pct"/>
            <w:vAlign w:val="center"/>
          </w:tcPr>
          <w:p w:rsidR="00401155" w:rsidRPr="005D4748" w:rsidRDefault="00401155" w:rsidP="005D4748">
            <w:pPr>
              <w:rPr>
                <w:rFonts w:ascii="Arial" w:hAnsi="Arial" w:cs="Arial"/>
                <w:sz w:val="20"/>
                <w:szCs w:val="20"/>
                <w:lang w:val="en-GB"/>
              </w:rPr>
            </w:pPr>
            <w:r w:rsidRPr="005D4748">
              <w:rPr>
                <w:rFonts w:ascii="Arial" w:hAnsi="Arial" w:cs="Arial"/>
                <w:sz w:val="20"/>
                <w:szCs w:val="20"/>
                <w:lang w:val="en-GB"/>
              </w:rPr>
              <w:t>161 196</w:t>
            </w:r>
          </w:p>
        </w:tc>
        <w:tc>
          <w:tcPr>
            <w:tcW w:w="704" w:type="pct"/>
            <w:shd w:val="clear" w:color="auto" w:fill="C6D9F1" w:themeFill="text2" w:themeFillTint="33"/>
            <w:vAlign w:val="center"/>
          </w:tcPr>
          <w:p w:rsidR="00401155" w:rsidRPr="005D4748" w:rsidRDefault="00780B76" w:rsidP="005D4748">
            <w:pPr>
              <w:rPr>
                <w:rFonts w:ascii="Arial" w:hAnsi="Arial" w:cs="Arial"/>
                <w:sz w:val="20"/>
                <w:szCs w:val="20"/>
                <w:lang w:val="en-GB"/>
              </w:rPr>
            </w:pPr>
            <w:r w:rsidRPr="005D4748">
              <w:rPr>
                <w:rFonts w:ascii="Arial" w:hAnsi="Arial" w:cs="Arial"/>
                <w:sz w:val="20"/>
                <w:szCs w:val="20"/>
                <w:lang w:val="en-GB"/>
              </w:rPr>
              <w:t>202 193</w:t>
            </w:r>
          </w:p>
        </w:tc>
        <w:tc>
          <w:tcPr>
            <w:tcW w:w="626" w:type="pct"/>
            <w:vAlign w:val="center"/>
          </w:tcPr>
          <w:p w:rsidR="00401155" w:rsidRPr="005D4748" w:rsidRDefault="00401155" w:rsidP="005D4748">
            <w:pPr>
              <w:rPr>
                <w:rFonts w:ascii="Arial" w:hAnsi="Arial" w:cs="Arial"/>
                <w:sz w:val="20"/>
                <w:szCs w:val="20"/>
                <w:lang w:val="en-GB"/>
              </w:rPr>
            </w:pPr>
            <w:r w:rsidRPr="005D4748">
              <w:rPr>
                <w:rFonts w:ascii="Arial" w:hAnsi="Arial" w:cs="Arial"/>
                <w:sz w:val="20"/>
                <w:szCs w:val="20"/>
                <w:lang w:val="en-GB"/>
              </w:rPr>
              <w:t>82%</w:t>
            </w:r>
          </w:p>
        </w:tc>
        <w:tc>
          <w:tcPr>
            <w:tcW w:w="626" w:type="pct"/>
            <w:shd w:val="clear" w:color="auto" w:fill="C6D9F1" w:themeFill="text2" w:themeFillTint="33"/>
            <w:vAlign w:val="center"/>
          </w:tcPr>
          <w:p w:rsidR="00401155" w:rsidRPr="005D4748" w:rsidRDefault="00C51379" w:rsidP="005D4748">
            <w:pPr>
              <w:rPr>
                <w:rFonts w:ascii="Arial" w:hAnsi="Arial" w:cs="Arial"/>
                <w:sz w:val="20"/>
                <w:szCs w:val="20"/>
                <w:lang w:val="en-GB"/>
              </w:rPr>
            </w:pPr>
            <w:r w:rsidRPr="005D4748">
              <w:rPr>
                <w:rFonts w:ascii="Arial" w:hAnsi="Arial" w:cs="Arial"/>
                <w:sz w:val="20"/>
                <w:szCs w:val="20"/>
                <w:lang w:val="en-GB"/>
              </w:rPr>
              <w:t>94%</w:t>
            </w:r>
          </w:p>
        </w:tc>
        <w:tc>
          <w:tcPr>
            <w:tcW w:w="781" w:type="pct"/>
            <w:vAlign w:val="center"/>
          </w:tcPr>
          <w:p w:rsidR="00401155" w:rsidRPr="005D4748" w:rsidRDefault="00401155" w:rsidP="005D4748">
            <w:pPr>
              <w:rPr>
                <w:rFonts w:ascii="Arial" w:hAnsi="Arial" w:cs="Arial"/>
                <w:sz w:val="20"/>
                <w:szCs w:val="20"/>
                <w:lang w:val="en-GB"/>
              </w:rPr>
            </w:pPr>
            <w:r w:rsidRPr="005D4748">
              <w:rPr>
                <w:rFonts w:ascii="Arial" w:hAnsi="Arial" w:cs="Arial"/>
                <w:sz w:val="20"/>
                <w:szCs w:val="20"/>
                <w:lang w:val="en-GB"/>
              </w:rPr>
              <w:t>Unqualified with findings</w:t>
            </w:r>
          </w:p>
        </w:tc>
        <w:tc>
          <w:tcPr>
            <w:tcW w:w="779" w:type="pct"/>
            <w:shd w:val="clear" w:color="auto" w:fill="C6D9F1" w:themeFill="text2" w:themeFillTint="33"/>
            <w:vAlign w:val="center"/>
          </w:tcPr>
          <w:p w:rsidR="00401155" w:rsidRPr="005D4748" w:rsidRDefault="00C51379" w:rsidP="005D4748">
            <w:pPr>
              <w:rPr>
                <w:rFonts w:ascii="Arial" w:hAnsi="Arial" w:cs="Arial"/>
                <w:sz w:val="20"/>
                <w:szCs w:val="20"/>
                <w:lang w:val="en-GB"/>
              </w:rPr>
            </w:pPr>
            <w:r w:rsidRPr="005D4748">
              <w:rPr>
                <w:rFonts w:ascii="Arial" w:hAnsi="Arial" w:cs="Arial"/>
                <w:sz w:val="20"/>
                <w:szCs w:val="20"/>
                <w:lang w:val="en-GB"/>
              </w:rPr>
              <w:t>Unqualified with no findings</w:t>
            </w:r>
          </w:p>
        </w:tc>
      </w:tr>
      <w:tr w:rsidR="00C51379" w:rsidRPr="005D4748" w:rsidTr="00C51379">
        <w:trPr>
          <w:trHeight w:val="569"/>
          <w:jc w:val="center"/>
        </w:trPr>
        <w:tc>
          <w:tcPr>
            <w:tcW w:w="780" w:type="pct"/>
            <w:vAlign w:val="center"/>
          </w:tcPr>
          <w:p w:rsidR="00401155" w:rsidRPr="005D4748" w:rsidRDefault="00401155" w:rsidP="005D4748">
            <w:pPr>
              <w:pStyle w:val="ListParagraph"/>
              <w:ind w:left="33"/>
              <w:rPr>
                <w:rFonts w:ascii="Arial" w:eastAsia="Times New Roman" w:hAnsi="Arial" w:cs="Arial"/>
                <w:sz w:val="20"/>
                <w:szCs w:val="20"/>
              </w:rPr>
            </w:pPr>
            <w:r w:rsidRPr="005D4748">
              <w:rPr>
                <w:rFonts w:ascii="Arial" w:eastAsia="Times New Roman" w:hAnsi="Arial" w:cs="Arial"/>
                <w:sz w:val="20"/>
                <w:szCs w:val="20"/>
                <w:lang w:val="en-US"/>
              </w:rPr>
              <w:t>Technology Innovation Agency</w:t>
            </w:r>
          </w:p>
        </w:tc>
        <w:tc>
          <w:tcPr>
            <w:tcW w:w="704" w:type="pct"/>
            <w:vAlign w:val="center"/>
          </w:tcPr>
          <w:p w:rsidR="00401155" w:rsidRPr="005D4748" w:rsidRDefault="00401155" w:rsidP="005D4748">
            <w:pPr>
              <w:rPr>
                <w:rFonts w:ascii="Arial" w:hAnsi="Arial" w:cs="Arial"/>
                <w:sz w:val="20"/>
                <w:szCs w:val="20"/>
                <w:lang w:val="en-GB"/>
              </w:rPr>
            </w:pPr>
            <w:r w:rsidRPr="005D4748">
              <w:rPr>
                <w:rFonts w:ascii="Arial" w:hAnsi="Arial" w:cs="Arial"/>
                <w:sz w:val="20"/>
                <w:szCs w:val="20"/>
                <w:lang w:val="en-GB"/>
              </w:rPr>
              <w:t>408 825</w:t>
            </w:r>
          </w:p>
        </w:tc>
        <w:tc>
          <w:tcPr>
            <w:tcW w:w="704" w:type="pct"/>
            <w:shd w:val="clear" w:color="auto" w:fill="C6D9F1" w:themeFill="text2" w:themeFillTint="33"/>
            <w:vAlign w:val="center"/>
          </w:tcPr>
          <w:p w:rsidR="00401155" w:rsidRPr="005D4748" w:rsidRDefault="00780B76" w:rsidP="005D4748">
            <w:pPr>
              <w:rPr>
                <w:rFonts w:ascii="Arial" w:hAnsi="Arial" w:cs="Arial"/>
                <w:sz w:val="20"/>
                <w:szCs w:val="20"/>
                <w:lang w:val="en-GB"/>
              </w:rPr>
            </w:pPr>
            <w:r w:rsidRPr="005D4748">
              <w:rPr>
                <w:rFonts w:ascii="Arial" w:hAnsi="Arial" w:cs="Arial"/>
                <w:sz w:val="20"/>
                <w:szCs w:val="20"/>
                <w:lang w:val="en-GB"/>
              </w:rPr>
              <w:t>447 703</w:t>
            </w:r>
          </w:p>
        </w:tc>
        <w:tc>
          <w:tcPr>
            <w:tcW w:w="626" w:type="pct"/>
            <w:vAlign w:val="center"/>
          </w:tcPr>
          <w:p w:rsidR="00401155" w:rsidRPr="005D4748" w:rsidRDefault="00401155" w:rsidP="005D4748">
            <w:pPr>
              <w:rPr>
                <w:rFonts w:ascii="Arial" w:hAnsi="Arial" w:cs="Arial"/>
                <w:sz w:val="20"/>
                <w:szCs w:val="20"/>
                <w:lang w:val="en-GB"/>
              </w:rPr>
            </w:pPr>
            <w:r w:rsidRPr="005D4748">
              <w:rPr>
                <w:rFonts w:ascii="Arial" w:hAnsi="Arial" w:cs="Arial"/>
                <w:sz w:val="20"/>
                <w:szCs w:val="20"/>
                <w:lang w:val="en-GB"/>
              </w:rPr>
              <w:t>90%</w:t>
            </w:r>
          </w:p>
        </w:tc>
        <w:tc>
          <w:tcPr>
            <w:tcW w:w="626" w:type="pct"/>
            <w:shd w:val="clear" w:color="auto" w:fill="C6D9F1" w:themeFill="text2" w:themeFillTint="33"/>
            <w:vAlign w:val="center"/>
          </w:tcPr>
          <w:p w:rsidR="00401155" w:rsidRPr="005D4748" w:rsidRDefault="00C51379" w:rsidP="005D4748">
            <w:pPr>
              <w:rPr>
                <w:rFonts w:ascii="Arial" w:hAnsi="Arial" w:cs="Arial"/>
                <w:sz w:val="20"/>
                <w:szCs w:val="20"/>
                <w:lang w:val="en-GB"/>
              </w:rPr>
            </w:pPr>
            <w:r w:rsidRPr="005D4748">
              <w:rPr>
                <w:rFonts w:ascii="Arial" w:hAnsi="Arial" w:cs="Arial"/>
                <w:sz w:val="20"/>
                <w:szCs w:val="20"/>
                <w:lang w:val="en-GB"/>
              </w:rPr>
              <w:t>86%</w:t>
            </w:r>
          </w:p>
        </w:tc>
        <w:tc>
          <w:tcPr>
            <w:tcW w:w="781" w:type="pct"/>
            <w:vAlign w:val="center"/>
          </w:tcPr>
          <w:p w:rsidR="00401155" w:rsidRPr="005D4748" w:rsidRDefault="00401155" w:rsidP="005D4748">
            <w:pPr>
              <w:rPr>
                <w:rFonts w:ascii="Arial" w:hAnsi="Arial" w:cs="Arial"/>
                <w:sz w:val="20"/>
                <w:szCs w:val="20"/>
                <w:lang w:val="en-GB"/>
              </w:rPr>
            </w:pPr>
            <w:r w:rsidRPr="005D4748">
              <w:rPr>
                <w:rFonts w:ascii="Arial" w:hAnsi="Arial" w:cs="Arial"/>
                <w:sz w:val="20"/>
                <w:szCs w:val="20"/>
                <w:lang w:val="en-GB"/>
              </w:rPr>
              <w:t>Unqualified with no findings</w:t>
            </w:r>
          </w:p>
        </w:tc>
        <w:tc>
          <w:tcPr>
            <w:tcW w:w="779" w:type="pct"/>
            <w:shd w:val="clear" w:color="auto" w:fill="C6D9F1" w:themeFill="text2" w:themeFillTint="33"/>
            <w:vAlign w:val="center"/>
          </w:tcPr>
          <w:p w:rsidR="00401155" w:rsidRPr="005D4748" w:rsidRDefault="00C51379" w:rsidP="005D4748">
            <w:pPr>
              <w:rPr>
                <w:rFonts w:ascii="Arial" w:hAnsi="Arial" w:cs="Arial"/>
                <w:sz w:val="20"/>
                <w:szCs w:val="20"/>
                <w:lang w:val="en-GB"/>
              </w:rPr>
            </w:pPr>
            <w:r w:rsidRPr="005D4748">
              <w:rPr>
                <w:rFonts w:ascii="Arial" w:hAnsi="Arial" w:cs="Arial"/>
                <w:sz w:val="20"/>
                <w:szCs w:val="20"/>
                <w:lang w:val="en-GB"/>
              </w:rPr>
              <w:t>Unqualified with no findings</w:t>
            </w:r>
          </w:p>
        </w:tc>
      </w:tr>
      <w:tr w:rsidR="00C51379" w:rsidRPr="005D4748" w:rsidTr="00C51379">
        <w:trPr>
          <w:jc w:val="center"/>
        </w:trPr>
        <w:tc>
          <w:tcPr>
            <w:tcW w:w="780" w:type="pct"/>
            <w:vAlign w:val="center"/>
          </w:tcPr>
          <w:p w:rsidR="00401155" w:rsidRPr="005D4748" w:rsidRDefault="00401155" w:rsidP="005D4748">
            <w:pPr>
              <w:pStyle w:val="ListParagraph"/>
              <w:ind w:left="33" w:hanging="33"/>
              <w:rPr>
                <w:rFonts w:ascii="Arial" w:eastAsia="Times New Roman" w:hAnsi="Arial" w:cs="Arial"/>
                <w:b/>
                <w:sz w:val="20"/>
                <w:szCs w:val="20"/>
              </w:rPr>
            </w:pPr>
            <w:r w:rsidRPr="005D4748">
              <w:rPr>
                <w:rFonts w:ascii="Arial" w:eastAsia="Times New Roman" w:hAnsi="Arial" w:cs="Arial"/>
                <w:b/>
                <w:sz w:val="20"/>
                <w:szCs w:val="20"/>
              </w:rPr>
              <w:t>Total</w:t>
            </w:r>
          </w:p>
        </w:tc>
        <w:tc>
          <w:tcPr>
            <w:tcW w:w="704" w:type="pct"/>
            <w:vAlign w:val="center"/>
          </w:tcPr>
          <w:p w:rsidR="00401155" w:rsidRPr="005D4748" w:rsidRDefault="00401155" w:rsidP="005D4748">
            <w:pPr>
              <w:rPr>
                <w:rFonts w:ascii="Arial" w:hAnsi="Arial" w:cs="Arial"/>
                <w:b/>
                <w:sz w:val="20"/>
                <w:szCs w:val="20"/>
                <w:lang w:val="en-GB"/>
              </w:rPr>
            </w:pPr>
            <w:r w:rsidRPr="005D4748">
              <w:rPr>
                <w:rFonts w:ascii="Arial" w:hAnsi="Arial" w:cs="Arial"/>
                <w:b/>
                <w:sz w:val="20"/>
                <w:szCs w:val="20"/>
                <w:lang w:val="en-GB"/>
              </w:rPr>
              <w:t>2 637 236</w:t>
            </w:r>
          </w:p>
        </w:tc>
        <w:tc>
          <w:tcPr>
            <w:tcW w:w="704" w:type="pct"/>
            <w:shd w:val="clear" w:color="auto" w:fill="C6D9F1" w:themeFill="text2" w:themeFillTint="33"/>
            <w:vAlign w:val="center"/>
          </w:tcPr>
          <w:p w:rsidR="00401155" w:rsidRPr="005D4748" w:rsidRDefault="00780B76" w:rsidP="005D4748">
            <w:pPr>
              <w:rPr>
                <w:rFonts w:ascii="Arial" w:hAnsi="Arial" w:cs="Arial"/>
                <w:b/>
                <w:sz w:val="20"/>
                <w:szCs w:val="20"/>
                <w:lang w:val="en-GB"/>
              </w:rPr>
            </w:pPr>
            <w:r w:rsidRPr="005D4748">
              <w:rPr>
                <w:rFonts w:ascii="Arial" w:hAnsi="Arial" w:cs="Arial"/>
                <w:b/>
                <w:sz w:val="20"/>
                <w:szCs w:val="20"/>
                <w:lang w:val="en-GB"/>
              </w:rPr>
              <w:t>2 938 536</w:t>
            </w:r>
          </w:p>
        </w:tc>
        <w:tc>
          <w:tcPr>
            <w:tcW w:w="626" w:type="pct"/>
            <w:vAlign w:val="center"/>
          </w:tcPr>
          <w:p w:rsidR="00401155" w:rsidRPr="005D4748" w:rsidRDefault="00401155" w:rsidP="005D4748">
            <w:pPr>
              <w:rPr>
                <w:rFonts w:ascii="Arial" w:hAnsi="Arial" w:cs="Arial"/>
                <w:b/>
                <w:sz w:val="20"/>
                <w:szCs w:val="20"/>
                <w:lang w:val="en-GB"/>
              </w:rPr>
            </w:pPr>
            <w:r w:rsidRPr="005D4748">
              <w:rPr>
                <w:rFonts w:ascii="Arial" w:hAnsi="Arial" w:cs="Arial"/>
                <w:b/>
                <w:sz w:val="20"/>
                <w:szCs w:val="20"/>
                <w:lang w:val="en-GB"/>
              </w:rPr>
              <w:t>Average (8</w:t>
            </w:r>
            <w:r w:rsidR="00C51379" w:rsidRPr="005D4748">
              <w:rPr>
                <w:rFonts w:ascii="Arial" w:hAnsi="Arial" w:cs="Arial"/>
                <w:b/>
                <w:sz w:val="20"/>
                <w:szCs w:val="20"/>
                <w:lang w:val="en-GB"/>
              </w:rPr>
              <w:t>4</w:t>
            </w:r>
            <w:r w:rsidRPr="005D4748">
              <w:rPr>
                <w:rFonts w:ascii="Arial" w:hAnsi="Arial" w:cs="Arial"/>
                <w:b/>
                <w:sz w:val="20"/>
                <w:szCs w:val="20"/>
                <w:lang w:val="en-GB"/>
              </w:rPr>
              <w:t>%)</w:t>
            </w:r>
          </w:p>
        </w:tc>
        <w:tc>
          <w:tcPr>
            <w:tcW w:w="626" w:type="pct"/>
            <w:shd w:val="clear" w:color="auto" w:fill="C6D9F1" w:themeFill="text2" w:themeFillTint="33"/>
            <w:vAlign w:val="center"/>
          </w:tcPr>
          <w:p w:rsidR="00401155" w:rsidRPr="005D4748" w:rsidRDefault="00C51379" w:rsidP="005D4748">
            <w:pPr>
              <w:rPr>
                <w:rFonts w:ascii="Arial" w:hAnsi="Arial" w:cs="Arial"/>
                <w:b/>
                <w:sz w:val="20"/>
                <w:szCs w:val="20"/>
                <w:lang w:val="en-GB"/>
              </w:rPr>
            </w:pPr>
            <w:r w:rsidRPr="005D4748">
              <w:rPr>
                <w:rFonts w:ascii="Arial" w:hAnsi="Arial" w:cs="Arial"/>
                <w:b/>
                <w:sz w:val="20"/>
                <w:szCs w:val="20"/>
                <w:lang w:val="en-GB"/>
              </w:rPr>
              <w:t>Average (85%)</w:t>
            </w:r>
          </w:p>
        </w:tc>
        <w:tc>
          <w:tcPr>
            <w:tcW w:w="781" w:type="pct"/>
            <w:vAlign w:val="center"/>
          </w:tcPr>
          <w:p w:rsidR="00401155" w:rsidRPr="005D4748" w:rsidRDefault="00C51379" w:rsidP="005D4748">
            <w:pPr>
              <w:rPr>
                <w:rFonts w:ascii="Arial" w:hAnsi="Arial" w:cs="Arial"/>
                <w:b/>
                <w:sz w:val="20"/>
                <w:szCs w:val="20"/>
                <w:lang w:val="en-GB"/>
              </w:rPr>
            </w:pPr>
            <w:r w:rsidRPr="005D4748">
              <w:rPr>
                <w:rFonts w:ascii="Arial" w:hAnsi="Arial" w:cs="Arial"/>
                <w:b/>
                <w:sz w:val="20"/>
                <w:szCs w:val="20"/>
                <w:lang w:val="en-GB"/>
              </w:rPr>
              <w:t>3</w:t>
            </w:r>
            <w:r w:rsidR="00401155" w:rsidRPr="005D4748">
              <w:rPr>
                <w:rFonts w:ascii="Arial" w:hAnsi="Arial" w:cs="Arial"/>
                <w:b/>
                <w:sz w:val="20"/>
                <w:szCs w:val="20"/>
                <w:lang w:val="en-GB"/>
              </w:rPr>
              <w:t xml:space="preserve"> of the </w:t>
            </w:r>
            <w:r w:rsidRPr="005D4748">
              <w:rPr>
                <w:rFonts w:ascii="Arial" w:hAnsi="Arial" w:cs="Arial"/>
                <w:b/>
                <w:sz w:val="20"/>
                <w:szCs w:val="20"/>
                <w:lang w:val="en-GB"/>
              </w:rPr>
              <w:t>5</w:t>
            </w:r>
            <w:r w:rsidR="00401155" w:rsidRPr="005D4748">
              <w:rPr>
                <w:rFonts w:ascii="Arial" w:hAnsi="Arial" w:cs="Arial"/>
                <w:b/>
                <w:sz w:val="20"/>
                <w:szCs w:val="20"/>
                <w:lang w:val="en-GB"/>
              </w:rPr>
              <w:t xml:space="preserve"> obtained clean audits</w:t>
            </w:r>
          </w:p>
        </w:tc>
        <w:tc>
          <w:tcPr>
            <w:tcW w:w="779" w:type="pct"/>
            <w:shd w:val="clear" w:color="auto" w:fill="C6D9F1" w:themeFill="text2" w:themeFillTint="33"/>
            <w:vAlign w:val="center"/>
          </w:tcPr>
          <w:p w:rsidR="00C51379" w:rsidRPr="005D4748" w:rsidRDefault="00C51379" w:rsidP="005D4748">
            <w:pPr>
              <w:rPr>
                <w:rFonts w:ascii="Arial" w:hAnsi="Arial" w:cs="Arial"/>
                <w:b/>
                <w:sz w:val="20"/>
                <w:szCs w:val="20"/>
                <w:lang w:val="en-GB"/>
              </w:rPr>
            </w:pPr>
            <w:r w:rsidRPr="005D4748">
              <w:rPr>
                <w:rFonts w:ascii="Arial" w:hAnsi="Arial" w:cs="Arial"/>
                <w:b/>
                <w:sz w:val="20"/>
                <w:szCs w:val="20"/>
                <w:lang w:val="en-GB"/>
              </w:rPr>
              <w:t>4 of the 5 obtained clean audits and</w:t>
            </w:r>
            <w:r w:rsidR="00C87532" w:rsidRPr="005D4748">
              <w:rPr>
                <w:rFonts w:ascii="Arial" w:hAnsi="Arial" w:cs="Arial"/>
                <w:b/>
                <w:sz w:val="20"/>
                <w:szCs w:val="20"/>
                <w:lang w:val="en-GB"/>
              </w:rPr>
              <w:t xml:space="preserve"> </w:t>
            </w:r>
            <w:r w:rsidRPr="005D4748">
              <w:rPr>
                <w:rFonts w:ascii="Arial" w:hAnsi="Arial" w:cs="Arial"/>
                <w:b/>
                <w:sz w:val="20"/>
                <w:szCs w:val="20"/>
                <w:lang w:val="en-GB"/>
              </w:rPr>
              <w:t>1 regressed</w:t>
            </w:r>
          </w:p>
        </w:tc>
      </w:tr>
    </w:tbl>
    <w:p w:rsidR="00A045EF" w:rsidRPr="005D4748" w:rsidRDefault="00A045EF" w:rsidP="005D4748">
      <w:pPr>
        <w:pStyle w:val="ListParagraph"/>
        <w:spacing w:after="0" w:line="240" w:lineRule="auto"/>
        <w:ind w:left="0"/>
        <w:rPr>
          <w:rFonts w:ascii="Arial" w:eastAsia="Times New Roman" w:hAnsi="Arial" w:cs="Arial"/>
          <w:sz w:val="20"/>
          <w:szCs w:val="20"/>
          <w:lang w:val="en-GB"/>
        </w:rPr>
      </w:pPr>
    </w:p>
    <w:p w:rsidR="000209C6" w:rsidRPr="005D4748" w:rsidRDefault="00AE4CE0" w:rsidP="005D4748">
      <w:pPr>
        <w:pStyle w:val="ListParagraph"/>
        <w:numPr>
          <w:ilvl w:val="1"/>
          <w:numId w:val="1"/>
        </w:numPr>
        <w:spacing w:after="0" w:line="240" w:lineRule="auto"/>
        <w:ind w:left="567" w:hanging="567"/>
        <w:rPr>
          <w:rFonts w:ascii="Arial" w:eastAsia="Times New Roman" w:hAnsi="Arial" w:cs="Arial"/>
          <w:b/>
          <w:sz w:val="20"/>
          <w:szCs w:val="20"/>
          <w:lang w:val="en-GB"/>
        </w:rPr>
      </w:pPr>
      <w:r w:rsidRPr="005D4748">
        <w:rPr>
          <w:rFonts w:ascii="Arial" w:eastAsia="Times New Roman" w:hAnsi="Arial" w:cs="Arial"/>
          <w:b/>
          <w:sz w:val="20"/>
          <w:szCs w:val="20"/>
          <w:lang w:val="en-GB"/>
        </w:rPr>
        <w:t>COUNCIL FOR SCIENTIFIC AND INDUSTRIAL RESEARCH</w:t>
      </w:r>
    </w:p>
    <w:p w:rsidR="00A045EF" w:rsidRPr="005D4748" w:rsidRDefault="00A045EF" w:rsidP="005D4748">
      <w:pPr>
        <w:spacing w:after="0" w:line="240" w:lineRule="auto"/>
        <w:rPr>
          <w:rFonts w:ascii="Arial" w:eastAsia="Times New Roman" w:hAnsi="Arial" w:cs="Arial"/>
          <w:sz w:val="20"/>
          <w:szCs w:val="20"/>
          <w:lang w:val="en-GB"/>
        </w:rPr>
      </w:pPr>
    </w:p>
    <w:p w:rsidR="00156A00" w:rsidRPr="005D4748" w:rsidRDefault="00156A00" w:rsidP="005D4748">
      <w:pPr>
        <w:spacing w:after="0" w:line="240" w:lineRule="auto"/>
        <w:rPr>
          <w:rFonts w:ascii="Arial" w:hAnsi="Arial" w:cs="Arial"/>
          <w:sz w:val="20"/>
          <w:szCs w:val="20"/>
        </w:rPr>
      </w:pPr>
      <w:r w:rsidRPr="005D4748">
        <w:rPr>
          <w:rFonts w:ascii="Arial" w:hAnsi="Arial" w:cs="Arial"/>
          <w:sz w:val="20"/>
          <w:szCs w:val="20"/>
        </w:rPr>
        <w:t>The CSIR’s mandate is to foster, through directed and multidisciplinary research and technological innovation, industrial and scientific development. As such, the CSIR researches, develops, localises and diffuses technologies to accelerate socio</w:t>
      </w:r>
      <w:r w:rsidR="00457D0E" w:rsidRPr="005D4748">
        <w:rPr>
          <w:rFonts w:ascii="Arial" w:hAnsi="Arial" w:cs="Arial"/>
          <w:sz w:val="20"/>
          <w:szCs w:val="20"/>
        </w:rPr>
        <w:t>-</w:t>
      </w:r>
      <w:r w:rsidRPr="005D4748">
        <w:rPr>
          <w:rFonts w:ascii="Arial" w:hAnsi="Arial" w:cs="Arial"/>
          <w:sz w:val="20"/>
          <w:szCs w:val="20"/>
        </w:rPr>
        <w:t>economic prosperity in South Africa.</w:t>
      </w:r>
    </w:p>
    <w:p w:rsidR="00156A00" w:rsidRPr="005D4748" w:rsidRDefault="00156A00" w:rsidP="005D4748">
      <w:pPr>
        <w:spacing w:after="0" w:line="240" w:lineRule="auto"/>
        <w:rPr>
          <w:rFonts w:ascii="Arial" w:hAnsi="Arial" w:cs="Arial"/>
          <w:sz w:val="20"/>
          <w:szCs w:val="20"/>
        </w:rPr>
      </w:pPr>
    </w:p>
    <w:p w:rsidR="00156A00" w:rsidRPr="005D4748" w:rsidRDefault="00156A00" w:rsidP="005D4748">
      <w:pPr>
        <w:pStyle w:val="ListParagraph"/>
        <w:spacing w:after="0" w:line="240" w:lineRule="auto"/>
        <w:ind w:left="0"/>
        <w:rPr>
          <w:rFonts w:ascii="Arial" w:hAnsi="Arial" w:cs="Arial"/>
          <w:sz w:val="20"/>
          <w:szCs w:val="20"/>
        </w:rPr>
      </w:pPr>
      <w:r w:rsidRPr="005D4748">
        <w:rPr>
          <w:rFonts w:ascii="Arial" w:hAnsi="Arial" w:cs="Arial"/>
          <w:sz w:val="20"/>
          <w:szCs w:val="20"/>
        </w:rPr>
        <w:t>The CSIR’s current strategy, named Project Synapse, responds to global and local socio</w:t>
      </w:r>
      <w:r w:rsidR="00457D0E" w:rsidRPr="005D4748">
        <w:rPr>
          <w:rFonts w:ascii="Arial" w:hAnsi="Arial" w:cs="Arial"/>
          <w:sz w:val="20"/>
          <w:szCs w:val="20"/>
        </w:rPr>
        <w:t>-</w:t>
      </w:r>
      <w:r w:rsidRPr="005D4748">
        <w:rPr>
          <w:rFonts w:ascii="Arial" w:hAnsi="Arial" w:cs="Arial"/>
          <w:sz w:val="20"/>
          <w:szCs w:val="20"/>
        </w:rPr>
        <w:t>economic and technological megatrends and South Africa’s challenges and opportunities. Project Synapse defines technology sector clusters that seek to balance scientific and industrial development by intensifying industrial development in priority, high-impact economic sectors through RDI. Project Synapse defines priority industries as those industries that:</w:t>
      </w:r>
    </w:p>
    <w:p w:rsidR="00156A00" w:rsidRPr="005D4748" w:rsidRDefault="00156A00" w:rsidP="005D4748">
      <w:pPr>
        <w:pStyle w:val="ListParagraph"/>
        <w:spacing w:after="0" w:line="240" w:lineRule="auto"/>
        <w:ind w:left="0"/>
        <w:rPr>
          <w:rFonts w:ascii="Arial" w:hAnsi="Arial" w:cs="Arial"/>
          <w:sz w:val="20"/>
          <w:szCs w:val="20"/>
        </w:rPr>
      </w:pPr>
    </w:p>
    <w:p w:rsidR="00156A00" w:rsidRPr="005D4748" w:rsidRDefault="00156A00" w:rsidP="005D4748">
      <w:pPr>
        <w:pStyle w:val="ListParagraph"/>
        <w:numPr>
          <w:ilvl w:val="0"/>
          <w:numId w:val="12"/>
        </w:numPr>
        <w:spacing w:after="0" w:line="240" w:lineRule="auto"/>
        <w:ind w:left="567" w:hanging="567"/>
        <w:contextualSpacing w:val="0"/>
        <w:rPr>
          <w:rFonts w:ascii="Arial" w:hAnsi="Arial" w:cs="Arial"/>
          <w:sz w:val="20"/>
          <w:szCs w:val="20"/>
        </w:rPr>
      </w:pPr>
      <w:r w:rsidRPr="005D4748">
        <w:rPr>
          <w:rFonts w:ascii="Arial" w:hAnsi="Arial" w:cs="Arial"/>
          <w:sz w:val="20"/>
          <w:szCs w:val="20"/>
        </w:rPr>
        <w:t xml:space="preserve">Present the greatest potential for socio-economic impact according to a robust set of economic and social criteria that are both forward looking and reflective of the current status; and </w:t>
      </w:r>
    </w:p>
    <w:p w:rsidR="00156A00" w:rsidRPr="005D4748" w:rsidRDefault="00156A00" w:rsidP="005D4748">
      <w:pPr>
        <w:pStyle w:val="ListParagraph"/>
        <w:numPr>
          <w:ilvl w:val="0"/>
          <w:numId w:val="12"/>
        </w:numPr>
        <w:spacing w:after="0" w:line="240" w:lineRule="auto"/>
        <w:ind w:left="567" w:hanging="567"/>
        <w:contextualSpacing w:val="0"/>
        <w:rPr>
          <w:rFonts w:ascii="Arial" w:hAnsi="Arial" w:cs="Arial"/>
          <w:sz w:val="20"/>
          <w:szCs w:val="20"/>
        </w:rPr>
      </w:pPr>
      <w:r w:rsidRPr="005D4748">
        <w:rPr>
          <w:rFonts w:ascii="Arial" w:hAnsi="Arial" w:cs="Arial"/>
          <w:sz w:val="20"/>
          <w:szCs w:val="20"/>
        </w:rPr>
        <w:t>Dependent on R&amp;D, are amenable to stimulation through innovation, and thus offer opportunities for the CSIR to pursue.</w:t>
      </w:r>
    </w:p>
    <w:p w:rsidR="006612DF" w:rsidRPr="005D4748" w:rsidRDefault="006612DF" w:rsidP="005D4748">
      <w:pPr>
        <w:spacing w:after="0" w:line="240" w:lineRule="auto"/>
        <w:rPr>
          <w:rFonts w:ascii="Arial" w:eastAsia="Times New Roman" w:hAnsi="Arial" w:cs="Arial"/>
          <w:sz w:val="20"/>
          <w:szCs w:val="20"/>
          <w:lang w:val="en-GB"/>
        </w:rPr>
      </w:pPr>
    </w:p>
    <w:p w:rsidR="00900DC0" w:rsidRPr="005D4748" w:rsidRDefault="00900DC0" w:rsidP="005D4748">
      <w:pPr>
        <w:pStyle w:val="ListParagraph"/>
        <w:spacing w:after="0" w:line="240" w:lineRule="auto"/>
        <w:ind w:left="0"/>
        <w:rPr>
          <w:rFonts w:ascii="Arial" w:hAnsi="Arial" w:cs="Arial"/>
          <w:sz w:val="20"/>
          <w:szCs w:val="20"/>
        </w:rPr>
      </w:pPr>
      <w:r w:rsidRPr="005D4748">
        <w:rPr>
          <w:rFonts w:ascii="Arial" w:hAnsi="Arial" w:cs="Arial"/>
          <w:sz w:val="20"/>
          <w:szCs w:val="20"/>
        </w:rPr>
        <w:t>In line with the intent of Project Synapse, the CSIR value proposition includes:</w:t>
      </w:r>
    </w:p>
    <w:p w:rsidR="00900DC0" w:rsidRPr="005D4748" w:rsidRDefault="00900DC0" w:rsidP="005D4748">
      <w:pPr>
        <w:pStyle w:val="ListParagraph"/>
        <w:spacing w:after="0" w:line="240" w:lineRule="auto"/>
        <w:ind w:left="0"/>
        <w:rPr>
          <w:rFonts w:ascii="Arial" w:hAnsi="Arial" w:cs="Arial"/>
          <w:sz w:val="20"/>
          <w:szCs w:val="20"/>
        </w:rPr>
      </w:pPr>
    </w:p>
    <w:p w:rsidR="00900DC0" w:rsidRPr="005D4748" w:rsidRDefault="00900DC0" w:rsidP="005D4748">
      <w:pPr>
        <w:pStyle w:val="ListParagraph"/>
        <w:numPr>
          <w:ilvl w:val="0"/>
          <w:numId w:val="13"/>
        </w:numPr>
        <w:spacing w:after="0" w:line="240" w:lineRule="auto"/>
        <w:ind w:left="567" w:hanging="567"/>
        <w:contextualSpacing w:val="0"/>
        <w:rPr>
          <w:rFonts w:ascii="Arial" w:hAnsi="Arial" w:cs="Arial"/>
          <w:sz w:val="20"/>
          <w:szCs w:val="20"/>
        </w:rPr>
      </w:pPr>
      <w:r w:rsidRPr="005D4748">
        <w:rPr>
          <w:rFonts w:ascii="Arial" w:hAnsi="Arial" w:cs="Arial"/>
          <w:sz w:val="20"/>
          <w:szCs w:val="20"/>
        </w:rPr>
        <w:t>Technology licensing and start-up creation;</w:t>
      </w:r>
    </w:p>
    <w:p w:rsidR="00900DC0" w:rsidRPr="005D4748" w:rsidRDefault="00900DC0" w:rsidP="005D4748">
      <w:pPr>
        <w:pStyle w:val="ListParagraph"/>
        <w:numPr>
          <w:ilvl w:val="0"/>
          <w:numId w:val="13"/>
        </w:numPr>
        <w:spacing w:after="0" w:line="240" w:lineRule="auto"/>
        <w:ind w:left="567" w:hanging="567"/>
        <w:contextualSpacing w:val="0"/>
        <w:rPr>
          <w:rFonts w:ascii="Arial" w:hAnsi="Arial" w:cs="Arial"/>
          <w:sz w:val="20"/>
          <w:szCs w:val="20"/>
        </w:rPr>
      </w:pPr>
      <w:r w:rsidRPr="005D4748">
        <w:rPr>
          <w:rFonts w:ascii="Arial" w:hAnsi="Arial" w:cs="Arial"/>
          <w:sz w:val="20"/>
          <w:szCs w:val="20"/>
        </w:rPr>
        <w:t>Access to specialised, state of the art infrastructure, skills and technology incubation;</w:t>
      </w:r>
    </w:p>
    <w:p w:rsidR="00900DC0" w:rsidRPr="005D4748" w:rsidRDefault="00900DC0" w:rsidP="005D4748">
      <w:pPr>
        <w:pStyle w:val="ListParagraph"/>
        <w:numPr>
          <w:ilvl w:val="0"/>
          <w:numId w:val="13"/>
        </w:numPr>
        <w:spacing w:after="0" w:line="240" w:lineRule="auto"/>
        <w:ind w:left="567" w:hanging="567"/>
        <w:contextualSpacing w:val="0"/>
        <w:rPr>
          <w:rFonts w:ascii="Arial" w:hAnsi="Arial" w:cs="Arial"/>
          <w:sz w:val="20"/>
          <w:szCs w:val="20"/>
        </w:rPr>
      </w:pPr>
      <w:r w:rsidRPr="005D4748">
        <w:rPr>
          <w:rFonts w:ascii="Arial" w:hAnsi="Arial" w:cs="Arial"/>
          <w:sz w:val="20"/>
          <w:szCs w:val="20"/>
        </w:rPr>
        <w:t>Innovation support;</w:t>
      </w:r>
    </w:p>
    <w:p w:rsidR="00900DC0" w:rsidRPr="005D4748" w:rsidRDefault="00900DC0" w:rsidP="005D4748">
      <w:pPr>
        <w:pStyle w:val="ListParagraph"/>
        <w:numPr>
          <w:ilvl w:val="0"/>
          <w:numId w:val="13"/>
        </w:numPr>
        <w:spacing w:after="0" w:line="240" w:lineRule="auto"/>
        <w:ind w:left="567" w:hanging="567"/>
        <w:contextualSpacing w:val="0"/>
        <w:rPr>
          <w:rFonts w:ascii="Arial" w:hAnsi="Arial" w:cs="Arial"/>
          <w:sz w:val="20"/>
          <w:szCs w:val="20"/>
        </w:rPr>
      </w:pPr>
      <w:r w:rsidRPr="005D4748">
        <w:rPr>
          <w:rFonts w:ascii="Arial" w:hAnsi="Arial" w:cs="Arial"/>
          <w:sz w:val="20"/>
          <w:szCs w:val="20"/>
        </w:rPr>
        <w:t>Improvement of industry competitiveness;</w:t>
      </w:r>
    </w:p>
    <w:p w:rsidR="00900DC0" w:rsidRPr="005D4748" w:rsidRDefault="00900DC0" w:rsidP="005D4748">
      <w:pPr>
        <w:pStyle w:val="ListParagraph"/>
        <w:numPr>
          <w:ilvl w:val="0"/>
          <w:numId w:val="13"/>
        </w:numPr>
        <w:spacing w:after="0" w:line="240" w:lineRule="auto"/>
        <w:ind w:left="567" w:hanging="567"/>
        <w:contextualSpacing w:val="0"/>
        <w:rPr>
          <w:rFonts w:ascii="Arial" w:hAnsi="Arial" w:cs="Arial"/>
          <w:sz w:val="20"/>
          <w:szCs w:val="20"/>
        </w:rPr>
      </w:pPr>
      <w:r w:rsidRPr="005D4748">
        <w:rPr>
          <w:rFonts w:ascii="Arial" w:hAnsi="Arial" w:cs="Arial"/>
          <w:sz w:val="20"/>
          <w:szCs w:val="20"/>
        </w:rPr>
        <w:t>New industry creation;</w:t>
      </w:r>
    </w:p>
    <w:p w:rsidR="00900DC0" w:rsidRPr="005D4748" w:rsidRDefault="00900DC0" w:rsidP="005D4748">
      <w:pPr>
        <w:pStyle w:val="ListParagraph"/>
        <w:numPr>
          <w:ilvl w:val="0"/>
          <w:numId w:val="13"/>
        </w:numPr>
        <w:spacing w:after="0" w:line="240" w:lineRule="auto"/>
        <w:ind w:left="567" w:hanging="567"/>
        <w:contextualSpacing w:val="0"/>
        <w:rPr>
          <w:rFonts w:ascii="Arial" w:hAnsi="Arial" w:cs="Arial"/>
          <w:sz w:val="20"/>
          <w:szCs w:val="20"/>
        </w:rPr>
      </w:pPr>
      <w:r w:rsidRPr="005D4748">
        <w:rPr>
          <w:rFonts w:ascii="Arial" w:hAnsi="Arial" w:cs="Arial"/>
          <w:sz w:val="20"/>
          <w:szCs w:val="20"/>
        </w:rPr>
        <w:t>Technology localisation and supplier development; and</w:t>
      </w:r>
    </w:p>
    <w:p w:rsidR="00900DC0" w:rsidRPr="005D4748" w:rsidRDefault="00900DC0" w:rsidP="005D4748">
      <w:pPr>
        <w:pStyle w:val="ListParagraph"/>
        <w:numPr>
          <w:ilvl w:val="0"/>
          <w:numId w:val="13"/>
        </w:numPr>
        <w:spacing w:after="0" w:line="240" w:lineRule="auto"/>
        <w:ind w:left="567" w:hanging="567"/>
        <w:contextualSpacing w:val="0"/>
        <w:rPr>
          <w:rFonts w:ascii="Arial" w:hAnsi="Arial" w:cs="Arial"/>
          <w:sz w:val="20"/>
          <w:szCs w:val="20"/>
        </w:rPr>
      </w:pPr>
      <w:r w:rsidRPr="005D4748">
        <w:rPr>
          <w:rFonts w:ascii="Arial" w:hAnsi="Arial" w:cs="Arial"/>
          <w:sz w:val="20"/>
          <w:szCs w:val="20"/>
        </w:rPr>
        <w:t>Community-based industry creation.</w:t>
      </w:r>
    </w:p>
    <w:p w:rsidR="00900DC0" w:rsidRPr="005D4748" w:rsidRDefault="00900DC0" w:rsidP="005D4748">
      <w:pPr>
        <w:spacing w:after="0" w:line="240" w:lineRule="auto"/>
        <w:rPr>
          <w:rFonts w:ascii="Arial" w:eastAsia="Times New Roman" w:hAnsi="Arial" w:cs="Arial"/>
          <w:sz w:val="20"/>
          <w:szCs w:val="20"/>
          <w:lang w:val="en-GB"/>
        </w:rPr>
      </w:pPr>
    </w:p>
    <w:p w:rsidR="006612DF" w:rsidRPr="005D4748" w:rsidRDefault="006612DF" w:rsidP="005D4748">
      <w:pPr>
        <w:pStyle w:val="ListParagraph"/>
        <w:numPr>
          <w:ilvl w:val="2"/>
          <w:numId w:val="1"/>
        </w:numPr>
        <w:spacing w:after="0" w:line="240" w:lineRule="auto"/>
        <w:ind w:left="851" w:hanging="851"/>
        <w:rPr>
          <w:rFonts w:ascii="Arial" w:eastAsia="Times New Roman" w:hAnsi="Arial" w:cs="Arial"/>
          <w:b/>
          <w:sz w:val="20"/>
          <w:szCs w:val="20"/>
          <w:lang w:val="en-GB"/>
        </w:rPr>
      </w:pPr>
      <w:r w:rsidRPr="005D4748">
        <w:rPr>
          <w:rFonts w:ascii="Arial" w:eastAsia="Times New Roman" w:hAnsi="Arial" w:cs="Arial"/>
          <w:b/>
          <w:sz w:val="20"/>
          <w:szCs w:val="20"/>
          <w:lang w:val="en-GB"/>
        </w:rPr>
        <w:t>2021</w:t>
      </w:r>
      <w:r w:rsidR="00900DC0" w:rsidRPr="005D4748">
        <w:rPr>
          <w:rFonts w:ascii="Arial" w:eastAsia="Times New Roman" w:hAnsi="Arial" w:cs="Arial"/>
          <w:b/>
          <w:sz w:val="20"/>
          <w:szCs w:val="20"/>
          <w:lang w:val="en-GB"/>
        </w:rPr>
        <w:t>/22</w:t>
      </w:r>
      <w:r w:rsidRPr="005D4748">
        <w:rPr>
          <w:rFonts w:ascii="Arial" w:eastAsia="Times New Roman" w:hAnsi="Arial" w:cs="Arial"/>
          <w:b/>
          <w:sz w:val="20"/>
          <w:szCs w:val="20"/>
          <w:lang w:val="en-GB"/>
        </w:rPr>
        <w:t xml:space="preserve"> </w:t>
      </w:r>
      <w:r w:rsidR="0084395E" w:rsidRPr="005D4748">
        <w:rPr>
          <w:rFonts w:ascii="Arial" w:eastAsia="Times New Roman" w:hAnsi="Arial" w:cs="Arial"/>
          <w:b/>
          <w:sz w:val="20"/>
          <w:szCs w:val="20"/>
          <w:lang w:val="en-GB"/>
        </w:rPr>
        <w:t>Revenue</w:t>
      </w:r>
    </w:p>
    <w:p w:rsidR="006612DF" w:rsidRPr="005D4748" w:rsidRDefault="006612DF" w:rsidP="005D4748">
      <w:pPr>
        <w:spacing w:after="0" w:line="240" w:lineRule="auto"/>
        <w:rPr>
          <w:rFonts w:ascii="Arial" w:eastAsia="Times New Roman" w:hAnsi="Arial" w:cs="Arial"/>
          <w:sz w:val="20"/>
          <w:szCs w:val="20"/>
          <w:lang w:val="en-GB"/>
        </w:rPr>
      </w:pPr>
    </w:p>
    <w:p w:rsidR="001D0201" w:rsidRPr="005D4748" w:rsidRDefault="00096319" w:rsidP="005D4748">
      <w:pPr>
        <w:spacing w:after="0" w:line="240" w:lineRule="auto"/>
        <w:rPr>
          <w:rFonts w:ascii="Arial" w:hAnsi="Arial" w:cs="Arial"/>
          <w:sz w:val="20"/>
          <w:szCs w:val="20"/>
        </w:rPr>
      </w:pPr>
      <w:r w:rsidRPr="005D4748">
        <w:rPr>
          <w:rFonts w:ascii="Arial" w:hAnsi="Arial" w:cs="Arial"/>
          <w:sz w:val="20"/>
          <w:szCs w:val="20"/>
        </w:rPr>
        <w:t>T</w:t>
      </w:r>
      <w:r w:rsidR="001D0201" w:rsidRPr="005D4748">
        <w:rPr>
          <w:rFonts w:ascii="Arial" w:hAnsi="Arial" w:cs="Arial"/>
          <w:sz w:val="20"/>
          <w:szCs w:val="20"/>
        </w:rPr>
        <w:t xml:space="preserve">he CSIR’s total </w:t>
      </w:r>
      <w:r w:rsidR="00A02CAF" w:rsidRPr="005D4748">
        <w:rPr>
          <w:rFonts w:ascii="Arial" w:hAnsi="Arial" w:cs="Arial"/>
          <w:sz w:val="20"/>
          <w:szCs w:val="20"/>
        </w:rPr>
        <w:t>revenue</w:t>
      </w:r>
      <w:r w:rsidR="001D0201" w:rsidRPr="005D4748">
        <w:rPr>
          <w:rFonts w:ascii="Arial" w:hAnsi="Arial" w:cs="Arial"/>
          <w:sz w:val="20"/>
          <w:szCs w:val="20"/>
        </w:rPr>
        <w:t xml:space="preserve"> </w:t>
      </w:r>
      <w:r w:rsidRPr="005D4748">
        <w:rPr>
          <w:rFonts w:ascii="Arial" w:hAnsi="Arial" w:cs="Arial"/>
          <w:sz w:val="20"/>
          <w:szCs w:val="20"/>
        </w:rPr>
        <w:t xml:space="preserve">was </w:t>
      </w:r>
      <w:r w:rsidR="001D0201" w:rsidRPr="005D4748">
        <w:rPr>
          <w:rFonts w:ascii="Arial" w:hAnsi="Arial" w:cs="Arial"/>
          <w:sz w:val="20"/>
          <w:szCs w:val="20"/>
        </w:rPr>
        <w:t xml:space="preserve">R2.65 billion (R2.57 billion in 2020/21 and R2.76 billion in 2019/20), which </w:t>
      </w:r>
      <w:r w:rsidRPr="005D4748">
        <w:rPr>
          <w:rFonts w:ascii="Arial" w:hAnsi="Arial" w:cs="Arial"/>
          <w:sz w:val="20"/>
          <w:szCs w:val="20"/>
        </w:rPr>
        <w:t>wa</w:t>
      </w:r>
      <w:r w:rsidR="001D0201" w:rsidRPr="005D4748">
        <w:rPr>
          <w:rFonts w:ascii="Arial" w:hAnsi="Arial" w:cs="Arial"/>
          <w:sz w:val="20"/>
          <w:szCs w:val="20"/>
        </w:rPr>
        <w:t xml:space="preserve">s 8% less than the target set. The net profit of R137 million exceeded the budget estimate by R233 million since the CSIR projected that it would suffer a R96 million loss in 2021/22. Contract </w:t>
      </w:r>
      <w:r w:rsidR="00A02CAF" w:rsidRPr="005D4748">
        <w:rPr>
          <w:rFonts w:ascii="Arial" w:hAnsi="Arial" w:cs="Arial"/>
          <w:sz w:val="20"/>
          <w:szCs w:val="20"/>
        </w:rPr>
        <w:t>revenue</w:t>
      </w:r>
      <w:r w:rsidR="001D0201" w:rsidRPr="005D4748">
        <w:rPr>
          <w:rFonts w:ascii="Arial" w:hAnsi="Arial" w:cs="Arial"/>
          <w:sz w:val="20"/>
          <w:szCs w:val="20"/>
        </w:rPr>
        <w:t xml:space="preserve"> </w:t>
      </w:r>
      <w:r w:rsidRPr="005D4748">
        <w:rPr>
          <w:rFonts w:ascii="Arial" w:hAnsi="Arial" w:cs="Arial"/>
          <w:sz w:val="20"/>
          <w:szCs w:val="20"/>
        </w:rPr>
        <w:t>was</w:t>
      </w:r>
      <w:r w:rsidR="001D0201" w:rsidRPr="005D4748">
        <w:rPr>
          <w:rFonts w:ascii="Arial" w:hAnsi="Arial" w:cs="Arial"/>
          <w:sz w:val="20"/>
          <w:szCs w:val="20"/>
        </w:rPr>
        <w:t xml:space="preserve"> R1.92 billion (R1.91 billion in 2020/21) and the parliamentary grant </w:t>
      </w:r>
      <w:r w:rsidRPr="005D4748">
        <w:rPr>
          <w:rFonts w:ascii="Arial" w:hAnsi="Arial" w:cs="Arial"/>
          <w:sz w:val="20"/>
          <w:szCs w:val="20"/>
        </w:rPr>
        <w:t>was</w:t>
      </w:r>
      <w:r w:rsidR="001D0201" w:rsidRPr="005D4748">
        <w:rPr>
          <w:rFonts w:ascii="Arial" w:hAnsi="Arial" w:cs="Arial"/>
          <w:sz w:val="20"/>
          <w:szCs w:val="20"/>
        </w:rPr>
        <w:t xml:space="preserve"> R730.3 million (R670 million in 2020/21). Royalty </w:t>
      </w:r>
      <w:r w:rsidR="00A02CAF" w:rsidRPr="005D4748">
        <w:rPr>
          <w:rFonts w:ascii="Arial" w:hAnsi="Arial" w:cs="Arial"/>
          <w:sz w:val="20"/>
          <w:szCs w:val="20"/>
        </w:rPr>
        <w:t>revenue</w:t>
      </w:r>
      <w:r w:rsidR="001D0201" w:rsidRPr="005D4748">
        <w:rPr>
          <w:rFonts w:ascii="Arial" w:hAnsi="Arial" w:cs="Arial"/>
          <w:sz w:val="20"/>
          <w:szCs w:val="20"/>
        </w:rPr>
        <w:t xml:space="preserve"> </w:t>
      </w:r>
      <w:r w:rsidRPr="005D4748">
        <w:rPr>
          <w:rFonts w:ascii="Arial" w:hAnsi="Arial" w:cs="Arial"/>
          <w:sz w:val="20"/>
          <w:szCs w:val="20"/>
        </w:rPr>
        <w:t xml:space="preserve">was </w:t>
      </w:r>
      <w:r w:rsidR="001D0201" w:rsidRPr="005D4748">
        <w:rPr>
          <w:rFonts w:ascii="Arial" w:hAnsi="Arial" w:cs="Arial"/>
          <w:sz w:val="20"/>
          <w:szCs w:val="20"/>
        </w:rPr>
        <w:t>R7.4 million (R2.6 million in 2020/21).</w:t>
      </w:r>
    </w:p>
    <w:p w:rsidR="001D0201" w:rsidRPr="005D4748" w:rsidRDefault="001D0201" w:rsidP="005D4748">
      <w:pPr>
        <w:spacing w:after="0" w:line="240" w:lineRule="auto"/>
        <w:rPr>
          <w:rFonts w:ascii="Arial" w:hAnsi="Arial" w:cs="Arial"/>
          <w:sz w:val="20"/>
          <w:szCs w:val="20"/>
        </w:rPr>
      </w:pPr>
    </w:p>
    <w:p w:rsidR="001D0201" w:rsidRPr="005D4748" w:rsidRDefault="001D0201" w:rsidP="005D4748">
      <w:pPr>
        <w:spacing w:after="0" w:line="240" w:lineRule="auto"/>
        <w:rPr>
          <w:rFonts w:ascii="Arial" w:hAnsi="Arial" w:cs="Arial"/>
          <w:sz w:val="20"/>
          <w:szCs w:val="20"/>
        </w:rPr>
      </w:pPr>
      <w:r w:rsidRPr="005D4748">
        <w:rPr>
          <w:rFonts w:ascii="Arial" w:hAnsi="Arial" w:cs="Arial"/>
          <w:sz w:val="20"/>
          <w:szCs w:val="20"/>
        </w:rPr>
        <w:t xml:space="preserve">The largest portion of the CSIR’s </w:t>
      </w:r>
      <w:r w:rsidR="00A02CAF" w:rsidRPr="005D4748">
        <w:rPr>
          <w:rFonts w:ascii="Arial" w:hAnsi="Arial" w:cs="Arial"/>
          <w:sz w:val="20"/>
          <w:szCs w:val="20"/>
        </w:rPr>
        <w:t>revenue</w:t>
      </w:r>
      <w:r w:rsidRPr="005D4748">
        <w:rPr>
          <w:rFonts w:ascii="Arial" w:hAnsi="Arial" w:cs="Arial"/>
          <w:sz w:val="20"/>
          <w:szCs w:val="20"/>
        </w:rPr>
        <w:t>, at 56%,</w:t>
      </w:r>
      <w:r w:rsidR="00096319" w:rsidRPr="005D4748">
        <w:rPr>
          <w:rFonts w:ascii="Arial" w:hAnsi="Arial" w:cs="Arial"/>
          <w:sz w:val="20"/>
          <w:szCs w:val="20"/>
        </w:rPr>
        <w:t xml:space="preserve"> wa</w:t>
      </w:r>
      <w:r w:rsidRPr="005D4748">
        <w:rPr>
          <w:rFonts w:ascii="Arial" w:hAnsi="Arial" w:cs="Arial"/>
          <w:sz w:val="20"/>
          <w:szCs w:val="20"/>
        </w:rPr>
        <w:t>s contract R&amp;D from the public sector</w:t>
      </w:r>
      <w:r w:rsidR="00096319" w:rsidRPr="005D4748">
        <w:rPr>
          <w:rFonts w:ascii="Arial" w:hAnsi="Arial" w:cs="Arial"/>
          <w:sz w:val="20"/>
          <w:szCs w:val="20"/>
        </w:rPr>
        <w:t>,</w:t>
      </w:r>
      <w:r w:rsidRPr="005D4748">
        <w:rPr>
          <w:rFonts w:ascii="Arial" w:hAnsi="Arial" w:cs="Arial"/>
          <w:sz w:val="20"/>
          <w:szCs w:val="20"/>
        </w:rPr>
        <w:t xml:space="preserve"> followed by the parliamentary grant at 27%. Private sector and international contract </w:t>
      </w:r>
      <w:r w:rsidR="00A02CAF" w:rsidRPr="005D4748">
        <w:rPr>
          <w:rFonts w:ascii="Arial" w:hAnsi="Arial" w:cs="Arial"/>
          <w:sz w:val="20"/>
          <w:szCs w:val="20"/>
        </w:rPr>
        <w:t>revenue</w:t>
      </w:r>
      <w:r w:rsidRPr="005D4748">
        <w:rPr>
          <w:rFonts w:ascii="Arial" w:hAnsi="Arial" w:cs="Arial"/>
          <w:sz w:val="20"/>
          <w:szCs w:val="20"/>
        </w:rPr>
        <w:t>s were 9% (13% in 2020/21) and 8% (5% in 2020/21) respectively. The CSIR improved its B-BBEE rating level, moving from level 2 to level 1, which is currently the best among public sector entities.</w:t>
      </w:r>
    </w:p>
    <w:p w:rsidR="001D0201" w:rsidRPr="005D4748" w:rsidRDefault="001D0201" w:rsidP="005D4748">
      <w:pPr>
        <w:spacing w:after="0" w:line="240" w:lineRule="auto"/>
        <w:rPr>
          <w:rFonts w:ascii="Arial" w:hAnsi="Arial" w:cs="Arial"/>
          <w:sz w:val="20"/>
          <w:szCs w:val="20"/>
        </w:rPr>
      </w:pPr>
    </w:p>
    <w:p w:rsidR="001D0201" w:rsidRPr="005D4748" w:rsidRDefault="001D0201" w:rsidP="005D4748">
      <w:pPr>
        <w:pStyle w:val="ListParagraph"/>
        <w:spacing w:after="0" w:line="240" w:lineRule="auto"/>
        <w:ind w:left="0"/>
        <w:rPr>
          <w:rFonts w:ascii="Arial" w:hAnsi="Arial" w:cs="Arial"/>
          <w:sz w:val="20"/>
          <w:szCs w:val="20"/>
        </w:rPr>
      </w:pPr>
      <w:r w:rsidRPr="005D4748">
        <w:rPr>
          <w:rFonts w:ascii="Arial" w:hAnsi="Arial" w:cs="Arial"/>
          <w:sz w:val="20"/>
          <w:szCs w:val="20"/>
        </w:rPr>
        <w:t>The CSIR identified the following factors, which constrained its ability to earn revenue:</w:t>
      </w:r>
    </w:p>
    <w:p w:rsidR="001D0201" w:rsidRPr="005D4748" w:rsidRDefault="001D0201" w:rsidP="005D4748">
      <w:pPr>
        <w:pStyle w:val="ListParagraph"/>
        <w:spacing w:after="0" w:line="240" w:lineRule="auto"/>
        <w:ind w:left="0"/>
        <w:rPr>
          <w:rFonts w:ascii="Arial" w:hAnsi="Arial" w:cs="Arial"/>
          <w:sz w:val="20"/>
          <w:szCs w:val="20"/>
        </w:rPr>
      </w:pPr>
    </w:p>
    <w:p w:rsidR="001D0201" w:rsidRPr="005D4748" w:rsidRDefault="001D0201" w:rsidP="005D4748">
      <w:pPr>
        <w:pStyle w:val="ListParagraph"/>
        <w:numPr>
          <w:ilvl w:val="0"/>
          <w:numId w:val="14"/>
        </w:numPr>
        <w:spacing w:after="0" w:line="240" w:lineRule="auto"/>
        <w:ind w:left="567" w:hanging="567"/>
        <w:contextualSpacing w:val="0"/>
        <w:rPr>
          <w:rFonts w:ascii="Arial" w:hAnsi="Arial" w:cs="Arial"/>
          <w:sz w:val="20"/>
          <w:szCs w:val="20"/>
        </w:rPr>
      </w:pPr>
      <w:r w:rsidRPr="005D4748">
        <w:rPr>
          <w:rFonts w:ascii="Arial" w:hAnsi="Arial" w:cs="Arial"/>
          <w:sz w:val="20"/>
          <w:szCs w:val="20"/>
        </w:rPr>
        <w:t xml:space="preserve">Reduction in contract R&amp;D </w:t>
      </w:r>
      <w:r w:rsidR="00A02CAF" w:rsidRPr="005D4748">
        <w:rPr>
          <w:rFonts w:ascii="Arial" w:hAnsi="Arial" w:cs="Arial"/>
          <w:sz w:val="20"/>
          <w:szCs w:val="20"/>
        </w:rPr>
        <w:t>revenue</w:t>
      </w:r>
      <w:r w:rsidRPr="005D4748">
        <w:rPr>
          <w:rFonts w:ascii="Arial" w:hAnsi="Arial" w:cs="Arial"/>
          <w:sz w:val="20"/>
          <w:szCs w:val="20"/>
        </w:rPr>
        <w:t xml:space="preserve"> because of continuing adverse economic conditions due to the ongoing </w:t>
      </w:r>
      <w:r w:rsidR="00096319" w:rsidRPr="005D4748">
        <w:rPr>
          <w:rFonts w:ascii="Arial" w:hAnsi="Arial" w:cs="Arial"/>
          <w:sz w:val="20"/>
          <w:szCs w:val="20"/>
        </w:rPr>
        <w:t>COVID-19</w:t>
      </w:r>
      <w:r w:rsidRPr="005D4748">
        <w:rPr>
          <w:rFonts w:ascii="Arial" w:hAnsi="Arial" w:cs="Arial"/>
          <w:sz w:val="20"/>
          <w:szCs w:val="20"/>
        </w:rPr>
        <w:t xml:space="preserve"> pandemic, resulting in parts of the business not being fully operational, for example, the CSIR International Convention Centre.</w:t>
      </w:r>
    </w:p>
    <w:p w:rsidR="001D0201" w:rsidRPr="005D4748" w:rsidRDefault="001D0201" w:rsidP="005D4748">
      <w:pPr>
        <w:pStyle w:val="ListParagraph"/>
        <w:numPr>
          <w:ilvl w:val="0"/>
          <w:numId w:val="14"/>
        </w:numPr>
        <w:spacing w:after="0" w:line="240" w:lineRule="auto"/>
        <w:ind w:left="567" w:hanging="567"/>
        <w:contextualSpacing w:val="0"/>
        <w:rPr>
          <w:rFonts w:ascii="Arial" w:hAnsi="Arial" w:cs="Arial"/>
          <w:sz w:val="20"/>
          <w:szCs w:val="20"/>
        </w:rPr>
      </w:pPr>
      <w:r w:rsidRPr="005D4748">
        <w:rPr>
          <w:rFonts w:ascii="Arial" w:hAnsi="Arial" w:cs="Arial"/>
          <w:sz w:val="20"/>
          <w:szCs w:val="20"/>
        </w:rPr>
        <w:t xml:space="preserve">Reduced level of productivity due to the ongoing </w:t>
      </w:r>
      <w:r w:rsidR="00E71BB9" w:rsidRPr="005D4748">
        <w:rPr>
          <w:rFonts w:ascii="Arial" w:hAnsi="Arial" w:cs="Arial"/>
          <w:sz w:val="20"/>
          <w:szCs w:val="20"/>
        </w:rPr>
        <w:t>COVID-19</w:t>
      </w:r>
      <w:r w:rsidRPr="005D4748">
        <w:rPr>
          <w:rFonts w:ascii="Arial" w:hAnsi="Arial" w:cs="Arial"/>
          <w:sz w:val="20"/>
          <w:szCs w:val="20"/>
        </w:rPr>
        <w:t xml:space="preserve"> pandemic earlier in the financial year.</w:t>
      </w:r>
    </w:p>
    <w:p w:rsidR="001D0201" w:rsidRPr="005D4748" w:rsidRDefault="001D0201" w:rsidP="005D4748">
      <w:pPr>
        <w:pStyle w:val="ListParagraph"/>
        <w:numPr>
          <w:ilvl w:val="0"/>
          <w:numId w:val="14"/>
        </w:numPr>
        <w:spacing w:after="0" w:line="240" w:lineRule="auto"/>
        <w:ind w:left="567" w:hanging="567"/>
        <w:contextualSpacing w:val="0"/>
        <w:rPr>
          <w:rFonts w:ascii="Arial" w:hAnsi="Arial" w:cs="Arial"/>
          <w:sz w:val="20"/>
          <w:szCs w:val="20"/>
        </w:rPr>
      </w:pPr>
      <w:r w:rsidRPr="005D4748">
        <w:rPr>
          <w:rFonts w:ascii="Arial" w:hAnsi="Arial" w:cs="Arial"/>
          <w:sz w:val="20"/>
          <w:szCs w:val="20"/>
        </w:rPr>
        <w:t>Key contracts with the public sector were not secured, for example, contracts with Armscor/Department of Defence and Department of Correctional Services in the Defence and Security cluster. Delays in securing large-value contracts, such as a contract for the Titanium Centre of Competence and the National Foundry Technology Network.</w:t>
      </w:r>
    </w:p>
    <w:p w:rsidR="001D0201" w:rsidRPr="005D4748" w:rsidRDefault="001D0201" w:rsidP="005D4748">
      <w:pPr>
        <w:pStyle w:val="ListParagraph"/>
        <w:numPr>
          <w:ilvl w:val="0"/>
          <w:numId w:val="14"/>
        </w:numPr>
        <w:spacing w:after="0" w:line="240" w:lineRule="auto"/>
        <w:ind w:left="567" w:hanging="567"/>
        <w:contextualSpacing w:val="0"/>
        <w:rPr>
          <w:rFonts w:ascii="Arial" w:hAnsi="Arial" w:cs="Arial"/>
          <w:sz w:val="20"/>
          <w:szCs w:val="20"/>
        </w:rPr>
      </w:pPr>
      <w:r w:rsidRPr="005D4748">
        <w:rPr>
          <w:rFonts w:ascii="Arial" w:hAnsi="Arial" w:cs="Arial"/>
          <w:sz w:val="20"/>
          <w:szCs w:val="20"/>
        </w:rPr>
        <w:t xml:space="preserve">Lease agreements with proposed tenants for vacant space were not secured as planned due to working from home arrangements because of the </w:t>
      </w:r>
      <w:r w:rsidR="00E71BB9" w:rsidRPr="005D4748">
        <w:rPr>
          <w:rFonts w:ascii="Arial" w:hAnsi="Arial" w:cs="Arial"/>
          <w:sz w:val="20"/>
          <w:szCs w:val="20"/>
        </w:rPr>
        <w:t>COVID-19</w:t>
      </w:r>
      <w:r w:rsidRPr="005D4748">
        <w:rPr>
          <w:rFonts w:ascii="Arial" w:hAnsi="Arial" w:cs="Arial"/>
          <w:sz w:val="20"/>
          <w:szCs w:val="20"/>
        </w:rPr>
        <w:t xml:space="preserve"> pandemic</w:t>
      </w:r>
      <w:r w:rsidR="00096319" w:rsidRPr="005D4748">
        <w:rPr>
          <w:rFonts w:ascii="Arial" w:hAnsi="Arial" w:cs="Arial"/>
          <w:sz w:val="20"/>
          <w:szCs w:val="20"/>
        </w:rPr>
        <w:t xml:space="preserve">, which </w:t>
      </w:r>
      <w:r w:rsidRPr="005D4748">
        <w:rPr>
          <w:rFonts w:ascii="Arial" w:hAnsi="Arial" w:cs="Arial"/>
          <w:sz w:val="20"/>
          <w:szCs w:val="20"/>
        </w:rPr>
        <w:t>diminish</w:t>
      </w:r>
      <w:r w:rsidR="00096319" w:rsidRPr="005D4748">
        <w:rPr>
          <w:rFonts w:ascii="Arial" w:hAnsi="Arial" w:cs="Arial"/>
          <w:sz w:val="20"/>
          <w:szCs w:val="20"/>
        </w:rPr>
        <w:t>ed the</w:t>
      </w:r>
      <w:r w:rsidRPr="005D4748">
        <w:rPr>
          <w:rFonts w:ascii="Arial" w:hAnsi="Arial" w:cs="Arial"/>
          <w:sz w:val="20"/>
          <w:szCs w:val="20"/>
        </w:rPr>
        <w:t xml:space="preserve"> need for office space.</w:t>
      </w:r>
    </w:p>
    <w:p w:rsidR="001D0201" w:rsidRPr="005D4748" w:rsidRDefault="001D0201" w:rsidP="005D4748">
      <w:pPr>
        <w:pStyle w:val="ListParagraph"/>
        <w:numPr>
          <w:ilvl w:val="0"/>
          <w:numId w:val="14"/>
        </w:numPr>
        <w:spacing w:after="0" w:line="240" w:lineRule="auto"/>
        <w:ind w:left="567" w:hanging="567"/>
        <w:contextualSpacing w:val="0"/>
        <w:rPr>
          <w:rFonts w:ascii="Arial" w:hAnsi="Arial" w:cs="Arial"/>
          <w:sz w:val="20"/>
          <w:szCs w:val="20"/>
        </w:rPr>
      </w:pPr>
      <w:r w:rsidRPr="005D4748">
        <w:rPr>
          <w:rFonts w:ascii="Arial" w:hAnsi="Arial" w:cs="Arial"/>
          <w:sz w:val="20"/>
          <w:szCs w:val="20"/>
        </w:rPr>
        <w:t>Delays in the acquisition of equipment funded by public sector funding (this also result</w:t>
      </w:r>
      <w:r w:rsidR="0084395E" w:rsidRPr="005D4748">
        <w:rPr>
          <w:rFonts w:ascii="Arial" w:hAnsi="Arial" w:cs="Arial"/>
          <w:sz w:val="20"/>
          <w:szCs w:val="20"/>
        </w:rPr>
        <w:t>ed</w:t>
      </w:r>
      <w:r w:rsidRPr="005D4748">
        <w:rPr>
          <w:rFonts w:ascii="Arial" w:hAnsi="Arial" w:cs="Arial"/>
          <w:sz w:val="20"/>
          <w:szCs w:val="20"/>
        </w:rPr>
        <w:t xml:space="preserve"> in lower than planned depreciation expenses).</w:t>
      </w:r>
    </w:p>
    <w:p w:rsidR="001D0201" w:rsidRPr="005D4748" w:rsidRDefault="004767A4" w:rsidP="005D4748">
      <w:pPr>
        <w:pStyle w:val="ListParagraph"/>
        <w:numPr>
          <w:ilvl w:val="0"/>
          <w:numId w:val="14"/>
        </w:numPr>
        <w:spacing w:after="0" w:line="240" w:lineRule="auto"/>
        <w:ind w:left="567" w:hanging="567"/>
        <w:contextualSpacing w:val="0"/>
        <w:rPr>
          <w:rFonts w:ascii="Arial" w:hAnsi="Arial" w:cs="Arial"/>
          <w:sz w:val="20"/>
          <w:szCs w:val="20"/>
        </w:rPr>
      </w:pPr>
      <w:r w:rsidRPr="005D4748">
        <w:rPr>
          <w:rFonts w:ascii="Arial" w:hAnsi="Arial" w:cs="Arial"/>
          <w:sz w:val="20"/>
          <w:szCs w:val="20"/>
        </w:rPr>
        <w:t>The e</w:t>
      </w:r>
      <w:r w:rsidR="001D0201" w:rsidRPr="005D4748">
        <w:rPr>
          <w:rFonts w:ascii="Arial" w:hAnsi="Arial" w:cs="Arial"/>
          <w:sz w:val="20"/>
          <w:szCs w:val="20"/>
        </w:rPr>
        <w:t>lectricity crisis affect</w:t>
      </w:r>
      <w:r w:rsidRPr="005D4748">
        <w:rPr>
          <w:rFonts w:ascii="Arial" w:hAnsi="Arial" w:cs="Arial"/>
          <w:sz w:val="20"/>
          <w:szCs w:val="20"/>
        </w:rPr>
        <w:t>ed</w:t>
      </w:r>
      <w:r w:rsidR="001D0201" w:rsidRPr="005D4748">
        <w:rPr>
          <w:rFonts w:ascii="Arial" w:hAnsi="Arial" w:cs="Arial"/>
          <w:sz w:val="20"/>
          <w:szCs w:val="20"/>
        </w:rPr>
        <w:t xml:space="preserve"> wind tunnel testing and the ability to earn revenue from this facility during periods of constrained energy supply.</w:t>
      </w:r>
    </w:p>
    <w:p w:rsidR="001D0201" w:rsidRPr="005D4748" w:rsidRDefault="001D0201" w:rsidP="005D4748">
      <w:pPr>
        <w:pStyle w:val="ListParagraph"/>
        <w:numPr>
          <w:ilvl w:val="0"/>
          <w:numId w:val="14"/>
        </w:numPr>
        <w:spacing w:after="0" w:line="240" w:lineRule="auto"/>
        <w:ind w:left="567" w:hanging="567"/>
        <w:contextualSpacing w:val="0"/>
        <w:rPr>
          <w:rFonts w:ascii="Arial" w:hAnsi="Arial" w:cs="Arial"/>
          <w:sz w:val="20"/>
          <w:szCs w:val="20"/>
        </w:rPr>
      </w:pPr>
      <w:r w:rsidRPr="005D4748">
        <w:rPr>
          <w:rFonts w:ascii="Arial" w:hAnsi="Arial" w:cs="Arial"/>
          <w:sz w:val="20"/>
          <w:szCs w:val="20"/>
        </w:rPr>
        <w:lastRenderedPageBreak/>
        <w:t>Moreover, National Treasury Regulations make it increasingly difficult for public entities to contract directly with government and state-owned enterprises for mandated work. Public institutions require the CSIR to compete for R&amp;D activities in open tenders, which, as a public entity mandated to perform this type of work, should not be the case. This practice leads to the loss of revenue opportunities of approximately R450 million, every year.</w:t>
      </w:r>
    </w:p>
    <w:p w:rsidR="006612DF" w:rsidRPr="005D4748" w:rsidRDefault="006612DF" w:rsidP="005D4748">
      <w:pPr>
        <w:spacing w:after="0" w:line="240" w:lineRule="auto"/>
        <w:rPr>
          <w:rFonts w:ascii="Arial" w:eastAsia="Times New Roman" w:hAnsi="Arial" w:cs="Arial"/>
          <w:sz w:val="20"/>
          <w:szCs w:val="20"/>
          <w:lang w:val="en-GB"/>
        </w:rPr>
      </w:pPr>
    </w:p>
    <w:p w:rsidR="006612DF" w:rsidRPr="005D4748" w:rsidRDefault="006612DF" w:rsidP="005D4748">
      <w:pPr>
        <w:pStyle w:val="ListParagraph"/>
        <w:numPr>
          <w:ilvl w:val="2"/>
          <w:numId w:val="1"/>
        </w:numPr>
        <w:spacing w:after="0" w:line="240" w:lineRule="auto"/>
        <w:ind w:left="851" w:hanging="851"/>
        <w:rPr>
          <w:rFonts w:ascii="Arial" w:eastAsia="Times New Roman" w:hAnsi="Arial" w:cs="Arial"/>
          <w:b/>
          <w:sz w:val="20"/>
          <w:szCs w:val="20"/>
          <w:lang w:val="en-GB"/>
        </w:rPr>
      </w:pPr>
      <w:r w:rsidRPr="005D4748">
        <w:rPr>
          <w:rFonts w:ascii="Arial" w:eastAsia="Times New Roman" w:hAnsi="Arial" w:cs="Arial"/>
          <w:b/>
          <w:sz w:val="20"/>
          <w:szCs w:val="20"/>
          <w:lang w:val="en-GB"/>
        </w:rPr>
        <w:t>2021</w:t>
      </w:r>
      <w:r w:rsidR="0084395E" w:rsidRPr="005D4748">
        <w:rPr>
          <w:rFonts w:ascii="Arial" w:eastAsia="Times New Roman" w:hAnsi="Arial" w:cs="Arial"/>
          <w:b/>
          <w:sz w:val="20"/>
          <w:szCs w:val="20"/>
          <w:lang w:val="en-GB"/>
        </w:rPr>
        <w:t>/22</w:t>
      </w:r>
      <w:r w:rsidRPr="005D4748">
        <w:rPr>
          <w:rFonts w:ascii="Arial" w:eastAsia="Times New Roman" w:hAnsi="Arial" w:cs="Arial"/>
          <w:b/>
          <w:sz w:val="20"/>
          <w:szCs w:val="20"/>
          <w:lang w:val="en-GB"/>
        </w:rPr>
        <w:t xml:space="preserve"> Performance</w:t>
      </w:r>
    </w:p>
    <w:p w:rsidR="006612DF" w:rsidRPr="005D4748" w:rsidRDefault="006612DF" w:rsidP="005D4748">
      <w:pPr>
        <w:spacing w:after="0" w:line="240" w:lineRule="auto"/>
        <w:rPr>
          <w:rFonts w:ascii="Arial" w:eastAsia="Times New Roman" w:hAnsi="Arial" w:cs="Arial"/>
          <w:sz w:val="20"/>
          <w:szCs w:val="20"/>
          <w:lang w:val="en-GB"/>
        </w:rPr>
      </w:pPr>
    </w:p>
    <w:p w:rsidR="000D426E" w:rsidRPr="005D4748" w:rsidRDefault="000D426E" w:rsidP="005D4748">
      <w:pPr>
        <w:spacing w:after="0" w:line="240" w:lineRule="auto"/>
        <w:rPr>
          <w:rFonts w:ascii="Arial" w:hAnsi="Arial" w:cs="Arial"/>
          <w:sz w:val="20"/>
          <w:szCs w:val="20"/>
        </w:rPr>
      </w:pPr>
      <w:r w:rsidRPr="005D4748">
        <w:rPr>
          <w:rFonts w:ascii="Arial" w:hAnsi="Arial" w:cs="Arial"/>
          <w:sz w:val="20"/>
          <w:szCs w:val="20"/>
        </w:rPr>
        <w:t>Overall, the CSIR achieved or exceeded 25 of the 31 (81%) key performance indicators</w:t>
      </w:r>
      <w:r w:rsidR="004767A4" w:rsidRPr="005D4748">
        <w:rPr>
          <w:rFonts w:ascii="Arial" w:hAnsi="Arial" w:cs="Arial"/>
          <w:sz w:val="20"/>
          <w:szCs w:val="20"/>
        </w:rPr>
        <w:t xml:space="preserve"> (KPIs)</w:t>
      </w:r>
      <w:r w:rsidRPr="005D4748">
        <w:rPr>
          <w:rFonts w:ascii="Arial" w:hAnsi="Arial" w:cs="Arial"/>
          <w:sz w:val="20"/>
          <w:szCs w:val="20"/>
        </w:rPr>
        <w:t xml:space="preserve"> for the 2021/22 financial year (80% in 2020/21). Compared to the previous financial year, selected performance highlights include</w:t>
      </w:r>
      <w:r w:rsidR="00984F2C" w:rsidRPr="005D4748">
        <w:rPr>
          <w:rFonts w:ascii="Arial" w:hAnsi="Arial" w:cs="Arial"/>
          <w:sz w:val="20"/>
          <w:szCs w:val="20"/>
        </w:rPr>
        <w:t>d</w:t>
      </w:r>
      <w:r w:rsidRPr="005D4748">
        <w:rPr>
          <w:rFonts w:ascii="Arial" w:hAnsi="Arial" w:cs="Arial"/>
          <w:sz w:val="20"/>
          <w:szCs w:val="20"/>
        </w:rPr>
        <w:t>:</w:t>
      </w:r>
    </w:p>
    <w:p w:rsidR="000D426E" w:rsidRPr="005D4748" w:rsidRDefault="000D426E" w:rsidP="005D4748">
      <w:pPr>
        <w:spacing w:after="0" w:line="240" w:lineRule="auto"/>
        <w:rPr>
          <w:rFonts w:ascii="Arial" w:hAnsi="Arial" w:cs="Arial"/>
          <w:sz w:val="20"/>
          <w:szCs w:val="20"/>
        </w:rPr>
      </w:pPr>
    </w:p>
    <w:p w:rsidR="000D426E" w:rsidRPr="005D4748" w:rsidRDefault="000D426E" w:rsidP="005D4748">
      <w:pPr>
        <w:pStyle w:val="ListParagraph"/>
        <w:numPr>
          <w:ilvl w:val="0"/>
          <w:numId w:val="13"/>
        </w:numPr>
        <w:spacing w:after="0" w:line="240" w:lineRule="auto"/>
        <w:ind w:left="567" w:hanging="567"/>
        <w:contextualSpacing w:val="0"/>
        <w:rPr>
          <w:rFonts w:ascii="Arial" w:hAnsi="Arial" w:cs="Arial"/>
          <w:sz w:val="20"/>
          <w:szCs w:val="20"/>
        </w:rPr>
      </w:pPr>
      <w:r w:rsidRPr="005D4748">
        <w:rPr>
          <w:rFonts w:ascii="Arial" w:hAnsi="Arial" w:cs="Arial"/>
          <w:sz w:val="20"/>
          <w:szCs w:val="20"/>
        </w:rPr>
        <w:t>A 40% increase in priority patent applications;</w:t>
      </w:r>
    </w:p>
    <w:p w:rsidR="000D426E" w:rsidRPr="005D4748" w:rsidRDefault="000D426E" w:rsidP="005D4748">
      <w:pPr>
        <w:pStyle w:val="ListParagraph"/>
        <w:numPr>
          <w:ilvl w:val="0"/>
          <w:numId w:val="13"/>
        </w:numPr>
        <w:spacing w:after="0" w:line="240" w:lineRule="auto"/>
        <w:ind w:left="567" w:hanging="567"/>
        <w:contextualSpacing w:val="0"/>
        <w:rPr>
          <w:rFonts w:ascii="Arial" w:hAnsi="Arial" w:cs="Arial"/>
          <w:sz w:val="20"/>
          <w:szCs w:val="20"/>
        </w:rPr>
      </w:pPr>
      <w:r w:rsidRPr="005D4748">
        <w:rPr>
          <w:rFonts w:ascii="Arial" w:hAnsi="Arial" w:cs="Arial"/>
          <w:sz w:val="20"/>
          <w:szCs w:val="20"/>
        </w:rPr>
        <w:t>A 15% increase in the number of technology demonstrators;</w:t>
      </w:r>
    </w:p>
    <w:p w:rsidR="000D426E" w:rsidRPr="005D4748" w:rsidRDefault="000D426E" w:rsidP="005D4748">
      <w:pPr>
        <w:pStyle w:val="ListParagraph"/>
        <w:numPr>
          <w:ilvl w:val="0"/>
          <w:numId w:val="14"/>
        </w:numPr>
        <w:spacing w:after="0" w:line="240" w:lineRule="auto"/>
        <w:ind w:left="567" w:hanging="567"/>
        <w:contextualSpacing w:val="0"/>
        <w:rPr>
          <w:rFonts w:ascii="Arial" w:hAnsi="Arial" w:cs="Arial"/>
          <w:sz w:val="20"/>
          <w:szCs w:val="20"/>
        </w:rPr>
      </w:pPr>
      <w:r w:rsidRPr="005D4748">
        <w:rPr>
          <w:rFonts w:ascii="Arial" w:hAnsi="Arial" w:cs="Arial"/>
          <w:sz w:val="20"/>
          <w:szCs w:val="20"/>
        </w:rPr>
        <w:t>A 300% increase in the number of technology licence agreements;</w:t>
      </w:r>
    </w:p>
    <w:p w:rsidR="000D426E" w:rsidRPr="005D4748" w:rsidRDefault="000D426E" w:rsidP="005D4748">
      <w:pPr>
        <w:pStyle w:val="ListParagraph"/>
        <w:numPr>
          <w:ilvl w:val="0"/>
          <w:numId w:val="14"/>
        </w:numPr>
        <w:spacing w:after="0" w:line="240" w:lineRule="auto"/>
        <w:ind w:left="567" w:hanging="567"/>
        <w:contextualSpacing w:val="0"/>
        <w:rPr>
          <w:rFonts w:ascii="Arial" w:hAnsi="Arial" w:cs="Arial"/>
          <w:sz w:val="20"/>
          <w:szCs w:val="20"/>
        </w:rPr>
      </w:pPr>
      <w:r w:rsidRPr="005D4748">
        <w:rPr>
          <w:rFonts w:ascii="Arial" w:hAnsi="Arial" w:cs="Arial"/>
          <w:sz w:val="20"/>
          <w:szCs w:val="20"/>
        </w:rPr>
        <w:t>A 180% increase in the number of localised technologies;</w:t>
      </w:r>
    </w:p>
    <w:p w:rsidR="000D426E" w:rsidRPr="005D4748" w:rsidRDefault="000D426E" w:rsidP="005D4748">
      <w:pPr>
        <w:pStyle w:val="ListParagraph"/>
        <w:numPr>
          <w:ilvl w:val="0"/>
          <w:numId w:val="14"/>
        </w:numPr>
        <w:spacing w:after="0" w:line="240" w:lineRule="auto"/>
        <w:ind w:left="567" w:hanging="567"/>
        <w:contextualSpacing w:val="0"/>
        <w:rPr>
          <w:rFonts w:ascii="Arial" w:hAnsi="Arial" w:cs="Arial"/>
          <w:sz w:val="20"/>
          <w:szCs w:val="20"/>
        </w:rPr>
      </w:pPr>
      <w:r w:rsidRPr="005D4748">
        <w:rPr>
          <w:rFonts w:ascii="Arial" w:hAnsi="Arial" w:cs="Arial"/>
          <w:sz w:val="20"/>
          <w:szCs w:val="20"/>
        </w:rPr>
        <w:t xml:space="preserve">A 3% increase in the number of </w:t>
      </w:r>
      <w:r w:rsidR="004767A4" w:rsidRPr="005D4748">
        <w:rPr>
          <w:rFonts w:ascii="Arial" w:hAnsi="Arial" w:cs="Arial"/>
          <w:sz w:val="20"/>
          <w:szCs w:val="20"/>
        </w:rPr>
        <w:t>small, medium and micro enterprises (</w:t>
      </w:r>
      <w:r w:rsidRPr="005D4748">
        <w:rPr>
          <w:rFonts w:ascii="Arial" w:hAnsi="Arial" w:cs="Arial"/>
          <w:sz w:val="20"/>
          <w:szCs w:val="20"/>
        </w:rPr>
        <w:t>SMMEs</w:t>
      </w:r>
      <w:r w:rsidR="004767A4" w:rsidRPr="005D4748">
        <w:rPr>
          <w:rFonts w:ascii="Arial" w:hAnsi="Arial" w:cs="Arial"/>
          <w:sz w:val="20"/>
          <w:szCs w:val="20"/>
        </w:rPr>
        <w:t>)</w:t>
      </w:r>
      <w:r w:rsidRPr="005D4748">
        <w:rPr>
          <w:rFonts w:ascii="Arial" w:hAnsi="Arial" w:cs="Arial"/>
          <w:sz w:val="20"/>
          <w:szCs w:val="20"/>
        </w:rPr>
        <w:t xml:space="preserve"> supported;</w:t>
      </w:r>
    </w:p>
    <w:p w:rsidR="000D426E" w:rsidRPr="005D4748" w:rsidRDefault="000D426E" w:rsidP="005D4748">
      <w:pPr>
        <w:pStyle w:val="ListParagraph"/>
        <w:numPr>
          <w:ilvl w:val="0"/>
          <w:numId w:val="14"/>
        </w:numPr>
        <w:spacing w:after="0" w:line="240" w:lineRule="auto"/>
        <w:ind w:left="567" w:hanging="567"/>
        <w:contextualSpacing w:val="0"/>
        <w:rPr>
          <w:rFonts w:ascii="Arial" w:hAnsi="Arial" w:cs="Arial"/>
          <w:sz w:val="20"/>
          <w:szCs w:val="20"/>
        </w:rPr>
      </w:pPr>
      <w:r w:rsidRPr="005D4748">
        <w:rPr>
          <w:rFonts w:ascii="Arial" w:hAnsi="Arial" w:cs="Arial"/>
          <w:sz w:val="20"/>
          <w:szCs w:val="20"/>
        </w:rPr>
        <w:t>The number of projects that contributed to increasing the capability of the state increased by 95%;</w:t>
      </w:r>
    </w:p>
    <w:p w:rsidR="000D426E" w:rsidRPr="005D4748" w:rsidRDefault="000D426E" w:rsidP="005D4748">
      <w:pPr>
        <w:pStyle w:val="ListParagraph"/>
        <w:numPr>
          <w:ilvl w:val="0"/>
          <w:numId w:val="14"/>
        </w:numPr>
        <w:spacing w:after="0" w:line="240" w:lineRule="auto"/>
        <w:ind w:left="567" w:hanging="567"/>
        <w:contextualSpacing w:val="0"/>
        <w:rPr>
          <w:rFonts w:ascii="Arial" w:hAnsi="Arial" w:cs="Arial"/>
          <w:sz w:val="20"/>
          <w:szCs w:val="20"/>
        </w:rPr>
      </w:pPr>
      <w:r w:rsidRPr="005D4748">
        <w:rPr>
          <w:rFonts w:ascii="Arial" w:hAnsi="Arial" w:cs="Arial"/>
          <w:sz w:val="20"/>
          <w:szCs w:val="20"/>
        </w:rPr>
        <w:t xml:space="preserve">The </w:t>
      </w:r>
      <w:r w:rsidR="00C113E0" w:rsidRPr="005D4748">
        <w:rPr>
          <w:rFonts w:ascii="Arial" w:hAnsi="Arial" w:cs="Arial"/>
          <w:sz w:val="20"/>
          <w:szCs w:val="20"/>
          <w:lang w:val="en-GB"/>
        </w:rPr>
        <w:t>science, engineering and technology (</w:t>
      </w:r>
      <w:r w:rsidRPr="005D4748">
        <w:rPr>
          <w:rFonts w:ascii="Arial" w:hAnsi="Arial" w:cs="Arial"/>
          <w:sz w:val="20"/>
          <w:szCs w:val="20"/>
        </w:rPr>
        <w:t>SET</w:t>
      </w:r>
      <w:r w:rsidR="00C113E0" w:rsidRPr="005D4748">
        <w:rPr>
          <w:rFonts w:ascii="Arial" w:hAnsi="Arial" w:cs="Arial"/>
          <w:sz w:val="20"/>
          <w:szCs w:val="20"/>
        </w:rPr>
        <w:t>)</w:t>
      </w:r>
      <w:r w:rsidRPr="005D4748">
        <w:rPr>
          <w:rFonts w:ascii="Arial" w:hAnsi="Arial" w:cs="Arial"/>
          <w:sz w:val="20"/>
          <w:szCs w:val="20"/>
        </w:rPr>
        <w:t xml:space="preserve"> base increased by 5.2%;</w:t>
      </w:r>
    </w:p>
    <w:p w:rsidR="000D426E" w:rsidRPr="005D4748" w:rsidRDefault="000D426E" w:rsidP="005D4748">
      <w:pPr>
        <w:pStyle w:val="ListParagraph"/>
        <w:numPr>
          <w:ilvl w:val="0"/>
          <w:numId w:val="14"/>
        </w:numPr>
        <w:spacing w:after="0" w:line="240" w:lineRule="auto"/>
        <w:ind w:left="567" w:hanging="567"/>
        <w:contextualSpacing w:val="0"/>
        <w:rPr>
          <w:rFonts w:ascii="Arial" w:hAnsi="Arial" w:cs="Arial"/>
          <w:sz w:val="20"/>
          <w:szCs w:val="20"/>
        </w:rPr>
      </w:pPr>
      <w:r w:rsidRPr="005D4748">
        <w:rPr>
          <w:rFonts w:ascii="Arial" w:hAnsi="Arial" w:cs="Arial"/>
          <w:sz w:val="20"/>
          <w:szCs w:val="20"/>
        </w:rPr>
        <w:t>The number of exchange programmes with industry increased by 287.5%, in line with the intention to work more closely with industry.</w:t>
      </w:r>
    </w:p>
    <w:p w:rsidR="000D426E" w:rsidRPr="005D4748" w:rsidRDefault="000D426E" w:rsidP="005D4748">
      <w:pPr>
        <w:spacing w:after="0" w:line="240" w:lineRule="auto"/>
        <w:rPr>
          <w:rFonts w:ascii="Arial" w:hAnsi="Arial" w:cs="Arial"/>
          <w:sz w:val="20"/>
          <w:szCs w:val="20"/>
        </w:rPr>
      </w:pPr>
    </w:p>
    <w:p w:rsidR="006612DF" w:rsidRPr="005D4748" w:rsidRDefault="005F378C" w:rsidP="005D4748">
      <w:pPr>
        <w:spacing w:after="0" w:line="240" w:lineRule="auto"/>
        <w:rPr>
          <w:rFonts w:ascii="Arial" w:eastAsia="Times New Roman" w:hAnsi="Arial" w:cs="Arial"/>
          <w:sz w:val="20"/>
          <w:szCs w:val="20"/>
          <w:lang w:val="en-GB"/>
        </w:rPr>
      </w:pPr>
      <w:r w:rsidRPr="005D4748">
        <w:rPr>
          <w:rFonts w:ascii="Arial" w:eastAsia="Times New Roman" w:hAnsi="Arial" w:cs="Arial"/>
          <w:sz w:val="20"/>
          <w:szCs w:val="20"/>
          <w:lang w:val="en-GB"/>
        </w:rPr>
        <w:t>In relation to its five Strategic Outcomes (SO), the CSIR recorded the following achievement:</w:t>
      </w:r>
    </w:p>
    <w:p w:rsidR="005F378C" w:rsidRPr="005D4748" w:rsidRDefault="005F378C" w:rsidP="005D4748">
      <w:pPr>
        <w:spacing w:after="0" w:line="240" w:lineRule="auto"/>
        <w:rPr>
          <w:rFonts w:ascii="Arial" w:eastAsia="Times New Roman" w:hAnsi="Arial" w:cs="Arial"/>
          <w:sz w:val="20"/>
          <w:szCs w:val="20"/>
          <w:lang w:val="en-GB"/>
        </w:rPr>
      </w:pPr>
    </w:p>
    <w:p w:rsidR="006612DF" w:rsidRPr="005D4748" w:rsidRDefault="006612DF" w:rsidP="005D4748">
      <w:pPr>
        <w:spacing w:after="0" w:line="240" w:lineRule="auto"/>
        <w:rPr>
          <w:rFonts w:ascii="Arial" w:eastAsia="Times New Roman" w:hAnsi="Arial" w:cs="Arial"/>
          <w:b/>
          <w:sz w:val="20"/>
          <w:szCs w:val="20"/>
          <w:lang w:val="en-GB"/>
        </w:rPr>
      </w:pPr>
      <w:r w:rsidRPr="005D4748">
        <w:rPr>
          <w:rFonts w:ascii="Arial" w:eastAsia="Times New Roman" w:hAnsi="Arial" w:cs="Arial"/>
          <w:b/>
          <w:sz w:val="20"/>
          <w:szCs w:val="20"/>
          <w:lang w:val="en-GB"/>
        </w:rPr>
        <w:t xml:space="preserve">SO1: </w:t>
      </w:r>
      <w:r w:rsidR="008961EF" w:rsidRPr="005D4748">
        <w:rPr>
          <w:rFonts w:ascii="Arial" w:eastAsia="Times New Roman" w:hAnsi="Arial" w:cs="Arial"/>
          <w:b/>
          <w:bCs/>
          <w:sz w:val="20"/>
          <w:szCs w:val="20"/>
        </w:rPr>
        <w:t>Conduct RDI of transformative technologies and accelerate their diffusion</w:t>
      </w:r>
    </w:p>
    <w:p w:rsidR="006612DF" w:rsidRPr="005D4748" w:rsidRDefault="006612DF" w:rsidP="005D4748">
      <w:pPr>
        <w:spacing w:after="0" w:line="240" w:lineRule="auto"/>
        <w:rPr>
          <w:rFonts w:ascii="Arial" w:eastAsia="Times New Roman" w:hAnsi="Arial" w:cs="Arial"/>
          <w:sz w:val="20"/>
          <w:szCs w:val="20"/>
          <w:lang w:val="en-GB"/>
        </w:rPr>
      </w:pPr>
      <w:r w:rsidRPr="005D4748">
        <w:rPr>
          <w:rFonts w:ascii="Arial" w:eastAsia="Times New Roman" w:hAnsi="Arial" w:cs="Arial"/>
          <w:sz w:val="20"/>
          <w:szCs w:val="20"/>
          <w:lang w:val="en-GB"/>
        </w:rPr>
        <w:t xml:space="preserve">The CSIR </w:t>
      </w:r>
      <w:r w:rsidR="005F378C" w:rsidRPr="005D4748">
        <w:rPr>
          <w:rFonts w:ascii="Arial" w:eastAsia="Times New Roman" w:hAnsi="Arial" w:cs="Arial"/>
          <w:sz w:val="20"/>
          <w:szCs w:val="20"/>
          <w:lang w:val="en-GB"/>
        </w:rPr>
        <w:t xml:space="preserve">achieved three </w:t>
      </w:r>
      <w:r w:rsidRPr="005D4748">
        <w:rPr>
          <w:rFonts w:ascii="Arial" w:eastAsia="Times New Roman" w:hAnsi="Arial" w:cs="Arial"/>
          <w:sz w:val="20"/>
          <w:szCs w:val="20"/>
          <w:lang w:val="en-GB"/>
        </w:rPr>
        <w:t xml:space="preserve">of the five </w:t>
      </w:r>
      <w:r w:rsidR="005F378C" w:rsidRPr="005D4748">
        <w:rPr>
          <w:rFonts w:ascii="Arial" w:eastAsia="Times New Roman" w:hAnsi="Arial" w:cs="Arial"/>
          <w:sz w:val="20"/>
          <w:szCs w:val="20"/>
          <w:lang w:val="en-GB"/>
        </w:rPr>
        <w:t xml:space="preserve">performance </w:t>
      </w:r>
      <w:r w:rsidRPr="005D4748">
        <w:rPr>
          <w:rFonts w:ascii="Arial" w:eastAsia="Times New Roman" w:hAnsi="Arial" w:cs="Arial"/>
          <w:sz w:val="20"/>
          <w:szCs w:val="20"/>
          <w:lang w:val="en-GB"/>
        </w:rPr>
        <w:t>indicators</w:t>
      </w:r>
      <w:r w:rsidR="005F378C" w:rsidRPr="005D4748">
        <w:rPr>
          <w:rFonts w:ascii="Arial" w:eastAsia="Times New Roman" w:hAnsi="Arial" w:cs="Arial"/>
          <w:sz w:val="20"/>
          <w:szCs w:val="20"/>
          <w:lang w:val="en-GB"/>
        </w:rPr>
        <w:t>.</w:t>
      </w:r>
      <w:r w:rsidRPr="005D4748">
        <w:rPr>
          <w:rFonts w:ascii="Arial" w:eastAsia="Times New Roman" w:hAnsi="Arial" w:cs="Arial"/>
          <w:sz w:val="20"/>
          <w:szCs w:val="20"/>
          <w:lang w:val="en-GB"/>
        </w:rPr>
        <w:t xml:space="preserve"> </w:t>
      </w:r>
      <w:r w:rsidR="005F378C" w:rsidRPr="005D4748">
        <w:rPr>
          <w:rFonts w:ascii="Arial" w:eastAsia="Times New Roman" w:hAnsi="Arial" w:cs="Arial"/>
          <w:sz w:val="20"/>
          <w:szCs w:val="20"/>
          <w:lang w:val="en-GB"/>
        </w:rPr>
        <w:t xml:space="preserve">As in 2020/21, the CSIR </w:t>
      </w:r>
      <w:r w:rsidRPr="005D4748">
        <w:rPr>
          <w:rFonts w:ascii="Arial" w:eastAsia="Times New Roman" w:hAnsi="Arial" w:cs="Arial"/>
          <w:sz w:val="20"/>
          <w:szCs w:val="20"/>
          <w:lang w:val="en-GB"/>
        </w:rPr>
        <w:t xml:space="preserve">did not achieve the </w:t>
      </w:r>
      <w:r w:rsidR="006952D7" w:rsidRPr="005D4748">
        <w:rPr>
          <w:rFonts w:ascii="Arial" w:eastAsia="Times New Roman" w:hAnsi="Arial" w:cs="Arial"/>
          <w:sz w:val="20"/>
          <w:szCs w:val="20"/>
          <w:lang w:val="en-GB"/>
        </w:rPr>
        <w:t>target for</w:t>
      </w:r>
      <w:r w:rsidRPr="005D4748">
        <w:rPr>
          <w:rFonts w:ascii="Arial" w:eastAsia="Times New Roman" w:hAnsi="Arial" w:cs="Arial"/>
          <w:sz w:val="20"/>
          <w:szCs w:val="20"/>
          <w:lang w:val="en-GB"/>
        </w:rPr>
        <w:t xml:space="preserve"> the number of technology licence agreements signed</w:t>
      </w:r>
      <w:r w:rsidR="008961EF" w:rsidRPr="005D4748">
        <w:rPr>
          <w:rFonts w:ascii="Arial" w:eastAsia="Times New Roman" w:hAnsi="Arial" w:cs="Arial"/>
          <w:sz w:val="20"/>
          <w:szCs w:val="20"/>
          <w:lang w:val="en-GB"/>
        </w:rPr>
        <w:t xml:space="preserve"> (12 instead of 19)</w:t>
      </w:r>
      <w:r w:rsidR="005F378C" w:rsidRPr="005D4748">
        <w:rPr>
          <w:rFonts w:ascii="Arial" w:eastAsia="Times New Roman" w:hAnsi="Arial" w:cs="Arial"/>
          <w:sz w:val="20"/>
          <w:szCs w:val="20"/>
          <w:lang w:val="en-GB"/>
        </w:rPr>
        <w:t xml:space="preserve">. This was due to delays </w:t>
      </w:r>
      <w:r w:rsidR="008961EF" w:rsidRPr="005D4748">
        <w:rPr>
          <w:rFonts w:ascii="Arial" w:eastAsia="Times New Roman" w:hAnsi="Arial" w:cs="Arial"/>
          <w:sz w:val="20"/>
          <w:szCs w:val="20"/>
          <w:lang w:val="en-GB"/>
        </w:rPr>
        <w:t xml:space="preserve">in negotiating new licence agreements between the CSIR and its partners. </w:t>
      </w:r>
      <w:r w:rsidR="005F378C" w:rsidRPr="005D4748">
        <w:rPr>
          <w:rFonts w:ascii="Arial" w:eastAsia="Times New Roman" w:hAnsi="Arial" w:cs="Arial"/>
          <w:sz w:val="20"/>
          <w:szCs w:val="20"/>
          <w:lang w:val="en-GB"/>
        </w:rPr>
        <w:t xml:space="preserve">The target for new priority patent applications filed </w:t>
      </w:r>
      <w:r w:rsidR="008961EF" w:rsidRPr="005D4748">
        <w:rPr>
          <w:rFonts w:ascii="Arial" w:eastAsia="Times New Roman" w:hAnsi="Arial" w:cs="Arial"/>
          <w:sz w:val="20"/>
          <w:szCs w:val="20"/>
          <w:lang w:val="en-GB"/>
        </w:rPr>
        <w:t>(</w:t>
      </w:r>
      <w:r w:rsidR="00392313" w:rsidRPr="005D4748">
        <w:rPr>
          <w:rFonts w:ascii="Arial" w:eastAsia="Times New Roman" w:hAnsi="Arial" w:cs="Arial"/>
          <w:sz w:val="20"/>
          <w:szCs w:val="20"/>
          <w:lang w:val="en-GB"/>
        </w:rPr>
        <w:t xml:space="preserve">seven </w:t>
      </w:r>
      <w:r w:rsidR="008961EF" w:rsidRPr="005D4748">
        <w:rPr>
          <w:rFonts w:ascii="Arial" w:eastAsia="Times New Roman" w:hAnsi="Arial" w:cs="Arial"/>
          <w:sz w:val="20"/>
          <w:szCs w:val="20"/>
          <w:lang w:val="en-GB"/>
        </w:rPr>
        <w:t xml:space="preserve">instead of </w:t>
      </w:r>
      <w:r w:rsidR="00392313" w:rsidRPr="005D4748">
        <w:rPr>
          <w:rFonts w:ascii="Arial" w:eastAsia="Times New Roman" w:hAnsi="Arial" w:cs="Arial"/>
          <w:sz w:val="20"/>
          <w:szCs w:val="20"/>
          <w:lang w:val="en-GB"/>
        </w:rPr>
        <w:t>nine</w:t>
      </w:r>
      <w:r w:rsidR="008961EF" w:rsidRPr="005D4748">
        <w:rPr>
          <w:rFonts w:ascii="Arial" w:eastAsia="Times New Roman" w:hAnsi="Arial" w:cs="Arial"/>
          <w:sz w:val="20"/>
          <w:szCs w:val="20"/>
          <w:lang w:val="en-GB"/>
        </w:rPr>
        <w:t xml:space="preserve">) </w:t>
      </w:r>
      <w:r w:rsidR="005F378C" w:rsidRPr="005D4748">
        <w:rPr>
          <w:rFonts w:ascii="Arial" w:eastAsia="Times New Roman" w:hAnsi="Arial" w:cs="Arial"/>
          <w:sz w:val="20"/>
          <w:szCs w:val="20"/>
          <w:lang w:val="en-GB"/>
        </w:rPr>
        <w:t>was also not met</w:t>
      </w:r>
      <w:r w:rsidRPr="005D4748">
        <w:rPr>
          <w:rFonts w:ascii="Arial" w:eastAsia="Times New Roman" w:hAnsi="Arial" w:cs="Arial"/>
          <w:sz w:val="20"/>
          <w:szCs w:val="20"/>
          <w:lang w:val="en-GB"/>
        </w:rPr>
        <w:t xml:space="preserve"> due to </w:t>
      </w:r>
      <w:r w:rsidR="008961EF" w:rsidRPr="005D4748">
        <w:rPr>
          <w:rFonts w:ascii="Arial" w:eastAsia="Times New Roman" w:hAnsi="Arial" w:cs="Arial"/>
          <w:sz w:val="20"/>
          <w:szCs w:val="20"/>
          <w:lang w:val="en-GB"/>
        </w:rPr>
        <w:t>pipeline issues.</w:t>
      </w:r>
    </w:p>
    <w:p w:rsidR="00443EF5" w:rsidRPr="005D4748" w:rsidRDefault="00443EF5" w:rsidP="005D4748">
      <w:pPr>
        <w:spacing w:after="0" w:line="240" w:lineRule="auto"/>
        <w:rPr>
          <w:rFonts w:ascii="Arial" w:eastAsia="Times New Roman" w:hAnsi="Arial" w:cs="Arial"/>
          <w:sz w:val="20"/>
          <w:szCs w:val="20"/>
          <w:lang w:val="en-GB"/>
        </w:rPr>
      </w:pPr>
    </w:p>
    <w:p w:rsidR="006612DF" w:rsidRPr="005D4748" w:rsidRDefault="006612DF" w:rsidP="005D4748">
      <w:pPr>
        <w:spacing w:after="0" w:line="240" w:lineRule="auto"/>
        <w:rPr>
          <w:rFonts w:ascii="Arial" w:eastAsia="Times New Roman" w:hAnsi="Arial" w:cs="Arial"/>
          <w:b/>
          <w:sz w:val="20"/>
          <w:szCs w:val="20"/>
          <w:lang w:val="en-GB"/>
        </w:rPr>
      </w:pPr>
      <w:r w:rsidRPr="005D4748">
        <w:rPr>
          <w:rFonts w:ascii="Arial" w:eastAsia="Times New Roman" w:hAnsi="Arial" w:cs="Arial"/>
          <w:b/>
          <w:sz w:val="20"/>
          <w:szCs w:val="20"/>
          <w:lang w:val="en-GB"/>
        </w:rPr>
        <w:t xml:space="preserve">SO2: </w:t>
      </w:r>
      <w:r w:rsidR="008961EF" w:rsidRPr="005D4748">
        <w:rPr>
          <w:rFonts w:ascii="Arial" w:eastAsia="Times New Roman" w:hAnsi="Arial" w:cs="Arial"/>
          <w:b/>
          <w:sz w:val="20"/>
          <w:szCs w:val="20"/>
          <w:lang w:val="en-GB"/>
        </w:rPr>
        <w:t xml:space="preserve">Collaboratively </w:t>
      </w:r>
      <w:r w:rsidR="008961EF" w:rsidRPr="005D4748">
        <w:rPr>
          <w:rFonts w:ascii="Arial" w:eastAsia="Times New Roman" w:hAnsi="Arial" w:cs="Arial"/>
          <w:b/>
          <w:bCs/>
          <w:sz w:val="20"/>
          <w:szCs w:val="20"/>
          <w:lang w:val="en-GB"/>
        </w:rPr>
        <w:t xml:space="preserve">improve the competitiveness of high-impact industries to support South Africa’s re-industrialisation </w:t>
      </w:r>
    </w:p>
    <w:p w:rsidR="006612DF" w:rsidRPr="005D4748" w:rsidRDefault="008961EF" w:rsidP="005D4748">
      <w:pPr>
        <w:spacing w:after="0" w:line="240" w:lineRule="auto"/>
        <w:rPr>
          <w:rFonts w:ascii="Arial" w:eastAsia="Times New Roman" w:hAnsi="Arial" w:cs="Arial"/>
          <w:sz w:val="20"/>
          <w:szCs w:val="20"/>
          <w:lang w:val="en-GB"/>
        </w:rPr>
      </w:pPr>
      <w:r w:rsidRPr="005D4748">
        <w:rPr>
          <w:rFonts w:ascii="Arial" w:eastAsia="Times New Roman" w:hAnsi="Arial" w:cs="Arial"/>
          <w:sz w:val="20"/>
          <w:szCs w:val="20"/>
          <w:lang w:val="en-GB"/>
        </w:rPr>
        <w:t xml:space="preserve">The CSIR exceeded all three </w:t>
      </w:r>
      <w:r w:rsidR="000E004C" w:rsidRPr="005D4748">
        <w:rPr>
          <w:rFonts w:ascii="Arial" w:eastAsia="Times New Roman" w:hAnsi="Arial" w:cs="Arial"/>
          <w:sz w:val="20"/>
          <w:szCs w:val="20"/>
          <w:lang w:val="en-GB"/>
        </w:rPr>
        <w:t xml:space="preserve">performance </w:t>
      </w:r>
      <w:r w:rsidRPr="005D4748">
        <w:rPr>
          <w:rFonts w:ascii="Arial" w:eastAsia="Times New Roman" w:hAnsi="Arial" w:cs="Arial"/>
          <w:sz w:val="20"/>
          <w:szCs w:val="20"/>
          <w:lang w:val="en-GB"/>
        </w:rPr>
        <w:t>indicators</w:t>
      </w:r>
      <w:r w:rsidR="000E004C" w:rsidRPr="005D4748">
        <w:rPr>
          <w:rFonts w:ascii="Arial" w:eastAsia="Times New Roman" w:hAnsi="Arial" w:cs="Arial"/>
          <w:sz w:val="20"/>
          <w:szCs w:val="20"/>
          <w:lang w:val="en-GB"/>
        </w:rPr>
        <w:t>, demonstrating its commitment to support re-industrialisation through technology support.</w:t>
      </w:r>
    </w:p>
    <w:p w:rsidR="006612DF" w:rsidRPr="005D4748" w:rsidRDefault="006612DF" w:rsidP="005D4748">
      <w:pPr>
        <w:spacing w:after="0" w:line="240" w:lineRule="auto"/>
        <w:rPr>
          <w:rFonts w:ascii="Arial" w:eastAsia="Times New Roman" w:hAnsi="Arial" w:cs="Arial"/>
          <w:sz w:val="20"/>
          <w:szCs w:val="20"/>
          <w:lang w:val="en-GB"/>
        </w:rPr>
      </w:pPr>
    </w:p>
    <w:p w:rsidR="006612DF" w:rsidRPr="005D4748" w:rsidRDefault="006612DF" w:rsidP="005D4748">
      <w:pPr>
        <w:spacing w:after="0" w:line="240" w:lineRule="auto"/>
        <w:rPr>
          <w:rFonts w:ascii="Arial" w:eastAsia="Times New Roman" w:hAnsi="Arial" w:cs="Arial"/>
          <w:b/>
          <w:sz w:val="20"/>
          <w:szCs w:val="20"/>
          <w:lang w:val="en-GB"/>
        </w:rPr>
      </w:pPr>
      <w:r w:rsidRPr="005D4748">
        <w:rPr>
          <w:rFonts w:ascii="Arial" w:eastAsia="Times New Roman" w:hAnsi="Arial" w:cs="Arial"/>
          <w:b/>
          <w:sz w:val="20"/>
          <w:szCs w:val="20"/>
          <w:lang w:val="en-GB"/>
        </w:rPr>
        <w:t>SO3: Drive socio</w:t>
      </w:r>
      <w:r w:rsidR="007C02A7" w:rsidRPr="005D4748">
        <w:rPr>
          <w:rFonts w:ascii="Arial" w:eastAsia="Times New Roman" w:hAnsi="Arial" w:cs="Arial"/>
          <w:b/>
          <w:sz w:val="20"/>
          <w:szCs w:val="20"/>
          <w:lang w:val="en-GB"/>
        </w:rPr>
        <w:t>-</w:t>
      </w:r>
      <w:r w:rsidRPr="005D4748">
        <w:rPr>
          <w:rFonts w:ascii="Arial" w:eastAsia="Times New Roman" w:hAnsi="Arial" w:cs="Arial"/>
          <w:b/>
          <w:sz w:val="20"/>
          <w:szCs w:val="20"/>
          <w:lang w:val="en-GB"/>
        </w:rPr>
        <w:t>economic transformation through RDI that supports the development of a capable state</w:t>
      </w:r>
    </w:p>
    <w:p w:rsidR="006612DF" w:rsidRPr="005D4748" w:rsidRDefault="006612DF" w:rsidP="005D4748">
      <w:pPr>
        <w:spacing w:after="0" w:line="240" w:lineRule="auto"/>
        <w:rPr>
          <w:rFonts w:ascii="Arial" w:eastAsia="Times New Roman" w:hAnsi="Arial" w:cs="Arial"/>
          <w:sz w:val="20"/>
          <w:szCs w:val="20"/>
          <w:lang w:val="en-GB"/>
        </w:rPr>
      </w:pPr>
      <w:r w:rsidRPr="005D4748">
        <w:rPr>
          <w:rFonts w:ascii="Arial" w:eastAsia="Times New Roman" w:hAnsi="Arial" w:cs="Arial"/>
          <w:sz w:val="20"/>
          <w:szCs w:val="20"/>
          <w:lang w:val="en-GB"/>
        </w:rPr>
        <w:t xml:space="preserve">The CSIR </w:t>
      </w:r>
      <w:r w:rsidR="000E004C" w:rsidRPr="005D4748">
        <w:rPr>
          <w:rFonts w:ascii="Arial" w:eastAsia="Times New Roman" w:hAnsi="Arial" w:cs="Arial"/>
          <w:sz w:val="20"/>
          <w:szCs w:val="20"/>
          <w:lang w:val="en-GB"/>
        </w:rPr>
        <w:t xml:space="preserve">met </w:t>
      </w:r>
      <w:r w:rsidRPr="005D4748">
        <w:rPr>
          <w:rFonts w:ascii="Arial" w:eastAsia="Times New Roman" w:hAnsi="Arial" w:cs="Arial"/>
          <w:sz w:val="20"/>
          <w:szCs w:val="20"/>
          <w:lang w:val="en-GB"/>
        </w:rPr>
        <w:t xml:space="preserve">all three </w:t>
      </w:r>
      <w:r w:rsidR="000E004C" w:rsidRPr="005D4748">
        <w:rPr>
          <w:rFonts w:ascii="Arial" w:eastAsia="Times New Roman" w:hAnsi="Arial" w:cs="Arial"/>
          <w:sz w:val="20"/>
          <w:szCs w:val="20"/>
          <w:lang w:val="en-GB"/>
        </w:rPr>
        <w:t xml:space="preserve">performance </w:t>
      </w:r>
      <w:r w:rsidRPr="005D4748">
        <w:rPr>
          <w:rFonts w:ascii="Arial" w:eastAsia="Times New Roman" w:hAnsi="Arial" w:cs="Arial"/>
          <w:sz w:val="20"/>
          <w:szCs w:val="20"/>
          <w:lang w:val="en-GB"/>
        </w:rPr>
        <w:t>indicators that contribute to the support of a capable state.</w:t>
      </w:r>
    </w:p>
    <w:p w:rsidR="006612DF" w:rsidRPr="005D4748" w:rsidRDefault="006612DF" w:rsidP="005D4748">
      <w:pPr>
        <w:spacing w:after="0" w:line="240" w:lineRule="auto"/>
        <w:rPr>
          <w:rFonts w:ascii="Arial" w:eastAsia="Times New Roman" w:hAnsi="Arial" w:cs="Arial"/>
          <w:sz w:val="20"/>
          <w:szCs w:val="20"/>
          <w:lang w:val="en-GB"/>
        </w:rPr>
      </w:pPr>
    </w:p>
    <w:p w:rsidR="006612DF" w:rsidRPr="005D4748" w:rsidRDefault="006612DF" w:rsidP="005D4748">
      <w:pPr>
        <w:spacing w:after="0" w:line="240" w:lineRule="auto"/>
        <w:rPr>
          <w:rFonts w:ascii="Arial" w:eastAsia="Times New Roman" w:hAnsi="Arial" w:cs="Arial"/>
          <w:b/>
          <w:sz w:val="20"/>
          <w:szCs w:val="20"/>
          <w:lang w:val="en-GB"/>
        </w:rPr>
      </w:pPr>
      <w:r w:rsidRPr="005D4748">
        <w:rPr>
          <w:rFonts w:ascii="Arial" w:eastAsia="Times New Roman" w:hAnsi="Arial" w:cs="Arial"/>
          <w:b/>
          <w:sz w:val="20"/>
          <w:szCs w:val="20"/>
          <w:lang w:val="en-GB"/>
        </w:rPr>
        <w:t>SO4: Build and transform human capital and infrastructure</w:t>
      </w:r>
    </w:p>
    <w:p w:rsidR="006612DF" w:rsidRPr="005D4748" w:rsidRDefault="000E004C" w:rsidP="005D4748">
      <w:pPr>
        <w:spacing w:after="0" w:line="240" w:lineRule="auto"/>
        <w:rPr>
          <w:rFonts w:ascii="Arial" w:eastAsia="Times New Roman" w:hAnsi="Arial" w:cs="Arial"/>
          <w:sz w:val="20"/>
          <w:szCs w:val="20"/>
          <w:lang w:val="en-GB"/>
        </w:rPr>
      </w:pPr>
      <w:r w:rsidRPr="005D4748">
        <w:rPr>
          <w:rFonts w:ascii="Arial" w:eastAsia="Times New Roman" w:hAnsi="Arial" w:cs="Arial"/>
          <w:sz w:val="20"/>
          <w:szCs w:val="20"/>
          <w:lang w:val="en-GB"/>
        </w:rPr>
        <w:t>SO4 comprised 12 performance indicators, of which five were exceeded, four were achieved and three were not achieved. The targets that were not achieved included the percentage of SET staff who hold a PhD degree, the total number of chief researchers and the percentage of chief researchers who are female. To mitigate against these matters, the CSIR undertook to increase recruitment efforts and implement a career ladder process to curb the regression.</w:t>
      </w:r>
    </w:p>
    <w:p w:rsidR="006612DF" w:rsidRPr="005D4748" w:rsidRDefault="006612DF" w:rsidP="005D4748">
      <w:pPr>
        <w:spacing w:after="0" w:line="240" w:lineRule="auto"/>
        <w:rPr>
          <w:rFonts w:ascii="Arial" w:eastAsia="Times New Roman" w:hAnsi="Arial" w:cs="Arial"/>
          <w:sz w:val="20"/>
          <w:szCs w:val="20"/>
          <w:lang w:val="en-GB"/>
        </w:rPr>
      </w:pPr>
    </w:p>
    <w:p w:rsidR="006612DF" w:rsidRPr="005D4748" w:rsidRDefault="006612DF" w:rsidP="005D4748">
      <w:pPr>
        <w:spacing w:after="0" w:line="240" w:lineRule="auto"/>
        <w:rPr>
          <w:rFonts w:ascii="Arial" w:eastAsia="Times New Roman" w:hAnsi="Arial" w:cs="Arial"/>
          <w:b/>
          <w:sz w:val="20"/>
          <w:szCs w:val="20"/>
          <w:lang w:val="en-GB"/>
        </w:rPr>
      </w:pPr>
      <w:r w:rsidRPr="005D4748">
        <w:rPr>
          <w:rFonts w:ascii="Arial" w:eastAsia="Times New Roman" w:hAnsi="Arial" w:cs="Arial"/>
          <w:b/>
          <w:sz w:val="20"/>
          <w:szCs w:val="20"/>
          <w:lang w:val="en-GB"/>
        </w:rPr>
        <w:t>SO5: Diversify income</w:t>
      </w:r>
      <w:r w:rsidR="00CF28C0" w:rsidRPr="005D4748">
        <w:rPr>
          <w:rFonts w:ascii="Arial" w:eastAsia="Times New Roman" w:hAnsi="Arial" w:cs="Arial"/>
          <w:b/>
          <w:sz w:val="20"/>
          <w:szCs w:val="20"/>
          <w:lang w:val="en-GB"/>
        </w:rPr>
        <w:t xml:space="preserve"> and</w:t>
      </w:r>
      <w:r w:rsidRPr="005D4748">
        <w:rPr>
          <w:rFonts w:ascii="Arial" w:eastAsia="Times New Roman" w:hAnsi="Arial" w:cs="Arial"/>
          <w:b/>
          <w:sz w:val="20"/>
          <w:szCs w:val="20"/>
          <w:lang w:val="en-GB"/>
        </w:rPr>
        <w:t xml:space="preserve"> maintain financial sustainability and good governance</w:t>
      </w:r>
    </w:p>
    <w:p w:rsidR="006612DF" w:rsidRPr="005D4748" w:rsidRDefault="006870DC" w:rsidP="005D4748">
      <w:pPr>
        <w:spacing w:after="0" w:line="240" w:lineRule="auto"/>
        <w:rPr>
          <w:rFonts w:ascii="Arial" w:eastAsia="Times New Roman" w:hAnsi="Arial" w:cs="Arial"/>
          <w:sz w:val="20"/>
          <w:szCs w:val="20"/>
          <w:lang w:val="en-GB"/>
        </w:rPr>
      </w:pPr>
      <w:r w:rsidRPr="005D4748">
        <w:rPr>
          <w:rFonts w:ascii="Arial" w:eastAsia="Times New Roman" w:hAnsi="Arial" w:cs="Arial"/>
          <w:sz w:val="20"/>
          <w:szCs w:val="20"/>
          <w:lang w:val="en-GB"/>
        </w:rPr>
        <w:t>SO5 comprised eight performance indicators, of which four were exceeded, three were achieved and one was not achieved. The target for total income realised was not achieved, falling 8% short of the target set.</w:t>
      </w:r>
    </w:p>
    <w:p w:rsidR="006612DF" w:rsidRPr="005D4748" w:rsidRDefault="006612DF" w:rsidP="005D4748">
      <w:pPr>
        <w:spacing w:after="0" w:line="240" w:lineRule="auto"/>
        <w:rPr>
          <w:rFonts w:ascii="Arial" w:eastAsia="Times New Roman" w:hAnsi="Arial" w:cs="Arial"/>
          <w:sz w:val="20"/>
          <w:szCs w:val="20"/>
          <w:lang w:val="en-GB"/>
        </w:rPr>
      </w:pPr>
    </w:p>
    <w:p w:rsidR="00F16645" w:rsidRPr="005D4748" w:rsidRDefault="00F16645" w:rsidP="005D4748">
      <w:pPr>
        <w:spacing w:after="0" w:line="240" w:lineRule="auto"/>
        <w:rPr>
          <w:rFonts w:ascii="Arial" w:eastAsia="Times New Roman" w:hAnsi="Arial" w:cs="Arial"/>
          <w:sz w:val="20"/>
          <w:szCs w:val="20"/>
        </w:rPr>
      </w:pPr>
      <w:r w:rsidRPr="005D4748">
        <w:rPr>
          <w:rFonts w:ascii="Arial" w:eastAsia="Times New Roman" w:hAnsi="Arial" w:cs="Arial"/>
          <w:sz w:val="20"/>
          <w:szCs w:val="20"/>
        </w:rPr>
        <w:t>The CSIR identified the following areas of improvement:</w:t>
      </w:r>
    </w:p>
    <w:p w:rsidR="00F16645" w:rsidRPr="005D4748" w:rsidRDefault="00F16645" w:rsidP="005D4748">
      <w:pPr>
        <w:spacing w:after="0" w:line="240" w:lineRule="auto"/>
        <w:rPr>
          <w:rFonts w:ascii="Arial" w:eastAsia="Times New Roman" w:hAnsi="Arial" w:cs="Arial"/>
          <w:sz w:val="20"/>
          <w:szCs w:val="20"/>
        </w:rPr>
      </w:pPr>
    </w:p>
    <w:p w:rsidR="00F16645" w:rsidRPr="005D4748" w:rsidRDefault="00F16645" w:rsidP="005D4748">
      <w:pPr>
        <w:numPr>
          <w:ilvl w:val="0"/>
          <w:numId w:val="14"/>
        </w:numPr>
        <w:spacing w:after="0" w:line="240" w:lineRule="auto"/>
        <w:ind w:left="567" w:hanging="567"/>
        <w:rPr>
          <w:rFonts w:ascii="Arial" w:eastAsia="Times New Roman" w:hAnsi="Arial" w:cs="Arial"/>
          <w:sz w:val="20"/>
          <w:szCs w:val="20"/>
        </w:rPr>
      </w:pPr>
      <w:r w:rsidRPr="005D4748">
        <w:rPr>
          <w:rFonts w:ascii="Arial" w:eastAsia="Times New Roman" w:hAnsi="Arial" w:cs="Arial"/>
          <w:sz w:val="20"/>
          <w:szCs w:val="20"/>
        </w:rPr>
        <w:t>The CSIR needs to ensure that it has a strong pipeline of priority patent applications to support the growth in patents granted. More importantly, the CSIR must monetise this IP through licensing and other means of commercialisation.</w:t>
      </w:r>
    </w:p>
    <w:p w:rsidR="00F16645" w:rsidRPr="005D4748" w:rsidRDefault="00F16645" w:rsidP="005D4748">
      <w:pPr>
        <w:numPr>
          <w:ilvl w:val="0"/>
          <w:numId w:val="14"/>
        </w:numPr>
        <w:spacing w:after="0" w:line="240" w:lineRule="auto"/>
        <w:ind w:left="567" w:hanging="567"/>
        <w:rPr>
          <w:rFonts w:ascii="Arial" w:eastAsia="Times New Roman" w:hAnsi="Arial" w:cs="Arial"/>
          <w:sz w:val="20"/>
          <w:szCs w:val="20"/>
        </w:rPr>
      </w:pPr>
      <w:r w:rsidRPr="005D4748">
        <w:rPr>
          <w:rFonts w:ascii="Arial" w:eastAsia="Times New Roman" w:hAnsi="Arial" w:cs="Arial"/>
          <w:sz w:val="20"/>
          <w:szCs w:val="20"/>
        </w:rPr>
        <w:t>The growth and transformation of the principal and chief researcher pools remain a challenge and despite implementing various initiatives, progress is slow. As such, the CSIR created a strategic fund to attract chief and principal researchers to the organisation.</w:t>
      </w:r>
    </w:p>
    <w:p w:rsidR="00F16645" w:rsidRPr="005D4748" w:rsidRDefault="00F16645" w:rsidP="005D4748">
      <w:pPr>
        <w:numPr>
          <w:ilvl w:val="0"/>
          <w:numId w:val="14"/>
        </w:numPr>
        <w:spacing w:after="0" w:line="240" w:lineRule="auto"/>
        <w:ind w:left="567" w:hanging="567"/>
        <w:rPr>
          <w:rFonts w:ascii="Arial" w:eastAsia="Times New Roman" w:hAnsi="Arial" w:cs="Arial"/>
          <w:sz w:val="20"/>
          <w:szCs w:val="20"/>
        </w:rPr>
      </w:pPr>
      <w:r w:rsidRPr="005D4748">
        <w:rPr>
          <w:rFonts w:ascii="Arial" w:eastAsia="Times New Roman" w:hAnsi="Arial" w:cs="Arial"/>
          <w:sz w:val="20"/>
          <w:szCs w:val="20"/>
        </w:rPr>
        <w:lastRenderedPageBreak/>
        <w:t>In its efforts to diversify its income streams, the CSIR is seeing improvement in its private sector contract R&amp;D; however, the pace of growth remains slow. The constrained economic environment is a major contributing factor to this performance.</w:t>
      </w:r>
    </w:p>
    <w:p w:rsidR="00F16645" w:rsidRPr="005D4748" w:rsidRDefault="00F16645" w:rsidP="005D4748">
      <w:pPr>
        <w:spacing w:after="0" w:line="240" w:lineRule="auto"/>
        <w:rPr>
          <w:rFonts w:ascii="Arial" w:eastAsia="Times New Roman" w:hAnsi="Arial" w:cs="Arial"/>
          <w:sz w:val="20"/>
          <w:szCs w:val="20"/>
          <w:lang w:val="en-GB"/>
        </w:rPr>
      </w:pPr>
    </w:p>
    <w:p w:rsidR="006612DF" w:rsidRPr="005D4748" w:rsidRDefault="006612DF" w:rsidP="005D4748">
      <w:pPr>
        <w:pStyle w:val="ListParagraph"/>
        <w:numPr>
          <w:ilvl w:val="2"/>
          <w:numId w:val="1"/>
        </w:numPr>
        <w:spacing w:after="0" w:line="240" w:lineRule="auto"/>
        <w:ind w:left="851" w:hanging="851"/>
        <w:rPr>
          <w:rFonts w:ascii="Arial" w:eastAsia="Times New Roman" w:hAnsi="Arial" w:cs="Arial"/>
          <w:b/>
          <w:sz w:val="20"/>
          <w:szCs w:val="20"/>
          <w:lang w:val="en-GB"/>
        </w:rPr>
      </w:pPr>
      <w:r w:rsidRPr="005D4748">
        <w:rPr>
          <w:rFonts w:ascii="Arial" w:eastAsia="Times New Roman" w:hAnsi="Arial" w:cs="Arial"/>
          <w:b/>
          <w:sz w:val="20"/>
          <w:szCs w:val="20"/>
          <w:lang w:val="en-GB"/>
        </w:rPr>
        <w:t>2021</w:t>
      </w:r>
      <w:r w:rsidR="00625607" w:rsidRPr="005D4748">
        <w:rPr>
          <w:rFonts w:ascii="Arial" w:eastAsia="Times New Roman" w:hAnsi="Arial" w:cs="Arial"/>
          <w:b/>
          <w:sz w:val="20"/>
          <w:szCs w:val="20"/>
          <w:lang w:val="en-GB"/>
        </w:rPr>
        <w:t>/22</w:t>
      </w:r>
      <w:r w:rsidRPr="005D4748">
        <w:rPr>
          <w:rFonts w:ascii="Arial" w:eastAsia="Times New Roman" w:hAnsi="Arial" w:cs="Arial"/>
          <w:b/>
          <w:sz w:val="20"/>
          <w:szCs w:val="20"/>
          <w:lang w:val="en-GB"/>
        </w:rPr>
        <w:t xml:space="preserve"> Audit Outcome</w:t>
      </w:r>
    </w:p>
    <w:p w:rsidR="006612DF" w:rsidRPr="005D4748" w:rsidRDefault="006612DF" w:rsidP="005D4748">
      <w:pPr>
        <w:spacing w:after="0" w:line="240" w:lineRule="auto"/>
        <w:rPr>
          <w:rFonts w:ascii="Arial" w:eastAsia="Times New Roman" w:hAnsi="Arial" w:cs="Arial"/>
          <w:sz w:val="20"/>
          <w:szCs w:val="20"/>
          <w:lang w:val="en-GB"/>
        </w:rPr>
      </w:pPr>
    </w:p>
    <w:p w:rsidR="00DE51A0" w:rsidRPr="005D4748" w:rsidRDefault="00DE51A0" w:rsidP="005D4748">
      <w:pPr>
        <w:pStyle w:val="ListParagraph"/>
        <w:spacing w:after="0" w:line="240" w:lineRule="auto"/>
        <w:ind w:left="0"/>
        <w:rPr>
          <w:rFonts w:ascii="Arial" w:hAnsi="Arial" w:cs="Arial"/>
          <w:sz w:val="20"/>
          <w:szCs w:val="20"/>
        </w:rPr>
      </w:pPr>
      <w:r w:rsidRPr="005D4748">
        <w:rPr>
          <w:rFonts w:ascii="Arial" w:hAnsi="Arial" w:cs="Arial"/>
          <w:sz w:val="20"/>
          <w:szCs w:val="20"/>
        </w:rPr>
        <w:t xml:space="preserve">The AGSA </w:t>
      </w:r>
      <w:r w:rsidR="000C640A" w:rsidRPr="005D4748">
        <w:rPr>
          <w:rFonts w:ascii="Arial" w:hAnsi="Arial" w:cs="Arial"/>
          <w:sz w:val="20"/>
          <w:szCs w:val="20"/>
        </w:rPr>
        <w:t>selected SO1 – Conduct RDI of transformative technologies and accelerate their diffusion</w:t>
      </w:r>
      <w:r w:rsidR="002C64B0" w:rsidRPr="005D4748">
        <w:rPr>
          <w:rFonts w:ascii="Arial" w:hAnsi="Arial" w:cs="Arial"/>
          <w:sz w:val="20"/>
          <w:szCs w:val="20"/>
        </w:rPr>
        <w:t>,</w:t>
      </w:r>
      <w:r w:rsidR="000C640A" w:rsidRPr="005D4748">
        <w:rPr>
          <w:rFonts w:ascii="Arial" w:hAnsi="Arial" w:cs="Arial"/>
          <w:sz w:val="20"/>
          <w:szCs w:val="20"/>
        </w:rPr>
        <w:t xml:space="preserve"> to test the usefulness and reliability of the reported performance information. </w:t>
      </w:r>
      <w:r w:rsidRPr="005D4748">
        <w:rPr>
          <w:rFonts w:ascii="Arial" w:hAnsi="Arial" w:cs="Arial"/>
          <w:sz w:val="20"/>
          <w:szCs w:val="20"/>
        </w:rPr>
        <w:t>The AGSA did not raise any material findings on the usefulness and reliability of the reported information for this strategic outcome.</w:t>
      </w:r>
    </w:p>
    <w:p w:rsidR="00DE51A0" w:rsidRPr="005D4748" w:rsidRDefault="00DE51A0" w:rsidP="005D4748">
      <w:pPr>
        <w:pStyle w:val="ListParagraph"/>
        <w:spacing w:after="0" w:line="240" w:lineRule="auto"/>
        <w:ind w:left="0"/>
        <w:rPr>
          <w:rFonts w:ascii="Arial" w:hAnsi="Arial" w:cs="Arial"/>
          <w:sz w:val="20"/>
          <w:szCs w:val="20"/>
        </w:rPr>
      </w:pPr>
    </w:p>
    <w:p w:rsidR="00DE51A0" w:rsidRPr="005D4748" w:rsidRDefault="00DE51A0" w:rsidP="005D4748">
      <w:pPr>
        <w:pStyle w:val="ListParagraph"/>
        <w:spacing w:after="0" w:line="240" w:lineRule="auto"/>
        <w:ind w:left="0"/>
        <w:rPr>
          <w:rFonts w:ascii="Arial" w:hAnsi="Arial" w:cs="Arial"/>
          <w:sz w:val="20"/>
          <w:szCs w:val="20"/>
        </w:rPr>
      </w:pPr>
      <w:r w:rsidRPr="005D4748">
        <w:rPr>
          <w:rFonts w:ascii="Arial" w:hAnsi="Arial" w:cs="Arial"/>
          <w:sz w:val="20"/>
          <w:szCs w:val="20"/>
        </w:rPr>
        <w:t xml:space="preserve">The AGSA awarded the CSIR an unqualified audit opinion with no findings; hence, a clean audit, for the </w:t>
      </w:r>
      <w:r w:rsidR="00F476AB" w:rsidRPr="005D4748">
        <w:rPr>
          <w:rFonts w:ascii="Arial" w:hAnsi="Arial" w:cs="Arial"/>
          <w:sz w:val="20"/>
          <w:szCs w:val="20"/>
        </w:rPr>
        <w:t>fourteenth</w:t>
      </w:r>
      <w:r w:rsidRPr="005D4748">
        <w:rPr>
          <w:rFonts w:ascii="Arial" w:hAnsi="Arial" w:cs="Arial"/>
          <w:sz w:val="20"/>
          <w:szCs w:val="20"/>
        </w:rPr>
        <w:t xml:space="preserve"> consecutive financial year. The AGSA stated that no material findings on compliance with key legislation and no significant deficiencies in internal control were identified. In addition, the AGSA stated that, “The relevant role players within the accountability ecosystem provided the necessary assurance, which contributed to the sustained key internal controls, particularly those relating to leadership and governance”. Furthermore, the AGSA stated that, “Management and the accounting authority enforced preventative controls and consequence management, which resulted in sustainable audit outcomes</w:t>
      </w:r>
      <w:r w:rsidR="000575BE" w:rsidRPr="005D4748">
        <w:rPr>
          <w:rFonts w:ascii="Arial" w:hAnsi="Arial" w:cs="Arial"/>
          <w:sz w:val="20"/>
          <w:szCs w:val="20"/>
        </w:rPr>
        <w:t>”</w:t>
      </w:r>
      <w:r w:rsidRPr="005D4748">
        <w:rPr>
          <w:rFonts w:ascii="Arial" w:hAnsi="Arial" w:cs="Arial"/>
          <w:sz w:val="20"/>
          <w:szCs w:val="20"/>
        </w:rPr>
        <w:t>.</w:t>
      </w:r>
    </w:p>
    <w:p w:rsidR="00DE51A0" w:rsidRPr="005D4748" w:rsidRDefault="00DE51A0" w:rsidP="005D4748">
      <w:pPr>
        <w:pStyle w:val="ListParagraph"/>
        <w:spacing w:after="0" w:line="240" w:lineRule="auto"/>
        <w:ind w:left="0"/>
        <w:rPr>
          <w:rFonts w:ascii="Arial" w:hAnsi="Arial" w:cs="Arial"/>
          <w:sz w:val="20"/>
          <w:szCs w:val="20"/>
        </w:rPr>
      </w:pPr>
    </w:p>
    <w:p w:rsidR="00795953" w:rsidRPr="005D4748" w:rsidRDefault="00DE51A0" w:rsidP="005D4748">
      <w:pPr>
        <w:spacing w:after="0" w:line="240" w:lineRule="auto"/>
        <w:rPr>
          <w:rFonts w:ascii="Arial" w:eastAsia="Times New Roman" w:hAnsi="Arial" w:cs="Arial"/>
          <w:sz w:val="20"/>
          <w:szCs w:val="20"/>
          <w:lang w:val="en-GB"/>
        </w:rPr>
      </w:pPr>
      <w:r w:rsidRPr="005D4748">
        <w:rPr>
          <w:rFonts w:ascii="Arial" w:hAnsi="Arial" w:cs="Arial"/>
          <w:sz w:val="20"/>
          <w:szCs w:val="20"/>
        </w:rPr>
        <w:t>The CSIR incurred irregular expenditure of R3.7 million due to nine incidences of non-compliance with supply chain management regulations, three of which were committed prior to 2021/22. At the time of reporting, management w</w:t>
      </w:r>
      <w:r w:rsidR="00D31EDA" w:rsidRPr="005D4748">
        <w:rPr>
          <w:rFonts w:ascii="Arial" w:hAnsi="Arial" w:cs="Arial"/>
          <w:sz w:val="20"/>
          <w:szCs w:val="20"/>
        </w:rPr>
        <w:t>as</w:t>
      </w:r>
      <w:r w:rsidRPr="005D4748">
        <w:rPr>
          <w:rFonts w:ascii="Arial" w:hAnsi="Arial" w:cs="Arial"/>
          <w:sz w:val="20"/>
          <w:szCs w:val="20"/>
        </w:rPr>
        <w:t xml:space="preserve"> </w:t>
      </w:r>
      <w:r w:rsidR="00D31EDA" w:rsidRPr="005D4748">
        <w:rPr>
          <w:rFonts w:ascii="Arial" w:hAnsi="Arial" w:cs="Arial"/>
          <w:sz w:val="20"/>
          <w:szCs w:val="20"/>
        </w:rPr>
        <w:t>effecting</w:t>
      </w:r>
      <w:r w:rsidRPr="005D4748">
        <w:rPr>
          <w:rFonts w:ascii="Arial" w:hAnsi="Arial" w:cs="Arial"/>
          <w:sz w:val="20"/>
          <w:szCs w:val="20"/>
        </w:rPr>
        <w:t xml:space="preserve"> consequence management against the officials who committed the offences. In all instances, no loss was suffered by the CSIR. The CSIR incurred R17 000 in fruitless and wasteful expenditure due to legal costs incurred from the late payment of a supplier.</w:t>
      </w:r>
    </w:p>
    <w:p w:rsidR="00AE4CE0" w:rsidRPr="005D4748" w:rsidRDefault="00AE4CE0" w:rsidP="005D4748">
      <w:pPr>
        <w:spacing w:after="0" w:line="240" w:lineRule="auto"/>
        <w:rPr>
          <w:rFonts w:ascii="Arial" w:eastAsia="Times New Roman" w:hAnsi="Arial" w:cs="Arial"/>
          <w:sz w:val="20"/>
          <w:szCs w:val="20"/>
          <w:lang w:val="en-GB"/>
        </w:rPr>
      </w:pPr>
    </w:p>
    <w:p w:rsidR="000209C6" w:rsidRPr="005D4748" w:rsidRDefault="00AE4CE0" w:rsidP="005D4748">
      <w:pPr>
        <w:pStyle w:val="ListParagraph"/>
        <w:numPr>
          <w:ilvl w:val="1"/>
          <w:numId w:val="1"/>
        </w:numPr>
        <w:spacing w:after="0" w:line="240" w:lineRule="auto"/>
        <w:ind w:left="851" w:hanging="851"/>
        <w:rPr>
          <w:rFonts w:ascii="Arial" w:eastAsia="Times New Roman" w:hAnsi="Arial" w:cs="Arial"/>
          <w:b/>
          <w:sz w:val="20"/>
          <w:szCs w:val="20"/>
          <w:lang w:val="en-GB"/>
        </w:rPr>
      </w:pPr>
      <w:r w:rsidRPr="005D4748">
        <w:rPr>
          <w:rFonts w:ascii="Arial" w:eastAsia="Times New Roman" w:hAnsi="Arial" w:cs="Arial"/>
          <w:b/>
          <w:sz w:val="20"/>
          <w:szCs w:val="20"/>
          <w:lang w:val="en-GB"/>
        </w:rPr>
        <w:t>HUMAN SCIENCES RESEARCH COUNCIL</w:t>
      </w:r>
    </w:p>
    <w:p w:rsidR="00A045EF" w:rsidRPr="005D4748" w:rsidRDefault="00A045EF" w:rsidP="005D4748">
      <w:pPr>
        <w:spacing w:after="0" w:line="240" w:lineRule="auto"/>
        <w:rPr>
          <w:rFonts w:ascii="Arial" w:eastAsia="Times New Roman" w:hAnsi="Arial" w:cs="Arial"/>
          <w:sz w:val="20"/>
          <w:szCs w:val="20"/>
          <w:lang w:val="en-GB"/>
        </w:rPr>
      </w:pPr>
    </w:p>
    <w:p w:rsidR="006612DF" w:rsidRPr="005D4748" w:rsidRDefault="006612DF" w:rsidP="005D4748">
      <w:pPr>
        <w:spacing w:after="0" w:line="240" w:lineRule="auto"/>
        <w:rPr>
          <w:rFonts w:ascii="Arial" w:eastAsia="Times New Roman" w:hAnsi="Arial" w:cs="Arial"/>
          <w:sz w:val="20"/>
          <w:szCs w:val="20"/>
          <w:lang w:val="en-GB"/>
        </w:rPr>
      </w:pPr>
      <w:r w:rsidRPr="005D4748">
        <w:rPr>
          <w:rFonts w:ascii="Arial" w:eastAsia="Times New Roman" w:hAnsi="Arial" w:cs="Arial"/>
          <w:sz w:val="20"/>
          <w:szCs w:val="20"/>
          <w:lang w:val="en-GB"/>
        </w:rPr>
        <w:t xml:space="preserve">The HSRC </w:t>
      </w:r>
      <w:r w:rsidR="00A320BE" w:rsidRPr="005D4748">
        <w:rPr>
          <w:rFonts w:ascii="Arial" w:eastAsia="Times New Roman" w:hAnsi="Arial" w:cs="Arial"/>
          <w:sz w:val="20"/>
          <w:szCs w:val="20"/>
          <w:lang w:val="en-GB"/>
        </w:rPr>
        <w:t>is mandated</w:t>
      </w:r>
      <w:r w:rsidR="002A505A" w:rsidRPr="005D4748">
        <w:rPr>
          <w:rFonts w:ascii="Arial" w:eastAsia="Times New Roman" w:hAnsi="Arial" w:cs="Arial"/>
          <w:sz w:val="20"/>
          <w:szCs w:val="20"/>
          <w:lang w:val="en-GB"/>
        </w:rPr>
        <w:t xml:space="preserve"> </w:t>
      </w:r>
      <w:r w:rsidRPr="005D4748">
        <w:rPr>
          <w:rFonts w:ascii="Arial" w:eastAsia="Times New Roman" w:hAnsi="Arial" w:cs="Arial"/>
          <w:sz w:val="20"/>
          <w:szCs w:val="20"/>
          <w:lang w:val="en-GB"/>
        </w:rPr>
        <w:t>to:</w:t>
      </w:r>
    </w:p>
    <w:p w:rsidR="006612DF" w:rsidRPr="005D4748" w:rsidRDefault="006612DF" w:rsidP="005D4748">
      <w:pPr>
        <w:spacing w:after="0" w:line="240" w:lineRule="auto"/>
        <w:rPr>
          <w:rFonts w:ascii="Arial" w:eastAsia="Times New Roman" w:hAnsi="Arial" w:cs="Arial"/>
          <w:sz w:val="20"/>
          <w:szCs w:val="20"/>
          <w:lang w:val="en-GB"/>
        </w:rPr>
      </w:pPr>
    </w:p>
    <w:p w:rsidR="006612DF" w:rsidRPr="005D4748" w:rsidRDefault="006612DF" w:rsidP="005D4748">
      <w:pPr>
        <w:pStyle w:val="ListParagraph"/>
        <w:numPr>
          <w:ilvl w:val="0"/>
          <w:numId w:val="3"/>
        </w:numPr>
        <w:spacing w:after="0" w:line="240" w:lineRule="auto"/>
        <w:ind w:left="567" w:hanging="567"/>
        <w:rPr>
          <w:rFonts w:ascii="Arial" w:eastAsia="Times New Roman" w:hAnsi="Arial" w:cs="Arial"/>
          <w:sz w:val="20"/>
          <w:szCs w:val="20"/>
          <w:lang w:val="en-GB"/>
        </w:rPr>
      </w:pPr>
      <w:r w:rsidRPr="005D4748">
        <w:rPr>
          <w:rFonts w:ascii="Arial" w:eastAsia="Times New Roman" w:hAnsi="Arial" w:cs="Arial"/>
          <w:sz w:val="20"/>
          <w:szCs w:val="20"/>
          <w:lang w:val="en-GB"/>
        </w:rPr>
        <w:t>Initiate, undertake and foster strategic basic and applied research in human sciences</w:t>
      </w:r>
      <w:r w:rsidR="00677372" w:rsidRPr="005D4748">
        <w:rPr>
          <w:rFonts w:ascii="Arial" w:eastAsia="Times New Roman" w:hAnsi="Arial" w:cs="Arial"/>
          <w:sz w:val="20"/>
          <w:szCs w:val="20"/>
          <w:lang w:val="en-GB"/>
        </w:rPr>
        <w:t>. A</w:t>
      </w:r>
      <w:r w:rsidRPr="005D4748">
        <w:rPr>
          <w:rFonts w:ascii="Arial" w:eastAsia="Times New Roman" w:hAnsi="Arial" w:cs="Arial"/>
          <w:sz w:val="20"/>
          <w:szCs w:val="20"/>
          <w:lang w:val="en-GB"/>
        </w:rPr>
        <w:t xml:space="preserve">ddress developmental challenges in the </w:t>
      </w:r>
      <w:r w:rsidR="00167459" w:rsidRPr="005D4748">
        <w:rPr>
          <w:rFonts w:ascii="Arial" w:eastAsia="Times New Roman" w:hAnsi="Arial" w:cs="Arial"/>
          <w:sz w:val="20"/>
          <w:szCs w:val="20"/>
          <w:lang w:val="en-GB"/>
        </w:rPr>
        <w:t>R</w:t>
      </w:r>
      <w:r w:rsidRPr="005D4748">
        <w:rPr>
          <w:rFonts w:ascii="Arial" w:eastAsia="Times New Roman" w:hAnsi="Arial" w:cs="Arial"/>
          <w:sz w:val="20"/>
          <w:szCs w:val="20"/>
          <w:lang w:val="en-GB"/>
        </w:rPr>
        <w:t>epublic, elsewhere in Africa and in the rest of the world.</w:t>
      </w:r>
    </w:p>
    <w:p w:rsidR="006612DF" w:rsidRPr="005D4748" w:rsidRDefault="006612DF" w:rsidP="005D4748">
      <w:pPr>
        <w:pStyle w:val="ListParagraph"/>
        <w:numPr>
          <w:ilvl w:val="0"/>
          <w:numId w:val="3"/>
        </w:numPr>
        <w:spacing w:after="0" w:line="240" w:lineRule="auto"/>
        <w:ind w:left="567" w:hanging="567"/>
        <w:rPr>
          <w:rFonts w:ascii="Arial" w:eastAsia="Times New Roman" w:hAnsi="Arial" w:cs="Arial"/>
          <w:sz w:val="20"/>
          <w:szCs w:val="20"/>
          <w:lang w:val="en-GB"/>
        </w:rPr>
      </w:pPr>
      <w:r w:rsidRPr="005D4748">
        <w:rPr>
          <w:rFonts w:ascii="Arial" w:eastAsia="Times New Roman" w:hAnsi="Arial" w:cs="Arial"/>
          <w:sz w:val="20"/>
          <w:szCs w:val="20"/>
          <w:lang w:val="en-GB"/>
        </w:rPr>
        <w:t>Inform the effective formulation and monitoring of policy, as well as evaluate the implementation thereof.</w:t>
      </w:r>
    </w:p>
    <w:p w:rsidR="006612DF" w:rsidRPr="005D4748" w:rsidRDefault="006612DF" w:rsidP="005D4748">
      <w:pPr>
        <w:pStyle w:val="ListParagraph"/>
        <w:numPr>
          <w:ilvl w:val="0"/>
          <w:numId w:val="3"/>
        </w:numPr>
        <w:spacing w:after="0" w:line="240" w:lineRule="auto"/>
        <w:ind w:left="567" w:hanging="567"/>
        <w:rPr>
          <w:rFonts w:ascii="Arial" w:eastAsia="Times New Roman" w:hAnsi="Arial" w:cs="Arial"/>
          <w:sz w:val="20"/>
          <w:szCs w:val="20"/>
          <w:lang w:val="en-GB"/>
        </w:rPr>
      </w:pPr>
      <w:r w:rsidRPr="005D4748">
        <w:rPr>
          <w:rFonts w:ascii="Arial" w:eastAsia="Times New Roman" w:hAnsi="Arial" w:cs="Arial"/>
          <w:sz w:val="20"/>
          <w:szCs w:val="20"/>
          <w:lang w:val="en-GB"/>
        </w:rPr>
        <w:t>Stimulate public debate through the effective dissemination of fact-based research results.</w:t>
      </w:r>
    </w:p>
    <w:p w:rsidR="006612DF" w:rsidRPr="005D4748" w:rsidRDefault="006612DF" w:rsidP="005D4748">
      <w:pPr>
        <w:pStyle w:val="ListParagraph"/>
        <w:numPr>
          <w:ilvl w:val="0"/>
          <w:numId w:val="3"/>
        </w:numPr>
        <w:spacing w:after="0" w:line="240" w:lineRule="auto"/>
        <w:ind w:left="567" w:hanging="567"/>
        <w:rPr>
          <w:rFonts w:ascii="Arial" w:eastAsia="Times New Roman" w:hAnsi="Arial" w:cs="Arial"/>
          <w:sz w:val="20"/>
          <w:szCs w:val="20"/>
          <w:lang w:val="en-GB"/>
        </w:rPr>
      </w:pPr>
      <w:r w:rsidRPr="005D4748">
        <w:rPr>
          <w:rFonts w:ascii="Arial" w:eastAsia="Times New Roman" w:hAnsi="Arial" w:cs="Arial"/>
          <w:sz w:val="20"/>
          <w:szCs w:val="20"/>
          <w:lang w:val="en-GB"/>
        </w:rPr>
        <w:t>Help build research capacity and infrastructure for the human sciences.</w:t>
      </w:r>
    </w:p>
    <w:p w:rsidR="006612DF" w:rsidRPr="005D4748" w:rsidRDefault="006612DF" w:rsidP="005D4748">
      <w:pPr>
        <w:pStyle w:val="ListParagraph"/>
        <w:numPr>
          <w:ilvl w:val="0"/>
          <w:numId w:val="3"/>
        </w:numPr>
        <w:spacing w:after="0" w:line="240" w:lineRule="auto"/>
        <w:ind w:left="567" w:hanging="567"/>
        <w:rPr>
          <w:rFonts w:ascii="Arial" w:eastAsia="Times New Roman" w:hAnsi="Arial" w:cs="Arial"/>
          <w:sz w:val="20"/>
          <w:szCs w:val="20"/>
          <w:lang w:val="en-GB"/>
        </w:rPr>
      </w:pPr>
      <w:r w:rsidRPr="005D4748">
        <w:rPr>
          <w:rFonts w:ascii="Arial" w:eastAsia="Times New Roman" w:hAnsi="Arial" w:cs="Arial"/>
          <w:sz w:val="20"/>
          <w:szCs w:val="20"/>
          <w:lang w:val="en-GB"/>
        </w:rPr>
        <w:t>Foster research collaboration, networks and institutional linkages.</w:t>
      </w:r>
    </w:p>
    <w:p w:rsidR="006612DF" w:rsidRPr="005D4748" w:rsidRDefault="006612DF" w:rsidP="005D4748">
      <w:pPr>
        <w:pStyle w:val="ListParagraph"/>
        <w:numPr>
          <w:ilvl w:val="0"/>
          <w:numId w:val="3"/>
        </w:numPr>
        <w:spacing w:after="0" w:line="240" w:lineRule="auto"/>
        <w:ind w:left="567" w:hanging="567"/>
        <w:rPr>
          <w:rFonts w:ascii="Arial" w:eastAsia="Times New Roman" w:hAnsi="Arial" w:cs="Arial"/>
          <w:sz w:val="20"/>
          <w:szCs w:val="20"/>
          <w:lang w:val="en-GB"/>
        </w:rPr>
      </w:pPr>
      <w:r w:rsidRPr="005D4748">
        <w:rPr>
          <w:rFonts w:ascii="Arial" w:eastAsia="Times New Roman" w:hAnsi="Arial" w:cs="Arial"/>
          <w:sz w:val="20"/>
          <w:szCs w:val="20"/>
          <w:lang w:val="en-GB"/>
        </w:rPr>
        <w:t>Respond to the needs of vulnerable and marginalised groups in society through research and analysis of developmental issues.</w:t>
      </w:r>
    </w:p>
    <w:p w:rsidR="006612DF" w:rsidRPr="005D4748" w:rsidRDefault="006612DF" w:rsidP="005D4748">
      <w:pPr>
        <w:pStyle w:val="ListParagraph"/>
        <w:numPr>
          <w:ilvl w:val="0"/>
          <w:numId w:val="3"/>
        </w:numPr>
        <w:spacing w:after="0" w:line="240" w:lineRule="auto"/>
        <w:ind w:left="567" w:hanging="567"/>
        <w:rPr>
          <w:rFonts w:ascii="Arial" w:eastAsia="Times New Roman" w:hAnsi="Arial" w:cs="Arial"/>
          <w:sz w:val="20"/>
          <w:szCs w:val="20"/>
          <w:lang w:val="en-GB"/>
        </w:rPr>
      </w:pPr>
      <w:r w:rsidRPr="005D4748">
        <w:rPr>
          <w:rFonts w:ascii="Arial" w:eastAsia="Times New Roman" w:hAnsi="Arial" w:cs="Arial"/>
          <w:sz w:val="20"/>
          <w:szCs w:val="20"/>
          <w:lang w:val="en-GB"/>
        </w:rPr>
        <w:t>Develop and make available data sets underpinning research, policy development and public discussion of developmental issues.</w:t>
      </w:r>
    </w:p>
    <w:p w:rsidR="006612DF" w:rsidRPr="005D4748" w:rsidRDefault="006612DF" w:rsidP="005D4748">
      <w:pPr>
        <w:pStyle w:val="ListParagraph"/>
        <w:numPr>
          <w:ilvl w:val="0"/>
          <w:numId w:val="3"/>
        </w:numPr>
        <w:spacing w:after="0" w:line="240" w:lineRule="auto"/>
        <w:ind w:left="567" w:hanging="567"/>
        <w:rPr>
          <w:rFonts w:ascii="Arial" w:eastAsia="Times New Roman" w:hAnsi="Arial" w:cs="Arial"/>
          <w:sz w:val="20"/>
          <w:szCs w:val="20"/>
          <w:lang w:val="en-GB"/>
        </w:rPr>
      </w:pPr>
      <w:r w:rsidRPr="005D4748">
        <w:rPr>
          <w:rFonts w:ascii="Arial" w:eastAsia="Times New Roman" w:hAnsi="Arial" w:cs="Arial"/>
          <w:sz w:val="20"/>
          <w:szCs w:val="20"/>
          <w:lang w:val="en-GB"/>
        </w:rPr>
        <w:t>Develop new and improved methodologies for use in the development of such data sets.</w:t>
      </w:r>
    </w:p>
    <w:p w:rsidR="006612DF" w:rsidRPr="005D4748" w:rsidRDefault="006612DF" w:rsidP="005D4748">
      <w:pPr>
        <w:spacing w:after="0" w:line="240" w:lineRule="auto"/>
        <w:rPr>
          <w:rFonts w:ascii="Arial" w:eastAsia="Times New Roman" w:hAnsi="Arial" w:cs="Arial"/>
          <w:sz w:val="20"/>
          <w:szCs w:val="20"/>
          <w:lang w:val="en-GB"/>
        </w:rPr>
      </w:pPr>
    </w:p>
    <w:p w:rsidR="006612DF" w:rsidRPr="005D4748" w:rsidRDefault="00A03554" w:rsidP="005D4748">
      <w:pPr>
        <w:spacing w:after="0" w:line="240" w:lineRule="auto"/>
        <w:rPr>
          <w:rFonts w:ascii="Arial" w:eastAsia="Times New Roman" w:hAnsi="Arial" w:cs="Arial"/>
          <w:sz w:val="20"/>
          <w:szCs w:val="20"/>
          <w:lang w:val="en-GB"/>
        </w:rPr>
      </w:pPr>
      <w:r w:rsidRPr="005D4748">
        <w:rPr>
          <w:rFonts w:ascii="Arial" w:eastAsia="Times New Roman" w:hAnsi="Arial" w:cs="Arial"/>
          <w:sz w:val="20"/>
          <w:szCs w:val="20"/>
          <w:lang w:val="en-GB"/>
        </w:rPr>
        <w:t>The HSRC continued its focus on poverty and inequality over the current five-year strategic plan period. Through its vision of being a national, regional and global leader in the production and dissemination of transformative social science and humanities research in the interests of a just and equal society, the HSRC carried out research-based services to inform government planning, policy and development. It provided advice and analysis to government and stakeholders on various issues, drawing from a humanities and social sciences perspective.</w:t>
      </w:r>
    </w:p>
    <w:p w:rsidR="006612DF" w:rsidRPr="005D4748" w:rsidRDefault="006612DF" w:rsidP="005D4748">
      <w:pPr>
        <w:spacing w:after="0" w:line="240" w:lineRule="auto"/>
        <w:rPr>
          <w:rFonts w:ascii="Arial" w:eastAsia="Times New Roman" w:hAnsi="Arial" w:cs="Arial"/>
          <w:sz w:val="20"/>
          <w:szCs w:val="20"/>
          <w:lang w:val="en-GB"/>
        </w:rPr>
      </w:pPr>
    </w:p>
    <w:p w:rsidR="00632FFD" w:rsidRPr="005D4748" w:rsidRDefault="00632FFD" w:rsidP="005D4748">
      <w:pPr>
        <w:spacing w:after="0" w:line="240" w:lineRule="auto"/>
        <w:rPr>
          <w:rFonts w:ascii="Arial" w:hAnsi="Arial" w:cs="Arial"/>
          <w:sz w:val="20"/>
          <w:szCs w:val="20"/>
        </w:rPr>
      </w:pPr>
      <w:r w:rsidRPr="005D4748">
        <w:rPr>
          <w:rFonts w:ascii="Arial" w:hAnsi="Arial" w:cs="Arial"/>
          <w:sz w:val="20"/>
          <w:szCs w:val="20"/>
        </w:rPr>
        <w:t>A new HSRC Board, comprising 11 members and under the leadership of Dr Cassius Lubisi, took office on 1 November 2021. In his foreword to the 2021/22 Annual Report, Dr Lubisi state</w:t>
      </w:r>
      <w:r w:rsidR="006469C2" w:rsidRPr="005D4748">
        <w:rPr>
          <w:rFonts w:ascii="Arial" w:hAnsi="Arial" w:cs="Arial"/>
          <w:sz w:val="20"/>
          <w:szCs w:val="20"/>
        </w:rPr>
        <w:t>d</w:t>
      </w:r>
      <w:r w:rsidRPr="005D4748">
        <w:rPr>
          <w:rFonts w:ascii="Arial" w:hAnsi="Arial" w:cs="Arial"/>
          <w:sz w:val="20"/>
          <w:szCs w:val="20"/>
        </w:rPr>
        <w:t xml:space="preserve"> that on </w:t>
      </w:r>
      <w:r w:rsidR="002661C4" w:rsidRPr="005D4748">
        <w:rPr>
          <w:rFonts w:ascii="Arial" w:hAnsi="Arial" w:cs="Arial"/>
          <w:sz w:val="20"/>
          <w:szCs w:val="20"/>
        </w:rPr>
        <w:t>as</w:t>
      </w:r>
      <w:r w:rsidRPr="005D4748">
        <w:rPr>
          <w:rFonts w:ascii="Arial" w:hAnsi="Arial" w:cs="Arial"/>
          <w:sz w:val="20"/>
          <w:szCs w:val="20"/>
        </w:rPr>
        <w:t>suming office, three priorities demanded the Board’s immediate attention. These were:</w:t>
      </w:r>
    </w:p>
    <w:p w:rsidR="00632FFD" w:rsidRPr="005D4748" w:rsidRDefault="00632FFD" w:rsidP="005D4748">
      <w:pPr>
        <w:spacing w:after="0" w:line="240" w:lineRule="auto"/>
        <w:rPr>
          <w:rFonts w:ascii="Arial" w:hAnsi="Arial" w:cs="Arial"/>
          <w:sz w:val="20"/>
          <w:szCs w:val="20"/>
        </w:rPr>
      </w:pPr>
    </w:p>
    <w:p w:rsidR="00632FFD" w:rsidRPr="005D4748" w:rsidRDefault="00632FFD" w:rsidP="005D4748">
      <w:pPr>
        <w:pStyle w:val="ListParagraph"/>
        <w:numPr>
          <w:ilvl w:val="0"/>
          <w:numId w:val="15"/>
        </w:numPr>
        <w:spacing w:after="0" w:line="240" w:lineRule="auto"/>
        <w:ind w:left="567" w:hanging="567"/>
        <w:contextualSpacing w:val="0"/>
        <w:rPr>
          <w:rFonts w:ascii="Arial" w:hAnsi="Arial" w:cs="Arial"/>
          <w:sz w:val="20"/>
          <w:szCs w:val="20"/>
        </w:rPr>
      </w:pPr>
      <w:r w:rsidRPr="005D4748">
        <w:rPr>
          <w:rFonts w:ascii="Arial" w:hAnsi="Arial" w:cs="Arial"/>
          <w:sz w:val="20"/>
          <w:szCs w:val="20"/>
        </w:rPr>
        <w:t>The previous Board could not fill the position of Chief Executive Officer (CEO), which has been vacant since April 2021. The new Board commenced with a renewed recruitment process and it is expected that the CEO position will be filled in the current financial year.</w:t>
      </w:r>
    </w:p>
    <w:p w:rsidR="00632FFD" w:rsidRPr="005D4748" w:rsidRDefault="00632FFD" w:rsidP="005D4748">
      <w:pPr>
        <w:spacing w:after="0" w:line="240" w:lineRule="auto"/>
        <w:rPr>
          <w:rFonts w:ascii="Arial" w:hAnsi="Arial" w:cs="Arial"/>
          <w:sz w:val="20"/>
          <w:szCs w:val="20"/>
        </w:rPr>
      </w:pPr>
    </w:p>
    <w:p w:rsidR="00632FFD" w:rsidRPr="005D4748" w:rsidRDefault="00632FFD" w:rsidP="005D4748">
      <w:pPr>
        <w:pStyle w:val="ListParagraph"/>
        <w:numPr>
          <w:ilvl w:val="0"/>
          <w:numId w:val="15"/>
        </w:numPr>
        <w:spacing w:after="0" w:line="240" w:lineRule="auto"/>
        <w:ind w:left="567" w:hanging="567"/>
        <w:contextualSpacing w:val="0"/>
        <w:rPr>
          <w:rFonts w:ascii="Arial" w:hAnsi="Arial" w:cs="Arial"/>
          <w:sz w:val="20"/>
          <w:szCs w:val="20"/>
        </w:rPr>
      </w:pPr>
      <w:r w:rsidRPr="005D4748">
        <w:rPr>
          <w:rFonts w:ascii="Arial" w:hAnsi="Arial" w:cs="Arial"/>
          <w:sz w:val="20"/>
          <w:szCs w:val="20"/>
        </w:rPr>
        <w:t xml:space="preserve">HSRC staff had endured significant emotional and financial hardship for the past three years, as cost-of-living adjustments or performance-based increases were disallowed for several years. </w:t>
      </w:r>
      <w:r w:rsidRPr="005D4748">
        <w:rPr>
          <w:rFonts w:ascii="Arial" w:hAnsi="Arial" w:cs="Arial"/>
          <w:sz w:val="20"/>
          <w:szCs w:val="20"/>
        </w:rPr>
        <w:lastRenderedPageBreak/>
        <w:t>Following extensive consultation with the Executive Authority, National Treasury and independent senior counsel, the new Board was able to implement modest cost-of-living adjustments to bring much needed relief and an improvement in staff morale.</w:t>
      </w:r>
    </w:p>
    <w:p w:rsidR="00632FFD" w:rsidRPr="005D4748" w:rsidRDefault="00632FFD" w:rsidP="005D4748">
      <w:pPr>
        <w:spacing w:after="0" w:line="240" w:lineRule="auto"/>
        <w:rPr>
          <w:rFonts w:ascii="Arial" w:hAnsi="Arial" w:cs="Arial"/>
          <w:sz w:val="20"/>
          <w:szCs w:val="20"/>
        </w:rPr>
      </w:pPr>
    </w:p>
    <w:p w:rsidR="00632FFD" w:rsidRPr="005D4748" w:rsidRDefault="00632FFD" w:rsidP="005D4748">
      <w:pPr>
        <w:pStyle w:val="ListParagraph"/>
        <w:numPr>
          <w:ilvl w:val="0"/>
          <w:numId w:val="15"/>
        </w:numPr>
        <w:spacing w:after="0" w:line="240" w:lineRule="auto"/>
        <w:ind w:left="567" w:hanging="567"/>
        <w:contextualSpacing w:val="0"/>
        <w:rPr>
          <w:rFonts w:ascii="Arial" w:hAnsi="Arial" w:cs="Arial"/>
          <w:sz w:val="20"/>
          <w:szCs w:val="20"/>
        </w:rPr>
      </w:pPr>
      <w:r w:rsidRPr="005D4748">
        <w:rPr>
          <w:rFonts w:ascii="Arial" w:hAnsi="Arial" w:cs="Arial"/>
          <w:sz w:val="20"/>
          <w:szCs w:val="20"/>
        </w:rPr>
        <w:t xml:space="preserve">It emerged in 2020 that a deviation from the </w:t>
      </w:r>
      <w:r w:rsidR="002661C4" w:rsidRPr="005D4748">
        <w:rPr>
          <w:rFonts w:ascii="Arial" w:hAnsi="Arial" w:cs="Arial"/>
          <w:sz w:val="20"/>
          <w:szCs w:val="20"/>
        </w:rPr>
        <w:t xml:space="preserve">prevailing </w:t>
      </w:r>
      <w:r w:rsidRPr="005D4748">
        <w:rPr>
          <w:rFonts w:ascii="Arial" w:hAnsi="Arial" w:cs="Arial"/>
          <w:sz w:val="20"/>
          <w:szCs w:val="20"/>
        </w:rPr>
        <w:t>tax legislation occurred during a payroll system transition in 2016. Because of a human and system programming error, the requisite tax on unapproved risk policies attached to the HSRC Pension Fund was not paid to SARS. This anomaly was identified by management and when reported to the Board in August 2020, was corrected immediately. A process for calculating the outstanding liability was concluded and a process of applying for Voluntary Disclosure Relief from SARS is underway.</w:t>
      </w:r>
    </w:p>
    <w:p w:rsidR="00632FFD" w:rsidRPr="005D4748" w:rsidRDefault="00632FFD" w:rsidP="005D4748">
      <w:pPr>
        <w:spacing w:after="0" w:line="240" w:lineRule="auto"/>
        <w:rPr>
          <w:rFonts w:ascii="Arial" w:eastAsia="Times New Roman" w:hAnsi="Arial" w:cs="Arial"/>
          <w:sz w:val="20"/>
          <w:szCs w:val="20"/>
          <w:lang w:val="en-GB"/>
        </w:rPr>
      </w:pPr>
    </w:p>
    <w:p w:rsidR="00A03554" w:rsidRPr="005D4748" w:rsidRDefault="00A03554" w:rsidP="005D4748">
      <w:pPr>
        <w:pStyle w:val="ListParagraph"/>
        <w:numPr>
          <w:ilvl w:val="2"/>
          <w:numId w:val="1"/>
        </w:numPr>
        <w:spacing w:after="0" w:line="240" w:lineRule="auto"/>
        <w:ind w:left="851" w:hanging="851"/>
        <w:rPr>
          <w:rFonts w:ascii="Arial" w:eastAsia="Times New Roman" w:hAnsi="Arial" w:cs="Arial"/>
          <w:b/>
          <w:sz w:val="20"/>
          <w:szCs w:val="20"/>
          <w:lang w:val="en-GB"/>
        </w:rPr>
      </w:pPr>
      <w:r w:rsidRPr="005D4748">
        <w:rPr>
          <w:rFonts w:ascii="Arial" w:eastAsia="Times New Roman" w:hAnsi="Arial" w:cs="Arial"/>
          <w:b/>
          <w:sz w:val="20"/>
          <w:szCs w:val="20"/>
          <w:lang w:val="en-GB"/>
        </w:rPr>
        <w:t xml:space="preserve">2021/22 Revenue </w:t>
      </w:r>
    </w:p>
    <w:p w:rsidR="00A03554" w:rsidRPr="005D4748" w:rsidRDefault="00A03554" w:rsidP="005D4748">
      <w:pPr>
        <w:spacing w:after="0" w:line="240" w:lineRule="auto"/>
        <w:rPr>
          <w:rFonts w:ascii="Arial" w:eastAsia="Times New Roman" w:hAnsi="Arial" w:cs="Arial"/>
          <w:sz w:val="20"/>
          <w:szCs w:val="20"/>
          <w:lang w:val="en-GB"/>
        </w:rPr>
      </w:pPr>
    </w:p>
    <w:p w:rsidR="002D286C" w:rsidRPr="005D4748" w:rsidRDefault="002D286C" w:rsidP="005D4748">
      <w:pPr>
        <w:spacing w:after="0" w:line="240" w:lineRule="auto"/>
        <w:rPr>
          <w:rFonts w:ascii="Arial" w:hAnsi="Arial" w:cs="Arial"/>
          <w:sz w:val="20"/>
          <w:szCs w:val="20"/>
        </w:rPr>
      </w:pPr>
      <w:r w:rsidRPr="005D4748">
        <w:rPr>
          <w:rFonts w:ascii="Arial" w:hAnsi="Arial" w:cs="Arial"/>
          <w:sz w:val="20"/>
          <w:szCs w:val="20"/>
        </w:rPr>
        <w:t>The current financial model of the HSRC depends significantly on external funding to support research and the broader mandate of the HSRC. There is continued pressure on the HSRC to increase external income earnings at a faster pace than the growth in its parliamentary grant, to ensure that all necessary budget commitments in terms of staff, administration, infrastructure and research can be met. Hence, the HSRC’s view that, “The declining Parliamentary Grant continues to constrain, rather than facilitate the HSRC’s mandate”. In mitigation, the HSRC will review its funding strategies and explore opportunities to unlock funding as part of its shift in focus from research generation to research use.</w:t>
      </w:r>
    </w:p>
    <w:p w:rsidR="002D286C" w:rsidRPr="005D4748" w:rsidRDefault="002D286C" w:rsidP="005D4748">
      <w:pPr>
        <w:spacing w:after="0" w:line="240" w:lineRule="auto"/>
        <w:rPr>
          <w:rFonts w:ascii="Arial" w:hAnsi="Arial" w:cs="Arial"/>
          <w:sz w:val="20"/>
          <w:szCs w:val="20"/>
        </w:rPr>
      </w:pPr>
    </w:p>
    <w:p w:rsidR="002D286C" w:rsidRPr="005D4748" w:rsidRDefault="002D286C" w:rsidP="005D4748">
      <w:pPr>
        <w:spacing w:after="0" w:line="240" w:lineRule="auto"/>
        <w:rPr>
          <w:rFonts w:ascii="Arial" w:hAnsi="Arial" w:cs="Arial"/>
          <w:sz w:val="20"/>
          <w:szCs w:val="20"/>
        </w:rPr>
      </w:pPr>
      <w:r w:rsidRPr="005D4748">
        <w:rPr>
          <w:rFonts w:ascii="Arial" w:hAnsi="Arial" w:cs="Arial"/>
          <w:sz w:val="20"/>
          <w:szCs w:val="20"/>
        </w:rPr>
        <w:t xml:space="preserve">Total revenue for 2021/22 was R588.9 million with the parliamentary grant constituting R273.4 million (46%) of the total revenue. Research revenue </w:t>
      </w:r>
      <w:r w:rsidR="005B1AF9" w:rsidRPr="005D4748">
        <w:rPr>
          <w:rFonts w:ascii="Arial" w:hAnsi="Arial" w:cs="Arial"/>
          <w:sz w:val="20"/>
          <w:szCs w:val="20"/>
        </w:rPr>
        <w:t xml:space="preserve">was </w:t>
      </w:r>
      <w:r w:rsidRPr="005D4748">
        <w:rPr>
          <w:rFonts w:ascii="Arial" w:hAnsi="Arial" w:cs="Arial"/>
          <w:sz w:val="20"/>
          <w:szCs w:val="20"/>
        </w:rPr>
        <w:t xml:space="preserve">R280.1 million and other operating revenue </w:t>
      </w:r>
      <w:r w:rsidR="005B1AF9" w:rsidRPr="005D4748">
        <w:rPr>
          <w:rFonts w:ascii="Arial" w:hAnsi="Arial" w:cs="Arial"/>
          <w:sz w:val="20"/>
          <w:szCs w:val="20"/>
        </w:rPr>
        <w:t>was</w:t>
      </w:r>
      <w:r w:rsidRPr="005D4748">
        <w:rPr>
          <w:rFonts w:ascii="Arial" w:hAnsi="Arial" w:cs="Arial"/>
          <w:sz w:val="20"/>
          <w:szCs w:val="20"/>
        </w:rPr>
        <w:t xml:space="preserve"> R35.5 million. </w:t>
      </w:r>
    </w:p>
    <w:p w:rsidR="002D286C" w:rsidRPr="005D4748" w:rsidRDefault="002D286C" w:rsidP="005D4748">
      <w:pPr>
        <w:spacing w:after="0" w:line="240" w:lineRule="auto"/>
        <w:rPr>
          <w:rFonts w:ascii="Arial" w:hAnsi="Arial" w:cs="Arial"/>
          <w:sz w:val="20"/>
          <w:szCs w:val="20"/>
        </w:rPr>
      </w:pPr>
    </w:p>
    <w:p w:rsidR="00A03554" w:rsidRPr="005D4748" w:rsidRDefault="002D286C" w:rsidP="005D4748">
      <w:pPr>
        <w:spacing w:after="0" w:line="240" w:lineRule="auto"/>
        <w:rPr>
          <w:rFonts w:ascii="Arial" w:eastAsia="Times New Roman" w:hAnsi="Arial" w:cs="Arial"/>
          <w:sz w:val="20"/>
          <w:szCs w:val="20"/>
          <w:lang w:val="en-GB"/>
        </w:rPr>
      </w:pPr>
      <w:r w:rsidRPr="005D4748">
        <w:rPr>
          <w:rFonts w:ascii="Arial" w:hAnsi="Arial" w:cs="Arial"/>
          <w:sz w:val="20"/>
          <w:szCs w:val="20"/>
        </w:rPr>
        <w:t>Programme 1</w:t>
      </w:r>
      <w:r w:rsidR="005B1AF9" w:rsidRPr="005D4748">
        <w:rPr>
          <w:rFonts w:ascii="Arial" w:hAnsi="Arial" w:cs="Arial"/>
          <w:sz w:val="20"/>
          <w:szCs w:val="20"/>
        </w:rPr>
        <w:t>: Administration</w:t>
      </w:r>
      <w:r w:rsidRPr="005D4748">
        <w:rPr>
          <w:rFonts w:ascii="Arial" w:hAnsi="Arial" w:cs="Arial"/>
          <w:sz w:val="20"/>
          <w:szCs w:val="20"/>
        </w:rPr>
        <w:t xml:space="preserve"> was allocated R242.9 million (42%) of the total budget and spent R180.9 million, where salaries constituted R101.5 million (R27 million less than planned) of the expenditure. Programme 2</w:t>
      </w:r>
      <w:r w:rsidR="005B1AF9" w:rsidRPr="005D4748">
        <w:rPr>
          <w:rFonts w:ascii="Arial" w:hAnsi="Arial" w:cs="Arial"/>
          <w:sz w:val="20"/>
          <w:szCs w:val="20"/>
        </w:rPr>
        <w:t>: Research, Development and Innovation</w:t>
      </w:r>
      <w:r w:rsidRPr="005D4748">
        <w:rPr>
          <w:rFonts w:ascii="Arial" w:hAnsi="Arial" w:cs="Arial"/>
          <w:sz w:val="20"/>
          <w:szCs w:val="20"/>
        </w:rPr>
        <w:t xml:space="preserve"> was allocated R339.2 million (58%) of the total budget and spent R362.4 million, overspending by R23.3 million because of increased research activities undertaken. The HSRC reported a surplus of R45 million at the end of the 2021/22 financial year. The surplus was primarily due to a significant decrease in the administration and operating costs of the HSRC. The completion of project activities and milestones on several large-scale projects enabled the HSRC to exceed its external income target by 22%. Hence, research costs and depreciation expenses were above the budgeted amounts because of increased research activities during the financial year.</w:t>
      </w:r>
    </w:p>
    <w:p w:rsidR="00A03554" w:rsidRPr="005D4748" w:rsidRDefault="00A03554" w:rsidP="005D4748">
      <w:pPr>
        <w:spacing w:after="0" w:line="240" w:lineRule="auto"/>
        <w:rPr>
          <w:rFonts w:ascii="Arial" w:eastAsia="Times New Roman" w:hAnsi="Arial" w:cs="Arial"/>
          <w:sz w:val="20"/>
          <w:szCs w:val="20"/>
          <w:lang w:val="en-GB"/>
        </w:rPr>
      </w:pPr>
    </w:p>
    <w:p w:rsidR="006612DF" w:rsidRPr="005D4748" w:rsidRDefault="006612DF" w:rsidP="005D4748">
      <w:pPr>
        <w:pStyle w:val="ListParagraph"/>
        <w:numPr>
          <w:ilvl w:val="2"/>
          <w:numId w:val="1"/>
        </w:numPr>
        <w:spacing w:after="0" w:line="240" w:lineRule="auto"/>
        <w:ind w:left="851" w:hanging="851"/>
        <w:rPr>
          <w:rFonts w:ascii="Arial" w:eastAsia="Times New Roman" w:hAnsi="Arial" w:cs="Arial"/>
          <w:b/>
          <w:sz w:val="20"/>
          <w:szCs w:val="20"/>
          <w:lang w:val="en-GB"/>
        </w:rPr>
      </w:pPr>
      <w:r w:rsidRPr="005D4748">
        <w:rPr>
          <w:rFonts w:ascii="Arial" w:eastAsia="Times New Roman" w:hAnsi="Arial" w:cs="Arial"/>
          <w:b/>
          <w:sz w:val="20"/>
          <w:szCs w:val="20"/>
          <w:lang w:val="en-GB"/>
        </w:rPr>
        <w:t>2021</w:t>
      </w:r>
      <w:r w:rsidR="00A03554" w:rsidRPr="005D4748">
        <w:rPr>
          <w:rFonts w:ascii="Arial" w:eastAsia="Times New Roman" w:hAnsi="Arial" w:cs="Arial"/>
          <w:b/>
          <w:sz w:val="20"/>
          <w:szCs w:val="20"/>
          <w:lang w:val="en-GB"/>
        </w:rPr>
        <w:t>/22</w:t>
      </w:r>
      <w:r w:rsidRPr="005D4748">
        <w:rPr>
          <w:rFonts w:ascii="Arial" w:eastAsia="Times New Roman" w:hAnsi="Arial" w:cs="Arial"/>
          <w:b/>
          <w:sz w:val="20"/>
          <w:szCs w:val="20"/>
          <w:lang w:val="en-GB"/>
        </w:rPr>
        <w:t xml:space="preserve"> Performance</w:t>
      </w:r>
    </w:p>
    <w:p w:rsidR="00C122B9" w:rsidRPr="005D4748" w:rsidRDefault="00C122B9" w:rsidP="005D4748">
      <w:pPr>
        <w:spacing w:after="0" w:line="240" w:lineRule="auto"/>
        <w:rPr>
          <w:rFonts w:ascii="Arial" w:eastAsia="Times New Roman" w:hAnsi="Arial" w:cs="Arial"/>
          <w:sz w:val="20"/>
          <w:szCs w:val="20"/>
          <w:lang w:val="en-GB"/>
        </w:rPr>
      </w:pPr>
    </w:p>
    <w:p w:rsidR="00C122B9" w:rsidRPr="005D4748" w:rsidRDefault="00C122B9" w:rsidP="005D4748">
      <w:pPr>
        <w:spacing w:after="0" w:line="240" w:lineRule="auto"/>
        <w:rPr>
          <w:rFonts w:ascii="Arial" w:eastAsia="Times New Roman" w:hAnsi="Arial" w:cs="Arial"/>
          <w:sz w:val="20"/>
          <w:szCs w:val="20"/>
          <w:lang w:val="en-GB"/>
        </w:rPr>
      </w:pPr>
      <w:r w:rsidRPr="005D4748">
        <w:rPr>
          <w:rFonts w:ascii="Arial" w:eastAsia="Times New Roman" w:hAnsi="Arial" w:cs="Arial"/>
          <w:sz w:val="20"/>
          <w:szCs w:val="20"/>
          <w:lang w:val="en-GB"/>
        </w:rPr>
        <w:t xml:space="preserve">The HSRC pursues its research agenda within five strategic outcomes, summarised in the acronym </w:t>
      </w:r>
      <w:r w:rsidR="00237936" w:rsidRPr="005D4748">
        <w:rPr>
          <w:rFonts w:ascii="Arial" w:eastAsia="Times New Roman" w:hAnsi="Arial" w:cs="Arial"/>
          <w:sz w:val="20"/>
          <w:szCs w:val="20"/>
          <w:lang w:val="en-GB"/>
        </w:rPr>
        <w:t>“</w:t>
      </w:r>
      <w:r w:rsidRPr="005D4748">
        <w:rPr>
          <w:rFonts w:ascii="Arial" w:eastAsia="Times New Roman" w:hAnsi="Arial" w:cs="Arial"/>
          <w:sz w:val="20"/>
          <w:szCs w:val="20"/>
          <w:lang w:val="en-GB"/>
        </w:rPr>
        <w:t>LeaPPT</w:t>
      </w:r>
      <w:r w:rsidR="00237936" w:rsidRPr="005D4748">
        <w:rPr>
          <w:rFonts w:ascii="Arial" w:eastAsia="Times New Roman" w:hAnsi="Arial" w:cs="Arial"/>
          <w:sz w:val="20"/>
          <w:szCs w:val="20"/>
          <w:lang w:val="en-GB"/>
        </w:rPr>
        <w:t>+</w:t>
      </w:r>
      <w:r w:rsidRPr="005D4748">
        <w:rPr>
          <w:rFonts w:ascii="Arial" w:eastAsia="Times New Roman" w:hAnsi="Arial" w:cs="Arial"/>
          <w:sz w:val="20"/>
          <w:szCs w:val="20"/>
          <w:lang w:val="en-GB"/>
        </w:rPr>
        <w:t>S</w:t>
      </w:r>
      <w:r w:rsidR="00237936" w:rsidRPr="005D4748">
        <w:rPr>
          <w:rFonts w:ascii="Arial" w:eastAsia="Times New Roman" w:hAnsi="Arial" w:cs="Arial"/>
          <w:sz w:val="20"/>
          <w:szCs w:val="20"/>
          <w:lang w:val="en-GB"/>
        </w:rPr>
        <w:t>”</w:t>
      </w:r>
      <w:r w:rsidRPr="005D4748">
        <w:rPr>
          <w:rFonts w:ascii="Arial" w:eastAsia="Times New Roman" w:hAnsi="Arial" w:cs="Arial"/>
          <w:sz w:val="20"/>
          <w:szCs w:val="20"/>
          <w:lang w:val="en-GB"/>
        </w:rPr>
        <w:t xml:space="preserve">. This stands for </w:t>
      </w:r>
      <w:r w:rsidRPr="005D4748">
        <w:rPr>
          <w:rFonts w:ascii="Arial" w:eastAsia="Times New Roman" w:hAnsi="Arial" w:cs="Arial"/>
          <w:b/>
          <w:sz w:val="20"/>
          <w:szCs w:val="20"/>
          <w:lang w:val="en-GB"/>
        </w:rPr>
        <w:t>Lea</w:t>
      </w:r>
      <w:r w:rsidRPr="005D4748">
        <w:rPr>
          <w:rFonts w:ascii="Arial" w:eastAsia="Times New Roman" w:hAnsi="Arial" w:cs="Arial"/>
          <w:sz w:val="20"/>
          <w:szCs w:val="20"/>
          <w:lang w:val="en-GB"/>
        </w:rPr>
        <w:t xml:space="preserve">dership in knowledge production, </w:t>
      </w:r>
      <w:r w:rsidRPr="005D4748">
        <w:rPr>
          <w:rFonts w:ascii="Arial" w:eastAsia="Times New Roman" w:hAnsi="Arial" w:cs="Arial"/>
          <w:b/>
          <w:sz w:val="20"/>
          <w:szCs w:val="20"/>
          <w:lang w:val="en-GB"/>
        </w:rPr>
        <w:t>P</w:t>
      </w:r>
      <w:r w:rsidRPr="005D4748">
        <w:rPr>
          <w:rFonts w:ascii="Arial" w:eastAsia="Times New Roman" w:hAnsi="Arial" w:cs="Arial"/>
          <w:sz w:val="20"/>
          <w:szCs w:val="20"/>
          <w:lang w:val="en-GB"/>
        </w:rPr>
        <w:t xml:space="preserve">olicy influence, </w:t>
      </w:r>
      <w:r w:rsidRPr="005D4748">
        <w:rPr>
          <w:rFonts w:ascii="Arial" w:eastAsia="Times New Roman" w:hAnsi="Arial" w:cs="Arial"/>
          <w:b/>
          <w:sz w:val="20"/>
          <w:szCs w:val="20"/>
          <w:lang w:val="en-GB"/>
        </w:rPr>
        <w:t>P</w:t>
      </w:r>
      <w:r w:rsidRPr="005D4748">
        <w:rPr>
          <w:rFonts w:ascii="Arial" w:eastAsia="Times New Roman" w:hAnsi="Arial" w:cs="Arial"/>
          <w:sz w:val="20"/>
          <w:szCs w:val="20"/>
          <w:lang w:val="en-GB"/>
        </w:rPr>
        <w:t xml:space="preserve">artnerships, </w:t>
      </w:r>
      <w:r w:rsidRPr="005D4748">
        <w:rPr>
          <w:rFonts w:ascii="Arial" w:eastAsia="Times New Roman" w:hAnsi="Arial" w:cs="Arial"/>
          <w:b/>
          <w:sz w:val="20"/>
          <w:szCs w:val="20"/>
          <w:lang w:val="en-GB"/>
        </w:rPr>
        <w:t>T</w:t>
      </w:r>
      <w:r w:rsidRPr="005D4748">
        <w:rPr>
          <w:rFonts w:ascii="Arial" w:eastAsia="Times New Roman" w:hAnsi="Arial" w:cs="Arial"/>
          <w:sz w:val="20"/>
          <w:szCs w:val="20"/>
          <w:lang w:val="en-GB"/>
        </w:rPr>
        <w:t xml:space="preserve">ransformed research capabilities and </w:t>
      </w:r>
      <w:r w:rsidRPr="005D4748">
        <w:rPr>
          <w:rFonts w:ascii="Arial" w:eastAsia="Times New Roman" w:hAnsi="Arial" w:cs="Arial"/>
          <w:b/>
          <w:sz w:val="20"/>
          <w:szCs w:val="20"/>
          <w:lang w:val="en-GB"/>
        </w:rPr>
        <w:t>S</w:t>
      </w:r>
      <w:r w:rsidRPr="005D4748">
        <w:rPr>
          <w:rFonts w:ascii="Arial" w:eastAsia="Times New Roman" w:hAnsi="Arial" w:cs="Arial"/>
          <w:sz w:val="20"/>
          <w:szCs w:val="20"/>
          <w:lang w:val="en-GB"/>
        </w:rPr>
        <w:t>ustainability.</w:t>
      </w:r>
    </w:p>
    <w:p w:rsidR="006612DF" w:rsidRPr="005D4748" w:rsidRDefault="006612DF" w:rsidP="005D4748">
      <w:pPr>
        <w:spacing w:after="0" w:line="240" w:lineRule="auto"/>
        <w:rPr>
          <w:rFonts w:ascii="Arial" w:eastAsia="Times New Roman" w:hAnsi="Arial" w:cs="Arial"/>
          <w:sz w:val="20"/>
          <w:szCs w:val="20"/>
          <w:lang w:val="en-GB"/>
        </w:rPr>
      </w:pPr>
    </w:p>
    <w:p w:rsidR="006612DF" w:rsidRPr="005D4748" w:rsidRDefault="006612DF" w:rsidP="005D4748">
      <w:pPr>
        <w:spacing w:after="0" w:line="240" w:lineRule="auto"/>
        <w:rPr>
          <w:rFonts w:ascii="Arial" w:eastAsia="Times New Roman" w:hAnsi="Arial" w:cs="Arial"/>
          <w:sz w:val="20"/>
          <w:szCs w:val="20"/>
          <w:lang w:val="en-GB"/>
        </w:rPr>
      </w:pPr>
      <w:r w:rsidRPr="005D4748">
        <w:rPr>
          <w:rFonts w:ascii="Arial" w:eastAsia="Times New Roman" w:hAnsi="Arial" w:cs="Arial"/>
          <w:sz w:val="20"/>
          <w:szCs w:val="20"/>
          <w:lang w:val="en-GB"/>
        </w:rPr>
        <w:t>The HSRC’s five strategic outcomes are implemented across two programmes; namely, Programme 1: Administration and Programme 2: Research, Development and Innovation.</w:t>
      </w:r>
    </w:p>
    <w:p w:rsidR="006612DF" w:rsidRPr="005D4748" w:rsidRDefault="006612DF" w:rsidP="005D4748">
      <w:pPr>
        <w:spacing w:after="0" w:line="240" w:lineRule="auto"/>
        <w:rPr>
          <w:rFonts w:ascii="Arial" w:eastAsia="Times New Roman" w:hAnsi="Arial" w:cs="Arial"/>
          <w:sz w:val="20"/>
          <w:szCs w:val="20"/>
          <w:lang w:val="en-GB"/>
        </w:rPr>
      </w:pPr>
    </w:p>
    <w:p w:rsidR="00292F21" w:rsidRPr="005D4748" w:rsidRDefault="00292F21" w:rsidP="005D4748">
      <w:pPr>
        <w:pStyle w:val="ListParagraph"/>
        <w:spacing w:after="0" w:line="240" w:lineRule="auto"/>
        <w:ind w:left="0"/>
        <w:contextualSpacing w:val="0"/>
        <w:rPr>
          <w:rFonts w:ascii="Arial" w:hAnsi="Arial" w:cs="Arial"/>
          <w:b/>
          <w:sz w:val="20"/>
          <w:szCs w:val="20"/>
        </w:rPr>
      </w:pPr>
      <w:r w:rsidRPr="005D4748">
        <w:rPr>
          <w:rFonts w:ascii="Arial" w:hAnsi="Arial" w:cs="Arial"/>
          <w:b/>
          <w:sz w:val="20"/>
          <w:szCs w:val="20"/>
        </w:rPr>
        <w:t>Programme 1</w:t>
      </w:r>
      <w:r w:rsidR="006B5155" w:rsidRPr="005D4748">
        <w:rPr>
          <w:rFonts w:ascii="Arial" w:hAnsi="Arial" w:cs="Arial"/>
          <w:b/>
          <w:sz w:val="20"/>
          <w:szCs w:val="20"/>
        </w:rPr>
        <w:t>:</w:t>
      </w:r>
      <w:r w:rsidRPr="005D4748">
        <w:rPr>
          <w:rFonts w:ascii="Arial" w:hAnsi="Arial" w:cs="Arial"/>
          <w:b/>
          <w:sz w:val="20"/>
          <w:szCs w:val="20"/>
        </w:rPr>
        <w:t xml:space="preserve"> Administration</w:t>
      </w:r>
    </w:p>
    <w:p w:rsidR="00292F21" w:rsidRPr="005D4748" w:rsidRDefault="00292F21" w:rsidP="005D4748">
      <w:pPr>
        <w:spacing w:after="0" w:line="240" w:lineRule="auto"/>
        <w:rPr>
          <w:rFonts w:ascii="Arial" w:hAnsi="Arial" w:cs="Arial"/>
          <w:sz w:val="20"/>
          <w:szCs w:val="20"/>
        </w:rPr>
      </w:pPr>
      <w:r w:rsidRPr="005D4748">
        <w:rPr>
          <w:rFonts w:ascii="Arial" w:hAnsi="Arial" w:cs="Arial"/>
          <w:sz w:val="20"/>
          <w:szCs w:val="20"/>
        </w:rPr>
        <w:t xml:space="preserve">The Administration Programme is responsible for the strategic direction and overall management of the HSRC. An Impact Centre was established in 2020 to focus on enhancing </w:t>
      </w:r>
      <w:r w:rsidR="000330EB" w:rsidRPr="005D4748">
        <w:rPr>
          <w:rFonts w:ascii="Arial" w:hAnsi="Arial" w:cs="Arial"/>
          <w:sz w:val="20"/>
          <w:szCs w:val="20"/>
        </w:rPr>
        <w:t xml:space="preserve">the </w:t>
      </w:r>
      <w:r w:rsidRPr="005D4748">
        <w:rPr>
          <w:rFonts w:ascii="Arial" w:hAnsi="Arial" w:cs="Arial"/>
          <w:sz w:val="20"/>
          <w:szCs w:val="20"/>
        </w:rPr>
        <w:t>use and impact of the HSRC’s research.</w:t>
      </w:r>
    </w:p>
    <w:p w:rsidR="00292F21" w:rsidRPr="005D4748" w:rsidRDefault="00292F21" w:rsidP="005D4748">
      <w:pPr>
        <w:spacing w:after="0" w:line="240" w:lineRule="auto"/>
        <w:rPr>
          <w:rFonts w:ascii="Arial" w:hAnsi="Arial" w:cs="Arial"/>
          <w:sz w:val="20"/>
          <w:szCs w:val="20"/>
        </w:rPr>
      </w:pPr>
    </w:p>
    <w:p w:rsidR="006612DF" w:rsidRPr="005D4748" w:rsidRDefault="006612DF" w:rsidP="005D4748">
      <w:pPr>
        <w:spacing w:after="0" w:line="240" w:lineRule="auto"/>
        <w:rPr>
          <w:rFonts w:ascii="Arial" w:eastAsia="Times New Roman" w:hAnsi="Arial" w:cs="Arial"/>
          <w:sz w:val="20"/>
          <w:szCs w:val="20"/>
          <w:lang w:val="en-GB"/>
        </w:rPr>
      </w:pPr>
      <w:r w:rsidRPr="005D4748">
        <w:rPr>
          <w:rFonts w:ascii="Arial" w:eastAsia="Times New Roman" w:hAnsi="Arial" w:cs="Arial"/>
          <w:sz w:val="20"/>
          <w:szCs w:val="20"/>
          <w:lang w:val="en-GB"/>
        </w:rPr>
        <w:t xml:space="preserve">Programme 1 achieved </w:t>
      </w:r>
      <w:r w:rsidR="007114AD" w:rsidRPr="005D4748">
        <w:rPr>
          <w:rFonts w:ascii="Arial" w:eastAsia="Times New Roman" w:hAnsi="Arial" w:cs="Arial"/>
          <w:sz w:val="20"/>
          <w:szCs w:val="20"/>
          <w:lang w:val="en-GB"/>
        </w:rPr>
        <w:t xml:space="preserve">10 </w:t>
      </w:r>
      <w:r w:rsidRPr="005D4748">
        <w:rPr>
          <w:rFonts w:ascii="Arial" w:eastAsia="Times New Roman" w:hAnsi="Arial" w:cs="Arial"/>
          <w:sz w:val="20"/>
          <w:szCs w:val="20"/>
          <w:lang w:val="en-GB"/>
        </w:rPr>
        <w:t xml:space="preserve">of its 11 performance indicators. </w:t>
      </w:r>
      <w:r w:rsidR="007114AD" w:rsidRPr="005D4748">
        <w:rPr>
          <w:rFonts w:ascii="Arial" w:eastAsia="Times New Roman" w:hAnsi="Arial" w:cs="Arial"/>
          <w:sz w:val="20"/>
          <w:szCs w:val="20"/>
          <w:lang w:val="en-GB"/>
        </w:rPr>
        <w:t xml:space="preserve">The target on the percentage of researchers with PhDs (planned for 76% and attained 69%) was not met during the reporting period. The variance in achievement was attributed to staff-turnover and project-specific recruitment of lower-level research staff. Furthermore, </w:t>
      </w:r>
      <w:r w:rsidR="00DA6438" w:rsidRPr="005D4748">
        <w:rPr>
          <w:rFonts w:ascii="Arial" w:eastAsia="Times New Roman" w:hAnsi="Arial" w:cs="Arial"/>
          <w:sz w:val="20"/>
          <w:szCs w:val="20"/>
          <w:lang w:val="en-GB"/>
        </w:rPr>
        <w:t xml:space="preserve">the HSRC faces the challenge of a limited number of senior researchers who are required not only to raise funds, but also to implement a range of contract research projects, and reach scholarship targets. As was highlighted in all previous institutional reviews, the HSRC needs to employ more senior researchers on permanent conditions of service to ease the burden of fund raising, and to provide reliable mentoring to its research trainees. However, filling the vacancies for senior research staff has been constrained by salary caps implemented by </w:t>
      </w:r>
      <w:r w:rsidR="00DA6438" w:rsidRPr="005D4748">
        <w:rPr>
          <w:rFonts w:ascii="Arial" w:eastAsia="Times New Roman" w:hAnsi="Arial" w:cs="Arial"/>
          <w:sz w:val="20"/>
          <w:szCs w:val="20"/>
          <w:lang w:val="en-GB"/>
        </w:rPr>
        <w:lastRenderedPageBreak/>
        <w:t xml:space="preserve">National Treasury and further reductions in the allocation for the Compensation of </w:t>
      </w:r>
      <w:r w:rsidR="00F6648A" w:rsidRPr="005D4748">
        <w:rPr>
          <w:rFonts w:ascii="Arial" w:eastAsia="Times New Roman" w:hAnsi="Arial" w:cs="Arial"/>
          <w:sz w:val="20"/>
          <w:szCs w:val="20"/>
          <w:lang w:val="en-GB"/>
        </w:rPr>
        <w:t>e</w:t>
      </w:r>
      <w:r w:rsidR="00DA6438" w:rsidRPr="005D4748">
        <w:rPr>
          <w:rFonts w:ascii="Arial" w:eastAsia="Times New Roman" w:hAnsi="Arial" w:cs="Arial"/>
          <w:sz w:val="20"/>
          <w:szCs w:val="20"/>
          <w:lang w:val="en-GB"/>
        </w:rPr>
        <w:t>mployees. The HSRC competes with the market for these in-demand, high-level skills and cannot offer market-related competitive salaries or, until February 2022, permanent positions.</w:t>
      </w:r>
    </w:p>
    <w:p w:rsidR="007114AD" w:rsidRPr="005D4748" w:rsidRDefault="007114AD" w:rsidP="005D4748">
      <w:pPr>
        <w:spacing w:after="0" w:line="240" w:lineRule="auto"/>
        <w:rPr>
          <w:rFonts w:ascii="Arial" w:eastAsia="Times New Roman" w:hAnsi="Arial" w:cs="Arial"/>
          <w:sz w:val="20"/>
          <w:szCs w:val="20"/>
          <w:lang w:val="en-GB"/>
        </w:rPr>
      </w:pPr>
    </w:p>
    <w:p w:rsidR="00292F21" w:rsidRPr="005D4748" w:rsidRDefault="00292F21" w:rsidP="005D4748">
      <w:pPr>
        <w:spacing w:after="0" w:line="240" w:lineRule="auto"/>
        <w:rPr>
          <w:rFonts w:ascii="Arial" w:hAnsi="Arial" w:cs="Arial"/>
          <w:sz w:val="20"/>
          <w:szCs w:val="20"/>
        </w:rPr>
      </w:pPr>
      <w:r w:rsidRPr="005D4748">
        <w:rPr>
          <w:rFonts w:ascii="Arial" w:hAnsi="Arial" w:cs="Arial"/>
          <w:b/>
          <w:sz w:val="20"/>
          <w:szCs w:val="20"/>
        </w:rPr>
        <w:t>Programme 2</w:t>
      </w:r>
      <w:r w:rsidR="006B5155" w:rsidRPr="005D4748">
        <w:rPr>
          <w:rFonts w:ascii="Arial" w:hAnsi="Arial" w:cs="Arial"/>
          <w:b/>
          <w:sz w:val="20"/>
          <w:szCs w:val="20"/>
        </w:rPr>
        <w:t>:</w:t>
      </w:r>
      <w:r w:rsidRPr="005D4748">
        <w:rPr>
          <w:rFonts w:ascii="Arial" w:hAnsi="Arial" w:cs="Arial"/>
          <w:b/>
          <w:sz w:val="20"/>
          <w:szCs w:val="20"/>
        </w:rPr>
        <w:t xml:space="preserve"> Research, Development and Innovation</w:t>
      </w:r>
    </w:p>
    <w:p w:rsidR="00292F21" w:rsidRPr="005D4748" w:rsidRDefault="00292F21" w:rsidP="005D4748">
      <w:pPr>
        <w:spacing w:after="0" w:line="240" w:lineRule="auto"/>
        <w:rPr>
          <w:rFonts w:ascii="Arial" w:eastAsia="Times New Roman" w:hAnsi="Arial" w:cs="Arial"/>
          <w:sz w:val="20"/>
          <w:szCs w:val="20"/>
          <w:lang w:val="en-GB"/>
        </w:rPr>
      </w:pPr>
      <w:r w:rsidRPr="005D4748">
        <w:rPr>
          <w:rFonts w:ascii="Arial" w:hAnsi="Arial" w:cs="Arial"/>
          <w:sz w:val="20"/>
          <w:szCs w:val="20"/>
        </w:rPr>
        <w:t>This programme conducts basic and applied research, generating and applying knowledge that addresses and provides deeper insights into some of the challenges that society is grappling with. Programme 2 includes the Africa Institute of South Africa (AISA)</w:t>
      </w:r>
      <w:r w:rsidR="00D76DE4" w:rsidRPr="005D4748">
        <w:rPr>
          <w:rFonts w:ascii="Arial" w:hAnsi="Arial" w:cs="Arial"/>
          <w:sz w:val="20"/>
          <w:szCs w:val="20"/>
        </w:rPr>
        <w:t>,</w:t>
      </w:r>
      <w:r w:rsidRPr="005D4748">
        <w:rPr>
          <w:rFonts w:ascii="Arial" w:hAnsi="Arial" w:cs="Arial"/>
          <w:sz w:val="20"/>
          <w:szCs w:val="20"/>
        </w:rPr>
        <w:t xml:space="preserve"> the Centre for Community-based Research in Sweetwaters, Pietermaritzburg</w:t>
      </w:r>
      <w:r w:rsidR="00D76DE4" w:rsidRPr="005D4748">
        <w:rPr>
          <w:rFonts w:ascii="Arial" w:hAnsi="Arial" w:cs="Arial"/>
          <w:sz w:val="20"/>
          <w:szCs w:val="20"/>
        </w:rPr>
        <w:t xml:space="preserve"> and the Centre for Science, Technology and Innovation Indicators (CeSTII)</w:t>
      </w:r>
      <w:r w:rsidRPr="005D4748">
        <w:rPr>
          <w:rFonts w:ascii="Arial" w:hAnsi="Arial" w:cs="Arial"/>
          <w:sz w:val="20"/>
          <w:szCs w:val="20"/>
        </w:rPr>
        <w:t>.</w:t>
      </w:r>
    </w:p>
    <w:p w:rsidR="00292F21" w:rsidRPr="005D4748" w:rsidRDefault="00292F21" w:rsidP="005D4748">
      <w:pPr>
        <w:spacing w:after="0" w:line="240" w:lineRule="auto"/>
        <w:rPr>
          <w:rFonts w:ascii="Arial" w:eastAsia="Times New Roman" w:hAnsi="Arial" w:cs="Arial"/>
          <w:sz w:val="20"/>
          <w:szCs w:val="20"/>
          <w:lang w:val="en-GB"/>
        </w:rPr>
      </w:pPr>
    </w:p>
    <w:p w:rsidR="007114AD" w:rsidRPr="005D4748" w:rsidRDefault="006612DF" w:rsidP="005D4748">
      <w:pPr>
        <w:spacing w:after="0" w:line="240" w:lineRule="auto"/>
        <w:rPr>
          <w:rFonts w:ascii="Arial" w:hAnsi="Arial" w:cs="Arial"/>
          <w:sz w:val="20"/>
          <w:szCs w:val="20"/>
        </w:rPr>
      </w:pPr>
      <w:r w:rsidRPr="005D4748">
        <w:rPr>
          <w:rFonts w:ascii="Arial" w:eastAsia="Times New Roman" w:hAnsi="Arial" w:cs="Arial"/>
          <w:sz w:val="20"/>
          <w:szCs w:val="20"/>
          <w:lang w:val="en-GB"/>
        </w:rPr>
        <w:t xml:space="preserve">Programme 2 achieved </w:t>
      </w:r>
      <w:r w:rsidR="007114AD" w:rsidRPr="005D4748">
        <w:rPr>
          <w:rFonts w:ascii="Arial" w:eastAsia="Times New Roman" w:hAnsi="Arial" w:cs="Arial"/>
          <w:sz w:val="20"/>
          <w:szCs w:val="20"/>
          <w:lang w:val="en-GB"/>
        </w:rPr>
        <w:t xml:space="preserve">nine of its </w:t>
      </w:r>
      <w:r w:rsidRPr="005D4748">
        <w:rPr>
          <w:rFonts w:ascii="Arial" w:eastAsia="Times New Roman" w:hAnsi="Arial" w:cs="Arial"/>
          <w:sz w:val="20"/>
          <w:szCs w:val="20"/>
          <w:lang w:val="en-GB"/>
        </w:rPr>
        <w:t>10 performance indicators.</w:t>
      </w:r>
      <w:r w:rsidR="007114AD" w:rsidRPr="005D4748">
        <w:rPr>
          <w:rFonts w:ascii="Arial" w:eastAsia="Times New Roman" w:hAnsi="Arial" w:cs="Arial"/>
          <w:sz w:val="20"/>
          <w:szCs w:val="20"/>
          <w:lang w:val="en-GB"/>
        </w:rPr>
        <w:t xml:space="preserve"> </w:t>
      </w:r>
      <w:r w:rsidR="007114AD" w:rsidRPr="005D4748">
        <w:rPr>
          <w:rFonts w:ascii="Arial" w:hAnsi="Arial" w:cs="Arial"/>
          <w:noProof/>
          <w:sz w:val="20"/>
          <w:szCs w:val="20"/>
          <w:lang w:eastAsia="en-ZA"/>
        </w:rPr>
        <w:t>The target of 47 book chapters  published</w:t>
      </w:r>
      <w:r w:rsidR="00D76DE4" w:rsidRPr="005D4748">
        <w:rPr>
          <w:rFonts w:ascii="Arial" w:hAnsi="Arial" w:cs="Arial"/>
          <w:noProof/>
          <w:sz w:val="20"/>
          <w:szCs w:val="20"/>
          <w:lang w:eastAsia="en-ZA"/>
        </w:rPr>
        <w:t xml:space="preserve"> (actual achievement 40 book chapters)</w:t>
      </w:r>
      <w:r w:rsidR="007114AD" w:rsidRPr="005D4748">
        <w:rPr>
          <w:rFonts w:ascii="Arial" w:hAnsi="Arial" w:cs="Arial"/>
          <w:noProof/>
          <w:sz w:val="20"/>
          <w:szCs w:val="20"/>
          <w:lang w:eastAsia="en-ZA"/>
        </w:rPr>
        <w:t xml:space="preserve"> was not met. One of the contributing factors is that the book publication process is lengthy and is dependent on many factors, most of which are beyond the control of the HSRC.</w:t>
      </w:r>
    </w:p>
    <w:p w:rsidR="006612DF" w:rsidRPr="005D4748" w:rsidRDefault="006612DF" w:rsidP="005D4748">
      <w:pPr>
        <w:spacing w:after="0" w:line="240" w:lineRule="auto"/>
        <w:rPr>
          <w:rFonts w:ascii="Arial" w:eastAsia="Times New Roman" w:hAnsi="Arial" w:cs="Arial"/>
          <w:sz w:val="20"/>
          <w:szCs w:val="20"/>
          <w:lang w:val="en-GB"/>
        </w:rPr>
      </w:pPr>
    </w:p>
    <w:p w:rsidR="00EA6310" w:rsidRPr="005D4748" w:rsidRDefault="006612DF" w:rsidP="005D4748">
      <w:pPr>
        <w:spacing w:after="0" w:line="240" w:lineRule="auto"/>
        <w:rPr>
          <w:rFonts w:ascii="Arial" w:eastAsia="Times New Roman" w:hAnsi="Arial" w:cs="Arial"/>
          <w:sz w:val="20"/>
          <w:szCs w:val="20"/>
          <w:lang w:val="en-GB"/>
        </w:rPr>
      </w:pPr>
      <w:r w:rsidRPr="005D4748">
        <w:rPr>
          <w:rFonts w:ascii="Arial" w:eastAsia="Times New Roman" w:hAnsi="Arial" w:cs="Arial"/>
          <w:sz w:val="20"/>
          <w:szCs w:val="20"/>
          <w:lang w:val="en-GB"/>
        </w:rPr>
        <w:t xml:space="preserve">Overall, </w:t>
      </w:r>
      <w:r w:rsidR="00DA6438" w:rsidRPr="005D4748">
        <w:rPr>
          <w:rFonts w:ascii="Arial" w:eastAsia="Times New Roman" w:hAnsi="Arial" w:cs="Arial"/>
          <w:sz w:val="20"/>
          <w:szCs w:val="20"/>
          <w:lang w:val="en-GB"/>
        </w:rPr>
        <w:t xml:space="preserve">in 2021/22, </w:t>
      </w:r>
      <w:r w:rsidRPr="005D4748">
        <w:rPr>
          <w:rFonts w:ascii="Arial" w:eastAsia="Times New Roman" w:hAnsi="Arial" w:cs="Arial"/>
          <w:sz w:val="20"/>
          <w:szCs w:val="20"/>
          <w:lang w:val="en-GB"/>
        </w:rPr>
        <w:t xml:space="preserve">the HSRC </w:t>
      </w:r>
      <w:r w:rsidR="001226CE" w:rsidRPr="005D4748">
        <w:rPr>
          <w:rFonts w:ascii="Arial" w:eastAsia="Times New Roman" w:hAnsi="Arial" w:cs="Arial"/>
          <w:sz w:val="20"/>
          <w:szCs w:val="20"/>
          <w:lang w:val="en-GB"/>
        </w:rPr>
        <w:t xml:space="preserve">maintained its previous performance and </w:t>
      </w:r>
      <w:r w:rsidRPr="005D4748">
        <w:rPr>
          <w:rFonts w:ascii="Arial" w:eastAsia="Times New Roman" w:hAnsi="Arial" w:cs="Arial"/>
          <w:sz w:val="20"/>
          <w:szCs w:val="20"/>
          <w:lang w:val="en-GB"/>
        </w:rPr>
        <w:t>achieved 19 of its 21 (90%) performance indicators.</w:t>
      </w:r>
    </w:p>
    <w:p w:rsidR="00AD2B6C" w:rsidRPr="005D4748" w:rsidRDefault="00AD2B6C" w:rsidP="005D4748">
      <w:pPr>
        <w:spacing w:after="0" w:line="240" w:lineRule="auto"/>
        <w:rPr>
          <w:rFonts w:ascii="Arial" w:eastAsia="Times New Roman" w:hAnsi="Arial" w:cs="Arial"/>
          <w:sz w:val="20"/>
          <w:szCs w:val="20"/>
          <w:lang w:val="en-GB"/>
        </w:rPr>
      </w:pPr>
    </w:p>
    <w:p w:rsidR="006612DF" w:rsidRPr="005D4748" w:rsidRDefault="006612DF" w:rsidP="005D4748">
      <w:pPr>
        <w:pStyle w:val="ListParagraph"/>
        <w:numPr>
          <w:ilvl w:val="2"/>
          <w:numId w:val="1"/>
        </w:numPr>
        <w:spacing w:after="0" w:line="240" w:lineRule="auto"/>
        <w:ind w:left="851" w:hanging="851"/>
        <w:rPr>
          <w:rFonts w:ascii="Arial" w:eastAsia="Times New Roman" w:hAnsi="Arial" w:cs="Arial"/>
          <w:b/>
          <w:sz w:val="20"/>
          <w:szCs w:val="20"/>
          <w:lang w:val="en-GB"/>
        </w:rPr>
      </w:pPr>
      <w:r w:rsidRPr="005D4748">
        <w:rPr>
          <w:rFonts w:ascii="Arial" w:eastAsia="Times New Roman" w:hAnsi="Arial" w:cs="Arial"/>
          <w:b/>
          <w:sz w:val="20"/>
          <w:szCs w:val="20"/>
          <w:lang w:val="en-GB"/>
        </w:rPr>
        <w:t>2021</w:t>
      </w:r>
      <w:r w:rsidR="00D51F3D" w:rsidRPr="005D4748">
        <w:rPr>
          <w:rFonts w:ascii="Arial" w:eastAsia="Times New Roman" w:hAnsi="Arial" w:cs="Arial"/>
          <w:b/>
          <w:sz w:val="20"/>
          <w:szCs w:val="20"/>
          <w:lang w:val="en-GB"/>
        </w:rPr>
        <w:t>/22</w:t>
      </w:r>
      <w:r w:rsidRPr="005D4748">
        <w:rPr>
          <w:rFonts w:ascii="Arial" w:eastAsia="Times New Roman" w:hAnsi="Arial" w:cs="Arial"/>
          <w:b/>
          <w:sz w:val="20"/>
          <w:szCs w:val="20"/>
          <w:lang w:val="en-GB"/>
        </w:rPr>
        <w:t xml:space="preserve"> Audit Outcome</w:t>
      </w:r>
    </w:p>
    <w:p w:rsidR="006612DF" w:rsidRPr="005D4748" w:rsidRDefault="006612DF" w:rsidP="005D4748">
      <w:pPr>
        <w:spacing w:after="0" w:line="240" w:lineRule="auto"/>
        <w:rPr>
          <w:rFonts w:ascii="Arial" w:eastAsia="Times New Roman" w:hAnsi="Arial" w:cs="Arial"/>
          <w:sz w:val="20"/>
          <w:szCs w:val="20"/>
          <w:lang w:val="en-GB"/>
        </w:rPr>
      </w:pPr>
    </w:p>
    <w:p w:rsidR="00226384" w:rsidRPr="005D4748" w:rsidRDefault="00226384" w:rsidP="005D4748">
      <w:pPr>
        <w:spacing w:after="0" w:line="240" w:lineRule="auto"/>
        <w:rPr>
          <w:rFonts w:ascii="Arial" w:hAnsi="Arial" w:cs="Arial"/>
          <w:sz w:val="20"/>
          <w:szCs w:val="20"/>
        </w:rPr>
      </w:pPr>
      <w:r w:rsidRPr="005D4748">
        <w:rPr>
          <w:rFonts w:ascii="Arial" w:hAnsi="Arial" w:cs="Arial"/>
          <w:sz w:val="20"/>
          <w:szCs w:val="20"/>
        </w:rPr>
        <w:t>The AGSA selected Programme 2: Research, Development and Innovation</w:t>
      </w:r>
      <w:r w:rsidR="002C64B0" w:rsidRPr="005D4748">
        <w:rPr>
          <w:rFonts w:ascii="Arial" w:hAnsi="Arial" w:cs="Arial"/>
          <w:sz w:val="20"/>
          <w:szCs w:val="20"/>
        </w:rPr>
        <w:t>,</w:t>
      </w:r>
      <w:r w:rsidRPr="005D4748">
        <w:rPr>
          <w:rFonts w:ascii="Arial" w:hAnsi="Arial" w:cs="Arial"/>
          <w:sz w:val="20"/>
          <w:szCs w:val="20"/>
        </w:rPr>
        <w:t xml:space="preserve"> to test the usefulness and reliability of the reported performance information. The AG did not raise any material findings on the usefulness and reliability of the reported information for this Programme.</w:t>
      </w:r>
    </w:p>
    <w:p w:rsidR="00226384" w:rsidRPr="005D4748" w:rsidRDefault="00226384" w:rsidP="005D4748">
      <w:pPr>
        <w:spacing w:after="0" w:line="240" w:lineRule="auto"/>
        <w:rPr>
          <w:rFonts w:ascii="Arial" w:hAnsi="Arial" w:cs="Arial"/>
          <w:sz w:val="20"/>
          <w:szCs w:val="20"/>
        </w:rPr>
      </w:pPr>
    </w:p>
    <w:p w:rsidR="004B1DBE" w:rsidRPr="005D4748" w:rsidRDefault="004B1DBE" w:rsidP="005D4748">
      <w:pPr>
        <w:spacing w:after="0" w:line="240" w:lineRule="auto"/>
        <w:rPr>
          <w:rFonts w:ascii="Arial" w:hAnsi="Arial" w:cs="Arial"/>
          <w:sz w:val="20"/>
          <w:szCs w:val="20"/>
        </w:rPr>
      </w:pPr>
      <w:r w:rsidRPr="005D4748">
        <w:rPr>
          <w:rFonts w:ascii="Arial" w:hAnsi="Arial" w:cs="Arial"/>
          <w:sz w:val="20"/>
          <w:szCs w:val="20"/>
        </w:rPr>
        <w:t>The AGSA awarded the HSRC a qualified audit opinion with findings, a regression from last year’s unqualified audit opinion with findings. The basis for the qualified audit opinion stem</w:t>
      </w:r>
      <w:r w:rsidR="00F40B3C" w:rsidRPr="005D4748">
        <w:rPr>
          <w:rFonts w:ascii="Arial" w:hAnsi="Arial" w:cs="Arial"/>
          <w:sz w:val="20"/>
          <w:szCs w:val="20"/>
        </w:rPr>
        <w:t>med</w:t>
      </w:r>
      <w:r w:rsidRPr="005D4748">
        <w:rPr>
          <w:rFonts w:ascii="Arial" w:hAnsi="Arial" w:cs="Arial"/>
          <w:sz w:val="20"/>
          <w:szCs w:val="20"/>
        </w:rPr>
        <w:t xml:space="preserve"> from the HSRC not accurately recording leave accrual in the financial statements. Consequently, leave accrual was understated by R11.3 million. The matter arose because the HSRC did not implement manual reconciliation processes to confirm that its systems produced information that was valid, accurate and complete. Furthermore, the AGSA identified weaknesses relating to the design and/or implementation of controls in the focus areas of security management, user access management, physical and environmental controls, and IT service continuity, which could have a direct impact on the entity’s business operations.</w:t>
      </w:r>
    </w:p>
    <w:p w:rsidR="004B1DBE" w:rsidRPr="005D4748" w:rsidRDefault="004B1DBE" w:rsidP="005D4748">
      <w:pPr>
        <w:spacing w:after="0" w:line="240" w:lineRule="auto"/>
        <w:rPr>
          <w:rFonts w:ascii="Arial" w:hAnsi="Arial" w:cs="Arial"/>
          <w:sz w:val="20"/>
          <w:szCs w:val="20"/>
        </w:rPr>
      </w:pPr>
    </w:p>
    <w:p w:rsidR="004B1DBE" w:rsidRPr="005D4748" w:rsidRDefault="004B1DBE" w:rsidP="005D4748">
      <w:pPr>
        <w:spacing w:after="0" w:line="240" w:lineRule="auto"/>
        <w:rPr>
          <w:rFonts w:ascii="Arial" w:hAnsi="Arial" w:cs="Arial"/>
          <w:sz w:val="20"/>
          <w:szCs w:val="20"/>
        </w:rPr>
      </w:pPr>
      <w:r w:rsidRPr="005D4748">
        <w:rPr>
          <w:rFonts w:ascii="Arial" w:hAnsi="Arial" w:cs="Arial"/>
          <w:sz w:val="20"/>
          <w:szCs w:val="20"/>
        </w:rPr>
        <w:t>The AGSA recorded findings in relation to non-compliance with selected legislative prescripts where the HSRC submitted financial statements that were not prepared in accordance with the prescribed financial reporting framework and supported by full and proper records. Furthermore, in relation to procurement and contract management, some of the invitations for competitive bidding were not advertised for the required minimum period, and there was no evidence that bid documentation and invitations to tender for procurement of commodities designated for local content and production stipulated the minimum threshold for local production and content. Finally, the AG</w:t>
      </w:r>
      <w:r w:rsidR="00CB5621" w:rsidRPr="005D4748">
        <w:rPr>
          <w:rFonts w:ascii="Arial" w:hAnsi="Arial" w:cs="Arial"/>
          <w:sz w:val="20"/>
          <w:szCs w:val="20"/>
        </w:rPr>
        <w:t>SA</w:t>
      </w:r>
      <w:r w:rsidRPr="005D4748">
        <w:rPr>
          <w:rFonts w:ascii="Arial" w:hAnsi="Arial" w:cs="Arial"/>
          <w:sz w:val="20"/>
          <w:szCs w:val="20"/>
        </w:rPr>
        <w:t xml:space="preserve"> could not obtain sufficient and appropriate audit evidence that disciplinary steps were taken against officials who had incurred irregular expenditure because investigations into irregular expenditure were not performed. These instances also led the AG</w:t>
      </w:r>
      <w:r w:rsidR="00CB5621" w:rsidRPr="005D4748">
        <w:rPr>
          <w:rFonts w:ascii="Arial" w:hAnsi="Arial" w:cs="Arial"/>
          <w:sz w:val="20"/>
          <w:szCs w:val="20"/>
        </w:rPr>
        <w:t>SA</w:t>
      </w:r>
      <w:r w:rsidRPr="005D4748">
        <w:rPr>
          <w:rFonts w:ascii="Arial" w:hAnsi="Arial" w:cs="Arial"/>
          <w:sz w:val="20"/>
          <w:szCs w:val="20"/>
        </w:rPr>
        <w:t xml:space="preserve"> to a finding that there were deficiencies in internal control.</w:t>
      </w:r>
    </w:p>
    <w:p w:rsidR="004B1DBE" w:rsidRPr="005D4748" w:rsidRDefault="004B1DBE" w:rsidP="005D4748">
      <w:pPr>
        <w:spacing w:after="0" w:line="240" w:lineRule="auto"/>
        <w:rPr>
          <w:rFonts w:ascii="Arial" w:hAnsi="Arial" w:cs="Arial"/>
          <w:sz w:val="20"/>
          <w:szCs w:val="20"/>
        </w:rPr>
      </w:pPr>
    </w:p>
    <w:p w:rsidR="00CB5621" w:rsidRPr="005D4748" w:rsidRDefault="004B1DBE" w:rsidP="005D4748">
      <w:pPr>
        <w:spacing w:after="0" w:line="240" w:lineRule="auto"/>
        <w:rPr>
          <w:rFonts w:ascii="Arial" w:hAnsi="Arial" w:cs="Arial"/>
          <w:sz w:val="20"/>
          <w:szCs w:val="20"/>
        </w:rPr>
      </w:pPr>
      <w:r w:rsidRPr="005D4748">
        <w:rPr>
          <w:rFonts w:ascii="Arial" w:hAnsi="Arial" w:cs="Arial"/>
          <w:sz w:val="20"/>
          <w:szCs w:val="20"/>
        </w:rPr>
        <w:t>The HSRC incurred irregular expenditure of R792 000 in the current financial year and R19.6 million identified in the current financial year but incurred during 2020/21. The HSRC incurred R15.9 million irregular expenditure in 2020/21.</w:t>
      </w:r>
    </w:p>
    <w:p w:rsidR="004B1DBE" w:rsidRPr="005D4748" w:rsidRDefault="004B1DBE" w:rsidP="005D4748">
      <w:pPr>
        <w:spacing w:after="0" w:line="240" w:lineRule="auto"/>
        <w:rPr>
          <w:rFonts w:ascii="Arial" w:hAnsi="Arial" w:cs="Arial"/>
          <w:sz w:val="20"/>
          <w:szCs w:val="20"/>
        </w:rPr>
      </w:pPr>
    </w:p>
    <w:p w:rsidR="004B1DBE" w:rsidRPr="005D4748" w:rsidRDefault="004B1DBE" w:rsidP="005D4748">
      <w:pPr>
        <w:spacing w:after="0" w:line="240" w:lineRule="auto"/>
        <w:rPr>
          <w:rFonts w:ascii="Arial" w:hAnsi="Arial" w:cs="Arial"/>
          <w:sz w:val="20"/>
          <w:szCs w:val="20"/>
        </w:rPr>
      </w:pPr>
      <w:r w:rsidRPr="005D4748">
        <w:rPr>
          <w:rFonts w:ascii="Arial" w:hAnsi="Arial" w:cs="Arial"/>
          <w:sz w:val="20"/>
          <w:szCs w:val="20"/>
        </w:rPr>
        <w:t>The HSRC incurred fruitless and wasteful expenditure of R14 000 (R27 000 in 2020/21 for the same reasons provided) due to staff members missing flights and incurring traffic fines. These monies will be recovered from staff.</w:t>
      </w:r>
    </w:p>
    <w:p w:rsidR="00FC671A" w:rsidRPr="005D4748" w:rsidRDefault="00FC671A" w:rsidP="005D4748">
      <w:pPr>
        <w:spacing w:after="0" w:line="240" w:lineRule="auto"/>
        <w:rPr>
          <w:rFonts w:ascii="Arial" w:eastAsia="Times New Roman" w:hAnsi="Arial" w:cs="Arial"/>
          <w:sz w:val="20"/>
          <w:szCs w:val="20"/>
          <w:lang w:val="en-GB"/>
        </w:rPr>
      </w:pPr>
    </w:p>
    <w:p w:rsidR="00FC671A" w:rsidRPr="005D4748" w:rsidRDefault="00AE4CE0" w:rsidP="005D4748">
      <w:pPr>
        <w:pStyle w:val="ListParagraph"/>
        <w:numPr>
          <w:ilvl w:val="1"/>
          <w:numId w:val="1"/>
        </w:numPr>
        <w:spacing w:after="0" w:line="240" w:lineRule="auto"/>
        <w:ind w:left="567" w:hanging="567"/>
        <w:rPr>
          <w:rFonts w:ascii="Arial" w:eastAsia="Times New Roman" w:hAnsi="Arial" w:cs="Arial"/>
          <w:sz w:val="20"/>
          <w:szCs w:val="20"/>
          <w:lang w:val="en-GB"/>
        </w:rPr>
      </w:pPr>
      <w:r w:rsidRPr="005D4748">
        <w:rPr>
          <w:rFonts w:ascii="Arial" w:eastAsia="Times New Roman" w:hAnsi="Arial" w:cs="Arial"/>
          <w:b/>
          <w:sz w:val="20"/>
          <w:szCs w:val="20"/>
          <w:lang w:val="en-GB"/>
        </w:rPr>
        <w:t>NATIONAL RESEARCH FOUNDATION</w:t>
      </w:r>
    </w:p>
    <w:p w:rsidR="00FC671A" w:rsidRPr="005D4748" w:rsidRDefault="00FC671A" w:rsidP="005D4748">
      <w:pPr>
        <w:spacing w:after="0" w:line="240" w:lineRule="auto"/>
        <w:rPr>
          <w:rFonts w:ascii="Arial" w:eastAsia="Times New Roman" w:hAnsi="Arial" w:cs="Arial"/>
          <w:sz w:val="20"/>
          <w:szCs w:val="20"/>
          <w:lang w:val="en-GB"/>
        </w:rPr>
      </w:pPr>
    </w:p>
    <w:p w:rsidR="006612DF" w:rsidRPr="005D4748" w:rsidRDefault="006612DF" w:rsidP="005D4748">
      <w:pPr>
        <w:spacing w:after="0" w:line="240" w:lineRule="auto"/>
        <w:rPr>
          <w:rFonts w:ascii="Arial" w:eastAsia="Times New Roman" w:hAnsi="Arial" w:cs="Arial"/>
          <w:sz w:val="20"/>
          <w:szCs w:val="20"/>
          <w:lang w:val="en-GB"/>
        </w:rPr>
      </w:pPr>
      <w:r w:rsidRPr="005D4748">
        <w:rPr>
          <w:rFonts w:ascii="Arial" w:eastAsia="Times New Roman" w:hAnsi="Arial" w:cs="Arial"/>
          <w:sz w:val="20"/>
          <w:szCs w:val="20"/>
          <w:lang w:val="en-GB"/>
        </w:rPr>
        <w:t>The objective of the NRF is to contribute to national development by:</w:t>
      </w:r>
    </w:p>
    <w:p w:rsidR="006612DF" w:rsidRPr="005D4748" w:rsidRDefault="006612DF" w:rsidP="005D4748">
      <w:pPr>
        <w:spacing w:after="0" w:line="240" w:lineRule="auto"/>
        <w:rPr>
          <w:rFonts w:ascii="Arial" w:eastAsia="Times New Roman" w:hAnsi="Arial" w:cs="Arial"/>
          <w:sz w:val="20"/>
          <w:szCs w:val="20"/>
          <w:lang w:val="en-GB"/>
        </w:rPr>
      </w:pPr>
    </w:p>
    <w:p w:rsidR="006612DF" w:rsidRPr="005D4748" w:rsidRDefault="006612DF" w:rsidP="005D4748">
      <w:pPr>
        <w:pStyle w:val="ListParagraph"/>
        <w:numPr>
          <w:ilvl w:val="0"/>
          <w:numId w:val="4"/>
        </w:numPr>
        <w:spacing w:after="0" w:line="240" w:lineRule="auto"/>
        <w:ind w:left="567" w:hanging="567"/>
        <w:rPr>
          <w:rFonts w:ascii="Arial" w:eastAsia="Times New Roman" w:hAnsi="Arial" w:cs="Arial"/>
          <w:sz w:val="20"/>
          <w:szCs w:val="20"/>
          <w:lang w:val="en-GB"/>
        </w:rPr>
      </w:pPr>
      <w:r w:rsidRPr="005D4748">
        <w:rPr>
          <w:rFonts w:ascii="Arial" w:eastAsia="Times New Roman" w:hAnsi="Arial" w:cs="Arial"/>
          <w:sz w:val="20"/>
          <w:szCs w:val="20"/>
          <w:lang w:val="en-GB"/>
        </w:rPr>
        <w:t xml:space="preserve">Supporting, promoting and advancing research and human capacity development, through funding and the provision of the necessary research infrastructure, to facilitate the creation of </w:t>
      </w:r>
      <w:r w:rsidRPr="005D4748">
        <w:rPr>
          <w:rFonts w:ascii="Arial" w:eastAsia="Times New Roman" w:hAnsi="Arial" w:cs="Arial"/>
          <w:sz w:val="20"/>
          <w:szCs w:val="20"/>
          <w:lang w:val="en-GB"/>
        </w:rPr>
        <w:lastRenderedPageBreak/>
        <w:t xml:space="preserve">knowledge, innovation and development in all fields of science and technology, including </w:t>
      </w:r>
      <w:r w:rsidR="008F1EAC" w:rsidRPr="005D4748">
        <w:rPr>
          <w:rFonts w:ascii="Arial" w:eastAsia="Times New Roman" w:hAnsi="Arial" w:cs="Arial"/>
          <w:sz w:val="20"/>
          <w:szCs w:val="20"/>
          <w:lang w:val="en-GB"/>
        </w:rPr>
        <w:t xml:space="preserve">the </w:t>
      </w:r>
      <w:r w:rsidRPr="005D4748">
        <w:rPr>
          <w:rFonts w:ascii="Arial" w:eastAsia="Times New Roman" w:hAnsi="Arial" w:cs="Arial"/>
          <w:sz w:val="20"/>
          <w:szCs w:val="20"/>
          <w:lang w:val="en-GB"/>
        </w:rPr>
        <w:t xml:space="preserve">humanities, social sciences and </w:t>
      </w:r>
      <w:r w:rsidR="00864BD3" w:rsidRPr="005D4748">
        <w:rPr>
          <w:rFonts w:ascii="Arial" w:eastAsia="Times New Roman" w:hAnsi="Arial" w:cs="Arial"/>
          <w:sz w:val="20"/>
          <w:szCs w:val="20"/>
          <w:lang w:val="en-GB"/>
        </w:rPr>
        <w:t>IK</w:t>
      </w:r>
      <w:r w:rsidRPr="005D4748">
        <w:rPr>
          <w:rFonts w:ascii="Arial" w:eastAsia="Times New Roman" w:hAnsi="Arial" w:cs="Arial"/>
          <w:sz w:val="20"/>
          <w:szCs w:val="20"/>
          <w:lang w:val="en-GB"/>
        </w:rPr>
        <w:t>;</w:t>
      </w:r>
    </w:p>
    <w:p w:rsidR="006612DF" w:rsidRPr="005D4748" w:rsidRDefault="006612DF" w:rsidP="005D4748">
      <w:pPr>
        <w:pStyle w:val="ListParagraph"/>
        <w:numPr>
          <w:ilvl w:val="0"/>
          <w:numId w:val="4"/>
        </w:numPr>
        <w:spacing w:after="0" w:line="240" w:lineRule="auto"/>
        <w:ind w:left="567" w:hanging="567"/>
        <w:rPr>
          <w:rFonts w:ascii="Arial" w:eastAsia="Times New Roman" w:hAnsi="Arial" w:cs="Arial"/>
          <w:sz w:val="20"/>
          <w:szCs w:val="20"/>
          <w:lang w:val="en-GB"/>
        </w:rPr>
      </w:pPr>
      <w:r w:rsidRPr="005D4748">
        <w:rPr>
          <w:rFonts w:ascii="Arial" w:eastAsia="Times New Roman" w:hAnsi="Arial" w:cs="Arial"/>
          <w:sz w:val="20"/>
          <w:szCs w:val="20"/>
          <w:lang w:val="en-GB"/>
        </w:rPr>
        <w:t>Developing, supporting and maintaining national research facilities;</w:t>
      </w:r>
    </w:p>
    <w:p w:rsidR="006612DF" w:rsidRPr="005D4748" w:rsidRDefault="006612DF" w:rsidP="005D4748">
      <w:pPr>
        <w:pStyle w:val="ListParagraph"/>
        <w:numPr>
          <w:ilvl w:val="0"/>
          <w:numId w:val="4"/>
        </w:numPr>
        <w:spacing w:after="0" w:line="240" w:lineRule="auto"/>
        <w:ind w:left="567" w:hanging="567"/>
        <w:rPr>
          <w:rFonts w:ascii="Arial" w:eastAsia="Times New Roman" w:hAnsi="Arial" w:cs="Arial"/>
          <w:sz w:val="20"/>
          <w:szCs w:val="20"/>
          <w:lang w:val="en-GB"/>
        </w:rPr>
      </w:pPr>
      <w:r w:rsidRPr="005D4748">
        <w:rPr>
          <w:rFonts w:ascii="Arial" w:eastAsia="Times New Roman" w:hAnsi="Arial" w:cs="Arial"/>
          <w:sz w:val="20"/>
          <w:szCs w:val="20"/>
          <w:lang w:val="en-GB"/>
        </w:rPr>
        <w:t>Supporting and promoting public awareness of, and engagement with, science; and</w:t>
      </w:r>
    </w:p>
    <w:p w:rsidR="006612DF" w:rsidRPr="005D4748" w:rsidRDefault="006612DF" w:rsidP="005D4748">
      <w:pPr>
        <w:pStyle w:val="ListParagraph"/>
        <w:numPr>
          <w:ilvl w:val="0"/>
          <w:numId w:val="4"/>
        </w:numPr>
        <w:spacing w:after="0" w:line="240" w:lineRule="auto"/>
        <w:ind w:left="567" w:hanging="567"/>
        <w:rPr>
          <w:rFonts w:ascii="Arial" w:eastAsia="Times New Roman" w:hAnsi="Arial" w:cs="Arial"/>
          <w:sz w:val="20"/>
          <w:szCs w:val="20"/>
          <w:lang w:val="en-GB"/>
        </w:rPr>
      </w:pPr>
      <w:r w:rsidRPr="005D4748">
        <w:rPr>
          <w:rFonts w:ascii="Arial" w:eastAsia="Times New Roman" w:hAnsi="Arial" w:cs="Arial"/>
          <w:sz w:val="20"/>
          <w:szCs w:val="20"/>
          <w:lang w:val="en-GB"/>
        </w:rPr>
        <w:t>Promoting the development and maintenance of the national science system.</w:t>
      </w:r>
    </w:p>
    <w:p w:rsidR="006612DF" w:rsidRPr="005D4748" w:rsidRDefault="006612DF" w:rsidP="005D4748">
      <w:pPr>
        <w:spacing w:after="0" w:line="240" w:lineRule="auto"/>
        <w:rPr>
          <w:rFonts w:ascii="Arial" w:eastAsia="Times New Roman" w:hAnsi="Arial" w:cs="Arial"/>
          <w:sz w:val="20"/>
          <w:szCs w:val="20"/>
          <w:lang w:val="en-GB"/>
        </w:rPr>
      </w:pPr>
    </w:p>
    <w:p w:rsidR="000C640A" w:rsidRPr="005D4748" w:rsidRDefault="000C640A" w:rsidP="005D4748">
      <w:pPr>
        <w:spacing w:after="0" w:line="240" w:lineRule="auto"/>
        <w:rPr>
          <w:rFonts w:ascii="Arial" w:hAnsi="Arial" w:cs="Arial"/>
          <w:sz w:val="20"/>
          <w:szCs w:val="20"/>
        </w:rPr>
      </w:pPr>
      <w:r w:rsidRPr="005D4748">
        <w:rPr>
          <w:rFonts w:ascii="Arial" w:hAnsi="Arial" w:cs="Arial"/>
          <w:sz w:val="20"/>
          <w:szCs w:val="20"/>
        </w:rPr>
        <w:t>The strategic outcomes of the NRF are:</w:t>
      </w:r>
    </w:p>
    <w:p w:rsidR="000C640A" w:rsidRPr="005D4748" w:rsidRDefault="000C640A" w:rsidP="005D4748">
      <w:pPr>
        <w:spacing w:after="0" w:line="240" w:lineRule="auto"/>
        <w:rPr>
          <w:rFonts w:ascii="Arial" w:hAnsi="Arial" w:cs="Arial"/>
          <w:sz w:val="20"/>
          <w:szCs w:val="20"/>
        </w:rPr>
      </w:pPr>
    </w:p>
    <w:p w:rsidR="000C640A" w:rsidRPr="005D4748" w:rsidRDefault="000C640A" w:rsidP="005D4748">
      <w:pPr>
        <w:spacing w:after="0" w:line="240" w:lineRule="auto"/>
        <w:rPr>
          <w:rFonts w:ascii="Arial" w:hAnsi="Arial" w:cs="Arial"/>
          <w:sz w:val="20"/>
          <w:szCs w:val="20"/>
        </w:rPr>
      </w:pPr>
      <w:r w:rsidRPr="005D4748">
        <w:rPr>
          <w:rFonts w:ascii="Arial" w:hAnsi="Arial" w:cs="Arial"/>
          <w:b/>
          <w:sz w:val="20"/>
          <w:szCs w:val="20"/>
        </w:rPr>
        <w:t>Outcome 1:</w:t>
      </w:r>
      <w:r w:rsidR="006B5155" w:rsidRPr="005D4748">
        <w:rPr>
          <w:rFonts w:ascii="Arial" w:hAnsi="Arial" w:cs="Arial"/>
          <w:b/>
          <w:sz w:val="20"/>
          <w:szCs w:val="20"/>
        </w:rPr>
        <w:tab/>
      </w:r>
      <w:r w:rsidRPr="005D4748">
        <w:rPr>
          <w:rFonts w:ascii="Arial" w:hAnsi="Arial" w:cs="Arial"/>
          <w:sz w:val="20"/>
          <w:szCs w:val="20"/>
        </w:rPr>
        <w:t>A transformed, internationally competitive and sustainable research workforce;</w:t>
      </w:r>
    </w:p>
    <w:p w:rsidR="000C640A" w:rsidRPr="005D4748" w:rsidRDefault="000C640A" w:rsidP="005D4748">
      <w:pPr>
        <w:spacing w:after="0" w:line="240" w:lineRule="auto"/>
        <w:rPr>
          <w:rFonts w:ascii="Arial" w:hAnsi="Arial" w:cs="Arial"/>
          <w:sz w:val="20"/>
          <w:szCs w:val="20"/>
        </w:rPr>
      </w:pPr>
      <w:r w:rsidRPr="005D4748">
        <w:rPr>
          <w:rFonts w:ascii="Arial" w:hAnsi="Arial" w:cs="Arial"/>
          <w:b/>
          <w:sz w:val="20"/>
          <w:szCs w:val="20"/>
        </w:rPr>
        <w:t>Outcome 2:</w:t>
      </w:r>
      <w:r w:rsidR="006B5155" w:rsidRPr="005D4748">
        <w:rPr>
          <w:rFonts w:ascii="Arial" w:hAnsi="Arial" w:cs="Arial"/>
          <w:b/>
          <w:sz w:val="20"/>
          <w:szCs w:val="20"/>
        </w:rPr>
        <w:tab/>
      </w:r>
      <w:r w:rsidRPr="005D4748">
        <w:rPr>
          <w:rFonts w:ascii="Arial" w:hAnsi="Arial" w:cs="Arial"/>
          <w:sz w:val="20"/>
          <w:szCs w:val="20"/>
        </w:rPr>
        <w:t>Enhanced impact of the research enterprise;</w:t>
      </w:r>
    </w:p>
    <w:p w:rsidR="000C640A" w:rsidRPr="005D4748" w:rsidRDefault="000C640A" w:rsidP="005D4748">
      <w:pPr>
        <w:spacing w:after="0" w:line="240" w:lineRule="auto"/>
        <w:rPr>
          <w:rFonts w:ascii="Arial" w:hAnsi="Arial" w:cs="Arial"/>
          <w:sz w:val="20"/>
          <w:szCs w:val="20"/>
        </w:rPr>
      </w:pPr>
      <w:r w:rsidRPr="005D4748">
        <w:rPr>
          <w:rFonts w:ascii="Arial" w:hAnsi="Arial" w:cs="Arial"/>
          <w:b/>
          <w:sz w:val="20"/>
          <w:szCs w:val="20"/>
        </w:rPr>
        <w:t>Outcome 3:</w:t>
      </w:r>
      <w:r w:rsidR="006B5155" w:rsidRPr="005D4748">
        <w:rPr>
          <w:rFonts w:ascii="Arial" w:hAnsi="Arial" w:cs="Arial"/>
          <w:b/>
          <w:sz w:val="20"/>
          <w:szCs w:val="20"/>
        </w:rPr>
        <w:tab/>
      </w:r>
      <w:r w:rsidRPr="005D4748">
        <w:rPr>
          <w:rFonts w:ascii="Arial" w:hAnsi="Arial" w:cs="Arial"/>
          <w:sz w:val="20"/>
          <w:szCs w:val="20"/>
        </w:rPr>
        <w:t>Enhanced impact of Science Engagement; and</w:t>
      </w:r>
    </w:p>
    <w:p w:rsidR="000C640A" w:rsidRPr="005D4748" w:rsidRDefault="000C640A" w:rsidP="005D4748">
      <w:pPr>
        <w:spacing w:after="0" w:line="240" w:lineRule="auto"/>
        <w:rPr>
          <w:rFonts w:ascii="Arial" w:hAnsi="Arial" w:cs="Arial"/>
          <w:sz w:val="20"/>
          <w:szCs w:val="20"/>
        </w:rPr>
      </w:pPr>
      <w:r w:rsidRPr="005D4748">
        <w:rPr>
          <w:rFonts w:ascii="Arial" w:hAnsi="Arial" w:cs="Arial"/>
          <w:b/>
          <w:sz w:val="20"/>
          <w:szCs w:val="20"/>
        </w:rPr>
        <w:t>Outcome 4:</w:t>
      </w:r>
      <w:r w:rsidR="006B5155" w:rsidRPr="005D4748">
        <w:rPr>
          <w:rFonts w:ascii="Arial" w:hAnsi="Arial" w:cs="Arial"/>
          <w:b/>
          <w:sz w:val="20"/>
          <w:szCs w:val="20"/>
        </w:rPr>
        <w:tab/>
      </w:r>
      <w:r w:rsidRPr="005D4748">
        <w:rPr>
          <w:rFonts w:ascii="Arial" w:hAnsi="Arial" w:cs="Arial"/>
          <w:sz w:val="20"/>
          <w:szCs w:val="20"/>
        </w:rPr>
        <w:t>A transformed organisation that lives its culture and values.</w:t>
      </w:r>
    </w:p>
    <w:p w:rsidR="000C640A" w:rsidRPr="005D4748" w:rsidRDefault="000C640A" w:rsidP="005D4748">
      <w:pPr>
        <w:spacing w:after="0" w:line="240" w:lineRule="auto"/>
        <w:rPr>
          <w:rFonts w:ascii="Arial" w:eastAsia="Times New Roman" w:hAnsi="Arial" w:cs="Arial"/>
          <w:sz w:val="20"/>
          <w:szCs w:val="20"/>
          <w:lang w:val="en-GB"/>
        </w:rPr>
      </w:pPr>
    </w:p>
    <w:p w:rsidR="006612DF" w:rsidRPr="005D4748" w:rsidRDefault="006612DF" w:rsidP="005D4748">
      <w:pPr>
        <w:pStyle w:val="ListParagraph"/>
        <w:numPr>
          <w:ilvl w:val="2"/>
          <w:numId w:val="1"/>
        </w:numPr>
        <w:spacing w:after="0" w:line="240" w:lineRule="auto"/>
        <w:ind w:left="851" w:hanging="851"/>
        <w:rPr>
          <w:rFonts w:ascii="Arial" w:eastAsia="Times New Roman" w:hAnsi="Arial" w:cs="Arial"/>
          <w:b/>
          <w:sz w:val="20"/>
          <w:szCs w:val="20"/>
          <w:lang w:val="en-GB"/>
        </w:rPr>
      </w:pPr>
      <w:r w:rsidRPr="005D4748">
        <w:rPr>
          <w:rFonts w:ascii="Arial" w:eastAsia="Times New Roman" w:hAnsi="Arial" w:cs="Arial"/>
          <w:b/>
          <w:sz w:val="20"/>
          <w:szCs w:val="20"/>
          <w:lang w:val="en-GB"/>
        </w:rPr>
        <w:t>2021</w:t>
      </w:r>
      <w:r w:rsidR="000C640A" w:rsidRPr="005D4748">
        <w:rPr>
          <w:rFonts w:ascii="Arial" w:eastAsia="Times New Roman" w:hAnsi="Arial" w:cs="Arial"/>
          <w:b/>
          <w:sz w:val="20"/>
          <w:szCs w:val="20"/>
          <w:lang w:val="en-GB"/>
        </w:rPr>
        <w:t>/22 Revenue</w:t>
      </w:r>
    </w:p>
    <w:p w:rsidR="006612DF" w:rsidRPr="005D4748" w:rsidRDefault="006612DF" w:rsidP="005D4748">
      <w:pPr>
        <w:spacing w:after="0" w:line="240" w:lineRule="auto"/>
        <w:rPr>
          <w:rFonts w:ascii="Arial" w:eastAsia="Times New Roman" w:hAnsi="Arial" w:cs="Arial"/>
          <w:sz w:val="20"/>
          <w:szCs w:val="20"/>
          <w:lang w:val="en-GB"/>
        </w:rPr>
      </w:pPr>
    </w:p>
    <w:p w:rsidR="00344AFF" w:rsidRPr="005D4748" w:rsidRDefault="00344AFF" w:rsidP="005D4748">
      <w:pPr>
        <w:spacing w:after="0" w:line="240" w:lineRule="auto"/>
        <w:rPr>
          <w:rFonts w:ascii="Arial" w:hAnsi="Arial" w:cs="Arial"/>
          <w:sz w:val="20"/>
          <w:szCs w:val="20"/>
        </w:rPr>
      </w:pPr>
      <w:r w:rsidRPr="005D4748">
        <w:rPr>
          <w:rFonts w:ascii="Arial" w:hAnsi="Arial" w:cs="Arial"/>
          <w:sz w:val="20"/>
          <w:szCs w:val="20"/>
        </w:rPr>
        <w:t>The NRF mainly derived its income from the parliamentary grant (R962.6 million), Departmental contracts (R3 billion), other contract income (R350 million), sales revenue (R94.8 million) and interest received (R40 million). The NRF’s total income increased by 25% from R3.6 billion in 2020/21 to R4.5 billion in 2021/22, but was still approximately R464 million less than originally budgeted. The overall decline of the NRF’s budget continued, which translated to lower than needed investment, which in turn translated to slower impact.</w:t>
      </w:r>
    </w:p>
    <w:p w:rsidR="00344AFF" w:rsidRPr="005D4748" w:rsidRDefault="00344AFF" w:rsidP="005D4748">
      <w:pPr>
        <w:spacing w:after="0" w:line="240" w:lineRule="auto"/>
        <w:rPr>
          <w:rFonts w:ascii="Arial" w:hAnsi="Arial" w:cs="Arial"/>
          <w:sz w:val="20"/>
          <w:szCs w:val="20"/>
        </w:rPr>
      </w:pPr>
    </w:p>
    <w:p w:rsidR="00344AFF" w:rsidRPr="005D4748" w:rsidRDefault="00344AFF" w:rsidP="005D4748">
      <w:pPr>
        <w:spacing w:after="0" w:line="240" w:lineRule="auto"/>
        <w:rPr>
          <w:rFonts w:ascii="Arial" w:hAnsi="Arial" w:cs="Arial"/>
          <w:sz w:val="20"/>
          <w:szCs w:val="20"/>
        </w:rPr>
      </w:pPr>
      <w:r w:rsidRPr="005D4748">
        <w:rPr>
          <w:rFonts w:ascii="Arial" w:hAnsi="Arial" w:cs="Arial"/>
          <w:sz w:val="20"/>
          <w:szCs w:val="20"/>
        </w:rPr>
        <w:t xml:space="preserve">The NRF’s total expenditure increased by 24% from R3.6 billion in 2020/21 to R4.2 billion in 2021/22 and was mainly attributed to a significant recovery in operational activity as COVID-19 restrictions eased and normality returned. The NRF reported an accumulated surplus of R7.3 million. </w:t>
      </w:r>
    </w:p>
    <w:p w:rsidR="00344AFF" w:rsidRPr="005D4748" w:rsidRDefault="00344AFF" w:rsidP="005D4748">
      <w:pPr>
        <w:spacing w:after="0" w:line="240" w:lineRule="auto"/>
        <w:rPr>
          <w:rFonts w:ascii="Arial" w:hAnsi="Arial" w:cs="Arial"/>
          <w:sz w:val="20"/>
          <w:szCs w:val="20"/>
        </w:rPr>
      </w:pPr>
    </w:p>
    <w:p w:rsidR="00344AFF" w:rsidRPr="005D4748" w:rsidRDefault="00344AFF" w:rsidP="005D4748">
      <w:pPr>
        <w:spacing w:after="0" w:line="240" w:lineRule="auto"/>
        <w:rPr>
          <w:rFonts w:ascii="Arial" w:hAnsi="Arial" w:cs="Arial"/>
          <w:sz w:val="20"/>
          <w:szCs w:val="20"/>
        </w:rPr>
      </w:pPr>
      <w:r w:rsidRPr="005D4748">
        <w:rPr>
          <w:rFonts w:ascii="Arial" w:hAnsi="Arial" w:cs="Arial"/>
          <w:sz w:val="20"/>
          <w:szCs w:val="20"/>
        </w:rPr>
        <w:t xml:space="preserve">Grants, bursaries and other research expenditure increased by 14% from R2.1 billion to R2.4 billion and </w:t>
      </w:r>
      <w:r w:rsidR="00507644" w:rsidRPr="005D4748">
        <w:rPr>
          <w:rFonts w:ascii="Arial" w:hAnsi="Arial" w:cs="Arial"/>
          <w:sz w:val="20"/>
          <w:szCs w:val="20"/>
        </w:rPr>
        <w:t>were</w:t>
      </w:r>
      <w:r w:rsidRPr="005D4748">
        <w:rPr>
          <w:rFonts w:ascii="Arial" w:hAnsi="Arial" w:cs="Arial"/>
          <w:sz w:val="20"/>
          <w:szCs w:val="20"/>
        </w:rPr>
        <w:t xml:space="preserve"> attributed to the National Equipment Programme as this funding is received every alternate year. Programme and operating expenditure </w:t>
      </w:r>
      <w:r w:rsidR="00CE7DBE" w:rsidRPr="005D4748">
        <w:rPr>
          <w:rFonts w:ascii="Arial" w:hAnsi="Arial" w:cs="Arial"/>
          <w:sz w:val="20"/>
          <w:szCs w:val="20"/>
        </w:rPr>
        <w:t>was</w:t>
      </w:r>
      <w:r w:rsidRPr="005D4748">
        <w:rPr>
          <w:rFonts w:ascii="Arial" w:hAnsi="Arial" w:cs="Arial"/>
          <w:sz w:val="20"/>
          <w:szCs w:val="20"/>
        </w:rPr>
        <w:t xml:space="preserve"> R973 million and expenditure on staff salaries and wages </w:t>
      </w:r>
      <w:r w:rsidR="00CE7DBE" w:rsidRPr="005D4748">
        <w:rPr>
          <w:rFonts w:ascii="Arial" w:hAnsi="Arial" w:cs="Arial"/>
          <w:sz w:val="20"/>
          <w:szCs w:val="20"/>
        </w:rPr>
        <w:t>was</w:t>
      </w:r>
      <w:r w:rsidRPr="005D4748">
        <w:rPr>
          <w:rFonts w:ascii="Arial" w:hAnsi="Arial" w:cs="Arial"/>
          <w:sz w:val="20"/>
          <w:szCs w:val="20"/>
        </w:rPr>
        <w:t xml:space="preserve"> R717 million. The increase in operating expenditure was due to the return to a stable level of operations, while the payment of South Africa’s membership contribution to the </w:t>
      </w:r>
      <w:r w:rsidR="0056495E" w:rsidRPr="005D4748">
        <w:rPr>
          <w:rFonts w:ascii="Arial" w:hAnsi="Arial" w:cs="Arial"/>
          <w:sz w:val="20"/>
          <w:szCs w:val="20"/>
        </w:rPr>
        <w:t>SKA</w:t>
      </w:r>
      <w:r w:rsidRPr="005D4748">
        <w:rPr>
          <w:rFonts w:ascii="Arial" w:hAnsi="Arial" w:cs="Arial"/>
          <w:sz w:val="20"/>
          <w:szCs w:val="20"/>
        </w:rPr>
        <w:t xml:space="preserve"> Observatory (SKAO) increased expenditure by R275 million.</w:t>
      </w:r>
    </w:p>
    <w:p w:rsidR="00344AFF" w:rsidRPr="005D4748" w:rsidRDefault="00344AFF" w:rsidP="005D4748">
      <w:pPr>
        <w:spacing w:after="0" w:line="240" w:lineRule="auto"/>
        <w:rPr>
          <w:rFonts w:ascii="Arial" w:hAnsi="Arial" w:cs="Arial"/>
          <w:sz w:val="20"/>
          <w:szCs w:val="20"/>
        </w:rPr>
      </w:pPr>
    </w:p>
    <w:p w:rsidR="00344AFF" w:rsidRPr="005D4748" w:rsidRDefault="00344AFF" w:rsidP="005D4748">
      <w:pPr>
        <w:spacing w:after="0" w:line="240" w:lineRule="auto"/>
        <w:rPr>
          <w:rFonts w:ascii="Arial" w:hAnsi="Arial" w:cs="Arial"/>
          <w:sz w:val="20"/>
          <w:szCs w:val="20"/>
        </w:rPr>
      </w:pPr>
      <w:r w:rsidRPr="005D4748">
        <w:rPr>
          <w:rFonts w:ascii="Arial" w:hAnsi="Arial" w:cs="Arial"/>
          <w:sz w:val="20"/>
          <w:szCs w:val="20"/>
        </w:rPr>
        <w:t>Capital expenditure increased by R291 million as spending aligned to delivery on the South African Isotope Facility (SAIF) 70 MeV cyclotron and the MeerKAT extension project ramped up.</w:t>
      </w:r>
    </w:p>
    <w:p w:rsidR="00344AFF" w:rsidRPr="005D4748" w:rsidRDefault="00344AFF" w:rsidP="005D4748">
      <w:pPr>
        <w:spacing w:after="0" w:line="240" w:lineRule="auto"/>
        <w:rPr>
          <w:rFonts w:ascii="Arial" w:hAnsi="Arial" w:cs="Arial"/>
          <w:sz w:val="20"/>
          <w:szCs w:val="20"/>
        </w:rPr>
      </w:pPr>
    </w:p>
    <w:p w:rsidR="00344AFF" w:rsidRPr="005D4748" w:rsidRDefault="00344AFF" w:rsidP="005D4748">
      <w:pPr>
        <w:spacing w:after="0" w:line="240" w:lineRule="auto"/>
        <w:rPr>
          <w:rFonts w:ascii="Arial" w:hAnsi="Arial" w:cs="Arial"/>
          <w:sz w:val="20"/>
          <w:szCs w:val="20"/>
        </w:rPr>
      </w:pPr>
      <w:r w:rsidRPr="005D4748">
        <w:rPr>
          <w:rFonts w:ascii="Arial" w:hAnsi="Arial" w:cs="Arial"/>
          <w:sz w:val="20"/>
          <w:szCs w:val="20"/>
        </w:rPr>
        <w:t>To ensure operational and financial sustainability, the NRF contained it overheads expenditure below the 10% threshold, decreasing from 9.5% in 2020/21 to 7.9% in 2021/22.</w:t>
      </w:r>
    </w:p>
    <w:p w:rsidR="006612DF" w:rsidRPr="005D4748" w:rsidRDefault="006612DF" w:rsidP="005D4748">
      <w:pPr>
        <w:spacing w:after="0" w:line="240" w:lineRule="auto"/>
        <w:rPr>
          <w:rFonts w:ascii="Arial" w:eastAsia="Times New Roman" w:hAnsi="Arial" w:cs="Arial"/>
          <w:sz w:val="20"/>
          <w:szCs w:val="20"/>
          <w:lang w:val="en-GB"/>
        </w:rPr>
      </w:pPr>
    </w:p>
    <w:p w:rsidR="006612DF" w:rsidRPr="005D4748" w:rsidRDefault="006612DF" w:rsidP="005D4748">
      <w:pPr>
        <w:pStyle w:val="ListParagraph"/>
        <w:numPr>
          <w:ilvl w:val="2"/>
          <w:numId w:val="1"/>
        </w:numPr>
        <w:spacing w:after="0" w:line="240" w:lineRule="auto"/>
        <w:ind w:left="851" w:hanging="851"/>
        <w:rPr>
          <w:rFonts w:ascii="Arial" w:eastAsia="Times New Roman" w:hAnsi="Arial" w:cs="Arial"/>
          <w:b/>
          <w:sz w:val="20"/>
          <w:szCs w:val="20"/>
          <w:lang w:val="en-GB"/>
        </w:rPr>
      </w:pPr>
      <w:r w:rsidRPr="005D4748">
        <w:rPr>
          <w:rFonts w:ascii="Arial" w:eastAsia="Times New Roman" w:hAnsi="Arial" w:cs="Arial"/>
          <w:b/>
          <w:sz w:val="20"/>
          <w:szCs w:val="20"/>
          <w:lang w:val="en-GB"/>
        </w:rPr>
        <w:t>2021</w:t>
      </w:r>
      <w:r w:rsidR="00344AFF" w:rsidRPr="005D4748">
        <w:rPr>
          <w:rFonts w:ascii="Arial" w:eastAsia="Times New Roman" w:hAnsi="Arial" w:cs="Arial"/>
          <w:b/>
          <w:sz w:val="20"/>
          <w:szCs w:val="20"/>
          <w:lang w:val="en-GB"/>
        </w:rPr>
        <w:t>/22</w:t>
      </w:r>
      <w:r w:rsidRPr="005D4748">
        <w:rPr>
          <w:rFonts w:ascii="Arial" w:eastAsia="Times New Roman" w:hAnsi="Arial" w:cs="Arial"/>
          <w:b/>
          <w:sz w:val="20"/>
          <w:szCs w:val="20"/>
          <w:lang w:val="en-GB"/>
        </w:rPr>
        <w:t xml:space="preserve"> Performance</w:t>
      </w:r>
    </w:p>
    <w:p w:rsidR="006612DF" w:rsidRPr="005D4748" w:rsidRDefault="006612DF" w:rsidP="005D4748">
      <w:pPr>
        <w:spacing w:after="0" w:line="240" w:lineRule="auto"/>
        <w:rPr>
          <w:rFonts w:ascii="Arial" w:eastAsia="Times New Roman" w:hAnsi="Arial" w:cs="Arial"/>
          <w:sz w:val="20"/>
          <w:szCs w:val="20"/>
          <w:lang w:val="en-GB"/>
        </w:rPr>
      </w:pPr>
    </w:p>
    <w:p w:rsidR="00B23E2E" w:rsidRPr="005D4748" w:rsidRDefault="00B23E2E" w:rsidP="005D4748">
      <w:pPr>
        <w:spacing w:after="0" w:line="240" w:lineRule="auto"/>
        <w:rPr>
          <w:rFonts w:ascii="Arial" w:hAnsi="Arial" w:cs="Arial"/>
          <w:sz w:val="20"/>
          <w:szCs w:val="20"/>
        </w:rPr>
      </w:pPr>
      <w:r w:rsidRPr="005D4748">
        <w:rPr>
          <w:rFonts w:ascii="Arial" w:hAnsi="Arial" w:cs="Arial"/>
          <w:sz w:val="20"/>
          <w:szCs w:val="20"/>
        </w:rPr>
        <w:t>The NRF is organised into four programmes, which together record progress against the NRF’s strategic outcomes. The programmes are:</w:t>
      </w:r>
    </w:p>
    <w:p w:rsidR="006612DF" w:rsidRPr="005D4748" w:rsidRDefault="006612DF" w:rsidP="005D4748">
      <w:pPr>
        <w:spacing w:after="0" w:line="240" w:lineRule="auto"/>
        <w:rPr>
          <w:rFonts w:ascii="Arial" w:eastAsia="Times New Roman" w:hAnsi="Arial" w:cs="Arial"/>
          <w:sz w:val="20"/>
          <w:szCs w:val="20"/>
          <w:lang w:val="en-GB"/>
        </w:rPr>
      </w:pPr>
    </w:p>
    <w:p w:rsidR="006612DF" w:rsidRPr="005D4748" w:rsidRDefault="006612DF" w:rsidP="005D4748">
      <w:pPr>
        <w:spacing w:after="0" w:line="240" w:lineRule="auto"/>
        <w:rPr>
          <w:rFonts w:ascii="Arial" w:eastAsia="Times New Roman" w:hAnsi="Arial" w:cs="Arial"/>
          <w:sz w:val="20"/>
          <w:szCs w:val="20"/>
          <w:lang w:val="en-GB"/>
        </w:rPr>
      </w:pPr>
      <w:r w:rsidRPr="005D4748">
        <w:rPr>
          <w:rFonts w:ascii="Arial" w:eastAsia="Times New Roman" w:hAnsi="Arial" w:cs="Arial"/>
          <w:b/>
          <w:sz w:val="20"/>
          <w:szCs w:val="20"/>
          <w:lang w:val="en-GB"/>
        </w:rPr>
        <w:t>Programme 1: Corporate</w:t>
      </w:r>
      <w:r w:rsidRPr="005D4748">
        <w:rPr>
          <w:rFonts w:ascii="Arial" w:eastAsia="Times New Roman" w:hAnsi="Arial" w:cs="Arial"/>
          <w:sz w:val="20"/>
          <w:szCs w:val="20"/>
          <w:lang w:val="en-GB"/>
        </w:rPr>
        <w:t xml:space="preserve"> – provides enabling systems and structures that support effective and efficient governance, strategy and planning capacity, and shared services.</w:t>
      </w:r>
    </w:p>
    <w:p w:rsidR="006612DF" w:rsidRPr="005D4748" w:rsidRDefault="006612DF" w:rsidP="005D4748">
      <w:pPr>
        <w:spacing w:after="0" w:line="240" w:lineRule="auto"/>
        <w:rPr>
          <w:rFonts w:ascii="Arial" w:eastAsia="Times New Roman" w:hAnsi="Arial" w:cs="Arial"/>
          <w:sz w:val="20"/>
          <w:szCs w:val="20"/>
          <w:lang w:val="en-GB"/>
        </w:rPr>
      </w:pPr>
      <w:r w:rsidRPr="005D4748">
        <w:rPr>
          <w:rFonts w:ascii="Arial" w:eastAsia="Times New Roman" w:hAnsi="Arial" w:cs="Arial"/>
          <w:b/>
          <w:sz w:val="20"/>
          <w:szCs w:val="20"/>
          <w:lang w:val="en-GB"/>
        </w:rPr>
        <w:t>Programme 2: Science Engagement</w:t>
      </w:r>
      <w:r w:rsidRPr="005D4748">
        <w:rPr>
          <w:rFonts w:ascii="Arial" w:eastAsia="Times New Roman" w:hAnsi="Arial" w:cs="Arial"/>
          <w:sz w:val="20"/>
          <w:szCs w:val="20"/>
          <w:lang w:val="en-GB"/>
        </w:rPr>
        <w:t xml:space="preserve"> - leads and coordinates the discourse on science with and for society and supports the national imperative of developing a scientifically literate society.</w:t>
      </w:r>
    </w:p>
    <w:p w:rsidR="006612DF" w:rsidRPr="005D4748" w:rsidRDefault="006612DF" w:rsidP="005D4748">
      <w:pPr>
        <w:spacing w:after="0" w:line="240" w:lineRule="auto"/>
        <w:rPr>
          <w:rFonts w:ascii="Arial" w:eastAsia="Times New Roman" w:hAnsi="Arial" w:cs="Arial"/>
          <w:sz w:val="20"/>
          <w:szCs w:val="20"/>
          <w:lang w:val="en-GB"/>
        </w:rPr>
      </w:pPr>
      <w:r w:rsidRPr="005D4748">
        <w:rPr>
          <w:rFonts w:ascii="Arial" w:eastAsia="Times New Roman" w:hAnsi="Arial" w:cs="Arial"/>
          <w:b/>
          <w:sz w:val="20"/>
          <w:szCs w:val="20"/>
          <w:lang w:val="en-GB"/>
        </w:rPr>
        <w:t>Programme 3: Research and Innovation Support and Advancement (RISA)</w:t>
      </w:r>
      <w:r w:rsidRPr="005D4748">
        <w:rPr>
          <w:rFonts w:ascii="Arial" w:eastAsia="Times New Roman" w:hAnsi="Arial" w:cs="Arial"/>
          <w:sz w:val="20"/>
          <w:szCs w:val="20"/>
          <w:lang w:val="en-GB"/>
        </w:rPr>
        <w:t xml:space="preserve"> - supports and promotes research through the development of human capacity, the generation of knowledge, and the provision of, and access to, cutting-edge research infrastructure.</w:t>
      </w:r>
    </w:p>
    <w:p w:rsidR="006612DF" w:rsidRPr="005D4748" w:rsidRDefault="006612DF" w:rsidP="005D4748">
      <w:pPr>
        <w:spacing w:after="0" w:line="240" w:lineRule="auto"/>
        <w:rPr>
          <w:rFonts w:ascii="Arial" w:eastAsia="Times New Roman" w:hAnsi="Arial" w:cs="Arial"/>
          <w:sz w:val="20"/>
          <w:szCs w:val="20"/>
          <w:lang w:val="en-GB"/>
        </w:rPr>
      </w:pPr>
      <w:r w:rsidRPr="005D4748">
        <w:rPr>
          <w:rFonts w:ascii="Arial" w:eastAsia="Times New Roman" w:hAnsi="Arial" w:cs="Arial"/>
          <w:b/>
          <w:sz w:val="20"/>
          <w:szCs w:val="20"/>
          <w:lang w:val="en-GB"/>
        </w:rPr>
        <w:t>Programme 4: National Research Infrastructure Platforms (NRIP)</w:t>
      </w:r>
      <w:r w:rsidRPr="005D4748">
        <w:rPr>
          <w:rFonts w:ascii="Arial" w:eastAsia="Times New Roman" w:hAnsi="Arial" w:cs="Arial"/>
          <w:sz w:val="20"/>
          <w:szCs w:val="20"/>
          <w:lang w:val="en-GB"/>
        </w:rPr>
        <w:t xml:space="preserve"> - provides leading-edge research infrastructure platforms in support of knowledge generation, innovation and human capacity development. </w:t>
      </w:r>
    </w:p>
    <w:p w:rsidR="006612DF" w:rsidRPr="005D4748" w:rsidRDefault="006612DF" w:rsidP="005D4748">
      <w:pPr>
        <w:spacing w:after="0" w:line="240" w:lineRule="auto"/>
        <w:rPr>
          <w:rFonts w:ascii="Arial" w:eastAsia="Times New Roman" w:hAnsi="Arial" w:cs="Arial"/>
          <w:sz w:val="20"/>
          <w:szCs w:val="20"/>
          <w:lang w:val="en-GB"/>
        </w:rPr>
      </w:pPr>
    </w:p>
    <w:p w:rsidR="006612DF" w:rsidRPr="005D4748" w:rsidRDefault="006612DF" w:rsidP="005D4748">
      <w:pPr>
        <w:spacing w:after="0" w:line="240" w:lineRule="auto"/>
        <w:rPr>
          <w:rFonts w:ascii="Arial" w:eastAsia="Times New Roman" w:hAnsi="Arial" w:cs="Arial"/>
          <w:sz w:val="20"/>
          <w:szCs w:val="20"/>
          <w:lang w:val="en-GB"/>
        </w:rPr>
      </w:pPr>
      <w:r w:rsidRPr="005D4748">
        <w:rPr>
          <w:rFonts w:ascii="Arial" w:eastAsia="Times New Roman" w:hAnsi="Arial" w:cs="Arial"/>
          <w:sz w:val="20"/>
          <w:szCs w:val="20"/>
          <w:lang w:val="en-GB"/>
        </w:rPr>
        <w:t xml:space="preserve">These Programmes contribute to </w:t>
      </w:r>
      <w:r w:rsidR="00410F6F" w:rsidRPr="005D4748">
        <w:rPr>
          <w:rFonts w:ascii="Arial" w:eastAsia="Times New Roman" w:hAnsi="Arial" w:cs="Arial"/>
          <w:sz w:val="20"/>
          <w:szCs w:val="20"/>
          <w:lang w:val="en-GB"/>
        </w:rPr>
        <w:t xml:space="preserve">the </w:t>
      </w:r>
      <w:r w:rsidRPr="005D4748">
        <w:rPr>
          <w:rFonts w:ascii="Arial" w:eastAsia="Times New Roman" w:hAnsi="Arial" w:cs="Arial"/>
          <w:sz w:val="20"/>
          <w:szCs w:val="20"/>
          <w:lang w:val="en-GB"/>
        </w:rPr>
        <w:t>NRF’s four strategic outcomes against which performance is measured</w:t>
      </w:r>
      <w:r w:rsidR="00410F6F" w:rsidRPr="005D4748">
        <w:rPr>
          <w:rFonts w:ascii="Arial" w:eastAsia="Times New Roman" w:hAnsi="Arial" w:cs="Arial"/>
          <w:sz w:val="20"/>
          <w:szCs w:val="20"/>
          <w:lang w:val="en-GB"/>
        </w:rPr>
        <w:t>. Overall</w:t>
      </w:r>
      <w:r w:rsidR="00B23E2E" w:rsidRPr="005D4748">
        <w:rPr>
          <w:rFonts w:ascii="Arial" w:eastAsia="Times New Roman" w:hAnsi="Arial" w:cs="Arial"/>
          <w:sz w:val="20"/>
          <w:szCs w:val="20"/>
          <w:lang w:val="en-GB"/>
        </w:rPr>
        <w:t>,</w:t>
      </w:r>
      <w:r w:rsidR="00410F6F" w:rsidRPr="005D4748">
        <w:rPr>
          <w:rFonts w:ascii="Arial" w:eastAsia="Times New Roman" w:hAnsi="Arial" w:cs="Arial"/>
          <w:sz w:val="20"/>
          <w:szCs w:val="20"/>
          <w:lang w:val="en-GB"/>
        </w:rPr>
        <w:t xml:space="preserve"> the NRF achieved </w:t>
      </w:r>
      <w:r w:rsidR="00B23E2E" w:rsidRPr="005D4748">
        <w:rPr>
          <w:rFonts w:ascii="Arial" w:eastAsia="Times New Roman" w:hAnsi="Arial" w:cs="Arial"/>
          <w:sz w:val="20"/>
          <w:szCs w:val="20"/>
          <w:lang w:val="en-GB"/>
        </w:rPr>
        <w:t xml:space="preserve">or exceeded 13 of its 18 (72%) performance indicators. </w:t>
      </w:r>
      <w:r w:rsidRPr="005D4748">
        <w:rPr>
          <w:rFonts w:ascii="Arial" w:eastAsia="Times New Roman" w:hAnsi="Arial" w:cs="Arial"/>
          <w:sz w:val="20"/>
          <w:szCs w:val="20"/>
          <w:lang w:val="en-GB"/>
        </w:rPr>
        <w:t xml:space="preserve">The targets that were not </w:t>
      </w:r>
      <w:r w:rsidR="00146EA5" w:rsidRPr="005D4748">
        <w:rPr>
          <w:rFonts w:ascii="Arial" w:eastAsia="Times New Roman" w:hAnsi="Arial" w:cs="Arial"/>
          <w:sz w:val="20"/>
          <w:szCs w:val="20"/>
          <w:lang w:val="en-GB"/>
        </w:rPr>
        <w:t>achieved</w:t>
      </w:r>
      <w:r w:rsidR="004E4517" w:rsidRPr="005D4748">
        <w:rPr>
          <w:rFonts w:ascii="Arial" w:eastAsia="Times New Roman" w:hAnsi="Arial" w:cs="Arial"/>
          <w:sz w:val="20"/>
          <w:szCs w:val="20"/>
          <w:lang w:val="en-GB"/>
        </w:rPr>
        <w:t xml:space="preserve"> are:</w:t>
      </w:r>
    </w:p>
    <w:p w:rsidR="006612DF" w:rsidRPr="005D4748" w:rsidRDefault="006612DF" w:rsidP="005D4748">
      <w:pPr>
        <w:spacing w:after="0" w:line="240" w:lineRule="auto"/>
        <w:rPr>
          <w:rFonts w:ascii="Arial" w:eastAsia="Times New Roman" w:hAnsi="Arial" w:cs="Arial"/>
          <w:sz w:val="20"/>
          <w:szCs w:val="20"/>
          <w:lang w:val="en-GB"/>
        </w:rPr>
      </w:pPr>
    </w:p>
    <w:p w:rsidR="00C23BF0" w:rsidRPr="005D4748" w:rsidRDefault="00F56360" w:rsidP="005D4748">
      <w:pPr>
        <w:spacing w:after="0" w:line="240" w:lineRule="auto"/>
        <w:rPr>
          <w:rFonts w:ascii="Arial" w:eastAsia="Times New Roman" w:hAnsi="Arial" w:cs="Arial"/>
          <w:b/>
          <w:sz w:val="20"/>
          <w:szCs w:val="20"/>
          <w:lang w:val="en-GB"/>
        </w:rPr>
      </w:pPr>
      <w:r w:rsidRPr="005D4748">
        <w:rPr>
          <w:rFonts w:ascii="Arial" w:eastAsia="Times New Roman" w:hAnsi="Arial" w:cs="Arial"/>
          <w:b/>
          <w:sz w:val="20"/>
          <w:szCs w:val="20"/>
          <w:lang w:val="en-GB"/>
        </w:rPr>
        <w:t>Programme 2: Science Engagement</w:t>
      </w:r>
    </w:p>
    <w:p w:rsidR="00F56360" w:rsidRPr="005D4748" w:rsidRDefault="00F56360" w:rsidP="005D4748">
      <w:pPr>
        <w:spacing w:after="0" w:line="240" w:lineRule="auto"/>
        <w:rPr>
          <w:rFonts w:ascii="Arial" w:eastAsia="Times New Roman" w:hAnsi="Arial" w:cs="Arial"/>
          <w:sz w:val="20"/>
          <w:szCs w:val="20"/>
          <w:lang w:val="en-GB"/>
        </w:rPr>
      </w:pPr>
      <w:r w:rsidRPr="005D4748">
        <w:rPr>
          <w:rFonts w:ascii="Arial" w:eastAsia="Times New Roman" w:hAnsi="Arial" w:cs="Arial"/>
          <w:sz w:val="20"/>
          <w:szCs w:val="20"/>
          <w:lang w:val="en-GB"/>
        </w:rPr>
        <w:lastRenderedPageBreak/>
        <w:t>The target for the number of scientists/journalists that use</w:t>
      </w:r>
      <w:r w:rsidR="00554F58" w:rsidRPr="005D4748">
        <w:rPr>
          <w:rFonts w:ascii="Arial" w:eastAsia="Times New Roman" w:hAnsi="Arial" w:cs="Arial"/>
          <w:sz w:val="20"/>
          <w:szCs w:val="20"/>
          <w:lang w:val="en-GB"/>
        </w:rPr>
        <w:t>d</w:t>
      </w:r>
      <w:r w:rsidRPr="005D4748">
        <w:rPr>
          <w:rFonts w:ascii="Arial" w:eastAsia="Times New Roman" w:hAnsi="Arial" w:cs="Arial"/>
          <w:sz w:val="20"/>
          <w:szCs w:val="20"/>
          <w:lang w:val="en-GB"/>
        </w:rPr>
        <w:t xml:space="preserve"> indigenous languages in science communication was 320. The actual achievement was 156.</w:t>
      </w:r>
      <w:r w:rsidR="00554F58" w:rsidRPr="005D4748">
        <w:rPr>
          <w:rFonts w:ascii="Arial" w:eastAsia="Times New Roman" w:hAnsi="Arial" w:cs="Arial"/>
          <w:sz w:val="20"/>
          <w:szCs w:val="20"/>
          <w:lang w:val="en-GB"/>
        </w:rPr>
        <w:t xml:space="preserve"> This is a new area of focus for the NRF; hence, this is designated as a stretch target where performance gradually improves.</w:t>
      </w:r>
    </w:p>
    <w:p w:rsidR="00F56360" w:rsidRPr="005D4748" w:rsidRDefault="00F56360" w:rsidP="005D4748">
      <w:pPr>
        <w:spacing w:after="0" w:line="240" w:lineRule="auto"/>
        <w:rPr>
          <w:rFonts w:ascii="Arial" w:eastAsia="Times New Roman" w:hAnsi="Arial" w:cs="Arial"/>
          <w:sz w:val="20"/>
          <w:szCs w:val="20"/>
          <w:lang w:val="en-GB"/>
        </w:rPr>
      </w:pPr>
    </w:p>
    <w:p w:rsidR="00F56360" w:rsidRPr="005D4748" w:rsidRDefault="00F56360" w:rsidP="005D4748">
      <w:pPr>
        <w:spacing w:after="0" w:line="240" w:lineRule="auto"/>
        <w:rPr>
          <w:rFonts w:ascii="Arial" w:eastAsia="Times New Roman" w:hAnsi="Arial" w:cs="Arial"/>
          <w:b/>
          <w:sz w:val="20"/>
          <w:szCs w:val="20"/>
          <w:lang w:val="en-GB"/>
        </w:rPr>
      </w:pPr>
      <w:r w:rsidRPr="005D4748">
        <w:rPr>
          <w:rFonts w:ascii="Arial" w:eastAsia="Times New Roman" w:hAnsi="Arial" w:cs="Arial"/>
          <w:b/>
          <w:sz w:val="20"/>
          <w:szCs w:val="20"/>
          <w:lang w:val="en-GB"/>
        </w:rPr>
        <w:t>Programme 3: Research and Innovation Support and Advancement</w:t>
      </w:r>
    </w:p>
    <w:p w:rsidR="00F56360" w:rsidRPr="005D4748" w:rsidRDefault="00F63962" w:rsidP="005D4748">
      <w:pPr>
        <w:spacing w:after="0" w:line="240" w:lineRule="auto"/>
        <w:rPr>
          <w:rFonts w:ascii="Arial" w:eastAsia="Times New Roman" w:hAnsi="Arial" w:cs="Arial"/>
          <w:sz w:val="20"/>
          <w:szCs w:val="20"/>
          <w:lang w:val="en-GB"/>
        </w:rPr>
      </w:pPr>
      <w:r w:rsidRPr="005D4748">
        <w:rPr>
          <w:rFonts w:ascii="Arial" w:eastAsia="Times New Roman" w:hAnsi="Arial" w:cs="Arial"/>
          <w:sz w:val="20"/>
          <w:szCs w:val="20"/>
          <w:lang w:val="en-GB"/>
        </w:rPr>
        <w:t>The target for the number of NRF-funded researchers was 4 521. The actual achievement was 3 201 due to lower demand for a number of funding instruments.</w:t>
      </w:r>
    </w:p>
    <w:p w:rsidR="00A56D93" w:rsidRPr="005D4748" w:rsidRDefault="00A56D93" w:rsidP="005D4748">
      <w:pPr>
        <w:spacing w:after="0" w:line="240" w:lineRule="auto"/>
        <w:rPr>
          <w:rFonts w:ascii="Arial" w:eastAsia="Times New Roman" w:hAnsi="Arial" w:cs="Arial"/>
          <w:sz w:val="20"/>
          <w:szCs w:val="20"/>
          <w:lang w:val="en-GB"/>
        </w:rPr>
      </w:pPr>
    </w:p>
    <w:p w:rsidR="00A56D93" w:rsidRPr="005D4748" w:rsidRDefault="002C5244" w:rsidP="005D4748">
      <w:pPr>
        <w:spacing w:after="0" w:line="240" w:lineRule="auto"/>
        <w:rPr>
          <w:rFonts w:ascii="Arial" w:eastAsia="Times New Roman" w:hAnsi="Arial" w:cs="Arial"/>
          <w:sz w:val="20"/>
          <w:szCs w:val="20"/>
          <w:lang w:val="en-GB"/>
        </w:rPr>
      </w:pPr>
      <w:r w:rsidRPr="005D4748">
        <w:rPr>
          <w:rFonts w:ascii="Arial" w:eastAsia="Times New Roman" w:hAnsi="Arial" w:cs="Arial"/>
          <w:sz w:val="20"/>
          <w:szCs w:val="20"/>
          <w:lang w:val="en-GB"/>
        </w:rPr>
        <w:t xml:space="preserve">The target for the number of peer-reviewed publications produced by NRF-funded researchers was 9 250. The actual achievement was 9 116 due to researchers undertaking fewer field trips and attending fewer </w:t>
      </w:r>
      <w:r w:rsidR="00964F87" w:rsidRPr="005D4748">
        <w:rPr>
          <w:rFonts w:ascii="Arial" w:eastAsia="Times New Roman" w:hAnsi="Arial" w:cs="Arial"/>
          <w:sz w:val="20"/>
          <w:szCs w:val="20"/>
          <w:lang w:val="en-GB"/>
        </w:rPr>
        <w:t>international conferences and workshops due to the COVID-19 restrictions</w:t>
      </w:r>
      <w:r w:rsidR="00417B83" w:rsidRPr="005D4748">
        <w:rPr>
          <w:rFonts w:ascii="Arial" w:eastAsia="Times New Roman" w:hAnsi="Arial" w:cs="Arial"/>
          <w:sz w:val="20"/>
          <w:szCs w:val="20"/>
          <w:lang w:val="en-GB"/>
        </w:rPr>
        <w:t>; hence fewer papers were produced</w:t>
      </w:r>
      <w:r w:rsidR="00964F87" w:rsidRPr="005D4748">
        <w:rPr>
          <w:rFonts w:ascii="Arial" w:eastAsia="Times New Roman" w:hAnsi="Arial" w:cs="Arial"/>
          <w:sz w:val="20"/>
          <w:szCs w:val="20"/>
          <w:lang w:val="en-GB"/>
        </w:rPr>
        <w:t>.</w:t>
      </w:r>
    </w:p>
    <w:p w:rsidR="00CF28C0" w:rsidRPr="005D4748" w:rsidRDefault="00CF28C0" w:rsidP="005D4748">
      <w:pPr>
        <w:spacing w:after="0" w:line="240" w:lineRule="auto"/>
        <w:rPr>
          <w:rFonts w:ascii="Arial" w:eastAsia="Times New Roman" w:hAnsi="Arial" w:cs="Arial"/>
          <w:sz w:val="20"/>
          <w:szCs w:val="20"/>
          <w:lang w:val="en-GB"/>
        </w:rPr>
      </w:pPr>
    </w:p>
    <w:p w:rsidR="00CF28C0" w:rsidRPr="005D4748" w:rsidRDefault="003914E2" w:rsidP="005D4748">
      <w:pPr>
        <w:spacing w:after="0" w:line="240" w:lineRule="auto"/>
        <w:rPr>
          <w:rFonts w:ascii="Arial" w:eastAsia="Times New Roman" w:hAnsi="Arial" w:cs="Arial"/>
          <w:b/>
          <w:sz w:val="20"/>
          <w:szCs w:val="20"/>
          <w:lang w:val="en-GB"/>
        </w:rPr>
      </w:pPr>
      <w:r w:rsidRPr="005D4748">
        <w:rPr>
          <w:rFonts w:ascii="Arial" w:eastAsia="Times New Roman" w:hAnsi="Arial" w:cs="Arial"/>
          <w:b/>
          <w:sz w:val="20"/>
          <w:szCs w:val="20"/>
          <w:lang w:val="en-GB"/>
        </w:rPr>
        <w:t>Programme 4: National Research Infrastructure Platforms</w:t>
      </w:r>
    </w:p>
    <w:p w:rsidR="00CF28C0" w:rsidRPr="005D4748" w:rsidRDefault="003914E2" w:rsidP="005D4748">
      <w:pPr>
        <w:spacing w:after="0" w:line="240" w:lineRule="auto"/>
        <w:rPr>
          <w:rFonts w:ascii="Arial" w:eastAsia="Times New Roman" w:hAnsi="Arial" w:cs="Arial"/>
          <w:sz w:val="20"/>
          <w:szCs w:val="20"/>
          <w:lang w:val="en-GB"/>
        </w:rPr>
      </w:pPr>
      <w:r w:rsidRPr="005D4748">
        <w:rPr>
          <w:rFonts w:ascii="Arial" w:eastAsia="Times New Roman" w:hAnsi="Arial" w:cs="Arial"/>
          <w:sz w:val="20"/>
          <w:szCs w:val="20"/>
          <w:lang w:val="en-GB"/>
        </w:rPr>
        <w:t>The target for the proportion of South African researchers from designated groups who use the National Facilities (NFs) was 39%. The actual achievement was 11% due to the NFs systems not being designed to collect this dat</w:t>
      </w:r>
      <w:r w:rsidR="00824336" w:rsidRPr="005D4748">
        <w:rPr>
          <w:rFonts w:ascii="Arial" w:eastAsia="Times New Roman" w:hAnsi="Arial" w:cs="Arial"/>
          <w:sz w:val="20"/>
          <w:szCs w:val="20"/>
          <w:lang w:val="en-GB"/>
        </w:rPr>
        <w:t>a from users.</w:t>
      </w:r>
    </w:p>
    <w:p w:rsidR="00824336" w:rsidRPr="005D4748" w:rsidRDefault="00824336" w:rsidP="005D4748">
      <w:pPr>
        <w:spacing w:after="0" w:line="240" w:lineRule="auto"/>
        <w:rPr>
          <w:rFonts w:ascii="Arial" w:eastAsia="Times New Roman" w:hAnsi="Arial" w:cs="Arial"/>
          <w:sz w:val="20"/>
          <w:szCs w:val="20"/>
          <w:lang w:val="en-GB"/>
        </w:rPr>
      </w:pPr>
    </w:p>
    <w:p w:rsidR="00824336" w:rsidRPr="005D4748" w:rsidRDefault="00824336" w:rsidP="005D4748">
      <w:pPr>
        <w:spacing w:after="0" w:line="240" w:lineRule="auto"/>
        <w:rPr>
          <w:rFonts w:ascii="Arial" w:eastAsia="Times New Roman" w:hAnsi="Arial" w:cs="Arial"/>
          <w:sz w:val="20"/>
          <w:szCs w:val="20"/>
          <w:lang w:val="en-GB"/>
        </w:rPr>
      </w:pPr>
      <w:r w:rsidRPr="005D4748">
        <w:rPr>
          <w:rFonts w:ascii="Arial" w:eastAsia="Times New Roman" w:hAnsi="Arial" w:cs="Arial"/>
          <w:sz w:val="20"/>
          <w:szCs w:val="20"/>
          <w:lang w:val="en-GB"/>
        </w:rPr>
        <w:t xml:space="preserve">The target for the number of Southern African Large Telescope (SALT) Gen1.5 subprojects being implemented was </w:t>
      </w:r>
      <w:r w:rsidR="00AE0862" w:rsidRPr="005D4748">
        <w:rPr>
          <w:rFonts w:ascii="Arial" w:eastAsia="Times New Roman" w:hAnsi="Arial" w:cs="Arial"/>
          <w:sz w:val="20"/>
          <w:szCs w:val="20"/>
          <w:lang w:val="en-GB"/>
        </w:rPr>
        <w:t>four</w:t>
      </w:r>
      <w:r w:rsidRPr="005D4748">
        <w:rPr>
          <w:rFonts w:ascii="Arial" w:eastAsia="Times New Roman" w:hAnsi="Arial" w:cs="Arial"/>
          <w:sz w:val="20"/>
          <w:szCs w:val="20"/>
          <w:lang w:val="en-GB"/>
        </w:rPr>
        <w:t xml:space="preserve">. The actual achievement was </w:t>
      </w:r>
      <w:r w:rsidR="00AE0862" w:rsidRPr="005D4748">
        <w:rPr>
          <w:rFonts w:ascii="Arial" w:eastAsia="Times New Roman" w:hAnsi="Arial" w:cs="Arial"/>
          <w:sz w:val="20"/>
          <w:szCs w:val="20"/>
          <w:lang w:val="en-GB"/>
        </w:rPr>
        <w:t xml:space="preserve">three </w:t>
      </w:r>
      <w:r w:rsidRPr="005D4748">
        <w:rPr>
          <w:rFonts w:ascii="Arial" w:eastAsia="Times New Roman" w:hAnsi="Arial" w:cs="Arial"/>
          <w:sz w:val="20"/>
          <w:szCs w:val="20"/>
          <w:lang w:val="en-GB"/>
        </w:rPr>
        <w:t>due to the SALT Board suspending one project.</w:t>
      </w:r>
    </w:p>
    <w:p w:rsidR="00CF28C0" w:rsidRPr="005D4748" w:rsidRDefault="00CF28C0" w:rsidP="005D4748">
      <w:pPr>
        <w:spacing w:after="0" w:line="240" w:lineRule="auto"/>
        <w:rPr>
          <w:rFonts w:ascii="Arial" w:eastAsia="Times New Roman" w:hAnsi="Arial" w:cs="Arial"/>
          <w:sz w:val="20"/>
          <w:szCs w:val="20"/>
          <w:lang w:val="en-GB"/>
        </w:rPr>
      </w:pPr>
    </w:p>
    <w:p w:rsidR="006612DF" w:rsidRPr="005D4748" w:rsidRDefault="00ED22BF" w:rsidP="005D4748">
      <w:pPr>
        <w:spacing w:after="0" w:line="240" w:lineRule="auto"/>
        <w:rPr>
          <w:rFonts w:ascii="Arial" w:eastAsia="Times New Roman" w:hAnsi="Arial" w:cs="Arial"/>
          <w:sz w:val="20"/>
          <w:szCs w:val="20"/>
          <w:lang w:val="en-GB"/>
        </w:rPr>
      </w:pPr>
      <w:r w:rsidRPr="005D4748">
        <w:rPr>
          <w:rFonts w:ascii="Arial" w:eastAsia="Times New Roman" w:hAnsi="Arial" w:cs="Arial"/>
          <w:sz w:val="20"/>
          <w:szCs w:val="20"/>
          <w:lang w:val="en-GB"/>
        </w:rPr>
        <w:t>The underachievement against these targets will be mitigated as follows:</w:t>
      </w:r>
    </w:p>
    <w:p w:rsidR="00ED22BF" w:rsidRPr="005D4748" w:rsidRDefault="00ED22BF" w:rsidP="005D4748">
      <w:pPr>
        <w:spacing w:after="0" w:line="240" w:lineRule="auto"/>
        <w:rPr>
          <w:rFonts w:ascii="Arial" w:eastAsia="Times New Roman" w:hAnsi="Arial" w:cs="Arial"/>
          <w:sz w:val="20"/>
          <w:szCs w:val="20"/>
          <w:lang w:val="en-GB"/>
        </w:rPr>
      </w:pPr>
    </w:p>
    <w:p w:rsidR="00ED22BF" w:rsidRPr="005D4748" w:rsidRDefault="00ED22BF" w:rsidP="005D4748">
      <w:pPr>
        <w:spacing w:after="0" w:line="240" w:lineRule="auto"/>
        <w:rPr>
          <w:rFonts w:ascii="Arial" w:hAnsi="Arial" w:cs="Arial"/>
          <w:sz w:val="20"/>
          <w:szCs w:val="20"/>
        </w:rPr>
      </w:pPr>
      <w:r w:rsidRPr="005D4748">
        <w:rPr>
          <w:rFonts w:ascii="Arial" w:hAnsi="Arial" w:cs="Arial"/>
          <w:b/>
          <w:sz w:val="20"/>
          <w:szCs w:val="20"/>
        </w:rPr>
        <w:t>Programme 2: Science Engagement</w:t>
      </w:r>
      <w:r w:rsidRPr="005D4748">
        <w:rPr>
          <w:rFonts w:ascii="Arial" w:hAnsi="Arial" w:cs="Arial"/>
          <w:sz w:val="20"/>
          <w:szCs w:val="20"/>
        </w:rPr>
        <w:t xml:space="preserve"> – </w:t>
      </w:r>
      <w:r w:rsidR="006E3027" w:rsidRPr="005D4748">
        <w:rPr>
          <w:rFonts w:ascii="Arial" w:hAnsi="Arial" w:cs="Arial"/>
          <w:sz w:val="20"/>
          <w:szCs w:val="20"/>
        </w:rPr>
        <w:t>KPIs</w:t>
      </w:r>
      <w:r w:rsidRPr="005D4748">
        <w:rPr>
          <w:rFonts w:ascii="Arial" w:hAnsi="Arial" w:cs="Arial"/>
          <w:sz w:val="20"/>
          <w:szCs w:val="20"/>
        </w:rPr>
        <w:t xml:space="preserve"> for the next reporting cycle were reviewed in consultation with the D</w:t>
      </w:r>
      <w:r w:rsidR="008649FD" w:rsidRPr="005D4748">
        <w:rPr>
          <w:rFonts w:ascii="Arial" w:hAnsi="Arial" w:cs="Arial"/>
          <w:sz w:val="20"/>
          <w:szCs w:val="20"/>
        </w:rPr>
        <w:t>epartment</w:t>
      </w:r>
      <w:r w:rsidRPr="005D4748">
        <w:rPr>
          <w:rFonts w:ascii="Arial" w:hAnsi="Arial" w:cs="Arial"/>
          <w:sz w:val="20"/>
          <w:szCs w:val="20"/>
        </w:rPr>
        <w:t xml:space="preserve"> to measure output that is within the control of the NRF.</w:t>
      </w:r>
    </w:p>
    <w:p w:rsidR="00ED22BF" w:rsidRPr="005D4748" w:rsidRDefault="00ED22BF" w:rsidP="005D4748">
      <w:pPr>
        <w:spacing w:after="0" w:line="240" w:lineRule="auto"/>
        <w:rPr>
          <w:rFonts w:ascii="Arial" w:hAnsi="Arial" w:cs="Arial"/>
          <w:sz w:val="20"/>
          <w:szCs w:val="20"/>
        </w:rPr>
      </w:pPr>
    </w:p>
    <w:p w:rsidR="00ED22BF" w:rsidRPr="005D4748" w:rsidRDefault="00ED22BF" w:rsidP="005D4748">
      <w:pPr>
        <w:spacing w:after="0" w:line="240" w:lineRule="auto"/>
        <w:rPr>
          <w:rFonts w:ascii="Arial" w:hAnsi="Arial" w:cs="Arial"/>
          <w:sz w:val="20"/>
          <w:szCs w:val="20"/>
        </w:rPr>
      </w:pPr>
      <w:r w:rsidRPr="005D4748">
        <w:rPr>
          <w:rFonts w:ascii="Arial" w:hAnsi="Arial" w:cs="Arial"/>
          <w:b/>
          <w:sz w:val="20"/>
          <w:szCs w:val="20"/>
        </w:rPr>
        <w:t>Programme 3: Research and Innovation Support and Advancement</w:t>
      </w:r>
      <w:r w:rsidRPr="005D4748">
        <w:rPr>
          <w:rFonts w:ascii="Arial" w:hAnsi="Arial" w:cs="Arial"/>
          <w:sz w:val="20"/>
          <w:szCs w:val="20"/>
        </w:rPr>
        <w:t xml:space="preserve"> - targets for funded researchers will be adjusted in line with the available budget and baseline performance over the past three financial years. The peer-reviewed publications’ </w:t>
      </w:r>
      <w:r w:rsidR="008649FD" w:rsidRPr="005D4748">
        <w:rPr>
          <w:rFonts w:ascii="Arial" w:hAnsi="Arial" w:cs="Arial"/>
          <w:sz w:val="20"/>
          <w:szCs w:val="20"/>
        </w:rPr>
        <w:t>KPI</w:t>
      </w:r>
      <w:r w:rsidRPr="005D4748">
        <w:rPr>
          <w:rFonts w:ascii="Arial" w:hAnsi="Arial" w:cs="Arial"/>
          <w:sz w:val="20"/>
          <w:szCs w:val="20"/>
        </w:rPr>
        <w:t xml:space="preserve">, although a significant measure of performance for the NRF, is not within its direct control. Hence, the output was removed from the 2022/23 Annual Performance Plan. Publications will; however, still be tracked by the NRF as an outcome of the NRF’s investment into the </w:t>
      </w:r>
      <w:r w:rsidR="00D46694" w:rsidRPr="005D4748">
        <w:rPr>
          <w:rFonts w:ascii="Arial" w:hAnsi="Arial" w:cs="Arial"/>
          <w:sz w:val="20"/>
          <w:szCs w:val="20"/>
        </w:rPr>
        <w:t>NSI</w:t>
      </w:r>
      <w:r w:rsidRPr="005D4748">
        <w:rPr>
          <w:rFonts w:ascii="Arial" w:hAnsi="Arial" w:cs="Arial"/>
          <w:sz w:val="20"/>
          <w:szCs w:val="20"/>
        </w:rPr>
        <w:t>.</w:t>
      </w:r>
    </w:p>
    <w:p w:rsidR="00ED22BF" w:rsidRPr="005D4748" w:rsidRDefault="00ED22BF" w:rsidP="005D4748">
      <w:pPr>
        <w:spacing w:after="0" w:line="240" w:lineRule="auto"/>
        <w:rPr>
          <w:rFonts w:ascii="Arial" w:hAnsi="Arial" w:cs="Arial"/>
          <w:sz w:val="20"/>
          <w:szCs w:val="20"/>
        </w:rPr>
      </w:pPr>
    </w:p>
    <w:p w:rsidR="00ED22BF" w:rsidRPr="005D4748" w:rsidRDefault="00ED22BF" w:rsidP="005D4748">
      <w:pPr>
        <w:spacing w:after="0" w:line="240" w:lineRule="auto"/>
        <w:rPr>
          <w:rFonts w:ascii="Arial" w:hAnsi="Arial" w:cs="Arial"/>
          <w:sz w:val="20"/>
          <w:szCs w:val="20"/>
        </w:rPr>
      </w:pPr>
      <w:r w:rsidRPr="005D4748">
        <w:rPr>
          <w:rFonts w:ascii="Arial" w:hAnsi="Arial" w:cs="Arial"/>
          <w:b/>
          <w:sz w:val="20"/>
          <w:szCs w:val="20"/>
        </w:rPr>
        <w:t>Programme 4: National Research Infrastructure Platforms</w:t>
      </w:r>
      <w:r w:rsidRPr="005D4748">
        <w:rPr>
          <w:rFonts w:ascii="Arial" w:hAnsi="Arial" w:cs="Arial"/>
          <w:sz w:val="20"/>
          <w:szCs w:val="20"/>
        </w:rPr>
        <w:t xml:space="preserve"> - The NRF has adopted a POPIA Policy that will guide the NFs on </w:t>
      </w:r>
      <w:r w:rsidR="008A2E6E" w:rsidRPr="005D4748">
        <w:rPr>
          <w:rFonts w:ascii="Arial" w:hAnsi="Arial" w:cs="Arial"/>
          <w:sz w:val="20"/>
          <w:szCs w:val="20"/>
        </w:rPr>
        <w:t xml:space="preserve">the </w:t>
      </w:r>
      <w:r w:rsidRPr="005D4748">
        <w:rPr>
          <w:rFonts w:ascii="Arial" w:hAnsi="Arial" w:cs="Arial"/>
          <w:sz w:val="20"/>
          <w:szCs w:val="20"/>
        </w:rPr>
        <w:t xml:space="preserve">lawful collection and processing of personal information of users of </w:t>
      </w:r>
      <w:r w:rsidR="008A2E6E" w:rsidRPr="005D4748">
        <w:rPr>
          <w:rFonts w:ascii="Arial" w:hAnsi="Arial" w:cs="Arial"/>
          <w:sz w:val="20"/>
          <w:szCs w:val="20"/>
        </w:rPr>
        <w:t xml:space="preserve">the </w:t>
      </w:r>
      <w:r w:rsidRPr="005D4748">
        <w:rPr>
          <w:rFonts w:ascii="Arial" w:hAnsi="Arial" w:cs="Arial"/>
          <w:sz w:val="20"/>
          <w:szCs w:val="20"/>
        </w:rPr>
        <w:t>Research Infrastructure Platforms.</w:t>
      </w:r>
    </w:p>
    <w:p w:rsidR="00ED22BF" w:rsidRPr="005D4748" w:rsidRDefault="00ED22BF" w:rsidP="005D4748">
      <w:pPr>
        <w:spacing w:after="0" w:line="240" w:lineRule="auto"/>
        <w:rPr>
          <w:rFonts w:ascii="Arial" w:eastAsia="Times New Roman" w:hAnsi="Arial" w:cs="Arial"/>
          <w:sz w:val="20"/>
          <w:szCs w:val="20"/>
          <w:lang w:val="en-GB"/>
        </w:rPr>
      </w:pPr>
    </w:p>
    <w:p w:rsidR="00C76602" w:rsidRPr="005D4748" w:rsidRDefault="00C76602" w:rsidP="005D4748">
      <w:pPr>
        <w:spacing w:after="0" w:line="240" w:lineRule="auto"/>
        <w:rPr>
          <w:rFonts w:ascii="Arial" w:eastAsia="Times New Roman" w:hAnsi="Arial" w:cs="Arial"/>
          <w:sz w:val="20"/>
          <w:szCs w:val="20"/>
          <w:lang w:val="en-GB"/>
        </w:rPr>
      </w:pPr>
      <w:r w:rsidRPr="005D4748">
        <w:rPr>
          <w:rFonts w:ascii="Arial" w:eastAsia="Times New Roman" w:hAnsi="Arial" w:cs="Arial"/>
          <w:sz w:val="20"/>
          <w:szCs w:val="20"/>
          <w:lang w:val="en-GB"/>
        </w:rPr>
        <w:t>Notable progress was achieved against specific strategic measures. These included:</w:t>
      </w:r>
    </w:p>
    <w:p w:rsidR="00C76602" w:rsidRPr="005D4748" w:rsidRDefault="00C76602" w:rsidP="005D4748">
      <w:pPr>
        <w:spacing w:after="0" w:line="240" w:lineRule="auto"/>
        <w:rPr>
          <w:rFonts w:ascii="Arial" w:eastAsia="Times New Roman" w:hAnsi="Arial" w:cs="Arial"/>
          <w:sz w:val="20"/>
          <w:szCs w:val="20"/>
          <w:lang w:val="en-GB"/>
        </w:rPr>
      </w:pPr>
    </w:p>
    <w:p w:rsidR="00C76602" w:rsidRPr="005D4748" w:rsidRDefault="00C76602" w:rsidP="005D4748">
      <w:pPr>
        <w:pStyle w:val="ListParagraph"/>
        <w:numPr>
          <w:ilvl w:val="1"/>
          <w:numId w:val="15"/>
        </w:numPr>
        <w:spacing w:after="0" w:line="240" w:lineRule="auto"/>
        <w:ind w:left="567" w:hanging="567"/>
        <w:rPr>
          <w:rFonts w:ascii="Arial" w:eastAsia="Times New Roman" w:hAnsi="Arial" w:cs="Arial"/>
          <w:sz w:val="20"/>
          <w:szCs w:val="20"/>
          <w:lang w:val="en-GB"/>
        </w:rPr>
      </w:pPr>
      <w:r w:rsidRPr="005D4748">
        <w:rPr>
          <w:rFonts w:ascii="Arial" w:eastAsia="Times New Roman" w:hAnsi="Arial" w:cs="Arial"/>
          <w:sz w:val="20"/>
          <w:szCs w:val="20"/>
          <w:lang w:val="en-GB"/>
        </w:rPr>
        <w:t>Successful implementation of the DSI-NRF Postgraduate Student Funding Policy.</w:t>
      </w:r>
    </w:p>
    <w:p w:rsidR="00C76602" w:rsidRPr="005D4748" w:rsidRDefault="00C76602" w:rsidP="005D4748">
      <w:pPr>
        <w:pStyle w:val="ListParagraph"/>
        <w:numPr>
          <w:ilvl w:val="1"/>
          <w:numId w:val="15"/>
        </w:numPr>
        <w:spacing w:after="0" w:line="240" w:lineRule="auto"/>
        <w:ind w:left="567" w:hanging="567"/>
        <w:rPr>
          <w:rFonts w:ascii="Arial" w:eastAsia="Times New Roman" w:hAnsi="Arial" w:cs="Arial"/>
          <w:sz w:val="20"/>
          <w:szCs w:val="20"/>
          <w:lang w:val="en-GB"/>
        </w:rPr>
      </w:pPr>
      <w:r w:rsidRPr="005D4748">
        <w:rPr>
          <w:rFonts w:ascii="Arial" w:eastAsia="Times New Roman" w:hAnsi="Arial" w:cs="Arial"/>
          <w:sz w:val="20"/>
          <w:szCs w:val="20"/>
          <w:lang w:val="en-GB"/>
        </w:rPr>
        <w:t>The Engaged Research Framework was adopted in March 2022. The Framework provides for an ongoing process of embedding Science Engagement more holistically within NRF programmes and enabling engaged scholarship.</w:t>
      </w:r>
    </w:p>
    <w:p w:rsidR="00C76602" w:rsidRPr="005D4748" w:rsidRDefault="00C76602" w:rsidP="005D4748">
      <w:pPr>
        <w:pStyle w:val="ListParagraph"/>
        <w:numPr>
          <w:ilvl w:val="1"/>
          <w:numId w:val="15"/>
        </w:numPr>
        <w:spacing w:after="0" w:line="240" w:lineRule="auto"/>
        <w:ind w:left="567" w:hanging="567"/>
        <w:rPr>
          <w:rFonts w:ascii="Arial" w:eastAsia="Times New Roman" w:hAnsi="Arial" w:cs="Arial"/>
          <w:sz w:val="20"/>
          <w:szCs w:val="20"/>
          <w:lang w:val="en-GB"/>
        </w:rPr>
      </w:pPr>
      <w:r w:rsidRPr="005D4748">
        <w:rPr>
          <w:rFonts w:ascii="Arial" w:eastAsia="Times New Roman" w:hAnsi="Arial" w:cs="Arial"/>
          <w:sz w:val="20"/>
          <w:szCs w:val="20"/>
          <w:lang w:val="en-GB"/>
        </w:rPr>
        <w:t>The Leading Researchers and Scholars Programme (LRSP) was developed in consultation with the Department and the first call for applications was expected during 2022/23.</w:t>
      </w:r>
    </w:p>
    <w:p w:rsidR="00C76602" w:rsidRPr="005D4748" w:rsidRDefault="00C76602" w:rsidP="005D4748">
      <w:pPr>
        <w:pStyle w:val="ListParagraph"/>
        <w:numPr>
          <w:ilvl w:val="1"/>
          <w:numId w:val="15"/>
        </w:numPr>
        <w:spacing w:after="0" w:line="240" w:lineRule="auto"/>
        <w:ind w:left="567" w:hanging="567"/>
        <w:rPr>
          <w:rFonts w:ascii="Arial" w:eastAsia="Times New Roman" w:hAnsi="Arial" w:cs="Arial"/>
          <w:sz w:val="20"/>
          <w:szCs w:val="20"/>
          <w:lang w:val="en-GB"/>
        </w:rPr>
      </w:pPr>
      <w:r w:rsidRPr="005D4748">
        <w:rPr>
          <w:rFonts w:ascii="Arial" w:eastAsia="Times New Roman" w:hAnsi="Arial" w:cs="Arial"/>
          <w:sz w:val="20"/>
          <w:szCs w:val="20"/>
          <w:lang w:val="en-GB"/>
        </w:rPr>
        <w:t>The NRF developed the Framework to Advance the Societal and Knowledge Impact of Research and the consolidated NRF Impact Implementation Plan was completed at the end of 2021/22, for execution in 2022/23.</w:t>
      </w:r>
    </w:p>
    <w:p w:rsidR="00ED22BF" w:rsidRPr="005D4748" w:rsidRDefault="00C76602" w:rsidP="005D4748">
      <w:pPr>
        <w:pStyle w:val="ListParagraph"/>
        <w:numPr>
          <w:ilvl w:val="1"/>
          <w:numId w:val="15"/>
        </w:numPr>
        <w:spacing w:after="0" w:line="240" w:lineRule="auto"/>
        <w:ind w:left="567" w:hanging="567"/>
        <w:rPr>
          <w:rFonts w:ascii="Arial" w:eastAsia="Times New Roman" w:hAnsi="Arial" w:cs="Arial"/>
          <w:sz w:val="20"/>
          <w:szCs w:val="20"/>
          <w:lang w:val="en-GB"/>
        </w:rPr>
      </w:pPr>
      <w:r w:rsidRPr="005D4748">
        <w:rPr>
          <w:rFonts w:ascii="Arial" w:eastAsia="Times New Roman" w:hAnsi="Arial" w:cs="Arial"/>
          <w:sz w:val="20"/>
          <w:szCs w:val="20"/>
          <w:lang w:val="en-GB"/>
        </w:rPr>
        <w:t>The overall implementation progress for the SAIF at iThemba LABS reached 75%.</w:t>
      </w:r>
    </w:p>
    <w:p w:rsidR="00435D95" w:rsidRPr="005D4748" w:rsidRDefault="00435D95" w:rsidP="005D4748">
      <w:pPr>
        <w:spacing w:after="0" w:line="240" w:lineRule="auto"/>
        <w:rPr>
          <w:rFonts w:ascii="Arial" w:eastAsia="Times New Roman" w:hAnsi="Arial" w:cs="Arial"/>
          <w:sz w:val="20"/>
          <w:szCs w:val="20"/>
          <w:lang w:val="en-GB"/>
        </w:rPr>
      </w:pPr>
    </w:p>
    <w:p w:rsidR="006612DF" w:rsidRPr="005D4748" w:rsidRDefault="006612DF" w:rsidP="005D4748">
      <w:pPr>
        <w:pStyle w:val="ListParagraph"/>
        <w:numPr>
          <w:ilvl w:val="2"/>
          <w:numId w:val="1"/>
        </w:numPr>
        <w:spacing w:after="0" w:line="240" w:lineRule="auto"/>
        <w:ind w:left="851" w:hanging="851"/>
        <w:rPr>
          <w:rFonts w:ascii="Arial" w:eastAsia="Times New Roman" w:hAnsi="Arial" w:cs="Arial"/>
          <w:b/>
          <w:sz w:val="20"/>
          <w:szCs w:val="20"/>
          <w:lang w:val="en-GB"/>
        </w:rPr>
      </w:pPr>
      <w:r w:rsidRPr="005D4748">
        <w:rPr>
          <w:rFonts w:ascii="Arial" w:eastAsia="Times New Roman" w:hAnsi="Arial" w:cs="Arial"/>
          <w:b/>
          <w:sz w:val="20"/>
          <w:szCs w:val="20"/>
          <w:lang w:val="en-GB"/>
        </w:rPr>
        <w:t>2021</w:t>
      </w:r>
      <w:r w:rsidR="00541669" w:rsidRPr="005D4748">
        <w:rPr>
          <w:rFonts w:ascii="Arial" w:eastAsia="Times New Roman" w:hAnsi="Arial" w:cs="Arial"/>
          <w:b/>
          <w:sz w:val="20"/>
          <w:szCs w:val="20"/>
          <w:lang w:val="en-GB"/>
        </w:rPr>
        <w:t>/22</w:t>
      </w:r>
      <w:r w:rsidRPr="005D4748">
        <w:rPr>
          <w:rFonts w:ascii="Arial" w:eastAsia="Times New Roman" w:hAnsi="Arial" w:cs="Arial"/>
          <w:b/>
          <w:sz w:val="20"/>
          <w:szCs w:val="20"/>
          <w:lang w:val="en-GB"/>
        </w:rPr>
        <w:t xml:space="preserve"> Audit Outcome</w:t>
      </w:r>
    </w:p>
    <w:p w:rsidR="006612DF" w:rsidRPr="005D4748" w:rsidRDefault="006612DF" w:rsidP="005D4748">
      <w:pPr>
        <w:spacing w:after="0" w:line="240" w:lineRule="auto"/>
        <w:rPr>
          <w:rFonts w:ascii="Arial" w:eastAsia="Times New Roman" w:hAnsi="Arial" w:cs="Arial"/>
          <w:sz w:val="20"/>
          <w:szCs w:val="20"/>
          <w:lang w:val="en-GB"/>
        </w:rPr>
      </w:pPr>
    </w:p>
    <w:p w:rsidR="00031156" w:rsidRPr="005D4748" w:rsidRDefault="00031156" w:rsidP="005D4748">
      <w:pPr>
        <w:spacing w:after="0" w:line="240" w:lineRule="auto"/>
        <w:rPr>
          <w:rFonts w:ascii="Arial" w:hAnsi="Arial" w:cs="Arial"/>
          <w:sz w:val="20"/>
          <w:szCs w:val="20"/>
        </w:rPr>
      </w:pPr>
      <w:r w:rsidRPr="005D4748">
        <w:rPr>
          <w:rFonts w:ascii="Arial" w:hAnsi="Arial" w:cs="Arial"/>
          <w:sz w:val="20"/>
          <w:szCs w:val="20"/>
        </w:rPr>
        <w:t>The AGSA selected Programme 3 – Research and Innovation Support and Advancement</w:t>
      </w:r>
      <w:r w:rsidR="00480164" w:rsidRPr="005D4748">
        <w:rPr>
          <w:rFonts w:ascii="Arial" w:hAnsi="Arial" w:cs="Arial"/>
          <w:sz w:val="20"/>
          <w:szCs w:val="20"/>
        </w:rPr>
        <w:t>,</w:t>
      </w:r>
      <w:r w:rsidRPr="005D4748">
        <w:rPr>
          <w:rFonts w:ascii="Arial" w:hAnsi="Arial" w:cs="Arial"/>
          <w:sz w:val="20"/>
          <w:szCs w:val="20"/>
        </w:rPr>
        <w:t xml:space="preserve"> to test the usefulness and reliability of the reported performance information. The AGSA did not raise any material findings on the usefulness and reliability of the reported information for this Programme.</w:t>
      </w:r>
    </w:p>
    <w:p w:rsidR="00031156" w:rsidRPr="005D4748" w:rsidRDefault="00031156" w:rsidP="005D4748">
      <w:pPr>
        <w:spacing w:after="0" w:line="240" w:lineRule="auto"/>
        <w:rPr>
          <w:rFonts w:ascii="Arial" w:hAnsi="Arial" w:cs="Arial"/>
          <w:sz w:val="20"/>
          <w:szCs w:val="20"/>
        </w:rPr>
      </w:pPr>
    </w:p>
    <w:p w:rsidR="00031156" w:rsidRPr="005D4748" w:rsidRDefault="00031156" w:rsidP="005D4748">
      <w:pPr>
        <w:spacing w:after="0" w:line="240" w:lineRule="auto"/>
        <w:rPr>
          <w:rFonts w:ascii="Arial" w:hAnsi="Arial" w:cs="Arial"/>
          <w:sz w:val="20"/>
          <w:szCs w:val="20"/>
        </w:rPr>
      </w:pPr>
      <w:r w:rsidRPr="005D4748">
        <w:rPr>
          <w:rFonts w:ascii="Arial" w:hAnsi="Arial" w:cs="Arial"/>
          <w:sz w:val="20"/>
          <w:szCs w:val="20"/>
        </w:rPr>
        <w:t>The AG</w:t>
      </w:r>
      <w:r w:rsidR="002327B8" w:rsidRPr="005D4748">
        <w:rPr>
          <w:rFonts w:ascii="Arial" w:hAnsi="Arial" w:cs="Arial"/>
          <w:sz w:val="20"/>
          <w:szCs w:val="20"/>
        </w:rPr>
        <w:t>SA</w:t>
      </w:r>
      <w:r w:rsidRPr="005D4748">
        <w:rPr>
          <w:rFonts w:ascii="Arial" w:hAnsi="Arial" w:cs="Arial"/>
          <w:sz w:val="20"/>
          <w:szCs w:val="20"/>
        </w:rPr>
        <w:t xml:space="preserve"> awarded the NRF an unqualified audit opinion with no findings; hence, a clean audit, for the </w:t>
      </w:r>
      <w:r w:rsidR="00E1619A" w:rsidRPr="005D4748">
        <w:rPr>
          <w:rFonts w:ascii="Arial" w:hAnsi="Arial" w:cs="Arial"/>
          <w:sz w:val="20"/>
          <w:szCs w:val="20"/>
        </w:rPr>
        <w:t>third</w:t>
      </w:r>
      <w:r w:rsidRPr="005D4748">
        <w:rPr>
          <w:rFonts w:ascii="Arial" w:hAnsi="Arial" w:cs="Arial"/>
          <w:sz w:val="20"/>
          <w:szCs w:val="20"/>
        </w:rPr>
        <w:t xml:space="preserve"> consecutive financial year. The AG</w:t>
      </w:r>
      <w:r w:rsidR="002327B8" w:rsidRPr="005D4748">
        <w:rPr>
          <w:rFonts w:ascii="Arial" w:hAnsi="Arial" w:cs="Arial"/>
          <w:sz w:val="20"/>
          <w:szCs w:val="20"/>
        </w:rPr>
        <w:t>SA</w:t>
      </w:r>
      <w:r w:rsidRPr="005D4748">
        <w:rPr>
          <w:rFonts w:ascii="Arial" w:hAnsi="Arial" w:cs="Arial"/>
          <w:sz w:val="20"/>
          <w:szCs w:val="20"/>
        </w:rPr>
        <w:t xml:space="preserve"> further state</w:t>
      </w:r>
      <w:r w:rsidR="002327B8" w:rsidRPr="005D4748">
        <w:rPr>
          <w:rFonts w:ascii="Arial" w:hAnsi="Arial" w:cs="Arial"/>
          <w:sz w:val="20"/>
          <w:szCs w:val="20"/>
        </w:rPr>
        <w:t>d</w:t>
      </w:r>
      <w:r w:rsidRPr="005D4748">
        <w:rPr>
          <w:rFonts w:ascii="Arial" w:hAnsi="Arial" w:cs="Arial"/>
          <w:sz w:val="20"/>
          <w:szCs w:val="20"/>
        </w:rPr>
        <w:t xml:space="preserve"> that no material findings on compliance with key legislation and no significant deficiencies in internal control were identified. In addition, </w:t>
      </w:r>
      <w:r w:rsidR="002327B8" w:rsidRPr="005D4748">
        <w:rPr>
          <w:rFonts w:ascii="Arial" w:hAnsi="Arial" w:cs="Arial"/>
          <w:sz w:val="20"/>
          <w:szCs w:val="20"/>
        </w:rPr>
        <w:t>t</w:t>
      </w:r>
      <w:r w:rsidRPr="005D4748">
        <w:rPr>
          <w:rFonts w:ascii="Arial" w:hAnsi="Arial" w:cs="Arial"/>
          <w:sz w:val="20"/>
          <w:szCs w:val="20"/>
        </w:rPr>
        <w:t xml:space="preserve">he </w:t>
      </w:r>
      <w:r w:rsidRPr="005D4748">
        <w:rPr>
          <w:rFonts w:ascii="Arial" w:hAnsi="Arial" w:cs="Arial"/>
          <w:sz w:val="20"/>
          <w:szCs w:val="20"/>
        </w:rPr>
        <w:lastRenderedPageBreak/>
        <w:t>AG</w:t>
      </w:r>
      <w:r w:rsidR="002327B8" w:rsidRPr="005D4748">
        <w:rPr>
          <w:rFonts w:ascii="Arial" w:hAnsi="Arial" w:cs="Arial"/>
          <w:sz w:val="20"/>
          <w:szCs w:val="20"/>
        </w:rPr>
        <w:t>SA</w:t>
      </w:r>
      <w:r w:rsidRPr="005D4748">
        <w:rPr>
          <w:rFonts w:ascii="Arial" w:hAnsi="Arial" w:cs="Arial"/>
          <w:sz w:val="20"/>
          <w:szCs w:val="20"/>
        </w:rPr>
        <w:t xml:space="preserve"> state</w:t>
      </w:r>
      <w:r w:rsidR="002327B8" w:rsidRPr="005D4748">
        <w:rPr>
          <w:rFonts w:ascii="Arial" w:hAnsi="Arial" w:cs="Arial"/>
          <w:sz w:val="20"/>
          <w:szCs w:val="20"/>
        </w:rPr>
        <w:t>d</w:t>
      </w:r>
      <w:r w:rsidRPr="005D4748">
        <w:rPr>
          <w:rFonts w:ascii="Arial" w:hAnsi="Arial" w:cs="Arial"/>
          <w:sz w:val="20"/>
          <w:szCs w:val="20"/>
        </w:rPr>
        <w:t xml:space="preserve"> that, “The relevant role players within the accountability ecosystem provided the necessary assurance, which contributed to the sustained key internal controls, particularly those relating to leadership and governance”.</w:t>
      </w:r>
    </w:p>
    <w:p w:rsidR="00031156" w:rsidRPr="005D4748" w:rsidRDefault="00031156" w:rsidP="005D4748">
      <w:pPr>
        <w:spacing w:after="0" w:line="240" w:lineRule="auto"/>
        <w:rPr>
          <w:rFonts w:ascii="Arial" w:hAnsi="Arial" w:cs="Arial"/>
          <w:sz w:val="20"/>
          <w:szCs w:val="20"/>
        </w:rPr>
      </w:pPr>
    </w:p>
    <w:p w:rsidR="00031156" w:rsidRPr="005D4748" w:rsidRDefault="00031156" w:rsidP="005D4748">
      <w:pPr>
        <w:spacing w:after="0" w:line="240" w:lineRule="auto"/>
        <w:rPr>
          <w:rFonts w:ascii="Arial" w:hAnsi="Arial" w:cs="Arial"/>
          <w:sz w:val="20"/>
          <w:szCs w:val="20"/>
        </w:rPr>
      </w:pPr>
      <w:r w:rsidRPr="005D4748">
        <w:rPr>
          <w:rFonts w:ascii="Arial" w:hAnsi="Arial" w:cs="Arial"/>
          <w:sz w:val="20"/>
          <w:szCs w:val="20"/>
        </w:rPr>
        <w:t>The NRF did not incur any irregular expenditure or fruitless and wasteful expenditure in 2021/22. On 26 July 2022, the NRF Board approved that irregular expenditure of R12.9 million relating to 2020/21 be removed from the Annual Financial Statements.</w:t>
      </w:r>
    </w:p>
    <w:p w:rsidR="00FC1B2E" w:rsidRPr="005D4748" w:rsidRDefault="00FC1B2E" w:rsidP="005D4748">
      <w:pPr>
        <w:spacing w:after="0" w:line="240" w:lineRule="auto"/>
        <w:rPr>
          <w:rFonts w:ascii="Arial" w:eastAsia="Times New Roman" w:hAnsi="Arial" w:cs="Arial"/>
          <w:sz w:val="20"/>
          <w:szCs w:val="20"/>
          <w:lang w:val="en-GB"/>
        </w:rPr>
      </w:pPr>
    </w:p>
    <w:p w:rsidR="00AE4CE0" w:rsidRPr="005D4748" w:rsidRDefault="00AE4CE0" w:rsidP="005D4748">
      <w:pPr>
        <w:pStyle w:val="ListParagraph"/>
        <w:numPr>
          <w:ilvl w:val="1"/>
          <w:numId w:val="1"/>
        </w:numPr>
        <w:spacing w:after="0" w:line="240" w:lineRule="auto"/>
        <w:ind w:left="567" w:hanging="567"/>
        <w:rPr>
          <w:rFonts w:ascii="Arial" w:eastAsia="Times New Roman" w:hAnsi="Arial" w:cs="Arial"/>
          <w:sz w:val="20"/>
          <w:szCs w:val="20"/>
          <w:lang w:val="en-GB"/>
        </w:rPr>
      </w:pPr>
      <w:r w:rsidRPr="005D4748">
        <w:rPr>
          <w:rFonts w:ascii="Arial" w:eastAsia="Times New Roman" w:hAnsi="Arial" w:cs="Arial"/>
          <w:b/>
          <w:sz w:val="20"/>
          <w:szCs w:val="20"/>
          <w:lang w:val="en-GB"/>
        </w:rPr>
        <w:t>SOUTH AFRICAN NATIONAL SPACE AGENCY</w:t>
      </w:r>
    </w:p>
    <w:p w:rsidR="00AE4CE0" w:rsidRPr="005D4748" w:rsidRDefault="00AE4CE0" w:rsidP="005D4748">
      <w:pPr>
        <w:spacing w:after="0" w:line="240" w:lineRule="auto"/>
        <w:rPr>
          <w:rFonts w:ascii="Arial" w:eastAsia="Times New Roman" w:hAnsi="Arial" w:cs="Arial"/>
          <w:sz w:val="20"/>
          <w:szCs w:val="20"/>
          <w:lang w:val="en-GB"/>
        </w:rPr>
      </w:pPr>
    </w:p>
    <w:p w:rsidR="00213586" w:rsidRPr="005D4748" w:rsidRDefault="006612DF" w:rsidP="005D4748">
      <w:pPr>
        <w:spacing w:after="0" w:line="240" w:lineRule="auto"/>
        <w:rPr>
          <w:rFonts w:ascii="Arial" w:eastAsia="Times New Roman" w:hAnsi="Arial" w:cs="Arial"/>
          <w:sz w:val="20"/>
          <w:szCs w:val="20"/>
          <w:lang w:val="en-GB"/>
        </w:rPr>
      </w:pPr>
      <w:r w:rsidRPr="005D4748">
        <w:rPr>
          <w:rFonts w:ascii="Arial" w:eastAsia="Times New Roman" w:hAnsi="Arial" w:cs="Arial"/>
          <w:sz w:val="20"/>
          <w:szCs w:val="20"/>
          <w:lang w:val="en-GB"/>
        </w:rPr>
        <w:t xml:space="preserve">The legislative mandate </w:t>
      </w:r>
      <w:r w:rsidR="0025672E" w:rsidRPr="005D4748">
        <w:rPr>
          <w:rFonts w:ascii="Arial" w:eastAsia="Times New Roman" w:hAnsi="Arial" w:cs="Arial"/>
          <w:sz w:val="20"/>
          <w:szCs w:val="20"/>
          <w:lang w:val="en-GB"/>
        </w:rPr>
        <w:t xml:space="preserve">of SANSA </w:t>
      </w:r>
      <w:r w:rsidRPr="005D4748">
        <w:rPr>
          <w:rFonts w:ascii="Arial" w:eastAsia="Times New Roman" w:hAnsi="Arial" w:cs="Arial"/>
          <w:sz w:val="20"/>
          <w:szCs w:val="20"/>
          <w:lang w:val="en-GB"/>
        </w:rPr>
        <w:t>is premised on two primary Acts; namely, the Space Affairs Act (</w:t>
      </w:r>
      <w:r w:rsidR="0025672E" w:rsidRPr="005D4748">
        <w:rPr>
          <w:rFonts w:ascii="Arial" w:eastAsia="Times New Roman" w:hAnsi="Arial" w:cs="Arial"/>
          <w:sz w:val="20"/>
          <w:szCs w:val="20"/>
          <w:lang w:val="en-GB"/>
        </w:rPr>
        <w:t>No.</w:t>
      </w:r>
      <w:r w:rsidRPr="005D4748">
        <w:rPr>
          <w:rFonts w:ascii="Arial" w:eastAsia="Times New Roman" w:hAnsi="Arial" w:cs="Arial"/>
          <w:sz w:val="20"/>
          <w:szCs w:val="20"/>
          <w:lang w:val="en-GB"/>
        </w:rPr>
        <w:t xml:space="preserve"> 84 of 1993) and the South African National Space Agency Act (</w:t>
      </w:r>
      <w:r w:rsidR="0025672E" w:rsidRPr="005D4748">
        <w:rPr>
          <w:rFonts w:ascii="Arial" w:eastAsia="Times New Roman" w:hAnsi="Arial" w:cs="Arial"/>
          <w:sz w:val="20"/>
          <w:szCs w:val="20"/>
          <w:lang w:val="en-GB"/>
        </w:rPr>
        <w:t>No.</w:t>
      </w:r>
      <w:r w:rsidRPr="005D4748">
        <w:rPr>
          <w:rFonts w:ascii="Arial" w:eastAsia="Times New Roman" w:hAnsi="Arial" w:cs="Arial"/>
          <w:sz w:val="20"/>
          <w:szCs w:val="20"/>
          <w:lang w:val="en-GB"/>
        </w:rPr>
        <w:t xml:space="preserve"> 36 of 2008). The former, an instrument of the Department of Trade, Industry and Competition, caters for the regulatory/policy context for the South African space programme; whereas the latter, an instrument of the Department, enables the establishment of SANSA as an implementing agency for the South African space programme. The National Space Strategy and the South African Earth Observation Systems (SAEOS) Strategy provide </w:t>
      </w:r>
      <w:r w:rsidR="00CA6169" w:rsidRPr="005D4748">
        <w:rPr>
          <w:rFonts w:ascii="Arial" w:eastAsia="Times New Roman" w:hAnsi="Arial" w:cs="Arial"/>
          <w:sz w:val="20"/>
          <w:szCs w:val="20"/>
          <w:lang w:val="en-GB"/>
        </w:rPr>
        <w:t>edicts</w:t>
      </w:r>
      <w:r w:rsidRPr="005D4748">
        <w:rPr>
          <w:rFonts w:ascii="Arial" w:eastAsia="Times New Roman" w:hAnsi="Arial" w:cs="Arial"/>
          <w:sz w:val="20"/>
          <w:szCs w:val="20"/>
          <w:lang w:val="en-GB"/>
        </w:rPr>
        <w:t xml:space="preserve"> that directly inform the operationalisation of the South African space programme, inclusive of the role that SANSA should play.</w:t>
      </w:r>
    </w:p>
    <w:p w:rsidR="006612DF" w:rsidRPr="005D4748" w:rsidRDefault="006612DF" w:rsidP="005D4748">
      <w:pPr>
        <w:spacing w:after="0" w:line="240" w:lineRule="auto"/>
        <w:rPr>
          <w:rFonts w:ascii="Arial" w:eastAsia="Times New Roman" w:hAnsi="Arial" w:cs="Arial"/>
          <w:sz w:val="20"/>
          <w:szCs w:val="20"/>
          <w:lang w:val="en-GB"/>
        </w:rPr>
      </w:pPr>
    </w:p>
    <w:p w:rsidR="003D0DF1" w:rsidRPr="005D4748" w:rsidRDefault="00CA6169" w:rsidP="005D4748">
      <w:pPr>
        <w:spacing w:after="0" w:line="240" w:lineRule="auto"/>
        <w:rPr>
          <w:rFonts w:ascii="Arial" w:hAnsi="Arial" w:cs="Arial"/>
          <w:sz w:val="20"/>
          <w:szCs w:val="20"/>
        </w:rPr>
      </w:pPr>
      <w:r w:rsidRPr="005D4748">
        <w:rPr>
          <w:rFonts w:ascii="Arial" w:hAnsi="Arial" w:cs="Arial"/>
          <w:sz w:val="20"/>
          <w:szCs w:val="20"/>
        </w:rPr>
        <w:t>During the first eight years of SANSA’s operations, its Strategic and Annual Performance Plans were aligned to the budgetary allocations for both its internal business operations and broader support to the local space sector. This approach imposed limitation</w:t>
      </w:r>
      <w:r w:rsidR="00A26ECB" w:rsidRPr="005D4748">
        <w:rPr>
          <w:rFonts w:ascii="Arial" w:hAnsi="Arial" w:cs="Arial"/>
          <w:sz w:val="20"/>
          <w:szCs w:val="20"/>
        </w:rPr>
        <w:t>s</w:t>
      </w:r>
      <w:r w:rsidRPr="005D4748">
        <w:rPr>
          <w:rFonts w:ascii="Arial" w:hAnsi="Arial" w:cs="Arial"/>
          <w:sz w:val="20"/>
          <w:szCs w:val="20"/>
        </w:rPr>
        <w:t xml:space="preserve"> on SANSA’s </w:t>
      </w:r>
      <w:r w:rsidR="00CC6D82" w:rsidRPr="005D4748">
        <w:rPr>
          <w:rFonts w:ascii="Arial" w:hAnsi="Arial" w:cs="Arial"/>
          <w:sz w:val="20"/>
          <w:szCs w:val="20"/>
        </w:rPr>
        <w:t xml:space="preserve">planned and implemented </w:t>
      </w:r>
      <w:r w:rsidRPr="005D4748">
        <w:rPr>
          <w:rFonts w:ascii="Arial" w:hAnsi="Arial" w:cs="Arial"/>
          <w:sz w:val="20"/>
          <w:szCs w:val="20"/>
        </w:rPr>
        <w:t>scope of initiatives</w:t>
      </w:r>
      <w:r w:rsidR="00A26ECB" w:rsidRPr="005D4748">
        <w:rPr>
          <w:rFonts w:ascii="Arial" w:hAnsi="Arial" w:cs="Arial"/>
          <w:sz w:val="20"/>
          <w:szCs w:val="20"/>
        </w:rPr>
        <w:t>.</w:t>
      </w:r>
      <w:r w:rsidR="00702645" w:rsidRPr="005D4748">
        <w:rPr>
          <w:rFonts w:ascii="Arial" w:hAnsi="Arial" w:cs="Arial"/>
          <w:sz w:val="20"/>
          <w:szCs w:val="20"/>
        </w:rPr>
        <w:t xml:space="preserve"> </w:t>
      </w:r>
      <w:r w:rsidR="003D0DF1" w:rsidRPr="005D4748">
        <w:rPr>
          <w:rFonts w:ascii="Arial" w:hAnsi="Arial" w:cs="Arial"/>
          <w:sz w:val="20"/>
          <w:szCs w:val="20"/>
        </w:rPr>
        <w:t xml:space="preserve">With its revised 2020-2025 Strategic Plan, SANSA seeks to ensure that the South African space sector is able to develop and compete globally, and </w:t>
      </w:r>
      <w:r w:rsidR="002A74AD" w:rsidRPr="005D4748">
        <w:rPr>
          <w:rFonts w:ascii="Arial" w:hAnsi="Arial" w:cs="Arial"/>
          <w:sz w:val="20"/>
          <w:szCs w:val="20"/>
        </w:rPr>
        <w:t xml:space="preserve">that </w:t>
      </w:r>
      <w:r w:rsidR="003D0DF1" w:rsidRPr="005D4748">
        <w:rPr>
          <w:rFonts w:ascii="Arial" w:hAnsi="Arial" w:cs="Arial"/>
          <w:sz w:val="20"/>
          <w:szCs w:val="20"/>
        </w:rPr>
        <w:t>it responds to the critical needs of its user community, primarily represented by all spheres of government.</w:t>
      </w:r>
    </w:p>
    <w:p w:rsidR="00CA6169" w:rsidRPr="005D4748" w:rsidRDefault="00CA6169" w:rsidP="005D4748">
      <w:pPr>
        <w:spacing w:after="0" w:line="240" w:lineRule="auto"/>
        <w:rPr>
          <w:rFonts w:ascii="Arial" w:eastAsia="Times New Roman" w:hAnsi="Arial" w:cs="Arial"/>
          <w:sz w:val="20"/>
          <w:szCs w:val="20"/>
          <w:lang w:val="en-GB"/>
        </w:rPr>
      </w:pPr>
    </w:p>
    <w:p w:rsidR="002B0F0B" w:rsidRPr="005D4748" w:rsidRDefault="002B0F0B" w:rsidP="005D4748">
      <w:pPr>
        <w:pStyle w:val="ListParagraph"/>
        <w:numPr>
          <w:ilvl w:val="2"/>
          <w:numId w:val="1"/>
        </w:numPr>
        <w:spacing w:after="0" w:line="240" w:lineRule="auto"/>
        <w:rPr>
          <w:rFonts w:ascii="Arial" w:eastAsia="Times New Roman" w:hAnsi="Arial" w:cs="Arial"/>
          <w:b/>
          <w:sz w:val="20"/>
          <w:szCs w:val="20"/>
          <w:lang w:val="en-GB"/>
        </w:rPr>
      </w:pPr>
      <w:r w:rsidRPr="005D4748">
        <w:rPr>
          <w:rFonts w:ascii="Arial" w:eastAsia="Times New Roman" w:hAnsi="Arial" w:cs="Arial"/>
          <w:b/>
          <w:sz w:val="20"/>
          <w:szCs w:val="20"/>
          <w:lang w:val="en-GB"/>
        </w:rPr>
        <w:t>2021/22 Revenue</w:t>
      </w:r>
    </w:p>
    <w:p w:rsidR="006612DF" w:rsidRPr="005D4748" w:rsidRDefault="006612DF" w:rsidP="005D4748">
      <w:pPr>
        <w:spacing w:after="0" w:line="240" w:lineRule="auto"/>
        <w:rPr>
          <w:rFonts w:ascii="Arial" w:eastAsia="Times New Roman" w:hAnsi="Arial" w:cs="Arial"/>
          <w:sz w:val="20"/>
          <w:szCs w:val="20"/>
          <w:lang w:val="en-GB"/>
        </w:rPr>
      </w:pPr>
    </w:p>
    <w:p w:rsidR="001F00FE" w:rsidRPr="005D4748" w:rsidRDefault="001F00FE" w:rsidP="005D4748">
      <w:pPr>
        <w:spacing w:after="0" w:line="240" w:lineRule="auto"/>
        <w:rPr>
          <w:rFonts w:ascii="Arial" w:hAnsi="Arial" w:cs="Arial"/>
          <w:sz w:val="20"/>
          <w:szCs w:val="20"/>
        </w:rPr>
      </w:pPr>
      <w:r w:rsidRPr="005D4748">
        <w:rPr>
          <w:rFonts w:ascii="Arial" w:hAnsi="Arial" w:cs="Arial"/>
          <w:sz w:val="20"/>
          <w:szCs w:val="20"/>
        </w:rPr>
        <w:t>SANSA’s total revenue was R332.8 million, with Transfers and grants constituting R249.8 million</w:t>
      </w:r>
      <w:r w:rsidR="00702645" w:rsidRPr="005D4748">
        <w:rPr>
          <w:rFonts w:ascii="Arial" w:hAnsi="Arial" w:cs="Arial"/>
          <w:sz w:val="20"/>
          <w:szCs w:val="20"/>
        </w:rPr>
        <w:t xml:space="preserve"> and</w:t>
      </w:r>
      <w:r w:rsidRPr="005D4748">
        <w:rPr>
          <w:rFonts w:ascii="Arial" w:hAnsi="Arial" w:cs="Arial"/>
          <w:sz w:val="20"/>
          <w:szCs w:val="20"/>
        </w:rPr>
        <w:t xml:space="preserve"> the parliamentary grant of R181.3 million constituting 54.5% of total revenue. Contract </w:t>
      </w:r>
      <w:r w:rsidR="00A02CAF" w:rsidRPr="005D4748">
        <w:rPr>
          <w:rFonts w:ascii="Arial" w:hAnsi="Arial" w:cs="Arial"/>
          <w:sz w:val="20"/>
          <w:szCs w:val="20"/>
        </w:rPr>
        <w:t>revenue</w:t>
      </w:r>
      <w:r w:rsidRPr="005D4748">
        <w:rPr>
          <w:rFonts w:ascii="Arial" w:hAnsi="Arial" w:cs="Arial"/>
          <w:sz w:val="20"/>
          <w:szCs w:val="20"/>
        </w:rPr>
        <w:t xml:space="preserve"> </w:t>
      </w:r>
      <w:r w:rsidR="00702645" w:rsidRPr="005D4748">
        <w:rPr>
          <w:rFonts w:ascii="Arial" w:hAnsi="Arial" w:cs="Arial"/>
          <w:sz w:val="20"/>
          <w:szCs w:val="20"/>
        </w:rPr>
        <w:t>was</w:t>
      </w:r>
      <w:r w:rsidRPr="005D4748">
        <w:rPr>
          <w:rFonts w:ascii="Arial" w:hAnsi="Arial" w:cs="Arial"/>
          <w:sz w:val="20"/>
          <w:szCs w:val="20"/>
        </w:rPr>
        <w:t xml:space="preserve"> R83 million, which was R11.7 million more than was budgeted. This increase was mainly attributed to additional foreign </w:t>
      </w:r>
      <w:r w:rsidR="00A02CAF" w:rsidRPr="005D4748">
        <w:rPr>
          <w:rFonts w:ascii="Arial" w:hAnsi="Arial" w:cs="Arial"/>
          <w:sz w:val="20"/>
          <w:szCs w:val="20"/>
        </w:rPr>
        <w:t>revenue</w:t>
      </w:r>
      <w:r w:rsidRPr="005D4748">
        <w:rPr>
          <w:rFonts w:ascii="Arial" w:hAnsi="Arial" w:cs="Arial"/>
          <w:sz w:val="20"/>
          <w:szCs w:val="20"/>
        </w:rPr>
        <w:t xml:space="preserve"> earned through Space Operations from Intelsat </w:t>
      </w:r>
      <w:r w:rsidR="003D6C5D" w:rsidRPr="005D4748">
        <w:rPr>
          <w:rFonts w:ascii="Arial" w:hAnsi="Arial" w:cs="Arial"/>
          <w:sz w:val="20"/>
          <w:szCs w:val="20"/>
        </w:rPr>
        <w:t xml:space="preserve">(multinational satellite services provider) </w:t>
      </w:r>
      <w:r w:rsidRPr="005D4748">
        <w:rPr>
          <w:rFonts w:ascii="Arial" w:hAnsi="Arial" w:cs="Arial"/>
          <w:sz w:val="20"/>
          <w:szCs w:val="20"/>
        </w:rPr>
        <w:t>and Paneos</w:t>
      </w:r>
      <w:r w:rsidR="003D6C5D" w:rsidRPr="005D4748">
        <w:rPr>
          <w:rFonts w:ascii="Arial" w:hAnsi="Arial" w:cs="Arial"/>
          <w:sz w:val="20"/>
          <w:szCs w:val="20"/>
        </w:rPr>
        <w:t xml:space="preserve"> (antenna for the detection and monitoring of space debris)</w:t>
      </w:r>
      <w:r w:rsidRPr="005D4748">
        <w:rPr>
          <w:rFonts w:ascii="Arial" w:hAnsi="Arial" w:cs="Arial"/>
          <w:sz w:val="20"/>
          <w:szCs w:val="20"/>
        </w:rPr>
        <w:t xml:space="preserve">. Total expenditure </w:t>
      </w:r>
      <w:r w:rsidR="00702645" w:rsidRPr="005D4748">
        <w:rPr>
          <w:rFonts w:ascii="Arial" w:hAnsi="Arial" w:cs="Arial"/>
          <w:sz w:val="20"/>
          <w:szCs w:val="20"/>
        </w:rPr>
        <w:t>was</w:t>
      </w:r>
      <w:r w:rsidRPr="005D4748">
        <w:rPr>
          <w:rFonts w:ascii="Arial" w:hAnsi="Arial" w:cs="Arial"/>
          <w:sz w:val="20"/>
          <w:szCs w:val="20"/>
        </w:rPr>
        <w:t xml:space="preserve"> R</w:t>
      </w:r>
      <w:r w:rsidR="00BE4640" w:rsidRPr="005D4748">
        <w:rPr>
          <w:rFonts w:ascii="Arial" w:hAnsi="Arial" w:cs="Arial"/>
          <w:sz w:val="20"/>
          <w:szCs w:val="20"/>
        </w:rPr>
        <w:t>347</w:t>
      </w:r>
      <w:r w:rsidRPr="005D4748">
        <w:rPr>
          <w:rFonts w:ascii="Arial" w:hAnsi="Arial" w:cs="Arial"/>
          <w:sz w:val="20"/>
          <w:szCs w:val="20"/>
        </w:rPr>
        <w:t xml:space="preserve"> million and personnel expenditure accounted for </w:t>
      </w:r>
      <w:r w:rsidR="002A00EA" w:rsidRPr="005D4748">
        <w:rPr>
          <w:rFonts w:ascii="Arial" w:hAnsi="Arial" w:cs="Arial"/>
          <w:sz w:val="20"/>
          <w:szCs w:val="20"/>
        </w:rPr>
        <w:t>44</w:t>
      </w:r>
      <w:r w:rsidRPr="005D4748">
        <w:rPr>
          <w:rFonts w:ascii="Arial" w:hAnsi="Arial" w:cs="Arial"/>
          <w:sz w:val="20"/>
          <w:szCs w:val="20"/>
        </w:rPr>
        <w:t>% of total expenditure due to the high-level, scarce skills needed by SANSA.</w:t>
      </w:r>
    </w:p>
    <w:p w:rsidR="001F00FE" w:rsidRPr="005D4748" w:rsidRDefault="001F00FE" w:rsidP="005D4748">
      <w:pPr>
        <w:spacing w:after="0" w:line="240" w:lineRule="auto"/>
        <w:rPr>
          <w:rFonts w:ascii="Arial" w:hAnsi="Arial" w:cs="Arial"/>
          <w:sz w:val="20"/>
          <w:szCs w:val="20"/>
        </w:rPr>
      </w:pPr>
    </w:p>
    <w:p w:rsidR="001F00FE" w:rsidRPr="005D4748" w:rsidRDefault="001F00FE" w:rsidP="005D4748">
      <w:pPr>
        <w:spacing w:after="0" w:line="240" w:lineRule="auto"/>
        <w:rPr>
          <w:rFonts w:ascii="Arial" w:hAnsi="Arial" w:cs="Arial"/>
          <w:sz w:val="20"/>
          <w:szCs w:val="20"/>
        </w:rPr>
      </w:pPr>
      <w:r w:rsidRPr="005D4748">
        <w:rPr>
          <w:rFonts w:ascii="Arial" w:hAnsi="Arial" w:cs="Arial"/>
          <w:sz w:val="20"/>
          <w:szCs w:val="20"/>
        </w:rPr>
        <w:t>SANSA identified several key infrastructure projects with an estimated value of R4.54 billion. The major infrastructure project is the development of the Space Infrastructure Hub for which the feasibility study was concluded in this financial year. SANSA is also constructing a regional 24-hour Space Weather Operational Centre, which was 70% complet</w:t>
      </w:r>
      <w:r w:rsidR="0062491E" w:rsidRPr="005D4748">
        <w:rPr>
          <w:rFonts w:ascii="Arial" w:hAnsi="Arial" w:cs="Arial"/>
          <w:sz w:val="20"/>
          <w:szCs w:val="20"/>
        </w:rPr>
        <w:t>ed</w:t>
      </w:r>
      <w:r w:rsidRPr="005D4748">
        <w:rPr>
          <w:rFonts w:ascii="Arial" w:hAnsi="Arial" w:cs="Arial"/>
          <w:sz w:val="20"/>
          <w:szCs w:val="20"/>
        </w:rPr>
        <w:t xml:space="preserve"> a</w:t>
      </w:r>
      <w:r w:rsidR="0062491E" w:rsidRPr="005D4748">
        <w:rPr>
          <w:rFonts w:ascii="Arial" w:hAnsi="Arial" w:cs="Arial"/>
          <w:sz w:val="20"/>
          <w:szCs w:val="20"/>
        </w:rPr>
        <w:t>t</w:t>
      </w:r>
      <w:r w:rsidRPr="005D4748">
        <w:rPr>
          <w:rFonts w:ascii="Arial" w:hAnsi="Arial" w:cs="Arial"/>
          <w:sz w:val="20"/>
          <w:szCs w:val="20"/>
        </w:rPr>
        <w:t xml:space="preserve"> the end of the financial period under review.</w:t>
      </w:r>
    </w:p>
    <w:p w:rsidR="006612DF" w:rsidRPr="005D4748" w:rsidRDefault="006612DF" w:rsidP="005D4748">
      <w:pPr>
        <w:spacing w:after="0" w:line="240" w:lineRule="auto"/>
        <w:rPr>
          <w:rFonts w:ascii="Arial" w:eastAsia="Times New Roman" w:hAnsi="Arial" w:cs="Arial"/>
          <w:sz w:val="20"/>
          <w:szCs w:val="20"/>
          <w:lang w:val="en-GB"/>
        </w:rPr>
      </w:pPr>
    </w:p>
    <w:p w:rsidR="006612DF" w:rsidRPr="005D4748" w:rsidRDefault="006612DF" w:rsidP="005D4748">
      <w:pPr>
        <w:pStyle w:val="ListParagraph"/>
        <w:numPr>
          <w:ilvl w:val="2"/>
          <w:numId w:val="1"/>
        </w:numPr>
        <w:spacing w:after="0" w:line="240" w:lineRule="auto"/>
        <w:ind w:left="851" w:hanging="851"/>
        <w:rPr>
          <w:rFonts w:ascii="Arial" w:eastAsia="Times New Roman" w:hAnsi="Arial" w:cs="Arial"/>
          <w:b/>
          <w:sz w:val="20"/>
          <w:szCs w:val="20"/>
          <w:lang w:val="en-GB"/>
        </w:rPr>
      </w:pPr>
      <w:r w:rsidRPr="005D4748">
        <w:rPr>
          <w:rFonts w:ascii="Arial" w:eastAsia="Times New Roman" w:hAnsi="Arial" w:cs="Arial"/>
          <w:b/>
          <w:sz w:val="20"/>
          <w:szCs w:val="20"/>
          <w:lang w:val="en-GB"/>
        </w:rPr>
        <w:t>2021</w:t>
      </w:r>
      <w:r w:rsidR="00F948B1" w:rsidRPr="005D4748">
        <w:rPr>
          <w:rFonts w:ascii="Arial" w:eastAsia="Times New Roman" w:hAnsi="Arial" w:cs="Arial"/>
          <w:b/>
          <w:sz w:val="20"/>
          <w:szCs w:val="20"/>
          <w:lang w:val="en-GB"/>
        </w:rPr>
        <w:t>/22</w:t>
      </w:r>
      <w:r w:rsidRPr="005D4748">
        <w:rPr>
          <w:rFonts w:ascii="Arial" w:eastAsia="Times New Roman" w:hAnsi="Arial" w:cs="Arial"/>
          <w:b/>
          <w:sz w:val="20"/>
          <w:szCs w:val="20"/>
          <w:lang w:val="en-GB"/>
        </w:rPr>
        <w:t xml:space="preserve"> Performance</w:t>
      </w:r>
    </w:p>
    <w:p w:rsidR="006612DF" w:rsidRPr="005D4748" w:rsidRDefault="006612DF" w:rsidP="005D4748">
      <w:pPr>
        <w:spacing w:after="0" w:line="240" w:lineRule="auto"/>
        <w:rPr>
          <w:rFonts w:ascii="Arial" w:eastAsia="Times New Roman" w:hAnsi="Arial" w:cs="Arial"/>
          <w:sz w:val="20"/>
          <w:szCs w:val="20"/>
          <w:lang w:val="en-GB"/>
        </w:rPr>
      </w:pPr>
    </w:p>
    <w:p w:rsidR="006612DF" w:rsidRPr="005D4748" w:rsidRDefault="006612DF" w:rsidP="005D4748">
      <w:pPr>
        <w:spacing w:after="0" w:line="240" w:lineRule="auto"/>
        <w:rPr>
          <w:rFonts w:ascii="Arial" w:eastAsia="Times New Roman" w:hAnsi="Arial" w:cs="Arial"/>
          <w:sz w:val="20"/>
          <w:szCs w:val="20"/>
          <w:lang w:val="en-GB"/>
        </w:rPr>
      </w:pPr>
      <w:r w:rsidRPr="005D4748">
        <w:rPr>
          <w:rFonts w:ascii="Arial" w:eastAsia="Times New Roman" w:hAnsi="Arial" w:cs="Arial"/>
          <w:sz w:val="20"/>
          <w:szCs w:val="20"/>
          <w:lang w:val="en-GB"/>
        </w:rPr>
        <w:t xml:space="preserve">SANSA has five programmes; namely, </w:t>
      </w:r>
      <w:r w:rsidR="00A31F33" w:rsidRPr="005D4748">
        <w:rPr>
          <w:rFonts w:ascii="Arial" w:eastAsia="Times New Roman" w:hAnsi="Arial" w:cs="Arial"/>
          <w:sz w:val="20"/>
          <w:szCs w:val="20"/>
          <w:lang w:val="en-GB"/>
        </w:rPr>
        <w:t>Administration</w:t>
      </w:r>
      <w:r w:rsidRPr="005D4748">
        <w:rPr>
          <w:rFonts w:ascii="Arial" w:eastAsia="Times New Roman" w:hAnsi="Arial" w:cs="Arial"/>
          <w:sz w:val="20"/>
          <w:szCs w:val="20"/>
          <w:lang w:val="en-GB"/>
        </w:rPr>
        <w:t xml:space="preserve">, Earth Observation, Space Operations, Space Science and Space Engineering. These Programmes contribute to the following six </w:t>
      </w:r>
      <w:r w:rsidR="003C1D89" w:rsidRPr="005D4748">
        <w:rPr>
          <w:rFonts w:ascii="Arial" w:eastAsia="Times New Roman" w:hAnsi="Arial" w:cs="Arial"/>
          <w:sz w:val="20"/>
          <w:szCs w:val="20"/>
          <w:lang w:val="en-GB"/>
        </w:rPr>
        <w:t xml:space="preserve">strategic </w:t>
      </w:r>
      <w:r w:rsidRPr="005D4748">
        <w:rPr>
          <w:rFonts w:ascii="Arial" w:eastAsia="Times New Roman" w:hAnsi="Arial" w:cs="Arial"/>
          <w:sz w:val="20"/>
          <w:szCs w:val="20"/>
          <w:lang w:val="en-GB"/>
        </w:rPr>
        <w:t xml:space="preserve">outcomes against which performance </w:t>
      </w:r>
      <w:r w:rsidR="003C1D89" w:rsidRPr="005D4748">
        <w:rPr>
          <w:rFonts w:ascii="Arial" w:eastAsia="Times New Roman" w:hAnsi="Arial" w:cs="Arial"/>
          <w:sz w:val="20"/>
          <w:szCs w:val="20"/>
          <w:lang w:val="en-GB"/>
        </w:rPr>
        <w:t>wa</w:t>
      </w:r>
      <w:r w:rsidRPr="005D4748">
        <w:rPr>
          <w:rFonts w:ascii="Arial" w:eastAsia="Times New Roman" w:hAnsi="Arial" w:cs="Arial"/>
          <w:sz w:val="20"/>
          <w:szCs w:val="20"/>
          <w:lang w:val="en-GB"/>
        </w:rPr>
        <w:t>s measured:</w:t>
      </w:r>
    </w:p>
    <w:p w:rsidR="006612DF" w:rsidRPr="005D4748" w:rsidRDefault="006612DF" w:rsidP="005D4748">
      <w:pPr>
        <w:spacing w:after="0" w:line="240" w:lineRule="auto"/>
        <w:rPr>
          <w:rFonts w:ascii="Arial" w:eastAsia="Times New Roman" w:hAnsi="Arial" w:cs="Arial"/>
          <w:sz w:val="20"/>
          <w:szCs w:val="20"/>
          <w:lang w:val="en-GB"/>
        </w:rPr>
      </w:pPr>
    </w:p>
    <w:p w:rsidR="006612DF" w:rsidRPr="005D4748" w:rsidRDefault="006612DF" w:rsidP="005D4748">
      <w:pPr>
        <w:spacing w:after="0" w:line="240" w:lineRule="auto"/>
        <w:rPr>
          <w:rFonts w:ascii="Arial" w:eastAsia="Times New Roman" w:hAnsi="Arial" w:cs="Arial"/>
          <w:sz w:val="20"/>
          <w:szCs w:val="20"/>
          <w:lang w:val="en-GB"/>
        </w:rPr>
      </w:pPr>
      <w:r w:rsidRPr="005D4748">
        <w:rPr>
          <w:rFonts w:ascii="Arial" w:eastAsia="Times New Roman" w:hAnsi="Arial" w:cs="Arial"/>
          <w:b/>
          <w:sz w:val="20"/>
          <w:szCs w:val="20"/>
          <w:lang w:val="en-GB"/>
        </w:rPr>
        <w:t>Outcome 1:</w:t>
      </w:r>
      <w:r w:rsidR="00785D77" w:rsidRPr="005D4748">
        <w:rPr>
          <w:rFonts w:ascii="Arial" w:eastAsia="Times New Roman" w:hAnsi="Arial" w:cs="Arial"/>
          <w:b/>
          <w:sz w:val="20"/>
          <w:szCs w:val="20"/>
          <w:lang w:val="en-GB"/>
        </w:rPr>
        <w:tab/>
      </w:r>
      <w:r w:rsidRPr="005D4748">
        <w:rPr>
          <w:rFonts w:ascii="Arial" w:eastAsia="Times New Roman" w:hAnsi="Arial" w:cs="Arial"/>
          <w:sz w:val="20"/>
          <w:szCs w:val="20"/>
          <w:lang w:val="en-GB"/>
        </w:rPr>
        <w:t>Increased space relevant knowledge that supports the developmental agenda</w:t>
      </w:r>
      <w:r w:rsidR="00785D77" w:rsidRPr="005D4748">
        <w:rPr>
          <w:rFonts w:ascii="Arial" w:eastAsia="Times New Roman" w:hAnsi="Arial" w:cs="Arial"/>
          <w:sz w:val="20"/>
          <w:szCs w:val="20"/>
          <w:lang w:val="en-GB"/>
        </w:rPr>
        <w:t>;</w:t>
      </w:r>
    </w:p>
    <w:p w:rsidR="006612DF" w:rsidRPr="005D4748" w:rsidRDefault="006612DF" w:rsidP="005D4748">
      <w:pPr>
        <w:spacing w:after="0" w:line="240" w:lineRule="auto"/>
        <w:rPr>
          <w:rFonts w:ascii="Arial" w:eastAsia="Times New Roman" w:hAnsi="Arial" w:cs="Arial"/>
          <w:sz w:val="20"/>
          <w:szCs w:val="20"/>
          <w:lang w:val="en-GB"/>
        </w:rPr>
      </w:pPr>
      <w:r w:rsidRPr="005D4748">
        <w:rPr>
          <w:rFonts w:ascii="Arial" w:eastAsia="Times New Roman" w:hAnsi="Arial" w:cs="Arial"/>
          <w:b/>
          <w:sz w:val="20"/>
          <w:szCs w:val="20"/>
          <w:lang w:val="en-GB"/>
        </w:rPr>
        <w:t>Outcome 2:</w:t>
      </w:r>
      <w:r w:rsidR="00785D77" w:rsidRPr="005D4748">
        <w:rPr>
          <w:rFonts w:ascii="Arial" w:eastAsia="Times New Roman" w:hAnsi="Arial" w:cs="Arial"/>
          <w:b/>
          <w:sz w:val="20"/>
          <w:szCs w:val="20"/>
          <w:lang w:val="en-GB"/>
        </w:rPr>
        <w:tab/>
      </w:r>
      <w:r w:rsidRPr="005D4748">
        <w:rPr>
          <w:rFonts w:ascii="Arial" w:eastAsia="Times New Roman" w:hAnsi="Arial" w:cs="Arial"/>
          <w:sz w:val="20"/>
          <w:szCs w:val="20"/>
          <w:lang w:val="en-GB"/>
        </w:rPr>
        <w:t>Growth of the space sector through SANSA space related industry expenditure</w:t>
      </w:r>
      <w:r w:rsidR="00785D77" w:rsidRPr="005D4748">
        <w:rPr>
          <w:rFonts w:ascii="Arial" w:eastAsia="Times New Roman" w:hAnsi="Arial" w:cs="Arial"/>
          <w:sz w:val="20"/>
          <w:szCs w:val="20"/>
          <w:lang w:val="en-GB"/>
        </w:rPr>
        <w:t>;</w:t>
      </w:r>
    </w:p>
    <w:p w:rsidR="006612DF" w:rsidRPr="005D4748" w:rsidRDefault="006612DF" w:rsidP="005D4748">
      <w:pPr>
        <w:spacing w:after="0" w:line="240" w:lineRule="auto"/>
        <w:rPr>
          <w:rFonts w:ascii="Arial" w:eastAsia="Times New Roman" w:hAnsi="Arial" w:cs="Arial"/>
          <w:sz w:val="20"/>
          <w:szCs w:val="20"/>
          <w:lang w:val="en-GB"/>
        </w:rPr>
      </w:pPr>
      <w:r w:rsidRPr="005D4748">
        <w:rPr>
          <w:rFonts w:ascii="Arial" w:eastAsia="Times New Roman" w:hAnsi="Arial" w:cs="Arial"/>
          <w:b/>
          <w:sz w:val="20"/>
          <w:szCs w:val="20"/>
          <w:lang w:val="en-GB"/>
        </w:rPr>
        <w:t>Outcome 3:</w:t>
      </w:r>
      <w:r w:rsidR="00785D77" w:rsidRPr="005D4748">
        <w:rPr>
          <w:rFonts w:ascii="Arial" w:eastAsia="Times New Roman" w:hAnsi="Arial" w:cs="Arial"/>
          <w:b/>
          <w:sz w:val="20"/>
          <w:szCs w:val="20"/>
          <w:lang w:val="en-GB"/>
        </w:rPr>
        <w:tab/>
      </w:r>
      <w:r w:rsidRPr="005D4748">
        <w:rPr>
          <w:rFonts w:ascii="Arial" w:eastAsia="Times New Roman" w:hAnsi="Arial" w:cs="Arial"/>
          <w:sz w:val="20"/>
          <w:szCs w:val="20"/>
          <w:lang w:val="en-GB"/>
        </w:rPr>
        <w:t>Increased human capacity for the implementation of key space initiatives</w:t>
      </w:r>
      <w:r w:rsidR="00785D77" w:rsidRPr="005D4748">
        <w:rPr>
          <w:rFonts w:ascii="Arial" w:eastAsia="Times New Roman" w:hAnsi="Arial" w:cs="Arial"/>
          <w:sz w:val="20"/>
          <w:szCs w:val="20"/>
          <w:lang w:val="en-GB"/>
        </w:rPr>
        <w:t>;</w:t>
      </w:r>
    </w:p>
    <w:p w:rsidR="006612DF" w:rsidRPr="005D4748" w:rsidRDefault="006612DF" w:rsidP="005D4748">
      <w:pPr>
        <w:spacing w:after="0" w:line="240" w:lineRule="auto"/>
        <w:rPr>
          <w:rFonts w:ascii="Arial" w:eastAsia="Times New Roman" w:hAnsi="Arial" w:cs="Arial"/>
          <w:sz w:val="20"/>
          <w:szCs w:val="20"/>
          <w:lang w:val="en-GB"/>
        </w:rPr>
      </w:pPr>
      <w:r w:rsidRPr="005D4748">
        <w:rPr>
          <w:rFonts w:ascii="Arial" w:eastAsia="Times New Roman" w:hAnsi="Arial" w:cs="Arial"/>
          <w:b/>
          <w:sz w:val="20"/>
          <w:szCs w:val="20"/>
          <w:lang w:val="en-GB"/>
        </w:rPr>
        <w:t>Outcome 4:</w:t>
      </w:r>
      <w:r w:rsidR="00785D77" w:rsidRPr="005D4748">
        <w:rPr>
          <w:rFonts w:ascii="Arial" w:eastAsia="Times New Roman" w:hAnsi="Arial" w:cs="Arial"/>
          <w:b/>
          <w:sz w:val="20"/>
          <w:szCs w:val="20"/>
          <w:lang w:val="en-GB"/>
        </w:rPr>
        <w:tab/>
      </w:r>
      <w:r w:rsidRPr="005D4748">
        <w:rPr>
          <w:rFonts w:ascii="Arial" w:eastAsia="Times New Roman" w:hAnsi="Arial" w:cs="Arial"/>
          <w:sz w:val="20"/>
          <w:szCs w:val="20"/>
          <w:lang w:val="en-GB"/>
        </w:rPr>
        <w:t>SANSA positioned as a key enabler of government’s space</w:t>
      </w:r>
      <w:r w:rsidR="00EF5585" w:rsidRPr="005D4748">
        <w:rPr>
          <w:rFonts w:ascii="Arial" w:eastAsia="Times New Roman" w:hAnsi="Arial" w:cs="Arial"/>
          <w:sz w:val="20"/>
          <w:szCs w:val="20"/>
          <w:lang w:val="en-GB"/>
        </w:rPr>
        <w:t xml:space="preserve"> </w:t>
      </w:r>
      <w:r w:rsidRPr="005D4748">
        <w:rPr>
          <w:rFonts w:ascii="Arial" w:eastAsia="Times New Roman" w:hAnsi="Arial" w:cs="Arial"/>
          <w:sz w:val="20"/>
          <w:szCs w:val="20"/>
          <w:lang w:val="en-GB"/>
        </w:rPr>
        <w:t>related policies</w:t>
      </w:r>
      <w:r w:rsidR="00785D77" w:rsidRPr="005D4748">
        <w:rPr>
          <w:rFonts w:ascii="Arial" w:eastAsia="Times New Roman" w:hAnsi="Arial" w:cs="Arial"/>
          <w:sz w:val="20"/>
          <w:szCs w:val="20"/>
          <w:lang w:val="en-GB"/>
        </w:rPr>
        <w:t>;</w:t>
      </w:r>
    </w:p>
    <w:p w:rsidR="006612DF" w:rsidRPr="005D4748" w:rsidRDefault="006612DF" w:rsidP="005D4748">
      <w:pPr>
        <w:spacing w:after="0" w:line="240" w:lineRule="auto"/>
        <w:rPr>
          <w:rFonts w:ascii="Arial" w:eastAsia="Times New Roman" w:hAnsi="Arial" w:cs="Arial"/>
          <w:sz w:val="20"/>
          <w:szCs w:val="20"/>
          <w:lang w:val="en-GB"/>
        </w:rPr>
      </w:pPr>
      <w:r w:rsidRPr="005D4748">
        <w:rPr>
          <w:rFonts w:ascii="Arial" w:eastAsia="Times New Roman" w:hAnsi="Arial" w:cs="Arial"/>
          <w:b/>
          <w:sz w:val="20"/>
          <w:szCs w:val="20"/>
          <w:lang w:val="en-GB"/>
        </w:rPr>
        <w:t>Outcome 5:</w:t>
      </w:r>
      <w:r w:rsidR="00785D77" w:rsidRPr="005D4748">
        <w:rPr>
          <w:rFonts w:ascii="Arial" w:eastAsia="Times New Roman" w:hAnsi="Arial" w:cs="Arial"/>
          <w:b/>
          <w:sz w:val="20"/>
          <w:szCs w:val="20"/>
          <w:lang w:val="en-GB"/>
        </w:rPr>
        <w:tab/>
      </w:r>
      <w:r w:rsidRPr="005D4748">
        <w:rPr>
          <w:rFonts w:ascii="Arial" w:eastAsia="Times New Roman" w:hAnsi="Arial" w:cs="Arial"/>
          <w:sz w:val="20"/>
          <w:szCs w:val="20"/>
          <w:lang w:val="en-GB"/>
        </w:rPr>
        <w:t>Appropriate infrastructure developed to support the local space sector</w:t>
      </w:r>
      <w:r w:rsidR="00785D77" w:rsidRPr="005D4748">
        <w:rPr>
          <w:rFonts w:ascii="Arial" w:eastAsia="Times New Roman" w:hAnsi="Arial" w:cs="Arial"/>
          <w:sz w:val="20"/>
          <w:szCs w:val="20"/>
          <w:lang w:val="en-GB"/>
        </w:rPr>
        <w:t>; and</w:t>
      </w:r>
    </w:p>
    <w:p w:rsidR="006612DF" w:rsidRPr="005D4748" w:rsidRDefault="006612DF" w:rsidP="005D4748">
      <w:pPr>
        <w:spacing w:after="0" w:line="240" w:lineRule="auto"/>
        <w:rPr>
          <w:rFonts w:ascii="Arial" w:eastAsia="Times New Roman" w:hAnsi="Arial" w:cs="Arial"/>
          <w:sz w:val="20"/>
          <w:szCs w:val="20"/>
          <w:lang w:val="en-GB"/>
        </w:rPr>
      </w:pPr>
      <w:r w:rsidRPr="005D4748">
        <w:rPr>
          <w:rFonts w:ascii="Arial" w:eastAsia="Times New Roman" w:hAnsi="Arial" w:cs="Arial"/>
          <w:b/>
          <w:sz w:val="20"/>
          <w:szCs w:val="20"/>
          <w:lang w:val="en-GB"/>
        </w:rPr>
        <w:t>Outcome 6:</w:t>
      </w:r>
      <w:r w:rsidR="00785D77" w:rsidRPr="005D4748">
        <w:rPr>
          <w:rFonts w:ascii="Arial" w:eastAsia="Times New Roman" w:hAnsi="Arial" w:cs="Arial"/>
          <w:b/>
          <w:sz w:val="20"/>
          <w:szCs w:val="20"/>
          <w:lang w:val="en-GB"/>
        </w:rPr>
        <w:tab/>
      </w:r>
      <w:r w:rsidRPr="005D4748">
        <w:rPr>
          <w:rFonts w:ascii="Arial" w:eastAsia="Times New Roman" w:hAnsi="Arial" w:cs="Arial"/>
          <w:sz w:val="20"/>
          <w:szCs w:val="20"/>
          <w:lang w:val="en-GB"/>
        </w:rPr>
        <w:t>Increased share of the global space operations market.</w:t>
      </w:r>
    </w:p>
    <w:p w:rsidR="006612DF" w:rsidRPr="005D4748" w:rsidRDefault="006612DF" w:rsidP="005D4748">
      <w:pPr>
        <w:spacing w:after="0" w:line="240" w:lineRule="auto"/>
        <w:rPr>
          <w:rFonts w:ascii="Arial" w:eastAsia="Times New Roman" w:hAnsi="Arial" w:cs="Arial"/>
          <w:sz w:val="20"/>
          <w:szCs w:val="20"/>
          <w:lang w:val="en-GB"/>
        </w:rPr>
      </w:pPr>
    </w:p>
    <w:p w:rsidR="00D24414" w:rsidRPr="005D4748" w:rsidRDefault="00D24414" w:rsidP="005D4748">
      <w:pPr>
        <w:spacing w:after="0" w:line="240" w:lineRule="auto"/>
        <w:rPr>
          <w:rFonts w:ascii="Arial" w:hAnsi="Arial" w:cs="Arial"/>
          <w:sz w:val="20"/>
          <w:szCs w:val="20"/>
        </w:rPr>
      </w:pPr>
      <w:r w:rsidRPr="005D4748">
        <w:rPr>
          <w:rFonts w:ascii="Arial" w:hAnsi="Arial" w:cs="Arial"/>
          <w:sz w:val="20"/>
          <w:szCs w:val="20"/>
        </w:rPr>
        <w:t>SANSA achieved an overall performance of 94% for the 2021/22 financial year (82% in 2020/21).</w:t>
      </w:r>
    </w:p>
    <w:p w:rsidR="00D24414" w:rsidRPr="005D4748" w:rsidRDefault="00D24414" w:rsidP="005D4748">
      <w:pPr>
        <w:spacing w:after="0" w:line="240" w:lineRule="auto"/>
        <w:rPr>
          <w:rFonts w:ascii="Arial" w:hAnsi="Arial" w:cs="Arial"/>
          <w:sz w:val="20"/>
          <w:szCs w:val="20"/>
        </w:rPr>
      </w:pPr>
    </w:p>
    <w:p w:rsidR="00D24414" w:rsidRPr="005D4748" w:rsidRDefault="00D24414" w:rsidP="005D4748">
      <w:pPr>
        <w:spacing w:after="0" w:line="240" w:lineRule="auto"/>
        <w:rPr>
          <w:rFonts w:ascii="Arial" w:hAnsi="Arial" w:cs="Arial"/>
          <w:sz w:val="20"/>
          <w:szCs w:val="20"/>
        </w:rPr>
      </w:pPr>
      <w:r w:rsidRPr="005D4748">
        <w:rPr>
          <w:rFonts w:ascii="Arial" w:hAnsi="Arial" w:cs="Arial"/>
          <w:b/>
          <w:sz w:val="20"/>
          <w:szCs w:val="20"/>
        </w:rPr>
        <w:t>Programme 1: Administration</w:t>
      </w:r>
      <w:r w:rsidRPr="005D4748">
        <w:rPr>
          <w:rFonts w:ascii="Arial" w:hAnsi="Arial" w:cs="Arial"/>
          <w:sz w:val="20"/>
          <w:szCs w:val="20"/>
        </w:rPr>
        <w:t xml:space="preserve"> – Many initiatives were undertaken in relation to new business development, stakeholder engagement and communication. However, </w:t>
      </w:r>
      <w:r w:rsidR="00507644" w:rsidRPr="005D4748">
        <w:rPr>
          <w:rFonts w:ascii="Arial" w:hAnsi="Arial" w:cs="Arial"/>
          <w:sz w:val="20"/>
          <w:szCs w:val="20"/>
        </w:rPr>
        <w:t>neither the Skills Audit nor</w:t>
      </w:r>
      <w:r w:rsidRPr="005D4748">
        <w:rPr>
          <w:rFonts w:ascii="Arial" w:hAnsi="Arial" w:cs="Arial"/>
          <w:sz w:val="20"/>
          <w:szCs w:val="20"/>
        </w:rPr>
        <w:t xml:space="preserve"> Workforce Plan, which were the measurable performance targets, </w:t>
      </w:r>
      <w:r w:rsidR="00507644" w:rsidRPr="005D4748">
        <w:rPr>
          <w:rFonts w:ascii="Arial" w:hAnsi="Arial" w:cs="Arial"/>
          <w:sz w:val="20"/>
          <w:szCs w:val="20"/>
        </w:rPr>
        <w:t>was</w:t>
      </w:r>
      <w:r w:rsidRPr="005D4748">
        <w:rPr>
          <w:rFonts w:ascii="Arial" w:hAnsi="Arial" w:cs="Arial"/>
          <w:sz w:val="20"/>
          <w:szCs w:val="20"/>
        </w:rPr>
        <w:t xml:space="preserve"> concluded. This was due to the </w:t>
      </w:r>
      <w:r w:rsidRPr="005D4748">
        <w:rPr>
          <w:rFonts w:ascii="Arial" w:hAnsi="Arial" w:cs="Arial"/>
          <w:sz w:val="20"/>
          <w:szCs w:val="20"/>
        </w:rPr>
        <w:lastRenderedPageBreak/>
        <w:t>Skills Audit project only being launched in January 2022, with the Workforce Plan being a deliverable of this project.</w:t>
      </w:r>
    </w:p>
    <w:p w:rsidR="00D24414" w:rsidRPr="005D4748" w:rsidRDefault="00D24414" w:rsidP="005D4748">
      <w:pPr>
        <w:spacing w:after="0" w:line="240" w:lineRule="auto"/>
        <w:rPr>
          <w:rFonts w:ascii="Arial" w:hAnsi="Arial" w:cs="Arial"/>
          <w:sz w:val="20"/>
          <w:szCs w:val="20"/>
        </w:rPr>
      </w:pPr>
    </w:p>
    <w:p w:rsidR="00D24414" w:rsidRPr="005D4748" w:rsidRDefault="00D24414" w:rsidP="005D4748">
      <w:pPr>
        <w:spacing w:after="0" w:line="240" w:lineRule="auto"/>
        <w:rPr>
          <w:rFonts w:ascii="Arial" w:hAnsi="Arial" w:cs="Arial"/>
          <w:sz w:val="20"/>
          <w:szCs w:val="20"/>
        </w:rPr>
      </w:pPr>
      <w:r w:rsidRPr="005D4748">
        <w:rPr>
          <w:rFonts w:ascii="Arial" w:hAnsi="Arial" w:cs="Arial"/>
          <w:b/>
          <w:sz w:val="20"/>
          <w:szCs w:val="20"/>
        </w:rPr>
        <w:t>Programme 2: Earth Observation</w:t>
      </w:r>
      <w:r w:rsidRPr="005D4748">
        <w:rPr>
          <w:rFonts w:ascii="Arial" w:hAnsi="Arial" w:cs="Arial"/>
          <w:sz w:val="20"/>
          <w:szCs w:val="20"/>
        </w:rPr>
        <w:t xml:space="preserve"> – Met all 12 measurable performance targets. </w:t>
      </w:r>
    </w:p>
    <w:p w:rsidR="00D24414" w:rsidRPr="005D4748" w:rsidRDefault="00D24414" w:rsidP="005D4748">
      <w:pPr>
        <w:spacing w:after="0" w:line="240" w:lineRule="auto"/>
        <w:rPr>
          <w:rFonts w:ascii="Arial" w:hAnsi="Arial" w:cs="Arial"/>
          <w:sz w:val="20"/>
          <w:szCs w:val="20"/>
        </w:rPr>
      </w:pPr>
    </w:p>
    <w:p w:rsidR="00D24414" w:rsidRPr="005D4748" w:rsidRDefault="00D24414" w:rsidP="005D4748">
      <w:pPr>
        <w:spacing w:after="0" w:line="240" w:lineRule="auto"/>
        <w:rPr>
          <w:rFonts w:ascii="Arial" w:hAnsi="Arial" w:cs="Arial"/>
          <w:sz w:val="20"/>
          <w:szCs w:val="20"/>
        </w:rPr>
      </w:pPr>
      <w:r w:rsidRPr="005D4748">
        <w:rPr>
          <w:rFonts w:ascii="Arial" w:hAnsi="Arial" w:cs="Arial"/>
          <w:b/>
          <w:sz w:val="20"/>
          <w:szCs w:val="20"/>
        </w:rPr>
        <w:t>Programme 3: Space Science</w:t>
      </w:r>
      <w:r w:rsidRPr="005D4748">
        <w:rPr>
          <w:rFonts w:ascii="Arial" w:hAnsi="Arial" w:cs="Arial"/>
          <w:sz w:val="20"/>
          <w:szCs w:val="20"/>
        </w:rPr>
        <w:t xml:space="preserve"> – Met all nine measurable performance targets.</w:t>
      </w:r>
    </w:p>
    <w:p w:rsidR="00D24414" w:rsidRPr="005D4748" w:rsidRDefault="00D24414" w:rsidP="005D4748">
      <w:pPr>
        <w:spacing w:after="0" w:line="240" w:lineRule="auto"/>
        <w:rPr>
          <w:rFonts w:ascii="Arial" w:hAnsi="Arial" w:cs="Arial"/>
          <w:sz w:val="20"/>
          <w:szCs w:val="20"/>
        </w:rPr>
      </w:pPr>
    </w:p>
    <w:p w:rsidR="00D24414" w:rsidRPr="005D4748" w:rsidRDefault="00D24414" w:rsidP="005D4748">
      <w:pPr>
        <w:spacing w:after="0" w:line="240" w:lineRule="auto"/>
        <w:rPr>
          <w:rFonts w:ascii="Arial" w:hAnsi="Arial" w:cs="Arial"/>
          <w:sz w:val="20"/>
          <w:szCs w:val="20"/>
        </w:rPr>
      </w:pPr>
      <w:r w:rsidRPr="005D4748">
        <w:rPr>
          <w:rFonts w:ascii="Arial" w:hAnsi="Arial" w:cs="Arial"/>
          <w:b/>
          <w:sz w:val="20"/>
          <w:szCs w:val="20"/>
        </w:rPr>
        <w:t xml:space="preserve">Programme 4: Space Operations – </w:t>
      </w:r>
      <w:r w:rsidRPr="005D4748">
        <w:rPr>
          <w:rFonts w:ascii="Arial" w:hAnsi="Arial" w:cs="Arial"/>
          <w:sz w:val="20"/>
          <w:szCs w:val="20"/>
        </w:rPr>
        <w:t>Met all three measurable performance targets.</w:t>
      </w:r>
    </w:p>
    <w:p w:rsidR="00D24414" w:rsidRPr="005D4748" w:rsidRDefault="00D24414" w:rsidP="005D4748">
      <w:pPr>
        <w:spacing w:after="0" w:line="240" w:lineRule="auto"/>
        <w:rPr>
          <w:rFonts w:ascii="Arial" w:hAnsi="Arial" w:cs="Arial"/>
          <w:sz w:val="20"/>
          <w:szCs w:val="20"/>
        </w:rPr>
      </w:pPr>
    </w:p>
    <w:p w:rsidR="00D24414" w:rsidRPr="005D4748" w:rsidRDefault="00D24414" w:rsidP="005D4748">
      <w:pPr>
        <w:spacing w:after="0" w:line="240" w:lineRule="auto"/>
        <w:rPr>
          <w:rFonts w:ascii="Arial" w:hAnsi="Arial" w:cs="Arial"/>
          <w:sz w:val="20"/>
          <w:szCs w:val="20"/>
        </w:rPr>
      </w:pPr>
      <w:r w:rsidRPr="005D4748">
        <w:rPr>
          <w:rFonts w:ascii="Arial" w:hAnsi="Arial" w:cs="Arial"/>
          <w:b/>
          <w:sz w:val="20"/>
          <w:szCs w:val="20"/>
        </w:rPr>
        <w:t xml:space="preserve">Programme 5: Space Engineering – </w:t>
      </w:r>
      <w:r w:rsidRPr="005D4748">
        <w:rPr>
          <w:rFonts w:ascii="Arial" w:hAnsi="Arial" w:cs="Arial"/>
          <w:sz w:val="20"/>
          <w:szCs w:val="20"/>
        </w:rPr>
        <w:t>Met three of the seven measurable performance targets. The targets that were not met are:</w:t>
      </w:r>
    </w:p>
    <w:p w:rsidR="00D24414" w:rsidRPr="005D4748" w:rsidRDefault="00D24414" w:rsidP="005D4748">
      <w:pPr>
        <w:pStyle w:val="ListParagraph"/>
        <w:numPr>
          <w:ilvl w:val="0"/>
          <w:numId w:val="16"/>
        </w:numPr>
        <w:spacing w:after="0" w:line="240" w:lineRule="auto"/>
        <w:ind w:left="567" w:hanging="567"/>
        <w:contextualSpacing w:val="0"/>
        <w:rPr>
          <w:rFonts w:ascii="Arial" w:hAnsi="Arial" w:cs="Arial"/>
          <w:sz w:val="20"/>
          <w:szCs w:val="20"/>
        </w:rPr>
      </w:pPr>
      <w:r w:rsidRPr="005D4748">
        <w:rPr>
          <w:rFonts w:ascii="Arial" w:hAnsi="Arial" w:cs="Arial"/>
          <w:sz w:val="20"/>
          <w:szCs w:val="20"/>
        </w:rPr>
        <w:t>The percentage (20%) contract expenditure to small and medium enterprises (SMEs), and contract expenditure to broad space industry (R10 million) due to the ongoing negotiations around the transfer of the Houwteq Assembly Integration and Testing (AIT) facility from Denel to SANSA. The expenditure would have been towards the upgrade of the facility.</w:t>
      </w:r>
    </w:p>
    <w:p w:rsidR="00D24414" w:rsidRPr="005D4748" w:rsidRDefault="00D24414" w:rsidP="005D4748">
      <w:pPr>
        <w:pStyle w:val="ListParagraph"/>
        <w:numPr>
          <w:ilvl w:val="0"/>
          <w:numId w:val="16"/>
        </w:numPr>
        <w:spacing w:after="0" w:line="240" w:lineRule="auto"/>
        <w:ind w:left="567" w:hanging="567"/>
        <w:contextualSpacing w:val="0"/>
        <w:rPr>
          <w:rFonts w:ascii="Arial" w:hAnsi="Arial" w:cs="Arial"/>
          <w:sz w:val="20"/>
          <w:szCs w:val="20"/>
        </w:rPr>
      </w:pPr>
      <w:r w:rsidRPr="005D4748">
        <w:rPr>
          <w:rFonts w:ascii="Arial" w:hAnsi="Arial" w:cs="Arial"/>
          <w:sz w:val="20"/>
          <w:szCs w:val="20"/>
        </w:rPr>
        <w:t>The targets (one each) set for activities initiated through African and National partnerships. Work on these initiatives is still pending.</w:t>
      </w:r>
    </w:p>
    <w:p w:rsidR="00D24414" w:rsidRPr="005D4748" w:rsidRDefault="00D24414" w:rsidP="005D4748">
      <w:pPr>
        <w:spacing w:after="0" w:line="240" w:lineRule="auto"/>
        <w:rPr>
          <w:rFonts w:ascii="Arial" w:eastAsia="Times New Roman" w:hAnsi="Arial" w:cs="Arial"/>
          <w:sz w:val="20"/>
          <w:szCs w:val="20"/>
          <w:lang w:val="en-GB"/>
        </w:rPr>
      </w:pPr>
    </w:p>
    <w:p w:rsidR="00E05393" w:rsidRPr="005D4748" w:rsidRDefault="00213586" w:rsidP="005D4748">
      <w:pPr>
        <w:spacing w:after="0" w:line="240" w:lineRule="auto"/>
        <w:rPr>
          <w:rFonts w:ascii="Arial" w:eastAsia="Times New Roman" w:hAnsi="Arial" w:cs="Arial"/>
          <w:sz w:val="20"/>
          <w:szCs w:val="20"/>
          <w:lang w:val="en-GB"/>
        </w:rPr>
      </w:pPr>
      <w:r w:rsidRPr="005D4748">
        <w:rPr>
          <w:rFonts w:ascii="Arial" w:eastAsia="Times New Roman" w:hAnsi="Arial" w:cs="Arial"/>
          <w:sz w:val="20"/>
          <w:szCs w:val="20"/>
          <w:lang w:val="en-GB"/>
        </w:rPr>
        <w:t>Selected performance highlights include</w:t>
      </w:r>
      <w:r w:rsidR="00851D80" w:rsidRPr="005D4748">
        <w:rPr>
          <w:rFonts w:ascii="Arial" w:eastAsia="Times New Roman" w:hAnsi="Arial" w:cs="Arial"/>
          <w:sz w:val="20"/>
          <w:szCs w:val="20"/>
          <w:lang w:val="en-GB"/>
        </w:rPr>
        <w:t>d</w:t>
      </w:r>
      <w:r w:rsidRPr="005D4748">
        <w:rPr>
          <w:rFonts w:ascii="Arial" w:eastAsia="Times New Roman" w:hAnsi="Arial" w:cs="Arial"/>
          <w:sz w:val="20"/>
          <w:szCs w:val="20"/>
          <w:lang w:val="en-GB"/>
        </w:rPr>
        <w:t>:</w:t>
      </w:r>
    </w:p>
    <w:p w:rsidR="00213586" w:rsidRPr="005D4748" w:rsidRDefault="00213586" w:rsidP="005D4748">
      <w:pPr>
        <w:spacing w:after="0" w:line="240" w:lineRule="auto"/>
        <w:rPr>
          <w:rFonts w:ascii="Arial" w:eastAsia="Times New Roman" w:hAnsi="Arial" w:cs="Arial"/>
          <w:sz w:val="20"/>
          <w:szCs w:val="20"/>
          <w:lang w:val="en-GB"/>
        </w:rPr>
      </w:pPr>
    </w:p>
    <w:p w:rsidR="00E05393" w:rsidRPr="005D4748" w:rsidRDefault="00D017F7" w:rsidP="005D4748">
      <w:pPr>
        <w:pStyle w:val="ListParagraph"/>
        <w:numPr>
          <w:ilvl w:val="3"/>
          <w:numId w:val="5"/>
        </w:numPr>
        <w:spacing w:after="0" w:line="240" w:lineRule="auto"/>
        <w:ind w:left="567" w:hanging="567"/>
        <w:rPr>
          <w:rFonts w:ascii="Arial" w:eastAsia="Times New Roman" w:hAnsi="Arial" w:cs="Arial"/>
          <w:sz w:val="20"/>
          <w:szCs w:val="20"/>
          <w:lang w:val="en-GB"/>
        </w:rPr>
      </w:pPr>
      <w:r w:rsidRPr="005D4748">
        <w:rPr>
          <w:rFonts w:ascii="Arial" w:eastAsia="Times New Roman" w:hAnsi="Arial" w:cs="Arial"/>
          <w:sz w:val="20"/>
          <w:szCs w:val="20"/>
          <w:lang w:val="en-GB"/>
        </w:rPr>
        <w:t>SANSA was appointed as the host of the Digital Earth Africa Programme Management Office to amplify the value of Earth Observations for the continent</w:t>
      </w:r>
      <w:r w:rsidR="001D788E" w:rsidRPr="005D4748">
        <w:rPr>
          <w:rFonts w:ascii="Arial" w:eastAsia="Times New Roman" w:hAnsi="Arial" w:cs="Arial"/>
          <w:sz w:val="20"/>
          <w:szCs w:val="20"/>
          <w:lang w:val="en-GB"/>
        </w:rPr>
        <w:t>.</w:t>
      </w:r>
    </w:p>
    <w:p w:rsidR="009C35FA" w:rsidRPr="005D4748" w:rsidRDefault="00D017F7" w:rsidP="005D4748">
      <w:pPr>
        <w:pStyle w:val="ListParagraph"/>
        <w:numPr>
          <w:ilvl w:val="3"/>
          <w:numId w:val="5"/>
        </w:numPr>
        <w:spacing w:after="0" w:line="240" w:lineRule="auto"/>
        <w:ind w:left="567" w:hanging="567"/>
        <w:rPr>
          <w:rFonts w:ascii="Arial" w:eastAsia="Times New Roman" w:hAnsi="Arial" w:cs="Arial"/>
          <w:sz w:val="20"/>
          <w:szCs w:val="20"/>
          <w:lang w:val="en-GB"/>
        </w:rPr>
      </w:pPr>
      <w:r w:rsidRPr="005D4748">
        <w:rPr>
          <w:rFonts w:ascii="Arial" w:eastAsia="Times New Roman" w:hAnsi="Arial" w:cs="Arial"/>
          <w:sz w:val="20"/>
          <w:szCs w:val="20"/>
          <w:lang w:val="en-GB"/>
        </w:rPr>
        <w:t>SANSA has expertise in the entire space value chain from research, to development, to</w:t>
      </w:r>
      <w:r w:rsidR="00143C06" w:rsidRPr="005D4748">
        <w:rPr>
          <w:rFonts w:ascii="Arial" w:eastAsia="Times New Roman" w:hAnsi="Arial" w:cs="Arial"/>
          <w:sz w:val="20"/>
          <w:szCs w:val="20"/>
          <w:lang w:val="en-GB"/>
        </w:rPr>
        <w:t xml:space="preserve"> a</w:t>
      </w:r>
      <w:r w:rsidRPr="005D4748">
        <w:rPr>
          <w:rFonts w:ascii="Arial" w:eastAsia="Times New Roman" w:hAnsi="Arial" w:cs="Arial"/>
          <w:sz w:val="20"/>
          <w:szCs w:val="20"/>
          <w:lang w:val="en-GB"/>
        </w:rPr>
        <w:t xml:space="preserve">pplication and its research can be placed in the </w:t>
      </w:r>
      <w:r w:rsidR="008B061B" w:rsidRPr="005D4748">
        <w:rPr>
          <w:rFonts w:ascii="Arial" w:eastAsia="Times New Roman" w:hAnsi="Arial" w:cs="Arial"/>
          <w:sz w:val="20"/>
          <w:szCs w:val="20"/>
          <w:lang w:val="en-GB"/>
        </w:rPr>
        <w:t>top 10% of research output when compared to South African universities</w:t>
      </w:r>
      <w:r w:rsidRPr="005D4748">
        <w:rPr>
          <w:rFonts w:ascii="Arial" w:eastAsia="Times New Roman" w:hAnsi="Arial" w:cs="Arial"/>
          <w:sz w:val="20"/>
          <w:szCs w:val="20"/>
          <w:lang w:val="en-GB"/>
        </w:rPr>
        <w:t>.</w:t>
      </w:r>
    </w:p>
    <w:p w:rsidR="003C13F8" w:rsidRPr="005D4748" w:rsidRDefault="003C13F8" w:rsidP="005D4748">
      <w:pPr>
        <w:pStyle w:val="ListParagraph"/>
        <w:numPr>
          <w:ilvl w:val="3"/>
          <w:numId w:val="5"/>
        </w:numPr>
        <w:spacing w:after="0" w:line="240" w:lineRule="auto"/>
        <w:ind w:left="567" w:hanging="567"/>
        <w:rPr>
          <w:rFonts w:ascii="Arial" w:eastAsia="Times New Roman" w:hAnsi="Arial" w:cs="Arial"/>
          <w:sz w:val="20"/>
          <w:szCs w:val="20"/>
          <w:lang w:val="en-GB"/>
        </w:rPr>
      </w:pPr>
      <w:r w:rsidRPr="005D4748">
        <w:rPr>
          <w:rFonts w:ascii="Arial" w:eastAsia="Times New Roman" w:hAnsi="Arial" w:cs="Arial"/>
          <w:sz w:val="20"/>
          <w:szCs w:val="20"/>
        </w:rPr>
        <w:t>The SANSA Hermanus Facility achieved ISO 9001:2015 certification for its products and services, which was one of the requirements of the International Civil Aviation Organisation upon designating SANSA as a regional Space Weather Centre for the aviation industry.</w:t>
      </w:r>
    </w:p>
    <w:p w:rsidR="00043CB8" w:rsidRPr="005D4748" w:rsidRDefault="009C35FA" w:rsidP="005D4748">
      <w:pPr>
        <w:pStyle w:val="ListParagraph"/>
        <w:numPr>
          <w:ilvl w:val="3"/>
          <w:numId w:val="5"/>
        </w:numPr>
        <w:spacing w:after="0" w:line="240" w:lineRule="auto"/>
        <w:ind w:left="567" w:hanging="567"/>
        <w:rPr>
          <w:rFonts w:ascii="Arial" w:eastAsia="Times New Roman" w:hAnsi="Arial" w:cs="Arial"/>
          <w:sz w:val="20"/>
          <w:szCs w:val="20"/>
          <w:lang w:val="en-GB"/>
        </w:rPr>
      </w:pPr>
      <w:r w:rsidRPr="005D4748">
        <w:rPr>
          <w:rFonts w:ascii="Arial" w:eastAsia="Times New Roman" w:hAnsi="Arial" w:cs="Arial"/>
          <w:sz w:val="20"/>
          <w:szCs w:val="20"/>
          <w:lang w:val="en-GB"/>
        </w:rPr>
        <w:t xml:space="preserve">SANSA </w:t>
      </w:r>
      <w:r w:rsidR="00043CB8" w:rsidRPr="005D4748">
        <w:rPr>
          <w:rFonts w:ascii="Arial" w:eastAsia="Times New Roman" w:hAnsi="Arial" w:cs="Arial"/>
          <w:sz w:val="20"/>
          <w:szCs w:val="20"/>
          <w:lang w:val="en-GB"/>
        </w:rPr>
        <w:t>engaged 22 224 youth through its space awareness initiatives.</w:t>
      </w:r>
    </w:p>
    <w:p w:rsidR="009C35FA" w:rsidRPr="005D4748" w:rsidRDefault="009C35FA" w:rsidP="005D4748">
      <w:pPr>
        <w:pStyle w:val="ListParagraph"/>
        <w:numPr>
          <w:ilvl w:val="3"/>
          <w:numId w:val="5"/>
        </w:numPr>
        <w:spacing w:after="0" w:line="240" w:lineRule="auto"/>
        <w:ind w:left="567" w:hanging="567"/>
        <w:rPr>
          <w:rFonts w:ascii="Arial" w:eastAsia="Times New Roman" w:hAnsi="Arial" w:cs="Arial"/>
          <w:sz w:val="20"/>
          <w:szCs w:val="20"/>
          <w:lang w:val="en-GB"/>
        </w:rPr>
      </w:pPr>
      <w:r w:rsidRPr="005D4748">
        <w:rPr>
          <w:rFonts w:ascii="Arial" w:eastAsia="Times New Roman" w:hAnsi="Arial" w:cs="Arial"/>
          <w:sz w:val="20"/>
          <w:szCs w:val="20"/>
          <w:lang w:val="en-GB"/>
        </w:rPr>
        <w:t xml:space="preserve">SANSA supported </w:t>
      </w:r>
      <w:r w:rsidR="00043CB8" w:rsidRPr="005D4748">
        <w:rPr>
          <w:rFonts w:ascii="Arial" w:eastAsia="Times New Roman" w:hAnsi="Arial" w:cs="Arial"/>
          <w:sz w:val="20"/>
          <w:szCs w:val="20"/>
          <w:lang w:val="en-GB"/>
        </w:rPr>
        <w:t>86</w:t>
      </w:r>
      <w:r w:rsidRPr="005D4748">
        <w:rPr>
          <w:rFonts w:ascii="Arial" w:eastAsia="Times New Roman" w:hAnsi="Arial" w:cs="Arial"/>
          <w:sz w:val="20"/>
          <w:szCs w:val="20"/>
          <w:lang w:val="en-GB"/>
        </w:rPr>
        <w:t xml:space="preserve"> students </w:t>
      </w:r>
      <w:r w:rsidR="00043CB8" w:rsidRPr="005D4748">
        <w:rPr>
          <w:rFonts w:ascii="Arial" w:eastAsia="Times New Roman" w:hAnsi="Arial" w:cs="Arial"/>
          <w:sz w:val="20"/>
          <w:szCs w:val="20"/>
          <w:lang w:val="en-GB"/>
        </w:rPr>
        <w:t>and interns versus the targeted 50</w:t>
      </w:r>
      <w:r w:rsidRPr="005D4748">
        <w:rPr>
          <w:rFonts w:ascii="Arial" w:eastAsia="Times New Roman" w:hAnsi="Arial" w:cs="Arial"/>
          <w:sz w:val="20"/>
          <w:szCs w:val="20"/>
          <w:lang w:val="en-GB"/>
        </w:rPr>
        <w:t>.</w:t>
      </w:r>
    </w:p>
    <w:p w:rsidR="009676C1" w:rsidRPr="005D4748" w:rsidRDefault="009676C1" w:rsidP="005D4748">
      <w:pPr>
        <w:spacing w:after="0" w:line="240" w:lineRule="auto"/>
        <w:rPr>
          <w:rFonts w:ascii="Arial" w:eastAsia="Times New Roman" w:hAnsi="Arial" w:cs="Arial"/>
          <w:sz w:val="20"/>
          <w:szCs w:val="20"/>
          <w:lang w:val="en-GB"/>
        </w:rPr>
      </w:pPr>
    </w:p>
    <w:p w:rsidR="00BC617A" w:rsidRPr="005D4748" w:rsidRDefault="00BC617A" w:rsidP="005D4748">
      <w:pPr>
        <w:spacing w:after="0" w:line="240" w:lineRule="auto"/>
        <w:rPr>
          <w:rFonts w:ascii="Arial" w:eastAsia="Times New Roman" w:hAnsi="Arial" w:cs="Arial"/>
          <w:sz w:val="20"/>
          <w:szCs w:val="20"/>
          <w:lang w:val="en-GB"/>
        </w:rPr>
      </w:pPr>
      <w:r w:rsidRPr="005D4748">
        <w:rPr>
          <w:rFonts w:ascii="Arial" w:eastAsia="Times New Roman" w:hAnsi="Arial" w:cs="Arial"/>
          <w:sz w:val="20"/>
          <w:szCs w:val="20"/>
          <w:lang w:val="en-GB"/>
        </w:rPr>
        <w:t>SANSA stated that the risks to its operations and performance were characterised by the following:</w:t>
      </w:r>
    </w:p>
    <w:p w:rsidR="00BC617A" w:rsidRPr="005D4748" w:rsidRDefault="00BC617A" w:rsidP="005D4748">
      <w:pPr>
        <w:spacing w:after="0" w:line="240" w:lineRule="auto"/>
        <w:rPr>
          <w:rFonts w:ascii="Arial" w:eastAsia="Times New Roman" w:hAnsi="Arial" w:cs="Arial"/>
          <w:sz w:val="20"/>
          <w:szCs w:val="20"/>
          <w:lang w:val="en-GB"/>
        </w:rPr>
      </w:pPr>
    </w:p>
    <w:p w:rsidR="00BC617A" w:rsidRPr="005D4748" w:rsidRDefault="00BC617A" w:rsidP="005D4748">
      <w:pPr>
        <w:spacing w:after="0" w:line="240" w:lineRule="auto"/>
        <w:rPr>
          <w:rFonts w:ascii="Arial" w:hAnsi="Arial" w:cs="Arial"/>
          <w:b/>
          <w:sz w:val="20"/>
          <w:szCs w:val="20"/>
        </w:rPr>
      </w:pPr>
      <w:r w:rsidRPr="005D4748">
        <w:rPr>
          <w:rFonts w:ascii="Arial" w:hAnsi="Arial" w:cs="Arial"/>
          <w:b/>
          <w:sz w:val="20"/>
          <w:szCs w:val="20"/>
        </w:rPr>
        <w:t>Completion of the EO-Sat1 satellite build programme</w:t>
      </w:r>
    </w:p>
    <w:p w:rsidR="00BC617A" w:rsidRPr="005D4748" w:rsidRDefault="00BC617A" w:rsidP="005D4748">
      <w:pPr>
        <w:spacing w:after="0" w:line="240" w:lineRule="auto"/>
        <w:rPr>
          <w:rFonts w:ascii="Arial" w:hAnsi="Arial" w:cs="Arial"/>
          <w:sz w:val="20"/>
          <w:szCs w:val="20"/>
        </w:rPr>
      </w:pPr>
      <w:r w:rsidRPr="005D4748">
        <w:rPr>
          <w:rFonts w:ascii="Arial" w:hAnsi="Arial" w:cs="Arial"/>
          <w:sz w:val="20"/>
          <w:szCs w:val="20"/>
        </w:rPr>
        <w:t>A proposal describing the EO-Sat1 contracting history, current stakeholder environment and two options on how to proceed was submitted and accepted by the SANSA Board for submission to the Department’s Director General (DG). In parallel to the proposal</w:t>
      </w:r>
      <w:r w:rsidR="00F540C4" w:rsidRPr="005D4748">
        <w:rPr>
          <w:rFonts w:ascii="Arial" w:hAnsi="Arial" w:cs="Arial"/>
          <w:sz w:val="20"/>
          <w:szCs w:val="20"/>
        </w:rPr>
        <w:t xml:space="preserve">, </w:t>
      </w:r>
      <w:r w:rsidRPr="005D4748">
        <w:rPr>
          <w:rFonts w:ascii="Arial" w:hAnsi="Arial" w:cs="Arial"/>
          <w:sz w:val="20"/>
          <w:szCs w:val="20"/>
        </w:rPr>
        <w:t>SANSA</w:t>
      </w:r>
      <w:r w:rsidR="00F540C4" w:rsidRPr="005D4748">
        <w:rPr>
          <w:rFonts w:ascii="Arial" w:hAnsi="Arial" w:cs="Arial"/>
          <w:sz w:val="20"/>
          <w:szCs w:val="20"/>
        </w:rPr>
        <w:t>’s</w:t>
      </w:r>
      <w:r w:rsidRPr="005D4748">
        <w:rPr>
          <w:rFonts w:ascii="Arial" w:hAnsi="Arial" w:cs="Arial"/>
          <w:sz w:val="20"/>
          <w:szCs w:val="20"/>
        </w:rPr>
        <w:t xml:space="preserve"> Board supported the consolidation and closeout of all lapsed, existing </w:t>
      </w:r>
      <w:r w:rsidR="00F540C4" w:rsidRPr="005D4748">
        <w:rPr>
          <w:rFonts w:ascii="Arial" w:hAnsi="Arial" w:cs="Arial"/>
          <w:sz w:val="20"/>
          <w:szCs w:val="20"/>
        </w:rPr>
        <w:t>relat</w:t>
      </w:r>
      <w:r w:rsidRPr="005D4748">
        <w:rPr>
          <w:rFonts w:ascii="Arial" w:hAnsi="Arial" w:cs="Arial"/>
          <w:sz w:val="20"/>
          <w:szCs w:val="20"/>
        </w:rPr>
        <w:t>ed contracts with Denel Spaceteq</w:t>
      </w:r>
      <w:r w:rsidR="00F540C4" w:rsidRPr="005D4748">
        <w:rPr>
          <w:rFonts w:ascii="Arial" w:hAnsi="Arial" w:cs="Arial"/>
          <w:sz w:val="20"/>
          <w:szCs w:val="20"/>
        </w:rPr>
        <w:t>, the main build contractor,</w:t>
      </w:r>
      <w:r w:rsidRPr="005D4748">
        <w:rPr>
          <w:rFonts w:ascii="Arial" w:hAnsi="Arial" w:cs="Arial"/>
          <w:sz w:val="20"/>
          <w:szCs w:val="20"/>
        </w:rPr>
        <w:t xml:space="preserve"> to establish a clean contractual baseline for the future. The project was placed on hold in the 2018/19 financial year pending the sourcing of additional funding to complete the project.</w:t>
      </w:r>
    </w:p>
    <w:p w:rsidR="00BC617A" w:rsidRPr="005D4748" w:rsidRDefault="00BC617A" w:rsidP="005D4748">
      <w:pPr>
        <w:spacing w:after="0" w:line="240" w:lineRule="auto"/>
        <w:rPr>
          <w:rFonts w:ascii="Arial" w:hAnsi="Arial" w:cs="Arial"/>
          <w:sz w:val="20"/>
          <w:szCs w:val="20"/>
        </w:rPr>
      </w:pPr>
    </w:p>
    <w:p w:rsidR="00BC617A" w:rsidRPr="005D4748" w:rsidRDefault="00BC617A" w:rsidP="005D4748">
      <w:pPr>
        <w:spacing w:after="0" w:line="240" w:lineRule="auto"/>
        <w:rPr>
          <w:rFonts w:ascii="Arial" w:hAnsi="Arial" w:cs="Arial"/>
          <w:b/>
          <w:sz w:val="20"/>
          <w:szCs w:val="20"/>
        </w:rPr>
      </w:pPr>
      <w:r w:rsidRPr="005D4748">
        <w:rPr>
          <w:rFonts w:ascii="Arial" w:hAnsi="Arial" w:cs="Arial"/>
          <w:b/>
          <w:sz w:val="20"/>
          <w:szCs w:val="20"/>
        </w:rPr>
        <w:t xml:space="preserve">Transfer the </w:t>
      </w:r>
      <w:r w:rsidR="0095709C" w:rsidRPr="005D4748">
        <w:rPr>
          <w:rFonts w:ascii="Arial" w:hAnsi="Arial" w:cs="Arial"/>
          <w:b/>
          <w:sz w:val="20"/>
          <w:szCs w:val="20"/>
        </w:rPr>
        <w:t xml:space="preserve">ownership of the </w:t>
      </w:r>
      <w:r w:rsidRPr="005D4748">
        <w:rPr>
          <w:rFonts w:ascii="Arial" w:hAnsi="Arial" w:cs="Arial"/>
          <w:b/>
          <w:sz w:val="20"/>
          <w:szCs w:val="20"/>
        </w:rPr>
        <w:t>Houwteq facility from Denel to SANSA</w:t>
      </w:r>
    </w:p>
    <w:p w:rsidR="00BC617A" w:rsidRPr="005D4748" w:rsidRDefault="00BC617A" w:rsidP="005D4748">
      <w:pPr>
        <w:spacing w:after="0" w:line="240" w:lineRule="auto"/>
        <w:rPr>
          <w:rFonts w:ascii="Arial" w:hAnsi="Arial" w:cs="Arial"/>
          <w:sz w:val="20"/>
          <w:szCs w:val="20"/>
        </w:rPr>
      </w:pPr>
      <w:r w:rsidRPr="005D4748">
        <w:rPr>
          <w:rFonts w:ascii="Arial" w:hAnsi="Arial" w:cs="Arial"/>
          <w:sz w:val="20"/>
          <w:szCs w:val="20"/>
        </w:rPr>
        <w:t xml:space="preserve">The prolonged delay relating to </w:t>
      </w:r>
      <w:r w:rsidR="00F540C4" w:rsidRPr="005D4748">
        <w:rPr>
          <w:rFonts w:ascii="Arial" w:hAnsi="Arial" w:cs="Arial"/>
          <w:sz w:val="20"/>
          <w:szCs w:val="20"/>
        </w:rPr>
        <w:t xml:space="preserve">the </w:t>
      </w:r>
      <w:r w:rsidRPr="005D4748">
        <w:rPr>
          <w:rFonts w:ascii="Arial" w:hAnsi="Arial" w:cs="Arial"/>
          <w:sz w:val="20"/>
          <w:szCs w:val="20"/>
        </w:rPr>
        <w:t xml:space="preserve">transfer of the Houwteq facility from Denel to SANSA has negatively affected </w:t>
      </w:r>
      <w:r w:rsidR="00F540C4" w:rsidRPr="005D4748">
        <w:rPr>
          <w:rFonts w:ascii="Arial" w:hAnsi="Arial" w:cs="Arial"/>
          <w:sz w:val="20"/>
          <w:szCs w:val="20"/>
        </w:rPr>
        <w:t xml:space="preserve">the </w:t>
      </w:r>
      <w:r w:rsidRPr="005D4748">
        <w:rPr>
          <w:rFonts w:ascii="Arial" w:hAnsi="Arial" w:cs="Arial"/>
          <w:sz w:val="20"/>
          <w:szCs w:val="20"/>
        </w:rPr>
        <w:t xml:space="preserve">establishment of an Assembly, Integration and Testing (AIT) facility to ensure the provision of relevant support to industry. There are still risks associated with shifts in the industry’s current usage of Houwteq and industry requirements will need to be monitored closely; </w:t>
      </w:r>
      <w:r w:rsidR="000075D2" w:rsidRPr="005D4748">
        <w:rPr>
          <w:rFonts w:ascii="Arial" w:hAnsi="Arial" w:cs="Arial"/>
          <w:sz w:val="20"/>
          <w:szCs w:val="20"/>
        </w:rPr>
        <w:t xml:space="preserve">especially since </w:t>
      </w:r>
      <w:r w:rsidRPr="005D4748">
        <w:rPr>
          <w:rFonts w:ascii="Arial" w:hAnsi="Arial" w:cs="Arial"/>
          <w:sz w:val="20"/>
          <w:szCs w:val="20"/>
        </w:rPr>
        <w:t>Denel</w:t>
      </w:r>
      <w:r w:rsidR="000075D2" w:rsidRPr="005D4748">
        <w:rPr>
          <w:rFonts w:ascii="Arial" w:hAnsi="Arial" w:cs="Arial"/>
          <w:sz w:val="20"/>
          <w:szCs w:val="20"/>
        </w:rPr>
        <w:t>’s</w:t>
      </w:r>
      <w:r w:rsidRPr="005D4748">
        <w:rPr>
          <w:rFonts w:ascii="Arial" w:hAnsi="Arial" w:cs="Arial"/>
          <w:sz w:val="20"/>
          <w:szCs w:val="20"/>
        </w:rPr>
        <w:t xml:space="preserve"> call to mothball the facility.</w:t>
      </w:r>
    </w:p>
    <w:p w:rsidR="00BC617A" w:rsidRPr="005D4748" w:rsidRDefault="00BC617A" w:rsidP="005D4748">
      <w:pPr>
        <w:spacing w:after="0" w:line="240" w:lineRule="auto"/>
        <w:rPr>
          <w:rFonts w:ascii="Arial" w:hAnsi="Arial" w:cs="Arial"/>
          <w:sz w:val="20"/>
          <w:szCs w:val="20"/>
        </w:rPr>
      </w:pPr>
    </w:p>
    <w:p w:rsidR="00BC617A" w:rsidRPr="005D4748" w:rsidRDefault="00BC617A" w:rsidP="005D4748">
      <w:pPr>
        <w:spacing w:after="0" w:line="240" w:lineRule="auto"/>
        <w:rPr>
          <w:rFonts w:ascii="Arial" w:hAnsi="Arial" w:cs="Arial"/>
          <w:b/>
          <w:sz w:val="20"/>
          <w:szCs w:val="20"/>
        </w:rPr>
      </w:pPr>
      <w:r w:rsidRPr="005D4748">
        <w:rPr>
          <w:rFonts w:ascii="Arial" w:hAnsi="Arial" w:cs="Arial"/>
          <w:b/>
          <w:sz w:val="20"/>
          <w:szCs w:val="20"/>
        </w:rPr>
        <w:t>Suboptimal funding levels</w:t>
      </w:r>
    </w:p>
    <w:p w:rsidR="00BC617A" w:rsidRPr="005D4748" w:rsidRDefault="00BC617A" w:rsidP="005D4748">
      <w:pPr>
        <w:spacing w:after="0" w:line="240" w:lineRule="auto"/>
        <w:rPr>
          <w:rFonts w:ascii="Arial" w:hAnsi="Arial" w:cs="Arial"/>
          <w:sz w:val="20"/>
          <w:szCs w:val="20"/>
        </w:rPr>
      </w:pPr>
      <w:r w:rsidRPr="005D4748">
        <w:rPr>
          <w:rFonts w:ascii="Arial" w:hAnsi="Arial" w:cs="Arial"/>
          <w:sz w:val="20"/>
          <w:szCs w:val="20"/>
        </w:rPr>
        <w:t xml:space="preserve">The allocated budget for SANSA remains suboptimal and </w:t>
      </w:r>
      <w:r w:rsidR="001D68F4" w:rsidRPr="005D4748">
        <w:rPr>
          <w:rFonts w:ascii="Arial" w:hAnsi="Arial" w:cs="Arial"/>
          <w:sz w:val="20"/>
          <w:szCs w:val="20"/>
        </w:rPr>
        <w:t>it</w:t>
      </w:r>
      <w:r w:rsidRPr="005D4748">
        <w:rPr>
          <w:rFonts w:ascii="Arial" w:hAnsi="Arial" w:cs="Arial"/>
          <w:sz w:val="20"/>
          <w:szCs w:val="20"/>
        </w:rPr>
        <w:t xml:space="preserve"> </w:t>
      </w:r>
      <w:r w:rsidR="00BD5D3A" w:rsidRPr="005D4748">
        <w:rPr>
          <w:rFonts w:ascii="Arial" w:hAnsi="Arial" w:cs="Arial"/>
          <w:sz w:val="20"/>
          <w:szCs w:val="20"/>
        </w:rPr>
        <w:t>needs to</w:t>
      </w:r>
      <w:r w:rsidRPr="005D4748">
        <w:rPr>
          <w:rFonts w:ascii="Arial" w:hAnsi="Arial" w:cs="Arial"/>
          <w:sz w:val="20"/>
          <w:szCs w:val="20"/>
        </w:rPr>
        <w:t xml:space="preserve"> seek additional funding to </w:t>
      </w:r>
      <w:r w:rsidR="00F264A7" w:rsidRPr="005D4748">
        <w:rPr>
          <w:rFonts w:ascii="Arial" w:hAnsi="Arial" w:cs="Arial"/>
          <w:sz w:val="20"/>
          <w:szCs w:val="20"/>
        </w:rPr>
        <w:t xml:space="preserve">be able to </w:t>
      </w:r>
      <w:r w:rsidRPr="005D4748">
        <w:rPr>
          <w:rFonts w:ascii="Arial" w:hAnsi="Arial" w:cs="Arial"/>
          <w:sz w:val="20"/>
          <w:szCs w:val="20"/>
        </w:rPr>
        <w:t xml:space="preserve">fulfil its mandate. Some of these funding commitments include investor funding, which require SANSA to be able to borrow. This has implications for SANSA’s future operating model and </w:t>
      </w:r>
      <w:r w:rsidR="000141A1" w:rsidRPr="005D4748">
        <w:rPr>
          <w:rFonts w:ascii="Arial" w:hAnsi="Arial" w:cs="Arial"/>
          <w:sz w:val="20"/>
          <w:szCs w:val="20"/>
        </w:rPr>
        <w:t>its</w:t>
      </w:r>
      <w:r w:rsidR="000C5E1B" w:rsidRPr="005D4748">
        <w:rPr>
          <w:rFonts w:ascii="Arial" w:hAnsi="Arial" w:cs="Arial"/>
          <w:sz w:val="20"/>
          <w:szCs w:val="20"/>
        </w:rPr>
        <w:t>’</w:t>
      </w:r>
      <w:r w:rsidRPr="005D4748">
        <w:rPr>
          <w:rFonts w:ascii="Arial" w:hAnsi="Arial" w:cs="Arial"/>
          <w:sz w:val="20"/>
          <w:szCs w:val="20"/>
        </w:rPr>
        <w:t xml:space="preserve"> functioning as a Schedule 3A entity.</w:t>
      </w:r>
    </w:p>
    <w:p w:rsidR="00BC617A" w:rsidRPr="005D4748" w:rsidRDefault="00BC617A" w:rsidP="005D4748">
      <w:pPr>
        <w:spacing w:after="0" w:line="240" w:lineRule="auto"/>
        <w:rPr>
          <w:rFonts w:ascii="Arial" w:hAnsi="Arial" w:cs="Arial"/>
          <w:sz w:val="20"/>
          <w:szCs w:val="20"/>
        </w:rPr>
      </w:pPr>
    </w:p>
    <w:p w:rsidR="00BC617A" w:rsidRPr="005D4748" w:rsidRDefault="00BC617A" w:rsidP="005D4748">
      <w:pPr>
        <w:spacing w:after="0" w:line="240" w:lineRule="auto"/>
        <w:rPr>
          <w:rFonts w:ascii="Arial" w:hAnsi="Arial" w:cs="Arial"/>
          <w:b/>
          <w:sz w:val="20"/>
          <w:szCs w:val="20"/>
        </w:rPr>
      </w:pPr>
      <w:r w:rsidRPr="005D4748">
        <w:rPr>
          <w:rFonts w:ascii="Arial" w:hAnsi="Arial" w:cs="Arial"/>
          <w:b/>
          <w:sz w:val="20"/>
          <w:szCs w:val="20"/>
        </w:rPr>
        <w:t>Protection of SANSA sites</w:t>
      </w:r>
    </w:p>
    <w:p w:rsidR="00BC617A" w:rsidRPr="005D4748" w:rsidRDefault="00BC617A" w:rsidP="005D4748">
      <w:pPr>
        <w:spacing w:after="0" w:line="240" w:lineRule="auto"/>
        <w:rPr>
          <w:rFonts w:ascii="Arial" w:hAnsi="Arial" w:cs="Arial"/>
          <w:sz w:val="20"/>
          <w:szCs w:val="20"/>
        </w:rPr>
      </w:pPr>
      <w:r w:rsidRPr="005D4748">
        <w:rPr>
          <w:rFonts w:ascii="Arial" w:hAnsi="Arial" w:cs="Arial"/>
          <w:sz w:val="20"/>
          <w:szCs w:val="20"/>
        </w:rPr>
        <w:t>SANSA is experiencing interference relating to its operational activities, both from radio frequency interference (RFI) and magnetic interference. Interventions in this regard include declaring some of the sites as National Key Points and instituting regulatory reforms to protect these sites.</w:t>
      </w:r>
    </w:p>
    <w:p w:rsidR="00BC617A" w:rsidRPr="005D4748" w:rsidRDefault="00BC617A" w:rsidP="005D4748">
      <w:pPr>
        <w:spacing w:after="0" w:line="240" w:lineRule="auto"/>
        <w:rPr>
          <w:rFonts w:ascii="Arial" w:eastAsia="Times New Roman" w:hAnsi="Arial" w:cs="Arial"/>
          <w:sz w:val="20"/>
          <w:szCs w:val="20"/>
          <w:lang w:val="en-GB"/>
        </w:rPr>
      </w:pPr>
    </w:p>
    <w:p w:rsidR="006612DF" w:rsidRPr="005D4748" w:rsidRDefault="006612DF" w:rsidP="005D4748">
      <w:pPr>
        <w:pStyle w:val="ListParagraph"/>
        <w:numPr>
          <w:ilvl w:val="2"/>
          <w:numId w:val="1"/>
        </w:numPr>
        <w:spacing w:after="0" w:line="240" w:lineRule="auto"/>
        <w:ind w:left="851" w:hanging="851"/>
        <w:rPr>
          <w:rFonts w:ascii="Arial" w:eastAsia="Times New Roman" w:hAnsi="Arial" w:cs="Arial"/>
          <w:b/>
          <w:sz w:val="20"/>
          <w:szCs w:val="20"/>
          <w:lang w:val="en-GB"/>
        </w:rPr>
      </w:pPr>
      <w:r w:rsidRPr="005D4748">
        <w:rPr>
          <w:rFonts w:ascii="Arial" w:eastAsia="Times New Roman" w:hAnsi="Arial" w:cs="Arial"/>
          <w:b/>
          <w:sz w:val="20"/>
          <w:szCs w:val="20"/>
          <w:lang w:val="en-GB"/>
        </w:rPr>
        <w:lastRenderedPageBreak/>
        <w:t>2021</w:t>
      </w:r>
      <w:r w:rsidR="00CA2DA8" w:rsidRPr="005D4748">
        <w:rPr>
          <w:rFonts w:ascii="Arial" w:eastAsia="Times New Roman" w:hAnsi="Arial" w:cs="Arial"/>
          <w:b/>
          <w:sz w:val="20"/>
          <w:szCs w:val="20"/>
          <w:lang w:val="en-GB"/>
        </w:rPr>
        <w:t>/22 Audit Outcome</w:t>
      </w:r>
    </w:p>
    <w:p w:rsidR="006612DF" w:rsidRPr="005D4748" w:rsidRDefault="006612DF" w:rsidP="005D4748">
      <w:pPr>
        <w:spacing w:after="0" w:line="240" w:lineRule="auto"/>
        <w:rPr>
          <w:rFonts w:ascii="Arial" w:eastAsia="Times New Roman" w:hAnsi="Arial" w:cs="Arial"/>
          <w:sz w:val="20"/>
          <w:szCs w:val="20"/>
          <w:lang w:val="en-GB"/>
        </w:rPr>
      </w:pPr>
    </w:p>
    <w:p w:rsidR="00833DD2" w:rsidRPr="005D4748" w:rsidRDefault="00735D88" w:rsidP="005D4748">
      <w:pPr>
        <w:spacing w:after="0" w:line="240" w:lineRule="auto"/>
        <w:rPr>
          <w:rFonts w:ascii="Arial" w:eastAsia="Times New Roman" w:hAnsi="Arial" w:cs="Arial"/>
          <w:sz w:val="20"/>
          <w:szCs w:val="20"/>
          <w:lang w:val="en-GB"/>
        </w:rPr>
      </w:pPr>
      <w:r w:rsidRPr="005D4748">
        <w:rPr>
          <w:rFonts w:ascii="Arial" w:eastAsia="Times New Roman" w:hAnsi="Arial" w:cs="Arial"/>
          <w:sz w:val="20"/>
          <w:szCs w:val="20"/>
          <w:lang w:val="en-GB"/>
        </w:rPr>
        <w:t>The independent auditor, Nexia SAB&amp;T, does not express an opinion or conclusion on the reported performance information. Neither does the auditor evaluate the completeness and appropriateness of the performance indicators. However, the auditor does test the usefulness and reliability of the reported performance information for selected Outcomes. In this case, Outcome 4: SANSA positioned as a key enabler of government’s space related policies</w:t>
      </w:r>
      <w:r w:rsidR="00480164" w:rsidRPr="005D4748">
        <w:rPr>
          <w:rFonts w:ascii="Arial" w:eastAsia="Times New Roman" w:hAnsi="Arial" w:cs="Arial"/>
          <w:sz w:val="20"/>
          <w:szCs w:val="20"/>
          <w:lang w:val="en-GB"/>
        </w:rPr>
        <w:t>,</w:t>
      </w:r>
      <w:r w:rsidRPr="005D4748">
        <w:rPr>
          <w:rFonts w:ascii="Arial" w:eastAsia="Times New Roman" w:hAnsi="Arial" w:cs="Arial"/>
          <w:sz w:val="20"/>
          <w:szCs w:val="20"/>
          <w:lang w:val="en-GB"/>
        </w:rPr>
        <w:t xml:space="preserve"> was selected. The auditor did not raise any material findings on the usefulness and reliability of the reported information for this Outcome</w:t>
      </w:r>
      <w:r w:rsidR="00833DD2" w:rsidRPr="005D4748">
        <w:rPr>
          <w:rFonts w:ascii="Arial" w:eastAsia="Times New Roman" w:hAnsi="Arial" w:cs="Arial"/>
          <w:sz w:val="20"/>
          <w:szCs w:val="20"/>
          <w:lang w:val="en-GB"/>
        </w:rPr>
        <w:t>.</w:t>
      </w:r>
    </w:p>
    <w:p w:rsidR="00833DD2" w:rsidRPr="005D4748" w:rsidRDefault="00833DD2" w:rsidP="005D4748">
      <w:pPr>
        <w:spacing w:after="0" w:line="240" w:lineRule="auto"/>
        <w:rPr>
          <w:rFonts w:ascii="Arial" w:eastAsia="Times New Roman" w:hAnsi="Arial" w:cs="Arial"/>
          <w:sz w:val="20"/>
          <w:szCs w:val="20"/>
          <w:lang w:val="en-GB"/>
        </w:rPr>
      </w:pPr>
    </w:p>
    <w:p w:rsidR="00E26B0C" w:rsidRPr="005D4748" w:rsidRDefault="00E26B0C" w:rsidP="005D4748">
      <w:pPr>
        <w:spacing w:after="0" w:line="240" w:lineRule="auto"/>
        <w:rPr>
          <w:rFonts w:ascii="Arial" w:eastAsia="Times New Roman" w:hAnsi="Arial" w:cs="Arial"/>
          <w:sz w:val="20"/>
          <w:szCs w:val="20"/>
          <w:lang w:val="en-GB"/>
        </w:rPr>
      </w:pPr>
      <w:r w:rsidRPr="005D4748">
        <w:rPr>
          <w:rFonts w:ascii="Arial" w:eastAsia="Times New Roman" w:hAnsi="Arial" w:cs="Arial"/>
          <w:sz w:val="20"/>
          <w:szCs w:val="20"/>
          <w:lang w:val="en-GB"/>
        </w:rPr>
        <w:t xml:space="preserve">SANSA has resolved all matters that resulted in audit findings in the previous two years. </w:t>
      </w:r>
      <w:r w:rsidR="001D68F4" w:rsidRPr="005D4748">
        <w:rPr>
          <w:rFonts w:ascii="Arial" w:eastAsia="Times New Roman" w:hAnsi="Arial" w:cs="Arial"/>
          <w:sz w:val="20"/>
          <w:szCs w:val="20"/>
          <w:lang w:val="en-GB"/>
        </w:rPr>
        <w:t xml:space="preserve">Hence, the </w:t>
      </w:r>
      <w:r w:rsidRPr="005D4748">
        <w:rPr>
          <w:rFonts w:ascii="Arial" w:eastAsia="Times New Roman" w:hAnsi="Arial" w:cs="Arial"/>
          <w:sz w:val="20"/>
          <w:szCs w:val="20"/>
          <w:lang w:val="en-GB"/>
        </w:rPr>
        <w:t>independent auditor awarded SANSA an unqualified audit opinion with no findings</w:t>
      </w:r>
      <w:r w:rsidR="005226B1" w:rsidRPr="005D4748">
        <w:rPr>
          <w:rFonts w:ascii="Arial" w:eastAsia="Times New Roman" w:hAnsi="Arial" w:cs="Arial"/>
          <w:sz w:val="20"/>
          <w:szCs w:val="20"/>
          <w:lang w:val="en-GB"/>
        </w:rPr>
        <w:t>,</w:t>
      </w:r>
      <w:r w:rsidRPr="005D4748">
        <w:rPr>
          <w:rFonts w:ascii="Arial" w:eastAsia="Times New Roman" w:hAnsi="Arial" w:cs="Arial"/>
          <w:sz w:val="20"/>
          <w:szCs w:val="20"/>
          <w:lang w:val="en-GB"/>
        </w:rPr>
        <w:t xml:space="preserve"> a clean audit. The auditor further state</w:t>
      </w:r>
      <w:r w:rsidR="006469C2" w:rsidRPr="005D4748">
        <w:rPr>
          <w:rFonts w:ascii="Arial" w:eastAsia="Times New Roman" w:hAnsi="Arial" w:cs="Arial"/>
          <w:sz w:val="20"/>
          <w:szCs w:val="20"/>
          <w:lang w:val="en-GB"/>
        </w:rPr>
        <w:t>d</w:t>
      </w:r>
      <w:r w:rsidRPr="005D4748">
        <w:rPr>
          <w:rFonts w:ascii="Arial" w:eastAsia="Times New Roman" w:hAnsi="Arial" w:cs="Arial"/>
          <w:sz w:val="20"/>
          <w:szCs w:val="20"/>
          <w:lang w:val="en-GB"/>
        </w:rPr>
        <w:t xml:space="preserve"> that no material findings on compliance with key legislation and no significant deficiencies in internal control were identified.</w:t>
      </w:r>
    </w:p>
    <w:p w:rsidR="00E26B0C" w:rsidRPr="005D4748" w:rsidRDefault="00E26B0C" w:rsidP="005D4748">
      <w:pPr>
        <w:spacing w:after="0" w:line="240" w:lineRule="auto"/>
        <w:rPr>
          <w:rFonts w:ascii="Arial" w:eastAsia="Times New Roman" w:hAnsi="Arial" w:cs="Arial"/>
          <w:sz w:val="20"/>
          <w:szCs w:val="20"/>
          <w:lang w:val="en-GB"/>
        </w:rPr>
      </w:pPr>
    </w:p>
    <w:p w:rsidR="007567A6" w:rsidRPr="005D4748" w:rsidRDefault="00E26B0C" w:rsidP="005D4748">
      <w:pPr>
        <w:spacing w:after="0" w:line="240" w:lineRule="auto"/>
        <w:rPr>
          <w:rFonts w:ascii="Arial" w:eastAsia="Times New Roman" w:hAnsi="Arial" w:cs="Arial"/>
          <w:sz w:val="20"/>
          <w:szCs w:val="20"/>
          <w:lang w:val="en-GB"/>
        </w:rPr>
      </w:pPr>
      <w:r w:rsidRPr="005D4748">
        <w:rPr>
          <w:rFonts w:ascii="Arial" w:eastAsia="Times New Roman" w:hAnsi="Arial" w:cs="Arial"/>
          <w:sz w:val="20"/>
          <w:szCs w:val="20"/>
          <w:lang w:val="en-GB"/>
        </w:rPr>
        <w:t xml:space="preserve">SANSA incurred irregular expenditure of R1.7 million because </w:t>
      </w:r>
      <w:r w:rsidR="005226B1" w:rsidRPr="005D4748">
        <w:rPr>
          <w:rFonts w:ascii="Arial" w:eastAsia="Times New Roman" w:hAnsi="Arial" w:cs="Arial"/>
          <w:sz w:val="20"/>
          <w:szCs w:val="20"/>
          <w:lang w:val="en-GB"/>
        </w:rPr>
        <w:t>a</w:t>
      </w:r>
      <w:r w:rsidRPr="005D4748">
        <w:rPr>
          <w:rFonts w:ascii="Arial" w:eastAsia="Times New Roman" w:hAnsi="Arial" w:cs="Arial"/>
          <w:sz w:val="20"/>
          <w:szCs w:val="20"/>
          <w:lang w:val="en-GB"/>
        </w:rPr>
        <w:t xml:space="preserve"> supplier omitted to </w:t>
      </w:r>
      <w:r w:rsidR="005226B1" w:rsidRPr="005D4748">
        <w:rPr>
          <w:rFonts w:ascii="Arial" w:eastAsia="Times New Roman" w:hAnsi="Arial" w:cs="Arial"/>
          <w:sz w:val="20"/>
          <w:szCs w:val="20"/>
          <w:lang w:val="en-GB"/>
        </w:rPr>
        <w:t xml:space="preserve">complete </w:t>
      </w:r>
      <w:r w:rsidRPr="005D4748">
        <w:rPr>
          <w:rFonts w:ascii="Arial" w:eastAsia="Times New Roman" w:hAnsi="Arial" w:cs="Arial"/>
          <w:sz w:val="20"/>
          <w:szCs w:val="20"/>
          <w:lang w:val="en-GB"/>
        </w:rPr>
        <w:t xml:space="preserve">its declaration of interest. SANSA did not suffer financial loss, and there was no fruitless and wasteful expenditure noted on this transaction as all goods and services were required by </w:t>
      </w:r>
      <w:r w:rsidR="00AA0B7B" w:rsidRPr="005D4748">
        <w:rPr>
          <w:rFonts w:ascii="Arial" w:eastAsia="Times New Roman" w:hAnsi="Arial" w:cs="Arial"/>
          <w:sz w:val="20"/>
          <w:szCs w:val="20"/>
          <w:lang w:val="en-GB"/>
        </w:rPr>
        <w:t>SANSA</w:t>
      </w:r>
      <w:r w:rsidRPr="005D4748">
        <w:rPr>
          <w:rFonts w:ascii="Arial" w:eastAsia="Times New Roman" w:hAnsi="Arial" w:cs="Arial"/>
          <w:sz w:val="20"/>
          <w:szCs w:val="20"/>
          <w:lang w:val="en-GB"/>
        </w:rPr>
        <w:t>.</w:t>
      </w:r>
    </w:p>
    <w:p w:rsidR="00913B71" w:rsidRPr="005D4748" w:rsidRDefault="00913B71" w:rsidP="005D4748">
      <w:pPr>
        <w:spacing w:after="0" w:line="240" w:lineRule="auto"/>
        <w:rPr>
          <w:rFonts w:ascii="Arial" w:eastAsia="Times New Roman" w:hAnsi="Arial" w:cs="Arial"/>
          <w:sz w:val="20"/>
          <w:szCs w:val="20"/>
          <w:lang w:val="en-GB"/>
        </w:rPr>
      </w:pPr>
    </w:p>
    <w:p w:rsidR="007567A6" w:rsidRPr="005D4748" w:rsidRDefault="00913B71" w:rsidP="005D4748">
      <w:pPr>
        <w:pStyle w:val="ListParagraph"/>
        <w:numPr>
          <w:ilvl w:val="1"/>
          <w:numId w:val="1"/>
        </w:numPr>
        <w:spacing w:after="0" w:line="240" w:lineRule="auto"/>
        <w:ind w:left="567" w:hanging="567"/>
        <w:rPr>
          <w:rFonts w:ascii="Arial" w:eastAsia="Times New Roman" w:hAnsi="Arial" w:cs="Arial"/>
          <w:sz w:val="20"/>
          <w:szCs w:val="20"/>
          <w:lang w:val="en-GB"/>
        </w:rPr>
      </w:pPr>
      <w:r w:rsidRPr="005D4748">
        <w:rPr>
          <w:rFonts w:ascii="Arial" w:eastAsia="Times New Roman" w:hAnsi="Arial" w:cs="Arial"/>
          <w:b/>
          <w:sz w:val="20"/>
          <w:szCs w:val="20"/>
          <w:lang w:val="en-GB"/>
        </w:rPr>
        <w:t>TECHNOLOGY INNOVATION AGENCY</w:t>
      </w:r>
    </w:p>
    <w:p w:rsidR="00913B71" w:rsidRPr="005D4748" w:rsidRDefault="00913B71" w:rsidP="005D4748">
      <w:pPr>
        <w:spacing w:after="0" w:line="240" w:lineRule="auto"/>
        <w:rPr>
          <w:rFonts w:ascii="Arial" w:eastAsia="Times New Roman" w:hAnsi="Arial" w:cs="Arial"/>
          <w:sz w:val="20"/>
          <w:szCs w:val="20"/>
          <w:lang w:val="en-GB"/>
        </w:rPr>
      </w:pPr>
    </w:p>
    <w:p w:rsidR="00F9647D" w:rsidRPr="005D4748" w:rsidRDefault="00581BBF" w:rsidP="005D4748">
      <w:pPr>
        <w:spacing w:after="0" w:line="240" w:lineRule="auto"/>
        <w:rPr>
          <w:rFonts w:ascii="Arial" w:hAnsi="Arial" w:cs="Arial"/>
          <w:sz w:val="20"/>
          <w:szCs w:val="20"/>
        </w:rPr>
      </w:pPr>
      <w:r w:rsidRPr="005D4748">
        <w:rPr>
          <w:rFonts w:ascii="Arial" w:eastAsia="Times New Roman" w:hAnsi="Arial" w:cs="Arial"/>
          <w:sz w:val="20"/>
          <w:szCs w:val="20"/>
          <w:lang w:val="en-GB"/>
        </w:rPr>
        <w:t xml:space="preserve">It is the mandate of </w:t>
      </w:r>
      <w:r w:rsidR="00F9647D" w:rsidRPr="005D4748">
        <w:rPr>
          <w:rFonts w:ascii="Arial" w:eastAsia="Times New Roman" w:hAnsi="Arial" w:cs="Arial"/>
          <w:sz w:val="20"/>
          <w:szCs w:val="20"/>
          <w:lang w:val="en-GB"/>
        </w:rPr>
        <w:t xml:space="preserve">TIA </w:t>
      </w:r>
      <w:r w:rsidR="00F9647D" w:rsidRPr="005D4748">
        <w:rPr>
          <w:rFonts w:ascii="Arial" w:hAnsi="Arial" w:cs="Arial"/>
          <w:sz w:val="20"/>
          <w:szCs w:val="20"/>
        </w:rPr>
        <w:t>to translate a greater proportion of publicly funded research into commercial technology products and services. This implies exploiting the existing body of knowledge at universities and public research organisations, and channelling it towards the development of technology-based industries. This is done with the intention of creating sustainable jobs and transforming the economy from one that is reliant on commodity exports to one that is knowledge-based and equipped to address modern local and global challenges.</w:t>
      </w:r>
    </w:p>
    <w:p w:rsidR="00F9647D" w:rsidRPr="005D4748" w:rsidRDefault="00F9647D" w:rsidP="005D4748">
      <w:pPr>
        <w:spacing w:after="0" w:line="240" w:lineRule="auto"/>
        <w:rPr>
          <w:rFonts w:ascii="Arial" w:hAnsi="Arial" w:cs="Arial"/>
          <w:sz w:val="20"/>
          <w:szCs w:val="20"/>
        </w:rPr>
      </w:pPr>
    </w:p>
    <w:p w:rsidR="00F9647D" w:rsidRPr="005D4748" w:rsidRDefault="00F9647D" w:rsidP="005D4748">
      <w:pPr>
        <w:spacing w:after="0" w:line="240" w:lineRule="auto"/>
        <w:rPr>
          <w:rFonts w:ascii="Arial" w:hAnsi="Arial" w:cs="Arial"/>
          <w:sz w:val="20"/>
          <w:szCs w:val="20"/>
        </w:rPr>
      </w:pPr>
      <w:r w:rsidRPr="005D4748">
        <w:rPr>
          <w:rFonts w:ascii="Arial" w:hAnsi="Arial" w:cs="Arial"/>
          <w:sz w:val="20"/>
          <w:szCs w:val="20"/>
        </w:rPr>
        <w:t xml:space="preserve">A critical review of TIA’s execution of its core mandate revealed that TIA has supported a large number of innovations. However, the translation and commercialisation success rate has been suboptimal. </w:t>
      </w:r>
      <w:r w:rsidR="00973D63" w:rsidRPr="005D4748">
        <w:rPr>
          <w:rFonts w:ascii="Arial" w:hAnsi="Arial" w:cs="Arial"/>
          <w:sz w:val="20"/>
          <w:szCs w:val="20"/>
        </w:rPr>
        <w:t>Hence</w:t>
      </w:r>
      <w:r w:rsidRPr="005D4748">
        <w:rPr>
          <w:rFonts w:ascii="Arial" w:hAnsi="Arial" w:cs="Arial"/>
          <w:sz w:val="20"/>
          <w:szCs w:val="20"/>
        </w:rPr>
        <w:t xml:space="preserve">, TIA aims to reposition itself strategically within the NSI by directing a greater proportion of its resources towards the translation and commercialisation of publicly financed IP emanating from higher education institutions and science councils. </w:t>
      </w:r>
      <w:r w:rsidR="00E23361" w:rsidRPr="005D4748">
        <w:rPr>
          <w:rFonts w:ascii="Arial" w:hAnsi="Arial" w:cs="Arial"/>
          <w:sz w:val="20"/>
          <w:szCs w:val="20"/>
        </w:rPr>
        <w:t>Consequently</w:t>
      </w:r>
      <w:r w:rsidR="00A000BE" w:rsidRPr="005D4748">
        <w:rPr>
          <w:rFonts w:ascii="Arial" w:hAnsi="Arial" w:cs="Arial"/>
          <w:sz w:val="20"/>
          <w:szCs w:val="20"/>
        </w:rPr>
        <w:t>, TIA’s</w:t>
      </w:r>
      <w:r w:rsidR="00E23361" w:rsidRPr="005D4748">
        <w:rPr>
          <w:rFonts w:ascii="Arial" w:hAnsi="Arial" w:cs="Arial"/>
          <w:sz w:val="20"/>
          <w:szCs w:val="20"/>
        </w:rPr>
        <w:t xml:space="preserve"> </w:t>
      </w:r>
      <w:r w:rsidRPr="005D4748">
        <w:rPr>
          <w:rFonts w:ascii="Arial" w:hAnsi="Arial" w:cs="Arial"/>
          <w:sz w:val="20"/>
          <w:szCs w:val="20"/>
        </w:rPr>
        <w:t xml:space="preserve">2021/22 Annual Report shows that the proportion of its budget allocated to publicly funded beneficiaries </w:t>
      </w:r>
      <w:r w:rsidR="00943A47" w:rsidRPr="005D4748">
        <w:rPr>
          <w:rFonts w:ascii="Arial" w:hAnsi="Arial" w:cs="Arial"/>
          <w:sz w:val="20"/>
          <w:szCs w:val="20"/>
        </w:rPr>
        <w:t xml:space="preserve">increased </w:t>
      </w:r>
      <w:r w:rsidRPr="005D4748">
        <w:rPr>
          <w:rFonts w:ascii="Arial" w:hAnsi="Arial" w:cs="Arial"/>
          <w:sz w:val="20"/>
          <w:szCs w:val="20"/>
        </w:rPr>
        <w:t>from 57% to 75% (amounting to R280.9 million).</w:t>
      </w:r>
    </w:p>
    <w:p w:rsidR="00F9647D" w:rsidRPr="005D4748" w:rsidRDefault="00F9647D" w:rsidP="005D4748">
      <w:pPr>
        <w:spacing w:after="0" w:line="240" w:lineRule="auto"/>
        <w:rPr>
          <w:rFonts w:ascii="Arial" w:hAnsi="Arial" w:cs="Arial"/>
          <w:sz w:val="20"/>
          <w:szCs w:val="20"/>
        </w:rPr>
      </w:pPr>
    </w:p>
    <w:p w:rsidR="00F9647D" w:rsidRPr="005D4748" w:rsidRDefault="00CB6989" w:rsidP="005D4748">
      <w:pPr>
        <w:spacing w:after="0" w:line="240" w:lineRule="auto"/>
        <w:rPr>
          <w:rFonts w:ascii="Arial" w:hAnsi="Arial" w:cs="Arial"/>
          <w:sz w:val="20"/>
          <w:szCs w:val="20"/>
        </w:rPr>
      </w:pPr>
      <w:r w:rsidRPr="005D4748">
        <w:rPr>
          <w:rFonts w:ascii="Arial" w:hAnsi="Arial" w:cs="Arial"/>
          <w:sz w:val="20"/>
          <w:szCs w:val="20"/>
        </w:rPr>
        <w:t xml:space="preserve">The </w:t>
      </w:r>
      <w:r w:rsidR="00F9647D" w:rsidRPr="005D4748">
        <w:rPr>
          <w:rFonts w:ascii="Arial" w:hAnsi="Arial" w:cs="Arial"/>
          <w:sz w:val="20"/>
          <w:szCs w:val="20"/>
        </w:rPr>
        <w:t xml:space="preserve">2020-2025 strategic focus </w:t>
      </w:r>
      <w:r w:rsidR="004F2861" w:rsidRPr="005D4748">
        <w:rPr>
          <w:rFonts w:ascii="Arial" w:hAnsi="Arial" w:cs="Arial"/>
          <w:sz w:val="20"/>
          <w:szCs w:val="20"/>
        </w:rPr>
        <w:t xml:space="preserve">of TIA </w:t>
      </w:r>
      <w:r w:rsidR="00F9647D" w:rsidRPr="005D4748">
        <w:rPr>
          <w:rFonts w:ascii="Arial" w:hAnsi="Arial" w:cs="Arial"/>
          <w:sz w:val="20"/>
          <w:szCs w:val="20"/>
        </w:rPr>
        <w:t>hinges on three core pillars/outcomes:</w:t>
      </w:r>
    </w:p>
    <w:p w:rsidR="00F9647D" w:rsidRPr="005D4748" w:rsidRDefault="00F9647D" w:rsidP="005D4748">
      <w:pPr>
        <w:spacing w:after="0" w:line="240" w:lineRule="auto"/>
        <w:rPr>
          <w:rFonts w:ascii="Arial" w:hAnsi="Arial" w:cs="Arial"/>
          <w:sz w:val="20"/>
          <w:szCs w:val="20"/>
        </w:rPr>
      </w:pPr>
    </w:p>
    <w:p w:rsidR="00F9647D" w:rsidRPr="005D4748" w:rsidRDefault="00B5219D" w:rsidP="005D4748">
      <w:pPr>
        <w:pStyle w:val="ListParagraph"/>
        <w:spacing w:after="0" w:line="240" w:lineRule="auto"/>
        <w:ind w:left="0"/>
        <w:contextualSpacing w:val="0"/>
        <w:rPr>
          <w:rFonts w:ascii="Arial" w:hAnsi="Arial" w:cs="Arial"/>
          <w:sz w:val="20"/>
          <w:szCs w:val="20"/>
        </w:rPr>
      </w:pPr>
      <w:r w:rsidRPr="005D4748">
        <w:rPr>
          <w:rFonts w:ascii="Arial" w:hAnsi="Arial" w:cs="Arial"/>
          <w:b/>
          <w:sz w:val="20"/>
          <w:szCs w:val="20"/>
        </w:rPr>
        <w:t>Outcome 1:</w:t>
      </w:r>
      <w:r w:rsidRPr="005D4748">
        <w:rPr>
          <w:rFonts w:ascii="Arial" w:hAnsi="Arial" w:cs="Arial"/>
          <w:b/>
          <w:sz w:val="20"/>
          <w:szCs w:val="20"/>
        </w:rPr>
        <w:tab/>
      </w:r>
      <w:r w:rsidR="00F9647D" w:rsidRPr="005D4748">
        <w:rPr>
          <w:rFonts w:ascii="Arial" w:hAnsi="Arial" w:cs="Arial"/>
          <w:b/>
          <w:sz w:val="20"/>
          <w:szCs w:val="20"/>
        </w:rPr>
        <w:t>Commercialising innovations</w:t>
      </w:r>
      <w:r w:rsidR="00F9647D" w:rsidRPr="005D4748">
        <w:rPr>
          <w:rFonts w:ascii="Arial" w:hAnsi="Arial" w:cs="Arial"/>
          <w:sz w:val="20"/>
          <w:szCs w:val="20"/>
        </w:rPr>
        <w:t xml:space="preserve"> – TIA has a significant portfolio of de-risked, early-stage technologies for investors to commercialise.</w:t>
      </w:r>
    </w:p>
    <w:p w:rsidR="00F9647D" w:rsidRPr="005D4748" w:rsidRDefault="00B5219D" w:rsidP="005D4748">
      <w:pPr>
        <w:pStyle w:val="ListParagraph"/>
        <w:spacing w:after="0" w:line="240" w:lineRule="auto"/>
        <w:ind w:left="0"/>
        <w:contextualSpacing w:val="0"/>
        <w:rPr>
          <w:rFonts w:ascii="Arial" w:hAnsi="Arial" w:cs="Arial"/>
          <w:sz w:val="20"/>
          <w:szCs w:val="20"/>
        </w:rPr>
      </w:pPr>
      <w:r w:rsidRPr="005D4748">
        <w:rPr>
          <w:rFonts w:ascii="Arial" w:hAnsi="Arial" w:cs="Arial"/>
          <w:b/>
          <w:sz w:val="20"/>
          <w:szCs w:val="20"/>
        </w:rPr>
        <w:t>Outcome 2:</w:t>
      </w:r>
      <w:r w:rsidRPr="005D4748">
        <w:rPr>
          <w:rFonts w:ascii="Arial" w:hAnsi="Arial" w:cs="Arial"/>
          <w:b/>
          <w:sz w:val="20"/>
          <w:szCs w:val="20"/>
        </w:rPr>
        <w:tab/>
      </w:r>
      <w:r w:rsidR="00F9647D" w:rsidRPr="005D4748">
        <w:rPr>
          <w:rFonts w:ascii="Arial" w:hAnsi="Arial" w:cs="Arial"/>
          <w:b/>
          <w:sz w:val="20"/>
          <w:szCs w:val="20"/>
        </w:rPr>
        <w:t>Delivering on the Bio-economy Strategy</w:t>
      </w:r>
      <w:r w:rsidR="00F9647D" w:rsidRPr="005D4748">
        <w:rPr>
          <w:rFonts w:ascii="Arial" w:hAnsi="Arial" w:cs="Arial"/>
          <w:sz w:val="20"/>
          <w:szCs w:val="20"/>
        </w:rPr>
        <w:t xml:space="preserve"> by targeting the Health, IK, Agriculture and Industrial Biotechnology sectors.</w:t>
      </w:r>
    </w:p>
    <w:p w:rsidR="00F9647D" w:rsidRPr="005D4748" w:rsidRDefault="00B5219D" w:rsidP="005D4748">
      <w:pPr>
        <w:pStyle w:val="ListParagraph"/>
        <w:spacing w:after="0" w:line="240" w:lineRule="auto"/>
        <w:ind w:left="0"/>
        <w:contextualSpacing w:val="0"/>
        <w:rPr>
          <w:rFonts w:ascii="Arial" w:hAnsi="Arial" w:cs="Arial"/>
          <w:sz w:val="20"/>
          <w:szCs w:val="20"/>
        </w:rPr>
      </w:pPr>
      <w:r w:rsidRPr="005D4748">
        <w:rPr>
          <w:rFonts w:ascii="Arial" w:hAnsi="Arial" w:cs="Arial"/>
          <w:b/>
          <w:sz w:val="20"/>
          <w:szCs w:val="20"/>
        </w:rPr>
        <w:t>Outcome 3:</w:t>
      </w:r>
      <w:r w:rsidRPr="005D4748">
        <w:rPr>
          <w:rFonts w:ascii="Arial" w:hAnsi="Arial" w:cs="Arial"/>
          <w:b/>
          <w:sz w:val="20"/>
          <w:szCs w:val="20"/>
        </w:rPr>
        <w:tab/>
      </w:r>
      <w:r w:rsidR="00F9647D" w:rsidRPr="005D4748">
        <w:rPr>
          <w:rFonts w:ascii="Arial" w:hAnsi="Arial" w:cs="Arial"/>
          <w:b/>
          <w:sz w:val="20"/>
          <w:szCs w:val="20"/>
        </w:rPr>
        <w:t>Increasing the participation of entrepreneurs and innovators, and supporting SMMEs in technological innovation</w:t>
      </w:r>
      <w:r w:rsidR="00F9647D" w:rsidRPr="005D4748">
        <w:rPr>
          <w:rFonts w:ascii="Arial" w:hAnsi="Arial" w:cs="Arial"/>
          <w:sz w:val="20"/>
          <w:szCs w:val="20"/>
        </w:rPr>
        <w:t xml:space="preserve"> - Providing access to key infrastructure capabilities such as the Technology Stations and other innovation-enabling interventions.</w:t>
      </w:r>
    </w:p>
    <w:p w:rsidR="00F9647D" w:rsidRPr="005D4748" w:rsidRDefault="00F9647D" w:rsidP="005D4748">
      <w:pPr>
        <w:spacing w:after="0" w:line="240" w:lineRule="auto"/>
        <w:rPr>
          <w:rFonts w:ascii="Arial" w:hAnsi="Arial" w:cs="Arial"/>
          <w:sz w:val="20"/>
          <w:szCs w:val="20"/>
        </w:rPr>
      </w:pPr>
    </w:p>
    <w:p w:rsidR="00913B71" w:rsidRPr="005D4748" w:rsidRDefault="00A02CAF" w:rsidP="005D4748">
      <w:pPr>
        <w:pStyle w:val="ListParagraph"/>
        <w:numPr>
          <w:ilvl w:val="2"/>
          <w:numId w:val="1"/>
        </w:numPr>
        <w:spacing w:after="0" w:line="240" w:lineRule="auto"/>
        <w:ind w:left="851" w:hanging="851"/>
        <w:rPr>
          <w:rFonts w:ascii="Arial" w:eastAsia="Times New Roman" w:hAnsi="Arial" w:cs="Arial"/>
          <w:sz w:val="20"/>
          <w:szCs w:val="20"/>
          <w:lang w:val="en-GB"/>
        </w:rPr>
      </w:pPr>
      <w:r w:rsidRPr="005D4748">
        <w:rPr>
          <w:rFonts w:ascii="Arial" w:eastAsia="Times New Roman" w:hAnsi="Arial" w:cs="Arial"/>
          <w:b/>
          <w:sz w:val="20"/>
          <w:szCs w:val="20"/>
          <w:lang w:val="en-GB"/>
        </w:rPr>
        <w:t xml:space="preserve">2021/22 </w:t>
      </w:r>
      <w:r w:rsidR="00DC0755" w:rsidRPr="005D4748">
        <w:rPr>
          <w:rFonts w:ascii="Arial" w:eastAsia="Times New Roman" w:hAnsi="Arial" w:cs="Arial"/>
          <w:b/>
          <w:sz w:val="20"/>
          <w:szCs w:val="20"/>
          <w:lang w:val="en-GB"/>
        </w:rPr>
        <w:t>Re</w:t>
      </w:r>
      <w:r w:rsidRPr="005D4748">
        <w:rPr>
          <w:rFonts w:ascii="Arial" w:eastAsia="Times New Roman" w:hAnsi="Arial" w:cs="Arial"/>
          <w:b/>
          <w:sz w:val="20"/>
          <w:szCs w:val="20"/>
          <w:lang w:val="en-GB"/>
        </w:rPr>
        <w:t>venue</w:t>
      </w:r>
    </w:p>
    <w:p w:rsidR="00913B71" w:rsidRPr="005D4748" w:rsidRDefault="00913B71" w:rsidP="005D4748">
      <w:pPr>
        <w:spacing w:after="0" w:line="240" w:lineRule="auto"/>
        <w:rPr>
          <w:rFonts w:ascii="Arial" w:eastAsia="Times New Roman" w:hAnsi="Arial" w:cs="Arial"/>
          <w:sz w:val="20"/>
          <w:szCs w:val="20"/>
          <w:lang w:val="en-GB"/>
        </w:rPr>
      </w:pPr>
    </w:p>
    <w:p w:rsidR="00AF216B" w:rsidRPr="005D4748" w:rsidRDefault="00AF216B" w:rsidP="005D4748">
      <w:pPr>
        <w:pStyle w:val="BodyText"/>
        <w:spacing w:after="0" w:line="240" w:lineRule="auto"/>
        <w:jc w:val="left"/>
        <w:rPr>
          <w:rFonts w:ascii="Arial" w:hAnsi="Arial" w:cs="Arial"/>
          <w:sz w:val="20"/>
          <w:szCs w:val="20"/>
        </w:rPr>
      </w:pPr>
      <w:r w:rsidRPr="005D4748">
        <w:rPr>
          <w:rFonts w:ascii="Arial" w:hAnsi="Arial" w:cs="Arial"/>
          <w:sz w:val="20"/>
          <w:szCs w:val="20"/>
        </w:rPr>
        <w:t xml:space="preserve">Total </w:t>
      </w:r>
      <w:r w:rsidR="00DF2B80" w:rsidRPr="005D4748">
        <w:rPr>
          <w:rFonts w:ascii="Arial" w:hAnsi="Arial" w:cs="Arial"/>
          <w:sz w:val="20"/>
          <w:szCs w:val="20"/>
        </w:rPr>
        <w:t>revenue was</w:t>
      </w:r>
      <w:r w:rsidRPr="005D4748">
        <w:rPr>
          <w:rFonts w:ascii="Arial" w:hAnsi="Arial" w:cs="Arial"/>
          <w:sz w:val="20"/>
          <w:szCs w:val="20"/>
        </w:rPr>
        <w:t xml:space="preserve"> R633.9 million, with the parliamentary grant constituting R447.7 million of th</w:t>
      </w:r>
      <w:r w:rsidR="00DF2B80" w:rsidRPr="005D4748">
        <w:rPr>
          <w:rFonts w:ascii="Arial" w:hAnsi="Arial" w:cs="Arial"/>
          <w:sz w:val="20"/>
          <w:szCs w:val="20"/>
        </w:rPr>
        <w:t>e</w:t>
      </w:r>
      <w:r w:rsidRPr="005D4748">
        <w:rPr>
          <w:rFonts w:ascii="Arial" w:hAnsi="Arial" w:cs="Arial"/>
          <w:sz w:val="20"/>
          <w:szCs w:val="20"/>
        </w:rPr>
        <w:t xml:space="preserve"> total </w:t>
      </w:r>
      <w:r w:rsidR="00DF2B80" w:rsidRPr="005D4748">
        <w:rPr>
          <w:rFonts w:ascii="Arial" w:hAnsi="Arial" w:cs="Arial"/>
          <w:sz w:val="20"/>
          <w:szCs w:val="20"/>
        </w:rPr>
        <w:t>revenue</w:t>
      </w:r>
      <w:r w:rsidRPr="005D4748">
        <w:rPr>
          <w:rFonts w:ascii="Arial" w:hAnsi="Arial" w:cs="Arial"/>
          <w:sz w:val="20"/>
          <w:szCs w:val="20"/>
        </w:rPr>
        <w:t xml:space="preserve">. Total expenditure for the year </w:t>
      </w:r>
      <w:r w:rsidR="00DF2B80" w:rsidRPr="005D4748">
        <w:rPr>
          <w:rFonts w:ascii="Arial" w:hAnsi="Arial" w:cs="Arial"/>
          <w:sz w:val="20"/>
          <w:szCs w:val="20"/>
        </w:rPr>
        <w:t>was</w:t>
      </w:r>
      <w:r w:rsidRPr="005D4748">
        <w:rPr>
          <w:rFonts w:ascii="Arial" w:hAnsi="Arial" w:cs="Arial"/>
          <w:sz w:val="20"/>
          <w:szCs w:val="20"/>
        </w:rPr>
        <w:t xml:space="preserve"> R611.3 million, which was R39.1 million higher than budgeted for. This was due to higher than projected investment expenditure of R52.2 million offset by savings in operational expenditure. Total disbursements </w:t>
      </w:r>
      <w:r w:rsidR="00DF2B80" w:rsidRPr="005D4748">
        <w:rPr>
          <w:rFonts w:ascii="Arial" w:hAnsi="Arial" w:cs="Arial"/>
          <w:sz w:val="20"/>
          <w:szCs w:val="20"/>
        </w:rPr>
        <w:t xml:space="preserve">amounted to </w:t>
      </w:r>
      <w:r w:rsidRPr="005D4748">
        <w:rPr>
          <w:rFonts w:ascii="Arial" w:hAnsi="Arial" w:cs="Arial"/>
          <w:sz w:val="20"/>
          <w:szCs w:val="20"/>
        </w:rPr>
        <w:t xml:space="preserve">R458.9 million, representing a 9.4% increase on 2020/21. These comprised R86 million for </w:t>
      </w:r>
      <w:r w:rsidR="00215790" w:rsidRPr="005D4748">
        <w:rPr>
          <w:rFonts w:ascii="Arial" w:hAnsi="Arial" w:cs="Arial"/>
          <w:sz w:val="20"/>
          <w:szCs w:val="20"/>
        </w:rPr>
        <w:t>c</w:t>
      </w:r>
      <w:r w:rsidRPr="005D4748">
        <w:rPr>
          <w:rFonts w:ascii="Arial" w:hAnsi="Arial" w:cs="Arial"/>
          <w:sz w:val="20"/>
          <w:szCs w:val="20"/>
        </w:rPr>
        <w:t xml:space="preserve">ommercialising innovations, R221.5 million for the Bio-economy Strategy and R151.3 million for </w:t>
      </w:r>
      <w:r w:rsidR="00215790" w:rsidRPr="005D4748">
        <w:rPr>
          <w:rFonts w:ascii="Arial" w:hAnsi="Arial" w:cs="Arial"/>
          <w:sz w:val="20"/>
          <w:szCs w:val="20"/>
        </w:rPr>
        <w:t>i</w:t>
      </w:r>
      <w:r w:rsidRPr="005D4748">
        <w:rPr>
          <w:rFonts w:ascii="Arial" w:hAnsi="Arial" w:cs="Arial"/>
          <w:sz w:val="20"/>
          <w:szCs w:val="20"/>
        </w:rPr>
        <w:t xml:space="preserve">nnovation enabling initiatives. </w:t>
      </w:r>
      <w:r w:rsidR="00F26A90" w:rsidRPr="005D4748">
        <w:rPr>
          <w:rFonts w:ascii="Arial" w:hAnsi="Arial" w:cs="Arial"/>
          <w:sz w:val="20"/>
          <w:szCs w:val="20"/>
        </w:rPr>
        <w:t>F</w:t>
      </w:r>
      <w:r w:rsidRPr="005D4748">
        <w:rPr>
          <w:rFonts w:ascii="Arial" w:hAnsi="Arial" w:cs="Arial"/>
          <w:sz w:val="20"/>
          <w:szCs w:val="20"/>
        </w:rPr>
        <w:t>or the third consecutive financial year</w:t>
      </w:r>
      <w:r w:rsidR="00DF2B80" w:rsidRPr="005D4748">
        <w:rPr>
          <w:rFonts w:ascii="Arial" w:hAnsi="Arial" w:cs="Arial"/>
          <w:sz w:val="20"/>
          <w:szCs w:val="20"/>
        </w:rPr>
        <w:t xml:space="preserve">, </w:t>
      </w:r>
      <w:r w:rsidR="00F26A90" w:rsidRPr="005D4748">
        <w:rPr>
          <w:rFonts w:ascii="Arial" w:hAnsi="Arial" w:cs="Arial"/>
          <w:sz w:val="20"/>
          <w:szCs w:val="20"/>
        </w:rPr>
        <w:t xml:space="preserve">TIA dispersed </w:t>
      </w:r>
      <w:r w:rsidRPr="005D4748">
        <w:rPr>
          <w:rFonts w:ascii="Arial" w:hAnsi="Arial" w:cs="Arial"/>
          <w:sz w:val="20"/>
          <w:szCs w:val="20"/>
        </w:rPr>
        <w:t>more than 90% of its MTEF allocation. TIA realised an actual surplus of R22.6 million</w:t>
      </w:r>
      <w:r w:rsidR="00F26A90" w:rsidRPr="005D4748">
        <w:rPr>
          <w:rFonts w:ascii="Arial" w:hAnsi="Arial" w:cs="Arial"/>
          <w:sz w:val="20"/>
          <w:szCs w:val="20"/>
        </w:rPr>
        <w:t xml:space="preserve">, which </w:t>
      </w:r>
      <w:r w:rsidRPr="005D4748">
        <w:rPr>
          <w:rFonts w:ascii="Arial" w:hAnsi="Arial" w:cs="Arial"/>
          <w:sz w:val="20"/>
          <w:szCs w:val="20"/>
        </w:rPr>
        <w:t>was largely attributed to a combination of greater income generated, lower than anticipated investment expenditure and savings on operational expenditure.</w:t>
      </w:r>
    </w:p>
    <w:p w:rsidR="00AF216B" w:rsidRPr="005D4748" w:rsidRDefault="00AF216B" w:rsidP="005D4748">
      <w:pPr>
        <w:pStyle w:val="BodyText"/>
        <w:spacing w:after="0" w:line="240" w:lineRule="auto"/>
        <w:jc w:val="left"/>
        <w:rPr>
          <w:rFonts w:ascii="Arial" w:hAnsi="Arial" w:cs="Arial"/>
          <w:sz w:val="20"/>
          <w:szCs w:val="20"/>
        </w:rPr>
      </w:pPr>
    </w:p>
    <w:p w:rsidR="00AF216B" w:rsidRPr="005D4748" w:rsidRDefault="00AF216B" w:rsidP="005D4748">
      <w:pPr>
        <w:spacing w:after="0" w:line="240" w:lineRule="auto"/>
        <w:rPr>
          <w:rFonts w:ascii="Arial" w:hAnsi="Arial" w:cs="Arial"/>
          <w:sz w:val="20"/>
          <w:szCs w:val="20"/>
        </w:rPr>
      </w:pPr>
      <w:r w:rsidRPr="005D4748">
        <w:rPr>
          <w:rFonts w:ascii="Arial" w:hAnsi="Arial" w:cs="Arial"/>
          <w:sz w:val="20"/>
          <w:szCs w:val="20"/>
        </w:rPr>
        <w:t xml:space="preserve">The 2021/22 financial year represented the first phase of the 3-year pilot of the Innovation Fund, a R150 million instrument of the Department </w:t>
      </w:r>
      <w:r w:rsidR="009F331B" w:rsidRPr="005D4748">
        <w:rPr>
          <w:rFonts w:ascii="Arial" w:hAnsi="Arial" w:cs="Arial"/>
          <w:sz w:val="20"/>
          <w:szCs w:val="20"/>
        </w:rPr>
        <w:t xml:space="preserve">aimed at </w:t>
      </w:r>
      <w:r w:rsidRPr="005D4748">
        <w:rPr>
          <w:rFonts w:ascii="Arial" w:hAnsi="Arial" w:cs="Arial"/>
          <w:sz w:val="20"/>
          <w:szCs w:val="20"/>
        </w:rPr>
        <w:t>enhanc</w:t>
      </w:r>
      <w:r w:rsidR="009F331B" w:rsidRPr="005D4748">
        <w:rPr>
          <w:rFonts w:ascii="Arial" w:hAnsi="Arial" w:cs="Arial"/>
          <w:sz w:val="20"/>
          <w:szCs w:val="20"/>
        </w:rPr>
        <w:t>ing</w:t>
      </w:r>
      <w:r w:rsidRPr="005D4748">
        <w:rPr>
          <w:rFonts w:ascii="Arial" w:hAnsi="Arial" w:cs="Arial"/>
          <w:sz w:val="20"/>
          <w:szCs w:val="20"/>
        </w:rPr>
        <w:t xml:space="preserve"> and accelerat</w:t>
      </w:r>
      <w:r w:rsidR="009F331B" w:rsidRPr="005D4748">
        <w:rPr>
          <w:rFonts w:ascii="Arial" w:hAnsi="Arial" w:cs="Arial"/>
          <w:sz w:val="20"/>
          <w:szCs w:val="20"/>
        </w:rPr>
        <w:t>ing</w:t>
      </w:r>
      <w:r w:rsidRPr="005D4748">
        <w:rPr>
          <w:rFonts w:ascii="Arial" w:hAnsi="Arial" w:cs="Arial"/>
          <w:sz w:val="20"/>
          <w:szCs w:val="20"/>
        </w:rPr>
        <w:t xml:space="preserve"> the rate of commercialisation of locally developed technologies. TIA is one of the implementing partners along</w:t>
      </w:r>
      <w:r w:rsidR="004B6AA8" w:rsidRPr="005D4748">
        <w:rPr>
          <w:rFonts w:ascii="Arial" w:hAnsi="Arial" w:cs="Arial"/>
          <w:sz w:val="20"/>
          <w:szCs w:val="20"/>
        </w:rPr>
        <w:t xml:space="preserve"> </w:t>
      </w:r>
      <w:r w:rsidR="004B6AA8" w:rsidRPr="005D4748">
        <w:rPr>
          <w:rFonts w:ascii="Arial" w:hAnsi="Arial" w:cs="Arial"/>
          <w:sz w:val="20"/>
          <w:szCs w:val="20"/>
        </w:rPr>
        <w:lastRenderedPageBreak/>
        <w:t>with</w:t>
      </w:r>
      <w:r w:rsidRPr="005D4748">
        <w:rPr>
          <w:rFonts w:ascii="Arial" w:hAnsi="Arial" w:cs="Arial"/>
          <w:sz w:val="20"/>
          <w:szCs w:val="20"/>
        </w:rPr>
        <w:t xml:space="preserve"> the SA SME Fund, the Public Investment Corporation and the Industrial Development Corporation. TIA received R80 million, with 87.5% of this successfully committed to approved projects and R25.2 million disbursed to project recipients. Under this fund, TIA concluded agreements with nine projects under the Bio-economy portfolio by the end of 2021/22. These included six IK-related projects with a total value of R40.5 million under the Natural Indigenous Products Programme (NIPP) Fund. The NIPP fund was established to advance the development and commercialisation of </w:t>
      </w:r>
      <w:r w:rsidR="00C94E5B" w:rsidRPr="005D4748">
        <w:rPr>
          <w:rFonts w:ascii="Arial" w:hAnsi="Arial" w:cs="Arial"/>
          <w:sz w:val="20"/>
          <w:szCs w:val="20"/>
        </w:rPr>
        <w:t>IK</w:t>
      </w:r>
      <w:r w:rsidRPr="005D4748">
        <w:rPr>
          <w:rFonts w:ascii="Arial" w:hAnsi="Arial" w:cs="Arial"/>
          <w:sz w:val="20"/>
          <w:szCs w:val="20"/>
        </w:rPr>
        <w:t xml:space="preserve">. A total of R31.4 million was disbursed to projects in 2021/22. For the Commercialisation portfolio, TIA concluded agreements with five projects (Pelebox, Riot and Lepsta in the ICT portfolio and Settlebed detector and Smartsensor in the Natural Resources portfolio) totalling R21.5 million, with R15.9 million disbursed in 2021/22. In addition, a further R10.5 million was disbursed to the University Technology Fund. TIA has been entrusted with a further R102.2 million to implement </w:t>
      </w:r>
      <w:r w:rsidR="00CB7932" w:rsidRPr="005D4748">
        <w:rPr>
          <w:rFonts w:ascii="Arial" w:hAnsi="Arial" w:cs="Arial"/>
          <w:sz w:val="20"/>
          <w:szCs w:val="20"/>
        </w:rPr>
        <w:t>phase</w:t>
      </w:r>
      <w:r w:rsidRPr="005D4748">
        <w:rPr>
          <w:rFonts w:ascii="Arial" w:hAnsi="Arial" w:cs="Arial"/>
          <w:sz w:val="20"/>
          <w:szCs w:val="20"/>
        </w:rPr>
        <w:t xml:space="preserve"> two of the Innovation Fund.</w:t>
      </w:r>
    </w:p>
    <w:p w:rsidR="00913B71" w:rsidRPr="005D4748" w:rsidRDefault="00913B71" w:rsidP="005D4748">
      <w:pPr>
        <w:spacing w:after="0" w:line="240" w:lineRule="auto"/>
        <w:rPr>
          <w:rFonts w:ascii="Arial" w:eastAsia="Times New Roman" w:hAnsi="Arial" w:cs="Arial"/>
          <w:sz w:val="20"/>
          <w:szCs w:val="20"/>
          <w:lang w:val="en-GB"/>
        </w:rPr>
      </w:pPr>
    </w:p>
    <w:p w:rsidR="00913B71" w:rsidRPr="005D4748" w:rsidRDefault="00A02CAF" w:rsidP="005D4748">
      <w:pPr>
        <w:pStyle w:val="ListParagraph"/>
        <w:numPr>
          <w:ilvl w:val="2"/>
          <w:numId w:val="1"/>
        </w:numPr>
        <w:spacing w:after="0" w:line="240" w:lineRule="auto"/>
        <w:ind w:left="851" w:hanging="851"/>
        <w:rPr>
          <w:rFonts w:ascii="Arial" w:eastAsia="Times New Roman" w:hAnsi="Arial" w:cs="Arial"/>
          <w:sz w:val="20"/>
          <w:szCs w:val="20"/>
          <w:lang w:val="en-GB"/>
        </w:rPr>
      </w:pPr>
      <w:r w:rsidRPr="005D4748">
        <w:rPr>
          <w:rFonts w:ascii="Arial" w:eastAsia="Times New Roman" w:hAnsi="Arial" w:cs="Arial"/>
          <w:b/>
          <w:sz w:val="20"/>
          <w:szCs w:val="20"/>
          <w:lang w:val="en-GB"/>
        </w:rPr>
        <w:t xml:space="preserve">2021/22 </w:t>
      </w:r>
      <w:r w:rsidR="00467143" w:rsidRPr="005D4748">
        <w:rPr>
          <w:rFonts w:ascii="Arial" w:eastAsia="Times New Roman" w:hAnsi="Arial" w:cs="Arial"/>
          <w:b/>
          <w:sz w:val="20"/>
          <w:szCs w:val="20"/>
          <w:lang w:val="en-GB"/>
        </w:rPr>
        <w:t>Performance</w:t>
      </w:r>
    </w:p>
    <w:p w:rsidR="00AD2B6C" w:rsidRPr="005D4748" w:rsidRDefault="00AD2B6C" w:rsidP="005D4748">
      <w:pPr>
        <w:spacing w:after="0" w:line="240" w:lineRule="auto"/>
        <w:rPr>
          <w:rFonts w:ascii="Arial" w:eastAsia="Times New Roman" w:hAnsi="Arial" w:cs="Arial"/>
          <w:sz w:val="20"/>
          <w:szCs w:val="20"/>
          <w:lang w:val="en-GB"/>
        </w:rPr>
      </w:pPr>
    </w:p>
    <w:p w:rsidR="00AD2B6C" w:rsidRPr="005D4748" w:rsidRDefault="00C94675" w:rsidP="005D4748">
      <w:pPr>
        <w:spacing w:after="0" w:line="240" w:lineRule="auto"/>
        <w:rPr>
          <w:rFonts w:ascii="Arial" w:eastAsia="Times New Roman" w:hAnsi="Arial" w:cs="Arial"/>
          <w:sz w:val="20"/>
          <w:szCs w:val="20"/>
          <w:lang w:val="en-GB"/>
        </w:rPr>
      </w:pPr>
      <w:r w:rsidRPr="005D4748">
        <w:rPr>
          <w:rFonts w:ascii="Arial" w:eastAsia="Times New Roman" w:hAnsi="Arial" w:cs="Arial"/>
          <w:sz w:val="20"/>
          <w:szCs w:val="20"/>
          <w:lang w:val="en-GB"/>
        </w:rPr>
        <w:t>For 2021/22, TIA achieved 19 of its 22 annual performance indicators, which equates to an overall performance of 86% (90% in 2020/21). Of the 22 annual output indicators, nine relate</w:t>
      </w:r>
      <w:r w:rsidR="00AB3D23" w:rsidRPr="005D4748">
        <w:rPr>
          <w:rFonts w:ascii="Arial" w:eastAsia="Times New Roman" w:hAnsi="Arial" w:cs="Arial"/>
          <w:sz w:val="20"/>
          <w:szCs w:val="20"/>
          <w:lang w:val="en-GB"/>
        </w:rPr>
        <w:t>d</w:t>
      </w:r>
      <w:r w:rsidRPr="005D4748">
        <w:rPr>
          <w:rFonts w:ascii="Arial" w:eastAsia="Times New Roman" w:hAnsi="Arial" w:cs="Arial"/>
          <w:sz w:val="20"/>
          <w:szCs w:val="20"/>
          <w:lang w:val="en-GB"/>
        </w:rPr>
        <w:t xml:space="preserve"> to support services and 13 to delivering on TIA’s core mandate.</w:t>
      </w:r>
      <w:r w:rsidR="00144414" w:rsidRPr="005D4748">
        <w:rPr>
          <w:rFonts w:ascii="Arial" w:eastAsia="Times New Roman" w:hAnsi="Arial" w:cs="Arial"/>
          <w:sz w:val="20"/>
          <w:szCs w:val="20"/>
          <w:lang w:val="en-GB"/>
        </w:rPr>
        <w:t xml:space="preserve"> </w:t>
      </w:r>
      <w:r w:rsidR="00B5219D" w:rsidRPr="005D4748">
        <w:rPr>
          <w:rFonts w:ascii="Arial" w:eastAsia="Times New Roman" w:hAnsi="Arial" w:cs="Arial"/>
          <w:sz w:val="20"/>
          <w:szCs w:val="20"/>
          <w:lang w:val="en-GB"/>
        </w:rPr>
        <w:t>The three targets that were not achieved and the one partially achieved target are</w:t>
      </w:r>
      <w:r w:rsidR="003516B1" w:rsidRPr="005D4748">
        <w:rPr>
          <w:rFonts w:ascii="Arial" w:eastAsia="Times New Roman" w:hAnsi="Arial" w:cs="Arial"/>
          <w:sz w:val="20"/>
          <w:szCs w:val="20"/>
          <w:lang w:val="en-GB"/>
        </w:rPr>
        <w:t xml:space="preserve"> shown in Table 5.</w:t>
      </w:r>
    </w:p>
    <w:p w:rsidR="00B5219D" w:rsidRPr="005D4748" w:rsidRDefault="00B5219D" w:rsidP="005D4748">
      <w:pPr>
        <w:spacing w:after="0" w:line="240" w:lineRule="auto"/>
        <w:rPr>
          <w:rFonts w:ascii="Arial" w:eastAsia="Times New Roman" w:hAnsi="Arial" w:cs="Arial"/>
          <w:sz w:val="20"/>
          <w:szCs w:val="20"/>
          <w:lang w:val="en-GB"/>
        </w:rPr>
      </w:pPr>
    </w:p>
    <w:p w:rsidR="00B5219D" w:rsidRPr="005D4748" w:rsidRDefault="003516B1" w:rsidP="005D4748">
      <w:pPr>
        <w:spacing w:after="0" w:line="240" w:lineRule="auto"/>
        <w:rPr>
          <w:rFonts w:ascii="Arial" w:eastAsia="Times New Roman" w:hAnsi="Arial" w:cs="Arial"/>
          <w:b/>
          <w:sz w:val="20"/>
          <w:szCs w:val="20"/>
          <w:lang w:val="en-GB"/>
        </w:rPr>
      </w:pPr>
      <w:r w:rsidRPr="005D4748">
        <w:rPr>
          <w:rFonts w:ascii="Arial" w:eastAsia="Times New Roman" w:hAnsi="Arial" w:cs="Arial"/>
          <w:b/>
          <w:sz w:val="20"/>
          <w:szCs w:val="20"/>
          <w:lang w:val="en-GB"/>
        </w:rPr>
        <w:t>Table 5: 2021/22 Performance indicators that were not achieved by TIA</w:t>
      </w:r>
    </w:p>
    <w:tbl>
      <w:tblPr>
        <w:tblStyle w:val="TableGrid"/>
        <w:tblW w:w="0" w:type="auto"/>
        <w:tblLook w:val="04A0"/>
      </w:tblPr>
      <w:tblGrid>
        <w:gridCol w:w="2312"/>
        <w:gridCol w:w="2295"/>
        <w:gridCol w:w="2336"/>
        <w:gridCol w:w="2343"/>
      </w:tblGrid>
      <w:tr w:rsidR="00C4346C" w:rsidRPr="005D4748" w:rsidTr="000618D9">
        <w:trPr>
          <w:tblHeader/>
        </w:trPr>
        <w:tc>
          <w:tcPr>
            <w:tcW w:w="2575" w:type="dxa"/>
            <w:shd w:val="clear" w:color="auto" w:fill="C6D9F1" w:themeFill="text2" w:themeFillTint="33"/>
          </w:tcPr>
          <w:p w:rsidR="00C4346C" w:rsidRPr="005D4748" w:rsidRDefault="00C4346C" w:rsidP="005D4748">
            <w:pPr>
              <w:pStyle w:val="BodyText"/>
              <w:spacing w:after="0" w:line="240" w:lineRule="auto"/>
              <w:jc w:val="left"/>
              <w:rPr>
                <w:rFonts w:ascii="Arial" w:hAnsi="Arial" w:cs="Arial"/>
                <w:b/>
                <w:sz w:val="20"/>
                <w:szCs w:val="20"/>
              </w:rPr>
            </w:pPr>
            <w:r w:rsidRPr="005D4748">
              <w:rPr>
                <w:rFonts w:ascii="Arial" w:hAnsi="Arial" w:cs="Arial"/>
                <w:b/>
                <w:sz w:val="20"/>
                <w:szCs w:val="20"/>
              </w:rPr>
              <w:t>Output indicator</w:t>
            </w:r>
          </w:p>
        </w:tc>
        <w:tc>
          <w:tcPr>
            <w:tcW w:w="2575" w:type="dxa"/>
            <w:shd w:val="clear" w:color="auto" w:fill="C6D9F1" w:themeFill="text2" w:themeFillTint="33"/>
          </w:tcPr>
          <w:p w:rsidR="00C4346C" w:rsidRPr="005D4748" w:rsidRDefault="00C4346C" w:rsidP="005D4748">
            <w:pPr>
              <w:pStyle w:val="BodyText"/>
              <w:spacing w:after="0" w:line="240" w:lineRule="auto"/>
              <w:jc w:val="left"/>
              <w:rPr>
                <w:rFonts w:ascii="Arial" w:hAnsi="Arial" w:cs="Arial"/>
                <w:b/>
                <w:sz w:val="20"/>
                <w:szCs w:val="20"/>
              </w:rPr>
            </w:pPr>
            <w:r w:rsidRPr="005D4748">
              <w:rPr>
                <w:rFonts w:ascii="Arial" w:hAnsi="Arial" w:cs="Arial"/>
                <w:b/>
                <w:sz w:val="20"/>
                <w:szCs w:val="20"/>
              </w:rPr>
              <w:t>Planned target</w:t>
            </w:r>
          </w:p>
        </w:tc>
        <w:tc>
          <w:tcPr>
            <w:tcW w:w="2576" w:type="dxa"/>
            <w:shd w:val="clear" w:color="auto" w:fill="C6D9F1" w:themeFill="text2" w:themeFillTint="33"/>
          </w:tcPr>
          <w:p w:rsidR="00C4346C" w:rsidRPr="005D4748" w:rsidRDefault="00C4346C" w:rsidP="005D4748">
            <w:pPr>
              <w:pStyle w:val="BodyText"/>
              <w:spacing w:after="0" w:line="240" w:lineRule="auto"/>
              <w:jc w:val="left"/>
              <w:rPr>
                <w:rFonts w:ascii="Arial" w:hAnsi="Arial" w:cs="Arial"/>
                <w:b/>
                <w:sz w:val="20"/>
                <w:szCs w:val="20"/>
              </w:rPr>
            </w:pPr>
            <w:r w:rsidRPr="005D4748">
              <w:rPr>
                <w:rFonts w:ascii="Arial" w:hAnsi="Arial" w:cs="Arial"/>
                <w:b/>
                <w:sz w:val="20"/>
                <w:szCs w:val="20"/>
              </w:rPr>
              <w:t>Actual Achievement</w:t>
            </w:r>
          </w:p>
        </w:tc>
        <w:tc>
          <w:tcPr>
            <w:tcW w:w="2576" w:type="dxa"/>
            <w:shd w:val="clear" w:color="auto" w:fill="C6D9F1" w:themeFill="text2" w:themeFillTint="33"/>
          </w:tcPr>
          <w:p w:rsidR="00C4346C" w:rsidRPr="005D4748" w:rsidRDefault="00C4346C" w:rsidP="005D4748">
            <w:pPr>
              <w:pStyle w:val="BodyText"/>
              <w:spacing w:after="0" w:line="240" w:lineRule="auto"/>
              <w:jc w:val="left"/>
              <w:rPr>
                <w:rFonts w:ascii="Arial" w:hAnsi="Arial" w:cs="Arial"/>
                <w:b/>
                <w:sz w:val="20"/>
                <w:szCs w:val="20"/>
              </w:rPr>
            </w:pPr>
            <w:r w:rsidRPr="005D4748">
              <w:rPr>
                <w:rFonts w:ascii="Arial" w:hAnsi="Arial" w:cs="Arial"/>
                <w:b/>
                <w:sz w:val="20"/>
                <w:szCs w:val="20"/>
              </w:rPr>
              <w:t>Reason for variance</w:t>
            </w:r>
          </w:p>
        </w:tc>
      </w:tr>
      <w:tr w:rsidR="00C4346C" w:rsidRPr="005D4748" w:rsidTr="000618D9">
        <w:tc>
          <w:tcPr>
            <w:tcW w:w="10302" w:type="dxa"/>
            <w:gridSpan w:val="4"/>
            <w:shd w:val="clear" w:color="auto" w:fill="8DB3E2" w:themeFill="text2" w:themeFillTint="66"/>
          </w:tcPr>
          <w:p w:rsidR="00C4346C" w:rsidRPr="005D4748" w:rsidRDefault="00C4346C" w:rsidP="005D4748">
            <w:pPr>
              <w:pStyle w:val="BodyText"/>
              <w:spacing w:after="0" w:line="240" w:lineRule="auto"/>
              <w:jc w:val="left"/>
              <w:rPr>
                <w:rFonts w:ascii="Arial" w:hAnsi="Arial" w:cs="Arial"/>
                <w:b/>
                <w:sz w:val="20"/>
                <w:szCs w:val="20"/>
              </w:rPr>
            </w:pPr>
            <w:r w:rsidRPr="005D4748">
              <w:rPr>
                <w:rFonts w:ascii="Arial" w:hAnsi="Arial" w:cs="Arial"/>
                <w:b/>
                <w:sz w:val="20"/>
                <w:szCs w:val="20"/>
              </w:rPr>
              <w:t>Outcome 2: Delivering on the Bio-economy Strategy</w:t>
            </w:r>
          </w:p>
        </w:tc>
      </w:tr>
      <w:tr w:rsidR="00C4346C" w:rsidRPr="005D4748" w:rsidTr="000618D9">
        <w:tc>
          <w:tcPr>
            <w:tcW w:w="2575" w:type="dxa"/>
          </w:tcPr>
          <w:p w:rsidR="00C4346C" w:rsidRPr="005D4748" w:rsidRDefault="00C4346C" w:rsidP="005D4748">
            <w:pPr>
              <w:pStyle w:val="BodyText"/>
              <w:spacing w:after="0" w:line="240" w:lineRule="auto"/>
              <w:jc w:val="left"/>
              <w:rPr>
                <w:rFonts w:ascii="Arial" w:hAnsi="Arial" w:cs="Arial"/>
                <w:sz w:val="20"/>
                <w:szCs w:val="20"/>
              </w:rPr>
            </w:pPr>
            <w:r w:rsidRPr="005D4748">
              <w:rPr>
                <w:rFonts w:ascii="Arial" w:hAnsi="Arial" w:cs="Arial"/>
                <w:sz w:val="20"/>
                <w:szCs w:val="20"/>
              </w:rPr>
              <w:t>Number of existing Technology Innovation Clusters that are operational and functional.</w:t>
            </w:r>
          </w:p>
        </w:tc>
        <w:tc>
          <w:tcPr>
            <w:tcW w:w="2575" w:type="dxa"/>
            <w:vAlign w:val="center"/>
          </w:tcPr>
          <w:p w:rsidR="00C4346C" w:rsidRPr="005D4748" w:rsidRDefault="00C4346C" w:rsidP="005D4748">
            <w:pPr>
              <w:pStyle w:val="BodyText"/>
              <w:spacing w:after="0" w:line="240" w:lineRule="auto"/>
              <w:jc w:val="left"/>
              <w:rPr>
                <w:rFonts w:ascii="Arial" w:hAnsi="Arial" w:cs="Arial"/>
                <w:sz w:val="20"/>
                <w:szCs w:val="20"/>
              </w:rPr>
            </w:pPr>
            <w:r w:rsidRPr="005D4748">
              <w:rPr>
                <w:rFonts w:ascii="Arial" w:hAnsi="Arial" w:cs="Arial"/>
                <w:sz w:val="20"/>
                <w:szCs w:val="20"/>
              </w:rPr>
              <w:t>8</w:t>
            </w:r>
          </w:p>
        </w:tc>
        <w:tc>
          <w:tcPr>
            <w:tcW w:w="2576" w:type="dxa"/>
            <w:vAlign w:val="center"/>
          </w:tcPr>
          <w:p w:rsidR="00C4346C" w:rsidRPr="005D4748" w:rsidRDefault="00C4346C" w:rsidP="005D4748">
            <w:pPr>
              <w:pStyle w:val="BodyText"/>
              <w:spacing w:after="0" w:line="240" w:lineRule="auto"/>
              <w:jc w:val="left"/>
              <w:rPr>
                <w:rFonts w:ascii="Arial" w:hAnsi="Arial" w:cs="Arial"/>
                <w:sz w:val="20"/>
                <w:szCs w:val="20"/>
              </w:rPr>
            </w:pPr>
            <w:r w:rsidRPr="005D4748">
              <w:rPr>
                <w:rFonts w:ascii="Arial" w:hAnsi="Arial" w:cs="Arial"/>
                <w:sz w:val="20"/>
                <w:szCs w:val="20"/>
              </w:rPr>
              <w:t>7</w:t>
            </w:r>
          </w:p>
        </w:tc>
        <w:tc>
          <w:tcPr>
            <w:tcW w:w="2576" w:type="dxa"/>
          </w:tcPr>
          <w:p w:rsidR="00C4346C" w:rsidRPr="005D4748" w:rsidRDefault="00C4346C" w:rsidP="005D4748">
            <w:pPr>
              <w:pStyle w:val="BodyText"/>
              <w:spacing w:after="0" w:line="240" w:lineRule="auto"/>
              <w:jc w:val="left"/>
              <w:rPr>
                <w:rFonts w:ascii="Arial" w:hAnsi="Arial" w:cs="Arial"/>
                <w:sz w:val="20"/>
                <w:szCs w:val="20"/>
              </w:rPr>
            </w:pPr>
            <w:r w:rsidRPr="005D4748">
              <w:rPr>
                <w:rFonts w:ascii="Arial" w:hAnsi="Arial" w:cs="Arial"/>
                <w:sz w:val="20"/>
                <w:szCs w:val="20"/>
              </w:rPr>
              <w:t>TIA did not achieve this target due to not concluding funding agreements and associated business plans and funding proposals with the Dairy Genomics Programme and the Beef Genomics Programme. In the former instance, the industry association declined to commit to transformation targets. In the latter instance, several matters remained unresolved despite several engagements with the respective science council.</w:t>
            </w:r>
          </w:p>
        </w:tc>
      </w:tr>
      <w:tr w:rsidR="00C4346C" w:rsidRPr="005D4748" w:rsidTr="000618D9">
        <w:tc>
          <w:tcPr>
            <w:tcW w:w="10302" w:type="dxa"/>
            <w:gridSpan w:val="4"/>
            <w:shd w:val="clear" w:color="auto" w:fill="8DB3E2" w:themeFill="text2" w:themeFillTint="66"/>
          </w:tcPr>
          <w:p w:rsidR="00C4346C" w:rsidRPr="005D4748" w:rsidRDefault="00C4346C" w:rsidP="005D4748">
            <w:pPr>
              <w:pStyle w:val="BodyText"/>
              <w:spacing w:after="0" w:line="240" w:lineRule="auto"/>
              <w:jc w:val="left"/>
              <w:rPr>
                <w:rFonts w:ascii="Arial" w:hAnsi="Arial" w:cs="Arial"/>
                <w:b/>
                <w:sz w:val="20"/>
                <w:szCs w:val="20"/>
              </w:rPr>
            </w:pPr>
            <w:r w:rsidRPr="005D4748">
              <w:rPr>
                <w:rFonts w:ascii="Arial" w:hAnsi="Arial" w:cs="Arial"/>
                <w:b/>
                <w:sz w:val="20"/>
                <w:szCs w:val="20"/>
              </w:rPr>
              <w:t>Outcome 3: SMMEs supported through strategically informed and regionally distributed Technology Stations</w:t>
            </w:r>
          </w:p>
        </w:tc>
      </w:tr>
      <w:tr w:rsidR="00C4346C" w:rsidRPr="005D4748" w:rsidTr="000618D9">
        <w:tc>
          <w:tcPr>
            <w:tcW w:w="2575" w:type="dxa"/>
          </w:tcPr>
          <w:p w:rsidR="00C4346C" w:rsidRPr="005D4748" w:rsidRDefault="00C4346C" w:rsidP="005D4748">
            <w:pPr>
              <w:pStyle w:val="BodyText"/>
              <w:spacing w:after="0" w:line="240" w:lineRule="auto"/>
              <w:jc w:val="left"/>
              <w:rPr>
                <w:rFonts w:ascii="Arial" w:hAnsi="Arial" w:cs="Arial"/>
                <w:sz w:val="20"/>
                <w:szCs w:val="20"/>
              </w:rPr>
            </w:pPr>
            <w:r w:rsidRPr="005D4748">
              <w:rPr>
                <w:rFonts w:ascii="Arial" w:hAnsi="Arial" w:cs="Arial"/>
                <w:sz w:val="20"/>
                <w:szCs w:val="20"/>
              </w:rPr>
              <w:t>Number of SMMEs and cooperatives receiving SET support.</w:t>
            </w:r>
          </w:p>
        </w:tc>
        <w:tc>
          <w:tcPr>
            <w:tcW w:w="2575" w:type="dxa"/>
            <w:vAlign w:val="center"/>
          </w:tcPr>
          <w:p w:rsidR="00C4346C" w:rsidRPr="005D4748" w:rsidRDefault="00C4346C" w:rsidP="005D4748">
            <w:pPr>
              <w:pStyle w:val="BodyText"/>
              <w:spacing w:after="0" w:line="240" w:lineRule="auto"/>
              <w:jc w:val="left"/>
              <w:rPr>
                <w:rFonts w:ascii="Arial" w:hAnsi="Arial" w:cs="Arial"/>
                <w:sz w:val="20"/>
                <w:szCs w:val="20"/>
              </w:rPr>
            </w:pPr>
            <w:r w:rsidRPr="005D4748">
              <w:rPr>
                <w:rFonts w:ascii="Arial" w:hAnsi="Arial" w:cs="Arial"/>
                <w:sz w:val="20"/>
                <w:szCs w:val="20"/>
              </w:rPr>
              <w:t>3 500</w:t>
            </w:r>
          </w:p>
        </w:tc>
        <w:tc>
          <w:tcPr>
            <w:tcW w:w="2576" w:type="dxa"/>
            <w:vAlign w:val="center"/>
          </w:tcPr>
          <w:p w:rsidR="00C4346C" w:rsidRPr="005D4748" w:rsidRDefault="00C4346C" w:rsidP="005D4748">
            <w:pPr>
              <w:pStyle w:val="BodyText"/>
              <w:spacing w:after="0" w:line="240" w:lineRule="auto"/>
              <w:jc w:val="left"/>
              <w:rPr>
                <w:rFonts w:ascii="Arial" w:hAnsi="Arial" w:cs="Arial"/>
                <w:sz w:val="20"/>
                <w:szCs w:val="20"/>
              </w:rPr>
            </w:pPr>
            <w:r w:rsidRPr="005D4748">
              <w:rPr>
                <w:rFonts w:ascii="Arial" w:hAnsi="Arial" w:cs="Arial"/>
                <w:sz w:val="20"/>
                <w:szCs w:val="20"/>
              </w:rPr>
              <w:t>3 167</w:t>
            </w:r>
          </w:p>
        </w:tc>
        <w:tc>
          <w:tcPr>
            <w:tcW w:w="2576" w:type="dxa"/>
          </w:tcPr>
          <w:p w:rsidR="00C4346C" w:rsidRPr="005D4748" w:rsidRDefault="00C4346C" w:rsidP="005D4748">
            <w:pPr>
              <w:pStyle w:val="BodyText"/>
              <w:spacing w:after="0" w:line="240" w:lineRule="auto"/>
              <w:jc w:val="left"/>
              <w:rPr>
                <w:rFonts w:ascii="Arial" w:hAnsi="Arial" w:cs="Arial"/>
                <w:b/>
                <w:sz w:val="20"/>
                <w:szCs w:val="20"/>
              </w:rPr>
            </w:pPr>
            <w:r w:rsidRPr="005D4748">
              <w:rPr>
                <w:rFonts w:ascii="Arial" w:hAnsi="Arial" w:cs="Arial"/>
                <w:b/>
                <w:sz w:val="20"/>
                <w:szCs w:val="20"/>
              </w:rPr>
              <w:t>Partially achieved.</w:t>
            </w:r>
          </w:p>
          <w:p w:rsidR="00C4346C" w:rsidRPr="005D4748" w:rsidRDefault="00C4346C" w:rsidP="005D4748">
            <w:pPr>
              <w:pStyle w:val="BodyText"/>
              <w:spacing w:after="0" w:line="240" w:lineRule="auto"/>
              <w:jc w:val="left"/>
              <w:rPr>
                <w:rFonts w:ascii="Arial" w:hAnsi="Arial" w:cs="Arial"/>
                <w:sz w:val="20"/>
                <w:szCs w:val="20"/>
              </w:rPr>
            </w:pPr>
            <w:r w:rsidRPr="005D4748">
              <w:rPr>
                <w:rFonts w:ascii="Arial" w:hAnsi="Arial" w:cs="Arial"/>
                <w:sz w:val="20"/>
                <w:szCs w:val="20"/>
              </w:rPr>
              <w:t>TIA’s annual performance is 90% of the annual target of 3</w:t>
            </w:r>
            <w:r w:rsidR="00C35F84" w:rsidRPr="005D4748">
              <w:rPr>
                <w:rFonts w:ascii="Arial" w:hAnsi="Arial" w:cs="Arial"/>
                <w:sz w:val="20"/>
                <w:szCs w:val="20"/>
              </w:rPr>
              <w:t xml:space="preserve"> </w:t>
            </w:r>
            <w:r w:rsidRPr="005D4748">
              <w:rPr>
                <w:rFonts w:ascii="Arial" w:hAnsi="Arial" w:cs="Arial"/>
                <w:sz w:val="20"/>
                <w:szCs w:val="20"/>
              </w:rPr>
              <w:t>500</w:t>
            </w:r>
            <w:r w:rsidR="008C0482" w:rsidRPr="005D4748">
              <w:rPr>
                <w:rFonts w:ascii="Arial" w:hAnsi="Arial" w:cs="Arial"/>
                <w:sz w:val="20"/>
                <w:szCs w:val="20"/>
              </w:rPr>
              <w:t>,</w:t>
            </w:r>
            <w:r w:rsidRPr="005D4748">
              <w:rPr>
                <w:rFonts w:ascii="Arial" w:hAnsi="Arial" w:cs="Arial"/>
                <w:sz w:val="20"/>
                <w:szCs w:val="20"/>
              </w:rPr>
              <w:t xml:space="preserve"> which is deemed acceptable according to the technical indicator description for this output indicator per TIA’s 2021/22 Annual Performance Plan.</w:t>
            </w:r>
          </w:p>
        </w:tc>
      </w:tr>
      <w:tr w:rsidR="00C4346C" w:rsidRPr="005D4748" w:rsidTr="000618D9">
        <w:tc>
          <w:tcPr>
            <w:tcW w:w="10302" w:type="dxa"/>
            <w:gridSpan w:val="4"/>
            <w:shd w:val="clear" w:color="auto" w:fill="8DB3E2" w:themeFill="text2" w:themeFillTint="66"/>
          </w:tcPr>
          <w:p w:rsidR="00C4346C" w:rsidRPr="005D4748" w:rsidRDefault="00C4346C" w:rsidP="005D4748">
            <w:pPr>
              <w:pStyle w:val="BodyText"/>
              <w:spacing w:after="0" w:line="240" w:lineRule="auto"/>
              <w:jc w:val="left"/>
              <w:rPr>
                <w:rFonts w:ascii="Arial" w:hAnsi="Arial" w:cs="Arial"/>
                <w:b/>
                <w:sz w:val="20"/>
                <w:szCs w:val="20"/>
              </w:rPr>
            </w:pPr>
            <w:r w:rsidRPr="005D4748">
              <w:rPr>
                <w:rFonts w:ascii="Arial" w:hAnsi="Arial" w:cs="Arial"/>
                <w:b/>
                <w:sz w:val="20"/>
                <w:szCs w:val="20"/>
              </w:rPr>
              <w:t>Administration performance targets</w:t>
            </w:r>
          </w:p>
        </w:tc>
      </w:tr>
      <w:tr w:rsidR="00C4346C" w:rsidRPr="005D4748" w:rsidTr="000618D9">
        <w:tc>
          <w:tcPr>
            <w:tcW w:w="2575" w:type="dxa"/>
          </w:tcPr>
          <w:p w:rsidR="00C4346C" w:rsidRPr="005D4748" w:rsidRDefault="00C4346C" w:rsidP="005D4748">
            <w:pPr>
              <w:pStyle w:val="BodyText"/>
              <w:spacing w:after="0" w:line="240" w:lineRule="auto"/>
              <w:jc w:val="left"/>
              <w:rPr>
                <w:rFonts w:ascii="Arial" w:hAnsi="Arial" w:cs="Arial"/>
                <w:sz w:val="20"/>
                <w:szCs w:val="20"/>
              </w:rPr>
            </w:pPr>
            <w:r w:rsidRPr="005D4748">
              <w:rPr>
                <w:rFonts w:ascii="Arial" w:hAnsi="Arial" w:cs="Arial"/>
                <w:iCs/>
                <w:sz w:val="20"/>
                <w:szCs w:val="20"/>
                <w:lang w:val="en-ZA"/>
              </w:rPr>
              <w:t xml:space="preserve">Improve on investment </w:t>
            </w:r>
            <w:r w:rsidRPr="005D4748">
              <w:rPr>
                <w:rFonts w:ascii="Arial" w:hAnsi="Arial" w:cs="Arial"/>
                <w:iCs/>
                <w:sz w:val="20"/>
                <w:szCs w:val="20"/>
                <w:lang w:val="en-ZA"/>
              </w:rPr>
              <w:lastRenderedPageBreak/>
              <w:t>decision turnaround times.</w:t>
            </w:r>
          </w:p>
        </w:tc>
        <w:tc>
          <w:tcPr>
            <w:tcW w:w="2575" w:type="dxa"/>
          </w:tcPr>
          <w:p w:rsidR="00C4346C" w:rsidRPr="005D4748" w:rsidRDefault="00C4346C" w:rsidP="005D4748">
            <w:pPr>
              <w:pStyle w:val="BodyText"/>
              <w:spacing w:after="0" w:line="240" w:lineRule="auto"/>
              <w:jc w:val="left"/>
              <w:rPr>
                <w:rFonts w:ascii="Arial" w:hAnsi="Arial" w:cs="Arial"/>
                <w:sz w:val="20"/>
                <w:szCs w:val="20"/>
              </w:rPr>
            </w:pPr>
            <w:r w:rsidRPr="005D4748">
              <w:rPr>
                <w:rFonts w:ascii="Arial" w:hAnsi="Arial" w:cs="Arial"/>
                <w:sz w:val="20"/>
                <w:szCs w:val="20"/>
              </w:rPr>
              <w:lastRenderedPageBreak/>
              <w:t xml:space="preserve">Achieve a 4-week </w:t>
            </w:r>
            <w:r w:rsidRPr="005D4748">
              <w:rPr>
                <w:rFonts w:ascii="Arial" w:hAnsi="Arial" w:cs="Arial"/>
                <w:sz w:val="20"/>
                <w:szCs w:val="20"/>
              </w:rPr>
              <w:lastRenderedPageBreak/>
              <w:t>turnaround time on investment process for funding applications &lt;R1 million by 31 March 2022.</w:t>
            </w:r>
          </w:p>
          <w:p w:rsidR="00C4346C" w:rsidRPr="005D4748" w:rsidRDefault="00C4346C" w:rsidP="005D4748">
            <w:pPr>
              <w:pStyle w:val="BodyText"/>
              <w:spacing w:after="0" w:line="240" w:lineRule="auto"/>
              <w:jc w:val="left"/>
              <w:rPr>
                <w:rFonts w:ascii="Arial" w:hAnsi="Arial" w:cs="Arial"/>
                <w:sz w:val="20"/>
                <w:szCs w:val="20"/>
              </w:rPr>
            </w:pPr>
          </w:p>
          <w:p w:rsidR="00C4346C" w:rsidRPr="005D4748" w:rsidRDefault="00C4346C" w:rsidP="005D4748">
            <w:pPr>
              <w:pStyle w:val="BodyText"/>
              <w:spacing w:after="0" w:line="240" w:lineRule="auto"/>
              <w:jc w:val="left"/>
              <w:rPr>
                <w:rFonts w:ascii="Arial" w:hAnsi="Arial" w:cs="Arial"/>
                <w:sz w:val="20"/>
                <w:szCs w:val="20"/>
              </w:rPr>
            </w:pPr>
          </w:p>
          <w:p w:rsidR="00C4346C" w:rsidRPr="005D4748" w:rsidRDefault="00C4346C" w:rsidP="005D4748">
            <w:pPr>
              <w:pStyle w:val="BodyText"/>
              <w:spacing w:after="0" w:line="240" w:lineRule="auto"/>
              <w:jc w:val="left"/>
              <w:rPr>
                <w:rFonts w:ascii="Arial" w:hAnsi="Arial" w:cs="Arial"/>
                <w:sz w:val="20"/>
                <w:szCs w:val="20"/>
              </w:rPr>
            </w:pPr>
            <w:r w:rsidRPr="005D4748">
              <w:rPr>
                <w:rFonts w:ascii="Arial" w:hAnsi="Arial" w:cs="Arial"/>
                <w:sz w:val="20"/>
                <w:szCs w:val="20"/>
              </w:rPr>
              <w:t>Achieve a 15-week turnaround time on investment process for funding applications R1 million - R15 million by 31 March 2022.</w:t>
            </w:r>
          </w:p>
          <w:p w:rsidR="00C4346C" w:rsidRPr="005D4748" w:rsidRDefault="00C4346C" w:rsidP="005D4748">
            <w:pPr>
              <w:pStyle w:val="BodyText"/>
              <w:spacing w:after="0" w:line="240" w:lineRule="auto"/>
              <w:jc w:val="left"/>
              <w:rPr>
                <w:rFonts w:ascii="Arial" w:hAnsi="Arial" w:cs="Arial"/>
                <w:sz w:val="20"/>
                <w:szCs w:val="20"/>
              </w:rPr>
            </w:pPr>
          </w:p>
          <w:p w:rsidR="00C4346C" w:rsidRPr="005D4748" w:rsidRDefault="00C4346C" w:rsidP="005D4748">
            <w:pPr>
              <w:pStyle w:val="BodyText"/>
              <w:spacing w:after="0" w:line="240" w:lineRule="auto"/>
              <w:jc w:val="left"/>
              <w:rPr>
                <w:rFonts w:ascii="Arial" w:hAnsi="Arial" w:cs="Arial"/>
                <w:sz w:val="20"/>
                <w:szCs w:val="20"/>
              </w:rPr>
            </w:pPr>
          </w:p>
          <w:p w:rsidR="00C4346C" w:rsidRPr="005D4748" w:rsidRDefault="00C4346C" w:rsidP="005D4748">
            <w:pPr>
              <w:pStyle w:val="BodyText"/>
              <w:spacing w:after="0" w:line="240" w:lineRule="auto"/>
              <w:jc w:val="left"/>
              <w:rPr>
                <w:rFonts w:ascii="Arial" w:hAnsi="Arial" w:cs="Arial"/>
                <w:sz w:val="20"/>
                <w:szCs w:val="20"/>
              </w:rPr>
            </w:pPr>
            <w:r w:rsidRPr="005D4748">
              <w:rPr>
                <w:rFonts w:ascii="Arial" w:hAnsi="Arial" w:cs="Arial"/>
                <w:sz w:val="20"/>
                <w:szCs w:val="20"/>
              </w:rPr>
              <w:t>Achieve a 26-week turnaround time on investment process for funding applications &gt;R15 million by 31 March 2022.</w:t>
            </w:r>
          </w:p>
        </w:tc>
        <w:tc>
          <w:tcPr>
            <w:tcW w:w="2576" w:type="dxa"/>
          </w:tcPr>
          <w:p w:rsidR="00C4346C" w:rsidRPr="005D4748" w:rsidRDefault="00C4346C" w:rsidP="005D4748">
            <w:pPr>
              <w:pStyle w:val="BodyText"/>
              <w:spacing w:after="0" w:line="240" w:lineRule="auto"/>
              <w:jc w:val="left"/>
              <w:rPr>
                <w:rFonts w:ascii="Arial" w:hAnsi="Arial" w:cs="Arial"/>
                <w:sz w:val="20"/>
                <w:szCs w:val="20"/>
              </w:rPr>
            </w:pPr>
            <w:r w:rsidRPr="005D4748">
              <w:rPr>
                <w:rFonts w:ascii="Arial" w:hAnsi="Arial" w:cs="Arial"/>
                <w:sz w:val="20"/>
                <w:szCs w:val="20"/>
              </w:rPr>
              <w:lastRenderedPageBreak/>
              <w:t xml:space="preserve">Achieved an average </w:t>
            </w:r>
            <w:r w:rsidRPr="005D4748">
              <w:rPr>
                <w:rFonts w:ascii="Arial" w:hAnsi="Arial" w:cs="Arial"/>
                <w:sz w:val="20"/>
                <w:szCs w:val="20"/>
              </w:rPr>
              <w:lastRenderedPageBreak/>
              <w:t>18.9-week turnaround time on investment process for funding applications &lt;R1 million by 31 March 2022.</w:t>
            </w:r>
          </w:p>
          <w:p w:rsidR="00C4346C" w:rsidRPr="005D4748" w:rsidRDefault="00C4346C" w:rsidP="005D4748">
            <w:pPr>
              <w:pStyle w:val="BodyText"/>
              <w:spacing w:after="0" w:line="240" w:lineRule="auto"/>
              <w:jc w:val="left"/>
              <w:rPr>
                <w:rFonts w:ascii="Arial" w:hAnsi="Arial" w:cs="Arial"/>
                <w:sz w:val="20"/>
                <w:szCs w:val="20"/>
              </w:rPr>
            </w:pPr>
          </w:p>
          <w:p w:rsidR="00C4346C" w:rsidRPr="005D4748" w:rsidRDefault="00C4346C" w:rsidP="005D4748">
            <w:pPr>
              <w:pStyle w:val="BodyText"/>
              <w:spacing w:after="0" w:line="240" w:lineRule="auto"/>
              <w:jc w:val="left"/>
              <w:rPr>
                <w:rFonts w:ascii="Arial" w:hAnsi="Arial" w:cs="Arial"/>
                <w:sz w:val="20"/>
                <w:szCs w:val="20"/>
              </w:rPr>
            </w:pPr>
            <w:r w:rsidRPr="005D4748">
              <w:rPr>
                <w:rFonts w:ascii="Arial" w:hAnsi="Arial" w:cs="Arial"/>
                <w:sz w:val="20"/>
                <w:szCs w:val="20"/>
              </w:rPr>
              <w:t>Achieved an average 19.6-week turnaround time on investment process for funding applications R1 million - R15 million by 31 March 2022.</w:t>
            </w:r>
          </w:p>
          <w:p w:rsidR="00C4346C" w:rsidRPr="005D4748" w:rsidRDefault="00C4346C" w:rsidP="005D4748">
            <w:pPr>
              <w:pStyle w:val="BodyText"/>
              <w:spacing w:after="0" w:line="240" w:lineRule="auto"/>
              <w:jc w:val="left"/>
              <w:rPr>
                <w:rFonts w:ascii="Arial" w:hAnsi="Arial" w:cs="Arial"/>
                <w:sz w:val="20"/>
                <w:szCs w:val="20"/>
              </w:rPr>
            </w:pPr>
          </w:p>
          <w:p w:rsidR="00C4346C" w:rsidRPr="005D4748" w:rsidRDefault="00C4346C" w:rsidP="005D4748">
            <w:pPr>
              <w:pStyle w:val="BodyText"/>
              <w:spacing w:after="0" w:line="240" w:lineRule="auto"/>
              <w:jc w:val="left"/>
              <w:rPr>
                <w:rFonts w:ascii="Arial" w:hAnsi="Arial" w:cs="Arial"/>
                <w:sz w:val="20"/>
                <w:szCs w:val="20"/>
              </w:rPr>
            </w:pPr>
            <w:r w:rsidRPr="005D4748">
              <w:rPr>
                <w:rFonts w:ascii="Arial" w:hAnsi="Arial" w:cs="Arial"/>
                <w:sz w:val="20"/>
                <w:szCs w:val="20"/>
              </w:rPr>
              <w:t>For funding applications &gt;R15 million received in the year no decisions had been taken by 31 March 2022.</w:t>
            </w:r>
          </w:p>
        </w:tc>
        <w:tc>
          <w:tcPr>
            <w:tcW w:w="2576" w:type="dxa"/>
          </w:tcPr>
          <w:p w:rsidR="00C4346C" w:rsidRPr="005D4748" w:rsidRDefault="00C4346C" w:rsidP="005D4748">
            <w:pPr>
              <w:pStyle w:val="BodyText"/>
              <w:spacing w:after="0" w:line="240" w:lineRule="auto"/>
              <w:jc w:val="left"/>
              <w:rPr>
                <w:rFonts w:ascii="Arial" w:hAnsi="Arial" w:cs="Arial"/>
                <w:sz w:val="20"/>
                <w:szCs w:val="20"/>
              </w:rPr>
            </w:pPr>
            <w:r w:rsidRPr="005D4748">
              <w:rPr>
                <w:rFonts w:ascii="Arial" w:hAnsi="Arial" w:cs="Arial"/>
                <w:sz w:val="20"/>
                <w:szCs w:val="20"/>
              </w:rPr>
              <w:lastRenderedPageBreak/>
              <w:t xml:space="preserve">TIA did not meet its </w:t>
            </w:r>
            <w:r w:rsidRPr="005D4748">
              <w:rPr>
                <w:rFonts w:ascii="Arial" w:hAnsi="Arial" w:cs="Arial"/>
                <w:sz w:val="20"/>
                <w:szCs w:val="20"/>
              </w:rPr>
              <w:lastRenderedPageBreak/>
              <w:t xml:space="preserve">turnaround time targets due to </w:t>
            </w:r>
            <w:r w:rsidR="00C35F84" w:rsidRPr="005D4748">
              <w:rPr>
                <w:rFonts w:ascii="Arial" w:hAnsi="Arial" w:cs="Arial"/>
                <w:sz w:val="20"/>
                <w:szCs w:val="20"/>
              </w:rPr>
              <w:t xml:space="preserve">its </w:t>
            </w:r>
            <w:r w:rsidRPr="005D4748">
              <w:rPr>
                <w:rFonts w:ascii="Arial" w:hAnsi="Arial" w:cs="Arial"/>
                <w:sz w:val="20"/>
                <w:szCs w:val="20"/>
              </w:rPr>
              <w:t xml:space="preserve">complex approval processes. These matters </w:t>
            </w:r>
            <w:r w:rsidR="00C35F84" w:rsidRPr="005D4748">
              <w:rPr>
                <w:rFonts w:ascii="Arial" w:hAnsi="Arial" w:cs="Arial"/>
                <w:sz w:val="20"/>
                <w:szCs w:val="20"/>
              </w:rPr>
              <w:t>addressed</w:t>
            </w:r>
            <w:r w:rsidRPr="005D4748">
              <w:rPr>
                <w:rFonts w:ascii="Arial" w:hAnsi="Arial" w:cs="Arial"/>
                <w:sz w:val="20"/>
                <w:szCs w:val="20"/>
              </w:rPr>
              <w:t xml:space="preserve"> and the average turnaround time was reduced to approximately 19 weeks.</w:t>
            </w:r>
          </w:p>
        </w:tc>
      </w:tr>
      <w:tr w:rsidR="00C4346C" w:rsidRPr="005D4748" w:rsidTr="000618D9">
        <w:tc>
          <w:tcPr>
            <w:tcW w:w="2575" w:type="dxa"/>
          </w:tcPr>
          <w:p w:rsidR="00C4346C" w:rsidRPr="005D4748" w:rsidRDefault="00C4346C" w:rsidP="005D4748">
            <w:pPr>
              <w:pStyle w:val="BodyText"/>
              <w:spacing w:after="0" w:line="240" w:lineRule="auto"/>
              <w:jc w:val="left"/>
              <w:rPr>
                <w:rFonts w:ascii="Arial" w:hAnsi="Arial" w:cs="Arial"/>
                <w:sz w:val="20"/>
                <w:szCs w:val="20"/>
              </w:rPr>
            </w:pPr>
            <w:r w:rsidRPr="005D4748">
              <w:rPr>
                <w:rFonts w:ascii="Arial" w:hAnsi="Arial" w:cs="Arial"/>
                <w:sz w:val="20"/>
                <w:szCs w:val="20"/>
              </w:rPr>
              <w:lastRenderedPageBreak/>
              <w:t>Support women- and youth-owned businesses through procurement initiatives.</w:t>
            </w:r>
          </w:p>
        </w:tc>
        <w:tc>
          <w:tcPr>
            <w:tcW w:w="2575" w:type="dxa"/>
          </w:tcPr>
          <w:p w:rsidR="00C4346C" w:rsidRPr="005D4748" w:rsidRDefault="00C4346C" w:rsidP="005D4748">
            <w:pPr>
              <w:pStyle w:val="BodyText"/>
              <w:spacing w:after="0" w:line="240" w:lineRule="auto"/>
              <w:jc w:val="left"/>
              <w:rPr>
                <w:rFonts w:ascii="Arial" w:hAnsi="Arial" w:cs="Arial"/>
                <w:sz w:val="20"/>
                <w:szCs w:val="20"/>
              </w:rPr>
            </w:pPr>
            <w:r w:rsidRPr="005D4748">
              <w:rPr>
                <w:rFonts w:ascii="Arial" w:hAnsi="Arial" w:cs="Arial"/>
                <w:sz w:val="20"/>
                <w:szCs w:val="20"/>
              </w:rPr>
              <w:t>Black youth-owned businesses: 10%.</w:t>
            </w:r>
          </w:p>
          <w:p w:rsidR="00C4346C" w:rsidRPr="005D4748" w:rsidRDefault="00C4346C" w:rsidP="005D4748">
            <w:pPr>
              <w:pStyle w:val="BodyText"/>
              <w:spacing w:after="0" w:line="240" w:lineRule="auto"/>
              <w:jc w:val="left"/>
              <w:rPr>
                <w:rFonts w:ascii="Arial" w:hAnsi="Arial" w:cs="Arial"/>
                <w:sz w:val="20"/>
                <w:szCs w:val="20"/>
              </w:rPr>
            </w:pPr>
          </w:p>
        </w:tc>
        <w:tc>
          <w:tcPr>
            <w:tcW w:w="2576" w:type="dxa"/>
          </w:tcPr>
          <w:p w:rsidR="00C4346C" w:rsidRPr="005D4748" w:rsidRDefault="00C4346C" w:rsidP="005D4748">
            <w:pPr>
              <w:pStyle w:val="BodyText"/>
              <w:spacing w:after="0" w:line="240" w:lineRule="auto"/>
              <w:jc w:val="left"/>
              <w:rPr>
                <w:rFonts w:ascii="Arial" w:hAnsi="Arial" w:cs="Arial"/>
                <w:sz w:val="20"/>
                <w:szCs w:val="20"/>
              </w:rPr>
            </w:pPr>
            <w:r w:rsidRPr="005D4748">
              <w:rPr>
                <w:rFonts w:ascii="Arial" w:hAnsi="Arial" w:cs="Arial"/>
                <w:sz w:val="20"/>
                <w:szCs w:val="20"/>
              </w:rPr>
              <w:t>Black youth-owned businesses: 7.4%.</w:t>
            </w:r>
          </w:p>
        </w:tc>
        <w:tc>
          <w:tcPr>
            <w:tcW w:w="2576" w:type="dxa"/>
          </w:tcPr>
          <w:p w:rsidR="00C4346C" w:rsidRPr="005D4748" w:rsidRDefault="00C4346C" w:rsidP="005D4748">
            <w:pPr>
              <w:pStyle w:val="BodyText"/>
              <w:spacing w:after="0" w:line="240" w:lineRule="auto"/>
              <w:jc w:val="left"/>
              <w:rPr>
                <w:rFonts w:ascii="Arial" w:hAnsi="Arial" w:cs="Arial"/>
                <w:sz w:val="20"/>
                <w:szCs w:val="20"/>
              </w:rPr>
            </w:pPr>
            <w:r w:rsidRPr="005D4748">
              <w:rPr>
                <w:rFonts w:ascii="Arial" w:hAnsi="Arial" w:cs="Arial"/>
                <w:sz w:val="20"/>
                <w:szCs w:val="20"/>
              </w:rPr>
              <w:t>Despite focussed procurement initiatives, procurement from black youth-owned businesses was lower than the annual target. This was attributed to continuation of existing contracts and the specialised nature of procurement in some cases wherein suppliers with youth ownership are limited.</w:t>
            </w:r>
          </w:p>
        </w:tc>
      </w:tr>
    </w:tbl>
    <w:p w:rsidR="00C4346C" w:rsidRPr="005D4748" w:rsidRDefault="00C4346C" w:rsidP="005D4748">
      <w:pPr>
        <w:spacing w:after="0" w:line="240" w:lineRule="auto"/>
        <w:rPr>
          <w:rFonts w:ascii="Arial" w:eastAsia="Times New Roman" w:hAnsi="Arial" w:cs="Arial"/>
          <w:sz w:val="20"/>
          <w:szCs w:val="20"/>
          <w:lang w:val="en-GB"/>
        </w:rPr>
      </w:pPr>
    </w:p>
    <w:p w:rsidR="00141EB3" w:rsidRPr="005D4748" w:rsidRDefault="00141EB3" w:rsidP="005D4748">
      <w:pPr>
        <w:spacing w:after="0" w:line="240" w:lineRule="auto"/>
        <w:rPr>
          <w:rFonts w:ascii="Arial" w:eastAsia="Times New Roman" w:hAnsi="Arial" w:cs="Arial"/>
          <w:sz w:val="20"/>
          <w:szCs w:val="20"/>
          <w:lang w:val="en-GB"/>
        </w:rPr>
      </w:pPr>
      <w:r w:rsidRPr="005D4748">
        <w:rPr>
          <w:rFonts w:ascii="Arial" w:eastAsia="Times New Roman" w:hAnsi="Arial" w:cs="Arial"/>
          <w:sz w:val="20"/>
          <w:szCs w:val="20"/>
          <w:lang w:val="en-GB"/>
        </w:rPr>
        <w:t xml:space="preserve">In relation to targets servicing TIA’s core mandate, TIA met or exceeded performance targets in terms of: the number of technologies licensed or assigned, technologies diffused, knowledge and innovation products produced, postgraduate students and postdoctoral fellows supported, SET support provided to SMMEs, existing Technology Platforms and Technology Stations managed and supported, and new Technology Platforms established. TIA overachieved against the annual targets for </w:t>
      </w:r>
      <w:r w:rsidR="002E0FFE" w:rsidRPr="005D4748">
        <w:rPr>
          <w:rFonts w:ascii="Arial" w:eastAsia="Times New Roman" w:hAnsi="Arial" w:cs="Arial"/>
          <w:sz w:val="20"/>
          <w:szCs w:val="20"/>
          <w:lang w:val="en-GB"/>
        </w:rPr>
        <w:t xml:space="preserve">the </w:t>
      </w:r>
      <w:r w:rsidRPr="005D4748">
        <w:rPr>
          <w:rFonts w:ascii="Arial" w:eastAsia="Times New Roman" w:hAnsi="Arial" w:cs="Arial"/>
          <w:sz w:val="20"/>
          <w:szCs w:val="20"/>
          <w:lang w:val="en-GB"/>
        </w:rPr>
        <w:t xml:space="preserve">number </w:t>
      </w:r>
      <w:r w:rsidR="00F10676" w:rsidRPr="005D4748">
        <w:rPr>
          <w:rFonts w:ascii="Arial" w:eastAsia="Times New Roman" w:hAnsi="Arial" w:cs="Arial"/>
          <w:sz w:val="20"/>
          <w:szCs w:val="20"/>
          <w:lang w:val="en-GB"/>
        </w:rPr>
        <w:t xml:space="preserve">of </w:t>
      </w:r>
      <w:r w:rsidRPr="005D4748">
        <w:rPr>
          <w:rFonts w:ascii="Arial" w:eastAsia="Times New Roman" w:hAnsi="Arial" w:cs="Arial"/>
          <w:sz w:val="20"/>
          <w:szCs w:val="20"/>
          <w:lang w:val="en-GB"/>
        </w:rPr>
        <w:t xml:space="preserve">products launched (37 against a target of 22), bio-based technologies developed (36 against a target of 15), joint collaborations (34 against a target of 15) and leveraged funds (R755.5 million against a target of R239 million). TIA also </w:t>
      </w:r>
      <w:r w:rsidR="002E0FFE" w:rsidRPr="005D4748">
        <w:rPr>
          <w:rFonts w:ascii="Arial" w:eastAsia="Times New Roman" w:hAnsi="Arial" w:cs="Arial"/>
          <w:sz w:val="20"/>
          <w:szCs w:val="20"/>
          <w:lang w:val="en-GB"/>
        </w:rPr>
        <w:t xml:space="preserve">established three </w:t>
      </w:r>
      <w:r w:rsidRPr="005D4748">
        <w:rPr>
          <w:rFonts w:ascii="Arial" w:eastAsia="Times New Roman" w:hAnsi="Arial" w:cs="Arial"/>
          <w:sz w:val="20"/>
          <w:szCs w:val="20"/>
          <w:lang w:val="en-GB"/>
        </w:rPr>
        <w:t>new technology transfer centres</w:t>
      </w:r>
      <w:r w:rsidR="002E0FFE" w:rsidRPr="005D4748">
        <w:rPr>
          <w:rFonts w:ascii="Arial" w:eastAsia="Times New Roman" w:hAnsi="Arial" w:cs="Arial"/>
          <w:sz w:val="20"/>
          <w:szCs w:val="20"/>
          <w:lang w:val="en-GB"/>
        </w:rPr>
        <w:t xml:space="preserve"> although none w</w:t>
      </w:r>
      <w:r w:rsidR="00BE0713" w:rsidRPr="005D4748">
        <w:rPr>
          <w:rFonts w:ascii="Arial" w:eastAsia="Times New Roman" w:hAnsi="Arial" w:cs="Arial"/>
          <w:sz w:val="20"/>
          <w:szCs w:val="20"/>
          <w:lang w:val="en-GB"/>
        </w:rPr>
        <w:t>as</w:t>
      </w:r>
      <w:r w:rsidR="002E0FFE" w:rsidRPr="005D4748">
        <w:rPr>
          <w:rFonts w:ascii="Arial" w:eastAsia="Times New Roman" w:hAnsi="Arial" w:cs="Arial"/>
          <w:sz w:val="20"/>
          <w:szCs w:val="20"/>
          <w:lang w:val="en-GB"/>
        </w:rPr>
        <w:t xml:space="preserve"> planned.</w:t>
      </w:r>
    </w:p>
    <w:p w:rsidR="00141EB3" w:rsidRPr="005D4748" w:rsidRDefault="00141EB3" w:rsidP="005D4748">
      <w:pPr>
        <w:spacing w:after="0" w:line="240" w:lineRule="auto"/>
        <w:rPr>
          <w:rFonts w:ascii="Arial" w:eastAsia="Times New Roman" w:hAnsi="Arial" w:cs="Arial"/>
          <w:sz w:val="20"/>
          <w:szCs w:val="20"/>
          <w:lang w:val="en-GB"/>
        </w:rPr>
      </w:pPr>
    </w:p>
    <w:p w:rsidR="00AD2B6C" w:rsidRPr="005D4748" w:rsidRDefault="00F10676" w:rsidP="005D4748">
      <w:pPr>
        <w:pStyle w:val="ListParagraph"/>
        <w:numPr>
          <w:ilvl w:val="2"/>
          <w:numId w:val="1"/>
        </w:numPr>
        <w:spacing w:after="0" w:line="240" w:lineRule="auto"/>
        <w:ind w:left="851" w:hanging="851"/>
        <w:rPr>
          <w:rFonts w:ascii="Arial" w:eastAsia="Times New Roman" w:hAnsi="Arial" w:cs="Arial"/>
          <w:sz w:val="20"/>
          <w:szCs w:val="20"/>
          <w:lang w:val="en-GB"/>
        </w:rPr>
      </w:pPr>
      <w:r w:rsidRPr="005D4748">
        <w:rPr>
          <w:rFonts w:ascii="Arial" w:eastAsia="Times New Roman" w:hAnsi="Arial" w:cs="Arial"/>
          <w:b/>
          <w:sz w:val="20"/>
          <w:szCs w:val="20"/>
          <w:lang w:val="en-GB"/>
        </w:rPr>
        <w:t>2021/22 Audit O</w:t>
      </w:r>
      <w:r w:rsidR="00AD50D1" w:rsidRPr="005D4748">
        <w:rPr>
          <w:rFonts w:ascii="Arial" w:eastAsia="Times New Roman" w:hAnsi="Arial" w:cs="Arial"/>
          <w:b/>
          <w:sz w:val="20"/>
          <w:szCs w:val="20"/>
          <w:lang w:val="en-GB"/>
        </w:rPr>
        <w:t>utcome</w:t>
      </w:r>
    </w:p>
    <w:p w:rsidR="00AD2B6C" w:rsidRPr="005D4748" w:rsidRDefault="00AD2B6C" w:rsidP="005D4748">
      <w:pPr>
        <w:spacing w:after="0" w:line="240" w:lineRule="auto"/>
        <w:rPr>
          <w:rFonts w:ascii="Arial" w:eastAsia="Times New Roman" w:hAnsi="Arial" w:cs="Arial"/>
          <w:sz w:val="20"/>
          <w:szCs w:val="20"/>
          <w:lang w:val="en-GB"/>
        </w:rPr>
      </w:pPr>
    </w:p>
    <w:p w:rsidR="00943EA4" w:rsidRPr="005D4748" w:rsidRDefault="00943EA4" w:rsidP="005D4748">
      <w:pPr>
        <w:spacing w:after="0" w:line="240" w:lineRule="auto"/>
        <w:rPr>
          <w:rFonts w:ascii="Arial" w:hAnsi="Arial" w:cs="Arial"/>
          <w:sz w:val="20"/>
          <w:szCs w:val="20"/>
        </w:rPr>
      </w:pPr>
      <w:r w:rsidRPr="005D4748">
        <w:rPr>
          <w:rFonts w:ascii="Arial" w:hAnsi="Arial" w:cs="Arial"/>
          <w:sz w:val="20"/>
          <w:szCs w:val="20"/>
        </w:rPr>
        <w:t xml:space="preserve">The </w:t>
      </w:r>
      <w:r w:rsidR="005D2CD1" w:rsidRPr="005D4748">
        <w:rPr>
          <w:rFonts w:ascii="Arial" w:hAnsi="Arial" w:cs="Arial"/>
          <w:sz w:val="20"/>
          <w:szCs w:val="20"/>
        </w:rPr>
        <w:t>independent</w:t>
      </w:r>
      <w:r w:rsidRPr="005D4748">
        <w:rPr>
          <w:rFonts w:ascii="Arial" w:hAnsi="Arial" w:cs="Arial"/>
          <w:sz w:val="20"/>
          <w:szCs w:val="20"/>
        </w:rPr>
        <w:t xml:space="preserve"> auditor, Rakoma and Associates Incorporated, does not express an opinion or conclusion on the reported performance information. Neither does the auditor evaluate the completeness and appropriateness of the performance indicators. However, the auditor does test the usefulness and reliability of the reported performance information for selected Outcomes. In this case, Outcome 1: Commercialised Innovations</w:t>
      </w:r>
      <w:r w:rsidR="00480164" w:rsidRPr="005D4748">
        <w:rPr>
          <w:rFonts w:ascii="Arial" w:hAnsi="Arial" w:cs="Arial"/>
          <w:sz w:val="20"/>
          <w:szCs w:val="20"/>
        </w:rPr>
        <w:t>,</w:t>
      </w:r>
      <w:r w:rsidRPr="005D4748">
        <w:rPr>
          <w:rFonts w:ascii="Arial" w:hAnsi="Arial" w:cs="Arial"/>
          <w:sz w:val="20"/>
          <w:szCs w:val="20"/>
        </w:rPr>
        <w:t xml:space="preserve"> was selected. The auditor did not raise any material findings on the usefulness and reliability of the reported information for this Outcome.</w:t>
      </w:r>
    </w:p>
    <w:p w:rsidR="00943EA4" w:rsidRPr="005D4748" w:rsidRDefault="00943EA4" w:rsidP="005D4748">
      <w:pPr>
        <w:spacing w:after="0" w:line="240" w:lineRule="auto"/>
        <w:rPr>
          <w:rFonts w:ascii="Arial" w:hAnsi="Arial" w:cs="Arial"/>
          <w:sz w:val="20"/>
          <w:szCs w:val="20"/>
        </w:rPr>
      </w:pPr>
    </w:p>
    <w:p w:rsidR="00943EA4" w:rsidRPr="005D4748" w:rsidRDefault="00943EA4" w:rsidP="005D4748">
      <w:pPr>
        <w:spacing w:after="0" w:line="240" w:lineRule="auto"/>
        <w:rPr>
          <w:rFonts w:ascii="Arial" w:hAnsi="Arial" w:cs="Arial"/>
          <w:sz w:val="20"/>
          <w:szCs w:val="20"/>
        </w:rPr>
      </w:pPr>
      <w:r w:rsidRPr="005D4748">
        <w:rPr>
          <w:rFonts w:ascii="Arial" w:hAnsi="Arial" w:cs="Arial"/>
          <w:sz w:val="20"/>
          <w:szCs w:val="20"/>
        </w:rPr>
        <w:t xml:space="preserve">The </w:t>
      </w:r>
      <w:r w:rsidR="005D2CD1" w:rsidRPr="005D4748">
        <w:rPr>
          <w:rFonts w:ascii="Arial" w:hAnsi="Arial" w:cs="Arial"/>
          <w:sz w:val="20"/>
          <w:szCs w:val="20"/>
        </w:rPr>
        <w:t>independent</w:t>
      </w:r>
      <w:r w:rsidRPr="005D4748">
        <w:rPr>
          <w:rFonts w:ascii="Arial" w:hAnsi="Arial" w:cs="Arial"/>
          <w:sz w:val="20"/>
          <w:szCs w:val="20"/>
        </w:rPr>
        <w:t xml:space="preserve"> auditor awarded TIA an unqualified audit opinion with no findings; hence, a clean audit for the </w:t>
      </w:r>
      <w:r w:rsidR="006469C2" w:rsidRPr="005D4748">
        <w:rPr>
          <w:rFonts w:ascii="Arial" w:hAnsi="Arial" w:cs="Arial"/>
          <w:sz w:val="20"/>
          <w:szCs w:val="20"/>
        </w:rPr>
        <w:t>third</w:t>
      </w:r>
      <w:r w:rsidRPr="005D4748">
        <w:rPr>
          <w:rFonts w:ascii="Arial" w:hAnsi="Arial" w:cs="Arial"/>
          <w:sz w:val="20"/>
          <w:szCs w:val="20"/>
          <w:vertAlign w:val="superscript"/>
        </w:rPr>
        <w:t xml:space="preserve"> </w:t>
      </w:r>
      <w:r w:rsidRPr="005D4748">
        <w:rPr>
          <w:rFonts w:ascii="Arial" w:hAnsi="Arial" w:cs="Arial"/>
          <w:sz w:val="20"/>
          <w:szCs w:val="20"/>
        </w:rPr>
        <w:t xml:space="preserve">consecutive financial year. The </w:t>
      </w:r>
      <w:r w:rsidR="005D2CD1" w:rsidRPr="005D4748">
        <w:rPr>
          <w:rFonts w:ascii="Arial" w:hAnsi="Arial" w:cs="Arial"/>
          <w:sz w:val="20"/>
          <w:szCs w:val="20"/>
        </w:rPr>
        <w:t>auditor</w:t>
      </w:r>
      <w:r w:rsidRPr="005D4748">
        <w:rPr>
          <w:rFonts w:ascii="Arial" w:hAnsi="Arial" w:cs="Arial"/>
          <w:sz w:val="20"/>
          <w:szCs w:val="20"/>
        </w:rPr>
        <w:t xml:space="preserve"> further state</w:t>
      </w:r>
      <w:r w:rsidR="006469C2" w:rsidRPr="005D4748">
        <w:rPr>
          <w:rFonts w:ascii="Arial" w:hAnsi="Arial" w:cs="Arial"/>
          <w:sz w:val="20"/>
          <w:szCs w:val="20"/>
        </w:rPr>
        <w:t>d</w:t>
      </w:r>
      <w:r w:rsidRPr="005D4748">
        <w:rPr>
          <w:rFonts w:ascii="Arial" w:hAnsi="Arial" w:cs="Arial"/>
          <w:sz w:val="20"/>
          <w:szCs w:val="20"/>
        </w:rPr>
        <w:t xml:space="preserve"> that no material findings on compliance with key legislation and no significant deficiencies in internal control were identified.</w:t>
      </w:r>
    </w:p>
    <w:p w:rsidR="00943EA4" w:rsidRPr="005D4748" w:rsidRDefault="00943EA4" w:rsidP="005D4748">
      <w:pPr>
        <w:spacing w:after="0" w:line="240" w:lineRule="auto"/>
        <w:rPr>
          <w:rFonts w:ascii="Arial" w:hAnsi="Arial" w:cs="Arial"/>
          <w:sz w:val="20"/>
          <w:szCs w:val="20"/>
        </w:rPr>
      </w:pPr>
    </w:p>
    <w:p w:rsidR="00943EA4" w:rsidRPr="005D4748" w:rsidRDefault="00943EA4" w:rsidP="005D4748">
      <w:pPr>
        <w:spacing w:after="0" w:line="240" w:lineRule="auto"/>
        <w:rPr>
          <w:rFonts w:ascii="Arial" w:hAnsi="Arial" w:cs="Arial"/>
          <w:sz w:val="20"/>
          <w:szCs w:val="20"/>
        </w:rPr>
      </w:pPr>
      <w:r w:rsidRPr="005D4748">
        <w:rPr>
          <w:rFonts w:ascii="Arial" w:hAnsi="Arial" w:cs="Arial"/>
          <w:sz w:val="20"/>
          <w:szCs w:val="20"/>
        </w:rPr>
        <w:lastRenderedPageBreak/>
        <w:t>TIA incurred R292 000 in irregular expenditure in 2021/22</w:t>
      </w:r>
      <w:r w:rsidR="00876731" w:rsidRPr="005D4748">
        <w:rPr>
          <w:rFonts w:ascii="Arial" w:hAnsi="Arial" w:cs="Arial"/>
          <w:sz w:val="20"/>
          <w:szCs w:val="20"/>
        </w:rPr>
        <w:t>,</w:t>
      </w:r>
      <w:r w:rsidRPr="005D4748">
        <w:rPr>
          <w:rFonts w:ascii="Arial" w:hAnsi="Arial" w:cs="Arial"/>
          <w:sz w:val="20"/>
          <w:szCs w:val="20"/>
        </w:rPr>
        <w:t xml:space="preserve"> which related to</w:t>
      </w:r>
      <w:r w:rsidR="00876731" w:rsidRPr="005D4748">
        <w:rPr>
          <w:rFonts w:ascii="Arial" w:hAnsi="Arial" w:cs="Arial"/>
          <w:sz w:val="20"/>
          <w:szCs w:val="20"/>
        </w:rPr>
        <w:t xml:space="preserve"> </w:t>
      </w:r>
      <w:r w:rsidRPr="005D4748">
        <w:rPr>
          <w:rFonts w:ascii="Arial" w:hAnsi="Arial" w:cs="Arial"/>
          <w:sz w:val="20"/>
          <w:szCs w:val="20"/>
        </w:rPr>
        <w:t xml:space="preserve">the manner in which the </w:t>
      </w:r>
      <w:r w:rsidR="00876731" w:rsidRPr="005D4748">
        <w:rPr>
          <w:rFonts w:ascii="Arial" w:hAnsi="Arial" w:cs="Arial"/>
          <w:sz w:val="20"/>
          <w:szCs w:val="20"/>
        </w:rPr>
        <w:t xml:space="preserve">former </w:t>
      </w:r>
      <w:r w:rsidRPr="005D4748">
        <w:rPr>
          <w:rFonts w:ascii="Arial" w:hAnsi="Arial" w:cs="Arial"/>
          <w:sz w:val="20"/>
          <w:szCs w:val="20"/>
        </w:rPr>
        <w:t>interim CEO was appointed and the remuneration paid for services rendered in this capacity.</w:t>
      </w:r>
      <w:r w:rsidRPr="005D4748">
        <w:rPr>
          <w:rFonts w:ascii="Arial" w:hAnsi="Arial" w:cs="Arial"/>
          <w:i/>
          <w:sz w:val="20"/>
          <w:szCs w:val="20"/>
        </w:rPr>
        <w:t xml:space="preserve"> </w:t>
      </w:r>
      <w:r w:rsidRPr="005D4748">
        <w:rPr>
          <w:rFonts w:ascii="Arial" w:hAnsi="Arial" w:cs="Arial"/>
          <w:sz w:val="20"/>
          <w:szCs w:val="20"/>
        </w:rPr>
        <w:t>Prior year’s irregular expenditure amount</w:t>
      </w:r>
      <w:r w:rsidR="00876731" w:rsidRPr="005D4748">
        <w:rPr>
          <w:rFonts w:ascii="Arial" w:hAnsi="Arial" w:cs="Arial"/>
          <w:sz w:val="20"/>
          <w:szCs w:val="20"/>
        </w:rPr>
        <w:t>ed</w:t>
      </w:r>
      <w:r w:rsidRPr="005D4748">
        <w:rPr>
          <w:rFonts w:ascii="Arial" w:hAnsi="Arial" w:cs="Arial"/>
          <w:sz w:val="20"/>
          <w:szCs w:val="20"/>
        </w:rPr>
        <w:t xml:space="preserve"> to R11.6 million. TIA did not incur any fruitless and wasteful expenditure in 2021/22.</w:t>
      </w:r>
    </w:p>
    <w:p w:rsidR="00943EA4" w:rsidRPr="005D4748" w:rsidRDefault="00943EA4" w:rsidP="005D4748">
      <w:pPr>
        <w:spacing w:after="0" w:line="240" w:lineRule="auto"/>
        <w:rPr>
          <w:rFonts w:ascii="Arial" w:hAnsi="Arial" w:cs="Arial"/>
          <w:sz w:val="20"/>
          <w:szCs w:val="20"/>
        </w:rPr>
      </w:pPr>
    </w:p>
    <w:p w:rsidR="00F7317E" w:rsidRPr="005D4748" w:rsidRDefault="00BB691C" w:rsidP="005D4748">
      <w:pPr>
        <w:pStyle w:val="BodyTextIndent"/>
        <w:numPr>
          <w:ilvl w:val="0"/>
          <w:numId w:val="1"/>
        </w:numPr>
        <w:tabs>
          <w:tab w:val="left" w:pos="567"/>
        </w:tabs>
        <w:spacing w:after="0"/>
        <w:ind w:left="0" w:firstLine="0"/>
        <w:rPr>
          <w:rFonts w:ascii="Arial" w:hAnsi="Arial" w:cs="Arial"/>
          <w:b/>
          <w:bCs/>
          <w:sz w:val="20"/>
          <w:szCs w:val="20"/>
          <w:lang w:val="en-GB"/>
        </w:rPr>
      </w:pPr>
      <w:r w:rsidRPr="005D4748">
        <w:rPr>
          <w:rFonts w:ascii="Arial" w:hAnsi="Arial" w:cs="Arial"/>
          <w:b/>
          <w:bCs/>
          <w:sz w:val="20"/>
          <w:szCs w:val="20"/>
          <w:lang w:val="en-GB"/>
        </w:rPr>
        <w:t>OVERVIEW OF PERFORMANCE</w:t>
      </w:r>
    </w:p>
    <w:p w:rsidR="00F7317E" w:rsidRPr="005D4748" w:rsidRDefault="00F7317E" w:rsidP="005D4748">
      <w:pPr>
        <w:pStyle w:val="BodyTextIndent"/>
        <w:tabs>
          <w:tab w:val="left" w:pos="567"/>
        </w:tabs>
        <w:spacing w:after="0"/>
        <w:ind w:left="0"/>
        <w:rPr>
          <w:rFonts w:ascii="Arial" w:hAnsi="Arial" w:cs="Arial"/>
          <w:bCs/>
          <w:sz w:val="20"/>
          <w:szCs w:val="20"/>
          <w:lang w:val="en-GB"/>
        </w:rPr>
      </w:pPr>
    </w:p>
    <w:p w:rsidR="000618D9" w:rsidRPr="005D4748" w:rsidRDefault="00F07B2F" w:rsidP="005D4748">
      <w:pPr>
        <w:pStyle w:val="BodyTextIndent"/>
        <w:tabs>
          <w:tab w:val="left" w:pos="567"/>
        </w:tabs>
        <w:spacing w:after="0"/>
        <w:ind w:left="0"/>
        <w:rPr>
          <w:rFonts w:ascii="Arial" w:hAnsi="Arial" w:cs="Arial"/>
          <w:bCs/>
          <w:sz w:val="20"/>
          <w:szCs w:val="20"/>
          <w:lang w:val="en-GB"/>
        </w:rPr>
      </w:pPr>
      <w:r w:rsidRPr="005D4748">
        <w:rPr>
          <w:rFonts w:ascii="Arial" w:hAnsi="Arial" w:cs="Arial"/>
          <w:bCs/>
          <w:sz w:val="20"/>
          <w:szCs w:val="20"/>
          <w:lang w:val="en-GB"/>
        </w:rPr>
        <w:t>The Department remain</w:t>
      </w:r>
      <w:r w:rsidR="00CD5A93" w:rsidRPr="005D4748">
        <w:rPr>
          <w:rFonts w:ascii="Arial" w:hAnsi="Arial" w:cs="Arial"/>
          <w:bCs/>
          <w:sz w:val="20"/>
          <w:szCs w:val="20"/>
          <w:lang w:val="en-GB"/>
        </w:rPr>
        <w:t>ed</w:t>
      </w:r>
      <w:r w:rsidRPr="005D4748">
        <w:rPr>
          <w:rFonts w:ascii="Arial" w:hAnsi="Arial" w:cs="Arial"/>
          <w:bCs/>
          <w:sz w:val="20"/>
          <w:szCs w:val="20"/>
          <w:lang w:val="en-GB"/>
        </w:rPr>
        <w:t xml:space="preserve">, for the fourth consecutive year, one of the best </w:t>
      </w:r>
      <w:r w:rsidR="00064243" w:rsidRPr="005D4748">
        <w:rPr>
          <w:rFonts w:ascii="Arial" w:hAnsi="Arial" w:cs="Arial"/>
          <w:bCs/>
          <w:sz w:val="20"/>
          <w:szCs w:val="20"/>
          <w:lang w:val="en-GB"/>
        </w:rPr>
        <w:t>performing</w:t>
      </w:r>
      <w:r w:rsidRPr="005D4748">
        <w:rPr>
          <w:rFonts w:ascii="Arial" w:hAnsi="Arial" w:cs="Arial"/>
          <w:bCs/>
          <w:sz w:val="20"/>
          <w:szCs w:val="20"/>
          <w:lang w:val="en-GB"/>
        </w:rPr>
        <w:t xml:space="preserve"> national </w:t>
      </w:r>
      <w:r w:rsidR="00064243" w:rsidRPr="005D4748">
        <w:rPr>
          <w:rFonts w:ascii="Arial" w:hAnsi="Arial" w:cs="Arial"/>
          <w:bCs/>
          <w:sz w:val="20"/>
          <w:szCs w:val="20"/>
          <w:lang w:val="en-GB"/>
        </w:rPr>
        <w:t>departments</w:t>
      </w:r>
      <w:r w:rsidR="00ED78A0" w:rsidRPr="005D4748">
        <w:rPr>
          <w:rFonts w:ascii="Arial" w:hAnsi="Arial" w:cs="Arial"/>
          <w:bCs/>
          <w:sz w:val="20"/>
          <w:szCs w:val="20"/>
          <w:lang w:val="en-GB"/>
        </w:rPr>
        <w:t xml:space="preserve"> and four of the five entities that </w:t>
      </w:r>
      <w:r w:rsidR="002278FD" w:rsidRPr="005D4748">
        <w:rPr>
          <w:rFonts w:ascii="Arial" w:hAnsi="Arial" w:cs="Arial"/>
          <w:bCs/>
          <w:sz w:val="20"/>
          <w:szCs w:val="20"/>
          <w:lang w:val="en-GB"/>
        </w:rPr>
        <w:t>appeared before</w:t>
      </w:r>
      <w:r w:rsidR="00ED78A0" w:rsidRPr="005D4748">
        <w:rPr>
          <w:rFonts w:ascii="Arial" w:hAnsi="Arial" w:cs="Arial"/>
          <w:bCs/>
          <w:sz w:val="20"/>
          <w:szCs w:val="20"/>
          <w:lang w:val="en-GB"/>
        </w:rPr>
        <w:t xml:space="preserve"> the Committee were awarded clean audits</w:t>
      </w:r>
      <w:r w:rsidRPr="005D4748">
        <w:rPr>
          <w:rFonts w:ascii="Arial" w:hAnsi="Arial" w:cs="Arial"/>
          <w:bCs/>
          <w:sz w:val="20"/>
          <w:szCs w:val="20"/>
          <w:lang w:val="en-GB"/>
        </w:rPr>
        <w:t>.</w:t>
      </w:r>
      <w:r w:rsidR="00AC398E" w:rsidRPr="005D4748">
        <w:rPr>
          <w:rFonts w:ascii="Arial" w:hAnsi="Arial" w:cs="Arial"/>
          <w:bCs/>
          <w:sz w:val="20"/>
          <w:szCs w:val="20"/>
          <w:lang w:val="en-GB"/>
        </w:rPr>
        <w:t xml:space="preserve"> In 2021/22, the Department and </w:t>
      </w:r>
      <w:r w:rsidR="00FE5DC7" w:rsidRPr="005D4748">
        <w:rPr>
          <w:rFonts w:ascii="Arial" w:hAnsi="Arial" w:cs="Arial"/>
          <w:bCs/>
          <w:sz w:val="20"/>
          <w:szCs w:val="20"/>
          <w:lang w:val="en-GB"/>
        </w:rPr>
        <w:t>these</w:t>
      </w:r>
      <w:r w:rsidR="00AC398E" w:rsidRPr="005D4748">
        <w:rPr>
          <w:rFonts w:ascii="Arial" w:hAnsi="Arial" w:cs="Arial"/>
          <w:bCs/>
          <w:sz w:val="20"/>
          <w:szCs w:val="20"/>
          <w:lang w:val="en-GB"/>
        </w:rPr>
        <w:t xml:space="preserve"> entities</w:t>
      </w:r>
      <w:r w:rsidRPr="005D4748">
        <w:rPr>
          <w:rFonts w:ascii="Arial" w:hAnsi="Arial" w:cs="Arial"/>
          <w:bCs/>
          <w:sz w:val="20"/>
          <w:szCs w:val="20"/>
          <w:lang w:val="en-GB"/>
        </w:rPr>
        <w:t xml:space="preserve"> </w:t>
      </w:r>
      <w:r w:rsidR="00AC398E" w:rsidRPr="005D4748">
        <w:rPr>
          <w:rFonts w:ascii="Arial" w:hAnsi="Arial" w:cs="Arial"/>
          <w:bCs/>
          <w:sz w:val="20"/>
          <w:szCs w:val="20"/>
          <w:lang w:val="en-GB"/>
        </w:rPr>
        <w:t>spent in excess of 9</w:t>
      </w:r>
      <w:r w:rsidR="00512A72" w:rsidRPr="005D4748">
        <w:rPr>
          <w:rFonts w:ascii="Arial" w:hAnsi="Arial" w:cs="Arial"/>
          <w:bCs/>
          <w:sz w:val="20"/>
          <w:szCs w:val="20"/>
          <w:lang w:val="en-GB"/>
        </w:rPr>
        <w:t>5</w:t>
      </w:r>
      <w:r w:rsidR="00AC398E" w:rsidRPr="005D4748">
        <w:rPr>
          <w:rFonts w:ascii="Arial" w:hAnsi="Arial" w:cs="Arial"/>
          <w:bCs/>
          <w:sz w:val="20"/>
          <w:szCs w:val="20"/>
          <w:lang w:val="en-GB"/>
        </w:rPr>
        <w:t xml:space="preserve">% of their allocated funds and achieved, on average, 85% of their performance targets. </w:t>
      </w:r>
      <w:r w:rsidR="009B48DE" w:rsidRPr="005D4748">
        <w:rPr>
          <w:rFonts w:ascii="Arial" w:hAnsi="Arial" w:cs="Arial"/>
          <w:bCs/>
          <w:sz w:val="20"/>
          <w:szCs w:val="20"/>
          <w:lang w:val="en-GB"/>
        </w:rPr>
        <w:t>Furthermore, the Department and entities reported that they were on track to achiev</w:t>
      </w:r>
      <w:r w:rsidR="00EF7430" w:rsidRPr="005D4748">
        <w:rPr>
          <w:rFonts w:ascii="Arial" w:hAnsi="Arial" w:cs="Arial"/>
          <w:bCs/>
          <w:sz w:val="20"/>
          <w:szCs w:val="20"/>
          <w:lang w:val="en-GB"/>
        </w:rPr>
        <w:t>e</w:t>
      </w:r>
      <w:r w:rsidR="009B48DE" w:rsidRPr="005D4748">
        <w:rPr>
          <w:rFonts w:ascii="Arial" w:hAnsi="Arial" w:cs="Arial"/>
          <w:bCs/>
          <w:sz w:val="20"/>
          <w:szCs w:val="20"/>
          <w:lang w:val="en-GB"/>
        </w:rPr>
        <w:t xml:space="preserve"> a greater part of their MTSF targets.</w:t>
      </w:r>
      <w:r w:rsidR="000618D9" w:rsidRPr="005D4748">
        <w:rPr>
          <w:rFonts w:ascii="Arial" w:hAnsi="Arial" w:cs="Arial"/>
          <w:bCs/>
          <w:sz w:val="20"/>
          <w:szCs w:val="20"/>
          <w:lang w:val="en-GB"/>
        </w:rPr>
        <w:t xml:space="preserve"> </w:t>
      </w:r>
      <w:r w:rsidR="00CD5A93" w:rsidRPr="005D4748">
        <w:rPr>
          <w:rFonts w:ascii="Arial" w:hAnsi="Arial" w:cs="Arial"/>
          <w:bCs/>
          <w:sz w:val="20"/>
          <w:szCs w:val="20"/>
          <w:lang w:val="en-GB"/>
        </w:rPr>
        <w:t>However, a</w:t>
      </w:r>
      <w:r w:rsidR="000618D9" w:rsidRPr="005D4748">
        <w:rPr>
          <w:rFonts w:ascii="Arial" w:hAnsi="Arial" w:cs="Arial"/>
          <w:bCs/>
          <w:sz w:val="20"/>
          <w:szCs w:val="20"/>
          <w:lang w:val="en-GB"/>
        </w:rPr>
        <w:t xml:space="preserve"> key target that will </w:t>
      </w:r>
      <w:r w:rsidR="00CD5A93" w:rsidRPr="005D4748">
        <w:rPr>
          <w:rFonts w:ascii="Arial" w:hAnsi="Arial" w:cs="Arial"/>
          <w:bCs/>
          <w:sz w:val="20"/>
          <w:szCs w:val="20"/>
          <w:lang w:val="en-GB"/>
        </w:rPr>
        <w:t>remain</w:t>
      </w:r>
      <w:r w:rsidR="000618D9" w:rsidRPr="005D4748">
        <w:rPr>
          <w:rFonts w:ascii="Arial" w:hAnsi="Arial" w:cs="Arial"/>
          <w:bCs/>
          <w:sz w:val="20"/>
          <w:szCs w:val="20"/>
          <w:lang w:val="en-GB"/>
        </w:rPr>
        <w:t xml:space="preserve"> unachieved is the enduring challenge to reach the proportion of gross expenditure on R&amp;D (GERD) to GDP of 1.1% by 2024.</w:t>
      </w:r>
      <w:r w:rsidR="00E02A15" w:rsidRPr="005D4748">
        <w:rPr>
          <w:rFonts w:ascii="Arial" w:hAnsi="Arial" w:cs="Arial"/>
          <w:bCs/>
          <w:sz w:val="20"/>
          <w:szCs w:val="20"/>
          <w:lang w:val="en-GB"/>
        </w:rPr>
        <w:t xml:space="preserve"> Instead, the South African National Survey of Research and Experimental Development – Statistical Report 2019/20 showed that GERD as a percentage of GDP at current prices </w:t>
      </w:r>
      <w:r w:rsidR="002278FD" w:rsidRPr="005D4748">
        <w:rPr>
          <w:rFonts w:ascii="Arial" w:hAnsi="Arial" w:cs="Arial"/>
          <w:bCs/>
          <w:sz w:val="20"/>
          <w:szCs w:val="20"/>
          <w:lang w:val="en-GB"/>
        </w:rPr>
        <w:t xml:space="preserve">continues to decline, as reflective of the shrinking economy, and </w:t>
      </w:r>
      <w:r w:rsidR="00E02A15" w:rsidRPr="005D4748">
        <w:rPr>
          <w:rFonts w:ascii="Arial" w:hAnsi="Arial" w:cs="Arial"/>
          <w:bCs/>
          <w:sz w:val="20"/>
          <w:szCs w:val="20"/>
          <w:lang w:val="en-GB"/>
        </w:rPr>
        <w:t>was 0.62% in 2019/20, a further decline from the 0.75% and 0.83% recorded in 2018/19 and 2017/18, respectively.</w:t>
      </w:r>
      <w:r w:rsidR="00E73727" w:rsidRPr="005D4748">
        <w:rPr>
          <w:rFonts w:ascii="Arial" w:hAnsi="Arial" w:cs="Arial"/>
          <w:bCs/>
          <w:sz w:val="20"/>
          <w:szCs w:val="20"/>
          <w:lang w:val="en-GB"/>
        </w:rPr>
        <w:t xml:space="preserve"> Worryingly, business expenditure on R&amp;D also continues to decline.</w:t>
      </w:r>
      <w:r w:rsidR="005477F9" w:rsidRPr="005D4748">
        <w:rPr>
          <w:rFonts w:ascii="Arial" w:hAnsi="Arial" w:cs="Arial"/>
          <w:bCs/>
          <w:sz w:val="20"/>
          <w:szCs w:val="20"/>
          <w:lang w:val="en-GB"/>
        </w:rPr>
        <w:t xml:space="preserve"> To mitigate these challenges, the collaborative action to implement and fund the priority actions of the STI Decadal Plan and the implement</w:t>
      </w:r>
      <w:r w:rsidR="00A216C4" w:rsidRPr="005D4748">
        <w:rPr>
          <w:rFonts w:ascii="Arial" w:hAnsi="Arial" w:cs="Arial"/>
          <w:bCs/>
          <w:sz w:val="20"/>
          <w:szCs w:val="20"/>
          <w:lang w:val="en-GB"/>
        </w:rPr>
        <w:t>ation</w:t>
      </w:r>
      <w:r w:rsidR="005477F9" w:rsidRPr="005D4748">
        <w:rPr>
          <w:rFonts w:ascii="Arial" w:hAnsi="Arial" w:cs="Arial"/>
          <w:bCs/>
          <w:sz w:val="20"/>
          <w:szCs w:val="20"/>
          <w:lang w:val="en-GB"/>
        </w:rPr>
        <w:t xml:space="preserve"> of the STI Public Budget Coordination Mechanism </w:t>
      </w:r>
      <w:r w:rsidR="00B6642F" w:rsidRPr="005D4748">
        <w:rPr>
          <w:rFonts w:ascii="Arial" w:hAnsi="Arial" w:cs="Arial"/>
          <w:bCs/>
          <w:sz w:val="20"/>
          <w:szCs w:val="20"/>
          <w:lang w:val="en-GB"/>
        </w:rPr>
        <w:t xml:space="preserve">that seeks to unlock additional funding for STI, </w:t>
      </w:r>
      <w:r w:rsidR="005477F9" w:rsidRPr="005D4748">
        <w:rPr>
          <w:rFonts w:ascii="Arial" w:hAnsi="Arial" w:cs="Arial"/>
          <w:bCs/>
          <w:sz w:val="20"/>
          <w:szCs w:val="20"/>
          <w:lang w:val="en-GB"/>
        </w:rPr>
        <w:t>are crucial.</w:t>
      </w:r>
    </w:p>
    <w:p w:rsidR="000618D9" w:rsidRPr="005D4748" w:rsidRDefault="000618D9" w:rsidP="005D4748">
      <w:pPr>
        <w:pStyle w:val="BodyTextIndent"/>
        <w:tabs>
          <w:tab w:val="left" w:pos="567"/>
        </w:tabs>
        <w:spacing w:after="0"/>
        <w:ind w:left="0"/>
        <w:rPr>
          <w:rFonts w:ascii="Arial" w:hAnsi="Arial" w:cs="Arial"/>
          <w:bCs/>
          <w:sz w:val="20"/>
          <w:szCs w:val="20"/>
          <w:lang w:val="en-GB"/>
        </w:rPr>
      </w:pPr>
    </w:p>
    <w:p w:rsidR="00F7317E" w:rsidRPr="005D4748" w:rsidRDefault="0028469B" w:rsidP="005D4748">
      <w:pPr>
        <w:pStyle w:val="BodyTextIndent"/>
        <w:tabs>
          <w:tab w:val="left" w:pos="567"/>
        </w:tabs>
        <w:spacing w:after="0"/>
        <w:ind w:left="0"/>
        <w:rPr>
          <w:rFonts w:ascii="Arial" w:hAnsi="Arial" w:cs="Arial"/>
          <w:bCs/>
          <w:sz w:val="20"/>
          <w:szCs w:val="20"/>
          <w:lang w:val="en-GB"/>
        </w:rPr>
      </w:pPr>
      <w:r w:rsidRPr="005D4748">
        <w:rPr>
          <w:rFonts w:ascii="Arial" w:hAnsi="Arial" w:cs="Arial"/>
          <w:bCs/>
          <w:sz w:val="20"/>
          <w:szCs w:val="20"/>
          <w:lang w:val="en-GB"/>
        </w:rPr>
        <w:t>For the year under review, p</w:t>
      </w:r>
      <w:r w:rsidR="000E4EF1" w:rsidRPr="005D4748">
        <w:rPr>
          <w:rFonts w:ascii="Arial" w:hAnsi="Arial" w:cs="Arial"/>
          <w:bCs/>
          <w:sz w:val="20"/>
          <w:szCs w:val="20"/>
          <w:lang w:val="en-GB"/>
        </w:rPr>
        <w:t>erformance targets that were not achieved were mainly due to the constrained innovation and technology system</w:t>
      </w:r>
      <w:r w:rsidRPr="005D4748">
        <w:rPr>
          <w:rFonts w:ascii="Arial" w:hAnsi="Arial" w:cs="Arial"/>
          <w:bCs/>
          <w:sz w:val="20"/>
          <w:szCs w:val="20"/>
          <w:lang w:val="en-GB"/>
        </w:rPr>
        <w:t xml:space="preserve">, as well as its </w:t>
      </w:r>
      <w:r w:rsidR="0066194F" w:rsidRPr="005D4748">
        <w:rPr>
          <w:rFonts w:ascii="Arial" w:hAnsi="Arial" w:cs="Arial"/>
          <w:bCs/>
          <w:sz w:val="20"/>
          <w:szCs w:val="20"/>
          <w:lang w:val="en-GB"/>
        </w:rPr>
        <w:t xml:space="preserve">inherent </w:t>
      </w:r>
      <w:r w:rsidRPr="005D4748">
        <w:rPr>
          <w:rFonts w:ascii="Arial" w:hAnsi="Arial" w:cs="Arial"/>
          <w:bCs/>
          <w:sz w:val="20"/>
          <w:szCs w:val="20"/>
          <w:lang w:val="en-GB"/>
        </w:rPr>
        <w:t>uncertainty;</w:t>
      </w:r>
      <w:r w:rsidR="000E4EF1" w:rsidRPr="005D4748">
        <w:rPr>
          <w:rFonts w:ascii="Arial" w:hAnsi="Arial" w:cs="Arial"/>
          <w:bCs/>
          <w:sz w:val="20"/>
          <w:szCs w:val="20"/>
          <w:lang w:val="en-GB"/>
        </w:rPr>
        <w:t xml:space="preserve"> </w:t>
      </w:r>
      <w:r w:rsidR="0029357A" w:rsidRPr="005D4748">
        <w:rPr>
          <w:rFonts w:ascii="Arial" w:hAnsi="Arial" w:cs="Arial"/>
          <w:bCs/>
          <w:sz w:val="20"/>
          <w:szCs w:val="20"/>
          <w:lang w:val="en-GB"/>
        </w:rPr>
        <w:t xml:space="preserve">the </w:t>
      </w:r>
      <w:r w:rsidR="000E4EF1" w:rsidRPr="005D4748">
        <w:rPr>
          <w:rFonts w:ascii="Arial" w:hAnsi="Arial" w:cs="Arial"/>
          <w:bCs/>
          <w:sz w:val="20"/>
          <w:szCs w:val="20"/>
          <w:lang w:val="en-GB"/>
        </w:rPr>
        <w:t>lack o</w:t>
      </w:r>
      <w:r w:rsidRPr="005D4748">
        <w:rPr>
          <w:rFonts w:ascii="Arial" w:hAnsi="Arial" w:cs="Arial"/>
          <w:bCs/>
          <w:sz w:val="20"/>
          <w:szCs w:val="20"/>
          <w:lang w:val="en-GB"/>
        </w:rPr>
        <w:t>f demand for certain incentives and funding instruments;</w:t>
      </w:r>
      <w:r w:rsidR="000E4EF1" w:rsidRPr="005D4748">
        <w:rPr>
          <w:rFonts w:ascii="Arial" w:hAnsi="Arial" w:cs="Arial"/>
          <w:bCs/>
          <w:sz w:val="20"/>
          <w:szCs w:val="20"/>
          <w:lang w:val="en-GB"/>
        </w:rPr>
        <w:t xml:space="preserve"> competition for high-level skills and factors that were outside the control of the </w:t>
      </w:r>
      <w:r w:rsidR="0029357A" w:rsidRPr="005D4748">
        <w:rPr>
          <w:rFonts w:ascii="Arial" w:hAnsi="Arial" w:cs="Arial"/>
          <w:bCs/>
          <w:sz w:val="20"/>
          <w:szCs w:val="20"/>
          <w:lang w:val="en-GB"/>
        </w:rPr>
        <w:t>D</w:t>
      </w:r>
      <w:r w:rsidR="000E4EF1" w:rsidRPr="005D4748">
        <w:rPr>
          <w:rFonts w:ascii="Arial" w:hAnsi="Arial" w:cs="Arial"/>
          <w:bCs/>
          <w:sz w:val="20"/>
          <w:szCs w:val="20"/>
          <w:lang w:val="en-GB"/>
        </w:rPr>
        <w:t>epartment and the entities, among others.</w:t>
      </w:r>
      <w:r w:rsidR="002F54CE" w:rsidRPr="005D4748">
        <w:rPr>
          <w:rFonts w:ascii="Arial" w:hAnsi="Arial" w:cs="Arial"/>
          <w:bCs/>
          <w:sz w:val="20"/>
          <w:szCs w:val="20"/>
          <w:lang w:val="en-GB"/>
        </w:rPr>
        <w:t xml:space="preserve"> </w:t>
      </w:r>
      <w:r w:rsidR="00EA31C1" w:rsidRPr="005D4748">
        <w:rPr>
          <w:rFonts w:ascii="Arial" w:hAnsi="Arial" w:cs="Arial"/>
          <w:bCs/>
          <w:sz w:val="20"/>
          <w:szCs w:val="20"/>
          <w:lang w:val="en-GB"/>
        </w:rPr>
        <w:t>Under-expenditure</w:t>
      </w:r>
      <w:r w:rsidR="002F54CE" w:rsidRPr="005D4748">
        <w:rPr>
          <w:rFonts w:ascii="Arial" w:hAnsi="Arial" w:cs="Arial"/>
          <w:bCs/>
          <w:sz w:val="20"/>
          <w:szCs w:val="20"/>
          <w:lang w:val="en-GB"/>
        </w:rPr>
        <w:t xml:space="preserve"> was mainly attributed to delays in filling prioritised posts.</w:t>
      </w:r>
    </w:p>
    <w:p w:rsidR="00F7317E" w:rsidRPr="005D4748" w:rsidRDefault="00F7317E" w:rsidP="005D4748">
      <w:pPr>
        <w:pStyle w:val="BodyTextIndent"/>
        <w:tabs>
          <w:tab w:val="left" w:pos="567"/>
        </w:tabs>
        <w:spacing w:after="0"/>
        <w:ind w:left="0"/>
        <w:rPr>
          <w:rFonts w:ascii="Arial" w:hAnsi="Arial" w:cs="Arial"/>
          <w:bCs/>
          <w:sz w:val="20"/>
          <w:szCs w:val="20"/>
          <w:lang w:val="en-GB"/>
        </w:rPr>
      </w:pPr>
    </w:p>
    <w:p w:rsidR="00675D03" w:rsidRPr="005D4748" w:rsidRDefault="00675D03" w:rsidP="005D4748">
      <w:pPr>
        <w:pStyle w:val="BodyTextIndent"/>
        <w:tabs>
          <w:tab w:val="left" w:pos="567"/>
        </w:tabs>
        <w:spacing w:after="0"/>
        <w:ind w:left="0"/>
        <w:rPr>
          <w:rFonts w:ascii="Arial" w:hAnsi="Arial" w:cs="Arial"/>
          <w:bCs/>
          <w:sz w:val="20"/>
          <w:szCs w:val="20"/>
          <w:lang w:val="en-GB"/>
        </w:rPr>
      </w:pPr>
      <w:r w:rsidRPr="005D4748">
        <w:rPr>
          <w:rFonts w:ascii="Arial" w:hAnsi="Arial" w:cs="Arial"/>
          <w:bCs/>
          <w:sz w:val="20"/>
          <w:szCs w:val="20"/>
          <w:lang w:val="en-GB"/>
        </w:rPr>
        <w:t xml:space="preserve">The HSRC maintained its overall performance of 90% but regressed in terms of its audit opinion. </w:t>
      </w:r>
      <w:r w:rsidR="00E73727" w:rsidRPr="005D4748">
        <w:rPr>
          <w:rFonts w:ascii="Arial" w:hAnsi="Arial" w:cs="Arial"/>
          <w:bCs/>
          <w:sz w:val="20"/>
          <w:szCs w:val="20"/>
          <w:lang w:val="en-GB"/>
        </w:rPr>
        <w:t xml:space="preserve">The new Chairperson of the Board assured the Committee that decisive steps were being </w:t>
      </w:r>
      <w:r w:rsidR="00332A66" w:rsidRPr="005D4748">
        <w:rPr>
          <w:rFonts w:ascii="Arial" w:hAnsi="Arial" w:cs="Arial"/>
          <w:bCs/>
          <w:sz w:val="20"/>
          <w:szCs w:val="20"/>
          <w:lang w:val="en-GB"/>
        </w:rPr>
        <w:t xml:space="preserve">taken to </w:t>
      </w:r>
      <w:r w:rsidR="00E73727" w:rsidRPr="005D4748">
        <w:rPr>
          <w:rFonts w:ascii="Arial" w:hAnsi="Arial" w:cs="Arial"/>
          <w:bCs/>
          <w:sz w:val="20"/>
          <w:szCs w:val="20"/>
          <w:lang w:val="en-GB"/>
        </w:rPr>
        <w:t>implement</w:t>
      </w:r>
      <w:r w:rsidR="00332A66" w:rsidRPr="005D4748">
        <w:rPr>
          <w:rFonts w:ascii="Arial" w:hAnsi="Arial" w:cs="Arial"/>
          <w:bCs/>
          <w:sz w:val="20"/>
          <w:szCs w:val="20"/>
          <w:lang w:val="en-GB"/>
        </w:rPr>
        <w:t xml:space="preserve"> the recommendations of the AGSA and</w:t>
      </w:r>
      <w:r w:rsidR="00E73727" w:rsidRPr="005D4748">
        <w:rPr>
          <w:rFonts w:ascii="Arial" w:hAnsi="Arial" w:cs="Arial"/>
          <w:bCs/>
          <w:sz w:val="20"/>
          <w:szCs w:val="20"/>
          <w:lang w:val="en-GB"/>
        </w:rPr>
        <w:t xml:space="preserve"> to address the root causes of this matter</w:t>
      </w:r>
      <w:r w:rsidR="00332A66" w:rsidRPr="005D4748">
        <w:rPr>
          <w:rFonts w:ascii="Arial" w:hAnsi="Arial" w:cs="Arial"/>
          <w:bCs/>
          <w:sz w:val="20"/>
          <w:szCs w:val="20"/>
          <w:lang w:val="en-GB"/>
        </w:rPr>
        <w:t>, as well as ensure that the needed consequence management is enforced</w:t>
      </w:r>
      <w:r w:rsidR="003C6238" w:rsidRPr="005D4748">
        <w:rPr>
          <w:rFonts w:ascii="Arial" w:hAnsi="Arial" w:cs="Arial"/>
          <w:bCs/>
          <w:sz w:val="20"/>
          <w:szCs w:val="20"/>
          <w:lang w:val="en-GB"/>
        </w:rPr>
        <w:t xml:space="preserve"> and the necessary monies are recovered from staff</w:t>
      </w:r>
      <w:r w:rsidR="00E73727" w:rsidRPr="005D4748">
        <w:rPr>
          <w:rFonts w:ascii="Arial" w:hAnsi="Arial" w:cs="Arial"/>
          <w:bCs/>
          <w:sz w:val="20"/>
          <w:szCs w:val="20"/>
          <w:lang w:val="en-GB"/>
        </w:rPr>
        <w:t>.</w:t>
      </w:r>
    </w:p>
    <w:p w:rsidR="00E73727" w:rsidRPr="005D4748" w:rsidRDefault="00E73727" w:rsidP="005D4748">
      <w:pPr>
        <w:pStyle w:val="BodyTextIndent"/>
        <w:tabs>
          <w:tab w:val="left" w:pos="567"/>
        </w:tabs>
        <w:spacing w:after="0"/>
        <w:ind w:left="0"/>
        <w:rPr>
          <w:rFonts w:ascii="Arial" w:hAnsi="Arial" w:cs="Arial"/>
          <w:bCs/>
          <w:sz w:val="20"/>
          <w:szCs w:val="20"/>
          <w:lang w:val="en-GB"/>
        </w:rPr>
      </w:pPr>
    </w:p>
    <w:p w:rsidR="00035127" w:rsidRPr="005D4748" w:rsidRDefault="00C7483B" w:rsidP="005D4748">
      <w:pPr>
        <w:pStyle w:val="BodyTextIndent"/>
        <w:tabs>
          <w:tab w:val="left" w:pos="567"/>
        </w:tabs>
        <w:spacing w:after="0"/>
        <w:ind w:left="0"/>
        <w:rPr>
          <w:rFonts w:ascii="Arial" w:hAnsi="Arial" w:cs="Arial"/>
          <w:bCs/>
          <w:sz w:val="20"/>
          <w:szCs w:val="20"/>
          <w:lang w:val="en-GB"/>
        </w:rPr>
      </w:pPr>
      <w:r w:rsidRPr="005D4748">
        <w:rPr>
          <w:rFonts w:ascii="Arial" w:hAnsi="Arial" w:cs="Arial"/>
          <w:bCs/>
          <w:sz w:val="20"/>
          <w:szCs w:val="20"/>
          <w:lang w:val="en-GB"/>
        </w:rPr>
        <w:t>Notwithstanding their achievements and the progress made in respect of national priorities, the Department, its entities and the NSI as a whole remains underfunded. Th</w:t>
      </w:r>
      <w:r w:rsidR="000364DA" w:rsidRPr="005D4748">
        <w:rPr>
          <w:rFonts w:ascii="Arial" w:hAnsi="Arial" w:cs="Arial"/>
          <w:bCs/>
          <w:sz w:val="20"/>
          <w:szCs w:val="20"/>
          <w:lang w:val="en-GB"/>
        </w:rPr>
        <w:t>e</w:t>
      </w:r>
      <w:r w:rsidRPr="005D4748">
        <w:rPr>
          <w:rFonts w:ascii="Arial" w:hAnsi="Arial" w:cs="Arial"/>
          <w:bCs/>
          <w:sz w:val="20"/>
          <w:szCs w:val="20"/>
          <w:lang w:val="en-GB"/>
        </w:rPr>
        <w:t xml:space="preserve"> sub-optimal </w:t>
      </w:r>
      <w:r w:rsidR="000364DA" w:rsidRPr="005D4748">
        <w:rPr>
          <w:rFonts w:ascii="Arial" w:hAnsi="Arial" w:cs="Arial"/>
          <w:bCs/>
          <w:sz w:val="20"/>
          <w:szCs w:val="20"/>
          <w:lang w:val="en-GB"/>
        </w:rPr>
        <w:t xml:space="preserve">level </w:t>
      </w:r>
      <w:r w:rsidRPr="005D4748">
        <w:rPr>
          <w:rFonts w:ascii="Arial" w:hAnsi="Arial" w:cs="Arial"/>
          <w:bCs/>
          <w:sz w:val="20"/>
          <w:szCs w:val="20"/>
          <w:lang w:val="en-GB"/>
        </w:rPr>
        <w:t xml:space="preserve">funding has limited the </w:t>
      </w:r>
      <w:r w:rsidR="000364DA" w:rsidRPr="005D4748">
        <w:rPr>
          <w:rFonts w:ascii="Arial" w:hAnsi="Arial" w:cs="Arial"/>
          <w:bCs/>
          <w:sz w:val="20"/>
          <w:szCs w:val="20"/>
          <w:lang w:val="en-GB"/>
        </w:rPr>
        <w:t xml:space="preserve">scope and </w:t>
      </w:r>
      <w:r w:rsidRPr="005D4748">
        <w:rPr>
          <w:rFonts w:ascii="Arial" w:hAnsi="Arial" w:cs="Arial"/>
          <w:bCs/>
          <w:sz w:val="20"/>
          <w:szCs w:val="20"/>
          <w:lang w:val="en-GB"/>
        </w:rPr>
        <w:t xml:space="preserve">impact of many of the initiatives aimed at increasing the size, coherence and effectiveness of the NSI, as required by the NDP, </w:t>
      </w:r>
      <w:r w:rsidR="002F00EC" w:rsidRPr="005D4748">
        <w:rPr>
          <w:rFonts w:ascii="Arial" w:hAnsi="Arial" w:cs="Arial"/>
          <w:bCs/>
          <w:sz w:val="20"/>
          <w:szCs w:val="20"/>
          <w:lang w:val="en-GB"/>
        </w:rPr>
        <w:t xml:space="preserve">as well as efforts to ensure greater inclusivity, representation and higher rates of transformation, </w:t>
      </w:r>
      <w:r w:rsidRPr="005D4748">
        <w:rPr>
          <w:rFonts w:ascii="Arial" w:hAnsi="Arial" w:cs="Arial"/>
          <w:bCs/>
          <w:sz w:val="20"/>
          <w:szCs w:val="20"/>
          <w:lang w:val="en-GB"/>
        </w:rPr>
        <w:t xml:space="preserve">since the </w:t>
      </w:r>
      <w:r w:rsidR="002F00EC" w:rsidRPr="005D4748">
        <w:rPr>
          <w:rFonts w:ascii="Arial" w:hAnsi="Arial" w:cs="Arial"/>
          <w:bCs/>
          <w:sz w:val="20"/>
          <w:szCs w:val="20"/>
          <w:lang w:val="en-GB"/>
        </w:rPr>
        <w:t xml:space="preserve">scale </w:t>
      </w:r>
      <w:r w:rsidRPr="005D4748">
        <w:rPr>
          <w:rFonts w:ascii="Arial" w:hAnsi="Arial" w:cs="Arial"/>
          <w:bCs/>
          <w:sz w:val="20"/>
          <w:szCs w:val="20"/>
          <w:lang w:val="en-GB"/>
        </w:rPr>
        <w:t xml:space="preserve">of these initiatives </w:t>
      </w:r>
      <w:r w:rsidR="002F00EC" w:rsidRPr="005D4748">
        <w:rPr>
          <w:rFonts w:ascii="Arial" w:hAnsi="Arial" w:cs="Arial"/>
          <w:bCs/>
          <w:sz w:val="20"/>
          <w:szCs w:val="20"/>
          <w:lang w:val="en-GB"/>
        </w:rPr>
        <w:t>are</w:t>
      </w:r>
      <w:r w:rsidRPr="005D4748">
        <w:rPr>
          <w:rFonts w:ascii="Arial" w:hAnsi="Arial" w:cs="Arial"/>
          <w:bCs/>
          <w:sz w:val="20"/>
          <w:szCs w:val="20"/>
          <w:lang w:val="en-GB"/>
        </w:rPr>
        <w:t xml:space="preserve"> defined by the available budget and not by the need it seeks to address.</w:t>
      </w:r>
      <w:r w:rsidR="00B75171" w:rsidRPr="005D4748">
        <w:rPr>
          <w:rFonts w:ascii="Arial" w:hAnsi="Arial" w:cs="Arial"/>
          <w:bCs/>
          <w:sz w:val="20"/>
          <w:szCs w:val="20"/>
          <w:lang w:val="en-GB"/>
        </w:rPr>
        <w:t xml:space="preserve"> The sub-optimal level of funding for all entities has also compromised the full implementation of mandates and created capacity challenges as high-level skills seek better/more secure employment elsewhere. </w:t>
      </w:r>
      <w:r w:rsidRPr="005D4748">
        <w:rPr>
          <w:rFonts w:ascii="Arial" w:hAnsi="Arial" w:cs="Arial"/>
          <w:bCs/>
          <w:sz w:val="20"/>
          <w:szCs w:val="20"/>
          <w:lang w:val="en-GB"/>
        </w:rPr>
        <w:t xml:space="preserve">Hence, the Department and its entities are increasingly compelled to find additional forms of funding. However, due to the </w:t>
      </w:r>
      <w:r w:rsidR="00DA22B4" w:rsidRPr="005D4748">
        <w:rPr>
          <w:rFonts w:ascii="Arial" w:hAnsi="Arial" w:cs="Arial"/>
          <w:bCs/>
          <w:sz w:val="20"/>
          <w:szCs w:val="20"/>
          <w:lang w:val="en-GB"/>
        </w:rPr>
        <w:t>constrained</w:t>
      </w:r>
      <w:r w:rsidRPr="005D4748">
        <w:rPr>
          <w:rFonts w:ascii="Arial" w:hAnsi="Arial" w:cs="Arial"/>
          <w:bCs/>
          <w:sz w:val="20"/>
          <w:szCs w:val="20"/>
          <w:lang w:val="en-GB"/>
        </w:rPr>
        <w:t xml:space="preserve"> </w:t>
      </w:r>
      <w:r w:rsidR="00DA22B4" w:rsidRPr="005D4748">
        <w:rPr>
          <w:rFonts w:ascii="Arial" w:hAnsi="Arial" w:cs="Arial"/>
          <w:bCs/>
          <w:sz w:val="20"/>
          <w:szCs w:val="20"/>
          <w:lang w:val="en-GB"/>
        </w:rPr>
        <w:t xml:space="preserve">national and global </w:t>
      </w:r>
      <w:r w:rsidRPr="005D4748">
        <w:rPr>
          <w:rFonts w:ascii="Arial" w:hAnsi="Arial" w:cs="Arial"/>
          <w:bCs/>
          <w:sz w:val="20"/>
          <w:szCs w:val="20"/>
          <w:lang w:val="en-GB"/>
        </w:rPr>
        <w:t xml:space="preserve">economy, the external funding the entities rely on to execute their functions has also declined. In addition, public procurement regulations require public entities to tender and compete with the private sector for government contracts, usually for work that the entities are mandated to do and for which they receive money from the national fiscus. In this regard, the CSIR reported that potential contract income from the public sector </w:t>
      </w:r>
      <w:r w:rsidR="0030355C" w:rsidRPr="005D4748">
        <w:rPr>
          <w:rFonts w:ascii="Arial" w:hAnsi="Arial" w:cs="Arial"/>
          <w:bCs/>
          <w:sz w:val="20"/>
          <w:szCs w:val="20"/>
          <w:lang w:val="en-GB"/>
        </w:rPr>
        <w:t>of approximately</w:t>
      </w:r>
      <w:r w:rsidRPr="005D4748">
        <w:rPr>
          <w:rFonts w:ascii="Arial" w:hAnsi="Arial" w:cs="Arial"/>
          <w:bCs/>
          <w:sz w:val="20"/>
          <w:szCs w:val="20"/>
          <w:lang w:val="en-GB"/>
        </w:rPr>
        <w:t xml:space="preserve"> R450 million </w:t>
      </w:r>
      <w:r w:rsidR="0030355C" w:rsidRPr="005D4748">
        <w:rPr>
          <w:rFonts w:ascii="Arial" w:hAnsi="Arial" w:cs="Arial"/>
          <w:bCs/>
          <w:sz w:val="20"/>
          <w:szCs w:val="20"/>
          <w:lang w:val="en-GB"/>
        </w:rPr>
        <w:t>could not be realised</w:t>
      </w:r>
      <w:r w:rsidRPr="005D4748">
        <w:rPr>
          <w:rFonts w:ascii="Arial" w:hAnsi="Arial" w:cs="Arial"/>
          <w:bCs/>
          <w:sz w:val="20"/>
          <w:szCs w:val="20"/>
          <w:lang w:val="en-GB"/>
        </w:rPr>
        <w:t>.</w:t>
      </w:r>
    </w:p>
    <w:p w:rsidR="00035127" w:rsidRPr="005D4748" w:rsidRDefault="00035127" w:rsidP="005D4748">
      <w:pPr>
        <w:pStyle w:val="BodyTextIndent"/>
        <w:tabs>
          <w:tab w:val="left" w:pos="567"/>
        </w:tabs>
        <w:spacing w:after="0"/>
        <w:ind w:left="0"/>
        <w:rPr>
          <w:rFonts w:ascii="Arial" w:hAnsi="Arial" w:cs="Arial"/>
          <w:bCs/>
          <w:sz w:val="20"/>
          <w:szCs w:val="20"/>
          <w:lang w:val="en-GB"/>
        </w:rPr>
      </w:pPr>
    </w:p>
    <w:p w:rsidR="003F6ADC" w:rsidRPr="005D4748" w:rsidRDefault="000230F3" w:rsidP="005D4748">
      <w:pPr>
        <w:pStyle w:val="BodyTextIndent"/>
        <w:tabs>
          <w:tab w:val="left" w:pos="567"/>
        </w:tabs>
        <w:spacing w:after="0"/>
        <w:ind w:left="0"/>
        <w:rPr>
          <w:rFonts w:ascii="Arial" w:hAnsi="Arial" w:cs="Arial"/>
          <w:bCs/>
          <w:sz w:val="20"/>
          <w:szCs w:val="20"/>
          <w:lang w:val="en-GB"/>
        </w:rPr>
      </w:pPr>
      <w:r w:rsidRPr="005D4748">
        <w:rPr>
          <w:rFonts w:ascii="Arial" w:hAnsi="Arial" w:cs="Arial"/>
          <w:bCs/>
          <w:sz w:val="20"/>
          <w:szCs w:val="20"/>
          <w:lang w:val="en-GB"/>
        </w:rPr>
        <w:t xml:space="preserve">Over </w:t>
      </w:r>
      <w:r w:rsidR="00F84F6D" w:rsidRPr="005D4748">
        <w:rPr>
          <w:rFonts w:ascii="Arial" w:hAnsi="Arial" w:cs="Arial"/>
          <w:bCs/>
          <w:sz w:val="20"/>
          <w:szCs w:val="20"/>
          <w:lang w:val="en-GB"/>
        </w:rPr>
        <w:t>the</w:t>
      </w:r>
      <w:r w:rsidR="00B50ABE" w:rsidRPr="005D4748">
        <w:rPr>
          <w:rFonts w:ascii="Arial" w:hAnsi="Arial" w:cs="Arial"/>
          <w:bCs/>
          <w:sz w:val="20"/>
          <w:szCs w:val="20"/>
          <w:lang w:val="en-GB"/>
        </w:rPr>
        <w:t xml:space="preserve"> 2023</w:t>
      </w:r>
      <w:r w:rsidR="00F84F6D" w:rsidRPr="005D4748">
        <w:rPr>
          <w:rFonts w:ascii="Arial" w:hAnsi="Arial" w:cs="Arial"/>
          <w:bCs/>
          <w:sz w:val="20"/>
          <w:szCs w:val="20"/>
          <w:lang w:val="en-GB"/>
        </w:rPr>
        <w:t xml:space="preserve"> MTEF, the Department informed the Committee that </w:t>
      </w:r>
      <w:r w:rsidR="003F6ADC" w:rsidRPr="005D4748">
        <w:rPr>
          <w:rFonts w:ascii="Arial" w:hAnsi="Arial" w:cs="Arial"/>
          <w:bCs/>
          <w:sz w:val="20"/>
          <w:szCs w:val="20"/>
          <w:lang w:val="en-GB"/>
        </w:rPr>
        <w:t>funding requirements amounted to R3.5 billion, comprising:</w:t>
      </w:r>
    </w:p>
    <w:p w:rsidR="003F6ADC" w:rsidRPr="005D4748" w:rsidRDefault="003F6ADC" w:rsidP="005D4748">
      <w:pPr>
        <w:pStyle w:val="BodyTextIndent"/>
        <w:tabs>
          <w:tab w:val="left" w:pos="567"/>
        </w:tabs>
        <w:spacing w:after="0"/>
        <w:ind w:left="0"/>
        <w:rPr>
          <w:rFonts w:ascii="Arial" w:hAnsi="Arial" w:cs="Arial"/>
          <w:bCs/>
          <w:sz w:val="20"/>
          <w:szCs w:val="20"/>
          <w:lang w:val="en-GB"/>
        </w:rPr>
      </w:pPr>
    </w:p>
    <w:p w:rsidR="003F6ADC" w:rsidRPr="005D4748" w:rsidRDefault="003F6ADC" w:rsidP="005D4748">
      <w:pPr>
        <w:pStyle w:val="BodyTextIndent"/>
        <w:numPr>
          <w:ilvl w:val="0"/>
          <w:numId w:val="32"/>
        </w:numPr>
        <w:tabs>
          <w:tab w:val="left" w:pos="567"/>
        </w:tabs>
        <w:spacing w:after="0"/>
        <w:ind w:left="567" w:hanging="567"/>
        <w:rPr>
          <w:rFonts w:ascii="Arial" w:hAnsi="Arial" w:cs="Arial"/>
          <w:bCs/>
          <w:sz w:val="20"/>
          <w:szCs w:val="20"/>
          <w:lang w:val="en-GB"/>
        </w:rPr>
      </w:pPr>
      <w:r w:rsidRPr="005D4748">
        <w:rPr>
          <w:rFonts w:ascii="Arial" w:hAnsi="Arial" w:cs="Arial"/>
          <w:bCs/>
          <w:sz w:val="20"/>
          <w:szCs w:val="20"/>
          <w:lang w:val="en-GB"/>
        </w:rPr>
        <w:t>R2.7 billion for the SKA;</w:t>
      </w:r>
    </w:p>
    <w:p w:rsidR="00F7317E" w:rsidRPr="005D4748" w:rsidRDefault="003F6ADC" w:rsidP="005D4748">
      <w:pPr>
        <w:pStyle w:val="BodyTextIndent"/>
        <w:numPr>
          <w:ilvl w:val="0"/>
          <w:numId w:val="32"/>
        </w:numPr>
        <w:tabs>
          <w:tab w:val="left" w:pos="567"/>
        </w:tabs>
        <w:spacing w:after="0"/>
        <w:ind w:left="567" w:hanging="567"/>
        <w:rPr>
          <w:rFonts w:ascii="Arial" w:hAnsi="Arial" w:cs="Arial"/>
          <w:bCs/>
          <w:sz w:val="20"/>
          <w:szCs w:val="20"/>
          <w:lang w:val="en-GB"/>
        </w:rPr>
      </w:pPr>
      <w:r w:rsidRPr="005D4748">
        <w:rPr>
          <w:rFonts w:ascii="Arial" w:hAnsi="Arial" w:cs="Arial"/>
          <w:bCs/>
          <w:sz w:val="20"/>
          <w:szCs w:val="20"/>
          <w:lang w:val="en-GB"/>
        </w:rPr>
        <w:t>R500 million for the Innovation Fund;</w:t>
      </w:r>
    </w:p>
    <w:p w:rsidR="003F6ADC" w:rsidRPr="005D4748" w:rsidRDefault="003F6ADC" w:rsidP="005D4748">
      <w:pPr>
        <w:pStyle w:val="BodyTextIndent"/>
        <w:numPr>
          <w:ilvl w:val="0"/>
          <w:numId w:val="32"/>
        </w:numPr>
        <w:tabs>
          <w:tab w:val="left" w:pos="567"/>
        </w:tabs>
        <w:spacing w:after="0"/>
        <w:ind w:left="567" w:hanging="567"/>
        <w:rPr>
          <w:rFonts w:ascii="Arial" w:hAnsi="Arial" w:cs="Arial"/>
          <w:bCs/>
          <w:sz w:val="20"/>
          <w:szCs w:val="20"/>
          <w:lang w:val="en-GB"/>
        </w:rPr>
      </w:pPr>
      <w:r w:rsidRPr="005D4748">
        <w:rPr>
          <w:rFonts w:ascii="Arial" w:hAnsi="Arial" w:cs="Arial"/>
          <w:bCs/>
          <w:sz w:val="20"/>
          <w:szCs w:val="20"/>
          <w:lang w:val="en-GB"/>
        </w:rPr>
        <w:t>R197 million to upgrade the Department’s building; and</w:t>
      </w:r>
    </w:p>
    <w:p w:rsidR="003F6ADC" w:rsidRPr="005D4748" w:rsidRDefault="003F6ADC" w:rsidP="005D4748">
      <w:pPr>
        <w:pStyle w:val="BodyTextIndent"/>
        <w:numPr>
          <w:ilvl w:val="0"/>
          <w:numId w:val="32"/>
        </w:numPr>
        <w:tabs>
          <w:tab w:val="left" w:pos="567"/>
        </w:tabs>
        <w:spacing w:after="0"/>
        <w:ind w:left="567" w:hanging="567"/>
        <w:rPr>
          <w:rFonts w:ascii="Arial" w:hAnsi="Arial" w:cs="Arial"/>
          <w:bCs/>
          <w:sz w:val="20"/>
          <w:szCs w:val="20"/>
          <w:lang w:val="en-GB"/>
        </w:rPr>
      </w:pPr>
      <w:r w:rsidRPr="005D4748">
        <w:rPr>
          <w:rFonts w:ascii="Arial" w:hAnsi="Arial" w:cs="Arial"/>
          <w:bCs/>
          <w:sz w:val="20"/>
          <w:szCs w:val="20"/>
          <w:lang w:val="en-GB"/>
        </w:rPr>
        <w:t>R50 million, each, for the catalytic projects of the Hydrogen Society Roadmap and the Space Weather Centre and its operations.</w:t>
      </w:r>
    </w:p>
    <w:p w:rsidR="003F6ADC" w:rsidRPr="005D4748" w:rsidRDefault="003F6ADC" w:rsidP="005D4748">
      <w:pPr>
        <w:pStyle w:val="BodyTextIndent"/>
        <w:tabs>
          <w:tab w:val="left" w:pos="567"/>
        </w:tabs>
        <w:spacing w:after="0"/>
        <w:ind w:left="0"/>
        <w:rPr>
          <w:rFonts w:ascii="Arial" w:hAnsi="Arial" w:cs="Arial"/>
          <w:bCs/>
          <w:sz w:val="20"/>
          <w:szCs w:val="20"/>
          <w:lang w:val="en-GB"/>
        </w:rPr>
      </w:pPr>
    </w:p>
    <w:p w:rsidR="000230F3" w:rsidRPr="005D4748" w:rsidRDefault="000230F3" w:rsidP="005D4748">
      <w:pPr>
        <w:pStyle w:val="BodyTextIndent"/>
        <w:tabs>
          <w:tab w:val="left" w:pos="567"/>
        </w:tabs>
        <w:spacing w:after="0"/>
        <w:ind w:left="0"/>
        <w:rPr>
          <w:rFonts w:ascii="Arial" w:hAnsi="Arial" w:cs="Arial"/>
          <w:bCs/>
          <w:sz w:val="20"/>
          <w:szCs w:val="20"/>
          <w:lang w:val="en-GB"/>
        </w:rPr>
      </w:pPr>
      <w:r w:rsidRPr="005D4748">
        <w:rPr>
          <w:rFonts w:ascii="Arial" w:hAnsi="Arial" w:cs="Arial"/>
          <w:bCs/>
          <w:sz w:val="20"/>
          <w:szCs w:val="20"/>
          <w:lang w:val="en-GB"/>
        </w:rPr>
        <w:t xml:space="preserve">The Space Infrastructure Hub also requires funding of R3.5 billion over the next ten years. The Department has applied for funding through the Budget Facility for Infrastructure for the Space </w:t>
      </w:r>
      <w:r w:rsidRPr="005D4748">
        <w:rPr>
          <w:rFonts w:ascii="Arial" w:hAnsi="Arial" w:cs="Arial"/>
          <w:bCs/>
          <w:sz w:val="20"/>
          <w:szCs w:val="20"/>
          <w:lang w:val="en-GB"/>
        </w:rPr>
        <w:lastRenderedPageBreak/>
        <w:t>Infrastructure Hub and the SKA.</w:t>
      </w:r>
      <w:r w:rsidR="00BD25C4" w:rsidRPr="005D4748">
        <w:rPr>
          <w:rFonts w:ascii="Arial" w:hAnsi="Arial" w:cs="Arial"/>
          <w:bCs/>
          <w:sz w:val="20"/>
          <w:szCs w:val="20"/>
          <w:lang w:val="en-GB"/>
        </w:rPr>
        <w:t xml:space="preserve"> However, the Space Infrastructure Hub requires approximately R1.6 billion over the current MTEF.</w:t>
      </w:r>
    </w:p>
    <w:p w:rsidR="00913B15" w:rsidRPr="005D4748" w:rsidRDefault="00913B15" w:rsidP="005D4748">
      <w:pPr>
        <w:pStyle w:val="BodyTextIndent"/>
        <w:tabs>
          <w:tab w:val="left" w:pos="567"/>
        </w:tabs>
        <w:spacing w:after="0"/>
        <w:ind w:left="0"/>
        <w:rPr>
          <w:rFonts w:ascii="Arial" w:hAnsi="Arial" w:cs="Arial"/>
          <w:bCs/>
          <w:sz w:val="20"/>
          <w:szCs w:val="20"/>
          <w:lang w:val="en-GB"/>
        </w:rPr>
      </w:pPr>
    </w:p>
    <w:p w:rsidR="00913B15" w:rsidRPr="005D4748" w:rsidRDefault="00913B15" w:rsidP="005D4748">
      <w:pPr>
        <w:pStyle w:val="BodyTextIndent"/>
        <w:tabs>
          <w:tab w:val="left" w:pos="567"/>
        </w:tabs>
        <w:spacing w:after="0"/>
        <w:ind w:left="0"/>
        <w:rPr>
          <w:rFonts w:ascii="Arial" w:hAnsi="Arial" w:cs="Arial"/>
          <w:bCs/>
          <w:sz w:val="20"/>
          <w:szCs w:val="20"/>
          <w:lang w:val="en-GB"/>
        </w:rPr>
      </w:pPr>
      <w:r w:rsidRPr="005D4748">
        <w:rPr>
          <w:rFonts w:ascii="Arial" w:hAnsi="Arial" w:cs="Arial"/>
          <w:bCs/>
          <w:sz w:val="20"/>
          <w:szCs w:val="20"/>
          <w:lang w:val="en-GB"/>
        </w:rPr>
        <w:t>The current MTEF funding requirements and challenges of the entities include:</w:t>
      </w:r>
    </w:p>
    <w:tbl>
      <w:tblPr>
        <w:tblStyle w:val="TableGrid"/>
        <w:tblW w:w="0" w:type="auto"/>
        <w:tblLook w:val="04A0"/>
      </w:tblPr>
      <w:tblGrid>
        <w:gridCol w:w="2263"/>
        <w:gridCol w:w="6797"/>
      </w:tblGrid>
      <w:tr w:rsidR="00913B15" w:rsidRPr="005D4748" w:rsidTr="00913B15">
        <w:tc>
          <w:tcPr>
            <w:tcW w:w="2263" w:type="dxa"/>
            <w:shd w:val="clear" w:color="auto" w:fill="C6D9F1" w:themeFill="text2" w:themeFillTint="33"/>
          </w:tcPr>
          <w:p w:rsidR="00913B15" w:rsidRPr="005D4748" w:rsidRDefault="00913B15" w:rsidP="005D4748">
            <w:pPr>
              <w:pStyle w:val="BodyTextIndent"/>
              <w:tabs>
                <w:tab w:val="left" w:pos="567"/>
              </w:tabs>
              <w:spacing w:after="0"/>
              <w:ind w:left="0"/>
              <w:rPr>
                <w:rFonts w:ascii="Arial" w:hAnsi="Arial" w:cs="Arial"/>
                <w:b/>
                <w:bCs/>
                <w:sz w:val="20"/>
                <w:szCs w:val="20"/>
                <w:lang w:val="en-GB"/>
              </w:rPr>
            </w:pPr>
            <w:r w:rsidRPr="005D4748">
              <w:rPr>
                <w:rFonts w:ascii="Arial" w:hAnsi="Arial" w:cs="Arial"/>
                <w:b/>
                <w:bCs/>
                <w:sz w:val="20"/>
                <w:szCs w:val="20"/>
                <w:lang w:val="en-GB"/>
              </w:rPr>
              <w:t>Entity</w:t>
            </w:r>
          </w:p>
        </w:tc>
        <w:tc>
          <w:tcPr>
            <w:tcW w:w="6797" w:type="dxa"/>
            <w:shd w:val="clear" w:color="auto" w:fill="C6D9F1" w:themeFill="text2" w:themeFillTint="33"/>
          </w:tcPr>
          <w:p w:rsidR="00913B15" w:rsidRPr="005D4748" w:rsidRDefault="00913B15" w:rsidP="005D4748">
            <w:pPr>
              <w:pStyle w:val="BodyTextIndent"/>
              <w:tabs>
                <w:tab w:val="left" w:pos="567"/>
              </w:tabs>
              <w:spacing w:after="0"/>
              <w:ind w:left="0"/>
              <w:rPr>
                <w:rFonts w:ascii="Arial" w:hAnsi="Arial" w:cs="Arial"/>
                <w:b/>
                <w:bCs/>
                <w:sz w:val="20"/>
                <w:szCs w:val="20"/>
                <w:lang w:val="en-GB"/>
              </w:rPr>
            </w:pPr>
            <w:r w:rsidRPr="005D4748">
              <w:rPr>
                <w:rFonts w:ascii="Arial" w:hAnsi="Arial" w:cs="Arial"/>
                <w:b/>
                <w:bCs/>
                <w:sz w:val="20"/>
                <w:szCs w:val="20"/>
                <w:lang w:val="en-GB"/>
              </w:rPr>
              <w:t>Funding requirements / Pressures</w:t>
            </w:r>
          </w:p>
        </w:tc>
      </w:tr>
      <w:tr w:rsidR="00913B15" w:rsidRPr="005D4748" w:rsidTr="00913B15">
        <w:tc>
          <w:tcPr>
            <w:tcW w:w="2263" w:type="dxa"/>
            <w:vMerge w:val="restart"/>
          </w:tcPr>
          <w:p w:rsidR="00913B15" w:rsidRPr="005D4748" w:rsidRDefault="00913B15" w:rsidP="005D4748">
            <w:pPr>
              <w:pStyle w:val="BodyTextIndent"/>
              <w:tabs>
                <w:tab w:val="left" w:pos="567"/>
              </w:tabs>
              <w:spacing w:after="0"/>
              <w:ind w:left="0"/>
              <w:rPr>
                <w:rFonts w:ascii="Arial" w:hAnsi="Arial" w:cs="Arial"/>
                <w:b/>
                <w:bCs/>
                <w:sz w:val="20"/>
                <w:szCs w:val="20"/>
                <w:lang w:val="en-GB"/>
              </w:rPr>
            </w:pPr>
            <w:r w:rsidRPr="005D4748">
              <w:rPr>
                <w:rFonts w:ascii="Arial" w:hAnsi="Arial" w:cs="Arial"/>
                <w:b/>
                <w:bCs/>
                <w:sz w:val="20"/>
                <w:szCs w:val="20"/>
                <w:lang w:val="en-GB"/>
              </w:rPr>
              <w:t>CSIR</w:t>
            </w:r>
          </w:p>
        </w:tc>
        <w:tc>
          <w:tcPr>
            <w:tcW w:w="6797" w:type="dxa"/>
          </w:tcPr>
          <w:p w:rsidR="00913B15" w:rsidRPr="005D4748" w:rsidRDefault="00913B15" w:rsidP="005D4748">
            <w:pPr>
              <w:pStyle w:val="BodyTextIndent"/>
              <w:tabs>
                <w:tab w:val="left" w:pos="567"/>
              </w:tabs>
              <w:spacing w:after="0"/>
              <w:ind w:left="0"/>
              <w:rPr>
                <w:rFonts w:ascii="Arial" w:hAnsi="Arial" w:cs="Arial"/>
                <w:bCs/>
                <w:sz w:val="20"/>
                <w:szCs w:val="20"/>
                <w:lang w:val="en-GB"/>
              </w:rPr>
            </w:pPr>
            <w:r w:rsidRPr="005D4748">
              <w:rPr>
                <w:rFonts w:ascii="Arial" w:hAnsi="Arial" w:cs="Arial"/>
                <w:bCs/>
                <w:sz w:val="20"/>
                <w:szCs w:val="20"/>
              </w:rPr>
              <w:t>Funding required for the Capital Investment Plan</w:t>
            </w:r>
            <w:r w:rsidR="00332D38" w:rsidRPr="005D4748">
              <w:rPr>
                <w:rFonts w:ascii="Arial" w:hAnsi="Arial" w:cs="Arial"/>
                <w:bCs/>
                <w:sz w:val="20"/>
                <w:szCs w:val="20"/>
              </w:rPr>
              <w:t>.</w:t>
            </w:r>
          </w:p>
        </w:tc>
      </w:tr>
      <w:tr w:rsidR="00913B15" w:rsidRPr="005D4748" w:rsidTr="00913B15">
        <w:tc>
          <w:tcPr>
            <w:tcW w:w="2263" w:type="dxa"/>
            <w:vMerge/>
          </w:tcPr>
          <w:p w:rsidR="00913B15" w:rsidRPr="005D4748" w:rsidRDefault="00913B15" w:rsidP="005D4748">
            <w:pPr>
              <w:pStyle w:val="BodyTextIndent"/>
              <w:tabs>
                <w:tab w:val="left" w:pos="567"/>
              </w:tabs>
              <w:spacing w:after="0"/>
              <w:ind w:left="0"/>
              <w:rPr>
                <w:rFonts w:ascii="Arial" w:hAnsi="Arial" w:cs="Arial"/>
                <w:b/>
                <w:bCs/>
                <w:sz w:val="20"/>
                <w:szCs w:val="20"/>
                <w:lang w:val="en-GB"/>
              </w:rPr>
            </w:pPr>
          </w:p>
        </w:tc>
        <w:tc>
          <w:tcPr>
            <w:tcW w:w="6797" w:type="dxa"/>
          </w:tcPr>
          <w:p w:rsidR="00913B15" w:rsidRPr="005D4748" w:rsidRDefault="00913B15" w:rsidP="005D4748">
            <w:pPr>
              <w:pStyle w:val="BodyTextIndent"/>
              <w:tabs>
                <w:tab w:val="left" w:pos="567"/>
              </w:tabs>
              <w:spacing w:after="0"/>
              <w:ind w:left="0"/>
              <w:rPr>
                <w:rFonts w:ascii="Arial" w:hAnsi="Arial" w:cs="Arial"/>
                <w:bCs/>
                <w:sz w:val="20"/>
                <w:szCs w:val="20"/>
                <w:lang w:val="en-GB"/>
              </w:rPr>
            </w:pPr>
            <w:r w:rsidRPr="005D4748">
              <w:rPr>
                <w:rFonts w:ascii="Arial" w:hAnsi="Arial" w:cs="Arial"/>
                <w:bCs/>
                <w:sz w:val="20"/>
                <w:szCs w:val="20"/>
              </w:rPr>
              <w:t>The CSIR intends to establish a S</w:t>
            </w:r>
            <w:r w:rsidR="00332D38" w:rsidRPr="005D4748">
              <w:rPr>
                <w:rFonts w:ascii="Arial" w:hAnsi="Arial" w:cs="Arial"/>
                <w:bCs/>
                <w:sz w:val="20"/>
                <w:szCs w:val="20"/>
              </w:rPr>
              <w:t>eed</w:t>
            </w:r>
            <w:r w:rsidRPr="005D4748">
              <w:rPr>
                <w:rFonts w:ascii="Arial" w:hAnsi="Arial" w:cs="Arial"/>
                <w:bCs/>
                <w:sz w:val="20"/>
                <w:szCs w:val="20"/>
              </w:rPr>
              <w:t xml:space="preserve"> </w:t>
            </w:r>
            <w:r w:rsidR="00332D38" w:rsidRPr="005D4748">
              <w:rPr>
                <w:rFonts w:ascii="Arial" w:hAnsi="Arial" w:cs="Arial"/>
                <w:bCs/>
                <w:sz w:val="20"/>
                <w:szCs w:val="20"/>
              </w:rPr>
              <w:t>F</w:t>
            </w:r>
            <w:r w:rsidRPr="005D4748">
              <w:rPr>
                <w:rFonts w:ascii="Arial" w:hAnsi="Arial" w:cs="Arial"/>
                <w:bCs/>
                <w:sz w:val="20"/>
                <w:szCs w:val="20"/>
              </w:rPr>
              <w:t>und for the commercialisation of late stage technologies</w:t>
            </w:r>
            <w:r w:rsidR="00332D38" w:rsidRPr="005D4748">
              <w:rPr>
                <w:rFonts w:ascii="Arial" w:hAnsi="Arial" w:cs="Arial"/>
                <w:bCs/>
                <w:sz w:val="20"/>
                <w:szCs w:val="20"/>
              </w:rPr>
              <w:t xml:space="preserve">. </w:t>
            </w:r>
            <w:r w:rsidRPr="005D4748">
              <w:rPr>
                <w:rFonts w:ascii="Arial" w:hAnsi="Arial" w:cs="Arial"/>
                <w:bCs/>
                <w:sz w:val="20"/>
                <w:szCs w:val="20"/>
              </w:rPr>
              <w:t>Total investment required over the medium-term amounts to R1</w:t>
            </w:r>
            <w:r w:rsidR="00332D38" w:rsidRPr="005D4748">
              <w:rPr>
                <w:rFonts w:ascii="Arial" w:hAnsi="Arial" w:cs="Arial"/>
                <w:bCs/>
                <w:sz w:val="20"/>
                <w:szCs w:val="20"/>
              </w:rPr>
              <w:t>.</w:t>
            </w:r>
            <w:r w:rsidRPr="005D4748">
              <w:rPr>
                <w:rFonts w:ascii="Arial" w:hAnsi="Arial" w:cs="Arial"/>
                <w:bCs/>
                <w:sz w:val="20"/>
                <w:szCs w:val="20"/>
              </w:rPr>
              <w:t>2 billion.</w:t>
            </w:r>
          </w:p>
        </w:tc>
      </w:tr>
      <w:tr w:rsidR="00913B15" w:rsidRPr="005D4748" w:rsidTr="00913B15">
        <w:tc>
          <w:tcPr>
            <w:tcW w:w="2263" w:type="dxa"/>
            <w:vMerge w:val="restart"/>
          </w:tcPr>
          <w:p w:rsidR="00913B15" w:rsidRPr="005D4748" w:rsidRDefault="00913B15" w:rsidP="005D4748">
            <w:pPr>
              <w:pStyle w:val="BodyTextIndent"/>
              <w:tabs>
                <w:tab w:val="left" w:pos="567"/>
              </w:tabs>
              <w:spacing w:after="0"/>
              <w:ind w:left="0"/>
              <w:rPr>
                <w:rFonts w:ascii="Arial" w:hAnsi="Arial" w:cs="Arial"/>
                <w:b/>
                <w:bCs/>
                <w:sz w:val="20"/>
                <w:szCs w:val="20"/>
                <w:lang w:val="en-GB"/>
              </w:rPr>
            </w:pPr>
            <w:r w:rsidRPr="005D4748">
              <w:rPr>
                <w:rFonts w:ascii="Arial" w:hAnsi="Arial" w:cs="Arial"/>
                <w:b/>
                <w:bCs/>
                <w:sz w:val="20"/>
                <w:szCs w:val="20"/>
                <w:lang w:val="en-GB"/>
              </w:rPr>
              <w:t>HSRC</w:t>
            </w:r>
          </w:p>
        </w:tc>
        <w:tc>
          <w:tcPr>
            <w:tcW w:w="6797" w:type="dxa"/>
          </w:tcPr>
          <w:p w:rsidR="00913B15" w:rsidRPr="005D4748" w:rsidRDefault="00332D38" w:rsidP="005D4748">
            <w:pPr>
              <w:pStyle w:val="BodyTextIndent"/>
              <w:tabs>
                <w:tab w:val="left" w:pos="567"/>
              </w:tabs>
              <w:spacing w:after="0"/>
              <w:ind w:left="0"/>
              <w:rPr>
                <w:rFonts w:ascii="Arial" w:hAnsi="Arial" w:cs="Arial"/>
                <w:bCs/>
                <w:sz w:val="20"/>
                <w:szCs w:val="20"/>
                <w:lang w:val="en-GB"/>
              </w:rPr>
            </w:pPr>
            <w:r w:rsidRPr="005D4748">
              <w:rPr>
                <w:rFonts w:ascii="Arial" w:hAnsi="Arial" w:cs="Arial"/>
                <w:bCs/>
                <w:sz w:val="20"/>
                <w:szCs w:val="20"/>
              </w:rPr>
              <w:t>Baseline allocation over the 2023 MTEF is not inflation related/linked. The entity is likely to have budget shortfalls on staff costs.</w:t>
            </w:r>
          </w:p>
        </w:tc>
      </w:tr>
      <w:tr w:rsidR="00913B15" w:rsidRPr="005D4748" w:rsidTr="00913B15">
        <w:tc>
          <w:tcPr>
            <w:tcW w:w="2263" w:type="dxa"/>
            <w:vMerge/>
          </w:tcPr>
          <w:p w:rsidR="00913B15" w:rsidRPr="005D4748" w:rsidRDefault="00913B15" w:rsidP="005D4748">
            <w:pPr>
              <w:pStyle w:val="BodyTextIndent"/>
              <w:tabs>
                <w:tab w:val="left" w:pos="567"/>
              </w:tabs>
              <w:spacing w:after="0"/>
              <w:ind w:left="0"/>
              <w:rPr>
                <w:rFonts w:ascii="Arial" w:hAnsi="Arial" w:cs="Arial"/>
                <w:b/>
                <w:bCs/>
                <w:sz w:val="20"/>
                <w:szCs w:val="20"/>
                <w:lang w:val="en-GB"/>
              </w:rPr>
            </w:pPr>
          </w:p>
        </w:tc>
        <w:tc>
          <w:tcPr>
            <w:tcW w:w="6797" w:type="dxa"/>
          </w:tcPr>
          <w:p w:rsidR="00913B15" w:rsidRPr="005D4748" w:rsidRDefault="00332D38" w:rsidP="005D4748">
            <w:pPr>
              <w:pStyle w:val="BodyTextIndent"/>
              <w:tabs>
                <w:tab w:val="left" w:pos="567"/>
              </w:tabs>
              <w:spacing w:after="0"/>
              <w:ind w:left="0"/>
              <w:rPr>
                <w:rFonts w:ascii="Arial" w:hAnsi="Arial" w:cs="Arial"/>
                <w:bCs/>
                <w:sz w:val="20"/>
                <w:szCs w:val="20"/>
                <w:lang w:val="en-GB"/>
              </w:rPr>
            </w:pPr>
            <w:r w:rsidRPr="005D4748">
              <w:rPr>
                <w:rFonts w:ascii="Arial" w:hAnsi="Arial" w:cs="Arial"/>
                <w:bCs/>
                <w:sz w:val="20"/>
                <w:szCs w:val="20"/>
              </w:rPr>
              <w:t>Additional funding is required to augment the current budget programme structure.</w:t>
            </w:r>
          </w:p>
        </w:tc>
      </w:tr>
      <w:tr w:rsidR="00913B15" w:rsidRPr="005D4748" w:rsidTr="00913B15">
        <w:tc>
          <w:tcPr>
            <w:tcW w:w="2263" w:type="dxa"/>
            <w:vMerge/>
          </w:tcPr>
          <w:p w:rsidR="00913B15" w:rsidRPr="005D4748" w:rsidRDefault="00913B15" w:rsidP="005D4748">
            <w:pPr>
              <w:pStyle w:val="BodyTextIndent"/>
              <w:tabs>
                <w:tab w:val="left" w:pos="567"/>
              </w:tabs>
              <w:spacing w:after="0"/>
              <w:ind w:left="0"/>
              <w:rPr>
                <w:rFonts w:ascii="Arial" w:hAnsi="Arial" w:cs="Arial"/>
                <w:b/>
                <w:bCs/>
                <w:sz w:val="20"/>
                <w:szCs w:val="20"/>
                <w:lang w:val="en-GB"/>
              </w:rPr>
            </w:pPr>
          </w:p>
        </w:tc>
        <w:tc>
          <w:tcPr>
            <w:tcW w:w="6797" w:type="dxa"/>
          </w:tcPr>
          <w:p w:rsidR="00913B15" w:rsidRPr="005D4748" w:rsidRDefault="00332D38" w:rsidP="005D4748">
            <w:pPr>
              <w:pStyle w:val="BodyTextIndent"/>
              <w:tabs>
                <w:tab w:val="left" w:pos="567"/>
              </w:tabs>
              <w:spacing w:after="0"/>
              <w:ind w:left="0"/>
              <w:rPr>
                <w:rFonts w:ascii="Arial" w:hAnsi="Arial" w:cs="Arial"/>
                <w:bCs/>
                <w:sz w:val="20"/>
                <w:szCs w:val="20"/>
                <w:lang w:val="en-GB"/>
              </w:rPr>
            </w:pPr>
            <w:r w:rsidRPr="005D4748">
              <w:rPr>
                <w:rFonts w:ascii="Arial" w:hAnsi="Arial" w:cs="Arial"/>
                <w:bCs/>
                <w:sz w:val="20"/>
                <w:szCs w:val="20"/>
              </w:rPr>
              <w:t xml:space="preserve">No Capex budget (based on replacement time). The </w:t>
            </w:r>
            <w:r w:rsidR="00095D02" w:rsidRPr="005D4748">
              <w:rPr>
                <w:rFonts w:ascii="Arial" w:hAnsi="Arial" w:cs="Arial"/>
                <w:bCs/>
                <w:sz w:val="20"/>
                <w:szCs w:val="20"/>
              </w:rPr>
              <w:t>majority of assets is</w:t>
            </w:r>
            <w:r w:rsidRPr="005D4748">
              <w:rPr>
                <w:rFonts w:ascii="Arial" w:hAnsi="Arial" w:cs="Arial"/>
                <w:bCs/>
                <w:sz w:val="20"/>
                <w:szCs w:val="20"/>
              </w:rPr>
              <w:t xml:space="preserve"> fully depreciated and should be replaced over the medium-term.</w:t>
            </w:r>
          </w:p>
        </w:tc>
      </w:tr>
      <w:tr w:rsidR="00913B15" w:rsidRPr="005D4748" w:rsidTr="00913B15">
        <w:tc>
          <w:tcPr>
            <w:tcW w:w="2263" w:type="dxa"/>
            <w:vMerge/>
          </w:tcPr>
          <w:p w:rsidR="00913B15" w:rsidRPr="005D4748" w:rsidRDefault="00913B15" w:rsidP="005D4748">
            <w:pPr>
              <w:pStyle w:val="BodyTextIndent"/>
              <w:tabs>
                <w:tab w:val="left" w:pos="567"/>
              </w:tabs>
              <w:spacing w:after="0"/>
              <w:ind w:left="0"/>
              <w:rPr>
                <w:rFonts w:ascii="Arial" w:hAnsi="Arial" w:cs="Arial"/>
                <w:b/>
                <w:bCs/>
                <w:sz w:val="20"/>
                <w:szCs w:val="20"/>
                <w:lang w:val="en-GB"/>
              </w:rPr>
            </w:pPr>
          </w:p>
        </w:tc>
        <w:tc>
          <w:tcPr>
            <w:tcW w:w="6797" w:type="dxa"/>
          </w:tcPr>
          <w:p w:rsidR="00913B15" w:rsidRPr="005D4748" w:rsidRDefault="00095D02" w:rsidP="005D4748">
            <w:pPr>
              <w:pStyle w:val="BodyTextIndent"/>
              <w:tabs>
                <w:tab w:val="left" w:pos="567"/>
              </w:tabs>
              <w:spacing w:after="0"/>
              <w:ind w:left="0"/>
              <w:rPr>
                <w:rFonts w:ascii="Arial" w:hAnsi="Arial" w:cs="Arial"/>
                <w:bCs/>
                <w:sz w:val="20"/>
                <w:szCs w:val="20"/>
                <w:lang w:val="en-GB"/>
              </w:rPr>
            </w:pPr>
            <w:r w:rsidRPr="005D4748">
              <w:rPr>
                <w:rFonts w:ascii="Arial" w:hAnsi="Arial" w:cs="Arial"/>
                <w:bCs/>
                <w:sz w:val="20"/>
                <w:szCs w:val="20"/>
              </w:rPr>
              <w:t>The HSRC building is aging and there is a need to fund the maintenance plan. Preventative maintenance will cost R10 million.</w:t>
            </w:r>
          </w:p>
        </w:tc>
      </w:tr>
      <w:tr w:rsidR="00913B15" w:rsidRPr="005D4748" w:rsidTr="00913B15">
        <w:tc>
          <w:tcPr>
            <w:tcW w:w="2263" w:type="dxa"/>
          </w:tcPr>
          <w:p w:rsidR="00913B15" w:rsidRPr="005D4748" w:rsidRDefault="00913B15" w:rsidP="005D4748">
            <w:pPr>
              <w:pStyle w:val="BodyTextIndent"/>
              <w:tabs>
                <w:tab w:val="left" w:pos="567"/>
              </w:tabs>
              <w:spacing w:after="0"/>
              <w:ind w:left="0"/>
              <w:rPr>
                <w:rFonts w:ascii="Arial" w:hAnsi="Arial" w:cs="Arial"/>
                <w:b/>
                <w:bCs/>
                <w:sz w:val="20"/>
                <w:szCs w:val="20"/>
                <w:lang w:val="en-GB"/>
              </w:rPr>
            </w:pPr>
            <w:r w:rsidRPr="005D4748">
              <w:rPr>
                <w:rFonts w:ascii="Arial" w:hAnsi="Arial" w:cs="Arial"/>
                <w:b/>
                <w:bCs/>
                <w:sz w:val="20"/>
                <w:szCs w:val="20"/>
                <w:lang w:val="en-GB"/>
              </w:rPr>
              <w:t>NRF</w:t>
            </w:r>
          </w:p>
        </w:tc>
        <w:tc>
          <w:tcPr>
            <w:tcW w:w="6797" w:type="dxa"/>
          </w:tcPr>
          <w:p w:rsidR="00913B15" w:rsidRPr="005D4748" w:rsidRDefault="00095D02" w:rsidP="005D4748">
            <w:pPr>
              <w:pStyle w:val="BodyTextIndent"/>
              <w:tabs>
                <w:tab w:val="left" w:pos="567"/>
              </w:tabs>
              <w:spacing w:after="0"/>
              <w:ind w:left="0"/>
              <w:rPr>
                <w:rFonts w:ascii="Arial" w:hAnsi="Arial" w:cs="Arial"/>
                <w:bCs/>
                <w:sz w:val="20"/>
                <w:szCs w:val="20"/>
                <w:lang w:val="en-GB"/>
              </w:rPr>
            </w:pPr>
            <w:r w:rsidRPr="005D4748">
              <w:rPr>
                <w:rFonts w:ascii="Arial" w:hAnsi="Arial" w:cs="Arial"/>
                <w:bCs/>
                <w:sz w:val="20"/>
                <w:szCs w:val="20"/>
                <w:lang w:val="en-GB"/>
              </w:rPr>
              <w:t>R7 billion is needed over the medium-term for established funding instruments/programmes - where additional funding could enhance the impact of these programmes, or for newly developed instruments, which have not yet been funded.</w:t>
            </w:r>
          </w:p>
        </w:tc>
      </w:tr>
      <w:tr w:rsidR="00913B15" w:rsidRPr="005D4748" w:rsidTr="00913B15">
        <w:tc>
          <w:tcPr>
            <w:tcW w:w="2263" w:type="dxa"/>
            <w:vMerge w:val="restart"/>
          </w:tcPr>
          <w:p w:rsidR="00913B15" w:rsidRPr="005D4748" w:rsidRDefault="00913B15" w:rsidP="005D4748">
            <w:pPr>
              <w:pStyle w:val="BodyTextIndent"/>
              <w:tabs>
                <w:tab w:val="left" w:pos="567"/>
              </w:tabs>
              <w:spacing w:after="0"/>
              <w:ind w:left="0"/>
              <w:rPr>
                <w:rFonts w:ascii="Arial" w:hAnsi="Arial" w:cs="Arial"/>
                <w:b/>
                <w:bCs/>
                <w:sz w:val="20"/>
                <w:szCs w:val="20"/>
                <w:lang w:val="en-GB"/>
              </w:rPr>
            </w:pPr>
            <w:r w:rsidRPr="005D4748">
              <w:rPr>
                <w:rFonts w:ascii="Arial" w:hAnsi="Arial" w:cs="Arial"/>
                <w:b/>
                <w:bCs/>
                <w:sz w:val="20"/>
                <w:szCs w:val="20"/>
                <w:lang w:val="en-GB"/>
              </w:rPr>
              <w:t>SANSA</w:t>
            </w:r>
          </w:p>
        </w:tc>
        <w:tc>
          <w:tcPr>
            <w:tcW w:w="6797" w:type="dxa"/>
          </w:tcPr>
          <w:p w:rsidR="00913B15" w:rsidRPr="005D4748" w:rsidRDefault="00B50ABE" w:rsidP="005D4748">
            <w:pPr>
              <w:pStyle w:val="BodyTextIndent"/>
              <w:tabs>
                <w:tab w:val="left" w:pos="567"/>
              </w:tabs>
              <w:spacing w:after="0"/>
              <w:ind w:left="0"/>
              <w:rPr>
                <w:rFonts w:ascii="Arial" w:hAnsi="Arial" w:cs="Arial"/>
                <w:bCs/>
                <w:sz w:val="20"/>
                <w:szCs w:val="20"/>
                <w:lang w:val="en-GB"/>
              </w:rPr>
            </w:pPr>
            <w:r w:rsidRPr="005D4748">
              <w:rPr>
                <w:rFonts w:ascii="Arial" w:hAnsi="Arial" w:cs="Arial"/>
                <w:bCs/>
                <w:sz w:val="20"/>
                <w:szCs w:val="20"/>
                <w:lang w:val="en-GB"/>
              </w:rPr>
              <w:t>The b</w:t>
            </w:r>
            <w:r w:rsidR="00072A7D" w:rsidRPr="005D4748">
              <w:rPr>
                <w:rFonts w:ascii="Arial" w:hAnsi="Arial" w:cs="Arial"/>
                <w:bCs/>
                <w:sz w:val="20"/>
                <w:szCs w:val="20"/>
                <w:lang w:val="en-GB"/>
              </w:rPr>
              <w:t xml:space="preserve">aseline allocation falls short of the funding required to fulfil </w:t>
            </w:r>
            <w:r w:rsidRPr="005D4748">
              <w:rPr>
                <w:rFonts w:ascii="Arial" w:hAnsi="Arial" w:cs="Arial"/>
                <w:bCs/>
                <w:sz w:val="20"/>
                <w:szCs w:val="20"/>
                <w:lang w:val="en-GB"/>
              </w:rPr>
              <w:t xml:space="preserve">the </w:t>
            </w:r>
            <w:r w:rsidR="00072A7D" w:rsidRPr="005D4748">
              <w:rPr>
                <w:rFonts w:ascii="Arial" w:hAnsi="Arial" w:cs="Arial"/>
                <w:bCs/>
                <w:sz w:val="20"/>
                <w:szCs w:val="20"/>
                <w:lang w:val="en-GB"/>
              </w:rPr>
              <w:t>mandate adequately, operate some sites and meet staff costs.</w:t>
            </w:r>
          </w:p>
        </w:tc>
      </w:tr>
      <w:tr w:rsidR="00913B15" w:rsidRPr="005D4748" w:rsidTr="00913B15">
        <w:tc>
          <w:tcPr>
            <w:tcW w:w="2263" w:type="dxa"/>
            <w:vMerge/>
          </w:tcPr>
          <w:p w:rsidR="00913B15" w:rsidRPr="005D4748" w:rsidRDefault="00913B15" w:rsidP="005D4748">
            <w:pPr>
              <w:pStyle w:val="BodyTextIndent"/>
              <w:tabs>
                <w:tab w:val="left" w:pos="567"/>
              </w:tabs>
              <w:spacing w:after="0"/>
              <w:ind w:left="0"/>
              <w:rPr>
                <w:rFonts w:ascii="Arial" w:hAnsi="Arial" w:cs="Arial"/>
                <w:b/>
                <w:bCs/>
                <w:sz w:val="20"/>
                <w:szCs w:val="20"/>
                <w:lang w:val="en-GB"/>
              </w:rPr>
            </w:pPr>
          </w:p>
        </w:tc>
        <w:tc>
          <w:tcPr>
            <w:tcW w:w="6797" w:type="dxa"/>
          </w:tcPr>
          <w:p w:rsidR="00913B15" w:rsidRPr="005D4748" w:rsidRDefault="00710B2E" w:rsidP="005D4748">
            <w:pPr>
              <w:pStyle w:val="BodyTextIndent"/>
              <w:tabs>
                <w:tab w:val="left" w:pos="567"/>
              </w:tabs>
              <w:spacing w:after="0"/>
              <w:ind w:left="0"/>
              <w:rPr>
                <w:rFonts w:ascii="Arial" w:hAnsi="Arial" w:cs="Arial"/>
                <w:bCs/>
                <w:sz w:val="20"/>
                <w:szCs w:val="20"/>
                <w:lang w:val="en-GB"/>
              </w:rPr>
            </w:pPr>
            <w:r w:rsidRPr="005D4748">
              <w:rPr>
                <w:rFonts w:ascii="Arial" w:hAnsi="Arial" w:cs="Arial"/>
                <w:bCs/>
                <w:sz w:val="20"/>
                <w:szCs w:val="20"/>
                <w:lang w:val="en-GB"/>
              </w:rPr>
              <w:t>Budgeting for core programmes is a challenge due to funding constraints.</w:t>
            </w:r>
          </w:p>
        </w:tc>
      </w:tr>
      <w:tr w:rsidR="00913B15" w:rsidRPr="005D4748" w:rsidTr="00913B15">
        <w:tc>
          <w:tcPr>
            <w:tcW w:w="2263" w:type="dxa"/>
            <w:vMerge/>
          </w:tcPr>
          <w:p w:rsidR="00913B15" w:rsidRPr="005D4748" w:rsidRDefault="00913B15" w:rsidP="005D4748">
            <w:pPr>
              <w:pStyle w:val="BodyTextIndent"/>
              <w:tabs>
                <w:tab w:val="left" w:pos="567"/>
              </w:tabs>
              <w:spacing w:after="0"/>
              <w:ind w:left="0"/>
              <w:rPr>
                <w:rFonts w:ascii="Arial" w:hAnsi="Arial" w:cs="Arial"/>
                <w:b/>
                <w:bCs/>
                <w:sz w:val="20"/>
                <w:szCs w:val="20"/>
                <w:lang w:val="en-GB"/>
              </w:rPr>
            </w:pPr>
          </w:p>
        </w:tc>
        <w:tc>
          <w:tcPr>
            <w:tcW w:w="6797" w:type="dxa"/>
          </w:tcPr>
          <w:p w:rsidR="00913B15" w:rsidRPr="005D4748" w:rsidRDefault="00710B2E" w:rsidP="005D4748">
            <w:pPr>
              <w:pStyle w:val="BodyTextIndent"/>
              <w:tabs>
                <w:tab w:val="left" w:pos="567"/>
              </w:tabs>
              <w:spacing w:after="0"/>
              <w:ind w:left="0"/>
              <w:rPr>
                <w:rFonts w:ascii="Arial" w:hAnsi="Arial" w:cs="Arial"/>
                <w:bCs/>
                <w:sz w:val="20"/>
                <w:szCs w:val="20"/>
                <w:lang w:val="en-GB"/>
              </w:rPr>
            </w:pPr>
            <w:r w:rsidRPr="005D4748">
              <w:rPr>
                <w:rFonts w:ascii="Arial" w:hAnsi="Arial" w:cs="Arial"/>
                <w:bCs/>
                <w:sz w:val="20"/>
                <w:szCs w:val="20"/>
                <w:lang w:val="en-GB"/>
              </w:rPr>
              <w:t>Cost of compliance as a Schedule 3A listed Public Entity in terms of the PFMA is substantial.</w:t>
            </w:r>
          </w:p>
        </w:tc>
      </w:tr>
      <w:tr w:rsidR="00913B15" w:rsidRPr="005D4748" w:rsidTr="00913B15">
        <w:tc>
          <w:tcPr>
            <w:tcW w:w="2263" w:type="dxa"/>
            <w:vMerge w:val="restart"/>
          </w:tcPr>
          <w:p w:rsidR="00913B15" w:rsidRPr="005D4748" w:rsidRDefault="00913B15" w:rsidP="005D4748">
            <w:pPr>
              <w:pStyle w:val="BodyTextIndent"/>
              <w:tabs>
                <w:tab w:val="left" w:pos="567"/>
              </w:tabs>
              <w:spacing w:after="0"/>
              <w:ind w:left="0"/>
              <w:rPr>
                <w:rFonts w:ascii="Arial" w:hAnsi="Arial" w:cs="Arial"/>
                <w:b/>
                <w:bCs/>
                <w:sz w:val="20"/>
                <w:szCs w:val="20"/>
                <w:lang w:val="en-GB"/>
              </w:rPr>
            </w:pPr>
            <w:r w:rsidRPr="005D4748">
              <w:rPr>
                <w:rFonts w:ascii="Arial" w:hAnsi="Arial" w:cs="Arial"/>
                <w:b/>
                <w:bCs/>
                <w:sz w:val="20"/>
                <w:szCs w:val="20"/>
                <w:lang w:val="en-GB"/>
              </w:rPr>
              <w:t>TIA</w:t>
            </w:r>
          </w:p>
        </w:tc>
        <w:tc>
          <w:tcPr>
            <w:tcW w:w="6797" w:type="dxa"/>
          </w:tcPr>
          <w:p w:rsidR="00913B15" w:rsidRPr="005D4748" w:rsidRDefault="00710B2E" w:rsidP="005D4748">
            <w:pPr>
              <w:pStyle w:val="BodyTextIndent"/>
              <w:tabs>
                <w:tab w:val="left" w:pos="567"/>
              </w:tabs>
              <w:spacing w:after="0"/>
              <w:ind w:left="0"/>
              <w:rPr>
                <w:rFonts w:ascii="Arial" w:hAnsi="Arial" w:cs="Arial"/>
                <w:bCs/>
                <w:sz w:val="20"/>
                <w:szCs w:val="20"/>
                <w:lang w:val="en-GB"/>
              </w:rPr>
            </w:pPr>
            <w:r w:rsidRPr="005D4748">
              <w:rPr>
                <w:rFonts w:ascii="Arial" w:hAnsi="Arial" w:cs="Arial"/>
                <w:bCs/>
                <w:sz w:val="20"/>
                <w:szCs w:val="20"/>
                <w:lang w:val="en-GB"/>
              </w:rPr>
              <w:t>Current funding levels remain largely inadequate for fulfilling the mandate effectively.</w:t>
            </w:r>
          </w:p>
        </w:tc>
      </w:tr>
      <w:tr w:rsidR="00913B15" w:rsidRPr="005D4748" w:rsidTr="00913B15">
        <w:tc>
          <w:tcPr>
            <w:tcW w:w="2263" w:type="dxa"/>
            <w:vMerge/>
          </w:tcPr>
          <w:p w:rsidR="00913B15" w:rsidRPr="005D4748" w:rsidRDefault="00913B15" w:rsidP="005D4748">
            <w:pPr>
              <w:pStyle w:val="BodyTextIndent"/>
              <w:tabs>
                <w:tab w:val="left" w:pos="567"/>
              </w:tabs>
              <w:spacing w:after="0"/>
              <w:ind w:left="0"/>
              <w:rPr>
                <w:rFonts w:ascii="Arial" w:hAnsi="Arial" w:cs="Arial"/>
                <w:b/>
                <w:bCs/>
                <w:sz w:val="20"/>
                <w:szCs w:val="20"/>
                <w:lang w:val="en-GB"/>
              </w:rPr>
            </w:pPr>
          </w:p>
        </w:tc>
        <w:tc>
          <w:tcPr>
            <w:tcW w:w="6797" w:type="dxa"/>
          </w:tcPr>
          <w:p w:rsidR="00913B15" w:rsidRPr="005D4748" w:rsidRDefault="00710B2E" w:rsidP="005D4748">
            <w:pPr>
              <w:pStyle w:val="BodyTextIndent"/>
              <w:tabs>
                <w:tab w:val="left" w:pos="567"/>
              </w:tabs>
              <w:spacing w:after="0"/>
              <w:ind w:left="0"/>
              <w:rPr>
                <w:rFonts w:ascii="Arial" w:hAnsi="Arial" w:cs="Arial"/>
                <w:bCs/>
                <w:sz w:val="20"/>
                <w:szCs w:val="20"/>
                <w:lang w:val="en-GB"/>
              </w:rPr>
            </w:pPr>
            <w:r w:rsidRPr="005D4748">
              <w:rPr>
                <w:rFonts w:ascii="Arial" w:hAnsi="Arial" w:cs="Arial"/>
                <w:bCs/>
                <w:sz w:val="20"/>
                <w:szCs w:val="20"/>
                <w:lang w:val="en-GB"/>
              </w:rPr>
              <w:t>Funding pressure continues to exist in relation to funds available for operational needs (no inflationary increases incorporated into the baseline allocation over the 2023 MTEF).</w:t>
            </w:r>
          </w:p>
        </w:tc>
      </w:tr>
      <w:tr w:rsidR="00913B15" w:rsidRPr="005D4748" w:rsidTr="00913B15">
        <w:tc>
          <w:tcPr>
            <w:tcW w:w="2263" w:type="dxa"/>
            <w:vMerge/>
          </w:tcPr>
          <w:p w:rsidR="00913B15" w:rsidRPr="005D4748" w:rsidRDefault="00913B15" w:rsidP="005D4748">
            <w:pPr>
              <w:pStyle w:val="BodyTextIndent"/>
              <w:tabs>
                <w:tab w:val="left" w:pos="567"/>
              </w:tabs>
              <w:spacing w:after="0"/>
              <w:ind w:left="0"/>
              <w:rPr>
                <w:rFonts w:ascii="Arial" w:hAnsi="Arial" w:cs="Arial"/>
                <w:b/>
                <w:bCs/>
                <w:sz w:val="20"/>
                <w:szCs w:val="20"/>
                <w:lang w:val="en-GB"/>
              </w:rPr>
            </w:pPr>
          </w:p>
        </w:tc>
        <w:tc>
          <w:tcPr>
            <w:tcW w:w="6797" w:type="dxa"/>
          </w:tcPr>
          <w:p w:rsidR="00913B15" w:rsidRPr="005D4748" w:rsidRDefault="00710B2E" w:rsidP="005D4748">
            <w:pPr>
              <w:pStyle w:val="BodyTextIndent"/>
              <w:tabs>
                <w:tab w:val="left" w:pos="567"/>
              </w:tabs>
              <w:spacing w:after="0"/>
              <w:ind w:left="0"/>
              <w:rPr>
                <w:rFonts w:ascii="Arial" w:hAnsi="Arial" w:cs="Arial"/>
                <w:bCs/>
                <w:sz w:val="20"/>
                <w:szCs w:val="20"/>
                <w:lang w:val="en-GB"/>
              </w:rPr>
            </w:pPr>
            <w:r w:rsidRPr="005D4748">
              <w:rPr>
                <w:rFonts w:ascii="Arial" w:hAnsi="Arial" w:cs="Arial"/>
                <w:bCs/>
                <w:sz w:val="20"/>
                <w:szCs w:val="20"/>
                <w:lang w:val="en-GB"/>
              </w:rPr>
              <w:t>Funding of R575 million needed for the Seed Fund (an instrument that has created significant impact within the system).</w:t>
            </w:r>
          </w:p>
        </w:tc>
      </w:tr>
    </w:tbl>
    <w:p w:rsidR="00913B15" w:rsidRPr="005D4748" w:rsidRDefault="00913B15" w:rsidP="005D4748">
      <w:pPr>
        <w:pStyle w:val="BodyTextIndent"/>
        <w:tabs>
          <w:tab w:val="left" w:pos="567"/>
        </w:tabs>
        <w:spacing w:after="0"/>
        <w:ind w:left="0"/>
        <w:rPr>
          <w:rFonts w:ascii="Arial" w:hAnsi="Arial" w:cs="Arial"/>
          <w:bCs/>
          <w:sz w:val="20"/>
          <w:szCs w:val="20"/>
          <w:lang w:val="en-GB"/>
        </w:rPr>
      </w:pPr>
    </w:p>
    <w:p w:rsidR="0091126C" w:rsidRPr="005D4748" w:rsidRDefault="00E86FB6" w:rsidP="005D4748">
      <w:pPr>
        <w:pStyle w:val="BodyTextIndent"/>
        <w:tabs>
          <w:tab w:val="left" w:pos="567"/>
        </w:tabs>
        <w:spacing w:after="0"/>
        <w:ind w:left="0"/>
        <w:rPr>
          <w:rFonts w:ascii="Arial" w:hAnsi="Arial" w:cs="Arial"/>
          <w:bCs/>
          <w:sz w:val="20"/>
          <w:szCs w:val="20"/>
          <w:lang w:val="en-GB"/>
        </w:rPr>
      </w:pPr>
      <w:r w:rsidRPr="005D4748">
        <w:rPr>
          <w:rFonts w:ascii="Arial" w:hAnsi="Arial" w:cs="Arial"/>
          <w:bCs/>
          <w:sz w:val="20"/>
          <w:szCs w:val="20"/>
          <w:lang w:val="en-GB"/>
        </w:rPr>
        <w:t>Overall, the Department with its entities have shown that they can, to a significant degree, spend their allocated budget and achieve their performance targets.</w:t>
      </w:r>
      <w:r w:rsidR="00115C36" w:rsidRPr="005D4748">
        <w:rPr>
          <w:rFonts w:ascii="Arial" w:hAnsi="Arial" w:cs="Arial"/>
          <w:bCs/>
          <w:sz w:val="20"/>
          <w:szCs w:val="20"/>
          <w:lang w:val="en-GB"/>
        </w:rPr>
        <w:t xml:space="preserve"> However, </w:t>
      </w:r>
      <w:r w:rsidR="0016635D" w:rsidRPr="005D4748">
        <w:rPr>
          <w:rFonts w:ascii="Arial" w:hAnsi="Arial" w:cs="Arial"/>
          <w:bCs/>
          <w:sz w:val="20"/>
          <w:szCs w:val="20"/>
          <w:lang w:val="en-GB"/>
        </w:rPr>
        <w:t>the lack of coherence and collaboration within the NSI and the</w:t>
      </w:r>
      <w:r w:rsidR="00115C36" w:rsidRPr="005D4748">
        <w:rPr>
          <w:rFonts w:ascii="Arial" w:hAnsi="Arial" w:cs="Arial"/>
          <w:bCs/>
          <w:sz w:val="20"/>
          <w:szCs w:val="20"/>
          <w:lang w:val="en-GB"/>
        </w:rPr>
        <w:t xml:space="preserve"> current funding </w:t>
      </w:r>
      <w:r w:rsidR="0016635D" w:rsidRPr="005D4748">
        <w:rPr>
          <w:rFonts w:ascii="Arial" w:hAnsi="Arial" w:cs="Arial"/>
          <w:bCs/>
          <w:sz w:val="20"/>
          <w:szCs w:val="20"/>
          <w:lang w:val="en-GB"/>
        </w:rPr>
        <w:t>and capacity constraints</w:t>
      </w:r>
      <w:r w:rsidR="0091126C" w:rsidRPr="005D4748">
        <w:rPr>
          <w:rFonts w:ascii="Arial" w:hAnsi="Arial" w:cs="Arial"/>
          <w:bCs/>
          <w:sz w:val="20"/>
          <w:szCs w:val="20"/>
          <w:lang w:val="en-GB"/>
        </w:rPr>
        <w:t xml:space="preserve"> will continue to hamper the realisation of the desi</w:t>
      </w:r>
      <w:r w:rsidR="00115C36" w:rsidRPr="005D4748">
        <w:rPr>
          <w:rFonts w:ascii="Arial" w:hAnsi="Arial" w:cs="Arial"/>
          <w:bCs/>
          <w:sz w:val="20"/>
          <w:szCs w:val="20"/>
          <w:lang w:val="en-GB"/>
        </w:rPr>
        <w:t xml:space="preserve">red </w:t>
      </w:r>
      <w:r w:rsidR="0016635D" w:rsidRPr="005D4748">
        <w:rPr>
          <w:rFonts w:ascii="Arial" w:hAnsi="Arial" w:cs="Arial"/>
          <w:bCs/>
          <w:sz w:val="20"/>
          <w:szCs w:val="20"/>
          <w:lang w:val="en-GB"/>
        </w:rPr>
        <w:t>vision of a “whole-of-government approach” to innovation to ensure that greater and inclusive well-being and prosperity is derived through STI</w:t>
      </w:r>
      <w:r w:rsidR="0091126C" w:rsidRPr="005D4748">
        <w:rPr>
          <w:rFonts w:ascii="Arial" w:hAnsi="Arial" w:cs="Arial"/>
          <w:bCs/>
          <w:sz w:val="20"/>
          <w:szCs w:val="20"/>
          <w:lang w:val="en-GB"/>
        </w:rPr>
        <w:t>.</w:t>
      </w:r>
    </w:p>
    <w:p w:rsidR="00D3658A" w:rsidRPr="005D4748" w:rsidRDefault="00D3658A" w:rsidP="005D4748">
      <w:pPr>
        <w:pStyle w:val="BodyTextIndent"/>
        <w:tabs>
          <w:tab w:val="left" w:pos="567"/>
        </w:tabs>
        <w:spacing w:after="0"/>
        <w:ind w:left="0"/>
        <w:rPr>
          <w:rFonts w:ascii="Arial" w:hAnsi="Arial" w:cs="Arial"/>
          <w:bCs/>
          <w:sz w:val="20"/>
          <w:szCs w:val="20"/>
          <w:lang w:val="en-GB"/>
        </w:rPr>
      </w:pPr>
    </w:p>
    <w:p w:rsidR="00193A02" w:rsidRPr="005D4748" w:rsidRDefault="00C53114" w:rsidP="005D4748">
      <w:pPr>
        <w:pStyle w:val="BodyTextIndent"/>
        <w:numPr>
          <w:ilvl w:val="0"/>
          <w:numId w:val="1"/>
        </w:numPr>
        <w:tabs>
          <w:tab w:val="left" w:pos="567"/>
        </w:tabs>
        <w:spacing w:after="0"/>
        <w:ind w:left="0" w:firstLine="0"/>
        <w:rPr>
          <w:rFonts w:ascii="Arial" w:hAnsi="Arial" w:cs="Arial"/>
          <w:bCs/>
          <w:sz w:val="20"/>
          <w:szCs w:val="20"/>
          <w:lang w:val="en-GB"/>
        </w:rPr>
      </w:pPr>
      <w:r w:rsidRPr="005D4748">
        <w:rPr>
          <w:rFonts w:ascii="Arial" w:hAnsi="Arial" w:cs="Arial"/>
          <w:b/>
          <w:bCs/>
          <w:sz w:val="20"/>
          <w:szCs w:val="20"/>
          <w:lang w:val="en-GB"/>
        </w:rPr>
        <w:t>COMMITTEE OBSERVATIONS</w:t>
      </w:r>
    </w:p>
    <w:p w:rsidR="002C7B31" w:rsidRPr="005D4748" w:rsidRDefault="002C7B31" w:rsidP="005D4748">
      <w:pPr>
        <w:spacing w:after="0" w:line="240" w:lineRule="auto"/>
        <w:rPr>
          <w:rFonts w:ascii="Arial" w:hAnsi="Arial" w:cs="Arial"/>
          <w:sz w:val="20"/>
          <w:szCs w:val="20"/>
          <w:lang w:val="en-GB"/>
        </w:rPr>
      </w:pPr>
    </w:p>
    <w:p w:rsidR="0050432A" w:rsidRPr="005D4748" w:rsidRDefault="00966357" w:rsidP="005D4748">
      <w:pPr>
        <w:spacing w:after="0" w:line="240" w:lineRule="auto"/>
        <w:rPr>
          <w:rFonts w:ascii="Arial" w:hAnsi="Arial" w:cs="Arial"/>
          <w:sz w:val="20"/>
          <w:szCs w:val="20"/>
          <w:lang w:val="en-GB"/>
        </w:rPr>
      </w:pPr>
      <w:r w:rsidRPr="005D4748">
        <w:rPr>
          <w:rFonts w:ascii="Arial" w:hAnsi="Arial" w:cs="Arial"/>
          <w:sz w:val="20"/>
          <w:szCs w:val="20"/>
          <w:lang w:val="en-GB"/>
        </w:rPr>
        <w:t xml:space="preserve">The Committee commended the Department and the entities for their efforts in delivering on some of the key areas for social and economic development in line with the goals of the NDP and </w:t>
      </w:r>
      <w:r w:rsidR="00440888" w:rsidRPr="005D4748">
        <w:rPr>
          <w:rFonts w:ascii="Arial" w:hAnsi="Arial" w:cs="Arial"/>
          <w:sz w:val="20"/>
          <w:szCs w:val="20"/>
          <w:lang w:val="en-GB"/>
        </w:rPr>
        <w:t>within</w:t>
      </w:r>
      <w:r w:rsidRPr="005D4748">
        <w:rPr>
          <w:rFonts w:ascii="Arial" w:hAnsi="Arial" w:cs="Arial"/>
          <w:sz w:val="20"/>
          <w:szCs w:val="20"/>
          <w:lang w:val="en-GB"/>
        </w:rPr>
        <w:t xml:space="preserve"> </w:t>
      </w:r>
      <w:r w:rsidR="00440888" w:rsidRPr="005D4748">
        <w:rPr>
          <w:rFonts w:ascii="Arial" w:hAnsi="Arial" w:cs="Arial"/>
          <w:sz w:val="20"/>
          <w:szCs w:val="20"/>
          <w:lang w:val="en-GB"/>
        </w:rPr>
        <w:t>acute</w:t>
      </w:r>
      <w:r w:rsidRPr="005D4748">
        <w:rPr>
          <w:rFonts w:ascii="Arial" w:hAnsi="Arial" w:cs="Arial"/>
          <w:sz w:val="20"/>
          <w:szCs w:val="20"/>
          <w:lang w:val="en-GB"/>
        </w:rPr>
        <w:t xml:space="preserve"> financial constraints.</w:t>
      </w:r>
      <w:r w:rsidR="00971AA0" w:rsidRPr="005D4748">
        <w:rPr>
          <w:rFonts w:ascii="Arial" w:hAnsi="Arial" w:cs="Arial"/>
          <w:sz w:val="20"/>
          <w:szCs w:val="20"/>
          <w:lang w:val="en-GB"/>
        </w:rPr>
        <w:t xml:space="preserve"> </w:t>
      </w:r>
    </w:p>
    <w:p w:rsidR="0050432A" w:rsidRPr="005D4748" w:rsidRDefault="0050432A" w:rsidP="005D4748">
      <w:pPr>
        <w:spacing w:after="0" w:line="240" w:lineRule="auto"/>
        <w:rPr>
          <w:rFonts w:ascii="Arial" w:hAnsi="Arial" w:cs="Arial"/>
          <w:sz w:val="20"/>
          <w:szCs w:val="20"/>
          <w:lang w:val="en-GB"/>
        </w:rPr>
      </w:pPr>
    </w:p>
    <w:p w:rsidR="008D61BA" w:rsidRPr="005D4748" w:rsidRDefault="00F15976" w:rsidP="005D4748">
      <w:pPr>
        <w:spacing w:after="0" w:line="240" w:lineRule="auto"/>
        <w:rPr>
          <w:rFonts w:ascii="Arial" w:hAnsi="Arial" w:cs="Arial"/>
          <w:sz w:val="20"/>
          <w:szCs w:val="20"/>
          <w:lang w:val="en-GB"/>
        </w:rPr>
      </w:pPr>
      <w:r w:rsidRPr="005D4748">
        <w:rPr>
          <w:rFonts w:ascii="Arial" w:hAnsi="Arial" w:cs="Arial"/>
          <w:sz w:val="20"/>
          <w:szCs w:val="20"/>
          <w:lang w:val="en-GB"/>
        </w:rPr>
        <w:t>The Committee’s observations highlight some of the key areas emanating from the interactions with the Department, entities and relevant stakeholders, which require further attention and discussion</w:t>
      </w:r>
      <w:r w:rsidR="00CE1EBE" w:rsidRPr="005D4748">
        <w:rPr>
          <w:rFonts w:ascii="Arial" w:hAnsi="Arial" w:cs="Arial"/>
          <w:sz w:val="20"/>
          <w:szCs w:val="20"/>
          <w:lang w:val="en-GB"/>
        </w:rPr>
        <w:t>. Hence, the Committee</w:t>
      </w:r>
      <w:r w:rsidRPr="005D4748">
        <w:rPr>
          <w:rFonts w:ascii="Arial" w:hAnsi="Arial" w:cs="Arial"/>
          <w:sz w:val="20"/>
          <w:szCs w:val="20"/>
          <w:lang w:val="en-GB"/>
        </w:rPr>
        <w:t>:</w:t>
      </w:r>
    </w:p>
    <w:p w:rsidR="008D61BA" w:rsidRPr="005D4748" w:rsidRDefault="008D61BA" w:rsidP="005D4748">
      <w:pPr>
        <w:spacing w:after="0" w:line="240" w:lineRule="auto"/>
        <w:rPr>
          <w:rFonts w:ascii="Arial" w:hAnsi="Arial" w:cs="Arial"/>
          <w:sz w:val="20"/>
          <w:szCs w:val="20"/>
          <w:lang w:val="en-GB"/>
        </w:rPr>
      </w:pPr>
    </w:p>
    <w:p w:rsidR="00F31A54" w:rsidRPr="005D4748" w:rsidRDefault="00F31A54" w:rsidP="005D4748">
      <w:pPr>
        <w:spacing w:after="0" w:line="240" w:lineRule="auto"/>
        <w:rPr>
          <w:rFonts w:ascii="Arial" w:hAnsi="Arial" w:cs="Arial"/>
          <w:b/>
          <w:sz w:val="20"/>
          <w:szCs w:val="20"/>
          <w:lang w:val="en-GB"/>
        </w:rPr>
      </w:pPr>
      <w:r w:rsidRPr="005D4748">
        <w:rPr>
          <w:rFonts w:ascii="Arial" w:hAnsi="Arial" w:cs="Arial"/>
          <w:b/>
          <w:sz w:val="20"/>
          <w:szCs w:val="20"/>
          <w:lang w:val="en-GB"/>
        </w:rPr>
        <w:t>Department of Science and Innovation</w:t>
      </w:r>
    </w:p>
    <w:p w:rsidR="00F31A54" w:rsidRPr="005D4748" w:rsidRDefault="00F31A54" w:rsidP="005D4748">
      <w:pPr>
        <w:pStyle w:val="BodyTextIndent"/>
        <w:numPr>
          <w:ilvl w:val="1"/>
          <w:numId w:val="1"/>
        </w:numPr>
        <w:tabs>
          <w:tab w:val="left" w:pos="851"/>
        </w:tabs>
        <w:spacing w:after="0"/>
        <w:ind w:left="851" w:hanging="851"/>
        <w:rPr>
          <w:rFonts w:ascii="Arial" w:hAnsi="Arial" w:cs="Arial"/>
          <w:sz w:val="20"/>
          <w:szCs w:val="20"/>
          <w:lang w:val="en-GB"/>
        </w:rPr>
      </w:pPr>
      <w:r w:rsidRPr="005D4748">
        <w:rPr>
          <w:rFonts w:ascii="Arial" w:hAnsi="Arial" w:cs="Arial"/>
          <w:sz w:val="20"/>
          <w:szCs w:val="20"/>
          <w:lang w:val="en-GB"/>
        </w:rPr>
        <w:t>Welcomed the Department retaining its clean audit and rating as one of the best performing national departments for a fourth consecutive financial year.</w:t>
      </w:r>
    </w:p>
    <w:p w:rsidR="00113204" w:rsidRPr="005D4748" w:rsidRDefault="00113204" w:rsidP="005D4748">
      <w:pPr>
        <w:pStyle w:val="BodyTextIndent"/>
        <w:numPr>
          <w:ilvl w:val="1"/>
          <w:numId w:val="1"/>
        </w:numPr>
        <w:tabs>
          <w:tab w:val="left" w:pos="851"/>
        </w:tabs>
        <w:spacing w:after="0"/>
        <w:ind w:left="851" w:hanging="851"/>
        <w:rPr>
          <w:rFonts w:ascii="Arial" w:hAnsi="Arial" w:cs="Arial"/>
          <w:sz w:val="20"/>
          <w:szCs w:val="20"/>
          <w:lang w:val="en-GB"/>
        </w:rPr>
      </w:pPr>
      <w:r w:rsidRPr="005D4748">
        <w:rPr>
          <w:rFonts w:ascii="Arial" w:hAnsi="Arial" w:cs="Arial"/>
          <w:sz w:val="20"/>
          <w:szCs w:val="20"/>
          <w:lang w:val="en-GB"/>
        </w:rPr>
        <w:t xml:space="preserve">Noted </w:t>
      </w:r>
      <w:r w:rsidR="002D12E8" w:rsidRPr="005D4748">
        <w:rPr>
          <w:rFonts w:ascii="Arial" w:hAnsi="Arial" w:cs="Arial"/>
          <w:sz w:val="20"/>
          <w:szCs w:val="20"/>
          <w:lang w:val="en-GB"/>
        </w:rPr>
        <w:t>that because the Department</w:t>
      </w:r>
      <w:r w:rsidRPr="005D4748">
        <w:rPr>
          <w:rFonts w:ascii="Arial" w:hAnsi="Arial" w:cs="Arial"/>
          <w:sz w:val="20"/>
          <w:szCs w:val="20"/>
          <w:lang w:val="en-GB"/>
        </w:rPr>
        <w:t xml:space="preserve"> </w:t>
      </w:r>
      <w:r w:rsidR="002D12E8" w:rsidRPr="005D4748">
        <w:rPr>
          <w:rFonts w:ascii="Arial" w:hAnsi="Arial" w:cs="Arial"/>
          <w:sz w:val="20"/>
          <w:szCs w:val="20"/>
          <w:lang w:val="en-GB"/>
        </w:rPr>
        <w:t xml:space="preserve">was well managed </w:t>
      </w:r>
      <w:r w:rsidRPr="005D4748">
        <w:rPr>
          <w:rFonts w:ascii="Arial" w:hAnsi="Arial" w:cs="Arial"/>
          <w:sz w:val="20"/>
          <w:szCs w:val="20"/>
          <w:lang w:val="en-GB"/>
        </w:rPr>
        <w:t xml:space="preserve">it could </w:t>
      </w:r>
      <w:r w:rsidR="002D12E8" w:rsidRPr="005D4748">
        <w:rPr>
          <w:rFonts w:ascii="Arial" w:hAnsi="Arial" w:cs="Arial"/>
          <w:sz w:val="20"/>
          <w:szCs w:val="20"/>
          <w:lang w:val="en-GB"/>
        </w:rPr>
        <w:t>direct</w:t>
      </w:r>
      <w:r w:rsidRPr="005D4748">
        <w:rPr>
          <w:rFonts w:ascii="Arial" w:hAnsi="Arial" w:cs="Arial"/>
          <w:sz w:val="20"/>
          <w:szCs w:val="20"/>
          <w:lang w:val="en-GB"/>
        </w:rPr>
        <w:t xml:space="preserve"> greater attention to interrogating performance targets and recorded achievement.</w:t>
      </w:r>
    </w:p>
    <w:p w:rsidR="007B0320" w:rsidRPr="005D4748" w:rsidRDefault="00113204" w:rsidP="005D4748">
      <w:pPr>
        <w:pStyle w:val="BodyTextIndent"/>
        <w:numPr>
          <w:ilvl w:val="1"/>
          <w:numId w:val="1"/>
        </w:numPr>
        <w:tabs>
          <w:tab w:val="left" w:pos="851"/>
        </w:tabs>
        <w:spacing w:after="0"/>
        <w:ind w:left="851" w:hanging="851"/>
        <w:rPr>
          <w:rFonts w:ascii="Arial" w:hAnsi="Arial" w:cs="Arial"/>
          <w:sz w:val="20"/>
          <w:szCs w:val="20"/>
          <w:lang w:val="en-GB"/>
        </w:rPr>
      </w:pPr>
      <w:r w:rsidRPr="005D4748">
        <w:rPr>
          <w:rFonts w:ascii="Arial" w:hAnsi="Arial" w:cs="Arial"/>
          <w:sz w:val="20"/>
          <w:szCs w:val="20"/>
          <w:lang w:val="en-GB"/>
        </w:rPr>
        <w:t xml:space="preserve">Reiterated that the </w:t>
      </w:r>
      <w:r w:rsidR="006A21FB" w:rsidRPr="005D4748">
        <w:rPr>
          <w:rFonts w:ascii="Arial" w:hAnsi="Arial" w:cs="Arial"/>
          <w:sz w:val="20"/>
          <w:szCs w:val="20"/>
          <w:lang w:val="en-GB"/>
        </w:rPr>
        <w:t>Department</w:t>
      </w:r>
      <w:r w:rsidRPr="005D4748">
        <w:rPr>
          <w:rFonts w:ascii="Arial" w:hAnsi="Arial" w:cs="Arial"/>
          <w:sz w:val="20"/>
          <w:szCs w:val="20"/>
          <w:lang w:val="en-GB"/>
        </w:rPr>
        <w:t xml:space="preserve"> </w:t>
      </w:r>
      <w:r w:rsidR="00BB2CD8" w:rsidRPr="005D4748">
        <w:rPr>
          <w:rFonts w:ascii="Arial" w:hAnsi="Arial" w:cs="Arial"/>
          <w:sz w:val="20"/>
          <w:szCs w:val="20"/>
          <w:lang w:val="en-GB"/>
        </w:rPr>
        <w:t xml:space="preserve">must </w:t>
      </w:r>
      <w:r w:rsidR="002D432B" w:rsidRPr="005D4748">
        <w:rPr>
          <w:rFonts w:ascii="Arial" w:hAnsi="Arial" w:cs="Arial"/>
          <w:sz w:val="20"/>
          <w:szCs w:val="20"/>
          <w:lang w:val="en-GB"/>
        </w:rPr>
        <w:t xml:space="preserve">be intentional in its </w:t>
      </w:r>
      <w:r w:rsidR="00BB2CD8" w:rsidRPr="005D4748">
        <w:rPr>
          <w:rFonts w:ascii="Arial" w:hAnsi="Arial" w:cs="Arial"/>
          <w:sz w:val="20"/>
          <w:szCs w:val="20"/>
          <w:lang w:val="en-GB"/>
        </w:rPr>
        <w:t>efforts to ensure inclusivity, transformation and representation</w:t>
      </w:r>
      <w:r w:rsidR="002D432B" w:rsidRPr="005D4748">
        <w:rPr>
          <w:rFonts w:ascii="Arial" w:hAnsi="Arial" w:cs="Arial"/>
          <w:sz w:val="20"/>
          <w:szCs w:val="20"/>
          <w:lang w:val="en-GB"/>
        </w:rPr>
        <w:t>, especially in relation to gender and people with disabilities,</w:t>
      </w:r>
      <w:r w:rsidR="00BB2CD8" w:rsidRPr="005D4748">
        <w:rPr>
          <w:rFonts w:ascii="Arial" w:hAnsi="Arial" w:cs="Arial"/>
          <w:sz w:val="20"/>
          <w:szCs w:val="20"/>
          <w:lang w:val="en-GB"/>
        </w:rPr>
        <w:t xml:space="preserve"> and that </w:t>
      </w:r>
      <w:r w:rsidR="002D432B" w:rsidRPr="005D4748">
        <w:rPr>
          <w:rFonts w:ascii="Arial" w:hAnsi="Arial" w:cs="Arial"/>
          <w:sz w:val="20"/>
          <w:szCs w:val="20"/>
          <w:lang w:val="en-GB"/>
        </w:rPr>
        <w:t xml:space="preserve">adequate funding and coherent planning </w:t>
      </w:r>
      <w:r w:rsidR="006A21FB" w:rsidRPr="005D4748">
        <w:rPr>
          <w:rFonts w:ascii="Arial" w:hAnsi="Arial" w:cs="Arial"/>
          <w:sz w:val="20"/>
          <w:szCs w:val="20"/>
          <w:lang w:val="en-GB"/>
        </w:rPr>
        <w:t xml:space="preserve">must </w:t>
      </w:r>
      <w:r w:rsidR="002D432B" w:rsidRPr="005D4748">
        <w:rPr>
          <w:rFonts w:ascii="Arial" w:hAnsi="Arial" w:cs="Arial"/>
          <w:sz w:val="20"/>
          <w:szCs w:val="20"/>
          <w:lang w:val="en-GB"/>
        </w:rPr>
        <w:t>support these performance targets</w:t>
      </w:r>
      <w:r w:rsidR="00BB2CD8" w:rsidRPr="005D4748">
        <w:rPr>
          <w:rFonts w:ascii="Arial" w:hAnsi="Arial" w:cs="Arial"/>
          <w:sz w:val="20"/>
          <w:szCs w:val="20"/>
          <w:lang w:val="en-GB"/>
        </w:rPr>
        <w:t>.</w:t>
      </w:r>
    </w:p>
    <w:p w:rsidR="00C805D9" w:rsidRPr="005D4748" w:rsidRDefault="00AF7AA4" w:rsidP="005D4748">
      <w:pPr>
        <w:pStyle w:val="BodyTextIndent"/>
        <w:numPr>
          <w:ilvl w:val="1"/>
          <w:numId w:val="1"/>
        </w:numPr>
        <w:tabs>
          <w:tab w:val="left" w:pos="851"/>
        </w:tabs>
        <w:spacing w:after="0"/>
        <w:ind w:left="851" w:hanging="851"/>
        <w:rPr>
          <w:rFonts w:ascii="Arial" w:hAnsi="Arial" w:cs="Arial"/>
          <w:sz w:val="20"/>
          <w:szCs w:val="20"/>
          <w:lang w:val="en-GB"/>
        </w:rPr>
      </w:pPr>
      <w:r w:rsidRPr="005D4748">
        <w:rPr>
          <w:rFonts w:ascii="Arial" w:hAnsi="Arial" w:cs="Arial"/>
          <w:sz w:val="20"/>
          <w:szCs w:val="20"/>
          <w:lang w:val="en-GB"/>
        </w:rPr>
        <w:lastRenderedPageBreak/>
        <w:t>Expressed their dissatisfaction that the target to award bursaries</w:t>
      </w:r>
      <w:r w:rsidR="004C2553" w:rsidRPr="005D4748">
        <w:rPr>
          <w:rFonts w:ascii="Arial" w:hAnsi="Arial" w:cs="Arial"/>
          <w:sz w:val="20"/>
          <w:szCs w:val="20"/>
          <w:lang w:val="en-GB"/>
        </w:rPr>
        <w:t xml:space="preserve"> to pipeline postgraduate students was not met. </w:t>
      </w:r>
      <w:r w:rsidR="00C805D9" w:rsidRPr="005D4748">
        <w:rPr>
          <w:rFonts w:ascii="Arial" w:hAnsi="Arial" w:cs="Arial"/>
          <w:sz w:val="20"/>
          <w:szCs w:val="20"/>
          <w:lang w:val="en-GB"/>
        </w:rPr>
        <w:t xml:space="preserve">Noting </w:t>
      </w:r>
      <w:r w:rsidR="009E4937" w:rsidRPr="005D4748">
        <w:rPr>
          <w:rFonts w:ascii="Arial" w:hAnsi="Arial" w:cs="Arial"/>
          <w:sz w:val="20"/>
          <w:szCs w:val="20"/>
          <w:lang w:val="en-GB"/>
        </w:rPr>
        <w:t>the shortage of skills in the specialised</w:t>
      </w:r>
      <w:r w:rsidR="00C805D9" w:rsidRPr="005D4748">
        <w:rPr>
          <w:rFonts w:ascii="Arial" w:hAnsi="Arial" w:cs="Arial"/>
          <w:sz w:val="20"/>
          <w:szCs w:val="20"/>
          <w:lang w:val="en-GB"/>
        </w:rPr>
        <w:t xml:space="preserve"> research areas for which </w:t>
      </w:r>
      <w:r w:rsidR="009E4937" w:rsidRPr="005D4748">
        <w:rPr>
          <w:rFonts w:ascii="Arial" w:hAnsi="Arial" w:cs="Arial"/>
          <w:sz w:val="20"/>
          <w:szCs w:val="20"/>
          <w:lang w:val="en-GB"/>
        </w:rPr>
        <w:t xml:space="preserve">bursaries were offered, </w:t>
      </w:r>
      <w:r w:rsidR="00932798" w:rsidRPr="005D4748">
        <w:rPr>
          <w:rFonts w:ascii="Arial" w:hAnsi="Arial" w:cs="Arial"/>
          <w:sz w:val="20"/>
          <w:szCs w:val="20"/>
          <w:lang w:val="en-GB"/>
        </w:rPr>
        <w:t>the Committee enquired what efforts were underway to ensure that uptake met the available funding, especially since the Committee was inundated with funding requests from postgraduate students.</w:t>
      </w:r>
    </w:p>
    <w:p w:rsidR="003C0864" w:rsidRPr="005D4748" w:rsidRDefault="003D7484" w:rsidP="005D4748">
      <w:pPr>
        <w:pStyle w:val="BodyTextIndent"/>
        <w:numPr>
          <w:ilvl w:val="1"/>
          <w:numId w:val="1"/>
        </w:numPr>
        <w:tabs>
          <w:tab w:val="left" w:pos="851"/>
        </w:tabs>
        <w:spacing w:after="0"/>
        <w:ind w:left="851" w:hanging="851"/>
        <w:rPr>
          <w:rFonts w:ascii="Arial" w:hAnsi="Arial" w:cs="Arial"/>
          <w:sz w:val="20"/>
          <w:szCs w:val="20"/>
          <w:lang w:val="en-GB"/>
        </w:rPr>
      </w:pPr>
      <w:r w:rsidRPr="005D4748">
        <w:rPr>
          <w:rFonts w:ascii="Arial" w:hAnsi="Arial" w:cs="Arial"/>
          <w:sz w:val="20"/>
          <w:szCs w:val="20"/>
          <w:lang w:val="en-GB"/>
        </w:rPr>
        <w:t xml:space="preserve">Stressed that the </w:t>
      </w:r>
      <w:r w:rsidR="00CD48FA" w:rsidRPr="005D4748">
        <w:rPr>
          <w:rFonts w:ascii="Arial" w:hAnsi="Arial" w:cs="Arial"/>
          <w:sz w:val="20"/>
          <w:szCs w:val="20"/>
          <w:lang w:val="en-GB"/>
        </w:rPr>
        <w:t xml:space="preserve">high number of </w:t>
      </w:r>
      <w:r w:rsidRPr="005D4748">
        <w:rPr>
          <w:rFonts w:ascii="Arial" w:hAnsi="Arial" w:cs="Arial"/>
          <w:sz w:val="20"/>
          <w:szCs w:val="20"/>
          <w:lang w:val="en-GB"/>
        </w:rPr>
        <w:t xml:space="preserve">vacancies </w:t>
      </w:r>
      <w:r w:rsidR="00CD48FA" w:rsidRPr="005D4748">
        <w:rPr>
          <w:rFonts w:ascii="Arial" w:hAnsi="Arial" w:cs="Arial"/>
          <w:sz w:val="20"/>
          <w:szCs w:val="20"/>
          <w:lang w:val="en-GB"/>
        </w:rPr>
        <w:t xml:space="preserve">and “acting” positions </w:t>
      </w:r>
      <w:r w:rsidRPr="005D4748">
        <w:rPr>
          <w:rFonts w:ascii="Arial" w:hAnsi="Arial" w:cs="Arial"/>
          <w:sz w:val="20"/>
          <w:szCs w:val="20"/>
          <w:lang w:val="en-GB"/>
        </w:rPr>
        <w:t xml:space="preserve">at senior management level </w:t>
      </w:r>
      <w:r w:rsidR="00B25D67" w:rsidRPr="005D4748">
        <w:rPr>
          <w:rFonts w:ascii="Arial" w:hAnsi="Arial" w:cs="Arial"/>
          <w:sz w:val="20"/>
          <w:szCs w:val="20"/>
          <w:lang w:val="en-GB"/>
        </w:rPr>
        <w:t xml:space="preserve">must </w:t>
      </w:r>
      <w:r w:rsidRPr="005D4748">
        <w:rPr>
          <w:rFonts w:ascii="Arial" w:hAnsi="Arial" w:cs="Arial"/>
          <w:sz w:val="20"/>
          <w:szCs w:val="20"/>
          <w:lang w:val="en-GB"/>
        </w:rPr>
        <w:t xml:space="preserve">be </w:t>
      </w:r>
      <w:r w:rsidR="002D432B" w:rsidRPr="005D4748">
        <w:rPr>
          <w:rFonts w:ascii="Arial" w:hAnsi="Arial" w:cs="Arial"/>
          <w:sz w:val="20"/>
          <w:szCs w:val="20"/>
          <w:lang w:val="en-GB"/>
        </w:rPr>
        <w:t>addressed urgently</w:t>
      </w:r>
      <w:r w:rsidR="00587162" w:rsidRPr="005D4748">
        <w:rPr>
          <w:rFonts w:ascii="Arial" w:hAnsi="Arial" w:cs="Arial"/>
          <w:sz w:val="20"/>
          <w:szCs w:val="20"/>
          <w:lang w:val="en-GB"/>
        </w:rPr>
        <w:t xml:space="preserve">, especially since this accounted for the bulk of the Department’s </w:t>
      </w:r>
      <w:r w:rsidR="00EA31C1" w:rsidRPr="005D4748">
        <w:rPr>
          <w:rFonts w:ascii="Arial" w:hAnsi="Arial" w:cs="Arial"/>
          <w:sz w:val="20"/>
          <w:szCs w:val="20"/>
          <w:lang w:val="en-GB"/>
        </w:rPr>
        <w:t>under-expenditure</w:t>
      </w:r>
      <w:r w:rsidR="002D432B" w:rsidRPr="005D4748">
        <w:rPr>
          <w:rFonts w:ascii="Arial" w:hAnsi="Arial" w:cs="Arial"/>
          <w:sz w:val="20"/>
          <w:szCs w:val="20"/>
          <w:lang w:val="en-GB"/>
        </w:rPr>
        <w:t>.</w:t>
      </w:r>
    </w:p>
    <w:p w:rsidR="00CD48FA" w:rsidRPr="005D4748" w:rsidRDefault="00CF1D2B" w:rsidP="005D4748">
      <w:pPr>
        <w:pStyle w:val="BodyTextIndent"/>
        <w:numPr>
          <w:ilvl w:val="1"/>
          <w:numId w:val="1"/>
        </w:numPr>
        <w:tabs>
          <w:tab w:val="left" w:pos="851"/>
        </w:tabs>
        <w:spacing w:after="0"/>
        <w:ind w:left="851" w:hanging="851"/>
        <w:rPr>
          <w:rFonts w:ascii="Arial" w:hAnsi="Arial" w:cs="Arial"/>
          <w:sz w:val="20"/>
          <w:szCs w:val="20"/>
          <w:lang w:val="en-GB"/>
        </w:rPr>
      </w:pPr>
      <w:r w:rsidRPr="005D4748">
        <w:rPr>
          <w:rFonts w:ascii="Arial" w:hAnsi="Arial" w:cs="Arial"/>
          <w:sz w:val="20"/>
          <w:szCs w:val="20"/>
          <w:lang w:val="en-GB"/>
        </w:rPr>
        <w:t>Reiterated that the Department need</w:t>
      </w:r>
      <w:r w:rsidR="002D12E8" w:rsidRPr="005D4748">
        <w:rPr>
          <w:rFonts w:ascii="Arial" w:hAnsi="Arial" w:cs="Arial"/>
          <w:sz w:val="20"/>
          <w:szCs w:val="20"/>
          <w:lang w:val="en-GB"/>
        </w:rPr>
        <w:t>ed</w:t>
      </w:r>
      <w:r w:rsidRPr="005D4748">
        <w:rPr>
          <w:rFonts w:ascii="Arial" w:hAnsi="Arial" w:cs="Arial"/>
          <w:sz w:val="20"/>
          <w:szCs w:val="20"/>
          <w:lang w:val="en-GB"/>
        </w:rPr>
        <w:t xml:space="preserve"> to ensure that its oversight of the entities addresses the findings raised by the AGSA</w:t>
      </w:r>
      <w:r w:rsidR="003C0864" w:rsidRPr="005D4748">
        <w:rPr>
          <w:rFonts w:ascii="Arial" w:hAnsi="Arial" w:cs="Arial"/>
          <w:sz w:val="20"/>
          <w:szCs w:val="20"/>
          <w:lang w:val="en-GB"/>
        </w:rPr>
        <w:t xml:space="preserve"> </w:t>
      </w:r>
      <w:r w:rsidRPr="005D4748">
        <w:rPr>
          <w:rFonts w:ascii="Arial" w:hAnsi="Arial" w:cs="Arial"/>
          <w:sz w:val="20"/>
          <w:szCs w:val="20"/>
          <w:lang w:val="en-GB"/>
        </w:rPr>
        <w:t>and that planned performance is aligned to the needs of the country.</w:t>
      </w:r>
    </w:p>
    <w:p w:rsidR="003C0864" w:rsidRPr="005D4748" w:rsidRDefault="003C0864" w:rsidP="005D4748">
      <w:pPr>
        <w:pStyle w:val="BodyTextIndent"/>
        <w:tabs>
          <w:tab w:val="left" w:pos="851"/>
        </w:tabs>
        <w:spacing w:after="0"/>
        <w:ind w:left="0"/>
        <w:rPr>
          <w:rFonts w:ascii="Arial" w:hAnsi="Arial" w:cs="Arial"/>
          <w:sz w:val="20"/>
          <w:szCs w:val="20"/>
          <w:lang w:val="en-GB"/>
        </w:rPr>
      </w:pPr>
    </w:p>
    <w:p w:rsidR="003C0864" w:rsidRPr="005D4748" w:rsidRDefault="003C0864" w:rsidP="005D4748">
      <w:pPr>
        <w:pStyle w:val="BodyTextIndent"/>
        <w:tabs>
          <w:tab w:val="left" w:pos="851"/>
        </w:tabs>
        <w:spacing w:after="0"/>
        <w:ind w:left="0"/>
        <w:rPr>
          <w:rFonts w:ascii="Arial" w:hAnsi="Arial" w:cs="Arial"/>
          <w:b/>
          <w:sz w:val="20"/>
          <w:szCs w:val="20"/>
          <w:lang w:val="en-GB"/>
        </w:rPr>
      </w:pPr>
      <w:r w:rsidRPr="005D4748">
        <w:rPr>
          <w:rFonts w:ascii="Arial" w:hAnsi="Arial" w:cs="Arial"/>
          <w:b/>
          <w:sz w:val="20"/>
          <w:szCs w:val="20"/>
          <w:lang w:val="en-GB"/>
        </w:rPr>
        <w:t>Department of Science and Innovation, and Entities</w:t>
      </w:r>
    </w:p>
    <w:p w:rsidR="003C0864" w:rsidRPr="005D4748" w:rsidRDefault="003C0864" w:rsidP="005D4748">
      <w:pPr>
        <w:pStyle w:val="BodyTextIndent"/>
        <w:numPr>
          <w:ilvl w:val="1"/>
          <w:numId w:val="1"/>
        </w:numPr>
        <w:tabs>
          <w:tab w:val="left" w:pos="851"/>
        </w:tabs>
        <w:spacing w:after="0"/>
        <w:ind w:left="851" w:hanging="851"/>
        <w:rPr>
          <w:rFonts w:ascii="Arial" w:hAnsi="Arial" w:cs="Arial"/>
          <w:sz w:val="20"/>
          <w:szCs w:val="20"/>
          <w:lang w:val="en-GB"/>
        </w:rPr>
      </w:pPr>
      <w:r w:rsidRPr="005D4748">
        <w:rPr>
          <w:rFonts w:ascii="Arial" w:hAnsi="Arial" w:cs="Arial"/>
          <w:sz w:val="20"/>
          <w:szCs w:val="20"/>
          <w:lang w:val="en-GB"/>
        </w:rPr>
        <w:t>Noted that because the Department and the majority of entities were well managed, greater attention could be given to interrogating actual performance and its potential socio-economic impact.</w:t>
      </w:r>
    </w:p>
    <w:p w:rsidR="001248B2" w:rsidRPr="005D4748" w:rsidRDefault="001248B2" w:rsidP="005D4748">
      <w:pPr>
        <w:pStyle w:val="BodyTextIndent"/>
        <w:numPr>
          <w:ilvl w:val="1"/>
          <w:numId w:val="1"/>
        </w:numPr>
        <w:tabs>
          <w:tab w:val="left" w:pos="851"/>
        </w:tabs>
        <w:spacing w:after="0"/>
        <w:ind w:left="851" w:hanging="851"/>
        <w:rPr>
          <w:rFonts w:ascii="Arial" w:hAnsi="Arial" w:cs="Arial"/>
          <w:sz w:val="20"/>
          <w:szCs w:val="20"/>
          <w:lang w:val="en-GB"/>
        </w:rPr>
      </w:pPr>
      <w:r w:rsidRPr="005D4748">
        <w:rPr>
          <w:rFonts w:ascii="Arial" w:hAnsi="Arial" w:cs="Arial"/>
          <w:sz w:val="20"/>
          <w:szCs w:val="20"/>
          <w:lang w:val="en-GB"/>
        </w:rPr>
        <w:t>Remained concerned about the measurable impact of STI on the lived realities of citizens.</w:t>
      </w:r>
    </w:p>
    <w:p w:rsidR="006A21FB" w:rsidRPr="005D4748" w:rsidRDefault="006A21FB" w:rsidP="005D4748">
      <w:pPr>
        <w:pStyle w:val="BodyTextIndent"/>
        <w:numPr>
          <w:ilvl w:val="1"/>
          <w:numId w:val="1"/>
        </w:numPr>
        <w:tabs>
          <w:tab w:val="left" w:pos="851"/>
        </w:tabs>
        <w:spacing w:after="0"/>
        <w:ind w:left="851" w:hanging="851"/>
        <w:rPr>
          <w:rFonts w:ascii="Arial" w:hAnsi="Arial" w:cs="Arial"/>
          <w:sz w:val="20"/>
          <w:szCs w:val="20"/>
          <w:lang w:val="en-GB"/>
        </w:rPr>
      </w:pPr>
      <w:r w:rsidRPr="005D4748">
        <w:rPr>
          <w:rFonts w:ascii="Arial" w:hAnsi="Arial" w:cs="Arial"/>
          <w:sz w:val="20"/>
          <w:szCs w:val="20"/>
          <w:lang w:val="en-GB"/>
        </w:rPr>
        <w:t>As with the Department, reiterated that the entities must be intentional in their efforts to ensure inclusivity, transformation and representation, especially in relation to gender and people with disabilities, and that adequate funding and coherent planning must support these performance targets.</w:t>
      </w:r>
    </w:p>
    <w:p w:rsidR="003C0864" w:rsidRPr="005D4748" w:rsidRDefault="003C0864" w:rsidP="005D4748">
      <w:pPr>
        <w:pStyle w:val="BodyTextIndent"/>
        <w:numPr>
          <w:ilvl w:val="1"/>
          <w:numId w:val="1"/>
        </w:numPr>
        <w:tabs>
          <w:tab w:val="left" w:pos="851"/>
        </w:tabs>
        <w:spacing w:after="0"/>
        <w:ind w:left="851" w:hanging="851"/>
        <w:rPr>
          <w:rFonts w:ascii="Arial" w:hAnsi="Arial" w:cs="Arial"/>
          <w:sz w:val="20"/>
          <w:szCs w:val="20"/>
          <w:lang w:val="en-GB"/>
        </w:rPr>
      </w:pPr>
      <w:r w:rsidRPr="005D4748">
        <w:rPr>
          <w:rFonts w:ascii="Arial" w:hAnsi="Arial" w:cs="Arial"/>
          <w:sz w:val="20"/>
          <w:szCs w:val="20"/>
          <w:lang w:val="en-GB"/>
        </w:rPr>
        <w:t xml:space="preserve">Noted that the budget allocations are not sufficient to fulfil the relevant mandates, which seek to facilitate inclusive economic growth and socio-economic development, promote environmental sustainability, support R&amp;D-driven industrialisation, support the development of needed human capital and </w:t>
      </w:r>
      <w:r w:rsidR="00451014" w:rsidRPr="005D4748">
        <w:rPr>
          <w:rFonts w:ascii="Arial" w:hAnsi="Arial" w:cs="Arial"/>
          <w:sz w:val="20"/>
          <w:szCs w:val="20"/>
          <w:lang w:val="en-GB"/>
        </w:rPr>
        <w:t>infrastructure</w:t>
      </w:r>
      <w:r w:rsidRPr="005D4748">
        <w:rPr>
          <w:rFonts w:ascii="Arial" w:hAnsi="Arial" w:cs="Arial"/>
          <w:sz w:val="20"/>
          <w:szCs w:val="20"/>
          <w:lang w:val="en-GB"/>
        </w:rPr>
        <w:t xml:space="preserve"> and improve service delivery and government decision making, adequately.</w:t>
      </w:r>
    </w:p>
    <w:p w:rsidR="003C0864" w:rsidRPr="005D4748" w:rsidRDefault="003C0864" w:rsidP="005D4748">
      <w:pPr>
        <w:pStyle w:val="BodyTextIndent"/>
        <w:numPr>
          <w:ilvl w:val="1"/>
          <w:numId w:val="1"/>
        </w:numPr>
        <w:tabs>
          <w:tab w:val="left" w:pos="851"/>
        </w:tabs>
        <w:spacing w:after="0"/>
        <w:ind w:left="851" w:hanging="851"/>
        <w:rPr>
          <w:rFonts w:ascii="Arial" w:hAnsi="Arial" w:cs="Arial"/>
          <w:sz w:val="20"/>
          <w:szCs w:val="20"/>
          <w:lang w:val="en-GB"/>
        </w:rPr>
      </w:pPr>
      <w:r w:rsidRPr="005D4748">
        <w:rPr>
          <w:rFonts w:ascii="Arial" w:hAnsi="Arial" w:cs="Arial"/>
          <w:sz w:val="20"/>
          <w:szCs w:val="20"/>
          <w:lang w:val="en-GB"/>
        </w:rPr>
        <w:t>Noted that, despite financial limitations, the Department and entities have shown that they can</w:t>
      </w:r>
      <w:r w:rsidRPr="005D4748">
        <w:rPr>
          <w:rFonts w:ascii="Arial" w:hAnsi="Arial" w:cs="Arial"/>
          <w:bCs/>
          <w:sz w:val="20"/>
          <w:szCs w:val="20"/>
          <w:lang w:val="en-GB"/>
        </w:rPr>
        <w:t>, to a significant degree, spend their allocated budget and achieve their performance targets.</w:t>
      </w:r>
    </w:p>
    <w:p w:rsidR="00575561" w:rsidRPr="005D4748" w:rsidRDefault="00575561" w:rsidP="005D4748">
      <w:pPr>
        <w:pStyle w:val="BodyTextIndent"/>
        <w:numPr>
          <w:ilvl w:val="1"/>
          <w:numId w:val="1"/>
        </w:numPr>
        <w:tabs>
          <w:tab w:val="left" w:pos="851"/>
        </w:tabs>
        <w:spacing w:after="0"/>
        <w:ind w:left="851" w:hanging="851"/>
        <w:rPr>
          <w:rFonts w:ascii="Arial" w:hAnsi="Arial" w:cs="Arial"/>
          <w:sz w:val="20"/>
          <w:szCs w:val="20"/>
          <w:lang w:val="en-GB"/>
        </w:rPr>
      </w:pPr>
      <w:r w:rsidRPr="005D4748">
        <w:rPr>
          <w:rFonts w:ascii="Arial" w:hAnsi="Arial" w:cs="Arial"/>
          <w:sz w:val="20"/>
          <w:szCs w:val="20"/>
          <w:lang w:val="en-GB"/>
        </w:rPr>
        <w:t>Noted the efforts to diversify revenue streams through local and international partnerships and the commercialisation of relevant IP portfolios. Especially since the parliamentary grants continue to decline in real terms. Here the Committee cautioned that partnerships and licence and/or infrastructure hosting agreements must address the critical needs of the country.</w:t>
      </w:r>
    </w:p>
    <w:p w:rsidR="00BE4665" w:rsidRPr="005D4748" w:rsidRDefault="00BE4665" w:rsidP="005D4748">
      <w:pPr>
        <w:pStyle w:val="BodyTextIndent"/>
        <w:numPr>
          <w:ilvl w:val="1"/>
          <w:numId w:val="1"/>
        </w:numPr>
        <w:tabs>
          <w:tab w:val="left" w:pos="851"/>
        </w:tabs>
        <w:spacing w:after="0"/>
        <w:ind w:left="851" w:hanging="851"/>
        <w:rPr>
          <w:rFonts w:ascii="Arial" w:hAnsi="Arial" w:cs="Arial"/>
          <w:sz w:val="20"/>
          <w:szCs w:val="20"/>
          <w:lang w:val="en-GB"/>
        </w:rPr>
      </w:pPr>
      <w:r w:rsidRPr="005D4748">
        <w:rPr>
          <w:rFonts w:ascii="Arial" w:hAnsi="Arial" w:cs="Arial"/>
          <w:bCs/>
          <w:sz w:val="20"/>
          <w:szCs w:val="20"/>
          <w:lang w:val="en-GB"/>
        </w:rPr>
        <w:t xml:space="preserve">Noted that, due to funding constraints and the inability to offer market related salaries and service benefits, the science councils were struggling to retain </w:t>
      </w:r>
      <w:r w:rsidR="009D70F0" w:rsidRPr="005D4748">
        <w:rPr>
          <w:rFonts w:ascii="Arial" w:hAnsi="Arial" w:cs="Arial"/>
          <w:bCs/>
          <w:sz w:val="20"/>
          <w:szCs w:val="20"/>
          <w:lang w:val="en-GB"/>
        </w:rPr>
        <w:t>highly skilled</w:t>
      </w:r>
      <w:r w:rsidRPr="005D4748">
        <w:rPr>
          <w:rFonts w:ascii="Arial" w:hAnsi="Arial" w:cs="Arial"/>
          <w:bCs/>
          <w:sz w:val="20"/>
          <w:szCs w:val="20"/>
          <w:lang w:val="en-GB"/>
        </w:rPr>
        <w:t xml:space="preserve"> SET employees.</w:t>
      </w:r>
      <w:r w:rsidR="009D70F0" w:rsidRPr="005D4748">
        <w:rPr>
          <w:rFonts w:ascii="Arial" w:hAnsi="Arial" w:cs="Arial"/>
          <w:bCs/>
          <w:sz w:val="20"/>
          <w:szCs w:val="20"/>
          <w:lang w:val="en-GB"/>
        </w:rPr>
        <w:t xml:space="preserve"> This further </w:t>
      </w:r>
      <w:r w:rsidR="00AD3020" w:rsidRPr="005D4748">
        <w:rPr>
          <w:rFonts w:ascii="Arial" w:hAnsi="Arial" w:cs="Arial"/>
          <w:bCs/>
          <w:sz w:val="20"/>
          <w:szCs w:val="20"/>
          <w:lang w:val="en-GB"/>
        </w:rPr>
        <w:t>influenced</w:t>
      </w:r>
      <w:r w:rsidR="009D70F0" w:rsidRPr="005D4748">
        <w:rPr>
          <w:rFonts w:ascii="Arial" w:hAnsi="Arial" w:cs="Arial"/>
          <w:bCs/>
          <w:sz w:val="20"/>
          <w:szCs w:val="20"/>
          <w:lang w:val="en-GB"/>
        </w:rPr>
        <w:t xml:space="preserve"> the performance of the </w:t>
      </w:r>
      <w:r w:rsidR="00406231" w:rsidRPr="005D4748">
        <w:rPr>
          <w:rFonts w:ascii="Arial" w:hAnsi="Arial" w:cs="Arial"/>
          <w:bCs/>
          <w:sz w:val="20"/>
          <w:szCs w:val="20"/>
          <w:lang w:val="en-GB"/>
        </w:rPr>
        <w:t xml:space="preserve">entities and the </w:t>
      </w:r>
      <w:r w:rsidR="00AD3020" w:rsidRPr="005D4748">
        <w:rPr>
          <w:rFonts w:ascii="Arial" w:hAnsi="Arial" w:cs="Arial"/>
          <w:bCs/>
          <w:sz w:val="20"/>
          <w:szCs w:val="20"/>
          <w:lang w:val="en-GB"/>
        </w:rPr>
        <w:t>relatively</w:t>
      </w:r>
      <w:r w:rsidR="00406231" w:rsidRPr="005D4748">
        <w:rPr>
          <w:rFonts w:ascii="Arial" w:hAnsi="Arial" w:cs="Arial"/>
          <w:bCs/>
          <w:sz w:val="20"/>
          <w:szCs w:val="20"/>
          <w:lang w:val="en-GB"/>
        </w:rPr>
        <w:t xml:space="preserve"> high </w:t>
      </w:r>
      <w:r w:rsidR="00AD3020" w:rsidRPr="005D4748">
        <w:rPr>
          <w:rFonts w:ascii="Arial" w:hAnsi="Arial" w:cs="Arial"/>
          <w:bCs/>
          <w:sz w:val="20"/>
          <w:szCs w:val="20"/>
          <w:lang w:val="en-GB"/>
        </w:rPr>
        <w:t>number</w:t>
      </w:r>
      <w:r w:rsidR="00406231" w:rsidRPr="005D4748">
        <w:rPr>
          <w:rFonts w:ascii="Arial" w:hAnsi="Arial" w:cs="Arial"/>
          <w:bCs/>
          <w:sz w:val="20"/>
          <w:szCs w:val="20"/>
          <w:lang w:val="en-GB"/>
        </w:rPr>
        <w:t xml:space="preserve"> of vacancies.</w:t>
      </w:r>
    </w:p>
    <w:p w:rsidR="00401004" w:rsidRPr="005D4748" w:rsidRDefault="00401004" w:rsidP="005D4748">
      <w:pPr>
        <w:pStyle w:val="BodyTextIndent"/>
        <w:numPr>
          <w:ilvl w:val="1"/>
          <w:numId w:val="1"/>
        </w:numPr>
        <w:tabs>
          <w:tab w:val="left" w:pos="851"/>
        </w:tabs>
        <w:spacing w:after="0"/>
        <w:ind w:left="851" w:hanging="851"/>
        <w:rPr>
          <w:rFonts w:ascii="Arial" w:hAnsi="Arial" w:cs="Arial"/>
          <w:sz w:val="20"/>
          <w:szCs w:val="20"/>
          <w:lang w:val="en-GB"/>
        </w:rPr>
      </w:pPr>
      <w:r w:rsidRPr="005D4748">
        <w:rPr>
          <w:rFonts w:ascii="Arial" w:hAnsi="Arial" w:cs="Arial"/>
          <w:sz w:val="20"/>
          <w:szCs w:val="20"/>
          <w:lang w:val="en-GB"/>
        </w:rPr>
        <w:t>Took cognisance of the 2023 MTEF funding requirements and pressures of the Department and entities and will endeavour to schedule a specific engagement on this, as well as to consider the potential impact of these funding requirements not being met.</w:t>
      </w:r>
    </w:p>
    <w:p w:rsidR="00401004" w:rsidRPr="005D4748" w:rsidRDefault="00401004" w:rsidP="005D4748">
      <w:pPr>
        <w:pStyle w:val="BodyTextIndent"/>
        <w:numPr>
          <w:ilvl w:val="1"/>
          <w:numId w:val="1"/>
        </w:numPr>
        <w:tabs>
          <w:tab w:val="left" w:pos="851"/>
        </w:tabs>
        <w:spacing w:after="0"/>
        <w:ind w:left="851" w:hanging="851"/>
        <w:rPr>
          <w:rFonts w:ascii="Arial" w:hAnsi="Arial" w:cs="Arial"/>
          <w:sz w:val="20"/>
          <w:szCs w:val="20"/>
          <w:lang w:val="en-GB"/>
        </w:rPr>
      </w:pPr>
      <w:r w:rsidRPr="005D4748">
        <w:rPr>
          <w:rFonts w:ascii="Arial" w:hAnsi="Arial" w:cs="Arial"/>
          <w:sz w:val="20"/>
          <w:szCs w:val="20"/>
          <w:lang w:val="en-GB"/>
        </w:rPr>
        <w:t xml:space="preserve">Noted a number of instances where the Department and entities exceeded their performance </w:t>
      </w:r>
      <w:r w:rsidR="0073573A" w:rsidRPr="005D4748">
        <w:rPr>
          <w:rFonts w:ascii="Arial" w:hAnsi="Arial" w:cs="Arial"/>
          <w:sz w:val="20"/>
          <w:szCs w:val="20"/>
          <w:lang w:val="en-GB"/>
        </w:rPr>
        <w:t>targets, leading the Committee to question the planning processes around target setting.</w:t>
      </w:r>
    </w:p>
    <w:p w:rsidR="006A2504" w:rsidRPr="005D4748" w:rsidRDefault="006A2504" w:rsidP="005D4748">
      <w:pPr>
        <w:pStyle w:val="BodyTextIndent"/>
        <w:numPr>
          <w:ilvl w:val="1"/>
          <w:numId w:val="1"/>
        </w:numPr>
        <w:tabs>
          <w:tab w:val="left" w:pos="851"/>
        </w:tabs>
        <w:spacing w:after="0"/>
        <w:ind w:left="851" w:hanging="851"/>
        <w:rPr>
          <w:rFonts w:ascii="Arial" w:hAnsi="Arial" w:cs="Arial"/>
          <w:sz w:val="20"/>
          <w:szCs w:val="20"/>
          <w:lang w:val="en-GB"/>
        </w:rPr>
      </w:pPr>
      <w:r w:rsidRPr="005D4748">
        <w:rPr>
          <w:rFonts w:ascii="Arial" w:hAnsi="Arial" w:cs="Arial"/>
          <w:sz w:val="20"/>
          <w:szCs w:val="20"/>
          <w:lang w:val="en-GB"/>
        </w:rPr>
        <w:t>Questioned</w:t>
      </w:r>
      <w:r w:rsidR="009D2FFE" w:rsidRPr="005D4748">
        <w:rPr>
          <w:rFonts w:ascii="Arial" w:hAnsi="Arial" w:cs="Arial"/>
          <w:sz w:val="20"/>
          <w:szCs w:val="20"/>
          <w:lang w:val="en-GB"/>
        </w:rPr>
        <w:t>,</w:t>
      </w:r>
      <w:r w:rsidRPr="005D4748">
        <w:rPr>
          <w:rFonts w:ascii="Arial" w:hAnsi="Arial" w:cs="Arial"/>
          <w:sz w:val="20"/>
          <w:szCs w:val="20"/>
          <w:lang w:val="en-GB"/>
        </w:rPr>
        <w:t xml:space="preserve"> in instances where targets were not achieved, how the Science Engagement programme </w:t>
      </w:r>
      <w:r w:rsidR="009D2FFE" w:rsidRPr="005D4748">
        <w:rPr>
          <w:rFonts w:ascii="Arial" w:hAnsi="Arial" w:cs="Arial"/>
          <w:sz w:val="20"/>
          <w:szCs w:val="20"/>
          <w:lang w:val="en-GB"/>
        </w:rPr>
        <w:t>was</w:t>
      </w:r>
      <w:r w:rsidRPr="005D4748">
        <w:rPr>
          <w:rFonts w:ascii="Arial" w:hAnsi="Arial" w:cs="Arial"/>
          <w:sz w:val="20"/>
          <w:szCs w:val="20"/>
          <w:lang w:val="en-GB"/>
        </w:rPr>
        <w:t xml:space="preserve"> being used to address the issues that negatively affected performance achievement.</w:t>
      </w:r>
    </w:p>
    <w:p w:rsidR="000D65BE" w:rsidRPr="005D4748" w:rsidRDefault="000D65BE" w:rsidP="005D4748">
      <w:pPr>
        <w:pStyle w:val="BodyTextIndent"/>
        <w:numPr>
          <w:ilvl w:val="1"/>
          <w:numId w:val="1"/>
        </w:numPr>
        <w:tabs>
          <w:tab w:val="left" w:pos="851"/>
        </w:tabs>
        <w:spacing w:after="0"/>
        <w:ind w:left="851" w:hanging="851"/>
        <w:rPr>
          <w:rFonts w:ascii="Arial" w:hAnsi="Arial" w:cs="Arial"/>
          <w:sz w:val="20"/>
          <w:szCs w:val="20"/>
          <w:lang w:val="en-GB"/>
        </w:rPr>
      </w:pPr>
      <w:r w:rsidRPr="005D4748">
        <w:rPr>
          <w:rFonts w:ascii="Arial" w:hAnsi="Arial" w:cs="Arial"/>
          <w:sz w:val="20"/>
          <w:szCs w:val="20"/>
          <w:lang w:val="en-GB"/>
        </w:rPr>
        <w:t>Welcomed the increased allocation for science awareness and outreach initiatives, especially since it encouraged youth participation in and understanding of science</w:t>
      </w:r>
      <w:r w:rsidR="001248B2" w:rsidRPr="005D4748">
        <w:rPr>
          <w:rFonts w:ascii="Arial" w:hAnsi="Arial" w:cs="Arial"/>
          <w:sz w:val="20"/>
          <w:szCs w:val="20"/>
          <w:lang w:val="en-GB"/>
        </w:rPr>
        <w:t>.</w:t>
      </w:r>
    </w:p>
    <w:p w:rsidR="009E0BC0" w:rsidRPr="005D4748" w:rsidRDefault="009E0BC0" w:rsidP="005D4748">
      <w:pPr>
        <w:pStyle w:val="BodyTextIndent"/>
        <w:tabs>
          <w:tab w:val="left" w:pos="851"/>
        </w:tabs>
        <w:spacing w:after="0"/>
        <w:ind w:left="0"/>
        <w:rPr>
          <w:rFonts w:ascii="Arial" w:hAnsi="Arial" w:cs="Arial"/>
          <w:sz w:val="20"/>
          <w:szCs w:val="20"/>
          <w:lang w:val="en-GB"/>
        </w:rPr>
      </w:pPr>
    </w:p>
    <w:p w:rsidR="007B0320" w:rsidRPr="005D4748" w:rsidRDefault="003C67D4" w:rsidP="005D4748">
      <w:pPr>
        <w:pStyle w:val="BodyTextIndent"/>
        <w:tabs>
          <w:tab w:val="left" w:pos="851"/>
        </w:tabs>
        <w:spacing w:after="0"/>
        <w:ind w:left="0"/>
        <w:rPr>
          <w:rFonts w:ascii="Arial" w:hAnsi="Arial" w:cs="Arial"/>
          <w:sz w:val="20"/>
          <w:szCs w:val="20"/>
          <w:lang w:val="en-GB"/>
        </w:rPr>
      </w:pPr>
      <w:r w:rsidRPr="005D4748">
        <w:rPr>
          <w:rFonts w:ascii="Arial" w:hAnsi="Arial" w:cs="Arial"/>
          <w:b/>
          <w:sz w:val="20"/>
          <w:szCs w:val="20"/>
          <w:lang w:val="en-GB"/>
        </w:rPr>
        <w:t>Entities</w:t>
      </w:r>
    </w:p>
    <w:p w:rsidR="00722197" w:rsidRPr="005D4748" w:rsidRDefault="00722197" w:rsidP="005D4748">
      <w:pPr>
        <w:pStyle w:val="BodyTextIndent"/>
        <w:numPr>
          <w:ilvl w:val="1"/>
          <w:numId w:val="1"/>
        </w:numPr>
        <w:tabs>
          <w:tab w:val="left" w:pos="851"/>
        </w:tabs>
        <w:spacing w:after="0"/>
        <w:ind w:left="851" w:hanging="851"/>
        <w:rPr>
          <w:rFonts w:ascii="Arial" w:hAnsi="Arial" w:cs="Arial"/>
          <w:sz w:val="20"/>
          <w:szCs w:val="20"/>
          <w:lang w:val="en-GB"/>
        </w:rPr>
      </w:pPr>
      <w:r w:rsidRPr="005D4748">
        <w:rPr>
          <w:rFonts w:ascii="Arial" w:hAnsi="Arial" w:cs="Arial"/>
          <w:sz w:val="20"/>
          <w:szCs w:val="20"/>
          <w:lang w:val="en-GB"/>
        </w:rPr>
        <w:t>Welcomed the largely positive performance and governance outcomes and noted with concern the regression in the HSRC’s audit opinion.</w:t>
      </w:r>
    </w:p>
    <w:p w:rsidR="007B0320" w:rsidRPr="005D4748" w:rsidRDefault="005679BC" w:rsidP="005D4748">
      <w:pPr>
        <w:pStyle w:val="BodyTextIndent"/>
        <w:numPr>
          <w:ilvl w:val="1"/>
          <w:numId w:val="1"/>
        </w:numPr>
        <w:tabs>
          <w:tab w:val="left" w:pos="851"/>
        </w:tabs>
        <w:spacing w:after="0"/>
        <w:ind w:left="851" w:hanging="851"/>
        <w:rPr>
          <w:rFonts w:ascii="Arial" w:hAnsi="Arial" w:cs="Arial"/>
          <w:sz w:val="20"/>
          <w:szCs w:val="20"/>
          <w:lang w:val="en-GB"/>
        </w:rPr>
      </w:pPr>
      <w:r w:rsidRPr="005D4748">
        <w:rPr>
          <w:rFonts w:ascii="Arial" w:hAnsi="Arial" w:cs="Arial"/>
          <w:sz w:val="20"/>
          <w:szCs w:val="20"/>
          <w:lang w:val="en-GB"/>
        </w:rPr>
        <w:t xml:space="preserve">Welcomed the </w:t>
      </w:r>
      <w:r w:rsidR="00436958" w:rsidRPr="005D4748">
        <w:rPr>
          <w:rFonts w:ascii="Arial" w:hAnsi="Arial" w:cs="Arial"/>
          <w:sz w:val="20"/>
          <w:szCs w:val="20"/>
          <w:lang w:val="en-GB"/>
        </w:rPr>
        <w:t xml:space="preserve">new </w:t>
      </w:r>
      <w:r w:rsidRPr="005D4748">
        <w:rPr>
          <w:rFonts w:ascii="Arial" w:hAnsi="Arial" w:cs="Arial"/>
          <w:sz w:val="20"/>
          <w:szCs w:val="20"/>
          <w:lang w:val="en-GB"/>
        </w:rPr>
        <w:t xml:space="preserve">Chairperson of the HSRC Board </w:t>
      </w:r>
      <w:r w:rsidR="00436958" w:rsidRPr="005D4748">
        <w:rPr>
          <w:rFonts w:ascii="Arial" w:hAnsi="Arial" w:cs="Arial"/>
          <w:sz w:val="20"/>
          <w:szCs w:val="20"/>
          <w:lang w:val="en-GB"/>
        </w:rPr>
        <w:t xml:space="preserve">and his assurances </w:t>
      </w:r>
      <w:r w:rsidR="004374C4" w:rsidRPr="005D4748">
        <w:rPr>
          <w:rFonts w:ascii="Arial" w:hAnsi="Arial" w:cs="Arial"/>
          <w:sz w:val="20"/>
          <w:szCs w:val="20"/>
          <w:lang w:val="en-GB"/>
        </w:rPr>
        <w:t xml:space="preserve">that </w:t>
      </w:r>
      <w:r w:rsidRPr="005D4748">
        <w:rPr>
          <w:rFonts w:ascii="Arial" w:hAnsi="Arial" w:cs="Arial"/>
          <w:sz w:val="20"/>
          <w:szCs w:val="20"/>
          <w:lang w:val="en-GB"/>
        </w:rPr>
        <w:t>all issues relat</w:t>
      </w:r>
      <w:r w:rsidR="00500598" w:rsidRPr="005D4748">
        <w:rPr>
          <w:rFonts w:ascii="Arial" w:hAnsi="Arial" w:cs="Arial"/>
          <w:sz w:val="20"/>
          <w:szCs w:val="20"/>
          <w:lang w:val="en-GB"/>
        </w:rPr>
        <w:t>ed</w:t>
      </w:r>
      <w:r w:rsidRPr="005D4748">
        <w:rPr>
          <w:rFonts w:ascii="Arial" w:hAnsi="Arial" w:cs="Arial"/>
          <w:sz w:val="20"/>
          <w:szCs w:val="20"/>
          <w:lang w:val="en-GB"/>
        </w:rPr>
        <w:t xml:space="preserve"> to </w:t>
      </w:r>
      <w:r w:rsidR="00500598" w:rsidRPr="005D4748">
        <w:rPr>
          <w:rFonts w:ascii="Arial" w:hAnsi="Arial" w:cs="Arial"/>
          <w:sz w:val="20"/>
          <w:szCs w:val="20"/>
          <w:lang w:val="en-GB"/>
        </w:rPr>
        <w:t xml:space="preserve">the </w:t>
      </w:r>
      <w:r w:rsidRPr="005D4748">
        <w:rPr>
          <w:rFonts w:ascii="Arial" w:hAnsi="Arial" w:cs="Arial"/>
          <w:sz w:val="20"/>
          <w:szCs w:val="20"/>
          <w:lang w:val="en-GB"/>
        </w:rPr>
        <w:t>audit opinion</w:t>
      </w:r>
      <w:r w:rsidR="004374C4" w:rsidRPr="005D4748">
        <w:rPr>
          <w:rFonts w:ascii="Arial" w:hAnsi="Arial" w:cs="Arial"/>
          <w:sz w:val="20"/>
          <w:szCs w:val="20"/>
          <w:lang w:val="en-GB"/>
        </w:rPr>
        <w:t xml:space="preserve"> will be addressed</w:t>
      </w:r>
      <w:r w:rsidR="00CE2BC0" w:rsidRPr="005D4748">
        <w:rPr>
          <w:rFonts w:ascii="Arial" w:hAnsi="Arial" w:cs="Arial"/>
          <w:sz w:val="20"/>
          <w:szCs w:val="20"/>
          <w:lang w:val="en-GB"/>
        </w:rPr>
        <w:t>,</w:t>
      </w:r>
      <w:r w:rsidRPr="005D4748">
        <w:rPr>
          <w:rFonts w:ascii="Arial" w:hAnsi="Arial" w:cs="Arial"/>
          <w:sz w:val="20"/>
          <w:szCs w:val="20"/>
          <w:lang w:val="en-GB"/>
        </w:rPr>
        <w:t xml:space="preserve"> </w:t>
      </w:r>
      <w:r w:rsidR="00500598" w:rsidRPr="005D4748">
        <w:rPr>
          <w:rFonts w:ascii="Arial" w:hAnsi="Arial" w:cs="Arial"/>
          <w:sz w:val="20"/>
          <w:szCs w:val="20"/>
          <w:lang w:val="en-GB"/>
        </w:rPr>
        <w:t xml:space="preserve">that the needed consequence management will be enforced and </w:t>
      </w:r>
      <w:r w:rsidR="00CE2BC0" w:rsidRPr="005D4748">
        <w:rPr>
          <w:rFonts w:ascii="Arial" w:hAnsi="Arial" w:cs="Arial"/>
          <w:sz w:val="20"/>
          <w:szCs w:val="20"/>
          <w:lang w:val="en-GB"/>
        </w:rPr>
        <w:t xml:space="preserve">that </w:t>
      </w:r>
      <w:r w:rsidR="00500598" w:rsidRPr="005D4748">
        <w:rPr>
          <w:rFonts w:ascii="Arial" w:hAnsi="Arial" w:cs="Arial"/>
          <w:sz w:val="20"/>
          <w:szCs w:val="20"/>
          <w:lang w:val="en-GB"/>
        </w:rPr>
        <w:t xml:space="preserve">the necessary monies </w:t>
      </w:r>
      <w:r w:rsidR="00CE2BC0" w:rsidRPr="005D4748">
        <w:rPr>
          <w:rFonts w:ascii="Arial" w:hAnsi="Arial" w:cs="Arial"/>
          <w:sz w:val="20"/>
          <w:szCs w:val="20"/>
          <w:lang w:val="en-GB"/>
        </w:rPr>
        <w:t xml:space="preserve">will be </w:t>
      </w:r>
      <w:r w:rsidR="00500598" w:rsidRPr="005D4748">
        <w:rPr>
          <w:rFonts w:ascii="Arial" w:hAnsi="Arial" w:cs="Arial"/>
          <w:sz w:val="20"/>
          <w:szCs w:val="20"/>
          <w:lang w:val="en-GB"/>
        </w:rPr>
        <w:t>recovered from staff</w:t>
      </w:r>
      <w:r w:rsidR="00CE2BC0" w:rsidRPr="005D4748">
        <w:rPr>
          <w:rFonts w:ascii="Arial" w:hAnsi="Arial" w:cs="Arial"/>
          <w:sz w:val="20"/>
          <w:szCs w:val="20"/>
          <w:lang w:val="en-GB"/>
        </w:rPr>
        <w:t>.</w:t>
      </w:r>
    </w:p>
    <w:p w:rsidR="00990ADD" w:rsidRPr="005D4748" w:rsidRDefault="00990ADD" w:rsidP="005D4748">
      <w:pPr>
        <w:pStyle w:val="BodyTextIndent"/>
        <w:numPr>
          <w:ilvl w:val="1"/>
          <w:numId w:val="1"/>
        </w:numPr>
        <w:tabs>
          <w:tab w:val="left" w:pos="851"/>
        </w:tabs>
        <w:spacing w:after="0"/>
        <w:ind w:left="851" w:hanging="851"/>
        <w:rPr>
          <w:rFonts w:ascii="Arial" w:hAnsi="Arial" w:cs="Arial"/>
          <w:sz w:val="20"/>
          <w:szCs w:val="20"/>
          <w:lang w:val="en-GB"/>
        </w:rPr>
      </w:pPr>
      <w:r w:rsidRPr="005D4748">
        <w:rPr>
          <w:rFonts w:ascii="Arial" w:hAnsi="Arial" w:cs="Arial"/>
          <w:sz w:val="20"/>
          <w:szCs w:val="20"/>
          <w:lang w:val="en-GB"/>
        </w:rPr>
        <w:t>Noted that the HSRC Board would continue engagements around the current funding model so that the future financial sustainability of the HSRC improves</w:t>
      </w:r>
      <w:r w:rsidR="00FA15FB" w:rsidRPr="005D4748">
        <w:rPr>
          <w:rFonts w:ascii="Arial" w:hAnsi="Arial" w:cs="Arial"/>
          <w:sz w:val="20"/>
          <w:szCs w:val="20"/>
          <w:lang w:val="en-GB"/>
        </w:rPr>
        <w:t>.</w:t>
      </w:r>
    </w:p>
    <w:p w:rsidR="004374C4" w:rsidRPr="005D4748" w:rsidRDefault="004374C4" w:rsidP="005D4748">
      <w:pPr>
        <w:pStyle w:val="BodyTextIndent"/>
        <w:numPr>
          <w:ilvl w:val="1"/>
          <w:numId w:val="1"/>
        </w:numPr>
        <w:tabs>
          <w:tab w:val="left" w:pos="851"/>
        </w:tabs>
        <w:spacing w:after="0"/>
        <w:ind w:left="851" w:hanging="851"/>
        <w:rPr>
          <w:rFonts w:ascii="Arial" w:hAnsi="Arial" w:cs="Arial"/>
          <w:sz w:val="20"/>
          <w:szCs w:val="20"/>
          <w:lang w:val="en-GB"/>
        </w:rPr>
      </w:pPr>
      <w:r w:rsidRPr="005D4748">
        <w:rPr>
          <w:rFonts w:ascii="Arial" w:hAnsi="Arial" w:cs="Arial"/>
          <w:sz w:val="20"/>
          <w:szCs w:val="20"/>
          <w:lang w:val="en-GB"/>
        </w:rPr>
        <w:t xml:space="preserve">Stressed that </w:t>
      </w:r>
      <w:r w:rsidR="00CF10BB" w:rsidRPr="005D4748">
        <w:rPr>
          <w:rFonts w:ascii="Arial" w:hAnsi="Arial" w:cs="Arial"/>
          <w:sz w:val="20"/>
          <w:szCs w:val="20"/>
          <w:lang w:val="en-GB"/>
        </w:rPr>
        <w:t xml:space="preserve">when supply chain management processes are not adhered to, </w:t>
      </w:r>
      <w:r w:rsidRPr="005D4748">
        <w:rPr>
          <w:rFonts w:ascii="Arial" w:hAnsi="Arial" w:cs="Arial"/>
          <w:sz w:val="20"/>
          <w:szCs w:val="20"/>
          <w:lang w:val="en-GB"/>
        </w:rPr>
        <w:t>entities must ensure adequate consequence management</w:t>
      </w:r>
      <w:r w:rsidR="00CF10BB" w:rsidRPr="005D4748">
        <w:rPr>
          <w:rFonts w:ascii="Arial" w:hAnsi="Arial" w:cs="Arial"/>
          <w:sz w:val="20"/>
          <w:szCs w:val="20"/>
          <w:lang w:val="en-GB"/>
        </w:rPr>
        <w:t>.</w:t>
      </w:r>
    </w:p>
    <w:p w:rsidR="00C26D93" w:rsidRPr="005D4748" w:rsidRDefault="00C26D93" w:rsidP="005D4748">
      <w:pPr>
        <w:pStyle w:val="BodyTextIndent"/>
        <w:numPr>
          <w:ilvl w:val="1"/>
          <w:numId w:val="1"/>
        </w:numPr>
        <w:tabs>
          <w:tab w:val="left" w:pos="851"/>
        </w:tabs>
        <w:spacing w:after="0"/>
        <w:ind w:left="851" w:hanging="851"/>
        <w:rPr>
          <w:rFonts w:ascii="Arial" w:hAnsi="Arial" w:cs="Arial"/>
          <w:sz w:val="20"/>
          <w:szCs w:val="20"/>
          <w:lang w:val="en-GB"/>
        </w:rPr>
      </w:pPr>
      <w:r w:rsidRPr="005D4748">
        <w:rPr>
          <w:rFonts w:ascii="Arial" w:hAnsi="Arial" w:cs="Arial"/>
          <w:sz w:val="20"/>
          <w:szCs w:val="20"/>
          <w:lang w:val="en-GB"/>
        </w:rPr>
        <w:lastRenderedPageBreak/>
        <w:t>Welcomed that some of the senior management and critical skills vacancies would be filled during the current financial year, especially the CEO positions of the HSRC and SANSA. However, in the case of TIA, the CEO position would be filled once the Minister of Higher Education, Science and Innovation has briefed the new Board on the outcomes of TIA’s institutional review.</w:t>
      </w:r>
    </w:p>
    <w:p w:rsidR="009D2FFE" w:rsidRPr="005D4748" w:rsidRDefault="009D2FFE" w:rsidP="005D4748">
      <w:pPr>
        <w:pStyle w:val="BodyTextIndent"/>
        <w:numPr>
          <w:ilvl w:val="1"/>
          <w:numId w:val="1"/>
        </w:numPr>
        <w:tabs>
          <w:tab w:val="left" w:pos="851"/>
        </w:tabs>
        <w:spacing w:after="0"/>
        <w:ind w:left="851" w:hanging="851"/>
        <w:rPr>
          <w:rFonts w:ascii="Arial" w:hAnsi="Arial" w:cs="Arial"/>
          <w:sz w:val="20"/>
          <w:szCs w:val="20"/>
          <w:lang w:val="en-GB"/>
        </w:rPr>
      </w:pPr>
      <w:r w:rsidRPr="005D4748">
        <w:rPr>
          <w:rFonts w:ascii="Arial" w:hAnsi="Arial" w:cs="Arial"/>
          <w:sz w:val="20"/>
          <w:szCs w:val="20"/>
          <w:lang w:val="en-GB"/>
        </w:rPr>
        <w:t>Noted the plans by, specifically the CSIR and the HSRC, to attract and retain the needed SET staff.</w:t>
      </w:r>
    </w:p>
    <w:p w:rsidR="007B0320" w:rsidRPr="005D4748" w:rsidRDefault="00C26D93" w:rsidP="005D4748">
      <w:pPr>
        <w:pStyle w:val="BodyTextIndent"/>
        <w:numPr>
          <w:ilvl w:val="1"/>
          <w:numId w:val="1"/>
        </w:numPr>
        <w:tabs>
          <w:tab w:val="left" w:pos="851"/>
        </w:tabs>
        <w:spacing w:after="0"/>
        <w:ind w:left="851" w:hanging="851"/>
        <w:rPr>
          <w:rFonts w:ascii="Arial" w:hAnsi="Arial" w:cs="Arial"/>
          <w:sz w:val="20"/>
          <w:szCs w:val="20"/>
          <w:lang w:val="en-GB"/>
        </w:rPr>
      </w:pPr>
      <w:r w:rsidRPr="005D4748">
        <w:rPr>
          <w:rFonts w:ascii="Arial" w:hAnsi="Arial" w:cs="Arial"/>
          <w:sz w:val="20"/>
          <w:szCs w:val="20"/>
          <w:lang w:val="en-GB"/>
        </w:rPr>
        <w:t>Noted the support for the commercialisation of locally developed technologies and innovations through the G</w:t>
      </w:r>
      <w:r w:rsidR="00A06C39" w:rsidRPr="005D4748">
        <w:rPr>
          <w:rFonts w:ascii="Arial" w:hAnsi="Arial" w:cs="Arial"/>
          <w:sz w:val="20"/>
          <w:szCs w:val="20"/>
          <w:lang w:val="en-GB"/>
        </w:rPr>
        <w:t xml:space="preserve">rassroots </w:t>
      </w:r>
      <w:r w:rsidRPr="005D4748">
        <w:rPr>
          <w:rFonts w:ascii="Arial" w:hAnsi="Arial" w:cs="Arial"/>
          <w:sz w:val="20"/>
          <w:szCs w:val="20"/>
          <w:lang w:val="en-GB"/>
        </w:rPr>
        <w:t>I</w:t>
      </w:r>
      <w:r w:rsidR="00A06C39" w:rsidRPr="005D4748">
        <w:rPr>
          <w:rFonts w:ascii="Arial" w:hAnsi="Arial" w:cs="Arial"/>
          <w:sz w:val="20"/>
          <w:szCs w:val="20"/>
          <w:lang w:val="en-GB"/>
        </w:rPr>
        <w:t xml:space="preserve">nnovation </w:t>
      </w:r>
      <w:r w:rsidRPr="005D4748">
        <w:rPr>
          <w:rFonts w:ascii="Arial" w:hAnsi="Arial" w:cs="Arial"/>
          <w:sz w:val="20"/>
          <w:szCs w:val="20"/>
          <w:lang w:val="en-GB"/>
        </w:rPr>
        <w:t>P</w:t>
      </w:r>
      <w:r w:rsidR="00A06C39" w:rsidRPr="005D4748">
        <w:rPr>
          <w:rFonts w:ascii="Arial" w:hAnsi="Arial" w:cs="Arial"/>
          <w:sz w:val="20"/>
          <w:szCs w:val="20"/>
          <w:lang w:val="en-GB"/>
        </w:rPr>
        <w:t>rogramme</w:t>
      </w:r>
      <w:r w:rsidR="00E4315C" w:rsidRPr="005D4748">
        <w:rPr>
          <w:rFonts w:ascii="Arial" w:hAnsi="Arial" w:cs="Arial"/>
          <w:sz w:val="20"/>
          <w:szCs w:val="20"/>
          <w:lang w:val="en-GB"/>
        </w:rPr>
        <w:t>, managed by TIA</w:t>
      </w:r>
      <w:r w:rsidRPr="005D4748">
        <w:rPr>
          <w:rFonts w:ascii="Arial" w:hAnsi="Arial" w:cs="Arial"/>
          <w:sz w:val="20"/>
          <w:szCs w:val="20"/>
          <w:lang w:val="en-GB"/>
        </w:rPr>
        <w:t xml:space="preserve">. However, the Committee maintained that this was inadequate to service the demands </w:t>
      </w:r>
      <w:r w:rsidR="00A06C39" w:rsidRPr="005D4748">
        <w:rPr>
          <w:rFonts w:ascii="Arial" w:hAnsi="Arial" w:cs="Arial"/>
          <w:sz w:val="20"/>
          <w:szCs w:val="20"/>
          <w:lang w:val="en-GB"/>
        </w:rPr>
        <w:t>of</w:t>
      </w:r>
      <w:r w:rsidRPr="005D4748">
        <w:rPr>
          <w:rFonts w:ascii="Arial" w:hAnsi="Arial" w:cs="Arial"/>
          <w:sz w:val="20"/>
          <w:szCs w:val="20"/>
          <w:lang w:val="en-GB"/>
        </w:rPr>
        <w:t xml:space="preserve"> youth, women</w:t>
      </w:r>
      <w:r w:rsidR="00A06C39" w:rsidRPr="005D4748">
        <w:rPr>
          <w:rFonts w:ascii="Arial" w:hAnsi="Arial" w:cs="Arial"/>
          <w:sz w:val="20"/>
          <w:szCs w:val="20"/>
          <w:lang w:val="en-GB"/>
        </w:rPr>
        <w:t>,</w:t>
      </w:r>
      <w:r w:rsidRPr="005D4748">
        <w:rPr>
          <w:rFonts w:ascii="Arial" w:hAnsi="Arial" w:cs="Arial"/>
          <w:sz w:val="20"/>
          <w:szCs w:val="20"/>
          <w:lang w:val="en-GB"/>
        </w:rPr>
        <w:t xml:space="preserve"> people with disabilities and unemployed graduates </w:t>
      </w:r>
      <w:r w:rsidR="00A06C39" w:rsidRPr="005D4748">
        <w:rPr>
          <w:rFonts w:ascii="Arial" w:hAnsi="Arial" w:cs="Arial"/>
          <w:sz w:val="20"/>
          <w:szCs w:val="20"/>
          <w:lang w:val="en-GB"/>
        </w:rPr>
        <w:t>who wanted to be</w:t>
      </w:r>
      <w:r w:rsidRPr="005D4748">
        <w:rPr>
          <w:rFonts w:ascii="Arial" w:hAnsi="Arial" w:cs="Arial"/>
          <w:sz w:val="20"/>
          <w:szCs w:val="20"/>
          <w:lang w:val="en-GB"/>
        </w:rPr>
        <w:t xml:space="preserve"> entrepreneurs.</w:t>
      </w:r>
    </w:p>
    <w:p w:rsidR="007A3BDC" w:rsidRPr="005D4748" w:rsidRDefault="00E4315C" w:rsidP="005D4748">
      <w:pPr>
        <w:pStyle w:val="BodyTextIndent"/>
        <w:numPr>
          <w:ilvl w:val="1"/>
          <w:numId w:val="1"/>
        </w:numPr>
        <w:tabs>
          <w:tab w:val="left" w:pos="851"/>
        </w:tabs>
        <w:spacing w:after="0"/>
        <w:ind w:left="851" w:hanging="851"/>
        <w:rPr>
          <w:rFonts w:ascii="Arial" w:hAnsi="Arial" w:cs="Arial"/>
          <w:sz w:val="20"/>
          <w:szCs w:val="20"/>
          <w:lang w:val="en-GB"/>
        </w:rPr>
      </w:pPr>
      <w:r w:rsidRPr="005D4748">
        <w:rPr>
          <w:rFonts w:ascii="Arial" w:hAnsi="Arial" w:cs="Arial"/>
          <w:sz w:val="20"/>
          <w:szCs w:val="20"/>
          <w:lang w:val="en-GB"/>
        </w:rPr>
        <w:t xml:space="preserve">Noted </w:t>
      </w:r>
      <w:r w:rsidR="007A3BDC" w:rsidRPr="005D4748">
        <w:rPr>
          <w:rFonts w:ascii="Arial" w:hAnsi="Arial" w:cs="Arial"/>
          <w:sz w:val="20"/>
          <w:szCs w:val="20"/>
          <w:lang w:val="en-GB"/>
        </w:rPr>
        <w:t xml:space="preserve">that </w:t>
      </w:r>
      <w:r w:rsidRPr="005D4748">
        <w:rPr>
          <w:rFonts w:ascii="Arial" w:hAnsi="Arial" w:cs="Arial"/>
          <w:sz w:val="20"/>
          <w:szCs w:val="20"/>
          <w:lang w:val="en-GB"/>
        </w:rPr>
        <w:t xml:space="preserve">SANSA is experiencing </w:t>
      </w:r>
      <w:r w:rsidR="001F697C" w:rsidRPr="005D4748">
        <w:rPr>
          <w:rFonts w:ascii="Arial" w:hAnsi="Arial" w:cs="Arial"/>
          <w:sz w:val="20"/>
          <w:szCs w:val="20"/>
          <w:lang w:val="en-GB"/>
        </w:rPr>
        <w:t xml:space="preserve">issues </w:t>
      </w:r>
      <w:r w:rsidRPr="005D4748">
        <w:rPr>
          <w:rFonts w:ascii="Arial" w:hAnsi="Arial" w:cs="Arial"/>
          <w:sz w:val="20"/>
          <w:szCs w:val="20"/>
          <w:lang w:val="en-GB"/>
        </w:rPr>
        <w:t>in relation to the protection of its sites from radio frequency and magnetic interference</w:t>
      </w:r>
      <w:r w:rsidR="007A3BDC" w:rsidRPr="005D4748">
        <w:rPr>
          <w:rFonts w:ascii="Arial" w:hAnsi="Arial" w:cs="Arial"/>
          <w:sz w:val="20"/>
          <w:szCs w:val="20"/>
          <w:lang w:val="en-GB"/>
        </w:rPr>
        <w:t xml:space="preserve"> and that it requires the cooperation of all spheres of government to address.</w:t>
      </w:r>
    </w:p>
    <w:p w:rsidR="00E4315C" w:rsidRPr="005D4748" w:rsidRDefault="001F697C" w:rsidP="005D4748">
      <w:pPr>
        <w:pStyle w:val="BodyTextIndent"/>
        <w:numPr>
          <w:ilvl w:val="1"/>
          <w:numId w:val="1"/>
        </w:numPr>
        <w:tabs>
          <w:tab w:val="left" w:pos="851"/>
        </w:tabs>
        <w:spacing w:after="0"/>
        <w:ind w:left="851" w:hanging="851"/>
        <w:rPr>
          <w:rFonts w:ascii="Arial" w:hAnsi="Arial" w:cs="Arial"/>
          <w:sz w:val="20"/>
          <w:szCs w:val="20"/>
          <w:lang w:val="en-GB"/>
        </w:rPr>
      </w:pPr>
      <w:r w:rsidRPr="005D4748">
        <w:rPr>
          <w:rFonts w:ascii="Arial" w:hAnsi="Arial" w:cs="Arial"/>
          <w:sz w:val="20"/>
          <w:szCs w:val="20"/>
          <w:lang w:val="en-GB"/>
        </w:rPr>
        <w:t xml:space="preserve">Noted </w:t>
      </w:r>
      <w:r w:rsidR="00E4315C" w:rsidRPr="005D4748">
        <w:rPr>
          <w:rFonts w:ascii="Arial" w:hAnsi="Arial" w:cs="Arial"/>
          <w:sz w:val="20"/>
          <w:szCs w:val="20"/>
          <w:lang w:val="en-GB"/>
        </w:rPr>
        <w:t xml:space="preserve">the delays around the </w:t>
      </w:r>
      <w:r w:rsidRPr="005D4748">
        <w:rPr>
          <w:rFonts w:ascii="Arial" w:hAnsi="Arial" w:cs="Arial"/>
          <w:sz w:val="20"/>
          <w:szCs w:val="20"/>
          <w:lang w:val="en-GB"/>
        </w:rPr>
        <w:t xml:space="preserve">ongoing </w:t>
      </w:r>
      <w:r w:rsidR="00E4315C" w:rsidRPr="005D4748">
        <w:rPr>
          <w:rFonts w:ascii="Arial" w:hAnsi="Arial" w:cs="Arial"/>
          <w:sz w:val="20"/>
          <w:szCs w:val="20"/>
          <w:lang w:val="en-GB"/>
        </w:rPr>
        <w:t>negotiations to transfer the Houwteq AIT facility from Denel to SANSA, so that this critical infrastructure is not lost.</w:t>
      </w:r>
    </w:p>
    <w:p w:rsidR="00C00498" w:rsidRPr="005D4748" w:rsidRDefault="007C5D8A" w:rsidP="005D4748">
      <w:pPr>
        <w:pStyle w:val="BodyTextIndent"/>
        <w:numPr>
          <w:ilvl w:val="1"/>
          <w:numId w:val="1"/>
        </w:numPr>
        <w:tabs>
          <w:tab w:val="left" w:pos="851"/>
        </w:tabs>
        <w:spacing w:after="0"/>
        <w:ind w:left="851" w:hanging="851"/>
        <w:rPr>
          <w:rFonts w:ascii="Arial" w:hAnsi="Arial" w:cs="Arial"/>
          <w:sz w:val="20"/>
          <w:szCs w:val="20"/>
          <w:lang w:val="en-GB"/>
        </w:rPr>
      </w:pPr>
      <w:r w:rsidRPr="005D4748">
        <w:rPr>
          <w:rFonts w:ascii="Arial" w:hAnsi="Arial" w:cs="Arial"/>
          <w:sz w:val="20"/>
          <w:szCs w:val="20"/>
          <w:lang w:val="en-GB"/>
        </w:rPr>
        <w:t>N</w:t>
      </w:r>
      <w:r w:rsidR="00C00498" w:rsidRPr="005D4748">
        <w:rPr>
          <w:rFonts w:ascii="Arial" w:hAnsi="Arial" w:cs="Arial"/>
          <w:sz w:val="20"/>
          <w:szCs w:val="20"/>
          <w:lang w:val="en-GB"/>
        </w:rPr>
        <w:t xml:space="preserve">oted the negative impact of </w:t>
      </w:r>
      <w:r w:rsidRPr="005D4748">
        <w:rPr>
          <w:rFonts w:ascii="Arial" w:hAnsi="Arial" w:cs="Arial"/>
          <w:sz w:val="20"/>
          <w:szCs w:val="20"/>
          <w:lang w:val="en-GB"/>
        </w:rPr>
        <w:t>procurement</w:t>
      </w:r>
      <w:r w:rsidR="00C00498" w:rsidRPr="005D4748">
        <w:rPr>
          <w:rFonts w:ascii="Arial" w:hAnsi="Arial" w:cs="Arial"/>
          <w:sz w:val="20"/>
          <w:szCs w:val="20"/>
          <w:lang w:val="en-GB"/>
        </w:rPr>
        <w:t xml:space="preserve"> </w:t>
      </w:r>
      <w:r w:rsidRPr="005D4748">
        <w:rPr>
          <w:rFonts w:ascii="Arial" w:hAnsi="Arial" w:cs="Arial"/>
          <w:sz w:val="20"/>
          <w:szCs w:val="20"/>
          <w:lang w:val="en-GB"/>
        </w:rPr>
        <w:t>r</w:t>
      </w:r>
      <w:r w:rsidR="00C00498" w:rsidRPr="005D4748">
        <w:rPr>
          <w:rFonts w:ascii="Arial" w:hAnsi="Arial" w:cs="Arial"/>
          <w:sz w:val="20"/>
          <w:szCs w:val="20"/>
          <w:lang w:val="en-GB"/>
        </w:rPr>
        <w:t xml:space="preserve">egulations on </w:t>
      </w:r>
      <w:r w:rsidRPr="005D4748">
        <w:rPr>
          <w:rFonts w:ascii="Arial" w:hAnsi="Arial" w:cs="Arial"/>
          <w:sz w:val="20"/>
          <w:szCs w:val="20"/>
          <w:lang w:val="en-GB"/>
        </w:rPr>
        <w:t>the ability of entities to earn contract income from the public sector. Entities are required to compete with private organisations that are larger and/or better resourced; hence, their bids may be lower even if they do not have the same level of expertise as the entities, for these tenders.</w:t>
      </w:r>
    </w:p>
    <w:p w:rsidR="003D0570" w:rsidRPr="005D4748" w:rsidRDefault="008D2B9E" w:rsidP="005D4748">
      <w:pPr>
        <w:pStyle w:val="BodyTextIndent"/>
        <w:numPr>
          <w:ilvl w:val="1"/>
          <w:numId w:val="1"/>
        </w:numPr>
        <w:tabs>
          <w:tab w:val="left" w:pos="851"/>
        </w:tabs>
        <w:spacing w:after="0"/>
        <w:ind w:left="851" w:hanging="851"/>
        <w:rPr>
          <w:rFonts w:ascii="Arial" w:hAnsi="Arial" w:cs="Arial"/>
          <w:sz w:val="20"/>
          <w:szCs w:val="20"/>
          <w:lang w:val="en-GB"/>
        </w:rPr>
      </w:pPr>
      <w:r w:rsidRPr="005D4748">
        <w:rPr>
          <w:rFonts w:ascii="Arial" w:hAnsi="Arial" w:cs="Arial"/>
          <w:sz w:val="20"/>
          <w:szCs w:val="20"/>
          <w:lang w:val="en-GB"/>
        </w:rPr>
        <w:t xml:space="preserve">Noted the </w:t>
      </w:r>
      <w:r w:rsidR="006A695A" w:rsidRPr="005D4748">
        <w:rPr>
          <w:rFonts w:ascii="Arial" w:hAnsi="Arial" w:cs="Arial"/>
          <w:sz w:val="20"/>
          <w:szCs w:val="20"/>
          <w:lang w:val="en-GB"/>
        </w:rPr>
        <w:t xml:space="preserve">ongoing funding constraints for postgraduate study and welcomed the </w:t>
      </w:r>
      <w:r w:rsidRPr="005D4748">
        <w:rPr>
          <w:rFonts w:ascii="Arial" w:hAnsi="Arial" w:cs="Arial"/>
          <w:sz w:val="20"/>
          <w:szCs w:val="20"/>
          <w:lang w:val="en-GB"/>
        </w:rPr>
        <w:t xml:space="preserve">effort to collaborate with the National Student Financial Aid Scheme and other government entities to consolidate </w:t>
      </w:r>
      <w:r w:rsidR="006A695A" w:rsidRPr="005D4748">
        <w:rPr>
          <w:rFonts w:ascii="Arial" w:hAnsi="Arial" w:cs="Arial"/>
          <w:sz w:val="20"/>
          <w:szCs w:val="20"/>
          <w:lang w:val="en-GB"/>
        </w:rPr>
        <w:t xml:space="preserve">the </w:t>
      </w:r>
      <w:r w:rsidRPr="005D4748">
        <w:rPr>
          <w:rFonts w:ascii="Arial" w:hAnsi="Arial" w:cs="Arial"/>
          <w:sz w:val="20"/>
          <w:szCs w:val="20"/>
          <w:lang w:val="en-GB"/>
        </w:rPr>
        <w:t xml:space="preserve">funding </w:t>
      </w:r>
      <w:r w:rsidR="006A695A" w:rsidRPr="005D4748">
        <w:rPr>
          <w:rFonts w:ascii="Arial" w:hAnsi="Arial" w:cs="Arial"/>
          <w:sz w:val="20"/>
          <w:szCs w:val="20"/>
          <w:lang w:val="en-GB"/>
        </w:rPr>
        <w:t xml:space="preserve">strategy </w:t>
      </w:r>
      <w:r w:rsidRPr="005D4748">
        <w:rPr>
          <w:rFonts w:ascii="Arial" w:hAnsi="Arial" w:cs="Arial"/>
          <w:sz w:val="20"/>
          <w:szCs w:val="20"/>
          <w:lang w:val="en-GB"/>
        </w:rPr>
        <w:t>for postgraduate students.</w:t>
      </w:r>
    </w:p>
    <w:p w:rsidR="00635392" w:rsidRPr="005D4748" w:rsidRDefault="00635392" w:rsidP="005D4748">
      <w:pPr>
        <w:pStyle w:val="BodyTextIndent"/>
        <w:numPr>
          <w:ilvl w:val="1"/>
          <w:numId w:val="1"/>
        </w:numPr>
        <w:tabs>
          <w:tab w:val="left" w:pos="851"/>
        </w:tabs>
        <w:spacing w:after="0"/>
        <w:ind w:left="851" w:hanging="851"/>
        <w:rPr>
          <w:rFonts w:ascii="Arial" w:hAnsi="Arial" w:cs="Arial"/>
          <w:sz w:val="20"/>
          <w:szCs w:val="20"/>
          <w:lang w:val="en-GB"/>
        </w:rPr>
      </w:pPr>
      <w:r w:rsidRPr="005D4748">
        <w:rPr>
          <w:rFonts w:ascii="Arial" w:hAnsi="Arial" w:cs="Arial"/>
          <w:sz w:val="20"/>
          <w:szCs w:val="20"/>
          <w:lang w:val="en-GB"/>
        </w:rPr>
        <w:t>Welcomed the e-certification innovation funded by TIA that automatically certifies documents.</w:t>
      </w:r>
      <w:r w:rsidR="00D05420" w:rsidRPr="005D4748">
        <w:rPr>
          <w:rFonts w:ascii="Arial" w:hAnsi="Arial" w:cs="Arial"/>
          <w:sz w:val="20"/>
          <w:szCs w:val="20"/>
          <w:lang w:val="en-GB"/>
        </w:rPr>
        <w:t xml:space="preserve"> </w:t>
      </w:r>
      <w:r w:rsidR="009F2D91" w:rsidRPr="005D4748">
        <w:rPr>
          <w:rFonts w:ascii="Arial" w:hAnsi="Arial" w:cs="Arial"/>
          <w:sz w:val="20"/>
          <w:szCs w:val="20"/>
          <w:lang w:val="en-GB"/>
        </w:rPr>
        <w:t>The Committee encouraged that these types of innovations should be considered by, for example, the South African Police Service who devote huge amounts of human resources</w:t>
      </w:r>
      <w:r w:rsidR="001C2E8F" w:rsidRPr="005D4748">
        <w:rPr>
          <w:rFonts w:ascii="Arial" w:hAnsi="Arial" w:cs="Arial"/>
          <w:sz w:val="20"/>
          <w:szCs w:val="20"/>
          <w:lang w:val="en-GB"/>
        </w:rPr>
        <w:t xml:space="preserve"> to manually certify documents.</w:t>
      </w:r>
    </w:p>
    <w:p w:rsidR="00E125AF" w:rsidRPr="005D4748" w:rsidRDefault="005C5BAE" w:rsidP="005D4748">
      <w:pPr>
        <w:pStyle w:val="BodyTextIndent"/>
        <w:numPr>
          <w:ilvl w:val="1"/>
          <w:numId w:val="1"/>
        </w:numPr>
        <w:tabs>
          <w:tab w:val="left" w:pos="851"/>
        </w:tabs>
        <w:spacing w:after="0"/>
        <w:ind w:left="851" w:hanging="851"/>
        <w:rPr>
          <w:rFonts w:ascii="Arial" w:hAnsi="Arial" w:cs="Arial"/>
          <w:sz w:val="20"/>
          <w:szCs w:val="20"/>
          <w:lang w:val="en-GB"/>
        </w:rPr>
      </w:pPr>
      <w:r w:rsidRPr="005D4748">
        <w:rPr>
          <w:rFonts w:ascii="Arial" w:hAnsi="Arial" w:cs="Arial"/>
          <w:sz w:val="20"/>
          <w:szCs w:val="20"/>
          <w:lang w:val="en-GB"/>
        </w:rPr>
        <w:t>Welcomed the initiative of the NRF to incorporate the use of indigenous languages in its science awareness programme through a partnership with community radio stations in rural areas.</w:t>
      </w:r>
    </w:p>
    <w:p w:rsidR="001C1C6E" w:rsidRPr="005D4748" w:rsidRDefault="001C1C6E" w:rsidP="005D4748">
      <w:pPr>
        <w:pStyle w:val="BodyTextIndent"/>
        <w:spacing w:after="0"/>
        <w:ind w:left="0"/>
        <w:rPr>
          <w:rFonts w:ascii="Arial" w:hAnsi="Arial" w:cs="Arial"/>
          <w:sz w:val="20"/>
          <w:szCs w:val="20"/>
          <w:lang w:val="en-GB"/>
        </w:rPr>
      </w:pPr>
    </w:p>
    <w:p w:rsidR="00C53114" w:rsidRPr="005D4748" w:rsidRDefault="00C53114" w:rsidP="005D4748">
      <w:pPr>
        <w:pStyle w:val="BodyTextIndent"/>
        <w:numPr>
          <w:ilvl w:val="0"/>
          <w:numId w:val="1"/>
        </w:numPr>
        <w:spacing w:after="0"/>
        <w:ind w:left="0" w:firstLine="0"/>
        <w:rPr>
          <w:rFonts w:ascii="Arial" w:hAnsi="Arial" w:cs="Arial"/>
          <w:b/>
          <w:sz w:val="20"/>
          <w:szCs w:val="20"/>
          <w:lang w:val="en-GB"/>
        </w:rPr>
      </w:pPr>
      <w:r w:rsidRPr="005D4748">
        <w:rPr>
          <w:rFonts w:ascii="Arial" w:hAnsi="Arial" w:cs="Arial"/>
          <w:b/>
          <w:sz w:val="20"/>
          <w:szCs w:val="20"/>
          <w:lang w:val="en-GB"/>
        </w:rPr>
        <w:t>RECOMMENDATIONS</w:t>
      </w:r>
    </w:p>
    <w:p w:rsidR="00C53114" w:rsidRPr="005D4748" w:rsidRDefault="00C53114" w:rsidP="005D4748">
      <w:pPr>
        <w:spacing w:after="0" w:line="240" w:lineRule="auto"/>
        <w:rPr>
          <w:rFonts w:ascii="Arial" w:hAnsi="Arial" w:cs="Arial"/>
          <w:sz w:val="20"/>
          <w:szCs w:val="20"/>
          <w:lang w:val="en-GB"/>
        </w:rPr>
      </w:pPr>
    </w:p>
    <w:p w:rsidR="00C53114" w:rsidRPr="005D4748" w:rsidRDefault="00C53114" w:rsidP="005D4748">
      <w:pPr>
        <w:spacing w:after="0" w:line="240" w:lineRule="auto"/>
        <w:rPr>
          <w:rFonts w:ascii="Arial" w:hAnsi="Arial" w:cs="Arial"/>
          <w:sz w:val="20"/>
          <w:szCs w:val="20"/>
          <w:lang w:val="en-GB"/>
        </w:rPr>
      </w:pPr>
      <w:r w:rsidRPr="005D4748">
        <w:rPr>
          <w:rFonts w:ascii="Arial" w:hAnsi="Arial" w:cs="Arial"/>
          <w:sz w:val="20"/>
          <w:szCs w:val="20"/>
          <w:lang w:val="en-GB"/>
        </w:rPr>
        <w:t xml:space="preserve">The Portfolio Committee on </w:t>
      </w:r>
      <w:r w:rsidR="009821FE" w:rsidRPr="005D4748">
        <w:rPr>
          <w:rFonts w:ascii="Arial" w:hAnsi="Arial" w:cs="Arial"/>
          <w:sz w:val="20"/>
          <w:szCs w:val="20"/>
          <w:lang w:val="en-GB"/>
        </w:rPr>
        <w:t xml:space="preserve">Higher Education, </w:t>
      </w:r>
      <w:r w:rsidRPr="005D4748">
        <w:rPr>
          <w:rFonts w:ascii="Arial" w:hAnsi="Arial" w:cs="Arial"/>
          <w:sz w:val="20"/>
          <w:szCs w:val="20"/>
          <w:lang w:val="en-GB"/>
        </w:rPr>
        <w:t xml:space="preserve">Science and </w:t>
      </w:r>
      <w:r w:rsidR="00AA1A0F" w:rsidRPr="005D4748">
        <w:rPr>
          <w:rFonts w:ascii="Arial" w:hAnsi="Arial" w:cs="Arial"/>
          <w:sz w:val="20"/>
          <w:szCs w:val="20"/>
          <w:lang w:val="en-GB"/>
        </w:rPr>
        <w:t xml:space="preserve">Innovation </w:t>
      </w:r>
      <w:r w:rsidRPr="005D4748">
        <w:rPr>
          <w:rFonts w:ascii="Arial" w:hAnsi="Arial" w:cs="Arial"/>
          <w:sz w:val="20"/>
          <w:szCs w:val="20"/>
          <w:lang w:val="en-GB"/>
        </w:rPr>
        <w:t xml:space="preserve">recommends </w:t>
      </w:r>
      <w:r w:rsidR="00197AA9" w:rsidRPr="005D4748">
        <w:rPr>
          <w:rFonts w:ascii="Arial" w:hAnsi="Arial" w:cs="Arial"/>
          <w:sz w:val="20"/>
          <w:szCs w:val="20"/>
          <w:lang w:val="en-GB"/>
        </w:rPr>
        <w:t>that the</w:t>
      </w:r>
      <w:r w:rsidRPr="005D4748">
        <w:rPr>
          <w:rFonts w:ascii="Arial" w:hAnsi="Arial" w:cs="Arial"/>
          <w:sz w:val="20"/>
          <w:szCs w:val="20"/>
          <w:lang w:val="en-GB"/>
        </w:rPr>
        <w:t>:</w:t>
      </w:r>
    </w:p>
    <w:p w:rsidR="00D00A78" w:rsidRPr="005D4748" w:rsidRDefault="00D00A78" w:rsidP="005D4748">
      <w:pPr>
        <w:spacing w:after="0" w:line="240" w:lineRule="auto"/>
        <w:rPr>
          <w:rFonts w:ascii="Arial" w:hAnsi="Arial" w:cs="Arial"/>
          <w:sz w:val="20"/>
          <w:szCs w:val="20"/>
          <w:lang w:val="en-GB"/>
        </w:rPr>
      </w:pPr>
    </w:p>
    <w:p w:rsidR="00197AA9" w:rsidRPr="005D4748" w:rsidRDefault="006818F3" w:rsidP="005D4748">
      <w:pPr>
        <w:pStyle w:val="BodyTextIndent"/>
        <w:numPr>
          <w:ilvl w:val="1"/>
          <w:numId w:val="1"/>
        </w:numPr>
        <w:spacing w:after="0"/>
        <w:ind w:left="851" w:hanging="851"/>
        <w:rPr>
          <w:rFonts w:ascii="Arial" w:hAnsi="Arial" w:cs="Arial"/>
          <w:sz w:val="20"/>
          <w:szCs w:val="20"/>
        </w:rPr>
      </w:pPr>
      <w:r w:rsidRPr="005D4748">
        <w:rPr>
          <w:rFonts w:ascii="Arial" w:hAnsi="Arial" w:cs="Arial"/>
          <w:sz w:val="20"/>
          <w:szCs w:val="20"/>
        </w:rPr>
        <w:t xml:space="preserve">The </w:t>
      </w:r>
      <w:r w:rsidR="00E3455C" w:rsidRPr="005D4748">
        <w:rPr>
          <w:rFonts w:ascii="Arial" w:hAnsi="Arial" w:cs="Arial"/>
          <w:sz w:val="20"/>
          <w:szCs w:val="20"/>
        </w:rPr>
        <w:t>Minister of Higher Education, Science and Innovation</w:t>
      </w:r>
      <w:r w:rsidR="008C1807" w:rsidRPr="005D4748">
        <w:rPr>
          <w:rFonts w:ascii="Arial" w:hAnsi="Arial" w:cs="Arial"/>
          <w:sz w:val="20"/>
          <w:szCs w:val="20"/>
        </w:rPr>
        <w:t xml:space="preserve"> (the Minister)</w:t>
      </w:r>
      <w:r w:rsidR="00E3455C" w:rsidRPr="005D4748">
        <w:rPr>
          <w:rFonts w:ascii="Arial" w:hAnsi="Arial" w:cs="Arial"/>
          <w:sz w:val="20"/>
          <w:szCs w:val="20"/>
        </w:rPr>
        <w:t xml:space="preserve"> and the </w:t>
      </w:r>
      <w:r w:rsidR="00197AA9" w:rsidRPr="005D4748">
        <w:rPr>
          <w:rFonts w:ascii="Arial" w:hAnsi="Arial" w:cs="Arial"/>
          <w:sz w:val="20"/>
          <w:szCs w:val="20"/>
        </w:rPr>
        <w:t xml:space="preserve">Department </w:t>
      </w:r>
      <w:r w:rsidR="00962082" w:rsidRPr="005D4748">
        <w:rPr>
          <w:rFonts w:ascii="Arial" w:hAnsi="Arial" w:cs="Arial"/>
          <w:sz w:val="20"/>
          <w:szCs w:val="20"/>
        </w:rPr>
        <w:t xml:space="preserve">exercise </w:t>
      </w:r>
      <w:r w:rsidR="00E3455C" w:rsidRPr="005D4748">
        <w:rPr>
          <w:rFonts w:ascii="Arial" w:hAnsi="Arial" w:cs="Arial"/>
          <w:sz w:val="20"/>
          <w:szCs w:val="20"/>
        </w:rPr>
        <w:t>their</w:t>
      </w:r>
      <w:r w:rsidR="00962082" w:rsidRPr="005D4748">
        <w:rPr>
          <w:rFonts w:ascii="Arial" w:hAnsi="Arial" w:cs="Arial"/>
          <w:sz w:val="20"/>
          <w:szCs w:val="20"/>
        </w:rPr>
        <w:t xml:space="preserve"> direct oversight function over the </w:t>
      </w:r>
      <w:r w:rsidR="00197AA9" w:rsidRPr="005D4748">
        <w:rPr>
          <w:rFonts w:ascii="Arial" w:hAnsi="Arial" w:cs="Arial"/>
          <w:sz w:val="20"/>
          <w:szCs w:val="20"/>
        </w:rPr>
        <w:t xml:space="preserve">entities </w:t>
      </w:r>
      <w:r w:rsidR="00962082" w:rsidRPr="005D4748">
        <w:rPr>
          <w:rFonts w:ascii="Arial" w:hAnsi="Arial" w:cs="Arial"/>
          <w:sz w:val="20"/>
          <w:szCs w:val="20"/>
        </w:rPr>
        <w:t xml:space="preserve">more diligently, especially the HSRC to ensure compliance with </w:t>
      </w:r>
      <w:r w:rsidR="00E3455C" w:rsidRPr="005D4748">
        <w:rPr>
          <w:rFonts w:ascii="Arial" w:hAnsi="Arial" w:cs="Arial"/>
          <w:sz w:val="20"/>
          <w:szCs w:val="20"/>
        </w:rPr>
        <w:t>the requisite governance and legislative prescripts.</w:t>
      </w:r>
    </w:p>
    <w:p w:rsidR="00197AA9" w:rsidRPr="005D4748" w:rsidRDefault="004706B7" w:rsidP="005D4748">
      <w:pPr>
        <w:pStyle w:val="BodyTextIndent"/>
        <w:numPr>
          <w:ilvl w:val="1"/>
          <w:numId w:val="1"/>
        </w:numPr>
        <w:spacing w:after="0"/>
        <w:ind w:left="851" w:hanging="851"/>
        <w:rPr>
          <w:rFonts w:ascii="Arial" w:hAnsi="Arial" w:cs="Arial"/>
          <w:sz w:val="20"/>
          <w:szCs w:val="20"/>
        </w:rPr>
      </w:pPr>
      <w:r w:rsidRPr="005D4748">
        <w:rPr>
          <w:rFonts w:ascii="Arial" w:hAnsi="Arial" w:cs="Arial"/>
          <w:sz w:val="20"/>
          <w:szCs w:val="20"/>
        </w:rPr>
        <w:t xml:space="preserve">The Department and entities provide the Committee, within one month of the National Assembly adopting this report, with their </w:t>
      </w:r>
      <w:r w:rsidR="008C1807" w:rsidRPr="005D4748">
        <w:rPr>
          <w:rFonts w:ascii="Arial" w:hAnsi="Arial" w:cs="Arial"/>
          <w:sz w:val="20"/>
          <w:szCs w:val="20"/>
        </w:rPr>
        <w:t>audit action plans and progress reports in relation to consequence management.</w:t>
      </w:r>
    </w:p>
    <w:p w:rsidR="006818F3" w:rsidRPr="005D4748" w:rsidRDefault="008C1807" w:rsidP="005D4748">
      <w:pPr>
        <w:pStyle w:val="BodyTextIndent"/>
        <w:numPr>
          <w:ilvl w:val="1"/>
          <w:numId w:val="1"/>
        </w:numPr>
        <w:spacing w:after="0"/>
        <w:ind w:left="851" w:hanging="851"/>
        <w:rPr>
          <w:rFonts w:ascii="Arial" w:hAnsi="Arial" w:cs="Arial"/>
          <w:sz w:val="20"/>
          <w:szCs w:val="20"/>
        </w:rPr>
      </w:pPr>
      <w:r w:rsidRPr="005D4748">
        <w:rPr>
          <w:rFonts w:ascii="Arial" w:hAnsi="Arial" w:cs="Arial"/>
          <w:sz w:val="20"/>
          <w:szCs w:val="20"/>
        </w:rPr>
        <w:t xml:space="preserve">The </w:t>
      </w:r>
      <w:r w:rsidR="006818F3" w:rsidRPr="005D4748">
        <w:rPr>
          <w:rFonts w:ascii="Arial" w:hAnsi="Arial" w:cs="Arial"/>
          <w:sz w:val="20"/>
          <w:szCs w:val="20"/>
        </w:rPr>
        <w:t>Minister continues his efforts with National Treasury</w:t>
      </w:r>
      <w:r w:rsidR="00D140D0" w:rsidRPr="005D4748">
        <w:rPr>
          <w:rFonts w:ascii="Arial" w:hAnsi="Arial" w:cs="Arial"/>
          <w:sz w:val="20"/>
          <w:szCs w:val="20"/>
        </w:rPr>
        <w:t>, the private sector and international partners</w:t>
      </w:r>
      <w:r w:rsidR="006818F3" w:rsidRPr="005D4748">
        <w:rPr>
          <w:rFonts w:ascii="Arial" w:hAnsi="Arial" w:cs="Arial"/>
          <w:sz w:val="20"/>
          <w:szCs w:val="20"/>
        </w:rPr>
        <w:t xml:space="preserve"> to secure additional funding for the science and innovation portfolio. </w:t>
      </w:r>
    </w:p>
    <w:p w:rsidR="00D140D0" w:rsidRPr="005D4748" w:rsidRDefault="00D140D0" w:rsidP="005D4748">
      <w:pPr>
        <w:pStyle w:val="BodyTextIndent"/>
        <w:numPr>
          <w:ilvl w:val="1"/>
          <w:numId w:val="1"/>
        </w:numPr>
        <w:spacing w:after="0"/>
        <w:ind w:left="851" w:hanging="851"/>
        <w:rPr>
          <w:rFonts w:ascii="Arial" w:hAnsi="Arial" w:cs="Arial"/>
          <w:sz w:val="20"/>
          <w:szCs w:val="20"/>
        </w:rPr>
      </w:pPr>
      <w:r w:rsidRPr="005D4748">
        <w:rPr>
          <w:rFonts w:ascii="Arial" w:hAnsi="Arial" w:cs="Arial"/>
          <w:sz w:val="20"/>
          <w:szCs w:val="20"/>
        </w:rPr>
        <w:t>The Minister continues to engage National Treasury on a review of the procurement regulations for the science councils.</w:t>
      </w:r>
    </w:p>
    <w:p w:rsidR="006818F3" w:rsidRPr="005D4748" w:rsidRDefault="006818F3" w:rsidP="005D4748">
      <w:pPr>
        <w:pStyle w:val="BodyTextIndent"/>
        <w:numPr>
          <w:ilvl w:val="1"/>
          <w:numId w:val="1"/>
        </w:numPr>
        <w:spacing w:after="0"/>
        <w:ind w:left="851" w:hanging="851"/>
        <w:rPr>
          <w:rFonts w:ascii="Arial" w:hAnsi="Arial" w:cs="Arial"/>
          <w:sz w:val="20"/>
          <w:szCs w:val="20"/>
        </w:rPr>
      </w:pPr>
      <w:r w:rsidRPr="005D4748">
        <w:rPr>
          <w:rFonts w:ascii="Arial" w:hAnsi="Arial" w:cs="Arial"/>
          <w:sz w:val="20"/>
          <w:szCs w:val="20"/>
        </w:rPr>
        <w:t xml:space="preserve">The Committee </w:t>
      </w:r>
      <w:r w:rsidR="008C06DC" w:rsidRPr="005D4748">
        <w:rPr>
          <w:rFonts w:ascii="Arial" w:hAnsi="Arial" w:cs="Arial"/>
          <w:sz w:val="20"/>
          <w:szCs w:val="20"/>
        </w:rPr>
        <w:t>establishes</w:t>
      </w:r>
      <w:r w:rsidRPr="005D4748">
        <w:rPr>
          <w:rFonts w:ascii="Arial" w:hAnsi="Arial" w:cs="Arial"/>
          <w:sz w:val="20"/>
          <w:szCs w:val="20"/>
        </w:rPr>
        <w:t xml:space="preserve"> the specific detail around additional funding for the </w:t>
      </w:r>
      <w:r w:rsidR="008C06DC" w:rsidRPr="005D4748">
        <w:rPr>
          <w:rFonts w:ascii="Arial" w:hAnsi="Arial" w:cs="Arial"/>
          <w:sz w:val="20"/>
          <w:szCs w:val="20"/>
        </w:rPr>
        <w:t>Department</w:t>
      </w:r>
      <w:r w:rsidR="00D140D0" w:rsidRPr="005D4748">
        <w:rPr>
          <w:rFonts w:ascii="Arial" w:hAnsi="Arial" w:cs="Arial"/>
          <w:sz w:val="20"/>
          <w:szCs w:val="20"/>
        </w:rPr>
        <w:t xml:space="preserve"> and entities</w:t>
      </w:r>
      <w:r w:rsidR="008C06DC" w:rsidRPr="005D4748">
        <w:rPr>
          <w:rFonts w:ascii="Arial" w:hAnsi="Arial" w:cs="Arial"/>
          <w:sz w:val="20"/>
          <w:szCs w:val="20"/>
        </w:rPr>
        <w:t>. T</w:t>
      </w:r>
      <w:r w:rsidRPr="005D4748">
        <w:rPr>
          <w:rFonts w:ascii="Arial" w:hAnsi="Arial" w:cs="Arial"/>
          <w:sz w:val="20"/>
          <w:szCs w:val="20"/>
        </w:rPr>
        <w:t>he Committee will schedule a</w:t>
      </w:r>
      <w:r w:rsidR="00D140D0" w:rsidRPr="005D4748">
        <w:rPr>
          <w:rFonts w:ascii="Arial" w:hAnsi="Arial" w:cs="Arial"/>
          <w:sz w:val="20"/>
          <w:szCs w:val="20"/>
        </w:rPr>
        <w:t>n engagement</w:t>
      </w:r>
      <w:r w:rsidRPr="005D4748">
        <w:rPr>
          <w:rFonts w:ascii="Arial" w:hAnsi="Arial" w:cs="Arial"/>
          <w:sz w:val="20"/>
          <w:szCs w:val="20"/>
        </w:rPr>
        <w:t xml:space="preserve"> </w:t>
      </w:r>
      <w:r w:rsidR="008C06DC" w:rsidRPr="005D4748">
        <w:rPr>
          <w:rFonts w:ascii="Arial" w:hAnsi="Arial" w:cs="Arial"/>
          <w:sz w:val="20"/>
          <w:szCs w:val="20"/>
        </w:rPr>
        <w:t xml:space="preserve">in </w:t>
      </w:r>
      <w:r w:rsidR="00B21234" w:rsidRPr="005D4748">
        <w:rPr>
          <w:rFonts w:ascii="Arial" w:hAnsi="Arial" w:cs="Arial"/>
          <w:sz w:val="20"/>
          <w:szCs w:val="20"/>
        </w:rPr>
        <w:t xml:space="preserve">the first term of </w:t>
      </w:r>
      <w:r w:rsidR="008C06DC" w:rsidRPr="005D4748">
        <w:rPr>
          <w:rFonts w:ascii="Arial" w:hAnsi="Arial" w:cs="Arial"/>
          <w:sz w:val="20"/>
          <w:szCs w:val="20"/>
        </w:rPr>
        <w:t>202</w:t>
      </w:r>
      <w:r w:rsidR="008C1807" w:rsidRPr="005D4748">
        <w:rPr>
          <w:rFonts w:ascii="Arial" w:hAnsi="Arial" w:cs="Arial"/>
          <w:sz w:val="20"/>
          <w:szCs w:val="20"/>
        </w:rPr>
        <w:t>3</w:t>
      </w:r>
      <w:r w:rsidR="008C06DC" w:rsidRPr="005D4748">
        <w:rPr>
          <w:rFonts w:ascii="Arial" w:hAnsi="Arial" w:cs="Arial"/>
          <w:sz w:val="20"/>
          <w:szCs w:val="20"/>
        </w:rPr>
        <w:t xml:space="preserve"> </w:t>
      </w:r>
      <w:r w:rsidRPr="005D4748">
        <w:rPr>
          <w:rFonts w:ascii="Arial" w:hAnsi="Arial" w:cs="Arial"/>
          <w:sz w:val="20"/>
          <w:szCs w:val="20"/>
        </w:rPr>
        <w:t>to discuss this matter.</w:t>
      </w:r>
    </w:p>
    <w:p w:rsidR="007B337F" w:rsidRPr="005D4748" w:rsidRDefault="007B337F" w:rsidP="005D4748">
      <w:pPr>
        <w:pStyle w:val="BodyTextIndent"/>
        <w:numPr>
          <w:ilvl w:val="1"/>
          <w:numId w:val="1"/>
        </w:numPr>
        <w:spacing w:after="0"/>
        <w:ind w:left="851" w:hanging="851"/>
        <w:rPr>
          <w:rFonts w:ascii="Arial" w:hAnsi="Arial" w:cs="Arial"/>
          <w:sz w:val="20"/>
          <w:szCs w:val="20"/>
        </w:rPr>
      </w:pPr>
      <w:r w:rsidRPr="005D4748">
        <w:rPr>
          <w:rFonts w:ascii="Arial" w:hAnsi="Arial" w:cs="Arial"/>
          <w:sz w:val="20"/>
          <w:szCs w:val="20"/>
        </w:rPr>
        <w:t xml:space="preserve">The Minister and Department </w:t>
      </w:r>
      <w:r w:rsidRPr="005D4748">
        <w:rPr>
          <w:rFonts w:ascii="Arial" w:hAnsi="Arial" w:cs="Arial"/>
          <w:sz w:val="20"/>
          <w:szCs w:val="20"/>
          <w:lang w:val="en-GB"/>
        </w:rPr>
        <w:t>prioritise</w:t>
      </w:r>
      <w:r w:rsidRPr="005D4748">
        <w:rPr>
          <w:rFonts w:ascii="Arial" w:hAnsi="Arial" w:cs="Arial"/>
          <w:sz w:val="20"/>
          <w:szCs w:val="20"/>
        </w:rPr>
        <w:t xml:space="preserve"> the </w:t>
      </w:r>
      <w:r w:rsidRPr="005D4748">
        <w:rPr>
          <w:rFonts w:ascii="Arial" w:hAnsi="Arial" w:cs="Arial"/>
          <w:sz w:val="20"/>
          <w:szCs w:val="20"/>
          <w:lang w:val="en-GB"/>
        </w:rPr>
        <w:t>finalisation</w:t>
      </w:r>
      <w:r w:rsidRPr="005D4748">
        <w:rPr>
          <w:rFonts w:ascii="Arial" w:hAnsi="Arial" w:cs="Arial"/>
          <w:sz w:val="20"/>
          <w:szCs w:val="20"/>
        </w:rPr>
        <w:t xml:space="preserve"> of the institutional reviews of entities and </w:t>
      </w:r>
      <w:r w:rsidR="00954143" w:rsidRPr="005D4748">
        <w:rPr>
          <w:rFonts w:ascii="Arial" w:hAnsi="Arial" w:cs="Arial"/>
          <w:sz w:val="20"/>
          <w:szCs w:val="20"/>
        </w:rPr>
        <w:t>implement</w:t>
      </w:r>
      <w:r w:rsidRPr="005D4748">
        <w:rPr>
          <w:rFonts w:ascii="Arial" w:hAnsi="Arial" w:cs="Arial"/>
          <w:sz w:val="20"/>
          <w:szCs w:val="20"/>
        </w:rPr>
        <w:t xml:space="preserve"> the recommendations, especially where it </w:t>
      </w:r>
      <w:r w:rsidR="004E0F75" w:rsidRPr="005D4748">
        <w:rPr>
          <w:rFonts w:ascii="Arial" w:hAnsi="Arial" w:cs="Arial"/>
          <w:sz w:val="20"/>
          <w:szCs w:val="20"/>
        </w:rPr>
        <w:t>affects</w:t>
      </w:r>
      <w:r w:rsidRPr="005D4748">
        <w:rPr>
          <w:rFonts w:ascii="Arial" w:hAnsi="Arial" w:cs="Arial"/>
          <w:sz w:val="20"/>
          <w:szCs w:val="20"/>
        </w:rPr>
        <w:t xml:space="preserve"> the appointment of </w:t>
      </w:r>
      <w:r w:rsidR="004E0F75" w:rsidRPr="005D4748">
        <w:rPr>
          <w:rFonts w:ascii="Arial" w:hAnsi="Arial" w:cs="Arial"/>
          <w:sz w:val="20"/>
          <w:szCs w:val="20"/>
        </w:rPr>
        <w:t>senior management officials.</w:t>
      </w:r>
    </w:p>
    <w:p w:rsidR="000B0143" w:rsidRPr="005D4748" w:rsidRDefault="000B0143" w:rsidP="005D4748">
      <w:pPr>
        <w:pStyle w:val="BodyTextIndent"/>
        <w:numPr>
          <w:ilvl w:val="1"/>
          <w:numId w:val="1"/>
        </w:numPr>
        <w:spacing w:after="0"/>
        <w:ind w:left="851" w:hanging="851"/>
        <w:rPr>
          <w:rFonts w:ascii="Arial" w:hAnsi="Arial" w:cs="Arial"/>
          <w:sz w:val="20"/>
          <w:szCs w:val="20"/>
        </w:rPr>
      </w:pPr>
      <w:r w:rsidRPr="005D4748">
        <w:rPr>
          <w:rFonts w:ascii="Arial" w:hAnsi="Arial" w:cs="Arial"/>
          <w:sz w:val="20"/>
          <w:szCs w:val="20"/>
        </w:rPr>
        <w:t xml:space="preserve">The Minister and the Department prioritise filling key vacancies in the Department and affected entities to ensure </w:t>
      </w:r>
      <w:r w:rsidR="000D58D0" w:rsidRPr="005D4748">
        <w:rPr>
          <w:rFonts w:ascii="Arial" w:hAnsi="Arial" w:cs="Arial"/>
          <w:sz w:val="20"/>
          <w:szCs w:val="20"/>
        </w:rPr>
        <w:t>that the requisite leadership</w:t>
      </w:r>
      <w:r w:rsidR="00E06771" w:rsidRPr="005D4748">
        <w:rPr>
          <w:rFonts w:ascii="Arial" w:hAnsi="Arial" w:cs="Arial"/>
          <w:sz w:val="20"/>
          <w:szCs w:val="20"/>
        </w:rPr>
        <w:t xml:space="preserve"> is in place.</w:t>
      </w:r>
    </w:p>
    <w:p w:rsidR="00014441" w:rsidRPr="005D4748" w:rsidRDefault="00014441" w:rsidP="005D4748">
      <w:pPr>
        <w:pStyle w:val="BodyTextIndent"/>
        <w:numPr>
          <w:ilvl w:val="1"/>
          <w:numId w:val="1"/>
        </w:numPr>
        <w:tabs>
          <w:tab w:val="left" w:pos="851"/>
        </w:tabs>
        <w:spacing w:after="0"/>
        <w:ind w:left="851" w:hanging="851"/>
        <w:rPr>
          <w:rFonts w:ascii="Arial" w:hAnsi="Arial" w:cs="Arial"/>
          <w:sz w:val="20"/>
          <w:szCs w:val="20"/>
          <w:lang w:val="en-GB"/>
        </w:rPr>
      </w:pPr>
      <w:r w:rsidRPr="005D4748">
        <w:rPr>
          <w:rFonts w:ascii="Arial" w:hAnsi="Arial" w:cs="Arial"/>
          <w:sz w:val="20"/>
          <w:szCs w:val="20"/>
          <w:lang w:val="en-GB"/>
        </w:rPr>
        <w:t>The Department and entities must be intentional in their efforts to ensure inclusivity, transformation and representation when filling vacancies.</w:t>
      </w:r>
    </w:p>
    <w:p w:rsidR="008654CB" w:rsidRPr="005D4748" w:rsidRDefault="00EB27FE" w:rsidP="005D4748">
      <w:pPr>
        <w:pStyle w:val="BodyTextIndent"/>
        <w:numPr>
          <w:ilvl w:val="1"/>
          <w:numId w:val="1"/>
        </w:numPr>
        <w:spacing w:after="0"/>
        <w:ind w:left="851" w:hanging="851"/>
        <w:rPr>
          <w:rFonts w:ascii="Arial" w:hAnsi="Arial" w:cs="Arial"/>
          <w:sz w:val="20"/>
          <w:szCs w:val="20"/>
        </w:rPr>
      </w:pPr>
      <w:r w:rsidRPr="005D4748">
        <w:rPr>
          <w:rFonts w:ascii="Arial" w:hAnsi="Arial" w:cs="Arial"/>
          <w:sz w:val="20"/>
          <w:szCs w:val="20"/>
        </w:rPr>
        <w:t>The Department and entities review their target setting in instances where significant overachievement was recorded.</w:t>
      </w:r>
    </w:p>
    <w:p w:rsidR="005B68DC" w:rsidRPr="005D4748" w:rsidRDefault="005B68DC" w:rsidP="005D4748">
      <w:pPr>
        <w:pStyle w:val="BodyTextIndent"/>
        <w:numPr>
          <w:ilvl w:val="1"/>
          <w:numId w:val="1"/>
        </w:numPr>
        <w:spacing w:after="0"/>
        <w:ind w:left="851" w:hanging="851"/>
        <w:rPr>
          <w:rFonts w:ascii="Arial" w:hAnsi="Arial" w:cs="Arial"/>
          <w:sz w:val="20"/>
          <w:szCs w:val="20"/>
        </w:rPr>
      </w:pPr>
      <w:r w:rsidRPr="005D4748">
        <w:rPr>
          <w:rFonts w:ascii="Arial" w:hAnsi="Arial" w:cs="Arial"/>
          <w:sz w:val="20"/>
          <w:szCs w:val="20"/>
        </w:rPr>
        <w:t>The Department enhances its collaboration with other government departments, entities and the private sector, to ensure better coordination and a possible consolidated approach around funding programmes for postgraduate students.</w:t>
      </w:r>
    </w:p>
    <w:p w:rsidR="00A83991" w:rsidRPr="005D4748" w:rsidRDefault="00A83991" w:rsidP="005D4748">
      <w:pPr>
        <w:pStyle w:val="BodyTextIndent"/>
        <w:numPr>
          <w:ilvl w:val="1"/>
          <w:numId w:val="1"/>
        </w:numPr>
        <w:spacing w:after="0"/>
        <w:ind w:left="851" w:hanging="851"/>
        <w:rPr>
          <w:rFonts w:ascii="Arial" w:hAnsi="Arial" w:cs="Arial"/>
          <w:sz w:val="20"/>
          <w:szCs w:val="20"/>
        </w:rPr>
      </w:pPr>
      <w:r w:rsidRPr="005D4748">
        <w:rPr>
          <w:rFonts w:ascii="Arial" w:hAnsi="Arial" w:cs="Arial"/>
          <w:sz w:val="20"/>
          <w:szCs w:val="20"/>
        </w:rPr>
        <w:lastRenderedPageBreak/>
        <w:t>The Department and NRF should intensify their efforts with universities and the research community to ensure that the uptake of specialised research bursaries is improved.</w:t>
      </w:r>
    </w:p>
    <w:p w:rsidR="00AC1130" w:rsidRPr="005D4748" w:rsidRDefault="00AC1130" w:rsidP="005D4748">
      <w:pPr>
        <w:pStyle w:val="BodyTextIndent"/>
        <w:numPr>
          <w:ilvl w:val="1"/>
          <w:numId w:val="1"/>
        </w:numPr>
        <w:spacing w:after="0"/>
        <w:ind w:left="851" w:hanging="851"/>
        <w:rPr>
          <w:rFonts w:ascii="Arial" w:hAnsi="Arial" w:cs="Arial"/>
          <w:sz w:val="20"/>
          <w:szCs w:val="20"/>
        </w:rPr>
      </w:pPr>
      <w:r w:rsidRPr="005D4748">
        <w:rPr>
          <w:rFonts w:ascii="Arial" w:hAnsi="Arial" w:cs="Arial"/>
          <w:sz w:val="20"/>
          <w:szCs w:val="20"/>
        </w:rPr>
        <w:t xml:space="preserve">The Department prioritises the finalisation of its Transformation Framework, which will address the Committee’s concerns around having a transformed, representative and inclusive science system. </w:t>
      </w:r>
    </w:p>
    <w:p w:rsidR="00FF1AE4" w:rsidRPr="005D4748" w:rsidRDefault="00FF1AE4" w:rsidP="005D4748">
      <w:pPr>
        <w:pStyle w:val="BodyTextIndent"/>
        <w:numPr>
          <w:ilvl w:val="1"/>
          <w:numId w:val="1"/>
        </w:numPr>
        <w:spacing w:after="0"/>
        <w:ind w:left="851" w:hanging="851"/>
        <w:rPr>
          <w:rFonts w:ascii="Arial" w:hAnsi="Arial" w:cs="Arial"/>
          <w:sz w:val="20"/>
          <w:szCs w:val="20"/>
        </w:rPr>
      </w:pPr>
      <w:r w:rsidRPr="005D4748">
        <w:rPr>
          <w:rFonts w:ascii="Arial" w:hAnsi="Arial" w:cs="Arial"/>
          <w:sz w:val="20"/>
          <w:szCs w:val="20"/>
        </w:rPr>
        <w:t>Henceforth, Annual Performance Plans must account for the needed transformation of the science system across all programmes, and demographic information must be presented in full detail</w:t>
      </w:r>
      <w:r w:rsidR="00D2415E" w:rsidRPr="005D4748">
        <w:rPr>
          <w:rFonts w:ascii="Arial" w:hAnsi="Arial" w:cs="Arial"/>
          <w:sz w:val="20"/>
          <w:szCs w:val="20"/>
        </w:rPr>
        <w:t>.</w:t>
      </w:r>
    </w:p>
    <w:p w:rsidR="005B68DC" w:rsidRPr="005D4748" w:rsidRDefault="005B68DC" w:rsidP="005D4748">
      <w:pPr>
        <w:pStyle w:val="BodyTextIndent"/>
        <w:numPr>
          <w:ilvl w:val="1"/>
          <w:numId w:val="1"/>
        </w:numPr>
        <w:spacing w:after="0"/>
        <w:ind w:left="851" w:hanging="851"/>
        <w:rPr>
          <w:rFonts w:ascii="Arial" w:hAnsi="Arial" w:cs="Arial"/>
          <w:sz w:val="20"/>
          <w:szCs w:val="20"/>
        </w:rPr>
      </w:pPr>
      <w:r w:rsidRPr="005D4748">
        <w:rPr>
          <w:rFonts w:ascii="Arial" w:hAnsi="Arial" w:cs="Arial"/>
          <w:sz w:val="20"/>
          <w:szCs w:val="20"/>
        </w:rPr>
        <w:t xml:space="preserve">The Department and entities endeavor, where possible, to expand initiatives aimed at supporting and growing the </w:t>
      </w:r>
      <w:r w:rsidR="009F0B7D" w:rsidRPr="005D4748">
        <w:rPr>
          <w:rFonts w:ascii="Arial" w:hAnsi="Arial" w:cs="Arial"/>
          <w:sz w:val="20"/>
          <w:szCs w:val="20"/>
        </w:rPr>
        <w:t xml:space="preserve">participation of </w:t>
      </w:r>
      <w:r w:rsidRPr="005D4748">
        <w:rPr>
          <w:rFonts w:ascii="Arial" w:hAnsi="Arial" w:cs="Arial"/>
          <w:sz w:val="20"/>
          <w:szCs w:val="20"/>
        </w:rPr>
        <w:t>youth, people with disabilities and unemployed graduates</w:t>
      </w:r>
      <w:r w:rsidR="00D46A03" w:rsidRPr="005D4748">
        <w:rPr>
          <w:rFonts w:ascii="Arial" w:hAnsi="Arial" w:cs="Arial"/>
          <w:sz w:val="20"/>
          <w:szCs w:val="20"/>
        </w:rPr>
        <w:t>, especially in relation to the commercialisation of local innovations.</w:t>
      </w:r>
    </w:p>
    <w:p w:rsidR="005B68DC" w:rsidRPr="005D4748" w:rsidRDefault="00F64EF0" w:rsidP="005D4748">
      <w:pPr>
        <w:pStyle w:val="BodyTextIndent"/>
        <w:numPr>
          <w:ilvl w:val="1"/>
          <w:numId w:val="1"/>
        </w:numPr>
        <w:spacing w:after="0"/>
        <w:ind w:left="851" w:hanging="851"/>
        <w:rPr>
          <w:rFonts w:ascii="Arial" w:hAnsi="Arial" w:cs="Arial"/>
          <w:sz w:val="20"/>
          <w:szCs w:val="20"/>
        </w:rPr>
      </w:pPr>
      <w:r w:rsidRPr="005D4748">
        <w:rPr>
          <w:rFonts w:ascii="Arial" w:hAnsi="Arial" w:cs="Arial"/>
          <w:sz w:val="20"/>
          <w:szCs w:val="20"/>
        </w:rPr>
        <w:t>T</w:t>
      </w:r>
      <w:r w:rsidR="00B13030" w:rsidRPr="005D4748">
        <w:rPr>
          <w:rFonts w:ascii="Arial" w:hAnsi="Arial" w:cs="Arial"/>
          <w:sz w:val="20"/>
          <w:szCs w:val="20"/>
        </w:rPr>
        <w:t xml:space="preserve">he Department </w:t>
      </w:r>
      <w:r w:rsidRPr="005D4748">
        <w:rPr>
          <w:rFonts w:ascii="Arial" w:hAnsi="Arial" w:cs="Arial"/>
          <w:sz w:val="20"/>
          <w:szCs w:val="20"/>
        </w:rPr>
        <w:t>explores</w:t>
      </w:r>
      <w:r w:rsidR="00B13030" w:rsidRPr="005D4748">
        <w:rPr>
          <w:rFonts w:ascii="Arial" w:hAnsi="Arial" w:cs="Arial"/>
          <w:sz w:val="20"/>
          <w:szCs w:val="20"/>
        </w:rPr>
        <w:t xml:space="preserve"> mechanisms to better report on the impact of science and innovation investment.</w:t>
      </w:r>
    </w:p>
    <w:p w:rsidR="00AC1130" w:rsidRPr="005D4748" w:rsidRDefault="00AC1130" w:rsidP="005D4748">
      <w:pPr>
        <w:pStyle w:val="BodyTextIndent"/>
        <w:numPr>
          <w:ilvl w:val="1"/>
          <w:numId w:val="1"/>
        </w:numPr>
        <w:spacing w:after="0"/>
        <w:ind w:left="851" w:hanging="851"/>
        <w:rPr>
          <w:rFonts w:ascii="Arial" w:hAnsi="Arial" w:cs="Arial"/>
          <w:sz w:val="20"/>
          <w:szCs w:val="20"/>
        </w:rPr>
      </w:pPr>
      <w:r w:rsidRPr="005D4748">
        <w:rPr>
          <w:rFonts w:ascii="Arial" w:hAnsi="Arial" w:cs="Arial"/>
          <w:sz w:val="20"/>
          <w:szCs w:val="20"/>
          <w:lang w:val="en-ZA"/>
        </w:rPr>
        <w:t xml:space="preserve">The Committee </w:t>
      </w:r>
      <w:r w:rsidR="00606454" w:rsidRPr="005D4748">
        <w:rPr>
          <w:rFonts w:ascii="Arial" w:hAnsi="Arial" w:cs="Arial"/>
          <w:sz w:val="20"/>
          <w:szCs w:val="20"/>
          <w:lang w:val="en-ZA"/>
        </w:rPr>
        <w:t>schedules</w:t>
      </w:r>
      <w:r w:rsidRPr="005D4748">
        <w:rPr>
          <w:rFonts w:ascii="Arial" w:hAnsi="Arial" w:cs="Arial"/>
          <w:sz w:val="20"/>
          <w:szCs w:val="20"/>
          <w:lang w:val="en-ZA"/>
        </w:rPr>
        <w:t xml:space="preserve"> a</w:t>
      </w:r>
      <w:r w:rsidR="00384A03" w:rsidRPr="005D4748">
        <w:rPr>
          <w:rFonts w:ascii="Arial" w:hAnsi="Arial" w:cs="Arial"/>
          <w:sz w:val="20"/>
          <w:szCs w:val="20"/>
          <w:lang w:val="en-ZA"/>
        </w:rPr>
        <w:t xml:space="preserve"> focused</w:t>
      </w:r>
      <w:r w:rsidRPr="005D4748">
        <w:rPr>
          <w:rFonts w:ascii="Arial" w:hAnsi="Arial" w:cs="Arial"/>
          <w:sz w:val="20"/>
          <w:szCs w:val="20"/>
          <w:lang w:val="en-ZA"/>
        </w:rPr>
        <w:t xml:space="preserve"> engagement </w:t>
      </w:r>
      <w:r w:rsidR="009F0B7D" w:rsidRPr="005D4748">
        <w:rPr>
          <w:rFonts w:ascii="Arial" w:hAnsi="Arial" w:cs="Arial"/>
          <w:sz w:val="20"/>
          <w:szCs w:val="20"/>
          <w:lang w:val="en-ZA"/>
        </w:rPr>
        <w:t>to consider</w:t>
      </w:r>
      <w:r w:rsidR="00384A03" w:rsidRPr="005D4748">
        <w:rPr>
          <w:rFonts w:ascii="Arial" w:hAnsi="Arial" w:cs="Arial"/>
          <w:sz w:val="20"/>
          <w:szCs w:val="20"/>
          <w:lang w:val="en-ZA"/>
        </w:rPr>
        <w:t xml:space="preserve"> Impact and Inclusivity within the Department and its entities.</w:t>
      </w:r>
    </w:p>
    <w:p w:rsidR="00606454" w:rsidRPr="005D4748" w:rsidRDefault="00DC73C8" w:rsidP="005D4748">
      <w:pPr>
        <w:pStyle w:val="BodyTextIndent"/>
        <w:numPr>
          <w:ilvl w:val="1"/>
          <w:numId w:val="1"/>
        </w:numPr>
        <w:spacing w:after="0"/>
        <w:ind w:left="851" w:hanging="851"/>
        <w:rPr>
          <w:rFonts w:ascii="Arial" w:hAnsi="Arial" w:cs="Arial"/>
          <w:sz w:val="20"/>
          <w:szCs w:val="20"/>
        </w:rPr>
      </w:pPr>
      <w:r w:rsidRPr="005D4748">
        <w:rPr>
          <w:rFonts w:ascii="Arial" w:hAnsi="Arial" w:cs="Arial"/>
          <w:sz w:val="20"/>
          <w:szCs w:val="20"/>
        </w:rPr>
        <w:t>The Department provides a brief on the progress and developments around the transfer of the Houwteq AIT facility from Denel to SANSA.</w:t>
      </w:r>
    </w:p>
    <w:p w:rsidR="00694D6D" w:rsidRPr="005D4748" w:rsidRDefault="00694D6D" w:rsidP="005D4748">
      <w:pPr>
        <w:spacing w:after="0" w:line="240" w:lineRule="auto"/>
        <w:rPr>
          <w:rFonts w:ascii="Arial" w:hAnsi="Arial" w:cs="Arial"/>
          <w:sz w:val="20"/>
          <w:szCs w:val="20"/>
        </w:rPr>
      </w:pPr>
    </w:p>
    <w:p w:rsidR="00694D6D" w:rsidRPr="005D4748" w:rsidRDefault="00694D6D" w:rsidP="005D4748">
      <w:pPr>
        <w:spacing w:after="0" w:line="240" w:lineRule="auto"/>
        <w:rPr>
          <w:rFonts w:ascii="Arial" w:hAnsi="Arial" w:cs="Arial"/>
          <w:sz w:val="20"/>
          <w:szCs w:val="20"/>
        </w:rPr>
      </w:pPr>
    </w:p>
    <w:p w:rsidR="00EC6A40" w:rsidRPr="005D4748" w:rsidRDefault="00FA2E4C" w:rsidP="005D4748">
      <w:pPr>
        <w:spacing w:after="0" w:line="240" w:lineRule="auto"/>
        <w:rPr>
          <w:rFonts w:ascii="Arial" w:hAnsi="Arial" w:cs="Arial"/>
          <w:b/>
          <w:sz w:val="20"/>
          <w:szCs w:val="20"/>
        </w:rPr>
      </w:pPr>
      <w:r w:rsidRPr="005D4748">
        <w:rPr>
          <w:rFonts w:ascii="Arial" w:hAnsi="Arial" w:cs="Arial"/>
          <w:b/>
          <w:sz w:val="20"/>
          <w:szCs w:val="20"/>
        </w:rPr>
        <w:t>R</w:t>
      </w:r>
      <w:r w:rsidR="0005080A" w:rsidRPr="005D4748">
        <w:rPr>
          <w:rFonts w:ascii="Arial" w:hAnsi="Arial" w:cs="Arial"/>
          <w:b/>
          <w:sz w:val="20"/>
          <w:szCs w:val="20"/>
        </w:rPr>
        <w:t>eport to be considered.</w:t>
      </w:r>
    </w:p>
    <w:sectPr w:rsidR="00EC6A40" w:rsidRPr="005D4748" w:rsidSect="009B6B2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370" w:rsidRDefault="00206370" w:rsidP="00353A2C">
      <w:pPr>
        <w:spacing w:after="0" w:line="240" w:lineRule="auto"/>
      </w:pPr>
      <w:r>
        <w:separator/>
      </w:r>
    </w:p>
  </w:endnote>
  <w:endnote w:type="continuationSeparator" w:id="0">
    <w:p w:rsidR="00206370" w:rsidRDefault="00206370" w:rsidP="00353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1C1" w:rsidRDefault="00EA31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3437"/>
      <w:docPartObj>
        <w:docPartGallery w:val="Page Numbers (Bottom of Page)"/>
        <w:docPartUnique/>
      </w:docPartObj>
    </w:sdtPr>
    <w:sdtContent>
      <w:p w:rsidR="00EA31C1" w:rsidRDefault="0032521F">
        <w:pPr>
          <w:pStyle w:val="Footer"/>
          <w:jc w:val="right"/>
        </w:pPr>
        <w:r w:rsidRPr="00095F3E">
          <w:rPr>
            <w:rFonts w:ascii="Arial" w:hAnsi="Arial"/>
          </w:rPr>
          <w:fldChar w:fldCharType="begin"/>
        </w:r>
        <w:r w:rsidR="00EA31C1" w:rsidRPr="00095F3E">
          <w:rPr>
            <w:rFonts w:ascii="Arial" w:hAnsi="Arial"/>
          </w:rPr>
          <w:instrText xml:space="preserve"> PAGE   \* MERGEFORMAT </w:instrText>
        </w:r>
        <w:r w:rsidRPr="00095F3E">
          <w:rPr>
            <w:rFonts w:ascii="Arial" w:hAnsi="Arial"/>
          </w:rPr>
          <w:fldChar w:fldCharType="separate"/>
        </w:r>
        <w:r w:rsidR="005D4748">
          <w:rPr>
            <w:rFonts w:ascii="Arial" w:hAnsi="Arial"/>
            <w:noProof/>
          </w:rPr>
          <w:t>1</w:t>
        </w:r>
        <w:r w:rsidRPr="00095F3E">
          <w:rPr>
            <w:rFonts w:ascii="Arial" w:hAnsi="Arial"/>
          </w:rPr>
          <w:fldChar w:fldCharType="end"/>
        </w:r>
      </w:p>
    </w:sdtContent>
  </w:sdt>
  <w:p w:rsidR="00EA31C1" w:rsidRDefault="00EA31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1C1" w:rsidRDefault="00EA31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370" w:rsidRDefault="00206370" w:rsidP="00353A2C">
      <w:pPr>
        <w:spacing w:after="0" w:line="240" w:lineRule="auto"/>
      </w:pPr>
      <w:r>
        <w:separator/>
      </w:r>
    </w:p>
  </w:footnote>
  <w:footnote w:type="continuationSeparator" w:id="0">
    <w:p w:rsidR="00206370" w:rsidRDefault="00206370" w:rsidP="00353A2C">
      <w:pPr>
        <w:spacing w:after="0" w:line="240" w:lineRule="auto"/>
      </w:pPr>
      <w:r>
        <w:continuationSeparator/>
      </w:r>
    </w:p>
  </w:footnote>
  <w:footnote w:id="1">
    <w:p w:rsidR="00EA31C1" w:rsidRPr="004C127E" w:rsidRDefault="00EA31C1" w:rsidP="00207E9E">
      <w:pPr>
        <w:pStyle w:val="FootnoteText"/>
        <w:rPr>
          <w:rFonts w:ascii="Times New Roman" w:hAnsi="Times New Roman" w:cs="Times New Roman"/>
        </w:rPr>
      </w:pPr>
      <w:r w:rsidRPr="004C127E">
        <w:rPr>
          <w:rStyle w:val="FootnoteReference"/>
          <w:rFonts w:ascii="Times New Roman" w:hAnsi="Times New Roman" w:cs="Times New Roman"/>
        </w:rPr>
        <w:footnoteRef/>
      </w:r>
      <w:r w:rsidRPr="004C127E">
        <w:rPr>
          <w:rFonts w:ascii="Times New Roman" w:hAnsi="Times New Roman" w:cs="Times New Roman"/>
        </w:rPr>
        <w:t xml:space="preserve"> In 2020/21, the targets for bursaries awarded to doctoral students and pipeline postgraduate students had to be reported as not achieved in the Department’s 2020/21 Annual Report because the verification documents </w:t>
      </w:r>
      <w:r>
        <w:rPr>
          <w:rFonts w:ascii="Times New Roman" w:hAnsi="Times New Roman" w:cs="Times New Roman"/>
        </w:rPr>
        <w:t xml:space="preserve">from the NRF </w:t>
      </w:r>
      <w:r w:rsidRPr="004C127E">
        <w:rPr>
          <w:rFonts w:ascii="Times New Roman" w:hAnsi="Times New Roman" w:cs="Times New Roman"/>
        </w:rPr>
        <w:t>were not available when performance was audited. However, by the time the Department and the NRF reported to the Committee, the verification process was complete and confirmed that the planned number of bursaries had been awarded in both categories, increasing the Department’s overall performance from 83% to 87%.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1C1" w:rsidRDefault="00EA31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1C1" w:rsidRDefault="00EA31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1C1" w:rsidRDefault="00EA31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81A"/>
    <w:multiLevelType w:val="multilevel"/>
    <w:tmpl w:val="32B84208"/>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1146" w:hanging="720"/>
      </w:pPr>
      <w:rPr>
        <w:rFonts w:hint="default"/>
        <w:b/>
      </w:rPr>
    </w:lvl>
    <w:lvl w:ilvl="2">
      <w:start w:val="1"/>
      <w:numFmt w:val="decimal"/>
      <w:isLgl/>
      <w:lvlText w:val="%1.%2.%3."/>
      <w:lvlJc w:val="left"/>
      <w:pPr>
        <w:ind w:left="720" w:hanging="720"/>
      </w:pPr>
      <w:rPr>
        <w:rFonts w:hint="default"/>
        <w:b/>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7DF2F72"/>
    <w:multiLevelType w:val="hybridMultilevel"/>
    <w:tmpl w:val="9846272E"/>
    <w:lvl w:ilvl="0" w:tplc="7000415C">
      <w:start w:val="1"/>
      <w:numFmt w:val="bullet"/>
      <w:lvlText w:val=""/>
      <w:lvlJc w:val="left"/>
      <w:pPr>
        <w:ind w:left="783" w:hanging="360"/>
      </w:pPr>
      <w:rPr>
        <w:rFonts w:ascii="Symbol" w:hAnsi="Symbol" w:hint="default"/>
        <w:b/>
      </w:rPr>
    </w:lvl>
    <w:lvl w:ilvl="1" w:tplc="1C090003" w:tentative="1">
      <w:start w:val="1"/>
      <w:numFmt w:val="bullet"/>
      <w:lvlText w:val="o"/>
      <w:lvlJc w:val="left"/>
      <w:pPr>
        <w:ind w:left="1503" w:hanging="360"/>
      </w:pPr>
      <w:rPr>
        <w:rFonts w:ascii="Courier New" w:hAnsi="Courier New" w:cs="Courier New" w:hint="default"/>
      </w:rPr>
    </w:lvl>
    <w:lvl w:ilvl="2" w:tplc="1C090005" w:tentative="1">
      <w:start w:val="1"/>
      <w:numFmt w:val="bullet"/>
      <w:lvlText w:val=""/>
      <w:lvlJc w:val="left"/>
      <w:pPr>
        <w:ind w:left="2223" w:hanging="360"/>
      </w:pPr>
      <w:rPr>
        <w:rFonts w:ascii="Wingdings" w:hAnsi="Wingdings" w:hint="default"/>
      </w:rPr>
    </w:lvl>
    <w:lvl w:ilvl="3" w:tplc="1C090001" w:tentative="1">
      <w:start w:val="1"/>
      <w:numFmt w:val="bullet"/>
      <w:lvlText w:val=""/>
      <w:lvlJc w:val="left"/>
      <w:pPr>
        <w:ind w:left="2943" w:hanging="360"/>
      </w:pPr>
      <w:rPr>
        <w:rFonts w:ascii="Symbol" w:hAnsi="Symbol" w:hint="default"/>
      </w:rPr>
    </w:lvl>
    <w:lvl w:ilvl="4" w:tplc="1C090003" w:tentative="1">
      <w:start w:val="1"/>
      <w:numFmt w:val="bullet"/>
      <w:lvlText w:val="o"/>
      <w:lvlJc w:val="left"/>
      <w:pPr>
        <w:ind w:left="3663" w:hanging="360"/>
      </w:pPr>
      <w:rPr>
        <w:rFonts w:ascii="Courier New" w:hAnsi="Courier New" w:cs="Courier New" w:hint="default"/>
      </w:rPr>
    </w:lvl>
    <w:lvl w:ilvl="5" w:tplc="1C090005" w:tentative="1">
      <w:start w:val="1"/>
      <w:numFmt w:val="bullet"/>
      <w:lvlText w:val=""/>
      <w:lvlJc w:val="left"/>
      <w:pPr>
        <w:ind w:left="4383" w:hanging="360"/>
      </w:pPr>
      <w:rPr>
        <w:rFonts w:ascii="Wingdings" w:hAnsi="Wingdings" w:hint="default"/>
      </w:rPr>
    </w:lvl>
    <w:lvl w:ilvl="6" w:tplc="1C090001" w:tentative="1">
      <w:start w:val="1"/>
      <w:numFmt w:val="bullet"/>
      <w:lvlText w:val=""/>
      <w:lvlJc w:val="left"/>
      <w:pPr>
        <w:ind w:left="5103" w:hanging="360"/>
      </w:pPr>
      <w:rPr>
        <w:rFonts w:ascii="Symbol" w:hAnsi="Symbol" w:hint="default"/>
      </w:rPr>
    </w:lvl>
    <w:lvl w:ilvl="7" w:tplc="1C090003" w:tentative="1">
      <w:start w:val="1"/>
      <w:numFmt w:val="bullet"/>
      <w:lvlText w:val="o"/>
      <w:lvlJc w:val="left"/>
      <w:pPr>
        <w:ind w:left="5823" w:hanging="360"/>
      </w:pPr>
      <w:rPr>
        <w:rFonts w:ascii="Courier New" w:hAnsi="Courier New" w:cs="Courier New" w:hint="default"/>
      </w:rPr>
    </w:lvl>
    <w:lvl w:ilvl="8" w:tplc="1C090005" w:tentative="1">
      <w:start w:val="1"/>
      <w:numFmt w:val="bullet"/>
      <w:lvlText w:val=""/>
      <w:lvlJc w:val="left"/>
      <w:pPr>
        <w:ind w:left="6543" w:hanging="360"/>
      </w:pPr>
      <w:rPr>
        <w:rFonts w:ascii="Wingdings" w:hAnsi="Wingdings" w:hint="default"/>
      </w:rPr>
    </w:lvl>
  </w:abstractNum>
  <w:abstractNum w:abstractNumId="2">
    <w:nsid w:val="18F93FF6"/>
    <w:multiLevelType w:val="multilevel"/>
    <w:tmpl w:val="05224B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AE322D2"/>
    <w:multiLevelType w:val="hybridMultilevel"/>
    <w:tmpl w:val="F7BA645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B1536A6"/>
    <w:multiLevelType w:val="hybridMultilevel"/>
    <w:tmpl w:val="B0B0E9E2"/>
    <w:lvl w:ilvl="0" w:tplc="31644776">
      <w:start w:val="1"/>
      <w:numFmt w:val="bullet"/>
      <w:lvlText w:val=""/>
      <w:lvlJc w:val="left"/>
      <w:pPr>
        <w:ind w:left="720" w:hanging="360"/>
      </w:pPr>
      <w:rPr>
        <w:rFonts w:ascii="Symbol" w:hAnsi="Symbo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AC90DE5"/>
    <w:multiLevelType w:val="hybridMultilevel"/>
    <w:tmpl w:val="709A4102"/>
    <w:lvl w:ilvl="0" w:tplc="1C090001">
      <w:start w:val="1"/>
      <w:numFmt w:val="bullet"/>
      <w:lvlText w:val=""/>
      <w:lvlJc w:val="left"/>
      <w:pPr>
        <w:ind w:left="1283" w:hanging="360"/>
      </w:pPr>
      <w:rPr>
        <w:rFonts w:ascii="Symbol" w:hAnsi="Symbol" w:hint="default"/>
        <w:b/>
        <w:sz w:val="24"/>
        <w:szCs w:val="24"/>
      </w:rPr>
    </w:lvl>
    <w:lvl w:ilvl="1" w:tplc="1C090003" w:tentative="1">
      <w:start w:val="1"/>
      <w:numFmt w:val="bullet"/>
      <w:lvlText w:val="o"/>
      <w:lvlJc w:val="left"/>
      <w:pPr>
        <w:ind w:left="2003" w:hanging="360"/>
      </w:pPr>
      <w:rPr>
        <w:rFonts w:ascii="Courier New" w:hAnsi="Courier New" w:cs="Courier New" w:hint="default"/>
      </w:rPr>
    </w:lvl>
    <w:lvl w:ilvl="2" w:tplc="1C090005" w:tentative="1">
      <w:start w:val="1"/>
      <w:numFmt w:val="bullet"/>
      <w:lvlText w:val=""/>
      <w:lvlJc w:val="left"/>
      <w:pPr>
        <w:ind w:left="2723" w:hanging="360"/>
      </w:pPr>
      <w:rPr>
        <w:rFonts w:ascii="Wingdings" w:hAnsi="Wingdings" w:hint="default"/>
      </w:rPr>
    </w:lvl>
    <w:lvl w:ilvl="3" w:tplc="1C090001" w:tentative="1">
      <w:start w:val="1"/>
      <w:numFmt w:val="bullet"/>
      <w:lvlText w:val=""/>
      <w:lvlJc w:val="left"/>
      <w:pPr>
        <w:ind w:left="3443" w:hanging="360"/>
      </w:pPr>
      <w:rPr>
        <w:rFonts w:ascii="Symbol" w:hAnsi="Symbol" w:hint="default"/>
      </w:rPr>
    </w:lvl>
    <w:lvl w:ilvl="4" w:tplc="1C090003" w:tentative="1">
      <w:start w:val="1"/>
      <w:numFmt w:val="bullet"/>
      <w:lvlText w:val="o"/>
      <w:lvlJc w:val="left"/>
      <w:pPr>
        <w:ind w:left="4163" w:hanging="360"/>
      </w:pPr>
      <w:rPr>
        <w:rFonts w:ascii="Courier New" w:hAnsi="Courier New" w:cs="Courier New" w:hint="default"/>
      </w:rPr>
    </w:lvl>
    <w:lvl w:ilvl="5" w:tplc="1C090005" w:tentative="1">
      <w:start w:val="1"/>
      <w:numFmt w:val="bullet"/>
      <w:lvlText w:val=""/>
      <w:lvlJc w:val="left"/>
      <w:pPr>
        <w:ind w:left="4883" w:hanging="360"/>
      </w:pPr>
      <w:rPr>
        <w:rFonts w:ascii="Wingdings" w:hAnsi="Wingdings" w:hint="default"/>
      </w:rPr>
    </w:lvl>
    <w:lvl w:ilvl="6" w:tplc="1C090001" w:tentative="1">
      <w:start w:val="1"/>
      <w:numFmt w:val="bullet"/>
      <w:lvlText w:val=""/>
      <w:lvlJc w:val="left"/>
      <w:pPr>
        <w:ind w:left="5603" w:hanging="360"/>
      </w:pPr>
      <w:rPr>
        <w:rFonts w:ascii="Symbol" w:hAnsi="Symbol" w:hint="default"/>
      </w:rPr>
    </w:lvl>
    <w:lvl w:ilvl="7" w:tplc="1C090003" w:tentative="1">
      <w:start w:val="1"/>
      <w:numFmt w:val="bullet"/>
      <w:lvlText w:val="o"/>
      <w:lvlJc w:val="left"/>
      <w:pPr>
        <w:ind w:left="6323" w:hanging="360"/>
      </w:pPr>
      <w:rPr>
        <w:rFonts w:ascii="Courier New" w:hAnsi="Courier New" w:cs="Courier New" w:hint="default"/>
      </w:rPr>
    </w:lvl>
    <w:lvl w:ilvl="8" w:tplc="1C090005" w:tentative="1">
      <w:start w:val="1"/>
      <w:numFmt w:val="bullet"/>
      <w:lvlText w:val=""/>
      <w:lvlJc w:val="left"/>
      <w:pPr>
        <w:ind w:left="7043" w:hanging="360"/>
      </w:pPr>
      <w:rPr>
        <w:rFonts w:ascii="Wingdings" w:hAnsi="Wingdings" w:hint="default"/>
      </w:rPr>
    </w:lvl>
  </w:abstractNum>
  <w:abstractNum w:abstractNumId="6">
    <w:nsid w:val="2BBA2C32"/>
    <w:multiLevelType w:val="hybridMultilevel"/>
    <w:tmpl w:val="841EE19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4AE43BF"/>
    <w:multiLevelType w:val="hybridMultilevel"/>
    <w:tmpl w:val="DDB646A8"/>
    <w:lvl w:ilvl="0" w:tplc="1C090001">
      <w:start w:val="1"/>
      <w:numFmt w:val="bullet"/>
      <w:lvlText w:val=""/>
      <w:lvlJc w:val="left"/>
      <w:pPr>
        <w:ind w:left="720" w:hanging="360"/>
      </w:pPr>
      <w:rPr>
        <w:rFonts w:ascii="Symbol" w:hAnsi="Symbol" w:hint="default"/>
      </w:rPr>
    </w:lvl>
    <w:lvl w:ilvl="1" w:tplc="2B467C56">
      <w:start w:val="1"/>
      <w:numFmt w:val="bullet"/>
      <w:lvlText w:val=""/>
      <w:lvlJc w:val="left"/>
      <w:pPr>
        <w:ind w:left="1440" w:hanging="360"/>
      </w:pPr>
      <w:rPr>
        <w:rFonts w:ascii="Symbol" w:hAnsi="Symbol" w:hint="default"/>
        <w:b/>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4B40E38"/>
    <w:multiLevelType w:val="hybridMultilevel"/>
    <w:tmpl w:val="0DB88852"/>
    <w:lvl w:ilvl="0" w:tplc="5852BE94">
      <w:start w:val="1"/>
      <w:numFmt w:val="bullet"/>
      <w:lvlText w:val=""/>
      <w:lvlJc w:val="left"/>
      <w:pPr>
        <w:ind w:left="720" w:hanging="360"/>
      </w:pPr>
      <w:rPr>
        <w:rFonts w:ascii="Symbol" w:hAnsi="Symbo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77B3474"/>
    <w:multiLevelType w:val="hybridMultilevel"/>
    <w:tmpl w:val="E04A0D0A"/>
    <w:lvl w:ilvl="0" w:tplc="755CD508">
      <w:start w:val="1"/>
      <w:numFmt w:val="bullet"/>
      <w:lvlText w:val=""/>
      <w:lvlJc w:val="left"/>
      <w:pPr>
        <w:ind w:left="720" w:hanging="360"/>
      </w:pPr>
      <w:rPr>
        <w:rFonts w:ascii="Symbol" w:hAnsi="Symbo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D4825C8"/>
    <w:multiLevelType w:val="hybridMultilevel"/>
    <w:tmpl w:val="DA92D220"/>
    <w:lvl w:ilvl="0" w:tplc="A95250BC">
      <w:start w:val="1"/>
      <w:numFmt w:val="bullet"/>
      <w:lvlText w:val=""/>
      <w:lvlJc w:val="left"/>
      <w:pPr>
        <w:ind w:left="720" w:hanging="360"/>
      </w:pPr>
      <w:rPr>
        <w:rFonts w:ascii="Symbol" w:hAnsi="Symbo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9115545"/>
    <w:multiLevelType w:val="hybridMultilevel"/>
    <w:tmpl w:val="56347F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8A02D5A2">
      <w:start w:val="1"/>
      <w:numFmt w:val="bullet"/>
      <w:lvlText w:val=""/>
      <w:lvlJc w:val="left"/>
      <w:pPr>
        <w:ind w:left="2880" w:hanging="360"/>
      </w:pPr>
      <w:rPr>
        <w:rFonts w:ascii="Symbol" w:hAnsi="Symbol" w:hint="default"/>
        <w:b/>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5BE1C95"/>
    <w:multiLevelType w:val="hybridMultilevel"/>
    <w:tmpl w:val="2902B36E"/>
    <w:lvl w:ilvl="0" w:tplc="40D69C3A">
      <w:start w:val="1"/>
      <w:numFmt w:val="bullet"/>
      <w:lvlText w:val=""/>
      <w:lvlJc w:val="left"/>
      <w:pPr>
        <w:ind w:left="720" w:hanging="360"/>
      </w:pPr>
      <w:rPr>
        <w:rFonts w:ascii="Symbol" w:hAnsi="Symbol" w:hint="default"/>
        <w:sz w:val="24"/>
        <w:szCs w:val="24"/>
      </w:rPr>
    </w:lvl>
    <w:lvl w:ilvl="1" w:tplc="0C1017AE">
      <w:start w:val="1"/>
      <w:numFmt w:val="bullet"/>
      <w:lvlText w:val=""/>
      <w:lvlJc w:val="left"/>
      <w:pPr>
        <w:ind w:left="1650" w:hanging="570"/>
      </w:pPr>
      <w:rPr>
        <w:rFonts w:ascii="Symbol" w:hAnsi="Symbol" w:hint="default"/>
        <w:b/>
        <w:sz w:val="24"/>
        <w:szCs w:val="24"/>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7D97A48"/>
    <w:multiLevelType w:val="hybridMultilevel"/>
    <w:tmpl w:val="D220C0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8200C87"/>
    <w:multiLevelType w:val="hybridMultilevel"/>
    <w:tmpl w:val="74C4043E"/>
    <w:lvl w:ilvl="0" w:tplc="2FD2EA5C">
      <w:start w:val="1"/>
      <w:numFmt w:val="bullet"/>
      <w:lvlText w:val=""/>
      <w:lvlJc w:val="left"/>
      <w:pPr>
        <w:ind w:left="720" w:hanging="360"/>
      </w:pPr>
      <w:rPr>
        <w:rFonts w:ascii="Symbol" w:hAnsi="Symbo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AF64DA5"/>
    <w:multiLevelType w:val="hybridMultilevel"/>
    <w:tmpl w:val="0650AF4E"/>
    <w:lvl w:ilvl="0" w:tplc="D0249750">
      <w:start w:val="1"/>
      <w:numFmt w:val="bullet"/>
      <w:lvlText w:val=""/>
      <w:lvlJc w:val="left"/>
      <w:pPr>
        <w:ind w:left="720" w:hanging="360"/>
      </w:pPr>
      <w:rPr>
        <w:rFonts w:ascii="Symbol" w:hAnsi="Symbol" w:hint="default"/>
        <w:b/>
        <w:sz w:val="24"/>
        <w:szCs w:val="24"/>
      </w:rPr>
    </w:lvl>
    <w:lvl w:ilvl="1" w:tplc="1C090001">
      <w:start w:val="1"/>
      <w:numFmt w:val="bullet"/>
      <w:lvlText w:val=""/>
      <w:lvlJc w:val="left"/>
      <w:pPr>
        <w:ind w:left="1650" w:hanging="570"/>
      </w:pPr>
      <w:rPr>
        <w:rFonts w:ascii="Symbol" w:hAnsi="Symbol" w:hint="default"/>
        <w:b/>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EDD0DA5"/>
    <w:multiLevelType w:val="hybridMultilevel"/>
    <w:tmpl w:val="490A6EBA"/>
    <w:lvl w:ilvl="0" w:tplc="2918023C">
      <w:start w:val="1"/>
      <w:numFmt w:val="bullet"/>
      <w:lvlText w:val=""/>
      <w:lvlJc w:val="left"/>
      <w:pPr>
        <w:ind w:left="720" w:hanging="360"/>
      </w:pPr>
      <w:rPr>
        <w:rFonts w:ascii="Symbol" w:hAnsi="Symbol" w:hint="default"/>
        <w:b/>
      </w:rPr>
    </w:lvl>
    <w:lvl w:ilvl="1" w:tplc="54B4F466">
      <w:start w:val="1"/>
      <w:numFmt w:val="bullet"/>
      <w:lvlText w:val="o"/>
      <w:lvlJc w:val="left"/>
      <w:pPr>
        <w:ind w:left="1440" w:hanging="360"/>
      </w:pPr>
      <w:rPr>
        <w:rFonts w:ascii="Courier New" w:hAnsi="Courier New" w:cs="Courier New" w:hint="default"/>
        <w:b/>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7E20743"/>
    <w:multiLevelType w:val="hybridMultilevel"/>
    <w:tmpl w:val="CB9CBFE2"/>
    <w:lvl w:ilvl="0" w:tplc="1C090001">
      <w:start w:val="1"/>
      <w:numFmt w:val="bullet"/>
      <w:lvlText w:val=""/>
      <w:lvlJc w:val="left"/>
      <w:pPr>
        <w:ind w:left="720" w:hanging="360"/>
      </w:pPr>
      <w:rPr>
        <w:rFonts w:ascii="Symbol" w:hAnsi="Symbo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7E0F584A"/>
    <w:multiLevelType w:val="hybridMultilevel"/>
    <w:tmpl w:val="ACC8F0DE"/>
    <w:lvl w:ilvl="0" w:tplc="3C784AA0">
      <w:start w:val="1"/>
      <w:numFmt w:val="bullet"/>
      <w:lvlText w:val=""/>
      <w:lvlJc w:val="left"/>
      <w:pPr>
        <w:ind w:left="720" w:hanging="360"/>
      </w:pPr>
      <w:rPr>
        <w:rFonts w:ascii="Symbol" w:hAnsi="Symbo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3"/>
  </w:num>
  <w:num w:numId="5">
    <w:abstractNumId w:val="11"/>
  </w:num>
  <w:num w:numId="6">
    <w:abstractNumId w:val="12"/>
  </w:num>
  <w:num w:numId="7">
    <w:abstractNumId w:val="7"/>
  </w:num>
  <w:num w:numId="8">
    <w:abstractNumId w:val="8"/>
  </w:num>
  <w:num w:numId="9">
    <w:abstractNumId w:val="4"/>
  </w:num>
  <w:num w:numId="10">
    <w:abstractNumId w:val="1"/>
  </w:num>
  <w:num w:numId="11">
    <w:abstractNumId w:val="16"/>
  </w:num>
  <w:num w:numId="12">
    <w:abstractNumId w:val="18"/>
  </w:num>
  <w:num w:numId="13">
    <w:abstractNumId w:val="17"/>
  </w:num>
  <w:num w:numId="14">
    <w:abstractNumId w:val="14"/>
  </w:num>
  <w:num w:numId="15">
    <w:abstractNumId w:val="15"/>
  </w:num>
  <w:num w:numId="16">
    <w:abstractNumId w:val="5"/>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defaultTabStop w:val="567"/>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75422F"/>
    <w:rsid w:val="00001152"/>
    <w:rsid w:val="00002776"/>
    <w:rsid w:val="00004082"/>
    <w:rsid w:val="00005171"/>
    <w:rsid w:val="0000536A"/>
    <w:rsid w:val="00006062"/>
    <w:rsid w:val="000060F8"/>
    <w:rsid w:val="000061A2"/>
    <w:rsid w:val="00006677"/>
    <w:rsid w:val="0000725A"/>
    <w:rsid w:val="000075D2"/>
    <w:rsid w:val="0000769B"/>
    <w:rsid w:val="00007D9D"/>
    <w:rsid w:val="00010513"/>
    <w:rsid w:val="000106DF"/>
    <w:rsid w:val="000107DB"/>
    <w:rsid w:val="00010897"/>
    <w:rsid w:val="00010BBF"/>
    <w:rsid w:val="00010EDA"/>
    <w:rsid w:val="00011D25"/>
    <w:rsid w:val="000125E3"/>
    <w:rsid w:val="00012978"/>
    <w:rsid w:val="00012E77"/>
    <w:rsid w:val="00013B1F"/>
    <w:rsid w:val="000141A1"/>
    <w:rsid w:val="00014441"/>
    <w:rsid w:val="00015363"/>
    <w:rsid w:val="00015E59"/>
    <w:rsid w:val="000209C6"/>
    <w:rsid w:val="00020B6D"/>
    <w:rsid w:val="00020D61"/>
    <w:rsid w:val="0002180C"/>
    <w:rsid w:val="00022289"/>
    <w:rsid w:val="000230F3"/>
    <w:rsid w:val="0002333C"/>
    <w:rsid w:val="000237F9"/>
    <w:rsid w:val="00023E1A"/>
    <w:rsid w:val="0002422C"/>
    <w:rsid w:val="00024431"/>
    <w:rsid w:val="00024D3C"/>
    <w:rsid w:val="00024E00"/>
    <w:rsid w:val="00024F26"/>
    <w:rsid w:val="00025BB7"/>
    <w:rsid w:val="00026559"/>
    <w:rsid w:val="00026934"/>
    <w:rsid w:val="00027515"/>
    <w:rsid w:val="000276FF"/>
    <w:rsid w:val="000278EB"/>
    <w:rsid w:val="00030368"/>
    <w:rsid w:val="00030474"/>
    <w:rsid w:val="00030925"/>
    <w:rsid w:val="00031156"/>
    <w:rsid w:val="000315C8"/>
    <w:rsid w:val="00032F7B"/>
    <w:rsid w:val="000330EB"/>
    <w:rsid w:val="000336DD"/>
    <w:rsid w:val="000341AE"/>
    <w:rsid w:val="00035127"/>
    <w:rsid w:val="000351FD"/>
    <w:rsid w:val="00036159"/>
    <w:rsid w:val="000364DA"/>
    <w:rsid w:val="000368F2"/>
    <w:rsid w:val="00037322"/>
    <w:rsid w:val="00037D74"/>
    <w:rsid w:val="00037DA5"/>
    <w:rsid w:val="00037E95"/>
    <w:rsid w:val="000413EE"/>
    <w:rsid w:val="00041ED5"/>
    <w:rsid w:val="00042F24"/>
    <w:rsid w:val="00043ABE"/>
    <w:rsid w:val="00043CB8"/>
    <w:rsid w:val="00045627"/>
    <w:rsid w:val="00046082"/>
    <w:rsid w:val="00047172"/>
    <w:rsid w:val="0005028A"/>
    <w:rsid w:val="0005080A"/>
    <w:rsid w:val="00050DCD"/>
    <w:rsid w:val="000510C3"/>
    <w:rsid w:val="000529F2"/>
    <w:rsid w:val="00052C20"/>
    <w:rsid w:val="00052F5A"/>
    <w:rsid w:val="00053250"/>
    <w:rsid w:val="0005383F"/>
    <w:rsid w:val="000548B4"/>
    <w:rsid w:val="000549B9"/>
    <w:rsid w:val="00055453"/>
    <w:rsid w:val="000562EE"/>
    <w:rsid w:val="000566D1"/>
    <w:rsid w:val="000575BE"/>
    <w:rsid w:val="00057736"/>
    <w:rsid w:val="00057DEF"/>
    <w:rsid w:val="000600BE"/>
    <w:rsid w:val="00060E37"/>
    <w:rsid w:val="0006106D"/>
    <w:rsid w:val="000610F3"/>
    <w:rsid w:val="000618D9"/>
    <w:rsid w:val="00061D6D"/>
    <w:rsid w:val="00062BB1"/>
    <w:rsid w:val="000635A2"/>
    <w:rsid w:val="00064243"/>
    <w:rsid w:val="00065229"/>
    <w:rsid w:val="00065311"/>
    <w:rsid w:val="0006651F"/>
    <w:rsid w:val="000705BE"/>
    <w:rsid w:val="000705F1"/>
    <w:rsid w:val="00070AE2"/>
    <w:rsid w:val="00070F49"/>
    <w:rsid w:val="0007116A"/>
    <w:rsid w:val="00071D65"/>
    <w:rsid w:val="00072265"/>
    <w:rsid w:val="000728B5"/>
    <w:rsid w:val="00072A7D"/>
    <w:rsid w:val="00073105"/>
    <w:rsid w:val="000735ED"/>
    <w:rsid w:val="000737C6"/>
    <w:rsid w:val="00073AFE"/>
    <w:rsid w:val="00074102"/>
    <w:rsid w:val="00075087"/>
    <w:rsid w:val="00075179"/>
    <w:rsid w:val="00076038"/>
    <w:rsid w:val="00077F71"/>
    <w:rsid w:val="00080DD6"/>
    <w:rsid w:val="000810BE"/>
    <w:rsid w:val="000816CC"/>
    <w:rsid w:val="000818F9"/>
    <w:rsid w:val="00081AD6"/>
    <w:rsid w:val="00082AEA"/>
    <w:rsid w:val="00082F7E"/>
    <w:rsid w:val="00083201"/>
    <w:rsid w:val="00083630"/>
    <w:rsid w:val="00083D35"/>
    <w:rsid w:val="000845A0"/>
    <w:rsid w:val="00084E11"/>
    <w:rsid w:val="00085414"/>
    <w:rsid w:val="00085C07"/>
    <w:rsid w:val="00085C55"/>
    <w:rsid w:val="0008685E"/>
    <w:rsid w:val="00087061"/>
    <w:rsid w:val="00087714"/>
    <w:rsid w:val="00090107"/>
    <w:rsid w:val="00090DCD"/>
    <w:rsid w:val="000913C9"/>
    <w:rsid w:val="00091C85"/>
    <w:rsid w:val="00092350"/>
    <w:rsid w:val="00093155"/>
    <w:rsid w:val="00093886"/>
    <w:rsid w:val="00093EDA"/>
    <w:rsid w:val="00094426"/>
    <w:rsid w:val="00094A5E"/>
    <w:rsid w:val="00095AD8"/>
    <w:rsid w:val="00095D02"/>
    <w:rsid w:val="00095F3E"/>
    <w:rsid w:val="00096319"/>
    <w:rsid w:val="0009757E"/>
    <w:rsid w:val="00097B6E"/>
    <w:rsid w:val="000A0223"/>
    <w:rsid w:val="000A0BAB"/>
    <w:rsid w:val="000A1450"/>
    <w:rsid w:val="000A1C53"/>
    <w:rsid w:val="000A31AA"/>
    <w:rsid w:val="000A5EFC"/>
    <w:rsid w:val="000A60ED"/>
    <w:rsid w:val="000A679A"/>
    <w:rsid w:val="000A6B9B"/>
    <w:rsid w:val="000A768C"/>
    <w:rsid w:val="000A7C6C"/>
    <w:rsid w:val="000B007E"/>
    <w:rsid w:val="000B0143"/>
    <w:rsid w:val="000B01E3"/>
    <w:rsid w:val="000B0557"/>
    <w:rsid w:val="000B0DA5"/>
    <w:rsid w:val="000B10F3"/>
    <w:rsid w:val="000B1189"/>
    <w:rsid w:val="000B2426"/>
    <w:rsid w:val="000B280F"/>
    <w:rsid w:val="000B2BFC"/>
    <w:rsid w:val="000B3194"/>
    <w:rsid w:val="000B3FF4"/>
    <w:rsid w:val="000B6614"/>
    <w:rsid w:val="000C067A"/>
    <w:rsid w:val="000C2EBF"/>
    <w:rsid w:val="000C34EA"/>
    <w:rsid w:val="000C360F"/>
    <w:rsid w:val="000C3BE1"/>
    <w:rsid w:val="000C58C6"/>
    <w:rsid w:val="000C5E1B"/>
    <w:rsid w:val="000C640A"/>
    <w:rsid w:val="000C6BB1"/>
    <w:rsid w:val="000C71C2"/>
    <w:rsid w:val="000C71DC"/>
    <w:rsid w:val="000C7872"/>
    <w:rsid w:val="000D02F6"/>
    <w:rsid w:val="000D0482"/>
    <w:rsid w:val="000D1DB0"/>
    <w:rsid w:val="000D1FEF"/>
    <w:rsid w:val="000D2A7A"/>
    <w:rsid w:val="000D2FCD"/>
    <w:rsid w:val="000D426E"/>
    <w:rsid w:val="000D4805"/>
    <w:rsid w:val="000D49E0"/>
    <w:rsid w:val="000D4B23"/>
    <w:rsid w:val="000D58D0"/>
    <w:rsid w:val="000D6042"/>
    <w:rsid w:val="000D649E"/>
    <w:rsid w:val="000D65BE"/>
    <w:rsid w:val="000D6D7D"/>
    <w:rsid w:val="000D6E67"/>
    <w:rsid w:val="000D7C40"/>
    <w:rsid w:val="000D7D3E"/>
    <w:rsid w:val="000E004C"/>
    <w:rsid w:val="000E1BCA"/>
    <w:rsid w:val="000E1BE5"/>
    <w:rsid w:val="000E39C8"/>
    <w:rsid w:val="000E4931"/>
    <w:rsid w:val="000E4D92"/>
    <w:rsid w:val="000E4EF1"/>
    <w:rsid w:val="000E50EA"/>
    <w:rsid w:val="000E673D"/>
    <w:rsid w:val="000E70DB"/>
    <w:rsid w:val="000F0A9E"/>
    <w:rsid w:val="000F0B46"/>
    <w:rsid w:val="000F1A97"/>
    <w:rsid w:val="000F1B21"/>
    <w:rsid w:val="000F257B"/>
    <w:rsid w:val="000F25DD"/>
    <w:rsid w:val="000F2851"/>
    <w:rsid w:val="000F3961"/>
    <w:rsid w:val="000F3A5F"/>
    <w:rsid w:val="000F47A6"/>
    <w:rsid w:val="000F4854"/>
    <w:rsid w:val="000F4D5F"/>
    <w:rsid w:val="000F5AAE"/>
    <w:rsid w:val="00100381"/>
    <w:rsid w:val="001005D5"/>
    <w:rsid w:val="0010080C"/>
    <w:rsid w:val="00100DDA"/>
    <w:rsid w:val="00102196"/>
    <w:rsid w:val="001023A5"/>
    <w:rsid w:val="0010374F"/>
    <w:rsid w:val="00103951"/>
    <w:rsid w:val="00103DAD"/>
    <w:rsid w:val="0010599C"/>
    <w:rsid w:val="001063D7"/>
    <w:rsid w:val="001066D2"/>
    <w:rsid w:val="00107709"/>
    <w:rsid w:val="00107CF1"/>
    <w:rsid w:val="001105BF"/>
    <w:rsid w:val="00112852"/>
    <w:rsid w:val="00112D27"/>
    <w:rsid w:val="00113204"/>
    <w:rsid w:val="00113E27"/>
    <w:rsid w:val="00113FA4"/>
    <w:rsid w:val="001145B4"/>
    <w:rsid w:val="00114E2E"/>
    <w:rsid w:val="00115B6E"/>
    <w:rsid w:val="00115C36"/>
    <w:rsid w:val="001166DF"/>
    <w:rsid w:val="00116928"/>
    <w:rsid w:val="00116BFA"/>
    <w:rsid w:val="00117D24"/>
    <w:rsid w:val="00120252"/>
    <w:rsid w:val="00120F81"/>
    <w:rsid w:val="001218BE"/>
    <w:rsid w:val="00121F54"/>
    <w:rsid w:val="00121FEF"/>
    <w:rsid w:val="001226CE"/>
    <w:rsid w:val="0012399B"/>
    <w:rsid w:val="00123F8F"/>
    <w:rsid w:val="001248B2"/>
    <w:rsid w:val="001252F6"/>
    <w:rsid w:val="0012575F"/>
    <w:rsid w:val="00125BFB"/>
    <w:rsid w:val="001277BF"/>
    <w:rsid w:val="00131DC4"/>
    <w:rsid w:val="00131FAB"/>
    <w:rsid w:val="00132CC2"/>
    <w:rsid w:val="0013320C"/>
    <w:rsid w:val="001335C0"/>
    <w:rsid w:val="0013488D"/>
    <w:rsid w:val="00135C4F"/>
    <w:rsid w:val="00135D00"/>
    <w:rsid w:val="00135DD4"/>
    <w:rsid w:val="00137261"/>
    <w:rsid w:val="00141C4E"/>
    <w:rsid w:val="00141EB3"/>
    <w:rsid w:val="001426DB"/>
    <w:rsid w:val="00143858"/>
    <w:rsid w:val="00143C06"/>
    <w:rsid w:val="00144414"/>
    <w:rsid w:val="00144A67"/>
    <w:rsid w:val="0014558D"/>
    <w:rsid w:val="00145657"/>
    <w:rsid w:val="00146EA5"/>
    <w:rsid w:val="001479D5"/>
    <w:rsid w:val="00147B96"/>
    <w:rsid w:val="00150821"/>
    <w:rsid w:val="00150D1C"/>
    <w:rsid w:val="00150DBF"/>
    <w:rsid w:val="00150EC7"/>
    <w:rsid w:val="00151ADE"/>
    <w:rsid w:val="00151DA8"/>
    <w:rsid w:val="0015259F"/>
    <w:rsid w:val="00152A55"/>
    <w:rsid w:val="001531EF"/>
    <w:rsid w:val="0015561B"/>
    <w:rsid w:val="00155A82"/>
    <w:rsid w:val="00155E0E"/>
    <w:rsid w:val="00155EAD"/>
    <w:rsid w:val="0015647D"/>
    <w:rsid w:val="00156A00"/>
    <w:rsid w:val="001579E5"/>
    <w:rsid w:val="00157F95"/>
    <w:rsid w:val="001604F9"/>
    <w:rsid w:val="00160B76"/>
    <w:rsid w:val="001619D2"/>
    <w:rsid w:val="00162A66"/>
    <w:rsid w:val="00162F33"/>
    <w:rsid w:val="0016347F"/>
    <w:rsid w:val="0016536A"/>
    <w:rsid w:val="00165E23"/>
    <w:rsid w:val="00165EEE"/>
    <w:rsid w:val="001662E1"/>
    <w:rsid w:val="0016635D"/>
    <w:rsid w:val="0016670D"/>
    <w:rsid w:val="00166F99"/>
    <w:rsid w:val="0016714D"/>
    <w:rsid w:val="00167194"/>
    <w:rsid w:val="00167459"/>
    <w:rsid w:val="0016749C"/>
    <w:rsid w:val="001715ED"/>
    <w:rsid w:val="0017167A"/>
    <w:rsid w:val="00171885"/>
    <w:rsid w:val="00171C9A"/>
    <w:rsid w:val="0017321D"/>
    <w:rsid w:val="001734CF"/>
    <w:rsid w:val="0017493A"/>
    <w:rsid w:val="00176C22"/>
    <w:rsid w:val="00176FEE"/>
    <w:rsid w:val="001771D0"/>
    <w:rsid w:val="001777F1"/>
    <w:rsid w:val="001800CD"/>
    <w:rsid w:val="001806FA"/>
    <w:rsid w:val="00180DFE"/>
    <w:rsid w:val="00181386"/>
    <w:rsid w:val="001829D7"/>
    <w:rsid w:val="00182EE2"/>
    <w:rsid w:val="0018372E"/>
    <w:rsid w:val="001857B1"/>
    <w:rsid w:val="00185C80"/>
    <w:rsid w:val="00187630"/>
    <w:rsid w:val="00187650"/>
    <w:rsid w:val="00187707"/>
    <w:rsid w:val="00187756"/>
    <w:rsid w:val="00190007"/>
    <w:rsid w:val="00190111"/>
    <w:rsid w:val="00190B12"/>
    <w:rsid w:val="001911BC"/>
    <w:rsid w:val="001915EF"/>
    <w:rsid w:val="00192511"/>
    <w:rsid w:val="001926BE"/>
    <w:rsid w:val="00192F15"/>
    <w:rsid w:val="00193A02"/>
    <w:rsid w:val="001956DC"/>
    <w:rsid w:val="00196E6F"/>
    <w:rsid w:val="00197AA9"/>
    <w:rsid w:val="001A06C5"/>
    <w:rsid w:val="001A0FB5"/>
    <w:rsid w:val="001A1F86"/>
    <w:rsid w:val="001A264F"/>
    <w:rsid w:val="001A2C43"/>
    <w:rsid w:val="001A3A2D"/>
    <w:rsid w:val="001A3F7E"/>
    <w:rsid w:val="001A4BF6"/>
    <w:rsid w:val="001A4DA1"/>
    <w:rsid w:val="001A533B"/>
    <w:rsid w:val="001A54BA"/>
    <w:rsid w:val="001A67F0"/>
    <w:rsid w:val="001A73E0"/>
    <w:rsid w:val="001A7B31"/>
    <w:rsid w:val="001B1697"/>
    <w:rsid w:val="001B1D1F"/>
    <w:rsid w:val="001B23C3"/>
    <w:rsid w:val="001B3E16"/>
    <w:rsid w:val="001B4540"/>
    <w:rsid w:val="001B4864"/>
    <w:rsid w:val="001B4C85"/>
    <w:rsid w:val="001B5CF5"/>
    <w:rsid w:val="001B6006"/>
    <w:rsid w:val="001B6080"/>
    <w:rsid w:val="001B62D8"/>
    <w:rsid w:val="001B7821"/>
    <w:rsid w:val="001B7B63"/>
    <w:rsid w:val="001C10E5"/>
    <w:rsid w:val="001C17E7"/>
    <w:rsid w:val="001C19CD"/>
    <w:rsid w:val="001C1C6E"/>
    <w:rsid w:val="001C2446"/>
    <w:rsid w:val="001C2602"/>
    <w:rsid w:val="001C2682"/>
    <w:rsid w:val="001C27FF"/>
    <w:rsid w:val="001C2E8F"/>
    <w:rsid w:val="001C32B5"/>
    <w:rsid w:val="001C32D4"/>
    <w:rsid w:val="001C3AC0"/>
    <w:rsid w:val="001C3C55"/>
    <w:rsid w:val="001C4115"/>
    <w:rsid w:val="001C4230"/>
    <w:rsid w:val="001C4E83"/>
    <w:rsid w:val="001C5DD6"/>
    <w:rsid w:val="001C5DFA"/>
    <w:rsid w:val="001C5E3E"/>
    <w:rsid w:val="001C6055"/>
    <w:rsid w:val="001C6233"/>
    <w:rsid w:val="001C6A78"/>
    <w:rsid w:val="001D0201"/>
    <w:rsid w:val="001D02BB"/>
    <w:rsid w:val="001D3217"/>
    <w:rsid w:val="001D40EE"/>
    <w:rsid w:val="001D47AE"/>
    <w:rsid w:val="001D6379"/>
    <w:rsid w:val="001D68F4"/>
    <w:rsid w:val="001D6BA9"/>
    <w:rsid w:val="001D6C31"/>
    <w:rsid w:val="001D6F5D"/>
    <w:rsid w:val="001D788E"/>
    <w:rsid w:val="001D7FAC"/>
    <w:rsid w:val="001E06DF"/>
    <w:rsid w:val="001E1141"/>
    <w:rsid w:val="001E29D5"/>
    <w:rsid w:val="001E37BF"/>
    <w:rsid w:val="001E40CD"/>
    <w:rsid w:val="001E4715"/>
    <w:rsid w:val="001E4ACF"/>
    <w:rsid w:val="001E5296"/>
    <w:rsid w:val="001E6065"/>
    <w:rsid w:val="001E6460"/>
    <w:rsid w:val="001E71A7"/>
    <w:rsid w:val="001F00FE"/>
    <w:rsid w:val="001F0F7E"/>
    <w:rsid w:val="001F112E"/>
    <w:rsid w:val="001F2873"/>
    <w:rsid w:val="001F2A60"/>
    <w:rsid w:val="001F2EB0"/>
    <w:rsid w:val="001F3A9B"/>
    <w:rsid w:val="001F4503"/>
    <w:rsid w:val="001F4CAA"/>
    <w:rsid w:val="001F697C"/>
    <w:rsid w:val="001F69A7"/>
    <w:rsid w:val="001F6C7A"/>
    <w:rsid w:val="001F70FA"/>
    <w:rsid w:val="001F7586"/>
    <w:rsid w:val="002000FB"/>
    <w:rsid w:val="00203034"/>
    <w:rsid w:val="00203292"/>
    <w:rsid w:val="002039EC"/>
    <w:rsid w:val="0020428A"/>
    <w:rsid w:val="00204738"/>
    <w:rsid w:val="00206370"/>
    <w:rsid w:val="00207135"/>
    <w:rsid w:val="00207E9E"/>
    <w:rsid w:val="002106D3"/>
    <w:rsid w:val="00210981"/>
    <w:rsid w:val="00210E53"/>
    <w:rsid w:val="00210E80"/>
    <w:rsid w:val="002118B0"/>
    <w:rsid w:val="00212949"/>
    <w:rsid w:val="00213586"/>
    <w:rsid w:val="00213971"/>
    <w:rsid w:val="00213E1A"/>
    <w:rsid w:val="00214F21"/>
    <w:rsid w:val="00215790"/>
    <w:rsid w:val="00216299"/>
    <w:rsid w:val="002175FC"/>
    <w:rsid w:val="0022263D"/>
    <w:rsid w:val="00224A98"/>
    <w:rsid w:val="00224C55"/>
    <w:rsid w:val="00225098"/>
    <w:rsid w:val="0022514E"/>
    <w:rsid w:val="002257FD"/>
    <w:rsid w:val="00225A35"/>
    <w:rsid w:val="00226241"/>
    <w:rsid w:val="0022632A"/>
    <w:rsid w:val="00226384"/>
    <w:rsid w:val="00226820"/>
    <w:rsid w:val="002278FD"/>
    <w:rsid w:val="00230B62"/>
    <w:rsid w:val="00230B6E"/>
    <w:rsid w:val="00232159"/>
    <w:rsid w:val="00232610"/>
    <w:rsid w:val="002327B8"/>
    <w:rsid w:val="002327C5"/>
    <w:rsid w:val="00232D5D"/>
    <w:rsid w:val="0023409E"/>
    <w:rsid w:val="00234359"/>
    <w:rsid w:val="00236041"/>
    <w:rsid w:val="00236522"/>
    <w:rsid w:val="00237809"/>
    <w:rsid w:val="00237936"/>
    <w:rsid w:val="00237ABD"/>
    <w:rsid w:val="00240439"/>
    <w:rsid w:val="00240629"/>
    <w:rsid w:val="00241155"/>
    <w:rsid w:val="002416D4"/>
    <w:rsid w:val="00241D86"/>
    <w:rsid w:val="00242541"/>
    <w:rsid w:val="00242980"/>
    <w:rsid w:val="00243040"/>
    <w:rsid w:val="002430F8"/>
    <w:rsid w:val="00243737"/>
    <w:rsid w:val="00243D3E"/>
    <w:rsid w:val="00243DCD"/>
    <w:rsid w:val="002441A2"/>
    <w:rsid w:val="00247397"/>
    <w:rsid w:val="00247B8B"/>
    <w:rsid w:val="00250A8B"/>
    <w:rsid w:val="002510D2"/>
    <w:rsid w:val="002515F5"/>
    <w:rsid w:val="00252EE9"/>
    <w:rsid w:val="0025339B"/>
    <w:rsid w:val="00253864"/>
    <w:rsid w:val="00254C7C"/>
    <w:rsid w:val="0025513C"/>
    <w:rsid w:val="00255948"/>
    <w:rsid w:val="00255EB0"/>
    <w:rsid w:val="002563C9"/>
    <w:rsid w:val="0025672E"/>
    <w:rsid w:val="00256BBA"/>
    <w:rsid w:val="00256DDF"/>
    <w:rsid w:val="00257FDF"/>
    <w:rsid w:val="002609C3"/>
    <w:rsid w:val="00263242"/>
    <w:rsid w:val="002643AD"/>
    <w:rsid w:val="00264424"/>
    <w:rsid w:val="00264A01"/>
    <w:rsid w:val="00265261"/>
    <w:rsid w:val="002652F6"/>
    <w:rsid w:val="00265811"/>
    <w:rsid w:val="0026614A"/>
    <w:rsid w:val="002661C4"/>
    <w:rsid w:val="0026643F"/>
    <w:rsid w:val="0027012E"/>
    <w:rsid w:val="00270460"/>
    <w:rsid w:val="00274980"/>
    <w:rsid w:val="00275C70"/>
    <w:rsid w:val="00275EDA"/>
    <w:rsid w:val="00276027"/>
    <w:rsid w:val="002769C9"/>
    <w:rsid w:val="00276AD8"/>
    <w:rsid w:val="00276FB0"/>
    <w:rsid w:val="002771C1"/>
    <w:rsid w:val="00277CC8"/>
    <w:rsid w:val="00277D7F"/>
    <w:rsid w:val="00277FAE"/>
    <w:rsid w:val="0028055A"/>
    <w:rsid w:val="00280699"/>
    <w:rsid w:val="0028132C"/>
    <w:rsid w:val="0028206B"/>
    <w:rsid w:val="00282559"/>
    <w:rsid w:val="002829CC"/>
    <w:rsid w:val="00282AF8"/>
    <w:rsid w:val="0028319B"/>
    <w:rsid w:val="0028469B"/>
    <w:rsid w:val="00284D0A"/>
    <w:rsid w:val="00284E55"/>
    <w:rsid w:val="002855DF"/>
    <w:rsid w:val="002859B3"/>
    <w:rsid w:val="00286E78"/>
    <w:rsid w:val="002871DE"/>
    <w:rsid w:val="002875BA"/>
    <w:rsid w:val="0029074E"/>
    <w:rsid w:val="00290F9E"/>
    <w:rsid w:val="0029122E"/>
    <w:rsid w:val="00291387"/>
    <w:rsid w:val="00292560"/>
    <w:rsid w:val="00292704"/>
    <w:rsid w:val="00292F21"/>
    <w:rsid w:val="0029357A"/>
    <w:rsid w:val="00293950"/>
    <w:rsid w:val="00293AEF"/>
    <w:rsid w:val="00295154"/>
    <w:rsid w:val="00297239"/>
    <w:rsid w:val="002973BA"/>
    <w:rsid w:val="002A00EA"/>
    <w:rsid w:val="002A05F8"/>
    <w:rsid w:val="002A0E6C"/>
    <w:rsid w:val="002A25F9"/>
    <w:rsid w:val="002A341D"/>
    <w:rsid w:val="002A3498"/>
    <w:rsid w:val="002A505A"/>
    <w:rsid w:val="002A598C"/>
    <w:rsid w:val="002A5C58"/>
    <w:rsid w:val="002A5E63"/>
    <w:rsid w:val="002A6CA5"/>
    <w:rsid w:val="002A74AD"/>
    <w:rsid w:val="002A76A6"/>
    <w:rsid w:val="002B09C3"/>
    <w:rsid w:val="002B0F0B"/>
    <w:rsid w:val="002B15F9"/>
    <w:rsid w:val="002B1FCB"/>
    <w:rsid w:val="002B2151"/>
    <w:rsid w:val="002B2E5A"/>
    <w:rsid w:val="002B3009"/>
    <w:rsid w:val="002B4658"/>
    <w:rsid w:val="002B5892"/>
    <w:rsid w:val="002B62C1"/>
    <w:rsid w:val="002B6B4F"/>
    <w:rsid w:val="002B77EC"/>
    <w:rsid w:val="002B7E92"/>
    <w:rsid w:val="002C007D"/>
    <w:rsid w:val="002C0615"/>
    <w:rsid w:val="002C0C92"/>
    <w:rsid w:val="002C0E84"/>
    <w:rsid w:val="002C2878"/>
    <w:rsid w:val="002C5161"/>
    <w:rsid w:val="002C5244"/>
    <w:rsid w:val="002C5415"/>
    <w:rsid w:val="002C64B0"/>
    <w:rsid w:val="002C78CE"/>
    <w:rsid w:val="002C7B31"/>
    <w:rsid w:val="002C7E16"/>
    <w:rsid w:val="002D0786"/>
    <w:rsid w:val="002D12E8"/>
    <w:rsid w:val="002D1E5A"/>
    <w:rsid w:val="002D222B"/>
    <w:rsid w:val="002D286C"/>
    <w:rsid w:val="002D432B"/>
    <w:rsid w:val="002D435D"/>
    <w:rsid w:val="002D479C"/>
    <w:rsid w:val="002D51DB"/>
    <w:rsid w:val="002D51E0"/>
    <w:rsid w:val="002D5B41"/>
    <w:rsid w:val="002D6075"/>
    <w:rsid w:val="002D6169"/>
    <w:rsid w:val="002D68BE"/>
    <w:rsid w:val="002D6E0F"/>
    <w:rsid w:val="002D7D39"/>
    <w:rsid w:val="002E0F66"/>
    <w:rsid w:val="002E0FFE"/>
    <w:rsid w:val="002E1704"/>
    <w:rsid w:val="002E2894"/>
    <w:rsid w:val="002E3A6A"/>
    <w:rsid w:val="002E5939"/>
    <w:rsid w:val="002E600F"/>
    <w:rsid w:val="002E66EF"/>
    <w:rsid w:val="002E681E"/>
    <w:rsid w:val="002E774D"/>
    <w:rsid w:val="002E79E8"/>
    <w:rsid w:val="002E7A02"/>
    <w:rsid w:val="002E7CBD"/>
    <w:rsid w:val="002F00EC"/>
    <w:rsid w:val="002F0146"/>
    <w:rsid w:val="002F150F"/>
    <w:rsid w:val="002F1E90"/>
    <w:rsid w:val="002F364D"/>
    <w:rsid w:val="002F3FB6"/>
    <w:rsid w:val="002F42E4"/>
    <w:rsid w:val="002F4726"/>
    <w:rsid w:val="002F47C9"/>
    <w:rsid w:val="002F4813"/>
    <w:rsid w:val="002F54CE"/>
    <w:rsid w:val="002F56EA"/>
    <w:rsid w:val="002F6789"/>
    <w:rsid w:val="002F67C9"/>
    <w:rsid w:val="0030022A"/>
    <w:rsid w:val="00301559"/>
    <w:rsid w:val="00301B45"/>
    <w:rsid w:val="0030355C"/>
    <w:rsid w:val="003050A9"/>
    <w:rsid w:val="00305134"/>
    <w:rsid w:val="003057D7"/>
    <w:rsid w:val="00307063"/>
    <w:rsid w:val="00310072"/>
    <w:rsid w:val="00311449"/>
    <w:rsid w:val="00312232"/>
    <w:rsid w:val="003126E2"/>
    <w:rsid w:val="003126FE"/>
    <w:rsid w:val="00312A20"/>
    <w:rsid w:val="00313433"/>
    <w:rsid w:val="00313AAD"/>
    <w:rsid w:val="00314286"/>
    <w:rsid w:val="0031434C"/>
    <w:rsid w:val="00314388"/>
    <w:rsid w:val="003150B2"/>
    <w:rsid w:val="00316B69"/>
    <w:rsid w:val="00316BA5"/>
    <w:rsid w:val="00317A5B"/>
    <w:rsid w:val="00317EEB"/>
    <w:rsid w:val="00320571"/>
    <w:rsid w:val="00321075"/>
    <w:rsid w:val="00321AA7"/>
    <w:rsid w:val="00322335"/>
    <w:rsid w:val="00323EE6"/>
    <w:rsid w:val="00323EF2"/>
    <w:rsid w:val="00324AAA"/>
    <w:rsid w:val="00324E14"/>
    <w:rsid w:val="0032521F"/>
    <w:rsid w:val="0032535E"/>
    <w:rsid w:val="0032547F"/>
    <w:rsid w:val="003254B7"/>
    <w:rsid w:val="0032580D"/>
    <w:rsid w:val="00326684"/>
    <w:rsid w:val="00326CE4"/>
    <w:rsid w:val="003274AD"/>
    <w:rsid w:val="00330745"/>
    <w:rsid w:val="00330E96"/>
    <w:rsid w:val="00332A66"/>
    <w:rsid w:val="00332D38"/>
    <w:rsid w:val="00333058"/>
    <w:rsid w:val="00333120"/>
    <w:rsid w:val="00333E45"/>
    <w:rsid w:val="00334976"/>
    <w:rsid w:val="00335028"/>
    <w:rsid w:val="00335985"/>
    <w:rsid w:val="00336253"/>
    <w:rsid w:val="0033670E"/>
    <w:rsid w:val="00336870"/>
    <w:rsid w:val="00336FC7"/>
    <w:rsid w:val="003371B0"/>
    <w:rsid w:val="00340D0A"/>
    <w:rsid w:val="00341B31"/>
    <w:rsid w:val="00341E44"/>
    <w:rsid w:val="00342036"/>
    <w:rsid w:val="00344AFF"/>
    <w:rsid w:val="00345425"/>
    <w:rsid w:val="003457B6"/>
    <w:rsid w:val="00346A55"/>
    <w:rsid w:val="00346E23"/>
    <w:rsid w:val="0035156A"/>
    <w:rsid w:val="003516B1"/>
    <w:rsid w:val="00351E4C"/>
    <w:rsid w:val="003520B4"/>
    <w:rsid w:val="003526B2"/>
    <w:rsid w:val="00352BD3"/>
    <w:rsid w:val="00353471"/>
    <w:rsid w:val="00353848"/>
    <w:rsid w:val="00353A2C"/>
    <w:rsid w:val="003544D7"/>
    <w:rsid w:val="0035511B"/>
    <w:rsid w:val="00355ADC"/>
    <w:rsid w:val="00356309"/>
    <w:rsid w:val="00357722"/>
    <w:rsid w:val="003579E4"/>
    <w:rsid w:val="003609E5"/>
    <w:rsid w:val="00361132"/>
    <w:rsid w:val="00363693"/>
    <w:rsid w:val="00363CD6"/>
    <w:rsid w:val="00363DD6"/>
    <w:rsid w:val="00364AEE"/>
    <w:rsid w:val="00364BC1"/>
    <w:rsid w:val="00364DC6"/>
    <w:rsid w:val="00365500"/>
    <w:rsid w:val="00365A51"/>
    <w:rsid w:val="00365DBC"/>
    <w:rsid w:val="00366758"/>
    <w:rsid w:val="0036721B"/>
    <w:rsid w:val="00367223"/>
    <w:rsid w:val="00367891"/>
    <w:rsid w:val="00367F0D"/>
    <w:rsid w:val="0037011B"/>
    <w:rsid w:val="00370178"/>
    <w:rsid w:val="00370F15"/>
    <w:rsid w:val="00371094"/>
    <w:rsid w:val="00371938"/>
    <w:rsid w:val="00373774"/>
    <w:rsid w:val="00374212"/>
    <w:rsid w:val="00375185"/>
    <w:rsid w:val="00375804"/>
    <w:rsid w:val="0037642D"/>
    <w:rsid w:val="00376584"/>
    <w:rsid w:val="00376766"/>
    <w:rsid w:val="003770CE"/>
    <w:rsid w:val="003806B8"/>
    <w:rsid w:val="003806D1"/>
    <w:rsid w:val="0038113D"/>
    <w:rsid w:val="003819B9"/>
    <w:rsid w:val="00381DC6"/>
    <w:rsid w:val="00381FA3"/>
    <w:rsid w:val="003820D3"/>
    <w:rsid w:val="0038275D"/>
    <w:rsid w:val="003829E8"/>
    <w:rsid w:val="00382F1B"/>
    <w:rsid w:val="00383B6C"/>
    <w:rsid w:val="00383DA6"/>
    <w:rsid w:val="003841F0"/>
    <w:rsid w:val="0038463C"/>
    <w:rsid w:val="003847F3"/>
    <w:rsid w:val="00384A03"/>
    <w:rsid w:val="00384B74"/>
    <w:rsid w:val="00385140"/>
    <w:rsid w:val="00385382"/>
    <w:rsid w:val="00386D2A"/>
    <w:rsid w:val="00387018"/>
    <w:rsid w:val="00387A1F"/>
    <w:rsid w:val="00387B38"/>
    <w:rsid w:val="00387E85"/>
    <w:rsid w:val="00390566"/>
    <w:rsid w:val="00390FD0"/>
    <w:rsid w:val="003913DB"/>
    <w:rsid w:val="0039144E"/>
    <w:rsid w:val="003914E2"/>
    <w:rsid w:val="00392313"/>
    <w:rsid w:val="00393199"/>
    <w:rsid w:val="00394D4A"/>
    <w:rsid w:val="00394E8E"/>
    <w:rsid w:val="003956D9"/>
    <w:rsid w:val="00395D15"/>
    <w:rsid w:val="00395F52"/>
    <w:rsid w:val="003968A8"/>
    <w:rsid w:val="00396F3E"/>
    <w:rsid w:val="003A0CB0"/>
    <w:rsid w:val="003A1729"/>
    <w:rsid w:val="003A2AEA"/>
    <w:rsid w:val="003A2D4A"/>
    <w:rsid w:val="003A2D88"/>
    <w:rsid w:val="003A33A3"/>
    <w:rsid w:val="003A46CC"/>
    <w:rsid w:val="003A4ED5"/>
    <w:rsid w:val="003A55E5"/>
    <w:rsid w:val="003A6882"/>
    <w:rsid w:val="003A6E3E"/>
    <w:rsid w:val="003B01FB"/>
    <w:rsid w:val="003B179F"/>
    <w:rsid w:val="003B1D85"/>
    <w:rsid w:val="003B1EC4"/>
    <w:rsid w:val="003B3CAC"/>
    <w:rsid w:val="003B3D1D"/>
    <w:rsid w:val="003B4DC4"/>
    <w:rsid w:val="003B5E0F"/>
    <w:rsid w:val="003B6350"/>
    <w:rsid w:val="003B7743"/>
    <w:rsid w:val="003B7A61"/>
    <w:rsid w:val="003C0864"/>
    <w:rsid w:val="003C091F"/>
    <w:rsid w:val="003C0CD5"/>
    <w:rsid w:val="003C0E08"/>
    <w:rsid w:val="003C10E9"/>
    <w:rsid w:val="003C13F8"/>
    <w:rsid w:val="003C1D89"/>
    <w:rsid w:val="003C2AE0"/>
    <w:rsid w:val="003C3441"/>
    <w:rsid w:val="003C37EA"/>
    <w:rsid w:val="003C3FD7"/>
    <w:rsid w:val="003C452A"/>
    <w:rsid w:val="003C472C"/>
    <w:rsid w:val="003C4D78"/>
    <w:rsid w:val="003C4E8A"/>
    <w:rsid w:val="003C582E"/>
    <w:rsid w:val="003C6238"/>
    <w:rsid w:val="003C67D4"/>
    <w:rsid w:val="003C699D"/>
    <w:rsid w:val="003D02C4"/>
    <w:rsid w:val="003D0570"/>
    <w:rsid w:val="003D0DF1"/>
    <w:rsid w:val="003D22E9"/>
    <w:rsid w:val="003D26C7"/>
    <w:rsid w:val="003D2C31"/>
    <w:rsid w:val="003D3A61"/>
    <w:rsid w:val="003D51D4"/>
    <w:rsid w:val="003D570C"/>
    <w:rsid w:val="003D5C8A"/>
    <w:rsid w:val="003D6C12"/>
    <w:rsid w:val="003D6C5D"/>
    <w:rsid w:val="003D6D94"/>
    <w:rsid w:val="003D73BF"/>
    <w:rsid w:val="003D7484"/>
    <w:rsid w:val="003E014C"/>
    <w:rsid w:val="003E075A"/>
    <w:rsid w:val="003E0823"/>
    <w:rsid w:val="003E2B3D"/>
    <w:rsid w:val="003E581E"/>
    <w:rsid w:val="003E5B12"/>
    <w:rsid w:val="003E6CD9"/>
    <w:rsid w:val="003E6FD3"/>
    <w:rsid w:val="003E7254"/>
    <w:rsid w:val="003E7CC3"/>
    <w:rsid w:val="003E7CD0"/>
    <w:rsid w:val="003F188E"/>
    <w:rsid w:val="003F1A51"/>
    <w:rsid w:val="003F1B58"/>
    <w:rsid w:val="003F28BD"/>
    <w:rsid w:val="003F32EC"/>
    <w:rsid w:val="003F3672"/>
    <w:rsid w:val="003F36AC"/>
    <w:rsid w:val="003F3D4C"/>
    <w:rsid w:val="003F504E"/>
    <w:rsid w:val="003F547A"/>
    <w:rsid w:val="003F5FB0"/>
    <w:rsid w:val="003F6100"/>
    <w:rsid w:val="003F6ADC"/>
    <w:rsid w:val="003F6E5A"/>
    <w:rsid w:val="003F7012"/>
    <w:rsid w:val="003F74D4"/>
    <w:rsid w:val="004002E5"/>
    <w:rsid w:val="00400BF4"/>
    <w:rsid w:val="00401004"/>
    <w:rsid w:val="00401155"/>
    <w:rsid w:val="00401997"/>
    <w:rsid w:val="00402C6C"/>
    <w:rsid w:val="004046EC"/>
    <w:rsid w:val="0040577F"/>
    <w:rsid w:val="00405E52"/>
    <w:rsid w:val="00406231"/>
    <w:rsid w:val="0040670E"/>
    <w:rsid w:val="00406C39"/>
    <w:rsid w:val="00406F67"/>
    <w:rsid w:val="0040701C"/>
    <w:rsid w:val="00407059"/>
    <w:rsid w:val="004072BF"/>
    <w:rsid w:val="00407DE7"/>
    <w:rsid w:val="00407F87"/>
    <w:rsid w:val="00410196"/>
    <w:rsid w:val="004106AC"/>
    <w:rsid w:val="00410F6F"/>
    <w:rsid w:val="004116F9"/>
    <w:rsid w:val="004123D1"/>
    <w:rsid w:val="00412EE4"/>
    <w:rsid w:val="004132CD"/>
    <w:rsid w:val="0041355B"/>
    <w:rsid w:val="00413A25"/>
    <w:rsid w:val="004141C5"/>
    <w:rsid w:val="00414255"/>
    <w:rsid w:val="00414296"/>
    <w:rsid w:val="00414746"/>
    <w:rsid w:val="00415199"/>
    <w:rsid w:val="00417279"/>
    <w:rsid w:val="004178EC"/>
    <w:rsid w:val="00417B83"/>
    <w:rsid w:val="00420485"/>
    <w:rsid w:val="00420C72"/>
    <w:rsid w:val="00422352"/>
    <w:rsid w:val="00422E6F"/>
    <w:rsid w:val="004239D2"/>
    <w:rsid w:val="004239D9"/>
    <w:rsid w:val="0042403C"/>
    <w:rsid w:val="0042455B"/>
    <w:rsid w:val="004246F3"/>
    <w:rsid w:val="00424A18"/>
    <w:rsid w:val="00424FCC"/>
    <w:rsid w:val="00425214"/>
    <w:rsid w:val="00426505"/>
    <w:rsid w:val="00426E1E"/>
    <w:rsid w:val="00426F2E"/>
    <w:rsid w:val="004278D2"/>
    <w:rsid w:val="004307B4"/>
    <w:rsid w:val="004319BD"/>
    <w:rsid w:val="004322A1"/>
    <w:rsid w:val="0043243A"/>
    <w:rsid w:val="0043243D"/>
    <w:rsid w:val="00435419"/>
    <w:rsid w:val="00435D56"/>
    <w:rsid w:val="00435D95"/>
    <w:rsid w:val="004360ED"/>
    <w:rsid w:val="00436442"/>
    <w:rsid w:val="00436746"/>
    <w:rsid w:val="00436958"/>
    <w:rsid w:val="00437388"/>
    <w:rsid w:val="0043744D"/>
    <w:rsid w:val="004374C4"/>
    <w:rsid w:val="00437BA4"/>
    <w:rsid w:val="00440888"/>
    <w:rsid w:val="00441054"/>
    <w:rsid w:val="0044141F"/>
    <w:rsid w:val="00441423"/>
    <w:rsid w:val="0044156C"/>
    <w:rsid w:val="00441815"/>
    <w:rsid w:val="004425EE"/>
    <w:rsid w:val="00442B36"/>
    <w:rsid w:val="00442CAC"/>
    <w:rsid w:val="0044361E"/>
    <w:rsid w:val="00443EF5"/>
    <w:rsid w:val="00444797"/>
    <w:rsid w:val="00444EE9"/>
    <w:rsid w:val="004454F8"/>
    <w:rsid w:val="00445921"/>
    <w:rsid w:val="00445E60"/>
    <w:rsid w:val="0045023E"/>
    <w:rsid w:val="0045034B"/>
    <w:rsid w:val="00451014"/>
    <w:rsid w:val="0045124B"/>
    <w:rsid w:val="00452946"/>
    <w:rsid w:val="00452E08"/>
    <w:rsid w:val="004540DB"/>
    <w:rsid w:val="00454BCF"/>
    <w:rsid w:val="00455692"/>
    <w:rsid w:val="004560AE"/>
    <w:rsid w:val="0045773B"/>
    <w:rsid w:val="00457D0E"/>
    <w:rsid w:val="00460C29"/>
    <w:rsid w:val="0046179D"/>
    <w:rsid w:val="00461F1E"/>
    <w:rsid w:val="00462320"/>
    <w:rsid w:val="0046426F"/>
    <w:rsid w:val="0046440D"/>
    <w:rsid w:val="00464B89"/>
    <w:rsid w:val="004668EE"/>
    <w:rsid w:val="004669D0"/>
    <w:rsid w:val="00466AE5"/>
    <w:rsid w:val="00466B62"/>
    <w:rsid w:val="00467143"/>
    <w:rsid w:val="0046733A"/>
    <w:rsid w:val="004701AE"/>
    <w:rsid w:val="004706B7"/>
    <w:rsid w:val="00470972"/>
    <w:rsid w:val="00471153"/>
    <w:rsid w:val="004716AA"/>
    <w:rsid w:val="00471C37"/>
    <w:rsid w:val="00472E6B"/>
    <w:rsid w:val="00474A19"/>
    <w:rsid w:val="00475F87"/>
    <w:rsid w:val="00476587"/>
    <w:rsid w:val="004767A4"/>
    <w:rsid w:val="00476B4A"/>
    <w:rsid w:val="004776E9"/>
    <w:rsid w:val="00480164"/>
    <w:rsid w:val="004856B8"/>
    <w:rsid w:val="00485822"/>
    <w:rsid w:val="00485B1F"/>
    <w:rsid w:val="00485C77"/>
    <w:rsid w:val="00486691"/>
    <w:rsid w:val="00486730"/>
    <w:rsid w:val="00486845"/>
    <w:rsid w:val="00486ACA"/>
    <w:rsid w:val="00486B67"/>
    <w:rsid w:val="00490351"/>
    <w:rsid w:val="004910A9"/>
    <w:rsid w:val="00492E8A"/>
    <w:rsid w:val="004938C3"/>
    <w:rsid w:val="004938FC"/>
    <w:rsid w:val="00496052"/>
    <w:rsid w:val="0049672E"/>
    <w:rsid w:val="004971F4"/>
    <w:rsid w:val="004A025C"/>
    <w:rsid w:val="004A06D5"/>
    <w:rsid w:val="004A1214"/>
    <w:rsid w:val="004A1727"/>
    <w:rsid w:val="004A2E3E"/>
    <w:rsid w:val="004A4638"/>
    <w:rsid w:val="004A53FD"/>
    <w:rsid w:val="004A5879"/>
    <w:rsid w:val="004A590A"/>
    <w:rsid w:val="004A626E"/>
    <w:rsid w:val="004A72D6"/>
    <w:rsid w:val="004A7A17"/>
    <w:rsid w:val="004B0621"/>
    <w:rsid w:val="004B1440"/>
    <w:rsid w:val="004B1C59"/>
    <w:rsid w:val="004B1DBE"/>
    <w:rsid w:val="004B27A9"/>
    <w:rsid w:val="004B35D8"/>
    <w:rsid w:val="004B3B8D"/>
    <w:rsid w:val="004B3BCE"/>
    <w:rsid w:val="004B5C84"/>
    <w:rsid w:val="004B6121"/>
    <w:rsid w:val="004B6AA8"/>
    <w:rsid w:val="004B71BC"/>
    <w:rsid w:val="004B7BBE"/>
    <w:rsid w:val="004C033E"/>
    <w:rsid w:val="004C127E"/>
    <w:rsid w:val="004C18C0"/>
    <w:rsid w:val="004C2553"/>
    <w:rsid w:val="004C311B"/>
    <w:rsid w:val="004C31EB"/>
    <w:rsid w:val="004C349D"/>
    <w:rsid w:val="004C3644"/>
    <w:rsid w:val="004C3B2E"/>
    <w:rsid w:val="004C56E5"/>
    <w:rsid w:val="004C5B08"/>
    <w:rsid w:val="004D04E5"/>
    <w:rsid w:val="004D1D99"/>
    <w:rsid w:val="004D24C9"/>
    <w:rsid w:val="004D26A8"/>
    <w:rsid w:val="004D2C6F"/>
    <w:rsid w:val="004D35B8"/>
    <w:rsid w:val="004D3CE0"/>
    <w:rsid w:val="004D3D64"/>
    <w:rsid w:val="004D6583"/>
    <w:rsid w:val="004D6CFC"/>
    <w:rsid w:val="004D72E3"/>
    <w:rsid w:val="004E0514"/>
    <w:rsid w:val="004E0B12"/>
    <w:rsid w:val="004E0F75"/>
    <w:rsid w:val="004E1563"/>
    <w:rsid w:val="004E16F4"/>
    <w:rsid w:val="004E3EEA"/>
    <w:rsid w:val="004E4517"/>
    <w:rsid w:val="004E5FC1"/>
    <w:rsid w:val="004E76E2"/>
    <w:rsid w:val="004E7AFB"/>
    <w:rsid w:val="004F017F"/>
    <w:rsid w:val="004F01E5"/>
    <w:rsid w:val="004F173E"/>
    <w:rsid w:val="004F1F82"/>
    <w:rsid w:val="004F242A"/>
    <w:rsid w:val="004F2554"/>
    <w:rsid w:val="004F2861"/>
    <w:rsid w:val="004F29D6"/>
    <w:rsid w:val="004F31F8"/>
    <w:rsid w:val="004F3A8E"/>
    <w:rsid w:val="004F3DD2"/>
    <w:rsid w:val="004F46BF"/>
    <w:rsid w:val="004F4712"/>
    <w:rsid w:val="004F4894"/>
    <w:rsid w:val="004F4E71"/>
    <w:rsid w:val="004F5451"/>
    <w:rsid w:val="004F6115"/>
    <w:rsid w:val="004F6482"/>
    <w:rsid w:val="004F6BD0"/>
    <w:rsid w:val="004F70D8"/>
    <w:rsid w:val="004F7310"/>
    <w:rsid w:val="0050051F"/>
    <w:rsid w:val="00500598"/>
    <w:rsid w:val="00500759"/>
    <w:rsid w:val="00500E08"/>
    <w:rsid w:val="00500F2F"/>
    <w:rsid w:val="00502E43"/>
    <w:rsid w:val="00503198"/>
    <w:rsid w:val="0050432A"/>
    <w:rsid w:val="00505317"/>
    <w:rsid w:val="005057DE"/>
    <w:rsid w:val="005069C6"/>
    <w:rsid w:val="00506F9E"/>
    <w:rsid w:val="00507644"/>
    <w:rsid w:val="00507F5B"/>
    <w:rsid w:val="0051013B"/>
    <w:rsid w:val="005108D0"/>
    <w:rsid w:val="00510977"/>
    <w:rsid w:val="00510E1D"/>
    <w:rsid w:val="0051137C"/>
    <w:rsid w:val="0051199F"/>
    <w:rsid w:val="0051238C"/>
    <w:rsid w:val="00512A72"/>
    <w:rsid w:val="00515963"/>
    <w:rsid w:val="00520890"/>
    <w:rsid w:val="00520F38"/>
    <w:rsid w:val="0052121F"/>
    <w:rsid w:val="005226B1"/>
    <w:rsid w:val="005230A2"/>
    <w:rsid w:val="005230E2"/>
    <w:rsid w:val="0052323F"/>
    <w:rsid w:val="005236B8"/>
    <w:rsid w:val="00524557"/>
    <w:rsid w:val="00524600"/>
    <w:rsid w:val="0052517B"/>
    <w:rsid w:val="0052524B"/>
    <w:rsid w:val="0052623E"/>
    <w:rsid w:val="005266DB"/>
    <w:rsid w:val="00526A45"/>
    <w:rsid w:val="00527507"/>
    <w:rsid w:val="00527561"/>
    <w:rsid w:val="00530056"/>
    <w:rsid w:val="00530BF6"/>
    <w:rsid w:val="00530C06"/>
    <w:rsid w:val="005319CB"/>
    <w:rsid w:val="00531BCC"/>
    <w:rsid w:val="00532A96"/>
    <w:rsid w:val="00532B69"/>
    <w:rsid w:val="00533395"/>
    <w:rsid w:val="00534FCC"/>
    <w:rsid w:val="00535001"/>
    <w:rsid w:val="005352CF"/>
    <w:rsid w:val="00535832"/>
    <w:rsid w:val="00536112"/>
    <w:rsid w:val="00536177"/>
    <w:rsid w:val="00537D96"/>
    <w:rsid w:val="005404F8"/>
    <w:rsid w:val="00540643"/>
    <w:rsid w:val="00541669"/>
    <w:rsid w:val="0054225D"/>
    <w:rsid w:val="00544981"/>
    <w:rsid w:val="00544D9B"/>
    <w:rsid w:val="005458D4"/>
    <w:rsid w:val="00545F50"/>
    <w:rsid w:val="00546147"/>
    <w:rsid w:val="005477F9"/>
    <w:rsid w:val="005478B9"/>
    <w:rsid w:val="00547AD4"/>
    <w:rsid w:val="00547F26"/>
    <w:rsid w:val="00551EDC"/>
    <w:rsid w:val="00551F3B"/>
    <w:rsid w:val="005528DE"/>
    <w:rsid w:val="00553095"/>
    <w:rsid w:val="00554F58"/>
    <w:rsid w:val="00555C28"/>
    <w:rsid w:val="00556539"/>
    <w:rsid w:val="00556C0D"/>
    <w:rsid w:val="00557570"/>
    <w:rsid w:val="00557E56"/>
    <w:rsid w:val="00561823"/>
    <w:rsid w:val="00563016"/>
    <w:rsid w:val="0056344B"/>
    <w:rsid w:val="00563996"/>
    <w:rsid w:val="0056495E"/>
    <w:rsid w:val="00564E90"/>
    <w:rsid w:val="00564E94"/>
    <w:rsid w:val="00565000"/>
    <w:rsid w:val="0056677D"/>
    <w:rsid w:val="005675C3"/>
    <w:rsid w:val="00567927"/>
    <w:rsid w:val="005679BC"/>
    <w:rsid w:val="00567CA7"/>
    <w:rsid w:val="0057009D"/>
    <w:rsid w:val="005707AB"/>
    <w:rsid w:val="00570EA4"/>
    <w:rsid w:val="00570ED0"/>
    <w:rsid w:val="00571593"/>
    <w:rsid w:val="00572147"/>
    <w:rsid w:val="00572234"/>
    <w:rsid w:val="00573652"/>
    <w:rsid w:val="0057390F"/>
    <w:rsid w:val="0057477F"/>
    <w:rsid w:val="0057507A"/>
    <w:rsid w:val="0057543B"/>
    <w:rsid w:val="00575561"/>
    <w:rsid w:val="00575AA3"/>
    <w:rsid w:val="00576CD5"/>
    <w:rsid w:val="0057708F"/>
    <w:rsid w:val="0058000B"/>
    <w:rsid w:val="00581155"/>
    <w:rsid w:val="005819F7"/>
    <w:rsid w:val="00581AE1"/>
    <w:rsid w:val="00581BBF"/>
    <w:rsid w:val="00582828"/>
    <w:rsid w:val="00582993"/>
    <w:rsid w:val="00582D27"/>
    <w:rsid w:val="00583C30"/>
    <w:rsid w:val="00583E1E"/>
    <w:rsid w:val="00586393"/>
    <w:rsid w:val="00586454"/>
    <w:rsid w:val="00586BE2"/>
    <w:rsid w:val="00586E5B"/>
    <w:rsid w:val="00587162"/>
    <w:rsid w:val="005873A4"/>
    <w:rsid w:val="00587A8D"/>
    <w:rsid w:val="00590C42"/>
    <w:rsid w:val="00591011"/>
    <w:rsid w:val="005911F8"/>
    <w:rsid w:val="00593521"/>
    <w:rsid w:val="00593A6A"/>
    <w:rsid w:val="005942CC"/>
    <w:rsid w:val="00594EBC"/>
    <w:rsid w:val="00595D13"/>
    <w:rsid w:val="00596A3F"/>
    <w:rsid w:val="00596A7F"/>
    <w:rsid w:val="005975D3"/>
    <w:rsid w:val="00597972"/>
    <w:rsid w:val="00597CF4"/>
    <w:rsid w:val="005A0C9E"/>
    <w:rsid w:val="005A1CF2"/>
    <w:rsid w:val="005A2ABE"/>
    <w:rsid w:val="005A3766"/>
    <w:rsid w:val="005A40FA"/>
    <w:rsid w:val="005A46DB"/>
    <w:rsid w:val="005A470F"/>
    <w:rsid w:val="005A5A67"/>
    <w:rsid w:val="005A5D0C"/>
    <w:rsid w:val="005A5E2F"/>
    <w:rsid w:val="005A5F74"/>
    <w:rsid w:val="005A7CB1"/>
    <w:rsid w:val="005A7F10"/>
    <w:rsid w:val="005B0275"/>
    <w:rsid w:val="005B0414"/>
    <w:rsid w:val="005B05A1"/>
    <w:rsid w:val="005B0F2D"/>
    <w:rsid w:val="005B17E1"/>
    <w:rsid w:val="005B1AF9"/>
    <w:rsid w:val="005B21CE"/>
    <w:rsid w:val="005B3F28"/>
    <w:rsid w:val="005B50D8"/>
    <w:rsid w:val="005B665D"/>
    <w:rsid w:val="005B68DC"/>
    <w:rsid w:val="005B7C84"/>
    <w:rsid w:val="005C0105"/>
    <w:rsid w:val="005C0A8A"/>
    <w:rsid w:val="005C0FE4"/>
    <w:rsid w:val="005C1317"/>
    <w:rsid w:val="005C227F"/>
    <w:rsid w:val="005C4233"/>
    <w:rsid w:val="005C5BAE"/>
    <w:rsid w:val="005C6F16"/>
    <w:rsid w:val="005C7B38"/>
    <w:rsid w:val="005D03D1"/>
    <w:rsid w:val="005D0A2E"/>
    <w:rsid w:val="005D1103"/>
    <w:rsid w:val="005D1192"/>
    <w:rsid w:val="005D1906"/>
    <w:rsid w:val="005D194E"/>
    <w:rsid w:val="005D258D"/>
    <w:rsid w:val="005D2CD1"/>
    <w:rsid w:val="005D2F72"/>
    <w:rsid w:val="005D34C4"/>
    <w:rsid w:val="005D36D1"/>
    <w:rsid w:val="005D3DD9"/>
    <w:rsid w:val="005D4748"/>
    <w:rsid w:val="005D5722"/>
    <w:rsid w:val="005D5FFD"/>
    <w:rsid w:val="005D625E"/>
    <w:rsid w:val="005D71FA"/>
    <w:rsid w:val="005D7C54"/>
    <w:rsid w:val="005E014F"/>
    <w:rsid w:val="005E1DD9"/>
    <w:rsid w:val="005E1FF6"/>
    <w:rsid w:val="005E2115"/>
    <w:rsid w:val="005E2F26"/>
    <w:rsid w:val="005E2FEF"/>
    <w:rsid w:val="005E371D"/>
    <w:rsid w:val="005E5151"/>
    <w:rsid w:val="005E6394"/>
    <w:rsid w:val="005E6CDC"/>
    <w:rsid w:val="005E7069"/>
    <w:rsid w:val="005E7340"/>
    <w:rsid w:val="005F0CD8"/>
    <w:rsid w:val="005F15BA"/>
    <w:rsid w:val="005F1ABB"/>
    <w:rsid w:val="005F1C88"/>
    <w:rsid w:val="005F1DBF"/>
    <w:rsid w:val="005F229F"/>
    <w:rsid w:val="005F278F"/>
    <w:rsid w:val="005F2A9C"/>
    <w:rsid w:val="005F2EF1"/>
    <w:rsid w:val="005F3670"/>
    <w:rsid w:val="005F36E0"/>
    <w:rsid w:val="005F378C"/>
    <w:rsid w:val="005F3D7D"/>
    <w:rsid w:val="005F3EF4"/>
    <w:rsid w:val="005F707D"/>
    <w:rsid w:val="006001CE"/>
    <w:rsid w:val="00600459"/>
    <w:rsid w:val="00600DC8"/>
    <w:rsid w:val="00601282"/>
    <w:rsid w:val="00601CF5"/>
    <w:rsid w:val="00601F1C"/>
    <w:rsid w:val="00602836"/>
    <w:rsid w:val="0060286D"/>
    <w:rsid w:val="00603042"/>
    <w:rsid w:val="00603189"/>
    <w:rsid w:val="006037EF"/>
    <w:rsid w:val="00604513"/>
    <w:rsid w:val="006052A9"/>
    <w:rsid w:val="0060620D"/>
    <w:rsid w:val="00606454"/>
    <w:rsid w:val="0060795C"/>
    <w:rsid w:val="00607A60"/>
    <w:rsid w:val="00610654"/>
    <w:rsid w:val="006111E9"/>
    <w:rsid w:val="00611438"/>
    <w:rsid w:val="00612205"/>
    <w:rsid w:val="006127F6"/>
    <w:rsid w:val="00612DE9"/>
    <w:rsid w:val="00613D66"/>
    <w:rsid w:val="00613E06"/>
    <w:rsid w:val="00613FAC"/>
    <w:rsid w:val="00614436"/>
    <w:rsid w:val="00615E3F"/>
    <w:rsid w:val="00615EBD"/>
    <w:rsid w:val="00615F8A"/>
    <w:rsid w:val="006172CE"/>
    <w:rsid w:val="00617D36"/>
    <w:rsid w:val="00617D9C"/>
    <w:rsid w:val="00617E46"/>
    <w:rsid w:val="00621A74"/>
    <w:rsid w:val="006229AA"/>
    <w:rsid w:val="00622CE5"/>
    <w:rsid w:val="00623CBA"/>
    <w:rsid w:val="00623EFF"/>
    <w:rsid w:val="00623F4E"/>
    <w:rsid w:val="0062491E"/>
    <w:rsid w:val="006255CD"/>
    <w:rsid w:val="00625607"/>
    <w:rsid w:val="006259B6"/>
    <w:rsid w:val="006259DA"/>
    <w:rsid w:val="006266B6"/>
    <w:rsid w:val="006267D8"/>
    <w:rsid w:val="00626FCC"/>
    <w:rsid w:val="006273FC"/>
    <w:rsid w:val="0062797D"/>
    <w:rsid w:val="0063043E"/>
    <w:rsid w:val="00631085"/>
    <w:rsid w:val="006317F2"/>
    <w:rsid w:val="00631F33"/>
    <w:rsid w:val="006324D7"/>
    <w:rsid w:val="00632F48"/>
    <w:rsid w:val="00632FFD"/>
    <w:rsid w:val="00634AFD"/>
    <w:rsid w:val="0063520A"/>
    <w:rsid w:val="00635392"/>
    <w:rsid w:val="00636023"/>
    <w:rsid w:val="006362A6"/>
    <w:rsid w:val="0063680A"/>
    <w:rsid w:val="00636E8C"/>
    <w:rsid w:val="0063773B"/>
    <w:rsid w:val="00637A15"/>
    <w:rsid w:val="00637F31"/>
    <w:rsid w:val="006406F3"/>
    <w:rsid w:val="00640D65"/>
    <w:rsid w:val="0064186D"/>
    <w:rsid w:val="00641A35"/>
    <w:rsid w:val="0064232A"/>
    <w:rsid w:val="00642DB2"/>
    <w:rsid w:val="00643220"/>
    <w:rsid w:val="006435E5"/>
    <w:rsid w:val="00645396"/>
    <w:rsid w:val="00645C26"/>
    <w:rsid w:val="00645C36"/>
    <w:rsid w:val="00645E32"/>
    <w:rsid w:val="006469C2"/>
    <w:rsid w:val="00647654"/>
    <w:rsid w:val="00647E03"/>
    <w:rsid w:val="00650716"/>
    <w:rsid w:val="00651C7A"/>
    <w:rsid w:val="00652CEF"/>
    <w:rsid w:val="0065334B"/>
    <w:rsid w:val="00653F7E"/>
    <w:rsid w:val="006543DD"/>
    <w:rsid w:val="00654D56"/>
    <w:rsid w:val="006556D7"/>
    <w:rsid w:val="00656690"/>
    <w:rsid w:val="00656741"/>
    <w:rsid w:val="006576EE"/>
    <w:rsid w:val="0065779A"/>
    <w:rsid w:val="00657BAB"/>
    <w:rsid w:val="00660D0C"/>
    <w:rsid w:val="006612DF"/>
    <w:rsid w:val="0066194F"/>
    <w:rsid w:val="00661B11"/>
    <w:rsid w:val="00662427"/>
    <w:rsid w:val="006627B2"/>
    <w:rsid w:val="00662C4B"/>
    <w:rsid w:val="00664BA0"/>
    <w:rsid w:val="00664FF1"/>
    <w:rsid w:val="006658A3"/>
    <w:rsid w:val="006661BF"/>
    <w:rsid w:val="00667248"/>
    <w:rsid w:val="006674BC"/>
    <w:rsid w:val="00667548"/>
    <w:rsid w:val="006706C3"/>
    <w:rsid w:val="0067109F"/>
    <w:rsid w:val="006728C8"/>
    <w:rsid w:val="0067305F"/>
    <w:rsid w:val="00673387"/>
    <w:rsid w:val="00673435"/>
    <w:rsid w:val="006736A2"/>
    <w:rsid w:val="006738FB"/>
    <w:rsid w:val="00675D03"/>
    <w:rsid w:val="00676A81"/>
    <w:rsid w:val="00676BE4"/>
    <w:rsid w:val="00677372"/>
    <w:rsid w:val="00681788"/>
    <w:rsid w:val="006817FA"/>
    <w:rsid w:val="006818F3"/>
    <w:rsid w:val="00684491"/>
    <w:rsid w:val="00684C7C"/>
    <w:rsid w:val="00686041"/>
    <w:rsid w:val="006870DC"/>
    <w:rsid w:val="00687211"/>
    <w:rsid w:val="00687729"/>
    <w:rsid w:val="00690DEB"/>
    <w:rsid w:val="006918EB"/>
    <w:rsid w:val="00691B09"/>
    <w:rsid w:val="00691F7D"/>
    <w:rsid w:val="00692D47"/>
    <w:rsid w:val="006930FD"/>
    <w:rsid w:val="00694D6D"/>
    <w:rsid w:val="006952D7"/>
    <w:rsid w:val="00695867"/>
    <w:rsid w:val="006975C5"/>
    <w:rsid w:val="00697953"/>
    <w:rsid w:val="006A019B"/>
    <w:rsid w:val="006A0379"/>
    <w:rsid w:val="006A04C2"/>
    <w:rsid w:val="006A0507"/>
    <w:rsid w:val="006A1AD9"/>
    <w:rsid w:val="006A2085"/>
    <w:rsid w:val="006A21CC"/>
    <w:rsid w:val="006A21FB"/>
    <w:rsid w:val="006A2504"/>
    <w:rsid w:val="006A3A6E"/>
    <w:rsid w:val="006A3E7A"/>
    <w:rsid w:val="006A3FA9"/>
    <w:rsid w:val="006A48B4"/>
    <w:rsid w:val="006A6153"/>
    <w:rsid w:val="006A695A"/>
    <w:rsid w:val="006A7B6F"/>
    <w:rsid w:val="006B0182"/>
    <w:rsid w:val="006B02FA"/>
    <w:rsid w:val="006B06B9"/>
    <w:rsid w:val="006B06E7"/>
    <w:rsid w:val="006B28F3"/>
    <w:rsid w:val="006B2BE4"/>
    <w:rsid w:val="006B2F5D"/>
    <w:rsid w:val="006B453F"/>
    <w:rsid w:val="006B4BC6"/>
    <w:rsid w:val="006B5155"/>
    <w:rsid w:val="006B5CAF"/>
    <w:rsid w:val="006B7A76"/>
    <w:rsid w:val="006C0F3E"/>
    <w:rsid w:val="006C1561"/>
    <w:rsid w:val="006C1EBC"/>
    <w:rsid w:val="006C2AF5"/>
    <w:rsid w:val="006C2B57"/>
    <w:rsid w:val="006C2D53"/>
    <w:rsid w:val="006C3947"/>
    <w:rsid w:val="006C3A06"/>
    <w:rsid w:val="006C4464"/>
    <w:rsid w:val="006C44F2"/>
    <w:rsid w:val="006C47F2"/>
    <w:rsid w:val="006C4868"/>
    <w:rsid w:val="006C4AF9"/>
    <w:rsid w:val="006C6A00"/>
    <w:rsid w:val="006C6A22"/>
    <w:rsid w:val="006C6CE2"/>
    <w:rsid w:val="006C7333"/>
    <w:rsid w:val="006D0A1E"/>
    <w:rsid w:val="006D308B"/>
    <w:rsid w:val="006D33FC"/>
    <w:rsid w:val="006D355C"/>
    <w:rsid w:val="006D4399"/>
    <w:rsid w:val="006D483F"/>
    <w:rsid w:val="006D5B95"/>
    <w:rsid w:val="006D5FAC"/>
    <w:rsid w:val="006E0130"/>
    <w:rsid w:val="006E021D"/>
    <w:rsid w:val="006E09CC"/>
    <w:rsid w:val="006E0A03"/>
    <w:rsid w:val="006E0FC6"/>
    <w:rsid w:val="006E19D2"/>
    <w:rsid w:val="006E1EAF"/>
    <w:rsid w:val="006E2311"/>
    <w:rsid w:val="006E281C"/>
    <w:rsid w:val="006E2CE5"/>
    <w:rsid w:val="006E3027"/>
    <w:rsid w:val="006E32E2"/>
    <w:rsid w:val="006E349F"/>
    <w:rsid w:val="006E41DB"/>
    <w:rsid w:val="006E429A"/>
    <w:rsid w:val="006E44EF"/>
    <w:rsid w:val="006E4A2F"/>
    <w:rsid w:val="006E4C18"/>
    <w:rsid w:val="006E5C77"/>
    <w:rsid w:val="006E7887"/>
    <w:rsid w:val="006E7935"/>
    <w:rsid w:val="006E7A45"/>
    <w:rsid w:val="006F02EA"/>
    <w:rsid w:val="006F1679"/>
    <w:rsid w:val="006F18FE"/>
    <w:rsid w:val="006F436B"/>
    <w:rsid w:val="006F5185"/>
    <w:rsid w:val="006F622E"/>
    <w:rsid w:val="006F6901"/>
    <w:rsid w:val="006F6BBE"/>
    <w:rsid w:val="006F70D8"/>
    <w:rsid w:val="006F769D"/>
    <w:rsid w:val="006F7A4D"/>
    <w:rsid w:val="00701302"/>
    <w:rsid w:val="00702645"/>
    <w:rsid w:val="007026C2"/>
    <w:rsid w:val="0070289A"/>
    <w:rsid w:val="007031E0"/>
    <w:rsid w:val="0070368D"/>
    <w:rsid w:val="00703DC5"/>
    <w:rsid w:val="0070407F"/>
    <w:rsid w:val="00704C7F"/>
    <w:rsid w:val="00704D81"/>
    <w:rsid w:val="007057D2"/>
    <w:rsid w:val="00706B7C"/>
    <w:rsid w:val="00707075"/>
    <w:rsid w:val="00710B2E"/>
    <w:rsid w:val="007114AD"/>
    <w:rsid w:val="0071181F"/>
    <w:rsid w:val="00711983"/>
    <w:rsid w:val="007125C9"/>
    <w:rsid w:val="00712E70"/>
    <w:rsid w:val="00713618"/>
    <w:rsid w:val="00713969"/>
    <w:rsid w:val="00713B98"/>
    <w:rsid w:val="00714613"/>
    <w:rsid w:val="00714A9C"/>
    <w:rsid w:val="00714FC8"/>
    <w:rsid w:val="00715128"/>
    <w:rsid w:val="0071584A"/>
    <w:rsid w:val="00715A38"/>
    <w:rsid w:val="00715D3E"/>
    <w:rsid w:val="00716B87"/>
    <w:rsid w:val="007212DE"/>
    <w:rsid w:val="00721316"/>
    <w:rsid w:val="00722197"/>
    <w:rsid w:val="00722C9D"/>
    <w:rsid w:val="00722EA0"/>
    <w:rsid w:val="00724C97"/>
    <w:rsid w:val="007251ED"/>
    <w:rsid w:val="00725905"/>
    <w:rsid w:val="00725EF3"/>
    <w:rsid w:val="00726642"/>
    <w:rsid w:val="00726C30"/>
    <w:rsid w:val="007274A7"/>
    <w:rsid w:val="00730D03"/>
    <w:rsid w:val="00731563"/>
    <w:rsid w:val="007334A5"/>
    <w:rsid w:val="00734AF8"/>
    <w:rsid w:val="0073573A"/>
    <w:rsid w:val="0073583F"/>
    <w:rsid w:val="00735D88"/>
    <w:rsid w:val="00736025"/>
    <w:rsid w:val="00736110"/>
    <w:rsid w:val="00736D08"/>
    <w:rsid w:val="007374AC"/>
    <w:rsid w:val="00740ABD"/>
    <w:rsid w:val="00740B7E"/>
    <w:rsid w:val="00740E4B"/>
    <w:rsid w:val="00741124"/>
    <w:rsid w:val="007430D7"/>
    <w:rsid w:val="00744C53"/>
    <w:rsid w:val="00745166"/>
    <w:rsid w:val="00745484"/>
    <w:rsid w:val="00746435"/>
    <w:rsid w:val="007464E7"/>
    <w:rsid w:val="007467F5"/>
    <w:rsid w:val="00746FDA"/>
    <w:rsid w:val="00747467"/>
    <w:rsid w:val="007502A6"/>
    <w:rsid w:val="0075035E"/>
    <w:rsid w:val="007504FD"/>
    <w:rsid w:val="007510F6"/>
    <w:rsid w:val="00751D53"/>
    <w:rsid w:val="00751D85"/>
    <w:rsid w:val="00752739"/>
    <w:rsid w:val="00753019"/>
    <w:rsid w:val="0075422F"/>
    <w:rsid w:val="007546AC"/>
    <w:rsid w:val="00756224"/>
    <w:rsid w:val="00756248"/>
    <w:rsid w:val="007567A6"/>
    <w:rsid w:val="007571E6"/>
    <w:rsid w:val="00760551"/>
    <w:rsid w:val="00761B0C"/>
    <w:rsid w:val="00761F57"/>
    <w:rsid w:val="00763B00"/>
    <w:rsid w:val="00764064"/>
    <w:rsid w:val="00765082"/>
    <w:rsid w:val="00765C25"/>
    <w:rsid w:val="00766526"/>
    <w:rsid w:val="00766BFC"/>
    <w:rsid w:val="007673DB"/>
    <w:rsid w:val="00770A26"/>
    <w:rsid w:val="00771967"/>
    <w:rsid w:val="00772DF8"/>
    <w:rsid w:val="00773535"/>
    <w:rsid w:val="00774098"/>
    <w:rsid w:val="00774534"/>
    <w:rsid w:val="00775594"/>
    <w:rsid w:val="0077565D"/>
    <w:rsid w:val="007759D9"/>
    <w:rsid w:val="00776036"/>
    <w:rsid w:val="007765DC"/>
    <w:rsid w:val="00776700"/>
    <w:rsid w:val="00776894"/>
    <w:rsid w:val="00776B60"/>
    <w:rsid w:val="00776CAB"/>
    <w:rsid w:val="00777C0E"/>
    <w:rsid w:val="0078053E"/>
    <w:rsid w:val="00780B76"/>
    <w:rsid w:val="007827F6"/>
    <w:rsid w:val="007834A6"/>
    <w:rsid w:val="0078461E"/>
    <w:rsid w:val="00784C78"/>
    <w:rsid w:val="0078552A"/>
    <w:rsid w:val="00785C97"/>
    <w:rsid w:val="00785D77"/>
    <w:rsid w:val="0079202A"/>
    <w:rsid w:val="00792B9E"/>
    <w:rsid w:val="00792C4A"/>
    <w:rsid w:val="00793625"/>
    <w:rsid w:val="00793905"/>
    <w:rsid w:val="00793946"/>
    <w:rsid w:val="0079460D"/>
    <w:rsid w:val="00794B0A"/>
    <w:rsid w:val="00795953"/>
    <w:rsid w:val="00796180"/>
    <w:rsid w:val="0079693C"/>
    <w:rsid w:val="00796C57"/>
    <w:rsid w:val="00797278"/>
    <w:rsid w:val="007973F6"/>
    <w:rsid w:val="0079745C"/>
    <w:rsid w:val="00797611"/>
    <w:rsid w:val="007A0C38"/>
    <w:rsid w:val="007A1794"/>
    <w:rsid w:val="007A24B3"/>
    <w:rsid w:val="007A2AB6"/>
    <w:rsid w:val="007A3BDC"/>
    <w:rsid w:val="007A3F26"/>
    <w:rsid w:val="007A4A30"/>
    <w:rsid w:val="007A4A55"/>
    <w:rsid w:val="007A4AD8"/>
    <w:rsid w:val="007A5D97"/>
    <w:rsid w:val="007A7A00"/>
    <w:rsid w:val="007B0320"/>
    <w:rsid w:val="007B08C0"/>
    <w:rsid w:val="007B0B20"/>
    <w:rsid w:val="007B1C76"/>
    <w:rsid w:val="007B2429"/>
    <w:rsid w:val="007B331C"/>
    <w:rsid w:val="007B337F"/>
    <w:rsid w:val="007B372B"/>
    <w:rsid w:val="007B455A"/>
    <w:rsid w:val="007B4F7D"/>
    <w:rsid w:val="007B4FA9"/>
    <w:rsid w:val="007B52EF"/>
    <w:rsid w:val="007B5D0F"/>
    <w:rsid w:val="007B6ECB"/>
    <w:rsid w:val="007B7CD3"/>
    <w:rsid w:val="007C02A7"/>
    <w:rsid w:val="007C057F"/>
    <w:rsid w:val="007C0725"/>
    <w:rsid w:val="007C133C"/>
    <w:rsid w:val="007C15B1"/>
    <w:rsid w:val="007C1907"/>
    <w:rsid w:val="007C1C91"/>
    <w:rsid w:val="007C2617"/>
    <w:rsid w:val="007C2F2B"/>
    <w:rsid w:val="007C3FC5"/>
    <w:rsid w:val="007C4FB7"/>
    <w:rsid w:val="007C54ED"/>
    <w:rsid w:val="007C575C"/>
    <w:rsid w:val="007C5D8A"/>
    <w:rsid w:val="007C64D4"/>
    <w:rsid w:val="007C6EA5"/>
    <w:rsid w:val="007D11F8"/>
    <w:rsid w:val="007D235D"/>
    <w:rsid w:val="007D2900"/>
    <w:rsid w:val="007D4992"/>
    <w:rsid w:val="007D49CB"/>
    <w:rsid w:val="007D5AD3"/>
    <w:rsid w:val="007D678A"/>
    <w:rsid w:val="007D798B"/>
    <w:rsid w:val="007D7E1F"/>
    <w:rsid w:val="007E0848"/>
    <w:rsid w:val="007E1364"/>
    <w:rsid w:val="007E230D"/>
    <w:rsid w:val="007E2E18"/>
    <w:rsid w:val="007E317F"/>
    <w:rsid w:val="007E3703"/>
    <w:rsid w:val="007E3A7A"/>
    <w:rsid w:val="007E45BB"/>
    <w:rsid w:val="007E59F1"/>
    <w:rsid w:val="007E62B6"/>
    <w:rsid w:val="007F226E"/>
    <w:rsid w:val="007F241B"/>
    <w:rsid w:val="007F2492"/>
    <w:rsid w:val="007F3759"/>
    <w:rsid w:val="007F40C8"/>
    <w:rsid w:val="007F4BF2"/>
    <w:rsid w:val="007F737A"/>
    <w:rsid w:val="00801910"/>
    <w:rsid w:val="00802028"/>
    <w:rsid w:val="00802713"/>
    <w:rsid w:val="008034D1"/>
    <w:rsid w:val="008048B7"/>
    <w:rsid w:val="008059E0"/>
    <w:rsid w:val="008059F6"/>
    <w:rsid w:val="00805C29"/>
    <w:rsid w:val="0080681E"/>
    <w:rsid w:val="008073FE"/>
    <w:rsid w:val="00807B6F"/>
    <w:rsid w:val="00807ED8"/>
    <w:rsid w:val="00810697"/>
    <w:rsid w:val="008111EC"/>
    <w:rsid w:val="008135D4"/>
    <w:rsid w:val="00813EB8"/>
    <w:rsid w:val="00813EBB"/>
    <w:rsid w:val="008144F7"/>
    <w:rsid w:val="00817632"/>
    <w:rsid w:val="00817C28"/>
    <w:rsid w:val="00820733"/>
    <w:rsid w:val="00822460"/>
    <w:rsid w:val="00822CD0"/>
    <w:rsid w:val="00823474"/>
    <w:rsid w:val="008239EB"/>
    <w:rsid w:val="00823E54"/>
    <w:rsid w:val="00824336"/>
    <w:rsid w:val="00824BF2"/>
    <w:rsid w:val="00825316"/>
    <w:rsid w:val="00826D7F"/>
    <w:rsid w:val="00827094"/>
    <w:rsid w:val="008308FA"/>
    <w:rsid w:val="00830BB6"/>
    <w:rsid w:val="00831063"/>
    <w:rsid w:val="008328FB"/>
    <w:rsid w:val="00832F5E"/>
    <w:rsid w:val="008334DE"/>
    <w:rsid w:val="00833DD2"/>
    <w:rsid w:val="00834D6E"/>
    <w:rsid w:val="008354AE"/>
    <w:rsid w:val="0083651D"/>
    <w:rsid w:val="00836B2C"/>
    <w:rsid w:val="00836D6A"/>
    <w:rsid w:val="00836D83"/>
    <w:rsid w:val="00837243"/>
    <w:rsid w:val="00837427"/>
    <w:rsid w:val="00840020"/>
    <w:rsid w:val="00842C53"/>
    <w:rsid w:val="00842E33"/>
    <w:rsid w:val="00842ED3"/>
    <w:rsid w:val="0084395E"/>
    <w:rsid w:val="008444DA"/>
    <w:rsid w:val="008449C5"/>
    <w:rsid w:val="0084508E"/>
    <w:rsid w:val="00845C21"/>
    <w:rsid w:val="008461A3"/>
    <w:rsid w:val="00847396"/>
    <w:rsid w:val="00850997"/>
    <w:rsid w:val="00850A8C"/>
    <w:rsid w:val="00851010"/>
    <w:rsid w:val="00851D80"/>
    <w:rsid w:val="00851E32"/>
    <w:rsid w:val="00852117"/>
    <w:rsid w:val="00854F3D"/>
    <w:rsid w:val="00855431"/>
    <w:rsid w:val="008559A7"/>
    <w:rsid w:val="008561B0"/>
    <w:rsid w:val="00856AE3"/>
    <w:rsid w:val="00856D44"/>
    <w:rsid w:val="00860419"/>
    <w:rsid w:val="00860A2F"/>
    <w:rsid w:val="008624B0"/>
    <w:rsid w:val="008649FD"/>
    <w:rsid w:val="00864BD3"/>
    <w:rsid w:val="00864CF0"/>
    <w:rsid w:val="0086540B"/>
    <w:rsid w:val="008654CB"/>
    <w:rsid w:val="0086584B"/>
    <w:rsid w:val="00865969"/>
    <w:rsid w:val="00866341"/>
    <w:rsid w:val="0086695C"/>
    <w:rsid w:val="008674C4"/>
    <w:rsid w:val="008704FD"/>
    <w:rsid w:val="00870B79"/>
    <w:rsid w:val="0087301E"/>
    <w:rsid w:val="008735AF"/>
    <w:rsid w:val="00873ACE"/>
    <w:rsid w:val="008740ED"/>
    <w:rsid w:val="00874A0D"/>
    <w:rsid w:val="00874F43"/>
    <w:rsid w:val="00875643"/>
    <w:rsid w:val="00875DAD"/>
    <w:rsid w:val="00876731"/>
    <w:rsid w:val="00876FA5"/>
    <w:rsid w:val="00880909"/>
    <w:rsid w:val="008820F9"/>
    <w:rsid w:val="008826DA"/>
    <w:rsid w:val="00882A4E"/>
    <w:rsid w:val="008837CC"/>
    <w:rsid w:val="0088441A"/>
    <w:rsid w:val="0088450C"/>
    <w:rsid w:val="00887A58"/>
    <w:rsid w:val="00887F40"/>
    <w:rsid w:val="008906FF"/>
    <w:rsid w:val="00890E84"/>
    <w:rsid w:val="00891329"/>
    <w:rsid w:val="00891475"/>
    <w:rsid w:val="00891C59"/>
    <w:rsid w:val="00891DA6"/>
    <w:rsid w:val="008933EC"/>
    <w:rsid w:val="00894191"/>
    <w:rsid w:val="0089469B"/>
    <w:rsid w:val="00894A40"/>
    <w:rsid w:val="00895CA4"/>
    <w:rsid w:val="00895DEA"/>
    <w:rsid w:val="00895F77"/>
    <w:rsid w:val="008961EF"/>
    <w:rsid w:val="00897184"/>
    <w:rsid w:val="0089719C"/>
    <w:rsid w:val="008971E4"/>
    <w:rsid w:val="00897332"/>
    <w:rsid w:val="00897FA1"/>
    <w:rsid w:val="008A0009"/>
    <w:rsid w:val="008A0478"/>
    <w:rsid w:val="008A09F4"/>
    <w:rsid w:val="008A161A"/>
    <w:rsid w:val="008A162B"/>
    <w:rsid w:val="008A1EEF"/>
    <w:rsid w:val="008A2220"/>
    <w:rsid w:val="008A2327"/>
    <w:rsid w:val="008A271A"/>
    <w:rsid w:val="008A2CA4"/>
    <w:rsid w:val="008A2DE6"/>
    <w:rsid w:val="008A2DF0"/>
    <w:rsid w:val="008A2E6E"/>
    <w:rsid w:val="008A497F"/>
    <w:rsid w:val="008A55E0"/>
    <w:rsid w:val="008A5D4A"/>
    <w:rsid w:val="008A60B6"/>
    <w:rsid w:val="008A6351"/>
    <w:rsid w:val="008A6BCA"/>
    <w:rsid w:val="008A6DE6"/>
    <w:rsid w:val="008A6E1E"/>
    <w:rsid w:val="008A78E8"/>
    <w:rsid w:val="008B00E5"/>
    <w:rsid w:val="008B061B"/>
    <w:rsid w:val="008B0C68"/>
    <w:rsid w:val="008B1604"/>
    <w:rsid w:val="008B206E"/>
    <w:rsid w:val="008B25ED"/>
    <w:rsid w:val="008B317E"/>
    <w:rsid w:val="008B319E"/>
    <w:rsid w:val="008B3C83"/>
    <w:rsid w:val="008B4335"/>
    <w:rsid w:val="008B436B"/>
    <w:rsid w:val="008B4550"/>
    <w:rsid w:val="008B4B2B"/>
    <w:rsid w:val="008B4E43"/>
    <w:rsid w:val="008B5917"/>
    <w:rsid w:val="008B62DF"/>
    <w:rsid w:val="008B6D40"/>
    <w:rsid w:val="008B727A"/>
    <w:rsid w:val="008B73A0"/>
    <w:rsid w:val="008B7552"/>
    <w:rsid w:val="008C0482"/>
    <w:rsid w:val="008C06DC"/>
    <w:rsid w:val="008C0785"/>
    <w:rsid w:val="008C16A3"/>
    <w:rsid w:val="008C1807"/>
    <w:rsid w:val="008C2EBC"/>
    <w:rsid w:val="008C2F67"/>
    <w:rsid w:val="008C3C8D"/>
    <w:rsid w:val="008C6094"/>
    <w:rsid w:val="008C66A7"/>
    <w:rsid w:val="008C6FCA"/>
    <w:rsid w:val="008C72C7"/>
    <w:rsid w:val="008C77CD"/>
    <w:rsid w:val="008D0783"/>
    <w:rsid w:val="008D13A0"/>
    <w:rsid w:val="008D2B9E"/>
    <w:rsid w:val="008D2DE1"/>
    <w:rsid w:val="008D317D"/>
    <w:rsid w:val="008D4167"/>
    <w:rsid w:val="008D416C"/>
    <w:rsid w:val="008D51FD"/>
    <w:rsid w:val="008D60A7"/>
    <w:rsid w:val="008D61BA"/>
    <w:rsid w:val="008E00D1"/>
    <w:rsid w:val="008E132B"/>
    <w:rsid w:val="008E1414"/>
    <w:rsid w:val="008E3199"/>
    <w:rsid w:val="008E348B"/>
    <w:rsid w:val="008E41BC"/>
    <w:rsid w:val="008E51CE"/>
    <w:rsid w:val="008E51DB"/>
    <w:rsid w:val="008E548F"/>
    <w:rsid w:val="008E560D"/>
    <w:rsid w:val="008E5DFC"/>
    <w:rsid w:val="008E67AA"/>
    <w:rsid w:val="008E700C"/>
    <w:rsid w:val="008E7301"/>
    <w:rsid w:val="008E763E"/>
    <w:rsid w:val="008F1181"/>
    <w:rsid w:val="008F1827"/>
    <w:rsid w:val="008F1EAC"/>
    <w:rsid w:val="008F1F51"/>
    <w:rsid w:val="008F40F6"/>
    <w:rsid w:val="008F4AC1"/>
    <w:rsid w:val="008F55DF"/>
    <w:rsid w:val="008F5833"/>
    <w:rsid w:val="008F5916"/>
    <w:rsid w:val="008F5B19"/>
    <w:rsid w:val="008F6123"/>
    <w:rsid w:val="008F781C"/>
    <w:rsid w:val="00900DC0"/>
    <w:rsid w:val="009011CF"/>
    <w:rsid w:val="00902FA0"/>
    <w:rsid w:val="00903A16"/>
    <w:rsid w:val="00903A94"/>
    <w:rsid w:val="00903BF4"/>
    <w:rsid w:val="00904162"/>
    <w:rsid w:val="00904A02"/>
    <w:rsid w:val="00905E0C"/>
    <w:rsid w:val="00905EF9"/>
    <w:rsid w:val="0090697F"/>
    <w:rsid w:val="0091126C"/>
    <w:rsid w:val="00911FB1"/>
    <w:rsid w:val="009125E8"/>
    <w:rsid w:val="00912F3E"/>
    <w:rsid w:val="009131A1"/>
    <w:rsid w:val="00913B15"/>
    <w:rsid w:val="00913B6A"/>
    <w:rsid w:val="00913B71"/>
    <w:rsid w:val="00913DD2"/>
    <w:rsid w:val="009140D5"/>
    <w:rsid w:val="00914F4D"/>
    <w:rsid w:val="00914FDB"/>
    <w:rsid w:val="0091593A"/>
    <w:rsid w:val="00916038"/>
    <w:rsid w:val="00916A5C"/>
    <w:rsid w:val="00917798"/>
    <w:rsid w:val="009178E3"/>
    <w:rsid w:val="00917B38"/>
    <w:rsid w:val="009219F2"/>
    <w:rsid w:val="00922CD0"/>
    <w:rsid w:val="0092320F"/>
    <w:rsid w:val="00923F1C"/>
    <w:rsid w:val="009245E6"/>
    <w:rsid w:val="00924CDF"/>
    <w:rsid w:val="009258DC"/>
    <w:rsid w:val="009260CD"/>
    <w:rsid w:val="00926F90"/>
    <w:rsid w:val="00926FDF"/>
    <w:rsid w:val="00927559"/>
    <w:rsid w:val="00927A68"/>
    <w:rsid w:val="00927DC6"/>
    <w:rsid w:val="00927FAB"/>
    <w:rsid w:val="009306BC"/>
    <w:rsid w:val="00931452"/>
    <w:rsid w:val="0093184B"/>
    <w:rsid w:val="009321E3"/>
    <w:rsid w:val="00932798"/>
    <w:rsid w:val="009327DE"/>
    <w:rsid w:val="00932CC5"/>
    <w:rsid w:val="009331EF"/>
    <w:rsid w:val="00933483"/>
    <w:rsid w:val="0093366F"/>
    <w:rsid w:val="00933E1A"/>
    <w:rsid w:val="009343F3"/>
    <w:rsid w:val="009346D5"/>
    <w:rsid w:val="00934709"/>
    <w:rsid w:val="00934724"/>
    <w:rsid w:val="00934ECC"/>
    <w:rsid w:val="00936BA4"/>
    <w:rsid w:val="00936C44"/>
    <w:rsid w:val="00940181"/>
    <w:rsid w:val="00940265"/>
    <w:rsid w:val="00940C85"/>
    <w:rsid w:val="009428C3"/>
    <w:rsid w:val="0094331A"/>
    <w:rsid w:val="0094368D"/>
    <w:rsid w:val="00943916"/>
    <w:rsid w:val="00943A47"/>
    <w:rsid w:val="00943AF0"/>
    <w:rsid w:val="00943EA4"/>
    <w:rsid w:val="00944117"/>
    <w:rsid w:val="0094464B"/>
    <w:rsid w:val="00944AA2"/>
    <w:rsid w:val="00944D26"/>
    <w:rsid w:val="00944D7E"/>
    <w:rsid w:val="00945DBB"/>
    <w:rsid w:val="00946351"/>
    <w:rsid w:val="00946AA1"/>
    <w:rsid w:val="00946D06"/>
    <w:rsid w:val="009503B1"/>
    <w:rsid w:val="00950C09"/>
    <w:rsid w:val="009527F4"/>
    <w:rsid w:val="00952C37"/>
    <w:rsid w:val="00952E66"/>
    <w:rsid w:val="00953AE5"/>
    <w:rsid w:val="00953D55"/>
    <w:rsid w:val="00954143"/>
    <w:rsid w:val="009549A7"/>
    <w:rsid w:val="00955EB8"/>
    <w:rsid w:val="00956081"/>
    <w:rsid w:val="00956862"/>
    <w:rsid w:val="0095709C"/>
    <w:rsid w:val="00961622"/>
    <w:rsid w:val="00961753"/>
    <w:rsid w:val="00962082"/>
    <w:rsid w:val="009624A6"/>
    <w:rsid w:val="009628AB"/>
    <w:rsid w:val="00963024"/>
    <w:rsid w:val="009636CD"/>
    <w:rsid w:val="0096391A"/>
    <w:rsid w:val="00963C78"/>
    <w:rsid w:val="009648A6"/>
    <w:rsid w:val="00964947"/>
    <w:rsid w:val="009649B3"/>
    <w:rsid w:val="00964E8B"/>
    <w:rsid w:val="00964F87"/>
    <w:rsid w:val="0096528A"/>
    <w:rsid w:val="00965D3A"/>
    <w:rsid w:val="0096606E"/>
    <w:rsid w:val="009660C4"/>
    <w:rsid w:val="00966357"/>
    <w:rsid w:val="0096665C"/>
    <w:rsid w:val="00966B57"/>
    <w:rsid w:val="00966BE2"/>
    <w:rsid w:val="0096756C"/>
    <w:rsid w:val="009676C1"/>
    <w:rsid w:val="00967C4C"/>
    <w:rsid w:val="00967EA2"/>
    <w:rsid w:val="0097005D"/>
    <w:rsid w:val="0097170D"/>
    <w:rsid w:val="00971AA0"/>
    <w:rsid w:val="00971B58"/>
    <w:rsid w:val="009728CB"/>
    <w:rsid w:val="009728EE"/>
    <w:rsid w:val="009734A8"/>
    <w:rsid w:val="0097373F"/>
    <w:rsid w:val="00973D63"/>
    <w:rsid w:val="00973F89"/>
    <w:rsid w:val="00974593"/>
    <w:rsid w:val="00974E8F"/>
    <w:rsid w:val="00975F1D"/>
    <w:rsid w:val="00976102"/>
    <w:rsid w:val="0097668A"/>
    <w:rsid w:val="00976A12"/>
    <w:rsid w:val="00976D79"/>
    <w:rsid w:val="00976F24"/>
    <w:rsid w:val="00977F43"/>
    <w:rsid w:val="009804A0"/>
    <w:rsid w:val="00980806"/>
    <w:rsid w:val="00980AFA"/>
    <w:rsid w:val="00980BAE"/>
    <w:rsid w:val="00980C11"/>
    <w:rsid w:val="00981E08"/>
    <w:rsid w:val="009821C5"/>
    <w:rsid w:val="009821FE"/>
    <w:rsid w:val="00983C76"/>
    <w:rsid w:val="00983F25"/>
    <w:rsid w:val="009843FB"/>
    <w:rsid w:val="0098442F"/>
    <w:rsid w:val="00984593"/>
    <w:rsid w:val="009845E6"/>
    <w:rsid w:val="00984984"/>
    <w:rsid w:val="009849CF"/>
    <w:rsid w:val="00984F2C"/>
    <w:rsid w:val="009851DB"/>
    <w:rsid w:val="00985467"/>
    <w:rsid w:val="00985DC7"/>
    <w:rsid w:val="00990700"/>
    <w:rsid w:val="00990ADD"/>
    <w:rsid w:val="009926F5"/>
    <w:rsid w:val="0099288D"/>
    <w:rsid w:val="00994458"/>
    <w:rsid w:val="00994483"/>
    <w:rsid w:val="00995806"/>
    <w:rsid w:val="00996E3C"/>
    <w:rsid w:val="00997519"/>
    <w:rsid w:val="00997B38"/>
    <w:rsid w:val="009A0A00"/>
    <w:rsid w:val="009A1515"/>
    <w:rsid w:val="009A261E"/>
    <w:rsid w:val="009A2893"/>
    <w:rsid w:val="009A45E3"/>
    <w:rsid w:val="009A5714"/>
    <w:rsid w:val="009A5D82"/>
    <w:rsid w:val="009A5DF3"/>
    <w:rsid w:val="009A63B5"/>
    <w:rsid w:val="009A6A36"/>
    <w:rsid w:val="009A6C97"/>
    <w:rsid w:val="009B10BC"/>
    <w:rsid w:val="009B10FE"/>
    <w:rsid w:val="009B1755"/>
    <w:rsid w:val="009B1C8C"/>
    <w:rsid w:val="009B2245"/>
    <w:rsid w:val="009B426F"/>
    <w:rsid w:val="009B48DE"/>
    <w:rsid w:val="009B6239"/>
    <w:rsid w:val="009B6242"/>
    <w:rsid w:val="009B6B2C"/>
    <w:rsid w:val="009B7E11"/>
    <w:rsid w:val="009C0105"/>
    <w:rsid w:val="009C0B33"/>
    <w:rsid w:val="009C1D7B"/>
    <w:rsid w:val="009C1EF9"/>
    <w:rsid w:val="009C1F60"/>
    <w:rsid w:val="009C233F"/>
    <w:rsid w:val="009C3584"/>
    <w:rsid w:val="009C35FA"/>
    <w:rsid w:val="009C421C"/>
    <w:rsid w:val="009C47E6"/>
    <w:rsid w:val="009C4D39"/>
    <w:rsid w:val="009C542A"/>
    <w:rsid w:val="009C59F4"/>
    <w:rsid w:val="009C5C8F"/>
    <w:rsid w:val="009C7B9D"/>
    <w:rsid w:val="009C7BC4"/>
    <w:rsid w:val="009D105E"/>
    <w:rsid w:val="009D1C9D"/>
    <w:rsid w:val="009D20C6"/>
    <w:rsid w:val="009D268E"/>
    <w:rsid w:val="009D294B"/>
    <w:rsid w:val="009D2F22"/>
    <w:rsid w:val="009D2FFE"/>
    <w:rsid w:val="009D474E"/>
    <w:rsid w:val="009D5019"/>
    <w:rsid w:val="009D60F3"/>
    <w:rsid w:val="009D6125"/>
    <w:rsid w:val="009D6FE1"/>
    <w:rsid w:val="009D70F0"/>
    <w:rsid w:val="009D751C"/>
    <w:rsid w:val="009E0BC0"/>
    <w:rsid w:val="009E1DDD"/>
    <w:rsid w:val="009E3736"/>
    <w:rsid w:val="009E4937"/>
    <w:rsid w:val="009E59DD"/>
    <w:rsid w:val="009E5E25"/>
    <w:rsid w:val="009E610E"/>
    <w:rsid w:val="009E65FD"/>
    <w:rsid w:val="009E6AB8"/>
    <w:rsid w:val="009E6EBC"/>
    <w:rsid w:val="009F0B7D"/>
    <w:rsid w:val="009F26CA"/>
    <w:rsid w:val="009F2D91"/>
    <w:rsid w:val="009F331B"/>
    <w:rsid w:val="009F3953"/>
    <w:rsid w:val="009F4AB5"/>
    <w:rsid w:val="009F4D44"/>
    <w:rsid w:val="009F6335"/>
    <w:rsid w:val="00A000BE"/>
    <w:rsid w:val="00A00D8B"/>
    <w:rsid w:val="00A018BD"/>
    <w:rsid w:val="00A02CAF"/>
    <w:rsid w:val="00A02E48"/>
    <w:rsid w:val="00A03554"/>
    <w:rsid w:val="00A04051"/>
    <w:rsid w:val="00A045EF"/>
    <w:rsid w:val="00A054D3"/>
    <w:rsid w:val="00A056CA"/>
    <w:rsid w:val="00A06107"/>
    <w:rsid w:val="00A069B9"/>
    <w:rsid w:val="00A06C39"/>
    <w:rsid w:val="00A06E45"/>
    <w:rsid w:val="00A072A5"/>
    <w:rsid w:val="00A0734C"/>
    <w:rsid w:val="00A07905"/>
    <w:rsid w:val="00A10F21"/>
    <w:rsid w:val="00A1154C"/>
    <w:rsid w:val="00A13F8B"/>
    <w:rsid w:val="00A15391"/>
    <w:rsid w:val="00A1581D"/>
    <w:rsid w:val="00A16A2C"/>
    <w:rsid w:val="00A16AE7"/>
    <w:rsid w:val="00A16D75"/>
    <w:rsid w:val="00A16EF7"/>
    <w:rsid w:val="00A177F8"/>
    <w:rsid w:val="00A17A68"/>
    <w:rsid w:val="00A21345"/>
    <w:rsid w:val="00A216C4"/>
    <w:rsid w:val="00A22266"/>
    <w:rsid w:val="00A22A0B"/>
    <w:rsid w:val="00A2317B"/>
    <w:rsid w:val="00A232E1"/>
    <w:rsid w:val="00A232E6"/>
    <w:rsid w:val="00A26ECB"/>
    <w:rsid w:val="00A302E2"/>
    <w:rsid w:val="00A317A1"/>
    <w:rsid w:val="00A31C56"/>
    <w:rsid w:val="00A31F33"/>
    <w:rsid w:val="00A320BE"/>
    <w:rsid w:val="00A320D5"/>
    <w:rsid w:val="00A32C03"/>
    <w:rsid w:val="00A342C6"/>
    <w:rsid w:val="00A35722"/>
    <w:rsid w:val="00A3582A"/>
    <w:rsid w:val="00A36221"/>
    <w:rsid w:val="00A36B9D"/>
    <w:rsid w:val="00A375BF"/>
    <w:rsid w:val="00A402DD"/>
    <w:rsid w:val="00A408E8"/>
    <w:rsid w:val="00A41596"/>
    <w:rsid w:val="00A42073"/>
    <w:rsid w:val="00A43BA6"/>
    <w:rsid w:val="00A45CE6"/>
    <w:rsid w:val="00A45E23"/>
    <w:rsid w:val="00A46EAF"/>
    <w:rsid w:val="00A521B4"/>
    <w:rsid w:val="00A52354"/>
    <w:rsid w:val="00A525D9"/>
    <w:rsid w:val="00A53885"/>
    <w:rsid w:val="00A53B81"/>
    <w:rsid w:val="00A53F50"/>
    <w:rsid w:val="00A55D75"/>
    <w:rsid w:val="00A55E16"/>
    <w:rsid w:val="00A56660"/>
    <w:rsid w:val="00A56855"/>
    <w:rsid w:val="00A56D93"/>
    <w:rsid w:val="00A61A90"/>
    <w:rsid w:val="00A625BA"/>
    <w:rsid w:val="00A62DEC"/>
    <w:rsid w:val="00A635CB"/>
    <w:rsid w:val="00A63F80"/>
    <w:rsid w:val="00A646DD"/>
    <w:rsid w:val="00A6654A"/>
    <w:rsid w:val="00A66E57"/>
    <w:rsid w:val="00A67351"/>
    <w:rsid w:val="00A719CE"/>
    <w:rsid w:val="00A71AAD"/>
    <w:rsid w:val="00A71DCE"/>
    <w:rsid w:val="00A72AC1"/>
    <w:rsid w:val="00A7306D"/>
    <w:rsid w:val="00A738FD"/>
    <w:rsid w:val="00A745B4"/>
    <w:rsid w:val="00A75104"/>
    <w:rsid w:val="00A76BC6"/>
    <w:rsid w:val="00A770DE"/>
    <w:rsid w:val="00A80944"/>
    <w:rsid w:val="00A8138B"/>
    <w:rsid w:val="00A82895"/>
    <w:rsid w:val="00A82A21"/>
    <w:rsid w:val="00A83991"/>
    <w:rsid w:val="00A83B24"/>
    <w:rsid w:val="00A83D6D"/>
    <w:rsid w:val="00A8405E"/>
    <w:rsid w:val="00A84388"/>
    <w:rsid w:val="00A8512F"/>
    <w:rsid w:val="00A85404"/>
    <w:rsid w:val="00A85E01"/>
    <w:rsid w:val="00A878EF"/>
    <w:rsid w:val="00A87CE1"/>
    <w:rsid w:val="00A87DB7"/>
    <w:rsid w:val="00A90BAC"/>
    <w:rsid w:val="00A91569"/>
    <w:rsid w:val="00A919A4"/>
    <w:rsid w:val="00A91FC4"/>
    <w:rsid w:val="00A9298E"/>
    <w:rsid w:val="00A93691"/>
    <w:rsid w:val="00A9504B"/>
    <w:rsid w:val="00A95FCD"/>
    <w:rsid w:val="00A9774D"/>
    <w:rsid w:val="00A97CC4"/>
    <w:rsid w:val="00AA0207"/>
    <w:rsid w:val="00AA0B7B"/>
    <w:rsid w:val="00AA0E41"/>
    <w:rsid w:val="00AA1A0F"/>
    <w:rsid w:val="00AA21A9"/>
    <w:rsid w:val="00AA298D"/>
    <w:rsid w:val="00AA2EAB"/>
    <w:rsid w:val="00AA3096"/>
    <w:rsid w:val="00AA3AAA"/>
    <w:rsid w:val="00AA411B"/>
    <w:rsid w:val="00AA41BB"/>
    <w:rsid w:val="00AA460B"/>
    <w:rsid w:val="00AA54ED"/>
    <w:rsid w:val="00AA6292"/>
    <w:rsid w:val="00AA6F30"/>
    <w:rsid w:val="00AA7EDD"/>
    <w:rsid w:val="00AB122A"/>
    <w:rsid w:val="00AB13A2"/>
    <w:rsid w:val="00AB2251"/>
    <w:rsid w:val="00AB2A73"/>
    <w:rsid w:val="00AB2CE8"/>
    <w:rsid w:val="00AB2CF2"/>
    <w:rsid w:val="00AB3105"/>
    <w:rsid w:val="00AB3467"/>
    <w:rsid w:val="00AB3D23"/>
    <w:rsid w:val="00AB4A09"/>
    <w:rsid w:val="00AB4B58"/>
    <w:rsid w:val="00AB4D36"/>
    <w:rsid w:val="00AB67D7"/>
    <w:rsid w:val="00AB6A32"/>
    <w:rsid w:val="00AB6B66"/>
    <w:rsid w:val="00AB733E"/>
    <w:rsid w:val="00AB73B3"/>
    <w:rsid w:val="00AC004C"/>
    <w:rsid w:val="00AC0C17"/>
    <w:rsid w:val="00AC1130"/>
    <w:rsid w:val="00AC161F"/>
    <w:rsid w:val="00AC2131"/>
    <w:rsid w:val="00AC29D4"/>
    <w:rsid w:val="00AC398E"/>
    <w:rsid w:val="00AC4747"/>
    <w:rsid w:val="00AC60A1"/>
    <w:rsid w:val="00AC6265"/>
    <w:rsid w:val="00AD0312"/>
    <w:rsid w:val="00AD0AC7"/>
    <w:rsid w:val="00AD17E1"/>
    <w:rsid w:val="00AD26E5"/>
    <w:rsid w:val="00AD2949"/>
    <w:rsid w:val="00AD2B6C"/>
    <w:rsid w:val="00AD2CA5"/>
    <w:rsid w:val="00AD300B"/>
    <w:rsid w:val="00AD3020"/>
    <w:rsid w:val="00AD3515"/>
    <w:rsid w:val="00AD36C7"/>
    <w:rsid w:val="00AD50D1"/>
    <w:rsid w:val="00AD5D38"/>
    <w:rsid w:val="00AD5E49"/>
    <w:rsid w:val="00AD7970"/>
    <w:rsid w:val="00AE0862"/>
    <w:rsid w:val="00AE0B09"/>
    <w:rsid w:val="00AE2D60"/>
    <w:rsid w:val="00AE3B82"/>
    <w:rsid w:val="00AE3C5F"/>
    <w:rsid w:val="00AE4CE0"/>
    <w:rsid w:val="00AE4D26"/>
    <w:rsid w:val="00AE54DC"/>
    <w:rsid w:val="00AE60E7"/>
    <w:rsid w:val="00AE6A97"/>
    <w:rsid w:val="00AE77C1"/>
    <w:rsid w:val="00AF00D4"/>
    <w:rsid w:val="00AF2102"/>
    <w:rsid w:val="00AF216B"/>
    <w:rsid w:val="00AF21BC"/>
    <w:rsid w:val="00AF42CA"/>
    <w:rsid w:val="00AF485E"/>
    <w:rsid w:val="00AF4DC9"/>
    <w:rsid w:val="00AF4F8F"/>
    <w:rsid w:val="00AF57D8"/>
    <w:rsid w:val="00AF5B70"/>
    <w:rsid w:val="00AF6029"/>
    <w:rsid w:val="00AF6527"/>
    <w:rsid w:val="00AF720E"/>
    <w:rsid w:val="00AF7AA4"/>
    <w:rsid w:val="00B00B15"/>
    <w:rsid w:val="00B01596"/>
    <w:rsid w:val="00B015FE"/>
    <w:rsid w:val="00B02647"/>
    <w:rsid w:val="00B0352C"/>
    <w:rsid w:val="00B03B56"/>
    <w:rsid w:val="00B04CAC"/>
    <w:rsid w:val="00B06208"/>
    <w:rsid w:val="00B0733D"/>
    <w:rsid w:val="00B1011A"/>
    <w:rsid w:val="00B11ED1"/>
    <w:rsid w:val="00B1283E"/>
    <w:rsid w:val="00B12FC8"/>
    <w:rsid w:val="00B12FF2"/>
    <w:rsid w:val="00B13030"/>
    <w:rsid w:val="00B14B22"/>
    <w:rsid w:val="00B14D2E"/>
    <w:rsid w:val="00B15430"/>
    <w:rsid w:val="00B15739"/>
    <w:rsid w:val="00B15940"/>
    <w:rsid w:val="00B15C3F"/>
    <w:rsid w:val="00B179AB"/>
    <w:rsid w:val="00B17B2A"/>
    <w:rsid w:val="00B21234"/>
    <w:rsid w:val="00B232BB"/>
    <w:rsid w:val="00B2350F"/>
    <w:rsid w:val="00B23CF8"/>
    <w:rsid w:val="00B23E2E"/>
    <w:rsid w:val="00B23F51"/>
    <w:rsid w:val="00B242B1"/>
    <w:rsid w:val="00B25D67"/>
    <w:rsid w:val="00B27B23"/>
    <w:rsid w:val="00B3052A"/>
    <w:rsid w:val="00B3056D"/>
    <w:rsid w:val="00B31A88"/>
    <w:rsid w:val="00B32D64"/>
    <w:rsid w:val="00B3610E"/>
    <w:rsid w:val="00B36D14"/>
    <w:rsid w:val="00B36E97"/>
    <w:rsid w:val="00B37537"/>
    <w:rsid w:val="00B37812"/>
    <w:rsid w:val="00B40C42"/>
    <w:rsid w:val="00B41AA9"/>
    <w:rsid w:val="00B41DF3"/>
    <w:rsid w:val="00B42CA3"/>
    <w:rsid w:val="00B42DE3"/>
    <w:rsid w:val="00B46EAF"/>
    <w:rsid w:val="00B474EA"/>
    <w:rsid w:val="00B47855"/>
    <w:rsid w:val="00B50424"/>
    <w:rsid w:val="00B50ABE"/>
    <w:rsid w:val="00B50EEB"/>
    <w:rsid w:val="00B517BC"/>
    <w:rsid w:val="00B51A09"/>
    <w:rsid w:val="00B5219D"/>
    <w:rsid w:val="00B523DC"/>
    <w:rsid w:val="00B528A8"/>
    <w:rsid w:val="00B52BA3"/>
    <w:rsid w:val="00B53461"/>
    <w:rsid w:val="00B53E9B"/>
    <w:rsid w:val="00B54075"/>
    <w:rsid w:val="00B5527A"/>
    <w:rsid w:val="00B5579B"/>
    <w:rsid w:val="00B56757"/>
    <w:rsid w:val="00B612A7"/>
    <w:rsid w:val="00B6385F"/>
    <w:rsid w:val="00B63EA4"/>
    <w:rsid w:val="00B63FEB"/>
    <w:rsid w:val="00B64B83"/>
    <w:rsid w:val="00B65F7F"/>
    <w:rsid w:val="00B6642F"/>
    <w:rsid w:val="00B671D1"/>
    <w:rsid w:val="00B70C1B"/>
    <w:rsid w:val="00B70EE9"/>
    <w:rsid w:val="00B71543"/>
    <w:rsid w:val="00B72AE3"/>
    <w:rsid w:val="00B731CE"/>
    <w:rsid w:val="00B73377"/>
    <w:rsid w:val="00B73397"/>
    <w:rsid w:val="00B75171"/>
    <w:rsid w:val="00B759D9"/>
    <w:rsid w:val="00B767D2"/>
    <w:rsid w:val="00B81038"/>
    <w:rsid w:val="00B832CD"/>
    <w:rsid w:val="00B854BD"/>
    <w:rsid w:val="00B86529"/>
    <w:rsid w:val="00B86815"/>
    <w:rsid w:val="00B878B7"/>
    <w:rsid w:val="00B87F83"/>
    <w:rsid w:val="00B906A1"/>
    <w:rsid w:val="00B935F5"/>
    <w:rsid w:val="00B937BC"/>
    <w:rsid w:val="00B93A7F"/>
    <w:rsid w:val="00B93C34"/>
    <w:rsid w:val="00B94043"/>
    <w:rsid w:val="00B96390"/>
    <w:rsid w:val="00BA0020"/>
    <w:rsid w:val="00BA19DA"/>
    <w:rsid w:val="00BA20D0"/>
    <w:rsid w:val="00BA2EDF"/>
    <w:rsid w:val="00BA4F80"/>
    <w:rsid w:val="00BA50AE"/>
    <w:rsid w:val="00BA5347"/>
    <w:rsid w:val="00BA5A4F"/>
    <w:rsid w:val="00BA5BBC"/>
    <w:rsid w:val="00BA6483"/>
    <w:rsid w:val="00BA78AB"/>
    <w:rsid w:val="00BB1179"/>
    <w:rsid w:val="00BB276B"/>
    <w:rsid w:val="00BB2A01"/>
    <w:rsid w:val="00BB2CD8"/>
    <w:rsid w:val="00BB32B9"/>
    <w:rsid w:val="00BB5357"/>
    <w:rsid w:val="00BB691C"/>
    <w:rsid w:val="00BB6E78"/>
    <w:rsid w:val="00BB73A0"/>
    <w:rsid w:val="00BC1CC7"/>
    <w:rsid w:val="00BC43B4"/>
    <w:rsid w:val="00BC4CBB"/>
    <w:rsid w:val="00BC4D16"/>
    <w:rsid w:val="00BC6001"/>
    <w:rsid w:val="00BC617A"/>
    <w:rsid w:val="00BC70FE"/>
    <w:rsid w:val="00BD109D"/>
    <w:rsid w:val="00BD12E6"/>
    <w:rsid w:val="00BD1D80"/>
    <w:rsid w:val="00BD1F78"/>
    <w:rsid w:val="00BD25C4"/>
    <w:rsid w:val="00BD25E5"/>
    <w:rsid w:val="00BD3040"/>
    <w:rsid w:val="00BD410E"/>
    <w:rsid w:val="00BD4455"/>
    <w:rsid w:val="00BD4883"/>
    <w:rsid w:val="00BD4D15"/>
    <w:rsid w:val="00BD5A07"/>
    <w:rsid w:val="00BD5D3A"/>
    <w:rsid w:val="00BD5DE8"/>
    <w:rsid w:val="00BD62DD"/>
    <w:rsid w:val="00BD6FA9"/>
    <w:rsid w:val="00BD701B"/>
    <w:rsid w:val="00BE0713"/>
    <w:rsid w:val="00BE0905"/>
    <w:rsid w:val="00BE0B7F"/>
    <w:rsid w:val="00BE21AE"/>
    <w:rsid w:val="00BE2A88"/>
    <w:rsid w:val="00BE2AD7"/>
    <w:rsid w:val="00BE4640"/>
    <w:rsid w:val="00BE4665"/>
    <w:rsid w:val="00BE6653"/>
    <w:rsid w:val="00BF096B"/>
    <w:rsid w:val="00BF0A29"/>
    <w:rsid w:val="00BF13DD"/>
    <w:rsid w:val="00BF21BE"/>
    <w:rsid w:val="00BF282A"/>
    <w:rsid w:val="00BF28B9"/>
    <w:rsid w:val="00C00498"/>
    <w:rsid w:val="00C00740"/>
    <w:rsid w:val="00C00E21"/>
    <w:rsid w:val="00C01046"/>
    <w:rsid w:val="00C01275"/>
    <w:rsid w:val="00C0223A"/>
    <w:rsid w:val="00C02CEE"/>
    <w:rsid w:val="00C0432E"/>
    <w:rsid w:val="00C04C27"/>
    <w:rsid w:val="00C05918"/>
    <w:rsid w:val="00C05FE8"/>
    <w:rsid w:val="00C0647B"/>
    <w:rsid w:val="00C06635"/>
    <w:rsid w:val="00C076DF"/>
    <w:rsid w:val="00C078B0"/>
    <w:rsid w:val="00C07E4C"/>
    <w:rsid w:val="00C113E0"/>
    <w:rsid w:val="00C122B9"/>
    <w:rsid w:val="00C12AD0"/>
    <w:rsid w:val="00C133DF"/>
    <w:rsid w:val="00C1390A"/>
    <w:rsid w:val="00C14574"/>
    <w:rsid w:val="00C14951"/>
    <w:rsid w:val="00C14DEE"/>
    <w:rsid w:val="00C1548C"/>
    <w:rsid w:val="00C16516"/>
    <w:rsid w:val="00C174A2"/>
    <w:rsid w:val="00C17732"/>
    <w:rsid w:val="00C1798B"/>
    <w:rsid w:val="00C17B49"/>
    <w:rsid w:val="00C204BE"/>
    <w:rsid w:val="00C205D7"/>
    <w:rsid w:val="00C20ABA"/>
    <w:rsid w:val="00C21D43"/>
    <w:rsid w:val="00C220D2"/>
    <w:rsid w:val="00C22493"/>
    <w:rsid w:val="00C23008"/>
    <w:rsid w:val="00C23BF0"/>
    <w:rsid w:val="00C24001"/>
    <w:rsid w:val="00C25558"/>
    <w:rsid w:val="00C26D93"/>
    <w:rsid w:val="00C27421"/>
    <w:rsid w:val="00C27828"/>
    <w:rsid w:val="00C315C6"/>
    <w:rsid w:val="00C315D6"/>
    <w:rsid w:val="00C31F47"/>
    <w:rsid w:val="00C328D8"/>
    <w:rsid w:val="00C328E3"/>
    <w:rsid w:val="00C330DD"/>
    <w:rsid w:val="00C33784"/>
    <w:rsid w:val="00C3395B"/>
    <w:rsid w:val="00C34CAD"/>
    <w:rsid w:val="00C350E3"/>
    <w:rsid w:val="00C35120"/>
    <w:rsid w:val="00C35F84"/>
    <w:rsid w:val="00C36566"/>
    <w:rsid w:val="00C37C8E"/>
    <w:rsid w:val="00C4013F"/>
    <w:rsid w:val="00C4056B"/>
    <w:rsid w:val="00C42D93"/>
    <w:rsid w:val="00C42F4D"/>
    <w:rsid w:val="00C4346C"/>
    <w:rsid w:val="00C43939"/>
    <w:rsid w:val="00C43990"/>
    <w:rsid w:val="00C43B18"/>
    <w:rsid w:val="00C43BD3"/>
    <w:rsid w:val="00C440E5"/>
    <w:rsid w:val="00C44908"/>
    <w:rsid w:val="00C44DAD"/>
    <w:rsid w:val="00C44DF5"/>
    <w:rsid w:val="00C45118"/>
    <w:rsid w:val="00C45644"/>
    <w:rsid w:val="00C45D77"/>
    <w:rsid w:val="00C465FE"/>
    <w:rsid w:val="00C46D94"/>
    <w:rsid w:val="00C476E1"/>
    <w:rsid w:val="00C47B66"/>
    <w:rsid w:val="00C50231"/>
    <w:rsid w:val="00C50785"/>
    <w:rsid w:val="00C51379"/>
    <w:rsid w:val="00C51B8B"/>
    <w:rsid w:val="00C520A8"/>
    <w:rsid w:val="00C524B8"/>
    <w:rsid w:val="00C53114"/>
    <w:rsid w:val="00C542CB"/>
    <w:rsid w:val="00C545A6"/>
    <w:rsid w:val="00C5506C"/>
    <w:rsid w:val="00C55578"/>
    <w:rsid w:val="00C55C77"/>
    <w:rsid w:val="00C55D27"/>
    <w:rsid w:val="00C568B7"/>
    <w:rsid w:val="00C57855"/>
    <w:rsid w:val="00C57ACF"/>
    <w:rsid w:val="00C625B6"/>
    <w:rsid w:val="00C6403E"/>
    <w:rsid w:val="00C643EC"/>
    <w:rsid w:val="00C658FD"/>
    <w:rsid w:val="00C65BF1"/>
    <w:rsid w:val="00C6634B"/>
    <w:rsid w:val="00C67B66"/>
    <w:rsid w:val="00C700C8"/>
    <w:rsid w:val="00C701E4"/>
    <w:rsid w:val="00C70D2D"/>
    <w:rsid w:val="00C7100C"/>
    <w:rsid w:val="00C71BE7"/>
    <w:rsid w:val="00C71C53"/>
    <w:rsid w:val="00C74314"/>
    <w:rsid w:val="00C74775"/>
    <w:rsid w:val="00C7483B"/>
    <w:rsid w:val="00C74CFF"/>
    <w:rsid w:val="00C75987"/>
    <w:rsid w:val="00C75C34"/>
    <w:rsid w:val="00C764AE"/>
    <w:rsid w:val="00C76602"/>
    <w:rsid w:val="00C769B7"/>
    <w:rsid w:val="00C7744B"/>
    <w:rsid w:val="00C77C10"/>
    <w:rsid w:val="00C80494"/>
    <w:rsid w:val="00C805D9"/>
    <w:rsid w:val="00C81197"/>
    <w:rsid w:val="00C813D5"/>
    <w:rsid w:val="00C82152"/>
    <w:rsid w:val="00C83E8A"/>
    <w:rsid w:val="00C85368"/>
    <w:rsid w:val="00C865A6"/>
    <w:rsid w:val="00C87532"/>
    <w:rsid w:val="00C904FB"/>
    <w:rsid w:val="00C9261A"/>
    <w:rsid w:val="00C929EF"/>
    <w:rsid w:val="00C93112"/>
    <w:rsid w:val="00C94675"/>
    <w:rsid w:val="00C94E5B"/>
    <w:rsid w:val="00C95678"/>
    <w:rsid w:val="00C95793"/>
    <w:rsid w:val="00C97DA3"/>
    <w:rsid w:val="00CA1324"/>
    <w:rsid w:val="00CA2261"/>
    <w:rsid w:val="00CA2B65"/>
    <w:rsid w:val="00CA2DA8"/>
    <w:rsid w:val="00CA3894"/>
    <w:rsid w:val="00CA3AB4"/>
    <w:rsid w:val="00CA3CAC"/>
    <w:rsid w:val="00CA4D8B"/>
    <w:rsid w:val="00CA56B4"/>
    <w:rsid w:val="00CA6169"/>
    <w:rsid w:val="00CA71BB"/>
    <w:rsid w:val="00CA7D60"/>
    <w:rsid w:val="00CB06D7"/>
    <w:rsid w:val="00CB1BFB"/>
    <w:rsid w:val="00CB2FA0"/>
    <w:rsid w:val="00CB3FB6"/>
    <w:rsid w:val="00CB5621"/>
    <w:rsid w:val="00CB6989"/>
    <w:rsid w:val="00CB6B11"/>
    <w:rsid w:val="00CB7932"/>
    <w:rsid w:val="00CC1132"/>
    <w:rsid w:val="00CC1701"/>
    <w:rsid w:val="00CC1D8F"/>
    <w:rsid w:val="00CC1DD3"/>
    <w:rsid w:val="00CC1E56"/>
    <w:rsid w:val="00CC22ED"/>
    <w:rsid w:val="00CC2C6B"/>
    <w:rsid w:val="00CC4F50"/>
    <w:rsid w:val="00CC6D82"/>
    <w:rsid w:val="00CC7142"/>
    <w:rsid w:val="00CD0198"/>
    <w:rsid w:val="00CD03F5"/>
    <w:rsid w:val="00CD1951"/>
    <w:rsid w:val="00CD19C7"/>
    <w:rsid w:val="00CD1BAA"/>
    <w:rsid w:val="00CD1FB2"/>
    <w:rsid w:val="00CD29EC"/>
    <w:rsid w:val="00CD2F8A"/>
    <w:rsid w:val="00CD3F79"/>
    <w:rsid w:val="00CD48FA"/>
    <w:rsid w:val="00CD53DD"/>
    <w:rsid w:val="00CD58E9"/>
    <w:rsid w:val="00CD5A93"/>
    <w:rsid w:val="00CD5EBA"/>
    <w:rsid w:val="00CD77EF"/>
    <w:rsid w:val="00CE0C74"/>
    <w:rsid w:val="00CE10A5"/>
    <w:rsid w:val="00CE1B18"/>
    <w:rsid w:val="00CE1BC4"/>
    <w:rsid w:val="00CE1EBE"/>
    <w:rsid w:val="00CE28D8"/>
    <w:rsid w:val="00CE2B8D"/>
    <w:rsid w:val="00CE2BC0"/>
    <w:rsid w:val="00CE2EC2"/>
    <w:rsid w:val="00CE4E56"/>
    <w:rsid w:val="00CE6175"/>
    <w:rsid w:val="00CE6950"/>
    <w:rsid w:val="00CE7404"/>
    <w:rsid w:val="00CE782F"/>
    <w:rsid w:val="00CE7DBE"/>
    <w:rsid w:val="00CF05F3"/>
    <w:rsid w:val="00CF0876"/>
    <w:rsid w:val="00CF0C10"/>
    <w:rsid w:val="00CF0D4F"/>
    <w:rsid w:val="00CF0F96"/>
    <w:rsid w:val="00CF10BB"/>
    <w:rsid w:val="00CF11A7"/>
    <w:rsid w:val="00CF1D2B"/>
    <w:rsid w:val="00CF28C0"/>
    <w:rsid w:val="00CF398C"/>
    <w:rsid w:val="00CF45A7"/>
    <w:rsid w:val="00CF54DB"/>
    <w:rsid w:val="00CF7BDD"/>
    <w:rsid w:val="00D007A1"/>
    <w:rsid w:val="00D00A78"/>
    <w:rsid w:val="00D016C2"/>
    <w:rsid w:val="00D017F7"/>
    <w:rsid w:val="00D01FFF"/>
    <w:rsid w:val="00D0205A"/>
    <w:rsid w:val="00D029C0"/>
    <w:rsid w:val="00D033F9"/>
    <w:rsid w:val="00D0353E"/>
    <w:rsid w:val="00D038FD"/>
    <w:rsid w:val="00D03C2F"/>
    <w:rsid w:val="00D04C85"/>
    <w:rsid w:val="00D05420"/>
    <w:rsid w:val="00D05638"/>
    <w:rsid w:val="00D05A40"/>
    <w:rsid w:val="00D06715"/>
    <w:rsid w:val="00D06D80"/>
    <w:rsid w:val="00D0758B"/>
    <w:rsid w:val="00D10FF7"/>
    <w:rsid w:val="00D123A4"/>
    <w:rsid w:val="00D13022"/>
    <w:rsid w:val="00D13A00"/>
    <w:rsid w:val="00D140D0"/>
    <w:rsid w:val="00D14386"/>
    <w:rsid w:val="00D15B79"/>
    <w:rsid w:val="00D16827"/>
    <w:rsid w:val="00D16AD5"/>
    <w:rsid w:val="00D16D12"/>
    <w:rsid w:val="00D170AE"/>
    <w:rsid w:val="00D171CE"/>
    <w:rsid w:val="00D209DB"/>
    <w:rsid w:val="00D20DB1"/>
    <w:rsid w:val="00D21733"/>
    <w:rsid w:val="00D225F7"/>
    <w:rsid w:val="00D22653"/>
    <w:rsid w:val="00D22984"/>
    <w:rsid w:val="00D22C0C"/>
    <w:rsid w:val="00D23433"/>
    <w:rsid w:val="00D2402D"/>
    <w:rsid w:val="00D2415E"/>
    <w:rsid w:val="00D24414"/>
    <w:rsid w:val="00D24521"/>
    <w:rsid w:val="00D2452B"/>
    <w:rsid w:val="00D25398"/>
    <w:rsid w:val="00D25775"/>
    <w:rsid w:val="00D25EE5"/>
    <w:rsid w:val="00D274E8"/>
    <w:rsid w:val="00D305F4"/>
    <w:rsid w:val="00D31EDA"/>
    <w:rsid w:val="00D3250D"/>
    <w:rsid w:val="00D33112"/>
    <w:rsid w:val="00D33563"/>
    <w:rsid w:val="00D33CA4"/>
    <w:rsid w:val="00D34FCE"/>
    <w:rsid w:val="00D351EB"/>
    <w:rsid w:val="00D35536"/>
    <w:rsid w:val="00D35EE1"/>
    <w:rsid w:val="00D3658A"/>
    <w:rsid w:val="00D3684C"/>
    <w:rsid w:val="00D36D28"/>
    <w:rsid w:val="00D36DA1"/>
    <w:rsid w:val="00D3743A"/>
    <w:rsid w:val="00D3791D"/>
    <w:rsid w:val="00D37C1F"/>
    <w:rsid w:val="00D40EEF"/>
    <w:rsid w:val="00D41CC9"/>
    <w:rsid w:val="00D42627"/>
    <w:rsid w:val="00D428E7"/>
    <w:rsid w:val="00D429CE"/>
    <w:rsid w:val="00D42BE1"/>
    <w:rsid w:val="00D4385E"/>
    <w:rsid w:val="00D44E94"/>
    <w:rsid w:val="00D455C8"/>
    <w:rsid w:val="00D46694"/>
    <w:rsid w:val="00D46963"/>
    <w:rsid w:val="00D46A03"/>
    <w:rsid w:val="00D46CBA"/>
    <w:rsid w:val="00D47CF4"/>
    <w:rsid w:val="00D504E4"/>
    <w:rsid w:val="00D506AF"/>
    <w:rsid w:val="00D51E57"/>
    <w:rsid w:val="00D51F3D"/>
    <w:rsid w:val="00D528C9"/>
    <w:rsid w:val="00D52A97"/>
    <w:rsid w:val="00D52B1F"/>
    <w:rsid w:val="00D52DEE"/>
    <w:rsid w:val="00D53B26"/>
    <w:rsid w:val="00D53E9B"/>
    <w:rsid w:val="00D54D4E"/>
    <w:rsid w:val="00D55004"/>
    <w:rsid w:val="00D55251"/>
    <w:rsid w:val="00D60108"/>
    <w:rsid w:val="00D60F93"/>
    <w:rsid w:val="00D61BC5"/>
    <w:rsid w:val="00D62C4D"/>
    <w:rsid w:val="00D62DCD"/>
    <w:rsid w:val="00D62F97"/>
    <w:rsid w:val="00D66A5D"/>
    <w:rsid w:val="00D67B53"/>
    <w:rsid w:val="00D67C97"/>
    <w:rsid w:val="00D67FA8"/>
    <w:rsid w:val="00D70C75"/>
    <w:rsid w:val="00D71237"/>
    <w:rsid w:val="00D72FE4"/>
    <w:rsid w:val="00D73072"/>
    <w:rsid w:val="00D73105"/>
    <w:rsid w:val="00D736F8"/>
    <w:rsid w:val="00D73BC3"/>
    <w:rsid w:val="00D7490E"/>
    <w:rsid w:val="00D75021"/>
    <w:rsid w:val="00D75421"/>
    <w:rsid w:val="00D75CBC"/>
    <w:rsid w:val="00D75DD4"/>
    <w:rsid w:val="00D76DE4"/>
    <w:rsid w:val="00D76F29"/>
    <w:rsid w:val="00D807EE"/>
    <w:rsid w:val="00D80F3C"/>
    <w:rsid w:val="00D8151F"/>
    <w:rsid w:val="00D81DFC"/>
    <w:rsid w:val="00D824D3"/>
    <w:rsid w:val="00D82A05"/>
    <w:rsid w:val="00D82F23"/>
    <w:rsid w:val="00D84C27"/>
    <w:rsid w:val="00D85DEF"/>
    <w:rsid w:val="00D8615F"/>
    <w:rsid w:val="00D86924"/>
    <w:rsid w:val="00D87E09"/>
    <w:rsid w:val="00D91249"/>
    <w:rsid w:val="00D917F5"/>
    <w:rsid w:val="00D91961"/>
    <w:rsid w:val="00D91D22"/>
    <w:rsid w:val="00D95A71"/>
    <w:rsid w:val="00D97BE3"/>
    <w:rsid w:val="00DA0A5F"/>
    <w:rsid w:val="00DA0C49"/>
    <w:rsid w:val="00DA22B4"/>
    <w:rsid w:val="00DA6438"/>
    <w:rsid w:val="00DA6655"/>
    <w:rsid w:val="00DA6B46"/>
    <w:rsid w:val="00DA6E50"/>
    <w:rsid w:val="00DA7AC7"/>
    <w:rsid w:val="00DB08FB"/>
    <w:rsid w:val="00DB0CCC"/>
    <w:rsid w:val="00DB11B3"/>
    <w:rsid w:val="00DB159D"/>
    <w:rsid w:val="00DB1837"/>
    <w:rsid w:val="00DB2CA7"/>
    <w:rsid w:val="00DB4450"/>
    <w:rsid w:val="00DB655B"/>
    <w:rsid w:val="00DB6858"/>
    <w:rsid w:val="00DB6CAA"/>
    <w:rsid w:val="00DB71C4"/>
    <w:rsid w:val="00DC0755"/>
    <w:rsid w:val="00DC1AB4"/>
    <w:rsid w:val="00DC1DF6"/>
    <w:rsid w:val="00DC23A1"/>
    <w:rsid w:val="00DC280B"/>
    <w:rsid w:val="00DC3CD8"/>
    <w:rsid w:val="00DC5807"/>
    <w:rsid w:val="00DC674F"/>
    <w:rsid w:val="00DC718B"/>
    <w:rsid w:val="00DC7309"/>
    <w:rsid w:val="00DC73C8"/>
    <w:rsid w:val="00DC7E6B"/>
    <w:rsid w:val="00DC7EC1"/>
    <w:rsid w:val="00DD1920"/>
    <w:rsid w:val="00DD284A"/>
    <w:rsid w:val="00DD2A73"/>
    <w:rsid w:val="00DD2CC5"/>
    <w:rsid w:val="00DD3ED9"/>
    <w:rsid w:val="00DD4099"/>
    <w:rsid w:val="00DD53B3"/>
    <w:rsid w:val="00DD6656"/>
    <w:rsid w:val="00DD6AD3"/>
    <w:rsid w:val="00DD777C"/>
    <w:rsid w:val="00DE03F7"/>
    <w:rsid w:val="00DE124D"/>
    <w:rsid w:val="00DE1931"/>
    <w:rsid w:val="00DE194E"/>
    <w:rsid w:val="00DE1DA4"/>
    <w:rsid w:val="00DE20CB"/>
    <w:rsid w:val="00DE2244"/>
    <w:rsid w:val="00DE2B36"/>
    <w:rsid w:val="00DE2ECF"/>
    <w:rsid w:val="00DE2EF4"/>
    <w:rsid w:val="00DE42CE"/>
    <w:rsid w:val="00DE463A"/>
    <w:rsid w:val="00DE4D27"/>
    <w:rsid w:val="00DE51A0"/>
    <w:rsid w:val="00DE5CCA"/>
    <w:rsid w:val="00DE6400"/>
    <w:rsid w:val="00DF052E"/>
    <w:rsid w:val="00DF06D0"/>
    <w:rsid w:val="00DF0707"/>
    <w:rsid w:val="00DF0F0D"/>
    <w:rsid w:val="00DF1C08"/>
    <w:rsid w:val="00DF2178"/>
    <w:rsid w:val="00DF2615"/>
    <w:rsid w:val="00DF2B80"/>
    <w:rsid w:val="00DF2BF7"/>
    <w:rsid w:val="00DF341F"/>
    <w:rsid w:val="00DF41CE"/>
    <w:rsid w:val="00DF523A"/>
    <w:rsid w:val="00DF6A66"/>
    <w:rsid w:val="00DF6BFA"/>
    <w:rsid w:val="00DF7DD6"/>
    <w:rsid w:val="00DF7F55"/>
    <w:rsid w:val="00E00D1A"/>
    <w:rsid w:val="00E01453"/>
    <w:rsid w:val="00E018CD"/>
    <w:rsid w:val="00E01F05"/>
    <w:rsid w:val="00E02A15"/>
    <w:rsid w:val="00E02C00"/>
    <w:rsid w:val="00E047C0"/>
    <w:rsid w:val="00E05393"/>
    <w:rsid w:val="00E0559C"/>
    <w:rsid w:val="00E06771"/>
    <w:rsid w:val="00E069B5"/>
    <w:rsid w:val="00E07F11"/>
    <w:rsid w:val="00E104A1"/>
    <w:rsid w:val="00E10A56"/>
    <w:rsid w:val="00E10CD8"/>
    <w:rsid w:val="00E11035"/>
    <w:rsid w:val="00E1159D"/>
    <w:rsid w:val="00E11A56"/>
    <w:rsid w:val="00E125AF"/>
    <w:rsid w:val="00E1307A"/>
    <w:rsid w:val="00E131B8"/>
    <w:rsid w:val="00E13273"/>
    <w:rsid w:val="00E1504E"/>
    <w:rsid w:val="00E1619A"/>
    <w:rsid w:val="00E16EE9"/>
    <w:rsid w:val="00E172EA"/>
    <w:rsid w:val="00E17BAA"/>
    <w:rsid w:val="00E207E2"/>
    <w:rsid w:val="00E21BB8"/>
    <w:rsid w:val="00E21E7F"/>
    <w:rsid w:val="00E22006"/>
    <w:rsid w:val="00E22066"/>
    <w:rsid w:val="00E22DB6"/>
    <w:rsid w:val="00E230CC"/>
    <w:rsid w:val="00E23361"/>
    <w:rsid w:val="00E23396"/>
    <w:rsid w:val="00E2371A"/>
    <w:rsid w:val="00E23AC6"/>
    <w:rsid w:val="00E24669"/>
    <w:rsid w:val="00E24955"/>
    <w:rsid w:val="00E24DF3"/>
    <w:rsid w:val="00E24EB4"/>
    <w:rsid w:val="00E25B2B"/>
    <w:rsid w:val="00E266E6"/>
    <w:rsid w:val="00E2671F"/>
    <w:rsid w:val="00E26A52"/>
    <w:rsid w:val="00E26A7E"/>
    <w:rsid w:val="00E26B0C"/>
    <w:rsid w:val="00E26BD5"/>
    <w:rsid w:val="00E31B08"/>
    <w:rsid w:val="00E3283F"/>
    <w:rsid w:val="00E3321C"/>
    <w:rsid w:val="00E33B50"/>
    <w:rsid w:val="00E341DC"/>
    <w:rsid w:val="00E344AB"/>
    <w:rsid w:val="00E3455C"/>
    <w:rsid w:val="00E34B4F"/>
    <w:rsid w:val="00E35884"/>
    <w:rsid w:val="00E35CE3"/>
    <w:rsid w:val="00E363F9"/>
    <w:rsid w:val="00E378C3"/>
    <w:rsid w:val="00E37E72"/>
    <w:rsid w:val="00E4063E"/>
    <w:rsid w:val="00E411ED"/>
    <w:rsid w:val="00E41316"/>
    <w:rsid w:val="00E42963"/>
    <w:rsid w:val="00E42BBF"/>
    <w:rsid w:val="00E42F87"/>
    <w:rsid w:val="00E430B9"/>
    <w:rsid w:val="00E4315C"/>
    <w:rsid w:val="00E44684"/>
    <w:rsid w:val="00E44E13"/>
    <w:rsid w:val="00E44FD0"/>
    <w:rsid w:val="00E45C67"/>
    <w:rsid w:val="00E463EF"/>
    <w:rsid w:val="00E473C7"/>
    <w:rsid w:val="00E50207"/>
    <w:rsid w:val="00E50799"/>
    <w:rsid w:val="00E5085D"/>
    <w:rsid w:val="00E51886"/>
    <w:rsid w:val="00E525C7"/>
    <w:rsid w:val="00E53067"/>
    <w:rsid w:val="00E550B3"/>
    <w:rsid w:val="00E558C0"/>
    <w:rsid w:val="00E558DB"/>
    <w:rsid w:val="00E60D6F"/>
    <w:rsid w:val="00E61821"/>
    <w:rsid w:val="00E61E0C"/>
    <w:rsid w:val="00E626A8"/>
    <w:rsid w:val="00E627C7"/>
    <w:rsid w:val="00E62ADD"/>
    <w:rsid w:val="00E63025"/>
    <w:rsid w:val="00E6365C"/>
    <w:rsid w:val="00E638B5"/>
    <w:rsid w:val="00E63CD6"/>
    <w:rsid w:val="00E63DE6"/>
    <w:rsid w:val="00E64CB2"/>
    <w:rsid w:val="00E64CE5"/>
    <w:rsid w:val="00E6695F"/>
    <w:rsid w:val="00E672E0"/>
    <w:rsid w:val="00E6736B"/>
    <w:rsid w:val="00E674BF"/>
    <w:rsid w:val="00E67C93"/>
    <w:rsid w:val="00E70606"/>
    <w:rsid w:val="00E7094D"/>
    <w:rsid w:val="00E70A7E"/>
    <w:rsid w:val="00E71BB9"/>
    <w:rsid w:val="00E72774"/>
    <w:rsid w:val="00E731C0"/>
    <w:rsid w:val="00E733EE"/>
    <w:rsid w:val="00E73604"/>
    <w:rsid w:val="00E73727"/>
    <w:rsid w:val="00E73C69"/>
    <w:rsid w:val="00E743C2"/>
    <w:rsid w:val="00E747EC"/>
    <w:rsid w:val="00E74A6B"/>
    <w:rsid w:val="00E762ED"/>
    <w:rsid w:val="00E76325"/>
    <w:rsid w:val="00E7649C"/>
    <w:rsid w:val="00E77C6C"/>
    <w:rsid w:val="00E81B1E"/>
    <w:rsid w:val="00E82377"/>
    <w:rsid w:val="00E823B8"/>
    <w:rsid w:val="00E83449"/>
    <w:rsid w:val="00E83AA2"/>
    <w:rsid w:val="00E848CF"/>
    <w:rsid w:val="00E84AF4"/>
    <w:rsid w:val="00E856F9"/>
    <w:rsid w:val="00E86064"/>
    <w:rsid w:val="00E864ED"/>
    <w:rsid w:val="00E86FB6"/>
    <w:rsid w:val="00E87361"/>
    <w:rsid w:val="00E87986"/>
    <w:rsid w:val="00E90447"/>
    <w:rsid w:val="00E9057A"/>
    <w:rsid w:val="00E905EB"/>
    <w:rsid w:val="00E92EC8"/>
    <w:rsid w:val="00E9338D"/>
    <w:rsid w:val="00E93B81"/>
    <w:rsid w:val="00E949BD"/>
    <w:rsid w:val="00E94C8F"/>
    <w:rsid w:val="00E9668B"/>
    <w:rsid w:val="00E96692"/>
    <w:rsid w:val="00E974E6"/>
    <w:rsid w:val="00E97E00"/>
    <w:rsid w:val="00E97E70"/>
    <w:rsid w:val="00EA00BA"/>
    <w:rsid w:val="00EA1BF6"/>
    <w:rsid w:val="00EA31C1"/>
    <w:rsid w:val="00EA48A2"/>
    <w:rsid w:val="00EA50CF"/>
    <w:rsid w:val="00EA6310"/>
    <w:rsid w:val="00EA6697"/>
    <w:rsid w:val="00EA783E"/>
    <w:rsid w:val="00EA79D5"/>
    <w:rsid w:val="00EB00F1"/>
    <w:rsid w:val="00EB0A96"/>
    <w:rsid w:val="00EB0D29"/>
    <w:rsid w:val="00EB27FE"/>
    <w:rsid w:val="00EB395A"/>
    <w:rsid w:val="00EB41CE"/>
    <w:rsid w:val="00EB4E47"/>
    <w:rsid w:val="00EB4F2C"/>
    <w:rsid w:val="00EB5ACB"/>
    <w:rsid w:val="00EB71F8"/>
    <w:rsid w:val="00EB7414"/>
    <w:rsid w:val="00EC1871"/>
    <w:rsid w:val="00EC1A1D"/>
    <w:rsid w:val="00EC1C2F"/>
    <w:rsid w:val="00EC43D1"/>
    <w:rsid w:val="00EC505C"/>
    <w:rsid w:val="00EC59CE"/>
    <w:rsid w:val="00EC5A86"/>
    <w:rsid w:val="00EC5C42"/>
    <w:rsid w:val="00EC5E17"/>
    <w:rsid w:val="00EC5E61"/>
    <w:rsid w:val="00EC609A"/>
    <w:rsid w:val="00EC674A"/>
    <w:rsid w:val="00EC6A40"/>
    <w:rsid w:val="00EC6FC0"/>
    <w:rsid w:val="00EC75FC"/>
    <w:rsid w:val="00ED0844"/>
    <w:rsid w:val="00ED22BF"/>
    <w:rsid w:val="00ED42F3"/>
    <w:rsid w:val="00ED4C73"/>
    <w:rsid w:val="00ED58F2"/>
    <w:rsid w:val="00ED66EA"/>
    <w:rsid w:val="00ED6BEB"/>
    <w:rsid w:val="00ED75B4"/>
    <w:rsid w:val="00ED78A0"/>
    <w:rsid w:val="00EE0D95"/>
    <w:rsid w:val="00EE3B80"/>
    <w:rsid w:val="00EE3CBC"/>
    <w:rsid w:val="00EE3FB2"/>
    <w:rsid w:val="00EE4AF9"/>
    <w:rsid w:val="00EE6E46"/>
    <w:rsid w:val="00EE7247"/>
    <w:rsid w:val="00EE744C"/>
    <w:rsid w:val="00EE775E"/>
    <w:rsid w:val="00EF0426"/>
    <w:rsid w:val="00EF07F8"/>
    <w:rsid w:val="00EF0D4A"/>
    <w:rsid w:val="00EF24D9"/>
    <w:rsid w:val="00EF4449"/>
    <w:rsid w:val="00EF4967"/>
    <w:rsid w:val="00EF49D5"/>
    <w:rsid w:val="00EF5585"/>
    <w:rsid w:val="00EF5AA8"/>
    <w:rsid w:val="00EF6E13"/>
    <w:rsid w:val="00EF71E1"/>
    <w:rsid w:val="00EF7430"/>
    <w:rsid w:val="00F00195"/>
    <w:rsid w:val="00F00472"/>
    <w:rsid w:val="00F00F8C"/>
    <w:rsid w:val="00F02E8E"/>
    <w:rsid w:val="00F048C5"/>
    <w:rsid w:val="00F05E7C"/>
    <w:rsid w:val="00F061B2"/>
    <w:rsid w:val="00F071D6"/>
    <w:rsid w:val="00F075FA"/>
    <w:rsid w:val="00F07838"/>
    <w:rsid w:val="00F07926"/>
    <w:rsid w:val="00F07B2F"/>
    <w:rsid w:val="00F07CE9"/>
    <w:rsid w:val="00F10676"/>
    <w:rsid w:val="00F106D7"/>
    <w:rsid w:val="00F1215C"/>
    <w:rsid w:val="00F12865"/>
    <w:rsid w:val="00F12FDD"/>
    <w:rsid w:val="00F146DF"/>
    <w:rsid w:val="00F14AF1"/>
    <w:rsid w:val="00F14B77"/>
    <w:rsid w:val="00F15772"/>
    <w:rsid w:val="00F15976"/>
    <w:rsid w:val="00F161E6"/>
    <w:rsid w:val="00F1649D"/>
    <w:rsid w:val="00F16645"/>
    <w:rsid w:val="00F16938"/>
    <w:rsid w:val="00F16C83"/>
    <w:rsid w:val="00F1780C"/>
    <w:rsid w:val="00F20108"/>
    <w:rsid w:val="00F212D1"/>
    <w:rsid w:val="00F21E01"/>
    <w:rsid w:val="00F233B6"/>
    <w:rsid w:val="00F23C67"/>
    <w:rsid w:val="00F2452E"/>
    <w:rsid w:val="00F24761"/>
    <w:rsid w:val="00F24DAC"/>
    <w:rsid w:val="00F25948"/>
    <w:rsid w:val="00F264A7"/>
    <w:rsid w:val="00F26774"/>
    <w:rsid w:val="00F26A25"/>
    <w:rsid w:val="00F26A90"/>
    <w:rsid w:val="00F27AC3"/>
    <w:rsid w:val="00F27AC9"/>
    <w:rsid w:val="00F300E1"/>
    <w:rsid w:val="00F30BF1"/>
    <w:rsid w:val="00F31539"/>
    <w:rsid w:val="00F3192F"/>
    <w:rsid w:val="00F31A54"/>
    <w:rsid w:val="00F31DDF"/>
    <w:rsid w:val="00F323AA"/>
    <w:rsid w:val="00F3241E"/>
    <w:rsid w:val="00F338C3"/>
    <w:rsid w:val="00F34110"/>
    <w:rsid w:val="00F34375"/>
    <w:rsid w:val="00F34B6F"/>
    <w:rsid w:val="00F353B8"/>
    <w:rsid w:val="00F35966"/>
    <w:rsid w:val="00F37B65"/>
    <w:rsid w:val="00F400DE"/>
    <w:rsid w:val="00F40498"/>
    <w:rsid w:val="00F40B3C"/>
    <w:rsid w:val="00F40D19"/>
    <w:rsid w:val="00F40D84"/>
    <w:rsid w:val="00F4113E"/>
    <w:rsid w:val="00F4160B"/>
    <w:rsid w:val="00F421CB"/>
    <w:rsid w:val="00F42B39"/>
    <w:rsid w:val="00F43525"/>
    <w:rsid w:val="00F46A96"/>
    <w:rsid w:val="00F47668"/>
    <w:rsid w:val="00F476AB"/>
    <w:rsid w:val="00F47ACA"/>
    <w:rsid w:val="00F47E41"/>
    <w:rsid w:val="00F50C2C"/>
    <w:rsid w:val="00F513A6"/>
    <w:rsid w:val="00F51656"/>
    <w:rsid w:val="00F53004"/>
    <w:rsid w:val="00F53AC0"/>
    <w:rsid w:val="00F53EA7"/>
    <w:rsid w:val="00F54008"/>
    <w:rsid w:val="00F540C4"/>
    <w:rsid w:val="00F558E6"/>
    <w:rsid w:val="00F55F6F"/>
    <w:rsid w:val="00F56360"/>
    <w:rsid w:val="00F5673D"/>
    <w:rsid w:val="00F63145"/>
    <w:rsid w:val="00F63962"/>
    <w:rsid w:val="00F64195"/>
    <w:rsid w:val="00F6454D"/>
    <w:rsid w:val="00F6495F"/>
    <w:rsid w:val="00F64EF0"/>
    <w:rsid w:val="00F658F9"/>
    <w:rsid w:val="00F66061"/>
    <w:rsid w:val="00F660FA"/>
    <w:rsid w:val="00F663D0"/>
    <w:rsid w:val="00F66417"/>
    <w:rsid w:val="00F6648A"/>
    <w:rsid w:val="00F66C1F"/>
    <w:rsid w:val="00F67667"/>
    <w:rsid w:val="00F70C8E"/>
    <w:rsid w:val="00F71C86"/>
    <w:rsid w:val="00F72741"/>
    <w:rsid w:val="00F7317E"/>
    <w:rsid w:val="00F74279"/>
    <w:rsid w:val="00F75008"/>
    <w:rsid w:val="00F7508B"/>
    <w:rsid w:val="00F751DC"/>
    <w:rsid w:val="00F76015"/>
    <w:rsid w:val="00F76716"/>
    <w:rsid w:val="00F8022F"/>
    <w:rsid w:val="00F8083C"/>
    <w:rsid w:val="00F8117B"/>
    <w:rsid w:val="00F824A8"/>
    <w:rsid w:val="00F83E94"/>
    <w:rsid w:val="00F83F44"/>
    <w:rsid w:val="00F84C22"/>
    <w:rsid w:val="00F84F6D"/>
    <w:rsid w:val="00F86853"/>
    <w:rsid w:val="00F87C01"/>
    <w:rsid w:val="00F904D5"/>
    <w:rsid w:val="00F91D8F"/>
    <w:rsid w:val="00F922D4"/>
    <w:rsid w:val="00F9274D"/>
    <w:rsid w:val="00F93F79"/>
    <w:rsid w:val="00F948B1"/>
    <w:rsid w:val="00F9542C"/>
    <w:rsid w:val="00F95ADC"/>
    <w:rsid w:val="00F95C08"/>
    <w:rsid w:val="00F9647D"/>
    <w:rsid w:val="00F968EF"/>
    <w:rsid w:val="00F97B6C"/>
    <w:rsid w:val="00F97F7F"/>
    <w:rsid w:val="00FA15FB"/>
    <w:rsid w:val="00FA1C81"/>
    <w:rsid w:val="00FA2E4C"/>
    <w:rsid w:val="00FA4223"/>
    <w:rsid w:val="00FA48E0"/>
    <w:rsid w:val="00FA5326"/>
    <w:rsid w:val="00FA56E2"/>
    <w:rsid w:val="00FA5C68"/>
    <w:rsid w:val="00FA5FB8"/>
    <w:rsid w:val="00FA64A4"/>
    <w:rsid w:val="00FA710D"/>
    <w:rsid w:val="00FA7619"/>
    <w:rsid w:val="00FA784D"/>
    <w:rsid w:val="00FB01E6"/>
    <w:rsid w:val="00FB07A2"/>
    <w:rsid w:val="00FB0CF3"/>
    <w:rsid w:val="00FB299C"/>
    <w:rsid w:val="00FB2D5E"/>
    <w:rsid w:val="00FB38F7"/>
    <w:rsid w:val="00FB6AFC"/>
    <w:rsid w:val="00FB6FB9"/>
    <w:rsid w:val="00FB7C2E"/>
    <w:rsid w:val="00FB7DF5"/>
    <w:rsid w:val="00FC0B75"/>
    <w:rsid w:val="00FC1B2E"/>
    <w:rsid w:val="00FC2AF6"/>
    <w:rsid w:val="00FC32C4"/>
    <w:rsid w:val="00FC4BD9"/>
    <w:rsid w:val="00FC5A36"/>
    <w:rsid w:val="00FC671A"/>
    <w:rsid w:val="00FC6BD2"/>
    <w:rsid w:val="00FD0783"/>
    <w:rsid w:val="00FD0EEC"/>
    <w:rsid w:val="00FD24CB"/>
    <w:rsid w:val="00FD3B55"/>
    <w:rsid w:val="00FD424A"/>
    <w:rsid w:val="00FD527D"/>
    <w:rsid w:val="00FD56DB"/>
    <w:rsid w:val="00FD59FF"/>
    <w:rsid w:val="00FD5C4F"/>
    <w:rsid w:val="00FD68AD"/>
    <w:rsid w:val="00FD6CF5"/>
    <w:rsid w:val="00FD74A1"/>
    <w:rsid w:val="00FE029D"/>
    <w:rsid w:val="00FE1CD8"/>
    <w:rsid w:val="00FE2A77"/>
    <w:rsid w:val="00FE37C4"/>
    <w:rsid w:val="00FE3915"/>
    <w:rsid w:val="00FE3C19"/>
    <w:rsid w:val="00FE4142"/>
    <w:rsid w:val="00FE4B7B"/>
    <w:rsid w:val="00FE4FC8"/>
    <w:rsid w:val="00FE58AB"/>
    <w:rsid w:val="00FE5C13"/>
    <w:rsid w:val="00FE5DC7"/>
    <w:rsid w:val="00FE6E1B"/>
    <w:rsid w:val="00FE74C3"/>
    <w:rsid w:val="00FE75AD"/>
    <w:rsid w:val="00FE7730"/>
    <w:rsid w:val="00FF08C8"/>
    <w:rsid w:val="00FF0BBA"/>
    <w:rsid w:val="00FF0DF4"/>
    <w:rsid w:val="00FF0E59"/>
    <w:rsid w:val="00FF0F20"/>
    <w:rsid w:val="00FF0FF8"/>
    <w:rsid w:val="00FF1AE4"/>
    <w:rsid w:val="00FF1E57"/>
    <w:rsid w:val="00FF2024"/>
    <w:rsid w:val="00FF2531"/>
    <w:rsid w:val="00FF2A43"/>
    <w:rsid w:val="00FF2D89"/>
    <w:rsid w:val="00FF4AA5"/>
    <w:rsid w:val="00FF5AE3"/>
    <w:rsid w:val="00FF6F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A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Table of contents numbered,footer text"/>
    <w:basedOn w:val="Normal"/>
    <w:link w:val="ListParagraphChar"/>
    <w:uiPriority w:val="34"/>
    <w:qFormat/>
    <w:rsid w:val="0075422F"/>
    <w:pPr>
      <w:ind w:left="720"/>
      <w:contextualSpacing/>
    </w:pPr>
  </w:style>
  <w:style w:type="paragraph" w:styleId="Header">
    <w:name w:val="header"/>
    <w:basedOn w:val="Normal"/>
    <w:link w:val="HeaderChar"/>
    <w:unhideWhenUsed/>
    <w:rsid w:val="00353A2C"/>
    <w:pPr>
      <w:tabs>
        <w:tab w:val="center" w:pos="4513"/>
        <w:tab w:val="right" w:pos="9026"/>
      </w:tabs>
      <w:spacing w:after="0" w:line="240" w:lineRule="auto"/>
    </w:pPr>
  </w:style>
  <w:style w:type="character" w:customStyle="1" w:styleId="HeaderChar">
    <w:name w:val="Header Char"/>
    <w:basedOn w:val="DefaultParagraphFont"/>
    <w:link w:val="Header"/>
    <w:rsid w:val="00353A2C"/>
  </w:style>
  <w:style w:type="paragraph" w:styleId="Footer">
    <w:name w:val="footer"/>
    <w:basedOn w:val="Normal"/>
    <w:link w:val="FooterChar"/>
    <w:uiPriority w:val="99"/>
    <w:unhideWhenUsed/>
    <w:rsid w:val="00353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A2C"/>
  </w:style>
  <w:style w:type="paragraph" w:customStyle="1" w:styleId="Default">
    <w:name w:val="Default"/>
    <w:rsid w:val="00346A55"/>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semiHidden/>
    <w:rsid w:val="00A072A5"/>
    <w:rPr>
      <w:vertAlign w:val="superscript"/>
    </w:rPr>
  </w:style>
  <w:style w:type="table" w:styleId="TableGrid">
    <w:name w:val="Table Grid"/>
    <w:basedOn w:val="TableNormal"/>
    <w:rsid w:val="00A16A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F7F55"/>
    <w:rPr>
      <w:sz w:val="16"/>
      <w:szCs w:val="16"/>
    </w:rPr>
  </w:style>
  <w:style w:type="paragraph" w:styleId="CommentText">
    <w:name w:val="annotation text"/>
    <w:basedOn w:val="Normal"/>
    <w:link w:val="CommentTextChar"/>
    <w:uiPriority w:val="99"/>
    <w:semiHidden/>
    <w:unhideWhenUsed/>
    <w:rsid w:val="00DF7F55"/>
    <w:pPr>
      <w:spacing w:line="240" w:lineRule="auto"/>
    </w:pPr>
    <w:rPr>
      <w:sz w:val="20"/>
      <w:szCs w:val="20"/>
    </w:rPr>
  </w:style>
  <w:style w:type="character" w:customStyle="1" w:styleId="CommentTextChar">
    <w:name w:val="Comment Text Char"/>
    <w:basedOn w:val="DefaultParagraphFont"/>
    <w:link w:val="CommentText"/>
    <w:uiPriority w:val="99"/>
    <w:semiHidden/>
    <w:rsid w:val="00DF7F55"/>
    <w:rPr>
      <w:sz w:val="20"/>
      <w:szCs w:val="20"/>
    </w:rPr>
  </w:style>
  <w:style w:type="paragraph" w:styleId="CommentSubject">
    <w:name w:val="annotation subject"/>
    <w:basedOn w:val="CommentText"/>
    <w:next w:val="CommentText"/>
    <w:link w:val="CommentSubjectChar"/>
    <w:uiPriority w:val="99"/>
    <w:semiHidden/>
    <w:unhideWhenUsed/>
    <w:rsid w:val="00DF7F55"/>
    <w:rPr>
      <w:b/>
      <w:bCs/>
    </w:rPr>
  </w:style>
  <w:style w:type="character" w:customStyle="1" w:styleId="CommentSubjectChar">
    <w:name w:val="Comment Subject Char"/>
    <w:basedOn w:val="CommentTextChar"/>
    <w:link w:val="CommentSubject"/>
    <w:uiPriority w:val="99"/>
    <w:semiHidden/>
    <w:rsid w:val="00DF7F55"/>
    <w:rPr>
      <w:b/>
      <w:bCs/>
      <w:sz w:val="20"/>
      <w:szCs w:val="20"/>
    </w:rPr>
  </w:style>
  <w:style w:type="paragraph" w:styleId="BalloonText">
    <w:name w:val="Balloon Text"/>
    <w:basedOn w:val="Normal"/>
    <w:link w:val="BalloonTextChar"/>
    <w:uiPriority w:val="99"/>
    <w:semiHidden/>
    <w:unhideWhenUsed/>
    <w:rsid w:val="00DF7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F55"/>
    <w:rPr>
      <w:rFonts w:ascii="Tahoma" w:hAnsi="Tahoma" w:cs="Tahoma"/>
      <w:sz w:val="16"/>
      <w:szCs w:val="16"/>
    </w:rPr>
  </w:style>
  <w:style w:type="paragraph" w:customStyle="1" w:styleId="AGbodytextblack">
    <w:name w:val="AG body text black"/>
    <w:basedOn w:val="Normal"/>
    <w:rsid w:val="008135D4"/>
    <w:pPr>
      <w:spacing w:after="120" w:line="240" w:lineRule="auto"/>
    </w:pPr>
    <w:rPr>
      <w:rFonts w:ascii="Arial" w:eastAsia="Times New Roman" w:hAnsi="Arial" w:cs="Times New Roman"/>
      <w:lang w:eastAsia="en-GB"/>
    </w:rPr>
  </w:style>
  <w:style w:type="paragraph" w:customStyle="1" w:styleId="BodyText1">
    <w:name w:val="Body Text1"/>
    <w:basedOn w:val="NoSpacing"/>
    <w:link w:val="BodytextChar"/>
    <w:qFormat/>
    <w:rsid w:val="008135D4"/>
    <w:pPr>
      <w:spacing w:before="120" w:after="120"/>
    </w:pPr>
    <w:rPr>
      <w:rFonts w:ascii="Arial" w:eastAsia="Calibri" w:hAnsi="Arial" w:cs="Times New Roman"/>
      <w:color w:val="97857B"/>
      <w:sz w:val="20"/>
      <w:lang w:val="en-US"/>
    </w:rPr>
  </w:style>
  <w:style w:type="character" w:customStyle="1" w:styleId="BodytextChar">
    <w:name w:val="Body text Char"/>
    <w:basedOn w:val="DefaultParagraphFont"/>
    <w:link w:val="BodyText1"/>
    <w:rsid w:val="008135D4"/>
    <w:rPr>
      <w:rFonts w:ascii="Arial" w:eastAsia="Calibri" w:hAnsi="Arial" w:cs="Times New Roman"/>
      <w:color w:val="97857B"/>
      <w:sz w:val="20"/>
      <w:lang w:val="en-US"/>
    </w:rPr>
  </w:style>
  <w:style w:type="paragraph" w:styleId="NoSpacing">
    <w:name w:val="No Spacing"/>
    <w:uiPriority w:val="1"/>
    <w:qFormat/>
    <w:rsid w:val="008135D4"/>
    <w:pPr>
      <w:spacing w:after="0" w:line="240" w:lineRule="auto"/>
    </w:pPr>
  </w:style>
  <w:style w:type="paragraph" w:styleId="NormalWeb">
    <w:name w:val="Normal (Web)"/>
    <w:basedOn w:val="Normal"/>
    <w:uiPriority w:val="99"/>
    <w:semiHidden/>
    <w:unhideWhenUsed/>
    <w:rsid w:val="00A10F21"/>
    <w:pPr>
      <w:spacing w:before="100" w:beforeAutospacing="1" w:after="100" w:afterAutospacing="1" w:line="240" w:lineRule="auto"/>
    </w:pPr>
    <w:rPr>
      <w:rFonts w:ascii="Times New Roman" w:eastAsia="Times New Roman" w:hAnsi="Times New Roman" w:cs="Times New Roman"/>
      <w:sz w:val="24"/>
      <w:szCs w:val="24"/>
      <w:lang w:eastAsia="en-ZA"/>
    </w:rPr>
  </w:style>
  <w:style w:type="table" w:customStyle="1" w:styleId="GridTable4-Accent11">
    <w:name w:val="Grid Table 4 - Accent 11"/>
    <w:basedOn w:val="TableNormal"/>
    <w:uiPriority w:val="49"/>
    <w:rsid w:val="00DB6858"/>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Indent">
    <w:name w:val="Body Text Indent"/>
    <w:basedOn w:val="Normal"/>
    <w:link w:val="BodyTextIndentChar"/>
    <w:unhideWhenUsed/>
    <w:rsid w:val="00C53114"/>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C53114"/>
    <w:rPr>
      <w:rFonts w:ascii="Times New Roman" w:eastAsia="Times New Roman" w:hAnsi="Times New Roman" w:cs="Times New Roman"/>
      <w:sz w:val="24"/>
      <w:szCs w:val="24"/>
      <w:lang w:val="en-US"/>
    </w:rPr>
  </w:style>
  <w:style w:type="table" w:customStyle="1" w:styleId="TableGrid1">
    <w:name w:val="Table Grid1"/>
    <w:basedOn w:val="TableNormal"/>
    <w:next w:val="TableGrid"/>
    <w:rsid w:val="009131A1"/>
    <w:pPr>
      <w:spacing w:after="0" w:line="240" w:lineRule="auto"/>
    </w:pPr>
    <w:rPr>
      <w:rFonts w:ascii="Times New Roman" w:eastAsia="Times New Roman" w:hAnsi="Times New Roman"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aliases w:val="Footnote Text Char1,Footnote Text Char Char"/>
    <w:basedOn w:val="Normal"/>
    <w:link w:val="FootnoteTextChar"/>
    <w:semiHidden/>
    <w:unhideWhenUsed/>
    <w:rsid w:val="00D455C8"/>
    <w:pPr>
      <w:spacing w:after="0" w:line="240" w:lineRule="auto"/>
    </w:pPr>
    <w:rPr>
      <w:sz w:val="20"/>
      <w:szCs w:val="20"/>
    </w:rPr>
  </w:style>
  <w:style w:type="character" w:customStyle="1" w:styleId="FootnoteTextChar">
    <w:name w:val="Footnote Text Char"/>
    <w:aliases w:val="Footnote Text Char1 Char,Footnote Text Char Char Char"/>
    <w:basedOn w:val="DefaultParagraphFont"/>
    <w:link w:val="FootnoteText"/>
    <w:uiPriority w:val="99"/>
    <w:semiHidden/>
    <w:rsid w:val="00D455C8"/>
    <w:rPr>
      <w:sz w:val="20"/>
      <w:szCs w:val="20"/>
    </w:rPr>
  </w:style>
  <w:style w:type="table" w:customStyle="1" w:styleId="TableGrid2">
    <w:name w:val="Table Grid2"/>
    <w:basedOn w:val="TableNormal"/>
    <w:next w:val="TableGrid"/>
    <w:rsid w:val="00D455C8"/>
    <w:pPr>
      <w:spacing w:after="0" w:line="240" w:lineRule="auto"/>
    </w:pPr>
    <w:rPr>
      <w:rFonts w:ascii="Times New Roman" w:eastAsia="Times New Roman" w:hAnsi="Times New Roman"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11">
    <w:name w:val="Pa11"/>
    <w:basedOn w:val="Default"/>
    <w:next w:val="Default"/>
    <w:uiPriority w:val="99"/>
    <w:rsid w:val="00B759D9"/>
    <w:pPr>
      <w:spacing w:line="161" w:lineRule="atLeast"/>
    </w:pPr>
    <w:rPr>
      <w:rFonts w:ascii="HelveticaNeue LightCond" w:eastAsia="Times New Roman" w:hAnsi="HelveticaNeue LightCond" w:cs="Times New Roman"/>
      <w:color w:val="auto"/>
      <w:lang w:eastAsia="en-ZA"/>
    </w:rPr>
  </w:style>
  <w:style w:type="paragraph" w:customStyle="1" w:styleId="Pa12">
    <w:name w:val="Pa12"/>
    <w:basedOn w:val="Default"/>
    <w:next w:val="Default"/>
    <w:uiPriority w:val="99"/>
    <w:rsid w:val="00B759D9"/>
    <w:pPr>
      <w:spacing w:line="161" w:lineRule="atLeast"/>
    </w:pPr>
    <w:rPr>
      <w:rFonts w:ascii="HelveticaNeue LightCond" w:eastAsia="Times New Roman" w:hAnsi="HelveticaNeue LightCond" w:cs="Times New Roman"/>
      <w:color w:val="auto"/>
      <w:lang w:eastAsia="en-ZA"/>
    </w:rPr>
  </w:style>
  <w:style w:type="paragraph" w:styleId="Revision">
    <w:name w:val="Revision"/>
    <w:hidden/>
    <w:uiPriority w:val="99"/>
    <w:semiHidden/>
    <w:rsid w:val="000C7872"/>
    <w:pPr>
      <w:spacing w:after="0" w:line="240" w:lineRule="auto"/>
    </w:pPr>
  </w:style>
  <w:style w:type="character" w:customStyle="1" w:styleId="ListParagraphChar">
    <w:name w:val="List Paragraph Char"/>
    <w:aliases w:val="List Paragraph 1 Char,Bullets Char,Table of contents numbered Char,footer text Char"/>
    <w:link w:val="ListParagraph"/>
    <w:uiPriority w:val="34"/>
    <w:rsid w:val="000060F8"/>
  </w:style>
  <w:style w:type="paragraph" w:styleId="BodyText">
    <w:name w:val="Body Text"/>
    <w:basedOn w:val="Normal"/>
    <w:link w:val="BodyTextChar0"/>
    <w:rsid w:val="00AF216B"/>
    <w:pPr>
      <w:spacing w:after="120" w:line="300" w:lineRule="exact"/>
      <w:jc w:val="both"/>
    </w:pPr>
    <w:rPr>
      <w:rFonts w:ascii="Calibri" w:eastAsia="Times New Roman" w:hAnsi="Calibri" w:cs="Calibri"/>
      <w:sz w:val="24"/>
      <w:szCs w:val="24"/>
      <w:lang w:val="en-GB"/>
    </w:rPr>
  </w:style>
  <w:style w:type="character" w:customStyle="1" w:styleId="BodyTextChar0">
    <w:name w:val="Body Text Char"/>
    <w:basedOn w:val="DefaultParagraphFont"/>
    <w:link w:val="BodyText"/>
    <w:rsid w:val="00AF216B"/>
    <w:rPr>
      <w:rFonts w:ascii="Calibri" w:eastAsia="Times New Roman" w:hAnsi="Calibri" w:cs="Calibri"/>
      <w:sz w:val="24"/>
      <w:szCs w:val="24"/>
      <w:lang w:val="en-GB"/>
    </w:rPr>
  </w:style>
  <w:style w:type="paragraph" w:customStyle="1" w:styleId="char">
    <w:name w:val="char"/>
    <w:basedOn w:val="Normal"/>
    <w:rsid w:val="00D140D0"/>
    <w:pPr>
      <w:widowControl w:val="0"/>
      <w:suppressAutoHyphens/>
      <w:autoSpaceDE w:val="0"/>
      <w:autoSpaceDN w:val="0"/>
      <w:spacing w:after="0" w:line="240" w:lineRule="auto"/>
      <w:textAlignment w:val="baseline"/>
    </w:pPr>
    <w:rPr>
      <w:rFonts w:ascii="Arial" w:eastAsia="Times New Roman" w:hAnsi="Arial" w:cs="Arial"/>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8412195">
      <w:bodyDiv w:val="1"/>
      <w:marLeft w:val="0"/>
      <w:marRight w:val="0"/>
      <w:marTop w:val="0"/>
      <w:marBottom w:val="0"/>
      <w:divBdr>
        <w:top w:val="none" w:sz="0" w:space="0" w:color="auto"/>
        <w:left w:val="none" w:sz="0" w:space="0" w:color="auto"/>
        <w:bottom w:val="none" w:sz="0" w:space="0" w:color="auto"/>
        <w:right w:val="none" w:sz="0" w:space="0" w:color="auto"/>
      </w:divBdr>
    </w:div>
    <w:div w:id="94256039">
      <w:bodyDiv w:val="1"/>
      <w:marLeft w:val="0"/>
      <w:marRight w:val="0"/>
      <w:marTop w:val="0"/>
      <w:marBottom w:val="0"/>
      <w:divBdr>
        <w:top w:val="none" w:sz="0" w:space="0" w:color="auto"/>
        <w:left w:val="none" w:sz="0" w:space="0" w:color="auto"/>
        <w:bottom w:val="none" w:sz="0" w:space="0" w:color="auto"/>
        <w:right w:val="none" w:sz="0" w:space="0" w:color="auto"/>
      </w:divBdr>
    </w:div>
    <w:div w:id="124742637">
      <w:bodyDiv w:val="1"/>
      <w:marLeft w:val="0"/>
      <w:marRight w:val="0"/>
      <w:marTop w:val="0"/>
      <w:marBottom w:val="0"/>
      <w:divBdr>
        <w:top w:val="none" w:sz="0" w:space="0" w:color="auto"/>
        <w:left w:val="none" w:sz="0" w:space="0" w:color="auto"/>
        <w:bottom w:val="none" w:sz="0" w:space="0" w:color="auto"/>
        <w:right w:val="none" w:sz="0" w:space="0" w:color="auto"/>
      </w:divBdr>
    </w:div>
    <w:div w:id="169875817">
      <w:bodyDiv w:val="1"/>
      <w:marLeft w:val="0"/>
      <w:marRight w:val="0"/>
      <w:marTop w:val="0"/>
      <w:marBottom w:val="0"/>
      <w:divBdr>
        <w:top w:val="none" w:sz="0" w:space="0" w:color="auto"/>
        <w:left w:val="none" w:sz="0" w:space="0" w:color="auto"/>
        <w:bottom w:val="none" w:sz="0" w:space="0" w:color="auto"/>
        <w:right w:val="none" w:sz="0" w:space="0" w:color="auto"/>
      </w:divBdr>
    </w:div>
    <w:div w:id="236288111">
      <w:bodyDiv w:val="1"/>
      <w:marLeft w:val="0"/>
      <w:marRight w:val="0"/>
      <w:marTop w:val="0"/>
      <w:marBottom w:val="0"/>
      <w:divBdr>
        <w:top w:val="none" w:sz="0" w:space="0" w:color="auto"/>
        <w:left w:val="none" w:sz="0" w:space="0" w:color="auto"/>
        <w:bottom w:val="none" w:sz="0" w:space="0" w:color="auto"/>
        <w:right w:val="none" w:sz="0" w:space="0" w:color="auto"/>
      </w:divBdr>
    </w:div>
    <w:div w:id="238754734">
      <w:bodyDiv w:val="1"/>
      <w:marLeft w:val="0"/>
      <w:marRight w:val="0"/>
      <w:marTop w:val="0"/>
      <w:marBottom w:val="0"/>
      <w:divBdr>
        <w:top w:val="none" w:sz="0" w:space="0" w:color="auto"/>
        <w:left w:val="none" w:sz="0" w:space="0" w:color="auto"/>
        <w:bottom w:val="none" w:sz="0" w:space="0" w:color="auto"/>
        <w:right w:val="none" w:sz="0" w:space="0" w:color="auto"/>
      </w:divBdr>
    </w:div>
    <w:div w:id="381252400">
      <w:bodyDiv w:val="1"/>
      <w:marLeft w:val="0"/>
      <w:marRight w:val="0"/>
      <w:marTop w:val="0"/>
      <w:marBottom w:val="0"/>
      <w:divBdr>
        <w:top w:val="none" w:sz="0" w:space="0" w:color="auto"/>
        <w:left w:val="none" w:sz="0" w:space="0" w:color="auto"/>
        <w:bottom w:val="none" w:sz="0" w:space="0" w:color="auto"/>
        <w:right w:val="none" w:sz="0" w:space="0" w:color="auto"/>
      </w:divBdr>
    </w:div>
    <w:div w:id="648287505">
      <w:bodyDiv w:val="1"/>
      <w:marLeft w:val="0"/>
      <w:marRight w:val="0"/>
      <w:marTop w:val="0"/>
      <w:marBottom w:val="0"/>
      <w:divBdr>
        <w:top w:val="none" w:sz="0" w:space="0" w:color="auto"/>
        <w:left w:val="none" w:sz="0" w:space="0" w:color="auto"/>
        <w:bottom w:val="none" w:sz="0" w:space="0" w:color="auto"/>
        <w:right w:val="none" w:sz="0" w:space="0" w:color="auto"/>
      </w:divBdr>
    </w:div>
    <w:div w:id="791284925">
      <w:bodyDiv w:val="1"/>
      <w:marLeft w:val="0"/>
      <w:marRight w:val="0"/>
      <w:marTop w:val="0"/>
      <w:marBottom w:val="0"/>
      <w:divBdr>
        <w:top w:val="none" w:sz="0" w:space="0" w:color="auto"/>
        <w:left w:val="none" w:sz="0" w:space="0" w:color="auto"/>
        <w:bottom w:val="none" w:sz="0" w:space="0" w:color="auto"/>
        <w:right w:val="none" w:sz="0" w:space="0" w:color="auto"/>
      </w:divBdr>
    </w:div>
    <w:div w:id="1176848848">
      <w:bodyDiv w:val="1"/>
      <w:marLeft w:val="0"/>
      <w:marRight w:val="0"/>
      <w:marTop w:val="0"/>
      <w:marBottom w:val="0"/>
      <w:divBdr>
        <w:top w:val="none" w:sz="0" w:space="0" w:color="auto"/>
        <w:left w:val="none" w:sz="0" w:space="0" w:color="auto"/>
        <w:bottom w:val="none" w:sz="0" w:space="0" w:color="auto"/>
        <w:right w:val="none" w:sz="0" w:space="0" w:color="auto"/>
      </w:divBdr>
    </w:div>
    <w:div w:id="1187251598">
      <w:bodyDiv w:val="1"/>
      <w:marLeft w:val="0"/>
      <w:marRight w:val="0"/>
      <w:marTop w:val="0"/>
      <w:marBottom w:val="0"/>
      <w:divBdr>
        <w:top w:val="none" w:sz="0" w:space="0" w:color="auto"/>
        <w:left w:val="none" w:sz="0" w:space="0" w:color="auto"/>
        <w:bottom w:val="none" w:sz="0" w:space="0" w:color="auto"/>
        <w:right w:val="none" w:sz="0" w:space="0" w:color="auto"/>
      </w:divBdr>
    </w:div>
    <w:div w:id="1244952779">
      <w:bodyDiv w:val="1"/>
      <w:marLeft w:val="0"/>
      <w:marRight w:val="0"/>
      <w:marTop w:val="0"/>
      <w:marBottom w:val="0"/>
      <w:divBdr>
        <w:top w:val="none" w:sz="0" w:space="0" w:color="auto"/>
        <w:left w:val="none" w:sz="0" w:space="0" w:color="auto"/>
        <w:bottom w:val="none" w:sz="0" w:space="0" w:color="auto"/>
        <w:right w:val="none" w:sz="0" w:space="0" w:color="auto"/>
      </w:divBdr>
    </w:div>
    <w:div w:id="1398170217">
      <w:bodyDiv w:val="1"/>
      <w:marLeft w:val="0"/>
      <w:marRight w:val="0"/>
      <w:marTop w:val="0"/>
      <w:marBottom w:val="0"/>
      <w:divBdr>
        <w:top w:val="none" w:sz="0" w:space="0" w:color="auto"/>
        <w:left w:val="none" w:sz="0" w:space="0" w:color="auto"/>
        <w:bottom w:val="none" w:sz="0" w:space="0" w:color="auto"/>
        <w:right w:val="none" w:sz="0" w:space="0" w:color="auto"/>
      </w:divBdr>
    </w:div>
    <w:div w:id="1491945686">
      <w:bodyDiv w:val="1"/>
      <w:marLeft w:val="0"/>
      <w:marRight w:val="0"/>
      <w:marTop w:val="0"/>
      <w:marBottom w:val="0"/>
      <w:divBdr>
        <w:top w:val="none" w:sz="0" w:space="0" w:color="auto"/>
        <w:left w:val="none" w:sz="0" w:space="0" w:color="auto"/>
        <w:bottom w:val="none" w:sz="0" w:space="0" w:color="auto"/>
        <w:right w:val="none" w:sz="0" w:space="0" w:color="auto"/>
      </w:divBdr>
    </w:div>
    <w:div w:id="1547795835">
      <w:bodyDiv w:val="1"/>
      <w:marLeft w:val="0"/>
      <w:marRight w:val="0"/>
      <w:marTop w:val="0"/>
      <w:marBottom w:val="0"/>
      <w:divBdr>
        <w:top w:val="none" w:sz="0" w:space="0" w:color="auto"/>
        <w:left w:val="none" w:sz="0" w:space="0" w:color="auto"/>
        <w:bottom w:val="none" w:sz="0" w:space="0" w:color="auto"/>
        <w:right w:val="none" w:sz="0" w:space="0" w:color="auto"/>
      </w:divBdr>
    </w:div>
    <w:div w:id="1648124270">
      <w:bodyDiv w:val="1"/>
      <w:marLeft w:val="0"/>
      <w:marRight w:val="0"/>
      <w:marTop w:val="0"/>
      <w:marBottom w:val="0"/>
      <w:divBdr>
        <w:top w:val="none" w:sz="0" w:space="0" w:color="auto"/>
        <w:left w:val="none" w:sz="0" w:space="0" w:color="auto"/>
        <w:bottom w:val="none" w:sz="0" w:space="0" w:color="auto"/>
        <w:right w:val="none" w:sz="0" w:space="0" w:color="auto"/>
      </w:divBdr>
    </w:div>
    <w:div w:id="1696155049">
      <w:bodyDiv w:val="1"/>
      <w:marLeft w:val="0"/>
      <w:marRight w:val="0"/>
      <w:marTop w:val="0"/>
      <w:marBottom w:val="0"/>
      <w:divBdr>
        <w:top w:val="none" w:sz="0" w:space="0" w:color="auto"/>
        <w:left w:val="none" w:sz="0" w:space="0" w:color="auto"/>
        <w:bottom w:val="none" w:sz="0" w:space="0" w:color="auto"/>
        <w:right w:val="none" w:sz="0" w:space="0" w:color="auto"/>
      </w:divBdr>
    </w:div>
    <w:div w:id="1721246070">
      <w:bodyDiv w:val="1"/>
      <w:marLeft w:val="0"/>
      <w:marRight w:val="0"/>
      <w:marTop w:val="0"/>
      <w:marBottom w:val="0"/>
      <w:divBdr>
        <w:top w:val="none" w:sz="0" w:space="0" w:color="auto"/>
        <w:left w:val="none" w:sz="0" w:space="0" w:color="auto"/>
        <w:bottom w:val="none" w:sz="0" w:space="0" w:color="auto"/>
        <w:right w:val="none" w:sz="0" w:space="0" w:color="auto"/>
      </w:divBdr>
    </w:div>
    <w:div w:id="1793594040">
      <w:bodyDiv w:val="1"/>
      <w:marLeft w:val="0"/>
      <w:marRight w:val="0"/>
      <w:marTop w:val="0"/>
      <w:marBottom w:val="0"/>
      <w:divBdr>
        <w:top w:val="none" w:sz="0" w:space="0" w:color="auto"/>
        <w:left w:val="none" w:sz="0" w:space="0" w:color="auto"/>
        <w:bottom w:val="none" w:sz="0" w:space="0" w:color="auto"/>
        <w:right w:val="none" w:sz="0" w:space="0" w:color="auto"/>
      </w:divBdr>
    </w:div>
    <w:div w:id="205090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DE971-E100-4421-9857-2ECA6BB3E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13634</Words>
  <Characters>77715</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Budgetary Review and Recommendation Report</vt:lpstr>
    </vt:vector>
  </TitlesOfParts>
  <Company/>
  <LinksUpToDate>false</LinksUpToDate>
  <CharactersWithSpaces>91167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Budgetary Review and Recommendation Report</dc:title>
  <dc:subject>Performance and financial oversight</dc:subject>
  <dc:creator>Renee Osborne-Mullins</dc:creator>
  <cp:keywords>None</cp:keywords>
  <cp:lastModifiedBy>User</cp:lastModifiedBy>
  <cp:revision>2</cp:revision>
  <cp:lastPrinted>2019-10-18T07:23:00Z</cp:lastPrinted>
  <dcterms:created xsi:type="dcterms:W3CDTF">2022-11-08T19:23:00Z</dcterms:created>
  <dcterms:modified xsi:type="dcterms:W3CDTF">2022-11-08T19:23:00Z</dcterms:modified>
</cp:coreProperties>
</file>