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E6" w:rsidRPr="00F83BFF" w:rsidRDefault="00F83BFF" w:rsidP="00F83BFF">
      <w:pPr>
        <w:rPr>
          <w:rFonts w:ascii="Arial" w:hAnsi="Arial" w:cs="Arial"/>
          <w:b/>
          <w:sz w:val="20"/>
        </w:rPr>
      </w:pPr>
      <w:r w:rsidRPr="00F83BFF">
        <w:rPr>
          <w:rFonts w:ascii="Arial" w:hAnsi="Arial" w:cs="Arial"/>
          <w:b/>
          <w:color w:val="000000"/>
          <w:sz w:val="20"/>
        </w:rPr>
        <w:t xml:space="preserve">Report of the Standing Committee on Finance on the 2022 Revised and Proposed Fiscal Framework, Dated </w:t>
      </w:r>
      <w:r w:rsidRPr="00F83BFF">
        <w:rPr>
          <w:rFonts w:ascii="Arial" w:hAnsi="Arial" w:cs="Arial"/>
          <w:b/>
          <w:sz w:val="20"/>
        </w:rPr>
        <w:t xml:space="preserve">08 November 2022 </w:t>
      </w:r>
    </w:p>
    <w:p w:rsidR="001F7646" w:rsidRPr="00F83BFF" w:rsidRDefault="001F7646" w:rsidP="00F83BFF">
      <w:pPr>
        <w:rPr>
          <w:rFonts w:ascii="Arial" w:hAnsi="Arial" w:cs="Arial"/>
          <w:b/>
          <w:sz w:val="20"/>
        </w:rPr>
      </w:pPr>
    </w:p>
    <w:p w:rsidR="00BA678E" w:rsidRPr="00F83BFF" w:rsidRDefault="001F7646" w:rsidP="00F83BFF">
      <w:pPr>
        <w:rPr>
          <w:rFonts w:ascii="Arial" w:hAnsi="Arial" w:cs="Arial"/>
          <w:bCs/>
          <w:sz w:val="20"/>
        </w:rPr>
      </w:pPr>
      <w:r w:rsidRPr="00F83BFF">
        <w:rPr>
          <w:rFonts w:ascii="Arial" w:hAnsi="Arial" w:cs="Arial"/>
          <w:bCs/>
          <w:sz w:val="20"/>
        </w:rPr>
        <w:t>The Standing Committee on Finance, having considered the revised and proposed fiscal framework referred to it, reports as follow:</w:t>
      </w:r>
    </w:p>
    <w:p w:rsidR="001F7646" w:rsidRPr="00F83BFF" w:rsidRDefault="001F7646" w:rsidP="00F83BFF">
      <w:pPr>
        <w:rPr>
          <w:rFonts w:ascii="Arial" w:hAnsi="Arial" w:cs="Arial"/>
          <w:bCs/>
          <w:color w:val="000000"/>
          <w:sz w:val="20"/>
        </w:rPr>
      </w:pPr>
      <w:r w:rsidRPr="00F83BFF">
        <w:rPr>
          <w:rFonts w:ascii="Arial" w:hAnsi="Arial" w:cs="Arial"/>
          <w:bCs/>
          <w:sz w:val="20"/>
        </w:rPr>
        <w:t xml:space="preserve"> </w:t>
      </w:r>
    </w:p>
    <w:p w:rsidR="004C48E6" w:rsidRPr="00F83BFF" w:rsidRDefault="008C305E" w:rsidP="00F83BFF">
      <w:pPr>
        <w:pStyle w:val="Heading2"/>
        <w:spacing w:before="0" w:line="240" w:lineRule="auto"/>
        <w:rPr>
          <w:rFonts w:ascii="Arial" w:hAnsi="Arial" w:cs="Arial"/>
          <w:sz w:val="20"/>
        </w:rPr>
      </w:pPr>
      <w:r w:rsidRPr="00F83BFF">
        <w:rPr>
          <w:rFonts w:ascii="Arial" w:hAnsi="Arial" w:cs="Arial"/>
          <w:sz w:val="20"/>
        </w:rPr>
        <w:t>INTRODUCTION</w:t>
      </w:r>
      <w:r w:rsidR="00BA678E" w:rsidRPr="00F83BFF">
        <w:rPr>
          <w:rFonts w:ascii="Arial" w:hAnsi="Arial" w:cs="Arial"/>
          <w:sz w:val="20"/>
        </w:rPr>
        <w:t xml:space="preserve"> AND BACKGROUND</w:t>
      </w:r>
      <w:r w:rsidR="004C48E6" w:rsidRPr="00F83BFF">
        <w:rPr>
          <w:rFonts w:ascii="Arial" w:hAnsi="Arial" w:cs="Arial"/>
          <w:sz w:val="20"/>
        </w:rPr>
        <w:t xml:space="preserve"> </w:t>
      </w:r>
    </w:p>
    <w:p w:rsidR="001F7646" w:rsidRPr="00F83BFF" w:rsidRDefault="004C48E6" w:rsidP="00F83BFF">
      <w:pPr>
        <w:pStyle w:val="Heading3"/>
        <w:spacing w:before="0" w:line="240" w:lineRule="auto"/>
        <w:rPr>
          <w:rFonts w:ascii="Arial" w:hAnsi="Arial" w:cs="Arial"/>
          <w:sz w:val="20"/>
          <w:u w:val="none"/>
        </w:rPr>
      </w:pPr>
      <w:r w:rsidRPr="00F83BFF">
        <w:rPr>
          <w:rFonts w:ascii="Arial" w:eastAsia="Calibri" w:hAnsi="Arial" w:cs="Arial"/>
          <w:sz w:val="20"/>
          <w:u w:val="none"/>
        </w:rPr>
        <w:t>The Minister of Finance,</w:t>
      </w:r>
      <w:r w:rsidR="007549BB" w:rsidRPr="00F83BFF">
        <w:rPr>
          <w:rFonts w:ascii="Arial" w:eastAsia="Calibri" w:hAnsi="Arial" w:cs="Arial"/>
          <w:sz w:val="20"/>
          <w:u w:val="none"/>
        </w:rPr>
        <w:t xml:space="preserve"> Mr Enoch Godongwana</w:t>
      </w:r>
      <w:r w:rsidR="001F7646" w:rsidRPr="00F83BFF">
        <w:rPr>
          <w:rFonts w:ascii="Arial" w:eastAsia="Calibri" w:hAnsi="Arial" w:cs="Arial"/>
          <w:sz w:val="20"/>
          <w:u w:val="none"/>
        </w:rPr>
        <w:t>,</w:t>
      </w:r>
      <w:r w:rsidRPr="00F83BFF">
        <w:rPr>
          <w:rFonts w:ascii="Arial" w:eastAsia="Calibri" w:hAnsi="Arial" w:cs="Arial"/>
          <w:sz w:val="20"/>
          <w:u w:val="none"/>
        </w:rPr>
        <w:t xml:space="preserve"> </w:t>
      </w:r>
      <w:r w:rsidR="003D20B8" w:rsidRPr="00F83BFF">
        <w:rPr>
          <w:rFonts w:ascii="Arial" w:hAnsi="Arial" w:cs="Arial"/>
          <w:sz w:val="20"/>
          <w:u w:val="none"/>
        </w:rPr>
        <w:t xml:space="preserve">tabled </w:t>
      </w:r>
      <w:r w:rsidR="00F17C6A" w:rsidRPr="00F83BFF">
        <w:rPr>
          <w:rFonts w:ascii="Arial" w:hAnsi="Arial" w:cs="Arial"/>
          <w:sz w:val="20"/>
          <w:u w:val="none"/>
        </w:rPr>
        <w:t>the 20</w:t>
      </w:r>
      <w:r w:rsidR="007549BB" w:rsidRPr="00F83BFF">
        <w:rPr>
          <w:rFonts w:ascii="Arial" w:hAnsi="Arial" w:cs="Arial"/>
          <w:sz w:val="20"/>
          <w:u w:val="none"/>
        </w:rPr>
        <w:t>22</w:t>
      </w:r>
      <w:r w:rsidRPr="00F83BFF">
        <w:rPr>
          <w:rFonts w:ascii="Arial" w:hAnsi="Arial" w:cs="Arial"/>
          <w:sz w:val="20"/>
          <w:u w:val="none"/>
        </w:rPr>
        <w:t xml:space="preserve"> </w:t>
      </w:r>
      <w:r w:rsidR="006C20ED" w:rsidRPr="00F83BFF">
        <w:rPr>
          <w:rFonts w:ascii="Arial" w:hAnsi="Arial" w:cs="Arial"/>
          <w:sz w:val="20"/>
          <w:u w:val="none"/>
        </w:rPr>
        <w:t>Medium</w:t>
      </w:r>
      <w:r w:rsidR="001F7646" w:rsidRPr="00F83BFF">
        <w:rPr>
          <w:rFonts w:ascii="Arial" w:hAnsi="Arial" w:cs="Arial"/>
          <w:sz w:val="20"/>
          <w:u w:val="none"/>
        </w:rPr>
        <w:t>-</w:t>
      </w:r>
      <w:r w:rsidR="006C20ED" w:rsidRPr="00F83BFF">
        <w:rPr>
          <w:rFonts w:ascii="Arial" w:hAnsi="Arial" w:cs="Arial"/>
          <w:sz w:val="20"/>
          <w:u w:val="none"/>
        </w:rPr>
        <w:t>Term Budget Policy Statement (MTBPS)</w:t>
      </w:r>
      <w:r w:rsidR="009D60DF" w:rsidRPr="00F83BFF">
        <w:rPr>
          <w:rFonts w:ascii="Arial" w:hAnsi="Arial" w:cs="Arial"/>
          <w:sz w:val="20"/>
          <w:u w:val="none"/>
        </w:rPr>
        <w:t xml:space="preserve"> </w:t>
      </w:r>
      <w:r w:rsidR="001F7646" w:rsidRPr="00F83BFF">
        <w:rPr>
          <w:rFonts w:ascii="Arial" w:hAnsi="Arial" w:cs="Arial"/>
          <w:sz w:val="20"/>
          <w:u w:val="none"/>
        </w:rPr>
        <w:t>in</w:t>
      </w:r>
      <w:r w:rsidR="003D20B8" w:rsidRPr="00F83BFF">
        <w:rPr>
          <w:rFonts w:ascii="Arial" w:hAnsi="Arial" w:cs="Arial"/>
          <w:sz w:val="20"/>
          <w:u w:val="none"/>
        </w:rPr>
        <w:t xml:space="preserve"> Parliament on </w:t>
      </w:r>
      <w:r w:rsidR="00493C4C" w:rsidRPr="00F83BFF">
        <w:rPr>
          <w:rFonts w:ascii="Arial" w:hAnsi="Arial" w:cs="Arial"/>
          <w:sz w:val="20"/>
          <w:u w:val="none"/>
        </w:rPr>
        <w:t>26</w:t>
      </w:r>
      <w:r w:rsidR="00493C4C" w:rsidRPr="00F83BFF">
        <w:rPr>
          <w:rFonts w:ascii="Arial" w:hAnsi="Arial" w:cs="Arial"/>
          <w:sz w:val="20"/>
          <w:u w:val="none"/>
          <w:vertAlign w:val="superscript"/>
        </w:rPr>
        <w:t>th</w:t>
      </w:r>
      <w:r w:rsidR="00493C4C" w:rsidRPr="00F83BFF">
        <w:rPr>
          <w:rFonts w:ascii="Arial" w:hAnsi="Arial" w:cs="Arial"/>
          <w:sz w:val="20"/>
          <w:u w:val="none"/>
        </w:rPr>
        <w:t xml:space="preserve"> October</w:t>
      </w:r>
      <w:r w:rsidR="00F17C6A" w:rsidRPr="00F83BFF">
        <w:rPr>
          <w:rFonts w:ascii="Arial" w:hAnsi="Arial" w:cs="Arial"/>
          <w:sz w:val="20"/>
          <w:u w:val="none"/>
        </w:rPr>
        <w:t xml:space="preserve"> </w:t>
      </w:r>
      <w:r w:rsidR="007549BB" w:rsidRPr="00F83BFF">
        <w:rPr>
          <w:rFonts w:ascii="Arial" w:hAnsi="Arial" w:cs="Arial"/>
          <w:sz w:val="20"/>
          <w:u w:val="none"/>
        </w:rPr>
        <w:t>2022</w:t>
      </w:r>
      <w:r w:rsidR="004F572C" w:rsidRPr="00F83BFF">
        <w:rPr>
          <w:rFonts w:ascii="Arial" w:hAnsi="Arial" w:cs="Arial"/>
          <w:sz w:val="20"/>
          <w:u w:val="none"/>
        </w:rPr>
        <w:t xml:space="preserve"> </w:t>
      </w:r>
      <w:r w:rsidR="002E34F8" w:rsidRPr="00F83BFF">
        <w:rPr>
          <w:rFonts w:ascii="Arial" w:hAnsi="Arial" w:cs="Arial"/>
          <w:sz w:val="20"/>
          <w:u w:val="none"/>
        </w:rPr>
        <w:t>in terms of</w:t>
      </w:r>
      <w:r w:rsidR="00A1495D" w:rsidRPr="00F83BFF">
        <w:rPr>
          <w:rFonts w:ascii="Arial" w:hAnsi="Arial" w:cs="Arial"/>
          <w:sz w:val="20"/>
          <w:u w:val="none"/>
        </w:rPr>
        <w:t xml:space="preserve"> S</w:t>
      </w:r>
      <w:r w:rsidR="00AD559D" w:rsidRPr="00F83BFF">
        <w:rPr>
          <w:rFonts w:ascii="Arial" w:hAnsi="Arial" w:cs="Arial"/>
          <w:sz w:val="20"/>
          <w:u w:val="none"/>
        </w:rPr>
        <w:t>ection 27 of the Public Finance Management Act</w:t>
      </w:r>
      <w:r w:rsidR="00493C4C" w:rsidRPr="00F83BFF">
        <w:rPr>
          <w:rFonts w:ascii="Arial" w:hAnsi="Arial" w:cs="Arial"/>
          <w:sz w:val="20"/>
          <w:u w:val="none"/>
        </w:rPr>
        <w:t xml:space="preserve"> (PFMA), Act No. 1 of 1999</w:t>
      </w:r>
      <w:r w:rsidR="00A1495D" w:rsidRPr="00F83BFF">
        <w:rPr>
          <w:rFonts w:ascii="Arial" w:hAnsi="Arial" w:cs="Arial"/>
          <w:sz w:val="20"/>
          <w:u w:val="none"/>
        </w:rPr>
        <w:t xml:space="preserve"> and S</w:t>
      </w:r>
      <w:r w:rsidR="00AD559D" w:rsidRPr="00F83BFF">
        <w:rPr>
          <w:rFonts w:ascii="Arial" w:hAnsi="Arial" w:cs="Arial"/>
          <w:sz w:val="20"/>
          <w:u w:val="none"/>
        </w:rPr>
        <w:t>ection 7 (1) of the Money Bills Amendment Procedure and Related Matters Act</w:t>
      </w:r>
      <w:r w:rsidR="006C20ED" w:rsidRPr="00F83BFF">
        <w:rPr>
          <w:rFonts w:ascii="Arial" w:hAnsi="Arial" w:cs="Arial"/>
          <w:sz w:val="20"/>
          <w:u w:val="none"/>
        </w:rPr>
        <w:t xml:space="preserve"> (Money Bills Act)</w:t>
      </w:r>
      <w:r w:rsidR="00AD559D" w:rsidRPr="00F83BFF">
        <w:rPr>
          <w:rFonts w:ascii="Arial" w:hAnsi="Arial" w:cs="Arial"/>
          <w:sz w:val="20"/>
          <w:u w:val="none"/>
        </w:rPr>
        <w:t>, Act No. 9 of 2.</w:t>
      </w:r>
    </w:p>
    <w:p w:rsidR="001F7646" w:rsidRPr="00F83BFF" w:rsidRDefault="006C20ED" w:rsidP="00F83BFF">
      <w:pPr>
        <w:pStyle w:val="Heading3"/>
        <w:spacing w:before="0" w:line="240" w:lineRule="auto"/>
        <w:rPr>
          <w:rFonts w:ascii="Arial" w:hAnsi="Arial" w:cs="Arial"/>
          <w:sz w:val="20"/>
          <w:u w:val="none"/>
        </w:rPr>
      </w:pPr>
      <w:r w:rsidRPr="00F83BFF">
        <w:rPr>
          <w:rFonts w:ascii="Arial" w:hAnsi="Arial" w:cs="Arial"/>
          <w:sz w:val="20"/>
          <w:u w:val="none"/>
        </w:rPr>
        <w:t xml:space="preserve">The Minister, </w:t>
      </w:r>
      <w:r w:rsidR="00AD559D" w:rsidRPr="00F83BFF">
        <w:rPr>
          <w:rFonts w:ascii="Arial" w:hAnsi="Arial" w:cs="Arial"/>
          <w:sz w:val="20"/>
          <w:u w:val="none"/>
        </w:rPr>
        <w:t xml:space="preserve">the </w:t>
      </w:r>
      <w:r w:rsidRPr="00F83BFF">
        <w:rPr>
          <w:rFonts w:ascii="Arial" w:hAnsi="Arial" w:cs="Arial"/>
          <w:sz w:val="20"/>
          <w:u w:val="none"/>
        </w:rPr>
        <w:t xml:space="preserve">Acting </w:t>
      </w:r>
      <w:r w:rsidR="00AD559D" w:rsidRPr="00F83BFF">
        <w:rPr>
          <w:rFonts w:ascii="Arial" w:hAnsi="Arial" w:cs="Arial"/>
          <w:sz w:val="20"/>
          <w:u w:val="none"/>
        </w:rPr>
        <w:t>Director-General</w:t>
      </w:r>
      <w:r w:rsidR="001F7646" w:rsidRPr="00F83BFF">
        <w:rPr>
          <w:rFonts w:ascii="Arial" w:hAnsi="Arial" w:cs="Arial"/>
          <w:sz w:val="20"/>
          <w:u w:val="none"/>
        </w:rPr>
        <w:t>, Mr Ismail Momoniat</w:t>
      </w:r>
      <w:r w:rsidR="00812B99" w:rsidRPr="00F83BFF">
        <w:rPr>
          <w:rFonts w:ascii="Arial" w:hAnsi="Arial" w:cs="Arial"/>
          <w:sz w:val="20"/>
          <w:u w:val="none"/>
        </w:rPr>
        <w:t xml:space="preserve">, </w:t>
      </w:r>
      <w:r w:rsidR="00BF4FA8" w:rsidRPr="00F83BFF">
        <w:rPr>
          <w:rFonts w:ascii="Arial" w:hAnsi="Arial" w:cs="Arial"/>
          <w:sz w:val="20"/>
          <w:u w:val="none"/>
        </w:rPr>
        <w:t xml:space="preserve">and </w:t>
      </w:r>
      <w:r w:rsidR="001F7646" w:rsidRPr="00F83BFF">
        <w:rPr>
          <w:rFonts w:ascii="Arial" w:hAnsi="Arial" w:cs="Arial"/>
          <w:sz w:val="20"/>
          <w:u w:val="none"/>
        </w:rPr>
        <w:t>s</w:t>
      </w:r>
      <w:r w:rsidRPr="00F83BFF">
        <w:rPr>
          <w:rFonts w:ascii="Arial" w:hAnsi="Arial" w:cs="Arial"/>
          <w:sz w:val="20"/>
          <w:u w:val="none"/>
        </w:rPr>
        <w:t xml:space="preserve">enior </w:t>
      </w:r>
      <w:r w:rsidR="001F7646" w:rsidRPr="00F83BFF">
        <w:rPr>
          <w:rFonts w:ascii="Arial" w:hAnsi="Arial" w:cs="Arial"/>
          <w:sz w:val="20"/>
          <w:u w:val="none"/>
        </w:rPr>
        <w:t>o</w:t>
      </w:r>
      <w:r w:rsidR="00AD559D" w:rsidRPr="00F83BFF">
        <w:rPr>
          <w:rFonts w:ascii="Arial" w:hAnsi="Arial" w:cs="Arial"/>
          <w:sz w:val="20"/>
          <w:u w:val="none"/>
        </w:rPr>
        <w:t>fficials from the National Treas</w:t>
      </w:r>
      <w:r w:rsidR="00205E77" w:rsidRPr="00F83BFF">
        <w:rPr>
          <w:rFonts w:ascii="Arial" w:hAnsi="Arial" w:cs="Arial"/>
          <w:sz w:val="20"/>
          <w:u w:val="none"/>
        </w:rPr>
        <w:t>ury</w:t>
      </w:r>
      <w:r w:rsidR="005B157E" w:rsidRPr="00F83BFF">
        <w:rPr>
          <w:rFonts w:ascii="Arial" w:hAnsi="Arial" w:cs="Arial"/>
          <w:sz w:val="20"/>
          <w:u w:val="none"/>
        </w:rPr>
        <w:t xml:space="preserve"> (</w:t>
      </w:r>
      <w:r w:rsidR="001F7646" w:rsidRPr="00F83BFF">
        <w:rPr>
          <w:rFonts w:ascii="Arial" w:hAnsi="Arial" w:cs="Arial"/>
          <w:sz w:val="20"/>
          <w:u w:val="none"/>
        </w:rPr>
        <w:t>NT) and the South African Revenue Services (SARS)</w:t>
      </w:r>
      <w:r w:rsidR="00205E77" w:rsidRPr="00F83BFF">
        <w:rPr>
          <w:rFonts w:ascii="Arial" w:hAnsi="Arial" w:cs="Arial"/>
          <w:sz w:val="20"/>
          <w:u w:val="none"/>
        </w:rPr>
        <w:t xml:space="preserve"> </w:t>
      </w:r>
      <w:r w:rsidR="00AD559D" w:rsidRPr="00F83BFF">
        <w:rPr>
          <w:rFonts w:ascii="Arial" w:hAnsi="Arial" w:cs="Arial"/>
          <w:sz w:val="20"/>
          <w:u w:val="none"/>
        </w:rPr>
        <w:t>briefed</w:t>
      </w:r>
      <w:r w:rsidR="00493C4C" w:rsidRPr="00F83BFF">
        <w:rPr>
          <w:rFonts w:ascii="Arial" w:hAnsi="Arial" w:cs="Arial"/>
          <w:sz w:val="20"/>
          <w:u w:val="none"/>
        </w:rPr>
        <w:t xml:space="preserve"> </w:t>
      </w:r>
      <w:r w:rsidR="001F7646" w:rsidRPr="00F83BFF">
        <w:rPr>
          <w:rFonts w:ascii="Arial" w:hAnsi="Arial" w:cs="Arial"/>
          <w:sz w:val="20"/>
          <w:u w:val="none"/>
        </w:rPr>
        <w:t>a joint sitting of the c</w:t>
      </w:r>
      <w:r w:rsidR="00493C4C" w:rsidRPr="00F83BFF">
        <w:rPr>
          <w:rFonts w:ascii="Arial" w:hAnsi="Arial" w:cs="Arial"/>
          <w:sz w:val="20"/>
          <w:u w:val="none"/>
        </w:rPr>
        <w:t xml:space="preserve">ommittees on </w:t>
      </w:r>
      <w:r w:rsidR="001F7646" w:rsidRPr="00F83BFF">
        <w:rPr>
          <w:rFonts w:ascii="Arial" w:hAnsi="Arial" w:cs="Arial"/>
          <w:sz w:val="20"/>
          <w:u w:val="none"/>
        </w:rPr>
        <w:t>f</w:t>
      </w:r>
      <w:r w:rsidR="00493C4C" w:rsidRPr="00F83BFF">
        <w:rPr>
          <w:rFonts w:ascii="Arial" w:hAnsi="Arial" w:cs="Arial"/>
          <w:sz w:val="20"/>
          <w:u w:val="none"/>
        </w:rPr>
        <w:t xml:space="preserve">inance </w:t>
      </w:r>
      <w:r w:rsidR="001F7646" w:rsidRPr="00F83BFF">
        <w:rPr>
          <w:rFonts w:ascii="Arial" w:hAnsi="Arial" w:cs="Arial"/>
          <w:sz w:val="20"/>
          <w:u w:val="none"/>
        </w:rPr>
        <w:t xml:space="preserve">and appropriation </w:t>
      </w:r>
      <w:r w:rsidR="00493C4C" w:rsidRPr="00F83BFF">
        <w:rPr>
          <w:rFonts w:ascii="Arial" w:hAnsi="Arial" w:cs="Arial"/>
          <w:sz w:val="20"/>
          <w:u w:val="none"/>
        </w:rPr>
        <w:t>on 27</w:t>
      </w:r>
      <w:r w:rsidR="00FE7EED" w:rsidRPr="00F83BFF">
        <w:rPr>
          <w:rFonts w:ascii="Arial" w:hAnsi="Arial" w:cs="Arial"/>
          <w:sz w:val="20"/>
          <w:u w:val="none"/>
          <w:vertAlign w:val="superscript"/>
        </w:rPr>
        <w:t>th</w:t>
      </w:r>
      <w:r w:rsidR="00C26BB7" w:rsidRPr="00F83BFF">
        <w:rPr>
          <w:rFonts w:ascii="Arial" w:hAnsi="Arial" w:cs="Arial"/>
          <w:sz w:val="20"/>
          <w:u w:val="none"/>
        </w:rPr>
        <w:t xml:space="preserve"> October</w:t>
      </w:r>
      <w:r w:rsidR="00E90474" w:rsidRPr="00F83BFF">
        <w:rPr>
          <w:rFonts w:ascii="Arial" w:hAnsi="Arial" w:cs="Arial"/>
          <w:sz w:val="20"/>
          <w:u w:val="none"/>
        </w:rPr>
        <w:t xml:space="preserve"> 2022</w:t>
      </w:r>
      <w:r w:rsidR="0025774E" w:rsidRPr="00F83BFF">
        <w:rPr>
          <w:rFonts w:ascii="Arial" w:hAnsi="Arial" w:cs="Arial"/>
          <w:sz w:val="20"/>
          <w:u w:val="none"/>
        </w:rPr>
        <w:t>. The Committees received</w:t>
      </w:r>
      <w:r w:rsidR="00AD559D" w:rsidRPr="00F83BFF">
        <w:rPr>
          <w:rFonts w:ascii="Arial" w:hAnsi="Arial" w:cs="Arial"/>
          <w:sz w:val="20"/>
          <w:u w:val="none"/>
        </w:rPr>
        <w:t xml:space="preserve"> post-</w:t>
      </w:r>
      <w:r w:rsidR="00AA378D" w:rsidRPr="00F83BFF">
        <w:rPr>
          <w:rFonts w:ascii="Arial" w:hAnsi="Arial" w:cs="Arial"/>
          <w:sz w:val="20"/>
          <w:u w:val="none"/>
        </w:rPr>
        <w:t>Budget</w:t>
      </w:r>
      <w:r w:rsidR="00AD559D" w:rsidRPr="00F83BFF">
        <w:rPr>
          <w:rFonts w:ascii="Arial" w:hAnsi="Arial" w:cs="Arial"/>
          <w:sz w:val="20"/>
          <w:u w:val="none"/>
        </w:rPr>
        <w:t xml:space="preserve"> </w:t>
      </w:r>
      <w:r w:rsidR="0019086B" w:rsidRPr="00F83BFF">
        <w:rPr>
          <w:rFonts w:ascii="Arial" w:hAnsi="Arial" w:cs="Arial"/>
          <w:sz w:val="20"/>
          <w:u w:val="none"/>
        </w:rPr>
        <w:t xml:space="preserve">tabling </w:t>
      </w:r>
      <w:r w:rsidR="00AD559D" w:rsidRPr="00F83BFF">
        <w:rPr>
          <w:rFonts w:ascii="Arial" w:hAnsi="Arial" w:cs="Arial"/>
          <w:sz w:val="20"/>
          <w:u w:val="none"/>
        </w:rPr>
        <w:t xml:space="preserve">input from the Parliamentary </w:t>
      </w:r>
      <w:r w:rsidR="00AA378D" w:rsidRPr="00F83BFF">
        <w:rPr>
          <w:rFonts w:ascii="Arial" w:hAnsi="Arial" w:cs="Arial"/>
          <w:sz w:val="20"/>
          <w:u w:val="none"/>
        </w:rPr>
        <w:t>Budget</w:t>
      </w:r>
      <w:r w:rsidR="00AD559D" w:rsidRPr="00F83BFF">
        <w:rPr>
          <w:rFonts w:ascii="Arial" w:hAnsi="Arial" w:cs="Arial"/>
          <w:sz w:val="20"/>
          <w:u w:val="none"/>
        </w:rPr>
        <w:t xml:space="preserve"> Office (PBO) </w:t>
      </w:r>
      <w:r w:rsidR="00205E77" w:rsidRPr="00F83BFF">
        <w:rPr>
          <w:rFonts w:ascii="Arial" w:hAnsi="Arial" w:cs="Arial"/>
          <w:sz w:val="20"/>
          <w:u w:val="none"/>
        </w:rPr>
        <w:t xml:space="preserve">and the Financial and Fiscal Commission (FFC) </w:t>
      </w:r>
      <w:r w:rsidR="00493C4C" w:rsidRPr="00F83BFF">
        <w:rPr>
          <w:rFonts w:ascii="Arial" w:hAnsi="Arial" w:cs="Arial"/>
          <w:sz w:val="20"/>
          <w:u w:val="none"/>
        </w:rPr>
        <w:t>on 01</w:t>
      </w:r>
      <w:r w:rsidR="00C26BB7" w:rsidRPr="00F83BFF">
        <w:rPr>
          <w:rFonts w:ascii="Arial" w:hAnsi="Arial" w:cs="Arial"/>
          <w:sz w:val="20"/>
          <w:u w:val="none"/>
        </w:rPr>
        <w:t xml:space="preserve"> </w:t>
      </w:r>
      <w:r w:rsidR="00493C4C" w:rsidRPr="00F83BFF">
        <w:rPr>
          <w:rFonts w:ascii="Arial" w:hAnsi="Arial" w:cs="Arial"/>
          <w:sz w:val="20"/>
          <w:u w:val="none"/>
        </w:rPr>
        <w:t>Novem</w:t>
      </w:r>
      <w:r w:rsidR="00C26BB7" w:rsidRPr="00F83BFF">
        <w:rPr>
          <w:rFonts w:ascii="Arial" w:hAnsi="Arial" w:cs="Arial"/>
          <w:sz w:val="20"/>
          <w:u w:val="none"/>
        </w:rPr>
        <w:t>ber</w:t>
      </w:r>
      <w:r w:rsidR="00E90474" w:rsidRPr="00F83BFF">
        <w:rPr>
          <w:rFonts w:ascii="Arial" w:hAnsi="Arial" w:cs="Arial"/>
          <w:sz w:val="20"/>
          <w:u w:val="none"/>
        </w:rPr>
        <w:t xml:space="preserve"> 2022</w:t>
      </w:r>
      <w:r w:rsidR="00360ECC" w:rsidRPr="00F83BFF">
        <w:rPr>
          <w:rFonts w:ascii="Arial" w:hAnsi="Arial" w:cs="Arial"/>
          <w:sz w:val="20"/>
          <w:u w:val="none"/>
        </w:rPr>
        <w:t>.</w:t>
      </w:r>
    </w:p>
    <w:p w:rsidR="008A67E5" w:rsidRPr="00F83BFF" w:rsidRDefault="00AC5E8D" w:rsidP="00F83BFF">
      <w:pPr>
        <w:pStyle w:val="Heading3"/>
        <w:spacing w:before="0" w:line="240" w:lineRule="auto"/>
        <w:rPr>
          <w:rFonts w:ascii="Arial" w:hAnsi="Arial" w:cs="Arial"/>
          <w:sz w:val="20"/>
          <w:u w:val="none"/>
        </w:rPr>
      </w:pPr>
      <w:r w:rsidRPr="00F83BFF">
        <w:rPr>
          <w:rFonts w:ascii="Arial" w:hAnsi="Arial" w:cs="Arial"/>
          <w:sz w:val="20"/>
          <w:u w:val="none"/>
        </w:rPr>
        <w:t>The</w:t>
      </w:r>
      <w:r w:rsidR="006E5F3B" w:rsidRPr="00F83BFF">
        <w:rPr>
          <w:rFonts w:ascii="Arial" w:hAnsi="Arial" w:cs="Arial"/>
          <w:sz w:val="20"/>
          <w:u w:val="none"/>
        </w:rPr>
        <w:t xml:space="preserve"> Committees held p</w:t>
      </w:r>
      <w:r w:rsidR="006C20ED" w:rsidRPr="00F83BFF">
        <w:rPr>
          <w:rFonts w:ascii="Arial" w:hAnsi="Arial" w:cs="Arial"/>
          <w:sz w:val="20"/>
          <w:u w:val="none"/>
        </w:rPr>
        <w:t>ublic hearings on</w:t>
      </w:r>
      <w:r w:rsidR="00493C4C" w:rsidRPr="00F83BFF">
        <w:rPr>
          <w:rFonts w:ascii="Arial" w:hAnsi="Arial" w:cs="Arial"/>
          <w:sz w:val="20"/>
          <w:u w:val="none"/>
        </w:rPr>
        <w:t xml:space="preserve"> </w:t>
      </w:r>
      <w:r w:rsidR="001F7646" w:rsidRPr="00F83BFF">
        <w:rPr>
          <w:rFonts w:ascii="Arial" w:hAnsi="Arial" w:cs="Arial"/>
          <w:sz w:val="20"/>
          <w:u w:val="none"/>
        </w:rPr>
        <w:t xml:space="preserve">2 </w:t>
      </w:r>
      <w:r w:rsidR="00493C4C" w:rsidRPr="00F83BFF">
        <w:rPr>
          <w:rFonts w:ascii="Arial" w:hAnsi="Arial" w:cs="Arial"/>
          <w:sz w:val="20"/>
          <w:u w:val="none"/>
        </w:rPr>
        <w:t>November</w:t>
      </w:r>
      <w:r w:rsidR="00E90474" w:rsidRPr="00F83BFF">
        <w:rPr>
          <w:rFonts w:ascii="Arial" w:hAnsi="Arial" w:cs="Arial"/>
          <w:sz w:val="20"/>
          <w:u w:val="none"/>
        </w:rPr>
        <w:t xml:space="preserve"> 2022</w:t>
      </w:r>
      <w:r w:rsidR="006E5F3B" w:rsidRPr="00F83BFF">
        <w:rPr>
          <w:rFonts w:ascii="Arial" w:hAnsi="Arial" w:cs="Arial"/>
          <w:sz w:val="20"/>
          <w:u w:val="none"/>
        </w:rPr>
        <w:t xml:space="preserve"> and </w:t>
      </w:r>
      <w:r w:rsidR="00AD559D" w:rsidRPr="00F83BFF">
        <w:rPr>
          <w:rFonts w:ascii="Arial" w:hAnsi="Arial" w:cs="Arial"/>
          <w:sz w:val="20"/>
          <w:u w:val="none"/>
        </w:rPr>
        <w:t xml:space="preserve">received </w:t>
      </w:r>
      <w:r w:rsidR="00283151" w:rsidRPr="00F83BFF">
        <w:rPr>
          <w:rFonts w:ascii="Arial" w:hAnsi="Arial" w:cs="Arial"/>
          <w:sz w:val="20"/>
          <w:u w:val="none"/>
        </w:rPr>
        <w:t xml:space="preserve">a total of </w:t>
      </w:r>
      <w:r w:rsidR="004665DB" w:rsidRPr="00F83BFF">
        <w:rPr>
          <w:rFonts w:ascii="Arial" w:hAnsi="Arial" w:cs="Arial"/>
          <w:b/>
          <w:sz w:val="20"/>
          <w:u w:val="none"/>
        </w:rPr>
        <w:t>6</w:t>
      </w:r>
      <w:r w:rsidR="00493C4C" w:rsidRPr="00F83BFF">
        <w:rPr>
          <w:rFonts w:ascii="Arial" w:hAnsi="Arial" w:cs="Arial"/>
          <w:sz w:val="20"/>
          <w:u w:val="none"/>
        </w:rPr>
        <w:t xml:space="preserve"> </w:t>
      </w:r>
      <w:r w:rsidR="00AD559D" w:rsidRPr="00F83BFF">
        <w:rPr>
          <w:rFonts w:ascii="Arial" w:hAnsi="Arial" w:cs="Arial"/>
          <w:sz w:val="20"/>
          <w:u w:val="none"/>
        </w:rPr>
        <w:t>written submissions from the Congress of South</w:t>
      </w:r>
      <w:r w:rsidR="00464784" w:rsidRPr="00F83BFF">
        <w:rPr>
          <w:rFonts w:ascii="Arial" w:hAnsi="Arial" w:cs="Arial"/>
          <w:sz w:val="20"/>
          <w:u w:val="none"/>
        </w:rPr>
        <w:t xml:space="preserve"> African Trade Unions (COSATU)</w:t>
      </w:r>
      <w:r w:rsidR="00AD559D" w:rsidRPr="00F83BFF">
        <w:rPr>
          <w:rFonts w:ascii="Arial" w:hAnsi="Arial" w:cs="Arial"/>
          <w:sz w:val="20"/>
          <w:u w:val="none"/>
        </w:rPr>
        <w:t xml:space="preserve">, </w:t>
      </w:r>
      <w:r w:rsidR="00A12DF0" w:rsidRPr="00F83BFF">
        <w:rPr>
          <w:rFonts w:ascii="Arial" w:hAnsi="Arial" w:cs="Arial"/>
          <w:sz w:val="20"/>
          <w:u w:val="none"/>
        </w:rPr>
        <w:t xml:space="preserve">Institute for Economic Justice (IEJ), Public Economy Project (PEP), </w:t>
      </w:r>
      <w:r w:rsidR="00AD559D" w:rsidRPr="00F83BFF">
        <w:rPr>
          <w:rFonts w:ascii="Arial" w:hAnsi="Arial" w:cs="Arial"/>
          <w:sz w:val="20"/>
          <w:u w:val="none"/>
        </w:rPr>
        <w:t>South African</w:t>
      </w:r>
      <w:r w:rsidR="008A67E5" w:rsidRPr="00F83BFF">
        <w:rPr>
          <w:rFonts w:ascii="Arial" w:hAnsi="Arial" w:cs="Arial"/>
          <w:sz w:val="20"/>
          <w:u w:val="none"/>
        </w:rPr>
        <w:t xml:space="preserve"> </w:t>
      </w:r>
      <w:r w:rsidR="00AD559D" w:rsidRPr="00F83BFF">
        <w:rPr>
          <w:rFonts w:ascii="Arial" w:hAnsi="Arial" w:cs="Arial"/>
          <w:sz w:val="20"/>
          <w:u w:val="none"/>
        </w:rPr>
        <w:t xml:space="preserve">Institute of Chartered Accountants (SAICA), </w:t>
      </w:r>
      <w:r w:rsidR="004665DB" w:rsidRPr="00F83BFF">
        <w:rPr>
          <w:rFonts w:ascii="Arial" w:hAnsi="Arial" w:cs="Arial"/>
          <w:sz w:val="20"/>
          <w:u w:val="none"/>
        </w:rPr>
        <w:t xml:space="preserve">Budget Justice Coalition (BJC) </w:t>
      </w:r>
      <w:r w:rsidR="00A12DF0" w:rsidRPr="00F83BFF">
        <w:rPr>
          <w:rFonts w:ascii="Arial" w:hAnsi="Arial" w:cs="Arial"/>
          <w:sz w:val="20"/>
          <w:u w:val="none"/>
        </w:rPr>
        <w:t>and</w:t>
      </w:r>
      <w:r w:rsidR="00464784" w:rsidRPr="00F83BFF">
        <w:rPr>
          <w:rFonts w:ascii="Arial" w:hAnsi="Arial" w:cs="Arial"/>
          <w:sz w:val="20"/>
          <w:u w:val="none"/>
        </w:rPr>
        <w:t xml:space="preserve"> </w:t>
      </w:r>
      <w:r w:rsidR="00404A0A" w:rsidRPr="00F83BFF">
        <w:rPr>
          <w:rFonts w:ascii="Arial" w:eastAsia="Calibri" w:hAnsi="Arial" w:cs="Arial"/>
          <w:sz w:val="20"/>
          <w:u w:val="none"/>
        </w:rPr>
        <w:t>Healthy Living Alliance (</w:t>
      </w:r>
      <w:r w:rsidR="004A1688" w:rsidRPr="00F83BFF">
        <w:rPr>
          <w:rFonts w:ascii="Arial" w:eastAsia="Calibri" w:hAnsi="Arial" w:cs="Arial"/>
          <w:sz w:val="20"/>
          <w:u w:val="none"/>
        </w:rPr>
        <w:t>HEALA</w:t>
      </w:r>
      <w:r w:rsidR="00404A0A" w:rsidRPr="00F83BFF">
        <w:rPr>
          <w:rFonts w:ascii="Arial" w:eastAsia="Calibri" w:hAnsi="Arial" w:cs="Arial"/>
          <w:sz w:val="20"/>
          <w:u w:val="none"/>
        </w:rPr>
        <w:t>)</w:t>
      </w:r>
      <w:r w:rsidR="00A12DF0" w:rsidRPr="00F83BFF">
        <w:rPr>
          <w:rFonts w:ascii="Arial" w:eastAsia="Calibri" w:hAnsi="Arial" w:cs="Arial"/>
          <w:sz w:val="20"/>
          <w:u w:val="none"/>
        </w:rPr>
        <w:t xml:space="preserve">. </w:t>
      </w:r>
    </w:p>
    <w:p w:rsidR="001709D4" w:rsidRPr="00F83BFF" w:rsidRDefault="005B157E" w:rsidP="00F83BFF">
      <w:pPr>
        <w:pStyle w:val="Heading3"/>
        <w:spacing w:before="0" w:line="240" w:lineRule="auto"/>
        <w:rPr>
          <w:rFonts w:ascii="Arial" w:hAnsi="Arial" w:cs="Arial"/>
          <w:sz w:val="20"/>
          <w:u w:val="none"/>
        </w:rPr>
      </w:pPr>
      <w:r w:rsidRPr="00F83BFF">
        <w:rPr>
          <w:rFonts w:ascii="Arial" w:hAnsi="Arial" w:cs="Arial"/>
          <w:sz w:val="20"/>
          <w:u w:val="none"/>
        </w:rPr>
        <w:t xml:space="preserve">NT </w:t>
      </w:r>
      <w:r w:rsidR="00A1495D" w:rsidRPr="00F83BFF">
        <w:rPr>
          <w:rFonts w:ascii="Arial" w:hAnsi="Arial" w:cs="Arial"/>
          <w:sz w:val="20"/>
          <w:u w:val="none"/>
        </w:rPr>
        <w:t xml:space="preserve">and </w:t>
      </w:r>
      <w:r w:rsidR="0025774E" w:rsidRPr="00F83BFF">
        <w:rPr>
          <w:rFonts w:ascii="Arial" w:hAnsi="Arial" w:cs="Arial"/>
          <w:sz w:val="20"/>
          <w:u w:val="none"/>
        </w:rPr>
        <w:t>South African Revenue Service (</w:t>
      </w:r>
      <w:r w:rsidR="00A1495D" w:rsidRPr="00F83BFF">
        <w:rPr>
          <w:rFonts w:ascii="Arial" w:hAnsi="Arial" w:cs="Arial"/>
          <w:sz w:val="20"/>
          <w:u w:val="none"/>
        </w:rPr>
        <w:t>SARS</w:t>
      </w:r>
      <w:r w:rsidR="0025774E" w:rsidRPr="00F83BFF">
        <w:rPr>
          <w:rFonts w:ascii="Arial" w:hAnsi="Arial" w:cs="Arial"/>
          <w:sz w:val="20"/>
          <w:u w:val="none"/>
        </w:rPr>
        <w:t>)</w:t>
      </w:r>
      <w:r w:rsidR="00A1495D" w:rsidRPr="00F83BFF">
        <w:rPr>
          <w:rFonts w:ascii="Arial" w:hAnsi="Arial" w:cs="Arial"/>
          <w:sz w:val="20"/>
          <w:u w:val="none"/>
        </w:rPr>
        <w:t xml:space="preserve"> </w:t>
      </w:r>
      <w:r w:rsidR="00984F4A" w:rsidRPr="00F83BFF">
        <w:rPr>
          <w:rFonts w:ascii="Arial" w:hAnsi="Arial" w:cs="Arial"/>
          <w:sz w:val="20"/>
          <w:u w:val="none"/>
        </w:rPr>
        <w:t>responded to the</w:t>
      </w:r>
      <w:r w:rsidR="002306F7" w:rsidRPr="00F83BFF">
        <w:rPr>
          <w:rFonts w:ascii="Arial" w:hAnsi="Arial" w:cs="Arial"/>
          <w:sz w:val="20"/>
          <w:u w:val="none"/>
        </w:rPr>
        <w:t xml:space="preserve"> issues raised </w:t>
      </w:r>
      <w:r w:rsidR="00871289" w:rsidRPr="00F83BFF">
        <w:rPr>
          <w:rFonts w:ascii="Arial" w:hAnsi="Arial" w:cs="Arial"/>
          <w:sz w:val="20"/>
          <w:u w:val="none"/>
        </w:rPr>
        <w:t>during the public hearings</w:t>
      </w:r>
      <w:r w:rsidR="00984F4A" w:rsidRPr="00F83BFF">
        <w:rPr>
          <w:rFonts w:ascii="Arial" w:hAnsi="Arial" w:cs="Arial"/>
          <w:sz w:val="20"/>
          <w:u w:val="none"/>
        </w:rPr>
        <w:t xml:space="preserve"> and </w:t>
      </w:r>
      <w:r w:rsidR="00C53709" w:rsidRPr="00F83BFF">
        <w:rPr>
          <w:rFonts w:ascii="Arial" w:hAnsi="Arial" w:cs="Arial"/>
          <w:sz w:val="20"/>
          <w:u w:val="none"/>
        </w:rPr>
        <w:t xml:space="preserve">engaged with the Committee </w:t>
      </w:r>
      <w:r w:rsidR="00A1495D" w:rsidRPr="00F83BFF">
        <w:rPr>
          <w:rFonts w:ascii="Arial" w:hAnsi="Arial" w:cs="Arial"/>
          <w:sz w:val="20"/>
          <w:u w:val="none"/>
        </w:rPr>
        <w:t xml:space="preserve">and stakeholders </w:t>
      </w:r>
      <w:r w:rsidR="00493C4C" w:rsidRPr="00F83BFF">
        <w:rPr>
          <w:rFonts w:ascii="Arial" w:hAnsi="Arial" w:cs="Arial"/>
          <w:sz w:val="20"/>
          <w:u w:val="none"/>
        </w:rPr>
        <w:t>on 04</w:t>
      </w:r>
      <w:r w:rsidR="00493C4C" w:rsidRPr="00F83BFF">
        <w:rPr>
          <w:rFonts w:ascii="Arial" w:hAnsi="Arial" w:cs="Arial"/>
          <w:sz w:val="20"/>
          <w:u w:val="none"/>
          <w:vertAlign w:val="superscript"/>
        </w:rPr>
        <w:t>th</w:t>
      </w:r>
      <w:r w:rsidR="00493C4C" w:rsidRPr="00F83BFF">
        <w:rPr>
          <w:rFonts w:ascii="Arial" w:hAnsi="Arial" w:cs="Arial"/>
          <w:sz w:val="20"/>
          <w:u w:val="none"/>
        </w:rPr>
        <w:t xml:space="preserve"> November</w:t>
      </w:r>
      <w:r w:rsidR="00C53709" w:rsidRPr="00F83BFF">
        <w:rPr>
          <w:rFonts w:ascii="Arial" w:hAnsi="Arial" w:cs="Arial"/>
          <w:sz w:val="20"/>
          <w:u w:val="none"/>
        </w:rPr>
        <w:t xml:space="preserve"> 2022</w:t>
      </w:r>
      <w:r w:rsidR="00984F4A" w:rsidRPr="00F83BFF">
        <w:rPr>
          <w:rFonts w:ascii="Arial" w:hAnsi="Arial" w:cs="Arial"/>
          <w:sz w:val="20"/>
          <w:u w:val="none"/>
        </w:rPr>
        <w:t>.</w:t>
      </w:r>
      <w:r w:rsidR="002306F7" w:rsidRPr="00F83BFF">
        <w:rPr>
          <w:rFonts w:ascii="Arial" w:hAnsi="Arial" w:cs="Arial"/>
          <w:sz w:val="20"/>
          <w:u w:val="none"/>
        </w:rPr>
        <w:t xml:space="preserve"> </w:t>
      </w:r>
    </w:p>
    <w:p w:rsidR="008A67E5" w:rsidRPr="00F83BFF" w:rsidRDefault="008A67E5" w:rsidP="00F83BFF">
      <w:pPr>
        <w:pStyle w:val="FirstPara"/>
        <w:spacing w:before="0" w:line="240" w:lineRule="auto"/>
        <w:jc w:val="left"/>
        <w:rPr>
          <w:rFonts w:ascii="Arial" w:hAnsi="Arial" w:cs="Arial"/>
          <w:sz w:val="20"/>
        </w:rPr>
      </w:pPr>
    </w:p>
    <w:p w:rsidR="008A67E5" w:rsidRPr="00F83BFF" w:rsidRDefault="008A67E5" w:rsidP="00F83BFF">
      <w:pPr>
        <w:pStyle w:val="Heading2"/>
        <w:spacing w:before="0" w:line="240" w:lineRule="auto"/>
        <w:rPr>
          <w:rFonts w:ascii="Arial" w:hAnsi="Arial" w:cs="Arial"/>
          <w:sz w:val="20"/>
        </w:rPr>
      </w:pPr>
      <w:r w:rsidRPr="00F83BFF">
        <w:rPr>
          <w:rFonts w:ascii="Arial" w:hAnsi="Arial" w:cs="Arial"/>
          <w:sz w:val="20"/>
        </w:rPr>
        <w:t>POLITICAL OVERVIEW</w:t>
      </w:r>
    </w:p>
    <w:p w:rsidR="00666020" w:rsidRPr="00F83BFF" w:rsidRDefault="008A67E5" w:rsidP="00F83BFF">
      <w:pPr>
        <w:pStyle w:val="Heading3"/>
        <w:spacing w:before="0" w:line="240" w:lineRule="auto"/>
        <w:rPr>
          <w:rFonts w:ascii="Arial" w:hAnsi="Arial" w:cs="Arial"/>
          <w:sz w:val="20"/>
        </w:rPr>
      </w:pPr>
      <w:r w:rsidRPr="00F83BFF">
        <w:rPr>
          <w:rFonts w:ascii="Arial" w:hAnsi="Arial" w:cs="Arial"/>
          <w:sz w:val="20"/>
          <w:u w:val="none"/>
        </w:rPr>
        <w:t>The Minister of Finance</w:t>
      </w:r>
      <w:r w:rsidR="00666020" w:rsidRPr="00F83BFF">
        <w:rPr>
          <w:rFonts w:ascii="Arial" w:hAnsi="Arial" w:cs="Arial"/>
          <w:sz w:val="20"/>
          <w:u w:val="none"/>
        </w:rPr>
        <w:t xml:space="preserve"> stated that one of the things that National Treasury was trying to do, in a difficult political environment, was to manage the trade-offs. He reminded Members that over the past few years, more money was given to the state-owned </w:t>
      </w:r>
      <w:r w:rsidR="00070A7F" w:rsidRPr="00F83BFF">
        <w:rPr>
          <w:rFonts w:ascii="Arial" w:hAnsi="Arial" w:cs="Arial"/>
          <w:sz w:val="20"/>
          <w:u w:val="none"/>
        </w:rPr>
        <w:t>enterprises (SOEs)</w:t>
      </w:r>
      <w:r w:rsidR="00666020" w:rsidRPr="00F83BFF">
        <w:rPr>
          <w:rFonts w:ascii="Arial" w:hAnsi="Arial" w:cs="Arial"/>
          <w:sz w:val="20"/>
          <w:u w:val="none"/>
        </w:rPr>
        <w:t xml:space="preserve"> and grants. He said that this undermined spending on baseline departments and frontline services. </w:t>
      </w:r>
    </w:p>
    <w:p w:rsidR="00884FF0" w:rsidRPr="00F83BFF" w:rsidRDefault="00666020" w:rsidP="00F83BFF">
      <w:pPr>
        <w:pStyle w:val="Heading3"/>
        <w:spacing w:before="0" w:line="240" w:lineRule="auto"/>
        <w:rPr>
          <w:rFonts w:ascii="Arial" w:hAnsi="Arial" w:cs="Arial"/>
          <w:sz w:val="20"/>
        </w:rPr>
      </w:pPr>
      <w:r w:rsidRPr="00F83BFF">
        <w:rPr>
          <w:rFonts w:ascii="Arial" w:hAnsi="Arial" w:cs="Arial"/>
          <w:sz w:val="20"/>
          <w:u w:val="none"/>
        </w:rPr>
        <w:t xml:space="preserve">The Minister said that starting from Budget 2022 and this MTBPS, National Treasury has been trying to grapple with </w:t>
      </w:r>
      <w:r w:rsidR="00070A7F" w:rsidRPr="00F83BFF">
        <w:rPr>
          <w:rFonts w:ascii="Arial" w:hAnsi="Arial" w:cs="Arial"/>
          <w:sz w:val="20"/>
          <w:u w:val="none"/>
        </w:rPr>
        <w:t>these trade-offs</w:t>
      </w:r>
      <w:r w:rsidRPr="00F83BFF">
        <w:rPr>
          <w:rFonts w:ascii="Arial" w:hAnsi="Arial" w:cs="Arial"/>
          <w:sz w:val="20"/>
          <w:u w:val="none"/>
        </w:rPr>
        <w:t>, that is why it has been able to give more money for teachers</w:t>
      </w:r>
      <w:r w:rsidR="00070A7F" w:rsidRPr="00F83BFF">
        <w:rPr>
          <w:rFonts w:ascii="Arial" w:hAnsi="Arial" w:cs="Arial"/>
          <w:sz w:val="20"/>
          <w:u w:val="none"/>
        </w:rPr>
        <w:t xml:space="preserve"> and the police. He said that while National Treasury was trying to address these issues, SOEs remained a formidable challenge. He said that SOEs which had a strategic importance in the economy presented a moral hazard, as they made it difficult for </w:t>
      </w:r>
      <w:r w:rsidR="00884FF0" w:rsidRPr="00F83BFF">
        <w:rPr>
          <w:rFonts w:ascii="Arial" w:hAnsi="Arial" w:cs="Arial"/>
          <w:sz w:val="20"/>
          <w:u w:val="none"/>
        </w:rPr>
        <w:t xml:space="preserve">the National Treasury to simply “walk away from them in the current environment.” </w:t>
      </w:r>
    </w:p>
    <w:p w:rsidR="00884FF0" w:rsidRPr="00F83BFF" w:rsidRDefault="00884FF0" w:rsidP="00F83BFF">
      <w:pPr>
        <w:pStyle w:val="Heading3"/>
        <w:spacing w:before="0" w:line="240" w:lineRule="auto"/>
        <w:rPr>
          <w:rFonts w:ascii="Arial" w:hAnsi="Arial" w:cs="Arial"/>
          <w:sz w:val="20"/>
        </w:rPr>
      </w:pPr>
      <w:r w:rsidRPr="00F83BFF">
        <w:rPr>
          <w:rFonts w:ascii="Arial" w:hAnsi="Arial" w:cs="Arial"/>
          <w:sz w:val="20"/>
          <w:u w:val="none"/>
        </w:rPr>
        <w:t xml:space="preserve">However, the National Treasury is </w:t>
      </w:r>
      <w:r w:rsidR="00AF2A37" w:rsidRPr="00F83BFF">
        <w:rPr>
          <w:rFonts w:ascii="Arial" w:hAnsi="Arial" w:cs="Arial"/>
          <w:sz w:val="20"/>
          <w:u w:val="none"/>
        </w:rPr>
        <w:t>reprioritising</w:t>
      </w:r>
      <w:r w:rsidRPr="00F83BFF">
        <w:rPr>
          <w:rFonts w:ascii="Arial" w:hAnsi="Arial" w:cs="Arial"/>
          <w:sz w:val="20"/>
          <w:u w:val="none"/>
        </w:rPr>
        <w:t xml:space="preserve"> resources and beginning to put more money on infrastructure and social services such as education and the police, the Minister said. He said that were it not for the extension of the Social Relief of Distress (SRD) grant (implemented by Government during the period of Covid-19), National Treasury would have put more resources into infrastructure and social services. He said that the extension of the SRD grant was imposing another trade-off, as for example Government intended to employ 30,000 police officers but had to reduce that number to 15,000 new police officers in the ne</w:t>
      </w:r>
      <w:r w:rsidR="00AF2A37" w:rsidRPr="00F83BFF">
        <w:rPr>
          <w:rFonts w:ascii="Arial" w:hAnsi="Arial" w:cs="Arial"/>
          <w:sz w:val="20"/>
          <w:u w:val="none"/>
        </w:rPr>
        <w:t>x</w:t>
      </w:r>
      <w:r w:rsidRPr="00F83BFF">
        <w:rPr>
          <w:rFonts w:ascii="Arial" w:hAnsi="Arial" w:cs="Arial"/>
          <w:sz w:val="20"/>
          <w:u w:val="none"/>
        </w:rPr>
        <w:t xml:space="preserve">t financial years. </w:t>
      </w:r>
    </w:p>
    <w:p w:rsidR="005B5D1A" w:rsidRPr="00F83BFF" w:rsidRDefault="00884FF0" w:rsidP="00F83BFF">
      <w:pPr>
        <w:pStyle w:val="Heading3"/>
        <w:spacing w:before="0" w:line="240" w:lineRule="auto"/>
        <w:rPr>
          <w:rFonts w:ascii="Arial" w:hAnsi="Arial" w:cs="Arial"/>
          <w:sz w:val="20"/>
          <w:u w:val="none"/>
        </w:rPr>
      </w:pPr>
      <w:r w:rsidRPr="00F83BFF">
        <w:rPr>
          <w:rFonts w:ascii="Arial" w:hAnsi="Arial" w:cs="Arial"/>
          <w:sz w:val="20"/>
          <w:u w:val="none"/>
        </w:rPr>
        <w:t xml:space="preserve">The Minister </w:t>
      </w:r>
      <w:r w:rsidR="00AF2A37" w:rsidRPr="00F83BFF">
        <w:rPr>
          <w:rFonts w:ascii="Arial" w:hAnsi="Arial" w:cs="Arial"/>
          <w:sz w:val="20"/>
          <w:u w:val="none"/>
        </w:rPr>
        <w:t>emphasised</w:t>
      </w:r>
      <w:r w:rsidRPr="00F83BFF">
        <w:rPr>
          <w:rFonts w:ascii="Arial" w:hAnsi="Arial" w:cs="Arial"/>
          <w:sz w:val="20"/>
          <w:u w:val="none"/>
        </w:rPr>
        <w:t xml:space="preserve"> that </w:t>
      </w:r>
      <w:r w:rsidR="00AF2A37" w:rsidRPr="00F83BFF">
        <w:rPr>
          <w:rFonts w:ascii="Arial" w:hAnsi="Arial" w:cs="Arial"/>
          <w:sz w:val="20"/>
          <w:u w:val="none"/>
        </w:rPr>
        <w:t>Government</w:t>
      </w:r>
      <w:r w:rsidRPr="00F83BFF">
        <w:rPr>
          <w:rFonts w:ascii="Arial" w:hAnsi="Arial" w:cs="Arial"/>
          <w:sz w:val="20"/>
          <w:u w:val="none"/>
        </w:rPr>
        <w:t xml:space="preserve"> had not reduced spending on social services. </w:t>
      </w:r>
      <w:r w:rsidR="005B5D1A" w:rsidRPr="00F83BFF">
        <w:rPr>
          <w:rFonts w:ascii="Arial" w:hAnsi="Arial" w:cs="Arial"/>
          <w:sz w:val="20"/>
          <w:u w:val="none"/>
        </w:rPr>
        <w:t>He said that he wanted Members to understand the fiscal strategy in terms of prioritisation, infrastructure and social services. He emphasised that there was a growth element in investing in more infrastructure, while also prioritising meeting the basic needs of the people. He said that this was the balancing act that the National Treasury was trying to achieve.</w:t>
      </w:r>
    </w:p>
    <w:p w:rsidR="005A7C6C" w:rsidRPr="00F83BFF" w:rsidRDefault="00AF2A37" w:rsidP="00F83BFF">
      <w:pPr>
        <w:pStyle w:val="Heading3"/>
        <w:spacing w:before="0" w:line="240" w:lineRule="auto"/>
        <w:rPr>
          <w:rFonts w:ascii="Arial" w:hAnsi="Arial" w:cs="Arial"/>
          <w:sz w:val="20"/>
          <w:u w:val="none"/>
        </w:rPr>
      </w:pPr>
      <w:r w:rsidRPr="00F83BFF">
        <w:rPr>
          <w:rFonts w:ascii="Arial" w:hAnsi="Arial" w:cs="Arial"/>
          <w:sz w:val="20"/>
          <w:u w:val="none"/>
        </w:rPr>
        <w:t>T</w:t>
      </w:r>
      <w:r w:rsidR="005B5D1A" w:rsidRPr="00F83BFF">
        <w:rPr>
          <w:rFonts w:ascii="Arial" w:hAnsi="Arial" w:cs="Arial"/>
          <w:sz w:val="20"/>
          <w:u w:val="none"/>
        </w:rPr>
        <w:t>he Acting DG, Mr Momoniat</w:t>
      </w:r>
      <w:r w:rsidRPr="00F83BFF">
        <w:rPr>
          <w:rFonts w:ascii="Arial" w:hAnsi="Arial" w:cs="Arial"/>
          <w:sz w:val="20"/>
          <w:u w:val="none"/>
        </w:rPr>
        <w:t>,</w:t>
      </w:r>
      <w:r w:rsidR="005B5D1A" w:rsidRPr="00F83BFF">
        <w:rPr>
          <w:rFonts w:ascii="Arial" w:hAnsi="Arial" w:cs="Arial"/>
          <w:sz w:val="20"/>
          <w:u w:val="none"/>
        </w:rPr>
        <w:t xml:space="preserve"> stated that the good message out of the 2022 MTBPS was that South Africa was restoring the health of its public finances at the time when there was a real slowdown in the global economy. He said that there were very bleak projections in the global economy with high inflation, the impact of Covid-Zero in China and its impact on supply chains</w:t>
      </w:r>
      <w:r w:rsidR="005A7C6C" w:rsidRPr="00F83BFF">
        <w:rPr>
          <w:rFonts w:ascii="Arial" w:hAnsi="Arial" w:cs="Arial"/>
          <w:sz w:val="20"/>
          <w:u w:val="none"/>
        </w:rPr>
        <w:t xml:space="preserve">, and the ongoing Russia-Ukraine conflict. He said that these issues were having a huge impact and inducing real shocks in some economies, citing the recent unfunded </w:t>
      </w:r>
      <w:r w:rsidRPr="00F83BFF">
        <w:rPr>
          <w:rFonts w:ascii="Arial" w:hAnsi="Arial" w:cs="Arial"/>
          <w:sz w:val="20"/>
          <w:u w:val="none"/>
        </w:rPr>
        <w:t>mini budget</w:t>
      </w:r>
      <w:r w:rsidR="005A7C6C" w:rsidRPr="00F83BFF">
        <w:rPr>
          <w:rFonts w:ascii="Arial" w:hAnsi="Arial" w:cs="Arial"/>
          <w:sz w:val="20"/>
          <w:u w:val="none"/>
        </w:rPr>
        <w:t xml:space="preserve"> in the United Kingdom (UK) which was swiftly rejected by the markets. </w:t>
      </w:r>
    </w:p>
    <w:p w:rsidR="00947852" w:rsidRPr="00F83BFF" w:rsidRDefault="005A7C6C" w:rsidP="00F83BFF">
      <w:pPr>
        <w:pStyle w:val="Heading3"/>
        <w:spacing w:before="0" w:line="240" w:lineRule="auto"/>
        <w:rPr>
          <w:rFonts w:ascii="Arial" w:hAnsi="Arial" w:cs="Arial"/>
          <w:sz w:val="20"/>
          <w:u w:val="none"/>
        </w:rPr>
      </w:pPr>
      <w:r w:rsidRPr="00F83BFF">
        <w:rPr>
          <w:rFonts w:ascii="Arial" w:hAnsi="Arial" w:cs="Arial"/>
          <w:sz w:val="20"/>
          <w:u w:val="none"/>
        </w:rPr>
        <w:t xml:space="preserve">Mr Momoniat stated that global risks were significant and the National Treasury would have to take them into account, including the impact of interest rates increases in the United States of America (US) and the UK, which are South Africa’s trading partners. He said that these risks will have an impact on many emerging economies. He said that the message from the global economic outlook was that it is going to be “a rough next six months and perhaps even rougher next year” and Members of Parliament needed to take cognisance of it. Mr Momoniat </w:t>
      </w:r>
      <w:r w:rsidRPr="00F83BFF">
        <w:rPr>
          <w:rFonts w:ascii="Arial" w:hAnsi="Arial" w:cs="Arial"/>
          <w:sz w:val="20"/>
          <w:u w:val="none"/>
        </w:rPr>
        <w:lastRenderedPageBreak/>
        <w:t>emphasised that in the current global environment, National Treasury needed to be a bit more fiscally prudent tha</w:t>
      </w:r>
      <w:r w:rsidR="00AF2A37" w:rsidRPr="00F83BFF">
        <w:rPr>
          <w:rFonts w:ascii="Arial" w:hAnsi="Arial" w:cs="Arial"/>
          <w:sz w:val="20"/>
          <w:u w:val="none"/>
        </w:rPr>
        <w:t>n</w:t>
      </w:r>
      <w:r w:rsidRPr="00F83BFF">
        <w:rPr>
          <w:rFonts w:ascii="Arial" w:hAnsi="Arial" w:cs="Arial"/>
          <w:sz w:val="20"/>
          <w:u w:val="none"/>
        </w:rPr>
        <w:t xml:space="preserve"> i</w:t>
      </w:r>
      <w:r w:rsidR="00947852" w:rsidRPr="00F83BFF">
        <w:rPr>
          <w:rFonts w:ascii="Arial" w:hAnsi="Arial" w:cs="Arial"/>
          <w:sz w:val="20"/>
          <w:u w:val="none"/>
        </w:rPr>
        <w:t xml:space="preserve">t would have normally been. </w:t>
      </w:r>
    </w:p>
    <w:p w:rsidR="00947852" w:rsidRPr="00F83BFF" w:rsidRDefault="00947852" w:rsidP="00F83BFF">
      <w:pPr>
        <w:pStyle w:val="Heading3"/>
        <w:spacing w:before="0" w:line="240" w:lineRule="auto"/>
        <w:rPr>
          <w:rFonts w:ascii="Arial" w:hAnsi="Arial" w:cs="Arial"/>
          <w:sz w:val="20"/>
        </w:rPr>
      </w:pPr>
      <w:r w:rsidRPr="00F83BFF">
        <w:rPr>
          <w:rFonts w:ascii="Arial" w:hAnsi="Arial" w:cs="Arial"/>
          <w:sz w:val="20"/>
          <w:u w:val="none"/>
        </w:rPr>
        <w:t xml:space="preserve">He said that what worked in South Africa’s favour was the higher than anticipated revenues, which have reduced the gross borrowing requirement of Government and enabled the fiscal framework to prioritise key </w:t>
      </w:r>
      <w:r w:rsidR="00AF2A37" w:rsidRPr="00F83BFF">
        <w:rPr>
          <w:rFonts w:ascii="Arial" w:hAnsi="Arial" w:cs="Arial"/>
          <w:sz w:val="20"/>
          <w:u w:val="none"/>
        </w:rPr>
        <w:t xml:space="preserve">spending </w:t>
      </w:r>
      <w:r w:rsidRPr="00F83BFF">
        <w:rPr>
          <w:rFonts w:ascii="Arial" w:hAnsi="Arial" w:cs="Arial"/>
          <w:sz w:val="20"/>
          <w:u w:val="none"/>
        </w:rPr>
        <w:t>areas for frontline services like health, education and policing. He added that National Treasury had also put more money on infrastructure</w:t>
      </w:r>
      <w:r w:rsidR="005A7C6C" w:rsidRPr="00F83BFF">
        <w:rPr>
          <w:rFonts w:ascii="Arial" w:hAnsi="Arial" w:cs="Arial"/>
          <w:sz w:val="20"/>
          <w:u w:val="none"/>
        </w:rPr>
        <w:t xml:space="preserve"> </w:t>
      </w:r>
      <w:r w:rsidR="005B5D1A" w:rsidRPr="00F83BFF">
        <w:rPr>
          <w:rFonts w:ascii="Arial" w:hAnsi="Arial" w:cs="Arial"/>
          <w:color w:val="333333"/>
          <w:sz w:val="20"/>
          <w:u w:val="none"/>
          <w:shd w:val="clear" w:color="auto" w:fill="FFFFFF"/>
        </w:rPr>
        <w:t>so that the budget began to have more of a growth orientation.</w:t>
      </w:r>
      <w:r w:rsidR="005B5D1A" w:rsidRPr="00F83BFF">
        <w:rPr>
          <w:rFonts w:ascii="Arial" w:hAnsi="Arial" w:cs="Arial"/>
          <w:color w:val="333333"/>
          <w:sz w:val="20"/>
          <w:shd w:val="clear" w:color="auto" w:fill="FFFFFF"/>
        </w:rPr>
        <w:t xml:space="preserve"> </w:t>
      </w:r>
    </w:p>
    <w:p w:rsidR="005B5D1A" w:rsidRPr="00F83BFF" w:rsidRDefault="005B5D1A" w:rsidP="00F83BFF">
      <w:pPr>
        <w:pStyle w:val="Heading3"/>
        <w:spacing w:before="0" w:line="240" w:lineRule="auto"/>
        <w:rPr>
          <w:rFonts w:ascii="Arial" w:hAnsi="Arial" w:cs="Arial"/>
          <w:color w:val="333333"/>
          <w:sz w:val="20"/>
          <w:u w:val="none"/>
          <w:shd w:val="clear" w:color="auto" w:fill="FFFFFF"/>
        </w:rPr>
      </w:pPr>
      <w:r w:rsidRPr="00F83BFF">
        <w:rPr>
          <w:rFonts w:ascii="Arial" w:hAnsi="Arial" w:cs="Arial"/>
          <w:color w:val="333333"/>
          <w:sz w:val="20"/>
          <w:u w:val="none"/>
          <w:shd w:val="clear" w:color="auto" w:fill="FFFFFF"/>
        </w:rPr>
        <w:t xml:space="preserve">He </w:t>
      </w:r>
      <w:r w:rsidR="00AF2A37" w:rsidRPr="00F83BFF">
        <w:rPr>
          <w:rFonts w:ascii="Arial" w:hAnsi="Arial" w:cs="Arial"/>
          <w:color w:val="333333"/>
          <w:sz w:val="20"/>
          <w:u w:val="none"/>
          <w:shd w:val="clear" w:color="auto" w:fill="FFFFFF"/>
        </w:rPr>
        <w:t>explained</w:t>
      </w:r>
      <w:r w:rsidR="00947852" w:rsidRPr="00F83BFF">
        <w:rPr>
          <w:rFonts w:ascii="Arial" w:hAnsi="Arial" w:cs="Arial"/>
          <w:color w:val="333333"/>
          <w:sz w:val="20"/>
          <w:u w:val="none"/>
          <w:shd w:val="clear" w:color="auto" w:fill="FFFFFF"/>
        </w:rPr>
        <w:t xml:space="preserve"> that </w:t>
      </w:r>
      <w:r w:rsidRPr="00F83BFF">
        <w:rPr>
          <w:rFonts w:ascii="Arial" w:hAnsi="Arial" w:cs="Arial"/>
          <w:color w:val="333333"/>
          <w:sz w:val="20"/>
          <w:u w:val="none"/>
          <w:shd w:val="clear" w:color="auto" w:fill="FFFFFF"/>
        </w:rPr>
        <w:t xml:space="preserve">fiscal consolidation had really helped </w:t>
      </w:r>
      <w:r w:rsidR="00947852" w:rsidRPr="00F83BFF">
        <w:rPr>
          <w:rFonts w:ascii="Arial" w:hAnsi="Arial" w:cs="Arial"/>
          <w:color w:val="333333"/>
          <w:sz w:val="20"/>
          <w:u w:val="none"/>
          <w:shd w:val="clear" w:color="auto" w:fill="FFFFFF"/>
        </w:rPr>
        <w:t>to</w:t>
      </w:r>
      <w:r w:rsidRPr="00F83BFF">
        <w:rPr>
          <w:rFonts w:ascii="Arial" w:hAnsi="Arial" w:cs="Arial"/>
          <w:color w:val="333333"/>
          <w:sz w:val="20"/>
          <w:u w:val="none"/>
          <w:shd w:val="clear" w:color="auto" w:fill="FFFFFF"/>
        </w:rPr>
        <w:t xml:space="preserve"> put the country on a good course</w:t>
      </w:r>
      <w:r w:rsidR="00947852" w:rsidRPr="00F83BFF">
        <w:rPr>
          <w:rFonts w:ascii="Arial" w:hAnsi="Arial" w:cs="Arial"/>
          <w:color w:val="333333"/>
          <w:sz w:val="20"/>
          <w:u w:val="none"/>
          <w:shd w:val="clear" w:color="auto" w:fill="FFFFFF"/>
        </w:rPr>
        <w:t>, emphasising that i</w:t>
      </w:r>
      <w:r w:rsidRPr="00F83BFF">
        <w:rPr>
          <w:rFonts w:ascii="Arial" w:hAnsi="Arial" w:cs="Arial"/>
          <w:color w:val="333333"/>
          <w:sz w:val="20"/>
          <w:u w:val="none"/>
          <w:shd w:val="clear" w:color="auto" w:fill="FFFFFF"/>
        </w:rPr>
        <w:t xml:space="preserve">n 2023/24, a primary budget surplus of 0.7 per cent of GDP is expected. He </w:t>
      </w:r>
      <w:r w:rsidR="00947852" w:rsidRPr="00F83BFF">
        <w:rPr>
          <w:rFonts w:ascii="Arial" w:hAnsi="Arial" w:cs="Arial"/>
          <w:color w:val="333333"/>
          <w:sz w:val="20"/>
          <w:u w:val="none"/>
          <w:shd w:val="clear" w:color="auto" w:fill="FFFFFF"/>
        </w:rPr>
        <w:t xml:space="preserve">clarified that </w:t>
      </w:r>
      <w:r w:rsidRPr="00F83BFF">
        <w:rPr>
          <w:rFonts w:ascii="Arial" w:hAnsi="Arial" w:cs="Arial"/>
          <w:color w:val="333333"/>
          <w:sz w:val="20"/>
          <w:u w:val="none"/>
          <w:shd w:val="clear" w:color="auto" w:fill="FFFFFF"/>
        </w:rPr>
        <w:t xml:space="preserve">there was still a budget </w:t>
      </w:r>
      <w:r w:rsidR="00947852" w:rsidRPr="00F83BFF">
        <w:rPr>
          <w:rFonts w:ascii="Arial" w:hAnsi="Arial" w:cs="Arial"/>
          <w:color w:val="333333"/>
          <w:sz w:val="20"/>
          <w:u w:val="none"/>
          <w:shd w:val="clear" w:color="auto" w:fill="FFFFFF"/>
        </w:rPr>
        <w:t>deficit, and that t</w:t>
      </w:r>
      <w:r w:rsidRPr="00F83BFF">
        <w:rPr>
          <w:rFonts w:ascii="Arial" w:hAnsi="Arial" w:cs="Arial"/>
          <w:color w:val="333333"/>
          <w:sz w:val="20"/>
          <w:u w:val="none"/>
          <w:shd w:val="clear" w:color="auto" w:fill="FFFFFF"/>
        </w:rPr>
        <w:t xml:space="preserve">he country </w:t>
      </w:r>
      <w:r w:rsidR="00EC3A2D" w:rsidRPr="00F83BFF">
        <w:rPr>
          <w:rFonts w:ascii="Arial" w:hAnsi="Arial" w:cs="Arial"/>
          <w:color w:val="333333"/>
          <w:sz w:val="20"/>
          <w:u w:val="none"/>
          <w:shd w:val="clear" w:color="auto" w:fill="FFFFFF"/>
        </w:rPr>
        <w:t>must</w:t>
      </w:r>
      <w:r w:rsidR="00947852" w:rsidRPr="00F83BFF">
        <w:rPr>
          <w:rFonts w:ascii="Arial" w:hAnsi="Arial" w:cs="Arial"/>
          <w:color w:val="333333"/>
          <w:sz w:val="20"/>
          <w:u w:val="none"/>
          <w:shd w:val="clear" w:color="auto" w:fill="FFFFFF"/>
        </w:rPr>
        <w:t xml:space="preserve"> continue</w:t>
      </w:r>
      <w:r w:rsidRPr="00F83BFF">
        <w:rPr>
          <w:rFonts w:ascii="Arial" w:hAnsi="Arial" w:cs="Arial"/>
          <w:color w:val="333333"/>
          <w:sz w:val="20"/>
          <w:u w:val="none"/>
          <w:shd w:val="clear" w:color="auto" w:fill="FFFFFF"/>
        </w:rPr>
        <w:t xml:space="preserve"> pay</w:t>
      </w:r>
      <w:r w:rsidR="00947852" w:rsidRPr="00F83BFF">
        <w:rPr>
          <w:rFonts w:ascii="Arial" w:hAnsi="Arial" w:cs="Arial"/>
          <w:color w:val="333333"/>
          <w:sz w:val="20"/>
          <w:u w:val="none"/>
          <w:shd w:val="clear" w:color="auto" w:fill="FFFFFF"/>
        </w:rPr>
        <w:t>ing huge</w:t>
      </w:r>
      <w:r w:rsidRPr="00F83BFF">
        <w:rPr>
          <w:rFonts w:ascii="Arial" w:hAnsi="Arial" w:cs="Arial"/>
          <w:color w:val="333333"/>
          <w:sz w:val="20"/>
          <w:u w:val="none"/>
          <w:shd w:val="clear" w:color="auto" w:fill="FFFFFF"/>
        </w:rPr>
        <w:t xml:space="preserve"> debt servicing</w:t>
      </w:r>
      <w:r w:rsidR="00947852" w:rsidRPr="00F83BFF">
        <w:rPr>
          <w:rFonts w:ascii="Arial" w:hAnsi="Arial" w:cs="Arial"/>
          <w:color w:val="333333"/>
          <w:sz w:val="20"/>
          <w:u w:val="none"/>
          <w:shd w:val="clear" w:color="auto" w:fill="FFFFFF"/>
        </w:rPr>
        <w:t xml:space="preserve"> costs but</w:t>
      </w:r>
      <w:r w:rsidRPr="00F83BFF">
        <w:rPr>
          <w:rFonts w:ascii="Arial" w:hAnsi="Arial" w:cs="Arial"/>
          <w:color w:val="333333"/>
          <w:sz w:val="20"/>
          <w:u w:val="none"/>
          <w:shd w:val="clear" w:color="auto" w:fill="FFFFFF"/>
        </w:rPr>
        <w:t xml:space="preserve"> w</w:t>
      </w:r>
      <w:r w:rsidR="00947852" w:rsidRPr="00F83BFF">
        <w:rPr>
          <w:rFonts w:ascii="Arial" w:hAnsi="Arial" w:cs="Arial"/>
          <w:color w:val="333333"/>
          <w:sz w:val="20"/>
          <w:u w:val="none"/>
          <w:shd w:val="clear" w:color="auto" w:fill="FFFFFF"/>
        </w:rPr>
        <w:t>ould</w:t>
      </w:r>
      <w:r w:rsidRPr="00F83BFF">
        <w:rPr>
          <w:rFonts w:ascii="Arial" w:hAnsi="Arial" w:cs="Arial"/>
          <w:color w:val="333333"/>
          <w:sz w:val="20"/>
          <w:u w:val="none"/>
          <w:shd w:val="clear" w:color="auto" w:fill="FFFFFF"/>
        </w:rPr>
        <w:t xml:space="preserve"> not </w:t>
      </w:r>
      <w:r w:rsidR="00947852" w:rsidRPr="00F83BFF">
        <w:rPr>
          <w:rFonts w:ascii="Arial" w:hAnsi="Arial" w:cs="Arial"/>
          <w:color w:val="333333"/>
          <w:sz w:val="20"/>
          <w:u w:val="none"/>
          <w:shd w:val="clear" w:color="auto" w:fill="FFFFFF"/>
        </w:rPr>
        <w:t xml:space="preserve">be </w:t>
      </w:r>
      <w:r w:rsidRPr="00F83BFF">
        <w:rPr>
          <w:rFonts w:ascii="Arial" w:hAnsi="Arial" w:cs="Arial"/>
          <w:color w:val="333333"/>
          <w:sz w:val="20"/>
          <w:u w:val="none"/>
          <w:shd w:val="clear" w:color="auto" w:fill="FFFFFF"/>
        </w:rPr>
        <w:t xml:space="preserve">borrowing to pay interest. </w:t>
      </w:r>
      <w:r w:rsidR="00947852" w:rsidRPr="00F83BFF">
        <w:rPr>
          <w:rFonts w:ascii="Arial" w:hAnsi="Arial" w:cs="Arial"/>
          <w:color w:val="333333"/>
          <w:sz w:val="20"/>
          <w:u w:val="none"/>
          <w:shd w:val="clear" w:color="auto" w:fill="FFFFFF"/>
        </w:rPr>
        <w:t xml:space="preserve">He said that this </w:t>
      </w:r>
      <w:r w:rsidRPr="00F83BFF">
        <w:rPr>
          <w:rFonts w:ascii="Arial" w:hAnsi="Arial" w:cs="Arial"/>
          <w:color w:val="333333"/>
          <w:sz w:val="20"/>
          <w:u w:val="none"/>
          <w:shd w:val="clear" w:color="auto" w:fill="FFFFFF"/>
        </w:rPr>
        <w:t xml:space="preserve">helped to stabilise the </w:t>
      </w:r>
      <w:r w:rsidR="00947852" w:rsidRPr="00F83BFF">
        <w:rPr>
          <w:rFonts w:ascii="Arial" w:hAnsi="Arial" w:cs="Arial"/>
          <w:color w:val="333333"/>
          <w:sz w:val="20"/>
          <w:u w:val="none"/>
          <w:shd w:val="clear" w:color="auto" w:fill="FFFFFF"/>
        </w:rPr>
        <w:t xml:space="preserve">public </w:t>
      </w:r>
      <w:r w:rsidRPr="00F83BFF">
        <w:rPr>
          <w:rFonts w:ascii="Arial" w:hAnsi="Arial" w:cs="Arial"/>
          <w:color w:val="333333"/>
          <w:sz w:val="20"/>
          <w:u w:val="none"/>
          <w:shd w:val="clear" w:color="auto" w:fill="FFFFFF"/>
        </w:rPr>
        <w:t>debt</w:t>
      </w:r>
      <w:r w:rsidR="00947852" w:rsidRPr="00F83BFF">
        <w:rPr>
          <w:rFonts w:ascii="Arial" w:hAnsi="Arial" w:cs="Arial"/>
          <w:color w:val="333333"/>
          <w:sz w:val="20"/>
          <w:u w:val="none"/>
          <w:shd w:val="clear" w:color="auto" w:fill="FFFFFF"/>
        </w:rPr>
        <w:t xml:space="preserve"> e</w:t>
      </w:r>
      <w:r w:rsidRPr="00F83BFF">
        <w:rPr>
          <w:rFonts w:ascii="Arial" w:hAnsi="Arial" w:cs="Arial"/>
          <w:color w:val="333333"/>
          <w:sz w:val="20"/>
          <w:u w:val="none"/>
          <w:shd w:val="clear" w:color="auto" w:fill="FFFFFF"/>
        </w:rPr>
        <w:t xml:space="preserve">ven as </w:t>
      </w:r>
      <w:r w:rsidR="00947852" w:rsidRPr="00F83BFF">
        <w:rPr>
          <w:rFonts w:ascii="Arial" w:hAnsi="Arial" w:cs="Arial"/>
          <w:color w:val="333333"/>
          <w:sz w:val="20"/>
          <w:u w:val="none"/>
          <w:shd w:val="clear" w:color="auto" w:fill="FFFFFF"/>
        </w:rPr>
        <w:t xml:space="preserve">Government was </w:t>
      </w:r>
      <w:r w:rsidRPr="00F83BFF">
        <w:rPr>
          <w:rFonts w:ascii="Arial" w:hAnsi="Arial" w:cs="Arial"/>
          <w:color w:val="333333"/>
          <w:sz w:val="20"/>
          <w:u w:val="none"/>
          <w:shd w:val="clear" w:color="auto" w:fill="FFFFFF"/>
        </w:rPr>
        <w:t>consider</w:t>
      </w:r>
      <w:r w:rsidR="00947852" w:rsidRPr="00F83BFF">
        <w:rPr>
          <w:rFonts w:ascii="Arial" w:hAnsi="Arial" w:cs="Arial"/>
          <w:color w:val="333333"/>
          <w:sz w:val="20"/>
          <w:u w:val="none"/>
          <w:shd w:val="clear" w:color="auto" w:fill="FFFFFF"/>
        </w:rPr>
        <w:t>ing</w:t>
      </w:r>
      <w:r w:rsidRPr="00F83BFF">
        <w:rPr>
          <w:rFonts w:ascii="Arial" w:hAnsi="Arial" w:cs="Arial"/>
          <w:color w:val="333333"/>
          <w:sz w:val="20"/>
          <w:u w:val="none"/>
          <w:shd w:val="clear" w:color="auto" w:fill="FFFFFF"/>
        </w:rPr>
        <w:t xml:space="preserve"> taking on</w:t>
      </w:r>
      <w:r w:rsidR="00947852" w:rsidRPr="00F83BFF">
        <w:rPr>
          <w:rFonts w:ascii="Arial" w:hAnsi="Arial" w:cs="Arial"/>
          <w:color w:val="333333"/>
          <w:sz w:val="20"/>
          <w:u w:val="none"/>
          <w:shd w:val="clear" w:color="auto" w:fill="FFFFFF"/>
        </w:rPr>
        <w:t xml:space="preserve"> a portion of </w:t>
      </w:r>
      <w:r w:rsidRPr="00F83BFF">
        <w:rPr>
          <w:rFonts w:ascii="Arial" w:hAnsi="Arial" w:cs="Arial"/>
          <w:color w:val="333333"/>
          <w:sz w:val="20"/>
          <w:u w:val="none"/>
          <w:shd w:val="clear" w:color="auto" w:fill="FFFFFF"/>
        </w:rPr>
        <w:t xml:space="preserve">Eskom’s </w:t>
      </w:r>
      <w:r w:rsidR="00947852" w:rsidRPr="00F83BFF">
        <w:rPr>
          <w:rFonts w:ascii="Arial" w:hAnsi="Arial" w:cs="Arial"/>
          <w:color w:val="333333"/>
          <w:sz w:val="20"/>
          <w:u w:val="none"/>
          <w:shd w:val="clear" w:color="auto" w:fill="FFFFFF"/>
        </w:rPr>
        <w:t xml:space="preserve">R400 billion </w:t>
      </w:r>
      <w:r w:rsidRPr="00F83BFF">
        <w:rPr>
          <w:rFonts w:ascii="Arial" w:hAnsi="Arial" w:cs="Arial"/>
          <w:color w:val="333333"/>
          <w:sz w:val="20"/>
          <w:u w:val="none"/>
          <w:shd w:val="clear" w:color="auto" w:fill="FFFFFF"/>
        </w:rPr>
        <w:t>debt</w:t>
      </w:r>
      <w:r w:rsidR="00947852" w:rsidRPr="00F83BFF">
        <w:rPr>
          <w:rFonts w:ascii="Arial" w:hAnsi="Arial" w:cs="Arial"/>
          <w:color w:val="333333"/>
          <w:sz w:val="20"/>
          <w:u w:val="none"/>
          <w:shd w:val="clear" w:color="auto" w:fill="FFFFFF"/>
        </w:rPr>
        <w:t xml:space="preserve">. </w:t>
      </w:r>
      <w:r w:rsidR="00EC3A2D" w:rsidRPr="00F83BFF">
        <w:rPr>
          <w:rFonts w:ascii="Arial" w:hAnsi="Arial" w:cs="Arial"/>
          <w:color w:val="333333"/>
          <w:sz w:val="20"/>
          <w:u w:val="none"/>
          <w:shd w:val="clear" w:color="auto" w:fill="FFFFFF"/>
        </w:rPr>
        <w:t xml:space="preserve">He said that Government will be able </w:t>
      </w:r>
      <w:r w:rsidRPr="00F83BFF">
        <w:rPr>
          <w:rFonts w:ascii="Arial" w:hAnsi="Arial" w:cs="Arial"/>
          <w:color w:val="333333"/>
          <w:sz w:val="20"/>
          <w:u w:val="none"/>
          <w:shd w:val="clear" w:color="auto" w:fill="FFFFFF"/>
        </w:rPr>
        <w:t xml:space="preserve">to do </w:t>
      </w:r>
      <w:r w:rsidR="00E12D7E" w:rsidRPr="00F83BFF">
        <w:rPr>
          <w:rFonts w:ascii="Arial" w:hAnsi="Arial" w:cs="Arial"/>
          <w:color w:val="333333"/>
          <w:sz w:val="20"/>
          <w:u w:val="none"/>
          <w:shd w:val="clear" w:color="auto" w:fill="FFFFFF"/>
        </w:rPr>
        <w:t>this</w:t>
      </w:r>
      <w:r w:rsidRPr="00F83BFF">
        <w:rPr>
          <w:rFonts w:ascii="Arial" w:hAnsi="Arial" w:cs="Arial"/>
          <w:color w:val="333333"/>
          <w:sz w:val="20"/>
          <w:u w:val="none"/>
          <w:shd w:val="clear" w:color="auto" w:fill="FFFFFF"/>
        </w:rPr>
        <w:t xml:space="preserve"> </w:t>
      </w:r>
      <w:r w:rsidR="00D7512C" w:rsidRPr="00F83BFF">
        <w:rPr>
          <w:rFonts w:ascii="Arial" w:hAnsi="Arial" w:cs="Arial"/>
          <w:color w:val="333333"/>
          <w:sz w:val="20"/>
          <w:u w:val="none"/>
          <w:shd w:val="clear" w:color="auto" w:fill="FFFFFF"/>
        </w:rPr>
        <w:t>despite</w:t>
      </w:r>
      <w:r w:rsidRPr="00F83BFF">
        <w:rPr>
          <w:rFonts w:ascii="Arial" w:hAnsi="Arial" w:cs="Arial"/>
          <w:color w:val="333333"/>
          <w:sz w:val="20"/>
          <w:u w:val="none"/>
          <w:shd w:val="clear" w:color="auto" w:fill="FFFFFF"/>
        </w:rPr>
        <w:t xml:space="preserve"> the global </w:t>
      </w:r>
      <w:r w:rsidR="00DC5EFD" w:rsidRPr="00F83BFF">
        <w:rPr>
          <w:rFonts w:ascii="Arial" w:hAnsi="Arial" w:cs="Arial"/>
          <w:color w:val="333333"/>
          <w:sz w:val="20"/>
          <w:u w:val="none"/>
          <w:shd w:val="clear" w:color="auto" w:fill="FFFFFF"/>
        </w:rPr>
        <w:t xml:space="preserve">and </w:t>
      </w:r>
      <w:r w:rsidR="00E12D7E" w:rsidRPr="00F83BFF">
        <w:rPr>
          <w:rFonts w:ascii="Arial" w:hAnsi="Arial" w:cs="Arial"/>
          <w:color w:val="333333"/>
          <w:sz w:val="20"/>
          <w:u w:val="none"/>
          <w:shd w:val="clear" w:color="auto" w:fill="FFFFFF"/>
        </w:rPr>
        <w:t xml:space="preserve">the </w:t>
      </w:r>
      <w:r w:rsidR="00DC5EFD" w:rsidRPr="00F83BFF">
        <w:rPr>
          <w:rFonts w:ascii="Arial" w:hAnsi="Arial" w:cs="Arial"/>
          <w:color w:val="333333"/>
          <w:sz w:val="20"/>
          <w:u w:val="none"/>
          <w:shd w:val="clear" w:color="auto" w:fill="FFFFFF"/>
        </w:rPr>
        <w:t xml:space="preserve">local </w:t>
      </w:r>
      <w:r w:rsidRPr="00F83BFF">
        <w:rPr>
          <w:rFonts w:ascii="Arial" w:hAnsi="Arial" w:cs="Arial"/>
          <w:color w:val="333333"/>
          <w:sz w:val="20"/>
          <w:u w:val="none"/>
          <w:shd w:val="clear" w:color="auto" w:fill="FFFFFF"/>
        </w:rPr>
        <w:t xml:space="preserve">shocks </w:t>
      </w:r>
      <w:r w:rsidR="00826D95" w:rsidRPr="00F83BFF">
        <w:rPr>
          <w:rFonts w:ascii="Arial" w:hAnsi="Arial" w:cs="Arial"/>
          <w:color w:val="333333"/>
          <w:sz w:val="20"/>
          <w:u w:val="none"/>
          <w:shd w:val="clear" w:color="auto" w:fill="FFFFFF"/>
        </w:rPr>
        <w:t xml:space="preserve">such as the </w:t>
      </w:r>
      <w:r w:rsidR="00AF2A37" w:rsidRPr="00F83BFF">
        <w:rPr>
          <w:rFonts w:ascii="Arial" w:hAnsi="Arial" w:cs="Arial"/>
          <w:color w:val="333333"/>
          <w:sz w:val="20"/>
          <w:u w:val="none"/>
          <w:shd w:val="clear" w:color="auto" w:fill="FFFFFF"/>
        </w:rPr>
        <w:t xml:space="preserve">KZN </w:t>
      </w:r>
      <w:r w:rsidRPr="00F83BFF">
        <w:rPr>
          <w:rFonts w:ascii="Arial" w:hAnsi="Arial" w:cs="Arial"/>
          <w:color w:val="333333"/>
          <w:sz w:val="20"/>
          <w:u w:val="none"/>
          <w:shd w:val="clear" w:color="auto" w:fill="FFFFFF"/>
        </w:rPr>
        <w:t>flood damage that took place in April</w:t>
      </w:r>
      <w:r w:rsidR="00737FCF" w:rsidRPr="00F83BFF">
        <w:rPr>
          <w:rFonts w:ascii="Arial" w:hAnsi="Arial" w:cs="Arial"/>
          <w:color w:val="333333"/>
          <w:sz w:val="20"/>
          <w:u w:val="none"/>
          <w:shd w:val="clear" w:color="auto" w:fill="FFFFFF"/>
        </w:rPr>
        <w:t xml:space="preserve"> 2022</w:t>
      </w:r>
      <w:r w:rsidRPr="00F83BFF">
        <w:rPr>
          <w:rFonts w:ascii="Arial" w:hAnsi="Arial" w:cs="Arial"/>
          <w:color w:val="333333"/>
          <w:sz w:val="20"/>
          <w:u w:val="none"/>
          <w:shd w:val="clear" w:color="auto" w:fill="FFFFFF"/>
        </w:rPr>
        <w:t>. He noted that these events shocked the fiscal framework in a significant way.</w:t>
      </w:r>
    </w:p>
    <w:p w:rsidR="00D7512C" w:rsidRPr="00F83BFF" w:rsidRDefault="00D7512C" w:rsidP="00F83BFF">
      <w:pPr>
        <w:pStyle w:val="FirstPara"/>
        <w:spacing w:before="0" w:line="240" w:lineRule="auto"/>
        <w:jc w:val="left"/>
        <w:rPr>
          <w:rFonts w:ascii="Arial" w:hAnsi="Arial" w:cs="Arial"/>
          <w:sz w:val="20"/>
        </w:rPr>
      </w:pPr>
    </w:p>
    <w:p w:rsidR="004C48E6" w:rsidRPr="00F83BFF" w:rsidRDefault="00A23007" w:rsidP="00F83BFF">
      <w:pPr>
        <w:pStyle w:val="Heading2"/>
        <w:spacing w:before="0" w:line="240" w:lineRule="auto"/>
        <w:rPr>
          <w:rFonts w:ascii="Arial" w:hAnsi="Arial" w:cs="Arial"/>
          <w:sz w:val="20"/>
        </w:rPr>
      </w:pPr>
      <w:r w:rsidRPr="00F83BFF">
        <w:rPr>
          <w:rFonts w:ascii="Arial" w:hAnsi="Arial" w:cs="Arial"/>
          <w:sz w:val="20"/>
        </w:rPr>
        <w:t xml:space="preserve">OVERVIEW OF </w:t>
      </w:r>
      <w:r w:rsidR="0066144D" w:rsidRPr="00F83BFF">
        <w:rPr>
          <w:rFonts w:ascii="Arial" w:hAnsi="Arial" w:cs="Arial"/>
          <w:sz w:val="20"/>
        </w:rPr>
        <w:t xml:space="preserve">2022 </w:t>
      </w:r>
      <w:r w:rsidR="00183CBB" w:rsidRPr="00F83BFF">
        <w:rPr>
          <w:rFonts w:ascii="Arial" w:hAnsi="Arial" w:cs="Arial"/>
          <w:sz w:val="20"/>
        </w:rPr>
        <w:t xml:space="preserve">REVISED </w:t>
      </w:r>
      <w:r w:rsidRPr="00F83BFF">
        <w:rPr>
          <w:rFonts w:ascii="Arial" w:hAnsi="Arial" w:cs="Arial"/>
          <w:sz w:val="20"/>
        </w:rPr>
        <w:t xml:space="preserve">AND PROPOSED </w:t>
      </w:r>
      <w:r w:rsidR="0084429C" w:rsidRPr="00F83BFF">
        <w:rPr>
          <w:rFonts w:ascii="Arial" w:hAnsi="Arial" w:cs="Arial"/>
          <w:sz w:val="20"/>
        </w:rPr>
        <w:t xml:space="preserve">FISCAL FRAMEWORK </w:t>
      </w:r>
    </w:p>
    <w:p w:rsidR="004E7211" w:rsidRPr="00F83BFF" w:rsidRDefault="004E7211" w:rsidP="00F83BFF">
      <w:pPr>
        <w:pStyle w:val="Heading3"/>
        <w:numPr>
          <w:ilvl w:val="0"/>
          <w:numId w:val="0"/>
        </w:numPr>
        <w:spacing w:before="0" w:line="240" w:lineRule="auto"/>
        <w:rPr>
          <w:rFonts w:ascii="Arial" w:hAnsi="Arial" w:cs="Arial"/>
          <w:b/>
          <w:bCs/>
          <w:sz w:val="20"/>
          <w:u w:val="none"/>
        </w:rPr>
      </w:pPr>
    </w:p>
    <w:p w:rsidR="00BC16B2" w:rsidRPr="00F83BFF" w:rsidRDefault="007E39D9" w:rsidP="00F83BFF">
      <w:pPr>
        <w:pStyle w:val="Heading3"/>
        <w:numPr>
          <w:ilvl w:val="0"/>
          <w:numId w:val="0"/>
        </w:numPr>
        <w:spacing w:before="0" w:line="240" w:lineRule="auto"/>
        <w:ind w:left="720" w:hanging="144"/>
        <w:rPr>
          <w:rFonts w:ascii="Arial" w:hAnsi="Arial" w:cs="Arial"/>
          <w:b/>
          <w:bCs/>
          <w:sz w:val="20"/>
          <w:u w:val="none"/>
        </w:rPr>
      </w:pPr>
      <w:r w:rsidRPr="00F83BFF">
        <w:rPr>
          <w:rFonts w:ascii="Arial" w:hAnsi="Arial" w:cs="Arial"/>
          <w:b/>
          <w:bCs/>
          <w:sz w:val="20"/>
          <w:u w:val="none"/>
        </w:rPr>
        <w:t xml:space="preserve">Revised </w:t>
      </w:r>
      <w:r w:rsidR="008E5709" w:rsidRPr="00F83BFF">
        <w:rPr>
          <w:rFonts w:ascii="Arial" w:hAnsi="Arial" w:cs="Arial"/>
          <w:b/>
          <w:bCs/>
          <w:sz w:val="20"/>
          <w:u w:val="none"/>
        </w:rPr>
        <w:t xml:space="preserve">Economic Outlook </w:t>
      </w:r>
    </w:p>
    <w:p w:rsidR="00254530" w:rsidRPr="00F83BFF" w:rsidRDefault="000E2211" w:rsidP="00F83BFF">
      <w:pPr>
        <w:pStyle w:val="Heading3"/>
        <w:spacing w:before="0" w:line="240" w:lineRule="auto"/>
        <w:rPr>
          <w:rFonts w:ascii="Arial" w:hAnsi="Arial" w:cs="Arial"/>
          <w:sz w:val="20"/>
          <w:u w:val="none"/>
        </w:rPr>
      </w:pPr>
      <w:r w:rsidRPr="00F83BFF">
        <w:rPr>
          <w:rFonts w:ascii="Arial" w:hAnsi="Arial" w:cs="Arial"/>
          <w:sz w:val="20"/>
          <w:u w:val="none"/>
        </w:rPr>
        <w:t>In 2021, t</w:t>
      </w:r>
      <w:r w:rsidR="00100D3B" w:rsidRPr="00F83BFF">
        <w:rPr>
          <w:rFonts w:ascii="Arial" w:hAnsi="Arial" w:cs="Arial"/>
          <w:sz w:val="20"/>
          <w:u w:val="none"/>
        </w:rPr>
        <w:t>he South African economy rebounded st</w:t>
      </w:r>
      <w:r w:rsidRPr="00F83BFF">
        <w:rPr>
          <w:rFonts w:ascii="Arial" w:hAnsi="Arial" w:cs="Arial"/>
          <w:sz w:val="20"/>
          <w:u w:val="none"/>
        </w:rPr>
        <w:t>rongly from the COVID-19 pandemic</w:t>
      </w:r>
      <w:r w:rsidR="00100D3B" w:rsidRPr="00F83BFF">
        <w:rPr>
          <w:rFonts w:ascii="Arial" w:hAnsi="Arial" w:cs="Arial"/>
          <w:sz w:val="20"/>
          <w:u w:val="none"/>
        </w:rPr>
        <w:t xml:space="preserve">, </w:t>
      </w:r>
      <w:r w:rsidR="00F876EA" w:rsidRPr="00F83BFF">
        <w:rPr>
          <w:rFonts w:ascii="Arial" w:hAnsi="Arial" w:cs="Arial"/>
          <w:sz w:val="20"/>
          <w:u w:val="none"/>
        </w:rPr>
        <w:t xml:space="preserve">with </w:t>
      </w:r>
      <w:r w:rsidR="00480426" w:rsidRPr="00F83BFF">
        <w:rPr>
          <w:rFonts w:ascii="Arial" w:hAnsi="Arial" w:cs="Arial"/>
          <w:sz w:val="20"/>
          <w:u w:val="none"/>
        </w:rPr>
        <w:t xml:space="preserve">Gross Domestic </w:t>
      </w:r>
      <w:r w:rsidR="00775B1F" w:rsidRPr="00F83BFF">
        <w:rPr>
          <w:rFonts w:ascii="Arial" w:hAnsi="Arial" w:cs="Arial"/>
          <w:sz w:val="20"/>
          <w:u w:val="none"/>
        </w:rPr>
        <w:t>Product</w:t>
      </w:r>
      <w:r w:rsidR="00480426" w:rsidRPr="00F83BFF">
        <w:rPr>
          <w:rFonts w:ascii="Arial" w:hAnsi="Arial" w:cs="Arial"/>
          <w:sz w:val="20"/>
          <w:u w:val="none"/>
        </w:rPr>
        <w:t xml:space="preserve"> (</w:t>
      </w:r>
      <w:r w:rsidR="00F876EA" w:rsidRPr="00F83BFF">
        <w:rPr>
          <w:rFonts w:ascii="Arial" w:hAnsi="Arial" w:cs="Arial"/>
          <w:sz w:val="20"/>
          <w:u w:val="none"/>
        </w:rPr>
        <w:t>GDP</w:t>
      </w:r>
      <w:r w:rsidR="00480426" w:rsidRPr="00F83BFF">
        <w:rPr>
          <w:rFonts w:ascii="Arial" w:hAnsi="Arial" w:cs="Arial"/>
          <w:sz w:val="20"/>
          <w:u w:val="none"/>
        </w:rPr>
        <w:t>)</w:t>
      </w:r>
      <w:r w:rsidR="00F876EA" w:rsidRPr="00F83BFF">
        <w:rPr>
          <w:rFonts w:ascii="Arial" w:hAnsi="Arial" w:cs="Arial"/>
          <w:sz w:val="20"/>
          <w:u w:val="none"/>
        </w:rPr>
        <w:t xml:space="preserve"> growth averaging</w:t>
      </w:r>
      <w:r w:rsidRPr="00F83BFF">
        <w:rPr>
          <w:rFonts w:ascii="Arial" w:hAnsi="Arial" w:cs="Arial"/>
          <w:sz w:val="20"/>
          <w:u w:val="none"/>
        </w:rPr>
        <w:t xml:space="preserve"> 4.9 per cent d</w:t>
      </w:r>
      <w:r w:rsidR="00F876EA" w:rsidRPr="00F83BFF">
        <w:rPr>
          <w:rFonts w:ascii="Arial" w:hAnsi="Arial" w:cs="Arial"/>
          <w:sz w:val="20"/>
          <w:u w:val="none"/>
        </w:rPr>
        <w:t xml:space="preserve">espite the </w:t>
      </w:r>
      <w:r w:rsidR="001708C0" w:rsidRPr="00F83BFF">
        <w:rPr>
          <w:rFonts w:ascii="Arial" w:hAnsi="Arial" w:cs="Arial"/>
          <w:sz w:val="20"/>
          <w:u w:val="none"/>
        </w:rPr>
        <w:t>impact of the</w:t>
      </w:r>
      <w:r w:rsidR="00100D3B" w:rsidRPr="00F83BFF">
        <w:rPr>
          <w:rFonts w:ascii="Arial" w:hAnsi="Arial" w:cs="Arial"/>
          <w:sz w:val="20"/>
          <w:u w:val="none"/>
        </w:rPr>
        <w:t xml:space="preserve"> July </w:t>
      </w:r>
      <w:r w:rsidR="00F876EA" w:rsidRPr="00F83BFF">
        <w:rPr>
          <w:rFonts w:ascii="Arial" w:hAnsi="Arial" w:cs="Arial"/>
          <w:sz w:val="20"/>
          <w:u w:val="none"/>
        </w:rPr>
        <w:t xml:space="preserve">2021 </w:t>
      </w:r>
      <w:r w:rsidR="00100D3B" w:rsidRPr="00F83BFF">
        <w:rPr>
          <w:rFonts w:ascii="Arial" w:hAnsi="Arial" w:cs="Arial"/>
          <w:sz w:val="20"/>
          <w:u w:val="none"/>
        </w:rPr>
        <w:t>unrest</w:t>
      </w:r>
      <w:r w:rsidR="00B15F74" w:rsidRPr="00F83BFF">
        <w:rPr>
          <w:rFonts w:ascii="Arial" w:hAnsi="Arial" w:cs="Arial"/>
          <w:sz w:val="20"/>
          <w:u w:val="none"/>
        </w:rPr>
        <w:t>s</w:t>
      </w:r>
      <w:r w:rsidRPr="00F83BFF">
        <w:rPr>
          <w:rFonts w:ascii="Arial" w:hAnsi="Arial" w:cs="Arial"/>
          <w:sz w:val="20"/>
          <w:u w:val="none"/>
        </w:rPr>
        <w:t xml:space="preserve">, </w:t>
      </w:r>
      <w:r w:rsidR="00701B4E" w:rsidRPr="00F83BFF">
        <w:rPr>
          <w:rFonts w:ascii="Arial" w:hAnsi="Arial" w:cs="Arial"/>
          <w:sz w:val="20"/>
          <w:u w:val="none"/>
        </w:rPr>
        <w:t>electricity supply</w:t>
      </w:r>
      <w:r w:rsidR="007E5101" w:rsidRPr="00F83BFF">
        <w:rPr>
          <w:rFonts w:ascii="Arial" w:hAnsi="Arial" w:cs="Arial"/>
          <w:sz w:val="20"/>
          <w:u w:val="none"/>
        </w:rPr>
        <w:t xml:space="preserve"> </w:t>
      </w:r>
      <w:r w:rsidRPr="00F83BFF">
        <w:rPr>
          <w:rFonts w:ascii="Arial" w:hAnsi="Arial" w:cs="Arial"/>
          <w:sz w:val="20"/>
          <w:u w:val="none"/>
        </w:rPr>
        <w:t>constraints and slow implementation of economic reforms. Over the past two years, higher global commodity prices</w:t>
      </w:r>
      <w:r w:rsidR="00114581" w:rsidRPr="00F83BFF">
        <w:rPr>
          <w:rFonts w:ascii="Arial" w:hAnsi="Arial" w:cs="Arial"/>
          <w:sz w:val="20"/>
          <w:u w:val="none"/>
        </w:rPr>
        <w:t>, a strong rebound in global economic activity and the easing of COVID-19 restrictions</w:t>
      </w:r>
      <w:r w:rsidRPr="00F83BFF">
        <w:rPr>
          <w:rFonts w:ascii="Arial" w:hAnsi="Arial" w:cs="Arial"/>
          <w:sz w:val="20"/>
          <w:u w:val="none"/>
        </w:rPr>
        <w:t xml:space="preserve"> continued to support economic </w:t>
      </w:r>
      <w:r w:rsidR="00254530" w:rsidRPr="00F83BFF">
        <w:rPr>
          <w:rFonts w:ascii="Arial" w:hAnsi="Arial" w:cs="Arial"/>
          <w:sz w:val="20"/>
          <w:u w:val="none"/>
        </w:rPr>
        <w:t>growth and</w:t>
      </w:r>
      <w:r w:rsidRPr="00F83BFF">
        <w:rPr>
          <w:rFonts w:ascii="Arial" w:hAnsi="Arial" w:cs="Arial"/>
          <w:sz w:val="20"/>
          <w:u w:val="none"/>
        </w:rPr>
        <w:t xml:space="preserve"> improve export performance and revenue.</w:t>
      </w:r>
      <w:r w:rsidR="00813DA2" w:rsidRPr="00F83BFF">
        <w:rPr>
          <w:rFonts w:ascii="Arial" w:hAnsi="Arial" w:cs="Arial"/>
          <w:sz w:val="20"/>
          <w:u w:val="none"/>
        </w:rPr>
        <w:t xml:space="preserve"> </w:t>
      </w:r>
    </w:p>
    <w:p w:rsidR="000A790C" w:rsidRPr="00F83BFF" w:rsidRDefault="00262AED" w:rsidP="00F83BFF">
      <w:pPr>
        <w:pStyle w:val="Heading3"/>
        <w:spacing w:before="0" w:line="240" w:lineRule="auto"/>
        <w:rPr>
          <w:rFonts w:ascii="Arial" w:hAnsi="Arial" w:cs="Arial"/>
          <w:sz w:val="20"/>
          <w:u w:val="none"/>
        </w:rPr>
      </w:pPr>
      <w:r w:rsidRPr="00F83BFF">
        <w:rPr>
          <w:rFonts w:ascii="Arial" w:hAnsi="Arial" w:cs="Arial"/>
          <w:sz w:val="20"/>
          <w:u w:val="none"/>
        </w:rPr>
        <w:t>The 2022 Budget projected economic growth of 2.1 per cent in 2022</w:t>
      </w:r>
      <w:r w:rsidR="00DB02E5" w:rsidRPr="00F83BFF">
        <w:rPr>
          <w:rFonts w:ascii="Arial" w:hAnsi="Arial" w:cs="Arial"/>
          <w:sz w:val="20"/>
          <w:u w:val="none"/>
        </w:rPr>
        <w:t>/23</w:t>
      </w:r>
      <w:r w:rsidRPr="00F83BFF">
        <w:rPr>
          <w:rFonts w:ascii="Arial" w:hAnsi="Arial" w:cs="Arial"/>
          <w:sz w:val="20"/>
          <w:u w:val="none"/>
        </w:rPr>
        <w:t xml:space="preserve">. </w:t>
      </w:r>
      <w:r w:rsidR="00DB02E5" w:rsidRPr="00F83BFF">
        <w:rPr>
          <w:rFonts w:ascii="Arial" w:hAnsi="Arial" w:cs="Arial"/>
          <w:sz w:val="20"/>
          <w:u w:val="none"/>
        </w:rPr>
        <w:t>Like</w:t>
      </w:r>
      <w:r w:rsidR="00A119F6" w:rsidRPr="00F83BFF">
        <w:rPr>
          <w:rFonts w:ascii="Arial" w:hAnsi="Arial" w:cs="Arial"/>
          <w:sz w:val="20"/>
          <w:u w:val="none"/>
        </w:rPr>
        <w:t xml:space="preserve"> the </w:t>
      </w:r>
      <w:r w:rsidR="00767191" w:rsidRPr="00F83BFF">
        <w:rPr>
          <w:rFonts w:ascii="Arial" w:hAnsi="Arial" w:cs="Arial"/>
          <w:sz w:val="20"/>
          <w:u w:val="none"/>
        </w:rPr>
        <w:t>South African Reserve Bank’s (</w:t>
      </w:r>
      <w:r w:rsidR="00A119F6" w:rsidRPr="00F83BFF">
        <w:rPr>
          <w:rFonts w:ascii="Arial" w:hAnsi="Arial" w:cs="Arial"/>
          <w:sz w:val="20"/>
          <w:u w:val="none"/>
        </w:rPr>
        <w:t>SARB’s</w:t>
      </w:r>
      <w:r w:rsidR="00767191" w:rsidRPr="00F83BFF">
        <w:rPr>
          <w:rFonts w:ascii="Arial" w:hAnsi="Arial" w:cs="Arial"/>
          <w:sz w:val="20"/>
          <w:u w:val="none"/>
        </w:rPr>
        <w:t>)</w:t>
      </w:r>
      <w:r w:rsidR="00A119F6" w:rsidRPr="00F83BFF">
        <w:rPr>
          <w:rFonts w:ascii="Arial" w:hAnsi="Arial" w:cs="Arial"/>
          <w:sz w:val="20"/>
          <w:u w:val="none"/>
        </w:rPr>
        <w:t xml:space="preserve"> projection in September 2022, t</w:t>
      </w:r>
      <w:r w:rsidRPr="00F83BFF">
        <w:rPr>
          <w:rFonts w:ascii="Arial" w:hAnsi="Arial" w:cs="Arial"/>
          <w:sz w:val="20"/>
          <w:u w:val="none"/>
        </w:rPr>
        <w:t xml:space="preserve">his has been revised down to 1.9 per cent. </w:t>
      </w:r>
      <w:r w:rsidR="003A3CDA" w:rsidRPr="00F83BFF">
        <w:rPr>
          <w:rFonts w:ascii="Arial" w:hAnsi="Arial" w:cs="Arial"/>
          <w:sz w:val="20"/>
          <w:u w:val="none"/>
        </w:rPr>
        <w:t xml:space="preserve">A downward revision of </w:t>
      </w:r>
      <w:r w:rsidR="006657CB" w:rsidRPr="00F83BFF">
        <w:rPr>
          <w:rFonts w:ascii="Arial" w:hAnsi="Arial" w:cs="Arial"/>
          <w:sz w:val="20"/>
          <w:u w:val="none"/>
        </w:rPr>
        <w:t>economic growth can be attributed to slower global growth</w:t>
      </w:r>
      <w:r w:rsidR="003A3CDA" w:rsidRPr="00F83BFF">
        <w:rPr>
          <w:rFonts w:ascii="Arial" w:hAnsi="Arial" w:cs="Arial"/>
          <w:sz w:val="20"/>
          <w:u w:val="none"/>
        </w:rPr>
        <w:t>;</w:t>
      </w:r>
      <w:r w:rsidR="006657CB" w:rsidRPr="00F83BFF">
        <w:rPr>
          <w:rFonts w:ascii="Arial" w:hAnsi="Arial" w:cs="Arial"/>
          <w:sz w:val="20"/>
          <w:u w:val="none"/>
        </w:rPr>
        <w:t xml:space="preserve"> impacts of flooding in KwaZulu-Natal and the Eastern Cape</w:t>
      </w:r>
      <w:r w:rsidR="003A3CDA" w:rsidRPr="00F83BFF">
        <w:rPr>
          <w:rFonts w:ascii="Arial" w:hAnsi="Arial" w:cs="Arial"/>
          <w:sz w:val="20"/>
          <w:u w:val="none"/>
        </w:rPr>
        <w:t xml:space="preserve"> provinces;</w:t>
      </w:r>
      <w:r w:rsidR="006657CB" w:rsidRPr="00F83BFF">
        <w:rPr>
          <w:rFonts w:ascii="Arial" w:hAnsi="Arial" w:cs="Arial"/>
          <w:sz w:val="20"/>
          <w:u w:val="none"/>
        </w:rPr>
        <w:t xml:space="preserve"> industrial action in certain sectors of the economy</w:t>
      </w:r>
      <w:r w:rsidR="003A3CDA" w:rsidRPr="00F83BFF">
        <w:rPr>
          <w:rFonts w:ascii="Arial" w:hAnsi="Arial" w:cs="Arial"/>
          <w:sz w:val="20"/>
          <w:u w:val="none"/>
        </w:rPr>
        <w:t>;</w:t>
      </w:r>
      <w:r w:rsidR="006657CB" w:rsidRPr="00F83BFF">
        <w:rPr>
          <w:rFonts w:ascii="Arial" w:hAnsi="Arial" w:cs="Arial"/>
          <w:sz w:val="20"/>
          <w:u w:val="none"/>
        </w:rPr>
        <w:t xml:space="preserve"> persistent electricity supply constraints</w:t>
      </w:r>
      <w:r w:rsidR="003A3CDA" w:rsidRPr="00F83BFF">
        <w:rPr>
          <w:rFonts w:ascii="Arial" w:hAnsi="Arial" w:cs="Arial"/>
          <w:sz w:val="20"/>
          <w:u w:val="none"/>
        </w:rPr>
        <w:t>;</w:t>
      </w:r>
      <w:r w:rsidR="00013778" w:rsidRPr="00F83BFF">
        <w:rPr>
          <w:rFonts w:ascii="Arial" w:hAnsi="Arial" w:cs="Arial"/>
          <w:sz w:val="20"/>
          <w:u w:val="none"/>
        </w:rPr>
        <w:t xml:space="preserve"> high inflation</w:t>
      </w:r>
      <w:r w:rsidR="003A3CDA" w:rsidRPr="00F83BFF">
        <w:rPr>
          <w:rFonts w:ascii="Arial" w:hAnsi="Arial" w:cs="Arial"/>
          <w:sz w:val="20"/>
          <w:u w:val="none"/>
        </w:rPr>
        <w:t>;</w:t>
      </w:r>
      <w:r w:rsidR="00013778" w:rsidRPr="00F83BFF">
        <w:rPr>
          <w:rFonts w:ascii="Arial" w:hAnsi="Arial" w:cs="Arial"/>
          <w:sz w:val="20"/>
          <w:u w:val="none"/>
        </w:rPr>
        <w:t xml:space="preserve"> and</w:t>
      </w:r>
      <w:r w:rsidR="00446B56" w:rsidRPr="00F83BFF">
        <w:rPr>
          <w:rFonts w:ascii="Arial" w:hAnsi="Arial" w:cs="Arial"/>
          <w:sz w:val="20"/>
          <w:u w:val="none"/>
        </w:rPr>
        <w:t xml:space="preserve"> low levels of investment and employment. </w:t>
      </w:r>
    </w:p>
    <w:p w:rsidR="00B73DE7" w:rsidRPr="00F83BFF" w:rsidRDefault="006A053B"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A97663" w:rsidRPr="00F83BFF">
        <w:rPr>
          <w:rFonts w:ascii="Arial" w:hAnsi="Arial" w:cs="Arial"/>
          <w:sz w:val="20"/>
          <w:u w:val="none"/>
        </w:rPr>
        <w:t xml:space="preserve">2022 </w:t>
      </w:r>
      <w:r w:rsidRPr="00F83BFF">
        <w:rPr>
          <w:rFonts w:ascii="Arial" w:hAnsi="Arial" w:cs="Arial"/>
          <w:sz w:val="20"/>
          <w:u w:val="none"/>
        </w:rPr>
        <w:t>MTB</w:t>
      </w:r>
      <w:r w:rsidR="00F23436" w:rsidRPr="00F83BFF">
        <w:rPr>
          <w:rFonts w:ascii="Arial" w:hAnsi="Arial" w:cs="Arial"/>
          <w:sz w:val="20"/>
          <w:u w:val="none"/>
        </w:rPr>
        <w:t>P</w:t>
      </w:r>
      <w:r w:rsidRPr="00F83BFF">
        <w:rPr>
          <w:rFonts w:ascii="Arial" w:hAnsi="Arial" w:cs="Arial"/>
          <w:sz w:val="20"/>
          <w:u w:val="none"/>
        </w:rPr>
        <w:t>S reported that s</w:t>
      </w:r>
      <w:r w:rsidR="006657CB" w:rsidRPr="00F83BFF">
        <w:rPr>
          <w:rFonts w:ascii="Arial" w:hAnsi="Arial" w:cs="Arial"/>
          <w:sz w:val="20"/>
          <w:u w:val="none"/>
        </w:rPr>
        <w:t xml:space="preserve">ince the </w:t>
      </w:r>
      <w:r w:rsidR="00A97663" w:rsidRPr="00F83BFF">
        <w:rPr>
          <w:rFonts w:ascii="Arial" w:hAnsi="Arial" w:cs="Arial"/>
          <w:sz w:val="20"/>
          <w:u w:val="none"/>
        </w:rPr>
        <w:t xml:space="preserve">tabling of the </w:t>
      </w:r>
      <w:r w:rsidR="006657CB" w:rsidRPr="00F83BFF">
        <w:rPr>
          <w:rFonts w:ascii="Arial" w:hAnsi="Arial" w:cs="Arial"/>
          <w:sz w:val="20"/>
          <w:u w:val="none"/>
        </w:rPr>
        <w:t>2022 Budget, global and domestic risks to the eco</w:t>
      </w:r>
      <w:r w:rsidR="00F13B22" w:rsidRPr="00F83BFF">
        <w:rPr>
          <w:rFonts w:ascii="Arial" w:hAnsi="Arial" w:cs="Arial"/>
          <w:sz w:val="20"/>
          <w:u w:val="none"/>
        </w:rPr>
        <w:t>nomic outlook have materialised</w:t>
      </w:r>
      <w:r w:rsidR="006657CB" w:rsidRPr="00F83BFF">
        <w:rPr>
          <w:rFonts w:ascii="Arial" w:hAnsi="Arial" w:cs="Arial"/>
          <w:sz w:val="20"/>
          <w:u w:val="none"/>
        </w:rPr>
        <w:t>.</w:t>
      </w:r>
      <w:r w:rsidR="00013778" w:rsidRPr="00F83BFF">
        <w:rPr>
          <w:rFonts w:ascii="Arial" w:hAnsi="Arial" w:cs="Arial"/>
          <w:sz w:val="20"/>
          <w:u w:val="none"/>
        </w:rPr>
        <w:t xml:space="preserve"> </w:t>
      </w:r>
      <w:r w:rsidR="006657CB" w:rsidRPr="00F83BFF">
        <w:rPr>
          <w:rFonts w:ascii="Arial" w:hAnsi="Arial" w:cs="Arial"/>
          <w:sz w:val="20"/>
          <w:u w:val="none"/>
        </w:rPr>
        <w:t xml:space="preserve">GDP growth is expected to average 1.6 per cent in the next three years. </w:t>
      </w:r>
      <w:r w:rsidR="00F23436" w:rsidRPr="00F83BFF">
        <w:rPr>
          <w:rFonts w:ascii="Arial" w:hAnsi="Arial" w:cs="Arial"/>
          <w:sz w:val="20"/>
          <w:u w:val="none"/>
        </w:rPr>
        <w:t xml:space="preserve">The </w:t>
      </w:r>
      <w:r w:rsidR="001708C0" w:rsidRPr="00F83BFF">
        <w:rPr>
          <w:rFonts w:ascii="Arial" w:hAnsi="Arial" w:cs="Arial"/>
          <w:sz w:val="20"/>
          <w:u w:val="none"/>
        </w:rPr>
        <w:t>N</w:t>
      </w:r>
      <w:r w:rsidR="00F23436" w:rsidRPr="00F83BFF">
        <w:rPr>
          <w:rFonts w:ascii="Arial" w:hAnsi="Arial" w:cs="Arial"/>
          <w:sz w:val="20"/>
          <w:u w:val="none"/>
        </w:rPr>
        <w:t xml:space="preserve">ational </w:t>
      </w:r>
      <w:r w:rsidR="001708C0" w:rsidRPr="00F83BFF">
        <w:rPr>
          <w:rFonts w:ascii="Arial" w:hAnsi="Arial" w:cs="Arial"/>
          <w:sz w:val="20"/>
          <w:u w:val="none"/>
        </w:rPr>
        <w:t>T</w:t>
      </w:r>
      <w:r w:rsidR="00F23436" w:rsidRPr="00F83BFF">
        <w:rPr>
          <w:rFonts w:ascii="Arial" w:hAnsi="Arial" w:cs="Arial"/>
          <w:sz w:val="20"/>
          <w:u w:val="none"/>
        </w:rPr>
        <w:t>reasury</w:t>
      </w:r>
      <w:r w:rsidR="001708C0" w:rsidRPr="00F83BFF">
        <w:rPr>
          <w:rFonts w:ascii="Arial" w:hAnsi="Arial" w:cs="Arial"/>
          <w:sz w:val="20"/>
          <w:u w:val="none"/>
        </w:rPr>
        <w:t xml:space="preserve"> expects </w:t>
      </w:r>
      <w:r w:rsidR="00F876EA" w:rsidRPr="00F83BFF">
        <w:rPr>
          <w:rFonts w:ascii="Arial" w:hAnsi="Arial" w:cs="Arial"/>
          <w:sz w:val="20"/>
          <w:u w:val="none"/>
        </w:rPr>
        <w:t xml:space="preserve">GDP growth over the medium term </w:t>
      </w:r>
      <w:r w:rsidR="001708C0" w:rsidRPr="00F83BFF">
        <w:rPr>
          <w:rFonts w:ascii="Arial" w:hAnsi="Arial" w:cs="Arial"/>
          <w:sz w:val="20"/>
          <w:u w:val="none"/>
        </w:rPr>
        <w:t>to</w:t>
      </w:r>
      <w:r w:rsidR="00F876EA" w:rsidRPr="00F83BFF">
        <w:rPr>
          <w:rFonts w:ascii="Arial" w:hAnsi="Arial" w:cs="Arial"/>
          <w:sz w:val="20"/>
          <w:u w:val="none"/>
        </w:rPr>
        <w:t xml:space="preserve"> be </w:t>
      </w:r>
      <w:r w:rsidR="00D84F29" w:rsidRPr="00F83BFF">
        <w:rPr>
          <w:rFonts w:ascii="Arial" w:hAnsi="Arial" w:cs="Arial"/>
          <w:sz w:val="20"/>
          <w:u w:val="none"/>
        </w:rPr>
        <w:t>supported</w:t>
      </w:r>
      <w:r w:rsidR="00F876EA" w:rsidRPr="00F83BFF">
        <w:rPr>
          <w:rFonts w:ascii="Arial" w:hAnsi="Arial" w:cs="Arial"/>
          <w:sz w:val="20"/>
          <w:u w:val="none"/>
        </w:rPr>
        <w:t xml:space="preserve"> </w:t>
      </w:r>
      <w:r w:rsidR="00D13523" w:rsidRPr="00F83BFF">
        <w:rPr>
          <w:rFonts w:ascii="Arial" w:hAnsi="Arial" w:cs="Arial"/>
          <w:sz w:val="20"/>
          <w:u w:val="none"/>
        </w:rPr>
        <w:t>through</w:t>
      </w:r>
      <w:r w:rsidR="00F876EA" w:rsidRPr="00F83BFF">
        <w:rPr>
          <w:rFonts w:ascii="Arial" w:hAnsi="Arial" w:cs="Arial"/>
          <w:sz w:val="20"/>
          <w:u w:val="none"/>
        </w:rPr>
        <w:t xml:space="preserve"> impl</w:t>
      </w:r>
      <w:r w:rsidR="00767191" w:rsidRPr="00F83BFF">
        <w:rPr>
          <w:rFonts w:ascii="Arial" w:hAnsi="Arial" w:cs="Arial"/>
          <w:sz w:val="20"/>
          <w:u w:val="none"/>
        </w:rPr>
        <w:t xml:space="preserve">ementing </w:t>
      </w:r>
      <w:r w:rsidR="00D84F29" w:rsidRPr="00F83BFF">
        <w:rPr>
          <w:rFonts w:ascii="Arial" w:hAnsi="Arial" w:cs="Arial"/>
          <w:sz w:val="20"/>
          <w:u w:val="none"/>
        </w:rPr>
        <w:t>economic reforms</w:t>
      </w:r>
      <w:r w:rsidR="00373608" w:rsidRPr="00F83BFF">
        <w:rPr>
          <w:rFonts w:ascii="Arial" w:hAnsi="Arial" w:cs="Arial"/>
          <w:sz w:val="20"/>
          <w:u w:val="none"/>
        </w:rPr>
        <w:t xml:space="preserve">, </w:t>
      </w:r>
      <w:r w:rsidR="00767191" w:rsidRPr="00F83BFF">
        <w:rPr>
          <w:rFonts w:ascii="Arial" w:hAnsi="Arial" w:cs="Arial"/>
          <w:sz w:val="20"/>
          <w:u w:val="none"/>
        </w:rPr>
        <w:t>particularly with</w:t>
      </w:r>
      <w:r w:rsidR="00D13523" w:rsidRPr="00F83BFF">
        <w:rPr>
          <w:rFonts w:ascii="Arial" w:hAnsi="Arial" w:cs="Arial"/>
          <w:sz w:val="20"/>
          <w:u w:val="none"/>
        </w:rPr>
        <w:t>in</w:t>
      </w:r>
      <w:r w:rsidR="00097F30" w:rsidRPr="00F83BFF">
        <w:rPr>
          <w:rFonts w:ascii="Arial" w:hAnsi="Arial" w:cs="Arial"/>
          <w:sz w:val="20"/>
          <w:u w:val="none"/>
        </w:rPr>
        <w:t xml:space="preserve"> the energy </w:t>
      </w:r>
      <w:r w:rsidR="00D13523" w:rsidRPr="00F83BFF">
        <w:rPr>
          <w:rFonts w:ascii="Arial" w:hAnsi="Arial" w:cs="Arial"/>
          <w:sz w:val="20"/>
          <w:u w:val="none"/>
        </w:rPr>
        <w:t>sector,</w:t>
      </w:r>
      <w:r w:rsidR="00097F30" w:rsidRPr="00F83BFF">
        <w:rPr>
          <w:rFonts w:ascii="Arial" w:hAnsi="Arial" w:cs="Arial"/>
          <w:sz w:val="20"/>
          <w:u w:val="none"/>
        </w:rPr>
        <w:t xml:space="preserve"> </w:t>
      </w:r>
      <w:r w:rsidR="00373608" w:rsidRPr="00F83BFF">
        <w:rPr>
          <w:rFonts w:ascii="Arial" w:hAnsi="Arial" w:cs="Arial"/>
          <w:sz w:val="20"/>
          <w:u w:val="none"/>
        </w:rPr>
        <w:t>stable public finances and medium</w:t>
      </w:r>
      <w:r w:rsidR="003A1F4A" w:rsidRPr="00F83BFF">
        <w:rPr>
          <w:rFonts w:ascii="Arial" w:hAnsi="Arial" w:cs="Arial"/>
          <w:sz w:val="20"/>
          <w:u w:val="none"/>
        </w:rPr>
        <w:t>-</w:t>
      </w:r>
      <w:r w:rsidR="00373608" w:rsidRPr="00F83BFF">
        <w:rPr>
          <w:rFonts w:ascii="Arial" w:hAnsi="Arial" w:cs="Arial"/>
          <w:sz w:val="20"/>
          <w:u w:val="none"/>
        </w:rPr>
        <w:t>term spending increases</w:t>
      </w:r>
      <w:r w:rsidR="00D84F29" w:rsidRPr="00F83BFF">
        <w:rPr>
          <w:rFonts w:ascii="Arial" w:hAnsi="Arial" w:cs="Arial"/>
          <w:sz w:val="20"/>
          <w:u w:val="none"/>
        </w:rPr>
        <w:t xml:space="preserve">. </w:t>
      </w:r>
      <w:r w:rsidR="00EC4254" w:rsidRPr="00F83BFF">
        <w:rPr>
          <w:rFonts w:ascii="Arial" w:hAnsi="Arial" w:cs="Arial"/>
          <w:sz w:val="20"/>
          <w:u w:val="none"/>
        </w:rPr>
        <w:t xml:space="preserve">The </w:t>
      </w:r>
      <w:r w:rsidR="00A97663" w:rsidRPr="00F83BFF">
        <w:rPr>
          <w:rFonts w:ascii="Arial" w:hAnsi="Arial" w:cs="Arial"/>
          <w:sz w:val="20"/>
          <w:u w:val="none"/>
        </w:rPr>
        <w:t>negative</w:t>
      </w:r>
      <w:r w:rsidR="00EC4254" w:rsidRPr="00F83BFF">
        <w:rPr>
          <w:rFonts w:ascii="Arial" w:hAnsi="Arial" w:cs="Arial"/>
          <w:sz w:val="20"/>
          <w:u w:val="none"/>
        </w:rPr>
        <w:t xml:space="preserve"> impact of the pandemic on employment and investment decisions </w:t>
      </w:r>
      <w:r w:rsidR="00A97663" w:rsidRPr="00F83BFF">
        <w:rPr>
          <w:rFonts w:ascii="Arial" w:hAnsi="Arial" w:cs="Arial"/>
          <w:sz w:val="20"/>
          <w:u w:val="none"/>
        </w:rPr>
        <w:t>is expected to</w:t>
      </w:r>
      <w:r w:rsidR="00EC4254" w:rsidRPr="00F83BFF">
        <w:rPr>
          <w:rFonts w:ascii="Arial" w:hAnsi="Arial" w:cs="Arial"/>
          <w:sz w:val="20"/>
          <w:u w:val="none"/>
        </w:rPr>
        <w:t xml:space="preserve"> weigh on the recovery over the medium term. </w:t>
      </w:r>
    </w:p>
    <w:p w:rsidR="00242995" w:rsidRPr="00F83BFF" w:rsidRDefault="00242995" w:rsidP="00F83BFF">
      <w:pPr>
        <w:pStyle w:val="Heading3"/>
        <w:spacing w:before="0" w:line="240" w:lineRule="auto"/>
        <w:rPr>
          <w:rFonts w:ascii="Arial" w:hAnsi="Arial" w:cs="Arial"/>
          <w:sz w:val="20"/>
          <w:u w:val="none"/>
        </w:rPr>
      </w:pPr>
      <w:r w:rsidRPr="00F83BFF">
        <w:rPr>
          <w:rFonts w:ascii="Arial" w:hAnsi="Arial" w:cs="Arial"/>
          <w:sz w:val="20"/>
          <w:u w:val="none"/>
        </w:rPr>
        <w:t>R</w:t>
      </w:r>
      <w:r w:rsidR="00AD3275" w:rsidRPr="00F83BFF">
        <w:rPr>
          <w:rFonts w:ascii="Arial" w:hAnsi="Arial" w:cs="Arial"/>
          <w:sz w:val="20"/>
          <w:u w:val="none"/>
        </w:rPr>
        <w:t xml:space="preserve">isks to the </w:t>
      </w:r>
      <w:r w:rsidRPr="00F83BFF">
        <w:rPr>
          <w:rFonts w:ascii="Arial" w:hAnsi="Arial" w:cs="Arial"/>
          <w:sz w:val="20"/>
          <w:u w:val="none"/>
        </w:rPr>
        <w:t xml:space="preserve">global and domestic </w:t>
      </w:r>
      <w:r w:rsidR="00AD3275" w:rsidRPr="00F83BFF">
        <w:rPr>
          <w:rFonts w:ascii="Arial" w:hAnsi="Arial" w:cs="Arial"/>
          <w:sz w:val="20"/>
          <w:u w:val="none"/>
        </w:rPr>
        <w:t xml:space="preserve">outlook </w:t>
      </w:r>
      <w:r w:rsidR="00A3353D" w:rsidRPr="00F83BFF">
        <w:rPr>
          <w:rFonts w:ascii="Arial" w:hAnsi="Arial" w:cs="Arial"/>
          <w:sz w:val="20"/>
          <w:u w:val="none"/>
        </w:rPr>
        <w:t>include</w:t>
      </w:r>
      <w:r w:rsidR="00AD3275" w:rsidRPr="00F83BFF">
        <w:rPr>
          <w:rFonts w:ascii="Arial" w:hAnsi="Arial" w:cs="Arial"/>
          <w:sz w:val="20"/>
          <w:u w:val="none"/>
        </w:rPr>
        <w:t xml:space="preserve"> </w:t>
      </w:r>
      <w:r w:rsidRPr="00F83BFF">
        <w:rPr>
          <w:rFonts w:ascii="Arial" w:hAnsi="Arial" w:cs="Arial"/>
          <w:sz w:val="20"/>
          <w:u w:val="none"/>
        </w:rPr>
        <w:t>unresolved s</w:t>
      </w:r>
      <w:r w:rsidR="0028341F" w:rsidRPr="00F83BFF">
        <w:rPr>
          <w:rFonts w:ascii="Arial" w:hAnsi="Arial" w:cs="Arial"/>
          <w:sz w:val="20"/>
          <w:u w:val="none"/>
        </w:rPr>
        <w:t>tructural constraints to growth</w:t>
      </w:r>
      <w:r w:rsidR="00A3353D" w:rsidRPr="00F83BFF">
        <w:rPr>
          <w:rFonts w:ascii="Arial" w:hAnsi="Arial" w:cs="Arial"/>
          <w:sz w:val="20"/>
          <w:u w:val="none"/>
        </w:rPr>
        <w:t>,</w:t>
      </w:r>
      <w:r w:rsidRPr="00F83BFF">
        <w:rPr>
          <w:rFonts w:ascii="Arial" w:hAnsi="Arial" w:cs="Arial"/>
          <w:sz w:val="20"/>
          <w:u w:val="none"/>
        </w:rPr>
        <w:t xml:space="preserve"> </w:t>
      </w:r>
      <w:r w:rsidR="0028341F" w:rsidRPr="00F83BFF">
        <w:rPr>
          <w:rFonts w:ascii="Arial" w:hAnsi="Arial" w:cs="Arial"/>
          <w:sz w:val="20"/>
          <w:u w:val="none"/>
        </w:rPr>
        <w:t>slower global growth</w:t>
      </w:r>
      <w:r w:rsidR="00A3353D" w:rsidRPr="00F83BFF">
        <w:rPr>
          <w:rFonts w:ascii="Arial" w:hAnsi="Arial" w:cs="Arial"/>
          <w:sz w:val="20"/>
          <w:u w:val="none"/>
        </w:rPr>
        <w:t>,</w:t>
      </w:r>
      <w:r w:rsidRPr="00F83BFF">
        <w:rPr>
          <w:rFonts w:ascii="Arial" w:hAnsi="Arial" w:cs="Arial"/>
          <w:sz w:val="20"/>
          <w:u w:val="none"/>
        </w:rPr>
        <w:t xml:space="preserve"> continued tightening of monetary policy, increased power c</w:t>
      </w:r>
      <w:r w:rsidR="0028341F" w:rsidRPr="00F83BFF">
        <w:rPr>
          <w:rFonts w:ascii="Arial" w:hAnsi="Arial" w:cs="Arial"/>
          <w:sz w:val="20"/>
          <w:u w:val="none"/>
        </w:rPr>
        <w:t>uts</w:t>
      </w:r>
      <w:r w:rsidR="00A3353D" w:rsidRPr="00F83BFF">
        <w:rPr>
          <w:rFonts w:ascii="Arial" w:hAnsi="Arial" w:cs="Arial"/>
          <w:sz w:val="20"/>
          <w:u w:val="none"/>
        </w:rPr>
        <w:t>,</w:t>
      </w:r>
      <w:r w:rsidRPr="00F83BFF">
        <w:rPr>
          <w:rFonts w:ascii="Arial" w:hAnsi="Arial" w:cs="Arial"/>
          <w:sz w:val="20"/>
          <w:u w:val="none"/>
        </w:rPr>
        <w:t xml:space="preserve"> a deteriorati</w:t>
      </w:r>
      <w:r w:rsidR="00E62FF8" w:rsidRPr="00F83BFF">
        <w:rPr>
          <w:rFonts w:ascii="Arial" w:hAnsi="Arial" w:cs="Arial"/>
          <w:sz w:val="20"/>
          <w:u w:val="none"/>
        </w:rPr>
        <w:t>ng</w:t>
      </w:r>
      <w:r w:rsidRPr="00F83BFF">
        <w:rPr>
          <w:rFonts w:ascii="Arial" w:hAnsi="Arial" w:cs="Arial"/>
          <w:sz w:val="20"/>
          <w:u w:val="none"/>
        </w:rPr>
        <w:t xml:space="preserve"> fiscal outlook due to</w:t>
      </w:r>
      <w:r w:rsidR="0028341F" w:rsidRPr="00F83BFF">
        <w:rPr>
          <w:rFonts w:ascii="Arial" w:hAnsi="Arial" w:cs="Arial"/>
          <w:sz w:val="20"/>
          <w:u w:val="none"/>
        </w:rPr>
        <w:t xml:space="preserve"> unfunded spending pressures and</w:t>
      </w:r>
      <w:r w:rsidR="00E62FF8" w:rsidRPr="00F83BFF">
        <w:rPr>
          <w:rFonts w:ascii="Arial" w:hAnsi="Arial" w:cs="Arial"/>
          <w:sz w:val="20"/>
          <w:u w:val="none"/>
        </w:rPr>
        <w:t>,</w:t>
      </w:r>
      <w:r w:rsidR="0028341F" w:rsidRPr="00F83BFF">
        <w:rPr>
          <w:rFonts w:ascii="Arial" w:hAnsi="Arial" w:cs="Arial"/>
          <w:sz w:val="20"/>
          <w:u w:val="none"/>
        </w:rPr>
        <w:t xml:space="preserve"> </w:t>
      </w:r>
      <w:r w:rsidRPr="00F83BFF">
        <w:rPr>
          <w:rFonts w:ascii="Arial" w:hAnsi="Arial" w:cs="Arial"/>
          <w:sz w:val="20"/>
          <w:u w:val="none"/>
        </w:rPr>
        <w:t xml:space="preserve">the materialisation of contingent liabilities.  </w:t>
      </w:r>
    </w:p>
    <w:p w:rsidR="00693925" w:rsidRPr="00F83BFF" w:rsidRDefault="00693925" w:rsidP="00F83BFF">
      <w:pPr>
        <w:pStyle w:val="Caption"/>
        <w:spacing w:before="0" w:after="0"/>
        <w:rPr>
          <w:rFonts w:ascii="Arial" w:hAnsi="Arial" w:cs="Arial"/>
        </w:rPr>
      </w:pPr>
      <w:r w:rsidRPr="00F83BFF">
        <w:rPr>
          <w:rFonts w:ascii="Arial" w:hAnsi="Arial" w:cs="Arial"/>
        </w:rPr>
        <w:t>Table 1:</w:t>
      </w:r>
      <w:r w:rsidR="00262FE3" w:rsidRPr="00F83BFF">
        <w:rPr>
          <w:rFonts w:ascii="Arial" w:hAnsi="Arial" w:cs="Arial"/>
        </w:rPr>
        <w:t xml:space="preserve"> </w:t>
      </w:r>
      <w:r w:rsidR="007D5070" w:rsidRPr="00F83BFF">
        <w:rPr>
          <w:rFonts w:ascii="Arial" w:hAnsi="Arial" w:cs="Arial"/>
        </w:rPr>
        <w:t>M</w:t>
      </w:r>
      <w:r w:rsidR="00262FE3" w:rsidRPr="00F83BFF">
        <w:rPr>
          <w:rFonts w:ascii="Arial" w:hAnsi="Arial" w:cs="Arial"/>
        </w:rPr>
        <w:t xml:space="preserve">acroeconomic </w:t>
      </w:r>
      <w:r w:rsidR="00D6331B" w:rsidRPr="00F83BFF">
        <w:rPr>
          <w:rFonts w:ascii="Arial" w:hAnsi="Arial" w:cs="Arial"/>
        </w:rPr>
        <w:t xml:space="preserve">performance and </w:t>
      </w:r>
      <w:r w:rsidR="007D5070" w:rsidRPr="00F83BFF">
        <w:rPr>
          <w:rFonts w:ascii="Arial" w:hAnsi="Arial" w:cs="Arial"/>
        </w:rPr>
        <w:t xml:space="preserve">revised </w:t>
      </w:r>
      <w:r w:rsidR="00262FE3" w:rsidRPr="00F83BFF">
        <w:rPr>
          <w:rFonts w:ascii="Arial" w:hAnsi="Arial" w:cs="Arial"/>
        </w:rPr>
        <w:t>projections</w:t>
      </w:r>
    </w:p>
    <w:tbl>
      <w:tblPr>
        <w:tblW w:w="9171" w:type="dxa"/>
        <w:tblLook w:val="04A0"/>
      </w:tblPr>
      <w:tblGrid>
        <w:gridCol w:w="3705"/>
        <w:gridCol w:w="808"/>
        <w:gridCol w:w="1239"/>
        <w:gridCol w:w="1363"/>
        <w:gridCol w:w="1075"/>
        <w:gridCol w:w="1097"/>
      </w:tblGrid>
      <w:tr w:rsidR="00EB0B39" w:rsidRPr="00F83BFF" w:rsidTr="00C14227">
        <w:trPr>
          <w:trHeight w:val="283"/>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Real percentage growth</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EB0B39" w:rsidRPr="00F83BFF" w:rsidRDefault="00EB0B39" w:rsidP="00F83BFF">
            <w:pPr>
              <w:ind w:firstLineChars="100" w:firstLine="201"/>
              <w:rPr>
                <w:rFonts w:ascii="Arial" w:hAnsi="Arial" w:cs="Arial"/>
                <w:b/>
                <w:bCs/>
                <w:sz w:val="20"/>
                <w:lang w:val="en-ZA" w:eastAsia="en-ZA"/>
              </w:rPr>
            </w:pPr>
            <w:r w:rsidRPr="00F83BFF">
              <w:rPr>
                <w:rFonts w:ascii="Arial" w:hAnsi="Arial" w:cs="Arial"/>
                <w:b/>
                <w:bCs/>
                <w:sz w:val="20"/>
                <w:lang w:val="en-ZA" w:eastAsia="en-ZA"/>
              </w:rPr>
              <w:t>2021</w:t>
            </w:r>
          </w:p>
        </w:tc>
        <w:tc>
          <w:tcPr>
            <w:tcW w:w="1274" w:type="dxa"/>
            <w:tcBorders>
              <w:top w:val="single" w:sz="4" w:space="0" w:color="auto"/>
              <w:left w:val="nil"/>
              <w:bottom w:val="single" w:sz="4" w:space="0" w:color="auto"/>
              <w:right w:val="single" w:sz="4" w:space="0" w:color="auto"/>
            </w:tcBorders>
            <w:shd w:val="clear" w:color="auto" w:fill="auto"/>
            <w:noWrap/>
            <w:hideMark/>
          </w:tcPr>
          <w:p w:rsidR="00EB0B39" w:rsidRPr="00F83BFF" w:rsidRDefault="00EB0B39" w:rsidP="00F83BFF">
            <w:pPr>
              <w:ind w:firstLineChars="100" w:firstLine="201"/>
              <w:rPr>
                <w:rFonts w:ascii="Arial" w:hAnsi="Arial" w:cs="Arial"/>
                <w:b/>
                <w:bCs/>
                <w:sz w:val="20"/>
                <w:lang w:val="en-ZA" w:eastAsia="en-ZA"/>
              </w:rPr>
            </w:pPr>
            <w:r w:rsidRPr="00F83BFF">
              <w:rPr>
                <w:rFonts w:ascii="Arial" w:hAnsi="Arial" w:cs="Arial"/>
                <w:b/>
                <w:bCs/>
                <w:sz w:val="20"/>
                <w:lang w:val="en-ZA" w:eastAsia="en-ZA"/>
              </w:rPr>
              <w:t>2022</w:t>
            </w:r>
          </w:p>
        </w:tc>
        <w:tc>
          <w:tcPr>
            <w:tcW w:w="1402" w:type="dxa"/>
            <w:tcBorders>
              <w:top w:val="single" w:sz="4" w:space="0" w:color="auto"/>
              <w:left w:val="nil"/>
              <w:bottom w:val="single" w:sz="4" w:space="0" w:color="auto"/>
              <w:right w:val="single" w:sz="4" w:space="0" w:color="auto"/>
            </w:tcBorders>
            <w:shd w:val="clear" w:color="auto" w:fill="auto"/>
            <w:noWrap/>
            <w:vAlign w:val="center"/>
            <w:hideMark/>
          </w:tcPr>
          <w:p w:rsidR="00EB0B39" w:rsidRPr="00F83BFF" w:rsidRDefault="00EB0B39" w:rsidP="00F83BFF">
            <w:pPr>
              <w:ind w:firstLineChars="100" w:firstLine="201"/>
              <w:rPr>
                <w:rFonts w:ascii="Arial" w:hAnsi="Arial" w:cs="Arial"/>
                <w:b/>
                <w:bCs/>
                <w:sz w:val="20"/>
                <w:lang w:val="en-ZA" w:eastAsia="en-ZA"/>
              </w:rPr>
            </w:pPr>
            <w:r w:rsidRPr="00F83BFF">
              <w:rPr>
                <w:rFonts w:ascii="Arial" w:hAnsi="Arial" w:cs="Arial"/>
                <w:b/>
                <w:bCs/>
                <w:sz w:val="20"/>
                <w:lang w:val="en-ZA" w:eastAsia="en-ZA"/>
              </w:rPr>
              <w:t>2023</w:t>
            </w:r>
          </w:p>
        </w:tc>
        <w:tc>
          <w:tcPr>
            <w:tcW w:w="1104" w:type="dxa"/>
            <w:tcBorders>
              <w:top w:val="single" w:sz="4" w:space="0" w:color="auto"/>
              <w:left w:val="nil"/>
              <w:bottom w:val="single" w:sz="4" w:space="0" w:color="auto"/>
              <w:right w:val="single" w:sz="4" w:space="0" w:color="auto"/>
            </w:tcBorders>
            <w:shd w:val="clear" w:color="auto" w:fill="auto"/>
            <w:noWrap/>
            <w:hideMark/>
          </w:tcPr>
          <w:p w:rsidR="00EB0B39" w:rsidRPr="00F83BFF" w:rsidRDefault="00EB0B39" w:rsidP="00F83BFF">
            <w:pPr>
              <w:ind w:firstLineChars="100" w:firstLine="201"/>
              <w:rPr>
                <w:rFonts w:ascii="Arial" w:hAnsi="Arial" w:cs="Arial"/>
                <w:b/>
                <w:bCs/>
                <w:sz w:val="20"/>
                <w:lang w:val="en-ZA" w:eastAsia="en-ZA"/>
              </w:rPr>
            </w:pPr>
            <w:r w:rsidRPr="00F83BFF">
              <w:rPr>
                <w:rFonts w:ascii="Arial" w:hAnsi="Arial" w:cs="Arial"/>
                <w:b/>
                <w:bCs/>
                <w:sz w:val="20"/>
                <w:lang w:val="en-ZA" w:eastAsia="en-ZA"/>
              </w:rPr>
              <w:t>2024</w:t>
            </w:r>
          </w:p>
        </w:tc>
        <w:tc>
          <w:tcPr>
            <w:tcW w:w="1127" w:type="dxa"/>
            <w:tcBorders>
              <w:top w:val="single" w:sz="4" w:space="0" w:color="auto"/>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2025</w:t>
            </w:r>
          </w:p>
        </w:tc>
      </w:tr>
      <w:tr w:rsidR="00EB0B39" w:rsidRPr="00F83BFF" w:rsidTr="00C14227">
        <w:trPr>
          <w:trHeight w:val="283"/>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EB0B39" w:rsidRPr="00F83BFF" w:rsidRDefault="00EB0B39" w:rsidP="00F83BFF">
            <w:pPr>
              <w:rPr>
                <w:rFonts w:ascii="Arial" w:hAnsi="Arial" w:cs="Arial"/>
                <w:b/>
                <w:bCs/>
                <w:sz w:val="20"/>
                <w:lang w:val="en-ZA" w:eastAsia="en-ZA"/>
              </w:rPr>
            </w:pPr>
          </w:p>
        </w:tc>
        <w:tc>
          <w:tcPr>
            <w:tcW w:w="441" w:type="dxa"/>
            <w:tcBorders>
              <w:top w:val="nil"/>
              <w:left w:val="nil"/>
              <w:bottom w:val="nil"/>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Actual</w:t>
            </w:r>
          </w:p>
        </w:tc>
        <w:tc>
          <w:tcPr>
            <w:tcW w:w="1274" w:type="dxa"/>
            <w:tcBorders>
              <w:top w:val="nil"/>
              <w:left w:val="nil"/>
              <w:bottom w:val="nil"/>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Estimate</w:t>
            </w:r>
          </w:p>
        </w:tc>
        <w:tc>
          <w:tcPr>
            <w:tcW w:w="3633" w:type="dxa"/>
            <w:gridSpan w:val="3"/>
            <w:tcBorders>
              <w:top w:val="single" w:sz="4" w:space="0" w:color="auto"/>
              <w:left w:val="nil"/>
              <w:bottom w:val="single" w:sz="4" w:space="0" w:color="auto"/>
              <w:right w:val="single" w:sz="4" w:space="0" w:color="auto"/>
            </w:tcBorders>
            <w:shd w:val="clear" w:color="auto" w:fill="auto"/>
            <w:vAlign w:val="center"/>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Forecast</w:t>
            </w:r>
          </w:p>
        </w:tc>
      </w:tr>
      <w:tr w:rsidR="00EB0B39" w:rsidRPr="00F83BFF" w:rsidTr="00C14227">
        <w:trPr>
          <w:trHeight w:val="283"/>
        </w:trPr>
        <w:tc>
          <w:tcPr>
            <w:tcW w:w="3823" w:type="dxa"/>
            <w:tcBorders>
              <w:top w:val="nil"/>
              <w:left w:val="single" w:sz="4" w:space="0" w:color="auto"/>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Household consumption</w:t>
            </w:r>
          </w:p>
        </w:tc>
        <w:tc>
          <w:tcPr>
            <w:tcW w:w="441" w:type="dxa"/>
            <w:tcBorders>
              <w:top w:val="single" w:sz="4" w:space="0" w:color="auto"/>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5.6    </w:t>
            </w:r>
          </w:p>
        </w:tc>
        <w:tc>
          <w:tcPr>
            <w:tcW w:w="1274" w:type="dxa"/>
            <w:tcBorders>
              <w:top w:val="single" w:sz="4" w:space="0" w:color="auto"/>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2.9    </w:t>
            </w:r>
          </w:p>
        </w:tc>
        <w:tc>
          <w:tcPr>
            <w:tcW w:w="1402"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1.6    </w:t>
            </w:r>
          </w:p>
        </w:tc>
        <w:tc>
          <w:tcPr>
            <w:tcW w:w="110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1.7    </w:t>
            </w:r>
          </w:p>
        </w:tc>
        <w:tc>
          <w:tcPr>
            <w:tcW w:w="1127"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1.8    </w:t>
            </w:r>
          </w:p>
        </w:tc>
      </w:tr>
      <w:tr w:rsidR="00EB0B39" w:rsidRPr="00F83BFF" w:rsidTr="00E9779F">
        <w:trPr>
          <w:trHeight w:val="367"/>
        </w:trPr>
        <w:tc>
          <w:tcPr>
            <w:tcW w:w="3823" w:type="dxa"/>
            <w:tcBorders>
              <w:top w:val="nil"/>
              <w:left w:val="single" w:sz="4" w:space="0" w:color="auto"/>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Gross fixed capital formation</w:t>
            </w:r>
          </w:p>
        </w:tc>
        <w:tc>
          <w:tcPr>
            <w:tcW w:w="441"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0.2    </w:t>
            </w:r>
          </w:p>
        </w:tc>
        <w:tc>
          <w:tcPr>
            <w:tcW w:w="127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4.0    </w:t>
            </w:r>
          </w:p>
        </w:tc>
        <w:tc>
          <w:tcPr>
            <w:tcW w:w="1402"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1.9    </w:t>
            </w:r>
          </w:p>
        </w:tc>
        <w:tc>
          <w:tcPr>
            <w:tcW w:w="110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3.6    </w:t>
            </w:r>
          </w:p>
        </w:tc>
        <w:tc>
          <w:tcPr>
            <w:tcW w:w="1127"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3.8    </w:t>
            </w:r>
          </w:p>
        </w:tc>
      </w:tr>
      <w:tr w:rsidR="00EB0B39" w:rsidRPr="00F83BFF" w:rsidTr="00C14227">
        <w:trPr>
          <w:trHeight w:val="283"/>
        </w:trPr>
        <w:tc>
          <w:tcPr>
            <w:tcW w:w="3823" w:type="dxa"/>
            <w:tcBorders>
              <w:top w:val="nil"/>
              <w:left w:val="single" w:sz="4" w:space="0" w:color="auto"/>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Real GDP growth</w:t>
            </w:r>
          </w:p>
        </w:tc>
        <w:tc>
          <w:tcPr>
            <w:tcW w:w="441"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 xml:space="preserve">       4.9    </w:t>
            </w:r>
          </w:p>
        </w:tc>
        <w:tc>
          <w:tcPr>
            <w:tcW w:w="127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 xml:space="preserve">            1.9    </w:t>
            </w:r>
          </w:p>
        </w:tc>
        <w:tc>
          <w:tcPr>
            <w:tcW w:w="1402"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 xml:space="preserve">              1.4    </w:t>
            </w:r>
          </w:p>
        </w:tc>
        <w:tc>
          <w:tcPr>
            <w:tcW w:w="110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 xml:space="preserve">         1.7    </w:t>
            </w:r>
          </w:p>
        </w:tc>
        <w:tc>
          <w:tcPr>
            <w:tcW w:w="1127"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b/>
                <w:bCs/>
                <w:sz w:val="20"/>
                <w:lang w:val="en-ZA" w:eastAsia="en-ZA"/>
              </w:rPr>
            </w:pPr>
            <w:r w:rsidRPr="00F83BFF">
              <w:rPr>
                <w:rFonts w:ascii="Arial" w:hAnsi="Arial" w:cs="Arial"/>
                <w:b/>
                <w:bCs/>
                <w:sz w:val="20"/>
                <w:lang w:val="en-ZA" w:eastAsia="en-ZA"/>
              </w:rPr>
              <w:t xml:space="preserve">          1.8    </w:t>
            </w:r>
          </w:p>
        </w:tc>
      </w:tr>
      <w:tr w:rsidR="00EB0B39" w:rsidRPr="00F83BFF" w:rsidTr="00C14227">
        <w:trPr>
          <w:trHeight w:val="283"/>
        </w:trPr>
        <w:tc>
          <w:tcPr>
            <w:tcW w:w="3823" w:type="dxa"/>
            <w:tcBorders>
              <w:top w:val="nil"/>
              <w:left w:val="single" w:sz="4" w:space="0" w:color="auto"/>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Consumer price index (CPI) inflation</w:t>
            </w:r>
          </w:p>
        </w:tc>
        <w:tc>
          <w:tcPr>
            <w:tcW w:w="441"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4.5    </w:t>
            </w:r>
          </w:p>
        </w:tc>
        <w:tc>
          <w:tcPr>
            <w:tcW w:w="127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6.7    </w:t>
            </w:r>
          </w:p>
        </w:tc>
        <w:tc>
          <w:tcPr>
            <w:tcW w:w="1402"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5.1    </w:t>
            </w:r>
          </w:p>
        </w:tc>
        <w:tc>
          <w:tcPr>
            <w:tcW w:w="110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4.6    </w:t>
            </w:r>
          </w:p>
        </w:tc>
        <w:tc>
          <w:tcPr>
            <w:tcW w:w="1127"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4.6    </w:t>
            </w:r>
          </w:p>
        </w:tc>
      </w:tr>
      <w:tr w:rsidR="00EB0B39" w:rsidRPr="00F83BFF" w:rsidTr="00C14227">
        <w:trPr>
          <w:trHeight w:val="453"/>
        </w:trPr>
        <w:tc>
          <w:tcPr>
            <w:tcW w:w="3823" w:type="dxa"/>
            <w:tcBorders>
              <w:top w:val="nil"/>
              <w:left w:val="single" w:sz="4" w:space="0" w:color="auto"/>
              <w:bottom w:val="single" w:sz="4" w:space="0" w:color="auto"/>
              <w:right w:val="single" w:sz="4" w:space="0" w:color="auto"/>
            </w:tcBorders>
            <w:shd w:val="clear" w:color="auto" w:fill="auto"/>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Current account balance (% of GDP)</w:t>
            </w:r>
          </w:p>
        </w:tc>
        <w:tc>
          <w:tcPr>
            <w:tcW w:w="441"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w:t>
            </w:r>
            <w:r w:rsidR="00B71430" w:rsidRPr="00F83BFF">
              <w:rPr>
                <w:rFonts w:ascii="Arial" w:hAnsi="Arial" w:cs="Arial"/>
                <w:sz w:val="20"/>
                <w:lang w:val="en-ZA" w:eastAsia="en-ZA"/>
              </w:rPr>
              <w:t>3.7</w:t>
            </w:r>
            <w:r w:rsidRPr="00F83BFF">
              <w:rPr>
                <w:rFonts w:ascii="Arial" w:hAnsi="Arial" w:cs="Arial"/>
                <w:sz w:val="20"/>
                <w:lang w:val="en-ZA" w:eastAsia="en-ZA"/>
              </w:rPr>
              <w:t xml:space="preserve">    </w:t>
            </w:r>
          </w:p>
        </w:tc>
        <w:tc>
          <w:tcPr>
            <w:tcW w:w="127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0.2    </w:t>
            </w:r>
          </w:p>
        </w:tc>
        <w:tc>
          <w:tcPr>
            <w:tcW w:w="1402"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-0.9    </w:t>
            </w:r>
          </w:p>
        </w:tc>
        <w:tc>
          <w:tcPr>
            <w:tcW w:w="1104"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-1.1    </w:t>
            </w:r>
          </w:p>
        </w:tc>
        <w:tc>
          <w:tcPr>
            <w:tcW w:w="1127" w:type="dxa"/>
            <w:tcBorders>
              <w:top w:val="nil"/>
              <w:left w:val="nil"/>
              <w:bottom w:val="single" w:sz="4" w:space="0" w:color="auto"/>
              <w:right w:val="single" w:sz="4" w:space="0" w:color="auto"/>
            </w:tcBorders>
            <w:shd w:val="clear" w:color="auto" w:fill="auto"/>
            <w:noWrap/>
            <w:hideMark/>
          </w:tcPr>
          <w:p w:rsidR="00EB0B39" w:rsidRPr="00F83BFF" w:rsidRDefault="00EB0B39" w:rsidP="00F83BFF">
            <w:pPr>
              <w:rPr>
                <w:rFonts w:ascii="Arial" w:hAnsi="Arial" w:cs="Arial"/>
                <w:sz w:val="20"/>
                <w:lang w:val="en-ZA" w:eastAsia="en-ZA"/>
              </w:rPr>
            </w:pPr>
            <w:r w:rsidRPr="00F83BFF">
              <w:rPr>
                <w:rFonts w:ascii="Arial" w:hAnsi="Arial" w:cs="Arial"/>
                <w:sz w:val="20"/>
                <w:lang w:val="en-ZA" w:eastAsia="en-ZA"/>
              </w:rPr>
              <w:t xml:space="preserve">  -1.2    </w:t>
            </w:r>
          </w:p>
        </w:tc>
      </w:tr>
    </w:tbl>
    <w:p w:rsidR="00AD481B" w:rsidRPr="00F83BFF" w:rsidRDefault="00AD481B" w:rsidP="00F83BFF">
      <w:pPr>
        <w:rPr>
          <w:rFonts w:ascii="Arial" w:hAnsi="Arial" w:cs="Arial"/>
          <w:sz w:val="20"/>
        </w:rPr>
      </w:pPr>
      <w:r w:rsidRPr="00F83BFF">
        <w:rPr>
          <w:rFonts w:ascii="Arial" w:hAnsi="Arial" w:cs="Arial"/>
          <w:b/>
          <w:bCs/>
          <w:sz w:val="20"/>
        </w:rPr>
        <w:t>Source</w:t>
      </w:r>
      <w:r w:rsidRPr="00F83BFF">
        <w:rPr>
          <w:rFonts w:ascii="Arial" w:hAnsi="Arial" w:cs="Arial"/>
          <w:sz w:val="20"/>
        </w:rPr>
        <w:t xml:space="preserve">: </w:t>
      </w:r>
      <w:r w:rsidR="00D46161" w:rsidRPr="00F83BFF">
        <w:rPr>
          <w:rFonts w:ascii="Arial" w:hAnsi="Arial" w:cs="Arial"/>
          <w:sz w:val="20"/>
        </w:rPr>
        <w:t xml:space="preserve">SARB and </w:t>
      </w:r>
      <w:r w:rsidR="00E63D66" w:rsidRPr="00F83BFF">
        <w:rPr>
          <w:rFonts w:ascii="Arial" w:hAnsi="Arial" w:cs="Arial"/>
          <w:sz w:val="20"/>
        </w:rPr>
        <w:t>National Treasury</w:t>
      </w:r>
      <w:r w:rsidR="00262FE3" w:rsidRPr="00F83BFF">
        <w:rPr>
          <w:rFonts w:ascii="Arial" w:hAnsi="Arial" w:cs="Arial"/>
          <w:sz w:val="20"/>
        </w:rPr>
        <w:t xml:space="preserve"> </w:t>
      </w:r>
    </w:p>
    <w:p w:rsidR="001E65B3" w:rsidRPr="00F83BFF" w:rsidRDefault="001E65B3" w:rsidP="00F83BFF">
      <w:pPr>
        <w:rPr>
          <w:rFonts w:ascii="Arial" w:hAnsi="Arial" w:cs="Arial"/>
          <w:sz w:val="20"/>
        </w:rPr>
      </w:pPr>
    </w:p>
    <w:p w:rsidR="001E65B3" w:rsidRPr="00F83BFF" w:rsidRDefault="00B01D8D" w:rsidP="00F83BFF">
      <w:pPr>
        <w:pStyle w:val="Heading3"/>
        <w:spacing w:before="0" w:line="240" w:lineRule="auto"/>
        <w:rPr>
          <w:rFonts w:ascii="Arial" w:hAnsi="Arial" w:cs="Arial"/>
          <w:sz w:val="20"/>
          <w:u w:val="none"/>
        </w:rPr>
      </w:pPr>
      <w:r w:rsidRPr="00F83BFF">
        <w:rPr>
          <w:rFonts w:ascii="Arial" w:hAnsi="Arial" w:cs="Arial"/>
          <w:sz w:val="20"/>
          <w:u w:val="none"/>
        </w:rPr>
        <w:lastRenderedPageBreak/>
        <w:t xml:space="preserve">Table 1 above shows that </w:t>
      </w:r>
      <w:r w:rsidR="00581886" w:rsidRPr="00F83BFF">
        <w:rPr>
          <w:rFonts w:ascii="Arial" w:hAnsi="Arial" w:cs="Arial"/>
          <w:sz w:val="20"/>
          <w:u w:val="none"/>
        </w:rPr>
        <w:t>the inflation rate</w:t>
      </w:r>
      <w:r w:rsidR="00AC5DF9" w:rsidRPr="00F83BFF">
        <w:rPr>
          <w:rFonts w:ascii="Arial" w:hAnsi="Arial" w:cs="Arial"/>
          <w:sz w:val="20"/>
          <w:u w:val="none"/>
        </w:rPr>
        <w:t xml:space="preserve"> is</w:t>
      </w:r>
      <w:r w:rsidR="005740B4" w:rsidRPr="00F83BFF">
        <w:rPr>
          <w:rFonts w:ascii="Arial" w:hAnsi="Arial" w:cs="Arial"/>
          <w:sz w:val="20"/>
          <w:u w:val="none"/>
        </w:rPr>
        <w:t xml:space="preserve"> expected to revert</w:t>
      </w:r>
      <w:r w:rsidR="001D0DC4" w:rsidRPr="00F83BFF">
        <w:rPr>
          <w:rFonts w:ascii="Arial" w:hAnsi="Arial" w:cs="Arial"/>
          <w:sz w:val="20"/>
          <w:u w:val="none"/>
        </w:rPr>
        <w:t xml:space="preserve"> to</w:t>
      </w:r>
      <w:r w:rsidR="00D93912" w:rsidRPr="00F83BFF">
        <w:rPr>
          <w:rFonts w:ascii="Arial" w:hAnsi="Arial" w:cs="Arial"/>
          <w:sz w:val="20"/>
          <w:u w:val="none"/>
        </w:rPr>
        <w:t xml:space="preserve"> the set target</w:t>
      </w:r>
      <w:r w:rsidRPr="00F83BFF">
        <w:rPr>
          <w:rFonts w:ascii="Arial" w:hAnsi="Arial" w:cs="Arial"/>
          <w:sz w:val="20"/>
          <w:u w:val="none"/>
        </w:rPr>
        <w:t xml:space="preserve"> range of 3-6 per cent</w:t>
      </w:r>
      <w:r w:rsidR="00AC5DF9" w:rsidRPr="00F83BFF">
        <w:rPr>
          <w:rFonts w:ascii="Arial" w:hAnsi="Arial" w:cs="Arial"/>
          <w:sz w:val="20"/>
          <w:u w:val="none"/>
        </w:rPr>
        <w:t xml:space="preserve"> over the </w:t>
      </w:r>
      <w:r w:rsidR="00581886" w:rsidRPr="00F83BFF">
        <w:rPr>
          <w:rFonts w:ascii="Arial" w:hAnsi="Arial" w:cs="Arial"/>
          <w:sz w:val="20"/>
          <w:u w:val="none"/>
        </w:rPr>
        <w:t>medium</w:t>
      </w:r>
      <w:r w:rsidR="00CA55E2" w:rsidRPr="00F83BFF">
        <w:rPr>
          <w:rFonts w:ascii="Arial" w:hAnsi="Arial" w:cs="Arial"/>
          <w:sz w:val="20"/>
          <w:u w:val="none"/>
        </w:rPr>
        <w:t>-</w:t>
      </w:r>
      <w:r w:rsidR="00581886" w:rsidRPr="00F83BFF">
        <w:rPr>
          <w:rFonts w:ascii="Arial" w:hAnsi="Arial" w:cs="Arial"/>
          <w:sz w:val="20"/>
          <w:u w:val="none"/>
        </w:rPr>
        <w:t>term</w:t>
      </w:r>
      <w:r w:rsidR="00D93912" w:rsidRPr="00F83BFF">
        <w:rPr>
          <w:rFonts w:ascii="Arial" w:hAnsi="Arial" w:cs="Arial"/>
          <w:sz w:val="20"/>
          <w:u w:val="none"/>
        </w:rPr>
        <w:t>.</w:t>
      </w:r>
      <w:r w:rsidR="00581886" w:rsidRPr="00F83BFF">
        <w:rPr>
          <w:rFonts w:ascii="Arial" w:hAnsi="Arial" w:cs="Arial"/>
          <w:sz w:val="20"/>
          <w:u w:val="none"/>
        </w:rPr>
        <w:t xml:space="preserve"> </w:t>
      </w:r>
      <w:r w:rsidR="00AC5DF9" w:rsidRPr="00F83BFF">
        <w:rPr>
          <w:rFonts w:ascii="Arial" w:hAnsi="Arial" w:cs="Arial"/>
          <w:sz w:val="20"/>
          <w:u w:val="none"/>
        </w:rPr>
        <w:t xml:space="preserve">Headline Consumer Price Inflation (CPI) </w:t>
      </w:r>
      <w:r w:rsidR="00A119F6" w:rsidRPr="00F83BFF">
        <w:rPr>
          <w:rFonts w:ascii="Arial" w:hAnsi="Arial" w:cs="Arial"/>
          <w:sz w:val="20"/>
          <w:u w:val="none"/>
        </w:rPr>
        <w:t xml:space="preserve">is expected to </w:t>
      </w:r>
      <w:r w:rsidR="0056326D" w:rsidRPr="00F83BFF">
        <w:rPr>
          <w:rFonts w:ascii="Arial" w:hAnsi="Arial" w:cs="Arial"/>
          <w:sz w:val="20"/>
          <w:u w:val="none"/>
        </w:rPr>
        <w:t>bridge</w:t>
      </w:r>
      <w:r w:rsidR="00A119F6" w:rsidRPr="00F83BFF">
        <w:rPr>
          <w:rFonts w:ascii="Arial" w:hAnsi="Arial" w:cs="Arial"/>
          <w:sz w:val="20"/>
          <w:u w:val="none"/>
        </w:rPr>
        <w:t xml:space="preserve"> </w:t>
      </w:r>
      <w:r w:rsidR="0056326D" w:rsidRPr="00F83BFF">
        <w:rPr>
          <w:rFonts w:ascii="Arial" w:hAnsi="Arial" w:cs="Arial"/>
          <w:sz w:val="20"/>
          <w:u w:val="none"/>
        </w:rPr>
        <w:t xml:space="preserve">the target range </w:t>
      </w:r>
      <w:r w:rsidR="00A119F6" w:rsidRPr="00F83BFF">
        <w:rPr>
          <w:rFonts w:ascii="Arial" w:hAnsi="Arial" w:cs="Arial"/>
          <w:sz w:val="20"/>
          <w:u w:val="none"/>
        </w:rPr>
        <w:t xml:space="preserve">in 2022 and </w:t>
      </w:r>
      <w:r w:rsidR="0056326D" w:rsidRPr="00F83BFF">
        <w:rPr>
          <w:rFonts w:ascii="Arial" w:hAnsi="Arial" w:cs="Arial"/>
          <w:sz w:val="20"/>
          <w:u w:val="none"/>
        </w:rPr>
        <w:t>averag</w:t>
      </w:r>
      <w:r w:rsidR="00A119F6" w:rsidRPr="00F83BFF">
        <w:rPr>
          <w:rFonts w:ascii="Arial" w:hAnsi="Arial" w:cs="Arial"/>
          <w:sz w:val="20"/>
          <w:u w:val="none"/>
        </w:rPr>
        <w:t>e</w:t>
      </w:r>
      <w:r w:rsidR="0056326D" w:rsidRPr="00F83BFF">
        <w:rPr>
          <w:rFonts w:ascii="Arial" w:hAnsi="Arial" w:cs="Arial"/>
          <w:sz w:val="20"/>
          <w:u w:val="none"/>
        </w:rPr>
        <w:t xml:space="preserve"> 6.7 </w:t>
      </w:r>
      <w:r w:rsidR="00A119F6" w:rsidRPr="00F83BFF">
        <w:rPr>
          <w:rFonts w:ascii="Arial" w:hAnsi="Arial" w:cs="Arial"/>
          <w:sz w:val="20"/>
          <w:u w:val="none"/>
        </w:rPr>
        <w:t>per cent</w:t>
      </w:r>
      <w:r w:rsidR="00AC5DF9" w:rsidRPr="00F83BFF">
        <w:rPr>
          <w:rFonts w:ascii="Arial" w:hAnsi="Arial" w:cs="Arial"/>
          <w:sz w:val="20"/>
          <w:u w:val="none"/>
        </w:rPr>
        <w:t>.</w:t>
      </w:r>
      <w:r w:rsidR="00AC5DF9" w:rsidRPr="00F83BFF">
        <w:rPr>
          <w:rFonts w:ascii="Arial" w:eastAsia="Calibri" w:hAnsi="Arial" w:cs="Arial"/>
          <w:sz w:val="20"/>
          <w:u w:val="none"/>
          <w:lang w:val="en-ZA"/>
        </w:rPr>
        <w:t xml:space="preserve"> </w:t>
      </w:r>
      <w:r w:rsidR="008E2456" w:rsidRPr="00F83BFF">
        <w:rPr>
          <w:rFonts w:ascii="Arial" w:eastAsia="Calibri" w:hAnsi="Arial" w:cs="Arial"/>
          <w:sz w:val="20"/>
          <w:u w:val="none"/>
          <w:lang w:val="en-ZA"/>
        </w:rPr>
        <w:t xml:space="preserve">Headline </w:t>
      </w:r>
      <w:r w:rsidR="00693FDB" w:rsidRPr="00F83BFF">
        <w:rPr>
          <w:rFonts w:ascii="Arial" w:eastAsia="Calibri" w:hAnsi="Arial" w:cs="Arial"/>
          <w:sz w:val="20"/>
          <w:u w:val="none"/>
          <w:lang w:val="en-ZA"/>
        </w:rPr>
        <w:t>CPI</w:t>
      </w:r>
      <w:r w:rsidR="00AC5DF9" w:rsidRPr="00F83BFF">
        <w:rPr>
          <w:rFonts w:ascii="Arial" w:hAnsi="Arial" w:cs="Arial"/>
          <w:sz w:val="20"/>
          <w:u w:val="none"/>
        </w:rPr>
        <w:t xml:space="preserve"> </w:t>
      </w:r>
      <w:r w:rsidR="00A119F6" w:rsidRPr="00F83BFF">
        <w:rPr>
          <w:rFonts w:ascii="Arial" w:hAnsi="Arial" w:cs="Arial"/>
          <w:sz w:val="20"/>
          <w:u w:val="none"/>
        </w:rPr>
        <w:t>is largely driven by</w:t>
      </w:r>
      <w:r w:rsidR="00AC5DF9" w:rsidRPr="00F83BFF">
        <w:rPr>
          <w:rFonts w:ascii="Arial" w:hAnsi="Arial" w:cs="Arial"/>
          <w:sz w:val="20"/>
          <w:u w:val="none"/>
        </w:rPr>
        <w:t xml:space="preserve"> </w:t>
      </w:r>
      <w:r w:rsidR="00581886" w:rsidRPr="00F83BFF">
        <w:rPr>
          <w:rFonts w:ascii="Arial" w:hAnsi="Arial" w:cs="Arial"/>
          <w:sz w:val="20"/>
          <w:u w:val="none"/>
        </w:rPr>
        <w:t>increases in the price</w:t>
      </w:r>
      <w:r w:rsidR="0068635B" w:rsidRPr="00F83BFF">
        <w:rPr>
          <w:rFonts w:ascii="Arial" w:hAnsi="Arial" w:cs="Arial"/>
          <w:sz w:val="20"/>
          <w:u w:val="none"/>
        </w:rPr>
        <w:t>s</w:t>
      </w:r>
      <w:r w:rsidR="00581886" w:rsidRPr="00F83BFF">
        <w:rPr>
          <w:rFonts w:ascii="Arial" w:hAnsi="Arial" w:cs="Arial"/>
          <w:sz w:val="20"/>
          <w:u w:val="none"/>
        </w:rPr>
        <w:t xml:space="preserve"> of </w:t>
      </w:r>
      <w:r w:rsidR="00AC5DF9" w:rsidRPr="00F83BFF">
        <w:rPr>
          <w:rFonts w:ascii="Arial" w:hAnsi="Arial" w:cs="Arial"/>
          <w:sz w:val="20"/>
          <w:u w:val="none"/>
        </w:rPr>
        <w:t>food, oil, electricity and other administered prices.  The SARB continued to tighten monetary policy</w:t>
      </w:r>
      <w:r w:rsidR="005B2DA1" w:rsidRPr="00F83BFF">
        <w:rPr>
          <w:rFonts w:ascii="Arial" w:hAnsi="Arial" w:cs="Arial"/>
          <w:sz w:val="20"/>
          <w:u w:val="none"/>
        </w:rPr>
        <w:t>,</w:t>
      </w:r>
      <w:r w:rsidR="00AC5DF9" w:rsidRPr="00F83BFF">
        <w:rPr>
          <w:rFonts w:ascii="Arial" w:hAnsi="Arial" w:cs="Arial"/>
          <w:sz w:val="20"/>
          <w:u w:val="none"/>
        </w:rPr>
        <w:t xml:space="preserve"> increasing </w:t>
      </w:r>
      <w:r w:rsidR="00B42BB7" w:rsidRPr="00F83BFF">
        <w:rPr>
          <w:rFonts w:ascii="Arial" w:hAnsi="Arial" w:cs="Arial"/>
          <w:sz w:val="20"/>
          <w:u w:val="none"/>
        </w:rPr>
        <w:t xml:space="preserve">the repurchase </w:t>
      </w:r>
      <w:r w:rsidR="008E2456" w:rsidRPr="00F83BFF">
        <w:rPr>
          <w:rFonts w:ascii="Arial" w:hAnsi="Arial" w:cs="Arial"/>
          <w:sz w:val="20"/>
          <w:u w:val="none"/>
        </w:rPr>
        <w:t>rate by a cumulative 275</w:t>
      </w:r>
      <w:r w:rsidR="00AC5DF9" w:rsidRPr="00F83BFF">
        <w:rPr>
          <w:rFonts w:ascii="Arial" w:hAnsi="Arial" w:cs="Arial"/>
          <w:sz w:val="20"/>
          <w:u w:val="none"/>
        </w:rPr>
        <w:t xml:space="preserve"> basis</w:t>
      </w:r>
      <w:r w:rsidR="008E2456" w:rsidRPr="00F83BFF">
        <w:rPr>
          <w:rFonts w:ascii="Arial" w:hAnsi="Arial" w:cs="Arial"/>
          <w:sz w:val="20"/>
          <w:u w:val="none"/>
        </w:rPr>
        <w:t xml:space="preserve"> points to 6.25</w:t>
      </w:r>
      <w:r w:rsidR="000318CE" w:rsidRPr="00F83BFF">
        <w:rPr>
          <w:rFonts w:ascii="Arial" w:hAnsi="Arial" w:cs="Arial"/>
          <w:sz w:val="20"/>
          <w:u w:val="none"/>
        </w:rPr>
        <w:t xml:space="preserve"> per cent</w:t>
      </w:r>
      <w:r w:rsidR="0038561A" w:rsidRPr="00F83BFF">
        <w:rPr>
          <w:rFonts w:ascii="Arial" w:hAnsi="Arial" w:cs="Arial"/>
          <w:sz w:val="20"/>
          <w:u w:val="none"/>
        </w:rPr>
        <w:t>,</w:t>
      </w:r>
      <w:r w:rsidR="000318CE" w:rsidRPr="00F83BFF">
        <w:rPr>
          <w:rFonts w:ascii="Arial" w:hAnsi="Arial" w:cs="Arial"/>
          <w:sz w:val="20"/>
          <w:u w:val="none"/>
        </w:rPr>
        <w:t xml:space="preserve"> from November 2021</w:t>
      </w:r>
      <w:r w:rsidR="00AC5DF9" w:rsidRPr="00F83BFF">
        <w:rPr>
          <w:rFonts w:ascii="Arial" w:hAnsi="Arial" w:cs="Arial"/>
          <w:sz w:val="20"/>
          <w:u w:val="none"/>
        </w:rPr>
        <w:t xml:space="preserve">. </w:t>
      </w:r>
    </w:p>
    <w:p w:rsidR="00B46BD3" w:rsidRPr="00F83BFF" w:rsidRDefault="00B42BB7"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A20484" w:rsidRPr="00F83BFF">
        <w:rPr>
          <w:rFonts w:ascii="Arial" w:hAnsi="Arial" w:cs="Arial"/>
          <w:sz w:val="20"/>
          <w:u w:val="none"/>
        </w:rPr>
        <w:t xml:space="preserve">2022 </w:t>
      </w:r>
      <w:r w:rsidRPr="00F83BFF">
        <w:rPr>
          <w:rFonts w:ascii="Arial" w:hAnsi="Arial" w:cs="Arial"/>
          <w:sz w:val="20"/>
          <w:u w:val="none"/>
        </w:rPr>
        <w:t xml:space="preserve">MTBPS reported that 2.3 million people lost their jobs during the COVID-19 pandemic. </w:t>
      </w:r>
      <w:r w:rsidR="00B66E29" w:rsidRPr="00F83BFF">
        <w:rPr>
          <w:rFonts w:ascii="Arial" w:hAnsi="Arial" w:cs="Arial"/>
          <w:sz w:val="20"/>
          <w:u w:val="none"/>
          <w:lang w:val="en-US"/>
        </w:rPr>
        <w:t>The 2022</w:t>
      </w:r>
      <w:r w:rsidR="00F83467" w:rsidRPr="00F83BFF">
        <w:rPr>
          <w:rFonts w:ascii="Arial" w:hAnsi="Arial" w:cs="Arial"/>
          <w:sz w:val="20"/>
          <w:u w:val="none"/>
          <w:lang w:val="en-US"/>
        </w:rPr>
        <w:t xml:space="preserve"> </w:t>
      </w:r>
      <w:r w:rsidR="00A20484" w:rsidRPr="00F83BFF">
        <w:rPr>
          <w:rFonts w:ascii="Arial" w:hAnsi="Arial" w:cs="Arial"/>
          <w:sz w:val="20"/>
          <w:u w:val="none"/>
          <w:lang w:val="en-US"/>
        </w:rPr>
        <w:t>S</w:t>
      </w:r>
      <w:r w:rsidR="00B66E29" w:rsidRPr="00F83BFF">
        <w:rPr>
          <w:rFonts w:ascii="Arial" w:hAnsi="Arial" w:cs="Arial"/>
          <w:sz w:val="20"/>
          <w:u w:val="none"/>
          <w:lang w:val="en-US"/>
        </w:rPr>
        <w:t>econd</w:t>
      </w:r>
      <w:r w:rsidR="00D40467" w:rsidRPr="00F83BFF">
        <w:rPr>
          <w:rFonts w:ascii="Arial" w:hAnsi="Arial" w:cs="Arial"/>
          <w:sz w:val="20"/>
          <w:u w:val="none"/>
          <w:lang w:val="en-US"/>
        </w:rPr>
        <w:t xml:space="preserve"> Q</w:t>
      </w:r>
      <w:r w:rsidR="00264713" w:rsidRPr="00F83BFF">
        <w:rPr>
          <w:rFonts w:ascii="Arial" w:hAnsi="Arial" w:cs="Arial"/>
          <w:sz w:val="20"/>
          <w:u w:val="none"/>
          <w:lang w:val="en-US"/>
        </w:rPr>
        <w:t>uarter</w:t>
      </w:r>
      <w:r w:rsidR="00405987" w:rsidRPr="00F83BFF">
        <w:rPr>
          <w:rFonts w:ascii="Arial" w:hAnsi="Arial" w:cs="Arial"/>
          <w:sz w:val="20"/>
          <w:u w:val="none"/>
          <w:lang w:val="en-US"/>
        </w:rPr>
        <w:t>ly</w:t>
      </w:r>
      <w:r w:rsidR="00264713" w:rsidRPr="00F83BFF">
        <w:rPr>
          <w:rFonts w:ascii="Arial" w:hAnsi="Arial" w:cs="Arial"/>
          <w:sz w:val="20"/>
          <w:u w:val="none"/>
          <w:lang w:val="en-US"/>
        </w:rPr>
        <w:t xml:space="preserve"> </w:t>
      </w:r>
      <w:r w:rsidR="00F83467" w:rsidRPr="00F83BFF">
        <w:rPr>
          <w:rFonts w:ascii="Arial" w:hAnsi="Arial" w:cs="Arial"/>
          <w:sz w:val="20"/>
          <w:u w:val="none"/>
          <w:lang w:val="en-US"/>
        </w:rPr>
        <w:t>Labour Force Survey</w:t>
      </w:r>
      <w:r w:rsidR="00DF2EE6" w:rsidRPr="00F83BFF">
        <w:rPr>
          <w:rFonts w:ascii="Arial" w:hAnsi="Arial" w:cs="Arial"/>
          <w:sz w:val="20"/>
          <w:u w:val="none"/>
          <w:lang w:val="en-US"/>
        </w:rPr>
        <w:t xml:space="preserve"> (QLFS)</w:t>
      </w:r>
      <w:r w:rsidR="00F83467" w:rsidRPr="00F83BFF">
        <w:rPr>
          <w:rFonts w:ascii="Arial" w:hAnsi="Arial" w:cs="Arial"/>
          <w:sz w:val="20"/>
          <w:u w:val="none"/>
          <w:lang w:val="en-US"/>
        </w:rPr>
        <w:t xml:space="preserve"> from Statistics South Africa shows that </w:t>
      </w:r>
      <w:r w:rsidR="00120498" w:rsidRPr="00F83BFF">
        <w:rPr>
          <w:rFonts w:ascii="Arial" w:hAnsi="Arial" w:cs="Arial"/>
          <w:sz w:val="20"/>
          <w:u w:val="none"/>
          <w:lang w:val="en-US"/>
        </w:rPr>
        <w:t xml:space="preserve">the </w:t>
      </w:r>
      <w:r w:rsidR="00120498" w:rsidRPr="00F83BFF">
        <w:rPr>
          <w:rFonts w:ascii="Arial" w:hAnsi="Arial" w:cs="Arial"/>
          <w:sz w:val="20"/>
          <w:u w:val="none"/>
        </w:rPr>
        <w:t xml:space="preserve">number of </w:t>
      </w:r>
      <w:r w:rsidR="008C5A5A" w:rsidRPr="00F83BFF">
        <w:rPr>
          <w:rFonts w:ascii="Arial" w:hAnsi="Arial" w:cs="Arial"/>
          <w:sz w:val="20"/>
          <w:u w:val="none"/>
        </w:rPr>
        <w:t xml:space="preserve">employed persons </w:t>
      </w:r>
      <w:r w:rsidR="00B66E29" w:rsidRPr="00F83BFF">
        <w:rPr>
          <w:rStyle w:val="markedcontent"/>
          <w:rFonts w:ascii="Arial" w:hAnsi="Arial" w:cs="Arial"/>
          <w:sz w:val="20"/>
          <w:u w:val="none"/>
        </w:rPr>
        <w:t>increased by 648 000 to 15.6 million</w:t>
      </w:r>
      <w:r w:rsidR="00A20484" w:rsidRPr="00F83BFF">
        <w:rPr>
          <w:rStyle w:val="markedcontent"/>
          <w:rFonts w:ascii="Arial" w:hAnsi="Arial" w:cs="Arial"/>
          <w:sz w:val="20"/>
          <w:u w:val="none"/>
        </w:rPr>
        <w:t xml:space="preserve"> while t</w:t>
      </w:r>
      <w:r w:rsidR="000A6689" w:rsidRPr="00F83BFF">
        <w:rPr>
          <w:rFonts w:ascii="Arial" w:hAnsi="Arial" w:cs="Arial"/>
          <w:sz w:val="20"/>
          <w:u w:val="none"/>
        </w:rPr>
        <w:t xml:space="preserve">he rate of </w:t>
      </w:r>
      <w:r w:rsidR="000A6689" w:rsidRPr="00F83BFF">
        <w:rPr>
          <w:rFonts w:ascii="Arial" w:hAnsi="Arial" w:cs="Arial"/>
          <w:sz w:val="20"/>
          <w:u w:val="none"/>
          <w:lang w:val="en-US"/>
        </w:rPr>
        <w:t>u</w:t>
      </w:r>
      <w:r w:rsidR="00DF2EE6" w:rsidRPr="00F83BFF">
        <w:rPr>
          <w:rFonts w:ascii="Arial" w:hAnsi="Arial" w:cs="Arial"/>
          <w:sz w:val="20"/>
          <w:u w:val="none"/>
          <w:lang w:val="en-US"/>
        </w:rPr>
        <w:t xml:space="preserve">nemployment measured </w:t>
      </w:r>
      <w:r w:rsidR="00B66E29" w:rsidRPr="00F83BFF">
        <w:rPr>
          <w:rFonts w:ascii="Arial" w:hAnsi="Arial" w:cs="Arial"/>
          <w:sz w:val="20"/>
          <w:u w:val="none"/>
          <w:lang w:val="en-US"/>
        </w:rPr>
        <w:t>at 33.9 per or 8</w:t>
      </w:r>
      <w:r w:rsidR="008C5A5A" w:rsidRPr="00F83BFF">
        <w:rPr>
          <w:rFonts w:ascii="Arial" w:hAnsi="Arial" w:cs="Arial"/>
          <w:sz w:val="20"/>
          <w:u w:val="none"/>
          <w:lang w:val="en-US"/>
        </w:rPr>
        <w:t xml:space="preserve"> million persons</w:t>
      </w:r>
      <w:r w:rsidR="009C2FA6" w:rsidRPr="00F83BFF">
        <w:rPr>
          <w:rFonts w:ascii="Arial" w:hAnsi="Arial" w:cs="Arial"/>
          <w:sz w:val="20"/>
          <w:u w:val="none"/>
          <w:lang w:val="en-US"/>
        </w:rPr>
        <w:t>.</w:t>
      </w:r>
      <w:r w:rsidR="00272991" w:rsidRPr="00F83BFF">
        <w:rPr>
          <w:rFonts w:ascii="Arial" w:hAnsi="Arial" w:cs="Arial"/>
          <w:sz w:val="20"/>
          <w:u w:val="none"/>
        </w:rPr>
        <w:t xml:space="preserve"> </w:t>
      </w:r>
      <w:r w:rsidR="00D33D54" w:rsidRPr="00F83BFF">
        <w:rPr>
          <w:rFonts w:ascii="Arial" w:hAnsi="Arial" w:cs="Arial"/>
          <w:sz w:val="20"/>
          <w:u w:val="none"/>
        </w:rPr>
        <w:t>While fiscal policy supports economic growth through investment in public infrastructure, NT stressed that South Africa’s economic growth rate remains too low to address its poverty and unemployment challenges.</w:t>
      </w:r>
    </w:p>
    <w:p w:rsidR="00693925" w:rsidRPr="00F83BFF" w:rsidRDefault="001E444F" w:rsidP="00F83BFF">
      <w:pPr>
        <w:pStyle w:val="Heading3"/>
        <w:numPr>
          <w:ilvl w:val="0"/>
          <w:numId w:val="0"/>
        </w:numPr>
        <w:spacing w:before="0" w:line="240" w:lineRule="auto"/>
        <w:ind w:left="720" w:hanging="144"/>
        <w:rPr>
          <w:rFonts w:ascii="Arial" w:hAnsi="Arial" w:cs="Arial"/>
          <w:b/>
          <w:bCs/>
          <w:sz w:val="20"/>
          <w:u w:val="none"/>
        </w:rPr>
      </w:pPr>
      <w:r w:rsidRPr="00F83BFF">
        <w:rPr>
          <w:rFonts w:ascii="Arial" w:hAnsi="Arial" w:cs="Arial"/>
          <w:b/>
          <w:bCs/>
          <w:sz w:val="20"/>
          <w:u w:val="none"/>
        </w:rPr>
        <w:t xml:space="preserve">Revised </w:t>
      </w:r>
      <w:r w:rsidR="00A23007" w:rsidRPr="00F83BFF">
        <w:rPr>
          <w:rFonts w:ascii="Arial" w:hAnsi="Arial" w:cs="Arial"/>
          <w:b/>
          <w:bCs/>
          <w:sz w:val="20"/>
          <w:u w:val="none"/>
        </w:rPr>
        <w:t xml:space="preserve">and </w:t>
      </w:r>
      <w:r w:rsidR="001523B0" w:rsidRPr="00F83BFF">
        <w:rPr>
          <w:rFonts w:ascii="Arial" w:hAnsi="Arial" w:cs="Arial"/>
          <w:b/>
          <w:bCs/>
          <w:sz w:val="20"/>
          <w:u w:val="none"/>
        </w:rPr>
        <w:t>P</w:t>
      </w:r>
      <w:r w:rsidR="00A23007" w:rsidRPr="00F83BFF">
        <w:rPr>
          <w:rFonts w:ascii="Arial" w:hAnsi="Arial" w:cs="Arial"/>
          <w:b/>
          <w:bCs/>
          <w:sz w:val="20"/>
          <w:u w:val="none"/>
        </w:rPr>
        <w:t xml:space="preserve">roposed </w:t>
      </w:r>
      <w:r w:rsidR="001523B0" w:rsidRPr="00F83BFF">
        <w:rPr>
          <w:rFonts w:ascii="Arial" w:hAnsi="Arial" w:cs="Arial"/>
          <w:b/>
          <w:bCs/>
          <w:sz w:val="20"/>
          <w:u w:val="none"/>
        </w:rPr>
        <w:t>F</w:t>
      </w:r>
      <w:r w:rsidR="00241B4E" w:rsidRPr="00F83BFF">
        <w:rPr>
          <w:rFonts w:ascii="Arial" w:hAnsi="Arial" w:cs="Arial"/>
          <w:b/>
          <w:bCs/>
          <w:sz w:val="20"/>
          <w:u w:val="none"/>
        </w:rPr>
        <w:t xml:space="preserve">iscal </w:t>
      </w:r>
      <w:r w:rsidR="001523B0" w:rsidRPr="00F83BFF">
        <w:rPr>
          <w:rFonts w:ascii="Arial" w:hAnsi="Arial" w:cs="Arial"/>
          <w:b/>
          <w:bCs/>
          <w:sz w:val="20"/>
          <w:u w:val="none"/>
        </w:rPr>
        <w:t>F</w:t>
      </w:r>
      <w:r w:rsidR="00693925" w:rsidRPr="00F83BFF">
        <w:rPr>
          <w:rFonts w:ascii="Arial" w:hAnsi="Arial" w:cs="Arial"/>
          <w:b/>
          <w:bCs/>
          <w:sz w:val="20"/>
          <w:u w:val="none"/>
        </w:rPr>
        <w:t xml:space="preserve">ramework </w:t>
      </w:r>
    </w:p>
    <w:p w:rsidR="00C83DA3" w:rsidRPr="00F83BFF" w:rsidRDefault="00DF53F2"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653325" w:rsidRPr="00F83BFF">
        <w:rPr>
          <w:rFonts w:ascii="Arial" w:hAnsi="Arial" w:cs="Arial"/>
          <w:sz w:val="20"/>
          <w:u w:val="none"/>
        </w:rPr>
        <w:t>N</w:t>
      </w:r>
      <w:r w:rsidRPr="00F83BFF">
        <w:rPr>
          <w:rFonts w:ascii="Arial" w:hAnsi="Arial" w:cs="Arial"/>
          <w:sz w:val="20"/>
          <w:u w:val="none"/>
        </w:rPr>
        <w:t xml:space="preserve">ational </w:t>
      </w:r>
      <w:r w:rsidR="00653325" w:rsidRPr="00F83BFF">
        <w:rPr>
          <w:rFonts w:ascii="Arial" w:hAnsi="Arial" w:cs="Arial"/>
          <w:sz w:val="20"/>
          <w:u w:val="none"/>
        </w:rPr>
        <w:t>T</w:t>
      </w:r>
      <w:r w:rsidRPr="00F83BFF">
        <w:rPr>
          <w:rFonts w:ascii="Arial" w:hAnsi="Arial" w:cs="Arial"/>
          <w:sz w:val="20"/>
          <w:u w:val="none"/>
        </w:rPr>
        <w:t>reasury</w:t>
      </w:r>
      <w:r w:rsidR="00DF2721" w:rsidRPr="00F83BFF">
        <w:rPr>
          <w:rFonts w:ascii="Arial" w:hAnsi="Arial" w:cs="Arial"/>
          <w:sz w:val="20"/>
          <w:u w:val="none"/>
        </w:rPr>
        <w:t>’s</w:t>
      </w:r>
      <w:r w:rsidR="002D4992" w:rsidRPr="00F83BFF">
        <w:rPr>
          <w:rFonts w:ascii="Arial" w:hAnsi="Arial" w:cs="Arial"/>
          <w:sz w:val="20"/>
          <w:u w:val="none"/>
        </w:rPr>
        <w:t xml:space="preserve"> </w:t>
      </w:r>
      <w:r w:rsidR="00653325" w:rsidRPr="00F83BFF">
        <w:rPr>
          <w:rFonts w:ascii="Arial" w:hAnsi="Arial" w:cs="Arial"/>
          <w:sz w:val="20"/>
          <w:u w:val="none"/>
        </w:rPr>
        <w:t>m</w:t>
      </w:r>
      <w:r w:rsidR="00C83DA3" w:rsidRPr="00F83BFF">
        <w:rPr>
          <w:rFonts w:ascii="Arial" w:hAnsi="Arial" w:cs="Arial"/>
          <w:sz w:val="20"/>
          <w:u w:val="none"/>
        </w:rPr>
        <w:t>edium</w:t>
      </w:r>
      <w:r w:rsidR="00C83DA3" w:rsidRPr="00F83BFF">
        <w:rPr>
          <w:rFonts w:cs="Arial"/>
          <w:sz w:val="20"/>
          <w:u w:val="none"/>
        </w:rPr>
        <w:t>‐</w:t>
      </w:r>
      <w:r w:rsidR="00B65DF1" w:rsidRPr="00F83BFF">
        <w:rPr>
          <w:rFonts w:ascii="Arial" w:hAnsi="Arial" w:cs="Arial"/>
          <w:sz w:val="20"/>
          <w:u w:val="none"/>
        </w:rPr>
        <w:t>term fiscal</w:t>
      </w:r>
      <w:r w:rsidR="00C83DA3" w:rsidRPr="00F83BFF">
        <w:rPr>
          <w:rFonts w:ascii="Arial" w:hAnsi="Arial" w:cs="Arial"/>
          <w:sz w:val="20"/>
          <w:u w:val="none"/>
        </w:rPr>
        <w:t xml:space="preserve"> </w:t>
      </w:r>
      <w:r w:rsidR="00FF691C" w:rsidRPr="00F83BFF">
        <w:rPr>
          <w:rFonts w:ascii="Arial" w:hAnsi="Arial" w:cs="Arial"/>
          <w:sz w:val="20"/>
          <w:u w:val="none"/>
        </w:rPr>
        <w:t xml:space="preserve">strategy </w:t>
      </w:r>
      <w:r w:rsidR="00C83DA3" w:rsidRPr="00F83BFF">
        <w:rPr>
          <w:rFonts w:ascii="Arial" w:hAnsi="Arial" w:cs="Arial"/>
          <w:sz w:val="20"/>
          <w:u w:val="none"/>
        </w:rPr>
        <w:t xml:space="preserve">is focused on reducing </w:t>
      </w:r>
      <w:r w:rsidR="00FF691C" w:rsidRPr="00F83BFF">
        <w:rPr>
          <w:rFonts w:ascii="Arial" w:hAnsi="Arial" w:cs="Arial"/>
          <w:sz w:val="20"/>
          <w:u w:val="none"/>
        </w:rPr>
        <w:t>the fiscal risks in the short term, narrowing the budget deficit and stabilising debt, while proposing measures to enhance economic growth and restore funding for infrastructure and service delivery programmes.</w:t>
      </w:r>
    </w:p>
    <w:p w:rsidR="005D222F" w:rsidRPr="00F83BFF" w:rsidRDefault="00FC68B4" w:rsidP="00F83BFF">
      <w:pPr>
        <w:pStyle w:val="Heading3"/>
        <w:spacing w:before="0" w:line="240" w:lineRule="auto"/>
        <w:rPr>
          <w:rFonts w:ascii="Arial" w:hAnsi="Arial" w:cs="Arial"/>
          <w:sz w:val="20"/>
          <w:u w:val="none"/>
        </w:rPr>
      </w:pPr>
      <w:r w:rsidRPr="00F83BFF">
        <w:rPr>
          <w:rFonts w:ascii="Arial" w:hAnsi="Arial" w:cs="Arial"/>
          <w:b/>
          <w:bCs/>
          <w:sz w:val="20"/>
          <w:u w:val="none"/>
        </w:rPr>
        <w:t>Table 2</w:t>
      </w:r>
      <w:r w:rsidRPr="00F83BFF">
        <w:rPr>
          <w:rFonts w:ascii="Arial" w:hAnsi="Arial" w:cs="Arial"/>
          <w:sz w:val="20"/>
          <w:u w:val="none"/>
        </w:rPr>
        <w:t xml:space="preserve"> below shows that the consolidated revenue is expected to </w:t>
      </w:r>
      <w:r w:rsidR="00CF06DE" w:rsidRPr="00F83BFF">
        <w:rPr>
          <w:rFonts w:ascii="Arial" w:hAnsi="Arial" w:cs="Arial"/>
          <w:sz w:val="20"/>
          <w:u w:val="none"/>
        </w:rPr>
        <w:t>increase</w:t>
      </w:r>
      <w:r w:rsidR="00B6598C" w:rsidRPr="00F83BFF">
        <w:rPr>
          <w:rFonts w:ascii="Arial" w:hAnsi="Arial" w:cs="Arial"/>
          <w:sz w:val="20"/>
          <w:u w:val="none"/>
        </w:rPr>
        <w:t xml:space="preserve"> </w:t>
      </w:r>
      <w:r w:rsidRPr="00F83BFF">
        <w:rPr>
          <w:rFonts w:ascii="Arial" w:hAnsi="Arial" w:cs="Arial"/>
          <w:sz w:val="20"/>
          <w:u w:val="none"/>
        </w:rPr>
        <w:t>to</w:t>
      </w:r>
      <w:r w:rsidR="00A977D9" w:rsidRPr="00F83BFF">
        <w:rPr>
          <w:rFonts w:ascii="Arial" w:hAnsi="Arial" w:cs="Arial"/>
          <w:sz w:val="20"/>
          <w:u w:val="none"/>
        </w:rPr>
        <w:t xml:space="preserve"> </w:t>
      </w:r>
      <w:r w:rsidR="00F474CE" w:rsidRPr="00F83BFF">
        <w:rPr>
          <w:rFonts w:ascii="Arial" w:hAnsi="Arial" w:cs="Arial"/>
          <w:sz w:val="20"/>
          <w:u w:val="none"/>
        </w:rPr>
        <w:t xml:space="preserve">R1.88 trillion </w:t>
      </w:r>
      <w:r w:rsidRPr="00F83BFF">
        <w:rPr>
          <w:rFonts w:ascii="Arial" w:hAnsi="Arial" w:cs="Arial"/>
          <w:sz w:val="20"/>
          <w:u w:val="none"/>
        </w:rPr>
        <w:t xml:space="preserve">in </w:t>
      </w:r>
      <w:r w:rsidR="006E3D7A" w:rsidRPr="00F83BFF">
        <w:rPr>
          <w:rFonts w:ascii="Arial" w:hAnsi="Arial" w:cs="Arial"/>
          <w:sz w:val="20"/>
          <w:u w:val="none"/>
        </w:rPr>
        <w:t>202</w:t>
      </w:r>
      <w:r w:rsidR="00B6598C" w:rsidRPr="00F83BFF">
        <w:rPr>
          <w:rFonts w:ascii="Arial" w:hAnsi="Arial" w:cs="Arial"/>
          <w:sz w:val="20"/>
          <w:u w:val="none"/>
        </w:rPr>
        <w:t>2/23</w:t>
      </w:r>
      <w:r w:rsidR="00F474CE" w:rsidRPr="00F83BFF">
        <w:rPr>
          <w:rFonts w:ascii="Arial" w:hAnsi="Arial" w:cs="Arial"/>
          <w:sz w:val="20"/>
          <w:u w:val="none"/>
        </w:rPr>
        <w:t xml:space="preserve"> (</w:t>
      </w:r>
      <w:r w:rsidR="00280DE0" w:rsidRPr="00F83BFF">
        <w:rPr>
          <w:rFonts w:ascii="Arial" w:hAnsi="Arial" w:cs="Arial"/>
          <w:sz w:val="20"/>
          <w:u w:val="none"/>
        </w:rPr>
        <w:t xml:space="preserve">an upward revision of </w:t>
      </w:r>
      <w:r w:rsidR="00F474CE" w:rsidRPr="00F83BFF">
        <w:rPr>
          <w:rFonts w:ascii="Arial" w:hAnsi="Arial" w:cs="Arial"/>
          <w:sz w:val="20"/>
          <w:u w:val="none"/>
        </w:rPr>
        <w:t>R</w:t>
      </w:r>
      <w:r w:rsidR="00280DE0" w:rsidRPr="00F83BFF">
        <w:rPr>
          <w:rFonts w:ascii="Arial" w:hAnsi="Arial" w:cs="Arial"/>
          <w:sz w:val="20"/>
          <w:u w:val="none"/>
        </w:rPr>
        <w:t>83</w:t>
      </w:r>
      <w:r w:rsidR="00F474CE" w:rsidRPr="00F83BFF">
        <w:rPr>
          <w:rFonts w:ascii="Arial" w:hAnsi="Arial" w:cs="Arial"/>
          <w:sz w:val="20"/>
          <w:u w:val="none"/>
        </w:rPr>
        <w:t xml:space="preserve"> billion), reaching R2.22</w:t>
      </w:r>
      <w:r w:rsidR="00CF06DE" w:rsidRPr="00F83BFF">
        <w:rPr>
          <w:rFonts w:ascii="Arial" w:hAnsi="Arial" w:cs="Arial"/>
          <w:sz w:val="20"/>
          <w:u w:val="none"/>
        </w:rPr>
        <w:t xml:space="preserve"> trillion in</w:t>
      </w:r>
      <w:r w:rsidR="00F474CE" w:rsidRPr="00F83BFF">
        <w:rPr>
          <w:rFonts w:ascii="Arial" w:hAnsi="Arial" w:cs="Arial"/>
          <w:sz w:val="20"/>
          <w:u w:val="none"/>
        </w:rPr>
        <w:t xml:space="preserve"> 2025/26</w:t>
      </w:r>
      <w:r w:rsidR="00CF06DE" w:rsidRPr="00F83BFF">
        <w:rPr>
          <w:rFonts w:ascii="Arial" w:hAnsi="Arial" w:cs="Arial"/>
          <w:sz w:val="20"/>
          <w:u w:val="none"/>
        </w:rPr>
        <w:t>.</w:t>
      </w:r>
      <w:r w:rsidR="00C83DA3" w:rsidRPr="00F83BFF">
        <w:rPr>
          <w:rFonts w:ascii="Arial" w:hAnsi="Arial" w:cs="Arial"/>
          <w:sz w:val="20"/>
          <w:u w:val="none"/>
        </w:rPr>
        <w:t xml:space="preserve"> </w:t>
      </w:r>
      <w:r w:rsidR="00280DE0" w:rsidRPr="00F83BFF">
        <w:rPr>
          <w:rFonts w:ascii="Arial" w:hAnsi="Arial" w:cs="Arial"/>
          <w:sz w:val="20"/>
          <w:u w:val="none"/>
        </w:rPr>
        <w:t xml:space="preserve">Since the 2022 Budget, revenue collection has exceeded projections across most major tax categories. </w:t>
      </w:r>
      <w:r w:rsidR="00D33D54" w:rsidRPr="00F83BFF">
        <w:rPr>
          <w:rFonts w:ascii="Arial" w:hAnsi="Arial" w:cs="Arial"/>
          <w:sz w:val="20"/>
          <w:u w:val="none"/>
        </w:rPr>
        <w:t>According to N</w:t>
      </w:r>
      <w:r w:rsidR="008518C4" w:rsidRPr="00F83BFF">
        <w:rPr>
          <w:rFonts w:ascii="Arial" w:hAnsi="Arial" w:cs="Arial"/>
          <w:sz w:val="20"/>
          <w:u w:val="none"/>
        </w:rPr>
        <w:t xml:space="preserve">ational </w:t>
      </w:r>
      <w:r w:rsidR="00D33D54" w:rsidRPr="00F83BFF">
        <w:rPr>
          <w:rFonts w:ascii="Arial" w:hAnsi="Arial" w:cs="Arial"/>
          <w:sz w:val="20"/>
          <w:u w:val="none"/>
        </w:rPr>
        <w:t>T</w:t>
      </w:r>
      <w:r w:rsidR="008518C4" w:rsidRPr="00F83BFF">
        <w:rPr>
          <w:rFonts w:ascii="Arial" w:hAnsi="Arial" w:cs="Arial"/>
          <w:sz w:val="20"/>
          <w:u w:val="none"/>
        </w:rPr>
        <w:t>reasury</w:t>
      </w:r>
      <w:r w:rsidR="00D33D54" w:rsidRPr="00F83BFF">
        <w:rPr>
          <w:rFonts w:ascii="Arial" w:hAnsi="Arial" w:cs="Arial"/>
          <w:sz w:val="20"/>
          <w:u w:val="none"/>
        </w:rPr>
        <w:t>, t</w:t>
      </w:r>
      <w:r w:rsidR="00280DE0" w:rsidRPr="00F83BFF">
        <w:rPr>
          <w:rFonts w:ascii="Arial" w:hAnsi="Arial" w:cs="Arial"/>
          <w:sz w:val="20"/>
          <w:u w:val="none"/>
        </w:rPr>
        <w:t xml:space="preserve">he higher </w:t>
      </w:r>
      <w:r w:rsidR="00D33D54" w:rsidRPr="00F83BFF">
        <w:rPr>
          <w:rFonts w:ascii="Arial" w:hAnsi="Arial" w:cs="Arial"/>
          <w:sz w:val="20"/>
          <w:u w:val="none"/>
        </w:rPr>
        <w:t xml:space="preserve">revenue </w:t>
      </w:r>
      <w:r w:rsidR="00280DE0" w:rsidRPr="00F83BFF">
        <w:rPr>
          <w:rFonts w:ascii="Arial" w:hAnsi="Arial" w:cs="Arial"/>
          <w:sz w:val="20"/>
          <w:u w:val="none"/>
        </w:rPr>
        <w:t>estimate is largely due to better-than-expected collections in the final quarter of 2021/22, upward revisions to near-term tax base</w:t>
      </w:r>
      <w:r w:rsidR="004B309E" w:rsidRPr="00F83BFF">
        <w:rPr>
          <w:rFonts w:ascii="Arial" w:hAnsi="Arial" w:cs="Arial"/>
          <w:sz w:val="20"/>
          <w:u w:val="none"/>
        </w:rPr>
        <w:t xml:space="preserve"> growth projections and strong Corporate Income T</w:t>
      </w:r>
      <w:r w:rsidR="00280DE0" w:rsidRPr="00F83BFF">
        <w:rPr>
          <w:rFonts w:ascii="Arial" w:hAnsi="Arial" w:cs="Arial"/>
          <w:sz w:val="20"/>
          <w:u w:val="none"/>
        </w:rPr>
        <w:t xml:space="preserve">ax </w:t>
      </w:r>
      <w:r w:rsidR="004B309E" w:rsidRPr="00F83BFF">
        <w:rPr>
          <w:rFonts w:ascii="Arial" w:hAnsi="Arial" w:cs="Arial"/>
          <w:sz w:val="20"/>
          <w:u w:val="none"/>
        </w:rPr>
        <w:t xml:space="preserve">(CIT) </w:t>
      </w:r>
      <w:r w:rsidR="00280DE0" w:rsidRPr="00F83BFF">
        <w:rPr>
          <w:rFonts w:ascii="Arial" w:hAnsi="Arial" w:cs="Arial"/>
          <w:sz w:val="20"/>
          <w:u w:val="none"/>
        </w:rPr>
        <w:t xml:space="preserve">collections. </w:t>
      </w:r>
    </w:p>
    <w:p w:rsidR="00E21C08" w:rsidRPr="00F83BFF" w:rsidRDefault="00280DE0" w:rsidP="00F83BFF">
      <w:pPr>
        <w:pStyle w:val="Heading3"/>
        <w:spacing w:before="0" w:line="240" w:lineRule="auto"/>
        <w:rPr>
          <w:rFonts w:ascii="Arial" w:hAnsi="Arial" w:cs="Arial"/>
          <w:sz w:val="20"/>
          <w:u w:val="none"/>
        </w:rPr>
      </w:pPr>
      <w:r w:rsidRPr="00F83BFF">
        <w:rPr>
          <w:rFonts w:ascii="Arial" w:hAnsi="Arial" w:cs="Arial"/>
          <w:sz w:val="20"/>
          <w:u w:val="none"/>
        </w:rPr>
        <w:t xml:space="preserve">While contribution from </w:t>
      </w:r>
      <w:r w:rsidR="005D222F" w:rsidRPr="00F83BFF">
        <w:rPr>
          <w:rFonts w:ascii="Arial" w:hAnsi="Arial" w:cs="Arial"/>
          <w:sz w:val="20"/>
          <w:u w:val="none"/>
        </w:rPr>
        <w:t>the increased</w:t>
      </w:r>
      <w:r w:rsidRPr="00F83BFF">
        <w:rPr>
          <w:rFonts w:ascii="Arial" w:hAnsi="Arial" w:cs="Arial"/>
          <w:sz w:val="20"/>
          <w:u w:val="none"/>
        </w:rPr>
        <w:t xml:space="preserve"> commodity prices has waned, there has been a broad-based recovery in </w:t>
      </w:r>
      <w:r w:rsidR="00C54476" w:rsidRPr="00F83BFF">
        <w:rPr>
          <w:rFonts w:ascii="Arial" w:hAnsi="Arial" w:cs="Arial"/>
          <w:sz w:val="20"/>
          <w:u w:val="none"/>
        </w:rPr>
        <w:t>CIT</w:t>
      </w:r>
      <w:r w:rsidRPr="00F83BFF">
        <w:rPr>
          <w:rFonts w:ascii="Arial" w:hAnsi="Arial" w:cs="Arial"/>
          <w:sz w:val="20"/>
          <w:u w:val="none"/>
        </w:rPr>
        <w:t xml:space="preserve"> collections</w:t>
      </w:r>
      <w:r w:rsidR="004B309E" w:rsidRPr="00F83BFF">
        <w:rPr>
          <w:rFonts w:ascii="Arial" w:hAnsi="Arial" w:cs="Arial"/>
          <w:sz w:val="20"/>
          <w:u w:val="none"/>
        </w:rPr>
        <w:t xml:space="preserve">. </w:t>
      </w:r>
      <w:r w:rsidR="00AC277D" w:rsidRPr="00F83BFF">
        <w:rPr>
          <w:rFonts w:ascii="Arial" w:hAnsi="Arial" w:cs="Arial"/>
          <w:sz w:val="20"/>
          <w:u w:val="none"/>
        </w:rPr>
        <w:t xml:space="preserve">The </w:t>
      </w:r>
      <w:r w:rsidR="00C54476" w:rsidRPr="00F83BFF">
        <w:rPr>
          <w:rFonts w:ascii="Arial" w:hAnsi="Arial" w:cs="Arial"/>
          <w:sz w:val="20"/>
          <w:u w:val="none"/>
        </w:rPr>
        <w:t>N</w:t>
      </w:r>
      <w:r w:rsidR="00AC277D" w:rsidRPr="00F83BFF">
        <w:rPr>
          <w:rFonts w:ascii="Arial" w:hAnsi="Arial" w:cs="Arial"/>
          <w:sz w:val="20"/>
          <w:u w:val="none"/>
        </w:rPr>
        <w:t xml:space="preserve">ational </w:t>
      </w:r>
      <w:r w:rsidR="00C54476" w:rsidRPr="00F83BFF">
        <w:rPr>
          <w:rFonts w:ascii="Arial" w:hAnsi="Arial" w:cs="Arial"/>
          <w:sz w:val="20"/>
          <w:u w:val="none"/>
        </w:rPr>
        <w:t>T</w:t>
      </w:r>
      <w:r w:rsidR="00AC277D" w:rsidRPr="00F83BFF">
        <w:rPr>
          <w:rFonts w:ascii="Arial" w:hAnsi="Arial" w:cs="Arial"/>
          <w:sz w:val="20"/>
          <w:u w:val="none"/>
        </w:rPr>
        <w:t>reasury however</w:t>
      </w:r>
      <w:r w:rsidR="00C54476" w:rsidRPr="00F83BFF">
        <w:rPr>
          <w:rFonts w:ascii="Arial" w:hAnsi="Arial" w:cs="Arial"/>
          <w:sz w:val="20"/>
          <w:u w:val="none"/>
        </w:rPr>
        <w:t xml:space="preserve"> cautioned that t</w:t>
      </w:r>
      <w:r w:rsidRPr="00F83BFF">
        <w:rPr>
          <w:rFonts w:ascii="Arial" w:hAnsi="Arial" w:cs="Arial"/>
          <w:sz w:val="20"/>
          <w:u w:val="none"/>
        </w:rPr>
        <w:t>hese revenue projections may be lowered if power cuts intensify, global growth slows further or there is an escalation in the Russia-Ukraine war.</w:t>
      </w:r>
      <w:r w:rsidR="008E76AD" w:rsidRPr="00F83BFF">
        <w:rPr>
          <w:rFonts w:ascii="Arial" w:hAnsi="Arial" w:cs="Arial"/>
          <w:sz w:val="20"/>
          <w:u w:val="none"/>
        </w:rPr>
        <w:t xml:space="preserve"> The tax-to-GDP ratio is expected to increase from 24.9 per cent in 2021/22 to 25.3 per cent in 2022/23. Further improvement depends on a durable economic recovery.</w:t>
      </w:r>
    </w:p>
    <w:p w:rsidR="00D33D54" w:rsidRPr="00F83BFF" w:rsidRDefault="00D33D54" w:rsidP="00F83BFF">
      <w:pPr>
        <w:pStyle w:val="Caption"/>
        <w:spacing w:before="0" w:after="0"/>
        <w:rPr>
          <w:rFonts w:ascii="Arial" w:hAnsi="Arial" w:cs="Arial"/>
        </w:rPr>
      </w:pPr>
      <w:r w:rsidRPr="00F83BFF">
        <w:rPr>
          <w:rFonts w:ascii="Arial" w:hAnsi="Arial" w:cs="Arial"/>
        </w:rPr>
        <w:t xml:space="preserve">Table 2: Consolidated 2022 fiscal framework </w:t>
      </w:r>
    </w:p>
    <w:tbl>
      <w:tblPr>
        <w:tblW w:w="9283" w:type="dxa"/>
        <w:tblLook w:val="04A0"/>
      </w:tblPr>
      <w:tblGrid>
        <w:gridCol w:w="2480"/>
        <w:gridCol w:w="1547"/>
        <w:gridCol w:w="1365"/>
        <w:gridCol w:w="1501"/>
        <w:gridCol w:w="1183"/>
        <w:gridCol w:w="1207"/>
      </w:tblGrid>
      <w:tr w:rsidR="00D33D54" w:rsidRPr="00F83BFF" w:rsidTr="00DD239B">
        <w:trPr>
          <w:trHeight w:val="290"/>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R billion/percentage of GDP</w:t>
            </w:r>
          </w:p>
        </w:tc>
        <w:tc>
          <w:tcPr>
            <w:tcW w:w="1547" w:type="dxa"/>
            <w:tcBorders>
              <w:top w:val="single" w:sz="4" w:space="0" w:color="auto"/>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2021/22</w:t>
            </w:r>
          </w:p>
        </w:tc>
        <w:tc>
          <w:tcPr>
            <w:tcW w:w="1365" w:type="dxa"/>
            <w:tcBorders>
              <w:top w:val="single" w:sz="4" w:space="0" w:color="auto"/>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2022/23</w:t>
            </w:r>
          </w:p>
        </w:tc>
        <w:tc>
          <w:tcPr>
            <w:tcW w:w="1501" w:type="dxa"/>
            <w:tcBorders>
              <w:top w:val="single" w:sz="4" w:space="0" w:color="auto"/>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2023/24</w:t>
            </w:r>
          </w:p>
        </w:tc>
        <w:tc>
          <w:tcPr>
            <w:tcW w:w="1183" w:type="dxa"/>
            <w:tcBorders>
              <w:top w:val="single" w:sz="4" w:space="0" w:color="auto"/>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2024/25</w:t>
            </w:r>
          </w:p>
        </w:tc>
        <w:tc>
          <w:tcPr>
            <w:tcW w:w="1206" w:type="dxa"/>
            <w:tcBorders>
              <w:top w:val="single" w:sz="4" w:space="0" w:color="auto"/>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1"/>
              <w:rPr>
                <w:rFonts w:ascii="Arial" w:hAnsi="Arial" w:cs="Arial"/>
                <w:b/>
                <w:bCs/>
                <w:sz w:val="20"/>
                <w:lang w:val="en-ZA" w:eastAsia="en-ZA"/>
              </w:rPr>
            </w:pPr>
            <w:r w:rsidRPr="00F83BFF">
              <w:rPr>
                <w:rFonts w:ascii="Arial" w:hAnsi="Arial" w:cs="Arial"/>
                <w:b/>
                <w:bCs/>
                <w:sz w:val="20"/>
                <w:lang w:val="en-ZA" w:eastAsia="en-ZA"/>
              </w:rPr>
              <w:t>2025/26</w:t>
            </w:r>
          </w:p>
        </w:tc>
      </w:tr>
      <w:tr w:rsidR="00D33D54" w:rsidRPr="00F83BFF" w:rsidTr="00DD239B">
        <w:trPr>
          <w:trHeight w:val="465"/>
        </w:trPr>
        <w:tc>
          <w:tcPr>
            <w:tcW w:w="2480" w:type="dxa"/>
            <w:vMerge/>
            <w:tcBorders>
              <w:top w:val="single" w:sz="4" w:space="0" w:color="auto"/>
              <w:left w:val="single" w:sz="4" w:space="0" w:color="auto"/>
              <w:bottom w:val="single" w:sz="4" w:space="0" w:color="000000"/>
              <w:right w:val="single" w:sz="4" w:space="0" w:color="auto"/>
            </w:tcBorders>
            <w:vAlign w:val="center"/>
            <w:hideMark/>
          </w:tcPr>
          <w:p w:rsidR="00D33D54" w:rsidRPr="00F83BFF" w:rsidRDefault="00D33D54" w:rsidP="00F83BFF">
            <w:pPr>
              <w:rPr>
                <w:rFonts w:ascii="Arial" w:hAnsi="Arial" w:cs="Arial"/>
                <w:b/>
                <w:bCs/>
                <w:sz w:val="20"/>
                <w:lang w:val="en-ZA" w:eastAsia="en-ZA"/>
              </w:rPr>
            </w:pPr>
          </w:p>
        </w:tc>
        <w:tc>
          <w:tcPr>
            <w:tcW w:w="1547" w:type="dxa"/>
            <w:tcBorders>
              <w:top w:val="nil"/>
              <w:left w:val="nil"/>
              <w:bottom w:val="single" w:sz="4" w:space="0" w:color="auto"/>
              <w:right w:val="single" w:sz="4" w:space="0" w:color="auto"/>
            </w:tcBorders>
            <w:shd w:val="clear" w:color="auto" w:fill="auto"/>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Outcome</w:t>
            </w:r>
          </w:p>
        </w:tc>
        <w:tc>
          <w:tcPr>
            <w:tcW w:w="1365" w:type="dxa"/>
            <w:tcBorders>
              <w:top w:val="nil"/>
              <w:left w:val="nil"/>
              <w:bottom w:val="single" w:sz="4" w:space="0" w:color="auto"/>
              <w:right w:val="single" w:sz="4" w:space="0" w:color="auto"/>
            </w:tcBorders>
            <w:shd w:val="clear" w:color="auto" w:fill="auto"/>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Revised estimate</w:t>
            </w:r>
          </w:p>
        </w:tc>
        <w:tc>
          <w:tcPr>
            <w:tcW w:w="3891" w:type="dxa"/>
            <w:gridSpan w:val="3"/>
            <w:tcBorders>
              <w:top w:val="single" w:sz="4" w:space="0" w:color="auto"/>
              <w:left w:val="nil"/>
              <w:bottom w:val="single" w:sz="4" w:space="0" w:color="auto"/>
              <w:right w:val="single" w:sz="4" w:space="0" w:color="000000"/>
            </w:tcBorders>
            <w:shd w:val="clear" w:color="auto" w:fill="auto"/>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Medium-term estimates</w:t>
            </w:r>
          </w:p>
        </w:tc>
      </w:tr>
      <w:tr w:rsidR="00D33D54" w:rsidRPr="00F83BFF" w:rsidTr="00DD239B">
        <w:trPr>
          <w:trHeight w:val="29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Revenue</w:t>
            </w: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1 750.4  </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1 882.2  </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1 952.8  </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2 072.2  </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2 218.7  </w:t>
            </w:r>
          </w:p>
        </w:tc>
      </w:tr>
      <w:tr w:rsidR="00D33D54" w:rsidRPr="00F83BFF" w:rsidTr="00DD239B">
        <w:trPr>
          <w:trHeight w:val="290"/>
        </w:trPr>
        <w:tc>
          <w:tcPr>
            <w:tcW w:w="2480" w:type="dxa"/>
            <w:vMerge/>
            <w:tcBorders>
              <w:top w:val="nil"/>
              <w:left w:val="single" w:sz="4" w:space="0" w:color="auto"/>
              <w:bottom w:val="single" w:sz="4" w:space="0" w:color="000000"/>
              <w:right w:val="single" w:sz="4" w:space="0" w:color="auto"/>
            </w:tcBorders>
            <w:vAlign w:val="center"/>
            <w:hideMark/>
          </w:tcPr>
          <w:p w:rsidR="00D33D54" w:rsidRPr="00F83BFF" w:rsidRDefault="00D33D54" w:rsidP="00F83BFF">
            <w:pPr>
              <w:rPr>
                <w:rFonts w:ascii="Arial" w:hAnsi="Arial" w:cs="Arial"/>
                <w:b/>
                <w:bCs/>
                <w:sz w:val="20"/>
                <w:lang w:val="en-ZA" w:eastAsia="en-ZA"/>
              </w:rPr>
            </w:pP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27.8%</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28.3%</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27.7%</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27.5%</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27.7%</w:t>
            </w:r>
          </w:p>
        </w:tc>
      </w:tr>
      <w:tr w:rsidR="00D33D54" w:rsidRPr="00F83BFF" w:rsidTr="00DD239B">
        <w:trPr>
          <w:trHeight w:val="29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Expenditure</w:t>
            </w: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2 047.0  </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2 205.3  </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2 241.7  </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2 364.1  </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2 477.7  </w:t>
            </w:r>
          </w:p>
        </w:tc>
      </w:tr>
      <w:tr w:rsidR="00D33D54" w:rsidRPr="00F83BFF" w:rsidTr="00DD239B">
        <w:trPr>
          <w:trHeight w:val="290"/>
        </w:trPr>
        <w:tc>
          <w:tcPr>
            <w:tcW w:w="2480" w:type="dxa"/>
            <w:vMerge/>
            <w:tcBorders>
              <w:top w:val="nil"/>
              <w:left w:val="single" w:sz="4" w:space="0" w:color="auto"/>
              <w:bottom w:val="single" w:sz="4" w:space="0" w:color="000000"/>
              <w:right w:val="single" w:sz="4" w:space="0" w:color="auto"/>
            </w:tcBorders>
            <w:vAlign w:val="center"/>
            <w:hideMark/>
          </w:tcPr>
          <w:p w:rsidR="00D33D54" w:rsidRPr="00F83BFF" w:rsidRDefault="00D33D54" w:rsidP="00F83BFF">
            <w:pPr>
              <w:rPr>
                <w:rFonts w:ascii="Arial" w:hAnsi="Arial" w:cs="Arial"/>
                <w:b/>
                <w:bCs/>
                <w:sz w:val="20"/>
                <w:lang w:val="en-ZA" w:eastAsia="en-ZA"/>
              </w:rPr>
            </w:pP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32.6%</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33.2%</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31.7%</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31.4%</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30.9%</w:t>
            </w:r>
          </w:p>
        </w:tc>
      </w:tr>
      <w:tr w:rsidR="00D33D54" w:rsidRPr="00F83BFF" w:rsidTr="00DD239B">
        <w:trPr>
          <w:trHeight w:val="290"/>
        </w:trPr>
        <w:tc>
          <w:tcPr>
            <w:tcW w:w="2480" w:type="dxa"/>
            <w:vMerge w:val="restart"/>
            <w:tcBorders>
              <w:top w:val="nil"/>
              <w:left w:val="single" w:sz="4" w:space="0" w:color="auto"/>
              <w:bottom w:val="single" w:sz="4" w:space="0" w:color="000000"/>
              <w:right w:val="single" w:sz="4" w:space="0" w:color="auto"/>
            </w:tcBorders>
            <w:shd w:val="clear" w:color="auto" w:fill="auto"/>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Budget balance</w:t>
            </w: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-296.7  </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-323.1  </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-288.9  </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-291.9  </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-259.0  </w:t>
            </w:r>
          </w:p>
        </w:tc>
      </w:tr>
      <w:tr w:rsidR="00D33D54" w:rsidRPr="00F83BFF" w:rsidTr="00DD239B">
        <w:trPr>
          <w:trHeight w:val="290"/>
        </w:trPr>
        <w:tc>
          <w:tcPr>
            <w:tcW w:w="2480" w:type="dxa"/>
            <w:vMerge/>
            <w:tcBorders>
              <w:top w:val="nil"/>
              <w:left w:val="single" w:sz="4" w:space="0" w:color="auto"/>
              <w:bottom w:val="single" w:sz="4" w:space="0" w:color="000000"/>
              <w:right w:val="single" w:sz="4" w:space="0" w:color="auto"/>
            </w:tcBorders>
            <w:vAlign w:val="center"/>
            <w:hideMark/>
          </w:tcPr>
          <w:p w:rsidR="00D33D54" w:rsidRPr="00F83BFF" w:rsidRDefault="00D33D54" w:rsidP="00F83BFF">
            <w:pPr>
              <w:rPr>
                <w:rFonts w:ascii="Arial" w:hAnsi="Arial" w:cs="Arial"/>
                <w:b/>
                <w:bCs/>
                <w:sz w:val="20"/>
                <w:lang w:val="en-ZA" w:eastAsia="en-ZA"/>
              </w:rPr>
            </w:pP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-4.7%</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-4.9%</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-4.1%</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-3.9%</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-3.2%</w:t>
            </w:r>
          </w:p>
        </w:tc>
      </w:tr>
      <w:tr w:rsidR="00D33D54" w:rsidRPr="00F83BFF" w:rsidTr="00DD239B">
        <w:trPr>
          <w:trHeight w:val="290"/>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Gross loan debt </w:t>
            </w: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4 277.5  </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4 752.0  </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5 002.2  </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5 296.1  </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5 607.8  </w:t>
            </w:r>
          </w:p>
        </w:tc>
      </w:tr>
      <w:tr w:rsidR="00D33D54" w:rsidRPr="00F83BFF" w:rsidTr="00DD239B">
        <w:trPr>
          <w:trHeight w:val="290"/>
        </w:trPr>
        <w:tc>
          <w:tcPr>
            <w:tcW w:w="2480" w:type="dxa"/>
            <w:vMerge/>
            <w:tcBorders>
              <w:top w:val="nil"/>
              <w:left w:val="single" w:sz="4" w:space="0" w:color="auto"/>
              <w:bottom w:val="single" w:sz="4" w:space="0" w:color="auto"/>
              <w:right w:val="single" w:sz="4" w:space="0" w:color="auto"/>
            </w:tcBorders>
            <w:vAlign w:val="center"/>
            <w:hideMark/>
          </w:tcPr>
          <w:p w:rsidR="00D33D54" w:rsidRPr="00F83BFF" w:rsidRDefault="00D33D54" w:rsidP="00F83BFF">
            <w:pPr>
              <w:rPr>
                <w:rFonts w:ascii="Arial" w:hAnsi="Arial" w:cs="Arial"/>
                <w:b/>
                <w:bCs/>
                <w:sz w:val="20"/>
                <w:lang w:val="en-ZA" w:eastAsia="en-ZA"/>
              </w:rPr>
            </w:pP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68.0%</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71.4%</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70.8%</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70.4%</w:t>
            </w:r>
          </w:p>
        </w:tc>
        <w:tc>
          <w:tcPr>
            <w:tcW w:w="1206"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ind w:firstLineChars="100" w:firstLine="200"/>
              <w:rPr>
                <w:rFonts w:ascii="Arial" w:hAnsi="Arial" w:cs="Arial"/>
                <w:i/>
                <w:iCs/>
                <w:sz w:val="20"/>
                <w:lang w:val="en-ZA" w:eastAsia="en-ZA"/>
              </w:rPr>
            </w:pPr>
            <w:r w:rsidRPr="00F83BFF">
              <w:rPr>
                <w:rFonts w:ascii="Arial" w:hAnsi="Arial" w:cs="Arial"/>
                <w:i/>
                <w:iCs/>
                <w:sz w:val="20"/>
                <w:lang w:val="en-ZA" w:eastAsia="en-ZA"/>
              </w:rPr>
              <w:t>70.0%</w:t>
            </w:r>
          </w:p>
        </w:tc>
      </w:tr>
      <w:tr w:rsidR="00D33D54" w:rsidRPr="00F83BFF" w:rsidTr="00DD239B">
        <w:trPr>
          <w:trHeight w:val="290"/>
        </w:trPr>
        <w:tc>
          <w:tcPr>
            <w:tcW w:w="2480" w:type="dxa"/>
            <w:vMerge w:val="restart"/>
            <w:tcBorders>
              <w:top w:val="nil"/>
              <w:left w:val="single" w:sz="4" w:space="0" w:color="auto"/>
              <w:bottom w:val="single" w:sz="4" w:space="0" w:color="auto"/>
              <w:right w:val="single" w:sz="4" w:space="0" w:color="auto"/>
            </w:tcBorders>
            <w:shd w:val="clear" w:color="auto" w:fill="auto"/>
            <w:vAlign w:val="center"/>
            <w:hideMark/>
          </w:tcPr>
          <w:p w:rsidR="00D33D54" w:rsidRPr="00F83BFF" w:rsidRDefault="00D33D54" w:rsidP="00F83BFF">
            <w:pPr>
              <w:rPr>
                <w:rFonts w:ascii="Arial" w:hAnsi="Arial" w:cs="Arial"/>
                <w:b/>
                <w:bCs/>
                <w:color w:val="000000"/>
                <w:sz w:val="20"/>
                <w:lang w:val="en-ZA" w:eastAsia="en-ZA"/>
              </w:rPr>
            </w:pPr>
            <w:r w:rsidRPr="00F83BFF">
              <w:rPr>
                <w:rFonts w:ascii="Arial" w:hAnsi="Arial" w:cs="Arial"/>
                <w:b/>
                <w:bCs/>
                <w:color w:val="000000"/>
                <w:sz w:val="20"/>
                <w:lang w:val="en-ZA" w:eastAsia="en-ZA"/>
              </w:rPr>
              <w:t xml:space="preserve">Net loan debt </w:t>
            </w:r>
          </w:p>
        </w:tc>
        <w:tc>
          <w:tcPr>
            <w:tcW w:w="1547" w:type="dxa"/>
            <w:tcBorders>
              <w:top w:val="nil"/>
              <w:left w:val="nil"/>
              <w:bottom w:val="single" w:sz="4" w:space="0" w:color="auto"/>
              <w:right w:val="single" w:sz="4" w:space="0" w:color="auto"/>
            </w:tcBorders>
            <w:shd w:val="clear" w:color="000000" w:fill="FFFFFF"/>
            <w:noWrap/>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4 011.1   </w:t>
            </w:r>
          </w:p>
        </w:tc>
        <w:tc>
          <w:tcPr>
            <w:tcW w:w="1365" w:type="dxa"/>
            <w:tcBorders>
              <w:top w:val="nil"/>
              <w:left w:val="nil"/>
              <w:bottom w:val="single" w:sz="4" w:space="0" w:color="auto"/>
              <w:right w:val="single" w:sz="4" w:space="0" w:color="auto"/>
            </w:tcBorders>
            <w:shd w:val="clear" w:color="000000" w:fill="FFFFFF"/>
            <w:noWrap/>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4 508.3 </w:t>
            </w:r>
          </w:p>
        </w:tc>
        <w:tc>
          <w:tcPr>
            <w:tcW w:w="1501" w:type="dxa"/>
            <w:tcBorders>
              <w:top w:val="nil"/>
              <w:left w:val="nil"/>
              <w:bottom w:val="single" w:sz="4" w:space="0" w:color="auto"/>
              <w:right w:val="single" w:sz="4" w:space="0" w:color="auto"/>
            </w:tcBorders>
            <w:shd w:val="clear" w:color="000000" w:fill="FFFFFF"/>
            <w:noWrap/>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4 849.4 </w:t>
            </w:r>
          </w:p>
        </w:tc>
        <w:tc>
          <w:tcPr>
            <w:tcW w:w="1183" w:type="dxa"/>
            <w:tcBorders>
              <w:top w:val="nil"/>
              <w:left w:val="nil"/>
              <w:bottom w:val="single" w:sz="4" w:space="0" w:color="auto"/>
              <w:right w:val="single" w:sz="4" w:space="0" w:color="auto"/>
            </w:tcBorders>
            <w:shd w:val="clear" w:color="000000" w:fill="FFFFFF"/>
            <w:noWrap/>
            <w:vAlign w:val="center"/>
            <w:hideMark/>
          </w:tcPr>
          <w:p w:rsidR="00D33D54" w:rsidRPr="00F83BFF" w:rsidRDefault="00D33D54" w:rsidP="00F83BFF">
            <w:pPr>
              <w:rPr>
                <w:rFonts w:ascii="Arial" w:hAnsi="Arial" w:cs="Arial"/>
                <w:b/>
                <w:bCs/>
                <w:sz w:val="20"/>
                <w:lang w:val="en-ZA" w:eastAsia="en-ZA"/>
              </w:rPr>
            </w:pPr>
            <w:r w:rsidRPr="00F83BFF">
              <w:rPr>
                <w:rFonts w:ascii="Arial" w:hAnsi="Arial" w:cs="Arial"/>
                <w:b/>
                <w:bCs/>
                <w:sz w:val="20"/>
                <w:lang w:val="en-ZA" w:eastAsia="en-ZA"/>
              </w:rPr>
              <w:t xml:space="preserve">       5 190.8  </w:t>
            </w:r>
          </w:p>
        </w:tc>
        <w:tc>
          <w:tcPr>
            <w:tcW w:w="1206" w:type="dxa"/>
            <w:tcBorders>
              <w:top w:val="nil"/>
              <w:left w:val="nil"/>
              <w:bottom w:val="single" w:sz="4" w:space="0" w:color="auto"/>
              <w:right w:val="single" w:sz="4" w:space="0" w:color="auto"/>
            </w:tcBorders>
            <w:shd w:val="clear" w:color="auto" w:fill="auto"/>
            <w:noWrap/>
            <w:vAlign w:val="center"/>
            <w:hideMark/>
          </w:tcPr>
          <w:p w:rsidR="00D33D54" w:rsidRPr="00F83BFF" w:rsidRDefault="00D33D54" w:rsidP="00F83BFF">
            <w:pPr>
              <w:rPr>
                <w:rFonts w:ascii="Arial" w:hAnsi="Arial" w:cs="Arial"/>
                <w:b/>
                <w:bCs/>
                <w:color w:val="000000"/>
                <w:sz w:val="20"/>
                <w:lang w:val="en-ZA" w:eastAsia="en-ZA"/>
              </w:rPr>
            </w:pPr>
            <w:r w:rsidRPr="00F83BFF">
              <w:rPr>
                <w:rFonts w:ascii="Arial" w:hAnsi="Arial" w:cs="Arial"/>
                <w:b/>
                <w:bCs/>
                <w:color w:val="000000"/>
                <w:sz w:val="20"/>
                <w:lang w:val="en-ZA" w:eastAsia="en-ZA"/>
              </w:rPr>
              <w:t>5513.4</w:t>
            </w:r>
          </w:p>
        </w:tc>
      </w:tr>
      <w:tr w:rsidR="00D33D54" w:rsidRPr="00F83BFF" w:rsidTr="00DD239B">
        <w:trPr>
          <w:trHeight w:val="290"/>
        </w:trPr>
        <w:tc>
          <w:tcPr>
            <w:tcW w:w="2480" w:type="dxa"/>
            <w:vMerge/>
            <w:tcBorders>
              <w:top w:val="nil"/>
              <w:left w:val="single" w:sz="4" w:space="0" w:color="auto"/>
              <w:bottom w:val="single" w:sz="4" w:space="0" w:color="auto"/>
              <w:right w:val="single" w:sz="4" w:space="0" w:color="auto"/>
            </w:tcBorders>
            <w:vAlign w:val="center"/>
            <w:hideMark/>
          </w:tcPr>
          <w:p w:rsidR="00D33D54" w:rsidRPr="00F83BFF" w:rsidRDefault="00D33D54" w:rsidP="00F83BFF">
            <w:pPr>
              <w:rPr>
                <w:rFonts w:ascii="Arial" w:hAnsi="Arial" w:cs="Arial"/>
                <w:b/>
                <w:bCs/>
                <w:color w:val="000000"/>
                <w:sz w:val="20"/>
                <w:lang w:val="en-ZA" w:eastAsia="en-ZA"/>
              </w:rPr>
            </w:pPr>
          </w:p>
        </w:tc>
        <w:tc>
          <w:tcPr>
            <w:tcW w:w="1547"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i/>
                <w:iCs/>
                <w:sz w:val="20"/>
                <w:lang w:val="en-ZA" w:eastAsia="en-ZA"/>
              </w:rPr>
            </w:pPr>
            <w:r w:rsidRPr="00F83BFF">
              <w:rPr>
                <w:rFonts w:ascii="Arial" w:hAnsi="Arial" w:cs="Arial"/>
                <w:i/>
                <w:iCs/>
                <w:sz w:val="20"/>
                <w:lang w:val="en-ZA" w:eastAsia="en-ZA"/>
              </w:rPr>
              <w:t xml:space="preserve">63.8% </w:t>
            </w:r>
          </w:p>
        </w:tc>
        <w:tc>
          <w:tcPr>
            <w:tcW w:w="1365"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i/>
                <w:iCs/>
                <w:sz w:val="20"/>
                <w:lang w:val="en-ZA" w:eastAsia="en-ZA"/>
              </w:rPr>
            </w:pPr>
            <w:r w:rsidRPr="00F83BFF">
              <w:rPr>
                <w:rFonts w:ascii="Arial" w:hAnsi="Arial" w:cs="Arial"/>
                <w:i/>
                <w:iCs/>
                <w:sz w:val="20"/>
                <w:lang w:val="en-ZA" w:eastAsia="en-ZA"/>
              </w:rPr>
              <w:t xml:space="preserve">67.8% </w:t>
            </w:r>
          </w:p>
        </w:tc>
        <w:tc>
          <w:tcPr>
            <w:tcW w:w="1501"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i/>
                <w:iCs/>
                <w:sz w:val="20"/>
                <w:lang w:val="en-ZA" w:eastAsia="en-ZA"/>
              </w:rPr>
            </w:pPr>
            <w:r w:rsidRPr="00F83BFF">
              <w:rPr>
                <w:rFonts w:ascii="Arial" w:hAnsi="Arial" w:cs="Arial"/>
                <w:i/>
                <w:iCs/>
                <w:sz w:val="20"/>
                <w:lang w:val="en-ZA" w:eastAsia="en-ZA"/>
              </w:rPr>
              <w:t xml:space="preserve">68.7% </w:t>
            </w:r>
          </w:p>
        </w:tc>
        <w:tc>
          <w:tcPr>
            <w:tcW w:w="1183" w:type="dxa"/>
            <w:tcBorders>
              <w:top w:val="nil"/>
              <w:left w:val="nil"/>
              <w:bottom w:val="single" w:sz="4" w:space="0" w:color="auto"/>
              <w:right w:val="single" w:sz="4" w:space="0" w:color="auto"/>
            </w:tcBorders>
            <w:shd w:val="clear" w:color="auto" w:fill="auto"/>
            <w:noWrap/>
            <w:hideMark/>
          </w:tcPr>
          <w:p w:rsidR="00D33D54" w:rsidRPr="00F83BFF" w:rsidRDefault="00D33D54" w:rsidP="00F83BFF">
            <w:pPr>
              <w:rPr>
                <w:rFonts w:ascii="Arial" w:hAnsi="Arial" w:cs="Arial"/>
                <w:i/>
                <w:iCs/>
                <w:sz w:val="20"/>
                <w:lang w:val="en-ZA" w:eastAsia="en-ZA"/>
              </w:rPr>
            </w:pPr>
            <w:r w:rsidRPr="00F83BFF">
              <w:rPr>
                <w:rFonts w:ascii="Arial" w:hAnsi="Arial" w:cs="Arial"/>
                <w:i/>
                <w:iCs/>
                <w:sz w:val="20"/>
                <w:lang w:val="en-ZA" w:eastAsia="en-ZA"/>
              </w:rPr>
              <w:t xml:space="preserve">69.0% </w:t>
            </w:r>
          </w:p>
        </w:tc>
        <w:tc>
          <w:tcPr>
            <w:tcW w:w="1206" w:type="dxa"/>
            <w:tcBorders>
              <w:top w:val="nil"/>
              <w:left w:val="nil"/>
              <w:bottom w:val="single" w:sz="4" w:space="0" w:color="auto"/>
              <w:right w:val="single" w:sz="4" w:space="0" w:color="auto"/>
            </w:tcBorders>
            <w:shd w:val="clear" w:color="auto" w:fill="auto"/>
            <w:noWrap/>
            <w:vAlign w:val="bottom"/>
            <w:hideMark/>
          </w:tcPr>
          <w:p w:rsidR="00D33D54" w:rsidRPr="00F83BFF" w:rsidRDefault="00D33D54" w:rsidP="00F83BFF">
            <w:pPr>
              <w:rPr>
                <w:rFonts w:ascii="Arial" w:hAnsi="Arial" w:cs="Arial"/>
                <w:i/>
                <w:iCs/>
                <w:color w:val="000000"/>
                <w:sz w:val="20"/>
                <w:lang w:val="en-ZA" w:eastAsia="en-ZA"/>
              </w:rPr>
            </w:pPr>
            <w:r w:rsidRPr="00F83BFF">
              <w:rPr>
                <w:rFonts w:ascii="Arial" w:hAnsi="Arial" w:cs="Arial"/>
                <w:i/>
                <w:iCs/>
                <w:color w:val="000000"/>
                <w:sz w:val="20"/>
                <w:lang w:val="en-ZA" w:eastAsia="en-ZA"/>
              </w:rPr>
              <w:t>68.8%</w:t>
            </w:r>
          </w:p>
        </w:tc>
      </w:tr>
    </w:tbl>
    <w:p w:rsidR="00D33D54" w:rsidRPr="00F83BFF" w:rsidRDefault="00D33D54" w:rsidP="00F83BFF">
      <w:pPr>
        <w:rPr>
          <w:rFonts w:ascii="Arial" w:hAnsi="Arial" w:cs="Arial"/>
          <w:sz w:val="20"/>
        </w:rPr>
      </w:pPr>
      <w:r w:rsidRPr="00F83BFF">
        <w:rPr>
          <w:rFonts w:ascii="Arial" w:hAnsi="Arial" w:cs="Arial"/>
          <w:b/>
          <w:bCs/>
          <w:sz w:val="20"/>
        </w:rPr>
        <w:t>Source</w:t>
      </w:r>
      <w:r w:rsidRPr="00F83BFF">
        <w:rPr>
          <w:rFonts w:ascii="Arial" w:hAnsi="Arial" w:cs="Arial"/>
          <w:sz w:val="20"/>
        </w:rPr>
        <w:t>: National Treasury</w:t>
      </w:r>
    </w:p>
    <w:p w:rsidR="00E21C08" w:rsidRPr="00F83BFF" w:rsidRDefault="00E21C08" w:rsidP="00F83BFF">
      <w:pPr>
        <w:rPr>
          <w:rFonts w:ascii="Arial" w:hAnsi="Arial" w:cs="Arial"/>
          <w:sz w:val="20"/>
        </w:rPr>
      </w:pPr>
    </w:p>
    <w:p w:rsidR="00A93950" w:rsidRPr="00F83BFF" w:rsidRDefault="00737967"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7353CD" w:rsidRPr="00F83BFF">
        <w:rPr>
          <w:rFonts w:ascii="Arial" w:hAnsi="Arial" w:cs="Arial"/>
          <w:sz w:val="20"/>
          <w:u w:val="none"/>
        </w:rPr>
        <w:t>c</w:t>
      </w:r>
      <w:r w:rsidR="00FC68B4" w:rsidRPr="00F83BFF">
        <w:rPr>
          <w:rFonts w:ascii="Arial" w:hAnsi="Arial" w:cs="Arial"/>
          <w:sz w:val="20"/>
          <w:u w:val="none"/>
        </w:rPr>
        <w:t xml:space="preserve">onsolidated expenditure </w:t>
      </w:r>
      <w:r w:rsidR="008E76AD" w:rsidRPr="00F83BFF">
        <w:rPr>
          <w:rFonts w:ascii="Arial" w:hAnsi="Arial" w:cs="Arial"/>
          <w:sz w:val="20"/>
          <w:u w:val="none"/>
        </w:rPr>
        <w:t>i</w:t>
      </w:r>
      <w:r w:rsidR="00A93950" w:rsidRPr="00F83BFF">
        <w:rPr>
          <w:rFonts w:ascii="Arial" w:hAnsi="Arial" w:cs="Arial"/>
          <w:sz w:val="20"/>
          <w:u w:val="none"/>
        </w:rPr>
        <w:t>n</w:t>
      </w:r>
      <w:r w:rsidR="008E76AD" w:rsidRPr="00F83BFF">
        <w:rPr>
          <w:rFonts w:ascii="Arial" w:hAnsi="Arial" w:cs="Arial"/>
          <w:sz w:val="20"/>
          <w:u w:val="none"/>
        </w:rPr>
        <w:t xml:space="preserve"> 2022/23 is now estimated at R2.21</w:t>
      </w:r>
      <w:r w:rsidR="00F2779B" w:rsidRPr="00F83BFF">
        <w:rPr>
          <w:rFonts w:ascii="Arial" w:hAnsi="Arial" w:cs="Arial"/>
          <w:sz w:val="20"/>
          <w:u w:val="none"/>
        </w:rPr>
        <w:t xml:space="preserve"> trillio</w:t>
      </w:r>
      <w:r w:rsidR="00A139C9" w:rsidRPr="00F83BFF">
        <w:rPr>
          <w:rFonts w:ascii="Arial" w:hAnsi="Arial" w:cs="Arial"/>
          <w:sz w:val="20"/>
          <w:u w:val="none"/>
        </w:rPr>
        <w:t>n</w:t>
      </w:r>
      <w:r w:rsidR="008E76AD" w:rsidRPr="00F83BFF">
        <w:rPr>
          <w:rFonts w:ascii="Arial" w:hAnsi="Arial" w:cs="Arial"/>
          <w:sz w:val="20"/>
          <w:u w:val="none"/>
        </w:rPr>
        <w:t>, R2.24 trillion in 2023/24 and almost R2.5 trillion in 2025/26</w:t>
      </w:r>
      <w:r w:rsidR="007932B5" w:rsidRPr="00F83BFF">
        <w:rPr>
          <w:rFonts w:ascii="Arial" w:hAnsi="Arial" w:cs="Arial"/>
          <w:sz w:val="20"/>
          <w:u w:val="none"/>
        </w:rPr>
        <w:t>.</w:t>
      </w:r>
      <w:r w:rsidR="00DA4E4B" w:rsidRPr="00F83BFF">
        <w:rPr>
          <w:rFonts w:ascii="Arial" w:hAnsi="Arial" w:cs="Arial"/>
          <w:sz w:val="20"/>
          <w:u w:val="none"/>
        </w:rPr>
        <w:t xml:space="preserve"> </w:t>
      </w:r>
      <w:r w:rsidR="00B65DF1" w:rsidRPr="00F83BFF">
        <w:rPr>
          <w:rFonts w:ascii="Arial" w:hAnsi="Arial" w:cs="Arial"/>
          <w:sz w:val="20"/>
          <w:u w:val="none"/>
        </w:rPr>
        <w:t xml:space="preserve">Compared with the 2022 Budget estimates, the </w:t>
      </w:r>
      <w:r w:rsidR="006D5A44" w:rsidRPr="00F83BFF">
        <w:rPr>
          <w:rFonts w:ascii="Arial" w:hAnsi="Arial" w:cs="Arial"/>
          <w:sz w:val="20"/>
          <w:u w:val="none"/>
        </w:rPr>
        <w:t>g</w:t>
      </w:r>
      <w:r w:rsidR="00B65DF1" w:rsidRPr="00F83BFF">
        <w:rPr>
          <w:rFonts w:ascii="Arial" w:hAnsi="Arial" w:cs="Arial"/>
          <w:sz w:val="20"/>
          <w:u w:val="none"/>
        </w:rPr>
        <w:t>overnment proposes a net addition of R37 billion to the main budget non-interest spending in 2022/23. This consists of R54.1 billion in spending increases, partially offset by declared unspent funds, projected underspending and contingency reserve drawdowns. Overall, t</w:t>
      </w:r>
      <w:r w:rsidR="00A93950" w:rsidRPr="00F83BFF">
        <w:rPr>
          <w:rFonts w:ascii="Arial" w:hAnsi="Arial" w:cs="Arial"/>
          <w:sz w:val="20"/>
          <w:u w:val="none"/>
        </w:rPr>
        <w:t>he</w:t>
      </w:r>
      <w:r w:rsidR="007353CD" w:rsidRPr="00F83BFF">
        <w:rPr>
          <w:rFonts w:ascii="Arial" w:hAnsi="Arial" w:cs="Arial"/>
          <w:sz w:val="20"/>
          <w:u w:val="none"/>
        </w:rPr>
        <w:t xml:space="preserve"> social wage will take up 59.4 per cent of total non-in</w:t>
      </w:r>
      <w:r w:rsidR="00A93950" w:rsidRPr="00F83BFF">
        <w:rPr>
          <w:rFonts w:ascii="Arial" w:hAnsi="Arial" w:cs="Arial"/>
          <w:sz w:val="20"/>
          <w:u w:val="none"/>
        </w:rPr>
        <w:t>terest spending over the medium term</w:t>
      </w:r>
      <w:r w:rsidR="007353CD" w:rsidRPr="00F83BFF">
        <w:rPr>
          <w:rFonts w:ascii="Arial" w:hAnsi="Arial" w:cs="Arial"/>
          <w:sz w:val="20"/>
          <w:u w:val="none"/>
        </w:rPr>
        <w:t>.</w:t>
      </w:r>
      <w:r w:rsidR="008E76AD" w:rsidRPr="00F83BFF">
        <w:rPr>
          <w:rFonts w:ascii="Arial" w:hAnsi="Arial" w:cs="Arial"/>
          <w:sz w:val="20"/>
          <w:u w:val="none"/>
        </w:rPr>
        <w:t xml:space="preserve"> </w:t>
      </w:r>
    </w:p>
    <w:p w:rsidR="00427624" w:rsidRPr="00F83BFF" w:rsidRDefault="008E76AD" w:rsidP="00F83BFF">
      <w:pPr>
        <w:pStyle w:val="Heading3"/>
        <w:spacing w:before="0" w:line="240" w:lineRule="auto"/>
        <w:rPr>
          <w:rFonts w:ascii="Arial" w:hAnsi="Arial" w:cs="Arial"/>
          <w:sz w:val="20"/>
          <w:u w:val="none"/>
        </w:rPr>
      </w:pPr>
      <w:r w:rsidRPr="00F83BFF">
        <w:rPr>
          <w:rFonts w:ascii="Arial" w:hAnsi="Arial" w:cs="Arial"/>
          <w:sz w:val="20"/>
          <w:u w:val="none"/>
        </w:rPr>
        <w:t>Additional resourc</w:t>
      </w:r>
      <w:r w:rsidR="006D5A44" w:rsidRPr="00F83BFF">
        <w:rPr>
          <w:rFonts w:ascii="Arial" w:hAnsi="Arial" w:cs="Arial"/>
          <w:sz w:val="20"/>
          <w:u w:val="none"/>
        </w:rPr>
        <w:t>es are provided over the medium</w:t>
      </w:r>
      <w:r w:rsidR="00945DC0" w:rsidRPr="00F83BFF">
        <w:rPr>
          <w:rFonts w:ascii="Arial" w:hAnsi="Arial" w:cs="Arial"/>
          <w:sz w:val="20"/>
          <w:u w:val="none"/>
        </w:rPr>
        <w:t>-</w:t>
      </w:r>
      <w:r w:rsidRPr="00F83BFF">
        <w:rPr>
          <w:rFonts w:ascii="Arial" w:hAnsi="Arial" w:cs="Arial"/>
          <w:sz w:val="20"/>
          <w:u w:val="none"/>
        </w:rPr>
        <w:t>term for the security f</w:t>
      </w:r>
      <w:r w:rsidR="00F9793B" w:rsidRPr="00F83BFF">
        <w:rPr>
          <w:rFonts w:ascii="Arial" w:hAnsi="Arial" w:cs="Arial"/>
          <w:sz w:val="20"/>
          <w:u w:val="none"/>
        </w:rPr>
        <w:t>orces</w:t>
      </w:r>
      <w:r w:rsidRPr="00F83BFF">
        <w:rPr>
          <w:rFonts w:ascii="Arial" w:hAnsi="Arial" w:cs="Arial"/>
          <w:sz w:val="20"/>
          <w:u w:val="none"/>
        </w:rPr>
        <w:t xml:space="preserve">, health, education, local amenities and infrastructure investment. </w:t>
      </w:r>
      <w:r w:rsidR="00E16EDE" w:rsidRPr="00F83BFF">
        <w:rPr>
          <w:rFonts w:ascii="Arial" w:hAnsi="Arial" w:cs="Arial"/>
          <w:sz w:val="20"/>
          <w:u w:val="none"/>
        </w:rPr>
        <w:t>G</w:t>
      </w:r>
      <w:r w:rsidRPr="00F83BFF">
        <w:rPr>
          <w:rFonts w:ascii="Arial" w:hAnsi="Arial" w:cs="Arial"/>
          <w:sz w:val="20"/>
          <w:u w:val="none"/>
        </w:rPr>
        <w:t xml:space="preserve">overnment is also allocating funds </w:t>
      </w:r>
      <w:r w:rsidRPr="00F83BFF">
        <w:rPr>
          <w:rFonts w:ascii="Arial" w:hAnsi="Arial" w:cs="Arial"/>
          <w:sz w:val="20"/>
          <w:u w:val="none"/>
        </w:rPr>
        <w:lastRenderedPageBreak/>
        <w:t>to reduce fiscal and economic risks posed by Denel</w:t>
      </w:r>
      <w:r w:rsidR="00941A1C" w:rsidRPr="00F83BFF">
        <w:rPr>
          <w:rFonts w:ascii="Arial" w:hAnsi="Arial" w:cs="Arial"/>
          <w:sz w:val="20"/>
          <w:u w:val="none"/>
        </w:rPr>
        <w:t xml:space="preserve"> (R204 million </w:t>
      </w:r>
      <w:r w:rsidR="00AE7338" w:rsidRPr="00F83BFF">
        <w:rPr>
          <w:rFonts w:ascii="Arial" w:hAnsi="Arial" w:cs="Arial"/>
          <w:sz w:val="20"/>
          <w:u w:val="none"/>
        </w:rPr>
        <w:t xml:space="preserve">to reduce contingent liabilities and </w:t>
      </w:r>
      <w:r w:rsidR="00941A1C" w:rsidRPr="00F83BFF">
        <w:rPr>
          <w:rFonts w:ascii="Arial" w:hAnsi="Arial" w:cs="Arial"/>
          <w:sz w:val="20"/>
          <w:u w:val="none"/>
        </w:rPr>
        <w:t>an</w:t>
      </w:r>
      <w:r w:rsidR="00AE7338" w:rsidRPr="00F83BFF">
        <w:rPr>
          <w:rFonts w:ascii="Arial" w:hAnsi="Arial" w:cs="Arial"/>
          <w:sz w:val="20"/>
          <w:u w:val="none"/>
        </w:rPr>
        <w:t xml:space="preserve"> additional</w:t>
      </w:r>
      <w:r w:rsidR="00941A1C" w:rsidRPr="00F83BFF">
        <w:rPr>
          <w:rFonts w:ascii="Arial" w:hAnsi="Arial" w:cs="Arial"/>
          <w:sz w:val="20"/>
          <w:u w:val="none"/>
        </w:rPr>
        <w:t xml:space="preserve"> R3.4 billion</w:t>
      </w:r>
      <w:r w:rsidR="00AE7338" w:rsidRPr="00F83BFF">
        <w:rPr>
          <w:rFonts w:ascii="Arial" w:hAnsi="Arial" w:cs="Arial"/>
          <w:sz w:val="20"/>
          <w:u w:val="none"/>
        </w:rPr>
        <w:t xml:space="preserve"> for </w:t>
      </w:r>
      <w:r w:rsidR="00E16EDE" w:rsidRPr="00F83BFF">
        <w:rPr>
          <w:rFonts w:ascii="Arial" w:hAnsi="Arial" w:cs="Arial"/>
          <w:sz w:val="20"/>
          <w:u w:val="none"/>
        </w:rPr>
        <w:t xml:space="preserve">the </w:t>
      </w:r>
      <w:r w:rsidR="00AE7338" w:rsidRPr="00F83BFF">
        <w:rPr>
          <w:rFonts w:ascii="Arial" w:hAnsi="Arial" w:cs="Arial"/>
          <w:sz w:val="20"/>
          <w:u w:val="none"/>
        </w:rPr>
        <w:t xml:space="preserve">turnaround </w:t>
      </w:r>
      <w:r w:rsidR="00A37326" w:rsidRPr="00F83BFF">
        <w:rPr>
          <w:rFonts w:ascii="Arial" w:hAnsi="Arial" w:cs="Arial"/>
          <w:sz w:val="20"/>
          <w:u w:val="none"/>
        </w:rPr>
        <w:t>plan implementation</w:t>
      </w:r>
      <w:r w:rsidR="00941A1C" w:rsidRPr="00F83BFF">
        <w:rPr>
          <w:rFonts w:ascii="Arial" w:hAnsi="Arial" w:cs="Arial"/>
          <w:sz w:val="20"/>
          <w:u w:val="none"/>
        </w:rPr>
        <w:t>)</w:t>
      </w:r>
      <w:r w:rsidRPr="00F83BFF">
        <w:rPr>
          <w:rFonts w:ascii="Arial" w:hAnsi="Arial" w:cs="Arial"/>
          <w:sz w:val="20"/>
          <w:u w:val="none"/>
        </w:rPr>
        <w:t xml:space="preserve">, </w:t>
      </w:r>
      <w:r w:rsidR="006D5A44" w:rsidRPr="00F83BFF">
        <w:rPr>
          <w:rFonts w:ascii="Arial" w:hAnsi="Arial" w:cs="Arial"/>
          <w:sz w:val="20"/>
          <w:u w:val="none"/>
        </w:rPr>
        <w:t>South African National Road Agency Limited (</w:t>
      </w:r>
      <w:r w:rsidRPr="00F83BFF">
        <w:rPr>
          <w:rFonts w:ascii="Arial" w:hAnsi="Arial" w:cs="Arial"/>
          <w:sz w:val="20"/>
          <w:u w:val="none"/>
        </w:rPr>
        <w:t>SANRAL</w:t>
      </w:r>
      <w:r w:rsidR="006D5A44" w:rsidRPr="00F83BFF">
        <w:rPr>
          <w:rFonts w:ascii="Arial" w:hAnsi="Arial" w:cs="Arial"/>
          <w:sz w:val="20"/>
          <w:u w:val="none"/>
        </w:rPr>
        <w:t>)</w:t>
      </w:r>
      <w:r w:rsidR="00941A1C" w:rsidRPr="00F83BFF">
        <w:rPr>
          <w:rFonts w:ascii="Arial" w:hAnsi="Arial" w:cs="Arial"/>
          <w:sz w:val="20"/>
          <w:u w:val="none"/>
        </w:rPr>
        <w:t xml:space="preserve"> (R23.7 billion)</w:t>
      </w:r>
      <w:r w:rsidRPr="00F83BFF">
        <w:rPr>
          <w:rFonts w:ascii="Arial" w:hAnsi="Arial" w:cs="Arial"/>
          <w:sz w:val="20"/>
          <w:u w:val="none"/>
        </w:rPr>
        <w:t xml:space="preserve"> and Transnet</w:t>
      </w:r>
      <w:r w:rsidR="00941A1C" w:rsidRPr="00F83BFF">
        <w:rPr>
          <w:rFonts w:ascii="Arial" w:hAnsi="Arial" w:cs="Arial"/>
          <w:sz w:val="20"/>
          <w:u w:val="none"/>
        </w:rPr>
        <w:t xml:space="preserve"> (R5.8 billion</w:t>
      </w:r>
      <w:r w:rsidR="00747A76" w:rsidRPr="00F83BFF">
        <w:rPr>
          <w:rFonts w:ascii="Arial" w:hAnsi="Arial" w:cs="Arial"/>
          <w:sz w:val="20"/>
          <w:u w:val="none"/>
        </w:rPr>
        <w:t>) and</w:t>
      </w:r>
      <w:r w:rsidRPr="00F83BFF">
        <w:rPr>
          <w:rFonts w:ascii="Arial" w:hAnsi="Arial" w:cs="Arial"/>
          <w:sz w:val="20"/>
          <w:u w:val="none"/>
        </w:rPr>
        <w:t xml:space="preserve"> plans to take</w:t>
      </w:r>
      <w:r w:rsidR="00941A1C" w:rsidRPr="00F83BFF">
        <w:rPr>
          <w:rFonts w:ascii="Arial" w:hAnsi="Arial" w:cs="Arial"/>
          <w:sz w:val="20"/>
          <w:u w:val="none"/>
        </w:rPr>
        <w:t xml:space="preserve"> over a portion of </w:t>
      </w:r>
      <w:r w:rsidR="00945DC0" w:rsidRPr="00F83BFF">
        <w:rPr>
          <w:rFonts w:ascii="Arial" w:hAnsi="Arial" w:cs="Arial"/>
          <w:sz w:val="20"/>
          <w:u w:val="none"/>
        </w:rPr>
        <w:t xml:space="preserve">the R400 billion </w:t>
      </w:r>
      <w:r w:rsidR="00941A1C" w:rsidRPr="00F83BFF">
        <w:rPr>
          <w:rFonts w:ascii="Arial" w:hAnsi="Arial" w:cs="Arial"/>
          <w:sz w:val="20"/>
          <w:u w:val="none"/>
        </w:rPr>
        <w:t>Eskom debt.</w:t>
      </w:r>
      <w:r w:rsidRPr="00F83BFF">
        <w:rPr>
          <w:rFonts w:ascii="Arial" w:hAnsi="Arial" w:cs="Arial"/>
          <w:sz w:val="20"/>
          <w:u w:val="none"/>
        </w:rPr>
        <w:t xml:space="preserve"> </w:t>
      </w:r>
    </w:p>
    <w:p w:rsidR="00427624" w:rsidRPr="00F83BFF" w:rsidRDefault="008E76AD"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consolidated budget deficit is </w:t>
      </w:r>
      <w:r w:rsidR="00641D22" w:rsidRPr="00F83BFF">
        <w:rPr>
          <w:rFonts w:ascii="Arial" w:hAnsi="Arial" w:cs="Arial"/>
          <w:sz w:val="20"/>
          <w:u w:val="none"/>
        </w:rPr>
        <w:t xml:space="preserve">now </w:t>
      </w:r>
      <w:r w:rsidRPr="00F83BFF">
        <w:rPr>
          <w:rFonts w:ascii="Arial" w:hAnsi="Arial" w:cs="Arial"/>
          <w:sz w:val="20"/>
          <w:u w:val="none"/>
        </w:rPr>
        <w:t xml:space="preserve">projected to narrow from 4.1 per cent of GDP in 2023/24 to 3.2 per cent of GDP in 2025/26. </w:t>
      </w:r>
      <w:r w:rsidR="008C4234" w:rsidRPr="00F83BFF">
        <w:rPr>
          <w:rFonts w:ascii="Arial" w:hAnsi="Arial" w:cs="Arial"/>
          <w:sz w:val="20"/>
          <w:u w:val="none"/>
        </w:rPr>
        <w:t xml:space="preserve">According to </w:t>
      </w:r>
      <w:r w:rsidR="00BF7901" w:rsidRPr="00F83BFF">
        <w:rPr>
          <w:rFonts w:ascii="Arial" w:hAnsi="Arial" w:cs="Arial"/>
          <w:sz w:val="20"/>
          <w:u w:val="none"/>
        </w:rPr>
        <w:t xml:space="preserve">the </w:t>
      </w:r>
      <w:r w:rsidR="008C4234" w:rsidRPr="00F83BFF">
        <w:rPr>
          <w:rFonts w:ascii="Arial" w:hAnsi="Arial" w:cs="Arial"/>
          <w:sz w:val="20"/>
          <w:u w:val="none"/>
        </w:rPr>
        <w:t>N</w:t>
      </w:r>
      <w:r w:rsidR="00BF7901" w:rsidRPr="00F83BFF">
        <w:rPr>
          <w:rFonts w:ascii="Arial" w:hAnsi="Arial" w:cs="Arial"/>
          <w:sz w:val="20"/>
          <w:u w:val="none"/>
        </w:rPr>
        <w:t xml:space="preserve">ational </w:t>
      </w:r>
      <w:r w:rsidR="008C4234" w:rsidRPr="00F83BFF">
        <w:rPr>
          <w:rFonts w:ascii="Arial" w:hAnsi="Arial" w:cs="Arial"/>
          <w:sz w:val="20"/>
          <w:u w:val="none"/>
        </w:rPr>
        <w:t>T</w:t>
      </w:r>
      <w:r w:rsidR="00BF7901" w:rsidRPr="00F83BFF">
        <w:rPr>
          <w:rFonts w:ascii="Arial" w:hAnsi="Arial" w:cs="Arial"/>
          <w:sz w:val="20"/>
          <w:u w:val="none"/>
        </w:rPr>
        <w:t>reasury</w:t>
      </w:r>
      <w:r w:rsidR="008C4234" w:rsidRPr="00F83BFF">
        <w:rPr>
          <w:rFonts w:ascii="Arial" w:hAnsi="Arial" w:cs="Arial"/>
          <w:sz w:val="20"/>
          <w:u w:val="none"/>
        </w:rPr>
        <w:t xml:space="preserve">, </w:t>
      </w:r>
      <w:r w:rsidR="006A0A86" w:rsidRPr="00F83BFF">
        <w:rPr>
          <w:rFonts w:ascii="Arial" w:hAnsi="Arial" w:cs="Arial"/>
          <w:sz w:val="20"/>
          <w:u w:val="none"/>
        </w:rPr>
        <w:t>South Africa’s fiscal policy is achieving its objective</w:t>
      </w:r>
      <w:r w:rsidR="00BF7901" w:rsidRPr="00F83BFF">
        <w:rPr>
          <w:rFonts w:ascii="Arial" w:hAnsi="Arial" w:cs="Arial"/>
          <w:sz w:val="20"/>
          <w:u w:val="none"/>
        </w:rPr>
        <w:t>s</w:t>
      </w:r>
      <w:r w:rsidR="006A0A86" w:rsidRPr="00F83BFF">
        <w:rPr>
          <w:rFonts w:ascii="Arial" w:hAnsi="Arial" w:cs="Arial"/>
          <w:sz w:val="20"/>
          <w:u w:val="none"/>
        </w:rPr>
        <w:t xml:space="preserve"> of closing the gap between revenue and non-interest spending. In 2023/24, a primary budget surplus of 0.7 per cent of GDP is projected</w:t>
      </w:r>
      <w:r w:rsidR="001805DC" w:rsidRPr="00F83BFF">
        <w:rPr>
          <w:rFonts w:ascii="Arial" w:hAnsi="Arial" w:cs="Arial"/>
          <w:sz w:val="20"/>
          <w:u w:val="none"/>
        </w:rPr>
        <w:t xml:space="preserve"> as r</w:t>
      </w:r>
      <w:r w:rsidR="00DA6674" w:rsidRPr="00F83BFF">
        <w:rPr>
          <w:rFonts w:ascii="Arial" w:hAnsi="Arial" w:cs="Arial"/>
          <w:sz w:val="20"/>
          <w:u w:val="none"/>
        </w:rPr>
        <w:t xml:space="preserve">evenue collection has exceeded projections. In the current year, </w:t>
      </w:r>
      <w:r w:rsidR="008C4234" w:rsidRPr="00F83BFF">
        <w:rPr>
          <w:rFonts w:ascii="Arial" w:hAnsi="Arial" w:cs="Arial"/>
          <w:sz w:val="20"/>
          <w:u w:val="none"/>
        </w:rPr>
        <w:t xml:space="preserve">the </w:t>
      </w:r>
      <w:r w:rsidR="00DA6674" w:rsidRPr="00F83BFF">
        <w:rPr>
          <w:rFonts w:ascii="Arial" w:hAnsi="Arial" w:cs="Arial"/>
          <w:sz w:val="20"/>
          <w:u w:val="none"/>
        </w:rPr>
        <w:t xml:space="preserve">government will use 65 per cent of </w:t>
      </w:r>
      <w:r w:rsidR="00E023A5" w:rsidRPr="00F83BFF">
        <w:rPr>
          <w:rFonts w:ascii="Arial" w:hAnsi="Arial" w:cs="Arial"/>
          <w:sz w:val="20"/>
          <w:u w:val="none"/>
        </w:rPr>
        <w:t xml:space="preserve">the </w:t>
      </w:r>
      <w:r w:rsidR="00DA6674" w:rsidRPr="00F83BFF">
        <w:rPr>
          <w:rFonts w:ascii="Arial" w:hAnsi="Arial" w:cs="Arial"/>
          <w:sz w:val="20"/>
          <w:u w:val="none"/>
        </w:rPr>
        <w:t>projected additional revenue to improve its primary balance, followed by 45 per cent in 2023/24 and 37 per cent in 2024/25.</w:t>
      </w:r>
    </w:p>
    <w:p w:rsidR="00F11543" w:rsidRPr="00F83BFF" w:rsidRDefault="004438F7"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8C4234" w:rsidRPr="00F83BFF">
        <w:rPr>
          <w:rFonts w:ascii="Arial" w:hAnsi="Arial" w:cs="Arial"/>
          <w:sz w:val="20"/>
          <w:u w:val="none"/>
        </w:rPr>
        <w:t>N</w:t>
      </w:r>
      <w:r w:rsidRPr="00F83BFF">
        <w:rPr>
          <w:rFonts w:ascii="Arial" w:hAnsi="Arial" w:cs="Arial"/>
          <w:sz w:val="20"/>
          <w:u w:val="none"/>
        </w:rPr>
        <w:t xml:space="preserve">ational </w:t>
      </w:r>
      <w:r w:rsidR="008C4234" w:rsidRPr="00F83BFF">
        <w:rPr>
          <w:rFonts w:ascii="Arial" w:hAnsi="Arial" w:cs="Arial"/>
          <w:sz w:val="20"/>
          <w:u w:val="none"/>
        </w:rPr>
        <w:t>T</w:t>
      </w:r>
      <w:r w:rsidRPr="00F83BFF">
        <w:rPr>
          <w:rFonts w:ascii="Arial" w:hAnsi="Arial" w:cs="Arial"/>
          <w:sz w:val="20"/>
          <w:u w:val="none"/>
        </w:rPr>
        <w:t>reasury</w:t>
      </w:r>
      <w:r w:rsidR="008C4234" w:rsidRPr="00F83BFF">
        <w:rPr>
          <w:rFonts w:ascii="Arial" w:hAnsi="Arial" w:cs="Arial"/>
          <w:sz w:val="20"/>
          <w:u w:val="none"/>
        </w:rPr>
        <w:t xml:space="preserve"> expects</w:t>
      </w:r>
      <w:r w:rsidR="008C4234" w:rsidRPr="00F83BFF">
        <w:rPr>
          <w:rFonts w:ascii="Arial" w:hAnsi="Arial" w:cs="Arial"/>
          <w:b/>
          <w:sz w:val="20"/>
          <w:u w:val="none"/>
        </w:rPr>
        <w:t xml:space="preserve"> </w:t>
      </w:r>
      <w:r w:rsidRPr="00F83BFF">
        <w:rPr>
          <w:rFonts w:ascii="Arial" w:hAnsi="Arial" w:cs="Arial"/>
          <w:bCs/>
          <w:sz w:val="20"/>
          <w:u w:val="none"/>
        </w:rPr>
        <w:t>the g</w:t>
      </w:r>
      <w:r w:rsidR="006A0A86" w:rsidRPr="00F83BFF">
        <w:rPr>
          <w:rFonts w:ascii="Arial" w:hAnsi="Arial" w:cs="Arial"/>
          <w:sz w:val="20"/>
          <w:u w:val="none"/>
        </w:rPr>
        <w:t xml:space="preserve">ross loan debt </w:t>
      </w:r>
      <w:r w:rsidR="008C4234" w:rsidRPr="00F83BFF">
        <w:rPr>
          <w:rFonts w:ascii="Arial" w:hAnsi="Arial" w:cs="Arial"/>
          <w:sz w:val="20"/>
          <w:u w:val="none"/>
        </w:rPr>
        <w:t>to stabilise</w:t>
      </w:r>
      <w:r w:rsidR="006A0A86" w:rsidRPr="00F83BFF">
        <w:rPr>
          <w:rFonts w:ascii="Arial" w:hAnsi="Arial" w:cs="Arial"/>
          <w:sz w:val="20"/>
          <w:u w:val="none"/>
        </w:rPr>
        <w:t xml:space="preserve"> at 71</w:t>
      </w:r>
      <w:r w:rsidR="008C4234" w:rsidRPr="00F83BFF">
        <w:rPr>
          <w:rFonts w:ascii="Arial" w:hAnsi="Arial" w:cs="Arial"/>
          <w:sz w:val="20"/>
          <w:u w:val="none"/>
        </w:rPr>
        <w:t xml:space="preserve">.4 per cent of GDP in 2022/23, which is </w:t>
      </w:r>
      <w:r w:rsidR="006A0A86" w:rsidRPr="00F83BFF">
        <w:rPr>
          <w:rFonts w:ascii="Arial" w:hAnsi="Arial" w:cs="Arial"/>
          <w:sz w:val="20"/>
          <w:u w:val="none"/>
        </w:rPr>
        <w:t xml:space="preserve">two years earlier and at a lower level than projected in the 2022 Budget Review. </w:t>
      </w:r>
      <w:r w:rsidR="00C24715" w:rsidRPr="00F83BFF">
        <w:rPr>
          <w:rFonts w:ascii="Arial" w:hAnsi="Arial" w:cs="Arial"/>
          <w:sz w:val="20"/>
          <w:u w:val="none"/>
        </w:rPr>
        <w:t xml:space="preserve">Debt stabilisation in the current year reflects the impact of several changes since </w:t>
      </w:r>
      <w:r w:rsidR="00E023A5" w:rsidRPr="00F83BFF">
        <w:rPr>
          <w:rFonts w:ascii="Arial" w:hAnsi="Arial" w:cs="Arial"/>
          <w:sz w:val="20"/>
          <w:u w:val="none"/>
        </w:rPr>
        <w:t xml:space="preserve">the </w:t>
      </w:r>
      <w:r w:rsidR="00677AAF" w:rsidRPr="00F83BFF">
        <w:rPr>
          <w:rFonts w:ascii="Arial" w:hAnsi="Arial" w:cs="Arial"/>
          <w:sz w:val="20"/>
          <w:u w:val="none"/>
        </w:rPr>
        <w:t xml:space="preserve">Budget </w:t>
      </w:r>
      <w:r w:rsidR="00E023A5" w:rsidRPr="00F83BFF">
        <w:rPr>
          <w:rFonts w:ascii="Arial" w:hAnsi="Arial" w:cs="Arial"/>
          <w:sz w:val="20"/>
          <w:u w:val="none"/>
        </w:rPr>
        <w:t xml:space="preserve">2022. </w:t>
      </w:r>
      <w:r w:rsidR="006A0A86" w:rsidRPr="00F83BFF">
        <w:rPr>
          <w:rFonts w:ascii="Arial" w:hAnsi="Arial" w:cs="Arial"/>
          <w:sz w:val="20"/>
          <w:u w:val="none"/>
        </w:rPr>
        <w:t>Net public debt will stabilise</w:t>
      </w:r>
      <w:r w:rsidR="00FF730E" w:rsidRPr="00F83BFF">
        <w:rPr>
          <w:rFonts w:ascii="Arial" w:hAnsi="Arial" w:cs="Arial"/>
          <w:sz w:val="20"/>
          <w:u w:val="none"/>
        </w:rPr>
        <w:t xml:space="preserve"> at 69 per cent</w:t>
      </w:r>
      <w:r w:rsidR="006A0A86" w:rsidRPr="00F83BFF">
        <w:rPr>
          <w:rFonts w:ascii="Arial" w:hAnsi="Arial" w:cs="Arial"/>
          <w:sz w:val="20"/>
          <w:u w:val="none"/>
        </w:rPr>
        <w:t xml:space="preserve"> of GDP in 2024/25. The improvement in the pace of debt stabilisation is largely a result of higher-than-anticipated inflation and revenue. It will be partly offset by the materialisation of fiscal risks, including a planned takeover of Eskom</w:t>
      </w:r>
      <w:r w:rsidR="008C4234" w:rsidRPr="00F83BFF">
        <w:rPr>
          <w:rFonts w:ascii="Arial" w:hAnsi="Arial" w:cs="Arial"/>
          <w:sz w:val="20"/>
          <w:u w:val="none"/>
        </w:rPr>
        <w:t>’s</w:t>
      </w:r>
      <w:r w:rsidR="006A0A86" w:rsidRPr="00F83BFF">
        <w:rPr>
          <w:rFonts w:ascii="Arial" w:hAnsi="Arial" w:cs="Arial"/>
          <w:sz w:val="20"/>
          <w:u w:val="none"/>
        </w:rPr>
        <w:t xml:space="preserve"> debt</w:t>
      </w:r>
      <w:r w:rsidR="00E023A5" w:rsidRPr="00F83BFF">
        <w:rPr>
          <w:rFonts w:ascii="Arial" w:hAnsi="Arial" w:cs="Arial"/>
          <w:sz w:val="20"/>
          <w:u w:val="none"/>
        </w:rPr>
        <w:t>.</w:t>
      </w:r>
    </w:p>
    <w:p w:rsidR="00670B03" w:rsidRPr="00F83BFF" w:rsidRDefault="00E023A5" w:rsidP="00F83BFF">
      <w:pPr>
        <w:pStyle w:val="Heading3"/>
        <w:spacing w:before="0" w:line="240" w:lineRule="auto"/>
        <w:rPr>
          <w:rFonts w:ascii="Arial" w:hAnsi="Arial" w:cs="Arial"/>
          <w:sz w:val="20"/>
          <w:u w:val="none"/>
        </w:rPr>
      </w:pPr>
      <w:r w:rsidRPr="00F83BFF">
        <w:rPr>
          <w:rFonts w:ascii="Arial" w:hAnsi="Arial" w:cs="Arial"/>
          <w:sz w:val="20"/>
          <w:u w:val="none"/>
        </w:rPr>
        <w:t>NT reported that s</w:t>
      </w:r>
      <w:r w:rsidR="00E16B06" w:rsidRPr="00F83BFF">
        <w:rPr>
          <w:rFonts w:ascii="Arial" w:hAnsi="Arial" w:cs="Arial"/>
          <w:sz w:val="20"/>
          <w:u w:val="none"/>
        </w:rPr>
        <w:t xml:space="preserve">ince 2007/08, South Africa’s public debt has risen sevenfold, from R577 billion to over R4 trillion in 2021/22. As a result, </w:t>
      </w:r>
      <w:r w:rsidRPr="00F83BFF">
        <w:rPr>
          <w:rFonts w:ascii="Arial" w:hAnsi="Arial" w:cs="Arial"/>
          <w:sz w:val="20"/>
          <w:u w:val="none"/>
        </w:rPr>
        <w:t>d</w:t>
      </w:r>
      <w:r w:rsidR="00E16B06" w:rsidRPr="00F83BFF">
        <w:rPr>
          <w:rFonts w:ascii="Arial" w:hAnsi="Arial" w:cs="Arial"/>
          <w:sz w:val="20"/>
          <w:u w:val="none"/>
        </w:rPr>
        <w:t xml:space="preserve">ebt-service costs are expected to rise from R303.7 billion in 2022/23 to R332.2 billion (4.7 per cent of GDP) in 2023/24, reaching R380.7 billion (4.8 per cent of GDP) in 2024/25. </w:t>
      </w:r>
      <w:r w:rsidR="00EF4598" w:rsidRPr="00F83BFF">
        <w:rPr>
          <w:rFonts w:ascii="Arial" w:hAnsi="Arial" w:cs="Arial"/>
          <w:sz w:val="20"/>
          <w:u w:val="none"/>
        </w:rPr>
        <w:t xml:space="preserve">Compared with the 2022 Budget estimate, debt-service costs will increase by R5.9 billion to R307.7 billion in 2022/23. </w:t>
      </w:r>
    </w:p>
    <w:p w:rsidR="00DA6674" w:rsidRPr="00F83BFF" w:rsidRDefault="007F7785" w:rsidP="00F83BFF">
      <w:pPr>
        <w:pStyle w:val="Heading3"/>
        <w:spacing w:before="0" w:line="240" w:lineRule="auto"/>
        <w:rPr>
          <w:rFonts w:ascii="Arial" w:hAnsi="Arial" w:cs="Arial"/>
          <w:sz w:val="20"/>
        </w:rPr>
      </w:pPr>
      <w:r w:rsidRPr="00F83BFF">
        <w:rPr>
          <w:rFonts w:ascii="Arial" w:hAnsi="Arial" w:cs="Arial"/>
          <w:sz w:val="20"/>
          <w:u w:val="none"/>
        </w:rPr>
        <w:t xml:space="preserve">NT cautioned that the materialisation of various fiscal risks could negatively affect the fiscal position and the government’s effort to stabilise the public finances. </w:t>
      </w:r>
      <w:r w:rsidR="00DA6674" w:rsidRPr="00F83BFF">
        <w:rPr>
          <w:rFonts w:ascii="Arial" w:hAnsi="Arial" w:cs="Arial"/>
          <w:sz w:val="20"/>
          <w:u w:val="none"/>
        </w:rPr>
        <w:t>Risks to the fiscal outlook include further slowd</w:t>
      </w:r>
      <w:r w:rsidRPr="00F83BFF">
        <w:rPr>
          <w:rFonts w:ascii="Arial" w:hAnsi="Arial" w:cs="Arial"/>
          <w:sz w:val="20"/>
          <w:u w:val="none"/>
        </w:rPr>
        <w:t xml:space="preserve">owns in economic growth, higher-than-budgeted </w:t>
      </w:r>
      <w:r w:rsidR="00DA6674" w:rsidRPr="00F83BFF">
        <w:rPr>
          <w:rFonts w:ascii="Arial" w:hAnsi="Arial" w:cs="Arial"/>
          <w:sz w:val="20"/>
          <w:u w:val="none"/>
        </w:rPr>
        <w:t>public-service wage costs, contingent liabilities of state-owned companies</w:t>
      </w:r>
      <w:r w:rsidRPr="00F83BFF">
        <w:rPr>
          <w:rFonts w:ascii="Arial" w:hAnsi="Arial" w:cs="Arial"/>
          <w:sz w:val="20"/>
          <w:u w:val="none"/>
        </w:rPr>
        <w:t>, continuous electricity-supply constraints</w:t>
      </w:r>
      <w:r w:rsidR="00DA6674" w:rsidRPr="00F83BFF">
        <w:rPr>
          <w:rFonts w:ascii="Arial" w:hAnsi="Arial" w:cs="Arial"/>
          <w:sz w:val="20"/>
          <w:u w:val="none"/>
        </w:rPr>
        <w:t xml:space="preserve"> and the introduction of unfunded spending programmes.</w:t>
      </w:r>
    </w:p>
    <w:p w:rsidR="00BC3253" w:rsidRPr="00F83BFF" w:rsidRDefault="00BC3253" w:rsidP="00F83BFF">
      <w:pPr>
        <w:pStyle w:val="Heading2"/>
        <w:numPr>
          <w:ilvl w:val="0"/>
          <w:numId w:val="0"/>
        </w:numPr>
        <w:spacing w:before="0" w:line="240" w:lineRule="auto"/>
        <w:ind w:left="576"/>
        <w:rPr>
          <w:rFonts w:ascii="Arial" w:hAnsi="Arial" w:cs="Arial"/>
          <w:sz w:val="20"/>
        </w:rPr>
      </w:pPr>
    </w:p>
    <w:p w:rsidR="004C48E6" w:rsidRPr="00F83BFF" w:rsidRDefault="00736493" w:rsidP="00F83BFF">
      <w:pPr>
        <w:pStyle w:val="Heading2"/>
        <w:spacing w:before="0" w:line="240" w:lineRule="auto"/>
        <w:rPr>
          <w:rFonts w:ascii="Arial" w:hAnsi="Arial" w:cs="Arial"/>
          <w:sz w:val="20"/>
        </w:rPr>
      </w:pPr>
      <w:r w:rsidRPr="00F83BFF">
        <w:rPr>
          <w:rFonts w:ascii="Arial" w:hAnsi="Arial" w:cs="Arial"/>
          <w:sz w:val="20"/>
        </w:rPr>
        <w:t>INPUTS FROM CONSTITUTIONAL AND STATUTORY INSTITUTIONS</w:t>
      </w:r>
      <w:r w:rsidR="00D92E1A" w:rsidRPr="00F83BFF">
        <w:rPr>
          <w:rFonts w:ascii="Arial" w:hAnsi="Arial" w:cs="Arial"/>
          <w:sz w:val="20"/>
        </w:rPr>
        <w:t xml:space="preserve"> </w:t>
      </w:r>
    </w:p>
    <w:p w:rsidR="004E7211" w:rsidRPr="00F83BFF" w:rsidRDefault="004E7211" w:rsidP="00F83BFF">
      <w:pPr>
        <w:pStyle w:val="Heading3"/>
        <w:numPr>
          <w:ilvl w:val="0"/>
          <w:numId w:val="0"/>
        </w:numPr>
        <w:spacing w:before="0" w:line="240" w:lineRule="auto"/>
        <w:ind w:left="720" w:hanging="144"/>
        <w:rPr>
          <w:rFonts w:ascii="Arial" w:hAnsi="Arial" w:cs="Arial"/>
          <w:b/>
          <w:bCs/>
          <w:sz w:val="20"/>
          <w:u w:val="none"/>
        </w:rPr>
      </w:pPr>
    </w:p>
    <w:p w:rsidR="00257D08" w:rsidRPr="00F83BFF" w:rsidRDefault="00257D08" w:rsidP="00F83BFF">
      <w:pPr>
        <w:pStyle w:val="Heading3"/>
        <w:numPr>
          <w:ilvl w:val="0"/>
          <w:numId w:val="0"/>
        </w:numPr>
        <w:spacing w:before="0" w:line="240" w:lineRule="auto"/>
        <w:ind w:left="720" w:hanging="144"/>
        <w:rPr>
          <w:rFonts w:ascii="Arial" w:hAnsi="Arial" w:cs="Arial"/>
          <w:b/>
          <w:bCs/>
          <w:sz w:val="20"/>
          <w:u w:val="none"/>
        </w:rPr>
      </w:pPr>
      <w:r w:rsidRPr="00F83BFF">
        <w:rPr>
          <w:rFonts w:ascii="Arial" w:hAnsi="Arial" w:cs="Arial"/>
          <w:b/>
          <w:bCs/>
          <w:sz w:val="20"/>
          <w:u w:val="none"/>
        </w:rPr>
        <w:t xml:space="preserve">Financial and Fiscal Commission </w:t>
      </w:r>
    </w:p>
    <w:p w:rsidR="00F12C6E" w:rsidRPr="00F83BFF" w:rsidRDefault="00120D16" w:rsidP="00F83BFF">
      <w:pPr>
        <w:pStyle w:val="Heading3"/>
        <w:spacing w:before="0" w:line="240" w:lineRule="auto"/>
        <w:rPr>
          <w:rFonts w:ascii="Arial" w:hAnsi="Arial" w:cs="Arial"/>
          <w:sz w:val="20"/>
          <w:u w:val="none"/>
        </w:rPr>
      </w:pPr>
      <w:r w:rsidRPr="00F83BFF">
        <w:rPr>
          <w:rFonts w:ascii="Arial" w:hAnsi="Arial" w:cs="Arial"/>
          <w:sz w:val="20"/>
          <w:u w:val="none"/>
        </w:rPr>
        <w:t>On the macro</w:t>
      </w:r>
      <w:r w:rsidR="00945DC0" w:rsidRPr="00F83BFF">
        <w:rPr>
          <w:rFonts w:ascii="Arial" w:hAnsi="Arial" w:cs="Arial"/>
          <w:sz w:val="20"/>
          <w:u w:val="none"/>
        </w:rPr>
        <w:t>-</w:t>
      </w:r>
      <w:r w:rsidRPr="00F83BFF">
        <w:rPr>
          <w:rFonts w:ascii="Arial" w:hAnsi="Arial" w:cs="Arial"/>
          <w:sz w:val="20"/>
          <w:u w:val="none"/>
        </w:rPr>
        <w:t>economy, t</w:t>
      </w:r>
      <w:r w:rsidR="000845A9" w:rsidRPr="00F83BFF">
        <w:rPr>
          <w:rFonts w:ascii="Arial" w:hAnsi="Arial" w:cs="Arial"/>
          <w:sz w:val="20"/>
          <w:u w:val="none"/>
        </w:rPr>
        <w:t xml:space="preserve">he FFC highlighted that as a small open economy heavily dependent on commodity exports, South Africa is exposed to </w:t>
      </w:r>
      <w:r w:rsidR="00103176" w:rsidRPr="00F83BFF">
        <w:rPr>
          <w:rFonts w:ascii="Arial" w:hAnsi="Arial" w:cs="Arial"/>
          <w:sz w:val="20"/>
          <w:u w:val="none"/>
        </w:rPr>
        <w:t>global developments</w:t>
      </w:r>
      <w:r w:rsidR="000845A9" w:rsidRPr="00F83BFF">
        <w:rPr>
          <w:rFonts w:ascii="Arial" w:hAnsi="Arial" w:cs="Arial"/>
          <w:sz w:val="20"/>
          <w:u w:val="none"/>
        </w:rPr>
        <w:t xml:space="preserve">. </w:t>
      </w:r>
      <w:r w:rsidR="00962E32" w:rsidRPr="00F83BFF">
        <w:rPr>
          <w:rFonts w:ascii="Arial" w:hAnsi="Arial" w:cs="Arial"/>
          <w:sz w:val="20"/>
          <w:u w:val="none"/>
        </w:rPr>
        <w:t xml:space="preserve">According to the Commission, </w:t>
      </w:r>
      <w:r w:rsidR="000845A9" w:rsidRPr="00F83BFF">
        <w:rPr>
          <w:rFonts w:ascii="Arial" w:hAnsi="Arial" w:cs="Arial"/>
          <w:sz w:val="20"/>
          <w:u w:val="none"/>
        </w:rPr>
        <w:t>macro-policy uncertainty</w:t>
      </w:r>
      <w:r w:rsidR="00CA7ABE" w:rsidRPr="00F83BFF">
        <w:rPr>
          <w:rFonts w:ascii="Arial" w:hAnsi="Arial" w:cs="Arial"/>
          <w:sz w:val="20"/>
          <w:u w:val="none"/>
        </w:rPr>
        <w:t>,</w:t>
      </w:r>
      <w:r w:rsidR="000845A9" w:rsidRPr="00F83BFF">
        <w:rPr>
          <w:rFonts w:ascii="Arial" w:hAnsi="Arial" w:cs="Arial"/>
          <w:sz w:val="20"/>
          <w:u w:val="none"/>
        </w:rPr>
        <w:t xml:space="preserve"> patchy policy implementation</w:t>
      </w:r>
      <w:r w:rsidR="00CA7ABE" w:rsidRPr="00F83BFF">
        <w:rPr>
          <w:rFonts w:ascii="Arial" w:hAnsi="Arial" w:cs="Arial"/>
          <w:sz w:val="20"/>
          <w:u w:val="none"/>
        </w:rPr>
        <w:t>,</w:t>
      </w:r>
      <w:r w:rsidR="000845A9" w:rsidRPr="00F83BFF">
        <w:rPr>
          <w:rFonts w:ascii="Arial" w:hAnsi="Arial" w:cs="Arial"/>
          <w:sz w:val="20"/>
          <w:u w:val="none"/>
        </w:rPr>
        <w:t xml:space="preserve"> low rates of fixed capital investment</w:t>
      </w:r>
      <w:r w:rsidR="00CA7ABE" w:rsidRPr="00F83BFF">
        <w:rPr>
          <w:rFonts w:ascii="Arial" w:hAnsi="Arial" w:cs="Arial"/>
          <w:sz w:val="20"/>
          <w:u w:val="none"/>
        </w:rPr>
        <w:t>,</w:t>
      </w:r>
      <w:r w:rsidR="000845A9" w:rsidRPr="00F83BFF">
        <w:rPr>
          <w:rFonts w:ascii="Arial" w:hAnsi="Arial" w:cs="Arial"/>
          <w:sz w:val="20"/>
          <w:u w:val="none"/>
        </w:rPr>
        <w:t xml:space="preserve"> deficient and intermittent power generation</w:t>
      </w:r>
      <w:r w:rsidR="00962E32" w:rsidRPr="00F83BFF">
        <w:rPr>
          <w:rFonts w:ascii="Arial" w:hAnsi="Arial" w:cs="Arial"/>
          <w:sz w:val="20"/>
          <w:u w:val="none"/>
        </w:rPr>
        <w:t xml:space="preserve"> are weighing heavily on economic growth. Also, the impact of load shedding, </w:t>
      </w:r>
      <w:r w:rsidR="00F12C6E" w:rsidRPr="00F83BFF">
        <w:rPr>
          <w:rFonts w:ascii="Arial" w:hAnsi="Arial" w:cs="Arial"/>
          <w:sz w:val="20"/>
          <w:u w:val="none"/>
        </w:rPr>
        <w:t xml:space="preserve">the </w:t>
      </w:r>
      <w:r w:rsidR="00837C5C" w:rsidRPr="00F83BFF">
        <w:rPr>
          <w:rFonts w:ascii="Arial" w:hAnsi="Arial" w:cs="Arial"/>
          <w:sz w:val="20"/>
          <w:u w:val="none"/>
        </w:rPr>
        <w:t>Transnet strike</w:t>
      </w:r>
      <w:r w:rsidR="00962E32" w:rsidRPr="00F83BFF">
        <w:rPr>
          <w:rFonts w:ascii="Arial" w:hAnsi="Arial" w:cs="Arial"/>
          <w:sz w:val="20"/>
          <w:u w:val="none"/>
        </w:rPr>
        <w:t xml:space="preserve">, </w:t>
      </w:r>
      <w:r w:rsidR="00837C5C" w:rsidRPr="00F83BFF">
        <w:rPr>
          <w:rFonts w:ascii="Arial" w:hAnsi="Arial" w:cs="Arial"/>
          <w:sz w:val="20"/>
          <w:u w:val="none"/>
        </w:rPr>
        <w:t>cumulative increase</w:t>
      </w:r>
      <w:r w:rsidR="00F12C6E" w:rsidRPr="00F83BFF">
        <w:rPr>
          <w:rFonts w:ascii="Arial" w:hAnsi="Arial" w:cs="Arial"/>
          <w:sz w:val="20"/>
          <w:u w:val="none"/>
        </w:rPr>
        <w:t>s</w:t>
      </w:r>
      <w:r w:rsidR="00837C5C" w:rsidRPr="00F83BFF">
        <w:rPr>
          <w:rFonts w:ascii="Arial" w:hAnsi="Arial" w:cs="Arial"/>
          <w:sz w:val="20"/>
          <w:u w:val="none"/>
        </w:rPr>
        <w:t xml:space="preserve"> </w:t>
      </w:r>
      <w:r w:rsidR="00F12C6E" w:rsidRPr="00F83BFF">
        <w:rPr>
          <w:rFonts w:ascii="Arial" w:hAnsi="Arial" w:cs="Arial"/>
          <w:sz w:val="20"/>
          <w:u w:val="none"/>
        </w:rPr>
        <w:t>in</w:t>
      </w:r>
      <w:r w:rsidR="00837C5C" w:rsidRPr="00F83BFF">
        <w:rPr>
          <w:rFonts w:ascii="Arial" w:hAnsi="Arial" w:cs="Arial"/>
          <w:sz w:val="20"/>
          <w:u w:val="none"/>
        </w:rPr>
        <w:t xml:space="preserve"> interest rates</w:t>
      </w:r>
      <w:r w:rsidR="00962E32" w:rsidRPr="00F83BFF">
        <w:rPr>
          <w:rFonts w:ascii="Arial" w:hAnsi="Arial" w:cs="Arial"/>
          <w:sz w:val="20"/>
          <w:u w:val="none"/>
        </w:rPr>
        <w:t xml:space="preserve"> and</w:t>
      </w:r>
      <w:r w:rsidR="00F12C6E" w:rsidRPr="00F83BFF">
        <w:rPr>
          <w:rFonts w:ascii="Arial" w:hAnsi="Arial" w:cs="Arial"/>
          <w:sz w:val="20"/>
          <w:u w:val="none"/>
        </w:rPr>
        <w:t>,</w:t>
      </w:r>
      <w:r w:rsidR="00962E32" w:rsidRPr="00F83BFF">
        <w:rPr>
          <w:rFonts w:ascii="Arial" w:hAnsi="Arial" w:cs="Arial"/>
          <w:sz w:val="20"/>
          <w:u w:val="none"/>
        </w:rPr>
        <w:t xml:space="preserve"> the resulting </w:t>
      </w:r>
      <w:r w:rsidR="00AC6D42" w:rsidRPr="00F83BFF">
        <w:rPr>
          <w:rFonts w:ascii="Arial" w:hAnsi="Arial" w:cs="Arial"/>
          <w:sz w:val="20"/>
          <w:u w:val="none"/>
        </w:rPr>
        <w:t xml:space="preserve">rising cost of living </w:t>
      </w:r>
      <w:r w:rsidR="00837C5C" w:rsidRPr="00F83BFF">
        <w:rPr>
          <w:rFonts w:ascii="Arial" w:hAnsi="Arial" w:cs="Arial"/>
          <w:sz w:val="20"/>
          <w:u w:val="none"/>
        </w:rPr>
        <w:t>represent</w:t>
      </w:r>
      <w:r w:rsidR="00F12C6E" w:rsidRPr="00F83BFF">
        <w:rPr>
          <w:rFonts w:ascii="Arial" w:hAnsi="Arial" w:cs="Arial"/>
          <w:sz w:val="20"/>
          <w:u w:val="none"/>
        </w:rPr>
        <w:t>ed</w:t>
      </w:r>
      <w:r w:rsidR="00837C5C" w:rsidRPr="00F83BFF">
        <w:rPr>
          <w:rFonts w:ascii="Arial" w:hAnsi="Arial" w:cs="Arial"/>
          <w:sz w:val="20"/>
          <w:u w:val="none"/>
        </w:rPr>
        <w:t xml:space="preserve"> </w:t>
      </w:r>
      <w:r w:rsidR="00AC6D42" w:rsidRPr="00F83BFF">
        <w:rPr>
          <w:rFonts w:ascii="Arial" w:hAnsi="Arial" w:cs="Arial"/>
          <w:sz w:val="20"/>
          <w:u w:val="none"/>
        </w:rPr>
        <w:t>a risk to the fiscus and the fiscal consolidation exercise.</w:t>
      </w:r>
    </w:p>
    <w:p w:rsidR="00DB2A31" w:rsidRPr="00F83BFF" w:rsidRDefault="00837C5C" w:rsidP="00F83BFF">
      <w:pPr>
        <w:pStyle w:val="Heading3"/>
        <w:spacing w:before="0" w:line="240" w:lineRule="auto"/>
        <w:rPr>
          <w:rFonts w:ascii="Arial" w:hAnsi="Arial" w:cs="Arial"/>
          <w:sz w:val="20"/>
          <w:u w:val="none"/>
        </w:rPr>
      </w:pPr>
      <w:r w:rsidRPr="00F83BFF">
        <w:rPr>
          <w:rFonts w:ascii="Arial" w:hAnsi="Arial" w:cs="Arial"/>
          <w:sz w:val="20"/>
          <w:u w:val="none"/>
        </w:rPr>
        <w:t>The FFC further cautioned that if the Financial Action Task Force (FATF) greylisting materialises, it will dampen the prospect of economic growth as foreign investors</w:t>
      </w:r>
      <w:r w:rsidR="003A4883" w:rsidRPr="00F83BFF">
        <w:rPr>
          <w:rFonts w:ascii="Arial" w:hAnsi="Arial" w:cs="Arial"/>
          <w:sz w:val="20"/>
          <w:u w:val="none"/>
        </w:rPr>
        <w:t xml:space="preserve"> may</w:t>
      </w:r>
      <w:r w:rsidRPr="00F83BFF">
        <w:rPr>
          <w:rFonts w:ascii="Arial" w:hAnsi="Arial" w:cs="Arial"/>
          <w:sz w:val="20"/>
          <w:u w:val="none"/>
        </w:rPr>
        <w:t xml:space="preserve"> become reluctant to do business in South Africa, raising rating concerns at many international institutions and </w:t>
      </w:r>
      <w:r w:rsidR="00DB2A31" w:rsidRPr="00F83BFF">
        <w:rPr>
          <w:rFonts w:ascii="Arial" w:hAnsi="Arial" w:cs="Arial"/>
          <w:sz w:val="20"/>
          <w:u w:val="none"/>
        </w:rPr>
        <w:t xml:space="preserve">leading to </w:t>
      </w:r>
      <w:r w:rsidRPr="00F83BFF">
        <w:rPr>
          <w:rFonts w:ascii="Arial" w:hAnsi="Arial" w:cs="Arial"/>
          <w:sz w:val="20"/>
          <w:u w:val="none"/>
        </w:rPr>
        <w:t>capital outflows.</w:t>
      </w:r>
    </w:p>
    <w:p w:rsidR="00D20A88" w:rsidRPr="00F83BFF" w:rsidRDefault="00120D16" w:rsidP="00F83BFF">
      <w:pPr>
        <w:pStyle w:val="Heading3"/>
        <w:spacing w:before="0" w:line="240" w:lineRule="auto"/>
        <w:rPr>
          <w:rFonts w:ascii="Arial" w:hAnsi="Arial" w:cs="Arial"/>
          <w:sz w:val="20"/>
        </w:rPr>
      </w:pPr>
      <w:r w:rsidRPr="00F83BFF">
        <w:rPr>
          <w:rFonts w:ascii="Arial" w:hAnsi="Arial" w:cs="Arial"/>
          <w:sz w:val="20"/>
          <w:u w:val="none"/>
        </w:rPr>
        <w:t>On fiscal policy, the FFC</w:t>
      </w:r>
      <w:r w:rsidR="005C0A2D" w:rsidRPr="00F83BFF">
        <w:rPr>
          <w:rFonts w:ascii="Arial" w:hAnsi="Arial" w:cs="Arial"/>
          <w:sz w:val="20"/>
          <w:u w:val="none"/>
        </w:rPr>
        <w:t xml:space="preserve"> noted that the impact of the Covid-19 pandemic, the Ukraine war, and the inflation shock has been cushioned by the improvement in the country's fiscal fortunes</w:t>
      </w:r>
      <w:r w:rsidR="00EA75E1" w:rsidRPr="00F83BFF">
        <w:rPr>
          <w:rFonts w:ascii="Arial" w:hAnsi="Arial" w:cs="Arial"/>
          <w:sz w:val="20"/>
          <w:u w:val="none"/>
        </w:rPr>
        <w:t xml:space="preserve"> as a result of improved revenue projection</w:t>
      </w:r>
      <w:r w:rsidR="005C0A2D" w:rsidRPr="00F83BFF">
        <w:rPr>
          <w:rFonts w:ascii="Arial" w:hAnsi="Arial" w:cs="Arial"/>
          <w:sz w:val="20"/>
          <w:u w:val="none"/>
        </w:rPr>
        <w:t xml:space="preserve">. As a result, the 2022 MTBPS presented </w:t>
      </w:r>
      <w:r w:rsidR="00201CE7" w:rsidRPr="00F83BFF">
        <w:rPr>
          <w:rFonts w:ascii="Arial" w:hAnsi="Arial" w:cs="Arial"/>
          <w:sz w:val="20"/>
          <w:u w:val="none"/>
        </w:rPr>
        <w:t xml:space="preserve">a </w:t>
      </w:r>
      <w:r w:rsidR="005C0A2D" w:rsidRPr="00F83BFF">
        <w:rPr>
          <w:rFonts w:ascii="Arial" w:hAnsi="Arial" w:cs="Arial"/>
          <w:sz w:val="20"/>
          <w:u w:val="none"/>
        </w:rPr>
        <w:t>better-looking fiscal metric</w:t>
      </w:r>
      <w:r w:rsidR="00201CE7" w:rsidRPr="00F83BFF">
        <w:rPr>
          <w:rFonts w:ascii="Arial" w:hAnsi="Arial" w:cs="Arial"/>
          <w:sz w:val="20"/>
          <w:u w:val="none"/>
        </w:rPr>
        <w:t xml:space="preserve">s </w:t>
      </w:r>
      <w:r w:rsidR="005C0A2D" w:rsidRPr="00F83BFF">
        <w:rPr>
          <w:rFonts w:ascii="Arial" w:hAnsi="Arial" w:cs="Arial"/>
          <w:sz w:val="20"/>
          <w:u w:val="none"/>
        </w:rPr>
        <w:t xml:space="preserve">than the 2022 Budget due to the commodity boom resulting in windfall mining profits and revenue overruns. </w:t>
      </w:r>
      <w:r w:rsidR="00201CE7" w:rsidRPr="00F83BFF">
        <w:rPr>
          <w:rFonts w:ascii="Arial" w:hAnsi="Arial" w:cs="Arial"/>
          <w:sz w:val="20"/>
          <w:u w:val="none"/>
        </w:rPr>
        <w:t>The FFC said that d</w:t>
      </w:r>
      <w:r w:rsidR="00432D77" w:rsidRPr="00F83BFF">
        <w:rPr>
          <w:rFonts w:ascii="Arial" w:hAnsi="Arial" w:cs="Arial"/>
          <w:sz w:val="20"/>
          <w:u w:val="none"/>
        </w:rPr>
        <w:t xml:space="preserve">espite the projected primary budget </w:t>
      </w:r>
      <w:r w:rsidR="005C0A2D" w:rsidRPr="00F83BFF">
        <w:rPr>
          <w:rFonts w:ascii="Arial" w:hAnsi="Arial" w:cs="Arial"/>
          <w:sz w:val="20"/>
          <w:u w:val="none"/>
        </w:rPr>
        <w:t>surplus in 2023/2024</w:t>
      </w:r>
      <w:r w:rsidR="00432D77" w:rsidRPr="00F83BFF">
        <w:rPr>
          <w:rFonts w:ascii="Arial" w:hAnsi="Arial" w:cs="Arial"/>
          <w:sz w:val="20"/>
          <w:u w:val="none"/>
        </w:rPr>
        <w:t xml:space="preserve"> and </w:t>
      </w:r>
      <w:r w:rsidR="00201CE7" w:rsidRPr="00F83BFF">
        <w:rPr>
          <w:rFonts w:ascii="Arial" w:hAnsi="Arial" w:cs="Arial"/>
          <w:sz w:val="20"/>
          <w:u w:val="none"/>
        </w:rPr>
        <w:t xml:space="preserve">the </w:t>
      </w:r>
      <w:r w:rsidR="00432D77" w:rsidRPr="00F83BFF">
        <w:rPr>
          <w:rFonts w:ascii="Arial" w:hAnsi="Arial" w:cs="Arial"/>
          <w:sz w:val="20"/>
          <w:u w:val="none"/>
        </w:rPr>
        <w:t xml:space="preserve">stabilisation of the </w:t>
      </w:r>
      <w:r w:rsidR="005C0A2D" w:rsidRPr="00F83BFF">
        <w:rPr>
          <w:rFonts w:ascii="Arial" w:hAnsi="Arial" w:cs="Arial"/>
          <w:sz w:val="20"/>
          <w:u w:val="none"/>
        </w:rPr>
        <w:t xml:space="preserve">gross government debt at 71.4 per cent of GDP in 2022/23, </w:t>
      </w:r>
      <w:r w:rsidR="00432D77" w:rsidRPr="00F83BFF">
        <w:rPr>
          <w:rFonts w:ascii="Arial" w:hAnsi="Arial" w:cs="Arial"/>
          <w:sz w:val="20"/>
          <w:u w:val="none"/>
        </w:rPr>
        <w:t xml:space="preserve">the FFC expects </w:t>
      </w:r>
      <w:r w:rsidR="005C0A2D" w:rsidRPr="00F83BFF">
        <w:rPr>
          <w:rFonts w:ascii="Arial" w:hAnsi="Arial" w:cs="Arial"/>
          <w:sz w:val="20"/>
          <w:u w:val="none"/>
        </w:rPr>
        <w:t>low growth and rising borrowing cost</w:t>
      </w:r>
      <w:r w:rsidR="00CC61F5" w:rsidRPr="00F83BFF">
        <w:rPr>
          <w:rFonts w:ascii="Arial" w:hAnsi="Arial" w:cs="Arial"/>
          <w:sz w:val="20"/>
          <w:u w:val="none"/>
        </w:rPr>
        <w:t>s</w:t>
      </w:r>
      <w:r w:rsidR="005C0A2D" w:rsidRPr="00F83BFF">
        <w:rPr>
          <w:rFonts w:ascii="Arial" w:hAnsi="Arial" w:cs="Arial"/>
          <w:sz w:val="20"/>
          <w:u w:val="none"/>
        </w:rPr>
        <w:t xml:space="preserve"> </w:t>
      </w:r>
      <w:r w:rsidR="00432D77" w:rsidRPr="00F83BFF">
        <w:rPr>
          <w:rFonts w:ascii="Arial" w:hAnsi="Arial" w:cs="Arial"/>
          <w:sz w:val="20"/>
          <w:u w:val="none"/>
        </w:rPr>
        <w:t>to continue increasing</w:t>
      </w:r>
      <w:r w:rsidR="005C0A2D" w:rsidRPr="00F83BFF">
        <w:rPr>
          <w:rFonts w:ascii="Arial" w:hAnsi="Arial" w:cs="Arial"/>
          <w:sz w:val="20"/>
          <w:u w:val="none"/>
        </w:rPr>
        <w:t xml:space="preserve"> debt-service costs over the medium term</w:t>
      </w:r>
      <w:r w:rsidR="00CC61F5" w:rsidRPr="00F83BFF">
        <w:rPr>
          <w:rFonts w:ascii="Arial" w:hAnsi="Arial" w:cs="Arial"/>
          <w:sz w:val="20"/>
          <w:u w:val="none"/>
        </w:rPr>
        <w:t>,</w:t>
      </w:r>
      <w:r w:rsidR="00A3114D" w:rsidRPr="00F83BFF">
        <w:rPr>
          <w:rFonts w:ascii="Arial" w:hAnsi="Arial" w:cs="Arial"/>
          <w:sz w:val="20"/>
          <w:u w:val="none"/>
        </w:rPr>
        <w:t xml:space="preserve"> as </w:t>
      </w:r>
      <w:r w:rsidR="00432D77" w:rsidRPr="00F83BFF">
        <w:rPr>
          <w:rFonts w:ascii="Arial" w:hAnsi="Arial" w:cs="Arial"/>
          <w:sz w:val="20"/>
          <w:u w:val="none"/>
        </w:rPr>
        <w:t>the increase</w:t>
      </w:r>
      <w:r w:rsidR="00CC61F5" w:rsidRPr="00F83BFF">
        <w:rPr>
          <w:rFonts w:ascii="Arial" w:hAnsi="Arial" w:cs="Arial"/>
          <w:sz w:val="20"/>
          <w:u w:val="none"/>
        </w:rPr>
        <w:t>s</w:t>
      </w:r>
      <w:r w:rsidR="00432D77" w:rsidRPr="00F83BFF">
        <w:rPr>
          <w:rFonts w:ascii="Arial" w:hAnsi="Arial" w:cs="Arial"/>
          <w:sz w:val="20"/>
          <w:u w:val="none"/>
        </w:rPr>
        <w:t xml:space="preserve"> in </w:t>
      </w:r>
      <w:r w:rsidR="00BC3CE7" w:rsidRPr="00F83BFF">
        <w:rPr>
          <w:rFonts w:ascii="Arial" w:hAnsi="Arial" w:cs="Arial"/>
          <w:sz w:val="20"/>
          <w:u w:val="none"/>
        </w:rPr>
        <w:t>CIT</w:t>
      </w:r>
      <w:r w:rsidR="005C0A2D" w:rsidRPr="00F83BFF">
        <w:rPr>
          <w:rFonts w:ascii="Arial" w:hAnsi="Arial" w:cs="Arial"/>
          <w:sz w:val="20"/>
          <w:u w:val="none"/>
        </w:rPr>
        <w:t xml:space="preserve"> receipts is unlikely to become permanent</w:t>
      </w:r>
      <w:r w:rsidR="00A3114D" w:rsidRPr="00F83BFF">
        <w:rPr>
          <w:rFonts w:ascii="Arial" w:hAnsi="Arial" w:cs="Arial"/>
          <w:sz w:val="20"/>
          <w:u w:val="none"/>
        </w:rPr>
        <w:t>.</w:t>
      </w:r>
      <w:r w:rsidR="00A3114D" w:rsidRPr="00F83BFF">
        <w:rPr>
          <w:rFonts w:ascii="Arial" w:hAnsi="Arial" w:cs="Arial"/>
          <w:sz w:val="20"/>
        </w:rPr>
        <w:t xml:space="preserve"> </w:t>
      </w:r>
      <w:r w:rsidR="005C0A2D" w:rsidRPr="00F83BFF">
        <w:rPr>
          <w:rFonts w:ascii="Arial" w:hAnsi="Arial" w:cs="Arial"/>
          <w:sz w:val="20"/>
        </w:rPr>
        <w:t xml:space="preserve"> </w:t>
      </w:r>
    </w:p>
    <w:p w:rsidR="00C041FA" w:rsidRPr="00F83BFF" w:rsidRDefault="005C0A2D"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D20A88" w:rsidRPr="00F83BFF">
        <w:rPr>
          <w:rFonts w:ascii="Arial" w:hAnsi="Arial" w:cs="Arial"/>
          <w:sz w:val="20"/>
          <w:u w:val="none"/>
        </w:rPr>
        <w:t xml:space="preserve">FFC </w:t>
      </w:r>
      <w:r w:rsidRPr="00F83BFF">
        <w:rPr>
          <w:rFonts w:ascii="Arial" w:hAnsi="Arial" w:cs="Arial"/>
          <w:sz w:val="20"/>
          <w:u w:val="none"/>
        </w:rPr>
        <w:t>support</w:t>
      </w:r>
      <w:r w:rsidR="00D20A88" w:rsidRPr="00F83BFF">
        <w:rPr>
          <w:rFonts w:ascii="Arial" w:hAnsi="Arial" w:cs="Arial"/>
          <w:sz w:val="20"/>
          <w:u w:val="none"/>
        </w:rPr>
        <w:t>ed the stance</w:t>
      </w:r>
      <w:r w:rsidR="00BE4E9B" w:rsidRPr="00F83BFF">
        <w:rPr>
          <w:rFonts w:ascii="Arial" w:hAnsi="Arial" w:cs="Arial"/>
          <w:sz w:val="20"/>
          <w:u w:val="none"/>
        </w:rPr>
        <w:t xml:space="preserve"> taken not to use the revenue </w:t>
      </w:r>
      <w:r w:rsidRPr="00F83BFF">
        <w:rPr>
          <w:rFonts w:ascii="Arial" w:hAnsi="Arial" w:cs="Arial"/>
          <w:sz w:val="20"/>
          <w:u w:val="none"/>
        </w:rPr>
        <w:t>windfall to fund permanent spending increases</w:t>
      </w:r>
      <w:r w:rsidR="00BE4E9B" w:rsidRPr="00F83BFF">
        <w:rPr>
          <w:rFonts w:ascii="Arial" w:hAnsi="Arial" w:cs="Arial"/>
          <w:sz w:val="20"/>
          <w:u w:val="none"/>
        </w:rPr>
        <w:t>,</w:t>
      </w:r>
      <w:r w:rsidRPr="00F83BFF">
        <w:rPr>
          <w:rFonts w:ascii="Arial" w:hAnsi="Arial" w:cs="Arial"/>
          <w:sz w:val="20"/>
          <w:u w:val="none"/>
        </w:rPr>
        <w:t xml:space="preserve"> but primarily to address </w:t>
      </w:r>
      <w:r w:rsidR="00E75542" w:rsidRPr="00F83BFF">
        <w:rPr>
          <w:rFonts w:ascii="Arial" w:hAnsi="Arial" w:cs="Arial"/>
          <w:sz w:val="20"/>
          <w:u w:val="none"/>
        </w:rPr>
        <w:t xml:space="preserve">some </w:t>
      </w:r>
      <w:r w:rsidRPr="00F83BFF">
        <w:rPr>
          <w:rFonts w:ascii="Arial" w:hAnsi="Arial" w:cs="Arial"/>
          <w:sz w:val="20"/>
          <w:u w:val="none"/>
        </w:rPr>
        <w:t xml:space="preserve">critical issues at strategic </w:t>
      </w:r>
      <w:r w:rsidR="00CB79AB" w:rsidRPr="00F83BFF">
        <w:rPr>
          <w:rFonts w:ascii="Arial" w:hAnsi="Arial" w:cs="Arial"/>
          <w:sz w:val="20"/>
          <w:u w:val="none"/>
        </w:rPr>
        <w:t>S</w:t>
      </w:r>
      <w:r w:rsidR="00E75542" w:rsidRPr="00F83BFF">
        <w:rPr>
          <w:rFonts w:ascii="Arial" w:hAnsi="Arial" w:cs="Arial"/>
          <w:sz w:val="20"/>
          <w:u w:val="none"/>
        </w:rPr>
        <w:t>OEs</w:t>
      </w:r>
      <w:r w:rsidRPr="00F83BFF">
        <w:rPr>
          <w:rFonts w:ascii="Arial" w:hAnsi="Arial" w:cs="Arial"/>
          <w:sz w:val="20"/>
          <w:u w:val="none"/>
        </w:rPr>
        <w:t>, to counteract the effect of the pandemic, reduce debt, and support growth.</w:t>
      </w:r>
      <w:r w:rsidR="00F85E59" w:rsidRPr="00F83BFF">
        <w:rPr>
          <w:rFonts w:ascii="Arial" w:hAnsi="Arial" w:cs="Arial"/>
          <w:sz w:val="20"/>
          <w:u w:val="none"/>
        </w:rPr>
        <w:t xml:space="preserve"> </w:t>
      </w:r>
      <w:r w:rsidR="001C2444" w:rsidRPr="00F83BFF">
        <w:rPr>
          <w:rFonts w:ascii="Arial" w:hAnsi="Arial" w:cs="Arial"/>
          <w:sz w:val="20"/>
          <w:u w:val="none"/>
        </w:rPr>
        <w:t>Regarding expenditure pressures on the fiscus and sustainability of public finances and SOEs, t</w:t>
      </w:r>
      <w:r w:rsidR="006029F9" w:rsidRPr="00F83BFF">
        <w:rPr>
          <w:rFonts w:ascii="Arial" w:hAnsi="Arial" w:cs="Arial"/>
          <w:sz w:val="20"/>
          <w:u w:val="none"/>
        </w:rPr>
        <w:t>he F</w:t>
      </w:r>
      <w:r w:rsidR="000C6B80" w:rsidRPr="00F83BFF">
        <w:rPr>
          <w:rFonts w:ascii="Arial" w:hAnsi="Arial" w:cs="Arial"/>
          <w:sz w:val="20"/>
          <w:u w:val="none"/>
        </w:rPr>
        <w:t>FC noted that the</w:t>
      </w:r>
      <w:r w:rsidR="006029F9" w:rsidRPr="00F83BFF">
        <w:rPr>
          <w:rFonts w:ascii="Arial" w:hAnsi="Arial" w:cs="Arial"/>
          <w:sz w:val="20"/>
          <w:u w:val="none"/>
        </w:rPr>
        <w:t xml:space="preserve"> 2022 MTBPS extended the Social Relief of Distress </w:t>
      </w:r>
      <w:r w:rsidR="00F41449" w:rsidRPr="00F83BFF">
        <w:rPr>
          <w:rFonts w:ascii="Arial" w:hAnsi="Arial" w:cs="Arial"/>
          <w:sz w:val="20"/>
          <w:u w:val="none"/>
        </w:rPr>
        <w:t>(SRD) grant for another year but</w:t>
      </w:r>
      <w:r w:rsidR="006029F9" w:rsidRPr="00F83BFF">
        <w:rPr>
          <w:rFonts w:ascii="Arial" w:hAnsi="Arial" w:cs="Arial"/>
          <w:sz w:val="20"/>
          <w:u w:val="none"/>
        </w:rPr>
        <w:t xml:space="preserve"> did not provide details on </w:t>
      </w:r>
      <w:r w:rsidR="00F85E59" w:rsidRPr="00F83BFF">
        <w:rPr>
          <w:rFonts w:ascii="Arial" w:hAnsi="Arial" w:cs="Arial"/>
          <w:sz w:val="20"/>
          <w:u w:val="none"/>
        </w:rPr>
        <w:t xml:space="preserve">a permanent </w:t>
      </w:r>
      <w:r w:rsidR="006029F9" w:rsidRPr="00F83BFF">
        <w:rPr>
          <w:rFonts w:ascii="Arial" w:hAnsi="Arial" w:cs="Arial"/>
          <w:sz w:val="20"/>
          <w:u w:val="none"/>
        </w:rPr>
        <w:t>Basic Income G</w:t>
      </w:r>
      <w:r w:rsidR="000C6B80" w:rsidRPr="00F83BFF">
        <w:rPr>
          <w:rFonts w:ascii="Arial" w:hAnsi="Arial" w:cs="Arial"/>
          <w:sz w:val="20"/>
          <w:u w:val="none"/>
        </w:rPr>
        <w:t>rant (BIG</w:t>
      </w:r>
      <w:r w:rsidR="00F41449" w:rsidRPr="00F83BFF">
        <w:rPr>
          <w:rFonts w:ascii="Arial" w:hAnsi="Arial" w:cs="Arial"/>
          <w:sz w:val="20"/>
          <w:u w:val="none"/>
        </w:rPr>
        <w:t xml:space="preserve">). According to the </w:t>
      </w:r>
      <w:r w:rsidR="00F85E59" w:rsidRPr="00F83BFF">
        <w:rPr>
          <w:rFonts w:ascii="Arial" w:hAnsi="Arial" w:cs="Arial"/>
          <w:sz w:val="20"/>
          <w:u w:val="none"/>
        </w:rPr>
        <w:t>FFC</w:t>
      </w:r>
      <w:r w:rsidR="00F41449" w:rsidRPr="00F83BFF">
        <w:rPr>
          <w:rFonts w:ascii="Arial" w:hAnsi="Arial" w:cs="Arial"/>
          <w:sz w:val="20"/>
          <w:u w:val="none"/>
        </w:rPr>
        <w:t xml:space="preserve">, </w:t>
      </w:r>
      <w:r w:rsidR="001C2444" w:rsidRPr="00F83BFF">
        <w:rPr>
          <w:rFonts w:ascii="Arial" w:hAnsi="Arial" w:cs="Arial"/>
          <w:sz w:val="20"/>
          <w:u w:val="none"/>
        </w:rPr>
        <w:t>t</w:t>
      </w:r>
      <w:r w:rsidR="006029F9" w:rsidRPr="00F83BFF">
        <w:rPr>
          <w:rFonts w:ascii="Arial" w:hAnsi="Arial" w:cs="Arial"/>
          <w:sz w:val="20"/>
          <w:u w:val="none"/>
        </w:rPr>
        <w:t>he fiscal framework's credibility and sustainability depen</w:t>
      </w:r>
      <w:r w:rsidR="008103A5" w:rsidRPr="00F83BFF">
        <w:rPr>
          <w:rFonts w:ascii="Arial" w:hAnsi="Arial" w:cs="Arial"/>
          <w:sz w:val="20"/>
          <w:u w:val="none"/>
        </w:rPr>
        <w:t>ds</w:t>
      </w:r>
      <w:r w:rsidR="006029F9" w:rsidRPr="00F83BFF">
        <w:rPr>
          <w:rFonts w:ascii="Arial" w:hAnsi="Arial" w:cs="Arial"/>
          <w:sz w:val="20"/>
          <w:u w:val="none"/>
        </w:rPr>
        <w:t xml:space="preserve"> on </w:t>
      </w:r>
      <w:r w:rsidR="008103A5" w:rsidRPr="00F83BFF">
        <w:rPr>
          <w:rFonts w:ascii="Arial" w:hAnsi="Arial" w:cs="Arial"/>
          <w:sz w:val="20"/>
          <w:u w:val="none"/>
        </w:rPr>
        <w:t xml:space="preserve">the </w:t>
      </w:r>
      <w:r w:rsidR="006029F9" w:rsidRPr="00F83BFF">
        <w:rPr>
          <w:rFonts w:ascii="Arial" w:hAnsi="Arial" w:cs="Arial"/>
          <w:sz w:val="20"/>
          <w:u w:val="none"/>
        </w:rPr>
        <w:t xml:space="preserve">consistency </w:t>
      </w:r>
      <w:r w:rsidR="00C041FA" w:rsidRPr="00F83BFF">
        <w:rPr>
          <w:rFonts w:ascii="Arial" w:hAnsi="Arial" w:cs="Arial"/>
          <w:sz w:val="20"/>
          <w:u w:val="none"/>
        </w:rPr>
        <w:t>of</w:t>
      </w:r>
      <w:r w:rsidR="006029F9" w:rsidRPr="00F83BFF">
        <w:rPr>
          <w:rFonts w:ascii="Arial" w:hAnsi="Arial" w:cs="Arial"/>
          <w:sz w:val="20"/>
          <w:u w:val="none"/>
        </w:rPr>
        <w:t xml:space="preserve"> the policy</w:t>
      </w:r>
      <w:r w:rsidR="001C2444" w:rsidRPr="00F83BFF">
        <w:rPr>
          <w:rFonts w:ascii="Arial" w:hAnsi="Arial" w:cs="Arial"/>
          <w:sz w:val="20"/>
          <w:u w:val="none"/>
        </w:rPr>
        <w:t xml:space="preserve"> stance of fiscal consolidation. </w:t>
      </w:r>
    </w:p>
    <w:p w:rsidR="0017051F" w:rsidRPr="00F83BFF" w:rsidRDefault="00837A80" w:rsidP="00F83BFF">
      <w:pPr>
        <w:pStyle w:val="Heading3"/>
        <w:spacing w:before="0" w:line="240" w:lineRule="auto"/>
        <w:rPr>
          <w:rFonts w:ascii="Arial" w:hAnsi="Arial" w:cs="Arial"/>
          <w:sz w:val="20"/>
          <w:u w:val="none"/>
        </w:rPr>
      </w:pPr>
      <w:r w:rsidRPr="00F83BFF">
        <w:rPr>
          <w:rFonts w:ascii="Arial" w:hAnsi="Arial" w:cs="Arial"/>
          <w:sz w:val="20"/>
          <w:u w:val="none"/>
        </w:rPr>
        <w:lastRenderedPageBreak/>
        <w:t>The FFC further noted t</w:t>
      </w:r>
      <w:r w:rsidR="001C2444" w:rsidRPr="00F83BFF">
        <w:rPr>
          <w:rFonts w:ascii="Arial" w:hAnsi="Arial" w:cs="Arial"/>
          <w:sz w:val="20"/>
          <w:u w:val="none"/>
        </w:rPr>
        <w:t xml:space="preserve">he identified risks to the fiscal framework </w:t>
      </w:r>
      <w:r w:rsidRPr="00F83BFF">
        <w:rPr>
          <w:rFonts w:ascii="Arial" w:hAnsi="Arial" w:cs="Arial"/>
          <w:sz w:val="20"/>
          <w:u w:val="none"/>
        </w:rPr>
        <w:t xml:space="preserve">which </w:t>
      </w:r>
      <w:r w:rsidR="001C2444" w:rsidRPr="00F83BFF">
        <w:rPr>
          <w:rFonts w:ascii="Arial" w:hAnsi="Arial" w:cs="Arial"/>
          <w:sz w:val="20"/>
          <w:u w:val="none"/>
        </w:rPr>
        <w:t xml:space="preserve">include </w:t>
      </w:r>
      <w:r w:rsidR="00382E73" w:rsidRPr="00F83BFF">
        <w:rPr>
          <w:rFonts w:ascii="Arial" w:hAnsi="Arial" w:cs="Arial"/>
          <w:sz w:val="20"/>
          <w:u w:val="none"/>
        </w:rPr>
        <w:t xml:space="preserve">the </w:t>
      </w:r>
      <w:r w:rsidR="001C2444" w:rsidRPr="00F83BFF">
        <w:rPr>
          <w:rFonts w:ascii="Arial" w:hAnsi="Arial" w:cs="Arial"/>
          <w:sz w:val="20"/>
          <w:u w:val="none"/>
        </w:rPr>
        <w:t xml:space="preserve">materialisation of </w:t>
      </w:r>
      <w:r w:rsidR="006029F9" w:rsidRPr="00F83BFF">
        <w:rPr>
          <w:rFonts w:ascii="Arial" w:hAnsi="Arial" w:cs="Arial"/>
          <w:sz w:val="20"/>
          <w:u w:val="none"/>
        </w:rPr>
        <w:t xml:space="preserve">a higher-than-budgeted wage agreement, a permanent extension of the </w:t>
      </w:r>
      <w:r w:rsidRPr="00F83BFF">
        <w:rPr>
          <w:rFonts w:ascii="Arial" w:hAnsi="Arial" w:cs="Arial"/>
          <w:sz w:val="20"/>
          <w:u w:val="none"/>
        </w:rPr>
        <w:t xml:space="preserve">SRD </w:t>
      </w:r>
      <w:r w:rsidR="00F06B41" w:rsidRPr="00F83BFF">
        <w:rPr>
          <w:rFonts w:ascii="Arial" w:hAnsi="Arial" w:cs="Arial"/>
          <w:sz w:val="20"/>
          <w:u w:val="none"/>
        </w:rPr>
        <w:t>grant</w:t>
      </w:r>
      <w:r w:rsidR="006029F9" w:rsidRPr="00F83BFF">
        <w:rPr>
          <w:rFonts w:ascii="Arial" w:hAnsi="Arial" w:cs="Arial"/>
          <w:sz w:val="20"/>
          <w:u w:val="none"/>
        </w:rPr>
        <w:t xml:space="preserve"> without a corresponding permanent increase in funding</w:t>
      </w:r>
      <w:r w:rsidR="001C2444" w:rsidRPr="00F83BFF">
        <w:rPr>
          <w:rFonts w:ascii="Arial" w:hAnsi="Arial" w:cs="Arial"/>
          <w:sz w:val="20"/>
          <w:u w:val="none"/>
        </w:rPr>
        <w:t>, t</w:t>
      </w:r>
      <w:r w:rsidR="006029F9" w:rsidRPr="00F83BFF">
        <w:rPr>
          <w:rFonts w:ascii="Arial" w:hAnsi="Arial" w:cs="Arial"/>
          <w:sz w:val="20"/>
          <w:u w:val="none"/>
        </w:rPr>
        <w:t>he fin</w:t>
      </w:r>
      <w:r w:rsidR="001C2444" w:rsidRPr="00F83BFF">
        <w:rPr>
          <w:rFonts w:ascii="Arial" w:hAnsi="Arial" w:cs="Arial"/>
          <w:sz w:val="20"/>
          <w:u w:val="none"/>
        </w:rPr>
        <w:t>ancial support for strategic SOE</w:t>
      </w:r>
      <w:r w:rsidR="006029F9" w:rsidRPr="00F83BFF">
        <w:rPr>
          <w:rFonts w:ascii="Arial" w:hAnsi="Arial" w:cs="Arial"/>
          <w:sz w:val="20"/>
          <w:u w:val="none"/>
        </w:rPr>
        <w:t>s</w:t>
      </w:r>
      <w:r w:rsidR="001C2444" w:rsidRPr="00F83BFF">
        <w:rPr>
          <w:rFonts w:ascii="Arial" w:hAnsi="Arial" w:cs="Arial"/>
          <w:sz w:val="20"/>
          <w:u w:val="none"/>
        </w:rPr>
        <w:t xml:space="preserve">, </w:t>
      </w:r>
      <w:r w:rsidR="00382E73" w:rsidRPr="00F83BFF">
        <w:rPr>
          <w:rFonts w:ascii="Arial" w:hAnsi="Arial" w:cs="Arial"/>
          <w:sz w:val="20"/>
          <w:u w:val="none"/>
        </w:rPr>
        <w:t xml:space="preserve">and </w:t>
      </w:r>
      <w:r w:rsidR="001C2444" w:rsidRPr="00F83BFF">
        <w:rPr>
          <w:rFonts w:ascii="Arial" w:hAnsi="Arial" w:cs="Arial"/>
          <w:sz w:val="20"/>
          <w:u w:val="none"/>
        </w:rPr>
        <w:t>t</w:t>
      </w:r>
      <w:r w:rsidR="006029F9" w:rsidRPr="00F83BFF">
        <w:rPr>
          <w:rFonts w:ascii="Arial" w:hAnsi="Arial" w:cs="Arial"/>
          <w:sz w:val="20"/>
          <w:u w:val="none"/>
        </w:rPr>
        <w:t xml:space="preserve">he poor financial health of most </w:t>
      </w:r>
      <w:r w:rsidR="001C2444" w:rsidRPr="00F83BFF">
        <w:rPr>
          <w:rFonts w:ascii="Arial" w:hAnsi="Arial" w:cs="Arial"/>
          <w:sz w:val="20"/>
          <w:u w:val="none"/>
        </w:rPr>
        <w:t>SOEs</w:t>
      </w:r>
      <w:r w:rsidR="00F06B41" w:rsidRPr="00F83BFF">
        <w:rPr>
          <w:rFonts w:ascii="Arial" w:hAnsi="Arial" w:cs="Arial"/>
          <w:sz w:val="20"/>
          <w:u w:val="none"/>
        </w:rPr>
        <w:t xml:space="preserve">. The FFC noted that </w:t>
      </w:r>
      <w:r w:rsidR="00F41449" w:rsidRPr="00F83BFF">
        <w:rPr>
          <w:rFonts w:ascii="Arial" w:hAnsi="Arial" w:cs="Arial"/>
          <w:sz w:val="20"/>
          <w:u w:val="none"/>
        </w:rPr>
        <w:t>by</w:t>
      </w:r>
      <w:r w:rsidR="006029F9" w:rsidRPr="00F83BFF">
        <w:rPr>
          <w:rFonts w:ascii="Arial" w:hAnsi="Arial" w:cs="Arial"/>
          <w:sz w:val="20"/>
          <w:u w:val="none"/>
        </w:rPr>
        <w:t xml:space="preserve"> 2024/25, contingent liabilities are expected to exceed R1 trillion. </w:t>
      </w:r>
      <w:r w:rsidR="00F06B41" w:rsidRPr="00F83BFF">
        <w:rPr>
          <w:rFonts w:ascii="Arial" w:hAnsi="Arial" w:cs="Arial"/>
          <w:sz w:val="20"/>
          <w:u w:val="none"/>
        </w:rPr>
        <w:t>It emphasised that t</w:t>
      </w:r>
      <w:r w:rsidR="006E7BA7" w:rsidRPr="00F83BFF">
        <w:rPr>
          <w:rFonts w:ascii="Arial" w:hAnsi="Arial" w:cs="Arial"/>
          <w:sz w:val="20"/>
          <w:u w:val="none"/>
        </w:rPr>
        <w:t>he deepening energy crisis, high inflation rate, the p</w:t>
      </w:r>
      <w:r w:rsidR="00F06B41" w:rsidRPr="00F83BFF">
        <w:rPr>
          <w:rFonts w:ascii="Arial" w:hAnsi="Arial" w:cs="Arial"/>
          <w:sz w:val="20"/>
          <w:u w:val="none"/>
        </w:rPr>
        <w:t>ossible</w:t>
      </w:r>
      <w:r w:rsidR="006E7BA7" w:rsidRPr="00F83BFF">
        <w:rPr>
          <w:rFonts w:ascii="Arial" w:hAnsi="Arial" w:cs="Arial"/>
          <w:sz w:val="20"/>
          <w:u w:val="none"/>
        </w:rPr>
        <w:t xml:space="preserve"> grey</w:t>
      </w:r>
      <w:r w:rsidR="00F06B41" w:rsidRPr="00F83BFF">
        <w:rPr>
          <w:rFonts w:ascii="Arial" w:hAnsi="Arial" w:cs="Arial"/>
          <w:sz w:val="20"/>
          <w:u w:val="none"/>
        </w:rPr>
        <w:t>-</w:t>
      </w:r>
      <w:r w:rsidR="006E7BA7" w:rsidRPr="00F83BFF">
        <w:rPr>
          <w:rFonts w:ascii="Arial" w:hAnsi="Arial" w:cs="Arial"/>
          <w:sz w:val="20"/>
          <w:u w:val="none"/>
        </w:rPr>
        <w:t>listing of S</w:t>
      </w:r>
      <w:r w:rsidR="00CA3C53" w:rsidRPr="00F83BFF">
        <w:rPr>
          <w:rFonts w:ascii="Arial" w:hAnsi="Arial" w:cs="Arial"/>
          <w:sz w:val="20"/>
          <w:u w:val="none"/>
        </w:rPr>
        <w:t xml:space="preserve">outh </w:t>
      </w:r>
      <w:r w:rsidR="006E7BA7" w:rsidRPr="00F83BFF">
        <w:rPr>
          <w:rFonts w:ascii="Arial" w:hAnsi="Arial" w:cs="Arial"/>
          <w:sz w:val="20"/>
          <w:u w:val="none"/>
        </w:rPr>
        <w:t>A</w:t>
      </w:r>
      <w:r w:rsidR="00CA3C53" w:rsidRPr="00F83BFF">
        <w:rPr>
          <w:rFonts w:ascii="Arial" w:hAnsi="Arial" w:cs="Arial"/>
          <w:sz w:val="20"/>
          <w:u w:val="none"/>
        </w:rPr>
        <w:t>frica</w:t>
      </w:r>
      <w:r w:rsidR="006E7BA7" w:rsidRPr="00F83BFF">
        <w:rPr>
          <w:rFonts w:ascii="Arial" w:hAnsi="Arial" w:cs="Arial"/>
          <w:sz w:val="20"/>
          <w:u w:val="none"/>
        </w:rPr>
        <w:t xml:space="preserve"> by the </w:t>
      </w:r>
      <w:r w:rsidR="00CA3C53" w:rsidRPr="00F83BFF">
        <w:rPr>
          <w:rFonts w:ascii="Arial" w:hAnsi="Arial" w:cs="Arial"/>
          <w:sz w:val="20"/>
          <w:u w:val="none"/>
        </w:rPr>
        <w:t>FATF</w:t>
      </w:r>
      <w:r w:rsidR="006E7BA7" w:rsidRPr="00F83BFF">
        <w:rPr>
          <w:rFonts w:ascii="Arial" w:hAnsi="Arial" w:cs="Arial"/>
          <w:sz w:val="20"/>
          <w:u w:val="none"/>
        </w:rPr>
        <w:t xml:space="preserve">, protracted wage negotiations, and above-inflation salary increases </w:t>
      </w:r>
      <w:r w:rsidR="0017051F" w:rsidRPr="00F83BFF">
        <w:rPr>
          <w:rFonts w:ascii="Arial" w:hAnsi="Arial" w:cs="Arial"/>
          <w:sz w:val="20"/>
          <w:u w:val="none"/>
        </w:rPr>
        <w:t>were</w:t>
      </w:r>
      <w:r w:rsidR="006E7BA7" w:rsidRPr="00F83BFF">
        <w:rPr>
          <w:rFonts w:ascii="Arial" w:hAnsi="Arial" w:cs="Arial"/>
          <w:sz w:val="20"/>
          <w:u w:val="none"/>
        </w:rPr>
        <w:t xml:space="preserve"> likely to constrain growth. </w:t>
      </w:r>
    </w:p>
    <w:p w:rsidR="007C009E" w:rsidRPr="00F83BFF" w:rsidRDefault="00DC08A9" w:rsidP="00F83BFF">
      <w:pPr>
        <w:pStyle w:val="Heading3"/>
        <w:spacing w:before="0" w:line="240" w:lineRule="auto"/>
        <w:rPr>
          <w:rFonts w:ascii="Arial" w:hAnsi="Arial" w:cs="Arial"/>
          <w:sz w:val="20"/>
          <w:u w:val="none"/>
        </w:rPr>
      </w:pPr>
      <w:r w:rsidRPr="00F83BFF">
        <w:rPr>
          <w:rFonts w:ascii="Arial" w:hAnsi="Arial" w:cs="Arial"/>
          <w:sz w:val="20"/>
          <w:u w:val="none"/>
        </w:rPr>
        <w:t>The Commission recommend</w:t>
      </w:r>
      <w:r w:rsidR="0017051F" w:rsidRPr="00F83BFF">
        <w:rPr>
          <w:rFonts w:ascii="Arial" w:hAnsi="Arial" w:cs="Arial"/>
          <w:sz w:val="20"/>
          <w:u w:val="none"/>
        </w:rPr>
        <w:t>ed</w:t>
      </w:r>
      <w:r w:rsidR="00945DC0" w:rsidRPr="00F83BFF">
        <w:rPr>
          <w:rFonts w:ascii="Arial" w:hAnsi="Arial" w:cs="Arial"/>
          <w:sz w:val="20"/>
          <w:u w:val="none"/>
        </w:rPr>
        <w:t xml:space="preserve"> that </w:t>
      </w:r>
      <w:r w:rsidR="0017051F" w:rsidRPr="00F83BFF">
        <w:rPr>
          <w:rFonts w:ascii="Arial" w:hAnsi="Arial" w:cs="Arial"/>
          <w:sz w:val="20"/>
          <w:u w:val="none"/>
        </w:rPr>
        <w:t>G</w:t>
      </w:r>
      <w:r w:rsidR="0045789B" w:rsidRPr="00F83BFF">
        <w:rPr>
          <w:rFonts w:ascii="Arial" w:hAnsi="Arial" w:cs="Arial"/>
          <w:sz w:val="20"/>
          <w:u w:val="none"/>
        </w:rPr>
        <w:t xml:space="preserve">overnment </w:t>
      </w:r>
      <w:r w:rsidRPr="00F83BFF">
        <w:rPr>
          <w:rFonts w:ascii="Arial" w:hAnsi="Arial" w:cs="Arial"/>
          <w:sz w:val="20"/>
          <w:u w:val="none"/>
        </w:rPr>
        <w:t xml:space="preserve">should </w:t>
      </w:r>
      <w:r w:rsidR="0045789B" w:rsidRPr="00F83BFF">
        <w:rPr>
          <w:rFonts w:ascii="Arial" w:hAnsi="Arial" w:cs="Arial"/>
          <w:sz w:val="20"/>
          <w:u w:val="none"/>
        </w:rPr>
        <w:t xml:space="preserve">continue to stay consistent </w:t>
      </w:r>
      <w:r w:rsidR="00A27CBA" w:rsidRPr="00F83BFF">
        <w:rPr>
          <w:rFonts w:ascii="Arial" w:hAnsi="Arial" w:cs="Arial"/>
          <w:sz w:val="20"/>
          <w:u w:val="none"/>
        </w:rPr>
        <w:t>on</w:t>
      </w:r>
      <w:r w:rsidR="0045789B" w:rsidRPr="00F83BFF">
        <w:rPr>
          <w:rFonts w:ascii="Arial" w:hAnsi="Arial" w:cs="Arial"/>
          <w:sz w:val="20"/>
          <w:u w:val="none"/>
        </w:rPr>
        <w:t xml:space="preserve"> its policy stance towards maintaining fiscal credibility and ensuring fiscal sustainability </w:t>
      </w:r>
      <w:r w:rsidR="00A27CBA" w:rsidRPr="00F83BFF">
        <w:rPr>
          <w:rFonts w:ascii="Arial" w:hAnsi="Arial" w:cs="Arial"/>
          <w:sz w:val="20"/>
          <w:u w:val="none"/>
        </w:rPr>
        <w:t xml:space="preserve">in order </w:t>
      </w:r>
      <w:r w:rsidR="0045789B" w:rsidRPr="00F83BFF">
        <w:rPr>
          <w:rFonts w:ascii="Arial" w:hAnsi="Arial" w:cs="Arial"/>
          <w:sz w:val="20"/>
          <w:u w:val="none"/>
        </w:rPr>
        <w:t xml:space="preserve">to minimise economic risks. </w:t>
      </w:r>
      <w:r w:rsidR="00A27CBA" w:rsidRPr="00F83BFF">
        <w:rPr>
          <w:rFonts w:ascii="Arial" w:hAnsi="Arial" w:cs="Arial"/>
          <w:sz w:val="20"/>
          <w:u w:val="none"/>
        </w:rPr>
        <w:t xml:space="preserve"> </w:t>
      </w:r>
      <w:r w:rsidR="007068A4" w:rsidRPr="00F83BFF">
        <w:rPr>
          <w:rFonts w:ascii="Arial" w:hAnsi="Arial" w:cs="Arial"/>
          <w:sz w:val="20"/>
          <w:u w:val="none"/>
        </w:rPr>
        <w:t>It said that the</w:t>
      </w:r>
      <w:r w:rsidR="004C3766" w:rsidRPr="00F83BFF">
        <w:rPr>
          <w:rFonts w:ascii="Arial" w:hAnsi="Arial" w:cs="Arial"/>
          <w:sz w:val="20"/>
          <w:u w:val="none"/>
        </w:rPr>
        <w:t xml:space="preserve"> m</w:t>
      </w:r>
      <w:r w:rsidR="0045789B" w:rsidRPr="00F83BFF">
        <w:rPr>
          <w:rFonts w:ascii="Arial" w:hAnsi="Arial" w:cs="Arial"/>
          <w:sz w:val="20"/>
          <w:u w:val="none"/>
        </w:rPr>
        <w:t xml:space="preserve">edium-term spending </w:t>
      </w:r>
      <w:r w:rsidRPr="00F83BFF">
        <w:rPr>
          <w:rFonts w:ascii="Arial" w:hAnsi="Arial" w:cs="Arial"/>
          <w:sz w:val="20"/>
          <w:u w:val="none"/>
        </w:rPr>
        <w:t xml:space="preserve">should </w:t>
      </w:r>
      <w:r w:rsidR="0045789B" w:rsidRPr="00F83BFF">
        <w:rPr>
          <w:rFonts w:ascii="Arial" w:hAnsi="Arial" w:cs="Arial"/>
          <w:sz w:val="20"/>
          <w:u w:val="none"/>
        </w:rPr>
        <w:t xml:space="preserve">be reprioritised towards social and economically inclusive growth-supporting expenditure </w:t>
      </w:r>
      <w:r w:rsidR="007068A4" w:rsidRPr="00F83BFF">
        <w:rPr>
          <w:rFonts w:ascii="Arial" w:hAnsi="Arial" w:cs="Arial"/>
          <w:sz w:val="20"/>
          <w:u w:val="none"/>
        </w:rPr>
        <w:t xml:space="preserve">in order </w:t>
      </w:r>
      <w:r w:rsidR="0045789B" w:rsidRPr="00F83BFF">
        <w:rPr>
          <w:rFonts w:ascii="Arial" w:hAnsi="Arial" w:cs="Arial"/>
          <w:sz w:val="20"/>
          <w:u w:val="none"/>
        </w:rPr>
        <w:t xml:space="preserve">to mitigate the exacerbation of inequalities and socio-economic vulnerabilities in the long run. </w:t>
      </w:r>
    </w:p>
    <w:p w:rsidR="005C414B" w:rsidRPr="00F83BFF" w:rsidRDefault="007C009E" w:rsidP="00F83BFF">
      <w:pPr>
        <w:pStyle w:val="Heading3"/>
        <w:spacing w:before="0" w:line="240" w:lineRule="auto"/>
        <w:rPr>
          <w:rFonts w:ascii="Arial" w:hAnsi="Arial" w:cs="Arial"/>
          <w:sz w:val="20"/>
          <w:u w:val="none"/>
        </w:rPr>
      </w:pPr>
      <w:r w:rsidRPr="00F83BFF">
        <w:rPr>
          <w:rFonts w:ascii="Arial" w:hAnsi="Arial" w:cs="Arial"/>
          <w:sz w:val="20"/>
          <w:u w:val="none"/>
        </w:rPr>
        <w:t xml:space="preserve">It further submitted that </w:t>
      </w:r>
      <w:r w:rsidR="00C17F04" w:rsidRPr="00F83BFF">
        <w:rPr>
          <w:rFonts w:ascii="Arial" w:hAnsi="Arial" w:cs="Arial"/>
          <w:sz w:val="20"/>
          <w:u w:val="none"/>
        </w:rPr>
        <w:t xml:space="preserve">there must be </w:t>
      </w:r>
      <w:r w:rsidRPr="00F83BFF">
        <w:rPr>
          <w:rFonts w:ascii="Arial" w:hAnsi="Arial" w:cs="Arial"/>
          <w:sz w:val="20"/>
          <w:u w:val="none"/>
        </w:rPr>
        <w:t>t</w:t>
      </w:r>
      <w:r w:rsidR="0045789B" w:rsidRPr="00F83BFF">
        <w:rPr>
          <w:rFonts w:ascii="Arial" w:hAnsi="Arial" w:cs="Arial"/>
          <w:sz w:val="20"/>
          <w:u w:val="none"/>
        </w:rPr>
        <w:t xml:space="preserve">ransparent processes </w:t>
      </w:r>
      <w:r w:rsidR="00C17F04" w:rsidRPr="00F83BFF">
        <w:rPr>
          <w:rFonts w:ascii="Arial" w:hAnsi="Arial" w:cs="Arial"/>
          <w:sz w:val="20"/>
          <w:u w:val="none"/>
        </w:rPr>
        <w:t xml:space="preserve">on providing </w:t>
      </w:r>
      <w:r w:rsidR="0045789B" w:rsidRPr="00F83BFF">
        <w:rPr>
          <w:rFonts w:ascii="Arial" w:hAnsi="Arial" w:cs="Arial"/>
          <w:sz w:val="20"/>
          <w:u w:val="none"/>
        </w:rPr>
        <w:t xml:space="preserve">fiscal support to SOEs, </w:t>
      </w:r>
      <w:r w:rsidR="00C17F04" w:rsidRPr="00F83BFF">
        <w:rPr>
          <w:rFonts w:ascii="Arial" w:hAnsi="Arial" w:cs="Arial"/>
          <w:sz w:val="20"/>
          <w:u w:val="none"/>
        </w:rPr>
        <w:t xml:space="preserve">through </w:t>
      </w:r>
      <w:r w:rsidR="0045789B" w:rsidRPr="00F83BFF">
        <w:rPr>
          <w:rFonts w:ascii="Arial" w:hAnsi="Arial" w:cs="Arial"/>
          <w:sz w:val="20"/>
          <w:u w:val="none"/>
        </w:rPr>
        <w:t xml:space="preserve">publicly available reports and conditions, and reforming the evaluation criteria for granting government guarantees to SOEs. </w:t>
      </w:r>
      <w:r w:rsidR="00C17F04" w:rsidRPr="00F83BFF">
        <w:rPr>
          <w:rFonts w:ascii="Arial" w:hAnsi="Arial" w:cs="Arial"/>
          <w:sz w:val="20"/>
          <w:u w:val="none"/>
        </w:rPr>
        <w:t>It said that t</w:t>
      </w:r>
      <w:r w:rsidR="0045789B" w:rsidRPr="00F83BFF">
        <w:rPr>
          <w:rFonts w:ascii="Arial" w:hAnsi="Arial" w:cs="Arial"/>
          <w:sz w:val="20"/>
          <w:u w:val="none"/>
        </w:rPr>
        <w:t xml:space="preserve">his includes establishing </w:t>
      </w:r>
      <w:r w:rsidR="00203EF7" w:rsidRPr="00F83BFF">
        <w:rPr>
          <w:rFonts w:ascii="Arial" w:hAnsi="Arial" w:cs="Arial"/>
          <w:sz w:val="20"/>
          <w:u w:val="none"/>
        </w:rPr>
        <w:t>a</w:t>
      </w:r>
      <w:r w:rsidR="0045789B" w:rsidRPr="00F83BFF">
        <w:rPr>
          <w:rFonts w:ascii="Arial" w:hAnsi="Arial" w:cs="Arial"/>
          <w:sz w:val="20"/>
          <w:u w:val="none"/>
        </w:rPr>
        <w:t xml:space="preserve"> governance framework with public reporting criteria that clearly defines detailed and precise profitability and </w:t>
      </w:r>
      <w:r w:rsidR="00203EF7" w:rsidRPr="00F83BFF">
        <w:rPr>
          <w:rFonts w:ascii="Arial" w:hAnsi="Arial" w:cs="Arial"/>
          <w:sz w:val="20"/>
          <w:u w:val="none"/>
        </w:rPr>
        <w:t xml:space="preserve">other </w:t>
      </w:r>
      <w:r w:rsidR="0045789B" w:rsidRPr="00F83BFF">
        <w:rPr>
          <w:rFonts w:ascii="Arial" w:hAnsi="Arial" w:cs="Arial"/>
          <w:sz w:val="20"/>
          <w:u w:val="none"/>
        </w:rPr>
        <w:t>non-financial objectives for transparency.</w:t>
      </w:r>
    </w:p>
    <w:p w:rsidR="00767DB1" w:rsidRPr="00F83BFF" w:rsidRDefault="005C414B" w:rsidP="00F83BFF">
      <w:pPr>
        <w:pStyle w:val="Heading3"/>
        <w:spacing w:before="0" w:line="240" w:lineRule="auto"/>
        <w:rPr>
          <w:rFonts w:ascii="Arial" w:hAnsi="Arial" w:cs="Arial"/>
          <w:sz w:val="20"/>
          <w:u w:val="none"/>
        </w:rPr>
      </w:pPr>
      <w:r w:rsidRPr="00F83BFF">
        <w:rPr>
          <w:rFonts w:ascii="Arial" w:hAnsi="Arial" w:cs="Arial"/>
          <w:sz w:val="20"/>
          <w:u w:val="none"/>
        </w:rPr>
        <w:t xml:space="preserve">It said that </w:t>
      </w:r>
      <w:r w:rsidR="004C3766" w:rsidRPr="00F83BFF">
        <w:rPr>
          <w:rFonts w:ascii="Arial" w:hAnsi="Arial" w:cs="Arial"/>
          <w:sz w:val="20"/>
          <w:u w:val="none"/>
        </w:rPr>
        <w:t>the</w:t>
      </w:r>
      <w:r w:rsidR="0045789B" w:rsidRPr="00F83BFF">
        <w:rPr>
          <w:rFonts w:ascii="Arial" w:hAnsi="Arial" w:cs="Arial"/>
          <w:sz w:val="20"/>
          <w:u w:val="none"/>
        </w:rPr>
        <w:t xml:space="preserve"> debt financing strategy </w:t>
      </w:r>
      <w:r w:rsidR="00DC08A9" w:rsidRPr="00F83BFF">
        <w:rPr>
          <w:rFonts w:ascii="Arial" w:hAnsi="Arial" w:cs="Arial"/>
          <w:sz w:val="20"/>
          <w:u w:val="none"/>
        </w:rPr>
        <w:t xml:space="preserve">should </w:t>
      </w:r>
      <w:r w:rsidR="0045789B" w:rsidRPr="00F83BFF">
        <w:rPr>
          <w:rFonts w:ascii="Arial" w:hAnsi="Arial" w:cs="Arial"/>
          <w:sz w:val="20"/>
          <w:u w:val="none"/>
        </w:rPr>
        <w:t>be aligned to economic growth initiatives</w:t>
      </w:r>
      <w:r w:rsidRPr="00F83BFF">
        <w:rPr>
          <w:rFonts w:ascii="Arial" w:hAnsi="Arial" w:cs="Arial"/>
          <w:sz w:val="20"/>
          <w:u w:val="none"/>
        </w:rPr>
        <w:t xml:space="preserve"> in order</w:t>
      </w:r>
      <w:r w:rsidR="0045789B" w:rsidRPr="00F83BFF">
        <w:rPr>
          <w:rFonts w:ascii="Arial" w:hAnsi="Arial" w:cs="Arial"/>
          <w:sz w:val="20"/>
          <w:u w:val="none"/>
        </w:rPr>
        <w:t xml:space="preserve"> to slow down the debt service costs and ensure that interest expenditure does not crowd</w:t>
      </w:r>
      <w:r w:rsidRPr="00F83BFF">
        <w:rPr>
          <w:rFonts w:ascii="Arial" w:hAnsi="Arial" w:cs="Arial"/>
          <w:sz w:val="20"/>
          <w:u w:val="none"/>
        </w:rPr>
        <w:t>-</w:t>
      </w:r>
      <w:r w:rsidR="0045789B" w:rsidRPr="00F83BFF">
        <w:rPr>
          <w:rFonts w:ascii="Arial" w:hAnsi="Arial" w:cs="Arial"/>
          <w:sz w:val="20"/>
          <w:u w:val="none"/>
        </w:rPr>
        <w:t>out critical spending in vital functional areas such as health and education. In addition,</w:t>
      </w:r>
      <w:r w:rsidR="00DC08A9" w:rsidRPr="00F83BFF">
        <w:rPr>
          <w:rFonts w:ascii="Arial" w:hAnsi="Arial" w:cs="Arial"/>
          <w:sz w:val="20"/>
          <w:u w:val="none"/>
        </w:rPr>
        <w:t xml:space="preserve"> government should</w:t>
      </w:r>
      <w:r w:rsidR="0045789B" w:rsidRPr="00F83BFF">
        <w:rPr>
          <w:rFonts w:ascii="Arial" w:hAnsi="Arial" w:cs="Arial"/>
          <w:sz w:val="20"/>
          <w:u w:val="none"/>
        </w:rPr>
        <w:t xml:space="preserve"> </w:t>
      </w:r>
      <w:r w:rsidR="00DC08A9" w:rsidRPr="00F83BFF">
        <w:rPr>
          <w:rFonts w:ascii="Arial" w:hAnsi="Arial" w:cs="Arial"/>
          <w:sz w:val="20"/>
          <w:u w:val="none"/>
        </w:rPr>
        <w:t>improve</w:t>
      </w:r>
      <w:r w:rsidR="0045789B" w:rsidRPr="00F83BFF">
        <w:rPr>
          <w:rFonts w:ascii="Arial" w:hAnsi="Arial" w:cs="Arial"/>
          <w:sz w:val="20"/>
          <w:u w:val="none"/>
        </w:rPr>
        <w:t xml:space="preserve"> expenditure management by preventing fiscal leakages and fruitless spending</w:t>
      </w:r>
      <w:r w:rsidR="00767DB1" w:rsidRPr="00F83BFF">
        <w:rPr>
          <w:rFonts w:ascii="Arial" w:hAnsi="Arial" w:cs="Arial"/>
          <w:sz w:val="20"/>
          <w:u w:val="none"/>
        </w:rPr>
        <w:t>, the FFC submitted</w:t>
      </w:r>
      <w:r w:rsidR="0045789B" w:rsidRPr="00F83BFF">
        <w:rPr>
          <w:rFonts w:ascii="Arial" w:hAnsi="Arial" w:cs="Arial"/>
          <w:sz w:val="20"/>
          <w:u w:val="none"/>
        </w:rPr>
        <w:t xml:space="preserve">. </w:t>
      </w:r>
      <w:r w:rsidR="00767DB1" w:rsidRPr="00F83BFF">
        <w:rPr>
          <w:rFonts w:ascii="Arial" w:hAnsi="Arial" w:cs="Arial"/>
          <w:sz w:val="20"/>
          <w:u w:val="none"/>
        </w:rPr>
        <w:t xml:space="preserve">It emphasised </w:t>
      </w:r>
      <w:r w:rsidR="0045789B" w:rsidRPr="00F83BFF">
        <w:rPr>
          <w:rFonts w:ascii="Arial" w:hAnsi="Arial" w:cs="Arial"/>
          <w:sz w:val="20"/>
          <w:u w:val="none"/>
        </w:rPr>
        <w:t>reforms that will address vulnerabilities to corruption.</w:t>
      </w:r>
    </w:p>
    <w:p w:rsidR="00367B79" w:rsidRPr="00F83BFF" w:rsidRDefault="00767DB1" w:rsidP="00F83BFF">
      <w:pPr>
        <w:pStyle w:val="Heading3"/>
        <w:spacing w:before="0" w:line="240" w:lineRule="auto"/>
        <w:rPr>
          <w:rFonts w:ascii="Arial" w:hAnsi="Arial" w:cs="Arial"/>
          <w:sz w:val="20"/>
          <w:u w:val="none"/>
        </w:rPr>
      </w:pPr>
      <w:r w:rsidRPr="00F83BFF">
        <w:rPr>
          <w:rFonts w:ascii="Arial" w:hAnsi="Arial" w:cs="Arial"/>
          <w:sz w:val="20"/>
          <w:u w:val="none"/>
        </w:rPr>
        <w:t xml:space="preserve">The FFC said that </w:t>
      </w:r>
      <w:r w:rsidR="004C3766" w:rsidRPr="00F83BFF">
        <w:rPr>
          <w:rFonts w:ascii="Arial" w:hAnsi="Arial" w:cs="Arial"/>
          <w:sz w:val="20"/>
          <w:u w:val="none"/>
        </w:rPr>
        <w:t>c</w:t>
      </w:r>
      <w:r w:rsidR="0045789B" w:rsidRPr="00F83BFF">
        <w:rPr>
          <w:rFonts w:ascii="Arial" w:hAnsi="Arial" w:cs="Arial"/>
          <w:sz w:val="20"/>
          <w:u w:val="none"/>
        </w:rPr>
        <w:t>areful attention should be given to the budget and debt financing strategy to slow the annual grow</w:t>
      </w:r>
      <w:r w:rsidR="00DC08A9" w:rsidRPr="00F83BFF">
        <w:rPr>
          <w:rFonts w:ascii="Arial" w:hAnsi="Arial" w:cs="Arial"/>
          <w:sz w:val="20"/>
          <w:u w:val="none"/>
        </w:rPr>
        <w:t>th rate of debt service costs a</w:t>
      </w:r>
      <w:r w:rsidR="0045789B" w:rsidRPr="00F83BFF">
        <w:rPr>
          <w:rFonts w:ascii="Arial" w:hAnsi="Arial" w:cs="Arial"/>
          <w:sz w:val="20"/>
          <w:u w:val="none"/>
        </w:rPr>
        <w:t xml:space="preserve">nd ensure that interest expenditure does not continue to consume fiscal space and crowd out spending on basic services and realising socio-economic rights. </w:t>
      </w:r>
    </w:p>
    <w:p w:rsidR="00D6495D" w:rsidRPr="00F83BFF" w:rsidRDefault="00367B79" w:rsidP="00F83BFF">
      <w:pPr>
        <w:pStyle w:val="Heading3"/>
        <w:spacing w:before="0" w:line="240" w:lineRule="auto"/>
        <w:rPr>
          <w:rFonts w:ascii="Arial" w:hAnsi="Arial" w:cs="Arial"/>
          <w:sz w:val="20"/>
          <w:u w:val="none"/>
        </w:rPr>
      </w:pPr>
      <w:r w:rsidRPr="00F83BFF">
        <w:rPr>
          <w:rFonts w:ascii="Arial" w:hAnsi="Arial" w:cs="Arial"/>
          <w:sz w:val="20"/>
          <w:u w:val="none"/>
        </w:rPr>
        <w:t xml:space="preserve">The FFC submitted further that </w:t>
      </w:r>
      <w:r w:rsidR="00945DC0" w:rsidRPr="00F83BFF">
        <w:rPr>
          <w:rFonts w:ascii="Arial" w:hAnsi="Arial" w:cs="Arial"/>
          <w:sz w:val="20"/>
          <w:u w:val="none"/>
        </w:rPr>
        <w:t>G</w:t>
      </w:r>
      <w:r w:rsidR="004C3766" w:rsidRPr="00F83BFF">
        <w:rPr>
          <w:rFonts w:ascii="Arial" w:hAnsi="Arial" w:cs="Arial"/>
          <w:sz w:val="20"/>
          <w:u w:val="none"/>
        </w:rPr>
        <w:t>overnment should a</w:t>
      </w:r>
      <w:r w:rsidR="00D32DBC" w:rsidRPr="00F83BFF">
        <w:rPr>
          <w:rFonts w:ascii="Arial" w:hAnsi="Arial" w:cs="Arial"/>
          <w:sz w:val="20"/>
          <w:u w:val="none"/>
        </w:rPr>
        <w:t>ddress w</w:t>
      </w:r>
      <w:r w:rsidR="0045789B" w:rsidRPr="00F83BFF">
        <w:rPr>
          <w:rFonts w:ascii="Arial" w:hAnsi="Arial" w:cs="Arial"/>
          <w:sz w:val="20"/>
          <w:u w:val="none"/>
        </w:rPr>
        <w:t>eak productivity in expenditure to create job-enhancing, inclusive growth through quality expenditure and investment-enticing reforms. In addition</w:t>
      </w:r>
      <w:r w:rsidR="00D32DBC" w:rsidRPr="00F83BFF">
        <w:rPr>
          <w:rFonts w:ascii="Arial" w:hAnsi="Arial" w:cs="Arial"/>
          <w:sz w:val="20"/>
          <w:u w:val="none"/>
        </w:rPr>
        <w:t>,</w:t>
      </w:r>
      <w:r w:rsidR="0045789B" w:rsidRPr="00F83BFF">
        <w:rPr>
          <w:rFonts w:ascii="Arial" w:hAnsi="Arial" w:cs="Arial"/>
          <w:sz w:val="20"/>
          <w:u w:val="none"/>
        </w:rPr>
        <w:t xml:space="preserve"> long-term growth prospects will require addressing structural constraints. To that end, </w:t>
      </w:r>
      <w:r w:rsidR="00945DC0" w:rsidRPr="00F83BFF">
        <w:rPr>
          <w:rFonts w:ascii="Arial" w:hAnsi="Arial" w:cs="Arial"/>
          <w:sz w:val="20"/>
          <w:u w:val="none"/>
        </w:rPr>
        <w:t>G</w:t>
      </w:r>
      <w:r w:rsidR="00D32DBC" w:rsidRPr="00F83BFF">
        <w:rPr>
          <w:rFonts w:ascii="Arial" w:hAnsi="Arial" w:cs="Arial"/>
          <w:sz w:val="20"/>
          <w:u w:val="none"/>
        </w:rPr>
        <w:t xml:space="preserve">overnment must implement </w:t>
      </w:r>
      <w:r w:rsidR="0045789B" w:rsidRPr="00F83BFF">
        <w:rPr>
          <w:rFonts w:ascii="Arial" w:hAnsi="Arial" w:cs="Arial"/>
          <w:sz w:val="20"/>
          <w:u w:val="none"/>
        </w:rPr>
        <w:t>reforms that address vulnerabilities to corruption (such as procurement reform)</w:t>
      </w:r>
      <w:r w:rsidR="00C70F34" w:rsidRPr="00F83BFF">
        <w:rPr>
          <w:rFonts w:ascii="Arial" w:hAnsi="Arial" w:cs="Arial"/>
          <w:sz w:val="20"/>
          <w:u w:val="none"/>
        </w:rPr>
        <w:t xml:space="preserve">, </w:t>
      </w:r>
      <w:r w:rsidR="0045789B" w:rsidRPr="00F83BFF">
        <w:rPr>
          <w:rFonts w:ascii="Arial" w:hAnsi="Arial" w:cs="Arial"/>
          <w:sz w:val="20"/>
          <w:u w:val="none"/>
        </w:rPr>
        <w:t xml:space="preserve">ensure energy security by enticing private sector investment and fast-tracking the unbundling of Eskom. Lastly, the overall increase in competitiveness of the economy through the reduction of regulatory barriers that support Small Micro and Medium enterprises (SMMEs) is urgently needed. </w:t>
      </w:r>
    </w:p>
    <w:p w:rsidR="0045789B" w:rsidRPr="00F83BFF" w:rsidRDefault="001C17DB" w:rsidP="00F83BFF">
      <w:pPr>
        <w:pStyle w:val="Heading3"/>
        <w:spacing w:before="0" w:line="240" w:lineRule="auto"/>
        <w:rPr>
          <w:rFonts w:ascii="Arial" w:hAnsi="Arial" w:cs="Arial"/>
          <w:sz w:val="20"/>
          <w:u w:val="none"/>
        </w:rPr>
      </w:pPr>
      <w:r w:rsidRPr="00F83BFF">
        <w:rPr>
          <w:rFonts w:ascii="Arial" w:hAnsi="Arial" w:cs="Arial"/>
          <w:sz w:val="20"/>
          <w:u w:val="none"/>
        </w:rPr>
        <w:t xml:space="preserve">Lastly, it said that </w:t>
      </w:r>
      <w:r w:rsidR="0045789B" w:rsidRPr="00F83BFF">
        <w:rPr>
          <w:rFonts w:ascii="Arial" w:eastAsia="PMingLiU" w:hAnsi="Arial" w:cs="Arial"/>
          <w:sz w:val="20"/>
          <w:u w:val="none"/>
          <w:lang w:eastAsia="en-ZA"/>
        </w:rPr>
        <w:t>the implementation of tax reforms needs to be done in a manner that does not harm growth.</w:t>
      </w:r>
    </w:p>
    <w:p w:rsidR="00A42987" w:rsidRPr="00F83BFF" w:rsidRDefault="00A42987" w:rsidP="00F83BFF">
      <w:pPr>
        <w:pStyle w:val="Heading3"/>
        <w:numPr>
          <w:ilvl w:val="0"/>
          <w:numId w:val="0"/>
        </w:numPr>
        <w:spacing w:before="0" w:line="240" w:lineRule="auto"/>
        <w:rPr>
          <w:rFonts w:ascii="Arial" w:hAnsi="Arial" w:cs="Arial"/>
          <w:sz w:val="20"/>
          <w:u w:val="none"/>
        </w:rPr>
      </w:pPr>
    </w:p>
    <w:p w:rsidR="00257D08" w:rsidRPr="00F83BFF" w:rsidRDefault="00257D08" w:rsidP="00F83BFF">
      <w:pPr>
        <w:pStyle w:val="Heading3"/>
        <w:numPr>
          <w:ilvl w:val="0"/>
          <w:numId w:val="0"/>
        </w:numPr>
        <w:spacing w:before="0" w:line="240" w:lineRule="auto"/>
        <w:ind w:left="720" w:hanging="144"/>
        <w:rPr>
          <w:rFonts w:ascii="Arial" w:hAnsi="Arial" w:cs="Arial"/>
          <w:b/>
          <w:bCs/>
          <w:sz w:val="20"/>
          <w:u w:val="none"/>
        </w:rPr>
      </w:pPr>
      <w:r w:rsidRPr="00F83BFF">
        <w:rPr>
          <w:rFonts w:ascii="Arial" w:hAnsi="Arial" w:cs="Arial"/>
          <w:b/>
          <w:bCs/>
          <w:sz w:val="20"/>
          <w:u w:val="none"/>
        </w:rPr>
        <w:t>Parliamentary Budget Office</w:t>
      </w:r>
    </w:p>
    <w:p w:rsidR="00DB1F01" w:rsidRPr="00F83BFF" w:rsidRDefault="00B6747E" w:rsidP="00F83BFF">
      <w:pPr>
        <w:pStyle w:val="Heading3"/>
        <w:spacing w:before="0" w:line="240" w:lineRule="auto"/>
        <w:rPr>
          <w:rFonts w:ascii="Arial" w:hAnsi="Arial" w:cs="Arial"/>
          <w:sz w:val="20"/>
          <w:u w:val="none"/>
        </w:rPr>
      </w:pPr>
      <w:r w:rsidRPr="00F83BFF">
        <w:rPr>
          <w:rFonts w:ascii="Arial" w:hAnsi="Arial" w:cs="Arial"/>
          <w:sz w:val="20"/>
          <w:u w:val="none"/>
        </w:rPr>
        <w:t>Considering</w:t>
      </w:r>
      <w:r w:rsidR="00DA78A5" w:rsidRPr="00F83BFF">
        <w:rPr>
          <w:rFonts w:ascii="Arial" w:hAnsi="Arial" w:cs="Arial"/>
          <w:sz w:val="20"/>
          <w:u w:val="none"/>
        </w:rPr>
        <w:t xml:space="preserve"> the assertions by the Minister of Finance and the 2022 MTBPS that the strategic goal of government is to reduce povert</w:t>
      </w:r>
      <w:r w:rsidR="00B40DEA" w:rsidRPr="00F83BFF">
        <w:rPr>
          <w:rFonts w:ascii="Arial" w:hAnsi="Arial" w:cs="Arial"/>
          <w:sz w:val="20"/>
          <w:u w:val="none"/>
        </w:rPr>
        <w:t>y, inequality and unemployment</w:t>
      </w:r>
      <w:r w:rsidR="00DA78A5" w:rsidRPr="00F83BFF">
        <w:rPr>
          <w:rFonts w:ascii="Arial" w:hAnsi="Arial" w:cs="Arial"/>
          <w:sz w:val="20"/>
          <w:u w:val="none"/>
        </w:rPr>
        <w:t>, the PBO que</w:t>
      </w:r>
      <w:r w:rsidR="0038561A" w:rsidRPr="00F83BFF">
        <w:rPr>
          <w:rFonts w:ascii="Arial" w:hAnsi="Arial" w:cs="Arial"/>
          <w:sz w:val="20"/>
          <w:u w:val="none"/>
        </w:rPr>
        <w:t>s</w:t>
      </w:r>
      <w:r w:rsidR="00DA78A5" w:rsidRPr="00F83BFF">
        <w:rPr>
          <w:rFonts w:ascii="Arial" w:hAnsi="Arial" w:cs="Arial"/>
          <w:sz w:val="20"/>
          <w:u w:val="none"/>
        </w:rPr>
        <w:t>tion</w:t>
      </w:r>
      <w:r w:rsidRPr="00F83BFF">
        <w:rPr>
          <w:rFonts w:ascii="Arial" w:hAnsi="Arial" w:cs="Arial"/>
          <w:sz w:val="20"/>
          <w:u w:val="none"/>
        </w:rPr>
        <w:t>ed</w:t>
      </w:r>
      <w:r w:rsidR="00DA78A5" w:rsidRPr="00F83BFF">
        <w:rPr>
          <w:rFonts w:ascii="Arial" w:hAnsi="Arial" w:cs="Arial"/>
          <w:sz w:val="20"/>
          <w:u w:val="none"/>
        </w:rPr>
        <w:t xml:space="preserve"> whether the approach taken in the 2022 MTBPS, a</w:t>
      </w:r>
      <w:r w:rsidR="005740B4" w:rsidRPr="00F83BFF">
        <w:rPr>
          <w:rFonts w:ascii="Arial" w:hAnsi="Arial" w:cs="Arial"/>
          <w:sz w:val="20"/>
          <w:u w:val="none"/>
        </w:rPr>
        <w:t>n</w:t>
      </w:r>
      <w:r w:rsidR="00DA78A5" w:rsidRPr="00F83BFF">
        <w:rPr>
          <w:rFonts w:ascii="Arial" w:hAnsi="Arial" w:cs="Arial"/>
          <w:sz w:val="20"/>
          <w:u w:val="none"/>
        </w:rPr>
        <w:t>d the solutions offered, support</w:t>
      </w:r>
      <w:r w:rsidR="00A70C6A" w:rsidRPr="00F83BFF">
        <w:rPr>
          <w:rFonts w:ascii="Arial" w:hAnsi="Arial" w:cs="Arial"/>
          <w:sz w:val="20"/>
          <w:u w:val="none"/>
        </w:rPr>
        <w:t>s</w:t>
      </w:r>
      <w:r w:rsidR="00DA78A5" w:rsidRPr="00F83BFF">
        <w:rPr>
          <w:rFonts w:ascii="Arial" w:hAnsi="Arial" w:cs="Arial"/>
          <w:sz w:val="20"/>
          <w:u w:val="none"/>
        </w:rPr>
        <w:t xml:space="preserve"> </w:t>
      </w:r>
      <w:r w:rsidR="00A70C6A" w:rsidRPr="00F83BFF">
        <w:rPr>
          <w:rFonts w:ascii="Arial" w:hAnsi="Arial" w:cs="Arial"/>
          <w:sz w:val="20"/>
          <w:u w:val="none"/>
        </w:rPr>
        <w:t xml:space="preserve">the </w:t>
      </w:r>
      <w:r w:rsidR="00DA78A5" w:rsidRPr="00F83BFF">
        <w:rPr>
          <w:rFonts w:ascii="Arial" w:hAnsi="Arial" w:cs="Arial"/>
          <w:sz w:val="20"/>
          <w:u w:val="none"/>
        </w:rPr>
        <w:t xml:space="preserve">achievement of these goals given the experience with the chosen fiscal policy stance </w:t>
      </w:r>
      <w:r w:rsidR="00DB1F01" w:rsidRPr="00F83BFF">
        <w:rPr>
          <w:rFonts w:ascii="Arial" w:hAnsi="Arial" w:cs="Arial"/>
          <w:sz w:val="20"/>
          <w:u w:val="none"/>
        </w:rPr>
        <w:t xml:space="preserve">of consolidation </w:t>
      </w:r>
      <w:r w:rsidR="00DA78A5" w:rsidRPr="00F83BFF">
        <w:rPr>
          <w:rFonts w:ascii="Arial" w:hAnsi="Arial" w:cs="Arial"/>
          <w:sz w:val="20"/>
          <w:u w:val="none"/>
        </w:rPr>
        <w:t>over the past few years.</w:t>
      </w:r>
    </w:p>
    <w:p w:rsidR="003A13DF" w:rsidRPr="00F83BFF" w:rsidRDefault="00DA78A5" w:rsidP="00F83BFF">
      <w:pPr>
        <w:pStyle w:val="Heading3"/>
        <w:spacing w:before="0" w:line="240" w:lineRule="auto"/>
        <w:rPr>
          <w:rFonts w:ascii="Arial" w:hAnsi="Arial" w:cs="Arial"/>
          <w:sz w:val="20"/>
          <w:u w:val="none"/>
        </w:rPr>
      </w:pPr>
      <w:r w:rsidRPr="00F83BFF">
        <w:rPr>
          <w:rFonts w:ascii="Arial" w:hAnsi="Arial" w:cs="Arial"/>
          <w:sz w:val="20"/>
          <w:u w:val="none"/>
        </w:rPr>
        <w:t xml:space="preserve">The PBO raised concerns </w:t>
      </w:r>
      <w:r w:rsidR="00DB1F01" w:rsidRPr="00F83BFF">
        <w:rPr>
          <w:rFonts w:ascii="Arial" w:hAnsi="Arial" w:cs="Arial"/>
          <w:sz w:val="20"/>
          <w:u w:val="none"/>
        </w:rPr>
        <w:t xml:space="preserve">on </w:t>
      </w:r>
      <w:r w:rsidRPr="00F83BFF">
        <w:rPr>
          <w:rFonts w:ascii="Arial" w:hAnsi="Arial" w:cs="Arial"/>
          <w:sz w:val="20"/>
          <w:u w:val="none"/>
        </w:rPr>
        <w:t xml:space="preserve">the approach suggested </w:t>
      </w:r>
      <w:r w:rsidR="00BA04D6" w:rsidRPr="00F83BFF">
        <w:rPr>
          <w:rFonts w:ascii="Arial" w:hAnsi="Arial" w:cs="Arial"/>
          <w:sz w:val="20"/>
          <w:u w:val="none"/>
        </w:rPr>
        <w:t xml:space="preserve">that </w:t>
      </w:r>
      <w:r w:rsidRPr="00F83BFF">
        <w:rPr>
          <w:rFonts w:ascii="Arial" w:hAnsi="Arial" w:cs="Arial"/>
          <w:sz w:val="20"/>
          <w:u w:val="none"/>
        </w:rPr>
        <w:t>may further constrain economic activity, erode the social fabric and escalate risks to societal and economic stability. Also, progress on structural reforms has been slow and the advertised economic benefits of these reforms will most likely not be seen or felt over the medium</w:t>
      </w:r>
      <w:r w:rsidR="00BA04D6" w:rsidRPr="00F83BFF">
        <w:rPr>
          <w:rFonts w:ascii="Arial" w:hAnsi="Arial" w:cs="Arial"/>
          <w:sz w:val="20"/>
          <w:u w:val="none"/>
        </w:rPr>
        <w:t>-</w:t>
      </w:r>
      <w:r w:rsidRPr="00F83BFF">
        <w:rPr>
          <w:rFonts w:ascii="Arial" w:hAnsi="Arial" w:cs="Arial"/>
          <w:sz w:val="20"/>
          <w:u w:val="none"/>
        </w:rPr>
        <w:t>term</w:t>
      </w:r>
      <w:r w:rsidR="00BA04D6" w:rsidRPr="00F83BFF">
        <w:rPr>
          <w:rFonts w:ascii="Arial" w:hAnsi="Arial" w:cs="Arial"/>
          <w:sz w:val="20"/>
          <w:u w:val="none"/>
        </w:rPr>
        <w:t>, the PBO said</w:t>
      </w:r>
      <w:r w:rsidRPr="00F83BFF">
        <w:rPr>
          <w:rFonts w:ascii="Arial" w:hAnsi="Arial" w:cs="Arial"/>
          <w:sz w:val="20"/>
          <w:u w:val="none"/>
        </w:rPr>
        <w:t xml:space="preserve">. </w:t>
      </w:r>
      <w:r w:rsidR="003A13DF" w:rsidRPr="00F83BFF">
        <w:rPr>
          <w:rFonts w:ascii="Arial" w:hAnsi="Arial" w:cs="Arial"/>
          <w:sz w:val="20"/>
          <w:u w:val="none"/>
        </w:rPr>
        <w:t>It said that t</w:t>
      </w:r>
      <w:r w:rsidRPr="00F83BFF">
        <w:rPr>
          <w:rFonts w:ascii="Arial" w:hAnsi="Arial" w:cs="Arial"/>
          <w:sz w:val="20"/>
          <w:u w:val="none"/>
        </w:rPr>
        <w:t>he growth rates forecast in the 2022 MTBPS mean</w:t>
      </w:r>
      <w:r w:rsidR="003A13DF" w:rsidRPr="00F83BFF">
        <w:rPr>
          <w:rFonts w:ascii="Arial" w:hAnsi="Arial" w:cs="Arial"/>
          <w:sz w:val="20"/>
          <w:u w:val="none"/>
        </w:rPr>
        <w:t>t</w:t>
      </w:r>
      <w:r w:rsidRPr="00F83BFF">
        <w:rPr>
          <w:rFonts w:ascii="Arial" w:hAnsi="Arial" w:cs="Arial"/>
          <w:sz w:val="20"/>
          <w:u w:val="none"/>
        </w:rPr>
        <w:t xml:space="preserve"> that real GDP per capita and real investment </w:t>
      </w:r>
      <w:r w:rsidR="005740B4" w:rsidRPr="00F83BFF">
        <w:rPr>
          <w:rFonts w:ascii="Arial" w:hAnsi="Arial" w:cs="Arial"/>
          <w:sz w:val="20"/>
          <w:u w:val="none"/>
        </w:rPr>
        <w:t>are</w:t>
      </w:r>
      <w:r w:rsidRPr="00F83BFF">
        <w:rPr>
          <w:rFonts w:ascii="Arial" w:hAnsi="Arial" w:cs="Arial"/>
          <w:sz w:val="20"/>
          <w:u w:val="none"/>
        </w:rPr>
        <w:t xml:space="preserve"> expected</w:t>
      </w:r>
      <w:r w:rsidR="00B40DEA" w:rsidRPr="00F83BFF">
        <w:rPr>
          <w:rFonts w:ascii="Arial" w:hAnsi="Arial" w:cs="Arial"/>
          <w:sz w:val="20"/>
          <w:u w:val="none"/>
        </w:rPr>
        <w:t xml:space="preserve"> to remain below </w:t>
      </w:r>
      <w:r w:rsidR="0010405E" w:rsidRPr="00F83BFF">
        <w:rPr>
          <w:rFonts w:ascii="Arial" w:hAnsi="Arial" w:cs="Arial"/>
          <w:sz w:val="20"/>
          <w:u w:val="none"/>
        </w:rPr>
        <w:t xml:space="preserve">the </w:t>
      </w:r>
      <w:r w:rsidR="00B40DEA" w:rsidRPr="00F83BFF">
        <w:rPr>
          <w:rFonts w:ascii="Arial" w:hAnsi="Arial" w:cs="Arial"/>
          <w:sz w:val="20"/>
          <w:u w:val="none"/>
        </w:rPr>
        <w:t>2019 (pre-COVID</w:t>
      </w:r>
      <w:r w:rsidRPr="00F83BFF">
        <w:rPr>
          <w:rFonts w:ascii="Arial" w:hAnsi="Arial" w:cs="Arial"/>
          <w:sz w:val="20"/>
          <w:u w:val="none"/>
        </w:rPr>
        <w:t>-19) levels in 2025.</w:t>
      </w:r>
    </w:p>
    <w:p w:rsidR="007D0E30" w:rsidRPr="00F83BFF" w:rsidRDefault="00B40DEA" w:rsidP="00F83BFF">
      <w:pPr>
        <w:pStyle w:val="Heading3"/>
        <w:spacing w:before="0" w:line="240" w:lineRule="auto"/>
        <w:rPr>
          <w:rFonts w:ascii="Arial" w:hAnsi="Arial" w:cs="Arial"/>
          <w:sz w:val="20"/>
          <w:u w:val="none"/>
        </w:rPr>
      </w:pPr>
      <w:r w:rsidRPr="00F83BFF">
        <w:rPr>
          <w:rFonts w:ascii="Arial" w:hAnsi="Arial" w:cs="Arial"/>
          <w:sz w:val="20"/>
          <w:u w:val="none"/>
        </w:rPr>
        <w:t>The PBO submitted that f</w:t>
      </w:r>
      <w:r w:rsidR="006174B7" w:rsidRPr="00F83BFF">
        <w:rPr>
          <w:rFonts w:ascii="Arial" w:hAnsi="Arial" w:cs="Arial"/>
          <w:sz w:val="20"/>
          <w:u w:val="none"/>
        </w:rPr>
        <w:t xml:space="preserve">iscal consolidation has contributed to increased anger and heightened </w:t>
      </w:r>
      <w:r w:rsidR="00AA6338" w:rsidRPr="00F83BFF">
        <w:rPr>
          <w:rFonts w:ascii="Arial" w:hAnsi="Arial" w:cs="Arial"/>
          <w:sz w:val="20"/>
          <w:u w:val="none"/>
        </w:rPr>
        <w:t xml:space="preserve">the </w:t>
      </w:r>
      <w:r w:rsidR="006174B7" w:rsidRPr="00F83BFF">
        <w:rPr>
          <w:rFonts w:ascii="Arial" w:hAnsi="Arial" w:cs="Arial"/>
          <w:sz w:val="20"/>
          <w:u w:val="none"/>
        </w:rPr>
        <w:t>risk</w:t>
      </w:r>
      <w:r w:rsidR="00AA6338" w:rsidRPr="00F83BFF">
        <w:rPr>
          <w:rFonts w:ascii="Arial" w:hAnsi="Arial" w:cs="Arial"/>
          <w:sz w:val="20"/>
          <w:u w:val="none"/>
        </w:rPr>
        <w:t>s</w:t>
      </w:r>
      <w:r w:rsidR="006174B7" w:rsidRPr="00F83BFF">
        <w:rPr>
          <w:rFonts w:ascii="Arial" w:hAnsi="Arial" w:cs="Arial"/>
          <w:sz w:val="20"/>
          <w:u w:val="none"/>
        </w:rPr>
        <w:t xml:space="preserve"> of social and economic instability</w:t>
      </w:r>
      <w:r w:rsidR="00AA6338" w:rsidRPr="00F83BFF">
        <w:rPr>
          <w:rFonts w:ascii="Arial" w:hAnsi="Arial" w:cs="Arial"/>
          <w:sz w:val="20"/>
          <w:u w:val="none"/>
        </w:rPr>
        <w:t>,</w:t>
      </w:r>
      <w:r w:rsidR="006174B7" w:rsidRPr="00F83BFF">
        <w:rPr>
          <w:rFonts w:ascii="Arial" w:hAnsi="Arial" w:cs="Arial"/>
          <w:sz w:val="20"/>
          <w:u w:val="none"/>
        </w:rPr>
        <w:t xml:space="preserve"> as inadequate spending on social support and infrastructure has exacerbated </w:t>
      </w:r>
      <w:r w:rsidR="00AA6338" w:rsidRPr="00F83BFF">
        <w:rPr>
          <w:rFonts w:ascii="Arial" w:hAnsi="Arial" w:cs="Arial"/>
          <w:sz w:val="20"/>
          <w:u w:val="none"/>
        </w:rPr>
        <w:t>poverty</w:t>
      </w:r>
      <w:r w:rsidR="006174B7" w:rsidRPr="00F83BFF">
        <w:rPr>
          <w:rFonts w:ascii="Arial" w:hAnsi="Arial" w:cs="Arial"/>
          <w:sz w:val="20"/>
          <w:u w:val="none"/>
        </w:rPr>
        <w:t xml:space="preserve">. It </w:t>
      </w:r>
      <w:r w:rsidR="00AA6338" w:rsidRPr="00F83BFF">
        <w:rPr>
          <w:rFonts w:ascii="Arial" w:hAnsi="Arial" w:cs="Arial"/>
          <w:sz w:val="20"/>
          <w:u w:val="none"/>
        </w:rPr>
        <w:t xml:space="preserve">said that fiscal consolidation </w:t>
      </w:r>
      <w:r w:rsidR="006174B7" w:rsidRPr="00F83BFF">
        <w:rPr>
          <w:rFonts w:ascii="Arial" w:hAnsi="Arial" w:cs="Arial"/>
          <w:sz w:val="20"/>
          <w:u w:val="none"/>
        </w:rPr>
        <w:t>ignores potentially huge costs to the economy and government</w:t>
      </w:r>
      <w:r w:rsidR="00B06715" w:rsidRPr="00F83BFF">
        <w:rPr>
          <w:rFonts w:ascii="Arial" w:hAnsi="Arial" w:cs="Arial"/>
          <w:sz w:val="20"/>
          <w:u w:val="none"/>
        </w:rPr>
        <w:t>,</w:t>
      </w:r>
      <w:r w:rsidR="006174B7" w:rsidRPr="00F83BFF">
        <w:rPr>
          <w:rFonts w:ascii="Arial" w:hAnsi="Arial" w:cs="Arial"/>
          <w:sz w:val="20"/>
          <w:u w:val="none"/>
        </w:rPr>
        <w:t xml:space="preserve"> associated with serious risks, </w:t>
      </w:r>
      <w:r w:rsidR="005740B4" w:rsidRPr="00F83BFF">
        <w:rPr>
          <w:rFonts w:ascii="Arial" w:hAnsi="Arial" w:cs="Arial"/>
          <w:sz w:val="20"/>
          <w:u w:val="none"/>
        </w:rPr>
        <w:t>such as the COVID</w:t>
      </w:r>
      <w:r w:rsidR="006174B7" w:rsidRPr="00F83BFF">
        <w:rPr>
          <w:rFonts w:ascii="Arial" w:hAnsi="Arial" w:cs="Arial"/>
          <w:sz w:val="20"/>
          <w:u w:val="none"/>
        </w:rPr>
        <w:t>-19 pandemic. Other serious risks include geopolitical conflict, domestic protests, climate change events, the possibility of new pandemics, global recession and the heightened likelihood of a financial and economic crisis.</w:t>
      </w:r>
    </w:p>
    <w:p w:rsidR="00686FD4" w:rsidRPr="00F83BFF" w:rsidRDefault="00B40DEA" w:rsidP="00F83BFF">
      <w:pPr>
        <w:pStyle w:val="Heading3"/>
        <w:spacing w:before="0" w:line="240" w:lineRule="auto"/>
        <w:rPr>
          <w:rFonts w:ascii="Arial" w:hAnsi="Arial" w:cs="Arial"/>
          <w:sz w:val="20"/>
          <w:u w:val="none"/>
        </w:rPr>
      </w:pPr>
      <w:r w:rsidRPr="00F83BFF">
        <w:rPr>
          <w:rFonts w:ascii="Arial" w:hAnsi="Arial" w:cs="Arial"/>
          <w:sz w:val="20"/>
          <w:u w:val="none"/>
        </w:rPr>
        <w:t>According to the PBO, t</w:t>
      </w:r>
      <w:r w:rsidR="006174B7" w:rsidRPr="00F83BFF">
        <w:rPr>
          <w:rFonts w:ascii="Arial" w:hAnsi="Arial" w:cs="Arial"/>
          <w:sz w:val="20"/>
          <w:u w:val="none"/>
        </w:rPr>
        <w:t>he poor performance of the South Africa</w:t>
      </w:r>
      <w:r w:rsidR="005740B4" w:rsidRPr="00F83BFF">
        <w:rPr>
          <w:rFonts w:ascii="Arial" w:hAnsi="Arial" w:cs="Arial"/>
          <w:sz w:val="20"/>
          <w:u w:val="none"/>
        </w:rPr>
        <w:t>n</w:t>
      </w:r>
      <w:r w:rsidR="006174B7" w:rsidRPr="00F83BFF">
        <w:rPr>
          <w:rFonts w:ascii="Arial" w:hAnsi="Arial" w:cs="Arial"/>
          <w:sz w:val="20"/>
          <w:u w:val="none"/>
        </w:rPr>
        <w:t xml:space="preserve"> e</w:t>
      </w:r>
      <w:r w:rsidRPr="00F83BFF">
        <w:rPr>
          <w:rFonts w:ascii="Arial" w:hAnsi="Arial" w:cs="Arial"/>
          <w:sz w:val="20"/>
          <w:u w:val="none"/>
        </w:rPr>
        <w:t>conomy, which predates the COVID</w:t>
      </w:r>
      <w:r w:rsidR="006174B7" w:rsidRPr="00F83BFF">
        <w:rPr>
          <w:rFonts w:ascii="Arial" w:hAnsi="Arial" w:cs="Arial"/>
          <w:sz w:val="20"/>
          <w:u w:val="none"/>
        </w:rPr>
        <w:t xml:space="preserve">-19 crisis, is due to the interrelated structural weaknesses of the economy and </w:t>
      </w:r>
      <w:r w:rsidR="006174B7" w:rsidRPr="00F83BFF">
        <w:rPr>
          <w:rFonts w:ascii="Arial" w:hAnsi="Arial" w:cs="Arial"/>
          <w:sz w:val="20"/>
          <w:u w:val="none"/>
        </w:rPr>
        <w:lastRenderedPageBreak/>
        <w:t>extreme levels of unemployment</w:t>
      </w:r>
      <w:r w:rsidR="00F71788" w:rsidRPr="00F83BFF">
        <w:rPr>
          <w:rFonts w:ascii="Arial" w:hAnsi="Arial" w:cs="Arial"/>
          <w:sz w:val="20"/>
          <w:u w:val="none"/>
        </w:rPr>
        <w:t>,</w:t>
      </w:r>
      <w:r w:rsidR="006174B7" w:rsidRPr="00F83BFF">
        <w:rPr>
          <w:rFonts w:ascii="Arial" w:hAnsi="Arial" w:cs="Arial"/>
          <w:sz w:val="20"/>
          <w:u w:val="none"/>
        </w:rPr>
        <w:t xml:space="preserve"> poverty and inequality. A path towards fiscal sustainability should </w:t>
      </w:r>
      <w:r w:rsidR="00F64385" w:rsidRPr="00F83BFF">
        <w:rPr>
          <w:rFonts w:ascii="Arial" w:hAnsi="Arial" w:cs="Arial"/>
          <w:sz w:val="20"/>
          <w:u w:val="none"/>
        </w:rPr>
        <w:t>consider</w:t>
      </w:r>
      <w:r w:rsidR="006174B7" w:rsidRPr="00F83BFF">
        <w:rPr>
          <w:rFonts w:ascii="Arial" w:hAnsi="Arial" w:cs="Arial"/>
          <w:sz w:val="20"/>
          <w:u w:val="none"/>
        </w:rPr>
        <w:t xml:space="preserve"> these underlying dynamics of the economy</w:t>
      </w:r>
      <w:r w:rsidR="00F64385" w:rsidRPr="00F83BFF">
        <w:rPr>
          <w:rFonts w:ascii="Arial" w:hAnsi="Arial" w:cs="Arial"/>
          <w:sz w:val="20"/>
          <w:u w:val="none"/>
        </w:rPr>
        <w:t>, the PBO said</w:t>
      </w:r>
      <w:r w:rsidR="006174B7" w:rsidRPr="00F83BFF">
        <w:rPr>
          <w:rFonts w:ascii="Arial" w:hAnsi="Arial" w:cs="Arial"/>
          <w:sz w:val="20"/>
          <w:u w:val="none"/>
        </w:rPr>
        <w:t xml:space="preserve">. It should ensure resources for measures to transform the structure of the economy and to alleviate suffering associated with the triple challenges faced. </w:t>
      </w:r>
      <w:r w:rsidR="00686FD4" w:rsidRPr="00F83BFF">
        <w:rPr>
          <w:rFonts w:ascii="Arial" w:hAnsi="Arial" w:cs="Arial"/>
          <w:sz w:val="20"/>
          <w:u w:val="none"/>
        </w:rPr>
        <w:t xml:space="preserve">The PBO said that </w:t>
      </w:r>
      <w:r w:rsidR="006174B7" w:rsidRPr="00F83BFF">
        <w:rPr>
          <w:rFonts w:ascii="Arial" w:hAnsi="Arial" w:cs="Arial"/>
          <w:sz w:val="20"/>
          <w:u w:val="none"/>
        </w:rPr>
        <w:t>S</w:t>
      </w:r>
      <w:r w:rsidRPr="00F83BFF">
        <w:rPr>
          <w:rFonts w:ascii="Arial" w:hAnsi="Arial" w:cs="Arial"/>
          <w:sz w:val="20"/>
          <w:u w:val="none"/>
        </w:rPr>
        <w:t xml:space="preserve">outh </w:t>
      </w:r>
      <w:r w:rsidR="006174B7" w:rsidRPr="00F83BFF">
        <w:rPr>
          <w:rFonts w:ascii="Arial" w:hAnsi="Arial" w:cs="Arial"/>
          <w:sz w:val="20"/>
          <w:u w:val="none"/>
        </w:rPr>
        <w:t>A</w:t>
      </w:r>
      <w:r w:rsidRPr="00F83BFF">
        <w:rPr>
          <w:rFonts w:ascii="Arial" w:hAnsi="Arial" w:cs="Arial"/>
          <w:sz w:val="20"/>
          <w:u w:val="none"/>
        </w:rPr>
        <w:t>frica</w:t>
      </w:r>
      <w:r w:rsidR="006174B7" w:rsidRPr="00F83BFF">
        <w:rPr>
          <w:rFonts w:ascii="Arial" w:hAnsi="Arial" w:cs="Arial"/>
          <w:sz w:val="20"/>
          <w:u w:val="none"/>
        </w:rPr>
        <w:t xml:space="preserve">’s extreme inequality is a great constraint on economic growth and development.  </w:t>
      </w:r>
    </w:p>
    <w:p w:rsidR="000D50E8" w:rsidRPr="00F83BFF" w:rsidRDefault="00B40DEA" w:rsidP="00F83BFF">
      <w:pPr>
        <w:pStyle w:val="Heading3"/>
        <w:spacing w:before="0" w:line="240" w:lineRule="auto"/>
        <w:rPr>
          <w:rFonts w:ascii="Arial" w:hAnsi="Arial" w:cs="Arial"/>
          <w:sz w:val="20"/>
          <w:u w:val="none"/>
        </w:rPr>
      </w:pPr>
      <w:r w:rsidRPr="00F83BFF">
        <w:rPr>
          <w:rFonts w:ascii="Arial" w:hAnsi="Arial" w:cs="Arial"/>
          <w:sz w:val="20"/>
          <w:u w:val="none"/>
        </w:rPr>
        <w:t xml:space="preserve">The PBO </w:t>
      </w:r>
      <w:r w:rsidR="00686FD4" w:rsidRPr="00F83BFF">
        <w:rPr>
          <w:rFonts w:ascii="Arial" w:hAnsi="Arial" w:cs="Arial"/>
          <w:sz w:val="20"/>
          <w:u w:val="none"/>
        </w:rPr>
        <w:t xml:space="preserve">said it </w:t>
      </w:r>
      <w:r w:rsidRPr="00F83BFF">
        <w:rPr>
          <w:rFonts w:ascii="Arial" w:hAnsi="Arial" w:cs="Arial"/>
          <w:sz w:val="20"/>
          <w:u w:val="none"/>
        </w:rPr>
        <w:t>believes that f</w:t>
      </w:r>
      <w:r w:rsidR="006174B7" w:rsidRPr="00F83BFF">
        <w:rPr>
          <w:rFonts w:ascii="Arial" w:hAnsi="Arial" w:cs="Arial"/>
          <w:sz w:val="20"/>
          <w:u w:val="none"/>
        </w:rPr>
        <w:t xml:space="preserve">iscal policy can be a more effective tool for redistribution in an unequal society and increased social security can provide automatic stabilisers to risks and shocks. </w:t>
      </w:r>
      <w:r w:rsidRPr="00F83BFF">
        <w:rPr>
          <w:rFonts w:ascii="Arial" w:hAnsi="Arial" w:cs="Arial"/>
          <w:sz w:val="20"/>
          <w:u w:val="none"/>
        </w:rPr>
        <w:t>It</w:t>
      </w:r>
      <w:r w:rsidR="000D50E8" w:rsidRPr="00F83BFF">
        <w:rPr>
          <w:rFonts w:ascii="Arial" w:hAnsi="Arial" w:cs="Arial"/>
          <w:sz w:val="20"/>
          <w:u w:val="none"/>
        </w:rPr>
        <w:t xml:space="preserve"> added that fiscal policy </w:t>
      </w:r>
      <w:r w:rsidRPr="00F83BFF">
        <w:rPr>
          <w:rFonts w:ascii="Arial" w:hAnsi="Arial" w:cs="Arial"/>
          <w:sz w:val="20"/>
          <w:u w:val="none"/>
        </w:rPr>
        <w:t xml:space="preserve">can </w:t>
      </w:r>
      <w:r w:rsidR="006174B7" w:rsidRPr="00F83BFF">
        <w:rPr>
          <w:rFonts w:ascii="Arial" w:hAnsi="Arial" w:cs="Arial"/>
          <w:sz w:val="20"/>
          <w:u w:val="none"/>
        </w:rPr>
        <w:t>also support economic development and transformation, including diversified, value-adding industrialis</w:t>
      </w:r>
      <w:r w:rsidRPr="00F83BFF">
        <w:rPr>
          <w:rFonts w:ascii="Arial" w:hAnsi="Arial" w:cs="Arial"/>
          <w:sz w:val="20"/>
          <w:u w:val="none"/>
        </w:rPr>
        <w:t>ation and productive services</w:t>
      </w:r>
      <w:r w:rsidR="006174B7" w:rsidRPr="00F83BFF">
        <w:rPr>
          <w:rFonts w:ascii="Arial" w:hAnsi="Arial" w:cs="Arial"/>
          <w:sz w:val="20"/>
          <w:u w:val="none"/>
        </w:rPr>
        <w:t>.</w:t>
      </w:r>
    </w:p>
    <w:p w:rsidR="00842851" w:rsidRPr="00F83BFF" w:rsidRDefault="006174B7" w:rsidP="00F83BFF">
      <w:pPr>
        <w:pStyle w:val="Heading3"/>
        <w:spacing w:before="0" w:line="240" w:lineRule="auto"/>
        <w:rPr>
          <w:rFonts w:ascii="Arial" w:hAnsi="Arial" w:cs="Arial"/>
          <w:sz w:val="20"/>
          <w:u w:val="none"/>
        </w:rPr>
      </w:pPr>
      <w:r w:rsidRPr="00F83BFF">
        <w:rPr>
          <w:rFonts w:ascii="Arial" w:hAnsi="Arial" w:cs="Arial"/>
          <w:sz w:val="20"/>
          <w:u w:val="none"/>
        </w:rPr>
        <w:t>The PBO cautioned that the combination of higher interest rates and volatile cross-border capital flows poses serious risks to macroeconomic stability in developing countries</w:t>
      </w:r>
      <w:r w:rsidR="000F2D63" w:rsidRPr="00F83BFF">
        <w:rPr>
          <w:rFonts w:ascii="Arial" w:hAnsi="Arial" w:cs="Arial"/>
          <w:sz w:val="20"/>
          <w:u w:val="none"/>
        </w:rPr>
        <w:t xml:space="preserve">. It said that </w:t>
      </w:r>
      <w:r w:rsidRPr="00F83BFF">
        <w:rPr>
          <w:rFonts w:ascii="Arial" w:hAnsi="Arial" w:cs="Arial"/>
          <w:sz w:val="20"/>
          <w:u w:val="none"/>
        </w:rPr>
        <w:t xml:space="preserve">maintaining a primary fiscal surplus and reducing government debt will not improve South Africa’s current account situation and prospects for growth because of the overwhelming impact and vulnerability to destabilizing, volatile short-term foreign capital flows and the high interest rate regime </w:t>
      </w:r>
      <w:r w:rsidR="00842851" w:rsidRPr="00F83BFF">
        <w:rPr>
          <w:rFonts w:ascii="Arial" w:hAnsi="Arial" w:cs="Arial"/>
          <w:sz w:val="20"/>
          <w:u w:val="none"/>
        </w:rPr>
        <w:t>that this</w:t>
      </w:r>
      <w:r w:rsidRPr="00F83BFF">
        <w:rPr>
          <w:rFonts w:ascii="Arial" w:hAnsi="Arial" w:cs="Arial"/>
          <w:sz w:val="20"/>
          <w:u w:val="none"/>
        </w:rPr>
        <w:t xml:space="preserve"> requires</w:t>
      </w:r>
      <w:r w:rsidR="00B40DEA" w:rsidRPr="00F83BFF">
        <w:rPr>
          <w:rFonts w:ascii="Arial" w:hAnsi="Arial" w:cs="Arial"/>
          <w:sz w:val="20"/>
          <w:u w:val="none"/>
        </w:rPr>
        <w:t>.</w:t>
      </w:r>
      <w:r w:rsidRPr="00F83BFF">
        <w:rPr>
          <w:rFonts w:ascii="Arial" w:hAnsi="Arial" w:cs="Arial"/>
          <w:sz w:val="20"/>
          <w:u w:val="none"/>
        </w:rPr>
        <w:t xml:space="preserve"> </w:t>
      </w:r>
    </w:p>
    <w:p w:rsidR="00632096" w:rsidRPr="00F83BFF" w:rsidRDefault="00B40DEA" w:rsidP="00F83BFF">
      <w:pPr>
        <w:pStyle w:val="Heading3"/>
        <w:spacing w:before="0" w:line="240" w:lineRule="auto"/>
        <w:rPr>
          <w:rFonts w:ascii="Arial" w:hAnsi="Arial" w:cs="Arial"/>
          <w:sz w:val="20"/>
          <w:u w:val="none"/>
        </w:rPr>
      </w:pPr>
      <w:r w:rsidRPr="00F83BFF">
        <w:rPr>
          <w:rFonts w:ascii="Arial" w:hAnsi="Arial" w:cs="Arial"/>
          <w:sz w:val="20"/>
          <w:u w:val="none"/>
        </w:rPr>
        <w:t xml:space="preserve">The PBO raised </w:t>
      </w:r>
      <w:r w:rsidR="00842851" w:rsidRPr="00F83BFF">
        <w:rPr>
          <w:rFonts w:ascii="Arial" w:hAnsi="Arial" w:cs="Arial"/>
          <w:sz w:val="20"/>
          <w:u w:val="none"/>
        </w:rPr>
        <w:t xml:space="preserve">further </w:t>
      </w:r>
      <w:r w:rsidRPr="00F83BFF">
        <w:rPr>
          <w:rFonts w:ascii="Arial" w:hAnsi="Arial" w:cs="Arial"/>
          <w:sz w:val="20"/>
          <w:u w:val="none"/>
        </w:rPr>
        <w:t xml:space="preserve">concerns that </w:t>
      </w:r>
      <w:r w:rsidR="006174B7" w:rsidRPr="00F83BFF">
        <w:rPr>
          <w:rFonts w:ascii="Arial" w:hAnsi="Arial" w:cs="Arial"/>
          <w:sz w:val="20"/>
          <w:u w:val="none"/>
        </w:rPr>
        <w:t>there is limited support for economic development in the 2022 MTBPS</w:t>
      </w:r>
      <w:r w:rsidR="00213F9E" w:rsidRPr="00F83BFF">
        <w:rPr>
          <w:rFonts w:ascii="Arial" w:hAnsi="Arial" w:cs="Arial"/>
          <w:sz w:val="20"/>
          <w:u w:val="none"/>
        </w:rPr>
        <w:t xml:space="preserve">. It </w:t>
      </w:r>
      <w:r w:rsidR="0082657B" w:rsidRPr="00F83BFF">
        <w:rPr>
          <w:rFonts w:ascii="Arial" w:hAnsi="Arial" w:cs="Arial"/>
          <w:sz w:val="20"/>
          <w:u w:val="none"/>
        </w:rPr>
        <w:t xml:space="preserve">submitted that </w:t>
      </w:r>
      <w:r w:rsidR="006174B7" w:rsidRPr="00F83BFF">
        <w:rPr>
          <w:rFonts w:ascii="Arial" w:hAnsi="Arial" w:cs="Arial"/>
          <w:sz w:val="20"/>
          <w:u w:val="none"/>
        </w:rPr>
        <w:t>efforts to fight inflation and reduce government debt levels will likely hurt small businesses and the poorest households much more than they help</w:t>
      </w:r>
      <w:r w:rsidR="0082657B" w:rsidRPr="00F83BFF">
        <w:rPr>
          <w:rFonts w:ascii="Arial" w:hAnsi="Arial" w:cs="Arial"/>
          <w:sz w:val="20"/>
          <w:u w:val="none"/>
        </w:rPr>
        <w:t xml:space="preserve">. It also said that </w:t>
      </w:r>
      <w:r w:rsidR="006174B7" w:rsidRPr="00F83BFF">
        <w:rPr>
          <w:rFonts w:ascii="Arial" w:hAnsi="Arial" w:cs="Arial"/>
          <w:sz w:val="20"/>
          <w:u w:val="none"/>
        </w:rPr>
        <w:t>a lack of state capacity to deliver infrastructure projects as well as the insufficient progress in addressing structural constraints do not bode well for the fixed investment outlook</w:t>
      </w:r>
      <w:r w:rsidR="003F2E64" w:rsidRPr="00F83BFF">
        <w:rPr>
          <w:rFonts w:ascii="Arial" w:hAnsi="Arial" w:cs="Arial"/>
          <w:sz w:val="20"/>
          <w:u w:val="none"/>
        </w:rPr>
        <w:t xml:space="preserve">. It added that </w:t>
      </w:r>
      <w:r w:rsidR="006174B7" w:rsidRPr="00F83BFF">
        <w:rPr>
          <w:rFonts w:ascii="Arial" w:hAnsi="Arial" w:cs="Arial"/>
          <w:sz w:val="20"/>
          <w:u w:val="none"/>
        </w:rPr>
        <w:t>the sectoral reforms will not reduce the high levels of economic concentration across most sectors of the economy, including financial</w:t>
      </w:r>
      <w:r w:rsidR="000165C8" w:rsidRPr="00F83BFF">
        <w:rPr>
          <w:rFonts w:ascii="Arial" w:hAnsi="Arial" w:cs="Arial"/>
          <w:sz w:val="20"/>
          <w:u w:val="none"/>
        </w:rPr>
        <w:t xml:space="preserve"> services. </w:t>
      </w:r>
    </w:p>
    <w:p w:rsidR="00B413F7" w:rsidRPr="00F83BFF" w:rsidRDefault="00687307" w:rsidP="00F83BFF">
      <w:pPr>
        <w:pStyle w:val="Heading3"/>
        <w:spacing w:before="0" w:line="240" w:lineRule="auto"/>
        <w:rPr>
          <w:rFonts w:ascii="Arial" w:hAnsi="Arial" w:cs="Arial"/>
          <w:sz w:val="20"/>
          <w:u w:val="none"/>
        </w:rPr>
      </w:pPr>
      <w:r w:rsidRPr="00F83BFF">
        <w:rPr>
          <w:rFonts w:ascii="Arial" w:hAnsi="Arial" w:cs="Arial"/>
          <w:sz w:val="20"/>
          <w:u w:val="none"/>
        </w:rPr>
        <w:t>The PBO recommend</w:t>
      </w:r>
      <w:r w:rsidR="00632096" w:rsidRPr="00F83BFF">
        <w:rPr>
          <w:rFonts w:ascii="Arial" w:hAnsi="Arial" w:cs="Arial"/>
          <w:sz w:val="20"/>
          <w:u w:val="none"/>
        </w:rPr>
        <w:t>ed that f</w:t>
      </w:r>
      <w:r w:rsidR="00711419" w:rsidRPr="00F83BFF">
        <w:rPr>
          <w:rFonts w:ascii="Arial" w:hAnsi="Arial" w:cs="Arial"/>
          <w:sz w:val="20"/>
          <w:u w:val="none"/>
        </w:rPr>
        <w:t xml:space="preserve">iscal policy and the fiscal framework </w:t>
      </w:r>
      <w:r w:rsidR="00BA32CB" w:rsidRPr="00F83BFF">
        <w:rPr>
          <w:rFonts w:ascii="Arial" w:hAnsi="Arial" w:cs="Arial"/>
          <w:sz w:val="20"/>
          <w:u w:val="none"/>
        </w:rPr>
        <w:t>must</w:t>
      </w:r>
      <w:r w:rsidR="00711419" w:rsidRPr="00F83BFF">
        <w:rPr>
          <w:rFonts w:ascii="Arial" w:hAnsi="Arial" w:cs="Arial"/>
          <w:sz w:val="20"/>
          <w:u w:val="none"/>
        </w:rPr>
        <w:t xml:space="preserve"> </w:t>
      </w:r>
      <w:r w:rsidR="00BA32CB" w:rsidRPr="00F83BFF">
        <w:rPr>
          <w:rFonts w:ascii="Arial" w:hAnsi="Arial" w:cs="Arial"/>
          <w:sz w:val="20"/>
          <w:u w:val="none"/>
        </w:rPr>
        <w:t>consider</w:t>
      </w:r>
      <w:r w:rsidR="00711419" w:rsidRPr="00F83BFF">
        <w:rPr>
          <w:rFonts w:ascii="Arial" w:hAnsi="Arial" w:cs="Arial"/>
          <w:sz w:val="20"/>
          <w:u w:val="none"/>
        </w:rPr>
        <w:t xml:space="preserve"> current socio-economic conditions, including the extreme levels of struct</w:t>
      </w:r>
      <w:r w:rsidR="00DD1A7B" w:rsidRPr="00F83BFF">
        <w:rPr>
          <w:rFonts w:ascii="Arial" w:hAnsi="Arial" w:cs="Arial"/>
          <w:sz w:val="20"/>
          <w:u w:val="none"/>
        </w:rPr>
        <w:t>ural unemployment, poverty and i</w:t>
      </w:r>
      <w:r w:rsidR="00711419" w:rsidRPr="00F83BFF">
        <w:rPr>
          <w:rFonts w:ascii="Arial" w:hAnsi="Arial" w:cs="Arial"/>
          <w:sz w:val="20"/>
          <w:u w:val="none"/>
        </w:rPr>
        <w:t>nvestment.</w:t>
      </w:r>
      <w:r w:rsidR="00BA32CB" w:rsidRPr="00F83BFF">
        <w:rPr>
          <w:rFonts w:ascii="Arial" w:hAnsi="Arial" w:cs="Arial"/>
          <w:sz w:val="20"/>
          <w:u w:val="none"/>
        </w:rPr>
        <w:t xml:space="preserve"> It said that f</w:t>
      </w:r>
      <w:r w:rsidR="000165C8" w:rsidRPr="00F83BFF">
        <w:rPr>
          <w:rFonts w:ascii="Arial" w:hAnsi="Arial" w:cs="Arial"/>
          <w:sz w:val="20"/>
          <w:u w:val="none"/>
        </w:rPr>
        <w:t>iscal sustainability should not narrowly focus on achieving budget surpluses and reducing government debt to GDP because decisions ab</w:t>
      </w:r>
      <w:r w:rsidR="005740B4" w:rsidRPr="00F83BFF">
        <w:rPr>
          <w:rFonts w:ascii="Arial" w:hAnsi="Arial" w:cs="Arial"/>
          <w:sz w:val="20"/>
          <w:u w:val="none"/>
        </w:rPr>
        <w:t>out the fiscal framework affect</w:t>
      </w:r>
      <w:r w:rsidR="000165C8" w:rsidRPr="00F83BFF">
        <w:rPr>
          <w:rFonts w:ascii="Arial" w:hAnsi="Arial" w:cs="Arial"/>
          <w:sz w:val="20"/>
          <w:u w:val="none"/>
        </w:rPr>
        <w:t xml:space="preserve"> broader societal and political s</w:t>
      </w:r>
      <w:r w:rsidR="00DD1A7B" w:rsidRPr="00F83BFF">
        <w:rPr>
          <w:rFonts w:ascii="Arial" w:hAnsi="Arial" w:cs="Arial"/>
          <w:sz w:val="20"/>
          <w:u w:val="none"/>
        </w:rPr>
        <w:t>tability.</w:t>
      </w:r>
      <w:r w:rsidR="001E5408" w:rsidRPr="00F83BFF">
        <w:rPr>
          <w:rFonts w:ascii="Arial" w:hAnsi="Arial" w:cs="Arial"/>
          <w:sz w:val="20"/>
          <w:u w:val="none"/>
        </w:rPr>
        <w:t xml:space="preserve"> </w:t>
      </w:r>
      <w:r w:rsidR="00B413F7" w:rsidRPr="00F83BFF">
        <w:rPr>
          <w:rFonts w:ascii="Arial" w:hAnsi="Arial" w:cs="Arial"/>
          <w:sz w:val="20"/>
          <w:u w:val="none"/>
        </w:rPr>
        <w:t>It said that t</w:t>
      </w:r>
      <w:r w:rsidR="000165C8" w:rsidRPr="00F83BFF">
        <w:rPr>
          <w:rFonts w:ascii="Arial" w:hAnsi="Arial" w:cs="Arial"/>
          <w:sz w:val="20"/>
          <w:u w:val="none"/>
        </w:rPr>
        <w:t>he approach where the government narrowly focuses on fiscal ratios and points to structural reforms to increase economic growth that it hopes will trickle down to struggling households should be replaced by an approach where fiscal policy is seen as an important part of a policy toolbox to transform the economy</w:t>
      </w:r>
      <w:r w:rsidR="00DD1A7B" w:rsidRPr="00F83BFF">
        <w:rPr>
          <w:rFonts w:ascii="Arial" w:hAnsi="Arial" w:cs="Arial"/>
          <w:sz w:val="20"/>
          <w:u w:val="none"/>
        </w:rPr>
        <w:t>.</w:t>
      </w:r>
    </w:p>
    <w:p w:rsidR="004E3A49" w:rsidRPr="00F83BFF" w:rsidRDefault="00B413F7" w:rsidP="00F83BFF">
      <w:pPr>
        <w:pStyle w:val="Heading3"/>
        <w:spacing w:before="0" w:line="240" w:lineRule="auto"/>
        <w:rPr>
          <w:rFonts w:ascii="Arial" w:hAnsi="Arial" w:cs="Arial"/>
          <w:sz w:val="20"/>
          <w:u w:val="none"/>
        </w:rPr>
      </w:pPr>
      <w:r w:rsidRPr="00F83BFF">
        <w:rPr>
          <w:rFonts w:ascii="Arial" w:hAnsi="Arial" w:cs="Arial"/>
          <w:sz w:val="20"/>
          <w:u w:val="none"/>
        </w:rPr>
        <w:t>The PBO submitted that t</w:t>
      </w:r>
      <w:r w:rsidR="006174B7" w:rsidRPr="00F83BFF">
        <w:rPr>
          <w:rFonts w:ascii="Arial" w:hAnsi="Arial" w:cs="Arial"/>
          <w:sz w:val="20"/>
          <w:u w:val="none"/>
        </w:rPr>
        <w:t>ax is an important tool that can be used for the redistribution of income and wealth</w:t>
      </w:r>
      <w:r w:rsidR="00A9143F" w:rsidRPr="00F83BFF">
        <w:rPr>
          <w:rFonts w:ascii="Arial" w:hAnsi="Arial" w:cs="Arial"/>
          <w:sz w:val="20"/>
          <w:u w:val="none"/>
        </w:rPr>
        <w:t>. It said that g</w:t>
      </w:r>
      <w:r w:rsidR="006174B7" w:rsidRPr="00F83BFF">
        <w:rPr>
          <w:rFonts w:ascii="Arial" w:hAnsi="Arial" w:cs="Arial"/>
          <w:sz w:val="20"/>
          <w:u w:val="none"/>
        </w:rPr>
        <w:t xml:space="preserve">reater domestic resource mobilisation can be achieved through further progressive tax reforms, leveraging development finance, and non-traditional monetary policy </w:t>
      </w:r>
      <w:r w:rsidR="00312067" w:rsidRPr="00F83BFF">
        <w:rPr>
          <w:rFonts w:ascii="Arial" w:hAnsi="Arial" w:cs="Arial"/>
          <w:sz w:val="20"/>
          <w:u w:val="none"/>
        </w:rPr>
        <w:t>tools</w:t>
      </w:r>
      <w:r w:rsidR="006174B7" w:rsidRPr="00F83BFF">
        <w:rPr>
          <w:rFonts w:ascii="Arial" w:hAnsi="Arial" w:cs="Arial"/>
          <w:sz w:val="20"/>
          <w:u w:val="none"/>
        </w:rPr>
        <w:t>, amongst others</w:t>
      </w:r>
      <w:r w:rsidR="00DD1A7B" w:rsidRPr="00F83BFF">
        <w:rPr>
          <w:rFonts w:ascii="Arial" w:hAnsi="Arial" w:cs="Arial"/>
          <w:sz w:val="20"/>
          <w:u w:val="none"/>
        </w:rPr>
        <w:t>.</w:t>
      </w:r>
      <w:r w:rsidR="00D25D37" w:rsidRPr="00F83BFF">
        <w:rPr>
          <w:rFonts w:ascii="Arial" w:hAnsi="Arial" w:cs="Arial"/>
          <w:sz w:val="20"/>
          <w:u w:val="none"/>
        </w:rPr>
        <w:t xml:space="preserve"> It submitted that t</w:t>
      </w:r>
      <w:r w:rsidR="00DD1A7B" w:rsidRPr="00F83BFF">
        <w:rPr>
          <w:rFonts w:ascii="Arial" w:hAnsi="Arial" w:cs="Arial"/>
          <w:sz w:val="20"/>
          <w:u w:val="none"/>
        </w:rPr>
        <w:t xml:space="preserve">ax proposals </w:t>
      </w:r>
      <w:r w:rsidR="006174B7" w:rsidRPr="00F83BFF">
        <w:rPr>
          <w:rFonts w:ascii="Arial" w:hAnsi="Arial" w:cs="Arial"/>
          <w:sz w:val="20"/>
          <w:u w:val="none"/>
        </w:rPr>
        <w:t>taxing excess profits of companies that have used the inflation upsurge to profit and make</w:t>
      </w:r>
      <w:r w:rsidR="00487254" w:rsidRPr="00F83BFF">
        <w:rPr>
          <w:rFonts w:ascii="Arial" w:hAnsi="Arial" w:cs="Arial"/>
          <w:sz w:val="20"/>
          <w:u w:val="none"/>
        </w:rPr>
        <w:t xml:space="preserve"> </w:t>
      </w:r>
      <w:r w:rsidR="006174B7" w:rsidRPr="00F83BFF">
        <w:rPr>
          <w:rFonts w:ascii="Arial" w:hAnsi="Arial" w:cs="Arial"/>
          <w:sz w:val="20"/>
          <w:u w:val="none"/>
        </w:rPr>
        <w:t>up for COVID-19 losses should be considered</w:t>
      </w:r>
      <w:r w:rsidR="00D25D37" w:rsidRPr="00F83BFF">
        <w:rPr>
          <w:rFonts w:ascii="Arial" w:hAnsi="Arial" w:cs="Arial"/>
          <w:sz w:val="20"/>
          <w:u w:val="none"/>
        </w:rPr>
        <w:t>, and</w:t>
      </w:r>
      <w:r w:rsidR="006174B7" w:rsidRPr="00F83BFF">
        <w:rPr>
          <w:rFonts w:ascii="Arial" w:hAnsi="Arial" w:cs="Arial"/>
          <w:sz w:val="20"/>
          <w:u w:val="none"/>
        </w:rPr>
        <w:t xml:space="preserve"> windfall taxes for sectors benefiting f</w:t>
      </w:r>
      <w:r w:rsidR="00711419" w:rsidRPr="00F83BFF">
        <w:rPr>
          <w:rFonts w:ascii="Arial" w:hAnsi="Arial" w:cs="Arial"/>
          <w:sz w:val="20"/>
          <w:u w:val="none"/>
        </w:rPr>
        <w:t>rom the commodity price boom</w:t>
      </w:r>
      <w:r w:rsidR="00DD1A7B" w:rsidRPr="00F83BFF">
        <w:rPr>
          <w:rFonts w:ascii="Arial" w:hAnsi="Arial" w:cs="Arial"/>
          <w:sz w:val="20"/>
          <w:u w:val="none"/>
        </w:rPr>
        <w:t xml:space="preserve">. </w:t>
      </w:r>
      <w:r w:rsidR="00AE297A" w:rsidRPr="00F83BFF">
        <w:rPr>
          <w:rFonts w:ascii="Arial" w:hAnsi="Arial" w:cs="Arial"/>
          <w:sz w:val="20"/>
          <w:u w:val="none"/>
        </w:rPr>
        <w:t>It said that f</w:t>
      </w:r>
      <w:r w:rsidR="006174B7" w:rsidRPr="00F83BFF">
        <w:rPr>
          <w:rFonts w:ascii="Arial" w:hAnsi="Arial" w:cs="Arial"/>
          <w:sz w:val="20"/>
          <w:u w:val="none"/>
        </w:rPr>
        <w:t xml:space="preserve">ailure to reach a global consensus on international tax reform for digital tax leads to a situation where South Africa should unilaterally introduce domestic taxes on </w:t>
      </w:r>
      <w:r w:rsidR="0010405E" w:rsidRPr="00F83BFF">
        <w:rPr>
          <w:rFonts w:ascii="Arial" w:hAnsi="Arial" w:cs="Arial"/>
          <w:sz w:val="20"/>
          <w:u w:val="none"/>
        </w:rPr>
        <w:t xml:space="preserve">the </w:t>
      </w:r>
      <w:r w:rsidR="006174B7" w:rsidRPr="00F83BFF">
        <w:rPr>
          <w:rFonts w:ascii="Arial" w:hAnsi="Arial" w:cs="Arial"/>
          <w:sz w:val="20"/>
          <w:u w:val="none"/>
        </w:rPr>
        <w:t>digital economy</w:t>
      </w:r>
      <w:r w:rsidR="00DD1A7B" w:rsidRPr="00F83BFF">
        <w:rPr>
          <w:rFonts w:ascii="Arial" w:hAnsi="Arial" w:cs="Arial"/>
          <w:sz w:val="20"/>
          <w:u w:val="none"/>
        </w:rPr>
        <w:t xml:space="preserve">. There is a need for </w:t>
      </w:r>
      <w:r w:rsidR="00427BA1" w:rsidRPr="00F83BFF">
        <w:rPr>
          <w:rFonts w:ascii="Arial" w:hAnsi="Arial" w:cs="Arial"/>
          <w:sz w:val="20"/>
          <w:u w:val="none"/>
        </w:rPr>
        <w:t xml:space="preserve">a </w:t>
      </w:r>
      <w:r w:rsidR="00DD1A7B" w:rsidRPr="00F83BFF">
        <w:rPr>
          <w:rFonts w:ascii="Arial" w:hAnsi="Arial" w:cs="Arial"/>
          <w:sz w:val="20"/>
          <w:u w:val="none"/>
        </w:rPr>
        <w:t>s</w:t>
      </w:r>
      <w:r w:rsidR="006174B7" w:rsidRPr="00F83BFF">
        <w:rPr>
          <w:rFonts w:ascii="Arial" w:hAnsi="Arial" w:cs="Arial"/>
          <w:sz w:val="20"/>
          <w:u w:val="none"/>
        </w:rPr>
        <w:t xml:space="preserve">ystematic review of tax incentives and </w:t>
      </w:r>
      <w:r w:rsidR="00427BA1" w:rsidRPr="00F83BFF">
        <w:rPr>
          <w:rFonts w:ascii="Arial" w:hAnsi="Arial" w:cs="Arial"/>
          <w:sz w:val="20"/>
          <w:u w:val="none"/>
        </w:rPr>
        <w:t xml:space="preserve">the </w:t>
      </w:r>
      <w:r w:rsidR="006174B7" w:rsidRPr="00F83BFF">
        <w:rPr>
          <w:rFonts w:ascii="Arial" w:hAnsi="Arial" w:cs="Arial"/>
          <w:sz w:val="20"/>
          <w:u w:val="none"/>
        </w:rPr>
        <w:t>remo</w:t>
      </w:r>
      <w:r w:rsidR="006E3269" w:rsidRPr="00F83BFF">
        <w:rPr>
          <w:rFonts w:ascii="Arial" w:hAnsi="Arial" w:cs="Arial"/>
          <w:sz w:val="20"/>
          <w:u w:val="none"/>
        </w:rPr>
        <w:t>val of ineffective incentives and p</w:t>
      </w:r>
      <w:r w:rsidR="006174B7" w:rsidRPr="00F83BFF">
        <w:rPr>
          <w:rFonts w:ascii="Arial" w:hAnsi="Arial" w:cs="Arial"/>
          <w:sz w:val="20"/>
          <w:u w:val="none"/>
        </w:rPr>
        <w:t>ro</w:t>
      </w:r>
      <w:r w:rsidR="00711419" w:rsidRPr="00F83BFF">
        <w:rPr>
          <w:rFonts w:ascii="Arial" w:hAnsi="Arial" w:cs="Arial"/>
          <w:sz w:val="20"/>
          <w:u w:val="none"/>
        </w:rPr>
        <w:t>gressive measures to tax wealth.</w:t>
      </w:r>
    </w:p>
    <w:p w:rsidR="000165C8" w:rsidRPr="00F83BFF" w:rsidRDefault="004E3A49" w:rsidP="00F83BFF">
      <w:pPr>
        <w:pStyle w:val="Heading3"/>
        <w:spacing w:before="0" w:line="240" w:lineRule="auto"/>
        <w:rPr>
          <w:rFonts w:ascii="Arial" w:hAnsi="Arial" w:cs="Arial"/>
          <w:sz w:val="20"/>
          <w:u w:val="none"/>
        </w:rPr>
      </w:pPr>
      <w:r w:rsidRPr="00F83BFF">
        <w:rPr>
          <w:rFonts w:ascii="Arial" w:hAnsi="Arial" w:cs="Arial"/>
          <w:sz w:val="20"/>
          <w:u w:val="none"/>
        </w:rPr>
        <w:t xml:space="preserve">The PBO welcome the </w:t>
      </w:r>
      <w:r w:rsidR="000165C8" w:rsidRPr="00F83BFF">
        <w:rPr>
          <w:rFonts w:ascii="Arial" w:hAnsi="Arial" w:cs="Arial"/>
          <w:sz w:val="20"/>
          <w:u w:val="none"/>
        </w:rPr>
        <w:t xml:space="preserve">extension of the SRD grant </w:t>
      </w:r>
      <w:r w:rsidR="009116C0" w:rsidRPr="00F83BFF">
        <w:rPr>
          <w:rFonts w:ascii="Arial" w:hAnsi="Arial" w:cs="Arial"/>
          <w:sz w:val="20"/>
          <w:u w:val="none"/>
        </w:rPr>
        <w:t xml:space="preserve">and added that </w:t>
      </w:r>
      <w:r w:rsidR="0010405E" w:rsidRPr="00F83BFF">
        <w:rPr>
          <w:rFonts w:ascii="Arial" w:hAnsi="Arial" w:cs="Arial"/>
          <w:sz w:val="20"/>
          <w:u w:val="none"/>
        </w:rPr>
        <w:t xml:space="preserve">the </w:t>
      </w:r>
      <w:r w:rsidR="000165C8" w:rsidRPr="00F83BFF">
        <w:rPr>
          <w:rFonts w:ascii="Arial" w:hAnsi="Arial" w:cs="Arial"/>
          <w:sz w:val="20"/>
          <w:u w:val="none"/>
        </w:rPr>
        <w:t>MTBPS</w:t>
      </w:r>
      <w:r w:rsidR="009116C0" w:rsidRPr="00F83BFF">
        <w:rPr>
          <w:rFonts w:ascii="Arial" w:hAnsi="Arial" w:cs="Arial"/>
          <w:sz w:val="20"/>
          <w:u w:val="none"/>
        </w:rPr>
        <w:t xml:space="preserve"> should have addressed the </w:t>
      </w:r>
      <w:r w:rsidR="00FA1BD7" w:rsidRPr="00F83BFF">
        <w:rPr>
          <w:rFonts w:ascii="Arial" w:hAnsi="Arial" w:cs="Arial"/>
          <w:sz w:val="20"/>
          <w:u w:val="none"/>
        </w:rPr>
        <w:t>issue of basic income grant</w:t>
      </w:r>
      <w:r w:rsidR="006E3269" w:rsidRPr="00F83BFF">
        <w:rPr>
          <w:rFonts w:ascii="Arial" w:hAnsi="Arial" w:cs="Arial"/>
          <w:sz w:val="20"/>
          <w:u w:val="none"/>
        </w:rPr>
        <w:t>.</w:t>
      </w:r>
    </w:p>
    <w:p w:rsidR="00FA1BD7" w:rsidRPr="00F83BFF" w:rsidRDefault="00FA1BD7" w:rsidP="00F83BFF">
      <w:pPr>
        <w:pStyle w:val="FirstPara"/>
        <w:spacing w:before="0" w:line="240" w:lineRule="auto"/>
        <w:jc w:val="left"/>
        <w:rPr>
          <w:rFonts w:ascii="Arial" w:hAnsi="Arial" w:cs="Arial"/>
          <w:sz w:val="20"/>
        </w:rPr>
      </w:pPr>
    </w:p>
    <w:p w:rsidR="00E30BE8" w:rsidRPr="00F83BFF" w:rsidRDefault="00E30BE8" w:rsidP="00F83BFF">
      <w:pPr>
        <w:pStyle w:val="Heading2"/>
        <w:spacing w:before="0" w:line="240" w:lineRule="auto"/>
        <w:rPr>
          <w:rFonts w:ascii="Arial" w:hAnsi="Arial" w:cs="Arial"/>
          <w:sz w:val="20"/>
        </w:rPr>
      </w:pPr>
      <w:r w:rsidRPr="00F83BFF">
        <w:rPr>
          <w:rFonts w:ascii="Arial" w:hAnsi="Arial" w:cs="Arial"/>
          <w:sz w:val="20"/>
        </w:rPr>
        <w:t>SUBMISSIONS BY STAKEHOLDERS</w:t>
      </w:r>
    </w:p>
    <w:p w:rsidR="00122C21" w:rsidRPr="00F83BFF" w:rsidRDefault="00122C21" w:rsidP="00F83BFF">
      <w:pPr>
        <w:pStyle w:val="MainPara"/>
        <w:spacing w:before="0" w:line="240" w:lineRule="auto"/>
        <w:ind w:left="0" w:firstLine="576"/>
        <w:jc w:val="left"/>
        <w:rPr>
          <w:rFonts w:ascii="Arial" w:hAnsi="Arial" w:cs="Arial"/>
          <w:sz w:val="20"/>
        </w:rPr>
      </w:pPr>
    </w:p>
    <w:p w:rsidR="00E43A3C" w:rsidRPr="00F83BFF" w:rsidRDefault="00E43A3C" w:rsidP="00F83BFF">
      <w:pPr>
        <w:pStyle w:val="MainPara"/>
        <w:spacing w:before="0" w:line="240" w:lineRule="auto"/>
        <w:ind w:left="0" w:firstLine="576"/>
        <w:jc w:val="left"/>
        <w:rPr>
          <w:rFonts w:ascii="Arial" w:hAnsi="Arial" w:cs="Arial"/>
          <w:b/>
          <w:bCs/>
          <w:sz w:val="20"/>
        </w:rPr>
      </w:pPr>
      <w:r w:rsidRPr="00F83BFF">
        <w:rPr>
          <w:rFonts w:ascii="Arial" w:hAnsi="Arial" w:cs="Arial"/>
          <w:b/>
          <w:bCs/>
          <w:sz w:val="20"/>
        </w:rPr>
        <w:t>COSATU</w:t>
      </w:r>
    </w:p>
    <w:p w:rsidR="00F63C50" w:rsidRPr="00F83BFF" w:rsidRDefault="0010405E" w:rsidP="00F83BFF">
      <w:pPr>
        <w:pStyle w:val="Heading3"/>
        <w:spacing w:before="0" w:line="240" w:lineRule="auto"/>
        <w:rPr>
          <w:rFonts w:ascii="Arial" w:hAnsi="Arial" w:cs="Arial"/>
          <w:sz w:val="20"/>
          <w:u w:val="none"/>
        </w:rPr>
      </w:pPr>
      <w:r w:rsidRPr="00F83BFF">
        <w:rPr>
          <w:rFonts w:ascii="Arial" w:hAnsi="Arial" w:cs="Arial"/>
          <w:sz w:val="20"/>
          <w:u w:val="none"/>
          <w:lang w:val="en-US"/>
        </w:rPr>
        <w:t xml:space="preserve">COSATI said that it was </w:t>
      </w:r>
      <w:r w:rsidR="00E43A3C" w:rsidRPr="00F83BFF">
        <w:rPr>
          <w:rFonts w:ascii="Arial" w:hAnsi="Arial" w:cs="Arial"/>
          <w:sz w:val="20"/>
          <w:u w:val="none"/>
          <w:lang w:val="en-US"/>
        </w:rPr>
        <w:t>deeply distressed that the M</w:t>
      </w:r>
      <w:r w:rsidRPr="00F83BFF">
        <w:rPr>
          <w:rFonts w:ascii="Arial" w:hAnsi="Arial" w:cs="Arial"/>
          <w:sz w:val="20"/>
          <w:u w:val="none"/>
          <w:lang w:val="en-US"/>
        </w:rPr>
        <w:t xml:space="preserve">TBPS </w:t>
      </w:r>
      <w:r w:rsidR="00E43A3C" w:rsidRPr="00F83BFF">
        <w:rPr>
          <w:rFonts w:ascii="Arial" w:hAnsi="Arial" w:cs="Arial"/>
          <w:sz w:val="20"/>
          <w:u w:val="none"/>
          <w:lang w:val="en-US"/>
        </w:rPr>
        <w:t xml:space="preserve">did not provide a clear plan or road map for South Africa to address its many massive challenges. These range from a staggering 44% general and 60% youth unemployment rate, an economy in recession and struggling to recover from Covid-19, </w:t>
      </w:r>
      <w:r w:rsidRPr="00F83BFF">
        <w:rPr>
          <w:rFonts w:ascii="Arial" w:hAnsi="Arial" w:cs="Arial"/>
          <w:sz w:val="20"/>
          <w:u w:val="none"/>
          <w:lang w:val="en-US"/>
        </w:rPr>
        <w:t xml:space="preserve">the </w:t>
      </w:r>
      <w:r w:rsidR="002602E5" w:rsidRPr="00F83BFF">
        <w:rPr>
          <w:rFonts w:ascii="Arial" w:hAnsi="Arial" w:cs="Arial"/>
          <w:sz w:val="20"/>
          <w:u w:val="none"/>
          <w:lang w:val="en-US"/>
        </w:rPr>
        <w:t>state bleeding billions</w:t>
      </w:r>
      <w:r w:rsidR="00E43A3C" w:rsidRPr="00F83BFF">
        <w:rPr>
          <w:rFonts w:ascii="Arial" w:hAnsi="Arial" w:cs="Arial"/>
          <w:sz w:val="20"/>
          <w:u w:val="none"/>
          <w:lang w:val="en-US"/>
        </w:rPr>
        <w:t xml:space="preserve"> to corruption and wasteful expenditure, Eskom struggling to provide reliable and affordable energy, Transnet and PRASA ravaged by cable theft, </w:t>
      </w:r>
      <w:r w:rsidR="00E43A3C" w:rsidRPr="00F83BFF">
        <w:rPr>
          <w:rFonts w:ascii="Arial" w:hAnsi="Arial" w:cs="Arial"/>
          <w:color w:val="303030"/>
          <w:sz w:val="20"/>
          <w:u w:val="none"/>
        </w:rPr>
        <w:t xml:space="preserve">and the July 2021 violence and the March 2022 floods.  </w:t>
      </w:r>
    </w:p>
    <w:p w:rsidR="00F63C50" w:rsidRPr="00F83BFF" w:rsidRDefault="002602E5" w:rsidP="00F83BFF">
      <w:pPr>
        <w:pStyle w:val="Heading3"/>
        <w:spacing w:before="0" w:line="240" w:lineRule="auto"/>
        <w:rPr>
          <w:rFonts w:ascii="Arial" w:hAnsi="Arial" w:cs="Arial"/>
          <w:sz w:val="20"/>
          <w:u w:val="none"/>
        </w:rPr>
      </w:pPr>
      <w:r w:rsidRPr="00F83BFF">
        <w:rPr>
          <w:rFonts w:ascii="Arial" w:hAnsi="Arial" w:cs="Arial"/>
          <w:color w:val="303030"/>
          <w:sz w:val="20"/>
          <w:u w:val="none"/>
        </w:rPr>
        <w:t xml:space="preserve">COSATU submitted that </w:t>
      </w:r>
      <w:r w:rsidR="00E43A3C" w:rsidRPr="00F83BFF">
        <w:rPr>
          <w:rFonts w:ascii="Arial" w:hAnsi="Arial" w:cs="Arial"/>
          <w:color w:val="303030"/>
          <w:sz w:val="20"/>
          <w:u w:val="none"/>
        </w:rPr>
        <w:t xml:space="preserve">there was little in the MTBPS that gave hope to workers and the nation that government has things under control and we can see the economy growing, jobs being created and the state rebuilt. </w:t>
      </w:r>
      <w:r w:rsidR="00E43A3C" w:rsidRPr="00F83BFF">
        <w:rPr>
          <w:rFonts w:ascii="Arial" w:hAnsi="Arial" w:cs="Arial"/>
          <w:sz w:val="20"/>
          <w:u w:val="none"/>
          <w:lang w:val="en-US"/>
        </w:rPr>
        <w:t xml:space="preserve">Workers looked forward to hearing decisive action from government and were left disappointed on many fronts.  </w:t>
      </w:r>
    </w:p>
    <w:p w:rsidR="00F63C50" w:rsidRPr="00F83BFF" w:rsidRDefault="000C2FBB" w:rsidP="00F83BFF">
      <w:pPr>
        <w:pStyle w:val="Heading3"/>
        <w:spacing w:before="0" w:line="240" w:lineRule="auto"/>
        <w:rPr>
          <w:rFonts w:ascii="Arial" w:hAnsi="Arial" w:cs="Arial"/>
          <w:sz w:val="20"/>
          <w:u w:val="none"/>
        </w:rPr>
      </w:pPr>
      <w:r w:rsidRPr="00F83BFF">
        <w:rPr>
          <w:rFonts w:ascii="Arial" w:hAnsi="Arial" w:cs="Arial"/>
          <w:sz w:val="20"/>
          <w:u w:val="none"/>
          <w:lang w:val="en-US"/>
        </w:rPr>
        <w:t xml:space="preserve">COSATU said that </w:t>
      </w:r>
      <w:r w:rsidR="00E43A3C" w:rsidRPr="00F83BFF">
        <w:rPr>
          <w:rFonts w:ascii="Arial" w:hAnsi="Arial" w:cs="Arial"/>
          <w:sz w:val="20"/>
          <w:u w:val="none"/>
          <w:lang w:val="en-US"/>
        </w:rPr>
        <w:t xml:space="preserve">Government needs to ramp up the fight against corruption, including by reversing the head count decline in the SAPS, filling key vacancies in the NPA, empowering </w:t>
      </w:r>
      <w:r w:rsidR="00E43A3C" w:rsidRPr="00F83BFF">
        <w:rPr>
          <w:rFonts w:ascii="Arial" w:hAnsi="Arial" w:cs="Arial"/>
          <w:sz w:val="20"/>
          <w:u w:val="none"/>
          <w:lang w:val="en-US"/>
        </w:rPr>
        <w:lastRenderedPageBreak/>
        <w:t>SARS to undertake lifestyle audits of politicians, senior state managers and high wealth individuals.</w:t>
      </w:r>
    </w:p>
    <w:p w:rsidR="00F63C50" w:rsidRPr="00F83BFF" w:rsidRDefault="00E43A3C" w:rsidP="00F83BFF">
      <w:pPr>
        <w:pStyle w:val="Heading3"/>
        <w:spacing w:before="0" w:line="240" w:lineRule="auto"/>
        <w:rPr>
          <w:rFonts w:ascii="Arial" w:hAnsi="Arial" w:cs="Arial"/>
          <w:sz w:val="20"/>
          <w:u w:val="none"/>
        </w:rPr>
      </w:pPr>
      <w:r w:rsidRPr="00F83BFF">
        <w:rPr>
          <w:rFonts w:ascii="Arial" w:hAnsi="Arial" w:cs="Arial"/>
          <w:color w:val="303030"/>
          <w:sz w:val="20"/>
          <w:u w:val="none"/>
        </w:rPr>
        <w:t>Most worryingly</w:t>
      </w:r>
      <w:r w:rsidR="0026136F" w:rsidRPr="00F83BFF">
        <w:rPr>
          <w:rFonts w:ascii="Arial" w:hAnsi="Arial" w:cs="Arial"/>
          <w:color w:val="303030"/>
          <w:sz w:val="20"/>
          <w:u w:val="none"/>
        </w:rPr>
        <w:t>, COSATU,</w:t>
      </w:r>
      <w:r w:rsidRPr="00F83BFF">
        <w:rPr>
          <w:rFonts w:ascii="Arial" w:hAnsi="Arial" w:cs="Arial"/>
          <w:color w:val="303030"/>
          <w:sz w:val="20"/>
          <w:u w:val="none"/>
        </w:rPr>
        <w:t xml:space="preserve"> </w:t>
      </w:r>
      <w:r w:rsidR="0026136F" w:rsidRPr="00F83BFF">
        <w:rPr>
          <w:rFonts w:ascii="Arial" w:hAnsi="Arial" w:cs="Arial"/>
          <w:color w:val="303030"/>
          <w:sz w:val="20"/>
          <w:u w:val="none"/>
        </w:rPr>
        <w:t>G</w:t>
      </w:r>
      <w:r w:rsidRPr="00F83BFF">
        <w:rPr>
          <w:rFonts w:ascii="Arial" w:hAnsi="Arial" w:cs="Arial"/>
          <w:color w:val="303030"/>
          <w:sz w:val="20"/>
          <w:u w:val="none"/>
        </w:rPr>
        <w:t>overnment continue</w:t>
      </w:r>
      <w:r w:rsidR="0026136F" w:rsidRPr="00F83BFF">
        <w:rPr>
          <w:rFonts w:ascii="Arial" w:hAnsi="Arial" w:cs="Arial"/>
          <w:color w:val="303030"/>
          <w:sz w:val="20"/>
          <w:u w:val="none"/>
        </w:rPr>
        <w:t>s</w:t>
      </w:r>
      <w:r w:rsidRPr="00F83BFF">
        <w:rPr>
          <w:rFonts w:ascii="Arial" w:hAnsi="Arial" w:cs="Arial"/>
          <w:color w:val="303030"/>
          <w:sz w:val="20"/>
          <w:u w:val="none"/>
        </w:rPr>
        <w:t xml:space="preserve"> to pursue its focus on reducing the debt by allowing public servants’ wages to be eroded by inflation and allocating below inflation increases and thus cuts in real terms to key public services that workers and the economy depend upon.  </w:t>
      </w:r>
      <w:r w:rsidR="0026136F" w:rsidRPr="00F83BFF">
        <w:rPr>
          <w:rFonts w:ascii="Arial" w:hAnsi="Arial" w:cs="Arial"/>
          <w:color w:val="303030"/>
          <w:sz w:val="20"/>
          <w:u w:val="none"/>
        </w:rPr>
        <w:t xml:space="preserve">It said that </w:t>
      </w:r>
      <w:r w:rsidRPr="00F83BFF">
        <w:rPr>
          <w:rFonts w:ascii="Arial" w:hAnsi="Arial" w:cs="Arial"/>
          <w:color w:val="303030"/>
          <w:sz w:val="20"/>
          <w:u w:val="none"/>
        </w:rPr>
        <w:t>Government continues to outsource the bill for state capture and corruption to public servants.  The MTBPS provided no plans to reverse the rapid decline in the head count ratio for nurses, doctors, teachers and police officers.</w:t>
      </w:r>
    </w:p>
    <w:p w:rsidR="00F63C50" w:rsidRPr="00F83BFF" w:rsidRDefault="0026136F" w:rsidP="00F83BFF">
      <w:pPr>
        <w:pStyle w:val="Heading3"/>
        <w:spacing w:before="0" w:line="240" w:lineRule="auto"/>
        <w:rPr>
          <w:rFonts w:ascii="Arial" w:hAnsi="Arial" w:cs="Arial"/>
          <w:sz w:val="20"/>
          <w:u w:val="none"/>
        </w:rPr>
      </w:pPr>
      <w:r w:rsidRPr="00F83BFF">
        <w:rPr>
          <w:rFonts w:ascii="Arial" w:hAnsi="Arial" w:cs="Arial"/>
          <w:color w:val="303030"/>
          <w:sz w:val="20"/>
          <w:u w:val="none"/>
        </w:rPr>
        <w:t>COSATU said that t</w:t>
      </w:r>
      <w:r w:rsidR="00E43A3C" w:rsidRPr="00F83BFF">
        <w:rPr>
          <w:rFonts w:ascii="Arial" w:hAnsi="Arial" w:cs="Arial"/>
          <w:color w:val="303030"/>
          <w:sz w:val="20"/>
          <w:u w:val="none"/>
        </w:rPr>
        <w:t xml:space="preserve">here was little that spoke to how </w:t>
      </w:r>
      <w:r w:rsidRPr="00F83BFF">
        <w:rPr>
          <w:rFonts w:ascii="Arial" w:hAnsi="Arial" w:cs="Arial"/>
          <w:color w:val="303030"/>
          <w:sz w:val="20"/>
          <w:u w:val="none"/>
        </w:rPr>
        <w:t>G</w:t>
      </w:r>
      <w:r w:rsidR="00E43A3C" w:rsidRPr="00F83BFF">
        <w:rPr>
          <w:rFonts w:ascii="Arial" w:hAnsi="Arial" w:cs="Arial"/>
          <w:color w:val="303030"/>
          <w:sz w:val="20"/>
          <w:u w:val="none"/>
        </w:rPr>
        <w:t>overnment is tackling corruption, ending wasteful expenditure or rebuilding key S</w:t>
      </w:r>
      <w:r w:rsidRPr="00F83BFF">
        <w:rPr>
          <w:rFonts w:ascii="Arial" w:hAnsi="Arial" w:cs="Arial"/>
          <w:color w:val="303030"/>
          <w:sz w:val="20"/>
          <w:u w:val="none"/>
        </w:rPr>
        <w:t>OEs</w:t>
      </w:r>
      <w:r w:rsidR="00E43A3C" w:rsidRPr="00F83BFF">
        <w:rPr>
          <w:rFonts w:ascii="Arial" w:hAnsi="Arial" w:cs="Arial"/>
          <w:color w:val="303030"/>
          <w:sz w:val="20"/>
          <w:u w:val="none"/>
        </w:rPr>
        <w:t>. </w:t>
      </w:r>
      <w:r w:rsidRPr="00F83BFF">
        <w:rPr>
          <w:rFonts w:ascii="Arial" w:hAnsi="Arial" w:cs="Arial"/>
          <w:color w:val="303030"/>
          <w:sz w:val="20"/>
          <w:u w:val="none"/>
        </w:rPr>
        <w:t>It said that t</w:t>
      </w:r>
      <w:r w:rsidR="00E43A3C" w:rsidRPr="00F83BFF">
        <w:rPr>
          <w:rFonts w:ascii="Arial" w:hAnsi="Arial" w:cs="Arial"/>
          <w:color w:val="303030"/>
          <w:sz w:val="20"/>
          <w:u w:val="none"/>
        </w:rPr>
        <w:t>he failure by the NPA to meet even 20% of its annual targets halfway through the financial year should set off alarm bells for everyone.</w:t>
      </w:r>
    </w:p>
    <w:p w:rsidR="00F63C50" w:rsidRPr="00F83BFF" w:rsidRDefault="00E43A3C" w:rsidP="00F83BFF">
      <w:pPr>
        <w:pStyle w:val="Heading3"/>
        <w:spacing w:before="0" w:line="240" w:lineRule="auto"/>
        <w:rPr>
          <w:rFonts w:ascii="Arial" w:hAnsi="Arial" w:cs="Arial"/>
          <w:sz w:val="20"/>
          <w:u w:val="none"/>
        </w:rPr>
      </w:pPr>
      <w:r w:rsidRPr="00F83BFF">
        <w:rPr>
          <w:rFonts w:ascii="Arial" w:hAnsi="Arial" w:cs="Arial"/>
          <w:color w:val="303030"/>
          <w:sz w:val="20"/>
          <w:u w:val="none"/>
        </w:rPr>
        <w:t xml:space="preserve">Halfway through the financial year, </w:t>
      </w:r>
      <w:r w:rsidR="0026136F" w:rsidRPr="00F83BFF">
        <w:rPr>
          <w:rFonts w:ascii="Arial" w:hAnsi="Arial" w:cs="Arial"/>
          <w:color w:val="303030"/>
          <w:sz w:val="20"/>
          <w:u w:val="none"/>
        </w:rPr>
        <w:t xml:space="preserve">COSATU said, </w:t>
      </w:r>
      <w:r w:rsidRPr="00F83BFF">
        <w:rPr>
          <w:rFonts w:ascii="Arial" w:hAnsi="Arial" w:cs="Arial"/>
          <w:color w:val="303030"/>
          <w:sz w:val="20"/>
          <w:u w:val="none"/>
        </w:rPr>
        <w:t xml:space="preserve">it is deplorable how far behind many key departments are in meeting their annual targets.  </w:t>
      </w:r>
      <w:r w:rsidR="0026136F" w:rsidRPr="00F83BFF">
        <w:rPr>
          <w:rFonts w:ascii="Arial" w:hAnsi="Arial" w:cs="Arial"/>
          <w:color w:val="303030"/>
          <w:sz w:val="20"/>
          <w:u w:val="none"/>
        </w:rPr>
        <w:t>It said that t</w:t>
      </w:r>
      <w:r w:rsidRPr="00F83BFF">
        <w:rPr>
          <w:rFonts w:ascii="Arial" w:hAnsi="Arial" w:cs="Arial"/>
          <w:color w:val="303030"/>
          <w:sz w:val="20"/>
          <w:u w:val="none"/>
        </w:rPr>
        <w:t xml:space="preserve">he financial free fall of 90% of municipalities is well known, yet </w:t>
      </w:r>
      <w:r w:rsidR="0026136F" w:rsidRPr="00F83BFF">
        <w:rPr>
          <w:rFonts w:ascii="Arial" w:hAnsi="Arial" w:cs="Arial"/>
          <w:color w:val="303030"/>
          <w:sz w:val="20"/>
          <w:u w:val="none"/>
        </w:rPr>
        <w:t xml:space="preserve">there was </w:t>
      </w:r>
      <w:r w:rsidRPr="00F83BFF">
        <w:rPr>
          <w:rFonts w:ascii="Arial" w:hAnsi="Arial" w:cs="Arial"/>
          <w:color w:val="303030"/>
          <w:sz w:val="20"/>
          <w:u w:val="none"/>
        </w:rPr>
        <w:t>no sign of action by COGTA and SALGA in turning the state of local government around.</w:t>
      </w:r>
    </w:p>
    <w:p w:rsidR="00F63C50" w:rsidRPr="00F83BFF" w:rsidRDefault="00E43A3C" w:rsidP="00F83BFF">
      <w:pPr>
        <w:pStyle w:val="Heading3"/>
        <w:spacing w:before="0" w:line="240" w:lineRule="auto"/>
        <w:rPr>
          <w:rFonts w:ascii="Arial" w:hAnsi="Arial" w:cs="Arial"/>
          <w:sz w:val="20"/>
          <w:u w:val="none"/>
        </w:rPr>
      </w:pPr>
      <w:r w:rsidRPr="00F83BFF">
        <w:rPr>
          <w:rFonts w:ascii="Arial" w:hAnsi="Arial" w:cs="Arial"/>
          <w:color w:val="303030"/>
          <w:sz w:val="20"/>
          <w:u w:val="none"/>
        </w:rPr>
        <w:t>Whilst the overall thrust of the MTBPS was depressing, COSATU welcome</w:t>
      </w:r>
      <w:r w:rsidR="0026136F" w:rsidRPr="00F83BFF">
        <w:rPr>
          <w:rFonts w:ascii="Arial" w:hAnsi="Arial" w:cs="Arial"/>
          <w:color w:val="303030"/>
          <w:sz w:val="20"/>
          <w:u w:val="none"/>
        </w:rPr>
        <w:t>d</w:t>
      </w:r>
      <w:r w:rsidRPr="00F83BFF">
        <w:rPr>
          <w:rFonts w:ascii="Arial" w:hAnsi="Arial" w:cs="Arial"/>
          <w:color w:val="303030"/>
          <w:sz w:val="20"/>
          <w:u w:val="none"/>
        </w:rPr>
        <w:t xml:space="preserve"> its positive elements.  </w:t>
      </w:r>
      <w:r w:rsidR="0026136F" w:rsidRPr="00F83BFF">
        <w:rPr>
          <w:rFonts w:ascii="Arial" w:hAnsi="Arial" w:cs="Arial"/>
          <w:color w:val="303030"/>
          <w:sz w:val="20"/>
          <w:u w:val="none"/>
        </w:rPr>
        <w:t>It said that t</w:t>
      </w:r>
      <w:r w:rsidRPr="00F83BFF">
        <w:rPr>
          <w:rFonts w:ascii="Arial" w:hAnsi="Arial" w:cs="Arial"/>
          <w:color w:val="303030"/>
          <w:sz w:val="20"/>
          <w:u w:val="none"/>
        </w:rPr>
        <w:t>hese include the exten</w:t>
      </w:r>
      <w:r w:rsidR="0026136F" w:rsidRPr="00F83BFF">
        <w:rPr>
          <w:rFonts w:ascii="Arial" w:hAnsi="Arial" w:cs="Arial"/>
          <w:color w:val="303030"/>
          <w:sz w:val="20"/>
          <w:u w:val="none"/>
        </w:rPr>
        <w:t>sion of</w:t>
      </w:r>
      <w:r w:rsidRPr="00F83BFF">
        <w:rPr>
          <w:rFonts w:ascii="Arial" w:hAnsi="Arial" w:cs="Arial"/>
          <w:color w:val="303030"/>
          <w:sz w:val="20"/>
          <w:u w:val="none"/>
        </w:rPr>
        <w:t xml:space="preserve"> the SRD </w:t>
      </w:r>
      <w:r w:rsidR="0026136F" w:rsidRPr="00F83BFF">
        <w:rPr>
          <w:rFonts w:ascii="Arial" w:hAnsi="Arial" w:cs="Arial"/>
          <w:color w:val="303030"/>
          <w:sz w:val="20"/>
          <w:u w:val="none"/>
        </w:rPr>
        <w:t>g</w:t>
      </w:r>
      <w:r w:rsidRPr="00F83BFF">
        <w:rPr>
          <w:rFonts w:ascii="Arial" w:hAnsi="Arial" w:cs="Arial"/>
          <w:color w:val="303030"/>
          <w:sz w:val="20"/>
          <w:u w:val="none"/>
        </w:rPr>
        <w:t xml:space="preserve">rant until 2024, a commitment to relieve Eskom of up to 2/3 of its debt burden, additional funds to rebuild Transnet, relief for DENEL and ending of the E-Tolls saga.  COSATU </w:t>
      </w:r>
      <w:r w:rsidR="0026136F" w:rsidRPr="00F83BFF">
        <w:rPr>
          <w:rFonts w:ascii="Arial" w:hAnsi="Arial" w:cs="Arial"/>
          <w:color w:val="303030"/>
          <w:sz w:val="20"/>
          <w:u w:val="none"/>
        </w:rPr>
        <w:t xml:space="preserve">also </w:t>
      </w:r>
      <w:r w:rsidRPr="00F83BFF">
        <w:rPr>
          <w:rFonts w:ascii="Arial" w:hAnsi="Arial" w:cs="Arial"/>
          <w:color w:val="303030"/>
          <w:sz w:val="20"/>
          <w:u w:val="none"/>
        </w:rPr>
        <w:t>welcome</w:t>
      </w:r>
      <w:r w:rsidR="0026136F" w:rsidRPr="00F83BFF">
        <w:rPr>
          <w:rFonts w:ascii="Arial" w:hAnsi="Arial" w:cs="Arial"/>
          <w:color w:val="303030"/>
          <w:sz w:val="20"/>
          <w:u w:val="none"/>
        </w:rPr>
        <w:t>d</w:t>
      </w:r>
      <w:r w:rsidRPr="00F83BFF">
        <w:rPr>
          <w:rFonts w:ascii="Arial" w:hAnsi="Arial" w:cs="Arial"/>
          <w:color w:val="303030"/>
          <w:sz w:val="20"/>
          <w:u w:val="none"/>
        </w:rPr>
        <w:t xml:space="preserve"> </w:t>
      </w:r>
      <w:r w:rsidR="0026136F" w:rsidRPr="00F83BFF">
        <w:rPr>
          <w:rFonts w:ascii="Arial" w:hAnsi="Arial" w:cs="Arial"/>
          <w:color w:val="303030"/>
          <w:sz w:val="20"/>
          <w:u w:val="none"/>
        </w:rPr>
        <w:t>G</w:t>
      </w:r>
      <w:r w:rsidRPr="00F83BFF">
        <w:rPr>
          <w:rFonts w:ascii="Arial" w:hAnsi="Arial" w:cs="Arial"/>
          <w:color w:val="303030"/>
          <w:sz w:val="20"/>
          <w:u w:val="none"/>
        </w:rPr>
        <w:t>overnment’s agreeing to these COSATU demands.</w:t>
      </w:r>
    </w:p>
    <w:p w:rsidR="00E43A3C" w:rsidRPr="00F83BFF" w:rsidRDefault="0026136F" w:rsidP="00F83BFF">
      <w:pPr>
        <w:pStyle w:val="Heading3"/>
        <w:spacing w:before="0" w:line="240" w:lineRule="auto"/>
        <w:rPr>
          <w:rFonts w:ascii="Arial" w:hAnsi="Arial" w:cs="Arial"/>
          <w:color w:val="303030"/>
          <w:sz w:val="20"/>
          <w:u w:val="none"/>
        </w:rPr>
      </w:pPr>
      <w:r w:rsidRPr="00F83BFF">
        <w:rPr>
          <w:rFonts w:ascii="Arial" w:hAnsi="Arial" w:cs="Arial"/>
          <w:color w:val="303030"/>
          <w:sz w:val="20"/>
          <w:u w:val="none"/>
        </w:rPr>
        <w:t xml:space="preserve">COSATU said that </w:t>
      </w:r>
      <w:r w:rsidR="00E43A3C" w:rsidRPr="00F83BFF">
        <w:rPr>
          <w:rFonts w:ascii="Arial" w:hAnsi="Arial" w:cs="Arial"/>
          <w:color w:val="303030"/>
          <w:sz w:val="20"/>
          <w:u w:val="none"/>
        </w:rPr>
        <w:t xml:space="preserve">Government needs to table a bold and progressive budget in February that will provide relief for the poor, protect workers and public servants, tackle corruption and wasteful expenditure, clamp down on tax and customs evasion, support Eskom as well as Transnet and Metro Rail and other key SOEs, rebuild local government and restore quality public services, stimulate the economy and reduce unemployment.  </w:t>
      </w:r>
      <w:r w:rsidRPr="00F83BFF">
        <w:rPr>
          <w:rFonts w:ascii="Arial" w:hAnsi="Arial" w:cs="Arial"/>
          <w:color w:val="303030"/>
          <w:sz w:val="20"/>
          <w:u w:val="none"/>
        </w:rPr>
        <w:t xml:space="preserve">It said that the country </w:t>
      </w:r>
      <w:r w:rsidR="00E43A3C" w:rsidRPr="00F83BFF">
        <w:rPr>
          <w:rFonts w:ascii="Arial" w:hAnsi="Arial" w:cs="Arial"/>
          <w:color w:val="303030"/>
          <w:sz w:val="20"/>
          <w:u w:val="none"/>
        </w:rPr>
        <w:t>cannot afford to continue to run an economy on a wing and a prayer and expect things to change.</w:t>
      </w:r>
    </w:p>
    <w:p w:rsidR="006512E6" w:rsidRPr="00F83BFF" w:rsidRDefault="006512E6" w:rsidP="00F83BFF">
      <w:pPr>
        <w:pStyle w:val="FirstPara"/>
        <w:spacing w:before="0" w:line="240" w:lineRule="auto"/>
        <w:jc w:val="left"/>
        <w:rPr>
          <w:rFonts w:ascii="Arial" w:hAnsi="Arial" w:cs="Arial"/>
          <w:b/>
          <w:bCs/>
          <w:sz w:val="20"/>
        </w:rPr>
      </w:pPr>
    </w:p>
    <w:p w:rsidR="00E11C25" w:rsidRPr="00F83BFF" w:rsidRDefault="006512E6" w:rsidP="00F83BFF">
      <w:pPr>
        <w:pStyle w:val="FirstPara"/>
        <w:spacing w:before="0" w:line="240" w:lineRule="auto"/>
        <w:jc w:val="left"/>
        <w:rPr>
          <w:rFonts w:ascii="Arial" w:hAnsi="Arial" w:cs="Arial"/>
          <w:b/>
          <w:bCs/>
          <w:sz w:val="20"/>
        </w:rPr>
      </w:pPr>
      <w:r w:rsidRPr="00F83BFF">
        <w:rPr>
          <w:rFonts w:ascii="Arial" w:hAnsi="Arial" w:cs="Arial"/>
          <w:b/>
          <w:bCs/>
          <w:sz w:val="20"/>
        </w:rPr>
        <w:t>Budget Justice Coalition</w:t>
      </w:r>
      <w:r w:rsidR="00122C21" w:rsidRPr="00F83BFF">
        <w:rPr>
          <w:rFonts w:ascii="Arial" w:hAnsi="Arial" w:cs="Arial"/>
          <w:b/>
          <w:bCs/>
          <w:sz w:val="20"/>
        </w:rPr>
        <w:t xml:space="preserve"> (BJC)</w:t>
      </w:r>
    </w:p>
    <w:p w:rsidR="00767BDC" w:rsidRPr="00F83BFF" w:rsidRDefault="00E25248"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rPr>
        <w:lastRenderedPageBreak/>
        <w:t xml:space="preserve">The BJC is comprised of 22 civil society organisations, working across a number of sectors, with a common goal of advancing the progressive realisation of socio-economic rights in South Africa.  </w:t>
      </w:r>
    </w:p>
    <w:p w:rsidR="002A429B" w:rsidRPr="00F83BFF" w:rsidRDefault="00767BDC"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rPr>
        <w:t xml:space="preserve">It said that </w:t>
      </w:r>
      <w:r w:rsidR="00E25248" w:rsidRPr="00F83BFF">
        <w:rPr>
          <w:rFonts w:ascii="Arial" w:hAnsi="Arial" w:cs="Arial"/>
          <w:iCs/>
          <w:color w:val="000000" w:themeColor="text1"/>
          <w:sz w:val="20"/>
          <w:u w:val="none"/>
        </w:rPr>
        <w:t>Government continues to prioritise debt reduction over human rights and investments in state capacity.</w:t>
      </w:r>
      <w:r w:rsidRPr="00F83BFF">
        <w:rPr>
          <w:rFonts w:ascii="Arial" w:hAnsi="Arial" w:cs="Arial"/>
          <w:iCs/>
          <w:color w:val="000000" w:themeColor="text1"/>
          <w:sz w:val="20"/>
          <w:u w:val="none"/>
        </w:rPr>
        <w:t xml:space="preserve"> It said that the i</w:t>
      </w:r>
      <w:r w:rsidR="00E25248" w:rsidRPr="00F83BFF">
        <w:rPr>
          <w:rFonts w:ascii="Arial" w:hAnsi="Arial" w:cs="Arial"/>
          <w:color w:val="000000" w:themeColor="text1"/>
          <w:sz w:val="20"/>
          <w:u w:val="none"/>
          <w:lang w:val="en-US"/>
        </w:rPr>
        <w:t>ncrease to basic education and healthcare funding still fail</w:t>
      </w:r>
      <w:r w:rsidR="00B50C09" w:rsidRPr="00F83BFF">
        <w:rPr>
          <w:rFonts w:ascii="Arial" w:hAnsi="Arial" w:cs="Arial"/>
          <w:color w:val="000000" w:themeColor="text1"/>
          <w:sz w:val="20"/>
          <w:u w:val="none"/>
          <w:lang w:val="en-US"/>
        </w:rPr>
        <w:t>ed</w:t>
      </w:r>
      <w:r w:rsidR="00E25248" w:rsidRPr="00F83BFF">
        <w:rPr>
          <w:rFonts w:ascii="Arial" w:hAnsi="Arial" w:cs="Arial"/>
          <w:color w:val="000000" w:themeColor="text1"/>
          <w:sz w:val="20"/>
          <w:u w:val="none"/>
          <w:lang w:val="en-US"/>
        </w:rPr>
        <w:t xml:space="preserve"> to ensure that spending in these areas ke</w:t>
      </w:r>
      <w:r w:rsidR="002A429B" w:rsidRPr="00F83BFF">
        <w:rPr>
          <w:rFonts w:ascii="Arial" w:hAnsi="Arial" w:cs="Arial"/>
          <w:color w:val="000000" w:themeColor="text1"/>
          <w:sz w:val="20"/>
          <w:u w:val="none"/>
          <w:lang w:val="en-US"/>
        </w:rPr>
        <w:t>pt</w:t>
      </w:r>
      <w:r w:rsidR="00E25248" w:rsidRPr="00F83BFF">
        <w:rPr>
          <w:rFonts w:ascii="Arial" w:hAnsi="Arial" w:cs="Arial"/>
          <w:color w:val="000000" w:themeColor="text1"/>
          <w:sz w:val="20"/>
          <w:u w:val="none"/>
          <w:lang w:val="en-US"/>
        </w:rPr>
        <w:t xml:space="preserve"> up with CPI inflation and the rising demand for services, throughout the MTEF</w:t>
      </w:r>
      <w:r w:rsidR="002A429B" w:rsidRPr="00F83BFF">
        <w:rPr>
          <w:rFonts w:ascii="Arial" w:hAnsi="Arial" w:cs="Arial"/>
          <w:color w:val="000000" w:themeColor="text1"/>
          <w:sz w:val="20"/>
          <w:u w:val="none"/>
          <w:lang w:val="en-US"/>
        </w:rPr>
        <w:t>.</w:t>
      </w:r>
    </w:p>
    <w:p w:rsidR="00D75DA1" w:rsidRPr="00F83BFF" w:rsidRDefault="009D4950"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lang w:val="en-US"/>
        </w:rPr>
        <w:t>BJC said that g</w:t>
      </w:r>
      <w:r w:rsidR="00E25248" w:rsidRPr="00F83BFF">
        <w:rPr>
          <w:rFonts w:ascii="Arial" w:hAnsi="Arial" w:cs="Arial"/>
          <w:color w:val="000000" w:themeColor="text1"/>
          <w:sz w:val="20"/>
          <w:u w:val="none"/>
          <w:lang w:val="en-US"/>
        </w:rPr>
        <w:t xml:space="preserve">rants and pensions continue to be eroded due to the </w:t>
      </w:r>
      <w:r w:rsidRPr="00F83BFF">
        <w:rPr>
          <w:rFonts w:ascii="Arial" w:hAnsi="Arial" w:cs="Arial"/>
          <w:color w:val="000000" w:themeColor="text1"/>
          <w:sz w:val="20"/>
          <w:u w:val="none"/>
          <w:lang w:val="en-US"/>
        </w:rPr>
        <w:t>G</w:t>
      </w:r>
      <w:r w:rsidR="00E25248" w:rsidRPr="00F83BFF">
        <w:rPr>
          <w:rFonts w:ascii="Arial" w:hAnsi="Arial" w:cs="Arial"/>
          <w:color w:val="000000" w:themeColor="text1"/>
          <w:sz w:val="20"/>
          <w:u w:val="none"/>
          <w:lang w:val="en-US"/>
        </w:rPr>
        <w:t>overnment failing to keep grant values up with inflation, now for two years in a row.</w:t>
      </w:r>
      <w:r w:rsidR="0071631F" w:rsidRPr="00F83BFF">
        <w:rPr>
          <w:rFonts w:ascii="Arial" w:hAnsi="Arial" w:cs="Arial"/>
          <w:color w:val="000000" w:themeColor="text1"/>
          <w:sz w:val="20"/>
          <w:u w:val="none"/>
          <w:lang w:val="en-US"/>
        </w:rPr>
        <w:t xml:space="preserve"> It said that g</w:t>
      </w:r>
      <w:r w:rsidR="00E25248" w:rsidRPr="00F83BFF">
        <w:rPr>
          <w:rFonts w:ascii="Arial" w:hAnsi="Arial" w:cs="Arial"/>
          <w:color w:val="000000" w:themeColor="text1"/>
          <w:sz w:val="20"/>
          <w:u w:val="none"/>
          <w:lang w:val="en-US"/>
        </w:rPr>
        <w:t xml:space="preserve">lobally, governments have stepped up to insulate their people from the effects of rising energy and food prices, yet </w:t>
      </w:r>
      <w:r w:rsidR="0071631F" w:rsidRPr="00F83BFF">
        <w:rPr>
          <w:rFonts w:ascii="Arial" w:hAnsi="Arial" w:cs="Arial"/>
          <w:color w:val="000000" w:themeColor="text1"/>
          <w:sz w:val="20"/>
          <w:u w:val="none"/>
          <w:lang w:val="en-US"/>
        </w:rPr>
        <w:t xml:space="preserve">the South African </w:t>
      </w:r>
      <w:r w:rsidR="00E25248" w:rsidRPr="00F83BFF">
        <w:rPr>
          <w:rFonts w:ascii="Arial" w:hAnsi="Arial" w:cs="Arial"/>
          <w:color w:val="000000" w:themeColor="text1"/>
          <w:sz w:val="20"/>
          <w:u w:val="none"/>
          <w:lang w:val="en-US"/>
        </w:rPr>
        <w:t xml:space="preserve">government </w:t>
      </w:r>
      <w:r w:rsidR="0071631F" w:rsidRPr="00F83BFF">
        <w:rPr>
          <w:rFonts w:ascii="Arial" w:hAnsi="Arial" w:cs="Arial"/>
          <w:color w:val="000000" w:themeColor="text1"/>
          <w:sz w:val="20"/>
          <w:u w:val="none"/>
          <w:lang w:val="en-US"/>
        </w:rPr>
        <w:t>wa</w:t>
      </w:r>
      <w:r w:rsidR="00E25248" w:rsidRPr="00F83BFF">
        <w:rPr>
          <w:rFonts w:ascii="Arial" w:hAnsi="Arial" w:cs="Arial"/>
          <w:color w:val="000000" w:themeColor="text1"/>
          <w:sz w:val="20"/>
          <w:u w:val="none"/>
          <w:lang w:val="en-US"/>
        </w:rPr>
        <w:t xml:space="preserve">s proposing cuts to grants and thereby condemning </w:t>
      </w:r>
      <w:r w:rsidR="0071631F" w:rsidRPr="00F83BFF">
        <w:rPr>
          <w:rFonts w:ascii="Arial" w:hAnsi="Arial" w:cs="Arial"/>
          <w:color w:val="000000" w:themeColor="text1"/>
          <w:sz w:val="20"/>
          <w:u w:val="none"/>
          <w:lang w:val="en-US"/>
        </w:rPr>
        <w:t>its</w:t>
      </w:r>
      <w:r w:rsidR="00E25248" w:rsidRPr="00F83BFF">
        <w:rPr>
          <w:rFonts w:ascii="Arial" w:hAnsi="Arial" w:cs="Arial"/>
          <w:color w:val="000000" w:themeColor="text1"/>
          <w:sz w:val="20"/>
          <w:u w:val="none"/>
          <w:lang w:val="en-US"/>
        </w:rPr>
        <w:t xml:space="preserve"> people to greater hunger and energy poverty.</w:t>
      </w:r>
    </w:p>
    <w:p w:rsidR="00D75DA1" w:rsidRPr="00F83BFF" w:rsidRDefault="00D75DA1" w:rsidP="00F83BFF">
      <w:pPr>
        <w:pStyle w:val="Heading3"/>
        <w:spacing w:before="0" w:line="240" w:lineRule="auto"/>
        <w:rPr>
          <w:rFonts w:ascii="Arial" w:hAnsi="Arial" w:cs="Arial"/>
          <w:sz w:val="20"/>
          <w:u w:val="none"/>
        </w:rPr>
      </w:pPr>
      <w:r w:rsidRPr="00F83BFF">
        <w:rPr>
          <w:rFonts w:ascii="Arial" w:hAnsi="Arial" w:cs="Arial"/>
          <w:iCs/>
          <w:color w:val="000000" w:themeColor="text1"/>
          <w:sz w:val="20"/>
          <w:u w:val="none"/>
        </w:rPr>
        <w:t xml:space="preserve">BJC said that the </w:t>
      </w:r>
      <w:r w:rsidR="00E25248" w:rsidRPr="00F83BFF">
        <w:rPr>
          <w:rFonts w:ascii="Arial" w:hAnsi="Arial" w:cs="Arial"/>
          <w:iCs/>
          <w:color w:val="000000" w:themeColor="text1"/>
          <w:sz w:val="20"/>
          <w:u w:val="none"/>
        </w:rPr>
        <w:t>1.7% real cut in per capita non-interest expenditure in 2022/23 is already doing harm to public services that are essential for the protection and achievement of human rights and a just transition.</w:t>
      </w:r>
      <w:r w:rsidRPr="00F83BFF">
        <w:rPr>
          <w:rFonts w:ascii="Arial" w:hAnsi="Arial" w:cs="Arial"/>
          <w:iCs/>
          <w:color w:val="000000" w:themeColor="text1"/>
          <w:sz w:val="20"/>
          <w:u w:val="none"/>
        </w:rPr>
        <w:t xml:space="preserve"> It said that t</w:t>
      </w:r>
      <w:r w:rsidR="00E25248" w:rsidRPr="00F83BFF">
        <w:rPr>
          <w:rFonts w:ascii="Arial" w:hAnsi="Arial" w:cs="Arial"/>
          <w:iCs/>
          <w:color w:val="000000" w:themeColor="text1"/>
          <w:sz w:val="20"/>
          <w:u w:val="none"/>
        </w:rPr>
        <w:t>he primary budget surplus of 0.7% of GDP that government aims to achieve in 2023/24 is a self-imposed austerity measure of the harshest kind that will inflict further damage onto public services already buckling under the weight of state capture, a decade of austerity, and the Covid-19 pandemic.</w:t>
      </w:r>
    </w:p>
    <w:p w:rsidR="005C758D" w:rsidRPr="00F83BFF" w:rsidRDefault="00FB1AEC" w:rsidP="00F83BFF">
      <w:pPr>
        <w:pStyle w:val="Heading3"/>
        <w:spacing w:before="0" w:line="240" w:lineRule="auto"/>
        <w:rPr>
          <w:rFonts w:ascii="Arial" w:hAnsi="Arial" w:cs="Arial"/>
          <w:sz w:val="20"/>
          <w:u w:val="none"/>
        </w:rPr>
      </w:pPr>
      <w:r w:rsidRPr="00F83BFF">
        <w:rPr>
          <w:rFonts w:ascii="Arial" w:hAnsi="Arial" w:cs="Arial"/>
          <w:iCs/>
          <w:color w:val="000000" w:themeColor="text1"/>
          <w:sz w:val="20"/>
          <w:u w:val="none"/>
        </w:rPr>
        <w:t>BJC argued that b</w:t>
      </w:r>
      <w:r w:rsidR="00E25248" w:rsidRPr="00F83BFF">
        <w:rPr>
          <w:rFonts w:ascii="Arial" w:hAnsi="Arial" w:cs="Arial"/>
          <w:iCs/>
          <w:color w:val="000000" w:themeColor="text1"/>
          <w:sz w:val="20"/>
          <w:u w:val="none"/>
        </w:rPr>
        <w:t>y taking revenue out of our economy and channelling it to debt repayments, the primary budget surplus target will slow our recovery from the Covid-19 pandemic even further, and will not enable households to “weather the storms that lie ahead”.</w:t>
      </w:r>
      <w:r w:rsidR="00D65D87" w:rsidRPr="00F83BFF">
        <w:rPr>
          <w:rFonts w:ascii="Arial" w:hAnsi="Arial" w:cs="Arial"/>
          <w:iCs/>
          <w:color w:val="000000" w:themeColor="text1"/>
          <w:sz w:val="20"/>
          <w:u w:val="none"/>
        </w:rPr>
        <w:t xml:space="preserve"> It said that the</w:t>
      </w:r>
      <w:r w:rsidR="00E25248" w:rsidRPr="00F83BFF">
        <w:rPr>
          <w:rFonts w:ascii="Arial" w:hAnsi="Arial" w:cs="Arial"/>
          <w:iCs/>
          <w:color w:val="000000" w:themeColor="text1"/>
          <w:sz w:val="20"/>
          <w:u w:val="none"/>
        </w:rPr>
        <w:t xml:space="preserve">re </w:t>
      </w:r>
      <w:r w:rsidR="00D65D87" w:rsidRPr="00F83BFF">
        <w:rPr>
          <w:rFonts w:ascii="Arial" w:hAnsi="Arial" w:cs="Arial"/>
          <w:iCs/>
          <w:color w:val="000000" w:themeColor="text1"/>
          <w:sz w:val="20"/>
          <w:u w:val="none"/>
        </w:rPr>
        <w:t>wa</w:t>
      </w:r>
      <w:r w:rsidR="00E25248" w:rsidRPr="00F83BFF">
        <w:rPr>
          <w:rFonts w:ascii="Arial" w:hAnsi="Arial" w:cs="Arial"/>
          <w:iCs/>
          <w:color w:val="000000" w:themeColor="text1"/>
          <w:sz w:val="20"/>
          <w:u w:val="none"/>
        </w:rPr>
        <w:t>s no evidence to support that a primary budget surplus will lead to greater poverty reduction, a narrowing of inequalities, or a substantial increase in employment.</w:t>
      </w:r>
    </w:p>
    <w:p w:rsidR="00356E9A" w:rsidRPr="00F83BFF" w:rsidRDefault="005C758D" w:rsidP="00F83BFF">
      <w:pPr>
        <w:pStyle w:val="Heading3"/>
        <w:spacing w:before="0" w:line="240" w:lineRule="auto"/>
        <w:rPr>
          <w:rFonts w:ascii="Arial" w:hAnsi="Arial" w:cs="Arial"/>
          <w:sz w:val="20"/>
          <w:u w:val="none"/>
        </w:rPr>
      </w:pPr>
      <w:r w:rsidRPr="00F83BFF">
        <w:rPr>
          <w:rFonts w:ascii="Arial" w:hAnsi="Arial" w:cs="Arial"/>
          <w:iCs/>
          <w:color w:val="000000" w:themeColor="text1"/>
          <w:sz w:val="20"/>
          <w:u w:val="none"/>
        </w:rPr>
        <w:t>BJC asked the following questions: w</w:t>
      </w:r>
      <w:r w:rsidR="00E25248" w:rsidRPr="00F83BFF">
        <w:rPr>
          <w:rFonts w:ascii="Arial" w:hAnsi="Arial" w:cs="Arial"/>
          <w:color w:val="000000" w:themeColor="text1"/>
          <w:sz w:val="20"/>
          <w:u w:val="none"/>
        </w:rPr>
        <w:t>hen will Parliament demand an end to more austerity</w:t>
      </w:r>
      <w:r w:rsidR="002D09B4" w:rsidRPr="00F83BFF">
        <w:rPr>
          <w:rFonts w:ascii="Arial" w:hAnsi="Arial" w:cs="Arial"/>
          <w:color w:val="000000" w:themeColor="text1"/>
          <w:sz w:val="20"/>
          <w:u w:val="none"/>
        </w:rPr>
        <w:t xml:space="preserve">? </w:t>
      </w:r>
      <w:r w:rsidR="00E25248" w:rsidRPr="00F83BFF">
        <w:rPr>
          <w:rFonts w:ascii="Arial" w:hAnsi="Arial" w:cs="Arial"/>
          <w:color w:val="000000" w:themeColor="text1"/>
          <w:sz w:val="20"/>
          <w:u w:val="none"/>
        </w:rPr>
        <w:t xml:space="preserve"> </w:t>
      </w:r>
      <w:r w:rsidR="00E25248" w:rsidRPr="00F83BFF">
        <w:rPr>
          <w:rFonts w:ascii="Arial" w:hAnsi="Arial" w:cs="Arial"/>
          <w:color w:val="000000" w:themeColor="text1"/>
          <w:sz w:val="20"/>
          <w:u w:val="none"/>
          <w:lang w:val="en-US"/>
        </w:rPr>
        <w:t>Why is gender equality not at the core of South African fiscal and budgetary policies?</w:t>
      </w:r>
      <w:r w:rsidR="002D09B4" w:rsidRPr="00F83BFF">
        <w:rPr>
          <w:rFonts w:ascii="Arial" w:hAnsi="Arial" w:cs="Arial"/>
          <w:color w:val="000000" w:themeColor="text1"/>
          <w:sz w:val="20"/>
          <w:u w:val="none"/>
          <w:lang w:val="en-US"/>
        </w:rPr>
        <w:t xml:space="preserve"> </w:t>
      </w:r>
      <w:r w:rsidR="00E25248" w:rsidRPr="00F83BFF">
        <w:rPr>
          <w:rFonts w:ascii="Arial" w:hAnsi="Arial" w:cs="Arial"/>
          <w:color w:val="000000" w:themeColor="text1"/>
          <w:sz w:val="20"/>
          <w:u w:val="none"/>
          <w:lang w:val="en-US"/>
        </w:rPr>
        <w:t>What political vision do these cuts represent other than one in which the state walks away from the hard-won socio-economic rights enshrined in our 1996 Constitution?</w:t>
      </w:r>
      <w:r w:rsidR="00356E9A" w:rsidRPr="00F83BFF">
        <w:rPr>
          <w:rFonts w:ascii="Arial" w:hAnsi="Arial" w:cs="Arial"/>
          <w:color w:val="000000" w:themeColor="text1"/>
          <w:sz w:val="20"/>
          <w:u w:val="none"/>
          <w:lang w:val="en-US"/>
        </w:rPr>
        <w:t xml:space="preserve"> </w:t>
      </w:r>
      <w:r w:rsidR="00E25248" w:rsidRPr="00F83BFF">
        <w:rPr>
          <w:rFonts w:ascii="Arial" w:hAnsi="Arial" w:cs="Arial"/>
          <w:color w:val="000000" w:themeColor="text1"/>
          <w:sz w:val="20"/>
          <w:u w:val="none"/>
          <w:lang w:val="en-US"/>
        </w:rPr>
        <w:t>What developmental benefits, if any, have been gained by the attacks on public education and healthcare services, among others, endorsed by Parliament over the past decade?</w:t>
      </w:r>
    </w:p>
    <w:p w:rsidR="00332DE3" w:rsidRPr="00F83BFF" w:rsidRDefault="00356E9A"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lang w:val="en-US"/>
        </w:rPr>
        <w:t xml:space="preserve">BJC recommended that </w:t>
      </w:r>
      <w:r w:rsidR="00AF5996" w:rsidRPr="00F83BFF">
        <w:rPr>
          <w:rFonts w:ascii="Arial" w:hAnsi="Arial" w:cs="Arial"/>
          <w:color w:val="000000" w:themeColor="text1"/>
          <w:sz w:val="20"/>
          <w:u w:val="none"/>
          <w:lang w:val="en-US"/>
        </w:rPr>
        <w:t xml:space="preserve">National </w:t>
      </w:r>
      <w:r w:rsidR="00E25248" w:rsidRPr="00F83BFF">
        <w:rPr>
          <w:rFonts w:ascii="Arial" w:hAnsi="Arial" w:cs="Arial"/>
          <w:color w:val="000000" w:themeColor="text1"/>
          <w:sz w:val="20"/>
          <w:u w:val="none"/>
        </w:rPr>
        <w:t xml:space="preserve">Treasury should include an equity chapter in all its policy documents that </w:t>
      </w:r>
      <w:r w:rsidR="00AF5996" w:rsidRPr="00F83BFF">
        <w:rPr>
          <w:rFonts w:ascii="Arial" w:hAnsi="Arial" w:cs="Arial"/>
          <w:color w:val="000000" w:themeColor="text1"/>
          <w:sz w:val="20"/>
          <w:u w:val="none"/>
        </w:rPr>
        <w:t xml:space="preserve">will </w:t>
      </w:r>
      <w:r w:rsidR="00E25248" w:rsidRPr="00F83BFF">
        <w:rPr>
          <w:rFonts w:ascii="Arial" w:hAnsi="Arial" w:cs="Arial"/>
          <w:color w:val="000000" w:themeColor="text1"/>
          <w:sz w:val="20"/>
          <w:u w:val="none"/>
        </w:rPr>
        <w:t>specifically outline the fiscal implications of policies on gender, race, class, disability, alongside other relevant social categories. </w:t>
      </w:r>
      <w:r w:rsidR="008508F5" w:rsidRPr="00F83BFF">
        <w:rPr>
          <w:rFonts w:ascii="Arial" w:hAnsi="Arial" w:cs="Arial"/>
          <w:color w:val="000000" w:themeColor="text1"/>
          <w:sz w:val="20"/>
          <w:u w:val="none"/>
        </w:rPr>
        <w:t xml:space="preserve">It said that </w:t>
      </w:r>
      <w:r w:rsidR="00E25248" w:rsidRPr="00F83BFF">
        <w:rPr>
          <w:rFonts w:ascii="Arial" w:hAnsi="Arial" w:cs="Arial"/>
          <w:iCs/>
          <w:color w:val="000000" w:themeColor="text1"/>
          <w:sz w:val="20"/>
          <w:u w:val="none"/>
        </w:rPr>
        <w:t>Parliament should not endorse the goal of a primary budget surplus</w:t>
      </w:r>
      <w:r w:rsidR="008508F5" w:rsidRPr="00F83BFF">
        <w:rPr>
          <w:rFonts w:ascii="Arial" w:hAnsi="Arial" w:cs="Arial"/>
          <w:iCs/>
          <w:color w:val="000000" w:themeColor="text1"/>
          <w:sz w:val="20"/>
          <w:u w:val="none"/>
        </w:rPr>
        <w:t>. BJC added that g</w:t>
      </w:r>
      <w:r w:rsidR="00E25248" w:rsidRPr="00F83BFF">
        <w:rPr>
          <w:rFonts w:ascii="Arial" w:hAnsi="Arial" w:cs="Arial"/>
          <w:color w:val="000000" w:themeColor="text1"/>
          <w:sz w:val="20"/>
          <w:u w:val="none"/>
          <w:lang w:val="en-US"/>
        </w:rPr>
        <w:t xml:space="preserve">overnment should </w:t>
      </w:r>
      <w:r w:rsidR="00E25248" w:rsidRPr="00F83BFF">
        <w:rPr>
          <w:rFonts w:ascii="Arial" w:hAnsi="Arial" w:cs="Arial"/>
          <w:color w:val="000000" w:themeColor="text1"/>
          <w:sz w:val="20"/>
          <w:u w:val="none"/>
        </w:rPr>
        <w:t>honour</w:t>
      </w:r>
      <w:r w:rsidR="00E25248" w:rsidRPr="00F83BFF">
        <w:rPr>
          <w:rFonts w:ascii="Arial" w:hAnsi="Arial" w:cs="Arial"/>
          <w:color w:val="000000" w:themeColor="text1"/>
          <w:sz w:val="20"/>
          <w:u w:val="none"/>
          <w:lang w:val="en-US"/>
        </w:rPr>
        <w:t xml:space="preserve"> its human rights obligations by undertaking human rights impact assessments</w:t>
      </w:r>
      <w:r w:rsidR="00E25248" w:rsidRPr="00F83BFF">
        <w:rPr>
          <w:rFonts w:ascii="Arial" w:hAnsi="Arial" w:cs="Arial"/>
          <w:color w:val="000000" w:themeColor="text1"/>
          <w:sz w:val="20"/>
          <w:u w:val="none"/>
        </w:rPr>
        <w:t xml:space="preserve"> </w:t>
      </w:r>
      <w:r w:rsidR="00E25248" w:rsidRPr="00F83BFF">
        <w:rPr>
          <w:rFonts w:ascii="Arial" w:hAnsi="Arial" w:cs="Arial"/>
          <w:color w:val="000000" w:themeColor="text1"/>
          <w:sz w:val="20"/>
          <w:u w:val="none"/>
          <w:lang w:val="en-US"/>
        </w:rPr>
        <w:t>of its fiscal and budgetary decisions</w:t>
      </w:r>
      <w:r w:rsidR="00E25248" w:rsidRPr="00F83BFF">
        <w:rPr>
          <w:rFonts w:ascii="Arial" w:hAnsi="Arial" w:cs="Arial"/>
          <w:color w:val="000000" w:themeColor="text1"/>
          <w:sz w:val="20"/>
          <w:u w:val="none"/>
        </w:rPr>
        <w:t xml:space="preserve">. </w:t>
      </w:r>
    </w:p>
    <w:p w:rsidR="001229E4" w:rsidRPr="00F83BFF" w:rsidRDefault="00332DE3"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rPr>
        <w:t xml:space="preserve">BJC recommended that </w:t>
      </w:r>
      <w:r w:rsidR="003A3AC5" w:rsidRPr="00F83BFF">
        <w:rPr>
          <w:rFonts w:ascii="Arial" w:hAnsi="Arial" w:cs="Arial"/>
          <w:color w:val="000000" w:themeColor="text1"/>
          <w:sz w:val="20"/>
          <w:u w:val="none"/>
        </w:rPr>
        <w:t>Government</w:t>
      </w:r>
      <w:r w:rsidRPr="00F83BFF">
        <w:rPr>
          <w:rFonts w:ascii="Arial" w:hAnsi="Arial" w:cs="Arial"/>
          <w:color w:val="000000" w:themeColor="text1"/>
          <w:sz w:val="20"/>
          <w:u w:val="none"/>
        </w:rPr>
        <w:t xml:space="preserve"> </w:t>
      </w:r>
      <w:r w:rsidR="003A3AC5" w:rsidRPr="00F83BFF">
        <w:rPr>
          <w:rFonts w:ascii="Arial" w:hAnsi="Arial" w:cs="Arial"/>
          <w:color w:val="000000" w:themeColor="text1"/>
          <w:sz w:val="20"/>
          <w:u w:val="none"/>
        </w:rPr>
        <w:t xml:space="preserve">should </w:t>
      </w:r>
      <w:r w:rsidRPr="00F83BFF">
        <w:rPr>
          <w:rFonts w:ascii="Arial" w:hAnsi="Arial" w:cs="Arial"/>
          <w:color w:val="000000" w:themeColor="text1"/>
          <w:sz w:val="20"/>
          <w:u w:val="none"/>
        </w:rPr>
        <w:t>a</w:t>
      </w:r>
      <w:r w:rsidR="00E25248" w:rsidRPr="00F83BFF">
        <w:rPr>
          <w:rFonts w:ascii="Arial" w:hAnsi="Arial" w:cs="Arial"/>
          <w:color w:val="000000" w:themeColor="text1"/>
          <w:sz w:val="20"/>
          <w:u w:val="none"/>
          <w:lang w:val="en-US"/>
        </w:rPr>
        <w:t>bandon the primary budget surplus objective, and instead ensure that public services and households are protected from inflation and receiving allocations that at least keep up with inflation and user demand.</w:t>
      </w:r>
      <w:r w:rsidR="001229E4" w:rsidRPr="00F83BFF">
        <w:rPr>
          <w:rFonts w:ascii="Arial" w:hAnsi="Arial" w:cs="Arial"/>
          <w:color w:val="000000" w:themeColor="text1"/>
          <w:sz w:val="20"/>
          <w:u w:val="none"/>
          <w:lang w:val="en-US"/>
        </w:rPr>
        <w:t xml:space="preserve"> BJC submitted that Government should r</w:t>
      </w:r>
      <w:r w:rsidR="00E25248" w:rsidRPr="00F83BFF">
        <w:rPr>
          <w:rFonts w:ascii="Arial" w:hAnsi="Arial" w:cs="Arial"/>
          <w:color w:val="000000" w:themeColor="text1"/>
          <w:sz w:val="20"/>
          <w:u w:val="none"/>
          <w:lang w:val="en-US"/>
        </w:rPr>
        <w:t xml:space="preserve">ecognise the value that public sector workers contribute to the economy and society by ensuring </w:t>
      </w:r>
      <w:r w:rsidR="001229E4" w:rsidRPr="00F83BFF">
        <w:rPr>
          <w:rFonts w:ascii="Arial" w:hAnsi="Arial" w:cs="Arial"/>
          <w:color w:val="000000" w:themeColor="text1"/>
          <w:sz w:val="20"/>
          <w:u w:val="none"/>
          <w:lang w:val="en-US"/>
        </w:rPr>
        <w:t xml:space="preserve">that </w:t>
      </w:r>
      <w:r w:rsidR="00E25248" w:rsidRPr="00F83BFF">
        <w:rPr>
          <w:rFonts w:ascii="Arial" w:hAnsi="Arial" w:cs="Arial"/>
          <w:color w:val="000000" w:themeColor="text1"/>
          <w:sz w:val="20"/>
          <w:u w:val="none"/>
          <w:lang w:val="en-US"/>
        </w:rPr>
        <w:t xml:space="preserve">wages keep up with inflation and that vacancies in public health and </w:t>
      </w:r>
      <w:r w:rsidR="0026136F" w:rsidRPr="00F83BFF">
        <w:rPr>
          <w:rFonts w:ascii="Arial" w:hAnsi="Arial" w:cs="Arial"/>
          <w:color w:val="000000" w:themeColor="text1"/>
          <w:sz w:val="20"/>
          <w:u w:val="none"/>
          <w:lang w:val="en-US"/>
        </w:rPr>
        <w:t>education, are</w:t>
      </w:r>
      <w:r w:rsidR="00E25248" w:rsidRPr="00F83BFF">
        <w:rPr>
          <w:rFonts w:ascii="Arial" w:hAnsi="Arial" w:cs="Arial"/>
          <w:color w:val="000000" w:themeColor="text1"/>
          <w:sz w:val="20"/>
          <w:u w:val="none"/>
          <w:lang w:val="en-US"/>
        </w:rPr>
        <w:t xml:space="preserve"> filled.</w:t>
      </w:r>
    </w:p>
    <w:p w:rsidR="0065637C" w:rsidRPr="00F83BFF" w:rsidRDefault="001229E4" w:rsidP="00F83BFF">
      <w:pPr>
        <w:pStyle w:val="Heading3"/>
        <w:spacing w:before="0" w:line="240" w:lineRule="auto"/>
        <w:rPr>
          <w:rFonts w:ascii="Arial" w:hAnsi="Arial" w:cs="Arial"/>
          <w:sz w:val="20"/>
          <w:u w:val="none"/>
        </w:rPr>
      </w:pPr>
      <w:r w:rsidRPr="00F83BFF">
        <w:rPr>
          <w:rFonts w:ascii="Arial" w:hAnsi="Arial" w:cs="Arial"/>
          <w:color w:val="000000" w:themeColor="text1"/>
          <w:sz w:val="20"/>
          <w:u w:val="none"/>
          <w:lang w:val="en-US"/>
        </w:rPr>
        <w:t xml:space="preserve">BJC advocated for the implementation of </w:t>
      </w:r>
      <w:r w:rsidR="00E25248" w:rsidRPr="00F83BFF">
        <w:rPr>
          <w:rFonts w:ascii="Arial" w:hAnsi="Arial" w:cs="Arial"/>
          <w:color w:val="000000" w:themeColor="text1"/>
          <w:sz w:val="20"/>
          <w:u w:val="none"/>
        </w:rPr>
        <w:t>progressive tax reform</w:t>
      </w:r>
      <w:r w:rsidRPr="00F83BFF">
        <w:rPr>
          <w:rFonts w:ascii="Arial" w:hAnsi="Arial" w:cs="Arial"/>
          <w:color w:val="000000" w:themeColor="text1"/>
          <w:sz w:val="20"/>
          <w:u w:val="none"/>
        </w:rPr>
        <w:t>s</w:t>
      </w:r>
      <w:r w:rsidR="00E25248" w:rsidRPr="00F83BFF">
        <w:rPr>
          <w:rFonts w:ascii="Arial" w:hAnsi="Arial" w:cs="Arial"/>
          <w:color w:val="000000" w:themeColor="text1"/>
          <w:sz w:val="20"/>
          <w:u w:val="none"/>
        </w:rPr>
        <w:t xml:space="preserve"> targeting high net wealth and medium-high income earners to ensure fiscal sustainability, narrow inequality and raise additional long</w:t>
      </w:r>
      <w:r w:rsidR="00D351CC" w:rsidRPr="00F83BFF">
        <w:rPr>
          <w:rFonts w:ascii="Arial" w:hAnsi="Arial" w:cs="Arial"/>
          <w:color w:val="000000" w:themeColor="text1"/>
          <w:sz w:val="20"/>
          <w:u w:val="none"/>
        </w:rPr>
        <w:t>-</w:t>
      </w:r>
      <w:r w:rsidR="00E25248" w:rsidRPr="00F83BFF">
        <w:rPr>
          <w:rFonts w:ascii="Arial" w:hAnsi="Arial" w:cs="Arial"/>
          <w:color w:val="000000" w:themeColor="text1"/>
          <w:sz w:val="20"/>
          <w:u w:val="none"/>
        </w:rPr>
        <w:t xml:space="preserve">term revenue for </w:t>
      </w:r>
      <w:r w:rsidR="00D351CC" w:rsidRPr="00F83BFF">
        <w:rPr>
          <w:rFonts w:ascii="Arial" w:hAnsi="Arial" w:cs="Arial"/>
          <w:color w:val="000000" w:themeColor="text1"/>
          <w:sz w:val="20"/>
          <w:u w:val="none"/>
        </w:rPr>
        <w:t xml:space="preserve">the universal basic income grant </w:t>
      </w:r>
      <w:r w:rsidR="00E25248" w:rsidRPr="00F83BFF">
        <w:rPr>
          <w:rFonts w:ascii="Arial" w:hAnsi="Arial" w:cs="Arial"/>
          <w:color w:val="000000" w:themeColor="text1"/>
          <w:sz w:val="20"/>
          <w:u w:val="none"/>
        </w:rPr>
        <w:t>and other socio-economic priorities.</w:t>
      </w:r>
      <w:r w:rsidR="00FD7A91" w:rsidRPr="00F83BFF">
        <w:rPr>
          <w:rFonts w:ascii="Arial" w:hAnsi="Arial" w:cs="Arial"/>
          <w:color w:val="000000" w:themeColor="text1"/>
          <w:sz w:val="20"/>
          <w:u w:val="none"/>
        </w:rPr>
        <w:t xml:space="preserve"> It further submitted that Government should c</w:t>
      </w:r>
      <w:r w:rsidR="00E25248" w:rsidRPr="00F83BFF">
        <w:rPr>
          <w:rFonts w:ascii="Arial" w:hAnsi="Arial" w:cs="Arial"/>
          <w:color w:val="000000" w:themeColor="text1"/>
          <w:sz w:val="20"/>
          <w:u w:val="none"/>
        </w:rPr>
        <w:t xml:space="preserve">ommit to a gender budgeting process that encapsulates budget allocations, taxes and revenue and debt management and in which womxn, with diverse perspectives, and with </w:t>
      </w:r>
      <w:r w:rsidR="00122C21" w:rsidRPr="00F83BFF">
        <w:rPr>
          <w:rFonts w:ascii="Arial" w:hAnsi="Arial" w:cs="Arial"/>
          <w:color w:val="000000" w:themeColor="text1"/>
          <w:sz w:val="20"/>
          <w:u w:val="none"/>
        </w:rPr>
        <w:t>lived experience</w:t>
      </w:r>
      <w:r w:rsidR="00E25248" w:rsidRPr="00F83BFF">
        <w:rPr>
          <w:rFonts w:ascii="Arial" w:hAnsi="Arial" w:cs="Arial"/>
          <w:color w:val="000000" w:themeColor="text1"/>
          <w:sz w:val="20"/>
          <w:u w:val="none"/>
        </w:rPr>
        <w:t xml:space="preserve"> of different contexts, are centred in the process of developing goals, and debating priorities.</w:t>
      </w:r>
    </w:p>
    <w:p w:rsidR="00E43A3C" w:rsidRPr="00F83BFF" w:rsidRDefault="0065637C" w:rsidP="00F83BFF">
      <w:pPr>
        <w:pStyle w:val="Heading3"/>
        <w:spacing w:before="0" w:line="240" w:lineRule="auto"/>
        <w:rPr>
          <w:rFonts w:ascii="Arial" w:hAnsi="Arial" w:cs="Arial"/>
          <w:color w:val="000000" w:themeColor="text1"/>
          <w:sz w:val="20"/>
          <w:u w:val="none"/>
        </w:rPr>
      </w:pPr>
      <w:r w:rsidRPr="00F83BFF">
        <w:rPr>
          <w:rFonts w:ascii="Arial" w:hAnsi="Arial" w:cs="Arial"/>
          <w:color w:val="000000" w:themeColor="text1"/>
          <w:sz w:val="20"/>
          <w:u w:val="none"/>
        </w:rPr>
        <w:t xml:space="preserve">Lastly, BJC recommended that </w:t>
      </w:r>
      <w:r w:rsidR="00E25248" w:rsidRPr="00F83BFF">
        <w:rPr>
          <w:rFonts w:ascii="Arial" w:hAnsi="Arial" w:cs="Arial"/>
          <w:color w:val="000000" w:themeColor="text1"/>
          <w:sz w:val="20"/>
          <w:u w:val="none"/>
          <w:lang w:val="en-US"/>
        </w:rPr>
        <w:t xml:space="preserve">Parliament should require that </w:t>
      </w:r>
      <w:r w:rsidR="00E25248" w:rsidRPr="00F83BFF">
        <w:rPr>
          <w:rFonts w:ascii="Arial" w:hAnsi="Arial" w:cs="Arial"/>
          <w:color w:val="000000" w:themeColor="text1"/>
          <w:sz w:val="20"/>
          <w:u w:val="none"/>
        </w:rPr>
        <w:t>all budget decisions are informed by human rights obligations, and when budget cuts are proposed, undertake a participatory human rights impact assessment and publish the findings.</w:t>
      </w:r>
    </w:p>
    <w:p w:rsidR="00DB6C15" w:rsidRPr="00F83BFF" w:rsidRDefault="00DB6C15" w:rsidP="00F83BFF">
      <w:pPr>
        <w:pStyle w:val="FirstPara"/>
        <w:spacing w:before="0" w:line="240" w:lineRule="auto"/>
        <w:jc w:val="left"/>
        <w:rPr>
          <w:rFonts w:ascii="Arial" w:hAnsi="Arial" w:cs="Arial"/>
          <w:sz w:val="20"/>
        </w:rPr>
      </w:pPr>
    </w:p>
    <w:p w:rsidR="00DB6C15" w:rsidRPr="00F83BFF" w:rsidRDefault="00A2569E" w:rsidP="00F83BFF">
      <w:pPr>
        <w:pStyle w:val="MainPara"/>
        <w:spacing w:before="0" w:line="240" w:lineRule="auto"/>
        <w:jc w:val="left"/>
        <w:rPr>
          <w:rFonts w:ascii="Arial" w:hAnsi="Arial" w:cs="Arial"/>
          <w:b/>
          <w:bCs/>
          <w:sz w:val="20"/>
        </w:rPr>
      </w:pPr>
      <w:r w:rsidRPr="00F83BFF">
        <w:rPr>
          <w:rFonts w:ascii="Arial" w:hAnsi="Arial" w:cs="Arial"/>
          <w:b/>
          <w:bCs/>
          <w:sz w:val="20"/>
        </w:rPr>
        <w:t>SAICA</w:t>
      </w:r>
    </w:p>
    <w:p w:rsidR="00827D0D" w:rsidRPr="00F83BFF" w:rsidRDefault="00827D0D" w:rsidP="00F83BFF">
      <w:pPr>
        <w:pStyle w:val="Heading3"/>
        <w:spacing w:before="0" w:line="240" w:lineRule="auto"/>
        <w:rPr>
          <w:rFonts w:ascii="Arial" w:hAnsi="Arial" w:cs="Arial"/>
          <w:sz w:val="20"/>
          <w:u w:val="none"/>
        </w:rPr>
      </w:pPr>
      <w:r w:rsidRPr="00F83BFF">
        <w:rPr>
          <w:rFonts w:ascii="Arial" w:hAnsi="Arial" w:cs="Arial"/>
          <w:sz w:val="20"/>
          <w:u w:val="none"/>
        </w:rPr>
        <w:lastRenderedPageBreak/>
        <w:t xml:space="preserve">SAICA </w:t>
      </w:r>
      <w:r w:rsidR="00B8195D" w:rsidRPr="00F83BFF">
        <w:rPr>
          <w:rFonts w:ascii="Arial" w:hAnsi="Arial" w:cs="Arial"/>
          <w:sz w:val="20"/>
          <w:u w:val="none"/>
        </w:rPr>
        <w:t>applaud</w:t>
      </w:r>
      <w:r w:rsidRPr="00F83BFF">
        <w:rPr>
          <w:rFonts w:ascii="Arial" w:hAnsi="Arial" w:cs="Arial"/>
          <w:sz w:val="20"/>
          <w:u w:val="none"/>
        </w:rPr>
        <w:t>ed</w:t>
      </w:r>
      <w:r w:rsidR="00B8195D" w:rsidRPr="00F83BFF">
        <w:rPr>
          <w:rFonts w:ascii="Arial" w:hAnsi="Arial" w:cs="Arial"/>
          <w:sz w:val="20"/>
          <w:u w:val="none"/>
        </w:rPr>
        <w:t xml:space="preserve"> </w:t>
      </w:r>
      <w:r w:rsidR="000923D1" w:rsidRPr="00F83BFF">
        <w:rPr>
          <w:rFonts w:ascii="Arial" w:hAnsi="Arial" w:cs="Arial"/>
          <w:sz w:val="20"/>
          <w:u w:val="none"/>
        </w:rPr>
        <w:t xml:space="preserve">that </w:t>
      </w:r>
      <w:r w:rsidR="00B8195D" w:rsidRPr="00F83BFF">
        <w:rPr>
          <w:rFonts w:ascii="Arial" w:hAnsi="Arial" w:cs="Arial"/>
          <w:sz w:val="20"/>
          <w:u w:val="none"/>
        </w:rPr>
        <w:t xml:space="preserve">no further tax increases </w:t>
      </w:r>
      <w:r w:rsidRPr="00F83BFF">
        <w:rPr>
          <w:rFonts w:ascii="Arial" w:hAnsi="Arial" w:cs="Arial"/>
          <w:sz w:val="20"/>
          <w:u w:val="none"/>
        </w:rPr>
        <w:t>we</w:t>
      </w:r>
      <w:r w:rsidR="00B8195D" w:rsidRPr="00F83BFF">
        <w:rPr>
          <w:rFonts w:ascii="Arial" w:hAnsi="Arial" w:cs="Arial"/>
          <w:sz w:val="20"/>
          <w:u w:val="none"/>
        </w:rPr>
        <w:t>re proposed and that SARS will be allocated more funding over the medium</w:t>
      </w:r>
      <w:r w:rsidRPr="00F83BFF">
        <w:rPr>
          <w:rFonts w:ascii="Arial" w:hAnsi="Arial" w:cs="Arial"/>
          <w:sz w:val="20"/>
          <w:u w:val="none"/>
        </w:rPr>
        <w:t>-</w:t>
      </w:r>
      <w:r w:rsidR="00B8195D" w:rsidRPr="00F83BFF">
        <w:rPr>
          <w:rFonts w:ascii="Arial" w:hAnsi="Arial" w:cs="Arial"/>
          <w:sz w:val="20"/>
          <w:u w:val="none"/>
        </w:rPr>
        <w:t xml:space="preserve">term. </w:t>
      </w:r>
      <w:r w:rsidRPr="00F83BFF">
        <w:rPr>
          <w:rFonts w:ascii="Arial" w:hAnsi="Arial" w:cs="Arial"/>
          <w:sz w:val="20"/>
          <w:u w:val="none"/>
        </w:rPr>
        <w:t>It also welcomed o</w:t>
      </w:r>
      <w:r w:rsidR="00B8195D" w:rsidRPr="00F83BFF">
        <w:rPr>
          <w:rFonts w:ascii="Arial" w:hAnsi="Arial" w:cs="Arial"/>
          <w:sz w:val="20"/>
          <w:u w:val="none"/>
        </w:rPr>
        <w:t xml:space="preserve">ther initiatives such as the move to a single remuneration framework, the approval of the “Framework for professionalizing public sector”, the funding framework and enforcement of minimum criteria for state guarantees and the strengthening of National Treasury’s early warning system to improve oversight and timely assistance for municipalities. </w:t>
      </w:r>
    </w:p>
    <w:p w:rsidR="0079251D" w:rsidRPr="00F83BFF" w:rsidRDefault="00EE4FC8" w:rsidP="00F83BFF">
      <w:pPr>
        <w:pStyle w:val="Heading3"/>
        <w:spacing w:before="0" w:line="240" w:lineRule="auto"/>
        <w:rPr>
          <w:rFonts w:ascii="Arial" w:hAnsi="Arial" w:cs="Arial"/>
          <w:sz w:val="20"/>
          <w:u w:val="none"/>
        </w:rPr>
      </w:pPr>
      <w:r w:rsidRPr="00F83BFF">
        <w:rPr>
          <w:rFonts w:ascii="Arial" w:hAnsi="Arial" w:cs="Arial"/>
          <w:sz w:val="20"/>
          <w:u w:val="none"/>
        </w:rPr>
        <w:t xml:space="preserve">SAICA noted that </w:t>
      </w:r>
      <w:r w:rsidR="00B8195D" w:rsidRPr="00F83BFF">
        <w:rPr>
          <w:rFonts w:ascii="Arial" w:hAnsi="Arial" w:cs="Arial"/>
          <w:sz w:val="20"/>
          <w:u w:val="none"/>
        </w:rPr>
        <w:t xml:space="preserve">despite all these initiatives (some of which </w:t>
      </w:r>
      <w:r w:rsidRPr="00F83BFF">
        <w:rPr>
          <w:rFonts w:ascii="Arial" w:hAnsi="Arial" w:cs="Arial"/>
          <w:sz w:val="20"/>
          <w:u w:val="none"/>
        </w:rPr>
        <w:t>it</w:t>
      </w:r>
      <w:r w:rsidR="00B8195D" w:rsidRPr="00F83BFF">
        <w:rPr>
          <w:rFonts w:ascii="Arial" w:hAnsi="Arial" w:cs="Arial"/>
          <w:sz w:val="20"/>
          <w:u w:val="none"/>
        </w:rPr>
        <w:t xml:space="preserve"> fear</w:t>
      </w:r>
      <w:r w:rsidRPr="00F83BFF">
        <w:rPr>
          <w:rFonts w:ascii="Arial" w:hAnsi="Arial" w:cs="Arial"/>
          <w:sz w:val="20"/>
          <w:u w:val="none"/>
        </w:rPr>
        <w:t>ed</w:t>
      </w:r>
      <w:r w:rsidR="00B8195D" w:rsidRPr="00F83BFF">
        <w:rPr>
          <w:rFonts w:ascii="Arial" w:hAnsi="Arial" w:cs="Arial"/>
          <w:sz w:val="20"/>
          <w:u w:val="none"/>
        </w:rPr>
        <w:t xml:space="preserve"> </w:t>
      </w:r>
      <w:r w:rsidRPr="00F83BFF">
        <w:rPr>
          <w:rFonts w:ascii="Arial" w:hAnsi="Arial" w:cs="Arial"/>
          <w:sz w:val="20"/>
          <w:u w:val="none"/>
        </w:rPr>
        <w:t>were</w:t>
      </w:r>
      <w:r w:rsidR="00B8195D" w:rsidRPr="00F83BFF">
        <w:rPr>
          <w:rFonts w:ascii="Arial" w:hAnsi="Arial" w:cs="Arial"/>
          <w:sz w:val="20"/>
          <w:u w:val="none"/>
        </w:rPr>
        <w:t xml:space="preserve"> being implemented too late), the credibility of the budget </w:t>
      </w:r>
      <w:r w:rsidRPr="00F83BFF">
        <w:rPr>
          <w:rFonts w:ascii="Arial" w:hAnsi="Arial" w:cs="Arial"/>
          <w:sz w:val="20"/>
          <w:u w:val="none"/>
        </w:rPr>
        <w:t>wa</w:t>
      </w:r>
      <w:r w:rsidR="00B8195D" w:rsidRPr="00F83BFF">
        <w:rPr>
          <w:rFonts w:ascii="Arial" w:hAnsi="Arial" w:cs="Arial"/>
          <w:sz w:val="20"/>
          <w:u w:val="none"/>
        </w:rPr>
        <w:t xml:space="preserve">s in question. </w:t>
      </w:r>
      <w:r w:rsidRPr="00F83BFF">
        <w:rPr>
          <w:rFonts w:ascii="Arial" w:hAnsi="Arial" w:cs="Arial"/>
          <w:sz w:val="20"/>
          <w:u w:val="none"/>
        </w:rPr>
        <w:t>It said that t</w:t>
      </w:r>
      <w:r w:rsidR="00B8195D" w:rsidRPr="00F83BFF">
        <w:rPr>
          <w:rFonts w:ascii="Arial" w:hAnsi="Arial" w:cs="Arial"/>
          <w:sz w:val="20"/>
          <w:u w:val="none"/>
        </w:rPr>
        <w:t xml:space="preserve">his </w:t>
      </w:r>
      <w:r w:rsidRPr="00F83BFF">
        <w:rPr>
          <w:rFonts w:ascii="Arial" w:hAnsi="Arial" w:cs="Arial"/>
          <w:sz w:val="20"/>
          <w:u w:val="none"/>
        </w:rPr>
        <w:t>wa</w:t>
      </w:r>
      <w:r w:rsidR="00B8195D" w:rsidRPr="00F83BFF">
        <w:rPr>
          <w:rFonts w:ascii="Arial" w:hAnsi="Arial" w:cs="Arial"/>
          <w:sz w:val="20"/>
          <w:u w:val="none"/>
        </w:rPr>
        <w:t xml:space="preserve">s evidenced by revenue predictions that </w:t>
      </w:r>
      <w:r w:rsidRPr="00F83BFF">
        <w:rPr>
          <w:rFonts w:ascii="Arial" w:hAnsi="Arial" w:cs="Arial"/>
          <w:sz w:val="20"/>
          <w:u w:val="none"/>
        </w:rPr>
        <w:t>we</w:t>
      </w:r>
      <w:r w:rsidR="00B8195D" w:rsidRPr="00F83BFF">
        <w:rPr>
          <w:rFonts w:ascii="Arial" w:hAnsi="Arial" w:cs="Arial"/>
          <w:sz w:val="20"/>
          <w:u w:val="none"/>
        </w:rPr>
        <w:t xml:space="preserve">re growing despite weak (and declining) economic growth and worsening tax buoyancy ratios. </w:t>
      </w:r>
      <w:r w:rsidR="005B59A3" w:rsidRPr="00F83BFF">
        <w:rPr>
          <w:rFonts w:ascii="Arial" w:hAnsi="Arial" w:cs="Arial"/>
          <w:sz w:val="20"/>
          <w:u w:val="none"/>
        </w:rPr>
        <w:t>It pointed out that e</w:t>
      </w:r>
      <w:r w:rsidR="00B8195D" w:rsidRPr="00F83BFF">
        <w:rPr>
          <w:rFonts w:ascii="Arial" w:hAnsi="Arial" w:cs="Arial"/>
          <w:sz w:val="20"/>
          <w:u w:val="none"/>
        </w:rPr>
        <w:t xml:space="preserve">ven the SARS Commissioner stated that these estimates </w:t>
      </w:r>
      <w:r w:rsidR="005B59A3" w:rsidRPr="00F83BFF">
        <w:rPr>
          <w:rFonts w:ascii="Arial" w:hAnsi="Arial" w:cs="Arial"/>
          <w:sz w:val="20"/>
          <w:u w:val="none"/>
        </w:rPr>
        <w:t>we</w:t>
      </w:r>
      <w:r w:rsidR="00B8195D" w:rsidRPr="00F83BFF">
        <w:rPr>
          <w:rFonts w:ascii="Arial" w:hAnsi="Arial" w:cs="Arial"/>
          <w:sz w:val="20"/>
          <w:u w:val="none"/>
        </w:rPr>
        <w:t>re steep and the MTBPS documentation also admit</w:t>
      </w:r>
      <w:r w:rsidR="005B59A3" w:rsidRPr="00F83BFF">
        <w:rPr>
          <w:rFonts w:ascii="Arial" w:hAnsi="Arial" w:cs="Arial"/>
          <w:sz w:val="20"/>
          <w:u w:val="none"/>
        </w:rPr>
        <w:t>ted</w:t>
      </w:r>
      <w:r w:rsidR="00B8195D" w:rsidRPr="00F83BFF">
        <w:rPr>
          <w:rFonts w:ascii="Arial" w:hAnsi="Arial" w:cs="Arial"/>
          <w:sz w:val="20"/>
          <w:u w:val="none"/>
        </w:rPr>
        <w:t xml:space="preserve"> that there is significant uncertainty associated with the projections which could lead to significant downward revisions and put the fiscal strategy under pressure.</w:t>
      </w:r>
    </w:p>
    <w:p w:rsidR="0079251D" w:rsidRPr="00F83BFF" w:rsidRDefault="0079251D" w:rsidP="00F83BFF">
      <w:pPr>
        <w:pStyle w:val="Heading3"/>
        <w:spacing w:before="0" w:line="240" w:lineRule="auto"/>
        <w:rPr>
          <w:rFonts w:ascii="Arial" w:hAnsi="Arial" w:cs="Arial"/>
          <w:sz w:val="20"/>
          <w:u w:val="none"/>
        </w:rPr>
      </w:pPr>
      <w:r w:rsidRPr="00F83BFF">
        <w:rPr>
          <w:rFonts w:ascii="Arial" w:hAnsi="Arial" w:cs="Arial"/>
          <w:sz w:val="20"/>
          <w:u w:val="none"/>
        </w:rPr>
        <w:t xml:space="preserve">In light of the above, SAICA submitted that the </w:t>
      </w:r>
      <w:r w:rsidR="00A86541" w:rsidRPr="00F83BFF">
        <w:rPr>
          <w:rFonts w:ascii="Arial" w:hAnsi="Arial" w:cs="Arial"/>
          <w:sz w:val="20"/>
          <w:u w:val="none"/>
        </w:rPr>
        <w:t>National Treasury should provide Parliament with evidence of their research proving that breaching the 25% tax-to-GDP level will not result in the fiscal policy becoming detrimental to the economy.</w:t>
      </w:r>
      <w:r w:rsidRPr="00F83BFF">
        <w:rPr>
          <w:rFonts w:ascii="Arial" w:hAnsi="Arial" w:cs="Arial"/>
          <w:sz w:val="20"/>
          <w:u w:val="none"/>
        </w:rPr>
        <w:t xml:space="preserve"> </w:t>
      </w:r>
    </w:p>
    <w:p w:rsidR="002B241D" w:rsidRPr="00F83BFF" w:rsidRDefault="00C52ABC" w:rsidP="00F83BFF">
      <w:pPr>
        <w:pStyle w:val="Heading3"/>
        <w:spacing w:before="0" w:line="240" w:lineRule="auto"/>
        <w:rPr>
          <w:rFonts w:ascii="Arial" w:hAnsi="Arial" w:cs="Arial"/>
          <w:sz w:val="20"/>
          <w:u w:val="none"/>
        </w:rPr>
      </w:pPr>
      <w:r w:rsidRPr="00F83BFF">
        <w:rPr>
          <w:rFonts w:ascii="Arial" w:hAnsi="Arial" w:cs="Arial"/>
          <w:sz w:val="20"/>
          <w:u w:val="none"/>
        </w:rPr>
        <w:t>SAICA observed that t</w:t>
      </w:r>
      <w:r w:rsidR="00CE3A7D" w:rsidRPr="00F83BFF">
        <w:rPr>
          <w:rFonts w:ascii="Arial" w:hAnsi="Arial" w:cs="Arial"/>
          <w:sz w:val="20"/>
          <w:u w:val="none"/>
        </w:rPr>
        <w:t xml:space="preserve">he lack of credibility </w:t>
      </w:r>
      <w:r w:rsidRPr="00F83BFF">
        <w:rPr>
          <w:rFonts w:ascii="Arial" w:hAnsi="Arial" w:cs="Arial"/>
          <w:sz w:val="20"/>
          <w:u w:val="none"/>
        </w:rPr>
        <w:t>of the fiscal framework wa</w:t>
      </w:r>
      <w:r w:rsidR="00CE3A7D" w:rsidRPr="00F83BFF">
        <w:rPr>
          <w:rFonts w:ascii="Arial" w:hAnsi="Arial" w:cs="Arial"/>
          <w:sz w:val="20"/>
          <w:u w:val="none"/>
        </w:rPr>
        <w:t xml:space="preserve">s also reflected on the expenditure side, with the consistent breaches of the expenditure ceiling. </w:t>
      </w:r>
      <w:r w:rsidR="002B241D" w:rsidRPr="00F83BFF">
        <w:rPr>
          <w:rFonts w:ascii="Arial" w:hAnsi="Arial" w:cs="Arial"/>
          <w:sz w:val="20"/>
          <w:u w:val="none"/>
        </w:rPr>
        <w:t xml:space="preserve">It said that the </w:t>
      </w:r>
      <w:r w:rsidR="00CE3A7D" w:rsidRPr="00F83BFF">
        <w:rPr>
          <w:rFonts w:ascii="Arial" w:hAnsi="Arial" w:cs="Arial"/>
          <w:sz w:val="20"/>
          <w:u w:val="none"/>
        </w:rPr>
        <w:t>N</w:t>
      </w:r>
      <w:r w:rsidR="002B241D" w:rsidRPr="00F83BFF">
        <w:rPr>
          <w:rFonts w:ascii="Arial" w:hAnsi="Arial" w:cs="Arial"/>
          <w:sz w:val="20"/>
          <w:u w:val="none"/>
        </w:rPr>
        <w:t xml:space="preserve">ational </w:t>
      </w:r>
      <w:r w:rsidR="00CE3A7D" w:rsidRPr="00F83BFF">
        <w:rPr>
          <w:rFonts w:ascii="Arial" w:hAnsi="Arial" w:cs="Arial"/>
          <w:sz w:val="20"/>
          <w:u w:val="none"/>
        </w:rPr>
        <w:t>T</w:t>
      </w:r>
      <w:r w:rsidR="002B241D" w:rsidRPr="00F83BFF">
        <w:rPr>
          <w:rFonts w:ascii="Arial" w:hAnsi="Arial" w:cs="Arial"/>
          <w:sz w:val="20"/>
          <w:u w:val="none"/>
        </w:rPr>
        <w:t>reasury</w:t>
      </w:r>
      <w:r w:rsidR="00CE3A7D" w:rsidRPr="00F83BFF">
        <w:rPr>
          <w:rFonts w:ascii="Arial" w:hAnsi="Arial" w:cs="Arial"/>
          <w:sz w:val="20"/>
          <w:u w:val="none"/>
        </w:rPr>
        <w:t xml:space="preserve"> has noted that the expenditure ceilings </w:t>
      </w:r>
      <w:r w:rsidR="002B241D" w:rsidRPr="00F83BFF">
        <w:rPr>
          <w:rFonts w:ascii="Arial" w:hAnsi="Arial" w:cs="Arial"/>
          <w:sz w:val="20"/>
          <w:u w:val="none"/>
        </w:rPr>
        <w:t>wer</w:t>
      </w:r>
      <w:r w:rsidR="00CE3A7D" w:rsidRPr="00F83BFF">
        <w:rPr>
          <w:rFonts w:ascii="Arial" w:hAnsi="Arial" w:cs="Arial"/>
          <w:sz w:val="20"/>
          <w:u w:val="none"/>
        </w:rPr>
        <w:t xml:space="preserve">e too weak and it </w:t>
      </w:r>
      <w:r w:rsidR="002B241D" w:rsidRPr="00F83BFF">
        <w:rPr>
          <w:rFonts w:ascii="Arial" w:hAnsi="Arial" w:cs="Arial"/>
          <w:sz w:val="20"/>
          <w:u w:val="none"/>
        </w:rPr>
        <w:t>wa</w:t>
      </w:r>
      <w:r w:rsidR="00CE3A7D" w:rsidRPr="00F83BFF">
        <w:rPr>
          <w:rFonts w:ascii="Arial" w:hAnsi="Arial" w:cs="Arial"/>
          <w:sz w:val="20"/>
          <w:u w:val="none"/>
        </w:rPr>
        <w:t>s considering various approaches to safeguard fiscal sustainability and limit excessive deficits, for example, debt ceiling, expenditure or revenue rule.</w:t>
      </w:r>
    </w:p>
    <w:p w:rsidR="00AB7EDF" w:rsidRPr="00F83BFF" w:rsidRDefault="002B241D" w:rsidP="00F83BFF">
      <w:pPr>
        <w:pStyle w:val="Heading3"/>
        <w:spacing w:before="0" w:line="240" w:lineRule="auto"/>
        <w:rPr>
          <w:rFonts w:ascii="Arial" w:hAnsi="Arial" w:cs="Arial"/>
          <w:sz w:val="20"/>
          <w:u w:val="none"/>
        </w:rPr>
      </w:pPr>
      <w:r w:rsidRPr="00F83BFF">
        <w:rPr>
          <w:rFonts w:ascii="Arial" w:hAnsi="Arial" w:cs="Arial"/>
          <w:sz w:val="20"/>
          <w:u w:val="none"/>
        </w:rPr>
        <w:t xml:space="preserve">In this regard, SAICA submitted that the </w:t>
      </w:r>
      <w:r w:rsidR="00F4016D" w:rsidRPr="00F83BFF">
        <w:rPr>
          <w:rFonts w:ascii="Arial" w:hAnsi="Arial" w:cs="Arial"/>
          <w:sz w:val="20"/>
          <w:u w:val="none"/>
        </w:rPr>
        <w:t>N</w:t>
      </w:r>
      <w:r w:rsidRPr="00F83BFF">
        <w:rPr>
          <w:rFonts w:ascii="Arial" w:hAnsi="Arial" w:cs="Arial"/>
          <w:sz w:val="20"/>
          <w:u w:val="none"/>
        </w:rPr>
        <w:t xml:space="preserve">ational </w:t>
      </w:r>
      <w:r w:rsidR="00F4016D" w:rsidRPr="00F83BFF">
        <w:rPr>
          <w:rFonts w:ascii="Arial" w:hAnsi="Arial" w:cs="Arial"/>
          <w:sz w:val="20"/>
          <w:u w:val="none"/>
        </w:rPr>
        <w:t>T</w:t>
      </w:r>
      <w:r w:rsidRPr="00F83BFF">
        <w:rPr>
          <w:rFonts w:ascii="Arial" w:hAnsi="Arial" w:cs="Arial"/>
          <w:sz w:val="20"/>
          <w:u w:val="none"/>
        </w:rPr>
        <w:t>reasury</w:t>
      </w:r>
      <w:r w:rsidR="00F4016D" w:rsidRPr="00F83BFF">
        <w:rPr>
          <w:rFonts w:ascii="Arial" w:hAnsi="Arial" w:cs="Arial"/>
          <w:sz w:val="20"/>
          <w:u w:val="none"/>
        </w:rPr>
        <w:t xml:space="preserve"> should be requested to provide regular feedback on its research on the most appropriate model/policy to safeguard the country’s fiscal stability.</w:t>
      </w:r>
    </w:p>
    <w:p w:rsidR="00AF1896" w:rsidRPr="00F83BFF" w:rsidRDefault="00AB7EDF" w:rsidP="00F83BFF">
      <w:pPr>
        <w:pStyle w:val="Heading3"/>
        <w:spacing w:before="0" w:line="240" w:lineRule="auto"/>
        <w:rPr>
          <w:rFonts w:ascii="Arial" w:hAnsi="Arial" w:cs="Arial"/>
          <w:sz w:val="20"/>
          <w:u w:val="none"/>
        </w:rPr>
      </w:pPr>
      <w:r w:rsidRPr="00F83BFF">
        <w:rPr>
          <w:rFonts w:ascii="Arial" w:hAnsi="Arial" w:cs="Arial"/>
          <w:sz w:val="20"/>
          <w:u w:val="none"/>
        </w:rPr>
        <w:t>SAICA pointed out that the u</w:t>
      </w:r>
      <w:r w:rsidR="00F4016D" w:rsidRPr="00F83BFF">
        <w:rPr>
          <w:rFonts w:ascii="Arial" w:hAnsi="Arial" w:cs="Arial"/>
          <w:sz w:val="20"/>
          <w:u w:val="none"/>
        </w:rPr>
        <w:t xml:space="preserve">nbudgeted items remain a significant risk to the credibility of the budget. </w:t>
      </w:r>
      <w:r w:rsidRPr="00F83BFF">
        <w:rPr>
          <w:rFonts w:ascii="Arial" w:hAnsi="Arial" w:cs="Arial"/>
          <w:sz w:val="20"/>
          <w:u w:val="none"/>
        </w:rPr>
        <w:t xml:space="preserve">It said that it </w:t>
      </w:r>
      <w:r w:rsidR="00F4016D" w:rsidRPr="00F83BFF">
        <w:rPr>
          <w:rFonts w:ascii="Arial" w:hAnsi="Arial" w:cs="Arial"/>
          <w:sz w:val="20"/>
          <w:u w:val="none"/>
        </w:rPr>
        <w:t>noted these in its 2022 Budget Review and Appropriations Bill submissions and these included: S</w:t>
      </w:r>
      <w:r w:rsidR="00D10BC3" w:rsidRPr="00F83BFF">
        <w:rPr>
          <w:rFonts w:ascii="Arial" w:hAnsi="Arial" w:cs="Arial"/>
          <w:sz w:val="20"/>
          <w:u w:val="none"/>
        </w:rPr>
        <w:t>O</w:t>
      </w:r>
      <w:r w:rsidR="00F4016D" w:rsidRPr="00F83BFF">
        <w:rPr>
          <w:rFonts w:ascii="Arial" w:hAnsi="Arial" w:cs="Arial"/>
          <w:sz w:val="20"/>
          <w:u w:val="none"/>
        </w:rPr>
        <w:t>Es contingent liabilities that are fast becoming government debt, financial support for municipalities that are in a precarious financial health situation, costs to fix the dilapidated water and sanitation infrastructure, costs needed to appoint 12 000 new police recruits as promised by the President in the 2022 SONA</w:t>
      </w:r>
      <w:r w:rsidR="00D10BC3" w:rsidRPr="00F83BFF">
        <w:rPr>
          <w:rFonts w:ascii="Arial" w:hAnsi="Arial" w:cs="Arial"/>
          <w:sz w:val="20"/>
          <w:u w:val="none"/>
        </w:rPr>
        <w:t xml:space="preserve"> - </w:t>
      </w:r>
      <w:r w:rsidR="00F4016D" w:rsidRPr="00F83BFF">
        <w:rPr>
          <w:rFonts w:ascii="Arial" w:hAnsi="Arial" w:cs="Arial"/>
          <w:sz w:val="20"/>
          <w:u w:val="none"/>
        </w:rPr>
        <w:t xml:space="preserve">as inflation will erode the increases given to the Police Department in the 2022 Budget, IRBA’s financing needs and the potential underfunding of the long-term funding requirements of the GEPF. </w:t>
      </w:r>
    </w:p>
    <w:p w:rsidR="00B54250" w:rsidRPr="00F83BFF" w:rsidRDefault="0018445B" w:rsidP="00F83BFF">
      <w:pPr>
        <w:pStyle w:val="Heading3"/>
        <w:spacing w:before="0" w:line="240" w:lineRule="auto"/>
        <w:rPr>
          <w:rFonts w:ascii="Arial" w:hAnsi="Arial" w:cs="Arial"/>
          <w:sz w:val="20"/>
          <w:u w:val="none"/>
        </w:rPr>
      </w:pPr>
      <w:r w:rsidRPr="00F83BFF">
        <w:rPr>
          <w:rFonts w:ascii="Arial" w:hAnsi="Arial" w:cs="Arial"/>
          <w:sz w:val="20"/>
          <w:u w:val="none"/>
        </w:rPr>
        <w:t>SAICA stated that t</w:t>
      </w:r>
      <w:r w:rsidR="00F4016D" w:rsidRPr="00F83BFF">
        <w:rPr>
          <w:rFonts w:ascii="Arial" w:hAnsi="Arial" w:cs="Arial"/>
          <w:sz w:val="20"/>
          <w:u w:val="none"/>
        </w:rPr>
        <w:t xml:space="preserve">he latest known unbudgeted expenses are the Eskom debt that will be taken over by the government (+/-R200 billion) as well as the wage increases for 2023/24. </w:t>
      </w:r>
      <w:r w:rsidRPr="00F83BFF">
        <w:rPr>
          <w:rFonts w:ascii="Arial" w:hAnsi="Arial" w:cs="Arial"/>
          <w:sz w:val="20"/>
          <w:u w:val="none"/>
        </w:rPr>
        <w:t xml:space="preserve">It said that the other one is </w:t>
      </w:r>
      <w:r w:rsidR="00F4016D" w:rsidRPr="00F83BFF">
        <w:rPr>
          <w:rFonts w:ascii="Arial" w:hAnsi="Arial" w:cs="Arial"/>
          <w:sz w:val="20"/>
          <w:u w:val="none"/>
        </w:rPr>
        <w:t>increase in wages of 3.1% for the medium</w:t>
      </w:r>
      <w:r w:rsidRPr="00F83BFF">
        <w:rPr>
          <w:rFonts w:ascii="Arial" w:hAnsi="Arial" w:cs="Arial"/>
          <w:sz w:val="20"/>
          <w:u w:val="none"/>
        </w:rPr>
        <w:t>-</w:t>
      </w:r>
      <w:r w:rsidR="00F4016D" w:rsidRPr="00F83BFF">
        <w:rPr>
          <w:rFonts w:ascii="Arial" w:hAnsi="Arial" w:cs="Arial"/>
          <w:sz w:val="20"/>
          <w:u w:val="none"/>
        </w:rPr>
        <w:t>term</w:t>
      </w:r>
      <w:r w:rsidR="00B54250" w:rsidRPr="00F83BFF">
        <w:rPr>
          <w:rFonts w:ascii="Arial" w:hAnsi="Arial" w:cs="Arial"/>
          <w:sz w:val="20"/>
          <w:u w:val="none"/>
        </w:rPr>
        <w:t>, which</w:t>
      </w:r>
      <w:r w:rsidR="00F4016D" w:rsidRPr="00F83BFF">
        <w:rPr>
          <w:rFonts w:ascii="Arial" w:hAnsi="Arial" w:cs="Arial"/>
          <w:sz w:val="20"/>
          <w:u w:val="none"/>
        </w:rPr>
        <w:t xml:space="preserve"> is insufficient considering the unions’ current demands of between 6% to 10%.</w:t>
      </w:r>
    </w:p>
    <w:p w:rsidR="000E0E01" w:rsidRPr="00F83BFF" w:rsidRDefault="00B54250" w:rsidP="00F83BFF">
      <w:pPr>
        <w:pStyle w:val="Heading3"/>
        <w:spacing w:before="0" w:line="240" w:lineRule="auto"/>
        <w:rPr>
          <w:rFonts w:ascii="Arial" w:hAnsi="Arial" w:cs="Arial"/>
          <w:sz w:val="20"/>
          <w:u w:val="none"/>
        </w:rPr>
      </w:pPr>
      <w:r w:rsidRPr="00F83BFF">
        <w:rPr>
          <w:rFonts w:ascii="Arial" w:hAnsi="Arial" w:cs="Arial"/>
          <w:sz w:val="20"/>
          <w:u w:val="none"/>
        </w:rPr>
        <w:t>SAICA submitted that t</w:t>
      </w:r>
      <w:r w:rsidR="0068330A" w:rsidRPr="00F83BFF">
        <w:rPr>
          <w:rFonts w:ascii="Arial" w:hAnsi="Arial" w:cs="Arial"/>
          <w:sz w:val="20"/>
          <w:u w:val="none"/>
        </w:rPr>
        <w:t xml:space="preserve">he budget should be adjusted to cater for at least a realistic estimate of the above matters. Furthermore, professionalising the public sector should be expedited so that the structural mix as well as individual performance management can start being addressed. </w:t>
      </w:r>
      <w:r w:rsidRPr="00F83BFF">
        <w:rPr>
          <w:rFonts w:ascii="Arial" w:hAnsi="Arial" w:cs="Arial"/>
          <w:sz w:val="20"/>
          <w:u w:val="none"/>
        </w:rPr>
        <w:t>It submitted that r</w:t>
      </w:r>
      <w:r w:rsidR="0068330A" w:rsidRPr="00F83BFF">
        <w:rPr>
          <w:rFonts w:ascii="Arial" w:hAnsi="Arial" w:cs="Arial"/>
          <w:sz w:val="20"/>
          <w:u w:val="none"/>
        </w:rPr>
        <w:t>egarding the S</w:t>
      </w:r>
      <w:r w:rsidR="008B0C2D" w:rsidRPr="00F83BFF">
        <w:rPr>
          <w:rFonts w:ascii="Arial" w:hAnsi="Arial" w:cs="Arial"/>
          <w:sz w:val="20"/>
          <w:u w:val="none"/>
        </w:rPr>
        <w:t>O</w:t>
      </w:r>
      <w:r w:rsidR="0068330A" w:rsidRPr="00F83BFF">
        <w:rPr>
          <w:rFonts w:ascii="Arial" w:hAnsi="Arial" w:cs="Arial"/>
          <w:sz w:val="20"/>
          <w:u w:val="none"/>
        </w:rPr>
        <w:t xml:space="preserve">Es, </w:t>
      </w:r>
      <w:r w:rsidRPr="00F83BFF">
        <w:rPr>
          <w:rFonts w:ascii="Arial" w:hAnsi="Arial" w:cs="Arial"/>
          <w:sz w:val="20"/>
          <w:u w:val="none"/>
        </w:rPr>
        <w:t xml:space="preserve">the </w:t>
      </w:r>
      <w:r w:rsidR="0068330A" w:rsidRPr="00F83BFF">
        <w:rPr>
          <w:rFonts w:ascii="Arial" w:hAnsi="Arial" w:cs="Arial"/>
          <w:sz w:val="20"/>
          <w:u w:val="none"/>
        </w:rPr>
        <w:t>N</w:t>
      </w:r>
      <w:r w:rsidRPr="00F83BFF">
        <w:rPr>
          <w:rFonts w:ascii="Arial" w:hAnsi="Arial" w:cs="Arial"/>
          <w:sz w:val="20"/>
          <w:u w:val="none"/>
        </w:rPr>
        <w:t xml:space="preserve">ational </w:t>
      </w:r>
      <w:r w:rsidR="0068330A" w:rsidRPr="00F83BFF">
        <w:rPr>
          <w:rFonts w:ascii="Arial" w:hAnsi="Arial" w:cs="Arial"/>
          <w:sz w:val="20"/>
          <w:u w:val="none"/>
        </w:rPr>
        <w:t>T</w:t>
      </w:r>
      <w:r w:rsidRPr="00F83BFF">
        <w:rPr>
          <w:rFonts w:ascii="Arial" w:hAnsi="Arial" w:cs="Arial"/>
          <w:sz w:val="20"/>
          <w:u w:val="none"/>
        </w:rPr>
        <w:t>reasury</w:t>
      </w:r>
      <w:r w:rsidR="0068330A" w:rsidRPr="00F83BFF">
        <w:rPr>
          <w:rFonts w:ascii="Arial" w:hAnsi="Arial" w:cs="Arial"/>
          <w:sz w:val="20"/>
          <w:u w:val="none"/>
        </w:rPr>
        <w:t xml:space="preserve"> should be requested to prepare a risk-based schedule of all guarantees with a reasonable estimate of risk realization in the medium</w:t>
      </w:r>
      <w:r w:rsidR="008B0C2D" w:rsidRPr="00F83BFF">
        <w:rPr>
          <w:rFonts w:ascii="Arial" w:hAnsi="Arial" w:cs="Arial"/>
          <w:sz w:val="20"/>
          <w:u w:val="none"/>
        </w:rPr>
        <w:t>-</w:t>
      </w:r>
      <w:r w:rsidR="0068330A" w:rsidRPr="00F83BFF">
        <w:rPr>
          <w:rFonts w:ascii="Arial" w:hAnsi="Arial" w:cs="Arial"/>
          <w:sz w:val="20"/>
          <w:u w:val="none"/>
        </w:rPr>
        <w:t>term and P</w:t>
      </w:r>
      <w:r w:rsidR="000E0E01" w:rsidRPr="00F83BFF">
        <w:rPr>
          <w:rFonts w:ascii="Arial" w:hAnsi="Arial" w:cs="Arial"/>
          <w:sz w:val="20"/>
          <w:u w:val="none"/>
        </w:rPr>
        <w:t xml:space="preserve">ublic </w:t>
      </w:r>
      <w:r w:rsidR="0068330A" w:rsidRPr="00F83BFF">
        <w:rPr>
          <w:rFonts w:ascii="Arial" w:hAnsi="Arial" w:cs="Arial"/>
          <w:sz w:val="20"/>
          <w:u w:val="none"/>
        </w:rPr>
        <w:t>P</w:t>
      </w:r>
      <w:r w:rsidR="000E0E01" w:rsidRPr="00F83BFF">
        <w:rPr>
          <w:rFonts w:ascii="Arial" w:hAnsi="Arial" w:cs="Arial"/>
          <w:sz w:val="20"/>
          <w:u w:val="none"/>
        </w:rPr>
        <w:t xml:space="preserve">rivate </w:t>
      </w:r>
      <w:r w:rsidR="0068330A" w:rsidRPr="00F83BFF">
        <w:rPr>
          <w:rFonts w:ascii="Arial" w:hAnsi="Arial" w:cs="Arial"/>
          <w:sz w:val="20"/>
          <w:u w:val="none"/>
        </w:rPr>
        <w:t>P</w:t>
      </w:r>
      <w:r w:rsidR="000E0E01" w:rsidRPr="00F83BFF">
        <w:rPr>
          <w:rFonts w:ascii="Arial" w:hAnsi="Arial" w:cs="Arial"/>
          <w:sz w:val="20"/>
          <w:u w:val="none"/>
        </w:rPr>
        <w:t>artnerships</w:t>
      </w:r>
      <w:r w:rsidR="0068330A" w:rsidRPr="00F83BFF">
        <w:rPr>
          <w:rFonts w:ascii="Arial" w:hAnsi="Arial" w:cs="Arial"/>
          <w:sz w:val="20"/>
          <w:u w:val="none"/>
        </w:rPr>
        <w:t xml:space="preserve"> should be escalated. </w:t>
      </w:r>
      <w:r w:rsidR="000E0E01" w:rsidRPr="00F83BFF">
        <w:rPr>
          <w:rFonts w:ascii="Arial" w:hAnsi="Arial" w:cs="Arial"/>
          <w:sz w:val="20"/>
          <w:u w:val="none"/>
        </w:rPr>
        <w:t>It added that t</w:t>
      </w:r>
      <w:r w:rsidR="0068330A" w:rsidRPr="00F83BFF">
        <w:rPr>
          <w:rFonts w:ascii="Arial" w:hAnsi="Arial" w:cs="Arial"/>
          <w:sz w:val="20"/>
          <w:u w:val="none"/>
        </w:rPr>
        <w:t>he R479 billion accumulated deficit of the Road Accident Fund needs urgent attention.</w:t>
      </w:r>
    </w:p>
    <w:p w:rsidR="00250FC1" w:rsidRPr="00F83BFF" w:rsidRDefault="000E0E01" w:rsidP="00F83BFF">
      <w:pPr>
        <w:pStyle w:val="Heading3"/>
        <w:spacing w:before="0" w:line="240" w:lineRule="auto"/>
        <w:rPr>
          <w:rFonts w:ascii="Arial" w:hAnsi="Arial" w:cs="Arial"/>
          <w:sz w:val="20"/>
          <w:u w:val="none"/>
        </w:rPr>
      </w:pPr>
      <w:r w:rsidRPr="00F83BFF">
        <w:rPr>
          <w:rFonts w:ascii="Arial" w:hAnsi="Arial" w:cs="Arial"/>
          <w:sz w:val="20"/>
          <w:u w:val="none"/>
        </w:rPr>
        <w:t>SAICA stated that t</w:t>
      </w:r>
      <w:r w:rsidR="001B270E" w:rsidRPr="00F83BFF">
        <w:rPr>
          <w:rFonts w:ascii="Arial" w:hAnsi="Arial" w:cs="Arial"/>
          <w:sz w:val="20"/>
          <w:u w:val="none"/>
        </w:rPr>
        <w:t>he MOST SERIOUS RISK to the budget is, however,</w:t>
      </w:r>
      <w:r w:rsidR="008B0C2D" w:rsidRPr="00F83BFF">
        <w:rPr>
          <w:rFonts w:ascii="Arial" w:hAnsi="Arial" w:cs="Arial"/>
          <w:sz w:val="20"/>
          <w:u w:val="none"/>
        </w:rPr>
        <w:t xml:space="preserve"> </w:t>
      </w:r>
      <w:r w:rsidRPr="00F83BFF">
        <w:rPr>
          <w:rFonts w:ascii="Arial" w:hAnsi="Arial" w:cs="Arial"/>
          <w:sz w:val="20"/>
          <w:u w:val="none"/>
        </w:rPr>
        <w:t>“</w:t>
      </w:r>
      <w:r w:rsidR="001B270E" w:rsidRPr="00F83BFF">
        <w:rPr>
          <w:rFonts w:ascii="Arial" w:hAnsi="Arial" w:cs="Arial"/>
          <w:sz w:val="20"/>
          <w:u w:val="none"/>
        </w:rPr>
        <w:t>the inevitable grey listing</w:t>
      </w:r>
      <w:r w:rsidR="00250FC1" w:rsidRPr="00F83BFF">
        <w:rPr>
          <w:rFonts w:ascii="Arial" w:hAnsi="Arial" w:cs="Arial"/>
          <w:sz w:val="20"/>
          <w:u w:val="none"/>
        </w:rPr>
        <w:t>”</w:t>
      </w:r>
      <w:r w:rsidR="001B270E" w:rsidRPr="00F83BFF">
        <w:rPr>
          <w:rFonts w:ascii="Arial" w:hAnsi="Arial" w:cs="Arial"/>
          <w:sz w:val="20"/>
          <w:u w:val="none"/>
        </w:rPr>
        <w:t xml:space="preserve"> </w:t>
      </w:r>
      <w:r w:rsidR="00250FC1" w:rsidRPr="00F83BFF">
        <w:rPr>
          <w:rFonts w:ascii="Arial" w:hAnsi="Arial" w:cs="Arial"/>
          <w:sz w:val="20"/>
          <w:u w:val="none"/>
        </w:rPr>
        <w:t xml:space="preserve">of South Africa </w:t>
      </w:r>
      <w:r w:rsidR="001B270E" w:rsidRPr="00F83BFF">
        <w:rPr>
          <w:rFonts w:ascii="Arial" w:hAnsi="Arial" w:cs="Arial"/>
          <w:sz w:val="20"/>
          <w:u w:val="none"/>
        </w:rPr>
        <w:t xml:space="preserve">by FATF. </w:t>
      </w:r>
      <w:r w:rsidR="00250FC1" w:rsidRPr="00F83BFF">
        <w:rPr>
          <w:rFonts w:ascii="Arial" w:hAnsi="Arial" w:cs="Arial"/>
          <w:sz w:val="20"/>
          <w:u w:val="none"/>
        </w:rPr>
        <w:t>SAICA said that t</w:t>
      </w:r>
      <w:r w:rsidR="001B270E" w:rsidRPr="00F83BFF">
        <w:rPr>
          <w:rFonts w:ascii="Arial" w:hAnsi="Arial" w:cs="Arial"/>
          <w:sz w:val="20"/>
          <w:u w:val="none"/>
        </w:rPr>
        <w:t xml:space="preserve">his </w:t>
      </w:r>
      <w:r w:rsidR="00250FC1" w:rsidRPr="00F83BFF">
        <w:rPr>
          <w:rFonts w:ascii="Arial" w:hAnsi="Arial" w:cs="Arial"/>
          <w:sz w:val="20"/>
          <w:u w:val="none"/>
        </w:rPr>
        <w:t xml:space="preserve">appeared to have not </w:t>
      </w:r>
      <w:r w:rsidR="001B270E" w:rsidRPr="00F83BFF">
        <w:rPr>
          <w:rFonts w:ascii="Arial" w:hAnsi="Arial" w:cs="Arial"/>
          <w:sz w:val="20"/>
          <w:u w:val="none"/>
        </w:rPr>
        <w:t xml:space="preserve">been factored in at all, yet it will have a profound effect on the budget and cash reserves in the National Revenue Fund that are already decreasing rapidly. </w:t>
      </w:r>
      <w:r w:rsidR="00250FC1" w:rsidRPr="00F83BFF">
        <w:rPr>
          <w:rFonts w:ascii="Arial" w:hAnsi="Arial" w:cs="Arial"/>
          <w:sz w:val="20"/>
          <w:u w:val="none"/>
        </w:rPr>
        <w:t>SAICA submitted that t</w:t>
      </w:r>
      <w:r w:rsidR="001B270E" w:rsidRPr="00F83BFF">
        <w:rPr>
          <w:rFonts w:ascii="Arial" w:hAnsi="Arial" w:cs="Arial"/>
          <w:sz w:val="20"/>
          <w:u w:val="none"/>
        </w:rPr>
        <w:t xml:space="preserve">he budget should have at least prioritised immediate allocations to departments/entities tasked with enforcing the law, such as to the NPA for instance, by </w:t>
      </w:r>
      <w:r w:rsidR="00250FC1" w:rsidRPr="00F83BFF">
        <w:rPr>
          <w:rFonts w:ascii="Arial" w:hAnsi="Arial" w:cs="Arial"/>
          <w:sz w:val="20"/>
          <w:u w:val="none"/>
        </w:rPr>
        <w:t>re</w:t>
      </w:r>
      <w:r w:rsidR="001B270E" w:rsidRPr="00F83BFF">
        <w:rPr>
          <w:rFonts w:ascii="Arial" w:hAnsi="Arial" w:cs="Arial"/>
          <w:sz w:val="20"/>
          <w:u w:val="none"/>
        </w:rPr>
        <w:t xml:space="preserve">allocating </w:t>
      </w:r>
      <w:r w:rsidR="00250FC1" w:rsidRPr="00F83BFF">
        <w:rPr>
          <w:rFonts w:ascii="Arial" w:hAnsi="Arial" w:cs="Arial"/>
          <w:sz w:val="20"/>
          <w:u w:val="none"/>
        </w:rPr>
        <w:t xml:space="preserve">the </w:t>
      </w:r>
      <w:r w:rsidR="001B270E" w:rsidRPr="00F83BFF">
        <w:rPr>
          <w:rFonts w:ascii="Arial" w:hAnsi="Arial" w:cs="Arial"/>
          <w:sz w:val="20"/>
          <w:u w:val="none"/>
        </w:rPr>
        <w:t xml:space="preserve">R1.7bn from the “VIP unit” budget. </w:t>
      </w:r>
    </w:p>
    <w:p w:rsidR="000246A9" w:rsidRPr="00F83BFF" w:rsidRDefault="00250FC1" w:rsidP="00F83BFF">
      <w:pPr>
        <w:pStyle w:val="Heading3"/>
        <w:spacing w:before="0" w:line="240" w:lineRule="auto"/>
        <w:rPr>
          <w:rFonts w:ascii="Arial" w:hAnsi="Arial" w:cs="Arial"/>
          <w:sz w:val="20"/>
          <w:u w:val="none"/>
        </w:rPr>
      </w:pPr>
      <w:r w:rsidRPr="00F83BFF">
        <w:rPr>
          <w:rFonts w:ascii="Arial" w:hAnsi="Arial" w:cs="Arial"/>
          <w:sz w:val="20"/>
          <w:u w:val="none"/>
        </w:rPr>
        <w:t>Lastl</w:t>
      </w:r>
      <w:r w:rsidR="00807DE3" w:rsidRPr="00F83BFF">
        <w:rPr>
          <w:rFonts w:ascii="Arial" w:hAnsi="Arial" w:cs="Arial"/>
          <w:sz w:val="20"/>
          <w:u w:val="none"/>
        </w:rPr>
        <w:t xml:space="preserve">y, SAICA submitted that </w:t>
      </w:r>
      <w:r w:rsidR="001B270E" w:rsidRPr="00F83BFF">
        <w:rPr>
          <w:rFonts w:ascii="Arial" w:hAnsi="Arial" w:cs="Arial"/>
          <w:sz w:val="20"/>
          <w:u w:val="none"/>
        </w:rPr>
        <w:t>Parliament should review its committee mandate concerning the separation between SCoF, SCoA and SCoPA to ensure that oversight obligations don’t fall in-between the cracks and that Parliament is effective as a single collective arm of government</w:t>
      </w:r>
      <w:r w:rsidR="000246A9" w:rsidRPr="00F83BFF">
        <w:rPr>
          <w:rFonts w:ascii="Arial" w:hAnsi="Arial" w:cs="Arial"/>
          <w:sz w:val="20"/>
          <w:u w:val="none"/>
        </w:rPr>
        <w:t>.</w:t>
      </w:r>
    </w:p>
    <w:p w:rsidR="00343670" w:rsidRPr="00F83BFF" w:rsidRDefault="00343670" w:rsidP="00F83BFF">
      <w:pPr>
        <w:pStyle w:val="MainPara"/>
        <w:spacing w:before="0" w:line="240" w:lineRule="auto"/>
        <w:jc w:val="left"/>
        <w:rPr>
          <w:rFonts w:ascii="Arial" w:hAnsi="Arial" w:cs="Arial"/>
          <w:sz w:val="20"/>
        </w:rPr>
      </w:pPr>
    </w:p>
    <w:p w:rsidR="000246A9" w:rsidRPr="00F83BFF" w:rsidRDefault="000246A9" w:rsidP="00F83BFF">
      <w:pPr>
        <w:pStyle w:val="MainPara"/>
        <w:spacing w:before="0" w:line="240" w:lineRule="auto"/>
        <w:jc w:val="left"/>
        <w:rPr>
          <w:rFonts w:ascii="Arial" w:hAnsi="Arial" w:cs="Arial"/>
          <w:b/>
          <w:bCs/>
          <w:sz w:val="20"/>
        </w:rPr>
      </w:pPr>
      <w:r w:rsidRPr="00F83BFF">
        <w:rPr>
          <w:rFonts w:ascii="Arial" w:hAnsi="Arial" w:cs="Arial"/>
          <w:b/>
          <w:bCs/>
          <w:sz w:val="20"/>
        </w:rPr>
        <w:t>Institute for Economic Justice (IEJ)</w:t>
      </w:r>
    </w:p>
    <w:p w:rsidR="00DE0F68" w:rsidRPr="00F83BFF" w:rsidRDefault="0011373D" w:rsidP="00F83BFF">
      <w:pPr>
        <w:pStyle w:val="Heading3"/>
        <w:spacing w:before="0" w:line="240" w:lineRule="auto"/>
        <w:rPr>
          <w:rFonts w:ascii="Arial" w:hAnsi="Arial" w:cs="Arial"/>
          <w:sz w:val="20"/>
          <w:u w:val="none"/>
        </w:rPr>
      </w:pPr>
      <w:r w:rsidRPr="00F83BFF">
        <w:rPr>
          <w:rFonts w:ascii="Arial" w:hAnsi="Arial" w:cs="Arial"/>
          <w:sz w:val="20"/>
          <w:u w:val="none"/>
        </w:rPr>
        <w:t>The IEJ recommend</w:t>
      </w:r>
      <w:r w:rsidR="000246A9" w:rsidRPr="00F83BFF">
        <w:rPr>
          <w:rFonts w:ascii="Arial" w:hAnsi="Arial" w:cs="Arial"/>
          <w:sz w:val="20"/>
          <w:u w:val="none"/>
        </w:rPr>
        <w:t>ed</w:t>
      </w:r>
      <w:r w:rsidRPr="00F83BFF">
        <w:rPr>
          <w:rFonts w:ascii="Arial" w:hAnsi="Arial" w:cs="Arial"/>
          <w:sz w:val="20"/>
          <w:u w:val="none"/>
        </w:rPr>
        <w:t xml:space="preserve"> that the Committee calls on the Minister of Finance to put the needs of all</w:t>
      </w:r>
      <w:r w:rsidR="000246A9" w:rsidRPr="00F83BFF">
        <w:rPr>
          <w:rFonts w:ascii="Arial" w:hAnsi="Arial" w:cs="Arial"/>
          <w:sz w:val="20"/>
          <w:u w:val="none"/>
        </w:rPr>
        <w:t xml:space="preserve"> </w:t>
      </w:r>
      <w:r w:rsidRPr="00F83BFF">
        <w:rPr>
          <w:rFonts w:ascii="Arial" w:hAnsi="Arial" w:cs="Arial"/>
          <w:sz w:val="20"/>
          <w:u w:val="none"/>
        </w:rPr>
        <w:t xml:space="preserve">South Africans at the centre of the </w:t>
      </w:r>
      <w:r w:rsidR="008B0C2D" w:rsidRPr="00F83BFF">
        <w:rPr>
          <w:rFonts w:ascii="Arial" w:hAnsi="Arial" w:cs="Arial"/>
          <w:sz w:val="20"/>
          <w:u w:val="none"/>
        </w:rPr>
        <w:t>b</w:t>
      </w:r>
      <w:r w:rsidRPr="00F83BFF">
        <w:rPr>
          <w:rFonts w:ascii="Arial" w:hAnsi="Arial" w:cs="Arial"/>
          <w:sz w:val="20"/>
          <w:u w:val="none"/>
        </w:rPr>
        <w:t xml:space="preserve">udget and budget processes. </w:t>
      </w:r>
      <w:r w:rsidR="00DE0F68" w:rsidRPr="00F83BFF">
        <w:rPr>
          <w:rFonts w:ascii="Arial" w:hAnsi="Arial" w:cs="Arial"/>
          <w:sz w:val="20"/>
          <w:u w:val="none"/>
        </w:rPr>
        <w:t>It said that t</w:t>
      </w:r>
      <w:r w:rsidRPr="00F83BFF">
        <w:rPr>
          <w:rFonts w:ascii="Arial" w:hAnsi="Arial" w:cs="Arial"/>
          <w:sz w:val="20"/>
          <w:u w:val="none"/>
        </w:rPr>
        <w:t>his entail</w:t>
      </w:r>
      <w:r w:rsidR="00DE0F68" w:rsidRPr="00F83BFF">
        <w:rPr>
          <w:rFonts w:ascii="Arial" w:hAnsi="Arial" w:cs="Arial"/>
          <w:sz w:val="20"/>
          <w:u w:val="none"/>
        </w:rPr>
        <w:t>ed</w:t>
      </w:r>
      <w:r w:rsidRPr="00F83BFF">
        <w:rPr>
          <w:rFonts w:ascii="Arial" w:hAnsi="Arial" w:cs="Arial"/>
          <w:sz w:val="20"/>
          <w:u w:val="none"/>
        </w:rPr>
        <w:t xml:space="preserve"> a radical shift in</w:t>
      </w:r>
      <w:r w:rsidR="00DE0F68" w:rsidRPr="00F83BFF">
        <w:rPr>
          <w:rFonts w:ascii="Arial" w:hAnsi="Arial" w:cs="Arial"/>
          <w:sz w:val="20"/>
          <w:u w:val="none"/>
        </w:rPr>
        <w:t xml:space="preserve"> </w:t>
      </w:r>
      <w:r w:rsidRPr="00F83BFF">
        <w:rPr>
          <w:rFonts w:ascii="Arial" w:hAnsi="Arial" w:cs="Arial"/>
          <w:sz w:val="20"/>
          <w:u w:val="none"/>
        </w:rPr>
        <w:t>the fiscal framework, from focusing on short-term goals such as the primary budget surplus to</w:t>
      </w:r>
      <w:r w:rsidR="00DE0F68" w:rsidRPr="00F83BFF">
        <w:rPr>
          <w:rFonts w:ascii="Arial" w:hAnsi="Arial" w:cs="Arial"/>
          <w:sz w:val="20"/>
          <w:u w:val="none"/>
        </w:rPr>
        <w:t xml:space="preserve"> </w:t>
      </w:r>
      <w:r w:rsidRPr="00F83BFF">
        <w:rPr>
          <w:rFonts w:ascii="Arial" w:hAnsi="Arial" w:cs="Arial"/>
          <w:sz w:val="20"/>
          <w:u w:val="none"/>
        </w:rPr>
        <w:t xml:space="preserve">targeting unemployment, poverty, and inequality. </w:t>
      </w:r>
      <w:r w:rsidR="00DE0F68" w:rsidRPr="00F83BFF">
        <w:rPr>
          <w:rFonts w:ascii="Arial" w:hAnsi="Arial" w:cs="Arial"/>
          <w:sz w:val="20"/>
          <w:u w:val="none"/>
        </w:rPr>
        <w:t xml:space="preserve"> It emphasised that t</w:t>
      </w:r>
      <w:r w:rsidRPr="00F83BFF">
        <w:rPr>
          <w:rFonts w:ascii="Arial" w:hAnsi="Arial" w:cs="Arial"/>
          <w:sz w:val="20"/>
          <w:u w:val="none"/>
        </w:rPr>
        <w:t>he urgency of resolving this triple burden is</w:t>
      </w:r>
      <w:r w:rsidR="00DE0F68" w:rsidRPr="00F83BFF">
        <w:rPr>
          <w:rFonts w:ascii="Arial" w:hAnsi="Arial" w:cs="Arial"/>
          <w:sz w:val="20"/>
          <w:u w:val="none"/>
        </w:rPr>
        <w:t xml:space="preserve"> </w:t>
      </w:r>
      <w:r w:rsidRPr="00F83BFF">
        <w:rPr>
          <w:rFonts w:ascii="Arial" w:hAnsi="Arial" w:cs="Arial"/>
          <w:sz w:val="20"/>
          <w:u w:val="none"/>
        </w:rPr>
        <w:t xml:space="preserve">more pronounced in the context of a rising cost of </w:t>
      </w:r>
      <w:r w:rsidRPr="00F83BFF">
        <w:rPr>
          <w:rFonts w:ascii="Arial" w:hAnsi="Arial" w:cs="Arial"/>
          <w:sz w:val="20"/>
          <w:u w:val="none"/>
        </w:rPr>
        <w:lastRenderedPageBreak/>
        <w:t>living crisis that disproportionately falls on</w:t>
      </w:r>
      <w:r w:rsidR="00DE0F68" w:rsidRPr="00F83BFF">
        <w:rPr>
          <w:rFonts w:ascii="Arial" w:hAnsi="Arial" w:cs="Arial"/>
          <w:sz w:val="20"/>
          <w:u w:val="none"/>
        </w:rPr>
        <w:t xml:space="preserve"> </w:t>
      </w:r>
      <w:r w:rsidRPr="00F83BFF">
        <w:rPr>
          <w:rFonts w:ascii="Arial" w:hAnsi="Arial" w:cs="Arial"/>
          <w:sz w:val="20"/>
          <w:u w:val="none"/>
        </w:rPr>
        <w:t>the majority, low-income households, and the unemployed.</w:t>
      </w:r>
    </w:p>
    <w:p w:rsidR="00343670" w:rsidRPr="00F83BFF" w:rsidRDefault="0011373D" w:rsidP="00F83BFF">
      <w:pPr>
        <w:pStyle w:val="Heading3"/>
        <w:spacing w:before="0" w:line="240" w:lineRule="auto"/>
        <w:rPr>
          <w:rFonts w:ascii="Arial" w:hAnsi="Arial" w:cs="Arial"/>
          <w:sz w:val="20"/>
          <w:u w:val="none"/>
        </w:rPr>
      </w:pPr>
      <w:r w:rsidRPr="00F83BFF">
        <w:rPr>
          <w:rFonts w:ascii="Arial" w:hAnsi="Arial" w:cs="Arial"/>
          <w:sz w:val="20"/>
          <w:u w:val="none"/>
        </w:rPr>
        <w:t>T</w:t>
      </w:r>
      <w:r w:rsidR="00DE0F68" w:rsidRPr="00F83BFF">
        <w:rPr>
          <w:rFonts w:ascii="Arial" w:hAnsi="Arial" w:cs="Arial"/>
          <w:sz w:val="20"/>
          <w:u w:val="none"/>
        </w:rPr>
        <w:t xml:space="preserve">he IEJ’s detailed analysis and submission to the Committee </w:t>
      </w:r>
      <w:r w:rsidRPr="00F83BFF">
        <w:rPr>
          <w:rFonts w:ascii="Arial" w:hAnsi="Arial" w:cs="Arial"/>
          <w:sz w:val="20"/>
          <w:u w:val="none"/>
        </w:rPr>
        <w:t>provide</w:t>
      </w:r>
      <w:r w:rsidR="00DE0F68" w:rsidRPr="00F83BFF">
        <w:rPr>
          <w:rFonts w:ascii="Arial" w:hAnsi="Arial" w:cs="Arial"/>
          <w:sz w:val="20"/>
          <w:u w:val="none"/>
        </w:rPr>
        <w:t>d</w:t>
      </w:r>
      <w:r w:rsidRPr="00F83BFF">
        <w:rPr>
          <w:rFonts w:ascii="Arial" w:hAnsi="Arial" w:cs="Arial"/>
          <w:sz w:val="20"/>
          <w:u w:val="none"/>
        </w:rPr>
        <w:t xml:space="preserve"> </w:t>
      </w:r>
      <w:r w:rsidR="00DE0F68" w:rsidRPr="00F83BFF">
        <w:rPr>
          <w:rFonts w:ascii="Arial" w:hAnsi="Arial" w:cs="Arial"/>
          <w:sz w:val="20"/>
          <w:u w:val="none"/>
        </w:rPr>
        <w:t xml:space="preserve">an </w:t>
      </w:r>
      <w:r w:rsidRPr="00F83BFF">
        <w:rPr>
          <w:rFonts w:ascii="Arial" w:hAnsi="Arial" w:cs="Arial"/>
          <w:sz w:val="20"/>
          <w:u w:val="none"/>
        </w:rPr>
        <w:t>analysis and evidence of how the current fiscal framework is</w:t>
      </w:r>
      <w:r w:rsidR="00DE0F68" w:rsidRPr="00F83BFF">
        <w:rPr>
          <w:rFonts w:ascii="Arial" w:hAnsi="Arial" w:cs="Arial"/>
          <w:sz w:val="20"/>
          <w:u w:val="none"/>
        </w:rPr>
        <w:t xml:space="preserve"> </w:t>
      </w:r>
      <w:r w:rsidRPr="00F83BFF">
        <w:rPr>
          <w:rFonts w:ascii="Arial" w:hAnsi="Arial" w:cs="Arial"/>
          <w:sz w:val="20"/>
          <w:u w:val="none"/>
        </w:rPr>
        <w:t xml:space="preserve">unsustainable and at odds with the </w:t>
      </w:r>
      <w:r w:rsidR="008B0C2D" w:rsidRPr="00F83BFF">
        <w:rPr>
          <w:rFonts w:ascii="Arial" w:hAnsi="Arial" w:cs="Arial"/>
          <w:sz w:val="20"/>
          <w:u w:val="none"/>
        </w:rPr>
        <w:t>S</w:t>
      </w:r>
      <w:r w:rsidRPr="00F83BFF">
        <w:rPr>
          <w:rFonts w:ascii="Arial" w:hAnsi="Arial" w:cs="Arial"/>
          <w:sz w:val="20"/>
          <w:u w:val="none"/>
        </w:rPr>
        <w:t xml:space="preserve">tate’s obligation to progressively realise human rights. </w:t>
      </w:r>
      <w:r w:rsidR="00DE0F68" w:rsidRPr="00F83BFF">
        <w:rPr>
          <w:rFonts w:ascii="Arial" w:hAnsi="Arial" w:cs="Arial"/>
          <w:sz w:val="20"/>
          <w:u w:val="none"/>
        </w:rPr>
        <w:t>It said that t</w:t>
      </w:r>
      <w:r w:rsidRPr="00F83BFF">
        <w:rPr>
          <w:rFonts w:ascii="Arial" w:hAnsi="Arial" w:cs="Arial"/>
          <w:sz w:val="20"/>
          <w:u w:val="none"/>
        </w:rPr>
        <w:t>he</w:t>
      </w:r>
      <w:r w:rsidR="00DE0F68" w:rsidRPr="00F83BFF">
        <w:rPr>
          <w:rFonts w:ascii="Arial" w:hAnsi="Arial" w:cs="Arial"/>
          <w:sz w:val="20"/>
          <w:u w:val="none"/>
        </w:rPr>
        <w:t xml:space="preserve"> </w:t>
      </w:r>
      <w:r w:rsidRPr="00F83BFF">
        <w:rPr>
          <w:rFonts w:ascii="Arial" w:hAnsi="Arial" w:cs="Arial"/>
          <w:sz w:val="20"/>
          <w:u w:val="none"/>
        </w:rPr>
        <w:t>current path of austerity has had an impact on the delivery of public services, leading to a</w:t>
      </w:r>
      <w:r w:rsidR="00343670" w:rsidRPr="00F83BFF">
        <w:rPr>
          <w:rFonts w:ascii="Arial" w:hAnsi="Arial" w:cs="Arial"/>
          <w:sz w:val="20"/>
          <w:u w:val="none"/>
        </w:rPr>
        <w:t xml:space="preserve"> </w:t>
      </w:r>
      <w:r w:rsidRPr="00F83BFF">
        <w:rPr>
          <w:rFonts w:ascii="Arial" w:hAnsi="Arial" w:cs="Arial"/>
          <w:sz w:val="20"/>
          <w:u w:val="none"/>
        </w:rPr>
        <w:t>regression in the protection of human rights, and disinvestment in public services.</w:t>
      </w:r>
    </w:p>
    <w:p w:rsidR="00343670" w:rsidRPr="00F83BFF" w:rsidRDefault="0011373D" w:rsidP="00F83BFF">
      <w:pPr>
        <w:pStyle w:val="Heading3"/>
        <w:spacing w:before="0" w:line="240" w:lineRule="auto"/>
        <w:rPr>
          <w:rFonts w:ascii="Arial" w:hAnsi="Arial" w:cs="Arial"/>
          <w:sz w:val="20"/>
          <w:u w:val="none"/>
        </w:rPr>
      </w:pPr>
      <w:r w:rsidRPr="00F83BFF">
        <w:rPr>
          <w:rFonts w:ascii="Arial" w:hAnsi="Arial" w:cs="Arial"/>
          <w:sz w:val="20"/>
          <w:u w:val="none"/>
        </w:rPr>
        <w:t>The submission</w:t>
      </w:r>
      <w:r w:rsidR="00343670" w:rsidRPr="00F83BFF">
        <w:rPr>
          <w:rFonts w:ascii="Arial" w:hAnsi="Arial" w:cs="Arial"/>
          <w:sz w:val="20"/>
          <w:u w:val="none"/>
        </w:rPr>
        <w:t>s</w:t>
      </w:r>
      <w:r w:rsidRPr="00F83BFF">
        <w:rPr>
          <w:rFonts w:ascii="Arial" w:hAnsi="Arial" w:cs="Arial"/>
          <w:sz w:val="20"/>
          <w:u w:val="none"/>
        </w:rPr>
        <w:t xml:space="preserve"> </w:t>
      </w:r>
      <w:r w:rsidR="00343670" w:rsidRPr="00F83BFF">
        <w:rPr>
          <w:rFonts w:ascii="Arial" w:hAnsi="Arial" w:cs="Arial"/>
          <w:sz w:val="20"/>
          <w:u w:val="none"/>
        </w:rPr>
        <w:t xml:space="preserve">further </w:t>
      </w:r>
      <w:r w:rsidRPr="00F83BFF">
        <w:rPr>
          <w:rFonts w:ascii="Arial" w:hAnsi="Arial" w:cs="Arial"/>
          <w:sz w:val="20"/>
          <w:u w:val="none"/>
        </w:rPr>
        <w:t>discusse</w:t>
      </w:r>
      <w:r w:rsidR="00343670" w:rsidRPr="00F83BFF">
        <w:rPr>
          <w:rFonts w:ascii="Arial" w:hAnsi="Arial" w:cs="Arial"/>
          <w:sz w:val="20"/>
          <w:u w:val="none"/>
        </w:rPr>
        <w:t>d</w:t>
      </w:r>
      <w:r w:rsidRPr="00F83BFF">
        <w:rPr>
          <w:rFonts w:ascii="Arial" w:hAnsi="Arial" w:cs="Arial"/>
          <w:sz w:val="20"/>
          <w:u w:val="none"/>
        </w:rPr>
        <w:t xml:space="preserve"> </w:t>
      </w:r>
      <w:r w:rsidR="00343670" w:rsidRPr="00F83BFF">
        <w:rPr>
          <w:rFonts w:ascii="Arial" w:hAnsi="Arial" w:cs="Arial"/>
          <w:sz w:val="20"/>
          <w:u w:val="none"/>
        </w:rPr>
        <w:t xml:space="preserve">the </w:t>
      </w:r>
      <w:r w:rsidRPr="00F83BFF">
        <w:rPr>
          <w:rFonts w:ascii="Arial" w:hAnsi="Arial" w:cs="Arial"/>
          <w:sz w:val="20"/>
          <w:u w:val="none"/>
        </w:rPr>
        <w:t>proposals for progressive taxation to raise the maximum available</w:t>
      </w:r>
      <w:r w:rsidR="00343670" w:rsidRPr="00F83BFF">
        <w:rPr>
          <w:rFonts w:ascii="Arial" w:hAnsi="Arial" w:cs="Arial"/>
          <w:sz w:val="20"/>
          <w:u w:val="none"/>
        </w:rPr>
        <w:t xml:space="preserve"> </w:t>
      </w:r>
      <w:r w:rsidRPr="00F83BFF">
        <w:rPr>
          <w:rFonts w:ascii="Arial" w:hAnsi="Arial" w:cs="Arial"/>
          <w:sz w:val="20"/>
          <w:u w:val="none"/>
        </w:rPr>
        <w:t>resources to invest in public services, comprehensive social protection, and public employment.</w:t>
      </w:r>
      <w:r w:rsidR="00343670" w:rsidRPr="00F83BFF">
        <w:rPr>
          <w:rFonts w:ascii="Arial" w:hAnsi="Arial" w:cs="Arial"/>
          <w:sz w:val="20"/>
          <w:u w:val="none"/>
        </w:rPr>
        <w:t xml:space="preserve"> The IE</w:t>
      </w:r>
      <w:r w:rsidR="008B0C2D" w:rsidRPr="00F83BFF">
        <w:rPr>
          <w:rFonts w:ascii="Arial" w:hAnsi="Arial" w:cs="Arial"/>
          <w:sz w:val="20"/>
          <w:u w:val="none"/>
        </w:rPr>
        <w:t>J</w:t>
      </w:r>
      <w:r w:rsidR="00343670" w:rsidRPr="00F83BFF">
        <w:rPr>
          <w:rFonts w:ascii="Arial" w:hAnsi="Arial" w:cs="Arial"/>
          <w:sz w:val="20"/>
          <w:u w:val="none"/>
        </w:rPr>
        <w:t xml:space="preserve"> said that m</w:t>
      </w:r>
      <w:r w:rsidRPr="00F83BFF">
        <w:rPr>
          <w:rFonts w:ascii="Arial" w:hAnsi="Arial" w:cs="Arial"/>
          <w:sz w:val="20"/>
          <w:u w:val="none"/>
        </w:rPr>
        <w:t>obilising resources for the realisation of human rights involves raising, allocating, and</w:t>
      </w:r>
      <w:r w:rsidR="00343670" w:rsidRPr="00F83BFF">
        <w:rPr>
          <w:rFonts w:ascii="Arial" w:hAnsi="Arial" w:cs="Arial"/>
          <w:sz w:val="20"/>
          <w:u w:val="none"/>
        </w:rPr>
        <w:t xml:space="preserve"> </w:t>
      </w:r>
      <w:r w:rsidRPr="00F83BFF">
        <w:rPr>
          <w:rFonts w:ascii="Arial" w:hAnsi="Arial" w:cs="Arial"/>
          <w:sz w:val="20"/>
          <w:u w:val="none"/>
        </w:rPr>
        <w:t xml:space="preserve">spending money in a manner that prioritises people’s rights. </w:t>
      </w:r>
    </w:p>
    <w:p w:rsidR="00807DE3" w:rsidRPr="00F83BFF" w:rsidRDefault="00343670" w:rsidP="00F83BFF">
      <w:pPr>
        <w:pStyle w:val="Heading3"/>
        <w:spacing w:before="0" w:line="240" w:lineRule="auto"/>
        <w:rPr>
          <w:rFonts w:ascii="Arial" w:hAnsi="Arial" w:cs="Arial"/>
          <w:sz w:val="20"/>
          <w:u w:val="none"/>
        </w:rPr>
      </w:pPr>
      <w:r w:rsidRPr="00F83BFF">
        <w:rPr>
          <w:rFonts w:ascii="Arial" w:hAnsi="Arial" w:cs="Arial"/>
          <w:sz w:val="20"/>
          <w:u w:val="none"/>
        </w:rPr>
        <w:t>It reminded the Committee that t</w:t>
      </w:r>
      <w:r w:rsidR="0011373D" w:rsidRPr="00F83BFF">
        <w:rPr>
          <w:rFonts w:ascii="Arial" w:hAnsi="Arial" w:cs="Arial"/>
          <w:sz w:val="20"/>
          <w:u w:val="none"/>
        </w:rPr>
        <w:t xml:space="preserve">he State has a </w:t>
      </w:r>
      <w:r w:rsidR="008B0C2D" w:rsidRPr="00F83BFF">
        <w:rPr>
          <w:rFonts w:ascii="Arial" w:hAnsi="Arial" w:cs="Arial"/>
          <w:sz w:val="20"/>
          <w:u w:val="none"/>
        </w:rPr>
        <w:t>c</w:t>
      </w:r>
      <w:r w:rsidR="0011373D" w:rsidRPr="00F83BFF">
        <w:rPr>
          <w:rFonts w:ascii="Arial" w:hAnsi="Arial" w:cs="Arial"/>
          <w:sz w:val="20"/>
          <w:u w:val="none"/>
        </w:rPr>
        <w:t>onstitutional</w:t>
      </w:r>
      <w:r w:rsidRPr="00F83BFF">
        <w:rPr>
          <w:rFonts w:ascii="Arial" w:hAnsi="Arial" w:cs="Arial"/>
          <w:sz w:val="20"/>
          <w:u w:val="none"/>
        </w:rPr>
        <w:t xml:space="preserve"> </w:t>
      </w:r>
      <w:r w:rsidR="0011373D" w:rsidRPr="00F83BFF">
        <w:rPr>
          <w:rFonts w:ascii="Arial" w:hAnsi="Arial" w:cs="Arial"/>
          <w:sz w:val="20"/>
          <w:u w:val="none"/>
        </w:rPr>
        <w:t>obligation to progressively realise socio-economic rights. As such, it has a duty to prioritise</w:t>
      </w:r>
      <w:r w:rsidRPr="00F83BFF">
        <w:rPr>
          <w:rFonts w:ascii="Arial" w:hAnsi="Arial" w:cs="Arial"/>
          <w:sz w:val="20"/>
          <w:u w:val="none"/>
        </w:rPr>
        <w:t xml:space="preserve"> </w:t>
      </w:r>
      <w:r w:rsidR="0011373D" w:rsidRPr="00F83BFF">
        <w:rPr>
          <w:rFonts w:ascii="Arial" w:hAnsi="Arial" w:cs="Arial"/>
          <w:sz w:val="20"/>
          <w:u w:val="none"/>
        </w:rPr>
        <w:t>those who are most vulnerable, excluded, or discriminated against. It is this approach that</w:t>
      </w:r>
      <w:r w:rsidRPr="00F83BFF">
        <w:rPr>
          <w:rFonts w:ascii="Arial" w:hAnsi="Arial" w:cs="Arial"/>
          <w:sz w:val="20"/>
          <w:u w:val="none"/>
        </w:rPr>
        <w:t xml:space="preserve"> </w:t>
      </w:r>
      <w:r w:rsidR="0011373D" w:rsidRPr="00F83BFF">
        <w:rPr>
          <w:rFonts w:ascii="Arial" w:hAnsi="Arial" w:cs="Arial"/>
          <w:sz w:val="20"/>
          <w:u w:val="none"/>
        </w:rPr>
        <w:t>should guide priorities in the Budget.</w:t>
      </w:r>
    </w:p>
    <w:p w:rsidR="00A07139" w:rsidRPr="00F83BFF" w:rsidRDefault="00A07139" w:rsidP="00F83BFF">
      <w:pPr>
        <w:pStyle w:val="MainPara"/>
        <w:spacing w:before="0" w:line="240" w:lineRule="auto"/>
        <w:jc w:val="left"/>
        <w:rPr>
          <w:rFonts w:ascii="Arial" w:hAnsi="Arial" w:cs="Arial"/>
          <w:sz w:val="20"/>
        </w:rPr>
      </w:pPr>
    </w:p>
    <w:p w:rsidR="00034044" w:rsidRPr="00F83BFF" w:rsidRDefault="00034044" w:rsidP="00F83BFF">
      <w:pPr>
        <w:pStyle w:val="MainPara"/>
        <w:spacing w:before="0" w:line="240" w:lineRule="auto"/>
        <w:jc w:val="left"/>
        <w:rPr>
          <w:rFonts w:ascii="Arial" w:hAnsi="Arial" w:cs="Arial"/>
          <w:b/>
          <w:bCs/>
          <w:sz w:val="20"/>
        </w:rPr>
      </w:pPr>
      <w:r w:rsidRPr="00F83BFF">
        <w:rPr>
          <w:rFonts w:ascii="Arial" w:hAnsi="Arial" w:cs="Arial"/>
          <w:b/>
          <w:bCs/>
          <w:sz w:val="20"/>
        </w:rPr>
        <w:t>Public Economy Project (PEP)</w:t>
      </w:r>
    </w:p>
    <w:p w:rsidR="00053B08" w:rsidRPr="00F83BFF" w:rsidRDefault="00EF0813" w:rsidP="00F83BFF">
      <w:pPr>
        <w:pStyle w:val="Heading3"/>
        <w:spacing w:before="0" w:line="240" w:lineRule="auto"/>
        <w:rPr>
          <w:rFonts w:ascii="Arial" w:hAnsi="Arial" w:cs="Arial"/>
          <w:sz w:val="20"/>
          <w:u w:val="none"/>
        </w:rPr>
      </w:pPr>
      <w:r w:rsidRPr="00F83BFF">
        <w:rPr>
          <w:rFonts w:ascii="Arial" w:hAnsi="Arial" w:cs="Arial"/>
          <w:sz w:val="20"/>
          <w:u w:val="none"/>
        </w:rPr>
        <w:t>PEP noted the s</w:t>
      </w:r>
      <w:r w:rsidR="001E2718" w:rsidRPr="00F83BFF">
        <w:rPr>
          <w:rFonts w:ascii="Arial" w:hAnsi="Arial" w:cs="Arial"/>
          <w:sz w:val="20"/>
          <w:u w:val="none"/>
        </w:rPr>
        <w:t xml:space="preserve">hort-term improvement in the fiscal position on the back of a nominal </w:t>
      </w:r>
      <w:r w:rsidR="00E91F7C" w:rsidRPr="00F83BFF">
        <w:rPr>
          <w:rFonts w:ascii="Arial" w:hAnsi="Arial" w:cs="Arial"/>
          <w:sz w:val="20"/>
          <w:u w:val="none"/>
        </w:rPr>
        <w:t>boom but</w:t>
      </w:r>
      <w:r w:rsidRPr="00F83BFF">
        <w:rPr>
          <w:rFonts w:ascii="Arial" w:hAnsi="Arial" w:cs="Arial"/>
          <w:sz w:val="20"/>
          <w:u w:val="none"/>
        </w:rPr>
        <w:t xml:space="preserve"> highlighted that the </w:t>
      </w:r>
      <w:r w:rsidR="001E2718" w:rsidRPr="00F83BFF">
        <w:rPr>
          <w:rFonts w:ascii="Arial" w:hAnsi="Arial" w:cs="Arial"/>
          <w:sz w:val="20"/>
          <w:u w:val="none"/>
        </w:rPr>
        <w:t>real economic</w:t>
      </w:r>
      <w:r w:rsidR="00343670" w:rsidRPr="00F83BFF">
        <w:rPr>
          <w:rFonts w:ascii="Arial" w:hAnsi="Arial" w:cs="Arial"/>
          <w:sz w:val="20"/>
          <w:u w:val="none"/>
        </w:rPr>
        <w:t xml:space="preserve"> </w:t>
      </w:r>
      <w:r w:rsidR="001E2718" w:rsidRPr="00F83BFF">
        <w:rPr>
          <w:rFonts w:ascii="Arial" w:hAnsi="Arial" w:cs="Arial"/>
          <w:sz w:val="20"/>
          <w:u w:val="none"/>
        </w:rPr>
        <w:t>stagnation mean</w:t>
      </w:r>
      <w:r w:rsidRPr="00F83BFF">
        <w:rPr>
          <w:rFonts w:ascii="Arial" w:hAnsi="Arial" w:cs="Arial"/>
          <w:sz w:val="20"/>
          <w:u w:val="none"/>
        </w:rPr>
        <w:t>t</w:t>
      </w:r>
      <w:r w:rsidR="001E2718" w:rsidRPr="00F83BFF">
        <w:rPr>
          <w:rFonts w:ascii="Arial" w:hAnsi="Arial" w:cs="Arial"/>
          <w:sz w:val="20"/>
          <w:u w:val="none"/>
        </w:rPr>
        <w:t xml:space="preserve"> continued fiscal weakness</w:t>
      </w:r>
      <w:r w:rsidR="00E91F7C" w:rsidRPr="00F83BFF">
        <w:rPr>
          <w:rFonts w:ascii="Arial" w:hAnsi="Arial" w:cs="Arial"/>
          <w:sz w:val="20"/>
          <w:u w:val="none"/>
        </w:rPr>
        <w:t>es</w:t>
      </w:r>
      <w:r w:rsidR="001E2718" w:rsidRPr="00F83BFF">
        <w:rPr>
          <w:rFonts w:ascii="Arial" w:hAnsi="Arial" w:cs="Arial"/>
          <w:sz w:val="20"/>
          <w:u w:val="none"/>
        </w:rPr>
        <w:t xml:space="preserve"> ahead</w:t>
      </w:r>
      <w:r w:rsidR="00E91F7C" w:rsidRPr="00F83BFF">
        <w:rPr>
          <w:rFonts w:ascii="Arial" w:hAnsi="Arial" w:cs="Arial"/>
          <w:sz w:val="20"/>
          <w:u w:val="none"/>
        </w:rPr>
        <w:t xml:space="preserve">. It observed that </w:t>
      </w:r>
      <w:r w:rsidR="001E2718" w:rsidRPr="00F83BFF">
        <w:rPr>
          <w:rFonts w:ascii="Arial" w:hAnsi="Arial" w:cs="Arial"/>
          <w:sz w:val="20"/>
          <w:u w:val="none"/>
        </w:rPr>
        <w:t xml:space="preserve">Government slowed down </w:t>
      </w:r>
      <w:r w:rsidR="00E91F7C" w:rsidRPr="00F83BFF">
        <w:rPr>
          <w:rFonts w:ascii="Arial" w:hAnsi="Arial" w:cs="Arial"/>
          <w:sz w:val="20"/>
          <w:u w:val="none"/>
        </w:rPr>
        <w:t xml:space="preserve">its </w:t>
      </w:r>
      <w:r w:rsidR="001E2718" w:rsidRPr="00F83BFF">
        <w:rPr>
          <w:rFonts w:ascii="Arial" w:hAnsi="Arial" w:cs="Arial"/>
          <w:sz w:val="20"/>
          <w:u w:val="none"/>
        </w:rPr>
        <w:t xml:space="preserve">spending </w:t>
      </w:r>
      <w:r w:rsidR="00E91F7C" w:rsidRPr="00F83BFF">
        <w:rPr>
          <w:rFonts w:ascii="Arial" w:hAnsi="Arial" w:cs="Arial"/>
          <w:sz w:val="20"/>
          <w:u w:val="none"/>
        </w:rPr>
        <w:t xml:space="preserve">on </w:t>
      </w:r>
      <w:r w:rsidR="001E2718" w:rsidRPr="00F83BFF">
        <w:rPr>
          <w:rFonts w:ascii="Arial" w:hAnsi="Arial" w:cs="Arial"/>
          <w:sz w:val="20"/>
          <w:u w:val="none"/>
        </w:rPr>
        <w:t>growth in the wake of the pandemic</w:t>
      </w:r>
      <w:r w:rsidR="00E91F7C" w:rsidRPr="00F83BFF">
        <w:rPr>
          <w:rFonts w:ascii="Arial" w:hAnsi="Arial" w:cs="Arial"/>
          <w:sz w:val="20"/>
          <w:u w:val="none"/>
        </w:rPr>
        <w:t xml:space="preserve"> and a</w:t>
      </w:r>
      <w:r w:rsidR="001E2718" w:rsidRPr="00F83BFF">
        <w:rPr>
          <w:rFonts w:ascii="Arial" w:hAnsi="Arial" w:cs="Arial"/>
          <w:sz w:val="20"/>
          <w:u w:val="none"/>
        </w:rPr>
        <w:t xml:space="preserve"> much larger slowdown is</w:t>
      </w:r>
      <w:r w:rsidR="00E91F7C" w:rsidRPr="00F83BFF">
        <w:rPr>
          <w:rFonts w:ascii="Arial" w:hAnsi="Arial" w:cs="Arial"/>
          <w:sz w:val="20"/>
          <w:u w:val="none"/>
        </w:rPr>
        <w:t xml:space="preserve"> </w:t>
      </w:r>
      <w:r w:rsidR="001E2718" w:rsidRPr="00F83BFF">
        <w:rPr>
          <w:rFonts w:ascii="Arial" w:hAnsi="Arial" w:cs="Arial"/>
          <w:sz w:val="20"/>
          <w:u w:val="none"/>
        </w:rPr>
        <w:t>planned for 2023</w:t>
      </w:r>
      <w:r w:rsidR="00053B08" w:rsidRPr="00F83BFF">
        <w:rPr>
          <w:rFonts w:ascii="Arial" w:hAnsi="Arial" w:cs="Arial"/>
          <w:sz w:val="20"/>
          <w:u w:val="none"/>
        </w:rPr>
        <w:t>.</w:t>
      </w:r>
    </w:p>
    <w:p w:rsidR="00053B08" w:rsidRPr="00F83BFF" w:rsidRDefault="00053B08" w:rsidP="00F83BFF">
      <w:pPr>
        <w:pStyle w:val="Heading3"/>
        <w:spacing w:before="0" w:line="240" w:lineRule="auto"/>
        <w:rPr>
          <w:rFonts w:ascii="Arial" w:hAnsi="Arial" w:cs="Arial"/>
          <w:sz w:val="20"/>
          <w:u w:val="none"/>
        </w:rPr>
      </w:pPr>
      <w:r w:rsidRPr="00F83BFF">
        <w:rPr>
          <w:rFonts w:ascii="Arial" w:hAnsi="Arial" w:cs="Arial"/>
          <w:sz w:val="20"/>
          <w:u w:val="none"/>
        </w:rPr>
        <w:t>PEP decried that t</w:t>
      </w:r>
      <w:r w:rsidR="001E2718" w:rsidRPr="00F83BFF">
        <w:rPr>
          <w:rFonts w:ascii="Arial" w:hAnsi="Arial" w:cs="Arial"/>
          <w:sz w:val="20"/>
          <w:u w:val="none"/>
        </w:rPr>
        <w:t xml:space="preserve">here </w:t>
      </w:r>
      <w:r w:rsidRPr="00F83BFF">
        <w:rPr>
          <w:rFonts w:ascii="Arial" w:hAnsi="Arial" w:cs="Arial"/>
          <w:sz w:val="20"/>
          <w:u w:val="none"/>
        </w:rPr>
        <w:t>wa</w:t>
      </w:r>
      <w:r w:rsidR="001E2718" w:rsidRPr="00F83BFF">
        <w:rPr>
          <w:rFonts w:ascii="Arial" w:hAnsi="Arial" w:cs="Arial"/>
          <w:sz w:val="20"/>
          <w:u w:val="none"/>
        </w:rPr>
        <w:t xml:space="preserve">s no “end of consolidation” in the fiscal framework, </w:t>
      </w:r>
      <w:r w:rsidRPr="00F83BFF">
        <w:rPr>
          <w:rFonts w:ascii="Arial" w:hAnsi="Arial" w:cs="Arial"/>
          <w:sz w:val="20"/>
          <w:u w:val="none"/>
        </w:rPr>
        <w:t xml:space="preserve">as </w:t>
      </w:r>
      <w:r w:rsidR="001E2718" w:rsidRPr="00F83BFF">
        <w:rPr>
          <w:rFonts w:ascii="Arial" w:hAnsi="Arial" w:cs="Arial"/>
          <w:sz w:val="20"/>
          <w:u w:val="none"/>
        </w:rPr>
        <w:t>it continues for the full three years of the</w:t>
      </w:r>
      <w:r w:rsidRPr="00F83BFF">
        <w:rPr>
          <w:rFonts w:ascii="Arial" w:hAnsi="Arial" w:cs="Arial"/>
          <w:sz w:val="20"/>
          <w:u w:val="none"/>
        </w:rPr>
        <w:t xml:space="preserve"> </w:t>
      </w:r>
      <w:r w:rsidR="001E2718" w:rsidRPr="00F83BFF">
        <w:rPr>
          <w:rFonts w:ascii="Arial" w:hAnsi="Arial" w:cs="Arial"/>
          <w:sz w:val="20"/>
          <w:u w:val="none"/>
        </w:rPr>
        <w:t>MTEF as indicated by falling real per capita spending on core services</w:t>
      </w:r>
      <w:r w:rsidRPr="00F83BFF">
        <w:rPr>
          <w:rFonts w:ascii="Arial" w:hAnsi="Arial" w:cs="Arial"/>
          <w:sz w:val="20"/>
          <w:u w:val="none"/>
        </w:rPr>
        <w:t>. It noted that e</w:t>
      </w:r>
      <w:r w:rsidR="001E2718" w:rsidRPr="00F83BFF">
        <w:rPr>
          <w:rFonts w:ascii="Arial" w:hAnsi="Arial" w:cs="Arial"/>
          <w:sz w:val="20"/>
          <w:u w:val="none"/>
        </w:rPr>
        <w:t>mployment levels in health, education and criminal justice will be forced down further unless real</w:t>
      </w:r>
      <w:r w:rsidRPr="00F83BFF">
        <w:rPr>
          <w:rFonts w:ascii="Arial" w:hAnsi="Arial" w:cs="Arial"/>
          <w:sz w:val="20"/>
          <w:u w:val="none"/>
        </w:rPr>
        <w:t xml:space="preserve"> </w:t>
      </w:r>
      <w:r w:rsidR="001E2718" w:rsidRPr="00F83BFF">
        <w:rPr>
          <w:rFonts w:ascii="Arial" w:hAnsi="Arial" w:cs="Arial"/>
          <w:sz w:val="20"/>
          <w:u w:val="none"/>
        </w:rPr>
        <w:t>reductions in government pay are executed for another three years (or if spending is increased</w:t>
      </w:r>
      <w:r w:rsidRPr="00F83BFF">
        <w:rPr>
          <w:rFonts w:ascii="Arial" w:hAnsi="Arial" w:cs="Arial"/>
          <w:sz w:val="20"/>
          <w:u w:val="none"/>
        </w:rPr>
        <w:t xml:space="preserve"> </w:t>
      </w:r>
      <w:r w:rsidR="001E2718" w:rsidRPr="00F83BFF">
        <w:rPr>
          <w:rFonts w:ascii="Arial" w:hAnsi="Arial" w:cs="Arial"/>
          <w:sz w:val="20"/>
          <w:u w:val="none"/>
        </w:rPr>
        <w:t>substantially)</w:t>
      </w:r>
      <w:r w:rsidRPr="00F83BFF">
        <w:rPr>
          <w:rFonts w:ascii="Arial" w:hAnsi="Arial" w:cs="Arial"/>
          <w:sz w:val="20"/>
          <w:u w:val="none"/>
        </w:rPr>
        <w:t>.</w:t>
      </w:r>
    </w:p>
    <w:p w:rsidR="009D73CF" w:rsidRPr="00F83BFF" w:rsidRDefault="00053B08" w:rsidP="00F83BFF">
      <w:pPr>
        <w:pStyle w:val="Heading3"/>
        <w:spacing w:before="0" w:line="240" w:lineRule="auto"/>
        <w:rPr>
          <w:rFonts w:ascii="Arial" w:hAnsi="Arial" w:cs="Arial"/>
          <w:sz w:val="20"/>
          <w:u w:val="none"/>
        </w:rPr>
      </w:pPr>
      <w:r w:rsidRPr="00F83BFF">
        <w:rPr>
          <w:rFonts w:ascii="Arial" w:hAnsi="Arial" w:cs="Arial"/>
          <w:sz w:val="20"/>
          <w:u w:val="none"/>
        </w:rPr>
        <w:t>PEP said that the a</w:t>
      </w:r>
      <w:r w:rsidR="001E2718" w:rsidRPr="00F83BFF">
        <w:rPr>
          <w:rFonts w:ascii="Arial" w:hAnsi="Arial" w:cs="Arial"/>
          <w:sz w:val="20"/>
          <w:u w:val="none"/>
        </w:rPr>
        <w:t>ggressive fiscal consolidation path appears to stabilize debt, but</w:t>
      </w:r>
      <w:r w:rsidRPr="00F83BFF">
        <w:rPr>
          <w:rFonts w:ascii="Arial" w:hAnsi="Arial" w:cs="Arial"/>
          <w:sz w:val="20"/>
          <w:u w:val="none"/>
        </w:rPr>
        <w:t xml:space="preserve"> t</w:t>
      </w:r>
      <w:r w:rsidR="001E2718" w:rsidRPr="00F83BFF">
        <w:rPr>
          <w:rFonts w:ascii="Arial" w:hAnsi="Arial" w:cs="Arial"/>
          <w:sz w:val="20"/>
          <w:u w:val="none"/>
        </w:rPr>
        <w:t>he spending trajectory is implausible, and</w:t>
      </w:r>
      <w:r w:rsidR="009D73CF" w:rsidRPr="00F83BFF">
        <w:rPr>
          <w:rFonts w:ascii="Arial" w:hAnsi="Arial" w:cs="Arial"/>
          <w:sz w:val="20"/>
          <w:u w:val="none"/>
        </w:rPr>
        <w:t xml:space="preserve"> the</w:t>
      </w:r>
      <w:r w:rsidR="001E2718" w:rsidRPr="00F83BFF">
        <w:rPr>
          <w:rFonts w:ascii="Arial" w:hAnsi="Arial" w:cs="Arial"/>
          <w:sz w:val="20"/>
          <w:u w:val="none"/>
        </w:rPr>
        <w:t xml:space="preserve"> “spending ceiling” is unreliable as forward guidance</w:t>
      </w:r>
      <w:r w:rsidR="009D73CF" w:rsidRPr="00F83BFF">
        <w:rPr>
          <w:rFonts w:ascii="Arial" w:hAnsi="Arial" w:cs="Arial"/>
          <w:sz w:val="20"/>
          <w:u w:val="none"/>
        </w:rPr>
        <w:t xml:space="preserve">. PEP further pointed out that the </w:t>
      </w:r>
      <w:r w:rsidR="001E2718" w:rsidRPr="00F83BFF">
        <w:rPr>
          <w:rFonts w:ascii="Arial" w:hAnsi="Arial" w:cs="Arial"/>
          <w:sz w:val="20"/>
          <w:u w:val="none"/>
        </w:rPr>
        <w:t xml:space="preserve">revenue outlook </w:t>
      </w:r>
      <w:r w:rsidR="009D73CF" w:rsidRPr="00F83BFF">
        <w:rPr>
          <w:rFonts w:ascii="Arial" w:hAnsi="Arial" w:cs="Arial"/>
          <w:sz w:val="20"/>
          <w:u w:val="none"/>
        </w:rPr>
        <w:t>wa</w:t>
      </w:r>
      <w:r w:rsidR="001E2718" w:rsidRPr="00F83BFF">
        <w:rPr>
          <w:rFonts w:ascii="Arial" w:hAnsi="Arial" w:cs="Arial"/>
          <w:sz w:val="20"/>
          <w:u w:val="none"/>
        </w:rPr>
        <w:t xml:space="preserve">s </w:t>
      </w:r>
      <w:r w:rsidR="009D73CF" w:rsidRPr="00F83BFF">
        <w:rPr>
          <w:rFonts w:ascii="Arial" w:hAnsi="Arial" w:cs="Arial"/>
          <w:sz w:val="20"/>
          <w:u w:val="none"/>
        </w:rPr>
        <w:t xml:space="preserve">too </w:t>
      </w:r>
      <w:r w:rsidR="001E2718" w:rsidRPr="00F83BFF">
        <w:rPr>
          <w:rFonts w:ascii="Arial" w:hAnsi="Arial" w:cs="Arial"/>
          <w:sz w:val="20"/>
          <w:u w:val="none"/>
        </w:rPr>
        <w:t>optimistic</w:t>
      </w:r>
      <w:r w:rsidR="009D73CF" w:rsidRPr="00F83BFF">
        <w:rPr>
          <w:rFonts w:ascii="Arial" w:hAnsi="Arial" w:cs="Arial"/>
          <w:sz w:val="20"/>
          <w:u w:val="none"/>
        </w:rPr>
        <w:t xml:space="preserve"> and m</w:t>
      </w:r>
      <w:r w:rsidR="001E2718" w:rsidRPr="00F83BFF">
        <w:rPr>
          <w:rFonts w:ascii="Arial" w:hAnsi="Arial" w:cs="Arial"/>
          <w:sz w:val="20"/>
          <w:u w:val="none"/>
        </w:rPr>
        <w:t xml:space="preserve">ajor risks </w:t>
      </w:r>
      <w:r w:rsidR="009D73CF" w:rsidRPr="00F83BFF">
        <w:rPr>
          <w:rFonts w:ascii="Arial" w:hAnsi="Arial" w:cs="Arial"/>
          <w:sz w:val="20"/>
          <w:u w:val="none"/>
        </w:rPr>
        <w:t>we</w:t>
      </w:r>
      <w:r w:rsidR="001E2718" w:rsidRPr="00F83BFF">
        <w:rPr>
          <w:rFonts w:ascii="Arial" w:hAnsi="Arial" w:cs="Arial"/>
          <w:sz w:val="20"/>
          <w:u w:val="none"/>
        </w:rPr>
        <w:t>re not included in the baseline</w:t>
      </w:r>
      <w:r w:rsidR="009D73CF" w:rsidRPr="00F83BFF">
        <w:rPr>
          <w:rFonts w:ascii="Arial" w:hAnsi="Arial" w:cs="Arial"/>
          <w:sz w:val="20"/>
          <w:u w:val="none"/>
        </w:rPr>
        <w:t>.</w:t>
      </w:r>
    </w:p>
    <w:p w:rsidR="00F4016D" w:rsidRPr="00F83BFF" w:rsidRDefault="009D73CF" w:rsidP="00F83BFF">
      <w:pPr>
        <w:pStyle w:val="Heading3"/>
        <w:spacing w:before="0" w:line="240" w:lineRule="auto"/>
        <w:rPr>
          <w:rFonts w:ascii="Arial" w:hAnsi="Arial" w:cs="Arial"/>
          <w:sz w:val="20"/>
          <w:u w:val="none"/>
        </w:rPr>
      </w:pPr>
      <w:r w:rsidRPr="00F83BFF">
        <w:rPr>
          <w:rFonts w:ascii="Arial" w:hAnsi="Arial" w:cs="Arial"/>
          <w:sz w:val="20"/>
          <w:u w:val="none"/>
        </w:rPr>
        <w:t>PEP submitted that w</w:t>
      </w:r>
      <w:r w:rsidR="001E2718" w:rsidRPr="00F83BFF">
        <w:rPr>
          <w:rFonts w:ascii="Arial" w:hAnsi="Arial" w:cs="Arial"/>
          <w:sz w:val="20"/>
          <w:u w:val="none"/>
        </w:rPr>
        <w:t>ith slightly different assumptions, fiscal targets set out in MTBPS are not achiev</w:t>
      </w:r>
      <w:r w:rsidRPr="00F83BFF">
        <w:rPr>
          <w:rFonts w:ascii="Arial" w:hAnsi="Arial" w:cs="Arial"/>
          <w:sz w:val="20"/>
          <w:u w:val="none"/>
        </w:rPr>
        <w:t>able.  Lastly, it said that t</w:t>
      </w:r>
      <w:r w:rsidR="001E2718" w:rsidRPr="00F83BFF">
        <w:rPr>
          <w:rFonts w:ascii="Arial" w:hAnsi="Arial" w:cs="Arial"/>
          <w:sz w:val="20"/>
          <w:u w:val="none"/>
        </w:rPr>
        <w:t xml:space="preserve">he lack of reliability of key budget metrics points to a deterioration in the quality of the </w:t>
      </w:r>
      <w:r w:rsidRPr="00F83BFF">
        <w:rPr>
          <w:rFonts w:ascii="Arial" w:hAnsi="Arial" w:cs="Arial"/>
          <w:sz w:val="20"/>
          <w:u w:val="none"/>
        </w:rPr>
        <w:t>MTBPS and</w:t>
      </w:r>
      <w:r w:rsidR="001E2718" w:rsidRPr="00F83BFF">
        <w:rPr>
          <w:rFonts w:ascii="Arial" w:hAnsi="Arial" w:cs="Arial"/>
          <w:sz w:val="20"/>
          <w:u w:val="none"/>
        </w:rPr>
        <w:t xml:space="preserve"> raises questions about </w:t>
      </w:r>
      <w:r w:rsidRPr="00F83BFF">
        <w:rPr>
          <w:rFonts w:ascii="Arial" w:hAnsi="Arial" w:cs="Arial"/>
          <w:sz w:val="20"/>
          <w:u w:val="none"/>
        </w:rPr>
        <w:t xml:space="preserve">the country’s </w:t>
      </w:r>
      <w:r w:rsidR="001E2718" w:rsidRPr="00F83BFF">
        <w:rPr>
          <w:rFonts w:ascii="Arial" w:hAnsi="Arial" w:cs="Arial"/>
          <w:sz w:val="20"/>
          <w:u w:val="none"/>
        </w:rPr>
        <w:t>fiscal institutions.</w:t>
      </w:r>
    </w:p>
    <w:p w:rsidR="0004181F" w:rsidRPr="00F83BFF" w:rsidRDefault="0004181F" w:rsidP="00F83BFF">
      <w:pPr>
        <w:pStyle w:val="MainPara"/>
        <w:spacing w:before="0" w:line="240" w:lineRule="auto"/>
        <w:jc w:val="left"/>
        <w:rPr>
          <w:rFonts w:ascii="Arial" w:hAnsi="Arial" w:cs="Arial"/>
          <w:b/>
          <w:bCs/>
          <w:sz w:val="20"/>
        </w:rPr>
      </w:pPr>
    </w:p>
    <w:p w:rsidR="0004181F" w:rsidRPr="00F83BFF" w:rsidRDefault="0004181F" w:rsidP="00F83BFF">
      <w:pPr>
        <w:pStyle w:val="MainPara"/>
        <w:spacing w:before="0" w:line="240" w:lineRule="auto"/>
        <w:jc w:val="left"/>
        <w:rPr>
          <w:rFonts w:ascii="Arial" w:hAnsi="Arial" w:cs="Arial"/>
          <w:b/>
          <w:bCs/>
          <w:sz w:val="20"/>
        </w:rPr>
      </w:pPr>
    </w:p>
    <w:p w:rsidR="00F4016D" w:rsidRPr="00F83BFF" w:rsidRDefault="00C626C4" w:rsidP="00F83BFF">
      <w:pPr>
        <w:pStyle w:val="MainPara"/>
        <w:spacing w:before="0" w:line="240" w:lineRule="auto"/>
        <w:jc w:val="left"/>
        <w:rPr>
          <w:rFonts w:ascii="Arial" w:hAnsi="Arial" w:cs="Arial"/>
          <w:b/>
          <w:bCs/>
          <w:sz w:val="20"/>
        </w:rPr>
      </w:pPr>
      <w:r w:rsidRPr="00F83BFF">
        <w:rPr>
          <w:rFonts w:ascii="Arial" w:hAnsi="Arial" w:cs="Arial"/>
          <w:b/>
          <w:bCs/>
          <w:sz w:val="20"/>
        </w:rPr>
        <w:t xml:space="preserve">Healthy Living Alliance </w:t>
      </w:r>
      <w:r w:rsidR="00375D10" w:rsidRPr="00F83BFF">
        <w:rPr>
          <w:rFonts w:ascii="Arial" w:hAnsi="Arial" w:cs="Arial"/>
          <w:b/>
          <w:bCs/>
          <w:sz w:val="20"/>
        </w:rPr>
        <w:t>(HEALA)</w:t>
      </w:r>
    </w:p>
    <w:p w:rsidR="006A04A3" w:rsidRPr="00F83BFF" w:rsidRDefault="006B702F" w:rsidP="00F83BFF">
      <w:pPr>
        <w:pStyle w:val="Heading3"/>
        <w:spacing w:before="0" w:line="240" w:lineRule="auto"/>
        <w:rPr>
          <w:rFonts w:ascii="Arial" w:hAnsi="Arial" w:cs="Arial"/>
          <w:b/>
          <w:bCs/>
          <w:sz w:val="20"/>
          <w:u w:val="none"/>
        </w:rPr>
      </w:pPr>
      <w:r w:rsidRPr="00F83BFF">
        <w:rPr>
          <w:rFonts w:ascii="Arial" w:hAnsi="Arial" w:cs="Arial"/>
          <w:sz w:val="20"/>
          <w:u w:val="none"/>
        </w:rPr>
        <w:t xml:space="preserve">HEALA </w:t>
      </w:r>
      <w:r w:rsidR="00941C0F" w:rsidRPr="00F83BFF">
        <w:rPr>
          <w:rFonts w:ascii="Arial" w:hAnsi="Arial" w:cs="Arial"/>
          <w:sz w:val="20"/>
          <w:u w:val="none"/>
        </w:rPr>
        <w:t xml:space="preserve">stated that it </w:t>
      </w:r>
      <w:r w:rsidRPr="00F83BFF">
        <w:rPr>
          <w:rFonts w:ascii="Arial" w:hAnsi="Arial" w:cs="Arial"/>
          <w:sz w:val="20"/>
          <w:u w:val="none"/>
        </w:rPr>
        <w:t xml:space="preserve">believes in food justice and for all South Africans to have equitable access to affordable and nutritious food. </w:t>
      </w:r>
      <w:r w:rsidR="00165203" w:rsidRPr="00F83BFF">
        <w:rPr>
          <w:rFonts w:ascii="Arial" w:hAnsi="Arial" w:cs="Arial"/>
          <w:sz w:val="20"/>
          <w:u w:val="none"/>
        </w:rPr>
        <w:t>It said that th</w:t>
      </w:r>
      <w:r w:rsidRPr="00F83BFF">
        <w:rPr>
          <w:rFonts w:ascii="Arial" w:hAnsi="Arial" w:cs="Arial"/>
          <w:sz w:val="20"/>
          <w:u w:val="none"/>
        </w:rPr>
        <w:t>is can be achieved through strengthening food policies that protect the public against unhealthy food environments and those that promote good health. The economic, household and individual costs of not realising the Right to Food are placing our people at a disadvantage to developing into a flourishing nation</w:t>
      </w:r>
      <w:r w:rsidR="001F06A0" w:rsidRPr="00F83BFF">
        <w:rPr>
          <w:rFonts w:ascii="Arial" w:hAnsi="Arial" w:cs="Arial"/>
          <w:sz w:val="20"/>
          <w:u w:val="none"/>
        </w:rPr>
        <w:t>, Heala said</w:t>
      </w:r>
      <w:r w:rsidRPr="00F83BFF">
        <w:rPr>
          <w:rFonts w:ascii="Arial" w:hAnsi="Arial" w:cs="Arial"/>
          <w:sz w:val="20"/>
          <w:u w:val="none"/>
        </w:rPr>
        <w:t xml:space="preserve">. </w:t>
      </w:r>
      <w:r w:rsidR="001F06A0" w:rsidRPr="00F83BFF">
        <w:rPr>
          <w:rFonts w:ascii="Arial" w:hAnsi="Arial" w:cs="Arial"/>
          <w:sz w:val="20"/>
          <w:u w:val="none"/>
        </w:rPr>
        <w:t>It said that c</w:t>
      </w:r>
      <w:r w:rsidRPr="00F83BFF">
        <w:rPr>
          <w:rFonts w:ascii="Arial" w:hAnsi="Arial" w:cs="Arial"/>
          <w:sz w:val="20"/>
          <w:u w:val="none"/>
        </w:rPr>
        <w:t xml:space="preserve">alling the health promotion levy (HPL) the “sugar tax” does not give it justice. </w:t>
      </w:r>
      <w:r w:rsidR="0004181F" w:rsidRPr="00F83BFF">
        <w:rPr>
          <w:rFonts w:ascii="Arial" w:hAnsi="Arial" w:cs="Arial"/>
          <w:b/>
          <w:bCs/>
          <w:sz w:val="20"/>
          <w:u w:val="none"/>
        </w:rPr>
        <w:t xml:space="preserve"> </w:t>
      </w:r>
      <w:r w:rsidR="00B93277" w:rsidRPr="00F83BFF">
        <w:rPr>
          <w:rFonts w:ascii="Arial" w:hAnsi="Arial" w:cs="Arial"/>
          <w:sz w:val="20"/>
          <w:u w:val="none"/>
        </w:rPr>
        <w:t>HEALA said that s</w:t>
      </w:r>
      <w:r w:rsidRPr="00F83BFF">
        <w:rPr>
          <w:rFonts w:ascii="Arial" w:hAnsi="Arial" w:cs="Arial"/>
          <w:sz w:val="20"/>
          <w:u w:val="none"/>
        </w:rPr>
        <w:t xml:space="preserve">ince its inception, </w:t>
      </w:r>
      <w:r w:rsidR="00B93277" w:rsidRPr="00F83BFF">
        <w:rPr>
          <w:rFonts w:ascii="Arial" w:hAnsi="Arial" w:cs="Arial"/>
          <w:sz w:val="20"/>
          <w:u w:val="none"/>
        </w:rPr>
        <w:t>the HPL</w:t>
      </w:r>
      <w:r w:rsidRPr="00F83BFF">
        <w:rPr>
          <w:rFonts w:ascii="Arial" w:hAnsi="Arial" w:cs="Arial"/>
          <w:sz w:val="20"/>
          <w:u w:val="none"/>
        </w:rPr>
        <w:t xml:space="preserve"> has already shown positive results in changing consumer behaviours, but it has the potential to do much more. </w:t>
      </w:r>
    </w:p>
    <w:p w:rsidR="00F20F03" w:rsidRPr="00F83BFF" w:rsidRDefault="006A04A3" w:rsidP="00F83BFF">
      <w:pPr>
        <w:pStyle w:val="Heading3"/>
        <w:spacing w:before="0" w:line="240" w:lineRule="auto"/>
        <w:rPr>
          <w:rFonts w:ascii="Arial" w:hAnsi="Arial" w:cs="Arial"/>
          <w:b/>
          <w:bCs/>
          <w:sz w:val="20"/>
          <w:u w:val="none"/>
        </w:rPr>
      </w:pPr>
      <w:r w:rsidRPr="00F83BFF">
        <w:rPr>
          <w:rFonts w:ascii="Arial" w:hAnsi="Arial" w:cs="Arial"/>
          <w:sz w:val="20"/>
          <w:u w:val="none"/>
        </w:rPr>
        <w:t>HEALA submitted that</w:t>
      </w:r>
      <w:r w:rsidR="006B702F" w:rsidRPr="00F83BFF">
        <w:rPr>
          <w:rFonts w:ascii="Arial" w:hAnsi="Arial" w:cs="Arial"/>
          <w:sz w:val="20"/>
          <w:u w:val="none"/>
        </w:rPr>
        <w:t xml:space="preserve"> the HPL is constantly under threat through non-transparent dealings with the private sector that dilute, delegitimize and delay the increase of the HPL to 20% - an increase that would reap many rewards. </w:t>
      </w:r>
      <w:r w:rsidR="00316125" w:rsidRPr="00F83BFF">
        <w:rPr>
          <w:rFonts w:ascii="Arial" w:hAnsi="Arial" w:cs="Arial"/>
          <w:sz w:val="20"/>
          <w:u w:val="none"/>
        </w:rPr>
        <w:t xml:space="preserve">It called </w:t>
      </w:r>
      <w:r w:rsidR="006B702F" w:rsidRPr="00F83BFF">
        <w:rPr>
          <w:rFonts w:ascii="Arial" w:hAnsi="Arial" w:cs="Arial"/>
          <w:sz w:val="20"/>
          <w:u w:val="none"/>
        </w:rPr>
        <w:t xml:space="preserve">on the government to wholeheartedly commit to strengthening the HPL, an existing and successful health policy, that benefits both the public’s health and the </w:t>
      </w:r>
      <w:r w:rsidR="00316125" w:rsidRPr="00F83BFF">
        <w:rPr>
          <w:rFonts w:ascii="Arial" w:hAnsi="Arial" w:cs="Arial"/>
          <w:sz w:val="20"/>
          <w:u w:val="none"/>
        </w:rPr>
        <w:t>fiscus</w:t>
      </w:r>
      <w:r w:rsidR="006B702F" w:rsidRPr="00F83BFF">
        <w:rPr>
          <w:rFonts w:ascii="Arial" w:hAnsi="Arial" w:cs="Arial"/>
          <w:sz w:val="20"/>
          <w:u w:val="none"/>
        </w:rPr>
        <w:t xml:space="preserve">. </w:t>
      </w:r>
      <w:r w:rsidR="005A1B7D" w:rsidRPr="00F83BFF">
        <w:rPr>
          <w:rFonts w:ascii="Arial" w:hAnsi="Arial" w:cs="Arial"/>
          <w:sz w:val="20"/>
          <w:u w:val="none"/>
        </w:rPr>
        <w:t>HEALA noted that du</w:t>
      </w:r>
      <w:r w:rsidR="006B702F" w:rsidRPr="00F83BFF">
        <w:rPr>
          <w:rFonts w:ascii="Arial" w:hAnsi="Arial" w:cs="Arial"/>
          <w:sz w:val="20"/>
          <w:u w:val="none"/>
        </w:rPr>
        <w:t xml:space="preserve">ring the 2022 Budget Speech, the Minister of Finance announced a planned increase to the HPL of 4.5% - raising the levy from 2.21 cents to 2.31 cents per gram of sugar for sugar-sweetened beverages (SSBs) above the threshold of 4 grams of sugar per 100 ml to take effect on 1 April 2022. </w:t>
      </w:r>
      <w:r w:rsidR="005A1B7D" w:rsidRPr="00F83BFF">
        <w:rPr>
          <w:rFonts w:ascii="Arial" w:hAnsi="Arial" w:cs="Arial"/>
          <w:sz w:val="20"/>
          <w:u w:val="none"/>
        </w:rPr>
        <w:t>It said it welcomed t</w:t>
      </w:r>
      <w:r w:rsidR="006B702F" w:rsidRPr="00F83BFF">
        <w:rPr>
          <w:rFonts w:ascii="Arial" w:hAnsi="Arial" w:cs="Arial"/>
          <w:sz w:val="20"/>
          <w:u w:val="none"/>
        </w:rPr>
        <w:t xml:space="preserve">his announcement as it would be the first increase since the HPL was enacted in 2018. </w:t>
      </w:r>
    </w:p>
    <w:p w:rsidR="005132BB" w:rsidRPr="00F83BFF" w:rsidRDefault="00F20F03" w:rsidP="00F83BFF">
      <w:pPr>
        <w:pStyle w:val="Heading3"/>
        <w:spacing w:before="0" w:line="240" w:lineRule="auto"/>
        <w:rPr>
          <w:rFonts w:ascii="Arial" w:hAnsi="Arial" w:cs="Arial"/>
          <w:b/>
          <w:bCs/>
          <w:sz w:val="20"/>
          <w:u w:val="none"/>
        </w:rPr>
      </w:pPr>
      <w:r w:rsidRPr="00F83BFF">
        <w:rPr>
          <w:rFonts w:ascii="Arial" w:hAnsi="Arial" w:cs="Arial"/>
          <w:sz w:val="20"/>
          <w:u w:val="none"/>
        </w:rPr>
        <w:t xml:space="preserve">HEALA </w:t>
      </w:r>
      <w:r w:rsidR="005A1B7D" w:rsidRPr="00F83BFF">
        <w:rPr>
          <w:rFonts w:ascii="Arial" w:hAnsi="Arial" w:cs="Arial"/>
          <w:sz w:val="20"/>
          <w:u w:val="none"/>
        </w:rPr>
        <w:t xml:space="preserve">expressed disappointment </w:t>
      </w:r>
      <w:r w:rsidRPr="00F83BFF">
        <w:rPr>
          <w:rFonts w:ascii="Arial" w:hAnsi="Arial" w:cs="Arial"/>
          <w:sz w:val="20"/>
          <w:u w:val="none"/>
        </w:rPr>
        <w:t xml:space="preserve">that </w:t>
      </w:r>
      <w:r w:rsidR="006B702F" w:rsidRPr="00F83BFF">
        <w:rPr>
          <w:rFonts w:ascii="Arial" w:hAnsi="Arial" w:cs="Arial"/>
          <w:sz w:val="20"/>
          <w:u w:val="none"/>
        </w:rPr>
        <w:t xml:space="preserve">the National Treasury </w:t>
      </w:r>
      <w:r w:rsidRPr="00F83BFF">
        <w:rPr>
          <w:rFonts w:ascii="Arial" w:hAnsi="Arial" w:cs="Arial"/>
          <w:sz w:val="20"/>
          <w:u w:val="none"/>
        </w:rPr>
        <w:t xml:space="preserve">had now </w:t>
      </w:r>
      <w:r w:rsidR="006B702F" w:rsidRPr="00F83BFF">
        <w:rPr>
          <w:rFonts w:ascii="Arial" w:hAnsi="Arial" w:cs="Arial"/>
          <w:sz w:val="20"/>
          <w:u w:val="none"/>
        </w:rPr>
        <w:t xml:space="preserve">postponed the increase to April 2023 to allow for broader consultation on the expansion of the HPL to include fruit juices and lower the 4g threshold of the levy. </w:t>
      </w:r>
      <w:r w:rsidRPr="00F83BFF">
        <w:rPr>
          <w:rFonts w:ascii="Arial" w:hAnsi="Arial" w:cs="Arial"/>
          <w:sz w:val="20"/>
          <w:u w:val="none"/>
        </w:rPr>
        <w:t>It said that t</w:t>
      </w:r>
      <w:r w:rsidR="006B702F" w:rsidRPr="00F83BFF">
        <w:rPr>
          <w:rFonts w:ascii="Arial" w:hAnsi="Arial" w:cs="Arial"/>
          <w:sz w:val="20"/>
          <w:u w:val="none"/>
        </w:rPr>
        <w:t xml:space="preserve">he National Treasury </w:t>
      </w:r>
      <w:r w:rsidRPr="00F83BFF">
        <w:rPr>
          <w:rFonts w:ascii="Arial" w:hAnsi="Arial" w:cs="Arial"/>
          <w:sz w:val="20"/>
          <w:u w:val="none"/>
        </w:rPr>
        <w:t>had</w:t>
      </w:r>
      <w:r w:rsidR="006B702F" w:rsidRPr="00F83BFF">
        <w:rPr>
          <w:rFonts w:ascii="Arial" w:hAnsi="Arial" w:cs="Arial"/>
          <w:sz w:val="20"/>
          <w:u w:val="none"/>
        </w:rPr>
        <w:t xml:space="preserve"> not give</w:t>
      </w:r>
      <w:r w:rsidRPr="00F83BFF">
        <w:rPr>
          <w:rFonts w:ascii="Arial" w:hAnsi="Arial" w:cs="Arial"/>
          <w:sz w:val="20"/>
          <w:u w:val="none"/>
        </w:rPr>
        <w:t>n</w:t>
      </w:r>
      <w:r w:rsidR="006B702F" w:rsidRPr="00F83BFF">
        <w:rPr>
          <w:rFonts w:ascii="Arial" w:hAnsi="Arial" w:cs="Arial"/>
          <w:sz w:val="20"/>
          <w:u w:val="none"/>
        </w:rPr>
        <w:t xml:space="preserve"> any explanations on why this postponement was necessary for consultations nor how the decision was made. HEALA </w:t>
      </w:r>
      <w:r w:rsidR="001D0CA6" w:rsidRPr="00F83BFF">
        <w:rPr>
          <w:rFonts w:ascii="Arial" w:hAnsi="Arial" w:cs="Arial"/>
          <w:sz w:val="20"/>
          <w:u w:val="none"/>
        </w:rPr>
        <w:t xml:space="preserve">said that it had </w:t>
      </w:r>
      <w:r w:rsidR="006B702F" w:rsidRPr="00F83BFF">
        <w:rPr>
          <w:rFonts w:ascii="Arial" w:hAnsi="Arial" w:cs="Arial"/>
          <w:sz w:val="20"/>
          <w:u w:val="none"/>
        </w:rPr>
        <w:t xml:space="preserve">submitted a Promotion of Access to Information </w:t>
      </w:r>
      <w:r w:rsidR="006B702F" w:rsidRPr="00F83BFF">
        <w:rPr>
          <w:rFonts w:ascii="Arial" w:hAnsi="Arial" w:cs="Arial"/>
          <w:sz w:val="20"/>
          <w:u w:val="none"/>
        </w:rPr>
        <w:lastRenderedPageBreak/>
        <w:t xml:space="preserve">Act (PAIA) application to National Treasury to demand records of evidence that informed the decision to delay the increase of the HPL and to share meeting minutes between Treasury, the Sugar Cane Industry and the Consumer Goods Council concerning the HPL. </w:t>
      </w:r>
      <w:r w:rsidR="00885614" w:rsidRPr="00F83BFF">
        <w:rPr>
          <w:rFonts w:ascii="Arial" w:hAnsi="Arial" w:cs="Arial"/>
          <w:sz w:val="20"/>
          <w:u w:val="none"/>
        </w:rPr>
        <w:t>It said that a</w:t>
      </w:r>
      <w:r w:rsidR="006B702F" w:rsidRPr="00F83BFF">
        <w:rPr>
          <w:rFonts w:ascii="Arial" w:hAnsi="Arial" w:cs="Arial"/>
          <w:sz w:val="20"/>
          <w:u w:val="none"/>
        </w:rPr>
        <w:t xml:space="preserve"> response was promised by </w:t>
      </w:r>
      <w:r w:rsidR="00885614" w:rsidRPr="00F83BFF">
        <w:rPr>
          <w:rFonts w:ascii="Arial" w:hAnsi="Arial" w:cs="Arial"/>
          <w:sz w:val="20"/>
          <w:u w:val="none"/>
        </w:rPr>
        <w:t xml:space="preserve">the </w:t>
      </w:r>
      <w:r w:rsidR="006B702F" w:rsidRPr="00F83BFF">
        <w:rPr>
          <w:rFonts w:ascii="Arial" w:hAnsi="Arial" w:cs="Arial"/>
          <w:sz w:val="20"/>
          <w:u w:val="none"/>
        </w:rPr>
        <w:t xml:space="preserve">National Treasury to be sent no later than 10 October 2022, however, </w:t>
      </w:r>
      <w:r w:rsidR="00885614" w:rsidRPr="00F83BFF">
        <w:rPr>
          <w:rFonts w:ascii="Arial" w:hAnsi="Arial" w:cs="Arial"/>
          <w:sz w:val="20"/>
          <w:u w:val="none"/>
        </w:rPr>
        <w:t xml:space="preserve">that response was had not been given at the time of the MTBPS and the hearings of the fiscal framework in Parliament. HEALA decried </w:t>
      </w:r>
      <w:r w:rsidR="006B702F" w:rsidRPr="00F83BFF">
        <w:rPr>
          <w:rFonts w:ascii="Arial" w:hAnsi="Arial" w:cs="Arial"/>
          <w:sz w:val="20"/>
          <w:u w:val="none"/>
        </w:rPr>
        <w:t xml:space="preserve">lack of transparency and accountability </w:t>
      </w:r>
      <w:r w:rsidR="00885614" w:rsidRPr="00F83BFF">
        <w:rPr>
          <w:rFonts w:ascii="Arial" w:hAnsi="Arial" w:cs="Arial"/>
          <w:sz w:val="20"/>
          <w:u w:val="none"/>
        </w:rPr>
        <w:t>a</w:t>
      </w:r>
      <w:r w:rsidR="006B702F" w:rsidRPr="00F83BFF">
        <w:rPr>
          <w:rFonts w:ascii="Arial" w:hAnsi="Arial" w:cs="Arial"/>
          <w:sz w:val="20"/>
          <w:u w:val="none"/>
        </w:rPr>
        <w:t>s worrying</w:t>
      </w:r>
      <w:r w:rsidR="00E6400E" w:rsidRPr="00F83BFF">
        <w:rPr>
          <w:rFonts w:ascii="Arial" w:hAnsi="Arial" w:cs="Arial"/>
          <w:sz w:val="20"/>
          <w:u w:val="none"/>
        </w:rPr>
        <w:t>.</w:t>
      </w:r>
      <w:r w:rsidR="006B702F" w:rsidRPr="00F83BFF">
        <w:rPr>
          <w:rFonts w:ascii="Arial" w:hAnsi="Arial" w:cs="Arial"/>
          <w:sz w:val="20"/>
          <w:u w:val="none"/>
        </w:rPr>
        <w:t xml:space="preserve"> </w:t>
      </w:r>
    </w:p>
    <w:p w:rsidR="006B702F" w:rsidRPr="00F83BFF" w:rsidRDefault="00845017" w:rsidP="00F83BFF">
      <w:pPr>
        <w:pStyle w:val="Heading3"/>
        <w:spacing w:before="0" w:line="240" w:lineRule="auto"/>
        <w:rPr>
          <w:rFonts w:ascii="Arial" w:hAnsi="Arial" w:cs="Arial"/>
          <w:b/>
          <w:bCs/>
          <w:sz w:val="20"/>
          <w:u w:val="none"/>
        </w:rPr>
      </w:pPr>
      <w:r w:rsidRPr="00F83BFF">
        <w:rPr>
          <w:rFonts w:ascii="Arial" w:hAnsi="Arial" w:cs="Arial"/>
          <w:sz w:val="20"/>
          <w:u w:val="none"/>
        </w:rPr>
        <w:t>HEALA submitted that t</w:t>
      </w:r>
      <w:r w:rsidR="006B702F" w:rsidRPr="00F83BFF">
        <w:rPr>
          <w:rFonts w:ascii="Arial" w:hAnsi="Arial" w:cs="Arial"/>
          <w:sz w:val="20"/>
          <w:u w:val="none"/>
        </w:rPr>
        <w:t xml:space="preserve">he HPL needs to be increased to the recommended 20% rate and public consultations to decrease the 4g threshold and expansion of the HPL to include fruit juices are needed with urgency. HEALA also </w:t>
      </w:r>
      <w:r w:rsidRPr="00F83BFF">
        <w:rPr>
          <w:rFonts w:ascii="Arial" w:hAnsi="Arial" w:cs="Arial"/>
          <w:sz w:val="20"/>
          <w:u w:val="none"/>
        </w:rPr>
        <w:t>submitted</w:t>
      </w:r>
      <w:r w:rsidR="006B702F" w:rsidRPr="00F83BFF">
        <w:rPr>
          <w:rFonts w:ascii="Arial" w:hAnsi="Arial" w:cs="Arial"/>
          <w:sz w:val="20"/>
          <w:u w:val="none"/>
        </w:rPr>
        <w:t xml:space="preserve"> that </w:t>
      </w:r>
      <w:r w:rsidRPr="00F83BFF">
        <w:rPr>
          <w:rFonts w:ascii="Arial" w:hAnsi="Arial" w:cs="Arial"/>
          <w:sz w:val="20"/>
          <w:u w:val="none"/>
        </w:rPr>
        <w:t xml:space="preserve">the </w:t>
      </w:r>
      <w:r w:rsidR="006B702F" w:rsidRPr="00F83BFF">
        <w:rPr>
          <w:rFonts w:ascii="Arial" w:hAnsi="Arial" w:cs="Arial"/>
          <w:sz w:val="20"/>
          <w:u w:val="none"/>
        </w:rPr>
        <w:t>National Treasury provides transparent information about any correspondence with the food and beverage industry in relation to the HPL</w:t>
      </w:r>
    </w:p>
    <w:p w:rsidR="006B702F" w:rsidRPr="00F83BFF" w:rsidRDefault="006B702F" w:rsidP="00F83BFF">
      <w:pPr>
        <w:pStyle w:val="FirstPara"/>
        <w:spacing w:before="0" w:line="240" w:lineRule="auto"/>
        <w:jc w:val="left"/>
        <w:rPr>
          <w:rFonts w:ascii="Arial" w:hAnsi="Arial" w:cs="Arial"/>
          <w:sz w:val="20"/>
        </w:rPr>
      </w:pPr>
    </w:p>
    <w:p w:rsidR="005E1720" w:rsidRPr="00F83BFF" w:rsidRDefault="005C292E" w:rsidP="00F83BFF">
      <w:pPr>
        <w:pStyle w:val="Heading2"/>
        <w:spacing w:before="0" w:line="240" w:lineRule="auto"/>
        <w:rPr>
          <w:rFonts w:ascii="Arial" w:hAnsi="Arial" w:cs="Arial"/>
          <w:sz w:val="20"/>
        </w:rPr>
      </w:pPr>
      <w:r w:rsidRPr="00F83BFF">
        <w:rPr>
          <w:rFonts w:ascii="Arial" w:hAnsi="Arial" w:cs="Arial"/>
          <w:sz w:val="20"/>
        </w:rPr>
        <w:lastRenderedPageBreak/>
        <w:t xml:space="preserve">RESPONSES BY NATIONAL TREASURY TO </w:t>
      </w:r>
      <w:r w:rsidR="00CE6079" w:rsidRPr="00F83BFF">
        <w:rPr>
          <w:rFonts w:ascii="Arial" w:hAnsi="Arial" w:cs="Arial"/>
          <w:sz w:val="20"/>
        </w:rPr>
        <w:t>INPUTS AND SUBMISSION</w:t>
      </w:r>
      <w:r w:rsidR="00FC1CAF" w:rsidRPr="00F83BFF">
        <w:rPr>
          <w:rFonts w:ascii="Arial" w:hAnsi="Arial" w:cs="Arial"/>
          <w:sz w:val="20"/>
        </w:rPr>
        <w:t>S</w:t>
      </w:r>
    </w:p>
    <w:p w:rsidR="005A79F3" w:rsidRPr="00F83BFF" w:rsidRDefault="0004181F" w:rsidP="00F83BFF">
      <w:pPr>
        <w:pStyle w:val="Heading3"/>
        <w:spacing w:before="0" w:line="240" w:lineRule="auto"/>
        <w:rPr>
          <w:rFonts w:ascii="Arial" w:hAnsi="Arial" w:cs="Arial"/>
          <w:sz w:val="20"/>
          <w:u w:val="none"/>
        </w:rPr>
      </w:pPr>
      <w:r w:rsidRPr="00F83BFF">
        <w:rPr>
          <w:rFonts w:ascii="Arial" w:hAnsi="Arial" w:cs="Arial"/>
          <w:sz w:val="20"/>
          <w:u w:val="none"/>
        </w:rPr>
        <w:t xml:space="preserve">In its response to </w:t>
      </w:r>
      <w:r w:rsidR="00B24C81" w:rsidRPr="00F83BFF">
        <w:rPr>
          <w:rFonts w:ascii="Arial" w:hAnsi="Arial" w:cs="Arial"/>
          <w:sz w:val="20"/>
          <w:u w:val="none"/>
        </w:rPr>
        <w:t xml:space="preserve">inputs from </w:t>
      </w:r>
      <w:r w:rsidR="00AA6E09" w:rsidRPr="00F83BFF">
        <w:rPr>
          <w:rFonts w:ascii="Arial" w:hAnsi="Arial" w:cs="Arial"/>
          <w:sz w:val="20"/>
          <w:u w:val="none"/>
        </w:rPr>
        <w:t xml:space="preserve">Constitutional and statutory institutions and stakeholders, the National Treasury sought </w:t>
      </w:r>
      <w:r w:rsidR="00B67B2C" w:rsidRPr="00F83BFF">
        <w:rPr>
          <w:rFonts w:ascii="Arial" w:hAnsi="Arial" w:cs="Arial"/>
          <w:sz w:val="20"/>
          <w:u w:val="none"/>
        </w:rPr>
        <w:t>clarify</w:t>
      </w:r>
      <w:r w:rsidR="00E9710D" w:rsidRPr="00F83BFF">
        <w:rPr>
          <w:rFonts w:ascii="Arial" w:hAnsi="Arial" w:cs="Arial"/>
          <w:sz w:val="20"/>
          <w:u w:val="none"/>
        </w:rPr>
        <w:t xml:space="preserve"> government’s fiscal positions and strategy, the proposed fiscal policy stance</w:t>
      </w:r>
      <w:r w:rsidR="00B67B2C" w:rsidRPr="00F83BFF">
        <w:rPr>
          <w:rFonts w:ascii="Arial" w:hAnsi="Arial" w:cs="Arial"/>
          <w:sz w:val="20"/>
          <w:u w:val="none"/>
        </w:rPr>
        <w:t>, South Africa’s structural growth problem, revenue and tax proposals, expenditure</w:t>
      </w:r>
      <w:r w:rsidR="00F45462" w:rsidRPr="00F83BFF">
        <w:rPr>
          <w:rFonts w:ascii="Arial" w:hAnsi="Arial" w:cs="Arial"/>
          <w:sz w:val="20"/>
          <w:u w:val="none"/>
        </w:rPr>
        <w:t xml:space="preserve">, the </w:t>
      </w:r>
      <w:r w:rsidR="00CC050A" w:rsidRPr="00F83BFF">
        <w:rPr>
          <w:rFonts w:ascii="Arial" w:hAnsi="Arial" w:cs="Arial"/>
          <w:sz w:val="20"/>
          <w:u w:val="none"/>
          <w:lang w:val="en-ZA"/>
        </w:rPr>
        <w:t>financing</w:t>
      </w:r>
      <w:r w:rsidR="00A90909" w:rsidRPr="00F83BFF">
        <w:rPr>
          <w:rFonts w:ascii="Arial" w:hAnsi="Arial" w:cs="Arial"/>
          <w:sz w:val="20"/>
          <w:u w:val="none"/>
          <w:lang w:val="en-ZA"/>
        </w:rPr>
        <w:t xml:space="preserve"> and debt management strategy</w:t>
      </w:r>
      <w:r w:rsidR="00F45462" w:rsidRPr="00F83BFF">
        <w:rPr>
          <w:rFonts w:ascii="Arial" w:hAnsi="Arial" w:cs="Arial"/>
          <w:sz w:val="20"/>
          <w:u w:val="none"/>
          <w:lang w:val="en-ZA"/>
        </w:rPr>
        <w:t xml:space="preserve">, </w:t>
      </w:r>
      <w:r w:rsidR="008F32F1" w:rsidRPr="00F83BFF">
        <w:rPr>
          <w:rFonts w:ascii="Arial" w:hAnsi="Arial" w:cs="Arial"/>
          <w:sz w:val="20"/>
          <w:u w:val="none"/>
          <w:lang w:val="en-ZA"/>
        </w:rPr>
        <w:t xml:space="preserve">strategy in relation to </w:t>
      </w:r>
      <w:r w:rsidR="00A90909" w:rsidRPr="00F83BFF">
        <w:rPr>
          <w:rFonts w:ascii="Arial" w:hAnsi="Arial" w:cs="Arial"/>
          <w:sz w:val="20"/>
          <w:u w:val="none"/>
          <w:lang w:val="en-ZA"/>
        </w:rPr>
        <w:t>SO</w:t>
      </w:r>
      <w:r w:rsidR="008F32F1" w:rsidRPr="00F83BFF">
        <w:rPr>
          <w:rFonts w:ascii="Arial" w:hAnsi="Arial" w:cs="Arial"/>
          <w:sz w:val="20"/>
          <w:u w:val="none"/>
          <w:lang w:val="en-ZA"/>
        </w:rPr>
        <w:t>E</w:t>
      </w:r>
      <w:r w:rsidR="00A90909" w:rsidRPr="00F83BFF">
        <w:rPr>
          <w:rFonts w:ascii="Arial" w:hAnsi="Arial" w:cs="Arial"/>
          <w:sz w:val="20"/>
          <w:u w:val="none"/>
          <w:lang w:val="en-ZA"/>
        </w:rPr>
        <w:t>s</w:t>
      </w:r>
      <w:r w:rsidR="008F32F1" w:rsidRPr="00F83BFF">
        <w:rPr>
          <w:rFonts w:ascii="Arial" w:hAnsi="Arial" w:cs="Arial"/>
          <w:sz w:val="20"/>
          <w:u w:val="none"/>
          <w:lang w:val="en-ZA"/>
        </w:rPr>
        <w:t xml:space="preserve">, </w:t>
      </w:r>
      <w:r w:rsidR="00FD351B" w:rsidRPr="00F83BFF">
        <w:rPr>
          <w:rFonts w:ascii="Arial" w:hAnsi="Arial" w:cs="Arial"/>
          <w:sz w:val="20"/>
          <w:u w:val="none"/>
          <w:lang w:val="en-ZA"/>
        </w:rPr>
        <w:t xml:space="preserve">public </w:t>
      </w:r>
      <w:r w:rsidR="00CC050A" w:rsidRPr="00F83BFF">
        <w:rPr>
          <w:rFonts w:ascii="Arial" w:hAnsi="Arial" w:cs="Arial"/>
          <w:sz w:val="20"/>
          <w:u w:val="none"/>
          <w:lang w:val="en-ZA"/>
        </w:rPr>
        <w:t>participation</w:t>
      </w:r>
      <w:r w:rsidR="00FD351B" w:rsidRPr="00F83BFF">
        <w:rPr>
          <w:rFonts w:ascii="Arial" w:hAnsi="Arial" w:cs="Arial"/>
          <w:sz w:val="20"/>
          <w:u w:val="none"/>
          <w:lang w:val="en-ZA"/>
        </w:rPr>
        <w:t xml:space="preserve"> strategy and o</w:t>
      </w:r>
      <w:r w:rsidR="00A90909" w:rsidRPr="00F83BFF">
        <w:rPr>
          <w:rFonts w:ascii="Arial" w:hAnsi="Arial" w:cs="Arial"/>
          <w:sz w:val="20"/>
          <w:u w:val="none"/>
        </w:rPr>
        <w:t>ther matters raised</w:t>
      </w:r>
      <w:r w:rsidR="00FD351B" w:rsidRPr="00F83BFF">
        <w:rPr>
          <w:rFonts w:ascii="Arial" w:hAnsi="Arial" w:cs="Arial"/>
          <w:sz w:val="20"/>
          <w:u w:val="none"/>
        </w:rPr>
        <w:t xml:space="preserve"> during the public hearings</w:t>
      </w:r>
      <w:r w:rsidR="00CC050A" w:rsidRPr="00F83BFF">
        <w:rPr>
          <w:rFonts w:ascii="Arial" w:hAnsi="Arial" w:cs="Arial"/>
          <w:sz w:val="20"/>
          <w:u w:val="none"/>
        </w:rPr>
        <w:t xml:space="preserve"> and Committee deliberations</w:t>
      </w:r>
      <w:r w:rsidR="005A79F3" w:rsidRPr="00F83BFF">
        <w:rPr>
          <w:rFonts w:ascii="Arial" w:hAnsi="Arial" w:cs="Arial"/>
          <w:sz w:val="20"/>
          <w:u w:val="none"/>
        </w:rPr>
        <w:t>.</w:t>
      </w:r>
    </w:p>
    <w:p w:rsidR="00302C1B" w:rsidRPr="00F83BFF" w:rsidRDefault="005A79F3" w:rsidP="00F83BFF">
      <w:pPr>
        <w:pStyle w:val="Heading3"/>
        <w:spacing w:before="0" w:line="240" w:lineRule="auto"/>
        <w:rPr>
          <w:rFonts w:ascii="Arial" w:hAnsi="Arial" w:cs="Arial"/>
          <w:sz w:val="20"/>
          <w:u w:val="none"/>
        </w:rPr>
      </w:pPr>
      <w:r w:rsidRPr="00F83BFF">
        <w:rPr>
          <w:rFonts w:ascii="Arial" w:hAnsi="Arial" w:cs="Arial"/>
          <w:sz w:val="20"/>
          <w:u w:val="none"/>
        </w:rPr>
        <w:t>The National Treasury stated that t</w:t>
      </w:r>
      <w:r w:rsidR="00CC050A" w:rsidRPr="00F83BFF">
        <w:rPr>
          <w:rFonts w:ascii="Arial" w:hAnsi="Arial" w:cs="Arial"/>
          <w:sz w:val="20"/>
          <w:u w:val="none"/>
          <w:lang w:val="en-ZA"/>
        </w:rPr>
        <w:t>he MTBPS does not announce new policy proposals such as tax measures or detailed expenditure allocations</w:t>
      </w:r>
      <w:r w:rsidR="00EF4603" w:rsidRPr="00F83BFF">
        <w:rPr>
          <w:rFonts w:ascii="Arial" w:hAnsi="Arial" w:cs="Arial"/>
          <w:sz w:val="20"/>
          <w:u w:val="none"/>
          <w:lang w:val="en-ZA"/>
        </w:rPr>
        <w:t xml:space="preserve">, as this is only </w:t>
      </w:r>
      <w:r w:rsidR="00CC050A" w:rsidRPr="00F83BFF">
        <w:rPr>
          <w:rFonts w:ascii="Arial" w:hAnsi="Arial" w:cs="Arial"/>
          <w:sz w:val="20"/>
          <w:u w:val="none"/>
          <w:lang w:val="en-ZA"/>
        </w:rPr>
        <w:t>done in the February budget.</w:t>
      </w:r>
      <w:r w:rsidR="00EF4603" w:rsidRPr="00F83BFF">
        <w:rPr>
          <w:rFonts w:ascii="Arial" w:hAnsi="Arial" w:cs="Arial"/>
          <w:sz w:val="20"/>
          <w:u w:val="none"/>
          <w:lang w:val="en-ZA"/>
        </w:rPr>
        <w:t xml:space="preserve"> </w:t>
      </w:r>
      <w:r w:rsidR="004D1089" w:rsidRPr="00F83BFF">
        <w:rPr>
          <w:rFonts w:ascii="Arial" w:hAnsi="Arial" w:cs="Arial"/>
          <w:sz w:val="20"/>
          <w:u w:val="none"/>
          <w:lang w:val="en-ZA"/>
        </w:rPr>
        <w:t>It said that t</w:t>
      </w:r>
      <w:r w:rsidR="00CC050A" w:rsidRPr="00F83BFF">
        <w:rPr>
          <w:rFonts w:ascii="Arial" w:hAnsi="Arial" w:cs="Arial"/>
          <w:sz w:val="20"/>
          <w:u w:val="none"/>
          <w:lang w:val="en-ZA"/>
        </w:rPr>
        <w:t>he fiscal strategy is not exclusively focused on debt reduction, but on strengthening public finances for sustainable growth and service delivery</w:t>
      </w:r>
      <w:r w:rsidR="004D1089" w:rsidRPr="00F83BFF">
        <w:rPr>
          <w:rFonts w:ascii="Arial" w:hAnsi="Arial" w:cs="Arial"/>
          <w:sz w:val="20"/>
          <w:u w:val="none"/>
          <w:lang w:val="en-ZA"/>
        </w:rPr>
        <w:t>. It said that i</w:t>
      </w:r>
      <w:r w:rsidR="00CC050A" w:rsidRPr="00F83BFF">
        <w:rPr>
          <w:rFonts w:ascii="Arial" w:hAnsi="Arial" w:cs="Arial"/>
          <w:sz w:val="20"/>
          <w:u w:val="none"/>
          <w:lang w:val="en-ZA"/>
        </w:rPr>
        <w:t xml:space="preserve">n order to ensure sustainable public finances </w:t>
      </w:r>
      <w:r w:rsidR="00E135A4" w:rsidRPr="00F83BFF">
        <w:rPr>
          <w:rFonts w:ascii="Arial" w:hAnsi="Arial" w:cs="Arial"/>
          <w:sz w:val="20"/>
          <w:u w:val="none"/>
          <w:lang w:val="en-ZA"/>
        </w:rPr>
        <w:t xml:space="preserve">and </w:t>
      </w:r>
      <w:r w:rsidR="00CC050A" w:rsidRPr="00F83BFF">
        <w:rPr>
          <w:rFonts w:ascii="Arial" w:hAnsi="Arial" w:cs="Arial"/>
          <w:sz w:val="20"/>
          <w:u w:val="none"/>
          <w:lang w:val="en-ZA"/>
        </w:rPr>
        <w:t>to achieve long-term intergenerational equity, it is crucial to carefully balance revenue, expenditure and borrowing. </w:t>
      </w:r>
      <w:r w:rsidR="00302C1B" w:rsidRPr="00F83BFF">
        <w:rPr>
          <w:rFonts w:ascii="Arial" w:hAnsi="Arial" w:cs="Arial"/>
          <w:sz w:val="20"/>
          <w:u w:val="none"/>
          <w:lang w:val="en-ZA"/>
        </w:rPr>
        <w:t>It explained that f</w:t>
      </w:r>
      <w:r w:rsidR="00CC050A" w:rsidRPr="00F83BFF">
        <w:rPr>
          <w:rFonts w:ascii="Arial" w:hAnsi="Arial" w:cs="Arial"/>
          <w:sz w:val="20"/>
          <w:u w:val="none"/>
          <w:lang w:val="en-ZA"/>
        </w:rPr>
        <w:t>inancing and debt management also play an important role</w:t>
      </w:r>
      <w:r w:rsidR="00302C1B" w:rsidRPr="00F83BFF">
        <w:rPr>
          <w:rFonts w:ascii="Arial" w:hAnsi="Arial" w:cs="Arial"/>
          <w:sz w:val="20"/>
          <w:u w:val="none"/>
          <w:lang w:val="en-ZA"/>
        </w:rPr>
        <w:t>.</w:t>
      </w:r>
    </w:p>
    <w:p w:rsidR="009679D6" w:rsidRPr="00F83BFF" w:rsidRDefault="00302C1B" w:rsidP="00F83BFF">
      <w:pPr>
        <w:pStyle w:val="Heading3"/>
        <w:spacing w:before="0" w:line="240" w:lineRule="auto"/>
        <w:rPr>
          <w:rFonts w:ascii="Arial" w:hAnsi="Arial" w:cs="Arial"/>
          <w:sz w:val="20"/>
          <w:u w:val="none"/>
        </w:rPr>
      </w:pPr>
      <w:r w:rsidRPr="00F83BFF">
        <w:rPr>
          <w:rFonts w:ascii="Arial" w:hAnsi="Arial" w:cs="Arial"/>
          <w:sz w:val="20"/>
          <w:u w:val="none"/>
          <w:lang w:val="en-ZA"/>
        </w:rPr>
        <w:t>The National Treasury explained that g</w:t>
      </w:r>
      <w:r w:rsidR="00CC050A" w:rsidRPr="00F83BFF">
        <w:rPr>
          <w:rFonts w:ascii="Arial" w:hAnsi="Arial" w:cs="Arial"/>
          <w:sz w:val="20"/>
          <w:u w:val="none"/>
          <w:lang w:val="en-ZA"/>
        </w:rPr>
        <w:t>overnment plans to implement its strategy as presented in the 2022 MTBPS</w:t>
      </w:r>
      <w:r w:rsidR="006A4F1F" w:rsidRPr="00F83BFF">
        <w:rPr>
          <w:rFonts w:ascii="Arial" w:hAnsi="Arial" w:cs="Arial"/>
          <w:sz w:val="20"/>
          <w:u w:val="none"/>
          <w:lang w:val="en-ZA"/>
        </w:rPr>
        <w:t>.</w:t>
      </w:r>
      <w:r w:rsidR="00CC050A" w:rsidRPr="00F83BFF">
        <w:rPr>
          <w:rFonts w:ascii="Arial" w:hAnsi="Arial" w:cs="Arial"/>
          <w:sz w:val="20"/>
          <w:u w:val="none"/>
          <w:lang w:val="en-ZA"/>
        </w:rPr>
        <w:t xml:space="preserve"> </w:t>
      </w:r>
      <w:r w:rsidR="00CC050A" w:rsidRPr="00F83BFF">
        <w:rPr>
          <w:rFonts w:ascii="Arial" w:hAnsi="Arial" w:cs="Arial"/>
          <w:sz w:val="20"/>
          <w:u w:val="none"/>
        </w:rPr>
        <w:t>On average</w:t>
      </w:r>
      <w:r w:rsidR="00412644" w:rsidRPr="00F83BFF">
        <w:rPr>
          <w:rFonts w:ascii="Arial" w:hAnsi="Arial" w:cs="Arial"/>
          <w:sz w:val="20"/>
          <w:u w:val="none"/>
        </w:rPr>
        <w:t>,</w:t>
      </w:r>
      <w:r w:rsidR="00CC050A" w:rsidRPr="00F83BFF">
        <w:rPr>
          <w:rFonts w:ascii="Arial" w:hAnsi="Arial" w:cs="Arial"/>
          <w:sz w:val="20"/>
          <w:u w:val="none"/>
        </w:rPr>
        <w:t xml:space="preserve"> over the 2022 MTEF, </w:t>
      </w:r>
      <w:r w:rsidR="00412644" w:rsidRPr="00F83BFF">
        <w:rPr>
          <w:rFonts w:ascii="Arial" w:hAnsi="Arial" w:cs="Arial"/>
          <w:sz w:val="20"/>
          <w:u w:val="none"/>
        </w:rPr>
        <w:t xml:space="preserve">the National Treasury explained that </w:t>
      </w:r>
      <w:r w:rsidR="00CC050A" w:rsidRPr="00F83BFF">
        <w:rPr>
          <w:rFonts w:ascii="Arial" w:hAnsi="Arial" w:cs="Arial"/>
          <w:sz w:val="20"/>
          <w:u w:val="none"/>
        </w:rPr>
        <w:t>government will use 49 per cent of windfall revenue to improve the primary balance and 51 per cent to increase non-interest expenditure.</w:t>
      </w:r>
      <w:r w:rsidR="008A45DE" w:rsidRPr="00F83BFF">
        <w:rPr>
          <w:rFonts w:ascii="Arial" w:hAnsi="Arial" w:cs="Arial"/>
          <w:sz w:val="20"/>
          <w:u w:val="none"/>
        </w:rPr>
        <w:t xml:space="preserve"> It explained further that g</w:t>
      </w:r>
      <w:r w:rsidR="00CC050A" w:rsidRPr="00F83BFF">
        <w:rPr>
          <w:rFonts w:ascii="Arial" w:hAnsi="Arial" w:cs="Arial"/>
          <w:sz w:val="20"/>
          <w:u w:val="none"/>
        </w:rPr>
        <w:t>overnment will not rely on transitory revenue gains to fund permanent spending increases but will instead use these funds to reduce some of the risks and contingent liabilities. </w:t>
      </w:r>
      <w:r w:rsidR="008A45DE" w:rsidRPr="00F83BFF">
        <w:rPr>
          <w:rFonts w:ascii="Arial" w:hAnsi="Arial" w:cs="Arial"/>
          <w:sz w:val="20"/>
          <w:u w:val="none"/>
        </w:rPr>
        <w:t>It said that a</w:t>
      </w:r>
      <w:r w:rsidR="00CC050A" w:rsidRPr="00F83BFF">
        <w:rPr>
          <w:rFonts w:ascii="Arial" w:hAnsi="Arial" w:cs="Arial"/>
          <w:sz w:val="20"/>
          <w:u w:val="none"/>
        </w:rPr>
        <w:t>s the gross debt burden declines, government will repair the broader public-sector balance sheet by reducing risks posed by public entities.</w:t>
      </w:r>
    </w:p>
    <w:p w:rsidR="000565AB" w:rsidRPr="00F83BFF" w:rsidRDefault="00CC050A" w:rsidP="00F83BFF">
      <w:pPr>
        <w:pStyle w:val="Heading3"/>
        <w:spacing w:before="0" w:line="240" w:lineRule="auto"/>
        <w:rPr>
          <w:rFonts w:ascii="Arial" w:hAnsi="Arial" w:cs="Arial"/>
          <w:sz w:val="20"/>
          <w:u w:val="none"/>
        </w:rPr>
      </w:pPr>
      <w:r w:rsidRPr="00F83BFF">
        <w:rPr>
          <w:rFonts w:ascii="Arial" w:hAnsi="Arial" w:cs="Arial"/>
          <w:sz w:val="20"/>
          <w:u w:val="none"/>
          <w:lang w:val="en-ZA"/>
        </w:rPr>
        <w:t xml:space="preserve">The </w:t>
      </w:r>
      <w:r w:rsidR="009679D6" w:rsidRPr="00F83BFF">
        <w:rPr>
          <w:rFonts w:ascii="Arial" w:hAnsi="Arial" w:cs="Arial"/>
          <w:sz w:val="20"/>
          <w:u w:val="none"/>
          <w:lang w:val="en-ZA"/>
        </w:rPr>
        <w:t xml:space="preserve">National Treasury </w:t>
      </w:r>
      <w:r w:rsidR="0072763F" w:rsidRPr="00F83BFF">
        <w:rPr>
          <w:rFonts w:ascii="Arial" w:hAnsi="Arial" w:cs="Arial"/>
          <w:sz w:val="20"/>
          <w:u w:val="none"/>
          <w:lang w:val="en-ZA"/>
        </w:rPr>
        <w:t xml:space="preserve">vehemently </w:t>
      </w:r>
      <w:r w:rsidR="009679D6" w:rsidRPr="00F83BFF">
        <w:rPr>
          <w:rFonts w:ascii="Arial" w:hAnsi="Arial" w:cs="Arial"/>
          <w:sz w:val="20"/>
          <w:u w:val="none"/>
          <w:lang w:val="en-ZA"/>
        </w:rPr>
        <w:t xml:space="preserve">disputed </w:t>
      </w:r>
      <w:r w:rsidR="0072763F" w:rsidRPr="00F83BFF">
        <w:rPr>
          <w:rFonts w:ascii="Arial" w:hAnsi="Arial" w:cs="Arial"/>
          <w:sz w:val="20"/>
          <w:u w:val="none"/>
          <w:lang w:val="en-ZA"/>
        </w:rPr>
        <w:t>assertions that</w:t>
      </w:r>
      <w:r w:rsidR="009679D6" w:rsidRPr="00F83BFF">
        <w:rPr>
          <w:rFonts w:ascii="Arial" w:hAnsi="Arial" w:cs="Arial"/>
          <w:sz w:val="20"/>
          <w:u w:val="none"/>
          <w:lang w:val="en-ZA"/>
        </w:rPr>
        <w:t xml:space="preserve"> the </w:t>
      </w:r>
      <w:r w:rsidRPr="00F83BFF">
        <w:rPr>
          <w:rFonts w:ascii="Arial" w:hAnsi="Arial" w:cs="Arial"/>
          <w:sz w:val="20"/>
          <w:u w:val="none"/>
          <w:lang w:val="en-ZA"/>
        </w:rPr>
        <w:t xml:space="preserve">2022 MTBPS </w:t>
      </w:r>
      <w:r w:rsidR="009679D6" w:rsidRPr="00F83BFF">
        <w:rPr>
          <w:rFonts w:ascii="Arial" w:hAnsi="Arial" w:cs="Arial"/>
          <w:sz w:val="20"/>
          <w:u w:val="none"/>
          <w:lang w:val="en-ZA"/>
        </w:rPr>
        <w:t>was</w:t>
      </w:r>
      <w:r w:rsidRPr="00F83BFF">
        <w:rPr>
          <w:rFonts w:ascii="Arial" w:hAnsi="Arial" w:cs="Arial"/>
          <w:sz w:val="20"/>
          <w:u w:val="none"/>
          <w:lang w:val="en-ZA"/>
        </w:rPr>
        <w:t xml:space="preserve"> austere</w:t>
      </w:r>
      <w:r w:rsidR="009679D6" w:rsidRPr="00F83BFF">
        <w:rPr>
          <w:rFonts w:ascii="Arial" w:hAnsi="Arial" w:cs="Arial"/>
          <w:sz w:val="20"/>
          <w:u w:val="none"/>
          <w:lang w:val="en-ZA"/>
        </w:rPr>
        <w:t xml:space="preserve">. </w:t>
      </w:r>
      <w:r w:rsidRPr="00F83BFF">
        <w:rPr>
          <w:rFonts w:ascii="Arial" w:hAnsi="Arial" w:cs="Arial"/>
          <w:sz w:val="20"/>
          <w:u w:val="none"/>
          <w:lang w:val="en-ZA"/>
        </w:rPr>
        <w:t> </w:t>
      </w:r>
      <w:r w:rsidR="009679D6" w:rsidRPr="00F83BFF">
        <w:rPr>
          <w:rFonts w:ascii="Arial" w:hAnsi="Arial" w:cs="Arial"/>
          <w:sz w:val="20"/>
          <w:u w:val="none"/>
          <w:lang w:val="en-ZA"/>
        </w:rPr>
        <w:t>It said that n</w:t>
      </w:r>
      <w:r w:rsidRPr="00F83BFF">
        <w:rPr>
          <w:rFonts w:ascii="Arial" w:hAnsi="Arial" w:cs="Arial"/>
          <w:sz w:val="20"/>
          <w:u w:val="none"/>
          <w:lang w:val="en-ZA"/>
        </w:rPr>
        <w:t>o further budget reductions </w:t>
      </w:r>
      <w:r w:rsidR="009679D6" w:rsidRPr="00F83BFF">
        <w:rPr>
          <w:rFonts w:ascii="Arial" w:hAnsi="Arial" w:cs="Arial"/>
          <w:sz w:val="20"/>
          <w:u w:val="none"/>
          <w:lang w:val="en-ZA"/>
        </w:rPr>
        <w:t>had been</w:t>
      </w:r>
      <w:r w:rsidRPr="00F83BFF">
        <w:rPr>
          <w:rFonts w:ascii="Arial" w:hAnsi="Arial" w:cs="Arial"/>
          <w:sz w:val="20"/>
          <w:u w:val="none"/>
          <w:lang w:val="en-ZA"/>
        </w:rPr>
        <w:t xml:space="preserve"> announced in the 2022 MTBPS. Instead, additional spending in critical spending areas </w:t>
      </w:r>
      <w:r w:rsidR="009679D6" w:rsidRPr="00F83BFF">
        <w:rPr>
          <w:rFonts w:ascii="Arial" w:hAnsi="Arial" w:cs="Arial"/>
          <w:sz w:val="20"/>
          <w:u w:val="none"/>
          <w:lang w:val="en-ZA"/>
        </w:rPr>
        <w:t>we</w:t>
      </w:r>
      <w:r w:rsidRPr="00F83BFF">
        <w:rPr>
          <w:rFonts w:ascii="Arial" w:hAnsi="Arial" w:cs="Arial"/>
          <w:sz w:val="20"/>
          <w:u w:val="none"/>
          <w:lang w:val="en-ZA"/>
        </w:rPr>
        <w:t>re made using a portion of revenue improvements.</w:t>
      </w:r>
      <w:r w:rsidR="0072763F" w:rsidRPr="00F83BFF">
        <w:rPr>
          <w:rFonts w:ascii="Arial" w:hAnsi="Arial" w:cs="Arial"/>
          <w:sz w:val="20"/>
          <w:u w:val="none"/>
          <w:lang w:val="en-ZA"/>
        </w:rPr>
        <w:t xml:space="preserve"> It added </w:t>
      </w:r>
      <w:r w:rsidR="006A6BE1" w:rsidRPr="00F83BFF">
        <w:rPr>
          <w:rFonts w:ascii="Arial" w:hAnsi="Arial" w:cs="Arial"/>
          <w:sz w:val="20"/>
          <w:u w:val="none"/>
          <w:lang w:val="en-ZA"/>
        </w:rPr>
        <w:t>that, excluding the once-off payments in in year (20</w:t>
      </w:r>
      <w:r w:rsidR="00F350C6" w:rsidRPr="00F83BFF">
        <w:rPr>
          <w:rFonts w:ascii="Arial" w:hAnsi="Arial" w:cs="Arial"/>
          <w:sz w:val="20"/>
          <w:u w:val="none"/>
          <w:lang w:val="en-ZA"/>
        </w:rPr>
        <w:t xml:space="preserve">22/23) adjustments, the main budget non-interest expenditure </w:t>
      </w:r>
      <w:r w:rsidR="007B60D6" w:rsidRPr="00F83BFF">
        <w:rPr>
          <w:rFonts w:ascii="Arial" w:hAnsi="Arial" w:cs="Arial"/>
          <w:sz w:val="20"/>
          <w:u w:val="none"/>
          <w:lang w:val="en-ZA"/>
        </w:rPr>
        <w:t xml:space="preserve">will grow on average in line with CPI inflation over the 2023 MTEF. </w:t>
      </w:r>
    </w:p>
    <w:p w:rsidR="00090541" w:rsidRPr="00F83BFF" w:rsidRDefault="00561896" w:rsidP="00F83BFF">
      <w:pPr>
        <w:pStyle w:val="Heading3"/>
        <w:spacing w:before="0" w:line="240" w:lineRule="auto"/>
        <w:rPr>
          <w:rFonts w:ascii="Arial" w:hAnsi="Arial" w:cs="Arial"/>
          <w:sz w:val="20"/>
          <w:u w:val="none"/>
        </w:rPr>
      </w:pPr>
      <w:r w:rsidRPr="00F83BFF">
        <w:rPr>
          <w:rFonts w:ascii="Arial" w:hAnsi="Arial" w:cs="Arial"/>
          <w:sz w:val="20"/>
          <w:u w:val="none"/>
          <w:lang w:val="en-ZA"/>
        </w:rPr>
        <w:t>The National Treasury further clarified that desp</w:t>
      </w:r>
      <w:r w:rsidR="00CC050A" w:rsidRPr="00F83BFF">
        <w:rPr>
          <w:rFonts w:ascii="Arial" w:hAnsi="Arial" w:cs="Arial"/>
          <w:sz w:val="20"/>
          <w:u w:val="none"/>
        </w:rPr>
        <w:t xml:space="preserve">ite projections to reach a primary surplus by 2023/24, </w:t>
      </w:r>
      <w:r w:rsidR="000565AB" w:rsidRPr="00F83BFF">
        <w:rPr>
          <w:rFonts w:ascii="Arial" w:hAnsi="Arial" w:cs="Arial"/>
          <w:sz w:val="20"/>
          <w:u w:val="none"/>
        </w:rPr>
        <w:t xml:space="preserve">government </w:t>
      </w:r>
      <w:r w:rsidR="00CC050A" w:rsidRPr="00F83BFF">
        <w:rPr>
          <w:rFonts w:ascii="Arial" w:hAnsi="Arial" w:cs="Arial"/>
          <w:sz w:val="20"/>
          <w:u w:val="none"/>
        </w:rPr>
        <w:t xml:space="preserve">debt </w:t>
      </w:r>
      <w:r w:rsidR="000565AB" w:rsidRPr="00F83BFF">
        <w:rPr>
          <w:rFonts w:ascii="Arial" w:hAnsi="Arial" w:cs="Arial"/>
          <w:sz w:val="20"/>
          <w:u w:val="none"/>
        </w:rPr>
        <w:t>wa</w:t>
      </w:r>
      <w:r w:rsidR="00CC050A" w:rsidRPr="00F83BFF">
        <w:rPr>
          <w:rFonts w:ascii="Arial" w:hAnsi="Arial" w:cs="Arial"/>
          <w:sz w:val="20"/>
          <w:u w:val="none"/>
        </w:rPr>
        <w:t xml:space="preserve">s </w:t>
      </w:r>
      <w:r w:rsidR="000565AB" w:rsidRPr="00F83BFF">
        <w:rPr>
          <w:rFonts w:ascii="Arial" w:hAnsi="Arial" w:cs="Arial"/>
          <w:sz w:val="20"/>
          <w:u w:val="none"/>
        </w:rPr>
        <w:t xml:space="preserve">still very </w:t>
      </w:r>
      <w:r w:rsidR="00CC050A" w:rsidRPr="00F83BFF">
        <w:rPr>
          <w:rFonts w:ascii="Arial" w:hAnsi="Arial" w:cs="Arial"/>
          <w:sz w:val="20"/>
          <w:u w:val="none"/>
        </w:rPr>
        <w:t xml:space="preserve">high. </w:t>
      </w:r>
      <w:r w:rsidR="00CC050A" w:rsidRPr="00F83BFF">
        <w:rPr>
          <w:rFonts w:ascii="Arial" w:hAnsi="Arial" w:cs="Arial"/>
          <w:sz w:val="20"/>
          <w:u w:val="none"/>
          <w:lang w:val="en-ZA"/>
        </w:rPr>
        <w:t xml:space="preserve">Each year, a budget deficit adds to debt, increasing debt-service costs, limiting </w:t>
      </w:r>
      <w:r w:rsidR="00090541" w:rsidRPr="00F83BFF">
        <w:rPr>
          <w:rFonts w:ascii="Arial" w:hAnsi="Arial" w:cs="Arial"/>
          <w:sz w:val="20"/>
          <w:u w:val="none"/>
          <w:lang w:val="en-ZA"/>
        </w:rPr>
        <w:t xml:space="preserve">government’s </w:t>
      </w:r>
      <w:r w:rsidR="00CC050A" w:rsidRPr="00F83BFF">
        <w:rPr>
          <w:rFonts w:ascii="Arial" w:hAnsi="Arial" w:cs="Arial"/>
          <w:sz w:val="20"/>
          <w:u w:val="none"/>
          <w:lang w:val="en-ZA"/>
        </w:rPr>
        <w:t>capacity to spend more –</w:t>
      </w:r>
      <w:r w:rsidR="00090541" w:rsidRPr="00F83BFF">
        <w:rPr>
          <w:rFonts w:ascii="Arial" w:hAnsi="Arial" w:cs="Arial"/>
          <w:sz w:val="20"/>
          <w:u w:val="none"/>
          <w:lang w:val="en-ZA"/>
        </w:rPr>
        <w:t xml:space="preserve"> and</w:t>
      </w:r>
      <w:r w:rsidR="00CC050A" w:rsidRPr="00F83BFF">
        <w:rPr>
          <w:rFonts w:ascii="Arial" w:hAnsi="Arial" w:cs="Arial"/>
          <w:sz w:val="20"/>
          <w:u w:val="none"/>
          <w:lang w:val="en-ZA"/>
        </w:rPr>
        <w:t xml:space="preserve"> this cannot continue indefinitely. </w:t>
      </w:r>
    </w:p>
    <w:p w:rsidR="009A0937" w:rsidRPr="00F83BFF" w:rsidRDefault="00EF6C42" w:rsidP="00F83BFF">
      <w:pPr>
        <w:pStyle w:val="Heading3"/>
        <w:spacing w:before="0" w:line="240" w:lineRule="auto"/>
        <w:rPr>
          <w:rFonts w:ascii="Arial" w:hAnsi="Arial" w:cs="Arial"/>
          <w:sz w:val="20"/>
          <w:u w:val="none"/>
        </w:rPr>
      </w:pPr>
      <w:r w:rsidRPr="00F83BFF">
        <w:rPr>
          <w:rFonts w:ascii="Arial" w:hAnsi="Arial" w:cs="Arial"/>
          <w:sz w:val="20"/>
          <w:u w:val="none"/>
          <w:lang w:val="en-ZA"/>
        </w:rPr>
        <w:t>The National Treasury explained that o</w:t>
      </w:r>
      <w:r w:rsidR="00CC050A" w:rsidRPr="00F83BFF">
        <w:rPr>
          <w:rFonts w:ascii="Arial" w:hAnsi="Arial" w:cs="Arial"/>
          <w:sz w:val="20"/>
          <w:u w:val="none"/>
          <w:lang w:val="en-US"/>
        </w:rPr>
        <w:t>ver the MTEF, an allocation of R3.56 trillion, or 59.2 per cent of total non</w:t>
      </w:r>
      <w:r w:rsidR="00CC050A" w:rsidRPr="00F83BFF">
        <w:rPr>
          <w:rFonts w:cs="Arial"/>
          <w:sz w:val="20"/>
          <w:u w:val="none"/>
          <w:lang w:val="en-US"/>
        </w:rPr>
        <w:t>‐</w:t>
      </w:r>
      <w:r w:rsidR="00CC050A" w:rsidRPr="00F83BFF">
        <w:rPr>
          <w:rFonts w:ascii="Arial" w:hAnsi="Arial" w:cs="Arial"/>
          <w:sz w:val="20"/>
          <w:u w:val="none"/>
          <w:lang w:val="en-US"/>
        </w:rPr>
        <w:t>interest spending is dedicated to the social wage. This aims to alleviate poverty, reduce unemployment and accelerate growth. </w:t>
      </w:r>
      <w:r w:rsidR="009A0937" w:rsidRPr="00F83BFF">
        <w:rPr>
          <w:rFonts w:ascii="Arial" w:hAnsi="Arial" w:cs="Arial"/>
          <w:sz w:val="20"/>
          <w:u w:val="none"/>
          <w:lang w:val="en-US"/>
        </w:rPr>
        <w:t xml:space="preserve"> It said that d</w:t>
      </w:r>
      <w:r w:rsidR="00CC050A" w:rsidRPr="00F83BFF">
        <w:rPr>
          <w:rFonts w:ascii="Arial" w:hAnsi="Arial" w:cs="Arial"/>
          <w:sz w:val="20"/>
          <w:u w:val="none"/>
          <w:lang w:val="en-US"/>
        </w:rPr>
        <w:t>espite measures aimed at controlling expenditure growth, the funding for the social wage has been protected to ensure that necessary goods and services are provided to those who are in need.</w:t>
      </w:r>
    </w:p>
    <w:p w:rsidR="00050DC8" w:rsidRPr="00F83BFF" w:rsidRDefault="000F609A" w:rsidP="00F83BFF">
      <w:pPr>
        <w:pStyle w:val="Heading3"/>
        <w:spacing w:before="0" w:line="240" w:lineRule="auto"/>
        <w:rPr>
          <w:rFonts w:ascii="Arial" w:hAnsi="Arial" w:cs="Arial"/>
          <w:sz w:val="20"/>
          <w:u w:val="none"/>
        </w:rPr>
      </w:pPr>
      <w:r w:rsidRPr="00F83BFF">
        <w:rPr>
          <w:rFonts w:ascii="Arial" w:hAnsi="Arial" w:cs="Arial"/>
          <w:sz w:val="20"/>
          <w:u w:val="none"/>
          <w:lang w:val="en-ZA"/>
        </w:rPr>
        <w:t xml:space="preserve">The National Treasury further explained that the fiscal strategy in the 2022 MTBPS </w:t>
      </w:r>
      <w:r w:rsidR="00EC77BC" w:rsidRPr="00F83BFF">
        <w:rPr>
          <w:rFonts w:ascii="Arial" w:hAnsi="Arial" w:cs="Arial"/>
          <w:sz w:val="20"/>
          <w:u w:val="none"/>
          <w:lang w:val="en-ZA"/>
        </w:rPr>
        <w:t xml:space="preserve">is directed at </w:t>
      </w:r>
      <w:r w:rsidRPr="00F83BFF">
        <w:rPr>
          <w:rFonts w:ascii="Arial" w:hAnsi="Arial" w:cs="Arial"/>
          <w:sz w:val="20"/>
          <w:u w:val="none"/>
          <w:lang w:val="en-ZA"/>
        </w:rPr>
        <w:t>reduc</w:t>
      </w:r>
      <w:r w:rsidR="00EC77BC" w:rsidRPr="00F83BFF">
        <w:rPr>
          <w:rFonts w:ascii="Arial" w:hAnsi="Arial" w:cs="Arial"/>
          <w:sz w:val="20"/>
          <w:u w:val="none"/>
          <w:lang w:val="en-ZA"/>
        </w:rPr>
        <w:t>ing</w:t>
      </w:r>
      <w:r w:rsidRPr="00F83BFF">
        <w:rPr>
          <w:rFonts w:ascii="Arial" w:hAnsi="Arial" w:cs="Arial"/>
          <w:sz w:val="20"/>
          <w:u w:val="none"/>
          <w:lang w:val="en-ZA"/>
        </w:rPr>
        <w:t xml:space="preserve"> fiscal risks in the short</w:t>
      </w:r>
      <w:r w:rsidR="00EC77BC" w:rsidRPr="00F83BFF">
        <w:rPr>
          <w:rFonts w:ascii="Arial" w:hAnsi="Arial" w:cs="Arial"/>
          <w:sz w:val="20"/>
          <w:u w:val="none"/>
          <w:lang w:val="en-ZA"/>
        </w:rPr>
        <w:t>-</w:t>
      </w:r>
      <w:r w:rsidRPr="00F83BFF">
        <w:rPr>
          <w:rFonts w:ascii="Arial" w:hAnsi="Arial" w:cs="Arial"/>
          <w:sz w:val="20"/>
          <w:u w:val="none"/>
          <w:lang w:val="en-ZA"/>
        </w:rPr>
        <w:t>term, narrow the budget deficit and stabilise debt, while proposing measures to enhance economic growth and restore funding for infrastructure and service delivery programmes. </w:t>
      </w:r>
      <w:r w:rsidR="00EC77BC" w:rsidRPr="00F83BFF">
        <w:rPr>
          <w:rFonts w:ascii="Arial" w:hAnsi="Arial" w:cs="Arial"/>
          <w:sz w:val="20"/>
          <w:u w:val="none"/>
          <w:lang w:val="en-ZA"/>
        </w:rPr>
        <w:t xml:space="preserve">It explained </w:t>
      </w:r>
      <w:r w:rsidR="00EF44D0" w:rsidRPr="00F83BFF">
        <w:rPr>
          <w:rFonts w:ascii="Arial" w:hAnsi="Arial" w:cs="Arial"/>
          <w:sz w:val="20"/>
          <w:u w:val="none"/>
          <w:lang w:val="en-ZA"/>
        </w:rPr>
        <w:t xml:space="preserve">further that the National Treasury was implementing this strategy for </w:t>
      </w:r>
      <w:r w:rsidR="00191AD5" w:rsidRPr="00F83BFF">
        <w:rPr>
          <w:rFonts w:ascii="Arial" w:hAnsi="Arial" w:cs="Arial"/>
          <w:sz w:val="20"/>
          <w:u w:val="none"/>
          <w:lang w:val="en-ZA"/>
        </w:rPr>
        <w:t>several</w:t>
      </w:r>
      <w:r w:rsidR="00EF44D0" w:rsidRPr="00F83BFF">
        <w:rPr>
          <w:rFonts w:ascii="Arial" w:hAnsi="Arial" w:cs="Arial"/>
          <w:sz w:val="20"/>
          <w:u w:val="none"/>
          <w:lang w:val="en-ZA"/>
        </w:rPr>
        <w:t xml:space="preserve"> reasons including that </w:t>
      </w:r>
      <w:r w:rsidR="00191AD5" w:rsidRPr="00F83BFF">
        <w:rPr>
          <w:rFonts w:ascii="Arial" w:hAnsi="Arial" w:cs="Arial"/>
          <w:sz w:val="20"/>
          <w:u w:val="none"/>
          <w:lang w:val="en-ZA"/>
        </w:rPr>
        <w:t>s</w:t>
      </w:r>
      <w:r w:rsidRPr="00F83BFF">
        <w:rPr>
          <w:rFonts w:ascii="Arial" w:hAnsi="Arial" w:cs="Arial"/>
          <w:sz w:val="20"/>
          <w:u w:val="none"/>
        </w:rPr>
        <w:t>ince 2007/08, South Africa’s public debt ha</w:t>
      </w:r>
      <w:r w:rsidR="00FF3860" w:rsidRPr="00F83BFF">
        <w:rPr>
          <w:rFonts w:ascii="Arial" w:hAnsi="Arial" w:cs="Arial"/>
          <w:sz w:val="20"/>
          <w:u w:val="none"/>
        </w:rPr>
        <w:t>d</w:t>
      </w:r>
      <w:r w:rsidRPr="00F83BFF">
        <w:rPr>
          <w:rFonts w:ascii="Arial" w:hAnsi="Arial" w:cs="Arial"/>
          <w:sz w:val="20"/>
          <w:u w:val="none"/>
        </w:rPr>
        <w:t xml:space="preserve"> risen sevenfold, from R577 billion to over R4 trillion in 2021/22</w:t>
      </w:r>
      <w:r w:rsidR="00D118F3" w:rsidRPr="00F83BFF">
        <w:rPr>
          <w:rFonts w:ascii="Arial" w:hAnsi="Arial" w:cs="Arial"/>
          <w:sz w:val="20"/>
          <w:u w:val="none"/>
        </w:rPr>
        <w:t xml:space="preserve">, thus raising payments on </w:t>
      </w:r>
      <w:r w:rsidRPr="00F83BFF">
        <w:rPr>
          <w:rFonts w:ascii="Arial" w:hAnsi="Arial" w:cs="Arial"/>
          <w:sz w:val="20"/>
          <w:u w:val="none"/>
        </w:rPr>
        <w:t>interest</w:t>
      </w:r>
      <w:r w:rsidR="00D118F3" w:rsidRPr="00F83BFF">
        <w:rPr>
          <w:rFonts w:ascii="Arial" w:hAnsi="Arial" w:cs="Arial"/>
          <w:sz w:val="20"/>
          <w:u w:val="none"/>
        </w:rPr>
        <w:t xml:space="preserve"> which</w:t>
      </w:r>
      <w:r w:rsidRPr="00F83BFF">
        <w:rPr>
          <w:rFonts w:ascii="Arial" w:hAnsi="Arial" w:cs="Arial"/>
          <w:sz w:val="20"/>
          <w:u w:val="none"/>
        </w:rPr>
        <w:t xml:space="preserve"> </w:t>
      </w:r>
      <w:r w:rsidR="00D118F3" w:rsidRPr="00F83BFF">
        <w:rPr>
          <w:rFonts w:ascii="Arial" w:hAnsi="Arial" w:cs="Arial"/>
          <w:sz w:val="20"/>
          <w:u w:val="none"/>
        </w:rPr>
        <w:t xml:space="preserve">were crowding out </w:t>
      </w:r>
      <w:r w:rsidRPr="00F83BFF">
        <w:rPr>
          <w:rFonts w:ascii="Arial" w:hAnsi="Arial" w:cs="Arial"/>
          <w:sz w:val="20"/>
          <w:u w:val="none"/>
        </w:rPr>
        <w:t xml:space="preserve">spending on essential services. </w:t>
      </w:r>
      <w:r w:rsidR="00080190" w:rsidRPr="00F83BFF">
        <w:rPr>
          <w:rFonts w:ascii="Arial" w:hAnsi="Arial" w:cs="Arial"/>
          <w:sz w:val="20"/>
          <w:u w:val="none"/>
        </w:rPr>
        <w:t>It added that a</w:t>
      </w:r>
      <w:r w:rsidRPr="00F83BFF">
        <w:rPr>
          <w:rFonts w:ascii="Arial" w:hAnsi="Arial" w:cs="Arial"/>
          <w:sz w:val="20"/>
          <w:u w:val="none"/>
          <w:lang w:val="en-ZA"/>
        </w:rPr>
        <w:t xml:space="preserve"> narrowing budget deficit reduces the need to issue new debt and allows government to better manage the spike in debt redemptions, reduce growth in debt-service costs and gradually restore growth in the baselines of key service delivery and infrastructure programmes. </w:t>
      </w:r>
    </w:p>
    <w:p w:rsidR="00036C2B" w:rsidRPr="00F83BFF" w:rsidRDefault="00050DC8" w:rsidP="00F83BFF">
      <w:pPr>
        <w:pStyle w:val="Heading3"/>
        <w:spacing w:before="0" w:line="240" w:lineRule="auto"/>
        <w:rPr>
          <w:rFonts w:ascii="Arial" w:hAnsi="Arial" w:cs="Arial"/>
          <w:sz w:val="20"/>
          <w:u w:val="none"/>
        </w:rPr>
      </w:pPr>
      <w:r w:rsidRPr="00F83BFF">
        <w:rPr>
          <w:rFonts w:ascii="Arial" w:hAnsi="Arial" w:cs="Arial"/>
          <w:sz w:val="20"/>
          <w:u w:val="none"/>
          <w:lang w:val="en-ZA"/>
        </w:rPr>
        <w:t>Another reason advanced for this stance was that t</w:t>
      </w:r>
      <w:r w:rsidR="000F609A" w:rsidRPr="00F83BFF">
        <w:rPr>
          <w:rFonts w:ascii="Arial" w:hAnsi="Arial" w:cs="Arial"/>
          <w:sz w:val="20"/>
          <w:u w:val="none"/>
        </w:rPr>
        <w:t>he country’s stock of debt remain</w:t>
      </w:r>
      <w:r w:rsidRPr="00F83BFF">
        <w:rPr>
          <w:rFonts w:ascii="Arial" w:hAnsi="Arial" w:cs="Arial"/>
          <w:sz w:val="20"/>
          <w:u w:val="none"/>
        </w:rPr>
        <w:t>ed</w:t>
      </w:r>
      <w:r w:rsidR="000F609A" w:rsidRPr="00F83BFF">
        <w:rPr>
          <w:rFonts w:ascii="Arial" w:hAnsi="Arial" w:cs="Arial"/>
          <w:sz w:val="20"/>
          <w:u w:val="none"/>
        </w:rPr>
        <w:t xml:space="preserve"> high, and prudent public financial management remain</w:t>
      </w:r>
      <w:r w:rsidR="009F6B38" w:rsidRPr="00F83BFF">
        <w:rPr>
          <w:rFonts w:ascii="Arial" w:hAnsi="Arial" w:cs="Arial"/>
          <w:sz w:val="20"/>
          <w:u w:val="none"/>
        </w:rPr>
        <w:t xml:space="preserve">ed </w:t>
      </w:r>
      <w:r w:rsidR="000F609A" w:rsidRPr="00F83BFF">
        <w:rPr>
          <w:rFonts w:ascii="Arial" w:hAnsi="Arial" w:cs="Arial"/>
          <w:sz w:val="20"/>
          <w:u w:val="none"/>
        </w:rPr>
        <w:t>essential to reduce the proportion of revenue dedicated to servicing debt over time.</w:t>
      </w:r>
      <w:r w:rsidR="009F6B38" w:rsidRPr="00F83BFF">
        <w:rPr>
          <w:rFonts w:ascii="Arial" w:hAnsi="Arial" w:cs="Arial"/>
          <w:sz w:val="20"/>
          <w:u w:val="none"/>
        </w:rPr>
        <w:t xml:space="preserve"> The National Treasury explained further that s</w:t>
      </w:r>
      <w:r w:rsidR="000F609A" w:rsidRPr="00F83BFF">
        <w:rPr>
          <w:rFonts w:ascii="Arial" w:hAnsi="Arial" w:cs="Arial"/>
          <w:sz w:val="20"/>
          <w:u w:val="none"/>
          <w:lang w:val="en-ZA"/>
        </w:rPr>
        <w:t xml:space="preserve">table public finances will underpin economic growth, maintain government’s commitment to support vulnerable households and help reduce overall risks to the fiscal outlook. </w:t>
      </w:r>
      <w:r w:rsidR="00CC02CA" w:rsidRPr="00F83BFF">
        <w:rPr>
          <w:rFonts w:ascii="Arial" w:hAnsi="Arial" w:cs="Arial"/>
          <w:sz w:val="20"/>
          <w:u w:val="none"/>
          <w:lang w:val="en-ZA"/>
        </w:rPr>
        <w:t>It said that t</w:t>
      </w:r>
      <w:r w:rsidR="000F609A" w:rsidRPr="00F83BFF">
        <w:rPr>
          <w:rFonts w:ascii="Arial" w:hAnsi="Arial" w:cs="Arial"/>
          <w:sz w:val="20"/>
          <w:u w:val="none"/>
          <w:lang w:val="en-ZA"/>
        </w:rPr>
        <w:t xml:space="preserve">his approach avoids the pitfalls of risky fiscal action that has led to currency depreciation and economic instability in several </w:t>
      </w:r>
      <w:r w:rsidR="00CC02CA" w:rsidRPr="00F83BFF">
        <w:rPr>
          <w:rFonts w:ascii="Arial" w:hAnsi="Arial" w:cs="Arial"/>
          <w:sz w:val="20"/>
          <w:u w:val="none"/>
          <w:lang w:val="en-ZA"/>
        </w:rPr>
        <w:t xml:space="preserve">other </w:t>
      </w:r>
      <w:r w:rsidR="000F609A" w:rsidRPr="00F83BFF">
        <w:rPr>
          <w:rFonts w:ascii="Arial" w:hAnsi="Arial" w:cs="Arial"/>
          <w:sz w:val="20"/>
          <w:u w:val="none"/>
          <w:lang w:val="en-ZA"/>
        </w:rPr>
        <w:t>countries.</w:t>
      </w:r>
      <w:r w:rsidR="00261573" w:rsidRPr="00F83BFF">
        <w:rPr>
          <w:rFonts w:ascii="Arial" w:hAnsi="Arial" w:cs="Arial"/>
          <w:sz w:val="20"/>
          <w:u w:val="none"/>
          <w:lang w:val="en-ZA"/>
        </w:rPr>
        <w:t xml:space="preserve"> </w:t>
      </w:r>
    </w:p>
    <w:p w:rsidR="00BD5B82" w:rsidRPr="00F83BFF" w:rsidRDefault="00401426" w:rsidP="00F83BFF">
      <w:pPr>
        <w:pStyle w:val="Heading3"/>
        <w:spacing w:before="0" w:line="240" w:lineRule="auto"/>
        <w:rPr>
          <w:rFonts w:ascii="Arial" w:hAnsi="Arial" w:cs="Arial"/>
          <w:sz w:val="20"/>
          <w:u w:val="none"/>
          <w:lang w:val="en-ZA"/>
        </w:rPr>
      </w:pPr>
      <w:r w:rsidRPr="00F83BFF">
        <w:rPr>
          <w:rFonts w:ascii="Arial" w:hAnsi="Arial" w:cs="Arial"/>
          <w:sz w:val="20"/>
          <w:u w:val="none"/>
          <w:lang w:val="en-ZA"/>
        </w:rPr>
        <w:t>On medium-term spending plans</w:t>
      </w:r>
      <w:r w:rsidR="00936191" w:rsidRPr="00F83BFF">
        <w:rPr>
          <w:rFonts w:ascii="Arial" w:hAnsi="Arial" w:cs="Arial"/>
          <w:sz w:val="20"/>
          <w:u w:val="none"/>
          <w:lang w:val="en-ZA"/>
        </w:rPr>
        <w:t>, the National Treasury explained that t</w:t>
      </w:r>
      <w:r w:rsidRPr="00F83BFF">
        <w:rPr>
          <w:rFonts w:ascii="Arial" w:hAnsi="Arial" w:cs="Arial"/>
          <w:sz w:val="20"/>
          <w:u w:val="none"/>
          <w:lang w:val="en-ZA"/>
        </w:rPr>
        <w:t>he 2023/24 financial year is the final year of the fiscal consolidation announced in the 2020 MTBPS. </w:t>
      </w:r>
      <w:r w:rsidR="007453A2" w:rsidRPr="00F83BFF">
        <w:rPr>
          <w:rFonts w:ascii="Arial" w:hAnsi="Arial" w:cs="Arial"/>
          <w:sz w:val="20"/>
          <w:u w:val="none"/>
          <w:lang w:val="en-ZA"/>
        </w:rPr>
        <w:t>It said that t</w:t>
      </w:r>
      <w:r w:rsidRPr="00F83BFF">
        <w:rPr>
          <w:rFonts w:ascii="Arial" w:hAnsi="Arial" w:cs="Arial"/>
          <w:sz w:val="20"/>
          <w:u w:val="none"/>
          <w:lang w:val="en-ZA"/>
        </w:rPr>
        <w:t xml:space="preserve">he 2022 MTBPS does not include any new budget reductions. </w:t>
      </w:r>
      <w:r w:rsidR="007453A2" w:rsidRPr="00F83BFF">
        <w:rPr>
          <w:rFonts w:ascii="Arial" w:hAnsi="Arial" w:cs="Arial"/>
          <w:sz w:val="20"/>
          <w:u w:val="none"/>
          <w:lang w:val="en-ZA"/>
        </w:rPr>
        <w:t>It said that f</w:t>
      </w:r>
      <w:r w:rsidRPr="00F83BFF">
        <w:rPr>
          <w:rFonts w:ascii="Arial" w:hAnsi="Arial" w:cs="Arial"/>
          <w:sz w:val="20"/>
          <w:u w:val="none"/>
          <w:lang w:val="en-ZA"/>
        </w:rPr>
        <w:t>rom 2024/25</w:t>
      </w:r>
      <w:r w:rsidR="007453A2" w:rsidRPr="00F83BFF">
        <w:rPr>
          <w:rFonts w:ascii="Arial" w:hAnsi="Arial" w:cs="Arial"/>
          <w:sz w:val="20"/>
          <w:u w:val="none"/>
          <w:lang w:val="en-ZA"/>
        </w:rPr>
        <w:t>, the</w:t>
      </w:r>
      <w:r w:rsidRPr="00F83BFF">
        <w:rPr>
          <w:rFonts w:ascii="Arial" w:hAnsi="Arial" w:cs="Arial"/>
          <w:sz w:val="20"/>
          <w:u w:val="none"/>
          <w:lang w:val="en-ZA"/>
        </w:rPr>
        <w:t xml:space="preserve"> main budget non-interest expenditure </w:t>
      </w:r>
      <w:r w:rsidR="00E46204" w:rsidRPr="00F83BFF">
        <w:rPr>
          <w:rFonts w:ascii="Arial" w:hAnsi="Arial" w:cs="Arial"/>
          <w:sz w:val="20"/>
          <w:u w:val="none"/>
          <w:lang w:val="en-ZA"/>
        </w:rPr>
        <w:t xml:space="preserve">is expected to </w:t>
      </w:r>
      <w:r w:rsidRPr="00F83BFF">
        <w:rPr>
          <w:rFonts w:ascii="Arial" w:hAnsi="Arial" w:cs="Arial"/>
          <w:sz w:val="20"/>
          <w:u w:val="none"/>
          <w:lang w:val="en-ZA"/>
        </w:rPr>
        <w:t>grow above CPI inflation. </w:t>
      </w:r>
      <w:r w:rsidR="00E5347B" w:rsidRPr="00F83BFF">
        <w:rPr>
          <w:rFonts w:ascii="Arial" w:hAnsi="Arial" w:cs="Arial"/>
          <w:sz w:val="20"/>
          <w:u w:val="none"/>
          <w:lang w:val="en-ZA"/>
        </w:rPr>
        <w:t>It said that the m</w:t>
      </w:r>
      <w:r w:rsidRPr="00F83BFF">
        <w:rPr>
          <w:rFonts w:ascii="Arial" w:hAnsi="Arial" w:cs="Arial"/>
          <w:sz w:val="20"/>
          <w:u w:val="none"/>
        </w:rPr>
        <w:t xml:space="preserve">ain budget non-interest expenditure will increase by a net R52.4 billion in 2023/24 and R58.5 billion in 2024/25 compared with the 2022 Budget. This includes the following proposed </w:t>
      </w:r>
      <w:r w:rsidRPr="00F83BFF">
        <w:rPr>
          <w:rFonts w:ascii="Arial" w:hAnsi="Arial" w:cs="Arial"/>
          <w:sz w:val="20"/>
          <w:u w:val="none"/>
        </w:rPr>
        <w:lastRenderedPageBreak/>
        <w:t>additions over the next two years:</w:t>
      </w:r>
      <w:r w:rsidR="00E5347B" w:rsidRPr="00F83BFF">
        <w:rPr>
          <w:rFonts w:ascii="Arial" w:hAnsi="Arial" w:cs="Arial"/>
          <w:sz w:val="20"/>
          <w:u w:val="none"/>
        </w:rPr>
        <w:t xml:space="preserve"> </w:t>
      </w:r>
      <w:r w:rsidRPr="00F83BFF">
        <w:rPr>
          <w:rFonts w:ascii="Arial" w:hAnsi="Arial" w:cs="Arial"/>
          <w:sz w:val="20"/>
          <w:u w:val="none"/>
        </w:rPr>
        <w:t xml:space="preserve">R66.9 billion for health, education and provision of free basic services by local government, and a one-year extension of the COVID-19 social </w:t>
      </w:r>
      <w:r w:rsidRPr="00F83BFF">
        <w:rPr>
          <w:rFonts w:ascii="Arial" w:hAnsi="Arial" w:cs="Arial"/>
          <w:sz w:val="20"/>
          <w:u w:val="none"/>
          <w:lang w:val="en-ZA"/>
        </w:rPr>
        <w:t>relief of distress grant</w:t>
      </w:r>
      <w:r w:rsidR="00E5347B" w:rsidRPr="00F83BFF">
        <w:rPr>
          <w:rFonts w:ascii="Arial" w:hAnsi="Arial" w:cs="Arial"/>
          <w:sz w:val="20"/>
          <w:u w:val="none"/>
          <w:lang w:val="en-ZA"/>
        </w:rPr>
        <w:t xml:space="preserve">; </w:t>
      </w:r>
      <w:r w:rsidRPr="00F83BFF">
        <w:rPr>
          <w:rFonts w:ascii="Arial" w:hAnsi="Arial" w:cs="Arial"/>
          <w:sz w:val="20"/>
          <w:u w:val="none"/>
        </w:rPr>
        <w:t>R8.9 billion for safety and security</w:t>
      </w:r>
      <w:r w:rsidR="00BD5B82" w:rsidRPr="00F83BFF">
        <w:rPr>
          <w:rFonts w:ascii="Arial" w:hAnsi="Arial" w:cs="Arial"/>
          <w:sz w:val="20"/>
          <w:u w:val="none"/>
        </w:rPr>
        <w:t xml:space="preserve">; </w:t>
      </w:r>
      <w:r w:rsidRPr="00F83BFF">
        <w:rPr>
          <w:rFonts w:ascii="Arial" w:hAnsi="Arial" w:cs="Arial"/>
          <w:sz w:val="20"/>
          <w:u w:val="none"/>
        </w:rPr>
        <w:t>R11.3 billion for infrastructure investment, including rehabilitating damaged municipal infrastructure and refurbishing provincial roads.</w:t>
      </w:r>
      <w:r w:rsidRPr="00F83BFF">
        <w:rPr>
          <w:rFonts w:ascii="Arial" w:hAnsi="Arial" w:cs="Arial"/>
          <w:b/>
          <w:bCs/>
          <w:sz w:val="20"/>
          <w:u w:val="none"/>
          <w:lang w:val="en-ZA"/>
        </w:rPr>
        <w:tab/>
      </w:r>
    </w:p>
    <w:p w:rsidR="00A41D18" w:rsidRPr="00F83BFF" w:rsidRDefault="004B5F50" w:rsidP="00F83BFF">
      <w:pPr>
        <w:pStyle w:val="Heading3"/>
        <w:spacing w:before="0" w:line="240" w:lineRule="auto"/>
        <w:rPr>
          <w:rFonts w:ascii="Arial" w:hAnsi="Arial" w:cs="Arial"/>
          <w:sz w:val="20"/>
          <w:u w:val="none"/>
          <w:lang w:val="en-ZA"/>
        </w:rPr>
      </w:pPr>
      <w:r w:rsidRPr="00F83BFF">
        <w:rPr>
          <w:rFonts w:ascii="Arial" w:hAnsi="Arial" w:cs="Arial"/>
          <w:sz w:val="20"/>
          <w:u w:val="none"/>
          <w:lang w:val="en-ZA"/>
        </w:rPr>
        <w:t xml:space="preserve">On the critique of </w:t>
      </w:r>
      <w:r w:rsidR="000E59B9" w:rsidRPr="00F83BFF">
        <w:rPr>
          <w:rFonts w:ascii="Arial" w:hAnsi="Arial" w:cs="Arial"/>
          <w:sz w:val="20"/>
          <w:u w:val="none"/>
          <w:lang w:val="en-ZA"/>
        </w:rPr>
        <w:t xml:space="preserve">the revenue forecast that was too optimistic, the National Treasury stated that strong revenue </w:t>
      </w:r>
      <w:r w:rsidRPr="00F83BFF">
        <w:rPr>
          <w:rFonts w:ascii="Arial" w:hAnsi="Arial" w:cs="Arial"/>
          <w:sz w:val="20"/>
          <w:u w:val="none"/>
          <w:lang w:val="en-ZA"/>
        </w:rPr>
        <w:t xml:space="preserve">collections </w:t>
      </w:r>
      <w:r w:rsidR="006C7F75" w:rsidRPr="00F83BFF">
        <w:rPr>
          <w:rFonts w:ascii="Arial" w:hAnsi="Arial" w:cs="Arial"/>
          <w:sz w:val="20"/>
          <w:u w:val="none"/>
          <w:lang w:val="en-ZA"/>
        </w:rPr>
        <w:t>were</w:t>
      </w:r>
      <w:r w:rsidR="0075786E" w:rsidRPr="00F83BFF">
        <w:rPr>
          <w:rFonts w:ascii="Arial" w:hAnsi="Arial" w:cs="Arial"/>
          <w:sz w:val="20"/>
          <w:u w:val="none"/>
          <w:lang w:val="en-ZA"/>
        </w:rPr>
        <w:t xml:space="preserve"> again </w:t>
      </w:r>
      <w:r w:rsidRPr="00F83BFF">
        <w:rPr>
          <w:rFonts w:ascii="Arial" w:hAnsi="Arial" w:cs="Arial"/>
          <w:sz w:val="20"/>
          <w:u w:val="none"/>
          <w:lang w:val="en-ZA"/>
        </w:rPr>
        <w:t>due to corporate income tax, but this time for improvements in finance and manufacturing sector, not just mining.</w:t>
      </w:r>
      <w:r w:rsidR="0075786E" w:rsidRPr="00F83BFF">
        <w:rPr>
          <w:rFonts w:ascii="Arial" w:hAnsi="Arial" w:cs="Arial"/>
          <w:sz w:val="20"/>
          <w:u w:val="none"/>
          <w:lang w:val="en-ZA"/>
        </w:rPr>
        <w:t xml:space="preserve"> It explained that the f</w:t>
      </w:r>
      <w:r w:rsidRPr="00F83BFF">
        <w:rPr>
          <w:rFonts w:ascii="Arial" w:hAnsi="Arial" w:cs="Arial"/>
          <w:sz w:val="20"/>
          <w:u w:val="none"/>
          <w:lang w:val="en-ZA"/>
        </w:rPr>
        <w:t xml:space="preserve">uel levy relief and </w:t>
      </w:r>
      <w:r w:rsidR="006C7F75" w:rsidRPr="00F83BFF">
        <w:rPr>
          <w:rFonts w:ascii="Arial" w:hAnsi="Arial" w:cs="Arial"/>
          <w:sz w:val="20"/>
          <w:u w:val="none"/>
          <w:lang w:val="en-ZA"/>
        </w:rPr>
        <w:t xml:space="preserve">increased </w:t>
      </w:r>
      <w:r w:rsidRPr="00F83BFF">
        <w:rPr>
          <w:rFonts w:ascii="Arial" w:hAnsi="Arial" w:cs="Arial"/>
          <w:sz w:val="20"/>
          <w:u w:val="none"/>
          <w:lang w:val="en-ZA"/>
        </w:rPr>
        <w:t>VAT refunds in 2022/23 mask</w:t>
      </w:r>
      <w:r w:rsidR="003A5A1D" w:rsidRPr="00F83BFF">
        <w:rPr>
          <w:rFonts w:ascii="Arial" w:hAnsi="Arial" w:cs="Arial"/>
          <w:sz w:val="20"/>
          <w:u w:val="none"/>
          <w:lang w:val="en-ZA"/>
        </w:rPr>
        <w:t>ed</w:t>
      </w:r>
      <w:r w:rsidRPr="00F83BFF">
        <w:rPr>
          <w:rFonts w:ascii="Arial" w:hAnsi="Arial" w:cs="Arial"/>
          <w:sz w:val="20"/>
          <w:u w:val="none"/>
          <w:lang w:val="en-ZA"/>
        </w:rPr>
        <w:t xml:space="preserve"> higher in-year revenue across most major tax categories.</w:t>
      </w:r>
      <w:r w:rsidR="003A5A1D" w:rsidRPr="00F83BFF">
        <w:rPr>
          <w:rFonts w:ascii="Arial" w:hAnsi="Arial" w:cs="Arial"/>
          <w:sz w:val="20"/>
          <w:u w:val="none"/>
          <w:lang w:val="en-ZA"/>
        </w:rPr>
        <w:t xml:space="preserve"> It explained that t</w:t>
      </w:r>
      <w:r w:rsidRPr="00F83BFF">
        <w:rPr>
          <w:rFonts w:ascii="Arial" w:hAnsi="Arial" w:cs="Arial"/>
          <w:sz w:val="20"/>
          <w:u w:val="none"/>
          <w:lang w:val="en-ZA"/>
        </w:rPr>
        <w:t>he 2022 MTBPS revenue estimates align with the baseline macroeconomic projections. </w:t>
      </w:r>
      <w:r w:rsidR="003A5A1D" w:rsidRPr="00F83BFF">
        <w:rPr>
          <w:rFonts w:ascii="Arial" w:hAnsi="Arial" w:cs="Arial"/>
          <w:sz w:val="20"/>
          <w:u w:val="none"/>
          <w:lang w:val="en-ZA"/>
        </w:rPr>
        <w:t>It explained further that h</w:t>
      </w:r>
      <w:r w:rsidRPr="00F83BFF">
        <w:rPr>
          <w:rFonts w:ascii="Arial" w:hAnsi="Arial" w:cs="Arial"/>
          <w:sz w:val="20"/>
          <w:u w:val="none"/>
          <w:lang w:val="en-ZA"/>
        </w:rPr>
        <w:t>igher inflation leads to higher tax bases and nominal GDP, improving expected revenue.</w:t>
      </w:r>
      <w:r w:rsidR="00E654AC" w:rsidRPr="00F83BFF">
        <w:rPr>
          <w:rFonts w:ascii="Arial" w:hAnsi="Arial" w:cs="Arial"/>
          <w:sz w:val="20"/>
          <w:u w:val="none"/>
          <w:lang w:val="en-ZA"/>
        </w:rPr>
        <w:t xml:space="preserve"> It said that the m</w:t>
      </w:r>
      <w:r w:rsidRPr="00F83BFF">
        <w:rPr>
          <w:rFonts w:ascii="Arial" w:hAnsi="Arial" w:cs="Arial"/>
          <w:sz w:val="20"/>
          <w:u w:val="none"/>
          <w:lang w:val="en-ZA"/>
        </w:rPr>
        <w:t>edium-term tax elasticity assumptions from the 2022 Budget are maintained for the 2022 MTBPS estimates.</w:t>
      </w:r>
      <w:r w:rsidR="00F45C96" w:rsidRPr="00F83BFF">
        <w:rPr>
          <w:rFonts w:ascii="Arial" w:hAnsi="Arial" w:cs="Arial"/>
          <w:sz w:val="20"/>
          <w:u w:val="none"/>
          <w:lang w:val="en-ZA"/>
        </w:rPr>
        <w:t xml:space="preserve"> It explained that the m</w:t>
      </w:r>
      <w:r w:rsidRPr="00F83BFF">
        <w:rPr>
          <w:rFonts w:ascii="Arial" w:hAnsi="Arial" w:cs="Arial"/>
          <w:sz w:val="20"/>
          <w:u w:val="none"/>
          <w:lang w:val="en-ZA"/>
        </w:rPr>
        <w:t xml:space="preserve">ajority of assumed revenue gains from high commodity prices </w:t>
      </w:r>
      <w:r w:rsidR="00F45C96" w:rsidRPr="00F83BFF">
        <w:rPr>
          <w:rFonts w:ascii="Arial" w:hAnsi="Arial" w:cs="Arial"/>
          <w:sz w:val="20"/>
          <w:u w:val="none"/>
          <w:lang w:val="en-ZA"/>
        </w:rPr>
        <w:t>we</w:t>
      </w:r>
      <w:r w:rsidRPr="00F83BFF">
        <w:rPr>
          <w:rFonts w:ascii="Arial" w:hAnsi="Arial" w:cs="Arial"/>
          <w:sz w:val="20"/>
          <w:u w:val="none"/>
          <w:lang w:val="en-ZA"/>
        </w:rPr>
        <w:t>re excluded from the corporate income tax forecasts over the next two years (</w:t>
      </w:r>
      <w:r w:rsidR="000C4DA6" w:rsidRPr="00F83BFF">
        <w:rPr>
          <w:rFonts w:ascii="Arial" w:hAnsi="Arial" w:cs="Arial"/>
          <w:sz w:val="20"/>
          <w:u w:val="none"/>
          <w:lang w:val="en-ZA"/>
        </w:rPr>
        <w:t xml:space="preserve">as the </w:t>
      </w:r>
      <w:r w:rsidRPr="00F83BFF">
        <w:rPr>
          <w:rFonts w:ascii="Arial" w:hAnsi="Arial" w:cs="Arial"/>
          <w:sz w:val="20"/>
          <w:u w:val="none"/>
          <w:lang w:val="en-ZA"/>
        </w:rPr>
        <w:t>assumed buoyancy of corporate income tax is 0 for 2023/24).</w:t>
      </w:r>
      <w:r w:rsidR="000C4DA6" w:rsidRPr="00F83BFF">
        <w:rPr>
          <w:rFonts w:ascii="Arial" w:hAnsi="Arial" w:cs="Arial"/>
          <w:sz w:val="20"/>
          <w:u w:val="none"/>
          <w:lang w:val="en-ZA"/>
        </w:rPr>
        <w:t xml:space="preserve"> The National Treasury </w:t>
      </w:r>
      <w:r w:rsidR="005D791B" w:rsidRPr="00F83BFF">
        <w:rPr>
          <w:rFonts w:ascii="Arial" w:hAnsi="Arial" w:cs="Arial"/>
          <w:sz w:val="20"/>
          <w:u w:val="none"/>
          <w:lang w:val="en-ZA"/>
        </w:rPr>
        <w:t xml:space="preserve">argued that the </w:t>
      </w:r>
      <w:r w:rsidRPr="00F83BFF">
        <w:rPr>
          <w:rFonts w:ascii="Arial" w:hAnsi="Arial" w:cs="Arial"/>
          <w:sz w:val="20"/>
          <w:u w:val="none"/>
          <w:lang w:val="en-ZA"/>
        </w:rPr>
        <w:t xml:space="preserve">rebuilding of SARS </w:t>
      </w:r>
      <w:r w:rsidR="005D791B" w:rsidRPr="00F83BFF">
        <w:rPr>
          <w:rFonts w:ascii="Arial" w:hAnsi="Arial" w:cs="Arial"/>
          <w:sz w:val="20"/>
          <w:u w:val="none"/>
          <w:lang w:val="en-ZA"/>
        </w:rPr>
        <w:t>wa</w:t>
      </w:r>
      <w:r w:rsidRPr="00F83BFF">
        <w:rPr>
          <w:rFonts w:ascii="Arial" w:hAnsi="Arial" w:cs="Arial"/>
          <w:sz w:val="20"/>
          <w:u w:val="none"/>
          <w:lang w:val="en-ZA"/>
        </w:rPr>
        <w:t xml:space="preserve">s evident in improved revenue collection and compliance trends. </w:t>
      </w:r>
      <w:r w:rsidR="005D791B" w:rsidRPr="00F83BFF">
        <w:rPr>
          <w:rFonts w:ascii="Arial" w:hAnsi="Arial" w:cs="Arial"/>
          <w:sz w:val="20"/>
          <w:u w:val="none"/>
          <w:lang w:val="en-ZA"/>
        </w:rPr>
        <w:t>It said that a</w:t>
      </w:r>
      <w:r w:rsidRPr="00F83BFF">
        <w:rPr>
          <w:rFonts w:ascii="Arial" w:hAnsi="Arial" w:cs="Arial"/>
          <w:sz w:val="20"/>
          <w:u w:val="none"/>
          <w:lang w:val="en-ZA"/>
        </w:rPr>
        <w:t>dditional revenue gains from SARS efficiency improvements represent</w:t>
      </w:r>
      <w:r w:rsidR="005D791B" w:rsidRPr="00F83BFF">
        <w:rPr>
          <w:rFonts w:ascii="Arial" w:hAnsi="Arial" w:cs="Arial"/>
          <w:sz w:val="20"/>
          <w:u w:val="none"/>
          <w:lang w:val="en-ZA"/>
        </w:rPr>
        <w:t>ed</w:t>
      </w:r>
      <w:r w:rsidRPr="00F83BFF">
        <w:rPr>
          <w:rFonts w:ascii="Arial" w:hAnsi="Arial" w:cs="Arial"/>
          <w:sz w:val="20"/>
          <w:u w:val="none"/>
          <w:lang w:val="en-ZA"/>
        </w:rPr>
        <w:t xml:space="preserve"> an upside risk to the revenue estimates.</w:t>
      </w:r>
      <w:r w:rsidR="005D791B" w:rsidRPr="00F83BFF">
        <w:rPr>
          <w:rFonts w:ascii="Arial" w:hAnsi="Arial" w:cs="Arial"/>
          <w:sz w:val="20"/>
          <w:u w:val="none"/>
          <w:lang w:val="en-ZA"/>
        </w:rPr>
        <w:t xml:space="preserve"> </w:t>
      </w:r>
      <w:r w:rsidR="007271C3" w:rsidRPr="00F83BFF">
        <w:rPr>
          <w:rFonts w:ascii="Arial" w:hAnsi="Arial" w:cs="Arial"/>
          <w:sz w:val="20"/>
          <w:u w:val="none"/>
          <w:lang w:val="en-ZA"/>
        </w:rPr>
        <w:t xml:space="preserve">The National Treasury however noted </w:t>
      </w:r>
      <w:r w:rsidRPr="00F83BFF">
        <w:rPr>
          <w:rFonts w:ascii="Arial" w:hAnsi="Arial" w:cs="Arial"/>
          <w:sz w:val="20"/>
          <w:u w:val="none"/>
          <w:lang w:val="en-ZA"/>
        </w:rPr>
        <w:t>that there are downside risks if commodity prices fall below forecasted values or if a global recession materialises</w:t>
      </w:r>
      <w:r w:rsidR="00A41D18" w:rsidRPr="00F83BFF">
        <w:rPr>
          <w:rFonts w:ascii="Arial" w:hAnsi="Arial" w:cs="Arial"/>
          <w:sz w:val="20"/>
          <w:u w:val="none"/>
          <w:lang w:val="en-ZA"/>
        </w:rPr>
        <w:t>.</w:t>
      </w:r>
    </w:p>
    <w:p w:rsidR="002902E5" w:rsidRPr="00F83BFF" w:rsidRDefault="00A41D18" w:rsidP="00F83BFF">
      <w:pPr>
        <w:pStyle w:val="Heading3"/>
        <w:spacing w:before="0" w:line="240" w:lineRule="auto"/>
        <w:rPr>
          <w:rFonts w:ascii="Arial" w:hAnsi="Arial" w:cs="Arial"/>
          <w:sz w:val="20"/>
          <w:u w:val="none"/>
          <w:lang w:val="en-ZA"/>
        </w:rPr>
      </w:pPr>
      <w:r w:rsidRPr="00F83BFF">
        <w:rPr>
          <w:rFonts w:ascii="Arial" w:hAnsi="Arial" w:cs="Arial"/>
          <w:sz w:val="20"/>
          <w:u w:val="none"/>
          <w:lang w:val="en-ZA"/>
        </w:rPr>
        <w:t xml:space="preserve"> </w:t>
      </w:r>
      <w:r w:rsidR="006979A5" w:rsidRPr="00F83BFF">
        <w:rPr>
          <w:rFonts w:ascii="Arial" w:hAnsi="Arial" w:cs="Arial"/>
          <w:sz w:val="20"/>
          <w:u w:val="none"/>
          <w:lang w:val="en-ZA"/>
        </w:rPr>
        <w:t>The National Treasury assured that it will consider the tax policy issues in the 2023 Budget in February as the MTBPS did not include any announcements on tax policy. It stated that it had responded to HEALA’s PAIA request on minutes of meetings with the sugar cane industry. The National Treasury stated that it had had no such record of meetings taking place</w:t>
      </w:r>
      <w:r w:rsidR="00107EB2" w:rsidRPr="00F83BFF">
        <w:rPr>
          <w:rFonts w:ascii="Arial" w:hAnsi="Arial" w:cs="Arial"/>
          <w:sz w:val="20"/>
          <w:u w:val="none"/>
          <w:lang w:val="en-ZA"/>
        </w:rPr>
        <w:t>.</w:t>
      </w:r>
    </w:p>
    <w:p w:rsidR="00E2165F" w:rsidRPr="00F83BFF" w:rsidRDefault="002902E5" w:rsidP="00F83BFF">
      <w:pPr>
        <w:pStyle w:val="Heading3"/>
        <w:spacing w:before="0" w:line="240" w:lineRule="auto"/>
        <w:rPr>
          <w:rFonts w:ascii="Arial" w:hAnsi="Arial" w:cs="Arial"/>
          <w:sz w:val="20"/>
          <w:u w:val="none"/>
          <w:lang w:val="en-ZA"/>
        </w:rPr>
      </w:pPr>
      <w:r w:rsidRPr="00F83BFF">
        <w:rPr>
          <w:rFonts w:ascii="Arial" w:hAnsi="Arial" w:cs="Arial"/>
          <w:sz w:val="20"/>
          <w:u w:val="none"/>
          <w:lang w:val="en-ZA"/>
        </w:rPr>
        <w:t xml:space="preserve">On expenditure issues, the National Treasury conceded that </w:t>
      </w:r>
      <w:r w:rsidR="000453F3" w:rsidRPr="00F83BFF">
        <w:rPr>
          <w:rFonts w:ascii="Arial" w:hAnsi="Arial" w:cs="Arial"/>
          <w:sz w:val="20"/>
          <w:u w:val="none"/>
          <w:lang w:val="en-ZA"/>
        </w:rPr>
        <w:t xml:space="preserve">effectiveness </w:t>
      </w:r>
      <w:r w:rsidRPr="00F83BFF">
        <w:rPr>
          <w:rFonts w:ascii="Arial" w:hAnsi="Arial" w:cs="Arial"/>
          <w:sz w:val="20"/>
          <w:u w:val="none"/>
          <w:lang w:val="en-ZA"/>
        </w:rPr>
        <w:t>of the expenditure ceiling, which was introduced in the 2013 Budget</w:t>
      </w:r>
      <w:r w:rsidR="000453F3" w:rsidRPr="00F83BFF">
        <w:rPr>
          <w:rFonts w:ascii="Arial" w:hAnsi="Arial" w:cs="Arial"/>
          <w:sz w:val="20"/>
          <w:u w:val="none"/>
          <w:lang w:val="en-ZA"/>
        </w:rPr>
        <w:t xml:space="preserve">, </w:t>
      </w:r>
      <w:r w:rsidR="00BA5190" w:rsidRPr="00F83BFF">
        <w:rPr>
          <w:rFonts w:ascii="Arial" w:hAnsi="Arial" w:cs="Arial"/>
          <w:sz w:val="20"/>
          <w:u w:val="none"/>
          <w:lang w:val="en-ZA"/>
        </w:rPr>
        <w:t xml:space="preserve">has been limited as fiscal imbalances continued to grow </w:t>
      </w:r>
      <w:r w:rsidR="007B3428" w:rsidRPr="00F83BFF">
        <w:rPr>
          <w:rFonts w:ascii="Arial" w:hAnsi="Arial" w:cs="Arial"/>
          <w:sz w:val="20"/>
          <w:u w:val="none"/>
          <w:lang w:val="en-ZA"/>
        </w:rPr>
        <w:t xml:space="preserve">since then. It stated that while fiscal consolidation had achieved some success, debt continued to rise as a share of GDP due to new spending pressures and the declining economic growth. </w:t>
      </w:r>
      <w:r w:rsidR="00DD759A" w:rsidRPr="00F83BFF">
        <w:rPr>
          <w:rFonts w:ascii="Arial" w:hAnsi="Arial" w:cs="Arial"/>
          <w:sz w:val="20"/>
          <w:u w:val="none"/>
          <w:lang w:val="en-ZA"/>
        </w:rPr>
        <w:t>The National Treasury explained that it was considering additional options to protect fiscal sustainability</w:t>
      </w:r>
      <w:r w:rsidR="00355CFD" w:rsidRPr="00F83BFF">
        <w:rPr>
          <w:rFonts w:ascii="Arial" w:hAnsi="Arial" w:cs="Arial"/>
          <w:sz w:val="20"/>
          <w:u w:val="none"/>
          <w:lang w:val="en-ZA"/>
        </w:rPr>
        <w:t>. It said that it had tested the appropriateness of fiscal rules such as a debt ceiling</w:t>
      </w:r>
      <w:r w:rsidR="00E2165F" w:rsidRPr="00F83BFF">
        <w:rPr>
          <w:rFonts w:ascii="Arial" w:hAnsi="Arial" w:cs="Arial"/>
          <w:sz w:val="20"/>
          <w:u w:val="none"/>
          <w:lang w:val="en-ZA"/>
        </w:rPr>
        <w:t xml:space="preserve">, expenditure or revenue rule, which may assist in limiting excessive deficits. </w:t>
      </w:r>
    </w:p>
    <w:p w:rsidR="00F410DE" w:rsidRPr="00F83BFF" w:rsidRDefault="00061D4C" w:rsidP="00F83BFF">
      <w:pPr>
        <w:pStyle w:val="Heading3"/>
        <w:spacing w:before="0" w:line="240" w:lineRule="auto"/>
        <w:rPr>
          <w:rFonts w:ascii="Arial" w:hAnsi="Arial" w:cs="Arial"/>
          <w:sz w:val="20"/>
          <w:u w:val="none"/>
          <w:lang w:val="en-ZA"/>
        </w:rPr>
      </w:pPr>
      <w:r w:rsidRPr="00F83BFF">
        <w:rPr>
          <w:rFonts w:ascii="Arial" w:hAnsi="Arial" w:cs="Arial"/>
          <w:sz w:val="20"/>
          <w:u w:val="none"/>
          <w:lang w:val="en-ZA"/>
        </w:rPr>
        <w:t>The National Treasury explained that spending risks were not allocated in the 2022 MBPS baseline as the</w:t>
      </w:r>
      <w:r w:rsidR="009E01AB" w:rsidRPr="00F83BFF">
        <w:rPr>
          <w:rFonts w:ascii="Arial" w:hAnsi="Arial" w:cs="Arial"/>
          <w:sz w:val="20"/>
          <w:u w:val="none"/>
          <w:lang w:val="en-ZA"/>
        </w:rPr>
        <w:t>:</w:t>
      </w:r>
      <w:r w:rsidRPr="00F83BFF">
        <w:rPr>
          <w:rFonts w:ascii="Arial" w:hAnsi="Arial" w:cs="Arial"/>
          <w:sz w:val="20"/>
          <w:u w:val="none"/>
          <w:lang w:val="en-ZA"/>
        </w:rPr>
        <w:t xml:space="preserve"> </w:t>
      </w:r>
      <w:r w:rsidR="009E01AB" w:rsidRPr="00F83BFF">
        <w:rPr>
          <w:rFonts w:ascii="Arial" w:hAnsi="Arial" w:cs="Arial"/>
          <w:sz w:val="20"/>
          <w:u w:val="none"/>
          <w:lang w:val="en-US"/>
        </w:rPr>
        <w:t>Eskom debt take-over still needed to be quantified and will only be included in the baseline when it materializes</w:t>
      </w:r>
      <w:r w:rsidR="002F482A" w:rsidRPr="00F83BFF">
        <w:rPr>
          <w:rFonts w:ascii="Arial" w:hAnsi="Arial" w:cs="Arial"/>
          <w:sz w:val="20"/>
          <w:u w:val="none"/>
          <w:lang w:val="en-US"/>
        </w:rPr>
        <w:t>; the p</w:t>
      </w:r>
      <w:r w:rsidR="009E01AB" w:rsidRPr="00F83BFF">
        <w:rPr>
          <w:rFonts w:ascii="Arial" w:hAnsi="Arial" w:cs="Arial"/>
          <w:sz w:val="20"/>
          <w:u w:val="none"/>
          <w:lang w:val="en-US"/>
        </w:rPr>
        <w:t>ublic sector wage bill is still under negotiation</w:t>
      </w:r>
      <w:r w:rsidR="002F482A" w:rsidRPr="00F83BFF">
        <w:rPr>
          <w:rFonts w:ascii="Arial" w:hAnsi="Arial" w:cs="Arial"/>
          <w:sz w:val="20"/>
          <w:u w:val="none"/>
          <w:lang w:val="en-US"/>
        </w:rPr>
        <w:t xml:space="preserve">; </w:t>
      </w:r>
      <w:r w:rsidR="002F482A" w:rsidRPr="00F83BFF">
        <w:rPr>
          <w:rFonts w:ascii="Arial" w:hAnsi="Arial" w:cs="Arial"/>
          <w:sz w:val="20"/>
          <w:u w:val="none"/>
          <w:lang w:val="en-ZA"/>
        </w:rPr>
        <w:t xml:space="preserve"> t</w:t>
      </w:r>
      <w:r w:rsidR="009E01AB" w:rsidRPr="00F83BFF">
        <w:rPr>
          <w:rFonts w:ascii="Arial" w:hAnsi="Arial" w:cs="Arial"/>
          <w:sz w:val="20"/>
          <w:u w:val="none"/>
          <w:lang w:val="en-US"/>
        </w:rPr>
        <w:t>he unallocated reserve cushions the fiscal framework from fiscal risks that may materialise over the medium term</w:t>
      </w:r>
      <w:r w:rsidR="0035066F" w:rsidRPr="00F83BFF">
        <w:rPr>
          <w:rFonts w:ascii="Arial" w:hAnsi="Arial" w:cs="Arial"/>
          <w:sz w:val="20"/>
          <w:u w:val="none"/>
          <w:lang w:val="en-US"/>
        </w:rPr>
        <w:t xml:space="preserve">; </w:t>
      </w:r>
      <w:r w:rsidR="009E01AB" w:rsidRPr="00F83BFF">
        <w:rPr>
          <w:rFonts w:ascii="Arial" w:hAnsi="Arial" w:cs="Arial"/>
          <w:sz w:val="20"/>
          <w:u w:val="none"/>
          <w:lang w:val="en-US"/>
        </w:rPr>
        <w:t> </w:t>
      </w:r>
      <w:r w:rsidR="009E01AB" w:rsidRPr="00F83BFF">
        <w:rPr>
          <w:rFonts w:ascii="Arial" w:hAnsi="Arial" w:cs="Arial"/>
          <w:sz w:val="20"/>
          <w:u w:val="none"/>
        </w:rPr>
        <w:t>permanent extension of the SRD grant, or any replacement thereof, needs to be matched by a corresponding permanent increase in revenue, decrease in spending or combination of the two</w:t>
      </w:r>
      <w:r w:rsidR="0063111D" w:rsidRPr="00F83BFF">
        <w:rPr>
          <w:rFonts w:ascii="Arial" w:hAnsi="Arial" w:cs="Arial"/>
          <w:sz w:val="20"/>
          <w:u w:val="none"/>
        </w:rPr>
        <w:t xml:space="preserve">; </w:t>
      </w:r>
      <w:r w:rsidR="009E01AB" w:rsidRPr="00F83BFF">
        <w:rPr>
          <w:rFonts w:ascii="Arial" w:hAnsi="Arial" w:cs="Arial"/>
          <w:sz w:val="20"/>
          <w:u w:val="none"/>
        </w:rPr>
        <w:t> </w:t>
      </w:r>
      <w:r w:rsidR="000952EE" w:rsidRPr="00F83BFF">
        <w:rPr>
          <w:rFonts w:ascii="Arial" w:hAnsi="Arial" w:cs="Arial"/>
          <w:sz w:val="20"/>
          <w:u w:val="none"/>
        </w:rPr>
        <w:t xml:space="preserve">and </w:t>
      </w:r>
      <w:r w:rsidR="0063111D" w:rsidRPr="00F83BFF">
        <w:rPr>
          <w:rFonts w:ascii="Arial" w:hAnsi="Arial" w:cs="Arial"/>
          <w:sz w:val="20"/>
          <w:u w:val="none"/>
          <w:lang w:val="en-ZA"/>
        </w:rPr>
        <w:t>t</w:t>
      </w:r>
      <w:r w:rsidR="009E01AB" w:rsidRPr="00F83BFF">
        <w:rPr>
          <w:rFonts w:ascii="Arial" w:hAnsi="Arial" w:cs="Arial"/>
          <w:sz w:val="20"/>
          <w:u w:val="none"/>
          <w:lang w:val="en-US"/>
        </w:rPr>
        <w:t xml:space="preserve">he findings of some spending reviews are being implemented in the peace and security and general public services functions. </w:t>
      </w:r>
      <w:r w:rsidR="0043544D" w:rsidRPr="00F83BFF">
        <w:rPr>
          <w:rFonts w:ascii="Arial" w:hAnsi="Arial" w:cs="Arial"/>
          <w:sz w:val="20"/>
          <w:u w:val="none"/>
          <w:lang w:val="en-US"/>
        </w:rPr>
        <w:t>The National Treasury stated that i</w:t>
      </w:r>
      <w:r w:rsidR="009E01AB" w:rsidRPr="00F83BFF">
        <w:rPr>
          <w:rFonts w:ascii="Arial" w:hAnsi="Arial" w:cs="Arial"/>
          <w:sz w:val="20"/>
          <w:u w:val="none"/>
          <w:lang w:val="en-US"/>
        </w:rPr>
        <w:t xml:space="preserve">n most cases, </w:t>
      </w:r>
      <w:r w:rsidR="0043544D" w:rsidRPr="00F83BFF">
        <w:rPr>
          <w:rFonts w:ascii="Arial" w:hAnsi="Arial" w:cs="Arial"/>
          <w:sz w:val="20"/>
          <w:u w:val="none"/>
          <w:lang w:val="en-US"/>
        </w:rPr>
        <w:t xml:space="preserve">expenditure </w:t>
      </w:r>
      <w:r w:rsidR="009E01AB" w:rsidRPr="00F83BFF">
        <w:rPr>
          <w:rFonts w:ascii="Arial" w:hAnsi="Arial" w:cs="Arial"/>
          <w:sz w:val="20"/>
          <w:u w:val="none"/>
          <w:lang w:val="en-US"/>
        </w:rPr>
        <w:t>review findings remain under discussion or will take longer to implement because they require legislative amendments and political conversations.</w:t>
      </w:r>
    </w:p>
    <w:p w:rsidR="00A06497" w:rsidRPr="00F83BFF" w:rsidRDefault="00F410DE" w:rsidP="00F83BFF">
      <w:pPr>
        <w:pStyle w:val="Heading3"/>
        <w:spacing w:before="0" w:line="240" w:lineRule="auto"/>
        <w:rPr>
          <w:rFonts w:ascii="Arial" w:hAnsi="Arial" w:cs="Arial"/>
          <w:sz w:val="20"/>
          <w:u w:val="none"/>
          <w:lang w:val="en-US"/>
        </w:rPr>
      </w:pPr>
      <w:r w:rsidRPr="00F83BFF">
        <w:rPr>
          <w:rFonts w:ascii="Arial" w:hAnsi="Arial" w:cs="Arial"/>
          <w:sz w:val="20"/>
          <w:u w:val="none"/>
          <w:lang w:val="en-ZA"/>
        </w:rPr>
        <w:t xml:space="preserve">The National Treasury explained that </w:t>
      </w:r>
      <w:r w:rsidR="009E01AB" w:rsidRPr="00F83BFF">
        <w:rPr>
          <w:rFonts w:ascii="Arial" w:hAnsi="Arial" w:cs="Arial"/>
          <w:sz w:val="20"/>
          <w:u w:val="none"/>
          <w:lang w:val="en-US"/>
        </w:rPr>
        <w:t xml:space="preserve">it is regrettable that some policy decisions with financial implications have not been </w:t>
      </w:r>
      <w:r w:rsidR="0002068A" w:rsidRPr="00F83BFF">
        <w:rPr>
          <w:rFonts w:ascii="Arial" w:hAnsi="Arial" w:cs="Arial"/>
          <w:sz w:val="20"/>
          <w:u w:val="none"/>
          <w:lang w:val="en-US"/>
        </w:rPr>
        <w:t xml:space="preserve">finalized. It said that </w:t>
      </w:r>
      <w:r w:rsidR="009E01AB" w:rsidRPr="00F83BFF">
        <w:rPr>
          <w:rFonts w:ascii="Arial" w:hAnsi="Arial" w:cs="Arial"/>
          <w:sz w:val="20"/>
          <w:u w:val="none"/>
          <w:lang w:val="en-US"/>
        </w:rPr>
        <w:t xml:space="preserve">the inclusion of reserves is meant to protect the integrity of the overall fiscal framework. </w:t>
      </w:r>
      <w:r w:rsidR="0002068A" w:rsidRPr="00F83BFF">
        <w:rPr>
          <w:rFonts w:ascii="Arial" w:hAnsi="Arial" w:cs="Arial"/>
          <w:sz w:val="20"/>
          <w:u w:val="none"/>
          <w:lang w:val="en-US"/>
        </w:rPr>
        <w:t>It said that t</w:t>
      </w:r>
      <w:r w:rsidR="009E01AB" w:rsidRPr="00F83BFF">
        <w:rPr>
          <w:rFonts w:ascii="Arial" w:hAnsi="Arial" w:cs="Arial"/>
          <w:sz w:val="20"/>
          <w:u w:val="none"/>
          <w:lang w:val="en-US"/>
        </w:rPr>
        <w:t>his strategy has already improve</w:t>
      </w:r>
      <w:r w:rsidR="0002068A" w:rsidRPr="00F83BFF">
        <w:rPr>
          <w:rFonts w:ascii="Arial" w:hAnsi="Arial" w:cs="Arial"/>
          <w:sz w:val="20"/>
          <w:u w:val="none"/>
          <w:lang w:val="en-US"/>
        </w:rPr>
        <w:t>d</w:t>
      </w:r>
      <w:r w:rsidR="009E01AB" w:rsidRPr="00F83BFF">
        <w:rPr>
          <w:rFonts w:ascii="Arial" w:hAnsi="Arial" w:cs="Arial"/>
          <w:sz w:val="20"/>
          <w:u w:val="none"/>
          <w:lang w:val="en-US"/>
        </w:rPr>
        <w:t> clarity and decision-making during the 2023 budget process</w:t>
      </w:r>
      <w:r w:rsidR="00A06497" w:rsidRPr="00F83BFF">
        <w:rPr>
          <w:rFonts w:ascii="Arial" w:hAnsi="Arial" w:cs="Arial"/>
          <w:sz w:val="20"/>
          <w:u w:val="none"/>
          <w:lang w:val="en-US"/>
        </w:rPr>
        <w:t>.</w:t>
      </w:r>
    </w:p>
    <w:p w:rsidR="00053F56" w:rsidRPr="00F83BFF" w:rsidRDefault="00A06497"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t>On the uncertainty of the public sector wage bill, the National Treasury explained that</w:t>
      </w:r>
      <w:r w:rsidR="008B0C2D" w:rsidRPr="00F83BFF">
        <w:rPr>
          <w:rFonts w:ascii="Arial" w:hAnsi="Arial" w:cs="Arial"/>
          <w:sz w:val="20"/>
          <w:u w:val="none"/>
          <w:lang w:val="en-US"/>
        </w:rPr>
        <w:t xml:space="preserve"> </w:t>
      </w:r>
      <w:r w:rsidR="002324F2" w:rsidRPr="00F83BFF">
        <w:rPr>
          <w:rFonts w:ascii="Arial" w:hAnsi="Arial" w:cs="Arial"/>
          <w:sz w:val="20"/>
          <w:u w:val="none"/>
          <w:lang w:val="en-US"/>
        </w:rPr>
        <w:t xml:space="preserve">most of the unions rejected the 3 per cent facilitated offer by the state, which meant the funding allocations for 2022/23 cost-of-living adjustment (COLA) could not be included in the 2022 Adjusted Estimates of National Expenditure (AENE). </w:t>
      </w:r>
      <w:r w:rsidR="009A4344" w:rsidRPr="00F83BFF">
        <w:rPr>
          <w:rFonts w:ascii="Arial" w:hAnsi="Arial" w:cs="Arial"/>
          <w:sz w:val="20"/>
          <w:u w:val="none"/>
          <w:lang w:val="en-US"/>
        </w:rPr>
        <w:t>It said that n</w:t>
      </w:r>
      <w:r w:rsidR="002324F2" w:rsidRPr="00F83BFF">
        <w:rPr>
          <w:rFonts w:ascii="Arial" w:hAnsi="Arial" w:cs="Arial"/>
          <w:sz w:val="20"/>
          <w:u w:val="none"/>
          <w:lang w:val="en-US"/>
        </w:rPr>
        <w:t xml:space="preserve">o resolution was reached in </w:t>
      </w:r>
      <w:r w:rsidR="00E77D1E" w:rsidRPr="00F83BFF">
        <w:rPr>
          <w:rFonts w:ascii="Arial" w:hAnsi="Arial" w:cs="Arial"/>
          <w:sz w:val="20"/>
          <w:u w:val="none"/>
          <w:lang w:val="en-US"/>
        </w:rPr>
        <w:t xml:space="preserve">the </w:t>
      </w:r>
      <w:r w:rsidR="002324F2" w:rsidRPr="00F83BFF">
        <w:rPr>
          <w:rFonts w:ascii="Arial" w:hAnsi="Arial" w:cs="Arial"/>
          <w:sz w:val="20"/>
          <w:u w:val="none"/>
          <w:lang w:val="en-US"/>
        </w:rPr>
        <w:t xml:space="preserve">conciliation process. </w:t>
      </w:r>
      <w:r w:rsidR="00E77D1E" w:rsidRPr="00F83BFF">
        <w:rPr>
          <w:rFonts w:ascii="Arial" w:hAnsi="Arial" w:cs="Arial"/>
          <w:sz w:val="20"/>
          <w:u w:val="none"/>
          <w:lang w:val="en-US"/>
        </w:rPr>
        <w:t>It said that the u</w:t>
      </w:r>
      <w:r w:rsidR="002324F2" w:rsidRPr="00F83BFF">
        <w:rPr>
          <w:rFonts w:ascii="Arial" w:hAnsi="Arial" w:cs="Arial"/>
          <w:sz w:val="20"/>
          <w:u w:val="none"/>
          <w:lang w:val="en-US"/>
        </w:rPr>
        <w:t xml:space="preserve">nions now have a certificate to embark on an industrial action. Nevertheless, the proposed fiscal framework assumes a broad-based increase in 2022/23 and its carry-through effects over the MTEF. This helps to safeguard the </w:t>
      </w:r>
      <w:r w:rsidR="008B0C2D" w:rsidRPr="00F83BFF">
        <w:rPr>
          <w:rFonts w:ascii="Arial" w:hAnsi="Arial" w:cs="Arial"/>
          <w:sz w:val="20"/>
          <w:u w:val="none"/>
          <w:lang w:val="en-US"/>
        </w:rPr>
        <w:t>credibility</w:t>
      </w:r>
      <w:r w:rsidR="002324F2" w:rsidRPr="00F83BFF">
        <w:rPr>
          <w:rFonts w:ascii="Arial" w:hAnsi="Arial" w:cs="Arial"/>
          <w:sz w:val="20"/>
          <w:u w:val="none"/>
          <w:lang w:val="en-US"/>
        </w:rPr>
        <w:t xml:space="preserve"> of the fiscal balances.</w:t>
      </w:r>
    </w:p>
    <w:p w:rsidR="00FA2A06" w:rsidRPr="00F83BFF" w:rsidRDefault="00053F56"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t>The National Treasury explained that o</w:t>
      </w:r>
      <w:r w:rsidR="002324F2" w:rsidRPr="00F83BFF">
        <w:rPr>
          <w:rFonts w:ascii="Arial" w:hAnsi="Arial" w:cs="Arial"/>
          <w:sz w:val="20"/>
          <w:u w:val="none"/>
          <w:lang w:val="en-US"/>
        </w:rPr>
        <w:t xml:space="preserve">ver the past 15 years, the consolidated wage bill grew significantly. In the context of slow economic growth, the growing wage bill began crowding out spending in other critical areas, including service delivery. </w:t>
      </w:r>
      <w:r w:rsidRPr="00F83BFF">
        <w:rPr>
          <w:rFonts w:ascii="Arial" w:hAnsi="Arial" w:cs="Arial"/>
          <w:sz w:val="20"/>
          <w:u w:val="none"/>
          <w:lang w:val="en-US"/>
        </w:rPr>
        <w:t>It said that b</w:t>
      </w:r>
      <w:r w:rsidR="002324F2" w:rsidRPr="00F83BFF">
        <w:rPr>
          <w:rFonts w:ascii="Arial" w:hAnsi="Arial" w:cs="Arial"/>
          <w:sz w:val="20"/>
          <w:u w:val="none"/>
          <w:lang w:val="en-US"/>
        </w:rPr>
        <w:t>etween the 2020</w:t>
      </w:r>
      <w:r w:rsidR="00301EB0" w:rsidRPr="00F83BFF">
        <w:rPr>
          <w:rFonts w:ascii="Arial" w:hAnsi="Arial" w:cs="Arial"/>
          <w:sz w:val="20"/>
          <w:u w:val="none"/>
          <w:lang w:val="en-US"/>
        </w:rPr>
        <w:t xml:space="preserve"> and 2021</w:t>
      </w:r>
      <w:r w:rsidR="002324F2" w:rsidRPr="00F83BFF">
        <w:rPr>
          <w:rFonts w:ascii="Arial" w:hAnsi="Arial" w:cs="Arial"/>
          <w:sz w:val="20"/>
          <w:u w:val="none"/>
          <w:lang w:val="en-US"/>
        </w:rPr>
        <w:t xml:space="preserve"> Budget</w:t>
      </w:r>
      <w:r w:rsidR="00301EB0" w:rsidRPr="00F83BFF">
        <w:rPr>
          <w:rFonts w:ascii="Arial" w:hAnsi="Arial" w:cs="Arial"/>
          <w:sz w:val="20"/>
          <w:u w:val="none"/>
          <w:lang w:val="en-US"/>
        </w:rPr>
        <w:t>s</w:t>
      </w:r>
      <w:r w:rsidR="002324F2" w:rsidRPr="00F83BFF">
        <w:rPr>
          <w:rFonts w:ascii="Arial" w:hAnsi="Arial" w:cs="Arial"/>
          <w:sz w:val="20"/>
          <w:u w:val="none"/>
          <w:lang w:val="en-US"/>
        </w:rPr>
        <w:t>, government reduced the medium-term compensation of employees’ baselines by more than R300 billion</w:t>
      </w:r>
      <w:r w:rsidR="00301EB0" w:rsidRPr="00F83BFF">
        <w:rPr>
          <w:rFonts w:ascii="Arial" w:hAnsi="Arial" w:cs="Arial"/>
          <w:sz w:val="20"/>
          <w:u w:val="none"/>
          <w:lang w:val="en-US"/>
        </w:rPr>
        <w:t xml:space="preserve"> in order </w:t>
      </w:r>
      <w:r w:rsidR="002324F2" w:rsidRPr="00F83BFF">
        <w:rPr>
          <w:rFonts w:ascii="Arial" w:hAnsi="Arial" w:cs="Arial"/>
          <w:sz w:val="20"/>
          <w:u w:val="none"/>
          <w:lang w:val="en-US"/>
        </w:rPr>
        <w:t>to stabilise the public finances.</w:t>
      </w:r>
      <w:r w:rsidR="00305C2A" w:rsidRPr="00F83BFF">
        <w:rPr>
          <w:rFonts w:ascii="Arial" w:hAnsi="Arial" w:cs="Arial"/>
          <w:sz w:val="20"/>
          <w:u w:val="none"/>
          <w:lang w:val="en-US"/>
        </w:rPr>
        <w:t xml:space="preserve"> It said that in order t</w:t>
      </w:r>
      <w:r w:rsidR="002324F2" w:rsidRPr="00F83BFF">
        <w:rPr>
          <w:rFonts w:ascii="Arial" w:hAnsi="Arial" w:cs="Arial"/>
          <w:sz w:val="20"/>
          <w:u w:val="none"/>
          <w:lang w:val="en-US"/>
        </w:rPr>
        <w:t xml:space="preserve">o avoid pre-empting the wage negotiation process, no provisions have been made for </w:t>
      </w:r>
      <w:r w:rsidR="002324F2" w:rsidRPr="00F83BFF">
        <w:rPr>
          <w:rFonts w:ascii="Arial" w:hAnsi="Arial" w:cs="Arial"/>
          <w:sz w:val="20"/>
          <w:u w:val="none"/>
          <w:lang w:val="en-US"/>
        </w:rPr>
        <w:lastRenderedPageBreak/>
        <w:t>wage increases in 2023/24 although increases will need to remain within the available fiscal resources so as not to compromise other spending priorities</w:t>
      </w:r>
      <w:r w:rsidR="00FA2A06" w:rsidRPr="00F83BFF">
        <w:rPr>
          <w:rFonts w:ascii="Arial" w:hAnsi="Arial" w:cs="Arial"/>
          <w:sz w:val="20"/>
          <w:u w:val="none"/>
          <w:lang w:val="en-US"/>
        </w:rPr>
        <w:t>.</w:t>
      </w:r>
    </w:p>
    <w:p w:rsidR="00AC2D36" w:rsidRPr="00F83BFF" w:rsidRDefault="00A4062E"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t>The National Treasury pointed out that it was allocating funds to reduce fiscal and economic risks posed by D</w:t>
      </w:r>
      <w:r w:rsidR="00566D77" w:rsidRPr="00F83BFF">
        <w:rPr>
          <w:rFonts w:ascii="Arial" w:hAnsi="Arial" w:cs="Arial"/>
          <w:sz w:val="20"/>
          <w:u w:val="none"/>
          <w:lang w:val="en-US"/>
        </w:rPr>
        <w:t>e</w:t>
      </w:r>
      <w:r w:rsidRPr="00F83BFF">
        <w:rPr>
          <w:rFonts w:ascii="Arial" w:hAnsi="Arial" w:cs="Arial"/>
          <w:sz w:val="20"/>
          <w:u w:val="none"/>
          <w:lang w:val="en-US"/>
        </w:rPr>
        <w:t>nel</w:t>
      </w:r>
      <w:r w:rsidR="00566D77" w:rsidRPr="00F83BFF">
        <w:rPr>
          <w:rFonts w:ascii="Arial" w:hAnsi="Arial" w:cs="Arial"/>
          <w:sz w:val="20"/>
          <w:u w:val="none"/>
          <w:lang w:val="en-US"/>
        </w:rPr>
        <w:t>, S</w:t>
      </w:r>
      <w:r w:rsidR="00472DB7" w:rsidRPr="00F83BFF">
        <w:rPr>
          <w:rFonts w:ascii="Arial" w:hAnsi="Arial" w:cs="Arial"/>
          <w:sz w:val="20"/>
          <w:u w:val="none"/>
          <w:lang w:val="en-US"/>
        </w:rPr>
        <w:t>A</w:t>
      </w:r>
      <w:r w:rsidR="00566D77" w:rsidRPr="00F83BFF">
        <w:rPr>
          <w:rFonts w:ascii="Arial" w:hAnsi="Arial" w:cs="Arial"/>
          <w:sz w:val="20"/>
          <w:u w:val="none"/>
          <w:lang w:val="en-US"/>
        </w:rPr>
        <w:t>NRAL and Transnet, and plans to take over a portion of Eskom’s debt</w:t>
      </w:r>
      <w:r w:rsidR="00EB2490" w:rsidRPr="00F83BFF">
        <w:rPr>
          <w:rFonts w:ascii="Arial" w:hAnsi="Arial" w:cs="Arial"/>
          <w:sz w:val="20"/>
          <w:u w:val="none"/>
          <w:lang w:val="en-US"/>
        </w:rPr>
        <w:t>. It said that these actions will help secure the gains of fiscal consolidation by improving economic growth</w:t>
      </w:r>
      <w:r w:rsidR="00D27B1D" w:rsidRPr="00F83BFF">
        <w:rPr>
          <w:rFonts w:ascii="Arial" w:hAnsi="Arial" w:cs="Arial"/>
          <w:sz w:val="20"/>
          <w:u w:val="none"/>
          <w:lang w:val="en-US"/>
        </w:rPr>
        <w:t xml:space="preserve"> and associated revenue collection and reducing contingent liabilities. </w:t>
      </w:r>
      <w:r w:rsidR="00566D77" w:rsidRPr="00F83BFF">
        <w:rPr>
          <w:rFonts w:ascii="Arial" w:hAnsi="Arial" w:cs="Arial"/>
          <w:sz w:val="20"/>
          <w:u w:val="none"/>
          <w:lang w:val="en-US"/>
        </w:rPr>
        <w:t xml:space="preserve"> </w:t>
      </w:r>
    </w:p>
    <w:p w:rsidR="00144A40" w:rsidRPr="00F83BFF" w:rsidRDefault="00FA2A06"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t xml:space="preserve">On the </w:t>
      </w:r>
      <w:r w:rsidR="007556E3" w:rsidRPr="00F83BFF">
        <w:rPr>
          <w:rFonts w:ascii="Arial" w:hAnsi="Arial" w:cs="Arial"/>
          <w:sz w:val="20"/>
          <w:u w:val="none"/>
          <w:lang w:val="en-US"/>
        </w:rPr>
        <w:t>possible grey-listing of South Africa by FATF, the National Treasury explained that over the 2023 MTEF</w:t>
      </w:r>
      <w:r w:rsidR="001527E0" w:rsidRPr="00F83BFF">
        <w:rPr>
          <w:rFonts w:ascii="Arial" w:hAnsi="Arial" w:cs="Arial"/>
          <w:sz w:val="20"/>
          <w:u w:val="none"/>
          <w:lang w:val="en-US"/>
        </w:rPr>
        <w:t xml:space="preserve">, additional resources to carry out work will be allocated to particularly law enforcement agencies and the Financial Intelligence Centre. </w:t>
      </w:r>
    </w:p>
    <w:p w:rsidR="00030A5F" w:rsidRPr="00F83BFF" w:rsidRDefault="00144A40" w:rsidP="00F83BFF">
      <w:pPr>
        <w:pStyle w:val="Heading3"/>
        <w:spacing w:before="0" w:line="240" w:lineRule="auto"/>
        <w:rPr>
          <w:rFonts w:ascii="Arial" w:hAnsi="Arial" w:cs="Arial"/>
          <w:sz w:val="20"/>
          <w:u w:val="none"/>
          <w:lang w:val="en-ZA"/>
        </w:rPr>
      </w:pPr>
      <w:r w:rsidRPr="00F83BFF">
        <w:rPr>
          <w:rFonts w:ascii="Arial" w:hAnsi="Arial" w:cs="Arial"/>
          <w:sz w:val="20"/>
          <w:u w:val="none"/>
          <w:lang w:val="en-US"/>
        </w:rPr>
        <w:t>On climate change issues</w:t>
      </w:r>
      <w:r w:rsidR="0001418C" w:rsidRPr="00F83BFF">
        <w:rPr>
          <w:rFonts w:ascii="Arial" w:hAnsi="Arial" w:cs="Arial"/>
          <w:sz w:val="20"/>
          <w:u w:val="none"/>
          <w:lang w:val="en-US"/>
        </w:rPr>
        <w:t xml:space="preserve">, the </w:t>
      </w:r>
      <w:r w:rsidR="00E708F3" w:rsidRPr="00F83BFF">
        <w:rPr>
          <w:rFonts w:ascii="Arial" w:hAnsi="Arial" w:cs="Arial"/>
          <w:sz w:val="20"/>
          <w:u w:val="none"/>
          <w:lang w:val="en-US"/>
        </w:rPr>
        <w:t>National Treasury stated that i</w:t>
      </w:r>
      <w:r w:rsidR="0001418C" w:rsidRPr="00F83BFF">
        <w:rPr>
          <w:rFonts w:ascii="Arial" w:hAnsi="Arial" w:cs="Arial"/>
          <w:sz w:val="20"/>
          <w:u w:val="none"/>
          <w:lang w:val="en-ZA"/>
        </w:rPr>
        <w:t xml:space="preserve">n line with South Africa’s global commitments, fiscal policy will continue playing its part to shift economic incentives towards cleaner forms of energy. </w:t>
      </w:r>
      <w:r w:rsidR="001A158F" w:rsidRPr="00F83BFF">
        <w:rPr>
          <w:rFonts w:ascii="Arial" w:hAnsi="Arial" w:cs="Arial"/>
          <w:sz w:val="20"/>
          <w:u w:val="none"/>
          <w:lang w:val="en-ZA"/>
        </w:rPr>
        <w:t>It said that a paper on the design options for tax free allowances under the carbon tax will be published in 2023 for public comments and consultation</w:t>
      </w:r>
    </w:p>
    <w:p w:rsidR="00030A5F" w:rsidRPr="00F83BFF" w:rsidRDefault="00030A5F" w:rsidP="00F83BFF">
      <w:pPr>
        <w:pStyle w:val="Heading3"/>
        <w:spacing w:before="0" w:line="240" w:lineRule="auto"/>
        <w:rPr>
          <w:rFonts w:ascii="Arial" w:hAnsi="Arial" w:cs="Arial"/>
          <w:sz w:val="20"/>
          <w:u w:val="none"/>
        </w:rPr>
      </w:pPr>
      <w:r w:rsidRPr="00F83BFF">
        <w:rPr>
          <w:rFonts w:ascii="Arial" w:hAnsi="Arial" w:cs="Arial"/>
          <w:sz w:val="20"/>
          <w:u w:val="none"/>
          <w:lang w:val="en-ZA"/>
        </w:rPr>
        <w:t>On public participation, the National Tre</w:t>
      </w:r>
      <w:r w:rsidR="00D60DB9" w:rsidRPr="00F83BFF">
        <w:rPr>
          <w:rFonts w:ascii="Arial" w:hAnsi="Arial" w:cs="Arial"/>
          <w:sz w:val="20"/>
          <w:u w:val="none"/>
          <w:lang w:val="en-ZA"/>
        </w:rPr>
        <w:t>a</w:t>
      </w:r>
      <w:r w:rsidRPr="00F83BFF">
        <w:rPr>
          <w:rFonts w:ascii="Arial" w:hAnsi="Arial" w:cs="Arial"/>
          <w:sz w:val="20"/>
          <w:u w:val="none"/>
          <w:lang w:val="en-ZA"/>
        </w:rPr>
        <w:t>sury pointed out that South Africa remains among the top 2 countries with the most transparent budget processes in the worl</w:t>
      </w:r>
      <w:r w:rsidR="00164D75" w:rsidRPr="00F83BFF">
        <w:rPr>
          <w:rFonts w:ascii="Arial" w:hAnsi="Arial" w:cs="Arial"/>
          <w:sz w:val="20"/>
          <w:u w:val="none"/>
          <w:lang w:val="en-ZA"/>
        </w:rPr>
        <w:t>d</w:t>
      </w:r>
      <w:r w:rsidR="005E783B" w:rsidRPr="00F83BFF">
        <w:rPr>
          <w:rFonts w:ascii="Arial" w:hAnsi="Arial" w:cs="Arial"/>
          <w:sz w:val="20"/>
          <w:u w:val="none"/>
          <w:lang w:val="en-ZA"/>
        </w:rPr>
        <w:t>.</w:t>
      </w:r>
      <w:r w:rsidR="00164D75" w:rsidRPr="00F83BFF">
        <w:rPr>
          <w:rFonts w:ascii="Arial" w:hAnsi="Arial" w:cs="Arial"/>
          <w:sz w:val="20"/>
          <w:u w:val="none"/>
          <w:lang w:val="en-ZA"/>
        </w:rPr>
        <w:t xml:space="preserve"> I explained that the global</w:t>
      </w:r>
      <w:r w:rsidR="00876166" w:rsidRPr="00F83BFF">
        <w:rPr>
          <w:rFonts w:ascii="Arial" w:hAnsi="Arial" w:cs="Arial"/>
          <w:sz w:val="20"/>
          <w:u w:val="none"/>
          <w:lang w:val="en-ZA"/>
        </w:rPr>
        <w:t xml:space="preserve"> </w:t>
      </w:r>
      <w:r w:rsidR="00876166" w:rsidRPr="00F83BFF">
        <w:rPr>
          <w:rFonts w:ascii="Arial" w:hAnsi="Arial" w:cs="Arial"/>
          <w:sz w:val="20"/>
          <w:u w:val="none"/>
        </w:rPr>
        <w:t>transparency average is 45 out of 100, while South Africa scores the second best with 86 out of 100, a score which reflects South Africa’s commitment to transparency.</w:t>
      </w:r>
    </w:p>
    <w:p w:rsidR="00D60DB9" w:rsidRPr="00F83BFF" w:rsidRDefault="00D60DB9" w:rsidP="00F83BFF">
      <w:pPr>
        <w:pStyle w:val="FirstPara"/>
        <w:spacing w:before="0" w:line="240" w:lineRule="auto"/>
        <w:jc w:val="left"/>
        <w:rPr>
          <w:rFonts w:ascii="Arial" w:hAnsi="Arial" w:cs="Arial"/>
          <w:sz w:val="20"/>
          <w:lang w:val="en-ZA"/>
        </w:rPr>
      </w:pPr>
    </w:p>
    <w:p w:rsidR="00FA2A06" w:rsidRPr="00F83BFF" w:rsidRDefault="00FA2A06" w:rsidP="00F83BFF">
      <w:pPr>
        <w:pStyle w:val="FirstPara"/>
        <w:spacing w:before="0" w:line="240" w:lineRule="auto"/>
        <w:jc w:val="left"/>
        <w:rPr>
          <w:rFonts w:ascii="Arial" w:hAnsi="Arial" w:cs="Arial"/>
          <w:sz w:val="20"/>
          <w:lang w:val="en-US"/>
        </w:rPr>
      </w:pPr>
    </w:p>
    <w:p w:rsidR="00A8474F" w:rsidRPr="00F83BFF" w:rsidRDefault="00F15468" w:rsidP="00F83BFF">
      <w:pPr>
        <w:pStyle w:val="Heading2"/>
        <w:spacing w:before="0" w:line="240" w:lineRule="auto"/>
        <w:rPr>
          <w:rFonts w:ascii="Arial" w:hAnsi="Arial" w:cs="Arial"/>
          <w:color w:val="000000" w:themeColor="text1"/>
          <w:sz w:val="20"/>
        </w:rPr>
      </w:pPr>
      <w:r w:rsidRPr="00F83BFF">
        <w:rPr>
          <w:rFonts w:ascii="Arial" w:hAnsi="Arial" w:cs="Arial"/>
          <w:color w:val="000000" w:themeColor="text1"/>
          <w:sz w:val="20"/>
        </w:rPr>
        <w:t>COMMITTEES</w:t>
      </w:r>
      <w:r w:rsidR="00962CE3" w:rsidRPr="00F83BFF">
        <w:rPr>
          <w:rFonts w:ascii="Arial" w:hAnsi="Arial" w:cs="Arial"/>
          <w:color w:val="000000" w:themeColor="text1"/>
          <w:sz w:val="20"/>
        </w:rPr>
        <w:t>’</w:t>
      </w:r>
      <w:r w:rsidRPr="00F83BFF">
        <w:rPr>
          <w:rFonts w:ascii="Arial" w:hAnsi="Arial" w:cs="Arial"/>
          <w:color w:val="000000" w:themeColor="text1"/>
          <w:sz w:val="20"/>
        </w:rPr>
        <w:t xml:space="preserve"> OBSERVATIONS AND RECOMMENDATIONS</w:t>
      </w:r>
      <w:r w:rsidR="004C48E6" w:rsidRPr="00F83BFF">
        <w:rPr>
          <w:rFonts w:ascii="Arial" w:hAnsi="Arial" w:cs="Arial"/>
          <w:color w:val="000000" w:themeColor="text1"/>
          <w:sz w:val="20"/>
        </w:rPr>
        <w:t xml:space="preserve"> </w:t>
      </w:r>
    </w:p>
    <w:p w:rsidR="00BE77A6" w:rsidRPr="00F83BFF" w:rsidRDefault="004E4B40" w:rsidP="00F83BFF">
      <w:pPr>
        <w:pStyle w:val="Heading3"/>
        <w:spacing w:before="0" w:line="240" w:lineRule="auto"/>
        <w:rPr>
          <w:rFonts w:ascii="Arial" w:hAnsi="Arial" w:cs="Arial"/>
          <w:sz w:val="20"/>
          <w:u w:val="none"/>
        </w:rPr>
      </w:pPr>
      <w:r w:rsidRPr="00F83BFF">
        <w:rPr>
          <w:rFonts w:ascii="Arial" w:hAnsi="Arial" w:cs="Arial"/>
          <w:sz w:val="20"/>
          <w:u w:val="none"/>
        </w:rPr>
        <w:t>The Committee note</w:t>
      </w:r>
      <w:r w:rsidR="008A62FC" w:rsidRPr="00F83BFF">
        <w:rPr>
          <w:rFonts w:ascii="Arial" w:hAnsi="Arial" w:cs="Arial"/>
          <w:sz w:val="20"/>
          <w:u w:val="none"/>
        </w:rPr>
        <w:t>s</w:t>
      </w:r>
      <w:r w:rsidRPr="00F83BFF">
        <w:rPr>
          <w:rFonts w:ascii="Arial" w:hAnsi="Arial" w:cs="Arial"/>
          <w:sz w:val="20"/>
          <w:u w:val="none"/>
        </w:rPr>
        <w:t xml:space="preserve"> the concern from </w:t>
      </w:r>
      <w:r w:rsidR="003360C4" w:rsidRPr="00F83BFF">
        <w:rPr>
          <w:rFonts w:ascii="Arial" w:hAnsi="Arial" w:cs="Arial"/>
          <w:sz w:val="20"/>
          <w:u w:val="none"/>
        </w:rPr>
        <w:t>som</w:t>
      </w:r>
      <w:r w:rsidR="008B0C2D" w:rsidRPr="00F83BFF">
        <w:rPr>
          <w:rFonts w:ascii="Arial" w:hAnsi="Arial" w:cs="Arial"/>
          <w:sz w:val="20"/>
          <w:u w:val="none"/>
        </w:rPr>
        <w:t>e</w:t>
      </w:r>
      <w:r w:rsidR="003360C4" w:rsidRPr="00F83BFF">
        <w:rPr>
          <w:rFonts w:ascii="Arial" w:hAnsi="Arial" w:cs="Arial"/>
          <w:sz w:val="20"/>
          <w:u w:val="none"/>
        </w:rPr>
        <w:t xml:space="preserve"> </w:t>
      </w:r>
      <w:r w:rsidRPr="00F83BFF">
        <w:rPr>
          <w:rFonts w:ascii="Arial" w:hAnsi="Arial" w:cs="Arial"/>
          <w:sz w:val="20"/>
          <w:u w:val="none"/>
        </w:rPr>
        <w:t xml:space="preserve">stakeholders that the 2022 MTBPS continues </w:t>
      </w:r>
      <w:r w:rsidR="00347C72" w:rsidRPr="00F83BFF">
        <w:rPr>
          <w:rFonts w:ascii="Arial" w:hAnsi="Arial" w:cs="Arial"/>
          <w:sz w:val="20"/>
          <w:u w:val="none"/>
        </w:rPr>
        <w:t>with the</w:t>
      </w:r>
      <w:r w:rsidRPr="00F83BFF">
        <w:rPr>
          <w:rFonts w:ascii="Arial" w:hAnsi="Arial" w:cs="Arial"/>
          <w:sz w:val="20"/>
          <w:u w:val="none"/>
        </w:rPr>
        <w:t xml:space="preserve"> aust</w:t>
      </w:r>
      <w:r w:rsidR="00347C72" w:rsidRPr="00F83BFF">
        <w:rPr>
          <w:rFonts w:ascii="Arial" w:hAnsi="Arial" w:cs="Arial"/>
          <w:sz w:val="20"/>
          <w:u w:val="none"/>
        </w:rPr>
        <w:t>erity started in the 2022 Budget</w:t>
      </w:r>
      <w:r w:rsidRPr="00F83BFF">
        <w:rPr>
          <w:rFonts w:ascii="Arial" w:hAnsi="Arial" w:cs="Arial"/>
          <w:sz w:val="20"/>
          <w:u w:val="none"/>
        </w:rPr>
        <w:t xml:space="preserve">. While </w:t>
      </w:r>
      <w:r w:rsidR="00157F76" w:rsidRPr="00F83BFF">
        <w:rPr>
          <w:rFonts w:ascii="Arial" w:hAnsi="Arial" w:cs="Arial"/>
          <w:sz w:val="20"/>
          <w:u w:val="none"/>
        </w:rPr>
        <w:t xml:space="preserve">the </w:t>
      </w:r>
      <w:r w:rsidRPr="00F83BFF">
        <w:rPr>
          <w:rFonts w:ascii="Arial" w:hAnsi="Arial" w:cs="Arial"/>
          <w:sz w:val="20"/>
          <w:u w:val="none"/>
        </w:rPr>
        <w:t>N</w:t>
      </w:r>
      <w:r w:rsidR="00157F76" w:rsidRPr="00F83BFF">
        <w:rPr>
          <w:rFonts w:ascii="Arial" w:hAnsi="Arial" w:cs="Arial"/>
          <w:sz w:val="20"/>
          <w:u w:val="none"/>
        </w:rPr>
        <w:t xml:space="preserve">ational </w:t>
      </w:r>
      <w:r w:rsidRPr="00F83BFF">
        <w:rPr>
          <w:rFonts w:ascii="Arial" w:hAnsi="Arial" w:cs="Arial"/>
          <w:sz w:val="20"/>
          <w:u w:val="none"/>
        </w:rPr>
        <w:t>T</w:t>
      </w:r>
      <w:r w:rsidR="00157F76" w:rsidRPr="00F83BFF">
        <w:rPr>
          <w:rFonts w:ascii="Arial" w:hAnsi="Arial" w:cs="Arial"/>
          <w:sz w:val="20"/>
          <w:u w:val="none"/>
        </w:rPr>
        <w:t>reasury</w:t>
      </w:r>
      <w:r w:rsidRPr="00F83BFF">
        <w:rPr>
          <w:rFonts w:ascii="Arial" w:hAnsi="Arial" w:cs="Arial"/>
          <w:sz w:val="20"/>
          <w:u w:val="none"/>
        </w:rPr>
        <w:t xml:space="preserve"> vehemently</w:t>
      </w:r>
      <w:r w:rsidR="00CA18E2" w:rsidRPr="00F83BFF">
        <w:rPr>
          <w:rFonts w:ascii="Arial" w:hAnsi="Arial" w:cs="Arial"/>
          <w:sz w:val="20"/>
          <w:u w:val="none"/>
        </w:rPr>
        <w:t xml:space="preserve"> rejects</w:t>
      </w:r>
      <w:r w:rsidR="00FB066F" w:rsidRPr="00F83BFF">
        <w:rPr>
          <w:rFonts w:ascii="Arial" w:hAnsi="Arial" w:cs="Arial"/>
          <w:sz w:val="20"/>
          <w:u w:val="none"/>
        </w:rPr>
        <w:t xml:space="preserve"> this view </w:t>
      </w:r>
      <w:r w:rsidRPr="00F83BFF">
        <w:rPr>
          <w:rFonts w:ascii="Arial" w:hAnsi="Arial" w:cs="Arial"/>
          <w:sz w:val="20"/>
          <w:u w:val="none"/>
        </w:rPr>
        <w:t>on the basis that there are no budget reductions</w:t>
      </w:r>
      <w:r w:rsidR="00FB066F" w:rsidRPr="00F83BFF">
        <w:rPr>
          <w:rFonts w:ascii="Arial" w:hAnsi="Arial" w:cs="Arial"/>
          <w:sz w:val="20"/>
          <w:u w:val="none"/>
        </w:rPr>
        <w:t xml:space="preserve"> over the</w:t>
      </w:r>
      <w:r w:rsidRPr="00F83BFF">
        <w:rPr>
          <w:rFonts w:ascii="Arial" w:hAnsi="Arial" w:cs="Arial"/>
          <w:sz w:val="20"/>
          <w:u w:val="none"/>
        </w:rPr>
        <w:t xml:space="preserve"> medium term, </w:t>
      </w:r>
      <w:r w:rsidR="00432F3A" w:rsidRPr="00F83BFF">
        <w:rPr>
          <w:rFonts w:ascii="Arial" w:hAnsi="Arial" w:cs="Arial"/>
          <w:sz w:val="20"/>
          <w:u w:val="none"/>
        </w:rPr>
        <w:t xml:space="preserve">and that there was </w:t>
      </w:r>
      <w:r w:rsidRPr="00F83BFF">
        <w:rPr>
          <w:rFonts w:ascii="Arial" w:hAnsi="Arial" w:cs="Arial"/>
          <w:sz w:val="20"/>
          <w:u w:val="none"/>
        </w:rPr>
        <w:t xml:space="preserve">additional spending allocated and government debt levels remain high, </w:t>
      </w:r>
      <w:r w:rsidR="00FB066F" w:rsidRPr="00F83BFF">
        <w:rPr>
          <w:rFonts w:ascii="Arial" w:hAnsi="Arial" w:cs="Arial"/>
          <w:sz w:val="20"/>
          <w:u w:val="none"/>
        </w:rPr>
        <w:t xml:space="preserve">the Committee recommends that </w:t>
      </w:r>
      <w:r w:rsidR="00BA1622" w:rsidRPr="00F83BFF">
        <w:rPr>
          <w:rFonts w:ascii="Arial" w:hAnsi="Arial" w:cs="Arial"/>
          <w:sz w:val="20"/>
          <w:u w:val="none"/>
        </w:rPr>
        <w:t xml:space="preserve">the </w:t>
      </w:r>
      <w:r w:rsidRPr="00F83BFF">
        <w:rPr>
          <w:rFonts w:ascii="Arial" w:hAnsi="Arial" w:cs="Arial"/>
          <w:sz w:val="20"/>
          <w:u w:val="none"/>
        </w:rPr>
        <w:t>N</w:t>
      </w:r>
      <w:r w:rsidR="00BA1622" w:rsidRPr="00F83BFF">
        <w:rPr>
          <w:rFonts w:ascii="Arial" w:hAnsi="Arial" w:cs="Arial"/>
          <w:sz w:val="20"/>
          <w:u w:val="none"/>
        </w:rPr>
        <w:t xml:space="preserve">ational </w:t>
      </w:r>
      <w:r w:rsidRPr="00F83BFF">
        <w:rPr>
          <w:rFonts w:ascii="Arial" w:hAnsi="Arial" w:cs="Arial"/>
          <w:sz w:val="20"/>
          <w:u w:val="none"/>
        </w:rPr>
        <w:t>T</w:t>
      </w:r>
      <w:r w:rsidR="00BA1622" w:rsidRPr="00F83BFF">
        <w:rPr>
          <w:rFonts w:ascii="Arial" w:hAnsi="Arial" w:cs="Arial"/>
          <w:sz w:val="20"/>
          <w:u w:val="none"/>
        </w:rPr>
        <w:t>reasury</w:t>
      </w:r>
      <w:r w:rsidRPr="00F83BFF">
        <w:rPr>
          <w:rFonts w:ascii="Arial" w:hAnsi="Arial" w:cs="Arial"/>
          <w:sz w:val="20"/>
          <w:u w:val="none"/>
        </w:rPr>
        <w:t xml:space="preserve"> consider</w:t>
      </w:r>
      <w:r w:rsidR="00BA1622" w:rsidRPr="00F83BFF">
        <w:rPr>
          <w:rFonts w:ascii="Arial" w:hAnsi="Arial" w:cs="Arial"/>
          <w:sz w:val="20"/>
          <w:u w:val="none"/>
        </w:rPr>
        <w:t>s</w:t>
      </w:r>
      <w:r w:rsidRPr="00F83BFF">
        <w:rPr>
          <w:rFonts w:ascii="Arial" w:hAnsi="Arial" w:cs="Arial"/>
          <w:sz w:val="20"/>
          <w:u w:val="none"/>
        </w:rPr>
        <w:t xml:space="preserve"> </w:t>
      </w:r>
      <w:r w:rsidR="00FB066F" w:rsidRPr="00F83BFF">
        <w:rPr>
          <w:rFonts w:ascii="Arial" w:hAnsi="Arial" w:cs="Arial"/>
          <w:sz w:val="20"/>
          <w:u w:val="none"/>
        </w:rPr>
        <w:t>some of the</w:t>
      </w:r>
      <w:r w:rsidR="00B160E8" w:rsidRPr="00F83BFF">
        <w:rPr>
          <w:rFonts w:ascii="Arial" w:hAnsi="Arial" w:cs="Arial"/>
          <w:sz w:val="20"/>
          <w:u w:val="none"/>
        </w:rPr>
        <w:t xml:space="preserve"> arguments</w:t>
      </w:r>
      <w:r w:rsidR="00FB066F" w:rsidRPr="00F83BFF">
        <w:rPr>
          <w:rFonts w:ascii="Arial" w:hAnsi="Arial" w:cs="Arial"/>
          <w:sz w:val="20"/>
          <w:u w:val="none"/>
        </w:rPr>
        <w:t xml:space="preserve"> raised </w:t>
      </w:r>
      <w:r w:rsidR="00B160E8" w:rsidRPr="00F83BFF">
        <w:rPr>
          <w:rFonts w:ascii="Arial" w:hAnsi="Arial" w:cs="Arial"/>
          <w:sz w:val="20"/>
          <w:u w:val="none"/>
        </w:rPr>
        <w:t xml:space="preserve">by </w:t>
      </w:r>
      <w:r w:rsidR="005E3E8D" w:rsidRPr="00F83BFF">
        <w:rPr>
          <w:rFonts w:ascii="Arial" w:hAnsi="Arial" w:cs="Arial"/>
          <w:sz w:val="20"/>
          <w:u w:val="none"/>
        </w:rPr>
        <w:t xml:space="preserve">these </w:t>
      </w:r>
      <w:r w:rsidR="00B160E8" w:rsidRPr="00F83BFF">
        <w:rPr>
          <w:rFonts w:ascii="Arial" w:hAnsi="Arial" w:cs="Arial"/>
          <w:sz w:val="20"/>
          <w:u w:val="none"/>
        </w:rPr>
        <w:t xml:space="preserve">stakeholders. </w:t>
      </w:r>
      <w:r w:rsidR="00BB0B79" w:rsidRPr="00F83BFF">
        <w:rPr>
          <w:rFonts w:ascii="Arial" w:hAnsi="Arial" w:cs="Arial"/>
          <w:sz w:val="20"/>
          <w:u w:val="none"/>
        </w:rPr>
        <w:t xml:space="preserve">The Committee understands the </w:t>
      </w:r>
      <w:r w:rsidR="00B72823" w:rsidRPr="00F83BFF">
        <w:rPr>
          <w:rFonts w:ascii="Arial" w:hAnsi="Arial" w:cs="Arial"/>
          <w:sz w:val="20"/>
          <w:u w:val="none"/>
        </w:rPr>
        <w:t xml:space="preserve">arguments </w:t>
      </w:r>
      <w:r w:rsidR="00CD6BF9" w:rsidRPr="00F83BFF">
        <w:rPr>
          <w:rFonts w:ascii="Arial" w:hAnsi="Arial" w:cs="Arial"/>
          <w:sz w:val="20"/>
          <w:u w:val="none"/>
        </w:rPr>
        <w:t xml:space="preserve">by stakeholders </w:t>
      </w:r>
      <w:r w:rsidR="00B72823" w:rsidRPr="00F83BFF">
        <w:rPr>
          <w:rFonts w:ascii="Arial" w:hAnsi="Arial" w:cs="Arial"/>
          <w:sz w:val="20"/>
          <w:u w:val="none"/>
        </w:rPr>
        <w:t xml:space="preserve">on </w:t>
      </w:r>
      <w:r w:rsidR="00BB0B79" w:rsidRPr="00F83BFF">
        <w:rPr>
          <w:rFonts w:ascii="Arial" w:hAnsi="Arial" w:cs="Arial"/>
          <w:sz w:val="20"/>
          <w:u w:val="none"/>
        </w:rPr>
        <w:t xml:space="preserve">austerity </w:t>
      </w:r>
      <w:r w:rsidR="000D6898" w:rsidRPr="00F83BFF">
        <w:rPr>
          <w:rFonts w:ascii="Arial" w:hAnsi="Arial" w:cs="Arial"/>
          <w:sz w:val="20"/>
          <w:u w:val="none"/>
        </w:rPr>
        <w:t>to be informed by the fiscal consolidation path</w:t>
      </w:r>
      <w:r w:rsidR="00C96FFB" w:rsidRPr="00F83BFF">
        <w:rPr>
          <w:rFonts w:ascii="Arial" w:hAnsi="Arial" w:cs="Arial"/>
          <w:sz w:val="20"/>
          <w:u w:val="none"/>
        </w:rPr>
        <w:t xml:space="preserve"> </w:t>
      </w:r>
      <w:r w:rsidR="002A004B" w:rsidRPr="00F83BFF">
        <w:rPr>
          <w:rFonts w:ascii="Arial" w:hAnsi="Arial" w:cs="Arial"/>
          <w:sz w:val="20"/>
          <w:u w:val="none"/>
        </w:rPr>
        <w:t xml:space="preserve">of government of the last few years as </w:t>
      </w:r>
      <w:r w:rsidR="00C96FFB" w:rsidRPr="00F83BFF">
        <w:rPr>
          <w:rFonts w:ascii="Arial" w:hAnsi="Arial" w:cs="Arial"/>
          <w:sz w:val="20"/>
          <w:u w:val="none"/>
        </w:rPr>
        <w:t xml:space="preserve">headlined by </w:t>
      </w:r>
      <w:r w:rsidR="00CF39D6" w:rsidRPr="00F83BFF">
        <w:rPr>
          <w:rFonts w:ascii="Arial" w:hAnsi="Arial" w:cs="Arial"/>
          <w:sz w:val="20"/>
          <w:u w:val="none"/>
        </w:rPr>
        <w:t>spending cuts or spending increases that are below inflation</w:t>
      </w:r>
      <w:r w:rsidR="00B61691" w:rsidRPr="00F83BFF">
        <w:rPr>
          <w:rFonts w:ascii="Arial" w:hAnsi="Arial" w:cs="Arial"/>
          <w:sz w:val="20"/>
          <w:u w:val="none"/>
        </w:rPr>
        <w:t xml:space="preserve">, with declining </w:t>
      </w:r>
      <w:r w:rsidR="00C96FFB" w:rsidRPr="00F83BFF">
        <w:rPr>
          <w:rFonts w:ascii="Arial" w:hAnsi="Arial" w:cs="Arial"/>
          <w:sz w:val="20"/>
          <w:u w:val="none"/>
        </w:rPr>
        <w:t xml:space="preserve">headcounts and </w:t>
      </w:r>
      <w:r w:rsidR="002E71A0" w:rsidRPr="00F83BFF">
        <w:rPr>
          <w:rFonts w:ascii="Arial" w:hAnsi="Arial" w:cs="Arial"/>
          <w:sz w:val="20"/>
          <w:u w:val="none"/>
        </w:rPr>
        <w:t>no credible measures to deal with the rising unemployment</w:t>
      </w:r>
      <w:r w:rsidR="00C96FFB" w:rsidRPr="00F83BFF">
        <w:rPr>
          <w:rFonts w:ascii="Arial" w:hAnsi="Arial" w:cs="Arial"/>
          <w:sz w:val="20"/>
          <w:u w:val="none"/>
        </w:rPr>
        <w:t>, poverty and inequality</w:t>
      </w:r>
      <w:r w:rsidR="00B61691" w:rsidRPr="00F83BFF">
        <w:rPr>
          <w:rFonts w:ascii="Arial" w:hAnsi="Arial" w:cs="Arial"/>
          <w:sz w:val="20"/>
          <w:u w:val="none"/>
        </w:rPr>
        <w:t xml:space="preserve">. </w:t>
      </w:r>
      <w:r w:rsidRPr="00F83BFF">
        <w:rPr>
          <w:rFonts w:ascii="Arial" w:hAnsi="Arial" w:cs="Arial"/>
          <w:sz w:val="20"/>
          <w:u w:val="none"/>
        </w:rPr>
        <w:t xml:space="preserve">The Committee recommends that </w:t>
      </w:r>
      <w:r w:rsidR="00175ACB" w:rsidRPr="00F83BFF">
        <w:rPr>
          <w:rFonts w:ascii="Arial" w:hAnsi="Arial" w:cs="Arial"/>
          <w:sz w:val="20"/>
          <w:u w:val="none"/>
        </w:rPr>
        <w:t xml:space="preserve">the </w:t>
      </w:r>
      <w:r w:rsidRPr="00F83BFF">
        <w:rPr>
          <w:rFonts w:ascii="Arial" w:hAnsi="Arial" w:cs="Arial"/>
          <w:sz w:val="20"/>
          <w:u w:val="none"/>
        </w:rPr>
        <w:t>N</w:t>
      </w:r>
      <w:r w:rsidR="00175ACB" w:rsidRPr="00F83BFF">
        <w:rPr>
          <w:rFonts w:ascii="Arial" w:hAnsi="Arial" w:cs="Arial"/>
          <w:sz w:val="20"/>
          <w:u w:val="none"/>
        </w:rPr>
        <w:t xml:space="preserve">ational </w:t>
      </w:r>
      <w:r w:rsidRPr="00F83BFF">
        <w:rPr>
          <w:rFonts w:ascii="Arial" w:hAnsi="Arial" w:cs="Arial"/>
          <w:sz w:val="20"/>
          <w:u w:val="none"/>
        </w:rPr>
        <w:t>T</w:t>
      </w:r>
      <w:r w:rsidR="00175ACB" w:rsidRPr="00F83BFF">
        <w:rPr>
          <w:rFonts w:ascii="Arial" w:hAnsi="Arial" w:cs="Arial"/>
          <w:sz w:val="20"/>
          <w:u w:val="none"/>
        </w:rPr>
        <w:t>reasury</w:t>
      </w:r>
      <w:r w:rsidRPr="00F83BFF">
        <w:rPr>
          <w:rFonts w:ascii="Arial" w:hAnsi="Arial" w:cs="Arial"/>
          <w:sz w:val="20"/>
          <w:u w:val="none"/>
        </w:rPr>
        <w:t xml:space="preserve"> should report </w:t>
      </w:r>
      <w:r w:rsidR="002016BC" w:rsidRPr="00F83BFF">
        <w:rPr>
          <w:rFonts w:ascii="Arial" w:hAnsi="Arial" w:cs="Arial"/>
          <w:sz w:val="20"/>
          <w:u w:val="none"/>
        </w:rPr>
        <w:t xml:space="preserve">to the Committee </w:t>
      </w:r>
      <w:r w:rsidRPr="00F83BFF">
        <w:rPr>
          <w:rFonts w:ascii="Arial" w:hAnsi="Arial" w:cs="Arial"/>
          <w:sz w:val="20"/>
          <w:u w:val="none"/>
        </w:rPr>
        <w:t xml:space="preserve">the extent to which the </w:t>
      </w:r>
      <w:r w:rsidR="002016BC" w:rsidRPr="00F83BFF">
        <w:rPr>
          <w:rFonts w:ascii="Arial" w:hAnsi="Arial" w:cs="Arial"/>
          <w:sz w:val="20"/>
          <w:u w:val="none"/>
        </w:rPr>
        <w:t xml:space="preserve">previously adopted </w:t>
      </w:r>
      <w:r w:rsidRPr="00F83BFF">
        <w:rPr>
          <w:rFonts w:ascii="Arial" w:hAnsi="Arial" w:cs="Arial"/>
          <w:sz w:val="20"/>
          <w:u w:val="none"/>
        </w:rPr>
        <w:t>countercyclical fiscal policy and fiscal consolidation have been effective</w:t>
      </w:r>
      <w:r w:rsidR="00EB671D" w:rsidRPr="00F83BFF">
        <w:rPr>
          <w:rFonts w:ascii="Arial" w:hAnsi="Arial" w:cs="Arial"/>
          <w:sz w:val="20"/>
          <w:u w:val="none"/>
        </w:rPr>
        <w:t xml:space="preserve"> in stabilising the fiscal framework</w:t>
      </w:r>
      <w:r w:rsidRPr="00F83BFF">
        <w:rPr>
          <w:rFonts w:ascii="Arial" w:hAnsi="Arial" w:cs="Arial"/>
          <w:sz w:val="20"/>
          <w:u w:val="none"/>
        </w:rPr>
        <w:t xml:space="preserve">. </w:t>
      </w:r>
      <w:r w:rsidR="00785AE3" w:rsidRPr="00F83BFF">
        <w:rPr>
          <w:rFonts w:ascii="Arial" w:hAnsi="Arial" w:cs="Arial"/>
          <w:sz w:val="20"/>
          <w:u w:val="none"/>
        </w:rPr>
        <w:t xml:space="preserve">The Committee </w:t>
      </w:r>
      <w:r w:rsidR="00855C22" w:rsidRPr="00F83BFF">
        <w:rPr>
          <w:rFonts w:ascii="Arial" w:hAnsi="Arial" w:cs="Arial"/>
          <w:sz w:val="20"/>
          <w:u w:val="none"/>
        </w:rPr>
        <w:t>welcomes</w:t>
      </w:r>
      <w:r w:rsidR="00785AE3" w:rsidRPr="00F83BFF">
        <w:rPr>
          <w:rFonts w:ascii="Arial" w:hAnsi="Arial" w:cs="Arial"/>
          <w:sz w:val="20"/>
          <w:u w:val="none"/>
        </w:rPr>
        <w:t xml:space="preserve"> that the 2023/24 financial year is </w:t>
      </w:r>
      <w:r w:rsidR="00785AE3" w:rsidRPr="00F83BFF">
        <w:rPr>
          <w:rFonts w:ascii="Arial" w:hAnsi="Arial" w:cs="Arial"/>
          <w:sz w:val="20"/>
          <w:u w:val="none"/>
          <w:lang w:val="en-ZA"/>
        </w:rPr>
        <w:t>the final year of the fiscal consolidation announced in the 2020 MTBPS. </w:t>
      </w:r>
      <w:r w:rsidR="001B63F2" w:rsidRPr="00F83BFF">
        <w:rPr>
          <w:rFonts w:ascii="Arial" w:hAnsi="Arial" w:cs="Arial"/>
          <w:sz w:val="20"/>
          <w:u w:val="none"/>
          <w:lang w:val="en-ZA"/>
        </w:rPr>
        <w:t xml:space="preserve">We also welcome that </w:t>
      </w:r>
      <w:r w:rsidR="00855C22" w:rsidRPr="00F83BFF">
        <w:rPr>
          <w:rFonts w:ascii="Arial" w:hAnsi="Arial" w:cs="Arial"/>
          <w:sz w:val="20"/>
          <w:u w:val="none"/>
          <w:lang w:val="en-ZA"/>
        </w:rPr>
        <w:t xml:space="preserve">the </w:t>
      </w:r>
      <w:r w:rsidR="00785AE3" w:rsidRPr="00F83BFF">
        <w:rPr>
          <w:rFonts w:ascii="Arial" w:hAnsi="Arial" w:cs="Arial"/>
          <w:sz w:val="20"/>
          <w:u w:val="none"/>
          <w:lang w:val="en-ZA"/>
        </w:rPr>
        <w:t>2022 MTBPS does not include any new budget reductions.</w:t>
      </w:r>
    </w:p>
    <w:p w:rsidR="00761025" w:rsidRPr="00F83BFF" w:rsidRDefault="0009364A" w:rsidP="00F83BFF">
      <w:pPr>
        <w:pStyle w:val="Heading3"/>
        <w:spacing w:before="0" w:line="240" w:lineRule="auto"/>
        <w:rPr>
          <w:rFonts w:ascii="Arial" w:hAnsi="Arial" w:cs="Arial"/>
          <w:sz w:val="20"/>
          <w:u w:val="none"/>
        </w:rPr>
      </w:pPr>
      <w:r w:rsidRPr="00F83BFF">
        <w:rPr>
          <w:rFonts w:ascii="Arial" w:hAnsi="Arial" w:cs="Arial"/>
          <w:sz w:val="20"/>
          <w:u w:val="none"/>
        </w:rPr>
        <w:t xml:space="preserve">While NT is adamant that the 2022 MTBPS, and the Budget in general, is pro-poor, more and more people are unemployed and are trapped in poverty and inequality. The MTBPS itself reported that 2.3 million people lost their jobs during the Covid-19 pandemic. The 2022 Second Quarterly Labour Force Survey from Statistics South Africa also shows that the number of </w:t>
      </w:r>
      <w:r w:rsidR="00B96030" w:rsidRPr="00F83BFF">
        <w:rPr>
          <w:rFonts w:ascii="Arial" w:hAnsi="Arial" w:cs="Arial"/>
          <w:sz w:val="20"/>
          <w:u w:val="none"/>
        </w:rPr>
        <w:t>un</w:t>
      </w:r>
      <w:r w:rsidRPr="00F83BFF">
        <w:rPr>
          <w:rFonts w:ascii="Arial" w:hAnsi="Arial" w:cs="Arial"/>
          <w:sz w:val="20"/>
          <w:u w:val="none"/>
        </w:rPr>
        <w:t xml:space="preserve">employed persons increased by 684 000 to 15.6 million in that quarter, leading to a rate of unemployment being measured at 33.9 per cent </w:t>
      </w:r>
      <w:r w:rsidR="0051500B" w:rsidRPr="00F83BFF">
        <w:rPr>
          <w:rFonts w:ascii="Arial" w:hAnsi="Arial" w:cs="Arial"/>
          <w:sz w:val="20"/>
          <w:u w:val="none"/>
        </w:rPr>
        <w:t>(or over 4</w:t>
      </w:r>
      <w:r w:rsidR="008B0C2D" w:rsidRPr="00F83BFF">
        <w:rPr>
          <w:rFonts w:ascii="Arial" w:hAnsi="Arial" w:cs="Arial"/>
          <w:sz w:val="20"/>
          <w:u w:val="none"/>
        </w:rPr>
        <w:t>4</w:t>
      </w:r>
      <w:r w:rsidR="0051500B" w:rsidRPr="00F83BFF">
        <w:rPr>
          <w:rFonts w:ascii="Arial" w:hAnsi="Arial" w:cs="Arial"/>
          <w:sz w:val="20"/>
          <w:u w:val="none"/>
        </w:rPr>
        <w:t xml:space="preserve"> per cent on the </w:t>
      </w:r>
      <w:r w:rsidR="001F68DA" w:rsidRPr="00F83BFF">
        <w:rPr>
          <w:rFonts w:ascii="Arial" w:hAnsi="Arial" w:cs="Arial"/>
          <w:sz w:val="20"/>
          <w:u w:val="none"/>
        </w:rPr>
        <w:t xml:space="preserve">expanded unemployment definition) </w:t>
      </w:r>
      <w:r w:rsidRPr="00F83BFF">
        <w:rPr>
          <w:rFonts w:ascii="Arial" w:hAnsi="Arial" w:cs="Arial"/>
          <w:sz w:val="20"/>
          <w:u w:val="none"/>
        </w:rPr>
        <w:t>or 8 million persons</w:t>
      </w:r>
      <w:r w:rsidR="008B0C2D" w:rsidRPr="00F83BFF">
        <w:rPr>
          <w:rFonts w:ascii="Arial" w:hAnsi="Arial" w:cs="Arial"/>
          <w:sz w:val="20"/>
          <w:u w:val="none"/>
        </w:rPr>
        <w:t xml:space="preserve"> (or over 12 million on the expanded definition)</w:t>
      </w:r>
      <w:r w:rsidRPr="00F83BFF">
        <w:rPr>
          <w:rFonts w:ascii="Arial" w:hAnsi="Arial" w:cs="Arial"/>
          <w:sz w:val="20"/>
          <w:u w:val="none"/>
        </w:rPr>
        <w:t>. The Committee remains extremely concerned about this</w:t>
      </w:r>
      <w:r w:rsidR="005E3E8D" w:rsidRPr="00F83BFF">
        <w:rPr>
          <w:rFonts w:ascii="Arial" w:hAnsi="Arial" w:cs="Arial"/>
          <w:sz w:val="20"/>
          <w:u w:val="none"/>
        </w:rPr>
        <w:t>,</w:t>
      </w:r>
      <w:r w:rsidRPr="00F83BFF">
        <w:rPr>
          <w:rFonts w:ascii="Arial" w:hAnsi="Arial" w:cs="Arial"/>
          <w:sz w:val="20"/>
          <w:u w:val="none"/>
        </w:rPr>
        <w:t xml:space="preserve"> especially in the light of an economic growth rate that is too low to address poverty</w:t>
      </w:r>
      <w:r w:rsidR="00761025" w:rsidRPr="00F83BFF">
        <w:rPr>
          <w:rFonts w:ascii="Arial" w:hAnsi="Arial" w:cs="Arial"/>
          <w:sz w:val="20"/>
          <w:u w:val="none"/>
        </w:rPr>
        <w:t>, inequality</w:t>
      </w:r>
      <w:r w:rsidRPr="00F83BFF">
        <w:rPr>
          <w:rFonts w:ascii="Arial" w:hAnsi="Arial" w:cs="Arial"/>
          <w:sz w:val="20"/>
          <w:u w:val="none"/>
        </w:rPr>
        <w:t xml:space="preserve"> and unemployment challenges.</w:t>
      </w:r>
      <w:r w:rsidR="00761025" w:rsidRPr="00F83BFF">
        <w:rPr>
          <w:rFonts w:ascii="Arial" w:hAnsi="Arial" w:cs="Arial"/>
          <w:sz w:val="20"/>
          <w:u w:val="none"/>
        </w:rPr>
        <w:t xml:space="preserve"> The Committee recommends that the Budget should consider </w:t>
      </w:r>
      <w:r w:rsidR="005E3E8D" w:rsidRPr="00F83BFF">
        <w:rPr>
          <w:rFonts w:ascii="Arial" w:hAnsi="Arial" w:cs="Arial"/>
          <w:sz w:val="20"/>
          <w:u w:val="none"/>
        </w:rPr>
        <w:t xml:space="preserve">far more </w:t>
      </w:r>
      <w:r w:rsidR="00761025" w:rsidRPr="00F83BFF">
        <w:rPr>
          <w:rFonts w:ascii="Arial" w:hAnsi="Arial" w:cs="Arial"/>
          <w:sz w:val="20"/>
          <w:u w:val="none"/>
        </w:rPr>
        <w:t xml:space="preserve">the impact of the high cost of living on the economy, particularly on the poor households. </w:t>
      </w:r>
    </w:p>
    <w:p w:rsidR="0009364A" w:rsidRPr="00F83BFF" w:rsidRDefault="006058C1"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t>T</w:t>
      </w:r>
      <w:r w:rsidRPr="00F83BFF">
        <w:rPr>
          <w:rFonts w:ascii="Arial" w:hAnsi="Arial" w:cs="Arial"/>
          <w:sz w:val="20"/>
          <w:u w:val="none"/>
        </w:rPr>
        <w:t xml:space="preserve">he Committee notes the submissions made by the stakeholders regarding increasing </w:t>
      </w:r>
      <w:r w:rsidR="00B51936" w:rsidRPr="00F83BFF">
        <w:rPr>
          <w:rFonts w:ascii="Arial" w:hAnsi="Arial" w:cs="Arial"/>
          <w:sz w:val="20"/>
          <w:u w:val="none"/>
        </w:rPr>
        <w:t xml:space="preserve">the </w:t>
      </w:r>
      <w:r w:rsidRPr="00F83BFF">
        <w:rPr>
          <w:rFonts w:ascii="Arial" w:hAnsi="Arial" w:cs="Arial"/>
          <w:sz w:val="20"/>
          <w:u w:val="none"/>
          <w:lang w:val="en-US"/>
        </w:rPr>
        <w:t>social grants</w:t>
      </w:r>
      <w:r w:rsidR="00151F2D" w:rsidRPr="00F83BFF">
        <w:rPr>
          <w:rFonts w:ascii="Arial" w:hAnsi="Arial" w:cs="Arial"/>
          <w:sz w:val="20"/>
          <w:u w:val="none"/>
          <w:lang w:val="en-US"/>
        </w:rPr>
        <w:t xml:space="preserve"> and is sympathetic </w:t>
      </w:r>
      <w:r w:rsidR="00B51936" w:rsidRPr="00F83BFF">
        <w:rPr>
          <w:rFonts w:ascii="Arial" w:hAnsi="Arial" w:cs="Arial"/>
          <w:sz w:val="20"/>
          <w:u w:val="none"/>
          <w:lang w:val="en-US"/>
        </w:rPr>
        <w:t>to</w:t>
      </w:r>
      <w:r w:rsidR="00151F2D" w:rsidRPr="00F83BFF">
        <w:rPr>
          <w:rFonts w:ascii="Arial" w:hAnsi="Arial" w:cs="Arial"/>
          <w:sz w:val="20"/>
          <w:u w:val="none"/>
          <w:lang w:val="en-US"/>
        </w:rPr>
        <w:t xml:space="preserve"> them</w:t>
      </w:r>
      <w:r w:rsidRPr="00F83BFF">
        <w:rPr>
          <w:rFonts w:ascii="Arial" w:hAnsi="Arial" w:cs="Arial"/>
          <w:sz w:val="20"/>
          <w:u w:val="none"/>
          <w:lang w:val="en-US"/>
        </w:rPr>
        <w:t xml:space="preserve">. </w:t>
      </w:r>
      <w:r w:rsidR="00E612E8" w:rsidRPr="00F83BFF">
        <w:rPr>
          <w:rFonts w:ascii="Arial" w:hAnsi="Arial" w:cs="Arial"/>
          <w:sz w:val="20"/>
          <w:u w:val="none"/>
          <w:lang w:val="en-US"/>
        </w:rPr>
        <w:t xml:space="preserve">The Committee </w:t>
      </w:r>
      <w:r w:rsidR="009929C3" w:rsidRPr="00F83BFF">
        <w:rPr>
          <w:rFonts w:ascii="Arial" w:hAnsi="Arial" w:cs="Arial"/>
          <w:sz w:val="20"/>
          <w:u w:val="none"/>
          <w:lang w:val="en-US"/>
        </w:rPr>
        <w:t xml:space="preserve">also </w:t>
      </w:r>
      <w:r w:rsidR="00E612E8" w:rsidRPr="00F83BFF">
        <w:rPr>
          <w:rFonts w:ascii="Arial" w:hAnsi="Arial" w:cs="Arial"/>
          <w:sz w:val="20"/>
          <w:u w:val="none"/>
          <w:lang w:val="en-US"/>
        </w:rPr>
        <w:t xml:space="preserve">welcomes the extension of the SRD grant </w:t>
      </w:r>
      <w:r w:rsidR="00A45130" w:rsidRPr="00F83BFF">
        <w:rPr>
          <w:rFonts w:ascii="Arial" w:hAnsi="Arial" w:cs="Arial"/>
          <w:sz w:val="20"/>
          <w:u w:val="none"/>
          <w:lang w:val="en-US"/>
        </w:rPr>
        <w:t xml:space="preserve">by another year. </w:t>
      </w:r>
      <w:r w:rsidR="005E3E8D" w:rsidRPr="00F83BFF">
        <w:rPr>
          <w:rFonts w:ascii="Arial" w:hAnsi="Arial" w:cs="Arial"/>
          <w:sz w:val="20"/>
          <w:u w:val="none"/>
          <w:lang w:val="en-US"/>
        </w:rPr>
        <w:t>Given the consequences of Covid-19, the July 2021 social unrest, the KZN floods</w:t>
      </w:r>
      <w:r w:rsidR="00C37AB1" w:rsidRPr="00F83BFF">
        <w:rPr>
          <w:rFonts w:ascii="Arial" w:hAnsi="Arial" w:cs="Arial"/>
          <w:sz w:val="20"/>
          <w:u w:val="none"/>
          <w:lang w:val="en-US"/>
        </w:rPr>
        <w:t xml:space="preserve"> and the increased</w:t>
      </w:r>
      <w:r w:rsidRPr="00F83BFF">
        <w:rPr>
          <w:rFonts w:ascii="Arial" w:hAnsi="Arial" w:cs="Arial"/>
          <w:sz w:val="20"/>
          <w:u w:val="none"/>
          <w:lang w:val="en-US"/>
        </w:rPr>
        <w:t xml:space="preserve"> poverty, inequality and </w:t>
      </w:r>
      <w:r w:rsidR="00C37AB1" w:rsidRPr="00F83BFF">
        <w:rPr>
          <w:rFonts w:ascii="Arial" w:hAnsi="Arial" w:cs="Arial"/>
          <w:sz w:val="20"/>
          <w:u w:val="none"/>
          <w:lang w:val="en-US"/>
        </w:rPr>
        <w:t xml:space="preserve">job losses, the unemployed and </w:t>
      </w:r>
      <w:r w:rsidRPr="00F83BFF">
        <w:rPr>
          <w:rFonts w:ascii="Arial" w:hAnsi="Arial" w:cs="Arial"/>
          <w:sz w:val="20"/>
          <w:u w:val="none"/>
          <w:lang w:val="en-US"/>
        </w:rPr>
        <w:t>poor need to be cushioned</w:t>
      </w:r>
      <w:r w:rsidR="009929C3" w:rsidRPr="00F83BFF">
        <w:rPr>
          <w:rFonts w:ascii="Arial" w:hAnsi="Arial" w:cs="Arial"/>
          <w:sz w:val="20"/>
          <w:u w:val="none"/>
          <w:lang w:val="en-US"/>
        </w:rPr>
        <w:t xml:space="preserve"> more</w:t>
      </w:r>
      <w:r w:rsidRPr="00F83BFF">
        <w:rPr>
          <w:rFonts w:ascii="Arial" w:hAnsi="Arial" w:cs="Arial"/>
          <w:sz w:val="20"/>
          <w:u w:val="none"/>
          <w:lang w:val="en-US"/>
        </w:rPr>
        <w:t>. The Committee reiterates its previous position that the N</w:t>
      </w:r>
      <w:r w:rsidR="009929C3" w:rsidRPr="00F83BFF">
        <w:rPr>
          <w:rFonts w:ascii="Arial" w:hAnsi="Arial" w:cs="Arial"/>
          <w:sz w:val="20"/>
          <w:u w:val="none"/>
          <w:lang w:val="en-US"/>
        </w:rPr>
        <w:t xml:space="preserve">ational </w:t>
      </w:r>
      <w:r w:rsidRPr="00F83BFF">
        <w:rPr>
          <w:rFonts w:ascii="Arial" w:hAnsi="Arial" w:cs="Arial"/>
          <w:sz w:val="20"/>
          <w:u w:val="none"/>
          <w:lang w:val="en-US"/>
        </w:rPr>
        <w:t>T</w:t>
      </w:r>
      <w:r w:rsidR="009929C3" w:rsidRPr="00F83BFF">
        <w:rPr>
          <w:rFonts w:ascii="Arial" w:hAnsi="Arial" w:cs="Arial"/>
          <w:sz w:val="20"/>
          <w:u w:val="none"/>
          <w:lang w:val="en-US"/>
        </w:rPr>
        <w:t>reasury</w:t>
      </w:r>
      <w:r w:rsidRPr="00F83BFF">
        <w:rPr>
          <w:rFonts w:ascii="Arial" w:hAnsi="Arial" w:cs="Arial"/>
          <w:sz w:val="20"/>
          <w:u w:val="none"/>
          <w:lang w:val="en-US"/>
        </w:rPr>
        <w:t xml:space="preserve"> and government should seriously consider a Basic Income Grant</w:t>
      </w:r>
      <w:r w:rsidR="00D15DBA" w:rsidRPr="00F83BFF">
        <w:rPr>
          <w:rFonts w:ascii="Arial" w:hAnsi="Arial" w:cs="Arial"/>
          <w:sz w:val="20"/>
          <w:u w:val="none"/>
          <w:lang w:val="en-US"/>
        </w:rPr>
        <w:t xml:space="preserve"> (BIG)</w:t>
      </w:r>
      <w:r w:rsidR="00C37AB1" w:rsidRPr="00F83BFF">
        <w:rPr>
          <w:rFonts w:ascii="Arial" w:hAnsi="Arial" w:cs="Arial"/>
          <w:sz w:val="20"/>
          <w:u w:val="none"/>
          <w:lang w:val="en-US"/>
        </w:rPr>
        <w:t xml:space="preserve">. The Committee’s views </w:t>
      </w:r>
      <w:r w:rsidR="00405A87" w:rsidRPr="00F83BFF">
        <w:rPr>
          <w:rFonts w:ascii="Arial" w:hAnsi="Arial" w:cs="Arial"/>
          <w:sz w:val="20"/>
          <w:u w:val="none"/>
          <w:lang w:val="en-US"/>
        </w:rPr>
        <w:t xml:space="preserve">on this are not unrealistic or populist. The Committee </w:t>
      </w:r>
      <w:r w:rsidR="00C37AB1" w:rsidRPr="00F83BFF">
        <w:rPr>
          <w:rFonts w:ascii="Arial" w:hAnsi="Arial" w:cs="Arial"/>
          <w:sz w:val="20"/>
          <w:u w:val="none"/>
          <w:lang w:val="en-US"/>
        </w:rPr>
        <w:t xml:space="preserve">is acutely aware of the severe constraints on the budget and the reduced fiscal space, and </w:t>
      </w:r>
      <w:r w:rsidR="00405A87" w:rsidRPr="00F83BFF">
        <w:rPr>
          <w:rFonts w:ascii="Arial" w:hAnsi="Arial" w:cs="Arial"/>
          <w:sz w:val="20"/>
          <w:u w:val="none"/>
          <w:lang w:val="en-US"/>
        </w:rPr>
        <w:t xml:space="preserve">the huge cost that the </w:t>
      </w:r>
      <w:r w:rsidR="00360996" w:rsidRPr="00F83BFF">
        <w:rPr>
          <w:rFonts w:ascii="Arial" w:hAnsi="Arial" w:cs="Arial"/>
          <w:sz w:val="20"/>
          <w:u w:val="none"/>
          <w:lang w:val="en-US"/>
        </w:rPr>
        <w:t>S</w:t>
      </w:r>
      <w:r w:rsidR="00405A87" w:rsidRPr="00F83BFF">
        <w:rPr>
          <w:rFonts w:ascii="Arial" w:hAnsi="Arial" w:cs="Arial"/>
          <w:sz w:val="20"/>
          <w:u w:val="none"/>
          <w:lang w:val="en-US"/>
        </w:rPr>
        <w:t xml:space="preserve">tate will have to bear. But given the conditions in the country at present and the limited growth rates and job-creation, not to provide a BIG </w:t>
      </w:r>
      <w:r w:rsidR="00B96030" w:rsidRPr="00F83BFF">
        <w:rPr>
          <w:rFonts w:ascii="Arial" w:hAnsi="Arial" w:cs="Arial"/>
          <w:sz w:val="20"/>
          <w:u w:val="none"/>
          <w:lang w:val="en-US"/>
        </w:rPr>
        <w:t>could</w:t>
      </w:r>
      <w:r w:rsidR="00405A87" w:rsidRPr="00F83BFF">
        <w:rPr>
          <w:rFonts w:ascii="Arial" w:hAnsi="Arial" w:cs="Arial"/>
          <w:sz w:val="20"/>
          <w:u w:val="none"/>
          <w:lang w:val="en-US"/>
        </w:rPr>
        <w:t xml:space="preserve"> lead to social consequences that will cost the </w:t>
      </w:r>
      <w:r w:rsidR="00360996" w:rsidRPr="00F83BFF">
        <w:rPr>
          <w:rFonts w:ascii="Arial" w:hAnsi="Arial" w:cs="Arial"/>
          <w:sz w:val="20"/>
          <w:u w:val="none"/>
          <w:lang w:val="en-US"/>
        </w:rPr>
        <w:t>S</w:t>
      </w:r>
      <w:r w:rsidR="00405A87" w:rsidRPr="00F83BFF">
        <w:rPr>
          <w:rFonts w:ascii="Arial" w:hAnsi="Arial" w:cs="Arial"/>
          <w:sz w:val="20"/>
          <w:u w:val="none"/>
          <w:lang w:val="en-US"/>
        </w:rPr>
        <w:t xml:space="preserve">tate and </w:t>
      </w:r>
      <w:r w:rsidR="00B96030" w:rsidRPr="00F83BFF">
        <w:rPr>
          <w:rFonts w:ascii="Arial" w:hAnsi="Arial" w:cs="Arial"/>
          <w:sz w:val="20"/>
          <w:u w:val="none"/>
          <w:lang w:val="en-US"/>
        </w:rPr>
        <w:t>society</w:t>
      </w:r>
      <w:r w:rsidR="00405A87" w:rsidRPr="00F83BFF">
        <w:rPr>
          <w:rFonts w:ascii="Arial" w:hAnsi="Arial" w:cs="Arial"/>
          <w:sz w:val="20"/>
          <w:u w:val="none"/>
          <w:lang w:val="en-US"/>
        </w:rPr>
        <w:t xml:space="preserve"> far more. The BIG can be introduced in an incremental, measured way that takes into account the limited fiscal space. The necessary </w:t>
      </w:r>
      <w:r w:rsidR="008C6D79" w:rsidRPr="00F83BFF">
        <w:rPr>
          <w:rFonts w:ascii="Arial" w:hAnsi="Arial" w:cs="Arial"/>
          <w:sz w:val="20"/>
          <w:u w:val="none"/>
          <w:lang w:val="en-US"/>
        </w:rPr>
        <w:t>trade-offs</w:t>
      </w:r>
      <w:r w:rsidR="00397185" w:rsidRPr="00F83BFF">
        <w:rPr>
          <w:rFonts w:ascii="Arial" w:hAnsi="Arial" w:cs="Arial"/>
          <w:sz w:val="20"/>
          <w:u w:val="none"/>
          <w:lang w:val="en-US"/>
        </w:rPr>
        <w:t xml:space="preserve"> </w:t>
      </w:r>
      <w:r w:rsidR="00405A87" w:rsidRPr="00F83BFF">
        <w:rPr>
          <w:rFonts w:ascii="Arial" w:hAnsi="Arial" w:cs="Arial"/>
          <w:sz w:val="20"/>
          <w:u w:val="none"/>
          <w:lang w:val="en-US"/>
        </w:rPr>
        <w:t xml:space="preserve">will have to be made. </w:t>
      </w:r>
      <w:r w:rsidRPr="00F83BFF">
        <w:rPr>
          <w:rFonts w:ascii="Arial" w:hAnsi="Arial" w:cs="Arial"/>
          <w:sz w:val="20"/>
          <w:u w:val="none"/>
          <w:lang w:val="en-US"/>
        </w:rPr>
        <w:t xml:space="preserve"> </w:t>
      </w:r>
      <w:r w:rsidR="00405A87" w:rsidRPr="00F83BFF">
        <w:rPr>
          <w:rFonts w:ascii="Arial" w:hAnsi="Arial" w:cs="Arial"/>
          <w:sz w:val="20"/>
          <w:u w:val="none"/>
          <w:lang w:val="en-US"/>
        </w:rPr>
        <w:t>T</w:t>
      </w:r>
      <w:r w:rsidRPr="00F83BFF">
        <w:rPr>
          <w:rFonts w:ascii="Arial" w:hAnsi="Arial" w:cs="Arial"/>
          <w:sz w:val="20"/>
          <w:u w:val="none"/>
          <w:lang w:val="en-US"/>
        </w:rPr>
        <w:t>he tax proposals made by various stakeholders</w:t>
      </w:r>
      <w:r w:rsidR="00E612E8" w:rsidRPr="00F83BFF">
        <w:rPr>
          <w:rFonts w:ascii="Arial" w:hAnsi="Arial" w:cs="Arial"/>
          <w:sz w:val="20"/>
          <w:u w:val="none"/>
          <w:lang w:val="en-US"/>
        </w:rPr>
        <w:t xml:space="preserve"> in the hearings</w:t>
      </w:r>
      <w:r w:rsidR="00405A87" w:rsidRPr="00F83BFF">
        <w:rPr>
          <w:rFonts w:ascii="Arial" w:hAnsi="Arial" w:cs="Arial"/>
          <w:sz w:val="20"/>
          <w:u w:val="none"/>
          <w:lang w:val="en-US"/>
        </w:rPr>
        <w:t xml:space="preserve"> on the funding of the </w:t>
      </w:r>
      <w:r w:rsidR="00405A87" w:rsidRPr="00F83BFF">
        <w:rPr>
          <w:rFonts w:ascii="Arial" w:hAnsi="Arial" w:cs="Arial"/>
          <w:sz w:val="20"/>
          <w:u w:val="none"/>
          <w:lang w:val="en-US"/>
        </w:rPr>
        <w:lastRenderedPageBreak/>
        <w:t xml:space="preserve">BIG also need to be </w:t>
      </w:r>
      <w:r w:rsidR="00B96030" w:rsidRPr="00F83BFF">
        <w:rPr>
          <w:rFonts w:ascii="Arial" w:hAnsi="Arial" w:cs="Arial"/>
          <w:sz w:val="20"/>
          <w:u w:val="none"/>
          <w:lang w:val="en-US"/>
        </w:rPr>
        <w:t>considered</w:t>
      </w:r>
      <w:r w:rsidR="00405A87" w:rsidRPr="00F83BFF">
        <w:rPr>
          <w:rFonts w:ascii="Arial" w:hAnsi="Arial" w:cs="Arial"/>
          <w:sz w:val="20"/>
          <w:u w:val="none"/>
          <w:lang w:val="en-US"/>
        </w:rPr>
        <w:t xml:space="preserve">. </w:t>
      </w:r>
      <w:r w:rsidR="00C37AB1" w:rsidRPr="00F83BFF">
        <w:rPr>
          <w:rFonts w:ascii="Arial" w:hAnsi="Arial" w:cs="Arial"/>
          <w:sz w:val="20"/>
          <w:u w:val="none"/>
          <w:lang w:val="en-US"/>
        </w:rPr>
        <w:t xml:space="preserve">The Committee will raise this with the Appropriations Committee to consider taking further. </w:t>
      </w:r>
    </w:p>
    <w:p w:rsidR="00307DEE" w:rsidRPr="00F83BFF" w:rsidRDefault="008D3BB7" w:rsidP="00F83BFF">
      <w:pPr>
        <w:pStyle w:val="Heading3"/>
        <w:spacing w:before="0" w:line="240" w:lineRule="auto"/>
        <w:rPr>
          <w:rFonts w:ascii="Arial" w:hAnsi="Arial" w:cs="Arial"/>
          <w:sz w:val="20"/>
          <w:u w:val="none"/>
          <w:lang w:val="en-US"/>
        </w:rPr>
      </w:pPr>
      <w:r w:rsidRPr="00F83BFF">
        <w:rPr>
          <w:rFonts w:ascii="Arial" w:hAnsi="Arial" w:cs="Arial"/>
          <w:sz w:val="20"/>
          <w:u w:val="none"/>
        </w:rPr>
        <w:t xml:space="preserve">The Committee notes that </w:t>
      </w:r>
      <w:r w:rsidR="004F40A4" w:rsidRPr="00F83BFF">
        <w:rPr>
          <w:rFonts w:ascii="Arial" w:hAnsi="Arial" w:cs="Arial"/>
          <w:sz w:val="20"/>
          <w:u w:val="none"/>
        </w:rPr>
        <w:t>the social wage</w:t>
      </w:r>
      <w:r w:rsidR="00360996" w:rsidRPr="00F83BFF">
        <w:rPr>
          <w:rFonts w:ascii="Arial" w:hAnsi="Arial" w:cs="Arial"/>
          <w:sz w:val="20"/>
          <w:u w:val="none"/>
        </w:rPr>
        <w:t xml:space="preserve"> </w:t>
      </w:r>
      <w:r w:rsidR="004F40A4" w:rsidRPr="00F83BFF">
        <w:rPr>
          <w:rFonts w:ascii="Arial" w:hAnsi="Arial" w:cs="Arial"/>
          <w:sz w:val="20"/>
          <w:u w:val="none"/>
        </w:rPr>
        <w:t>- which is the combined spending on health, education, housing, social protection, employment programmes and local amenities</w:t>
      </w:r>
      <w:r w:rsidR="00283DC1" w:rsidRPr="00F83BFF">
        <w:rPr>
          <w:rFonts w:ascii="Arial" w:hAnsi="Arial" w:cs="Arial"/>
          <w:sz w:val="20"/>
          <w:u w:val="none"/>
        </w:rPr>
        <w:t xml:space="preserve">- is protected in the revised and proposed fiscal framework. </w:t>
      </w:r>
      <w:r w:rsidR="006478DB" w:rsidRPr="00F83BFF">
        <w:rPr>
          <w:rFonts w:ascii="Arial" w:hAnsi="Arial" w:cs="Arial"/>
          <w:sz w:val="20"/>
          <w:u w:val="none"/>
          <w:lang w:val="en-ZA"/>
        </w:rPr>
        <w:t xml:space="preserve">The Committee welcomes that over </w:t>
      </w:r>
      <w:r w:rsidR="006478DB" w:rsidRPr="00F83BFF">
        <w:rPr>
          <w:rFonts w:ascii="Arial" w:hAnsi="Arial" w:cs="Arial"/>
          <w:sz w:val="20"/>
          <w:u w:val="none"/>
          <w:lang w:val="en-US"/>
        </w:rPr>
        <w:t xml:space="preserve">the MTEF, an allocation of R3.56 trillion, or 59.2 per cent of </w:t>
      </w:r>
      <w:r w:rsidR="00360996" w:rsidRPr="00F83BFF">
        <w:rPr>
          <w:rFonts w:ascii="Arial" w:hAnsi="Arial" w:cs="Arial"/>
          <w:sz w:val="20"/>
          <w:u w:val="none"/>
          <w:lang w:val="en-US"/>
        </w:rPr>
        <w:t xml:space="preserve">the </w:t>
      </w:r>
      <w:r w:rsidR="00A71703" w:rsidRPr="00F83BFF">
        <w:rPr>
          <w:rFonts w:ascii="Arial" w:hAnsi="Arial" w:cs="Arial"/>
          <w:sz w:val="20"/>
          <w:u w:val="none"/>
          <w:lang w:val="en-US"/>
        </w:rPr>
        <w:t>consolidated</w:t>
      </w:r>
      <w:r w:rsidR="006478DB" w:rsidRPr="00F83BFF">
        <w:rPr>
          <w:rFonts w:ascii="Arial" w:hAnsi="Arial" w:cs="Arial"/>
          <w:sz w:val="20"/>
          <w:u w:val="none"/>
          <w:lang w:val="en-US"/>
        </w:rPr>
        <w:t xml:space="preserve"> non</w:t>
      </w:r>
      <w:r w:rsidR="006478DB" w:rsidRPr="00F83BFF">
        <w:rPr>
          <w:rFonts w:cs="Arial"/>
          <w:sz w:val="20"/>
          <w:u w:val="none"/>
          <w:lang w:val="en-US"/>
        </w:rPr>
        <w:t>‐</w:t>
      </w:r>
      <w:r w:rsidR="006478DB" w:rsidRPr="00F83BFF">
        <w:rPr>
          <w:rFonts w:ascii="Arial" w:hAnsi="Arial" w:cs="Arial"/>
          <w:sz w:val="20"/>
          <w:u w:val="none"/>
          <w:lang w:val="en-US"/>
        </w:rPr>
        <w:t>interest spending is dedicated to the social wage with the aim of alleviating poverty</w:t>
      </w:r>
      <w:r w:rsidR="00FA6541" w:rsidRPr="00F83BFF">
        <w:rPr>
          <w:rFonts w:ascii="Arial" w:hAnsi="Arial" w:cs="Arial"/>
          <w:sz w:val="20"/>
          <w:u w:val="none"/>
          <w:lang w:val="en-US"/>
        </w:rPr>
        <w:t xml:space="preserve"> and</w:t>
      </w:r>
      <w:r w:rsidR="006478DB" w:rsidRPr="00F83BFF">
        <w:rPr>
          <w:rFonts w:ascii="Arial" w:hAnsi="Arial" w:cs="Arial"/>
          <w:sz w:val="20"/>
          <w:u w:val="none"/>
          <w:lang w:val="en-US"/>
        </w:rPr>
        <w:t xml:space="preserve"> reducing unemployment</w:t>
      </w:r>
      <w:r w:rsidR="00FA6541" w:rsidRPr="00F83BFF">
        <w:rPr>
          <w:rFonts w:ascii="Arial" w:hAnsi="Arial" w:cs="Arial"/>
          <w:sz w:val="20"/>
          <w:u w:val="none"/>
          <w:lang w:val="en-US"/>
        </w:rPr>
        <w:t xml:space="preserve"> and inequality</w:t>
      </w:r>
      <w:r w:rsidR="006478DB" w:rsidRPr="00F83BFF">
        <w:rPr>
          <w:rFonts w:ascii="Arial" w:hAnsi="Arial" w:cs="Arial"/>
          <w:sz w:val="20"/>
          <w:u w:val="none"/>
          <w:lang w:val="en-US"/>
        </w:rPr>
        <w:t xml:space="preserve">.  </w:t>
      </w:r>
    </w:p>
    <w:p w:rsidR="00470243" w:rsidRPr="00F83BFF" w:rsidRDefault="00307DEE" w:rsidP="00F83BFF">
      <w:pPr>
        <w:pStyle w:val="Heading3"/>
        <w:spacing w:before="0" w:line="240" w:lineRule="auto"/>
        <w:rPr>
          <w:rFonts w:ascii="Arial" w:hAnsi="Arial" w:cs="Arial"/>
          <w:sz w:val="20"/>
          <w:u w:val="none"/>
          <w:lang w:val="en-US"/>
        </w:rPr>
      </w:pPr>
      <w:r w:rsidRPr="00F83BFF">
        <w:rPr>
          <w:rFonts w:ascii="Arial" w:hAnsi="Arial" w:cs="Arial"/>
          <w:sz w:val="20"/>
          <w:u w:val="none"/>
        </w:rPr>
        <w:t xml:space="preserve">The Committee welcomes the slight improvement to the country’s fiscal framework. Despite the challenging economic environment internationally and </w:t>
      </w:r>
      <w:r w:rsidR="00405A87" w:rsidRPr="00F83BFF">
        <w:rPr>
          <w:rFonts w:ascii="Arial" w:hAnsi="Arial" w:cs="Arial"/>
          <w:sz w:val="20"/>
          <w:u w:val="none"/>
        </w:rPr>
        <w:t>domestically</w:t>
      </w:r>
      <w:r w:rsidRPr="00F83BFF">
        <w:rPr>
          <w:rFonts w:ascii="Arial" w:hAnsi="Arial" w:cs="Arial"/>
          <w:sz w:val="20"/>
          <w:u w:val="none"/>
        </w:rPr>
        <w:t xml:space="preserve">, gross government debt is now expected to stabilise at 71.4 per cent of GDP in the current year – two years earlier and at a lower level than was projected in the 2022 Budget. </w:t>
      </w:r>
    </w:p>
    <w:p w:rsidR="00FB4DAD" w:rsidRPr="00F83BFF" w:rsidRDefault="00470243" w:rsidP="00F83BFF">
      <w:pPr>
        <w:pStyle w:val="Heading3"/>
        <w:spacing w:before="0" w:line="240" w:lineRule="auto"/>
        <w:rPr>
          <w:rFonts w:ascii="Arial" w:hAnsi="Arial" w:cs="Arial"/>
          <w:sz w:val="20"/>
          <w:u w:val="none"/>
        </w:rPr>
      </w:pPr>
      <w:r w:rsidRPr="00F83BFF">
        <w:rPr>
          <w:rFonts w:ascii="Arial" w:hAnsi="Arial" w:cs="Arial"/>
          <w:sz w:val="20"/>
          <w:u w:val="none"/>
        </w:rPr>
        <w:t>The Committee further welcomes that gross tax revenues have been revised up by R85.5 billion in 2022/23, which is attributed to better-than-expected revenue collection in the final quarter of 2021/22, the upward revisions to near-term tax base growth projections and strong corporate income tax collections.</w:t>
      </w:r>
      <w:r w:rsidR="00FB4DAD" w:rsidRPr="00F83BFF">
        <w:rPr>
          <w:rFonts w:ascii="Arial" w:hAnsi="Arial" w:cs="Arial"/>
          <w:sz w:val="20"/>
          <w:u w:val="none"/>
        </w:rPr>
        <w:t xml:space="preserve"> The Committee however notes that these revisions may be based on revenue forecast</w:t>
      </w:r>
      <w:r w:rsidR="00617FF4" w:rsidRPr="00F83BFF">
        <w:rPr>
          <w:rFonts w:ascii="Arial" w:hAnsi="Arial" w:cs="Arial"/>
          <w:sz w:val="20"/>
          <w:u w:val="none"/>
        </w:rPr>
        <w:t>s</w:t>
      </w:r>
      <w:r w:rsidR="00FB4DAD" w:rsidRPr="00F83BFF">
        <w:rPr>
          <w:rFonts w:ascii="Arial" w:hAnsi="Arial" w:cs="Arial"/>
          <w:sz w:val="20"/>
          <w:u w:val="none"/>
        </w:rPr>
        <w:t xml:space="preserve"> that are rather optimistic</w:t>
      </w:r>
      <w:r w:rsidR="00617FF4" w:rsidRPr="00F83BFF">
        <w:rPr>
          <w:rFonts w:ascii="Arial" w:hAnsi="Arial" w:cs="Arial"/>
          <w:sz w:val="20"/>
          <w:u w:val="none"/>
        </w:rPr>
        <w:t>,</w:t>
      </w:r>
      <w:r w:rsidR="00FB4DAD" w:rsidRPr="00F83BFF">
        <w:rPr>
          <w:rFonts w:ascii="Arial" w:hAnsi="Arial" w:cs="Arial"/>
          <w:sz w:val="20"/>
          <w:u w:val="none"/>
        </w:rPr>
        <w:t xml:space="preserve"> as argued by </w:t>
      </w:r>
      <w:r w:rsidR="00617FF4" w:rsidRPr="00F83BFF">
        <w:rPr>
          <w:rFonts w:ascii="Arial" w:hAnsi="Arial" w:cs="Arial"/>
          <w:sz w:val="20"/>
          <w:u w:val="none"/>
        </w:rPr>
        <w:t>some</w:t>
      </w:r>
      <w:r w:rsidR="00FB4DAD" w:rsidRPr="00F83BFF">
        <w:rPr>
          <w:rFonts w:ascii="Arial" w:hAnsi="Arial" w:cs="Arial"/>
          <w:sz w:val="20"/>
          <w:u w:val="none"/>
        </w:rPr>
        <w:t xml:space="preserve"> stakeholders in the hearings. </w:t>
      </w:r>
      <w:r w:rsidR="000A2BE5" w:rsidRPr="00F83BFF">
        <w:rPr>
          <w:rFonts w:ascii="Arial" w:hAnsi="Arial" w:cs="Arial"/>
          <w:sz w:val="20"/>
          <w:u w:val="none"/>
        </w:rPr>
        <w:t xml:space="preserve">The Committee </w:t>
      </w:r>
      <w:r w:rsidR="003A12FC" w:rsidRPr="00F83BFF">
        <w:rPr>
          <w:rFonts w:ascii="Arial" w:hAnsi="Arial" w:cs="Arial"/>
          <w:sz w:val="20"/>
          <w:u w:val="none"/>
        </w:rPr>
        <w:t>notes</w:t>
      </w:r>
      <w:r w:rsidR="000A2BE5" w:rsidRPr="00F83BFF">
        <w:rPr>
          <w:rFonts w:ascii="Arial" w:hAnsi="Arial" w:cs="Arial"/>
          <w:sz w:val="20"/>
          <w:u w:val="none"/>
        </w:rPr>
        <w:t xml:space="preserve"> the explanations from the National Treasury that the strong revenue collections were due to CIT collection from the finance and manufacturing sectors, rather than mining alone</w:t>
      </w:r>
      <w:r w:rsidR="0069312A" w:rsidRPr="00F83BFF">
        <w:rPr>
          <w:rFonts w:ascii="Arial" w:hAnsi="Arial" w:cs="Arial"/>
          <w:sz w:val="20"/>
          <w:u w:val="none"/>
        </w:rPr>
        <w:t>,</w:t>
      </w:r>
      <w:r w:rsidR="000A2BE5" w:rsidRPr="00F83BFF">
        <w:rPr>
          <w:rFonts w:ascii="Arial" w:hAnsi="Arial" w:cs="Arial"/>
          <w:sz w:val="20"/>
          <w:u w:val="none"/>
        </w:rPr>
        <w:t xml:space="preserve"> as was </w:t>
      </w:r>
      <w:r w:rsidR="0069312A" w:rsidRPr="00F83BFF">
        <w:rPr>
          <w:rFonts w:ascii="Arial" w:hAnsi="Arial" w:cs="Arial"/>
          <w:sz w:val="20"/>
          <w:u w:val="none"/>
        </w:rPr>
        <w:t xml:space="preserve">the case </w:t>
      </w:r>
      <w:r w:rsidR="000A2BE5" w:rsidRPr="00F83BFF">
        <w:rPr>
          <w:rFonts w:ascii="Arial" w:hAnsi="Arial" w:cs="Arial"/>
          <w:sz w:val="20"/>
          <w:u w:val="none"/>
        </w:rPr>
        <w:t xml:space="preserve">in the previous years. </w:t>
      </w:r>
      <w:r w:rsidRPr="00F83BFF">
        <w:rPr>
          <w:rFonts w:ascii="Arial" w:hAnsi="Arial" w:cs="Arial"/>
          <w:sz w:val="20"/>
          <w:u w:val="none"/>
        </w:rPr>
        <w:t xml:space="preserve"> </w:t>
      </w:r>
      <w:r w:rsidR="003A12FC" w:rsidRPr="00F83BFF">
        <w:rPr>
          <w:rFonts w:ascii="Arial" w:hAnsi="Arial" w:cs="Arial"/>
          <w:sz w:val="20"/>
          <w:u w:val="none"/>
        </w:rPr>
        <w:t xml:space="preserve">The Committee also notes that </w:t>
      </w:r>
      <w:r w:rsidR="00FB4DAD" w:rsidRPr="00F83BFF">
        <w:rPr>
          <w:rFonts w:ascii="Arial" w:hAnsi="Arial" w:cs="Arial"/>
          <w:sz w:val="20"/>
          <w:u w:val="none"/>
          <w:lang w:val="en-ZA"/>
        </w:rPr>
        <w:t xml:space="preserve">most assumed revenue gains from high commodity prices were excluded from the </w:t>
      </w:r>
      <w:r w:rsidR="00360996" w:rsidRPr="00F83BFF">
        <w:rPr>
          <w:rFonts w:ascii="Arial" w:hAnsi="Arial" w:cs="Arial"/>
          <w:sz w:val="20"/>
          <w:u w:val="none"/>
          <w:lang w:val="en-ZA"/>
        </w:rPr>
        <w:t xml:space="preserve">CIT </w:t>
      </w:r>
      <w:r w:rsidR="00FB4DAD" w:rsidRPr="00F83BFF">
        <w:rPr>
          <w:rFonts w:ascii="Arial" w:hAnsi="Arial" w:cs="Arial"/>
          <w:sz w:val="20"/>
          <w:u w:val="none"/>
          <w:lang w:val="en-ZA"/>
        </w:rPr>
        <w:t xml:space="preserve">forecasts over the next two years (as the assumed buoyancy of </w:t>
      </w:r>
      <w:r w:rsidR="00360996" w:rsidRPr="00F83BFF">
        <w:rPr>
          <w:rFonts w:ascii="Arial" w:hAnsi="Arial" w:cs="Arial"/>
          <w:sz w:val="20"/>
          <w:u w:val="none"/>
          <w:lang w:val="en-ZA"/>
        </w:rPr>
        <w:t>CIT</w:t>
      </w:r>
      <w:r w:rsidR="00FB4DAD" w:rsidRPr="00F83BFF">
        <w:rPr>
          <w:rFonts w:ascii="Arial" w:hAnsi="Arial" w:cs="Arial"/>
          <w:sz w:val="20"/>
          <w:u w:val="none"/>
          <w:lang w:val="en-ZA"/>
        </w:rPr>
        <w:t xml:space="preserve"> is 0 for 2023/24).</w:t>
      </w:r>
      <w:r w:rsidR="00FB4DAD" w:rsidRPr="00F83BFF">
        <w:rPr>
          <w:rFonts w:ascii="Arial" w:hAnsi="Arial" w:cs="Arial"/>
          <w:sz w:val="20"/>
          <w:lang w:val="en-ZA"/>
        </w:rPr>
        <w:t xml:space="preserve"> </w:t>
      </w:r>
    </w:p>
    <w:p w:rsidR="00470243" w:rsidRPr="00F83BFF" w:rsidRDefault="00470243" w:rsidP="00F83BFF">
      <w:pPr>
        <w:pStyle w:val="Heading3"/>
        <w:spacing w:before="0" w:line="240" w:lineRule="auto"/>
        <w:rPr>
          <w:rFonts w:ascii="Arial" w:hAnsi="Arial" w:cs="Arial"/>
          <w:sz w:val="20"/>
          <w:u w:val="none"/>
          <w:lang w:val="en-US"/>
        </w:rPr>
      </w:pPr>
      <w:r w:rsidRPr="00F83BFF">
        <w:rPr>
          <w:rFonts w:ascii="Arial" w:hAnsi="Arial" w:cs="Arial"/>
          <w:sz w:val="20"/>
          <w:u w:val="none"/>
        </w:rPr>
        <w:t xml:space="preserve">The </w:t>
      </w:r>
      <w:r w:rsidR="001F1E5E" w:rsidRPr="00F83BFF">
        <w:rPr>
          <w:rFonts w:ascii="Arial" w:hAnsi="Arial" w:cs="Arial"/>
          <w:sz w:val="20"/>
          <w:u w:val="none"/>
        </w:rPr>
        <w:t xml:space="preserve">Committee notes further that the </w:t>
      </w:r>
      <w:r w:rsidRPr="00F83BFF">
        <w:rPr>
          <w:rFonts w:ascii="Arial" w:hAnsi="Arial" w:cs="Arial"/>
          <w:sz w:val="20"/>
          <w:u w:val="none"/>
        </w:rPr>
        <w:t xml:space="preserve">main budget revenue is expected to increase to 25.5 per cent of GDP in 2022/23 (R1 694 trillion) and average 24.9 per cent over the MTEF. </w:t>
      </w:r>
      <w:r w:rsidR="0069312A" w:rsidRPr="00F83BFF">
        <w:rPr>
          <w:rFonts w:ascii="Arial" w:hAnsi="Arial" w:cs="Arial"/>
          <w:sz w:val="20"/>
          <w:u w:val="none"/>
        </w:rPr>
        <w:t xml:space="preserve">Sixty five </w:t>
      </w:r>
      <w:r w:rsidRPr="00F83BFF">
        <w:rPr>
          <w:rFonts w:ascii="Arial" w:hAnsi="Arial" w:cs="Arial"/>
          <w:sz w:val="20"/>
          <w:u w:val="none"/>
        </w:rPr>
        <w:t xml:space="preserve">per cent of this projected additional revenue </w:t>
      </w:r>
      <w:r w:rsidR="0062595C" w:rsidRPr="00F83BFF">
        <w:rPr>
          <w:rFonts w:ascii="Arial" w:hAnsi="Arial" w:cs="Arial"/>
          <w:sz w:val="20"/>
          <w:u w:val="none"/>
        </w:rPr>
        <w:t xml:space="preserve">will be used </w:t>
      </w:r>
      <w:r w:rsidRPr="00F83BFF">
        <w:rPr>
          <w:rFonts w:ascii="Arial" w:hAnsi="Arial" w:cs="Arial"/>
          <w:sz w:val="20"/>
          <w:u w:val="none"/>
        </w:rPr>
        <w:t xml:space="preserve">to improve </w:t>
      </w:r>
      <w:r w:rsidR="0062595C" w:rsidRPr="00F83BFF">
        <w:rPr>
          <w:rFonts w:ascii="Arial" w:hAnsi="Arial" w:cs="Arial"/>
          <w:sz w:val="20"/>
          <w:u w:val="none"/>
        </w:rPr>
        <w:t>the</w:t>
      </w:r>
      <w:r w:rsidRPr="00F83BFF">
        <w:rPr>
          <w:rFonts w:ascii="Arial" w:hAnsi="Arial" w:cs="Arial"/>
          <w:sz w:val="20"/>
          <w:u w:val="none"/>
        </w:rPr>
        <w:t xml:space="preserve"> primary balance, followed by 45 per cent in 2023/23 and 37 per cent in 2024/25</w:t>
      </w:r>
      <w:r w:rsidR="007A108A" w:rsidRPr="00F83BFF">
        <w:rPr>
          <w:rFonts w:ascii="Arial" w:hAnsi="Arial" w:cs="Arial"/>
          <w:sz w:val="20"/>
          <w:u w:val="none"/>
        </w:rPr>
        <w:t xml:space="preserve">, leading to a </w:t>
      </w:r>
      <w:r w:rsidRPr="00F83BFF">
        <w:rPr>
          <w:rFonts w:ascii="Arial" w:hAnsi="Arial" w:cs="Arial"/>
          <w:sz w:val="20"/>
          <w:u w:val="none"/>
        </w:rPr>
        <w:t>primary budget surplus</w:t>
      </w:r>
      <w:r w:rsidR="009E691E" w:rsidRPr="00F83BFF">
        <w:rPr>
          <w:rFonts w:ascii="Arial" w:hAnsi="Arial" w:cs="Arial"/>
          <w:sz w:val="20"/>
          <w:u w:val="none"/>
        </w:rPr>
        <w:t>, after a long period of time</w:t>
      </w:r>
      <w:r w:rsidRPr="00F83BFF">
        <w:rPr>
          <w:rFonts w:ascii="Arial" w:hAnsi="Arial" w:cs="Arial"/>
          <w:sz w:val="20"/>
          <w:u w:val="none"/>
        </w:rPr>
        <w:t xml:space="preserve">. </w:t>
      </w:r>
      <w:r w:rsidR="00594F84" w:rsidRPr="00F83BFF">
        <w:rPr>
          <w:rFonts w:ascii="Arial" w:hAnsi="Arial" w:cs="Arial"/>
          <w:sz w:val="20"/>
          <w:u w:val="none"/>
        </w:rPr>
        <w:t>The Committee however notes that despite this, South Africa still has high levels of debt</w:t>
      </w:r>
      <w:r w:rsidR="00AC35E0" w:rsidRPr="00F83BFF">
        <w:rPr>
          <w:rFonts w:ascii="Arial" w:hAnsi="Arial" w:cs="Arial"/>
          <w:sz w:val="20"/>
          <w:u w:val="none"/>
        </w:rPr>
        <w:t>.</w:t>
      </w:r>
      <w:r w:rsidR="00594F84" w:rsidRPr="00F83BFF">
        <w:rPr>
          <w:rFonts w:ascii="Arial" w:hAnsi="Arial" w:cs="Arial"/>
          <w:sz w:val="20"/>
          <w:u w:val="none"/>
        </w:rPr>
        <w:t xml:space="preserve"> </w:t>
      </w:r>
    </w:p>
    <w:p w:rsidR="002679B7" w:rsidRPr="00F83BFF" w:rsidRDefault="00AC35E0" w:rsidP="00F83BFF">
      <w:pPr>
        <w:pStyle w:val="Heading3"/>
        <w:spacing w:before="0" w:line="240" w:lineRule="auto"/>
        <w:rPr>
          <w:rFonts w:ascii="Arial" w:hAnsi="Arial" w:cs="Arial"/>
          <w:sz w:val="20"/>
          <w:u w:val="none"/>
        </w:rPr>
      </w:pPr>
      <w:r w:rsidRPr="00F83BFF">
        <w:rPr>
          <w:rFonts w:ascii="Arial" w:hAnsi="Arial" w:cs="Arial"/>
          <w:sz w:val="20"/>
          <w:u w:val="none"/>
        </w:rPr>
        <w:t>While the National Treasury expects gross loan debt to stabilise at 71.4 per cent of GDP in 2022/23, which is two years earlier and at a lower level than projected in the 2022 Budget Review, the Committee remain</w:t>
      </w:r>
      <w:r w:rsidR="00D81104" w:rsidRPr="00F83BFF">
        <w:rPr>
          <w:rFonts w:ascii="Arial" w:hAnsi="Arial" w:cs="Arial"/>
          <w:sz w:val="20"/>
          <w:u w:val="none"/>
        </w:rPr>
        <w:t>s</w:t>
      </w:r>
      <w:r w:rsidRPr="00F83BFF">
        <w:rPr>
          <w:rFonts w:ascii="Arial" w:hAnsi="Arial" w:cs="Arial"/>
          <w:sz w:val="20"/>
          <w:u w:val="none"/>
        </w:rPr>
        <w:t xml:space="preserve"> concerned about the high level</w:t>
      </w:r>
      <w:r w:rsidR="00802E7B" w:rsidRPr="00F83BFF">
        <w:rPr>
          <w:rFonts w:ascii="Arial" w:hAnsi="Arial" w:cs="Arial"/>
          <w:sz w:val="20"/>
          <w:u w:val="none"/>
        </w:rPr>
        <w:t>s</w:t>
      </w:r>
      <w:r w:rsidRPr="00F83BFF">
        <w:rPr>
          <w:rFonts w:ascii="Arial" w:hAnsi="Arial" w:cs="Arial"/>
          <w:sz w:val="20"/>
          <w:u w:val="none"/>
        </w:rPr>
        <w:t xml:space="preserve"> of the debt.</w:t>
      </w:r>
      <w:r w:rsidR="00DE5882" w:rsidRPr="00F83BFF">
        <w:rPr>
          <w:rFonts w:ascii="Arial" w:hAnsi="Arial" w:cs="Arial"/>
          <w:sz w:val="20"/>
          <w:u w:val="none"/>
        </w:rPr>
        <w:t xml:space="preserve"> The Committee notes that South Africa’s public debt increased sevenfold from R577 billion in 2007/08 to over R4 trillion in 2021/22</w:t>
      </w:r>
      <w:r w:rsidR="00FE7681" w:rsidRPr="00F83BFF">
        <w:rPr>
          <w:rFonts w:ascii="Arial" w:hAnsi="Arial" w:cs="Arial"/>
          <w:sz w:val="20"/>
          <w:u w:val="none"/>
        </w:rPr>
        <w:t>, with increasing debt service costs to match</w:t>
      </w:r>
      <w:r w:rsidR="0069312A" w:rsidRPr="00F83BFF">
        <w:rPr>
          <w:rFonts w:ascii="Arial" w:hAnsi="Arial" w:cs="Arial"/>
          <w:sz w:val="20"/>
          <w:u w:val="none"/>
        </w:rPr>
        <w:t>,</w:t>
      </w:r>
      <w:r w:rsidR="000B593B" w:rsidRPr="00F83BFF">
        <w:rPr>
          <w:rFonts w:ascii="Arial" w:hAnsi="Arial" w:cs="Arial"/>
          <w:sz w:val="20"/>
          <w:u w:val="none"/>
        </w:rPr>
        <w:t xml:space="preserve"> which are projected</w:t>
      </w:r>
      <w:r w:rsidR="00360996" w:rsidRPr="00F83BFF">
        <w:rPr>
          <w:rFonts w:ascii="Arial" w:hAnsi="Arial" w:cs="Arial"/>
          <w:sz w:val="20"/>
          <w:u w:val="none"/>
        </w:rPr>
        <w:t xml:space="preserve"> to increase</w:t>
      </w:r>
      <w:r w:rsidR="00D5079D" w:rsidRPr="00F83BFF">
        <w:rPr>
          <w:rFonts w:ascii="Arial" w:hAnsi="Arial" w:cs="Arial"/>
          <w:sz w:val="20"/>
          <w:u w:val="none"/>
        </w:rPr>
        <w:t>, as a share of</w:t>
      </w:r>
      <w:r w:rsidR="00E768AB" w:rsidRPr="00F83BFF">
        <w:rPr>
          <w:rFonts w:ascii="Arial" w:hAnsi="Arial" w:cs="Arial"/>
          <w:sz w:val="20"/>
          <w:u w:val="none"/>
        </w:rPr>
        <w:t xml:space="preserve"> the main budget expenditure,</w:t>
      </w:r>
      <w:r w:rsidR="000B593B" w:rsidRPr="00F83BFF">
        <w:rPr>
          <w:rFonts w:ascii="Arial" w:hAnsi="Arial" w:cs="Arial"/>
          <w:sz w:val="20"/>
          <w:u w:val="none"/>
        </w:rPr>
        <w:t xml:space="preserve"> </w:t>
      </w:r>
      <w:r w:rsidR="00DE5882" w:rsidRPr="00F83BFF">
        <w:rPr>
          <w:rFonts w:ascii="Arial" w:hAnsi="Arial" w:cs="Arial"/>
          <w:sz w:val="20"/>
          <w:u w:val="none"/>
        </w:rPr>
        <w:t>from 15.2 per cent in 2022/23 to 16.8 per cent in 2025/26</w:t>
      </w:r>
      <w:r w:rsidR="00937C7C" w:rsidRPr="00F83BFF">
        <w:rPr>
          <w:rFonts w:ascii="Arial" w:hAnsi="Arial" w:cs="Arial"/>
          <w:sz w:val="20"/>
          <w:u w:val="none"/>
        </w:rPr>
        <w:t xml:space="preserve">. </w:t>
      </w:r>
      <w:r w:rsidRPr="00F83BFF">
        <w:rPr>
          <w:rFonts w:ascii="Arial" w:hAnsi="Arial" w:cs="Arial"/>
          <w:sz w:val="20"/>
          <w:u w:val="none"/>
        </w:rPr>
        <w:t xml:space="preserve">The Committee reiterates its recommendation that </w:t>
      </w:r>
      <w:r w:rsidR="00D81104" w:rsidRPr="00F83BFF">
        <w:rPr>
          <w:rFonts w:ascii="Arial" w:hAnsi="Arial" w:cs="Arial"/>
          <w:sz w:val="20"/>
          <w:u w:val="none"/>
        </w:rPr>
        <w:t xml:space="preserve">the </w:t>
      </w:r>
      <w:r w:rsidRPr="00F83BFF">
        <w:rPr>
          <w:rFonts w:ascii="Arial" w:hAnsi="Arial" w:cs="Arial"/>
          <w:sz w:val="20"/>
          <w:u w:val="none"/>
        </w:rPr>
        <w:t>N</w:t>
      </w:r>
      <w:r w:rsidR="00D81104" w:rsidRPr="00F83BFF">
        <w:rPr>
          <w:rFonts w:ascii="Arial" w:hAnsi="Arial" w:cs="Arial"/>
          <w:sz w:val="20"/>
          <w:u w:val="none"/>
        </w:rPr>
        <w:t xml:space="preserve">ational </w:t>
      </w:r>
      <w:r w:rsidRPr="00F83BFF">
        <w:rPr>
          <w:rFonts w:ascii="Arial" w:hAnsi="Arial" w:cs="Arial"/>
          <w:sz w:val="20"/>
          <w:u w:val="none"/>
        </w:rPr>
        <w:t>T</w:t>
      </w:r>
      <w:r w:rsidR="00D81104" w:rsidRPr="00F83BFF">
        <w:rPr>
          <w:rFonts w:ascii="Arial" w:hAnsi="Arial" w:cs="Arial"/>
          <w:sz w:val="20"/>
          <w:u w:val="none"/>
        </w:rPr>
        <w:t>reasury</w:t>
      </w:r>
      <w:r w:rsidRPr="00F83BFF">
        <w:rPr>
          <w:rFonts w:ascii="Arial" w:hAnsi="Arial" w:cs="Arial"/>
          <w:sz w:val="20"/>
          <w:u w:val="none"/>
        </w:rPr>
        <w:t xml:space="preserve"> reports quarterly </w:t>
      </w:r>
      <w:r w:rsidR="0069312A" w:rsidRPr="00F83BFF">
        <w:rPr>
          <w:rFonts w:ascii="Arial" w:hAnsi="Arial" w:cs="Arial"/>
          <w:sz w:val="20"/>
          <w:u w:val="none"/>
        </w:rPr>
        <w:t xml:space="preserve">to it </w:t>
      </w:r>
      <w:r w:rsidRPr="00F83BFF">
        <w:rPr>
          <w:rFonts w:ascii="Arial" w:hAnsi="Arial" w:cs="Arial"/>
          <w:sz w:val="20"/>
          <w:u w:val="none"/>
        </w:rPr>
        <w:t xml:space="preserve">on the effectiveness of </w:t>
      </w:r>
      <w:r w:rsidR="00656601" w:rsidRPr="00F83BFF">
        <w:rPr>
          <w:rFonts w:ascii="Arial" w:hAnsi="Arial" w:cs="Arial"/>
          <w:sz w:val="20"/>
          <w:u w:val="none"/>
        </w:rPr>
        <w:t xml:space="preserve">its </w:t>
      </w:r>
      <w:r w:rsidRPr="00F83BFF">
        <w:rPr>
          <w:rFonts w:ascii="Arial" w:hAnsi="Arial" w:cs="Arial"/>
          <w:sz w:val="20"/>
          <w:u w:val="none"/>
        </w:rPr>
        <w:t>debt management strategies that would ensure that the level of debt stabilises over the medium-term as expected and that extra-budgetary costs and contingent liabilities do not increase the debt levels further.</w:t>
      </w:r>
    </w:p>
    <w:p w:rsidR="00742204" w:rsidRPr="00F83BFF" w:rsidRDefault="00202D4B"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Committee notes, with great concern, the significant risks to the fiscal framework and the fact that </w:t>
      </w:r>
      <w:r w:rsidR="00360996" w:rsidRPr="00F83BFF">
        <w:rPr>
          <w:rFonts w:ascii="Arial" w:hAnsi="Arial" w:cs="Arial"/>
          <w:sz w:val="20"/>
          <w:u w:val="none"/>
        </w:rPr>
        <w:t xml:space="preserve">the </w:t>
      </w:r>
      <w:r w:rsidRPr="00F83BFF">
        <w:rPr>
          <w:rFonts w:ascii="Arial" w:hAnsi="Arial" w:cs="Arial"/>
          <w:sz w:val="20"/>
          <w:u w:val="none"/>
        </w:rPr>
        <w:t>N</w:t>
      </w:r>
      <w:r w:rsidR="00360996" w:rsidRPr="00F83BFF">
        <w:rPr>
          <w:rFonts w:ascii="Arial" w:hAnsi="Arial" w:cs="Arial"/>
          <w:sz w:val="20"/>
          <w:u w:val="none"/>
        </w:rPr>
        <w:t xml:space="preserve">ational </w:t>
      </w:r>
      <w:r w:rsidRPr="00F83BFF">
        <w:rPr>
          <w:rFonts w:ascii="Arial" w:hAnsi="Arial" w:cs="Arial"/>
          <w:sz w:val="20"/>
          <w:u w:val="none"/>
        </w:rPr>
        <w:t>T</w:t>
      </w:r>
      <w:r w:rsidR="00360996" w:rsidRPr="00F83BFF">
        <w:rPr>
          <w:rFonts w:ascii="Arial" w:hAnsi="Arial" w:cs="Arial"/>
          <w:sz w:val="20"/>
          <w:u w:val="none"/>
        </w:rPr>
        <w:t>reasury</w:t>
      </w:r>
      <w:r w:rsidRPr="00F83BFF">
        <w:rPr>
          <w:rFonts w:ascii="Arial" w:hAnsi="Arial" w:cs="Arial"/>
          <w:sz w:val="20"/>
          <w:u w:val="none"/>
        </w:rPr>
        <w:t xml:space="preserve"> confirmed that the risk</w:t>
      </w:r>
      <w:r w:rsidR="0069312A" w:rsidRPr="00F83BFF">
        <w:rPr>
          <w:rFonts w:ascii="Arial" w:hAnsi="Arial" w:cs="Arial"/>
          <w:sz w:val="20"/>
          <w:u w:val="none"/>
        </w:rPr>
        <w:t>s</w:t>
      </w:r>
      <w:r w:rsidRPr="00F83BFF">
        <w:rPr>
          <w:rFonts w:ascii="Arial" w:hAnsi="Arial" w:cs="Arial"/>
          <w:sz w:val="20"/>
          <w:u w:val="none"/>
        </w:rPr>
        <w:t xml:space="preserve"> previously identified in the 2022 Budget have already materialised. The continued bailout of SOEs undermines government’s fiscal </w:t>
      </w:r>
      <w:r w:rsidR="00E95D1B" w:rsidRPr="00F83BFF">
        <w:rPr>
          <w:rFonts w:ascii="Arial" w:hAnsi="Arial" w:cs="Arial"/>
          <w:sz w:val="20"/>
          <w:u w:val="none"/>
        </w:rPr>
        <w:t xml:space="preserve">stabilisation </w:t>
      </w:r>
      <w:r w:rsidRPr="00F83BFF">
        <w:rPr>
          <w:rFonts w:ascii="Arial" w:hAnsi="Arial" w:cs="Arial"/>
          <w:sz w:val="20"/>
          <w:u w:val="none"/>
        </w:rPr>
        <w:t xml:space="preserve">efforts. The Committee recommends that the bailing </w:t>
      </w:r>
      <w:r w:rsidR="006771AA" w:rsidRPr="00F83BFF">
        <w:rPr>
          <w:rFonts w:ascii="Arial" w:hAnsi="Arial" w:cs="Arial"/>
          <w:sz w:val="20"/>
          <w:u w:val="none"/>
        </w:rPr>
        <w:t xml:space="preserve">out </w:t>
      </w:r>
      <w:r w:rsidRPr="00F83BFF">
        <w:rPr>
          <w:rFonts w:ascii="Arial" w:hAnsi="Arial" w:cs="Arial"/>
          <w:sz w:val="20"/>
          <w:u w:val="none"/>
        </w:rPr>
        <w:t xml:space="preserve">of SOEs, which is one of the biggest risks to the fiscus, should be subject to stringent conditions and </w:t>
      </w:r>
      <w:r w:rsidR="006C56DA" w:rsidRPr="00F83BFF">
        <w:rPr>
          <w:rFonts w:ascii="Arial" w:hAnsi="Arial" w:cs="Arial"/>
          <w:sz w:val="20"/>
          <w:u w:val="none"/>
        </w:rPr>
        <w:t xml:space="preserve">accountability measures. </w:t>
      </w:r>
      <w:r w:rsidR="000821FF" w:rsidRPr="00F83BFF">
        <w:rPr>
          <w:rFonts w:ascii="Arial" w:hAnsi="Arial" w:cs="Arial"/>
          <w:sz w:val="20"/>
          <w:u w:val="none"/>
        </w:rPr>
        <w:t xml:space="preserve">In this regard, the </w:t>
      </w:r>
      <w:r w:rsidR="00742204" w:rsidRPr="00F83BFF">
        <w:rPr>
          <w:rFonts w:ascii="Arial" w:hAnsi="Arial" w:cs="Arial"/>
          <w:sz w:val="20"/>
          <w:u w:val="none"/>
        </w:rPr>
        <w:t xml:space="preserve">Committee notes the proposed conditional allocations to public entities such as Denel, SANRAL and Transnet in order to reduce contingent liabilities and enable these entities to continue supporting economic growth. </w:t>
      </w:r>
      <w:r w:rsidR="006771AA" w:rsidRPr="00F83BFF">
        <w:rPr>
          <w:rFonts w:ascii="Arial" w:hAnsi="Arial" w:cs="Arial"/>
          <w:sz w:val="20"/>
          <w:u w:val="none"/>
        </w:rPr>
        <w:t>The Committee recommends a similar approach as far as possible be taken on all SOE bail-outs.</w:t>
      </w:r>
    </w:p>
    <w:p w:rsidR="00511DE7" w:rsidRPr="00F83BFF" w:rsidRDefault="00742204"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Committee also notes the Eskom debt relief programme </w:t>
      </w:r>
      <w:r w:rsidR="0085474C" w:rsidRPr="00F83BFF">
        <w:rPr>
          <w:rFonts w:ascii="Arial" w:hAnsi="Arial" w:cs="Arial"/>
          <w:sz w:val="20"/>
          <w:u w:val="none"/>
        </w:rPr>
        <w:t>whi</w:t>
      </w:r>
      <w:r w:rsidR="00995D16" w:rsidRPr="00F83BFF">
        <w:rPr>
          <w:rFonts w:ascii="Arial" w:hAnsi="Arial" w:cs="Arial"/>
          <w:sz w:val="20"/>
          <w:u w:val="none"/>
        </w:rPr>
        <w:t xml:space="preserve">ch will result in government </w:t>
      </w:r>
      <w:r w:rsidRPr="00F83BFF">
        <w:rPr>
          <w:rFonts w:ascii="Arial" w:hAnsi="Arial" w:cs="Arial"/>
          <w:sz w:val="20"/>
          <w:u w:val="none"/>
        </w:rPr>
        <w:t>tak</w:t>
      </w:r>
      <w:r w:rsidR="00995D16" w:rsidRPr="00F83BFF">
        <w:rPr>
          <w:rFonts w:ascii="Arial" w:hAnsi="Arial" w:cs="Arial"/>
          <w:sz w:val="20"/>
          <w:u w:val="none"/>
        </w:rPr>
        <w:t>ing</w:t>
      </w:r>
      <w:r w:rsidRPr="00F83BFF">
        <w:rPr>
          <w:rFonts w:ascii="Arial" w:hAnsi="Arial" w:cs="Arial"/>
          <w:sz w:val="20"/>
          <w:u w:val="none"/>
        </w:rPr>
        <w:t xml:space="preserve"> over a portion of Eskom’s R400 billion debt. It is envisaged that this </w:t>
      </w:r>
      <w:r w:rsidR="00EB61D2" w:rsidRPr="00F83BFF">
        <w:rPr>
          <w:rFonts w:ascii="Arial" w:hAnsi="Arial" w:cs="Arial"/>
          <w:sz w:val="20"/>
          <w:u w:val="none"/>
        </w:rPr>
        <w:t xml:space="preserve">debt takeover </w:t>
      </w:r>
      <w:r w:rsidRPr="00F83BFF">
        <w:rPr>
          <w:rFonts w:ascii="Arial" w:hAnsi="Arial" w:cs="Arial"/>
          <w:sz w:val="20"/>
          <w:u w:val="none"/>
        </w:rPr>
        <w:t xml:space="preserve">will </w:t>
      </w:r>
      <w:r w:rsidR="00EB61D2" w:rsidRPr="00F83BFF">
        <w:rPr>
          <w:rFonts w:ascii="Arial" w:hAnsi="Arial" w:cs="Arial"/>
          <w:sz w:val="20"/>
          <w:u w:val="none"/>
        </w:rPr>
        <w:t xml:space="preserve">enable </w:t>
      </w:r>
      <w:r w:rsidRPr="00F83BFF">
        <w:rPr>
          <w:rFonts w:ascii="Arial" w:hAnsi="Arial" w:cs="Arial"/>
          <w:sz w:val="20"/>
          <w:u w:val="none"/>
        </w:rPr>
        <w:t>Eskom to implement planned capital investment</w:t>
      </w:r>
      <w:r w:rsidR="00EB61D2" w:rsidRPr="00F83BFF">
        <w:rPr>
          <w:rFonts w:ascii="Arial" w:hAnsi="Arial" w:cs="Arial"/>
          <w:sz w:val="20"/>
          <w:u w:val="none"/>
        </w:rPr>
        <w:t>s</w:t>
      </w:r>
      <w:r w:rsidRPr="00F83BFF">
        <w:rPr>
          <w:rFonts w:ascii="Arial" w:hAnsi="Arial" w:cs="Arial"/>
          <w:sz w:val="20"/>
          <w:u w:val="none"/>
        </w:rPr>
        <w:t xml:space="preserve"> and critical maintenance. The Committee will await the finalisation of the debt relief programme and more details in the 2023 Budget in February. The Committee however strongly believes that the challenges at Eskom are not only financial, but also </w:t>
      </w:r>
      <w:r w:rsidR="006771AA" w:rsidRPr="00F83BFF">
        <w:rPr>
          <w:rFonts w:ascii="Arial" w:hAnsi="Arial" w:cs="Arial"/>
          <w:sz w:val="20"/>
          <w:u w:val="none"/>
        </w:rPr>
        <w:t xml:space="preserve">about </w:t>
      </w:r>
      <w:r w:rsidR="00FF7457" w:rsidRPr="00F83BFF">
        <w:rPr>
          <w:rFonts w:ascii="Arial" w:hAnsi="Arial" w:cs="Arial"/>
          <w:sz w:val="20"/>
          <w:u w:val="none"/>
        </w:rPr>
        <w:t xml:space="preserve">management, </w:t>
      </w:r>
      <w:r w:rsidRPr="00F83BFF">
        <w:rPr>
          <w:rFonts w:ascii="Arial" w:hAnsi="Arial" w:cs="Arial"/>
          <w:sz w:val="20"/>
          <w:u w:val="none"/>
        </w:rPr>
        <w:t>leadership, governance and accountability</w:t>
      </w:r>
      <w:r w:rsidR="006771AA" w:rsidRPr="00F83BFF">
        <w:rPr>
          <w:rFonts w:ascii="Arial" w:hAnsi="Arial" w:cs="Arial"/>
          <w:sz w:val="20"/>
          <w:u w:val="none"/>
        </w:rPr>
        <w:t>.</w:t>
      </w:r>
    </w:p>
    <w:p w:rsidR="0025693C" w:rsidRPr="00F83BFF" w:rsidRDefault="0025693C"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Committee further recommends that the National Treasury should consider SAICA and FFC recommendations on SOEs, which include </w:t>
      </w:r>
      <w:r w:rsidR="00C01058" w:rsidRPr="00F83BFF">
        <w:rPr>
          <w:rFonts w:ascii="Arial" w:hAnsi="Arial" w:cs="Arial"/>
          <w:sz w:val="20"/>
          <w:u w:val="none"/>
        </w:rPr>
        <w:t xml:space="preserve">a </w:t>
      </w:r>
      <w:r w:rsidRPr="00F83BFF">
        <w:rPr>
          <w:rFonts w:ascii="Arial" w:hAnsi="Arial" w:cs="Arial"/>
          <w:sz w:val="20"/>
          <w:u w:val="none"/>
        </w:rPr>
        <w:t>focus on operational deficiencies and proper management of procurement, contracts and payments, a risk-based approach to government guarantees and that a differentiation be made between repair and maintenance spending versus funding for new infrastructure.</w:t>
      </w:r>
    </w:p>
    <w:p w:rsidR="00EA3915" w:rsidRPr="00F83BFF" w:rsidRDefault="00EA3915" w:rsidP="00F83BFF">
      <w:pPr>
        <w:pStyle w:val="Heading3"/>
        <w:spacing w:before="0" w:line="240" w:lineRule="auto"/>
        <w:rPr>
          <w:rFonts w:ascii="Arial" w:hAnsi="Arial" w:cs="Arial"/>
          <w:color w:val="FF0000"/>
          <w:sz w:val="20"/>
          <w:u w:val="none"/>
          <w:shd w:val="clear" w:color="auto" w:fill="FFFFFF"/>
        </w:rPr>
      </w:pPr>
      <w:r w:rsidRPr="00F83BFF">
        <w:rPr>
          <w:rFonts w:ascii="Arial" w:hAnsi="Arial" w:cs="Arial"/>
          <w:sz w:val="20"/>
          <w:u w:val="none"/>
        </w:rPr>
        <w:t xml:space="preserve">The Committee notes the progress in the implementation of economic reforms that are </w:t>
      </w:r>
      <w:r w:rsidRPr="00F83BFF">
        <w:rPr>
          <w:rFonts w:ascii="Arial" w:hAnsi="Arial" w:cs="Arial"/>
          <w:color w:val="000000" w:themeColor="text1"/>
          <w:sz w:val="20"/>
          <w:u w:val="none"/>
        </w:rPr>
        <w:t>expected to support investment and job creation under Operation Vulindlela.</w:t>
      </w:r>
      <w:r w:rsidR="00360996" w:rsidRPr="00F83BFF">
        <w:rPr>
          <w:rFonts w:ascii="Arial" w:hAnsi="Arial" w:cs="Arial"/>
          <w:color w:val="000000" w:themeColor="text1"/>
          <w:sz w:val="20"/>
          <w:u w:val="none"/>
        </w:rPr>
        <w:t xml:space="preserve"> </w:t>
      </w:r>
      <w:r w:rsidRPr="00F83BFF">
        <w:rPr>
          <w:rFonts w:ascii="Arial" w:hAnsi="Arial" w:cs="Arial"/>
          <w:color w:val="000000" w:themeColor="text1"/>
          <w:sz w:val="20"/>
          <w:u w:val="none"/>
        </w:rPr>
        <w:t xml:space="preserve">We note that on </w:t>
      </w:r>
      <w:r w:rsidRPr="00F83BFF">
        <w:rPr>
          <w:rFonts w:ascii="Arial" w:hAnsi="Arial" w:cs="Arial"/>
          <w:color w:val="000000" w:themeColor="text1"/>
          <w:sz w:val="20"/>
          <w:u w:val="none"/>
        </w:rPr>
        <w:lastRenderedPageBreak/>
        <w:t xml:space="preserve">the energy space, the National Energy Crisis Committee </w:t>
      </w:r>
      <w:r w:rsidR="00360996" w:rsidRPr="00F83BFF">
        <w:rPr>
          <w:rFonts w:ascii="Arial" w:hAnsi="Arial" w:cs="Arial"/>
          <w:color w:val="000000" w:themeColor="text1"/>
          <w:sz w:val="20"/>
          <w:u w:val="none"/>
        </w:rPr>
        <w:t>will</w:t>
      </w:r>
      <w:r w:rsidRPr="00F83BFF">
        <w:rPr>
          <w:rFonts w:ascii="Arial" w:hAnsi="Arial" w:cs="Arial"/>
          <w:color w:val="000000" w:themeColor="text1"/>
          <w:sz w:val="20"/>
          <w:u w:val="none"/>
        </w:rPr>
        <w:t xml:space="preserve"> focus on improving the performance of existing power stations and adding new generation capacity to the grid, which is estimated at about 14 gigawatts over the next two year</w:t>
      </w:r>
      <w:r w:rsidR="00360996" w:rsidRPr="00F83BFF">
        <w:rPr>
          <w:rFonts w:ascii="Arial" w:hAnsi="Arial" w:cs="Arial"/>
          <w:color w:val="000000" w:themeColor="text1"/>
          <w:sz w:val="20"/>
          <w:u w:val="none"/>
        </w:rPr>
        <w:t>s</w:t>
      </w:r>
      <w:r w:rsidRPr="00F83BFF">
        <w:rPr>
          <w:rFonts w:ascii="Arial" w:hAnsi="Arial" w:cs="Arial"/>
          <w:color w:val="000000" w:themeColor="text1"/>
          <w:sz w:val="20"/>
          <w:u w:val="none"/>
        </w:rPr>
        <w:t xml:space="preserve">. We also note the corporatisation of Transnet National Ports Authority and the gazetting of the National Rail Policy in May 2022, with a focus on raising competitiveness, lower logistics costs and encouraging investments. We note further that the broadband high value spectrum has been auctioned and draft by-laws for redeployment of telecommunications infrastructure have been published for public comments. The Committee continues to urge for speed to the finalisation and implementation of these and other similar reforms in order </w:t>
      </w:r>
      <w:r w:rsidR="00360996" w:rsidRPr="00F83BFF">
        <w:rPr>
          <w:rFonts w:ascii="Arial" w:hAnsi="Arial" w:cs="Arial"/>
          <w:color w:val="000000" w:themeColor="text1"/>
          <w:sz w:val="20"/>
          <w:u w:val="none"/>
        </w:rPr>
        <w:t xml:space="preserve">to </w:t>
      </w:r>
      <w:r w:rsidRPr="00F83BFF">
        <w:rPr>
          <w:rFonts w:ascii="Arial" w:hAnsi="Arial" w:cs="Arial"/>
          <w:color w:val="000000" w:themeColor="text1"/>
          <w:sz w:val="20"/>
          <w:u w:val="none"/>
        </w:rPr>
        <w:t>enhance growth.</w:t>
      </w:r>
      <w:r w:rsidRPr="00F83BFF">
        <w:rPr>
          <w:rFonts w:ascii="Arial" w:hAnsi="Arial" w:cs="Arial"/>
          <w:color w:val="FF0000"/>
          <w:sz w:val="20"/>
        </w:rPr>
        <w:t xml:space="preserve"> </w:t>
      </w:r>
    </w:p>
    <w:p w:rsidR="008108C0" w:rsidRPr="00F83BFF" w:rsidRDefault="008108C0"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Committee </w:t>
      </w:r>
      <w:r w:rsidR="008A08CD" w:rsidRPr="00F83BFF">
        <w:rPr>
          <w:rFonts w:ascii="Arial" w:hAnsi="Arial" w:cs="Arial"/>
          <w:sz w:val="20"/>
          <w:u w:val="none"/>
        </w:rPr>
        <w:t>notes</w:t>
      </w:r>
      <w:r w:rsidRPr="00F83BFF">
        <w:rPr>
          <w:rFonts w:ascii="Arial" w:hAnsi="Arial" w:cs="Arial"/>
          <w:sz w:val="20"/>
          <w:u w:val="none"/>
        </w:rPr>
        <w:t xml:space="preserve"> that the 2022 MTBPS does not adequately </w:t>
      </w:r>
      <w:r w:rsidR="006771AA" w:rsidRPr="00F83BFF">
        <w:rPr>
          <w:rFonts w:ascii="Arial" w:hAnsi="Arial" w:cs="Arial"/>
          <w:sz w:val="20"/>
          <w:u w:val="none"/>
        </w:rPr>
        <w:t xml:space="preserve">focus on the </w:t>
      </w:r>
      <w:r w:rsidR="0011301B" w:rsidRPr="00F83BFF">
        <w:rPr>
          <w:rFonts w:ascii="Arial" w:hAnsi="Arial" w:cs="Arial"/>
          <w:sz w:val="20"/>
          <w:u w:val="none"/>
        </w:rPr>
        <w:t>Economic Reconstruction and Recovery Plan (</w:t>
      </w:r>
      <w:r w:rsidRPr="00F83BFF">
        <w:rPr>
          <w:rFonts w:ascii="Arial" w:hAnsi="Arial" w:cs="Arial"/>
          <w:sz w:val="20"/>
          <w:u w:val="none"/>
        </w:rPr>
        <w:t>ERRP</w:t>
      </w:r>
      <w:r w:rsidR="0011301B" w:rsidRPr="00F83BFF">
        <w:rPr>
          <w:rFonts w:ascii="Arial" w:hAnsi="Arial" w:cs="Arial"/>
          <w:sz w:val="20"/>
          <w:u w:val="none"/>
        </w:rPr>
        <w:t>)</w:t>
      </w:r>
      <w:r w:rsidR="006771AA" w:rsidRPr="00F83BFF">
        <w:rPr>
          <w:rFonts w:ascii="Arial" w:hAnsi="Arial" w:cs="Arial"/>
          <w:sz w:val="20"/>
          <w:u w:val="none"/>
        </w:rPr>
        <w:t xml:space="preserve">, particularly on progress. </w:t>
      </w:r>
      <w:r w:rsidRPr="00F83BFF">
        <w:rPr>
          <w:rFonts w:ascii="Arial" w:hAnsi="Arial" w:cs="Arial"/>
          <w:sz w:val="20"/>
          <w:u w:val="none"/>
        </w:rPr>
        <w:t>The Committee recommends that</w:t>
      </w:r>
      <w:r w:rsidR="0011301B" w:rsidRPr="00F83BFF">
        <w:rPr>
          <w:rFonts w:ascii="Arial" w:hAnsi="Arial" w:cs="Arial"/>
          <w:sz w:val="20"/>
          <w:u w:val="none"/>
        </w:rPr>
        <w:t xml:space="preserve"> a forum should be created </w:t>
      </w:r>
      <w:r w:rsidR="00FC1E2E" w:rsidRPr="00F83BFF">
        <w:rPr>
          <w:rFonts w:ascii="Arial" w:hAnsi="Arial" w:cs="Arial"/>
          <w:sz w:val="20"/>
          <w:u w:val="none"/>
        </w:rPr>
        <w:t xml:space="preserve">consisting of </w:t>
      </w:r>
      <w:r w:rsidRPr="00F83BFF">
        <w:rPr>
          <w:rFonts w:ascii="Arial" w:hAnsi="Arial" w:cs="Arial"/>
          <w:sz w:val="20"/>
          <w:u w:val="none"/>
        </w:rPr>
        <w:t xml:space="preserve">the PBO, FFC, NT and other experts to discuss the </w:t>
      </w:r>
      <w:r w:rsidR="0011301B" w:rsidRPr="00F83BFF">
        <w:rPr>
          <w:rFonts w:ascii="Arial" w:hAnsi="Arial" w:cs="Arial"/>
          <w:sz w:val="20"/>
          <w:u w:val="none"/>
        </w:rPr>
        <w:t xml:space="preserve">economic growth </w:t>
      </w:r>
      <w:r w:rsidR="00254FCD" w:rsidRPr="00F83BFF">
        <w:rPr>
          <w:rFonts w:ascii="Arial" w:hAnsi="Arial" w:cs="Arial"/>
          <w:sz w:val="20"/>
          <w:u w:val="none"/>
        </w:rPr>
        <w:t xml:space="preserve">trajectory and </w:t>
      </w:r>
      <w:r w:rsidR="00BB0127" w:rsidRPr="00F83BFF">
        <w:rPr>
          <w:rFonts w:ascii="Arial" w:hAnsi="Arial" w:cs="Arial"/>
          <w:sz w:val="20"/>
          <w:u w:val="none"/>
        </w:rPr>
        <w:t>strategy</w:t>
      </w:r>
      <w:r w:rsidR="0011301B" w:rsidRPr="00F83BFF">
        <w:rPr>
          <w:rFonts w:ascii="Arial" w:hAnsi="Arial" w:cs="Arial"/>
          <w:sz w:val="20"/>
          <w:u w:val="none"/>
        </w:rPr>
        <w:t xml:space="preserve"> that would </w:t>
      </w:r>
      <w:r w:rsidR="00E4156C" w:rsidRPr="00F83BFF">
        <w:rPr>
          <w:rFonts w:ascii="Arial" w:hAnsi="Arial" w:cs="Arial"/>
          <w:sz w:val="20"/>
          <w:u w:val="none"/>
        </w:rPr>
        <w:t>put</w:t>
      </w:r>
      <w:r w:rsidR="0011301B" w:rsidRPr="00F83BFF">
        <w:rPr>
          <w:rFonts w:ascii="Arial" w:hAnsi="Arial" w:cs="Arial"/>
          <w:sz w:val="20"/>
          <w:u w:val="none"/>
        </w:rPr>
        <w:t xml:space="preserve"> South Africa on a</w:t>
      </w:r>
      <w:r w:rsidR="00E4156C" w:rsidRPr="00F83BFF">
        <w:rPr>
          <w:rFonts w:ascii="Arial" w:hAnsi="Arial" w:cs="Arial"/>
          <w:sz w:val="20"/>
          <w:u w:val="none"/>
        </w:rPr>
        <w:t xml:space="preserve"> sustainable upward growth trajectory, as the</w:t>
      </w:r>
      <w:r w:rsidRPr="00F83BFF">
        <w:rPr>
          <w:rFonts w:ascii="Arial" w:hAnsi="Arial" w:cs="Arial"/>
          <w:sz w:val="20"/>
          <w:u w:val="none"/>
        </w:rPr>
        <w:t xml:space="preserve"> current fortunes derived from the commodity price boom are temporary and should not </w:t>
      </w:r>
      <w:r w:rsidR="00E4156C" w:rsidRPr="00F83BFF">
        <w:rPr>
          <w:rFonts w:ascii="Arial" w:hAnsi="Arial" w:cs="Arial"/>
          <w:sz w:val="20"/>
          <w:u w:val="none"/>
        </w:rPr>
        <w:t xml:space="preserve">be </w:t>
      </w:r>
      <w:r w:rsidRPr="00F83BFF">
        <w:rPr>
          <w:rFonts w:ascii="Arial" w:hAnsi="Arial" w:cs="Arial"/>
          <w:sz w:val="20"/>
          <w:u w:val="none"/>
        </w:rPr>
        <w:t>over</w:t>
      </w:r>
      <w:r w:rsidR="00E4156C" w:rsidRPr="00F83BFF">
        <w:rPr>
          <w:rFonts w:ascii="Arial" w:hAnsi="Arial" w:cs="Arial"/>
          <w:sz w:val="20"/>
          <w:u w:val="none"/>
        </w:rPr>
        <w:t xml:space="preserve">ly relied </w:t>
      </w:r>
      <w:r w:rsidR="00254FCD" w:rsidRPr="00F83BFF">
        <w:rPr>
          <w:rFonts w:ascii="Arial" w:hAnsi="Arial" w:cs="Arial"/>
          <w:sz w:val="20"/>
          <w:u w:val="none"/>
        </w:rPr>
        <w:t>up</w:t>
      </w:r>
      <w:r w:rsidR="00E4156C" w:rsidRPr="00F83BFF">
        <w:rPr>
          <w:rFonts w:ascii="Arial" w:hAnsi="Arial" w:cs="Arial"/>
          <w:sz w:val="20"/>
          <w:u w:val="none"/>
        </w:rPr>
        <w:t>on</w:t>
      </w:r>
      <w:r w:rsidR="006771AA" w:rsidRPr="00F83BFF">
        <w:rPr>
          <w:rFonts w:ascii="Arial" w:hAnsi="Arial" w:cs="Arial"/>
          <w:sz w:val="20"/>
          <w:u w:val="none"/>
        </w:rPr>
        <w:t>, as NT itself concedes.</w:t>
      </w:r>
    </w:p>
    <w:p w:rsidR="004918AF" w:rsidRPr="00F83BFF" w:rsidRDefault="006771AA" w:rsidP="00F83BFF">
      <w:pPr>
        <w:pStyle w:val="Heading3"/>
        <w:spacing w:before="0" w:line="240" w:lineRule="auto"/>
        <w:rPr>
          <w:rFonts w:ascii="Arial" w:hAnsi="Arial" w:cs="Arial"/>
          <w:sz w:val="20"/>
          <w:u w:val="none"/>
        </w:rPr>
      </w:pPr>
      <w:r w:rsidRPr="00F83BFF">
        <w:rPr>
          <w:rFonts w:ascii="Arial" w:hAnsi="Arial" w:cs="Arial"/>
          <w:sz w:val="20"/>
          <w:u w:val="none"/>
        </w:rPr>
        <w:t>S</w:t>
      </w:r>
      <w:r w:rsidR="00834EFD" w:rsidRPr="00F83BFF">
        <w:rPr>
          <w:rFonts w:ascii="Arial" w:hAnsi="Arial" w:cs="Arial"/>
          <w:sz w:val="20"/>
          <w:u w:val="none"/>
        </w:rPr>
        <w:t xml:space="preserve">ince November 2021, the South African Reserve Bank has hiked the repurchase (repo) rate by 275 basis points with the intention of maintaining price stability amid raging inflation. </w:t>
      </w:r>
      <w:r w:rsidR="004E4B40" w:rsidRPr="00F83BFF">
        <w:rPr>
          <w:rFonts w:ascii="Arial" w:hAnsi="Arial" w:cs="Arial"/>
          <w:sz w:val="20"/>
          <w:u w:val="none"/>
        </w:rPr>
        <w:t>While inflation targeting falls</w:t>
      </w:r>
      <w:r w:rsidR="005B20CE" w:rsidRPr="00F83BFF">
        <w:rPr>
          <w:rFonts w:ascii="Arial" w:hAnsi="Arial" w:cs="Arial"/>
          <w:sz w:val="20"/>
          <w:u w:val="none"/>
        </w:rPr>
        <w:t xml:space="preserve"> within</w:t>
      </w:r>
      <w:r w:rsidR="004E4B40" w:rsidRPr="00F83BFF">
        <w:rPr>
          <w:rFonts w:ascii="Arial" w:hAnsi="Arial" w:cs="Arial"/>
          <w:sz w:val="20"/>
          <w:u w:val="none"/>
        </w:rPr>
        <w:t xml:space="preserve"> the ambit of the S</w:t>
      </w:r>
      <w:r w:rsidR="0088584A" w:rsidRPr="00F83BFF">
        <w:rPr>
          <w:rFonts w:ascii="Arial" w:hAnsi="Arial" w:cs="Arial"/>
          <w:sz w:val="20"/>
          <w:u w:val="none"/>
        </w:rPr>
        <w:t xml:space="preserve">outh </w:t>
      </w:r>
      <w:r w:rsidR="004E4B40" w:rsidRPr="00F83BFF">
        <w:rPr>
          <w:rFonts w:ascii="Arial" w:hAnsi="Arial" w:cs="Arial"/>
          <w:sz w:val="20"/>
          <w:u w:val="none"/>
        </w:rPr>
        <w:t>A</w:t>
      </w:r>
      <w:r w:rsidR="0088584A" w:rsidRPr="00F83BFF">
        <w:rPr>
          <w:rFonts w:ascii="Arial" w:hAnsi="Arial" w:cs="Arial"/>
          <w:sz w:val="20"/>
          <w:u w:val="none"/>
        </w:rPr>
        <w:t xml:space="preserve">frican </w:t>
      </w:r>
      <w:r w:rsidR="004E4B40" w:rsidRPr="00F83BFF">
        <w:rPr>
          <w:rFonts w:ascii="Arial" w:hAnsi="Arial" w:cs="Arial"/>
          <w:sz w:val="20"/>
          <w:u w:val="none"/>
        </w:rPr>
        <w:t>R</w:t>
      </w:r>
      <w:r w:rsidR="0088584A" w:rsidRPr="00F83BFF">
        <w:rPr>
          <w:rFonts w:ascii="Arial" w:hAnsi="Arial" w:cs="Arial"/>
          <w:sz w:val="20"/>
          <w:u w:val="none"/>
        </w:rPr>
        <w:t xml:space="preserve">eserve </w:t>
      </w:r>
      <w:r w:rsidR="004E4B40" w:rsidRPr="00F83BFF">
        <w:rPr>
          <w:rFonts w:ascii="Arial" w:hAnsi="Arial" w:cs="Arial"/>
          <w:sz w:val="20"/>
          <w:u w:val="none"/>
        </w:rPr>
        <w:t>B</w:t>
      </w:r>
      <w:r w:rsidR="0088584A" w:rsidRPr="00F83BFF">
        <w:rPr>
          <w:rFonts w:ascii="Arial" w:hAnsi="Arial" w:cs="Arial"/>
          <w:sz w:val="20"/>
          <w:u w:val="none"/>
        </w:rPr>
        <w:t>ank</w:t>
      </w:r>
      <w:r w:rsidR="002A1C8F" w:rsidRPr="00F83BFF">
        <w:rPr>
          <w:rFonts w:ascii="Arial" w:hAnsi="Arial" w:cs="Arial"/>
          <w:sz w:val="20"/>
          <w:u w:val="none"/>
        </w:rPr>
        <w:t xml:space="preserve"> (SARB)</w:t>
      </w:r>
      <w:r w:rsidR="004E4B40" w:rsidRPr="00F83BFF">
        <w:rPr>
          <w:rFonts w:ascii="Arial" w:hAnsi="Arial" w:cs="Arial"/>
          <w:sz w:val="20"/>
          <w:u w:val="none"/>
        </w:rPr>
        <w:t xml:space="preserve">, the Committee </w:t>
      </w:r>
      <w:r w:rsidR="005B20CE" w:rsidRPr="00F83BFF">
        <w:rPr>
          <w:rFonts w:ascii="Arial" w:hAnsi="Arial" w:cs="Arial"/>
          <w:sz w:val="20"/>
          <w:u w:val="none"/>
        </w:rPr>
        <w:t>is concerned</w:t>
      </w:r>
      <w:r w:rsidR="004E4B40" w:rsidRPr="00F83BFF">
        <w:rPr>
          <w:rFonts w:ascii="Arial" w:hAnsi="Arial" w:cs="Arial"/>
          <w:sz w:val="20"/>
          <w:u w:val="none"/>
        </w:rPr>
        <w:t xml:space="preserve"> about the </w:t>
      </w:r>
      <w:r w:rsidR="005B20CE" w:rsidRPr="00F83BFF">
        <w:rPr>
          <w:rFonts w:ascii="Arial" w:hAnsi="Arial" w:cs="Arial"/>
          <w:sz w:val="20"/>
          <w:u w:val="none"/>
        </w:rPr>
        <w:t xml:space="preserve">impact of the </w:t>
      </w:r>
      <w:r w:rsidR="004E4B40" w:rsidRPr="00F83BFF">
        <w:rPr>
          <w:rFonts w:ascii="Arial" w:hAnsi="Arial" w:cs="Arial"/>
          <w:sz w:val="20"/>
          <w:u w:val="none"/>
        </w:rPr>
        <w:t>continued</w:t>
      </w:r>
      <w:r w:rsidR="005B20CE" w:rsidRPr="00F83BFF">
        <w:rPr>
          <w:rFonts w:ascii="Arial" w:hAnsi="Arial" w:cs="Arial"/>
          <w:sz w:val="20"/>
          <w:u w:val="none"/>
        </w:rPr>
        <w:t xml:space="preserve"> tightening of monetary policy and the impact of this on the cost of living, particularly for the poor and unemployed. </w:t>
      </w:r>
      <w:r w:rsidR="00B9047A" w:rsidRPr="00F83BFF">
        <w:rPr>
          <w:rFonts w:ascii="Arial" w:hAnsi="Arial" w:cs="Arial"/>
          <w:sz w:val="20"/>
          <w:u w:val="none"/>
        </w:rPr>
        <w:t>T</w:t>
      </w:r>
      <w:r w:rsidR="00DD48C1" w:rsidRPr="00F83BFF">
        <w:rPr>
          <w:rFonts w:ascii="Arial" w:hAnsi="Arial" w:cs="Arial"/>
          <w:sz w:val="20"/>
          <w:u w:val="none"/>
        </w:rPr>
        <w:t xml:space="preserve">he Committee </w:t>
      </w:r>
      <w:r w:rsidR="00B9047A" w:rsidRPr="00F83BFF">
        <w:rPr>
          <w:rFonts w:ascii="Arial" w:hAnsi="Arial" w:cs="Arial"/>
          <w:sz w:val="20"/>
          <w:u w:val="none"/>
        </w:rPr>
        <w:t xml:space="preserve">however </w:t>
      </w:r>
      <w:r w:rsidR="00DD48C1" w:rsidRPr="00F83BFF">
        <w:rPr>
          <w:rFonts w:ascii="Arial" w:hAnsi="Arial" w:cs="Arial"/>
          <w:sz w:val="20"/>
          <w:u w:val="none"/>
        </w:rPr>
        <w:t xml:space="preserve">understands that there are global pressures as other </w:t>
      </w:r>
      <w:r w:rsidR="00F05291" w:rsidRPr="00F83BFF">
        <w:rPr>
          <w:rFonts w:ascii="Arial" w:hAnsi="Arial" w:cs="Arial"/>
          <w:sz w:val="20"/>
          <w:u w:val="none"/>
        </w:rPr>
        <w:t>central</w:t>
      </w:r>
      <w:r w:rsidR="00DD48C1" w:rsidRPr="00F83BFF">
        <w:rPr>
          <w:rFonts w:ascii="Arial" w:hAnsi="Arial" w:cs="Arial"/>
          <w:sz w:val="20"/>
          <w:u w:val="none"/>
        </w:rPr>
        <w:t xml:space="preserve"> banks </w:t>
      </w:r>
      <w:r w:rsidR="006A17BB" w:rsidRPr="00F83BFF">
        <w:rPr>
          <w:rFonts w:ascii="Arial" w:hAnsi="Arial" w:cs="Arial"/>
          <w:sz w:val="20"/>
          <w:u w:val="none"/>
        </w:rPr>
        <w:t xml:space="preserve">are </w:t>
      </w:r>
      <w:r w:rsidR="00B9047A" w:rsidRPr="00F83BFF">
        <w:rPr>
          <w:rFonts w:ascii="Arial" w:hAnsi="Arial" w:cs="Arial"/>
          <w:sz w:val="20"/>
          <w:u w:val="none"/>
        </w:rPr>
        <w:t>tighten</w:t>
      </w:r>
      <w:r w:rsidR="006A17BB" w:rsidRPr="00F83BFF">
        <w:rPr>
          <w:rFonts w:ascii="Arial" w:hAnsi="Arial" w:cs="Arial"/>
          <w:sz w:val="20"/>
          <w:u w:val="none"/>
        </w:rPr>
        <w:t>ing</w:t>
      </w:r>
      <w:r w:rsidR="00DD48C1" w:rsidRPr="00F83BFF">
        <w:rPr>
          <w:rFonts w:ascii="Arial" w:hAnsi="Arial" w:cs="Arial"/>
          <w:sz w:val="20"/>
          <w:u w:val="none"/>
        </w:rPr>
        <w:t xml:space="preserve"> their monetary polic</w:t>
      </w:r>
      <w:r w:rsidR="00B41746" w:rsidRPr="00F83BFF">
        <w:rPr>
          <w:rFonts w:ascii="Arial" w:hAnsi="Arial" w:cs="Arial"/>
          <w:sz w:val="20"/>
          <w:u w:val="none"/>
        </w:rPr>
        <w:t>y</w:t>
      </w:r>
      <w:r w:rsidR="00DD48C1" w:rsidRPr="00F83BFF">
        <w:rPr>
          <w:rFonts w:ascii="Arial" w:hAnsi="Arial" w:cs="Arial"/>
          <w:sz w:val="20"/>
          <w:u w:val="none"/>
        </w:rPr>
        <w:t xml:space="preserve"> in response to </w:t>
      </w:r>
      <w:r w:rsidR="008908FA" w:rsidRPr="00F83BFF">
        <w:rPr>
          <w:rFonts w:ascii="Arial" w:hAnsi="Arial" w:cs="Arial"/>
          <w:sz w:val="20"/>
          <w:u w:val="none"/>
        </w:rPr>
        <w:t>inflation</w:t>
      </w:r>
      <w:r w:rsidR="006A17BB" w:rsidRPr="00F83BFF">
        <w:rPr>
          <w:rFonts w:ascii="Arial" w:hAnsi="Arial" w:cs="Arial"/>
          <w:sz w:val="20"/>
          <w:u w:val="none"/>
        </w:rPr>
        <w:t xml:space="preserve"> in their jurisdiction</w:t>
      </w:r>
      <w:r w:rsidR="00B41746" w:rsidRPr="00F83BFF">
        <w:rPr>
          <w:rFonts w:ascii="Arial" w:hAnsi="Arial" w:cs="Arial"/>
          <w:sz w:val="20"/>
          <w:u w:val="none"/>
        </w:rPr>
        <w:t>s</w:t>
      </w:r>
      <w:r w:rsidR="006A17BB" w:rsidRPr="00F83BFF">
        <w:rPr>
          <w:rFonts w:ascii="Arial" w:hAnsi="Arial" w:cs="Arial"/>
          <w:sz w:val="20"/>
          <w:u w:val="none"/>
        </w:rPr>
        <w:t>. T</w:t>
      </w:r>
      <w:r w:rsidR="005B20CE" w:rsidRPr="00F83BFF">
        <w:rPr>
          <w:rFonts w:ascii="Arial" w:hAnsi="Arial" w:cs="Arial"/>
          <w:sz w:val="20"/>
          <w:u w:val="none"/>
        </w:rPr>
        <w:t>he Committee believes t</w:t>
      </w:r>
      <w:r w:rsidR="008908FA" w:rsidRPr="00F83BFF">
        <w:rPr>
          <w:rFonts w:ascii="Arial" w:hAnsi="Arial" w:cs="Arial"/>
          <w:sz w:val="20"/>
          <w:u w:val="none"/>
        </w:rPr>
        <w:t xml:space="preserve">hat there is </w:t>
      </w:r>
      <w:r w:rsidR="006A17BB" w:rsidRPr="00F83BFF">
        <w:rPr>
          <w:rFonts w:ascii="Arial" w:hAnsi="Arial" w:cs="Arial"/>
          <w:sz w:val="20"/>
          <w:u w:val="none"/>
        </w:rPr>
        <w:t xml:space="preserve">however a </w:t>
      </w:r>
      <w:r w:rsidR="008908FA" w:rsidRPr="00F83BFF">
        <w:rPr>
          <w:rFonts w:ascii="Arial" w:hAnsi="Arial" w:cs="Arial"/>
          <w:sz w:val="20"/>
          <w:u w:val="none"/>
        </w:rPr>
        <w:t xml:space="preserve">need for </w:t>
      </w:r>
      <w:r w:rsidRPr="00F83BFF">
        <w:rPr>
          <w:rFonts w:ascii="Arial" w:hAnsi="Arial" w:cs="Arial"/>
          <w:sz w:val="20"/>
          <w:u w:val="none"/>
        </w:rPr>
        <w:t xml:space="preserve">far more effective </w:t>
      </w:r>
      <w:r w:rsidR="005B20CE" w:rsidRPr="00F83BFF">
        <w:rPr>
          <w:rFonts w:ascii="Arial" w:hAnsi="Arial" w:cs="Arial"/>
          <w:sz w:val="20"/>
          <w:u w:val="none"/>
        </w:rPr>
        <w:t xml:space="preserve">coordination </w:t>
      </w:r>
      <w:r w:rsidR="008908FA" w:rsidRPr="00F83BFF">
        <w:rPr>
          <w:rFonts w:ascii="Arial" w:hAnsi="Arial" w:cs="Arial"/>
          <w:sz w:val="20"/>
          <w:u w:val="none"/>
        </w:rPr>
        <w:t xml:space="preserve">between the </w:t>
      </w:r>
      <w:r w:rsidR="005B20CE" w:rsidRPr="00F83BFF">
        <w:rPr>
          <w:rFonts w:ascii="Arial" w:hAnsi="Arial" w:cs="Arial"/>
          <w:sz w:val="20"/>
          <w:u w:val="none"/>
        </w:rPr>
        <w:t>fiscal and monetary polic</w:t>
      </w:r>
      <w:r w:rsidR="008908FA" w:rsidRPr="00F83BFF">
        <w:rPr>
          <w:rFonts w:ascii="Arial" w:hAnsi="Arial" w:cs="Arial"/>
          <w:sz w:val="20"/>
          <w:u w:val="none"/>
        </w:rPr>
        <w:t>ies</w:t>
      </w:r>
      <w:r w:rsidR="005B20CE" w:rsidRPr="00F83BFF">
        <w:rPr>
          <w:rFonts w:ascii="Arial" w:hAnsi="Arial" w:cs="Arial"/>
          <w:sz w:val="20"/>
          <w:u w:val="none"/>
        </w:rPr>
        <w:t xml:space="preserve"> and recommends that </w:t>
      </w:r>
      <w:r w:rsidR="00786AA0" w:rsidRPr="00F83BFF">
        <w:rPr>
          <w:rFonts w:ascii="Arial" w:hAnsi="Arial" w:cs="Arial"/>
          <w:sz w:val="20"/>
          <w:u w:val="none"/>
        </w:rPr>
        <w:t xml:space="preserve">the </w:t>
      </w:r>
      <w:r w:rsidR="005B20CE" w:rsidRPr="00F83BFF">
        <w:rPr>
          <w:rFonts w:ascii="Arial" w:hAnsi="Arial" w:cs="Arial"/>
          <w:sz w:val="20"/>
          <w:u w:val="none"/>
        </w:rPr>
        <w:t>N</w:t>
      </w:r>
      <w:r w:rsidR="00786AA0" w:rsidRPr="00F83BFF">
        <w:rPr>
          <w:rFonts w:ascii="Arial" w:hAnsi="Arial" w:cs="Arial"/>
          <w:sz w:val="20"/>
          <w:u w:val="none"/>
        </w:rPr>
        <w:t xml:space="preserve">ational </w:t>
      </w:r>
      <w:r w:rsidR="005B20CE" w:rsidRPr="00F83BFF">
        <w:rPr>
          <w:rFonts w:ascii="Arial" w:hAnsi="Arial" w:cs="Arial"/>
          <w:sz w:val="20"/>
          <w:u w:val="none"/>
        </w:rPr>
        <w:t>T</w:t>
      </w:r>
      <w:r w:rsidR="00786AA0" w:rsidRPr="00F83BFF">
        <w:rPr>
          <w:rFonts w:ascii="Arial" w:hAnsi="Arial" w:cs="Arial"/>
          <w:sz w:val="20"/>
          <w:u w:val="none"/>
        </w:rPr>
        <w:t>reasury</w:t>
      </w:r>
      <w:r w:rsidR="005B20CE" w:rsidRPr="00F83BFF">
        <w:rPr>
          <w:rFonts w:ascii="Arial" w:hAnsi="Arial" w:cs="Arial"/>
          <w:sz w:val="20"/>
          <w:u w:val="none"/>
        </w:rPr>
        <w:t xml:space="preserve"> consider</w:t>
      </w:r>
      <w:r w:rsidR="00786AA0" w:rsidRPr="00F83BFF">
        <w:rPr>
          <w:rFonts w:ascii="Arial" w:hAnsi="Arial" w:cs="Arial"/>
          <w:sz w:val="20"/>
          <w:u w:val="none"/>
        </w:rPr>
        <w:t>s</w:t>
      </w:r>
      <w:r w:rsidR="005B20CE" w:rsidRPr="00F83BFF">
        <w:rPr>
          <w:rFonts w:ascii="Arial" w:hAnsi="Arial" w:cs="Arial"/>
          <w:sz w:val="20"/>
          <w:u w:val="none"/>
        </w:rPr>
        <w:t xml:space="preserve"> the </w:t>
      </w:r>
      <w:r w:rsidR="004E4B40" w:rsidRPr="00F83BFF">
        <w:rPr>
          <w:rFonts w:ascii="Arial" w:hAnsi="Arial" w:cs="Arial"/>
          <w:sz w:val="20"/>
          <w:u w:val="none"/>
        </w:rPr>
        <w:t>FFC</w:t>
      </w:r>
      <w:r w:rsidR="005B20CE" w:rsidRPr="00F83BFF">
        <w:rPr>
          <w:rFonts w:ascii="Arial" w:hAnsi="Arial" w:cs="Arial"/>
          <w:sz w:val="20"/>
          <w:u w:val="none"/>
        </w:rPr>
        <w:t>’s view</w:t>
      </w:r>
      <w:r w:rsidR="004E4B40" w:rsidRPr="00F83BFF">
        <w:rPr>
          <w:rFonts w:ascii="Arial" w:hAnsi="Arial" w:cs="Arial"/>
          <w:sz w:val="20"/>
          <w:u w:val="none"/>
        </w:rPr>
        <w:t xml:space="preserve"> that </w:t>
      </w:r>
      <w:r w:rsidR="005B20CE" w:rsidRPr="00F83BFF">
        <w:rPr>
          <w:rFonts w:ascii="Arial" w:hAnsi="Arial" w:cs="Arial"/>
          <w:sz w:val="20"/>
          <w:u w:val="none"/>
        </w:rPr>
        <w:t>“</w:t>
      </w:r>
      <w:r w:rsidR="004E4B40" w:rsidRPr="00F83BFF">
        <w:rPr>
          <w:rFonts w:ascii="Arial" w:hAnsi="Arial" w:cs="Arial"/>
          <w:sz w:val="20"/>
          <w:u w:val="none"/>
        </w:rPr>
        <w:t>if fiscal policy is credible and sustainable, that would remove pressure from the monetary policy or on the SARB to hike interest rates</w:t>
      </w:r>
      <w:r w:rsidR="005B20CE" w:rsidRPr="00F83BFF">
        <w:rPr>
          <w:rFonts w:ascii="Arial" w:hAnsi="Arial" w:cs="Arial"/>
          <w:sz w:val="20"/>
          <w:u w:val="none"/>
        </w:rPr>
        <w:t>”</w:t>
      </w:r>
      <w:r w:rsidR="004E4B40" w:rsidRPr="00F83BFF">
        <w:rPr>
          <w:rFonts w:ascii="Arial" w:hAnsi="Arial" w:cs="Arial"/>
          <w:sz w:val="20"/>
          <w:u w:val="none"/>
        </w:rPr>
        <w:t>.</w:t>
      </w:r>
      <w:r w:rsidR="006D52E6" w:rsidRPr="00F83BFF">
        <w:rPr>
          <w:rFonts w:ascii="Arial" w:hAnsi="Arial" w:cs="Arial"/>
          <w:sz w:val="20"/>
          <w:u w:val="none"/>
        </w:rPr>
        <w:t xml:space="preserve"> The Committee will also engage with SARB in order to understand if there are no other favourable policy alternatives </w:t>
      </w:r>
      <w:r w:rsidR="00FC5FD4" w:rsidRPr="00F83BFF">
        <w:rPr>
          <w:rFonts w:ascii="Arial" w:hAnsi="Arial" w:cs="Arial"/>
          <w:sz w:val="20"/>
          <w:u w:val="none"/>
        </w:rPr>
        <w:t xml:space="preserve">that could be implemented, within the constitutional and legislative mandate of SARB, </w:t>
      </w:r>
      <w:r w:rsidR="006D52E6" w:rsidRPr="00F83BFF">
        <w:rPr>
          <w:rFonts w:ascii="Arial" w:hAnsi="Arial" w:cs="Arial"/>
          <w:sz w:val="20"/>
          <w:u w:val="none"/>
        </w:rPr>
        <w:t xml:space="preserve">which </w:t>
      </w:r>
      <w:r w:rsidR="00173367" w:rsidRPr="00F83BFF">
        <w:rPr>
          <w:rFonts w:ascii="Arial" w:hAnsi="Arial" w:cs="Arial"/>
          <w:sz w:val="20"/>
          <w:u w:val="none"/>
        </w:rPr>
        <w:t xml:space="preserve">would </w:t>
      </w:r>
      <w:r w:rsidR="006D52E6" w:rsidRPr="00F83BFF">
        <w:rPr>
          <w:rFonts w:ascii="Arial" w:hAnsi="Arial" w:cs="Arial"/>
          <w:sz w:val="20"/>
          <w:u w:val="none"/>
        </w:rPr>
        <w:t xml:space="preserve">not involve the aggressive hiking of </w:t>
      </w:r>
      <w:r w:rsidR="006C0E37" w:rsidRPr="00F83BFF">
        <w:rPr>
          <w:rFonts w:ascii="Arial" w:hAnsi="Arial" w:cs="Arial"/>
          <w:sz w:val="20"/>
          <w:u w:val="none"/>
        </w:rPr>
        <w:t xml:space="preserve">the repo </w:t>
      </w:r>
      <w:r w:rsidR="006D52E6" w:rsidRPr="00F83BFF">
        <w:rPr>
          <w:rFonts w:ascii="Arial" w:hAnsi="Arial" w:cs="Arial"/>
          <w:sz w:val="20"/>
          <w:u w:val="none"/>
        </w:rPr>
        <w:t>rate</w:t>
      </w:r>
      <w:r w:rsidR="004918AF" w:rsidRPr="00F83BFF">
        <w:rPr>
          <w:rFonts w:ascii="Arial" w:hAnsi="Arial" w:cs="Arial"/>
          <w:sz w:val="20"/>
          <w:u w:val="none"/>
        </w:rPr>
        <w:t xml:space="preserve">. </w:t>
      </w:r>
    </w:p>
    <w:p w:rsidR="002C2376" w:rsidRPr="00F83BFF" w:rsidRDefault="00C23F7D" w:rsidP="00F83BFF">
      <w:pPr>
        <w:pStyle w:val="Heading3"/>
        <w:spacing w:before="0" w:line="240" w:lineRule="auto"/>
        <w:rPr>
          <w:rFonts w:ascii="Arial" w:hAnsi="Arial" w:cs="Arial"/>
          <w:sz w:val="20"/>
          <w:u w:val="none"/>
        </w:rPr>
      </w:pPr>
      <w:r w:rsidRPr="00F83BFF">
        <w:rPr>
          <w:rFonts w:ascii="Arial" w:hAnsi="Arial" w:cs="Arial"/>
          <w:sz w:val="20"/>
          <w:u w:val="none"/>
        </w:rPr>
        <w:t xml:space="preserve">In the 2022 Budget Speech in February, the Minister of Finance stated that he had agreed with the Minister of Minerals and Energy </w:t>
      </w:r>
      <w:r w:rsidR="00984B2F" w:rsidRPr="00F83BFF">
        <w:rPr>
          <w:rFonts w:ascii="Arial" w:hAnsi="Arial" w:cs="Arial"/>
          <w:sz w:val="20"/>
          <w:u w:val="none"/>
        </w:rPr>
        <w:t xml:space="preserve">to review all aspects of the fuel price. </w:t>
      </w:r>
      <w:r w:rsidR="00C37E81" w:rsidRPr="00F83BFF">
        <w:rPr>
          <w:rFonts w:ascii="Arial" w:hAnsi="Arial" w:cs="Arial"/>
          <w:sz w:val="20"/>
          <w:u w:val="none"/>
        </w:rPr>
        <w:t xml:space="preserve">The Committee further notes </w:t>
      </w:r>
      <w:r w:rsidR="0098209C" w:rsidRPr="00F83BFF">
        <w:rPr>
          <w:rFonts w:ascii="Arial" w:hAnsi="Arial" w:cs="Arial"/>
          <w:sz w:val="20"/>
          <w:u w:val="none"/>
        </w:rPr>
        <w:t xml:space="preserve">and welcomes </w:t>
      </w:r>
      <w:r w:rsidR="00C37E81" w:rsidRPr="00F83BFF">
        <w:rPr>
          <w:rFonts w:ascii="Arial" w:hAnsi="Arial" w:cs="Arial"/>
          <w:sz w:val="20"/>
          <w:u w:val="none"/>
        </w:rPr>
        <w:t>the fuel levy relief announced by the two Ministers in March and May 2022</w:t>
      </w:r>
      <w:r w:rsidR="0098209C" w:rsidRPr="00F83BFF">
        <w:rPr>
          <w:rFonts w:ascii="Arial" w:hAnsi="Arial" w:cs="Arial"/>
          <w:sz w:val="20"/>
          <w:u w:val="none"/>
        </w:rPr>
        <w:t xml:space="preserve">, with the aim of alleviating pressure of the rising fuel costs on households. </w:t>
      </w:r>
      <w:r w:rsidR="002C2376" w:rsidRPr="00F83BFF">
        <w:rPr>
          <w:rFonts w:ascii="Arial" w:hAnsi="Arial" w:cs="Arial"/>
          <w:sz w:val="20"/>
          <w:u w:val="none"/>
        </w:rPr>
        <w:t>The Committee re</w:t>
      </w:r>
      <w:r w:rsidR="0098209C" w:rsidRPr="00F83BFF">
        <w:rPr>
          <w:rFonts w:ascii="Arial" w:hAnsi="Arial" w:cs="Arial"/>
          <w:sz w:val="20"/>
          <w:u w:val="none"/>
        </w:rPr>
        <w:t>quires</w:t>
      </w:r>
      <w:r w:rsidR="002C2376" w:rsidRPr="00F83BFF">
        <w:rPr>
          <w:rFonts w:ascii="Arial" w:hAnsi="Arial" w:cs="Arial"/>
          <w:sz w:val="20"/>
          <w:u w:val="none"/>
        </w:rPr>
        <w:t xml:space="preserve"> that the Minister of Finance </w:t>
      </w:r>
      <w:r w:rsidR="0098209C" w:rsidRPr="00F83BFF">
        <w:rPr>
          <w:rFonts w:ascii="Arial" w:hAnsi="Arial" w:cs="Arial"/>
          <w:sz w:val="20"/>
          <w:u w:val="none"/>
        </w:rPr>
        <w:t>report</w:t>
      </w:r>
      <w:r w:rsidR="00D84F7E" w:rsidRPr="00F83BFF">
        <w:rPr>
          <w:rFonts w:ascii="Arial" w:hAnsi="Arial" w:cs="Arial"/>
          <w:sz w:val="20"/>
          <w:u w:val="none"/>
        </w:rPr>
        <w:t>s</w:t>
      </w:r>
      <w:r w:rsidR="0098209C" w:rsidRPr="00F83BFF">
        <w:rPr>
          <w:rFonts w:ascii="Arial" w:hAnsi="Arial" w:cs="Arial"/>
          <w:sz w:val="20"/>
          <w:u w:val="none"/>
        </w:rPr>
        <w:t xml:space="preserve"> back to it </w:t>
      </w:r>
      <w:r w:rsidR="002C2376" w:rsidRPr="00F83BFF">
        <w:rPr>
          <w:rFonts w:ascii="Arial" w:hAnsi="Arial" w:cs="Arial"/>
          <w:sz w:val="20"/>
          <w:u w:val="none"/>
        </w:rPr>
        <w:t xml:space="preserve">on progress made in reviewing </w:t>
      </w:r>
      <w:r w:rsidR="00363DC7" w:rsidRPr="00F83BFF">
        <w:rPr>
          <w:rFonts w:ascii="Arial" w:hAnsi="Arial" w:cs="Arial"/>
          <w:sz w:val="20"/>
          <w:u w:val="none"/>
        </w:rPr>
        <w:t xml:space="preserve">all aspects of the </w:t>
      </w:r>
      <w:r w:rsidR="002C2376" w:rsidRPr="00F83BFF">
        <w:rPr>
          <w:rFonts w:ascii="Arial" w:hAnsi="Arial" w:cs="Arial"/>
          <w:sz w:val="20"/>
          <w:u w:val="none"/>
        </w:rPr>
        <w:t>fuel price regime</w:t>
      </w:r>
      <w:r w:rsidR="00363DC7" w:rsidRPr="00F83BFF">
        <w:rPr>
          <w:rFonts w:ascii="Arial" w:hAnsi="Arial" w:cs="Arial"/>
          <w:sz w:val="20"/>
          <w:u w:val="none"/>
        </w:rPr>
        <w:t xml:space="preserve">. </w:t>
      </w:r>
      <w:r w:rsidR="002C2376" w:rsidRPr="00F83BFF">
        <w:rPr>
          <w:rFonts w:ascii="Arial" w:hAnsi="Arial" w:cs="Arial"/>
          <w:sz w:val="20"/>
          <w:u w:val="none"/>
        </w:rPr>
        <w:t xml:space="preserve"> </w:t>
      </w:r>
    </w:p>
    <w:p w:rsidR="00814AAD" w:rsidRPr="00F83BFF" w:rsidRDefault="005F2E4D" w:rsidP="00F83BFF">
      <w:pPr>
        <w:pStyle w:val="Heading3"/>
        <w:spacing w:before="0" w:line="240" w:lineRule="auto"/>
        <w:rPr>
          <w:rFonts w:ascii="Arial" w:hAnsi="Arial" w:cs="Arial"/>
          <w:sz w:val="20"/>
          <w:u w:val="none"/>
        </w:rPr>
      </w:pPr>
      <w:r w:rsidRPr="00F83BFF">
        <w:rPr>
          <w:rFonts w:ascii="Arial" w:hAnsi="Arial" w:cs="Arial"/>
          <w:sz w:val="20"/>
          <w:u w:val="none"/>
        </w:rPr>
        <w:t xml:space="preserve">The Committee </w:t>
      </w:r>
      <w:r w:rsidR="00D84F7E" w:rsidRPr="00F83BFF">
        <w:rPr>
          <w:rFonts w:ascii="Arial" w:hAnsi="Arial" w:cs="Arial"/>
          <w:sz w:val="20"/>
          <w:u w:val="none"/>
        </w:rPr>
        <w:t>notes that</w:t>
      </w:r>
      <w:r w:rsidRPr="00F83BFF">
        <w:rPr>
          <w:rFonts w:ascii="Arial" w:hAnsi="Arial" w:cs="Arial"/>
          <w:sz w:val="20"/>
          <w:u w:val="none"/>
        </w:rPr>
        <w:t xml:space="preserve"> the 2022 MTBPS does n</w:t>
      </w:r>
      <w:r w:rsidR="00814AAD" w:rsidRPr="00F83BFF">
        <w:rPr>
          <w:rFonts w:ascii="Arial" w:hAnsi="Arial" w:cs="Arial"/>
          <w:sz w:val="20"/>
          <w:u w:val="none"/>
        </w:rPr>
        <w:t>o</w:t>
      </w:r>
      <w:r w:rsidRPr="00F83BFF">
        <w:rPr>
          <w:rFonts w:ascii="Arial" w:hAnsi="Arial" w:cs="Arial"/>
          <w:sz w:val="20"/>
          <w:u w:val="none"/>
        </w:rPr>
        <w:t>t</w:t>
      </w:r>
      <w:r w:rsidR="00F66DDF" w:rsidRPr="00F83BFF">
        <w:rPr>
          <w:rFonts w:ascii="Arial" w:hAnsi="Arial" w:cs="Arial"/>
          <w:sz w:val="20"/>
          <w:u w:val="none"/>
        </w:rPr>
        <w:t xml:space="preserve"> appear to have explicitly budgeted for</w:t>
      </w:r>
      <w:r w:rsidR="00814AAD" w:rsidRPr="00F83BFF">
        <w:rPr>
          <w:rFonts w:ascii="Arial" w:hAnsi="Arial" w:cs="Arial"/>
          <w:sz w:val="20"/>
          <w:u w:val="none"/>
        </w:rPr>
        <w:t xml:space="preserve"> </w:t>
      </w:r>
      <w:r w:rsidR="00F66DDF" w:rsidRPr="00F83BFF">
        <w:rPr>
          <w:rFonts w:ascii="Arial" w:hAnsi="Arial" w:cs="Arial"/>
          <w:sz w:val="20"/>
          <w:u w:val="none"/>
        </w:rPr>
        <w:t xml:space="preserve">fighting </w:t>
      </w:r>
      <w:r w:rsidR="00814AAD" w:rsidRPr="00F83BFF">
        <w:rPr>
          <w:rFonts w:ascii="Arial" w:hAnsi="Arial" w:cs="Arial"/>
          <w:sz w:val="20"/>
          <w:u w:val="none"/>
        </w:rPr>
        <w:t>corruption and G</w:t>
      </w:r>
      <w:r w:rsidR="00F66DDF" w:rsidRPr="00F83BFF">
        <w:rPr>
          <w:rFonts w:ascii="Arial" w:hAnsi="Arial" w:cs="Arial"/>
          <w:sz w:val="20"/>
          <w:u w:val="none"/>
        </w:rPr>
        <w:t xml:space="preserve">ender </w:t>
      </w:r>
      <w:r w:rsidR="00814AAD" w:rsidRPr="00F83BFF">
        <w:rPr>
          <w:rFonts w:ascii="Arial" w:hAnsi="Arial" w:cs="Arial"/>
          <w:sz w:val="20"/>
          <w:u w:val="none"/>
        </w:rPr>
        <w:t>B</w:t>
      </w:r>
      <w:r w:rsidR="00F66DDF" w:rsidRPr="00F83BFF">
        <w:rPr>
          <w:rFonts w:ascii="Arial" w:hAnsi="Arial" w:cs="Arial"/>
          <w:sz w:val="20"/>
          <w:u w:val="none"/>
        </w:rPr>
        <w:t xml:space="preserve">ased </w:t>
      </w:r>
      <w:r w:rsidR="00814AAD" w:rsidRPr="00F83BFF">
        <w:rPr>
          <w:rFonts w:ascii="Arial" w:hAnsi="Arial" w:cs="Arial"/>
          <w:sz w:val="20"/>
          <w:u w:val="none"/>
        </w:rPr>
        <w:t>V</w:t>
      </w:r>
      <w:r w:rsidR="00F66DDF" w:rsidRPr="00F83BFF">
        <w:rPr>
          <w:rFonts w:ascii="Arial" w:hAnsi="Arial" w:cs="Arial"/>
          <w:sz w:val="20"/>
          <w:u w:val="none"/>
        </w:rPr>
        <w:t>iolence (GBV)</w:t>
      </w:r>
      <w:r w:rsidR="00B30680" w:rsidRPr="00F83BFF">
        <w:rPr>
          <w:rFonts w:ascii="Arial" w:hAnsi="Arial" w:cs="Arial"/>
          <w:sz w:val="20"/>
          <w:u w:val="none"/>
        </w:rPr>
        <w:t xml:space="preserve"> while the levels of crime </w:t>
      </w:r>
      <w:r w:rsidR="00F66DDF" w:rsidRPr="00F83BFF">
        <w:rPr>
          <w:rFonts w:ascii="Arial" w:hAnsi="Arial" w:cs="Arial"/>
          <w:sz w:val="20"/>
          <w:u w:val="none"/>
        </w:rPr>
        <w:t xml:space="preserve">in the country </w:t>
      </w:r>
      <w:r w:rsidR="00B30680" w:rsidRPr="00F83BFF">
        <w:rPr>
          <w:rFonts w:ascii="Arial" w:hAnsi="Arial" w:cs="Arial"/>
          <w:sz w:val="20"/>
          <w:u w:val="none"/>
        </w:rPr>
        <w:t>are</w:t>
      </w:r>
      <w:r w:rsidR="00F66DDF" w:rsidRPr="00F83BFF">
        <w:rPr>
          <w:rFonts w:ascii="Arial" w:hAnsi="Arial" w:cs="Arial"/>
          <w:sz w:val="20"/>
          <w:u w:val="none"/>
        </w:rPr>
        <w:t xml:space="preserve"> increasing</w:t>
      </w:r>
      <w:r w:rsidR="006771AA" w:rsidRPr="00F83BFF">
        <w:rPr>
          <w:rFonts w:ascii="Arial" w:hAnsi="Arial" w:cs="Arial"/>
          <w:sz w:val="20"/>
          <w:u w:val="none"/>
        </w:rPr>
        <w:t>.</w:t>
      </w:r>
      <w:r w:rsidR="00AA120F" w:rsidRPr="00F83BFF">
        <w:rPr>
          <w:rFonts w:ascii="Arial" w:hAnsi="Arial" w:cs="Arial"/>
          <w:sz w:val="20"/>
          <w:u w:val="none"/>
        </w:rPr>
        <w:t xml:space="preserve"> </w:t>
      </w:r>
      <w:r w:rsidR="00814AAD" w:rsidRPr="00F83BFF">
        <w:rPr>
          <w:rFonts w:ascii="Arial" w:hAnsi="Arial" w:cs="Arial"/>
          <w:sz w:val="20"/>
          <w:u w:val="none"/>
        </w:rPr>
        <w:t xml:space="preserve">The </w:t>
      </w:r>
      <w:r w:rsidR="00F66DDF" w:rsidRPr="00F83BFF">
        <w:rPr>
          <w:rFonts w:ascii="Arial" w:hAnsi="Arial" w:cs="Arial"/>
          <w:sz w:val="20"/>
          <w:u w:val="none"/>
        </w:rPr>
        <w:t>Committee</w:t>
      </w:r>
      <w:r w:rsidR="00173367" w:rsidRPr="00F83BFF">
        <w:rPr>
          <w:rFonts w:ascii="Arial" w:hAnsi="Arial" w:cs="Arial"/>
          <w:sz w:val="20"/>
          <w:u w:val="none"/>
        </w:rPr>
        <w:t xml:space="preserve"> also notes concerns from stakeholders in this regard and urges the National Treasury to explicitly consider these issues in the budget and the budget process</w:t>
      </w:r>
      <w:r w:rsidR="00814AAD" w:rsidRPr="00F83BFF">
        <w:rPr>
          <w:rFonts w:ascii="Arial" w:hAnsi="Arial" w:cs="Arial"/>
          <w:sz w:val="20"/>
          <w:u w:val="none"/>
        </w:rPr>
        <w:t>.</w:t>
      </w:r>
    </w:p>
    <w:p w:rsidR="0008562F" w:rsidRPr="00F83BFF" w:rsidRDefault="00814C21" w:rsidP="00F83BFF">
      <w:pPr>
        <w:pStyle w:val="Heading3"/>
        <w:spacing w:before="0" w:line="240" w:lineRule="auto"/>
        <w:rPr>
          <w:rFonts w:ascii="Arial" w:hAnsi="Arial" w:cs="Arial"/>
          <w:sz w:val="20"/>
          <w:u w:val="none"/>
          <w:lang w:val="en-US"/>
        </w:rPr>
      </w:pPr>
      <w:r w:rsidRPr="00F83BFF">
        <w:rPr>
          <w:rFonts w:ascii="Arial" w:hAnsi="Arial" w:cs="Arial"/>
          <w:sz w:val="20"/>
          <w:u w:val="none"/>
        </w:rPr>
        <w:t xml:space="preserve">The Committee </w:t>
      </w:r>
      <w:r w:rsidR="006771AA" w:rsidRPr="00F83BFF">
        <w:rPr>
          <w:rFonts w:ascii="Arial" w:hAnsi="Arial" w:cs="Arial"/>
          <w:sz w:val="20"/>
          <w:u w:val="none"/>
        </w:rPr>
        <w:t xml:space="preserve">reiterates its concerns about </w:t>
      </w:r>
      <w:r w:rsidR="00CB5BEF" w:rsidRPr="00F83BFF">
        <w:rPr>
          <w:rFonts w:ascii="Arial" w:hAnsi="Arial" w:cs="Arial"/>
          <w:sz w:val="20"/>
          <w:u w:val="none"/>
        </w:rPr>
        <w:t xml:space="preserve">NT’s very </w:t>
      </w:r>
      <w:r w:rsidR="006771AA" w:rsidRPr="00F83BFF">
        <w:rPr>
          <w:rFonts w:ascii="Arial" w:hAnsi="Arial" w:cs="Arial"/>
          <w:sz w:val="20"/>
          <w:u w:val="none"/>
        </w:rPr>
        <w:t>late</w:t>
      </w:r>
      <w:r w:rsidR="00CB5BEF" w:rsidRPr="00F83BFF">
        <w:rPr>
          <w:rFonts w:ascii="Arial" w:hAnsi="Arial" w:cs="Arial"/>
          <w:sz w:val="20"/>
          <w:u w:val="none"/>
        </w:rPr>
        <w:t xml:space="preserve"> introduction </w:t>
      </w:r>
      <w:r w:rsidR="006771AA" w:rsidRPr="00F83BFF">
        <w:rPr>
          <w:rFonts w:ascii="Arial" w:hAnsi="Arial" w:cs="Arial"/>
          <w:sz w:val="20"/>
          <w:u w:val="none"/>
        </w:rPr>
        <w:t xml:space="preserve"> of </w:t>
      </w:r>
      <w:r w:rsidR="00CB5BEF" w:rsidRPr="00F83BFF">
        <w:rPr>
          <w:rFonts w:ascii="Arial" w:hAnsi="Arial" w:cs="Arial"/>
          <w:sz w:val="20"/>
          <w:u w:val="none"/>
        </w:rPr>
        <w:t xml:space="preserve">the </w:t>
      </w:r>
      <w:r w:rsidR="00D84F7E" w:rsidRPr="00F83BFF">
        <w:rPr>
          <w:rFonts w:ascii="Arial" w:hAnsi="Arial" w:cs="Arial"/>
          <w:sz w:val="20"/>
          <w:u w:val="none"/>
        </w:rPr>
        <w:t xml:space="preserve">(anti-money laundering and counter-terrorism financing) </w:t>
      </w:r>
      <w:r w:rsidR="00CB5BEF" w:rsidRPr="00F83BFF">
        <w:rPr>
          <w:rFonts w:ascii="Arial" w:hAnsi="Arial" w:cs="Arial"/>
          <w:sz w:val="20"/>
          <w:u w:val="none"/>
        </w:rPr>
        <w:t>bills to Pa</w:t>
      </w:r>
      <w:r w:rsidR="006771AA" w:rsidRPr="00F83BFF">
        <w:rPr>
          <w:rFonts w:ascii="Arial" w:hAnsi="Arial" w:cs="Arial"/>
          <w:sz w:val="20"/>
          <w:u w:val="none"/>
        </w:rPr>
        <w:t xml:space="preserve">rliament </w:t>
      </w:r>
      <w:r w:rsidR="00CB5BEF" w:rsidRPr="00F83BFF">
        <w:rPr>
          <w:rFonts w:ascii="Arial" w:hAnsi="Arial" w:cs="Arial"/>
          <w:sz w:val="20"/>
          <w:u w:val="none"/>
        </w:rPr>
        <w:t xml:space="preserve">and </w:t>
      </w:r>
      <w:r w:rsidRPr="00F83BFF">
        <w:rPr>
          <w:rFonts w:ascii="Arial" w:hAnsi="Arial" w:cs="Arial"/>
          <w:sz w:val="20"/>
          <w:u w:val="none"/>
        </w:rPr>
        <w:t>notes that</w:t>
      </w:r>
      <w:r w:rsidR="00173367" w:rsidRPr="00F83BFF">
        <w:rPr>
          <w:rFonts w:ascii="Arial" w:hAnsi="Arial" w:cs="Arial"/>
          <w:sz w:val="20"/>
          <w:u w:val="none"/>
        </w:rPr>
        <w:t xml:space="preserve"> </w:t>
      </w:r>
      <w:r w:rsidRPr="00F83BFF">
        <w:rPr>
          <w:rFonts w:ascii="Arial" w:hAnsi="Arial" w:cs="Arial"/>
          <w:sz w:val="20"/>
          <w:u w:val="none"/>
        </w:rPr>
        <w:t xml:space="preserve">despite the potential </w:t>
      </w:r>
      <w:r w:rsidRPr="00F83BFF">
        <w:rPr>
          <w:rFonts w:ascii="Arial" w:hAnsi="Arial" w:cs="Arial"/>
          <w:bCs/>
          <w:sz w:val="20"/>
          <w:u w:val="none"/>
        </w:rPr>
        <w:t>greylisting</w:t>
      </w:r>
      <w:r w:rsidRPr="00F83BFF">
        <w:rPr>
          <w:rFonts w:ascii="Arial" w:hAnsi="Arial" w:cs="Arial"/>
          <w:sz w:val="20"/>
          <w:u w:val="none"/>
        </w:rPr>
        <w:t xml:space="preserve"> of South Africa by FATF and the dire impact on the economy that this outcome could have, particularly on foreign direct investment, the exchange rate, access to corresponding banking and cross-border trade, the 2022 MTBPS neither mentions this as a risk to the fiscus in its risk statement nor </w:t>
      </w:r>
      <w:r w:rsidR="00173367" w:rsidRPr="00F83BFF">
        <w:rPr>
          <w:rFonts w:ascii="Arial" w:hAnsi="Arial" w:cs="Arial"/>
          <w:sz w:val="20"/>
          <w:u w:val="none"/>
        </w:rPr>
        <w:t xml:space="preserve">analyse </w:t>
      </w:r>
      <w:r w:rsidRPr="00F83BFF">
        <w:rPr>
          <w:rFonts w:ascii="Arial" w:hAnsi="Arial" w:cs="Arial"/>
          <w:sz w:val="20"/>
          <w:u w:val="none"/>
        </w:rPr>
        <w:t>its potential impact over the medium-term. The Committee urges NT to consider the impact that greylisting may have on the 2022 proposed fiscal framework.</w:t>
      </w:r>
    </w:p>
    <w:p w:rsidR="003438B3" w:rsidRPr="00F83BFF" w:rsidRDefault="00A42451" w:rsidP="00F83BFF">
      <w:pPr>
        <w:pStyle w:val="Heading3"/>
        <w:spacing w:before="0" w:line="240" w:lineRule="auto"/>
        <w:rPr>
          <w:rFonts w:ascii="Arial" w:hAnsi="Arial" w:cs="Arial"/>
          <w:sz w:val="20"/>
          <w:u w:val="none"/>
        </w:rPr>
      </w:pPr>
      <w:r w:rsidRPr="00F83BFF">
        <w:rPr>
          <w:rFonts w:ascii="Arial" w:hAnsi="Arial" w:cs="Arial"/>
          <w:sz w:val="20"/>
          <w:u w:val="none"/>
        </w:rPr>
        <w:t xml:space="preserve">The </w:t>
      </w:r>
      <w:r w:rsidR="003438B3" w:rsidRPr="00F83BFF">
        <w:rPr>
          <w:rFonts w:ascii="Arial" w:hAnsi="Arial" w:cs="Arial"/>
          <w:sz w:val="20"/>
          <w:u w:val="none"/>
        </w:rPr>
        <w:t xml:space="preserve">Committee </w:t>
      </w:r>
      <w:r w:rsidRPr="00F83BFF">
        <w:rPr>
          <w:rFonts w:ascii="Arial" w:hAnsi="Arial" w:cs="Arial"/>
          <w:sz w:val="20"/>
          <w:u w:val="none"/>
        </w:rPr>
        <w:t>is</w:t>
      </w:r>
      <w:r w:rsidR="003438B3" w:rsidRPr="00F83BFF">
        <w:rPr>
          <w:rFonts w:ascii="Arial" w:hAnsi="Arial" w:cs="Arial"/>
          <w:sz w:val="20"/>
          <w:u w:val="none"/>
        </w:rPr>
        <w:t xml:space="preserve"> concern</w:t>
      </w:r>
      <w:r w:rsidRPr="00F83BFF">
        <w:rPr>
          <w:rFonts w:ascii="Arial" w:hAnsi="Arial" w:cs="Arial"/>
          <w:sz w:val="20"/>
          <w:u w:val="none"/>
        </w:rPr>
        <w:t>ed</w:t>
      </w:r>
      <w:r w:rsidR="003438B3" w:rsidRPr="00F83BFF">
        <w:rPr>
          <w:rFonts w:ascii="Arial" w:hAnsi="Arial" w:cs="Arial"/>
          <w:sz w:val="20"/>
          <w:u w:val="none"/>
        </w:rPr>
        <w:t xml:space="preserve"> that there appears to be lack of understanding of the future of </w:t>
      </w:r>
      <w:r w:rsidRPr="00F83BFF">
        <w:rPr>
          <w:rFonts w:ascii="Arial" w:hAnsi="Arial" w:cs="Arial"/>
          <w:sz w:val="20"/>
          <w:u w:val="none"/>
        </w:rPr>
        <w:t>the Gauteng e-</w:t>
      </w:r>
      <w:r w:rsidR="003438B3" w:rsidRPr="00F83BFF">
        <w:rPr>
          <w:rFonts w:ascii="Arial" w:hAnsi="Arial" w:cs="Arial"/>
          <w:sz w:val="20"/>
          <w:u w:val="none"/>
        </w:rPr>
        <w:t xml:space="preserve">tolls. While the public seems to believe that the e-tolls </w:t>
      </w:r>
      <w:r w:rsidR="009D6DF5" w:rsidRPr="00F83BFF">
        <w:rPr>
          <w:rFonts w:ascii="Arial" w:hAnsi="Arial" w:cs="Arial"/>
          <w:sz w:val="20"/>
          <w:u w:val="none"/>
        </w:rPr>
        <w:t>have been scrapped</w:t>
      </w:r>
      <w:r w:rsidR="003438B3" w:rsidRPr="00F83BFF">
        <w:rPr>
          <w:rFonts w:ascii="Arial" w:hAnsi="Arial" w:cs="Arial"/>
          <w:sz w:val="20"/>
          <w:u w:val="none"/>
        </w:rPr>
        <w:t xml:space="preserve">, </w:t>
      </w:r>
      <w:r w:rsidR="005B4F93" w:rsidRPr="00F83BFF">
        <w:rPr>
          <w:rFonts w:ascii="Arial" w:hAnsi="Arial" w:cs="Arial"/>
          <w:sz w:val="20"/>
          <w:u w:val="none"/>
        </w:rPr>
        <w:t>clarification was provided</w:t>
      </w:r>
      <w:r w:rsidR="003438B3" w:rsidRPr="00F83BFF">
        <w:rPr>
          <w:rFonts w:ascii="Arial" w:hAnsi="Arial" w:cs="Arial"/>
          <w:sz w:val="20"/>
          <w:u w:val="none"/>
        </w:rPr>
        <w:t xml:space="preserve"> that a new funding model was </w:t>
      </w:r>
      <w:r w:rsidR="009D6DF5" w:rsidRPr="00F83BFF">
        <w:rPr>
          <w:rFonts w:ascii="Arial" w:hAnsi="Arial" w:cs="Arial"/>
          <w:sz w:val="20"/>
          <w:u w:val="none"/>
        </w:rPr>
        <w:t xml:space="preserve">being </w:t>
      </w:r>
      <w:r w:rsidR="003438B3" w:rsidRPr="00F83BFF">
        <w:rPr>
          <w:rFonts w:ascii="Arial" w:hAnsi="Arial" w:cs="Arial"/>
          <w:sz w:val="20"/>
          <w:u w:val="none"/>
        </w:rPr>
        <w:t>proposed to fund the e-tolls. The Committee re</w:t>
      </w:r>
      <w:r w:rsidR="0037462A" w:rsidRPr="00F83BFF">
        <w:rPr>
          <w:rFonts w:ascii="Arial" w:hAnsi="Arial" w:cs="Arial"/>
          <w:sz w:val="20"/>
          <w:u w:val="none"/>
        </w:rPr>
        <w:t>quires</w:t>
      </w:r>
      <w:r w:rsidR="003438B3" w:rsidRPr="00F83BFF">
        <w:rPr>
          <w:rFonts w:ascii="Arial" w:hAnsi="Arial" w:cs="Arial"/>
          <w:sz w:val="20"/>
          <w:u w:val="none"/>
        </w:rPr>
        <w:t xml:space="preserve"> the Minister of Finance</w:t>
      </w:r>
      <w:r w:rsidR="0037462A" w:rsidRPr="00F83BFF">
        <w:rPr>
          <w:rFonts w:ascii="Arial" w:hAnsi="Arial" w:cs="Arial"/>
          <w:sz w:val="20"/>
          <w:u w:val="none"/>
        </w:rPr>
        <w:t xml:space="preserve"> to provide a written response on this after adoption of this report. </w:t>
      </w:r>
      <w:r w:rsidR="003438B3" w:rsidRPr="00F83BFF">
        <w:rPr>
          <w:rFonts w:ascii="Arial" w:hAnsi="Arial" w:cs="Arial"/>
          <w:sz w:val="20"/>
          <w:u w:val="none"/>
        </w:rPr>
        <w:t xml:space="preserve"> </w:t>
      </w:r>
    </w:p>
    <w:p w:rsidR="002119CA" w:rsidRPr="00F83BFF" w:rsidRDefault="002119CA" w:rsidP="00F83BFF">
      <w:pPr>
        <w:pStyle w:val="Heading3"/>
        <w:spacing w:before="0" w:line="240" w:lineRule="auto"/>
        <w:rPr>
          <w:rFonts w:ascii="Arial" w:hAnsi="Arial" w:cs="Arial"/>
          <w:color w:val="000000" w:themeColor="text1"/>
          <w:sz w:val="20"/>
          <w:u w:val="none"/>
          <w:shd w:val="clear" w:color="auto" w:fill="FFFFFF"/>
        </w:rPr>
      </w:pPr>
      <w:r w:rsidRPr="00F83BFF">
        <w:rPr>
          <w:rFonts w:ascii="Arial" w:hAnsi="Arial" w:cs="Arial"/>
          <w:color w:val="000000" w:themeColor="text1"/>
          <w:sz w:val="20"/>
          <w:u w:val="none"/>
          <w:lang w:val="en-US"/>
        </w:rPr>
        <w:t xml:space="preserve">The Committee </w:t>
      </w:r>
      <w:r w:rsidRPr="00F83BFF">
        <w:rPr>
          <w:rFonts w:ascii="Arial" w:hAnsi="Arial" w:cs="Arial"/>
          <w:color w:val="000000" w:themeColor="text1"/>
          <w:sz w:val="20"/>
          <w:u w:val="none"/>
          <w:shd w:val="clear" w:color="auto" w:fill="FFFFFF"/>
        </w:rPr>
        <w:t xml:space="preserve">recommends, as it has in its previous reports, that the Public Procurement Bill be tabled in Parliament for processing. The Committee believes that delays in tabling and processing this Bill compromises transformation and localisation (procurement of locally produced goods.) In compliance with </w:t>
      </w:r>
      <w:r w:rsidR="00173367" w:rsidRPr="00F83BFF">
        <w:rPr>
          <w:rFonts w:ascii="Arial" w:hAnsi="Arial" w:cs="Arial"/>
          <w:color w:val="000000" w:themeColor="text1"/>
          <w:sz w:val="20"/>
          <w:u w:val="none"/>
          <w:shd w:val="clear" w:color="auto" w:fill="FFFFFF"/>
        </w:rPr>
        <w:t xml:space="preserve">section 217 of the </w:t>
      </w:r>
      <w:r w:rsidRPr="00F83BFF">
        <w:rPr>
          <w:rFonts w:ascii="Arial" w:hAnsi="Arial" w:cs="Arial"/>
          <w:color w:val="000000" w:themeColor="text1"/>
          <w:sz w:val="20"/>
          <w:u w:val="none"/>
          <w:shd w:val="clear" w:color="auto" w:fill="FFFFFF"/>
        </w:rPr>
        <w:t>Constitution, the Committee believes that black economic empowerment, youth, women, and people living with disabilities should be given preference when procuring</w:t>
      </w:r>
      <w:r w:rsidR="00173367" w:rsidRPr="00F83BFF">
        <w:rPr>
          <w:rFonts w:ascii="Arial" w:hAnsi="Arial" w:cs="Arial"/>
          <w:color w:val="000000" w:themeColor="text1"/>
          <w:sz w:val="20"/>
          <w:u w:val="none"/>
          <w:shd w:val="clear" w:color="auto" w:fill="FFFFFF"/>
        </w:rPr>
        <w:t>.</w:t>
      </w:r>
    </w:p>
    <w:p w:rsidR="004E7211" w:rsidRPr="00F83BFF" w:rsidRDefault="009B5BDA" w:rsidP="00F83BFF">
      <w:pPr>
        <w:pStyle w:val="Heading3"/>
        <w:spacing w:before="0" w:line="240" w:lineRule="auto"/>
        <w:rPr>
          <w:rFonts w:ascii="Arial" w:hAnsi="Arial" w:cs="Arial"/>
          <w:sz w:val="20"/>
          <w:u w:val="none"/>
          <w:lang w:val="en-US"/>
        </w:rPr>
      </w:pPr>
      <w:r w:rsidRPr="00F83BFF">
        <w:rPr>
          <w:rFonts w:ascii="Arial" w:hAnsi="Arial" w:cs="Arial"/>
          <w:sz w:val="20"/>
          <w:u w:val="none"/>
          <w:lang w:val="en-US"/>
        </w:rPr>
        <w:lastRenderedPageBreak/>
        <w:t xml:space="preserve">Participants raised </w:t>
      </w:r>
      <w:r w:rsidR="006B3743" w:rsidRPr="00F83BFF">
        <w:rPr>
          <w:rFonts w:ascii="Arial" w:hAnsi="Arial" w:cs="Arial"/>
          <w:sz w:val="20"/>
          <w:u w:val="none"/>
          <w:lang w:val="en-US"/>
        </w:rPr>
        <w:t>several</w:t>
      </w:r>
      <w:r w:rsidRPr="00F83BFF">
        <w:rPr>
          <w:rFonts w:ascii="Arial" w:hAnsi="Arial" w:cs="Arial"/>
          <w:sz w:val="20"/>
          <w:u w:val="none"/>
          <w:lang w:val="en-US"/>
        </w:rPr>
        <w:t xml:space="preserve"> issues with regards to the </w:t>
      </w:r>
      <w:r w:rsidR="006B3743" w:rsidRPr="00F83BFF">
        <w:rPr>
          <w:rFonts w:ascii="Arial" w:hAnsi="Arial" w:cs="Arial"/>
          <w:sz w:val="20"/>
          <w:u w:val="none"/>
          <w:lang w:val="en-US"/>
        </w:rPr>
        <w:t xml:space="preserve">risk of unresolved wage bill on the fiscal framework. </w:t>
      </w:r>
      <w:r w:rsidR="00F65252" w:rsidRPr="00F83BFF">
        <w:rPr>
          <w:rFonts w:ascii="Arial" w:hAnsi="Arial" w:cs="Arial"/>
          <w:sz w:val="20"/>
          <w:u w:val="none"/>
          <w:lang w:val="en-US"/>
        </w:rPr>
        <w:t>The Committee notes that w</w:t>
      </w:r>
      <w:r w:rsidR="00ED1FC9" w:rsidRPr="00F83BFF">
        <w:rPr>
          <w:rFonts w:ascii="Arial" w:hAnsi="Arial" w:cs="Arial"/>
          <w:sz w:val="20"/>
          <w:u w:val="none"/>
          <w:lang w:val="en-US"/>
        </w:rPr>
        <w:t>hile the wage bill has an impact on the fiscal framework, this matter</w:t>
      </w:r>
      <w:r w:rsidR="005E09E4" w:rsidRPr="00F83BFF">
        <w:rPr>
          <w:rFonts w:ascii="Arial" w:hAnsi="Arial" w:cs="Arial"/>
          <w:sz w:val="20"/>
          <w:u w:val="none"/>
          <w:lang w:val="en-US"/>
        </w:rPr>
        <w:t xml:space="preserve"> will be referred to the </w:t>
      </w:r>
      <w:r w:rsidR="00ED1FC9" w:rsidRPr="00F83BFF">
        <w:rPr>
          <w:rFonts w:ascii="Arial" w:hAnsi="Arial" w:cs="Arial"/>
          <w:sz w:val="20"/>
          <w:u w:val="none"/>
          <w:lang w:val="en-US"/>
        </w:rPr>
        <w:t>Appropriations Committees for further consideration</w:t>
      </w:r>
    </w:p>
    <w:p w:rsidR="00FB1221" w:rsidRPr="00F83BFF" w:rsidRDefault="004E7211" w:rsidP="00F83BFF">
      <w:pPr>
        <w:pStyle w:val="Heading3"/>
        <w:spacing w:before="0" w:line="240" w:lineRule="auto"/>
        <w:rPr>
          <w:rFonts w:ascii="Arial" w:hAnsi="Arial" w:cs="Arial"/>
          <w:sz w:val="20"/>
          <w:u w:val="none"/>
          <w:lang w:val="en-US"/>
        </w:rPr>
      </w:pPr>
      <w:r w:rsidRPr="00F83BFF">
        <w:rPr>
          <w:rFonts w:ascii="Arial" w:hAnsi="Arial" w:cs="Arial"/>
          <w:color w:val="000000"/>
          <w:sz w:val="20"/>
          <w:u w:val="none"/>
          <w:shd w:val="clear" w:color="auto" w:fill="FFFFFF"/>
        </w:rPr>
        <w:t>The Committee thanks all those who participated in its processes.</w:t>
      </w:r>
    </w:p>
    <w:p w:rsidR="004E7211" w:rsidRPr="00F83BFF" w:rsidRDefault="004E7211" w:rsidP="00F83BFF">
      <w:pPr>
        <w:pStyle w:val="FirstPara"/>
        <w:spacing w:before="0" w:line="240" w:lineRule="auto"/>
        <w:jc w:val="left"/>
        <w:rPr>
          <w:rFonts w:ascii="Arial" w:hAnsi="Arial" w:cs="Arial"/>
          <w:sz w:val="20"/>
          <w:lang w:val="en-US"/>
        </w:rPr>
      </w:pPr>
      <w:r w:rsidRPr="00F83BFF">
        <w:rPr>
          <w:rFonts w:ascii="Arial" w:hAnsi="Arial" w:cs="Arial"/>
          <w:sz w:val="20"/>
          <w:lang w:val="en-US"/>
        </w:rPr>
        <w:t xml:space="preserve">Having considered the 2022 Revised and Proposed Fiscal Framework, the Standing Committee on Finance adopts it. </w:t>
      </w:r>
    </w:p>
    <w:p w:rsidR="004E7211" w:rsidRPr="00F83BFF" w:rsidRDefault="004E7211" w:rsidP="00F83BFF">
      <w:pPr>
        <w:pStyle w:val="MainPara"/>
        <w:spacing w:before="0" w:line="240" w:lineRule="auto"/>
        <w:ind w:left="0" w:firstLine="0"/>
        <w:jc w:val="left"/>
        <w:rPr>
          <w:rFonts w:ascii="Arial" w:hAnsi="Arial" w:cs="Arial"/>
          <w:sz w:val="20"/>
          <w:lang w:val="en-US"/>
        </w:rPr>
      </w:pPr>
      <w:r w:rsidRPr="00F83BFF">
        <w:rPr>
          <w:rFonts w:ascii="Arial" w:hAnsi="Arial" w:cs="Arial"/>
          <w:sz w:val="20"/>
          <w:lang w:val="en-US"/>
        </w:rPr>
        <w:t xml:space="preserve">The Democratic Alliance and the Freedom Front Plus reserve their positions. </w:t>
      </w:r>
    </w:p>
    <w:sectPr w:rsidR="004E7211" w:rsidRPr="00F83BFF" w:rsidSect="0000287E">
      <w:footerReference w:type="default" r:id="rId8"/>
      <w:pgSz w:w="11907" w:h="16840" w:code="9"/>
      <w:pgMar w:top="1418" w:right="1418" w:bottom="1418"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99" w:rsidRDefault="00D84D99">
      <w:r>
        <w:separator/>
      </w:r>
    </w:p>
  </w:endnote>
  <w:endnote w:type="continuationSeparator" w:id="0">
    <w:p w:rsidR="00D84D99" w:rsidRDefault="00D84D9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12056"/>
      <w:docPartObj>
        <w:docPartGallery w:val="Page Numbers (Bottom of Page)"/>
        <w:docPartUnique/>
      </w:docPartObj>
    </w:sdtPr>
    <w:sdtEndPr>
      <w:rPr>
        <w:noProof/>
      </w:rPr>
    </w:sdtEndPr>
    <w:sdtContent>
      <w:p w:rsidR="005A2666" w:rsidRDefault="0000287E">
        <w:pPr>
          <w:pStyle w:val="Footer"/>
        </w:pPr>
        <w:r>
          <w:fldChar w:fldCharType="begin"/>
        </w:r>
        <w:r w:rsidR="005A2666">
          <w:instrText xml:space="preserve"> PAGE   \* MERGEFORMAT </w:instrText>
        </w:r>
        <w:r>
          <w:fldChar w:fldCharType="separate"/>
        </w:r>
        <w:r w:rsidR="00F83BFF">
          <w:rPr>
            <w:noProof/>
          </w:rPr>
          <w:t>1</w:t>
        </w:r>
        <w:r>
          <w:rPr>
            <w:noProof/>
          </w:rPr>
          <w:fldChar w:fldCharType="end"/>
        </w:r>
      </w:p>
    </w:sdtContent>
  </w:sdt>
  <w:p w:rsidR="005F2E4D" w:rsidRDefault="005F2E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99" w:rsidRDefault="00D84D99">
      <w:r>
        <w:separator/>
      </w:r>
    </w:p>
  </w:footnote>
  <w:footnote w:type="continuationSeparator" w:id="0">
    <w:p w:rsidR="00D84D99" w:rsidRDefault="00D84D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C8047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D0A35"/>
    <w:multiLevelType w:val="hybridMultilevel"/>
    <w:tmpl w:val="C43839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C2F04"/>
    <w:multiLevelType w:val="hybridMultilevel"/>
    <w:tmpl w:val="D558369A"/>
    <w:lvl w:ilvl="0" w:tplc="28B89210">
      <w:start w:val="1"/>
      <w:numFmt w:val="bullet"/>
      <w:lvlText w:val="•"/>
      <w:lvlJc w:val="left"/>
      <w:pPr>
        <w:tabs>
          <w:tab w:val="num" w:pos="720"/>
        </w:tabs>
        <w:ind w:left="720" w:hanging="360"/>
      </w:pPr>
      <w:rPr>
        <w:rFonts w:ascii="Arial" w:hAnsi="Arial" w:hint="default"/>
      </w:rPr>
    </w:lvl>
    <w:lvl w:ilvl="1" w:tplc="F160989C">
      <w:start w:val="1"/>
      <w:numFmt w:val="bullet"/>
      <w:lvlText w:val="•"/>
      <w:lvlJc w:val="left"/>
      <w:pPr>
        <w:tabs>
          <w:tab w:val="num" w:pos="1440"/>
        </w:tabs>
        <w:ind w:left="1440" w:hanging="360"/>
      </w:pPr>
      <w:rPr>
        <w:rFonts w:ascii="Arial" w:hAnsi="Arial" w:hint="default"/>
      </w:rPr>
    </w:lvl>
    <w:lvl w:ilvl="2" w:tplc="1D0CCA98" w:tentative="1">
      <w:start w:val="1"/>
      <w:numFmt w:val="bullet"/>
      <w:lvlText w:val="•"/>
      <w:lvlJc w:val="left"/>
      <w:pPr>
        <w:tabs>
          <w:tab w:val="num" w:pos="2160"/>
        </w:tabs>
        <w:ind w:left="2160" w:hanging="360"/>
      </w:pPr>
      <w:rPr>
        <w:rFonts w:ascii="Arial" w:hAnsi="Arial" w:hint="default"/>
      </w:rPr>
    </w:lvl>
    <w:lvl w:ilvl="3" w:tplc="CE366E86" w:tentative="1">
      <w:start w:val="1"/>
      <w:numFmt w:val="bullet"/>
      <w:lvlText w:val="•"/>
      <w:lvlJc w:val="left"/>
      <w:pPr>
        <w:tabs>
          <w:tab w:val="num" w:pos="2880"/>
        </w:tabs>
        <w:ind w:left="2880" w:hanging="360"/>
      </w:pPr>
      <w:rPr>
        <w:rFonts w:ascii="Arial" w:hAnsi="Arial" w:hint="default"/>
      </w:rPr>
    </w:lvl>
    <w:lvl w:ilvl="4" w:tplc="8604CC32" w:tentative="1">
      <w:start w:val="1"/>
      <w:numFmt w:val="bullet"/>
      <w:lvlText w:val="•"/>
      <w:lvlJc w:val="left"/>
      <w:pPr>
        <w:tabs>
          <w:tab w:val="num" w:pos="3600"/>
        </w:tabs>
        <w:ind w:left="3600" w:hanging="360"/>
      </w:pPr>
      <w:rPr>
        <w:rFonts w:ascii="Arial" w:hAnsi="Arial" w:hint="default"/>
      </w:rPr>
    </w:lvl>
    <w:lvl w:ilvl="5" w:tplc="48F44746" w:tentative="1">
      <w:start w:val="1"/>
      <w:numFmt w:val="bullet"/>
      <w:lvlText w:val="•"/>
      <w:lvlJc w:val="left"/>
      <w:pPr>
        <w:tabs>
          <w:tab w:val="num" w:pos="4320"/>
        </w:tabs>
        <w:ind w:left="4320" w:hanging="360"/>
      </w:pPr>
      <w:rPr>
        <w:rFonts w:ascii="Arial" w:hAnsi="Arial" w:hint="default"/>
      </w:rPr>
    </w:lvl>
    <w:lvl w:ilvl="6" w:tplc="B3E4CC50" w:tentative="1">
      <w:start w:val="1"/>
      <w:numFmt w:val="bullet"/>
      <w:lvlText w:val="•"/>
      <w:lvlJc w:val="left"/>
      <w:pPr>
        <w:tabs>
          <w:tab w:val="num" w:pos="5040"/>
        </w:tabs>
        <w:ind w:left="5040" w:hanging="360"/>
      </w:pPr>
      <w:rPr>
        <w:rFonts w:ascii="Arial" w:hAnsi="Arial" w:hint="default"/>
      </w:rPr>
    </w:lvl>
    <w:lvl w:ilvl="7" w:tplc="8D0A6444" w:tentative="1">
      <w:start w:val="1"/>
      <w:numFmt w:val="bullet"/>
      <w:lvlText w:val="•"/>
      <w:lvlJc w:val="left"/>
      <w:pPr>
        <w:tabs>
          <w:tab w:val="num" w:pos="5760"/>
        </w:tabs>
        <w:ind w:left="5760" w:hanging="360"/>
      </w:pPr>
      <w:rPr>
        <w:rFonts w:ascii="Arial" w:hAnsi="Arial" w:hint="default"/>
      </w:rPr>
    </w:lvl>
    <w:lvl w:ilvl="8" w:tplc="FAEE32D0" w:tentative="1">
      <w:start w:val="1"/>
      <w:numFmt w:val="bullet"/>
      <w:lvlText w:val="•"/>
      <w:lvlJc w:val="left"/>
      <w:pPr>
        <w:tabs>
          <w:tab w:val="num" w:pos="6480"/>
        </w:tabs>
        <w:ind w:left="6480" w:hanging="360"/>
      </w:pPr>
      <w:rPr>
        <w:rFonts w:ascii="Arial" w:hAnsi="Arial" w:hint="default"/>
      </w:rPr>
    </w:lvl>
  </w:abstractNum>
  <w:abstractNum w:abstractNumId="3">
    <w:nsid w:val="177D473E"/>
    <w:multiLevelType w:val="multilevel"/>
    <w:tmpl w:val="A1FCE20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b w:val="0"/>
        <w:bCs w:val="0"/>
        <w:i w:val="0"/>
        <w:iCs/>
        <w:color w:val="auto"/>
        <w:u w:val="none"/>
      </w:rPr>
    </w:lvl>
    <w:lvl w:ilvl="3">
      <w:start w:val="1"/>
      <w:numFmt w:val="decimal"/>
      <w:pStyle w:val="Heading4"/>
      <w:lvlText w:val="%2.%3.%4."/>
      <w:lvlJc w:val="left"/>
      <w:pPr>
        <w:tabs>
          <w:tab w:val="num" w:pos="1080"/>
        </w:tabs>
        <w:ind w:left="0" w:firstLine="0"/>
      </w:pPr>
      <w:rPr>
        <w:rFonts w:hint="default"/>
      </w:rPr>
    </w:lvl>
    <w:lvl w:ilvl="4">
      <w:start w:val="1"/>
      <w:numFmt w:val="decimal"/>
      <w:pStyle w:val="Heading5"/>
      <w:lvlText w:val="%2.%3.%4.%5"/>
      <w:lvlJc w:val="left"/>
      <w:pPr>
        <w:tabs>
          <w:tab w:val="num" w:pos="1440"/>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AD4798B"/>
    <w:multiLevelType w:val="hybridMultilevel"/>
    <w:tmpl w:val="1BCA6E74"/>
    <w:lvl w:ilvl="0" w:tplc="D2CA05CE">
      <w:start w:val="1"/>
      <w:numFmt w:val="decimal"/>
      <w:lvlText w:val="%1."/>
      <w:lvlJc w:val="left"/>
      <w:pPr>
        <w:tabs>
          <w:tab w:val="num" w:pos="720"/>
        </w:tabs>
        <w:ind w:left="720" w:hanging="360"/>
      </w:pPr>
    </w:lvl>
    <w:lvl w:ilvl="1" w:tplc="F20E96D6" w:tentative="1">
      <w:start w:val="1"/>
      <w:numFmt w:val="decimal"/>
      <w:lvlText w:val="%2."/>
      <w:lvlJc w:val="left"/>
      <w:pPr>
        <w:tabs>
          <w:tab w:val="num" w:pos="1440"/>
        </w:tabs>
        <w:ind w:left="1440" w:hanging="360"/>
      </w:pPr>
    </w:lvl>
    <w:lvl w:ilvl="2" w:tplc="1B2E389C" w:tentative="1">
      <w:start w:val="1"/>
      <w:numFmt w:val="decimal"/>
      <w:lvlText w:val="%3."/>
      <w:lvlJc w:val="left"/>
      <w:pPr>
        <w:tabs>
          <w:tab w:val="num" w:pos="2160"/>
        </w:tabs>
        <w:ind w:left="2160" w:hanging="360"/>
      </w:pPr>
    </w:lvl>
    <w:lvl w:ilvl="3" w:tplc="2BA48D7C" w:tentative="1">
      <w:start w:val="1"/>
      <w:numFmt w:val="decimal"/>
      <w:lvlText w:val="%4."/>
      <w:lvlJc w:val="left"/>
      <w:pPr>
        <w:tabs>
          <w:tab w:val="num" w:pos="2880"/>
        </w:tabs>
        <w:ind w:left="2880" w:hanging="360"/>
      </w:pPr>
    </w:lvl>
    <w:lvl w:ilvl="4" w:tplc="684A40CE" w:tentative="1">
      <w:start w:val="1"/>
      <w:numFmt w:val="decimal"/>
      <w:lvlText w:val="%5."/>
      <w:lvlJc w:val="left"/>
      <w:pPr>
        <w:tabs>
          <w:tab w:val="num" w:pos="3600"/>
        </w:tabs>
        <w:ind w:left="3600" w:hanging="360"/>
      </w:pPr>
    </w:lvl>
    <w:lvl w:ilvl="5" w:tplc="6D6A046C" w:tentative="1">
      <w:start w:val="1"/>
      <w:numFmt w:val="decimal"/>
      <w:lvlText w:val="%6."/>
      <w:lvlJc w:val="left"/>
      <w:pPr>
        <w:tabs>
          <w:tab w:val="num" w:pos="4320"/>
        </w:tabs>
        <w:ind w:left="4320" w:hanging="360"/>
      </w:pPr>
    </w:lvl>
    <w:lvl w:ilvl="6" w:tplc="FC5CE3B6" w:tentative="1">
      <w:start w:val="1"/>
      <w:numFmt w:val="decimal"/>
      <w:lvlText w:val="%7."/>
      <w:lvlJc w:val="left"/>
      <w:pPr>
        <w:tabs>
          <w:tab w:val="num" w:pos="5040"/>
        </w:tabs>
        <w:ind w:left="5040" w:hanging="360"/>
      </w:pPr>
    </w:lvl>
    <w:lvl w:ilvl="7" w:tplc="3F528F74" w:tentative="1">
      <w:start w:val="1"/>
      <w:numFmt w:val="decimal"/>
      <w:lvlText w:val="%8."/>
      <w:lvlJc w:val="left"/>
      <w:pPr>
        <w:tabs>
          <w:tab w:val="num" w:pos="5760"/>
        </w:tabs>
        <w:ind w:left="5760" w:hanging="360"/>
      </w:pPr>
    </w:lvl>
    <w:lvl w:ilvl="8" w:tplc="D35E72D4" w:tentative="1">
      <w:start w:val="1"/>
      <w:numFmt w:val="decimal"/>
      <w:lvlText w:val="%9."/>
      <w:lvlJc w:val="left"/>
      <w:pPr>
        <w:tabs>
          <w:tab w:val="num" w:pos="6480"/>
        </w:tabs>
        <w:ind w:left="6480" w:hanging="360"/>
      </w:pPr>
    </w:lvl>
  </w:abstractNum>
  <w:abstractNum w:abstractNumId="5">
    <w:nsid w:val="1EEA28C1"/>
    <w:multiLevelType w:val="hybridMultilevel"/>
    <w:tmpl w:val="3A5C6D8A"/>
    <w:lvl w:ilvl="0" w:tplc="A72CBDDC">
      <w:start w:val="1"/>
      <w:numFmt w:val="bullet"/>
      <w:lvlText w:val="•"/>
      <w:lvlJc w:val="left"/>
      <w:pPr>
        <w:tabs>
          <w:tab w:val="num" w:pos="720"/>
        </w:tabs>
        <w:ind w:left="720" w:hanging="360"/>
      </w:pPr>
      <w:rPr>
        <w:rFonts w:ascii="Arial" w:hAnsi="Arial" w:hint="default"/>
      </w:rPr>
    </w:lvl>
    <w:lvl w:ilvl="1" w:tplc="4DC4C836">
      <w:numFmt w:val="bullet"/>
      <w:lvlText w:val="•"/>
      <w:lvlJc w:val="left"/>
      <w:pPr>
        <w:tabs>
          <w:tab w:val="num" w:pos="1440"/>
        </w:tabs>
        <w:ind w:left="1440" w:hanging="360"/>
      </w:pPr>
      <w:rPr>
        <w:rFonts w:ascii="Arial" w:hAnsi="Arial" w:hint="default"/>
      </w:rPr>
    </w:lvl>
    <w:lvl w:ilvl="2" w:tplc="581805EC" w:tentative="1">
      <w:start w:val="1"/>
      <w:numFmt w:val="bullet"/>
      <w:lvlText w:val="•"/>
      <w:lvlJc w:val="left"/>
      <w:pPr>
        <w:tabs>
          <w:tab w:val="num" w:pos="2160"/>
        </w:tabs>
        <w:ind w:left="2160" w:hanging="360"/>
      </w:pPr>
      <w:rPr>
        <w:rFonts w:ascii="Arial" w:hAnsi="Arial" w:hint="default"/>
      </w:rPr>
    </w:lvl>
    <w:lvl w:ilvl="3" w:tplc="91BC5B3E" w:tentative="1">
      <w:start w:val="1"/>
      <w:numFmt w:val="bullet"/>
      <w:lvlText w:val="•"/>
      <w:lvlJc w:val="left"/>
      <w:pPr>
        <w:tabs>
          <w:tab w:val="num" w:pos="2880"/>
        </w:tabs>
        <w:ind w:left="2880" w:hanging="360"/>
      </w:pPr>
      <w:rPr>
        <w:rFonts w:ascii="Arial" w:hAnsi="Arial" w:hint="default"/>
      </w:rPr>
    </w:lvl>
    <w:lvl w:ilvl="4" w:tplc="B4F46FD2" w:tentative="1">
      <w:start w:val="1"/>
      <w:numFmt w:val="bullet"/>
      <w:lvlText w:val="•"/>
      <w:lvlJc w:val="left"/>
      <w:pPr>
        <w:tabs>
          <w:tab w:val="num" w:pos="3600"/>
        </w:tabs>
        <w:ind w:left="3600" w:hanging="360"/>
      </w:pPr>
      <w:rPr>
        <w:rFonts w:ascii="Arial" w:hAnsi="Arial" w:hint="default"/>
      </w:rPr>
    </w:lvl>
    <w:lvl w:ilvl="5" w:tplc="2800DA62" w:tentative="1">
      <w:start w:val="1"/>
      <w:numFmt w:val="bullet"/>
      <w:lvlText w:val="•"/>
      <w:lvlJc w:val="left"/>
      <w:pPr>
        <w:tabs>
          <w:tab w:val="num" w:pos="4320"/>
        </w:tabs>
        <w:ind w:left="4320" w:hanging="360"/>
      </w:pPr>
      <w:rPr>
        <w:rFonts w:ascii="Arial" w:hAnsi="Arial" w:hint="default"/>
      </w:rPr>
    </w:lvl>
    <w:lvl w:ilvl="6" w:tplc="6CAEE324" w:tentative="1">
      <w:start w:val="1"/>
      <w:numFmt w:val="bullet"/>
      <w:lvlText w:val="•"/>
      <w:lvlJc w:val="left"/>
      <w:pPr>
        <w:tabs>
          <w:tab w:val="num" w:pos="5040"/>
        </w:tabs>
        <w:ind w:left="5040" w:hanging="360"/>
      </w:pPr>
      <w:rPr>
        <w:rFonts w:ascii="Arial" w:hAnsi="Arial" w:hint="default"/>
      </w:rPr>
    </w:lvl>
    <w:lvl w:ilvl="7" w:tplc="8D0699FC" w:tentative="1">
      <w:start w:val="1"/>
      <w:numFmt w:val="bullet"/>
      <w:lvlText w:val="•"/>
      <w:lvlJc w:val="left"/>
      <w:pPr>
        <w:tabs>
          <w:tab w:val="num" w:pos="5760"/>
        </w:tabs>
        <w:ind w:left="5760" w:hanging="360"/>
      </w:pPr>
      <w:rPr>
        <w:rFonts w:ascii="Arial" w:hAnsi="Arial" w:hint="default"/>
      </w:rPr>
    </w:lvl>
    <w:lvl w:ilvl="8" w:tplc="F96C650A" w:tentative="1">
      <w:start w:val="1"/>
      <w:numFmt w:val="bullet"/>
      <w:lvlText w:val="•"/>
      <w:lvlJc w:val="left"/>
      <w:pPr>
        <w:tabs>
          <w:tab w:val="num" w:pos="6480"/>
        </w:tabs>
        <w:ind w:left="6480" w:hanging="360"/>
      </w:pPr>
      <w:rPr>
        <w:rFonts w:ascii="Arial" w:hAnsi="Arial" w:hint="default"/>
      </w:rPr>
    </w:lvl>
  </w:abstractNum>
  <w:abstractNum w:abstractNumId="6">
    <w:nsid w:val="21A8527B"/>
    <w:multiLevelType w:val="hybridMultilevel"/>
    <w:tmpl w:val="21B0ABEE"/>
    <w:lvl w:ilvl="0" w:tplc="65C22CD0">
      <w:start w:val="1"/>
      <w:numFmt w:val="bullet"/>
      <w:lvlText w:val="•"/>
      <w:lvlJc w:val="left"/>
      <w:pPr>
        <w:tabs>
          <w:tab w:val="num" w:pos="720"/>
        </w:tabs>
        <w:ind w:left="720" w:hanging="360"/>
      </w:pPr>
      <w:rPr>
        <w:rFonts w:ascii="Arial" w:hAnsi="Arial" w:hint="default"/>
      </w:rPr>
    </w:lvl>
    <w:lvl w:ilvl="1" w:tplc="6E320D20" w:tentative="1">
      <w:start w:val="1"/>
      <w:numFmt w:val="bullet"/>
      <w:lvlText w:val="•"/>
      <w:lvlJc w:val="left"/>
      <w:pPr>
        <w:tabs>
          <w:tab w:val="num" w:pos="1440"/>
        </w:tabs>
        <w:ind w:left="1440" w:hanging="360"/>
      </w:pPr>
      <w:rPr>
        <w:rFonts w:ascii="Arial" w:hAnsi="Arial" w:hint="default"/>
      </w:rPr>
    </w:lvl>
    <w:lvl w:ilvl="2" w:tplc="DBEEBBFA" w:tentative="1">
      <w:start w:val="1"/>
      <w:numFmt w:val="bullet"/>
      <w:lvlText w:val="•"/>
      <w:lvlJc w:val="left"/>
      <w:pPr>
        <w:tabs>
          <w:tab w:val="num" w:pos="2160"/>
        </w:tabs>
        <w:ind w:left="2160" w:hanging="360"/>
      </w:pPr>
      <w:rPr>
        <w:rFonts w:ascii="Arial" w:hAnsi="Arial" w:hint="default"/>
      </w:rPr>
    </w:lvl>
    <w:lvl w:ilvl="3" w:tplc="0860C14C" w:tentative="1">
      <w:start w:val="1"/>
      <w:numFmt w:val="bullet"/>
      <w:lvlText w:val="•"/>
      <w:lvlJc w:val="left"/>
      <w:pPr>
        <w:tabs>
          <w:tab w:val="num" w:pos="2880"/>
        </w:tabs>
        <w:ind w:left="2880" w:hanging="360"/>
      </w:pPr>
      <w:rPr>
        <w:rFonts w:ascii="Arial" w:hAnsi="Arial" w:hint="default"/>
      </w:rPr>
    </w:lvl>
    <w:lvl w:ilvl="4" w:tplc="2208D2AA" w:tentative="1">
      <w:start w:val="1"/>
      <w:numFmt w:val="bullet"/>
      <w:lvlText w:val="•"/>
      <w:lvlJc w:val="left"/>
      <w:pPr>
        <w:tabs>
          <w:tab w:val="num" w:pos="3600"/>
        </w:tabs>
        <w:ind w:left="3600" w:hanging="360"/>
      </w:pPr>
      <w:rPr>
        <w:rFonts w:ascii="Arial" w:hAnsi="Arial" w:hint="default"/>
      </w:rPr>
    </w:lvl>
    <w:lvl w:ilvl="5" w:tplc="6DEC7832" w:tentative="1">
      <w:start w:val="1"/>
      <w:numFmt w:val="bullet"/>
      <w:lvlText w:val="•"/>
      <w:lvlJc w:val="left"/>
      <w:pPr>
        <w:tabs>
          <w:tab w:val="num" w:pos="4320"/>
        </w:tabs>
        <w:ind w:left="4320" w:hanging="360"/>
      </w:pPr>
      <w:rPr>
        <w:rFonts w:ascii="Arial" w:hAnsi="Arial" w:hint="default"/>
      </w:rPr>
    </w:lvl>
    <w:lvl w:ilvl="6" w:tplc="75026CF6" w:tentative="1">
      <w:start w:val="1"/>
      <w:numFmt w:val="bullet"/>
      <w:lvlText w:val="•"/>
      <w:lvlJc w:val="left"/>
      <w:pPr>
        <w:tabs>
          <w:tab w:val="num" w:pos="5040"/>
        </w:tabs>
        <w:ind w:left="5040" w:hanging="360"/>
      </w:pPr>
      <w:rPr>
        <w:rFonts w:ascii="Arial" w:hAnsi="Arial" w:hint="default"/>
      </w:rPr>
    </w:lvl>
    <w:lvl w:ilvl="7" w:tplc="96FCAA48" w:tentative="1">
      <w:start w:val="1"/>
      <w:numFmt w:val="bullet"/>
      <w:lvlText w:val="•"/>
      <w:lvlJc w:val="left"/>
      <w:pPr>
        <w:tabs>
          <w:tab w:val="num" w:pos="5760"/>
        </w:tabs>
        <w:ind w:left="5760" w:hanging="360"/>
      </w:pPr>
      <w:rPr>
        <w:rFonts w:ascii="Arial" w:hAnsi="Arial" w:hint="default"/>
      </w:rPr>
    </w:lvl>
    <w:lvl w:ilvl="8" w:tplc="1F4AB3FE" w:tentative="1">
      <w:start w:val="1"/>
      <w:numFmt w:val="bullet"/>
      <w:lvlText w:val="•"/>
      <w:lvlJc w:val="left"/>
      <w:pPr>
        <w:tabs>
          <w:tab w:val="num" w:pos="6480"/>
        </w:tabs>
        <w:ind w:left="6480" w:hanging="360"/>
      </w:pPr>
      <w:rPr>
        <w:rFonts w:ascii="Arial" w:hAnsi="Arial" w:hint="default"/>
      </w:rPr>
    </w:lvl>
  </w:abstractNum>
  <w:abstractNum w:abstractNumId="7">
    <w:nsid w:val="2F754ADA"/>
    <w:multiLevelType w:val="hybridMultilevel"/>
    <w:tmpl w:val="B0F09D84"/>
    <w:lvl w:ilvl="0" w:tplc="759C46EE">
      <w:start w:val="1"/>
      <w:numFmt w:val="bullet"/>
      <w:lvlText w:val="•"/>
      <w:lvlJc w:val="left"/>
      <w:pPr>
        <w:tabs>
          <w:tab w:val="num" w:pos="720"/>
        </w:tabs>
        <w:ind w:left="720" w:hanging="360"/>
      </w:pPr>
      <w:rPr>
        <w:rFonts w:ascii="Arial" w:hAnsi="Arial" w:hint="default"/>
      </w:rPr>
    </w:lvl>
    <w:lvl w:ilvl="1" w:tplc="9118C92E">
      <w:numFmt w:val="bullet"/>
      <w:lvlText w:val="o"/>
      <w:lvlJc w:val="left"/>
      <w:pPr>
        <w:tabs>
          <w:tab w:val="num" w:pos="1440"/>
        </w:tabs>
        <w:ind w:left="1440" w:hanging="360"/>
      </w:pPr>
      <w:rPr>
        <w:rFonts w:ascii="Courier New" w:hAnsi="Courier New" w:hint="default"/>
      </w:rPr>
    </w:lvl>
    <w:lvl w:ilvl="2" w:tplc="6680BCC8" w:tentative="1">
      <w:start w:val="1"/>
      <w:numFmt w:val="bullet"/>
      <w:lvlText w:val="•"/>
      <w:lvlJc w:val="left"/>
      <w:pPr>
        <w:tabs>
          <w:tab w:val="num" w:pos="2160"/>
        </w:tabs>
        <w:ind w:left="2160" w:hanging="360"/>
      </w:pPr>
      <w:rPr>
        <w:rFonts w:ascii="Arial" w:hAnsi="Arial" w:hint="default"/>
      </w:rPr>
    </w:lvl>
    <w:lvl w:ilvl="3" w:tplc="EEDCFE32" w:tentative="1">
      <w:start w:val="1"/>
      <w:numFmt w:val="bullet"/>
      <w:lvlText w:val="•"/>
      <w:lvlJc w:val="left"/>
      <w:pPr>
        <w:tabs>
          <w:tab w:val="num" w:pos="2880"/>
        </w:tabs>
        <w:ind w:left="2880" w:hanging="360"/>
      </w:pPr>
      <w:rPr>
        <w:rFonts w:ascii="Arial" w:hAnsi="Arial" w:hint="default"/>
      </w:rPr>
    </w:lvl>
    <w:lvl w:ilvl="4" w:tplc="7C24CDCE" w:tentative="1">
      <w:start w:val="1"/>
      <w:numFmt w:val="bullet"/>
      <w:lvlText w:val="•"/>
      <w:lvlJc w:val="left"/>
      <w:pPr>
        <w:tabs>
          <w:tab w:val="num" w:pos="3600"/>
        </w:tabs>
        <w:ind w:left="3600" w:hanging="360"/>
      </w:pPr>
      <w:rPr>
        <w:rFonts w:ascii="Arial" w:hAnsi="Arial" w:hint="default"/>
      </w:rPr>
    </w:lvl>
    <w:lvl w:ilvl="5" w:tplc="04B2998A" w:tentative="1">
      <w:start w:val="1"/>
      <w:numFmt w:val="bullet"/>
      <w:lvlText w:val="•"/>
      <w:lvlJc w:val="left"/>
      <w:pPr>
        <w:tabs>
          <w:tab w:val="num" w:pos="4320"/>
        </w:tabs>
        <w:ind w:left="4320" w:hanging="360"/>
      </w:pPr>
      <w:rPr>
        <w:rFonts w:ascii="Arial" w:hAnsi="Arial" w:hint="default"/>
      </w:rPr>
    </w:lvl>
    <w:lvl w:ilvl="6" w:tplc="CFFCA5CE" w:tentative="1">
      <w:start w:val="1"/>
      <w:numFmt w:val="bullet"/>
      <w:lvlText w:val="•"/>
      <w:lvlJc w:val="left"/>
      <w:pPr>
        <w:tabs>
          <w:tab w:val="num" w:pos="5040"/>
        </w:tabs>
        <w:ind w:left="5040" w:hanging="360"/>
      </w:pPr>
      <w:rPr>
        <w:rFonts w:ascii="Arial" w:hAnsi="Arial" w:hint="default"/>
      </w:rPr>
    </w:lvl>
    <w:lvl w:ilvl="7" w:tplc="5E2C5554" w:tentative="1">
      <w:start w:val="1"/>
      <w:numFmt w:val="bullet"/>
      <w:lvlText w:val="•"/>
      <w:lvlJc w:val="left"/>
      <w:pPr>
        <w:tabs>
          <w:tab w:val="num" w:pos="5760"/>
        </w:tabs>
        <w:ind w:left="5760" w:hanging="360"/>
      </w:pPr>
      <w:rPr>
        <w:rFonts w:ascii="Arial" w:hAnsi="Arial" w:hint="default"/>
      </w:rPr>
    </w:lvl>
    <w:lvl w:ilvl="8" w:tplc="D6982310" w:tentative="1">
      <w:start w:val="1"/>
      <w:numFmt w:val="bullet"/>
      <w:lvlText w:val="•"/>
      <w:lvlJc w:val="left"/>
      <w:pPr>
        <w:tabs>
          <w:tab w:val="num" w:pos="6480"/>
        </w:tabs>
        <w:ind w:left="6480" w:hanging="360"/>
      </w:pPr>
      <w:rPr>
        <w:rFonts w:ascii="Arial" w:hAnsi="Arial" w:hint="default"/>
      </w:rPr>
    </w:lvl>
  </w:abstractNum>
  <w:abstractNum w:abstractNumId="8">
    <w:nsid w:val="39F4181C"/>
    <w:multiLevelType w:val="hybridMultilevel"/>
    <w:tmpl w:val="1E88979E"/>
    <w:lvl w:ilvl="0" w:tplc="30EC2190">
      <w:start w:val="1"/>
      <w:numFmt w:val="bullet"/>
      <w:lvlText w:val="•"/>
      <w:lvlJc w:val="left"/>
      <w:pPr>
        <w:tabs>
          <w:tab w:val="num" w:pos="720"/>
        </w:tabs>
        <w:ind w:left="720" w:hanging="360"/>
      </w:pPr>
      <w:rPr>
        <w:rFonts w:ascii="Arial" w:hAnsi="Arial" w:hint="default"/>
      </w:rPr>
    </w:lvl>
    <w:lvl w:ilvl="1" w:tplc="023C0144">
      <w:numFmt w:val="bullet"/>
      <w:lvlText w:val="•"/>
      <w:lvlJc w:val="left"/>
      <w:pPr>
        <w:tabs>
          <w:tab w:val="num" w:pos="1440"/>
        </w:tabs>
        <w:ind w:left="1440" w:hanging="360"/>
      </w:pPr>
      <w:rPr>
        <w:rFonts w:ascii="Arial" w:hAnsi="Arial" w:hint="default"/>
      </w:rPr>
    </w:lvl>
    <w:lvl w:ilvl="2" w:tplc="F64ED314" w:tentative="1">
      <w:start w:val="1"/>
      <w:numFmt w:val="bullet"/>
      <w:lvlText w:val="•"/>
      <w:lvlJc w:val="left"/>
      <w:pPr>
        <w:tabs>
          <w:tab w:val="num" w:pos="2160"/>
        </w:tabs>
        <w:ind w:left="2160" w:hanging="360"/>
      </w:pPr>
      <w:rPr>
        <w:rFonts w:ascii="Arial" w:hAnsi="Arial" w:hint="default"/>
      </w:rPr>
    </w:lvl>
    <w:lvl w:ilvl="3" w:tplc="1EBEE178" w:tentative="1">
      <w:start w:val="1"/>
      <w:numFmt w:val="bullet"/>
      <w:lvlText w:val="•"/>
      <w:lvlJc w:val="left"/>
      <w:pPr>
        <w:tabs>
          <w:tab w:val="num" w:pos="2880"/>
        </w:tabs>
        <w:ind w:left="2880" w:hanging="360"/>
      </w:pPr>
      <w:rPr>
        <w:rFonts w:ascii="Arial" w:hAnsi="Arial" w:hint="default"/>
      </w:rPr>
    </w:lvl>
    <w:lvl w:ilvl="4" w:tplc="689C9D9A" w:tentative="1">
      <w:start w:val="1"/>
      <w:numFmt w:val="bullet"/>
      <w:lvlText w:val="•"/>
      <w:lvlJc w:val="left"/>
      <w:pPr>
        <w:tabs>
          <w:tab w:val="num" w:pos="3600"/>
        </w:tabs>
        <w:ind w:left="3600" w:hanging="360"/>
      </w:pPr>
      <w:rPr>
        <w:rFonts w:ascii="Arial" w:hAnsi="Arial" w:hint="default"/>
      </w:rPr>
    </w:lvl>
    <w:lvl w:ilvl="5" w:tplc="C966F6EC" w:tentative="1">
      <w:start w:val="1"/>
      <w:numFmt w:val="bullet"/>
      <w:lvlText w:val="•"/>
      <w:lvlJc w:val="left"/>
      <w:pPr>
        <w:tabs>
          <w:tab w:val="num" w:pos="4320"/>
        </w:tabs>
        <w:ind w:left="4320" w:hanging="360"/>
      </w:pPr>
      <w:rPr>
        <w:rFonts w:ascii="Arial" w:hAnsi="Arial" w:hint="default"/>
      </w:rPr>
    </w:lvl>
    <w:lvl w:ilvl="6" w:tplc="68FAB32C" w:tentative="1">
      <w:start w:val="1"/>
      <w:numFmt w:val="bullet"/>
      <w:lvlText w:val="•"/>
      <w:lvlJc w:val="left"/>
      <w:pPr>
        <w:tabs>
          <w:tab w:val="num" w:pos="5040"/>
        </w:tabs>
        <w:ind w:left="5040" w:hanging="360"/>
      </w:pPr>
      <w:rPr>
        <w:rFonts w:ascii="Arial" w:hAnsi="Arial" w:hint="default"/>
      </w:rPr>
    </w:lvl>
    <w:lvl w:ilvl="7" w:tplc="2DFEBCB0" w:tentative="1">
      <w:start w:val="1"/>
      <w:numFmt w:val="bullet"/>
      <w:lvlText w:val="•"/>
      <w:lvlJc w:val="left"/>
      <w:pPr>
        <w:tabs>
          <w:tab w:val="num" w:pos="5760"/>
        </w:tabs>
        <w:ind w:left="5760" w:hanging="360"/>
      </w:pPr>
      <w:rPr>
        <w:rFonts w:ascii="Arial" w:hAnsi="Arial" w:hint="default"/>
      </w:rPr>
    </w:lvl>
    <w:lvl w:ilvl="8" w:tplc="4210D0DA" w:tentative="1">
      <w:start w:val="1"/>
      <w:numFmt w:val="bullet"/>
      <w:lvlText w:val="•"/>
      <w:lvlJc w:val="left"/>
      <w:pPr>
        <w:tabs>
          <w:tab w:val="num" w:pos="6480"/>
        </w:tabs>
        <w:ind w:left="6480" w:hanging="360"/>
      </w:pPr>
      <w:rPr>
        <w:rFonts w:ascii="Arial" w:hAnsi="Arial" w:hint="default"/>
      </w:rPr>
    </w:lvl>
  </w:abstractNum>
  <w:abstractNum w:abstractNumId="9">
    <w:nsid w:val="3BB008CC"/>
    <w:multiLevelType w:val="hybridMultilevel"/>
    <w:tmpl w:val="514A1E92"/>
    <w:lvl w:ilvl="0" w:tplc="0D4A1DC2">
      <w:start w:val="1"/>
      <w:numFmt w:val="bullet"/>
      <w:lvlText w:val="•"/>
      <w:lvlJc w:val="left"/>
      <w:pPr>
        <w:tabs>
          <w:tab w:val="num" w:pos="720"/>
        </w:tabs>
        <w:ind w:left="720" w:hanging="360"/>
      </w:pPr>
      <w:rPr>
        <w:rFonts w:ascii="Arial" w:hAnsi="Arial" w:hint="default"/>
      </w:rPr>
    </w:lvl>
    <w:lvl w:ilvl="1" w:tplc="EA2C5E74">
      <w:start w:val="1"/>
      <w:numFmt w:val="bullet"/>
      <w:lvlText w:val="•"/>
      <w:lvlJc w:val="left"/>
      <w:pPr>
        <w:tabs>
          <w:tab w:val="num" w:pos="1440"/>
        </w:tabs>
        <w:ind w:left="1440" w:hanging="360"/>
      </w:pPr>
      <w:rPr>
        <w:rFonts w:ascii="Arial" w:hAnsi="Arial" w:hint="default"/>
      </w:rPr>
    </w:lvl>
    <w:lvl w:ilvl="2" w:tplc="EC6A4896" w:tentative="1">
      <w:start w:val="1"/>
      <w:numFmt w:val="bullet"/>
      <w:lvlText w:val="•"/>
      <w:lvlJc w:val="left"/>
      <w:pPr>
        <w:tabs>
          <w:tab w:val="num" w:pos="2160"/>
        </w:tabs>
        <w:ind w:left="2160" w:hanging="360"/>
      </w:pPr>
      <w:rPr>
        <w:rFonts w:ascii="Arial" w:hAnsi="Arial" w:hint="default"/>
      </w:rPr>
    </w:lvl>
    <w:lvl w:ilvl="3" w:tplc="0846E960" w:tentative="1">
      <w:start w:val="1"/>
      <w:numFmt w:val="bullet"/>
      <w:lvlText w:val="•"/>
      <w:lvlJc w:val="left"/>
      <w:pPr>
        <w:tabs>
          <w:tab w:val="num" w:pos="2880"/>
        </w:tabs>
        <w:ind w:left="2880" w:hanging="360"/>
      </w:pPr>
      <w:rPr>
        <w:rFonts w:ascii="Arial" w:hAnsi="Arial" w:hint="default"/>
      </w:rPr>
    </w:lvl>
    <w:lvl w:ilvl="4" w:tplc="934C73DE" w:tentative="1">
      <w:start w:val="1"/>
      <w:numFmt w:val="bullet"/>
      <w:lvlText w:val="•"/>
      <w:lvlJc w:val="left"/>
      <w:pPr>
        <w:tabs>
          <w:tab w:val="num" w:pos="3600"/>
        </w:tabs>
        <w:ind w:left="3600" w:hanging="360"/>
      </w:pPr>
      <w:rPr>
        <w:rFonts w:ascii="Arial" w:hAnsi="Arial" w:hint="default"/>
      </w:rPr>
    </w:lvl>
    <w:lvl w:ilvl="5" w:tplc="9C1AFA20" w:tentative="1">
      <w:start w:val="1"/>
      <w:numFmt w:val="bullet"/>
      <w:lvlText w:val="•"/>
      <w:lvlJc w:val="left"/>
      <w:pPr>
        <w:tabs>
          <w:tab w:val="num" w:pos="4320"/>
        </w:tabs>
        <w:ind w:left="4320" w:hanging="360"/>
      </w:pPr>
      <w:rPr>
        <w:rFonts w:ascii="Arial" w:hAnsi="Arial" w:hint="default"/>
      </w:rPr>
    </w:lvl>
    <w:lvl w:ilvl="6" w:tplc="30E057FC" w:tentative="1">
      <w:start w:val="1"/>
      <w:numFmt w:val="bullet"/>
      <w:lvlText w:val="•"/>
      <w:lvlJc w:val="left"/>
      <w:pPr>
        <w:tabs>
          <w:tab w:val="num" w:pos="5040"/>
        </w:tabs>
        <w:ind w:left="5040" w:hanging="360"/>
      </w:pPr>
      <w:rPr>
        <w:rFonts w:ascii="Arial" w:hAnsi="Arial" w:hint="default"/>
      </w:rPr>
    </w:lvl>
    <w:lvl w:ilvl="7" w:tplc="B85079F0" w:tentative="1">
      <w:start w:val="1"/>
      <w:numFmt w:val="bullet"/>
      <w:lvlText w:val="•"/>
      <w:lvlJc w:val="left"/>
      <w:pPr>
        <w:tabs>
          <w:tab w:val="num" w:pos="5760"/>
        </w:tabs>
        <w:ind w:left="5760" w:hanging="360"/>
      </w:pPr>
      <w:rPr>
        <w:rFonts w:ascii="Arial" w:hAnsi="Arial" w:hint="default"/>
      </w:rPr>
    </w:lvl>
    <w:lvl w:ilvl="8" w:tplc="74EE5A30" w:tentative="1">
      <w:start w:val="1"/>
      <w:numFmt w:val="bullet"/>
      <w:lvlText w:val="•"/>
      <w:lvlJc w:val="left"/>
      <w:pPr>
        <w:tabs>
          <w:tab w:val="num" w:pos="6480"/>
        </w:tabs>
        <w:ind w:left="6480" w:hanging="360"/>
      </w:pPr>
      <w:rPr>
        <w:rFonts w:ascii="Arial" w:hAnsi="Arial" w:hint="default"/>
      </w:rPr>
    </w:lvl>
  </w:abstractNum>
  <w:abstractNum w:abstractNumId="10">
    <w:nsid w:val="48942C94"/>
    <w:multiLevelType w:val="hybridMultilevel"/>
    <w:tmpl w:val="CC34A250"/>
    <w:lvl w:ilvl="0" w:tplc="65F854B4">
      <w:start w:val="1"/>
      <w:numFmt w:val="bullet"/>
      <w:lvlText w:val="o"/>
      <w:lvlJc w:val="left"/>
      <w:pPr>
        <w:tabs>
          <w:tab w:val="num" w:pos="720"/>
        </w:tabs>
        <w:ind w:left="720" w:hanging="360"/>
      </w:pPr>
      <w:rPr>
        <w:rFonts w:ascii="Courier New" w:hAnsi="Courier New" w:hint="default"/>
      </w:rPr>
    </w:lvl>
    <w:lvl w:ilvl="1" w:tplc="0FF8ECA8" w:tentative="1">
      <w:start w:val="1"/>
      <w:numFmt w:val="bullet"/>
      <w:lvlText w:val="o"/>
      <w:lvlJc w:val="left"/>
      <w:pPr>
        <w:tabs>
          <w:tab w:val="num" w:pos="1440"/>
        </w:tabs>
        <w:ind w:left="1440" w:hanging="360"/>
      </w:pPr>
      <w:rPr>
        <w:rFonts w:ascii="Courier New" w:hAnsi="Courier New" w:hint="default"/>
      </w:rPr>
    </w:lvl>
    <w:lvl w:ilvl="2" w:tplc="A0464B82" w:tentative="1">
      <w:start w:val="1"/>
      <w:numFmt w:val="bullet"/>
      <w:lvlText w:val="o"/>
      <w:lvlJc w:val="left"/>
      <w:pPr>
        <w:tabs>
          <w:tab w:val="num" w:pos="2160"/>
        </w:tabs>
        <w:ind w:left="2160" w:hanging="360"/>
      </w:pPr>
      <w:rPr>
        <w:rFonts w:ascii="Courier New" w:hAnsi="Courier New" w:hint="default"/>
      </w:rPr>
    </w:lvl>
    <w:lvl w:ilvl="3" w:tplc="4D46F27C" w:tentative="1">
      <w:start w:val="1"/>
      <w:numFmt w:val="bullet"/>
      <w:lvlText w:val="o"/>
      <w:lvlJc w:val="left"/>
      <w:pPr>
        <w:tabs>
          <w:tab w:val="num" w:pos="2880"/>
        </w:tabs>
        <w:ind w:left="2880" w:hanging="360"/>
      </w:pPr>
      <w:rPr>
        <w:rFonts w:ascii="Courier New" w:hAnsi="Courier New" w:hint="default"/>
      </w:rPr>
    </w:lvl>
    <w:lvl w:ilvl="4" w:tplc="01B4B8E0" w:tentative="1">
      <w:start w:val="1"/>
      <w:numFmt w:val="bullet"/>
      <w:lvlText w:val="o"/>
      <w:lvlJc w:val="left"/>
      <w:pPr>
        <w:tabs>
          <w:tab w:val="num" w:pos="3600"/>
        </w:tabs>
        <w:ind w:left="3600" w:hanging="360"/>
      </w:pPr>
      <w:rPr>
        <w:rFonts w:ascii="Courier New" w:hAnsi="Courier New" w:hint="default"/>
      </w:rPr>
    </w:lvl>
    <w:lvl w:ilvl="5" w:tplc="0F940D76" w:tentative="1">
      <w:start w:val="1"/>
      <w:numFmt w:val="bullet"/>
      <w:lvlText w:val="o"/>
      <w:lvlJc w:val="left"/>
      <w:pPr>
        <w:tabs>
          <w:tab w:val="num" w:pos="4320"/>
        </w:tabs>
        <w:ind w:left="4320" w:hanging="360"/>
      </w:pPr>
      <w:rPr>
        <w:rFonts w:ascii="Courier New" w:hAnsi="Courier New" w:hint="default"/>
      </w:rPr>
    </w:lvl>
    <w:lvl w:ilvl="6" w:tplc="D7521CB8" w:tentative="1">
      <w:start w:val="1"/>
      <w:numFmt w:val="bullet"/>
      <w:lvlText w:val="o"/>
      <w:lvlJc w:val="left"/>
      <w:pPr>
        <w:tabs>
          <w:tab w:val="num" w:pos="5040"/>
        </w:tabs>
        <w:ind w:left="5040" w:hanging="360"/>
      </w:pPr>
      <w:rPr>
        <w:rFonts w:ascii="Courier New" w:hAnsi="Courier New" w:hint="default"/>
      </w:rPr>
    </w:lvl>
    <w:lvl w:ilvl="7" w:tplc="3ACE6650" w:tentative="1">
      <w:start w:val="1"/>
      <w:numFmt w:val="bullet"/>
      <w:lvlText w:val="o"/>
      <w:lvlJc w:val="left"/>
      <w:pPr>
        <w:tabs>
          <w:tab w:val="num" w:pos="5760"/>
        </w:tabs>
        <w:ind w:left="5760" w:hanging="360"/>
      </w:pPr>
      <w:rPr>
        <w:rFonts w:ascii="Courier New" w:hAnsi="Courier New" w:hint="default"/>
      </w:rPr>
    </w:lvl>
    <w:lvl w:ilvl="8" w:tplc="8160C42C" w:tentative="1">
      <w:start w:val="1"/>
      <w:numFmt w:val="bullet"/>
      <w:lvlText w:val="o"/>
      <w:lvlJc w:val="left"/>
      <w:pPr>
        <w:tabs>
          <w:tab w:val="num" w:pos="6480"/>
        </w:tabs>
        <w:ind w:left="6480" w:hanging="360"/>
      </w:pPr>
      <w:rPr>
        <w:rFonts w:ascii="Courier New" w:hAnsi="Courier New" w:hint="default"/>
      </w:rPr>
    </w:lvl>
  </w:abstractNum>
  <w:abstractNum w:abstractNumId="11">
    <w:nsid w:val="4B2330C2"/>
    <w:multiLevelType w:val="multilevel"/>
    <w:tmpl w:val="10C491BA"/>
    <w:lvl w:ilvl="0">
      <w:start w:val="1"/>
      <w:numFmt w:val="decimal"/>
      <w:pStyle w:val="SAICANumberingParagraphs"/>
      <w:lvlText w:val="%1."/>
      <w:lvlJc w:val="left"/>
      <w:pPr>
        <w:ind w:left="502" w:hanging="360"/>
      </w:pPr>
      <w:rPr>
        <w:rFonts w:ascii="Arial" w:hAnsi="Arial" w:cs="Arial" w:hint="default"/>
        <w:b w:val="0"/>
        <w:i w:val="0"/>
      </w:rPr>
    </w:lvl>
    <w:lvl w:ilvl="1">
      <w:start w:val="1"/>
      <w:numFmt w:val="decimal"/>
      <w:isLgl/>
      <w:lvlText w:val="%1.%2"/>
      <w:lvlJc w:val="left"/>
      <w:pPr>
        <w:ind w:left="777" w:hanging="57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456" w:hanging="1800"/>
      </w:pPr>
      <w:rPr>
        <w:rFonts w:hint="default"/>
      </w:rPr>
    </w:lvl>
  </w:abstractNum>
  <w:abstractNum w:abstractNumId="12">
    <w:nsid w:val="60C11A2D"/>
    <w:multiLevelType w:val="hybridMultilevel"/>
    <w:tmpl w:val="A77826B8"/>
    <w:lvl w:ilvl="0" w:tplc="D43485CE">
      <w:start w:val="1"/>
      <w:numFmt w:val="bullet"/>
      <w:lvlText w:val="•"/>
      <w:lvlJc w:val="left"/>
      <w:pPr>
        <w:tabs>
          <w:tab w:val="num" w:pos="720"/>
        </w:tabs>
        <w:ind w:left="720" w:hanging="360"/>
      </w:pPr>
      <w:rPr>
        <w:rFonts w:ascii="Arial" w:hAnsi="Arial" w:hint="default"/>
      </w:rPr>
    </w:lvl>
    <w:lvl w:ilvl="1" w:tplc="B75026B8">
      <w:start w:val="1"/>
      <w:numFmt w:val="bullet"/>
      <w:lvlText w:val="•"/>
      <w:lvlJc w:val="left"/>
      <w:pPr>
        <w:tabs>
          <w:tab w:val="num" w:pos="1440"/>
        </w:tabs>
        <w:ind w:left="1440" w:hanging="360"/>
      </w:pPr>
      <w:rPr>
        <w:rFonts w:ascii="Arial" w:hAnsi="Arial" w:hint="default"/>
      </w:rPr>
    </w:lvl>
    <w:lvl w:ilvl="2" w:tplc="C1CC5D46" w:tentative="1">
      <w:start w:val="1"/>
      <w:numFmt w:val="bullet"/>
      <w:lvlText w:val="•"/>
      <w:lvlJc w:val="left"/>
      <w:pPr>
        <w:tabs>
          <w:tab w:val="num" w:pos="2160"/>
        </w:tabs>
        <w:ind w:left="2160" w:hanging="360"/>
      </w:pPr>
      <w:rPr>
        <w:rFonts w:ascii="Arial" w:hAnsi="Arial" w:hint="default"/>
      </w:rPr>
    </w:lvl>
    <w:lvl w:ilvl="3" w:tplc="D8CA3BB4" w:tentative="1">
      <w:start w:val="1"/>
      <w:numFmt w:val="bullet"/>
      <w:lvlText w:val="•"/>
      <w:lvlJc w:val="left"/>
      <w:pPr>
        <w:tabs>
          <w:tab w:val="num" w:pos="2880"/>
        </w:tabs>
        <w:ind w:left="2880" w:hanging="360"/>
      </w:pPr>
      <w:rPr>
        <w:rFonts w:ascii="Arial" w:hAnsi="Arial" w:hint="default"/>
      </w:rPr>
    </w:lvl>
    <w:lvl w:ilvl="4" w:tplc="DE82BCC4" w:tentative="1">
      <w:start w:val="1"/>
      <w:numFmt w:val="bullet"/>
      <w:lvlText w:val="•"/>
      <w:lvlJc w:val="left"/>
      <w:pPr>
        <w:tabs>
          <w:tab w:val="num" w:pos="3600"/>
        </w:tabs>
        <w:ind w:left="3600" w:hanging="360"/>
      </w:pPr>
      <w:rPr>
        <w:rFonts w:ascii="Arial" w:hAnsi="Arial" w:hint="default"/>
      </w:rPr>
    </w:lvl>
    <w:lvl w:ilvl="5" w:tplc="432415C2" w:tentative="1">
      <w:start w:val="1"/>
      <w:numFmt w:val="bullet"/>
      <w:lvlText w:val="•"/>
      <w:lvlJc w:val="left"/>
      <w:pPr>
        <w:tabs>
          <w:tab w:val="num" w:pos="4320"/>
        </w:tabs>
        <w:ind w:left="4320" w:hanging="360"/>
      </w:pPr>
      <w:rPr>
        <w:rFonts w:ascii="Arial" w:hAnsi="Arial" w:hint="default"/>
      </w:rPr>
    </w:lvl>
    <w:lvl w:ilvl="6" w:tplc="1D3841A2" w:tentative="1">
      <w:start w:val="1"/>
      <w:numFmt w:val="bullet"/>
      <w:lvlText w:val="•"/>
      <w:lvlJc w:val="left"/>
      <w:pPr>
        <w:tabs>
          <w:tab w:val="num" w:pos="5040"/>
        </w:tabs>
        <w:ind w:left="5040" w:hanging="360"/>
      </w:pPr>
      <w:rPr>
        <w:rFonts w:ascii="Arial" w:hAnsi="Arial" w:hint="default"/>
      </w:rPr>
    </w:lvl>
    <w:lvl w:ilvl="7" w:tplc="352AF2AA" w:tentative="1">
      <w:start w:val="1"/>
      <w:numFmt w:val="bullet"/>
      <w:lvlText w:val="•"/>
      <w:lvlJc w:val="left"/>
      <w:pPr>
        <w:tabs>
          <w:tab w:val="num" w:pos="5760"/>
        </w:tabs>
        <w:ind w:left="5760" w:hanging="360"/>
      </w:pPr>
      <w:rPr>
        <w:rFonts w:ascii="Arial" w:hAnsi="Arial" w:hint="default"/>
      </w:rPr>
    </w:lvl>
    <w:lvl w:ilvl="8" w:tplc="2A6C0014" w:tentative="1">
      <w:start w:val="1"/>
      <w:numFmt w:val="bullet"/>
      <w:lvlText w:val="•"/>
      <w:lvlJc w:val="left"/>
      <w:pPr>
        <w:tabs>
          <w:tab w:val="num" w:pos="6480"/>
        </w:tabs>
        <w:ind w:left="6480" w:hanging="360"/>
      </w:pPr>
      <w:rPr>
        <w:rFonts w:ascii="Arial" w:hAnsi="Arial" w:hint="default"/>
      </w:rPr>
    </w:lvl>
  </w:abstractNum>
  <w:abstractNum w:abstractNumId="13">
    <w:nsid w:val="76E873D7"/>
    <w:multiLevelType w:val="hybridMultilevel"/>
    <w:tmpl w:val="B1047DEC"/>
    <w:lvl w:ilvl="0" w:tplc="29C255AC">
      <w:start w:val="1"/>
      <w:numFmt w:val="bullet"/>
      <w:lvlText w:val="•"/>
      <w:lvlJc w:val="left"/>
      <w:pPr>
        <w:tabs>
          <w:tab w:val="num" w:pos="720"/>
        </w:tabs>
        <w:ind w:left="720" w:hanging="360"/>
      </w:pPr>
      <w:rPr>
        <w:rFonts w:ascii="Arial" w:hAnsi="Arial" w:hint="default"/>
      </w:rPr>
    </w:lvl>
    <w:lvl w:ilvl="1" w:tplc="1FC676CE" w:tentative="1">
      <w:start w:val="1"/>
      <w:numFmt w:val="bullet"/>
      <w:lvlText w:val="•"/>
      <w:lvlJc w:val="left"/>
      <w:pPr>
        <w:tabs>
          <w:tab w:val="num" w:pos="1440"/>
        </w:tabs>
        <w:ind w:left="1440" w:hanging="360"/>
      </w:pPr>
      <w:rPr>
        <w:rFonts w:ascii="Arial" w:hAnsi="Arial" w:hint="default"/>
      </w:rPr>
    </w:lvl>
    <w:lvl w:ilvl="2" w:tplc="1A86CE5E" w:tentative="1">
      <w:start w:val="1"/>
      <w:numFmt w:val="bullet"/>
      <w:lvlText w:val="•"/>
      <w:lvlJc w:val="left"/>
      <w:pPr>
        <w:tabs>
          <w:tab w:val="num" w:pos="2160"/>
        </w:tabs>
        <w:ind w:left="2160" w:hanging="360"/>
      </w:pPr>
      <w:rPr>
        <w:rFonts w:ascii="Arial" w:hAnsi="Arial" w:hint="default"/>
      </w:rPr>
    </w:lvl>
    <w:lvl w:ilvl="3" w:tplc="A680E62C" w:tentative="1">
      <w:start w:val="1"/>
      <w:numFmt w:val="bullet"/>
      <w:lvlText w:val="•"/>
      <w:lvlJc w:val="left"/>
      <w:pPr>
        <w:tabs>
          <w:tab w:val="num" w:pos="2880"/>
        </w:tabs>
        <w:ind w:left="2880" w:hanging="360"/>
      </w:pPr>
      <w:rPr>
        <w:rFonts w:ascii="Arial" w:hAnsi="Arial" w:hint="default"/>
      </w:rPr>
    </w:lvl>
    <w:lvl w:ilvl="4" w:tplc="DCE26D2A" w:tentative="1">
      <w:start w:val="1"/>
      <w:numFmt w:val="bullet"/>
      <w:lvlText w:val="•"/>
      <w:lvlJc w:val="left"/>
      <w:pPr>
        <w:tabs>
          <w:tab w:val="num" w:pos="3600"/>
        </w:tabs>
        <w:ind w:left="3600" w:hanging="360"/>
      </w:pPr>
      <w:rPr>
        <w:rFonts w:ascii="Arial" w:hAnsi="Arial" w:hint="default"/>
      </w:rPr>
    </w:lvl>
    <w:lvl w:ilvl="5" w:tplc="694282B4" w:tentative="1">
      <w:start w:val="1"/>
      <w:numFmt w:val="bullet"/>
      <w:lvlText w:val="•"/>
      <w:lvlJc w:val="left"/>
      <w:pPr>
        <w:tabs>
          <w:tab w:val="num" w:pos="4320"/>
        </w:tabs>
        <w:ind w:left="4320" w:hanging="360"/>
      </w:pPr>
      <w:rPr>
        <w:rFonts w:ascii="Arial" w:hAnsi="Arial" w:hint="default"/>
      </w:rPr>
    </w:lvl>
    <w:lvl w:ilvl="6" w:tplc="CA86ED30" w:tentative="1">
      <w:start w:val="1"/>
      <w:numFmt w:val="bullet"/>
      <w:lvlText w:val="•"/>
      <w:lvlJc w:val="left"/>
      <w:pPr>
        <w:tabs>
          <w:tab w:val="num" w:pos="5040"/>
        </w:tabs>
        <w:ind w:left="5040" w:hanging="360"/>
      </w:pPr>
      <w:rPr>
        <w:rFonts w:ascii="Arial" w:hAnsi="Arial" w:hint="default"/>
      </w:rPr>
    </w:lvl>
    <w:lvl w:ilvl="7" w:tplc="D1400C30" w:tentative="1">
      <w:start w:val="1"/>
      <w:numFmt w:val="bullet"/>
      <w:lvlText w:val="•"/>
      <w:lvlJc w:val="left"/>
      <w:pPr>
        <w:tabs>
          <w:tab w:val="num" w:pos="5760"/>
        </w:tabs>
        <w:ind w:left="5760" w:hanging="360"/>
      </w:pPr>
      <w:rPr>
        <w:rFonts w:ascii="Arial" w:hAnsi="Arial" w:hint="default"/>
      </w:rPr>
    </w:lvl>
    <w:lvl w:ilvl="8" w:tplc="115ECAA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1"/>
  </w:num>
  <w:num w:numId="4">
    <w:abstractNumId w:val="4"/>
  </w:num>
  <w:num w:numId="5">
    <w:abstractNumId w:val="8"/>
  </w:num>
  <w:num w:numId="6">
    <w:abstractNumId w:val="7"/>
  </w:num>
  <w:num w:numId="7">
    <w:abstractNumId w:val="9"/>
  </w:num>
  <w:num w:numId="8">
    <w:abstractNumId w:val="10"/>
  </w:num>
  <w:num w:numId="9">
    <w:abstractNumId w:val="13"/>
  </w:num>
  <w:num w:numId="10">
    <w:abstractNumId w:val="6"/>
  </w:num>
  <w:num w:numId="11">
    <w:abstractNumId w:val="12"/>
  </w:num>
  <w:num w:numId="12">
    <w:abstractNumId w:val="5"/>
  </w:num>
  <w:num w:numId="13">
    <w:abstractNumId w:val="2"/>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95829"/>
    <w:rsid w:val="0000052B"/>
    <w:rsid w:val="00000927"/>
    <w:rsid w:val="00001249"/>
    <w:rsid w:val="00001486"/>
    <w:rsid w:val="0000196F"/>
    <w:rsid w:val="00001EC6"/>
    <w:rsid w:val="00002212"/>
    <w:rsid w:val="00002607"/>
    <w:rsid w:val="0000283C"/>
    <w:rsid w:val="0000287E"/>
    <w:rsid w:val="00002A17"/>
    <w:rsid w:val="00002D87"/>
    <w:rsid w:val="00002F0B"/>
    <w:rsid w:val="0000348D"/>
    <w:rsid w:val="00003C1E"/>
    <w:rsid w:val="00004238"/>
    <w:rsid w:val="00004306"/>
    <w:rsid w:val="0000462E"/>
    <w:rsid w:val="00004FE4"/>
    <w:rsid w:val="0000595A"/>
    <w:rsid w:val="00005C67"/>
    <w:rsid w:val="00006554"/>
    <w:rsid w:val="00006C4C"/>
    <w:rsid w:val="00007530"/>
    <w:rsid w:val="000100F2"/>
    <w:rsid w:val="00010922"/>
    <w:rsid w:val="00010DCE"/>
    <w:rsid w:val="0001104A"/>
    <w:rsid w:val="00011107"/>
    <w:rsid w:val="00011185"/>
    <w:rsid w:val="00011340"/>
    <w:rsid w:val="00012B78"/>
    <w:rsid w:val="00013778"/>
    <w:rsid w:val="0001418C"/>
    <w:rsid w:val="00014195"/>
    <w:rsid w:val="00014752"/>
    <w:rsid w:val="000156F8"/>
    <w:rsid w:val="000159B3"/>
    <w:rsid w:val="00015D98"/>
    <w:rsid w:val="000165C8"/>
    <w:rsid w:val="00016ADC"/>
    <w:rsid w:val="000171D9"/>
    <w:rsid w:val="000173A6"/>
    <w:rsid w:val="000177A8"/>
    <w:rsid w:val="00017B65"/>
    <w:rsid w:val="00017D12"/>
    <w:rsid w:val="00017DCB"/>
    <w:rsid w:val="0002068A"/>
    <w:rsid w:val="000209C5"/>
    <w:rsid w:val="00020A74"/>
    <w:rsid w:val="00020BBF"/>
    <w:rsid w:val="00020C23"/>
    <w:rsid w:val="00020F28"/>
    <w:rsid w:val="00021AD8"/>
    <w:rsid w:val="000223B9"/>
    <w:rsid w:val="000229AB"/>
    <w:rsid w:val="000240F0"/>
    <w:rsid w:val="00024322"/>
    <w:rsid w:val="0002453F"/>
    <w:rsid w:val="000246A9"/>
    <w:rsid w:val="00024BD7"/>
    <w:rsid w:val="00025DEA"/>
    <w:rsid w:val="00026000"/>
    <w:rsid w:val="00026028"/>
    <w:rsid w:val="0002619A"/>
    <w:rsid w:val="00026A40"/>
    <w:rsid w:val="0002708B"/>
    <w:rsid w:val="00027ADD"/>
    <w:rsid w:val="00027B24"/>
    <w:rsid w:val="00027E22"/>
    <w:rsid w:val="00027FFC"/>
    <w:rsid w:val="00030A5F"/>
    <w:rsid w:val="00030AD9"/>
    <w:rsid w:val="00031228"/>
    <w:rsid w:val="000318CE"/>
    <w:rsid w:val="00031C47"/>
    <w:rsid w:val="000321DB"/>
    <w:rsid w:val="00032451"/>
    <w:rsid w:val="00033133"/>
    <w:rsid w:val="00033270"/>
    <w:rsid w:val="00033282"/>
    <w:rsid w:val="0003366F"/>
    <w:rsid w:val="000338DA"/>
    <w:rsid w:val="00033DB0"/>
    <w:rsid w:val="00034044"/>
    <w:rsid w:val="000341E3"/>
    <w:rsid w:val="000342E2"/>
    <w:rsid w:val="00034357"/>
    <w:rsid w:val="00034E54"/>
    <w:rsid w:val="0003508D"/>
    <w:rsid w:val="000357E8"/>
    <w:rsid w:val="00035A92"/>
    <w:rsid w:val="00035FC0"/>
    <w:rsid w:val="00036777"/>
    <w:rsid w:val="00036C2B"/>
    <w:rsid w:val="0003785A"/>
    <w:rsid w:val="00037C2E"/>
    <w:rsid w:val="000405BD"/>
    <w:rsid w:val="000416A8"/>
    <w:rsid w:val="0004171B"/>
    <w:rsid w:val="0004181F"/>
    <w:rsid w:val="00041BC8"/>
    <w:rsid w:val="00042698"/>
    <w:rsid w:val="00042AC5"/>
    <w:rsid w:val="00043014"/>
    <w:rsid w:val="00043320"/>
    <w:rsid w:val="000435E5"/>
    <w:rsid w:val="00043C5D"/>
    <w:rsid w:val="00043D85"/>
    <w:rsid w:val="00043FA8"/>
    <w:rsid w:val="00044387"/>
    <w:rsid w:val="00044BDB"/>
    <w:rsid w:val="00044F94"/>
    <w:rsid w:val="000453EC"/>
    <w:rsid w:val="000453F3"/>
    <w:rsid w:val="00045CB5"/>
    <w:rsid w:val="000468EF"/>
    <w:rsid w:val="0004714A"/>
    <w:rsid w:val="00047E55"/>
    <w:rsid w:val="00050B2D"/>
    <w:rsid w:val="00050C8C"/>
    <w:rsid w:val="00050DC8"/>
    <w:rsid w:val="00051782"/>
    <w:rsid w:val="00052E16"/>
    <w:rsid w:val="00053390"/>
    <w:rsid w:val="00053758"/>
    <w:rsid w:val="00053A47"/>
    <w:rsid w:val="00053B08"/>
    <w:rsid w:val="00053BE8"/>
    <w:rsid w:val="00053F56"/>
    <w:rsid w:val="00054BC4"/>
    <w:rsid w:val="000559D9"/>
    <w:rsid w:val="00055B68"/>
    <w:rsid w:val="00055C8D"/>
    <w:rsid w:val="00055EFC"/>
    <w:rsid w:val="00055F42"/>
    <w:rsid w:val="0005641E"/>
    <w:rsid w:val="000565AB"/>
    <w:rsid w:val="00056677"/>
    <w:rsid w:val="000566AF"/>
    <w:rsid w:val="000566C7"/>
    <w:rsid w:val="000572B4"/>
    <w:rsid w:val="00057445"/>
    <w:rsid w:val="00057B09"/>
    <w:rsid w:val="00060D15"/>
    <w:rsid w:val="0006141B"/>
    <w:rsid w:val="00061472"/>
    <w:rsid w:val="00061D4C"/>
    <w:rsid w:val="00062675"/>
    <w:rsid w:val="00063913"/>
    <w:rsid w:val="000643DA"/>
    <w:rsid w:val="00064C4F"/>
    <w:rsid w:val="00064DA3"/>
    <w:rsid w:val="00065121"/>
    <w:rsid w:val="000665DE"/>
    <w:rsid w:val="00067205"/>
    <w:rsid w:val="00067495"/>
    <w:rsid w:val="0006798A"/>
    <w:rsid w:val="000705EE"/>
    <w:rsid w:val="00070A7F"/>
    <w:rsid w:val="000712A8"/>
    <w:rsid w:val="000721E8"/>
    <w:rsid w:val="00072529"/>
    <w:rsid w:val="00072E04"/>
    <w:rsid w:val="00072E7A"/>
    <w:rsid w:val="00073DCF"/>
    <w:rsid w:val="000745A9"/>
    <w:rsid w:val="00074B82"/>
    <w:rsid w:val="00074EA1"/>
    <w:rsid w:val="000756F7"/>
    <w:rsid w:val="0007577C"/>
    <w:rsid w:val="000758F0"/>
    <w:rsid w:val="00075C8E"/>
    <w:rsid w:val="0007621E"/>
    <w:rsid w:val="000767AB"/>
    <w:rsid w:val="000773EB"/>
    <w:rsid w:val="00080157"/>
    <w:rsid w:val="00080190"/>
    <w:rsid w:val="00080531"/>
    <w:rsid w:val="000810C9"/>
    <w:rsid w:val="00081310"/>
    <w:rsid w:val="000821FF"/>
    <w:rsid w:val="000823B9"/>
    <w:rsid w:val="0008270D"/>
    <w:rsid w:val="0008276A"/>
    <w:rsid w:val="000832C1"/>
    <w:rsid w:val="000832E9"/>
    <w:rsid w:val="000836F6"/>
    <w:rsid w:val="000837C3"/>
    <w:rsid w:val="00083F9D"/>
    <w:rsid w:val="00083FA8"/>
    <w:rsid w:val="0008455B"/>
    <w:rsid w:val="0008459F"/>
    <w:rsid w:val="000845A9"/>
    <w:rsid w:val="00084777"/>
    <w:rsid w:val="00084E2B"/>
    <w:rsid w:val="00084E83"/>
    <w:rsid w:val="00084EA9"/>
    <w:rsid w:val="00085543"/>
    <w:rsid w:val="0008562F"/>
    <w:rsid w:val="00085D9A"/>
    <w:rsid w:val="00086180"/>
    <w:rsid w:val="000865A9"/>
    <w:rsid w:val="00086BC8"/>
    <w:rsid w:val="00087089"/>
    <w:rsid w:val="000872BA"/>
    <w:rsid w:val="000878FF"/>
    <w:rsid w:val="00087950"/>
    <w:rsid w:val="000879ED"/>
    <w:rsid w:val="00090541"/>
    <w:rsid w:val="000905EF"/>
    <w:rsid w:val="000907E4"/>
    <w:rsid w:val="00090CEC"/>
    <w:rsid w:val="00091480"/>
    <w:rsid w:val="00091792"/>
    <w:rsid w:val="000923D1"/>
    <w:rsid w:val="000929AF"/>
    <w:rsid w:val="00093221"/>
    <w:rsid w:val="00093616"/>
    <w:rsid w:val="0009364A"/>
    <w:rsid w:val="00093829"/>
    <w:rsid w:val="00093FE9"/>
    <w:rsid w:val="00094498"/>
    <w:rsid w:val="000947AA"/>
    <w:rsid w:val="0009481C"/>
    <w:rsid w:val="000952EE"/>
    <w:rsid w:val="00095AD3"/>
    <w:rsid w:val="00096506"/>
    <w:rsid w:val="00097F30"/>
    <w:rsid w:val="000A016E"/>
    <w:rsid w:val="000A0986"/>
    <w:rsid w:val="000A0A56"/>
    <w:rsid w:val="000A11C1"/>
    <w:rsid w:val="000A158B"/>
    <w:rsid w:val="000A15F1"/>
    <w:rsid w:val="000A1994"/>
    <w:rsid w:val="000A2BE5"/>
    <w:rsid w:val="000A317B"/>
    <w:rsid w:val="000A3D9C"/>
    <w:rsid w:val="000A409C"/>
    <w:rsid w:val="000A4FC0"/>
    <w:rsid w:val="000A538E"/>
    <w:rsid w:val="000A5F21"/>
    <w:rsid w:val="000A6689"/>
    <w:rsid w:val="000A6745"/>
    <w:rsid w:val="000A6AB7"/>
    <w:rsid w:val="000A6F05"/>
    <w:rsid w:val="000A744E"/>
    <w:rsid w:val="000A790C"/>
    <w:rsid w:val="000A7F3C"/>
    <w:rsid w:val="000A7FDD"/>
    <w:rsid w:val="000B0598"/>
    <w:rsid w:val="000B16B1"/>
    <w:rsid w:val="000B17BA"/>
    <w:rsid w:val="000B180B"/>
    <w:rsid w:val="000B1A9B"/>
    <w:rsid w:val="000B1AF1"/>
    <w:rsid w:val="000B29E0"/>
    <w:rsid w:val="000B2CA5"/>
    <w:rsid w:val="000B2F87"/>
    <w:rsid w:val="000B2FBA"/>
    <w:rsid w:val="000B3097"/>
    <w:rsid w:val="000B311C"/>
    <w:rsid w:val="000B32D9"/>
    <w:rsid w:val="000B3869"/>
    <w:rsid w:val="000B4C05"/>
    <w:rsid w:val="000B54C7"/>
    <w:rsid w:val="000B56FB"/>
    <w:rsid w:val="000B593B"/>
    <w:rsid w:val="000B5BE2"/>
    <w:rsid w:val="000B5FC1"/>
    <w:rsid w:val="000B666A"/>
    <w:rsid w:val="000B6C99"/>
    <w:rsid w:val="000B72F4"/>
    <w:rsid w:val="000B7634"/>
    <w:rsid w:val="000B772D"/>
    <w:rsid w:val="000C04C9"/>
    <w:rsid w:val="000C04DB"/>
    <w:rsid w:val="000C131F"/>
    <w:rsid w:val="000C2509"/>
    <w:rsid w:val="000C2FBB"/>
    <w:rsid w:val="000C2FFA"/>
    <w:rsid w:val="000C3460"/>
    <w:rsid w:val="000C450F"/>
    <w:rsid w:val="000C4D63"/>
    <w:rsid w:val="000C4DA6"/>
    <w:rsid w:val="000C548C"/>
    <w:rsid w:val="000C5F1D"/>
    <w:rsid w:val="000C66E2"/>
    <w:rsid w:val="000C67FB"/>
    <w:rsid w:val="000C6B80"/>
    <w:rsid w:val="000C7513"/>
    <w:rsid w:val="000C7590"/>
    <w:rsid w:val="000C7A0E"/>
    <w:rsid w:val="000D0E83"/>
    <w:rsid w:val="000D0F27"/>
    <w:rsid w:val="000D126D"/>
    <w:rsid w:val="000D12DF"/>
    <w:rsid w:val="000D13A0"/>
    <w:rsid w:val="000D190A"/>
    <w:rsid w:val="000D1CEF"/>
    <w:rsid w:val="000D2629"/>
    <w:rsid w:val="000D2705"/>
    <w:rsid w:val="000D30CC"/>
    <w:rsid w:val="000D341E"/>
    <w:rsid w:val="000D3A89"/>
    <w:rsid w:val="000D3CB4"/>
    <w:rsid w:val="000D44B6"/>
    <w:rsid w:val="000D4989"/>
    <w:rsid w:val="000D4A5C"/>
    <w:rsid w:val="000D4A76"/>
    <w:rsid w:val="000D50E8"/>
    <w:rsid w:val="000D5CBE"/>
    <w:rsid w:val="000D60B4"/>
    <w:rsid w:val="000D619B"/>
    <w:rsid w:val="000D6898"/>
    <w:rsid w:val="000D68F7"/>
    <w:rsid w:val="000D695B"/>
    <w:rsid w:val="000D727D"/>
    <w:rsid w:val="000D771A"/>
    <w:rsid w:val="000D78ED"/>
    <w:rsid w:val="000E06C9"/>
    <w:rsid w:val="000E06CD"/>
    <w:rsid w:val="000E0E01"/>
    <w:rsid w:val="000E1ECE"/>
    <w:rsid w:val="000E2211"/>
    <w:rsid w:val="000E2C5B"/>
    <w:rsid w:val="000E35F2"/>
    <w:rsid w:val="000E40D8"/>
    <w:rsid w:val="000E41E0"/>
    <w:rsid w:val="000E4778"/>
    <w:rsid w:val="000E4800"/>
    <w:rsid w:val="000E59B9"/>
    <w:rsid w:val="000E5B74"/>
    <w:rsid w:val="000E604B"/>
    <w:rsid w:val="000E6417"/>
    <w:rsid w:val="000E6C30"/>
    <w:rsid w:val="000E6C9A"/>
    <w:rsid w:val="000E7589"/>
    <w:rsid w:val="000E7D1D"/>
    <w:rsid w:val="000E7FE4"/>
    <w:rsid w:val="000F072E"/>
    <w:rsid w:val="000F0C83"/>
    <w:rsid w:val="000F0CC0"/>
    <w:rsid w:val="000F1842"/>
    <w:rsid w:val="000F2258"/>
    <w:rsid w:val="000F27F6"/>
    <w:rsid w:val="000F2D63"/>
    <w:rsid w:val="000F2F7C"/>
    <w:rsid w:val="000F3A60"/>
    <w:rsid w:val="000F4283"/>
    <w:rsid w:val="000F43FE"/>
    <w:rsid w:val="000F500C"/>
    <w:rsid w:val="000F50B6"/>
    <w:rsid w:val="000F5B89"/>
    <w:rsid w:val="000F609A"/>
    <w:rsid w:val="000F632A"/>
    <w:rsid w:val="00100658"/>
    <w:rsid w:val="00100B28"/>
    <w:rsid w:val="00100BEC"/>
    <w:rsid w:val="00100D3B"/>
    <w:rsid w:val="00100D71"/>
    <w:rsid w:val="00102110"/>
    <w:rsid w:val="00102C26"/>
    <w:rsid w:val="00103176"/>
    <w:rsid w:val="0010405E"/>
    <w:rsid w:val="001048AF"/>
    <w:rsid w:val="00104A8D"/>
    <w:rsid w:val="00104C0C"/>
    <w:rsid w:val="00104C5E"/>
    <w:rsid w:val="00104F7E"/>
    <w:rsid w:val="00105203"/>
    <w:rsid w:val="001052B5"/>
    <w:rsid w:val="00106420"/>
    <w:rsid w:val="00106515"/>
    <w:rsid w:val="001065EE"/>
    <w:rsid w:val="0010672A"/>
    <w:rsid w:val="0010696F"/>
    <w:rsid w:val="00107AF9"/>
    <w:rsid w:val="00107BB5"/>
    <w:rsid w:val="00107EB2"/>
    <w:rsid w:val="001101ED"/>
    <w:rsid w:val="001115F5"/>
    <w:rsid w:val="0011176D"/>
    <w:rsid w:val="00111C3A"/>
    <w:rsid w:val="00111E0C"/>
    <w:rsid w:val="00112403"/>
    <w:rsid w:val="00112721"/>
    <w:rsid w:val="001128A3"/>
    <w:rsid w:val="0011299A"/>
    <w:rsid w:val="00112C3C"/>
    <w:rsid w:val="00112C74"/>
    <w:rsid w:val="0011301B"/>
    <w:rsid w:val="0011336E"/>
    <w:rsid w:val="0011353D"/>
    <w:rsid w:val="0011373D"/>
    <w:rsid w:val="00113B19"/>
    <w:rsid w:val="00114581"/>
    <w:rsid w:val="00114E26"/>
    <w:rsid w:val="00115E4E"/>
    <w:rsid w:val="001163CC"/>
    <w:rsid w:val="00116407"/>
    <w:rsid w:val="00116742"/>
    <w:rsid w:val="00116B54"/>
    <w:rsid w:val="00116C56"/>
    <w:rsid w:val="0011719E"/>
    <w:rsid w:val="001174CF"/>
    <w:rsid w:val="001178BC"/>
    <w:rsid w:val="001179C8"/>
    <w:rsid w:val="00117C24"/>
    <w:rsid w:val="00120069"/>
    <w:rsid w:val="00120498"/>
    <w:rsid w:val="00120D16"/>
    <w:rsid w:val="00121D40"/>
    <w:rsid w:val="00121FEE"/>
    <w:rsid w:val="00122384"/>
    <w:rsid w:val="001229E4"/>
    <w:rsid w:val="00122BD9"/>
    <w:rsid w:val="00122C21"/>
    <w:rsid w:val="00122D5D"/>
    <w:rsid w:val="00122D94"/>
    <w:rsid w:val="00122EEE"/>
    <w:rsid w:val="0012322D"/>
    <w:rsid w:val="00123384"/>
    <w:rsid w:val="001239CF"/>
    <w:rsid w:val="00123E79"/>
    <w:rsid w:val="00123EFC"/>
    <w:rsid w:val="00123FEB"/>
    <w:rsid w:val="00124823"/>
    <w:rsid w:val="0012484E"/>
    <w:rsid w:val="00125456"/>
    <w:rsid w:val="00125544"/>
    <w:rsid w:val="0012698B"/>
    <w:rsid w:val="00126F83"/>
    <w:rsid w:val="00126FE3"/>
    <w:rsid w:val="00127187"/>
    <w:rsid w:val="001273FA"/>
    <w:rsid w:val="00127C8A"/>
    <w:rsid w:val="0013025D"/>
    <w:rsid w:val="00130DC2"/>
    <w:rsid w:val="00131492"/>
    <w:rsid w:val="00132272"/>
    <w:rsid w:val="00132B46"/>
    <w:rsid w:val="0013355E"/>
    <w:rsid w:val="00133FCC"/>
    <w:rsid w:val="001341ED"/>
    <w:rsid w:val="00134858"/>
    <w:rsid w:val="00134C0C"/>
    <w:rsid w:val="00134E5F"/>
    <w:rsid w:val="00135275"/>
    <w:rsid w:val="00135652"/>
    <w:rsid w:val="00135723"/>
    <w:rsid w:val="00135A73"/>
    <w:rsid w:val="00135DBA"/>
    <w:rsid w:val="00136052"/>
    <w:rsid w:val="00136210"/>
    <w:rsid w:val="001372BC"/>
    <w:rsid w:val="00137782"/>
    <w:rsid w:val="001377D7"/>
    <w:rsid w:val="00137930"/>
    <w:rsid w:val="0013796A"/>
    <w:rsid w:val="00137AEC"/>
    <w:rsid w:val="00137BEE"/>
    <w:rsid w:val="00140622"/>
    <w:rsid w:val="00140997"/>
    <w:rsid w:val="00140AFF"/>
    <w:rsid w:val="00140BDA"/>
    <w:rsid w:val="001410B1"/>
    <w:rsid w:val="00142852"/>
    <w:rsid w:val="00142CE8"/>
    <w:rsid w:val="00142EEA"/>
    <w:rsid w:val="00143195"/>
    <w:rsid w:val="00143B2A"/>
    <w:rsid w:val="00143DD3"/>
    <w:rsid w:val="00143EF7"/>
    <w:rsid w:val="00144A10"/>
    <w:rsid w:val="00144A40"/>
    <w:rsid w:val="00144E82"/>
    <w:rsid w:val="00145122"/>
    <w:rsid w:val="00145278"/>
    <w:rsid w:val="001471DA"/>
    <w:rsid w:val="001473B4"/>
    <w:rsid w:val="00147545"/>
    <w:rsid w:val="00147645"/>
    <w:rsid w:val="00147922"/>
    <w:rsid w:val="001479D9"/>
    <w:rsid w:val="00147DE8"/>
    <w:rsid w:val="00147E11"/>
    <w:rsid w:val="00147E9A"/>
    <w:rsid w:val="001503C7"/>
    <w:rsid w:val="0015046F"/>
    <w:rsid w:val="00150554"/>
    <w:rsid w:val="00150665"/>
    <w:rsid w:val="00150B8A"/>
    <w:rsid w:val="00150FA7"/>
    <w:rsid w:val="00151305"/>
    <w:rsid w:val="0015130D"/>
    <w:rsid w:val="0015185B"/>
    <w:rsid w:val="00151F2D"/>
    <w:rsid w:val="001520B1"/>
    <w:rsid w:val="001523B0"/>
    <w:rsid w:val="0015241F"/>
    <w:rsid w:val="001526E9"/>
    <w:rsid w:val="0015276E"/>
    <w:rsid w:val="001527DF"/>
    <w:rsid w:val="001527E0"/>
    <w:rsid w:val="00153701"/>
    <w:rsid w:val="001539F1"/>
    <w:rsid w:val="00153BA0"/>
    <w:rsid w:val="00154A00"/>
    <w:rsid w:val="00155391"/>
    <w:rsid w:val="001553BA"/>
    <w:rsid w:val="00155631"/>
    <w:rsid w:val="0015567E"/>
    <w:rsid w:val="00155EBD"/>
    <w:rsid w:val="001572DD"/>
    <w:rsid w:val="00157514"/>
    <w:rsid w:val="001576B0"/>
    <w:rsid w:val="00157E0A"/>
    <w:rsid w:val="00157F76"/>
    <w:rsid w:val="00160224"/>
    <w:rsid w:val="00160BB7"/>
    <w:rsid w:val="00160E1A"/>
    <w:rsid w:val="00160F9E"/>
    <w:rsid w:val="00161478"/>
    <w:rsid w:val="00161A65"/>
    <w:rsid w:val="001623F9"/>
    <w:rsid w:val="00162451"/>
    <w:rsid w:val="001624C1"/>
    <w:rsid w:val="00162F9B"/>
    <w:rsid w:val="00163256"/>
    <w:rsid w:val="00163978"/>
    <w:rsid w:val="00163DE2"/>
    <w:rsid w:val="0016401A"/>
    <w:rsid w:val="001647A1"/>
    <w:rsid w:val="00164846"/>
    <w:rsid w:val="00164BB3"/>
    <w:rsid w:val="00164D75"/>
    <w:rsid w:val="001650D1"/>
    <w:rsid w:val="0016512A"/>
    <w:rsid w:val="001651CC"/>
    <w:rsid w:val="00165203"/>
    <w:rsid w:val="001653E2"/>
    <w:rsid w:val="001663DC"/>
    <w:rsid w:val="00166AB1"/>
    <w:rsid w:val="00166E1C"/>
    <w:rsid w:val="00167570"/>
    <w:rsid w:val="00167AE5"/>
    <w:rsid w:val="0017051F"/>
    <w:rsid w:val="001708C0"/>
    <w:rsid w:val="001709D4"/>
    <w:rsid w:val="00170CA9"/>
    <w:rsid w:val="00170E3D"/>
    <w:rsid w:val="00170E3F"/>
    <w:rsid w:val="00171018"/>
    <w:rsid w:val="00171045"/>
    <w:rsid w:val="00171E04"/>
    <w:rsid w:val="00171E0F"/>
    <w:rsid w:val="001723A4"/>
    <w:rsid w:val="00173303"/>
    <w:rsid w:val="00173367"/>
    <w:rsid w:val="001733FF"/>
    <w:rsid w:val="00173621"/>
    <w:rsid w:val="0017365A"/>
    <w:rsid w:val="0017397C"/>
    <w:rsid w:val="00174264"/>
    <w:rsid w:val="00174364"/>
    <w:rsid w:val="00174555"/>
    <w:rsid w:val="00175370"/>
    <w:rsid w:val="00175ACB"/>
    <w:rsid w:val="00176263"/>
    <w:rsid w:val="00176436"/>
    <w:rsid w:val="001768F4"/>
    <w:rsid w:val="001774C8"/>
    <w:rsid w:val="00177612"/>
    <w:rsid w:val="001805DC"/>
    <w:rsid w:val="001805FB"/>
    <w:rsid w:val="00181106"/>
    <w:rsid w:val="0018175D"/>
    <w:rsid w:val="00181941"/>
    <w:rsid w:val="00181DBD"/>
    <w:rsid w:val="001828A9"/>
    <w:rsid w:val="00182DD0"/>
    <w:rsid w:val="00182F10"/>
    <w:rsid w:val="001831C9"/>
    <w:rsid w:val="0018379F"/>
    <w:rsid w:val="00183CBB"/>
    <w:rsid w:val="00184413"/>
    <w:rsid w:val="00184455"/>
    <w:rsid w:val="0018445B"/>
    <w:rsid w:val="001844EF"/>
    <w:rsid w:val="00184A9F"/>
    <w:rsid w:val="00184B97"/>
    <w:rsid w:val="00184D5A"/>
    <w:rsid w:val="00185B3E"/>
    <w:rsid w:val="00185B5F"/>
    <w:rsid w:val="00185EE1"/>
    <w:rsid w:val="001865B7"/>
    <w:rsid w:val="001865C9"/>
    <w:rsid w:val="0018683D"/>
    <w:rsid w:val="00186ADC"/>
    <w:rsid w:val="00186D9D"/>
    <w:rsid w:val="00187BCD"/>
    <w:rsid w:val="00187F0F"/>
    <w:rsid w:val="00190422"/>
    <w:rsid w:val="0019086B"/>
    <w:rsid w:val="00190CFB"/>
    <w:rsid w:val="00190EAD"/>
    <w:rsid w:val="00191715"/>
    <w:rsid w:val="00191AD5"/>
    <w:rsid w:val="00191EBA"/>
    <w:rsid w:val="00191FD0"/>
    <w:rsid w:val="0019270D"/>
    <w:rsid w:val="0019271D"/>
    <w:rsid w:val="0019332B"/>
    <w:rsid w:val="00193A56"/>
    <w:rsid w:val="00193F8D"/>
    <w:rsid w:val="00193FC3"/>
    <w:rsid w:val="001942A0"/>
    <w:rsid w:val="00194A48"/>
    <w:rsid w:val="00195EBD"/>
    <w:rsid w:val="00195F63"/>
    <w:rsid w:val="0019601F"/>
    <w:rsid w:val="00196604"/>
    <w:rsid w:val="0019788A"/>
    <w:rsid w:val="001A158F"/>
    <w:rsid w:val="001A1658"/>
    <w:rsid w:val="001A2395"/>
    <w:rsid w:val="001A23C1"/>
    <w:rsid w:val="001A2A49"/>
    <w:rsid w:val="001A331C"/>
    <w:rsid w:val="001A48FC"/>
    <w:rsid w:val="001A56EF"/>
    <w:rsid w:val="001A58CF"/>
    <w:rsid w:val="001A66A5"/>
    <w:rsid w:val="001A6E57"/>
    <w:rsid w:val="001A70CA"/>
    <w:rsid w:val="001A7263"/>
    <w:rsid w:val="001A787F"/>
    <w:rsid w:val="001A7CBA"/>
    <w:rsid w:val="001A7E49"/>
    <w:rsid w:val="001B080F"/>
    <w:rsid w:val="001B0C9A"/>
    <w:rsid w:val="001B1159"/>
    <w:rsid w:val="001B157B"/>
    <w:rsid w:val="001B16B4"/>
    <w:rsid w:val="001B1B7E"/>
    <w:rsid w:val="001B270E"/>
    <w:rsid w:val="001B2D56"/>
    <w:rsid w:val="001B32D2"/>
    <w:rsid w:val="001B36AB"/>
    <w:rsid w:val="001B3B22"/>
    <w:rsid w:val="001B3EF0"/>
    <w:rsid w:val="001B63F2"/>
    <w:rsid w:val="001B6F46"/>
    <w:rsid w:val="001B749E"/>
    <w:rsid w:val="001B74B8"/>
    <w:rsid w:val="001B77B3"/>
    <w:rsid w:val="001B79CB"/>
    <w:rsid w:val="001B7AF9"/>
    <w:rsid w:val="001C00CB"/>
    <w:rsid w:val="001C04FB"/>
    <w:rsid w:val="001C06F5"/>
    <w:rsid w:val="001C0BA7"/>
    <w:rsid w:val="001C1699"/>
    <w:rsid w:val="001C17DB"/>
    <w:rsid w:val="001C1916"/>
    <w:rsid w:val="001C1D97"/>
    <w:rsid w:val="001C1E27"/>
    <w:rsid w:val="001C20B4"/>
    <w:rsid w:val="001C2444"/>
    <w:rsid w:val="001C2739"/>
    <w:rsid w:val="001C2C9C"/>
    <w:rsid w:val="001C3ED8"/>
    <w:rsid w:val="001C40A5"/>
    <w:rsid w:val="001C45AE"/>
    <w:rsid w:val="001C5674"/>
    <w:rsid w:val="001C58E8"/>
    <w:rsid w:val="001C6183"/>
    <w:rsid w:val="001C6871"/>
    <w:rsid w:val="001C6A26"/>
    <w:rsid w:val="001C6D64"/>
    <w:rsid w:val="001C7CEE"/>
    <w:rsid w:val="001D014E"/>
    <w:rsid w:val="001D0445"/>
    <w:rsid w:val="001D07C2"/>
    <w:rsid w:val="001D082A"/>
    <w:rsid w:val="001D0CA6"/>
    <w:rsid w:val="001D0DC4"/>
    <w:rsid w:val="001D2116"/>
    <w:rsid w:val="001D24CA"/>
    <w:rsid w:val="001D2C5B"/>
    <w:rsid w:val="001D2D8D"/>
    <w:rsid w:val="001D36AE"/>
    <w:rsid w:val="001D4B96"/>
    <w:rsid w:val="001D4D55"/>
    <w:rsid w:val="001D571B"/>
    <w:rsid w:val="001D582E"/>
    <w:rsid w:val="001D5A58"/>
    <w:rsid w:val="001D5C94"/>
    <w:rsid w:val="001D6BCF"/>
    <w:rsid w:val="001D6D4E"/>
    <w:rsid w:val="001D71F8"/>
    <w:rsid w:val="001D7A9E"/>
    <w:rsid w:val="001D7EE8"/>
    <w:rsid w:val="001D7F75"/>
    <w:rsid w:val="001E07AC"/>
    <w:rsid w:val="001E18F0"/>
    <w:rsid w:val="001E192B"/>
    <w:rsid w:val="001E1B57"/>
    <w:rsid w:val="001E1E95"/>
    <w:rsid w:val="001E2585"/>
    <w:rsid w:val="001E2718"/>
    <w:rsid w:val="001E2AC3"/>
    <w:rsid w:val="001E2D73"/>
    <w:rsid w:val="001E3391"/>
    <w:rsid w:val="001E3970"/>
    <w:rsid w:val="001E3A09"/>
    <w:rsid w:val="001E3C49"/>
    <w:rsid w:val="001E3E6B"/>
    <w:rsid w:val="001E4047"/>
    <w:rsid w:val="001E444F"/>
    <w:rsid w:val="001E46B0"/>
    <w:rsid w:val="001E49C9"/>
    <w:rsid w:val="001E4B44"/>
    <w:rsid w:val="001E5408"/>
    <w:rsid w:val="001E55CC"/>
    <w:rsid w:val="001E563D"/>
    <w:rsid w:val="001E5933"/>
    <w:rsid w:val="001E5EB3"/>
    <w:rsid w:val="001E65B3"/>
    <w:rsid w:val="001E6883"/>
    <w:rsid w:val="001E6FF0"/>
    <w:rsid w:val="001E756E"/>
    <w:rsid w:val="001E7574"/>
    <w:rsid w:val="001E7690"/>
    <w:rsid w:val="001E7801"/>
    <w:rsid w:val="001E7A85"/>
    <w:rsid w:val="001F06A0"/>
    <w:rsid w:val="001F099F"/>
    <w:rsid w:val="001F0B2E"/>
    <w:rsid w:val="001F1114"/>
    <w:rsid w:val="001F1650"/>
    <w:rsid w:val="001F1A49"/>
    <w:rsid w:val="001F1B5E"/>
    <w:rsid w:val="001F1E5E"/>
    <w:rsid w:val="001F1EF7"/>
    <w:rsid w:val="001F2161"/>
    <w:rsid w:val="001F246D"/>
    <w:rsid w:val="001F2762"/>
    <w:rsid w:val="001F29BB"/>
    <w:rsid w:val="001F2F05"/>
    <w:rsid w:val="001F3C72"/>
    <w:rsid w:val="001F4718"/>
    <w:rsid w:val="001F477F"/>
    <w:rsid w:val="001F4809"/>
    <w:rsid w:val="001F4927"/>
    <w:rsid w:val="001F4B9B"/>
    <w:rsid w:val="001F63BF"/>
    <w:rsid w:val="001F63EC"/>
    <w:rsid w:val="001F674B"/>
    <w:rsid w:val="001F68CD"/>
    <w:rsid w:val="001F68DA"/>
    <w:rsid w:val="001F6EA1"/>
    <w:rsid w:val="001F7646"/>
    <w:rsid w:val="001F7AF8"/>
    <w:rsid w:val="0020024C"/>
    <w:rsid w:val="00200327"/>
    <w:rsid w:val="002003DA"/>
    <w:rsid w:val="002015F7"/>
    <w:rsid w:val="002016BC"/>
    <w:rsid w:val="00201C6B"/>
    <w:rsid w:val="00201CE7"/>
    <w:rsid w:val="00201DBB"/>
    <w:rsid w:val="00202D1B"/>
    <w:rsid w:val="00202D4B"/>
    <w:rsid w:val="00203186"/>
    <w:rsid w:val="00203540"/>
    <w:rsid w:val="00203EF7"/>
    <w:rsid w:val="00204062"/>
    <w:rsid w:val="002040B0"/>
    <w:rsid w:val="002042EB"/>
    <w:rsid w:val="002043A6"/>
    <w:rsid w:val="00204844"/>
    <w:rsid w:val="00204DEC"/>
    <w:rsid w:val="0020563B"/>
    <w:rsid w:val="00205977"/>
    <w:rsid w:val="00205BF5"/>
    <w:rsid w:val="00205E77"/>
    <w:rsid w:val="00206121"/>
    <w:rsid w:val="00206328"/>
    <w:rsid w:val="00206A66"/>
    <w:rsid w:val="00206E3F"/>
    <w:rsid w:val="00207522"/>
    <w:rsid w:val="00207C15"/>
    <w:rsid w:val="00207E1F"/>
    <w:rsid w:val="0021036E"/>
    <w:rsid w:val="00210C4F"/>
    <w:rsid w:val="002117E4"/>
    <w:rsid w:val="002119CA"/>
    <w:rsid w:val="00211D02"/>
    <w:rsid w:val="00212357"/>
    <w:rsid w:val="0021246F"/>
    <w:rsid w:val="0021266B"/>
    <w:rsid w:val="00212691"/>
    <w:rsid w:val="00212914"/>
    <w:rsid w:val="00213AEA"/>
    <w:rsid w:val="00213F73"/>
    <w:rsid w:val="00213F9E"/>
    <w:rsid w:val="00214052"/>
    <w:rsid w:val="00214646"/>
    <w:rsid w:val="00214B9D"/>
    <w:rsid w:val="00214BED"/>
    <w:rsid w:val="00215D2B"/>
    <w:rsid w:val="00215F7A"/>
    <w:rsid w:val="00217184"/>
    <w:rsid w:val="0022106D"/>
    <w:rsid w:val="0022138F"/>
    <w:rsid w:val="0022177D"/>
    <w:rsid w:val="00221C5A"/>
    <w:rsid w:val="00222580"/>
    <w:rsid w:val="00222BF1"/>
    <w:rsid w:val="00222D50"/>
    <w:rsid w:val="00222FBC"/>
    <w:rsid w:val="00223B1B"/>
    <w:rsid w:val="0022521E"/>
    <w:rsid w:val="00225BE5"/>
    <w:rsid w:val="00225E81"/>
    <w:rsid w:val="00226167"/>
    <w:rsid w:val="0022644B"/>
    <w:rsid w:val="00227070"/>
    <w:rsid w:val="002272B1"/>
    <w:rsid w:val="00227866"/>
    <w:rsid w:val="0022795E"/>
    <w:rsid w:val="00227AC0"/>
    <w:rsid w:val="002306F7"/>
    <w:rsid w:val="00230B54"/>
    <w:rsid w:val="00231096"/>
    <w:rsid w:val="0023138B"/>
    <w:rsid w:val="002316A0"/>
    <w:rsid w:val="002324F2"/>
    <w:rsid w:val="00232812"/>
    <w:rsid w:val="002328D9"/>
    <w:rsid w:val="00232DE8"/>
    <w:rsid w:val="00233CF6"/>
    <w:rsid w:val="00233E18"/>
    <w:rsid w:val="00233F64"/>
    <w:rsid w:val="002341CC"/>
    <w:rsid w:val="002342F0"/>
    <w:rsid w:val="002346C8"/>
    <w:rsid w:val="00234700"/>
    <w:rsid w:val="00234758"/>
    <w:rsid w:val="00234B92"/>
    <w:rsid w:val="00234CA6"/>
    <w:rsid w:val="00235117"/>
    <w:rsid w:val="00235248"/>
    <w:rsid w:val="00235DB9"/>
    <w:rsid w:val="0023633A"/>
    <w:rsid w:val="0023649F"/>
    <w:rsid w:val="0023696E"/>
    <w:rsid w:val="00237555"/>
    <w:rsid w:val="00237A51"/>
    <w:rsid w:val="0024108F"/>
    <w:rsid w:val="002414D4"/>
    <w:rsid w:val="00241810"/>
    <w:rsid w:val="00241B4E"/>
    <w:rsid w:val="00241C26"/>
    <w:rsid w:val="00242203"/>
    <w:rsid w:val="0024267F"/>
    <w:rsid w:val="00242995"/>
    <w:rsid w:val="00242CA7"/>
    <w:rsid w:val="002435EC"/>
    <w:rsid w:val="00243E36"/>
    <w:rsid w:val="0024466F"/>
    <w:rsid w:val="00245040"/>
    <w:rsid w:val="002457E2"/>
    <w:rsid w:val="00245C11"/>
    <w:rsid w:val="002468CE"/>
    <w:rsid w:val="00247143"/>
    <w:rsid w:val="002501A1"/>
    <w:rsid w:val="0025033C"/>
    <w:rsid w:val="002505C2"/>
    <w:rsid w:val="002508A2"/>
    <w:rsid w:val="0025096A"/>
    <w:rsid w:val="00250A06"/>
    <w:rsid w:val="00250FC1"/>
    <w:rsid w:val="00251C96"/>
    <w:rsid w:val="00251D3C"/>
    <w:rsid w:val="00251DD7"/>
    <w:rsid w:val="002531FC"/>
    <w:rsid w:val="00253C0A"/>
    <w:rsid w:val="00254530"/>
    <w:rsid w:val="00254FCD"/>
    <w:rsid w:val="00255AB8"/>
    <w:rsid w:val="00255C0C"/>
    <w:rsid w:val="002561F0"/>
    <w:rsid w:val="002562AB"/>
    <w:rsid w:val="0025679B"/>
    <w:rsid w:val="0025693C"/>
    <w:rsid w:val="0025771A"/>
    <w:rsid w:val="00257731"/>
    <w:rsid w:val="0025774E"/>
    <w:rsid w:val="00257D08"/>
    <w:rsid w:val="00257D36"/>
    <w:rsid w:val="002602E5"/>
    <w:rsid w:val="002606B0"/>
    <w:rsid w:val="00260AFC"/>
    <w:rsid w:val="00260DDD"/>
    <w:rsid w:val="0026136F"/>
    <w:rsid w:val="00261573"/>
    <w:rsid w:val="0026186C"/>
    <w:rsid w:val="00261F16"/>
    <w:rsid w:val="00262ADA"/>
    <w:rsid w:val="00262AED"/>
    <w:rsid w:val="00262FE3"/>
    <w:rsid w:val="0026313D"/>
    <w:rsid w:val="0026391E"/>
    <w:rsid w:val="00263A21"/>
    <w:rsid w:val="00264713"/>
    <w:rsid w:val="00264851"/>
    <w:rsid w:val="00264AAC"/>
    <w:rsid w:val="002650F5"/>
    <w:rsid w:val="0026522D"/>
    <w:rsid w:val="00265714"/>
    <w:rsid w:val="00265EA4"/>
    <w:rsid w:val="00266573"/>
    <w:rsid w:val="00266A42"/>
    <w:rsid w:val="00266EF4"/>
    <w:rsid w:val="002679B7"/>
    <w:rsid w:val="002702C1"/>
    <w:rsid w:val="00271E84"/>
    <w:rsid w:val="00271F7D"/>
    <w:rsid w:val="00272991"/>
    <w:rsid w:val="00272CDB"/>
    <w:rsid w:val="00273037"/>
    <w:rsid w:val="00273054"/>
    <w:rsid w:val="0027318E"/>
    <w:rsid w:val="0027363B"/>
    <w:rsid w:val="00273E1B"/>
    <w:rsid w:val="00273E65"/>
    <w:rsid w:val="00274300"/>
    <w:rsid w:val="00274A22"/>
    <w:rsid w:val="00274FB4"/>
    <w:rsid w:val="002753AB"/>
    <w:rsid w:val="00276931"/>
    <w:rsid w:val="00276F36"/>
    <w:rsid w:val="0027756A"/>
    <w:rsid w:val="002777D6"/>
    <w:rsid w:val="0027799D"/>
    <w:rsid w:val="00280C65"/>
    <w:rsid w:val="00280DE0"/>
    <w:rsid w:val="0028132F"/>
    <w:rsid w:val="00281334"/>
    <w:rsid w:val="00282817"/>
    <w:rsid w:val="00282DB0"/>
    <w:rsid w:val="00282F49"/>
    <w:rsid w:val="00282FDC"/>
    <w:rsid w:val="00283151"/>
    <w:rsid w:val="002831F5"/>
    <w:rsid w:val="002832BA"/>
    <w:rsid w:val="0028341F"/>
    <w:rsid w:val="0028386B"/>
    <w:rsid w:val="00283BF2"/>
    <w:rsid w:val="00283C6C"/>
    <w:rsid w:val="00283DC1"/>
    <w:rsid w:val="00283F7D"/>
    <w:rsid w:val="00284605"/>
    <w:rsid w:val="00284D0C"/>
    <w:rsid w:val="00284FBC"/>
    <w:rsid w:val="00285D5F"/>
    <w:rsid w:val="00285E45"/>
    <w:rsid w:val="002860B4"/>
    <w:rsid w:val="002860DD"/>
    <w:rsid w:val="002861E9"/>
    <w:rsid w:val="002865CB"/>
    <w:rsid w:val="00286957"/>
    <w:rsid w:val="00287918"/>
    <w:rsid w:val="00287971"/>
    <w:rsid w:val="00290231"/>
    <w:rsid w:val="0029025F"/>
    <w:rsid w:val="002902E5"/>
    <w:rsid w:val="002907EC"/>
    <w:rsid w:val="00290B72"/>
    <w:rsid w:val="002913C6"/>
    <w:rsid w:val="0029161D"/>
    <w:rsid w:val="00291627"/>
    <w:rsid w:val="0029238B"/>
    <w:rsid w:val="00293236"/>
    <w:rsid w:val="002934FB"/>
    <w:rsid w:val="00293519"/>
    <w:rsid w:val="00293DA3"/>
    <w:rsid w:val="002942CC"/>
    <w:rsid w:val="002942F9"/>
    <w:rsid w:val="00294A50"/>
    <w:rsid w:val="00295895"/>
    <w:rsid w:val="002A004B"/>
    <w:rsid w:val="002A0149"/>
    <w:rsid w:val="002A0FE0"/>
    <w:rsid w:val="002A1621"/>
    <w:rsid w:val="002A1730"/>
    <w:rsid w:val="002A1C8F"/>
    <w:rsid w:val="002A1CA0"/>
    <w:rsid w:val="002A2943"/>
    <w:rsid w:val="002A2AD7"/>
    <w:rsid w:val="002A356B"/>
    <w:rsid w:val="002A429B"/>
    <w:rsid w:val="002A4340"/>
    <w:rsid w:val="002A45EE"/>
    <w:rsid w:val="002A4AA0"/>
    <w:rsid w:val="002A4F83"/>
    <w:rsid w:val="002A50BB"/>
    <w:rsid w:val="002A50F8"/>
    <w:rsid w:val="002A5A94"/>
    <w:rsid w:val="002A5ADE"/>
    <w:rsid w:val="002A61DC"/>
    <w:rsid w:val="002A6525"/>
    <w:rsid w:val="002A697B"/>
    <w:rsid w:val="002A6CA0"/>
    <w:rsid w:val="002A79A8"/>
    <w:rsid w:val="002A7EB8"/>
    <w:rsid w:val="002B013D"/>
    <w:rsid w:val="002B0276"/>
    <w:rsid w:val="002B0AC5"/>
    <w:rsid w:val="002B0E81"/>
    <w:rsid w:val="002B1319"/>
    <w:rsid w:val="002B1447"/>
    <w:rsid w:val="002B15EE"/>
    <w:rsid w:val="002B1A8C"/>
    <w:rsid w:val="002B241D"/>
    <w:rsid w:val="002B2834"/>
    <w:rsid w:val="002B2932"/>
    <w:rsid w:val="002B29D3"/>
    <w:rsid w:val="002B2E5E"/>
    <w:rsid w:val="002B3CFD"/>
    <w:rsid w:val="002B44A8"/>
    <w:rsid w:val="002B4AFA"/>
    <w:rsid w:val="002B4F7E"/>
    <w:rsid w:val="002B4FAB"/>
    <w:rsid w:val="002B632F"/>
    <w:rsid w:val="002B6499"/>
    <w:rsid w:val="002B6D06"/>
    <w:rsid w:val="002B745B"/>
    <w:rsid w:val="002B77BC"/>
    <w:rsid w:val="002B7AD2"/>
    <w:rsid w:val="002B7B06"/>
    <w:rsid w:val="002C0352"/>
    <w:rsid w:val="002C04E3"/>
    <w:rsid w:val="002C0673"/>
    <w:rsid w:val="002C0674"/>
    <w:rsid w:val="002C1C2E"/>
    <w:rsid w:val="002C2376"/>
    <w:rsid w:val="002C2508"/>
    <w:rsid w:val="002C2867"/>
    <w:rsid w:val="002C2A35"/>
    <w:rsid w:val="002C314F"/>
    <w:rsid w:val="002C355F"/>
    <w:rsid w:val="002C37BC"/>
    <w:rsid w:val="002C3B86"/>
    <w:rsid w:val="002C488A"/>
    <w:rsid w:val="002C5C08"/>
    <w:rsid w:val="002C5C23"/>
    <w:rsid w:val="002C6C6E"/>
    <w:rsid w:val="002C6E39"/>
    <w:rsid w:val="002C74FC"/>
    <w:rsid w:val="002C75D7"/>
    <w:rsid w:val="002C7633"/>
    <w:rsid w:val="002C7D9B"/>
    <w:rsid w:val="002D09B4"/>
    <w:rsid w:val="002D0AE3"/>
    <w:rsid w:val="002D0B13"/>
    <w:rsid w:val="002D0DDD"/>
    <w:rsid w:val="002D0F3F"/>
    <w:rsid w:val="002D15E2"/>
    <w:rsid w:val="002D16EB"/>
    <w:rsid w:val="002D1AF2"/>
    <w:rsid w:val="002D1E0E"/>
    <w:rsid w:val="002D1EC5"/>
    <w:rsid w:val="002D244F"/>
    <w:rsid w:val="002D300B"/>
    <w:rsid w:val="002D3789"/>
    <w:rsid w:val="002D37B8"/>
    <w:rsid w:val="002D3828"/>
    <w:rsid w:val="002D39A0"/>
    <w:rsid w:val="002D3F26"/>
    <w:rsid w:val="002D3FFD"/>
    <w:rsid w:val="002D4992"/>
    <w:rsid w:val="002D49FC"/>
    <w:rsid w:val="002D4E8F"/>
    <w:rsid w:val="002D5A7B"/>
    <w:rsid w:val="002D5A86"/>
    <w:rsid w:val="002D5EE9"/>
    <w:rsid w:val="002D63C2"/>
    <w:rsid w:val="002D6F59"/>
    <w:rsid w:val="002D740A"/>
    <w:rsid w:val="002D7778"/>
    <w:rsid w:val="002E0772"/>
    <w:rsid w:val="002E0CDC"/>
    <w:rsid w:val="002E0D43"/>
    <w:rsid w:val="002E0F73"/>
    <w:rsid w:val="002E11A2"/>
    <w:rsid w:val="002E1317"/>
    <w:rsid w:val="002E1BAE"/>
    <w:rsid w:val="002E1F18"/>
    <w:rsid w:val="002E2102"/>
    <w:rsid w:val="002E267A"/>
    <w:rsid w:val="002E2C32"/>
    <w:rsid w:val="002E34F8"/>
    <w:rsid w:val="002E461C"/>
    <w:rsid w:val="002E48DF"/>
    <w:rsid w:val="002E594A"/>
    <w:rsid w:val="002E5A3A"/>
    <w:rsid w:val="002E5A58"/>
    <w:rsid w:val="002E63BE"/>
    <w:rsid w:val="002E65D6"/>
    <w:rsid w:val="002E6A9A"/>
    <w:rsid w:val="002E6E92"/>
    <w:rsid w:val="002E71A0"/>
    <w:rsid w:val="002E77B0"/>
    <w:rsid w:val="002E7987"/>
    <w:rsid w:val="002E7D45"/>
    <w:rsid w:val="002E7DAC"/>
    <w:rsid w:val="002F0561"/>
    <w:rsid w:val="002F085E"/>
    <w:rsid w:val="002F0AA7"/>
    <w:rsid w:val="002F0E5D"/>
    <w:rsid w:val="002F1158"/>
    <w:rsid w:val="002F127C"/>
    <w:rsid w:val="002F14EC"/>
    <w:rsid w:val="002F17A8"/>
    <w:rsid w:val="002F19E9"/>
    <w:rsid w:val="002F203C"/>
    <w:rsid w:val="002F235B"/>
    <w:rsid w:val="002F298A"/>
    <w:rsid w:val="002F2B1D"/>
    <w:rsid w:val="002F2CE9"/>
    <w:rsid w:val="002F2DBC"/>
    <w:rsid w:val="002F3DF0"/>
    <w:rsid w:val="002F482A"/>
    <w:rsid w:val="002F4E51"/>
    <w:rsid w:val="002F529D"/>
    <w:rsid w:val="002F5EE6"/>
    <w:rsid w:val="002F6BFD"/>
    <w:rsid w:val="002F6EDD"/>
    <w:rsid w:val="002F7F18"/>
    <w:rsid w:val="002F7FC8"/>
    <w:rsid w:val="00300036"/>
    <w:rsid w:val="003003AC"/>
    <w:rsid w:val="0030041C"/>
    <w:rsid w:val="003009AD"/>
    <w:rsid w:val="00300E99"/>
    <w:rsid w:val="003012A5"/>
    <w:rsid w:val="0030145B"/>
    <w:rsid w:val="00301544"/>
    <w:rsid w:val="00301872"/>
    <w:rsid w:val="00301C87"/>
    <w:rsid w:val="00301EB0"/>
    <w:rsid w:val="00301F2F"/>
    <w:rsid w:val="003027DC"/>
    <w:rsid w:val="00302C1B"/>
    <w:rsid w:val="00303312"/>
    <w:rsid w:val="00304861"/>
    <w:rsid w:val="0030495A"/>
    <w:rsid w:val="00304BD8"/>
    <w:rsid w:val="00305829"/>
    <w:rsid w:val="00305B8C"/>
    <w:rsid w:val="00305C2A"/>
    <w:rsid w:val="00305E4B"/>
    <w:rsid w:val="003067A8"/>
    <w:rsid w:val="00307116"/>
    <w:rsid w:val="00307B07"/>
    <w:rsid w:val="00307BD3"/>
    <w:rsid w:val="00307CA6"/>
    <w:rsid w:val="00307DEE"/>
    <w:rsid w:val="0031130E"/>
    <w:rsid w:val="0031144D"/>
    <w:rsid w:val="00311921"/>
    <w:rsid w:val="00311C58"/>
    <w:rsid w:val="00312058"/>
    <w:rsid w:val="00312067"/>
    <w:rsid w:val="003122FF"/>
    <w:rsid w:val="00312976"/>
    <w:rsid w:val="00312D1C"/>
    <w:rsid w:val="00313321"/>
    <w:rsid w:val="00313612"/>
    <w:rsid w:val="003136F1"/>
    <w:rsid w:val="00313788"/>
    <w:rsid w:val="00313C6A"/>
    <w:rsid w:val="00313EFA"/>
    <w:rsid w:val="003143EC"/>
    <w:rsid w:val="00314C0C"/>
    <w:rsid w:val="00315C82"/>
    <w:rsid w:val="00315F59"/>
    <w:rsid w:val="0031608F"/>
    <w:rsid w:val="00316125"/>
    <w:rsid w:val="0031751B"/>
    <w:rsid w:val="003179F2"/>
    <w:rsid w:val="003179F3"/>
    <w:rsid w:val="00317AAD"/>
    <w:rsid w:val="0032013E"/>
    <w:rsid w:val="003203E2"/>
    <w:rsid w:val="00320513"/>
    <w:rsid w:val="003212A5"/>
    <w:rsid w:val="00321330"/>
    <w:rsid w:val="003217F5"/>
    <w:rsid w:val="00321A8B"/>
    <w:rsid w:val="00321C9B"/>
    <w:rsid w:val="00322361"/>
    <w:rsid w:val="003227BC"/>
    <w:rsid w:val="003240C5"/>
    <w:rsid w:val="003246E0"/>
    <w:rsid w:val="00324B99"/>
    <w:rsid w:val="00324C3E"/>
    <w:rsid w:val="00324F85"/>
    <w:rsid w:val="00325F16"/>
    <w:rsid w:val="0032609E"/>
    <w:rsid w:val="00326770"/>
    <w:rsid w:val="003277EC"/>
    <w:rsid w:val="00327CBB"/>
    <w:rsid w:val="003303F6"/>
    <w:rsid w:val="00330B5B"/>
    <w:rsid w:val="00330CAC"/>
    <w:rsid w:val="00330F26"/>
    <w:rsid w:val="00330F36"/>
    <w:rsid w:val="00331035"/>
    <w:rsid w:val="00331582"/>
    <w:rsid w:val="00331C89"/>
    <w:rsid w:val="00332009"/>
    <w:rsid w:val="003321BE"/>
    <w:rsid w:val="003322C5"/>
    <w:rsid w:val="003323C4"/>
    <w:rsid w:val="00332DE3"/>
    <w:rsid w:val="0033302D"/>
    <w:rsid w:val="00333350"/>
    <w:rsid w:val="00333621"/>
    <w:rsid w:val="00334A19"/>
    <w:rsid w:val="00334C64"/>
    <w:rsid w:val="00335A19"/>
    <w:rsid w:val="00335BDB"/>
    <w:rsid w:val="00335C23"/>
    <w:rsid w:val="00335F97"/>
    <w:rsid w:val="003360C4"/>
    <w:rsid w:val="0033638F"/>
    <w:rsid w:val="00336534"/>
    <w:rsid w:val="0033660F"/>
    <w:rsid w:val="00336DE0"/>
    <w:rsid w:val="00336F9A"/>
    <w:rsid w:val="0033707A"/>
    <w:rsid w:val="0033711F"/>
    <w:rsid w:val="003379CD"/>
    <w:rsid w:val="00337B24"/>
    <w:rsid w:val="00337CF3"/>
    <w:rsid w:val="00340B20"/>
    <w:rsid w:val="00340BE3"/>
    <w:rsid w:val="00341339"/>
    <w:rsid w:val="0034135A"/>
    <w:rsid w:val="00342AE6"/>
    <w:rsid w:val="00342EBE"/>
    <w:rsid w:val="00343375"/>
    <w:rsid w:val="003435C8"/>
    <w:rsid w:val="00343670"/>
    <w:rsid w:val="003438B3"/>
    <w:rsid w:val="00343F38"/>
    <w:rsid w:val="00344061"/>
    <w:rsid w:val="00344780"/>
    <w:rsid w:val="00344800"/>
    <w:rsid w:val="00344F28"/>
    <w:rsid w:val="003458B0"/>
    <w:rsid w:val="00345EF2"/>
    <w:rsid w:val="00346070"/>
    <w:rsid w:val="003460BF"/>
    <w:rsid w:val="00346191"/>
    <w:rsid w:val="003468D1"/>
    <w:rsid w:val="00346C9F"/>
    <w:rsid w:val="00347435"/>
    <w:rsid w:val="003474C9"/>
    <w:rsid w:val="00347539"/>
    <w:rsid w:val="00347A55"/>
    <w:rsid w:val="00347C72"/>
    <w:rsid w:val="00347D54"/>
    <w:rsid w:val="00347E26"/>
    <w:rsid w:val="0035066F"/>
    <w:rsid w:val="00350B44"/>
    <w:rsid w:val="00351EEC"/>
    <w:rsid w:val="00352551"/>
    <w:rsid w:val="003526D1"/>
    <w:rsid w:val="003529B7"/>
    <w:rsid w:val="00352E02"/>
    <w:rsid w:val="0035389A"/>
    <w:rsid w:val="00353BB5"/>
    <w:rsid w:val="003550C2"/>
    <w:rsid w:val="00355373"/>
    <w:rsid w:val="003554CB"/>
    <w:rsid w:val="00355A0F"/>
    <w:rsid w:val="00355CFD"/>
    <w:rsid w:val="00356419"/>
    <w:rsid w:val="00356E95"/>
    <w:rsid w:val="00356E9A"/>
    <w:rsid w:val="00357D14"/>
    <w:rsid w:val="0036003B"/>
    <w:rsid w:val="00360076"/>
    <w:rsid w:val="00360210"/>
    <w:rsid w:val="00360763"/>
    <w:rsid w:val="00360996"/>
    <w:rsid w:val="003609D3"/>
    <w:rsid w:val="00360BF9"/>
    <w:rsid w:val="00360E2D"/>
    <w:rsid w:val="00360ECC"/>
    <w:rsid w:val="00360FBB"/>
    <w:rsid w:val="00361139"/>
    <w:rsid w:val="0036139C"/>
    <w:rsid w:val="00361AFE"/>
    <w:rsid w:val="00362185"/>
    <w:rsid w:val="00362771"/>
    <w:rsid w:val="00362B73"/>
    <w:rsid w:val="00363855"/>
    <w:rsid w:val="00363C71"/>
    <w:rsid w:val="00363DC7"/>
    <w:rsid w:val="00363F97"/>
    <w:rsid w:val="0036414E"/>
    <w:rsid w:val="00364485"/>
    <w:rsid w:val="003644C8"/>
    <w:rsid w:val="00364E4E"/>
    <w:rsid w:val="00365151"/>
    <w:rsid w:val="003653EB"/>
    <w:rsid w:val="00365C71"/>
    <w:rsid w:val="00366D54"/>
    <w:rsid w:val="0036743F"/>
    <w:rsid w:val="00367B79"/>
    <w:rsid w:val="00370C83"/>
    <w:rsid w:val="003713C8"/>
    <w:rsid w:val="00371640"/>
    <w:rsid w:val="00371BFC"/>
    <w:rsid w:val="00372052"/>
    <w:rsid w:val="00373349"/>
    <w:rsid w:val="00373608"/>
    <w:rsid w:val="00373D24"/>
    <w:rsid w:val="0037438B"/>
    <w:rsid w:val="0037462A"/>
    <w:rsid w:val="0037487D"/>
    <w:rsid w:val="00374891"/>
    <w:rsid w:val="00374A60"/>
    <w:rsid w:val="003751D8"/>
    <w:rsid w:val="00375D10"/>
    <w:rsid w:val="003767DB"/>
    <w:rsid w:val="0037695C"/>
    <w:rsid w:val="00376F45"/>
    <w:rsid w:val="00377154"/>
    <w:rsid w:val="003774EC"/>
    <w:rsid w:val="00380208"/>
    <w:rsid w:val="00381254"/>
    <w:rsid w:val="00381610"/>
    <w:rsid w:val="00381AEB"/>
    <w:rsid w:val="00382816"/>
    <w:rsid w:val="00382E73"/>
    <w:rsid w:val="0038310B"/>
    <w:rsid w:val="00383217"/>
    <w:rsid w:val="00383430"/>
    <w:rsid w:val="00383832"/>
    <w:rsid w:val="00384471"/>
    <w:rsid w:val="0038561A"/>
    <w:rsid w:val="0038569A"/>
    <w:rsid w:val="00385EA5"/>
    <w:rsid w:val="00385FE6"/>
    <w:rsid w:val="0038742F"/>
    <w:rsid w:val="00387BAB"/>
    <w:rsid w:val="0039098E"/>
    <w:rsid w:val="0039114D"/>
    <w:rsid w:val="00391B02"/>
    <w:rsid w:val="00391B71"/>
    <w:rsid w:val="003920F8"/>
    <w:rsid w:val="0039212B"/>
    <w:rsid w:val="00392D45"/>
    <w:rsid w:val="003930C5"/>
    <w:rsid w:val="00393237"/>
    <w:rsid w:val="003935A6"/>
    <w:rsid w:val="00394029"/>
    <w:rsid w:val="00395DD4"/>
    <w:rsid w:val="003964D6"/>
    <w:rsid w:val="00397185"/>
    <w:rsid w:val="0039736B"/>
    <w:rsid w:val="0039737C"/>
    <w:rsid w:val="0039761A"/>
    <w:rsid w:val="003A0C03"/>
    <w:rsid w:val="003A0C46"/>
    <w:rsid w:val="003A117E"/>
    <w:rsid w:val="003A12FC"/>
    <w:rsid w:val="003A13DF"/>
    <w:rsid w:val="003A15C3"/>
    <w:rsid w:val="003A1BB1"/>
    <w:rsid w:val="003A1F4A"/>
    <w:rsid w:val="003A2277"/>
    <w:rsid w:val="003A3AC5"/>
    <w:rsid w:val="003A3C10"/>
    <w:rsid w:val="003A3CDA"/>
    <w:rsid w:val="003A3E1E"/>
    <w:rsid w:val="003A4237"/>
    <w:rsid w:val="003A445E"/>
    <w:rsid w:val="003A46FE"/>
    <w:rsid w:val="003A4883"/>
    <w:rsid w:val="003A5A1D"/>
    <w:rsid w:val="003A6077"/>
    <w:rsid w:val="003A661D"/>
    <w:rsid w:val="003A6C7A"/>
    <w:rsid w:val="003A70EB"/>
    <w:rsid w:val="003A7165"/>
    <w:rsid w:val="003A7A3F"/>
    <w:rsid w:val="003A7CE8"/>
    <w:rsid w:val="003B03C6"/>
    <w:rsid w:val="003B0C6E"/>
    <w:rsid w:val="003B26AF"/>
    <w:rsid w:val="003B2836"/>
    <w:rsid w:val="003B2952"/>
    <w:rsid w:val="003B2DF4"/>
    <w:rsid w:val="003B2F57"/>
    <w:rsid w:val="003B339E"/>
    <w:rsid w:val="003B36B4"/>
    <w:rsid w:val="003B3A2E"/>
    <w:rsid w:val="003B4216"/>
    <w:rsid w:val="003B51C8"/>
    <w:rsid w:val="003B53E7"/>
    <w:rsid w:val="003B5CD2"/>
    <w:rsid w:val="003B6132"/>
    <w:rsid w:val="003B692F"/>
    <w:rsid w:val="003B7547"/>
    <w:rsid w:val="003B79ED"/>
    <w:rsid w:val="003C017D"/>
    <w:rsid w:val="003C0F8B"/>
    <w:rsid w:val="003C1C53"/>
    <w:rsid w:val="003C24D6"/>
    <w:rsid w:val="003C2F27"/>
    <w:rsid w:val="003C324F"/>
    <w:rsid w:val="003C3D76"/>
    <w:rsid w:val="003C3E10"/>
    <w:rsid w:val="003C411F"/>
    <w:rsid w:val="003C45FD"/>
    <w:rsid w:val="003C486F"/>
    <w:rsid w:val="003C4CDE"/>
    <w:rsid w:val="003C4F6D"/>
    <w:rsid w:val="003C5129"/>
    <w:rsid w:val="003C62BF"/>
    <w:rsid w:val="003C63D5"/>
    <w:rsid w:val="003C7383"/>
    <w:rsid w:val="003C7F60"/>
    <w:rsid w:val="003D09CA"/>
    <w:rsid w:val="003D0AF1"/>
    <w:rsid w:val="003D1384"/>
    <w:rsid w:val="003D1399"/>
    <w:rsid w:val="003D156A"/>
    <w:rsid w:val="003D2009"/>
    <w:rsid w:val="003D20B8"/>
    <w:rsid w:val="003D2191"/>
    <w:rsid w:val="003D236E"/>
    <w:rsid w:val="003D2D55"/>
    <w:rsid w:val="003D2E79"/>
    <w:rsid w:val="003D2E94"/>
    <w:rsid w:val="003D3009"/>
    <w:rsid w:val="003D327E"/>
    <w:rsid w:val="003D35AE"/>
    <w:rsid w:val="003D3B92"/>
    <w:rsid w:val="003D3D6A"/>
    <w:rsid w:val="003D4321"/>
    <w:rsid w:val="003D4550"/>
    <w:rsid w:val="003D68C8"/>
    <w:rsid w:val="003D7D4E"/>
    <w:rsid w:val="003E0F31"/>
    <w:rsid w:val="003E0F82"/>
    <w:rsid w:val="003E1B8F"/>
    <w:rsid w:val="003E2907"/>
    <w:rsid w:val="003E34E5"/>
    <w:rsid w:val="003E3CAC"/>
    <w:rsid w:val="003E3DBA"/>
    <w:rsid w:val="003E4CAC"/>
    <w:rsid w:val="003E5118"/>
    <w:rsid w:val="003E5186"/>
    <w:rsid w:val="003E5333"/>
    <w:rsid w:val="003E56BD"/>
    <w:rsid w:val="003E5FE8"/>
    <w:rsid w:val="003E66C8"/>
    <w:rsid w:val="003E695D"/>
    <w:rsid w:val="003E701A"/>
    <w:rsid w:val="003E7151"/>
    <w:rsid w:val="003E79CF"/>
    <w:rsid w:val="003E7D8E"/>
    <w:rsid w:val="003E7F87"/>
    <w:rsid w:val="003F01E2"/>
    <w:rsid w:val="003F04A0"/>
    <w:rsid w:val="003F06F7"/>
    <w:rsid w:val="003F0AF2"/>
    <w:rsid w:val="003F0D26"/>
    <w:rsid w:val="003F2300"/>
    <w:rsid w:val="003F272A"/>
    <w:rsid w:val="003F2C7B"/>
    <w:rsid w:val="003F2E64"/>
    <w:rsid w:val="003F32A5"/>
    <w:rsid w:val="003F37F8"/>
    <w:rsid w:val="003F3D5F"/>
    <w:rsid w:val="003F3F30"/>
    <w:rsid w:val="003F45E3"/>
    <w:rsid w:val="003F4B45"/>
    <w:rsid w:val="003F51F6"/>
    <w:rsid w:val="003F5CC2"/>
    <w:rsid w:val="003F69FC"/>
    <w:rsid w:val="003F6F93"/>
    <w:rsid w:val="004002BA"/>
    <w:rsid w:val="00400410"/>
    <w:rsid w:val="004008D1"/>
    <w:rsid w:val="00400A9C"/>
    <w:rsid w:val="00400B50"/>
    <w:rsid w:val="004011E0"/>
    <w:rsid w:val="00401426"/>
    <w:rsid w:val="00401515"/>
    <w:rsid w:val="004017B3"/>
    <w:rsid w:val="004017CB"/>
    <w:rsid w:val="00401DBF"/>
    <w:rsid w:val="0040301B"/>
    <w:rsid w:val="004031F2"/>
    <w:rsid w:val="00403B98"/>
    <w:rsid w:val="00404105"/>
    <w:rsid w:val="00404454"/>
    <w:rsid w:val="004046F7"/>
    <w:rsid w:val="00404709"/>
    <w:rsid w:val="00404A0A"/>
    <w:rsid w:val="00404F1B"/>
    <w:rsid w:val="00404F2D"/>
    <w:rsid w:val="00404F30"/>
    <w:rsid w:val="00404FF6"/>
    <w:rsid w:val="00405987"/>
    <w:rsid w:val="00405A87"/>
    <w:rsid w:val="00406B7E"/>
    <w:rsid w:val="004071BD"/>
    <w:rsid w:val="004075BA"/>
    <w:rsid w:val="00407697"/>
    <w:rsid w:val="0040784D"/>
    <w:rsid w:val="004078D1"/>
    <w:rsid w:val="004101A7"/>
    <w:rsid w:val="004104BC"/>
    <w:rsid w:val="004106B6"/>
    <w:rsid w:val="0041092F"/>
    <w:rsid w:val="004111B8"/>
    <w:rsid w:val="00411C4B"/>
    <w:rsid w:val="00412376"/>
    <w:rsid w:val="00412644"/>
    <w:rsid w:val="00412731"/>
    <w:rsid w:val="00412C48"/>
    <w:rsid w:val="00412E09"/>
    <w:rsid w:val="00412F2C"/>
    <w:rsid w:val="00414080"/>
    <w:rsid w:val="00414641"/>
    <w:rsid w:val="00414800"/>
    <w:rsid w:val="00414DAC"/>
    <w:rsid w:val="00415880"/>
    <w:rsid w:val="00415D35"/>
    <w:rsid w:val="00415DB4"/>
    <w:rsid w:val="00415FCE"/>
    <w:rsid w:val="00416E81"/>
    <w:rsid w:val="0041710F"/>
    <w:rsid w:val="00417424"/>
    <w:rsid w:val="004174CB"/>
    <w:rsid w:val="004178B2"/>
    <w:rsid w:val="00417A1D"/>
    <w:rsid w:val="00417FF6"/>
    <w:rsid w:val="004200FF"/>
    <w:rsid w:val="00420259"/>
    <w:rsid w:val="00420274"/>
    <w:rsid w:val="004206C5"/>
    <w:rsid w:val="004207FC"/>
    <w:rsid w:val="0042086F"/>
    <w:rsid w:val="00420E66"/>
    <w:rsid w:val="004217DD"/>
    <w:rsid w:val="0042236F"/>
    <w:rsid w:val="004230DD"/>
    <w:rsid w:val="00423BC2"/>
    <w:rsid w:val="004241A9"/>
    <w:rsid w:val="0042490D"/>
    <w:rsid w:val="00424D74"/>
    <w:rsid w:val="00425A76"/>
    <w:rsid w:val="00425F92"/>
    <w:rsid w:val="00425FCD"/>
    <w:rsid w:val="00425FD1"/>
    <w:rsid w:val="00426C4B"/>
    <w:rsid w:val="00427624"/>
    <w:rsid w:val="00427BA1"/>
    <w:rsid w:val="00427DC3"/>
    <w:rsid w:val="004304C8"/>
    <w:rsid w:val="00430703"/>
    <w:rsid w:val="00430FA8"/>
    <w:rsid w:val="004315E3"/>
    <w:rsid w:val="004316DD"/>
    <w:rsid w:val="00431A9C"/>
    <w:rsid w:val="00431AF3"/>
    <w:rsid w:val="004320C0"/>
    <w:rsid w:val="0043254C"/>
    <w:rsid w:val="00432949"/>
    <w:rsid w:val="004329FD"/>
    <w:rsid w:val="00432D77"/>
    <w:rsid w:val="00432F3A"/>
    <w:rsid w:val="00433C80"/>
    <w:rsid w:val="004343B2"/>
    <w:rsid w:val="00434E02"/>
    <w:rsid w:val="00434EB6"/>
    <w:rsid w:val="00435320"/>
    <w:rsid w:val="0043544D"/>
    <w:rsid w:val="004358B1"/>
    <w:rsid w:val="0043610E"/>
    <w:rsid w:val="00436B16"/>
    <w:rsid w:val="00436CE6"/>
    <w:rsid w:val="00436D8F"/>
    <w:rsid w:val="004374F9"/>
    <w:rsid w:val="00437A2C"/>
    <w:rsid w:val="0044008B"/>
    <w:rsid w:val="00440977"/>
    <w:rsid w:val="00441CC5"/>
    <w:rsid w:val="00443339"/>
    <w:rsid w:val="004436A1"/>
    <w:rsid w:val="004438F7"/>
    <w:rsid w:val="00443E47"/>
    <w:rsid w:val="004440C1"/>
    <w:rsid w:val="0044414D"/>
    <w:rsid w:val="004445F0"/>
    <w:rsid w:val="004454CC"/>
    <w:rsid w:val="00445A5C"/>
    <w:rsid w:val="00445EC6"/>
    <w:rsid w:val="0044644B"/>
    <w:rsid w:val="004464B7"/>
    <w:rsid w:val="00446B56"/>
    <w:rsid w:val="00446D80"/>
    <w:rsid w:val="0044702C"/>
    <w:rsid w:val="0044748D"/>
    <w:rsid w:val="0044749E"/>
    <w:rsid w:val="00447587"/>
    <w:rsid w:val="00447759"/>
    <w:rsid w:val="00447C8C"/>
    <w:rsid w:val="00447E4E"/>
    <w:rsid w:val="00447EA1"/>
    <w:rsid w:val="00450A3D"/>
    <w:rsid w:val="004512EF"/>
    <w:rsid w:val="004524D5"/>
    <w:rsid w:val="00452AA1"/>
    <w:rsid w:val="00452B93"/>
    <w:rsid w:val="00453619"/>
    <w:rsid w:val="00453910"/>
    <w:rsid w:val="00453AE4"/>
    <w:rsid w:val="00453BB2"/>
    <w:rsid w:val="004546BF"/>
    <w:rsid w:val="004547DE"/>
    <w:rsid w:val="00454995"/>
    <w:rsid w:val="00454B53"/>
    <w:rsid w:val="00454F87"/>
    <w:rsid w:val="0045518B"/>
    <w:rsid w:val="004551A4"/>
    <w:rsid w:val="00455AD7"/>
    <w:rsid w:val="00455C5C"/>
    <w:rsid w:val="00455E67"/>
    <w:rsid w:val="00456271"/>
    <w:rsid w:val="00456611"/>
    <w:rsid w:val="0045661C"/>
    <w:rsid w:val="00457230"/>
    <w:rsid w:val="004575BB"/>
    <w:rsid w:val="0045789B"/>
    <w:rsid w:val="00460296"/>
    <w:rsid w:val="00460605"/>
    <w:rsid w:val="00460A0D"/>
    <w:rsid w:val="00461448"/>
    <w:rsid w:val="00461800"/>
    <w:rsid w:val="0046187D"/>
    <w:rsid w:val="004619B1"/>
    <w:rsid w:val="00461DAA"/>
    <w:rsid w:val="00461E83"/>
    <w:rsid w:val="00461F03"/>
    <w:rsid w:val="004628A1"/>
    <w:rsid w:val="0046357E"/>
    <w:rsid w:val="004638FF"/>
    <w:rsid w:val="00463B8F"/>
    <w:rsid w:val="00463C89"/>
    <w:rsid w:val="004643C6"/>
    <w:rsid w:val="00464733"/>
    <w:rsid w:val="00464784"/>
    <w:rsid w:val="004647BC"/>
    <w:rsid w:val="00464C03"/>
    <w:rsid w:val="00464EA6"/>
    <w:rsid w:val="00465189"/>
    <w:rsid w:val="00465672"/>
    <w:rsid w:val="00466223"/>
    <w:rsid w:val="00466284"/>
    <w:rsid w:val="0046657A"/>
    <w:rsid w:val="004665DB"/>
    <w:rsid w:val="004668F2"/>
    <w:rsid w:val="0047012B"/>
    <w:rsid w:val="00470243"/>
    <w:rsid w:val="00471E9D"/>
    <w:rsid w:val="00472448"/>
    <w:rsid w:val="004725B2"/>
    <w:rsid w:val="00472DB7"/>
    <w:rsid w:val="00473407"/>
    <w:rsid w:val="0047372C"/>
    <w:rsid w:val="00473787"/>
    <w:rsid w:val="00473EF3"/>
    <w:rsid w:val="004741FE"/>
    <w:rsid w:val="00474587"/>
    <w:rsid w:val="004747D8"/>
    <w:rsid w:val="00475B5E"/>
    <w:rsid w:val="00475D84"/>
    <w:rsid w:val="00476D00"/>
    <w:rsid w:val="0047725D"/>
    <w:rsid w:val="0047791C"/>
    <w:rsid w:val="004801E5"/>
    <w:rsid w:val="004802E9"/>
    <w:rsid w:val="00480426"/>
    <w:rsid w:val="0048080D"/>
    <w:rsid w:val="00480A9C"/>
    <w:rsid w:val="0048217D"/>
    <w:rsid w:val="00482639"/>
    <w:rsid w:val="00482B94"/>
    <w:rsid w:val="0048302B"/>
    <w:rsid w:val="00483251"/>
    <w:rsid w:val="004839BC"/>
    <w:rsid w:val="00483A2A"/>
    <w:rsid w:val="0048414F"/>
    <w:rsid w:val="00484638"/>
    <w:rsid w:val="0048463C"/>
    <w:rsid w:val="00485079"/>
    <w:rsid w:val="004855D4"/>
    <w:rsid w:val="00485622"/>
    <w:rsid w:val="004857CA"/>
    <w:rsid w:val="00486227"/>
    <w:rsid w:val="00487254"/>
    <w:rsid w:val="0048786D"/>
    <w:rsid w:val="00487AEB"/>
    <w:rsid w:val="00487E38"/>
    <w:rsid w:val="00490606"/>
    <w:rsid w:val="004909DE"/>
    <w:rsid w:val="00490B7F"/>
    <w:rsid w:val="00491083"/>
    <w:rsid w:val="004918AF"/>
    <w:rsid w:val="00491ABF"/>
    <w:rsid w:val="00491E4A"/>
    <w:rsid w:val="00493C4C"/>
    <w:rsid w:val="00494899"/>
    <w:rsid w:val="004948FA"/>
    <w:rsid w:val="00494F51"/>
    <w:rsid w:val="00495542"/>
    <w:rsid w:val="00497425"/>
    <w:rsid w:val="004A031F"/>
    <w:rsid w:val="004A06A6"/>
    <w:rsid w:val="004A06ED"/>
    <w:rsid w:val="004A0772"/>
    <w:rsid w:val="004A0FC5"/>
    <w:rsid w:val="004A1688"/>
    <w:rsid w:val="004A1AF2"/>
    <w:rsid w:val="004A1F71"/>
    <w:rsid w:val="004A1F93"/>
    <w:rsid w:val="004A21A9"/>
    <w:rsid w:val="004A2ACC"/>
    <w:rsid w:val="004A39AB"/>
    <w:rsid w:val="004A3F58"/>
    <w:rsid w:val="004A55A2"/>
    <w:rsid w:val="004A6006"/>
    <w:rsid w:val="004A6580"/>
    <w:rsid w:val="004A7BFF"/>
    <w:rsid w:val="004A7D97"/>
    <w:rsid w:val="004B0098"/>
    <w:rsid w:val="004B0853"/>
    <w:rsid w:val="004B0B97"/>
    <w:rsid w:val="004B130D"/>
    <w:rsid w:val="004B1550"/>
    <w:rsid w:val="004B196C"/>
    <w:rsid w:val="004B197C"/>
    <w:rsid w:val="004B1A11"/>
    <w:rsid w:val="004B1C9D"/>
    <w:rsid w:val="004B209D"/>
    <w:rsid w:val="004B23E0"/>
    <w:rsid w:val="004B2BFB"/>
    <w:rsid w:val="004B2D4E"/>
    <w:rsid w:val="004B309E"/>
    <w:rsid w:val="004B3220"/>
    <w:rsid w:val="004B3242"/>
    <w:rsid w:val="004B330F"/>
    <w:rsid w:val="004B37AC"/>
    <w:rsid w:val="004B39E6"/>
    <w:rsid w:val="004B4033"/>
    <w:rsid w:val="004B41E0"/>
    <w:rsid w:val="004B435F"/>
    <w:rsid w:val="004B4C52"/>
    <w:rsid w:val="004B5D49"/>
    <w:rsid w:val="004B5E7B"/>
    <w:rsid w:val="004B5F50"/>
    <w:rsid w:val="004B666D"/>
    <w:rsid w:val="004B6B39"/>
    <w:rsid w:val="004B6FFC"/>
    <w:rsid w:val="004B70A8"/>
    <w:rsid w:val="004B7853"/>
    <w:rsid w:val="004B7AB3"/>
    <w:rsid w:val="004C1638"/>
    <w:rsid w:val="004C1770"/>
    <w:rsid w:val="004C18E7"/>
    <w:rsid w:val="004C1CA9"/>
    <w:rsid w:val="004C20C6"/>
    <w:rsid w:val="004C23DC"/>
    <w:rsid w:val="004C2856"/>
    <w:rsid w:val="004C2B84"/>
    <w:rsid w:val="004C2DE3"/>
    <w:rsid w:val="004C3766"/>
    <w:rsid w:val="004C38B4"/>
    <w:rsid w:val="004C4869"/>
    <w:rsid w:val="004C48E6"/>
    <w:rsid w:val="004C49BF"/>
    <w:rsid w:val="004C5804"/>
    <w:rsid w:val="004C600D"/>
    <w:rsid w:val="004C624B"/>
    <w:rsid w:val="004C724C"/>
    <w:rsid w:val="004C7441"/>
    <w:rsid w:val="004C75B4"/>
    <w:rsid w:val="004D0264"/>
    <w:rsid w:val="004D0821"/>
    <w:rsid w:val="004D1089"/>
    <w:rsid w:val="004D12B8"/>
    <w:rsid w:val="004D157F"/>
    <w:rsid w:val="004D3200"/>
    <w:rsid w:val="004D3E69"/>
    <w:rsid w:val="004D40EC"/>
    <w:rsid w:val="004D45F5"/>
    <w:rsid w:val="004D4C48"/>
    <w:rsid w:val="004D5085"/>
    <w:rsid w:val="004D5117"/>
    <w:rsid w:val="004D5353"/>
    <w:rsid w:val="004D5940"/>
    <w:rsid w:val="004D5DEA"/>
    <w:rsid w:val="004D6AEE"/>
    <w:rsid w:val="004D6D7F"/>
    <w:rsid w:val="004D71B5"/>
    <w:rsid w:val="004D71CF"/>
    <w:rsid w:val="004D7254"/>
    <w:rsid w:val="004D726C"/>
    <w:rsid w:val="004D7564"/>
    <w:rsid w:val="004D765F"/>
    <w:rsid w:val="004D7F78"/>
    <w:rsid w:val="004E0024"/>
    <w:rsid w:val="004E09DA"/>
    <w:rsid w:val="004E0C22"/>
    <w:rsid w:val="004E1183"/>
    <w:rsid w:val="004E11D7"/>
    <w:rsid w:val="004E15A3"/>
    <w:rsid w:val="004E1862"/>
    <w:rsid w:val="004E2073"/>
    <w:rsid w:val="004E22BB"/>
    <w:rsid w:val="004E22FF"/>
    <w:rsid w:val="004E2C03"/>
    <w:rsid w:val="004E2F26"/>
    <w:rsid w:val="004E33CD"/>
    <w:rsid w:val="004E3A49"/>
    <w:rsid w:val="004E3F6B"/>
    <w:rsid w:val="004E3F97"/>
    <w:rsid w:val="004E4185"/>
    <w:rsid w:val="004E429A"/>
    <w:rsid w:val="004E44D9"/>
    <w:rsid w:val="004E45E7"/>
    <w:rsid w:val="004E4707"/>
    <w:rsid w:val="004E4B40"/>
    <w:rsid w:val="004E4F5E"/>
    <w:rsid w:val="004E50AA"/>
    <w:rsid w:val="004E558D"/>
    <w:rsid w:val="004E5C1F"/>
    <w:rsid w:val="004E5CB1"/>
    <w:rsid w:val="004E6056"/>
    <w:rsid w:val="004E6976"/>
    <w:rsid w:val="004E69EB"/>
    <w:rsid w:val="004E6FDD"/>
    <w:rsid w:val="004E7211"/>
    <w:rsid w:val="004E7BFB"/>
    <w:rsid w:val="004F08B4"/>
    <w:rsid w:val="004F10E5"/>
    <w:rsid w:val="004F1110"/>
    <w:rsid w:val="004F1286"/>
    <w:rsid w:val="004F17E1"/>
    <w:rsid w:val="004F1B5A"/>
    <w:rsid w:val="004F23EC"/>
    <w:rsid w:val="004F2C7E"/>
    <w:rsid w:val="004F33CE"/>
    <w:rsid w:val="004F36C7"/>
    <w:rsid w:val="004F3F2F"/>
    <w:rsid w:val="004F40A4"/>
    <w:rsid w:val="004F477F"/>
    <w:rsid w:val="004F5487"/>
    <w:rsid w:val="004F572C"/>
    <w:rsid w:val="004F59BE"/>
    <w:rsid w:val="004F5FE6"/>
    <w:rsid w:val="004F63CC"/>
    <w:rsid w:val="004F6559"/>
    <w:rsid w:val="004F6964"/>
    <w:rsid w:val="004F6AEE"/>
    <w:rsid w:val="004F6E3A"/>
    <w:rsid w:val="004F7704"/>
    <w:rsid w:val="005007B6"/>
    <w:rsid w:val="0050089B"/>
    <w:rsid w:val="0050093E"/>
    <w:rsid w:val="005010B3"/>
    <w:rsid w:val="0050142B"/>
    <w:rsid w:val="00501B39"/>
    <w:rsid w:val="00502190"/>
    <w:rsid w:val="005024BA"/>
    <w:rsid w:val="00502602"/>
    <w:rsid w:val="00502686"/>
    <w:rsid w:val="00503040"/>
    <w:rsid w:val="005035CA"/>
    <w:rsid w:val="00503ACF"/>
    <w:rsid w:val="00504CAF"/>
    <w:rsid w:val="0050530F"/>
    <w:rsid w:val="005055C7"/>
    <w:rsid w:val="00506227"/>
    <w:rsid w:val="005067CE"/>
    <w:rsid w:val="00506853"/>
    <w:rsid w:val="00506B98"/>
    <w:rsid w:val="00506C94"/>
    <w:rsid w:val="00506EAC"/>
    <w:rsid w:val="005070FE"/>
    <w:rsid w:val="0050714C"/>
    <w:rsid w:val="005072F5"/>
    <w:rsid w:val="00507773"/>
    <w:rsid w:val="00507F22"/>
    <w:rsid w:val="00510067"/>
    <w:rsid w:val="005106CA"/>
    <w:rsid w:val="00510E03"/>
    <w:rsid w:val="00510E6D"/>
    <w:rsid w:val="005116B5"/>
    <w:rsid w:val="00511709"/>
    <w:rsid w:val="00511A88"/>
    <w:rsid w:val="00511AB1"/>
    <w:rsid w:val="00511DE7"/>
    <w:rsid w:val="00511E3D"/>
    <w:rsid w:val="00512156"/>
    <w:rsid w:val="00512261"/>
    <w:rsid w:val="0051232E"/>
    <w:rsid w:val="00512457"/>
    <w:rsid w:val="0051253C"/>
    <w:rsid w:val="005126EA"/>
    <w:rsid w:val="00512DFF"/>
    <w:rsid w:val="00513232"/>
    <w:rsid w:val="005132BB"/>
    <w:rsid w:val="005136C9"/>
    <w:rsid w:val="005137B8"/>
    <w:rsid w:val="0051425B"/>
    <w:rsid w:val="00514397"/>
    <w:rsid w:val="0051500B"/>
    <w:rsid w:val="005153A3"/>
    <w:rsid w:val="00515AF7"/>
    <w:rsid w:val="00515E26"/>
    <w:rsid w:val="00516BE1"/>
    <w:rsid w:val="0051749F"/>
    <w:rsid w:val="005176E8"/>
    <w:rsid w:val="005177C1"/>
    <w:rsid w:val="005177F9"/>
    <w:rsid w:val="005179BA"/>
    <w:rsid w:val="00520921"/>
    <w:rsid w:val="00520AE5"/>
    <w:rsid w:val="00520FD2"/>
    <w:rsid w:val="00521354"/>
    <w:rsid w:val="0052144E"/>
    <w:rsid w:val="0052167F"/>
    <w:rsid w:val="00522151"/>
    <w:rsid w:val="00522262"/>
    <w:rsid w:val="00522657"/>
    <w:rsid w:val="0052273F"/>
    <w:rsid w:val="005227C3"/>
    <w:rsid w:val="0052295D"/>
    <w:rsid w:val="00522AE4"/>
    <w:rsid w:val="00522CDA"/>
    <w:rsid w:val="00523CDF"/>
    <w:rsid w:val="00523F80"/>
    <w:rsid w:val="00524324"/>
    <w:rsid w:val="005247B3"/>
    <w:rsid w:val="00524CEA"/>
    <w:rsid w:val="005252E0"/>
    <w:rsid w:val="005256BB"/>
    <w:rsid w:val="00525BC3"/>
    <w:rsid w:val="0052630A"/>
    <w:rsid w:val="00526637"/>
    <w:rsid w:val="00526FDC"/>
    <w:rsid w:val="00527065"/>
    <w:rsid w:val="0052717B"/>
    <w:rsid w:val="00527D2E"/>
    <w:rsid w:val="0053059C"/>
    <w:rsid w:val="00530C0F"/>
    <w:rsid w:val="00530D80"/>
    <w:rsid w:val="005314EC"/>
    <w:rsid w:val="0053177B"/>
    <w:rsid w:val="0053181F"/>
    <w:rsid w:val="00531EA9"/>
    <w:rsid w:val="00531EFE"/>
    <w:rsid w:val="00531FC5"/>
    <w:rsid w:val="005321F7"/>
    <w:rsid w:val="005325A3"/>
    <w:rsid w:val="005325FB"/>
    <w:rsid w:val="00532CA2"/>
    <w:rsid w:val="00533AA8"/>
    <w:rsid w:val="005349AA"/>
    <w:rsid w:val="00535BC5"/>
    <w:rsid w:val="005362DF"/>
    <w:rsid w:val="00536F42"/>
    <w:rsid w:val="0054002E"/>
    <w:rsid w:val="005401DC"/>
    <w:rsid w:val="0054074A"/>
    <w:rsid w:val="005407CF"/>
    <w:rsid w:val="005408FD"/>
    <w:rsid w:val="00540EC9"/>
    <w:rsid w:val="0054228B"/>
    <w:rsid w:val="00542D27"/>
    <w:rsid w:val="005432F8"/>
    <w:rsid w:val="00543394"/>
    <w:rsid w:val="00543A7D"/>
    <w:rsid w:val="005443E5"/>
    <w:rsid w:val="00544B09"/>
    <w:rsid w:val="00544CEE"/>
    <w:rsid w:val="00544E4C"/>
    <w:rsid w:val="00544FB1"/>
    <w:rsid w:val="005452E1"/>
    <w:rsid w:val="00545AC5"/>
    <w:rsid w:val="00545C37"/>
    <w:rsid w:val="005462DE"/>
    <w:rsid w:val="00546458"/>
    <w:rsid w:val="00547237"/>
    <w:rsid w:val="00547467"/>
    <w:rsid w:val="005479F3"/>
    <w:rsid w:val="00547D30"/>
    <w:rsid w:val="005502CD"/>
    <w:rsid w:val="00550370"/>
    <w:rsid w:val="00550A58"/>
    <w:rsid w:val="00550D18"/>
    <w:rsid w:val="005512DE"/>
    <w:rsid w:val="00552846"/>
    <w:rsid w:val="00553132"/>
    <w:rsid w:val="0055339A"/>
    <w:rsid w:val="00553989"/>
    <w:rsid w:val="00553EE2"/>
    <w:rsid w:val="00554625"/>
    <w:rsid w:val="0055492E"/>
    <w:rsid w:val="00554A91"/>
    <w:rsid w:val="00554E15"/>
    <w:rsid w:val="00555211"/>
    <w:rsid w:val="00555835"/>
    <w:rsid w:val="0055599C"/>
    <w:rsid w:val="00555AEF"/>
    <w:rsid w:val="0055615C"/>
    <w:rsid w:val="00556635"/>
    <w:rsid w:val="00556F54"/>
    <w:rsid w:val="00557498"/>
    <w:rsid w:val="005577FC"/>
    <w:rsid w:val="00560188"/>
    <w:rsid w:val="005602D1"/>
    <w:rsid w:val="00560BD3"/>
    <w:rsid w:val="00560D13"/>
    <w:rsid w:val="005611EC"/>
    <w:rsid w:val="00561896"/>
    <w:rsid w:val="005619E4"/>
    <w:rsid w:val="00562315"/>
    <w:rsid w:val="00562501"/>
    <w:rsid w:val="0056326D"/>
    <w:rsid w:val="005634A0"/>
    <w:rsid w:val="005640C7"/>
    <w:rsid w:val="00564217"/>
    <w:rsid w:val="00564855"/>
    <w:rsid w:val="00564EE4"/>
    <w:rsid w:val="00564F08"/>
    <w:rsid w:val="0056524A"/>
    <w:rsid w:val="005653F3"/>
    <w:rsid w:val="0056588C"/>
    <w:rsid w:val="00565F55"/>
    <w:rsid w:val="00566D77"/>
    <w:rsid w:val="00566EAA"/>
    <w:rsid w:val="00567014"/>
    <w:rsid w:val="00567904"/>
    <w:rsid w:val="00567CC4"/>
    <w:rsid w:val="00567FB8"/>
    <w:rsid w:val="00570206"/>
    <w:rsid w:val="00570254"/>
    <w:rsid w:val="00570811"/>
    <w:rsid w:val="00570FD5"/>
    <w:rsid w:val="0057137E"/>
    <w:rsid w:val="00571452"/>
    <w:rsid w:val="0057202A"/>
    <w:rsid w:val="00572736"/>
    <w:rsid w:val="00572C1D"/>
    <w:rsid w:val="00572DDA"/>
    <w:rsid w:val="00573164"/>
    <w:rsid w:val="00573266"/>
    <w:rsid w:val="00573491"/>
    <w:rsid w:val="0057354F"/>
    <w:rsid w:val="00573684"/>
    <w:rsid w:val="005740B4"/>
    <w:rsid w:val="005746BE"/>
    <w:rsid w:val="00574A1E"/>
    <w:rsid w:val="005752DC"/>
    <w:rsid w:val="005757BD"/>
    <w:rsid w:val="00575A38"/>
    <w:rsid w:val="00575B0C"/>
    <w:rsid w:val="00576C2D"/>
    <w:rsid w:val="00576FF3"/>
    <w:rsid w:val="0057737F"/>
    <w:rsid w:val="00577517"/>
    <w:rsid w:val="00577669"/>
    <w:rsid w:val="00577A15"/>
    <w:rsid w:val="00580A6B"/>
    <w:rsid w:val="00580E06"/>
    <w:rsid w:val="00580E19"/>
    <w:rsid w:val="00581457"/>
    <w:rsid w:val="00581886"/>
    <w:rsid w:val="005818C0"/>
    <w:rsid w:val="00582D28"/>
    <w:rsid w:val="00583CA7"/>
    <w:rsid w:val="00583FC1"/>
    <w:rsid w:val="00583FC9"/>
    <w:rsid w:val="005844F5"/>
    <w:rsid w:val="00584F6A"/>
    <w:rsid w:val="00584F7D"/>
    <w:rsid w:val="0058557C"/>
    <w:rsid w:val="005864C6"/>
    <w:rsid w:val="005869D5"/>
    <w:rsid w:val="00586BC6"/>
    <w:rsid w:val="00586DBB"/>
    <w:rsid w:val="00587106"/>
    <w:rsid w:val="005908A4"/>
    <w:rsid w:val="00590B02"/>
    <w:rsid w:val="00590DAB"/>
    <w:rsid w:val="00591789"/>
    <w:rsid w:val="00593356"/>
    <w:rsid w:val="0059398A"/>
    <w:rsid w:val="00593E6B"/>
    <w:rsid w:val="00594E82"/>
    <w:rsid w:val="00594F84"/>
    <w:rsid w:val="0059524E"/>
    <w:rsid w:val="005954E3"/>
    <w:rsid w:val="00595535"/>
    <w:rsid w:val="0059581E"/>
    <w:rsid w:val="00595829"/>
    <w:rsid w:val="00595FC6"/>
    <w:rsid w:val="0059687C"/>
    <w:rsid w:val="00596A2C"/>
    <w:rsid w:val="00596BD4"/>
    <w:rsid w:val="00597A26"/>
    <w:rsid w:val="005A024F"/>
    <w:rsid w:val="005A0385"/>
    <w:rsid w:val="005A09DA"/>
    <w:rsid w:val="005A0A25"/>
    <w:rsid w:val="005A15DE"/>
    <w:rsid w:val="005A1885"/>
    <w:rsid w:val="005A1B7D"/>
    <w:rsid w:val="005A2666"/>
    <w:rsid w:val="005A2D0B"/>
    <w:rsid w:val="005A3550"/>
    <w:rsid w:val="005A3A29"/>
    <w:rsid w:val="005A3B88"/>
    <w:rsid w:val="005A439C"/>
    <w:rsid w:val="005A45A7"/>
    <w:rsid w:val="005A49DB"/>
    <w:rsid w:val="005A4DDE"/>
    <w:rsid w:val="005A5486"/>
    <w:rsid w:val="005A6486"/>
    <w:rsid w:val="005A6693"/>
    <w:rsid w:val="005A679E"/>
    <w:rsid w:val="005A683A"/>
    <w:rsid w:val="005A720E"/>
    <w:rsid w:val="005A79F3"/>
    <w:rsid w:val="005A7C6C"/>
    <w:rsid w:val="005A7D74"/>
    <w:rsid w:val="005B03F8"/>
    <w:rsid w:val="005B157E"/>
    <w:rsid w:val="005B1B19"/>
    <w:rsid w:val="005B1D13"/>
    <w:rsid w:val="005B1DF2"/>
    <w:rsid w:val="005B20CE"/>
    <w:rsid w:val="005B2450"/>
    <w:rsid w:val="005B26D1"/>
    <w:rsid w:val="005B288B"/>
    <w:rsid w:val="005B2C20"/>
    <w:rsid w:val="005B2DA1"/>
    <w:rsid w:val="005B3BF8"/>
    <w:rsid w:val="005B3C86"/>
    <w:rsid w:val="005B3FB5"/>
    <w:rsid w:val="005B42DC"/>
    <w:rsid w:val="005B43CF"/>
    <w:rsid w:val="005B46E6"/>
    <w:rsid w:val="005B4F93"/>
    <w:rsid w:val="005B59A3"/>
    <w:rsid w:val="005B5D1A"/>
    <w:rsid w:val="005B6E24"/>
    <w:rsid w:val="005B6FFE"/>
    <w:rsid w:val="005B756A"/>
    <w:rsid w:val="005B769D"/>
    <w:rsid w:val="005B797C"/>
    <w:rsid w:val="005C008A"/>
    <w:rsid w:val="005C0A2D"/>
    <w:rsid w:val="005C0EAC"/>
    <w:rsid w:val="005C0EBF"/>
    <w:rsid w:val="005C16D4"/>
    <w:rsid w:val="005C16D6"/>
    <w:rsid w:val="005C17AC"/>
    <w:rsid w:val="005C1DF1"/>
    <w:rsid w:val="005C24AB"/>
    <w:rsid w:val="005C292E"/>
    <w:rsid w:val="005C29B3"/>
    <w:rsid w:val="005C2B93"/>
    <w:rsid w:val="005C2C97"/>
    <w:rsid w:val="005C3103"/>
    <w:rsid w:val="005C414B"/>
    <w:rsid w:val="005C43C2"/>
    <w:rsid w:val="005C4957"/>
    <w:rsid w:val="005C4965"/>
    <w:rsid w:val="005C59D2"/>
    <w:rsid w:val="005C6747"/>
    <w:rsid w:val="005C67AD"/>
    <w:rsid w:val="005C7442"/>
    <w:rsid w:val="005C749A"/>
    <w:rsid w:val="005C758D"/>
    <w:rsid w:val="005C77E8"/>
    <w:rsid w:val="005C78FC"/>
    <w:rsid w:val="005D00A4"/>
    <w:rsid w:val="005D0912"/>
    <w:rsid w:val="005D1A3C"/>
    <w:rsid w:val="005D222F"/>
    <w:rsid w:val="005D2A5C"/>
    <w:rsid w:val="005D2D98"/>
    <w:rsid w:val="005D328D"/>
    <w:rsid w:val="005D3384"/>
    <w:rsid w:val="005D35DD"/>
    <w:rsid w:val="005D408A"/>
    <w:rsid w:val="005D5033"/>
    <w:rsid w:val="005D5367"/>
    <w:rsid w:val="005D5E5F"/>
    <w:rsid w:val="005D6460"/>
    <w:rsid w:val="005D6530"/>
    <w:rsid w:val="005D7398"/>
    <w:rsid w:val="005D73AF"/>
    <w:rsid w:val="005D751A"/>
    <w:rsid w:val="005D791B"/>
    <w:rsid w:val="005D7925"/>
    <w:rsid w:val="005D7936"/>
    <w:rsid w:val="005E000D"/>
    <w:rsid w:val="005E09E4"/>
    <w:rsid w:val="005E10A5"/>
    <w:rsid w:val="005E125E"/>
    <w:rsid w:val="005E1611"/>
    <w:rsid w:val="005E1720"/>
    <w:rsid w:val="005E2087"/>
    <w:rsid w:val="005E209F"/>
    <w:rsid w:val="005E2267"/>
    <w:rsid w:val="005E24AD"/>
    <w:rsid w:val="005E2C2F"/>
    <w:rsid w:val="005E3023"/>
    <w:rsid w:val="005E3202"/>
    <w:rsid w:val="005E3C8B"/>
    <w:rsid w:val="005E3E8D"/>
    <w:rsid w:val="005E496A"/>
    <w:rsid w:val="005E509D"/>
    <w:rsid w:val="005E5160"/>
    <w:rsid w:val="005E51DE"/>
    <w:rsid w:val="005E537E"/>
    <w:rsid w:val="005E6F7C"/>
    <w:rsid w:val="005E70CD"/>
    <w:rsid w:val="005E76B4"/>
    <w:rsid w:val="005E77A8"/>
    <w:rsid w:val="005E783B"/>
    <w:rsid w:val="005E79A1"/>
    <w:rsid w:val="005E7A91"/>
    <w:rsid w:val="005F112B"/>
    <w:rsid w:val="005F157A"/>
    <w:rsid w:val="005F1C82"/>
    <w:rsid w:val="005F2113"/>
    <w:rsid w:val="005F21DA"/>
    <w:rsid w:val="005F2DB0"/>
    <w:rsid w:val="005F2E4D"/>
    <w:rsid w:val="005F3F91"/>
    <w:rsid w:val="005F4092"/>
    <w:rsid w:val="005F4BF0"/>
    <w:rsid w:val="005F50A7"/>
    <w:rsid w:val="005F514A"/>
    <w:rsid w:val="005F5181"/>
    <w:rsid w:val="005F523A"/>
    <w:rsid w:val="005F5DC3"/>
    <w:rsid w:val="005F5EF7"/>
    <w:rsid w:val="005F6743"/>
    <w:rsid w:val="005F6C10"/>
    <w:rsid w:val="005F6F49"/>
    <w:rsid w:val="005F7E65"/>
    <w:rsid w:val="00600495"/>
    <w:rsid w:val="006007B3"/>
    <w:rsid w:val="006014C5"/>
    <w:rsid w:val="0060184E"/>
    <w:rsid w:val="00602385"/>
    <w:rsid w:val="00602443"/>
    <w:rsid w:val="006029F9"/>
    <w:rsid w:val="00602E99"/>
    <w:rsid w:val="00603943"/>
    <w:rsid w:val="00603D6F"/>
    <w:rsid w:val="00603EFB"/>
    <w:rsid w:val="00604034"/>
    <w:rsid w:val="0060418F"/>
    <w:rsid w:val="0060549B"/>
    <w:rsid w:val="006056DE"/>
    <w:rsid w:val="006058C1"/>
    <w:rsid w:val="00606101"/>
    <w:rsid w:val="00606ADC"/>
    <w:rsid w:val="00606FA5"/>
    <w:rsid w:val="00607301"/>
    <w:rsid w:val="00607645"/>
    <w:rsid w:val="00607A9C"/>
    <w:rsid w:val="00607B1F"/>
    <w:rsid w:val="006100F6"/>
    <w:rsid w:val="00610328"/>
    <w:rsid w:val="0061116D"/>
    <w:rsid w:val="006111CA"/>
    <w:rsid w:val="00611598"/>
    <w:rsid w:val="006121DB"/>
    <w:rsid w:val="00612759"/>
    <w:rsid w:val="00612FFC"/>
    <w:rsid w:val="00613439"/>
    <w:rsid w:val="006134AE"/>
    <w:rsid w:val="0061378B"/>
    <w:rsid w:val="0061478C"/>
    <w:rsid w:val="00614A0F"/>
    <w:rsid w:val="00615814"/>
    <w:rsid w:val="0061631E"/>
    <w:rsid w:val="006165ED"/>
    <w:rsid w:val="00616ADB"/>
    <w:rsid w:val="00616DA1"/>
    <w:rsid w:val="006174AA"/>
    <w:rsid w:val="006174B7"/>
    <w:rsid w:val="00617B8E"/>
    <w:rsid w:val="00617DE6"/>
    <w:rsid w:val="00617FF4"/>
    <w:rsid w:val="00620470"/>
    <w:rsid w:val="006215E6"/>
    <w:rsid w:val="006220DD"/>
    <w:rsid w:val="00622DE4"/>
    <w:rsid w:val="00623266"/>
    <w:rsid w:val="006238D2"/>
    <w:rsid w:val="00623C04"/>
    <w:rsid w:val="00623D29"/>
    <w:rsid w:val="00623FD0"/>
    <w:rsid w:val="0062473F"/>
    <w:rsid w:val="00624815"/>
    <w:rsid w:val="00624E71"/>
    <w:rsid w:val="0062595C"/>
    <w:rsid w:val="006259AF"/>
    <w:rsid w:val="00625A14"/>
    <w:rsid w:val="00625AD5"/>
    <w:rsid w:val="00625E24"/>
    <w:rsid w:val="00625E28"/>
    <w:rsid w:val="00625FAB"/>
    <w:rsid w:val="00625FF5"/>
    <w:rsid w:val="006265E1"/>
    <w:rsid w:val="006266D9"/>
    <w:rsid w:val="00630959"/>
    <w:rsid w:val="00630EFA"/>
    <w:rsid w:val="00631004"/>
    <w:rsid w:val="0063102A"/>
    <w:rsid w:val="0063111D"/>
    <w:rsid w:val="00631B2A"/>
    <w:rsid w:val="00631F09"/>
    <w:rsid w:val="00632096"/>
    <w:rsid w:val="00632738"/>
    <w:rsid w:val="00632CDB"/>
    <w:rsid w:val="00632F7C"/>
    <w:rsid w:val="00633742"/>
    <w:rsid w:val="006349F6"/>
    <w:rsid w:val="00634D11"/>
    <w:rsid w:val="00634F2A"/>
    <w:rsid w:val="006357F5"/>
    <w:rsid w:val="006359BA"/>
    <w:rsid w:val="006359E0"/>
    <w:rsid w:val="00635C69"/>
    <w:rsid w:val="00636095"/>
    <w:rsid w:val="00636208"/>
    <w:rsid w:val="006368BF"/>
    <w:rsid w:val="00636D4E"/>
    <w:rsid w:val="00636F5E"/>
    <w:rsid w:val="00637113"/>
    <w:rsid w:val="006371D4"/>
    <w:rsid w:val="0063770F"/>
    <w:rsid w:val="00637EE6"/>
    <w:rsid w:val="006404B8"/>
    <w:rsid w:val="00640A86"/>
    <w:rsid w:val="00640AAD"/>
    <w:rsid w:val="00640C5A"/>
    <w:rsid w:val="00640FBB"/>
    <w:rsid w:val="00641D22"/>
    <w:rsid w:val="00642168"/>
    <w:rsid w:val="00642E98"/>
    <w:rsid w:val="00643199"/>
    <w:rsid w:val="00643332"/>
    <w:rsid w:val="0064344D"/>
    <w:rsid w:val="006434B8"/>
    <w:rsid w:val="006448A5"/>
    <w:rsid w:val="00644FB9"/>
    <w:rsid w:val="006459CA"/>
    <w:rsid w:val="00645C22"/>
    <w:rsid w:val="00645F70"/>
    <w:rsid w:val="00646FF2"/>
    <w:rsid w:val="0064732F"/>
    <w:rsid w:val="00647747"/>
    <w:rsid w:val="006478DB"/>
    <w:rsid w:val="006507BF"/>
    <w:rsid w:val="00650C6F"/>
    <w:rsid w:val="006512E6"/>
    <w:rsid w:val="006522D6"/>
    <w:rsid w:val="0065250F"/>
    <w:rsid w:val="00653325"/>
    <w:rsid w:val="0065341E"/>
    <w:rsid w:val="0065389D"/>
    <w:rsid w:val="00653D13"/>
    <w:rsid w:val="00653F04"/>
    <w:rsid w:val="00653F63"/>
    <w:rsid w:val="00655A2C"/>
    <w:rsid w:val="006561BA"/>
    <w:rsid w:val="0065637C"/>
    <w:rsid w:val="00656601"/>
    <w:rsid w:val="00656960"/>
    <w:rsid w:val="00656F2C"/>
    <w:rsid w:val="00656FA6"/>
    <w:rsid w:val="00657D36"/>
    <w:rsid w:val="0066023B"/>
    <w:rsid w:val="006602A2"/>
    <w:rsid w:val="006602D8"/>
    <w:rsid w:val="0066125E"/>
    <w:rsid w:val="0066144D"/>
    <w:rsid w:val="00661505"/>
    <w:rsid w:val="00661891"/>
    <w:rsid w:val="00661A75"/>
    <w:rsid w:val="00661E9A"/>
    <w:rsid w:val="00661FFC"/>
    <w:rsid w:val="006621C9"/>
    <w:rsid w:val="006625BE"/>
    <w:rsid w:val="00662845"/>
    <w:rsid w:val="006630D3"/>
    <w:rsid w:val="00665232"/>
    <w:rsid w:val="006655F6"/>
    <w:rsid w:val="006657CB"/>
    <w:rsid w:val="00665A51"/>
    <w:rsid w:val="00666020"/>
    <w:rsid w:val="00666059"/>
    <w:rsid w:val="00666786"/>
    <w:rsid w:val="00666C56"/>
    <w:rsid w:val="00667A27"/>
    <w:rsid w:val="00670B03"/>
    <w:rsid w:val="00671467"/>
    <w:rsid w:val="00671A17"/>
    <w:rsid w:val="006722A3"/>
    <w:rsid w:val="00672977"/>
    <w:rsid w:val="006729C9"/>
    <w:rsid w:val="00673341"/>
    <w:rsid w:val="00674678"/>
    <w:rsid w:val="00675AE5"/>
    <w:rsid w:val="00676018"/>
    <w:rsid w:val="0067607B"/>
    <w:rsid w:val="00676673"/>
    <w:rsid w:val="00676A46"/>
    <w:rsid w:val="00676ACE"/>
    <w:rsid w:val="00676B91"/>
    <w:rsid w:val="00676ECD"/>
    <w:rsid w:val="00676F47"/>
    <w:rsid w:val="006771AA"/>
    <w:rsid w:val="006774A7"/>
    <w:rsid w:val="00677AAF"/>
    <w:rsid w:val="00677D4B"/>
    <w:rsid w:val="006804C6"/>
    <w:rsid w:val="00680914"/>
    <w:rsid w:val="00680DB7"/>
    <w:rsid w:val="00680EC8"/>
    <w:rsid w:val="0068270C"/>
    <w:rsid w:val="0068330A"/>
    <w:rsid w:val="006834A5"/>
    <w:rsid w:val="00683755"/>
    <w:rsid w:val="00683A5A"/>
    <w:rsid w:val="00683D72"/>
    <w:rsid w:val="00683F6A"/>
    <w:rsid w:val="00683FEB"/>
    <w:rsid w:val="00684CB7"/>
    <w:rsid w:val="00684DBD"/>
    <w:rsid w:val="006850D8"/>
    <w:rsid w:val="00685815"/>
    <w:rsid w:val="00685998"/>
    <w:rsid w:val="0068635B"/>
    <w:rsid w:val="00686748"/>
    <w:rsid w:val="0068676E"/>
    <w:rsid w:val="00686894"/>
    <w:rsid w:val="00686FD4"/>
    <w:rsid w:val="00687307"/>
    <w:rsid w:val="006874FB"/>
    <w:rsid w:val="006901BE"/>
    <w:rsid w:val="006908E4"/>
    <w:rsid w:val="00690AD3"/>
    <w:rsid w:val="00691A77"/>
    <w:rsid w:val="00691EDB"/>
    <w:rsid w:val="006928FA"/>
    <w:rsid w:val="0069312A"/>
    <w:rsid w:val="00693925"/>
    <w:rsid w:val="006939A6"/>
    <w:rsid w:val="00693A3A"/>
    <w:rsid w:val="00693FDB"/>
    <w:rsid w:val="0069444E"/>
    <w:rsid w:val="00695757"/>
    <w:rsid w:val="006961B4"/>
    <w:rsid w:val="0069698E"/>
    <w:rsid w:val="00696C83"/>
    <w:rsid w:val="00696D87"/>
    <w:rsid w:val="00696E20"/>
    <w:rsid w:val="00697003"/>
    <w:rsid w:val="006973D1"/>
    <w:rsid w:val="006979A5"/>
    <w:rsid w:val="00697BB4"/>
    <w:rsid w:val="00697BC8"/>
    <w:rsid w:val="00697C6A"/>
    <w:rsid w:val="00697F04"/>
    <w:rsid w:val="006A019E"/>
    <w:rsid w:val="006A04A3"/>
    <w:rsid w:val="006A053B"/>
    <w:rsid w:val="006A0777"/>
    <w:rsid w:val="006A0A86"/>
    <w:rsid w:val="006A0AD8"/>
    <w:rsid w:val="006A1110"/>
    <w:rsid w:val="006A1294"/>
    <w:rsid w:val="006A1427"/>
    <w:rsid w:val="006A17BB"/>
    <w:rsid w:val="006A1AEF"/>
    <w:rsid w:val="006A1B3C"/>
    <w:rsid w:val="006A22AB"/>
    <w:rsid w:val="006A24DF"/>
    <w:rsid w:val="006A2659"/>
    <w:rsid w:val="006A2B12"/>
    <w:rsid w:val="006A2B68"/>
    <w:rsid w:val="006A2D0D"/>
    <w:rsid w:val="006A3249"/>
    <w:rsid w:val="006A3B5A"/>
    <w:rsid w:val="006A3DD9"/>
    <w:rsid w:val="006A4362"/>
    <w:rsid w:val="006A4F1F"/>
    <w:rsid w:val="006A5460"/>
    <w:rsid w:val="006A55CD"/>
    <w:rsid w:val="006A55E7"/>
    <w:rsid w:val="006A66F4"/>
    <w:rsid w:val="006A675B"/>
    <w:rsid w:val="006A69AE"/>
    <w:rsid w:val="006A6BE1"/>
    <w:rsid w:val="006A7C89"/>
    <w:rsid w:val="006A7FA8"/>
    <w:rsid w:val="006B0243"/>
    <w:rsid w:val="006B0292"/>
    <w:rsid w:val="006B12FB"/>
    <w:rsid w:val="006B1BE6"/>
    <w:rsid w:val="006B2F53"/>
    <w:rsid w:val="006B3743"/>
    <w:rsid w:val="006B3F5D"/>
    <w:rsid w:val="006B414F"/>
    <w:rsid w:val="006B4235"/>
    <w:rsid w:val="006B460F"/>
    <w:rsid w:val="006B51B1"/>
    <w:rsid w:val="006B6062"/>
    <w:rsid w:val="006B6781"/>
    <w:rsid w:val="006B68B8"/>
    <w:rsid w:val="006B6CDB"/>
    <w:rsid w:val="006B6D58"/>
    <w:rsid w:val="006B6FCA"/>
    <w:rsid w:val="006B702F"/>
    <w:rsid w:val="006B78C9"/>
    <w:rsid w:val="006C00AC"/>
    <w:rsid w:val="006C09D4"/>
    <w:rsid w:val="006C0ADD"/>
    <w:rsid w:val="006C0C0A"/>
    <w:rsid w:val="006C0E37"/>
    <w:rsid w:val="006C135D"/>
    <w:rsid w:val="006C19C6"/>
    <w:rsid w:val="006C1E63"/>
    <w:rsid w:val="006C20ED"/>
    <w:rsid w:val="006C2567"/>
    <w:rsid w:val="006C36DC"/>
    <w:rsid w:val="006C44C3"/>
    <w:rsid w:val="006C46E0"/>
    <w:rsid w:val="006C49C4"/>
    <w:rsid w:val="006C4A56"/>
    <w:rsid w:val="006C56DA"/>
    <w:rsid w:val="006C5910"/>
    <w:rsid w:val="006C5EDA"/>
    <w:rsid w:val="006C63F9"/>
    <w:rsid w:val="006C676A"/>
    <w:rsid w:val="006C7234"/>
    <w:rsid w:val="006C765F"/>
    <w:rsid w:val="006C7E73"/>
    <w:rsid w:val="006C7F75"/>
    <w:rsid w:val="006D0047"/>
    <w:rsid w:val="006D00ED"/>
    <w:rsid w:val="006D0255"/>
    <w:rsid w:val="006D12BA"/>
    <w:rsid w:val="006D1850"/>
    <w:rsid w:val="006D1B81"/>
    <w:rsid w:val="006D2A0F"/>
    <w:rsid w:val="006D2C68"/>
    <w:rsid w:val="006D378D"/>
    <w:rsid w:val="006D3E56"/>
    <w:rsid w:val="006D4223"/>
    <w:rsid w:val="006D44AF"/>
    <w:rsid w:val="006D4EC9"/>
    <w:rsid w:val="006D511B"/>
    <w:rsid w:val="006D52E6"/>
    <w:rsid w:val="006D5A44"/>
    <w:rsid w:val="006D6265"/>
    <w:rsid w:val="006D67ED"/>
    <w:rsid w:val="006D6F4E"/>
    <w:rsid w:val="006D72EB"/>
    <w:rsid w:val="006E02BE"/>
    <w:rsid w:val="006E0549"/>
    <w:rsid w:val="006E0CC2"/>
    <w:rsid w:val="006E17DA"/>
    <w:rsid w:val="006E1BE4"/>
    <w:rsid w:val="006E1F37"/>
    <w:rsid w:val="006E2628"/>
    <w:rsid w:val="006E296D"/>
    <w:rsid w:val="006E2DCD"/>
    <w:rsid w:val="006E3269"/>
    <w:rsid w:val="006E3D7A"/>
    <w:rsid w:val="006E4387"/>
    <w:rsid w:val="006E4CDC"/>
    <w:rsid w:val="006E5F3B"/>
    <w:rsid w:val="006E6072"/>
    <w:rsid w:val="006E6585"/>
    <w:rsid w:val="006E6F04"/>
    <w:rsid w:val="006E7BA7"/>
    <w:rsid w:val="006E7C60"/>
    <w:rsid w:val="006E7EB1"/>
    <w:rsid w:val="006F0033"/>
    <w:rsid w:val="006F0463"/>
    <w:rsid w:val="006F1E70"/>
    <w:rsid w:val="006F34A6"/>
    <w:rsid w:val="006F3530"/>
    <w:rsid w:val="006F3DA4"/>
    <w:rsid w:val="006F4A69"/>
    <w:rsid w:val="006F4EE4"/>
    <w:rsid w:val="006F5526"/>
    <w:rsid w:val="006F5877"/>
    <w:rsid w:val="006F5F3F"/>
    <w:rsid w:val="006F6043"/>
    <w:rsid w:val="006F618E"/>
    <w:rsid w:val="006F6714"/>
    <w:rsid w:val="006F7071"/>
    <w:rsid w:val="006F71CD"/>
    <w:rsid w:val="006F74BE"/>
    <w:rsid w:val="006F776C"/>
    <w:rsid w:val="006F7EBB"/>
    <w:rsid w:val="0070020E"/>
    <w:rsid w:val="0070027A"/>
    <w:rsid w:val="00701B4E"/>
    <w:rsid w:val="00701E0B"/>
    <w:rsid w:val="00702A8D"/>
    <w:rsid w:val="00702AC3"/>
    <w:rsid w:val="00702B85"/>
    <w:rsid w:val="0070380C"/>
    <w:rsid w:val="00703B25"/>
    <w:rsid w:val="00703D65"/>
    <w:rsid w:val="00703E24"/>
    <w:rsid w:val="007040D7"/>
    <w:rsid w:val="007041C0"/>
    <w:rsid w:val="0070425F"/>
    <w:rsid w:val="00704884"/>
    <w:rsid w:val="00705B7C"/>
    <w:rsid w:val="00706371"/>
    <w:rsid w:val="007068A4"/>
    <w:rsid w:val="007069F5"/>
    <w:rsid w:val="007070C5"/>
    <w:rsid w:val="007072F7"/>
    <w:rsid w:val="007073C4"/>
    <w:rsid w:val="0070749D"/>
    <w:rsid w:val="007076CA"/>
    <w:rsid w:val="007077CD"/>
    <w:rsid w:val="00707CD7"/>
    <w:rsid w:val="00707D4C"/>
    <w:rsid w:val="007100BA"/>
    <w:rsid w:val="00710EA6"/>
    <w:rsid w:val="007111F7"/>
    <w:rsid w:val="00711419"/>
    <w:rsid w:val="00711679"/>
    <w:rsid w:val="007117E4"/>
    <w:rsid w:val="00711FB4"/>
    <w:rsid w:val="00712551"/>
    <w:rsid w:val="0071289D"/>
    <w:rsid w:val="0071334D"/>
    <w:rsid w:val="007139BD"/>
    <w:rsid w:val="00713A2E"/>
    <w:rsid w:val="007146BE"/>
    <w:rsid w:val="007155DB"/>
    <w:rsid w:val="00715F61"/>
    <w:rsid w:val="0071631F"/>
    <w:rsid w:val="00716EBA"/>
    <w:rsid w:val="007171FB"/>
    <w:rsid w:val="007174EB"/>
    <w:rsid w:val="0071777E"/>
    <w:rsid w:val="00717804"/>
    <w:rsid w:val="00717A33"/>
    <w:rsid w:val="00717B92"/>
    <w:rsid w:val="00717BFE"/>
    <w:rsid w:val="00717ECB"/>
    <w:rsid w:val="00720077"/>
    <w:rsid w:val="00720839"/>
    <w:rsid w:val="00720CAA"/>
    <w:rsid w:val="007218A8"/>
    <w:rsid w:val="00721E4D"/>
    <w:rsid w:val="00722E01"/>
    <w:rsid w:val="00723591"/>
    <w:rsid w:val="007241B6"/>
    <w:rsid w:val="00724504"/>
    <w:rsid w:val="00724639"/>
    <w:rsid w:val="007248E7"/>
    <w:rsid w:val="00724E87"/>
    <w:rsid w:val="00724ECE"/>
    <w:rsid w:val="00724FAB"/>
    <w:rsid w:val="007254EB"/>
    <w:rsid w:val="007255D9"/>
    <w:rsid w:val="0072582D"/>
    <w:rsid w:val="00725A63"/>
    <w:rsid w:val="00725F0D"/>
    <w:rsid w:val="00725FB8"/>
    <w:rsid w:val="0072668C"/>
    <w:rsid w:val="00726AD4"/>
    <w:rsid w:val="0072711F"/>
    <w:rsid w:val="007271C3"/>
    <w:rsid w:val="00727588"/>
    <w:rsid w:val="0072763F"/>
    <w:rsid w:val="00727EBA"/>
    <w:rsid w:val="0073082C"/>
    <w:rsid w:val="00730BC4"/>
    <w:rsid w:val="00730D7B"/>
    <w:rsid w:val="0073167A"/>
    <w:rsid w:val="00731C26"/>
    <w:rsid w:val="00732282"/>
    <w:rsid w:val="00732D11"/>
    <w:rsid w:val="0073317F"/>
    <w:rsid w:val="0073382B"/>
    <w:rsid w:val="00735169"/>
    <w:rsid w:val="007351D9"/>
    <w:rsid w:val="007353CD"/>
    <w:rsid w:val="00735981"/>
    <w:rsid w:val="00735DA3"/>
    <w:rsid w:val="007363DF"/>
    <w:rsid w:val="00736493"/>
    <w:rsid w:val="00736997"/>
    <w:rsid w:val="00737443"/>
    <w:rsid w:val="00737967"/>
    <w:rsid w:val="00737981"/>
    <w:rsid w:val="00737C47"/>
    <w:rsid w:val="00737FCF"/>
    <w:rsid w:val="007419C0"/>
    <w:rsid w:val="00741BB7"/>
    <w:rsid w:val="00742063"/>
    <w:rsid w:val="00742204"/>
    <w:rsid w:val="007426AF"/>
    <w:rsid w:val="00742DDD"/>
    <w:rsid w:val="007434AF"/>
    <w:rsid w:val="007439CA"/>
    <w:rsid w:val="00743A86"/>
    <w:rsid w:val="007441A5"/>
    <w:rsid w:val="0074453F"/>
    <w:rsid w:val="00744AC7"/>
    <w:rsid w:val="00744BD8"/>
    <w:rsid w:val="007453A2"/>
    <w:rsid w:val="007457E7"/>
    <w:rsid w:val="0074617F"/>
    <w:rsid w:val="007467CD"/>
    <w:rsid w:val="0074689D"/>
    <w:rsid w:val="00746963"/>
    <w:rsid w:val="00747348"/>
    <w:rsid w:val="007473C6"/>
    <w:rsid w:val="0074753B"/>
    <w:rsid w:val="007476CB"/>
    <w:rsid w:val="00747A0E"/>
    <w:rsid w:val="00747A76"/>
    <w:rsid w:val="00747BC7"/>
    <w:rsid w:val="00747BE3"/>
    <w:rsid w:val="0075007C"/>
    <w:rsid w:val="007505A2"/>
    <w:rsid w:val="00750843"/>
    <w:rsid w:val="00750876"/>
    <w:rsid w:val="00750B6B"/>
    <w:rsid w:val="00750BDE"/>
    <w:rsid w:val="00750D55"/>
    <w:rsid w:val="00751F01"/>
    <w:rsid w:val="00752594"/>
    <w:rsid w:val="00752D19"/>
    <w:rsid w:val="00753132"/>
    <w:rsid w:val="007535B7"/>
    <w:rsid w:val="00753732"/>
    <w:rsid w:val="0075390C"/>
    <w:rsid w:val="007539B6"/>
    <w:rsid w:val="007545F9"/>
    <w:rsid w:val="007549BB"/>
    <w:rsid w:val="00754DD8"/>
    <w:rsid w:val="00754F2B"/>
    <w:rsid w:val="0075503D"/>
    <w:rsid w:val="007556E3"/>
    <w:rsid w:val="00755F97"/>
    <w:rsid w:val="00756E8F"/>
    <w:rsid w:val="0075786E"/>
    <w:rsid w:val="00757BAD"/>
    <w:rsid w:val="00760006"/>
    <w:rsid w:val="00760247"/>
    <w:rsid w:val="00760B47"/>
    <w:rsid w:val="00761025"/>
    <w:rsid w:val="007618C6"/>
    <w:rsid w:val="00761999"/>
    <w:rsid w:val="00761B4C"/>
    <w:rsid w:val="00762170"/>
    <w:rsid w:val="00763424"/>
    <w:rsid w:val="00763FE2"/>
    <w:rsid w:val="007645E3"/>
    <w:rsid w:val="00764E88"/>
    <w:rsid w:val="0076555E"/>
    <w:rsid w:val="00765825"/>
    <w:rsid w:val="007670DD"/>
    <w:rsid w:val="00767191"/>
    <w:rsid w:val="0076739F"/>
    <w:rsid w:val="00767597"/>
    <w:rsid w:val="007678E7"/>
    <w:rsid w:val="00767B95"/>
    <w:rsid w:val="00767BDC"/>
    <w:rsid w:val="00767DB1"/>
    <w:rsid w:val="00770974"/>
    <w:rsid w:val="00770A3D"/>
    <w:rsid w:val="00771281"/>
    <w:rsid w:val="007718B3"/>
    <w:rsid w:val="007719C0"/>
    <w:rsid w:val="00771A8D"/>
    <w:rsid w:val="0077223F"/>
    <w:rsid w:val="0077231D"/>
    <w:rsid w:val="00772B4B"/>
    <w:rsid w:val="00772BAD"/>
    <w:rsid w:val="007732A4"/>
    <w:rsid w:val="0077336C"/>
    <w:rsid w:val="00773392"/>
    <w:rsid w:val="00773E77"/>
    <w:rsid w:val="0077412D"/>
    <w:rsid w:val="007743C6"/>
    <w:rsid w:val="007744D4"/>
    <w:rsid w:val="00774F61"/>
    <w:rsid w:val="007751B0"/>
    <w:rsid w:val="00775211"/>
    <w:rsid w:val="0077537A"/>
    <w:rsid w:val="00775B1C"/>
    <w:rsid w:val="00775B1F"/>
    <w:rsid w:val="00775B70"/>
    <w:rsid w:val="007768A4"/>
    <w:rsid w:val="0077762B"/>
    <w:rsid w:val="00777F18"/>
    <w:rsid w:val="00780740"/>
    <w:rsid w:val="007807F7"/>
    <w:rsid w:val="00780B2D"/>
    <w:rsid w:val="00780BB6"/>
    <w:rsid w:val="00780FC2"/>
    <w:rsid w:val="007810E2"/>
    <w:rsid w:val="00781ACC"/>
    <w:rsid w:val="00782215"/>
    <w:rsid w:val="00782275"/>
    <w:rsid w:val="00782992"/>
    <w:rsid w:val="00782C45"/>
    <w:rsid w:val="00782D38"/>
    <w:rsid w:val="00783426"/>
    <w:rsid w:val="0078396D"/>
    <w:rsid w:val="00783A92"/>
    <w:rsid w:val="00783E96"/>
    <w:rsid w:val="0078404E"/>
    <w:rsid w:val="0078464E"/>
    <w:rsid w:val="00784DFC"/>
    <w:rsid w:val="007856B8"/>
    <w:rsid w:val="00785AE3"/>
    <w:rsid w:val="00785D94"/>
    <w:rsid w:val="00786585"/>
    <w:rsid w:val="00786AA0"/>
    <w:rsid w:val="00786D6A"/>
    <w:rsid w:val="007872BE"/>
    <w:rsid w:val="00787ED3"/>
    <w:rsid w:val="00791E50"/>
    <w:rsid w:val="00791FDD"/>
    <w:rsid w:val="0079251D"/>
    <w:rsid w:val="007925C8"/>
    <w:rsid w:val="00792709"/>
    <w:rsid w:val="00792DF7"/>
    <w:rsid w:val="007932B5"/>
    <w:rsid w:val="0079346F"/>
    <w:rsid w:val="007936F9"/>
    <w:rsid w:val="00794006"/>
    <w:rsid w:val="007942B5"/>
    <w:rsid w:val="007949DE"/>
    <w:rsid w:val="00794B7E"/>
    <w:rsid w:val="00795021"/>
    <w:rsid w:val="007957B8"/>
    <w:rsid w:val="00795841"/>
    <w:rsid w:val="007962DA"/>
    <w:rsid w:val="00796E66"/>
    <w:rsid w:val="00797301"/>
    <w:rsid w:val="007974EB"/>
    <w:rsid w:val="00797532"/>
    <w:rsid w:val="007A0AFB"/>
    <w:rsid w:val="007A108A"/>
    <w:rsid w:val="007A1790"/>
    <w:rsid w:val="007A18E7"/>
    <w:rsid w:val="007A2159"/>
    <w:rsid w:val="007A2469"/>
    <w:rsid w:val="007A24E6"/>
    <w:rsid w:val="007A262B"/>
    <w:rsid w:val="007A262D"/>
    <w:rsid w:val="007A3F93"/>
    <w:rsid w:val="007A4612"/>
    <w:rsid w:val="007A4938"/>
    <w:rsid w:val="007A505B"/>
    <w:rsid w:val="007A5B68"/>
    <w:rsid w:val="007A5F71"/>
    <w:rsid w:val="007A5FF3"/>
    <w:rsid w:val="007A62D7"/>
    <w:rsid w:val="007A6BEB"/>
    <w:rsid w:val="007A6FED"/>
    <w:rsid w:val="007A7440"/>
    <w:rsid w:val="007A76B9"/>
    <w:rsid w:val="007A77BE"/>
    <w:rsid w:val="007A79BF"/>
    <w:rsid w:val="007B00F9"/>
    <w:rsid w:val="007B030A"/>
    <w:rsid w:val="007B06BF"/>
    <w:rsid w:val="007B09DA"/>
    <w:rsid w:val="007B19A1"/>
    <w:rsid w:val="007B21EF"/>
    <w:rsid w:val="007B257B"/>
    <w:rsid w:val="007B2758"/>
    <w:rsid w:val="007B3428"/>
    <w:rsid w:val="007B3AA5"/>
    <w:rsid w:val="007B3CBA"/>
    <w:rsid w:val="007B3DAA"/>
    <w:rsid w:val="007B41F8"/>
    <w:rsid w:val="007B4503"/>
    <w:rsid w:val="007B4678"/>
    <w:rsid w:val="007B491B"/>
    <w:rsid w:val="007B4AED"/>
    <w:rsid w:val="007B4C4B"/>
    <w:rsid w:val="007B4CC8"/>
    <w:rsid w:val="007B4F58"/>
    <w:rsid w:val="007B5378"/>
    <w:rsid w:val="007B591A"/>
    <w:rsid w:val="007B60D6"/>
    <w:rsid w:val="007B6A09"/>
    <w:rsid w:val="007B6C2D"/>
    <w:rsid w:val="007B71D1"/>
    <w:rsid w:val="007B72C9"/>
    <w:rsid w:val="007C0016"/>
    <w:rsid w:val="007C009E"/>
    <w:rsid w:val="007C03CA"/>
    <w:rsid w:val="007C0835"/>
    <w:rsid w:val="007C09C9"/>
    <w:rsid w:val="007C10EA"/>
    <w:rsid w:val="007C110C"/>
    <w:rsid w:val="007C110D"/>
    <w:rsid w:val="007C12BF"/>
    <w:rsid w:val="007C1BF8"/>
    <w:rsid w:val="007C1F2D"/>
    <w:rsid w:val="007C21B6"/>
    <w:rsid w:val="007C3F8E"/>
    <w:rsid w:val="007C49C0"/>
    <w:rsid w:val="007C4ACE"/>
    <w:rsid w:val="007C4D64"/>
    <w:rsid w:val="007C4E4C"/>
    <w:rsid w:val="007C53EB"/>
    <w:rsid w:val="007C555A"/>
    <w:rsid w:val="007C5768"/>
    <w:rsid w:val="007C57D4"/>
    <w:rsid w:val="007C6DA1"/>
    <w:rsid w:val="007C78AA"/>
    <w:rsid w:val="007D001A"/>
    <w:rsid w:val="007D0449"/>
    <w:rsid w:val="007D0E30"/>
    <w:rsid w:val="007D2137"/>
    <w:rsid w:val="007D2407"/>
    <w:rsid w:val="007D28F7"/>
    <w:rsid w:val="007D2A17"/>
    <w:rsid w:val="007D314E"/>
    <w:rsid w:val="007D3173"/>
    <w:rsid w:val="007D31D6"/>
    <w:rsid w:val="007D31E6"/>
    <w:rsid w:val="007D36F9"/>
    <w:rsid w:val="007D36FB"/>
    <w:rsid w:val="007D39B1"/>
    <w:rsid w:val="007D3FD1"/>
    <w:rsid w:val="007D4396"/>
    <w:rsid w:val="007D5070"/>
    <w:rsid w:val="007D5903"/>
    <w:rsid w:val="007D6BC8"/>
    <w:rsid w:val="007D6C8E"/>
    <w:rsid w:val="007D7465"/>
    <w:rsid w:val="007D78B3"/>
    <w:rsid w:val="007E02A0"/>
    <w:rsid w:val="007E057B"/>
    <w:rsid w:val="007E08D6"/>
    <w:rsid w:val="007E09E7"/>
    <w:rsid w:val="007E1639"/>
    <w:rsid w:val="007E1DD8"/>
    <w:rsid w:val="007E2696"/>
    <w:rsid w:val="007E2862"/>
    <w:rsid w:val="007E3054"/>
    <w:rsid w:val="007E39D9"/>
    <w:rsid w:val="007E4292"/>
    <w:rsid w:val="007E45EC"/>
    <w:rsid w:val="007E4795"/>
    <w:rsid w:val="007E4902"/>
    <w:rsid w:val="007E4DCC"/>
    <w:rsid w:val="007E5101"/>
    <w:rsid w:val="007E568C"/>
    <w:rsid w:val="007E6025"/>
    <w:rsid w:val="007E6027"/>
    <w:rsid w:val="007E6113"/>
    <w:rsid w:val="007E6442"/>
    <w:rsid w:val="007E708D"/>
    <w:rsid w:val="007E74F3"/>
    <w:rsid w:val="007E796F"/>
    <w:rsid w:val="007E79FF"/>
    <w:rsid w:val="007F0C46"/>
    <w:rsid w:val="007F0CED"/>
    <w:rsid w:val="007F0D97"/>
    <w:rsid w:val="007F0DF0"/>
    <w:rsid w:val="007F0EA8"/>
    <w:rsid w:val="007F1077"/>
    <w:rsid w:val="007F15AF"/>
    <w:rsid w:val="007F18F9"/>
    <w:rsid w:val="007F19EF"/>
    <w:rsid w:val="007F20A5"/>
    <w:rsid w:val="007F219B"/>
    <w:rsid w:val="007F2231"/>
    <w:rsid w:val="007F27B9"/>
    <w:rsid w:val="007F2A8A"/>
    <w:rsid w:val="007F3455"/>
    <w:rsid w:val="007F36BB"/>
    <w:rsid w:val="007F3703"/>
    <w:rsid w:val="007F399B"/>
    <w:rsid w:val="007F3BED"/>
    <w:rsid w:val="007F3D23"/>
    <w:rsid w:val="007F3D58"/>
    <w:rsid w:val="007F5326"/>
    <w:rsid w:val="007F5656"/>
    <w:rsid w:val="007F5ABE"/>
    <w:rsid w:val="007F5E3F"/>
    <w:rsid w:val="007F665C"/>
    <w:rsid w:val="007F66DA"/>
    <w:rsid w:val="007F698E"/>
    <w:rsid w:val="007F7082"/>
    <w:rsid w:val="007F71F2"/>
    <w:rsid w:val="007F7351"/>
    <w:rsid w:val="007F7785"/>
    <w:rsid w:val="007F7E43"/>
    <w:rsid w:val="00800554"/>
    <w:rsid w:val="0080113E"/>
    <w:rsid w:val="008011BF"/>
    <w:rsid w:val="0080184A"/>
    <w:rsid w:val="00801D0A"/>
    <w:rsid w:val="0080266E"/>
    <w:rsid w:val="008027C4"/>
    <w:rsid w:val="00802E7B"/>
    <w:rsid w:val="00803175"/>
    <w:rsid w:val="00803E01"/>
    <w:rsid w:val="00803FED"/>
    <w:rsid w:val="00804AE2"/>
    <w:rsid w:val="00804C48"/>
    <w:rsid w:val="00805D97"/>
    <w:rsid w:val="00806667"/>
    <w:rsid w:val="00806A2F"/>
    <w:rsid w:val="00807112"/>
    <w:rsid w:val="00807807"/>
    <w:rsid w:val="00807852"/>
    <w:rsid w:val="00807DE3"/>
    <w:rsid w:val="008103A5"/>
    <w:rsid w:val="008108C0"/>
    <w:rsid w:val="00811346"/>
    <w:rsid w:val="008113DB"/>
    <w:rsid w:val="00811576"/>
    <w:rsid w:val="008120DB"/>
    <w:rsid w:val="00812214"/>
    <w:rsid w:val="008124C8"/>
    <w:rsid w:val="00812779"/>
    <w:rsid w:val="00812900"/>
    <w:rsid w:val="00812B99"/>
    <w:rsid w:val="008136E4"/>
    <w:rsid w:val="00813945"/>
    <w:rsid w:val="00813B70"/>
    <w:rsid w:val="00813CFA"/>
    <w:rsid w:val="00813DA2"/>
    <w:rsid w:val="008140A3"/>
    <w:rsid w:val="00814801"/>
    <w:rsid w:val="00814AAD"/>
    <w:rsid w:val="00814C21"/>
    <w:rsid w:val="00815BA1"/>
    <w:rsid w:val="00815FBB"/>
    <w:rsid w:val="0081619D"/>
    <w:rsid w:val="00816D33"/>
    <w:rsid w:val="00817210"/>
    <w:rsid w:val="00817441"/>
    <w:rsid w:val="00817754"/>
    <w:rsid w:val="008179CC"/>
    <w:rsid w:val="00817FC5"/>
    <w:rsid w:val="008207C9"/>
    <w:rsid w:val="00820E12"/>
    <w:rsid w:val="00820E3A"/>
    <w:rsid w:val="0082156D"/>
    <w:rsid w:val="008215B6"/>
    <w:rsid w:val="008218E8"/>
    <w:rsid w:val="00821E69"/>
    <w:rsid w:val="00822DB9"/>
    <w:rsid w:val="00822E7C"/>
    <w:rsid w:val="00823151"/>
    <w:rsid w:val="008231E9"/>
    <w:rsid w:val="008234D7"/>
    <w:rsid w:val="008240BA"/>
    <w:rsid w:val="00824510"/>
    <w:rsid w:val="00824A3C"/>
    <w:rsid w:val="00824B70"/>
    <w:rsid w:val="008255EA"/>
    <w:rsid w:val="00825949"/>
    <w:rsid w:val="00825CFC"/>
    <w:rsid w:val="0082643A"/>
    <w:rsid w:val="0082657B"/>
    <w:rsid w:val="00826D95"/>
    <w:rsid w:val="0082793C"/>
    <w:rsid w:val="00827D0D"/>
    <w:rsid w:val="00827F6D"/>
    <w:rsid w:val="008304FE"/>
    <w:rsid w:val="0083139B"/>
    <w:rsid w:val="00831454"/>
    <w:rsid w:val="00831731"/>
    <w:rsid w:val="00831A57"/>
    <w:rsid w:val="008323EE"/>
    <w:rsid w:val="008337E4"/>
    <w:rsid w:val="00833804"/>
    <w:rsid w:val="00833BA5"/>
    <w:rsid w:val="00833C5C"/>
    <w:rsid w:val="00833FA2"/>
    <w:rsid w:val="0083430D"/>
    <w:rsid w:val="0083437C"/>
    <w:rsid w:val="008344F9"/>
    <w:rsid w:val="008345D3"/>
    <w:rsid w:val="0083481D"/>
    <w:rsid w:val="0083483B"/>
    <w:rsid w:val="00834EDC"/>
    <w:rsid w:val="00834EFD"/>
    <w:rsid w:val="00834F25"/>
    <w:rsid w:val="008351FD"/>
    <w:rsid w:val="008356C2"/>
    <w:rsid w:val="008356DA"/>
    <w:rsid w:val="00835823"/>
    <w:rsid w:val="00835B7F"/>
    <w:rsid w:val="00835D1F"/>
    <w:rsid w:val="0083653F"/>
    <w:rsid w:val="00836EB2"/>
    <w:rsid w:val="00837069"/>
    <w:rsid w:val="008371C5"/>
    <w:rsid w:val="00837A80"/>
    <w:rsid w:val="00837B31"/>
    <w:rsid w:val="00837C5C"/>
    <w:rsid w:val="00840057"/>
    <w:rsid w:val="0084021C"/>
    <w:rsid w:val="00841438"/>
    <w:rsid w:val="0084236F"/>
    <w:rsid w:val="00842422"/>
    <w:rsid w:val="00842735"/>
    <w:rsid w:val="00842851"/>
    <w:rsid w:val="008430EE"/>
    <w:rsid w:val="00843201"/>
    <w:rsid w:val="00843503"/>
    <w:rsid w:val="008436B0"/>
    <w:rsid w:val="0084429C"/>
    <w:rsid w:val="00844C8F"/>
    <w:rsid w:val="00845017"/>
    <w:rsid w:val="00845554"/>
    <w:rsid w:val="008456A0"/>
    <w:rsid w:val="00845C62"/>
    <w:rsid w:val="00846091"/>
    <w:rsid w:val="0084612E"/>
    <w:rsid w:val="00847300"/>
    <w:rsid w:val="008478A7"/>
    <w:rsid w:val="00847BA7"/>
    <w:rsid w:val="00850585"/>
    <w:rsid w:val="008508F5"/>
    <w:rsid w:val="00850A58"/>
    <w:rsid w:val="008518C4"/>
    <w:rsid w:val="00851C98"/>
    <w:rsid w:val="00852E35"/>
    <w:rsid w:val="0085320F"/>
    <w:rsid w:val="008532E7"/>
    <w:rsid w:val="00853AA7"/>
    <w:rsid w:val="0085474C"/>
    <w:rsid w:val="00855425"/>
    <w:rsid w:val="008558FF"/>
    <w:rsid w:val="00855C22"/>
    <w:rsid w:val="00855C36"/>
    <w:rsid w:val="00856A20"/>
    <w:rsid w:val="00857389"/>
    <w:rsid w:val="0085752E"/>
    <w:rsid w:val="00857FE6"/>
    <w:rsid w:val="0086036A"/>
    <w:rsid w:val="008609A1"/>
    <w:rsid w:val="00860FD4"/>
    <w:rsid w:val="0086212E"/>
    <w:rsid w:val="008621CD"/>
    <w:rsid w:val="008625CE"/>
    <w:rsid w:val="0086274B"/>
    <w:rsid w:val="008633ED"/>
    <w:rsid w:val="00863D87"/>
    <w:rsid w:val="00863ECE"/>
    <w:rsid w:val="0086412C"/>
    <w:rsid w:val="00864790"/>
    <w:rsid w:val="00864938"/>
    <w:rsid w:val="0086531D"/>
    <w:rsid w:val="008655C8"/>
    <w:rsid w:val="008655ED"/>
    <w:rsid w:val="008660B4"/>
    <w:rsid w:val="00866758"/>
    <w:rsid w:val="00866D61"/>
    <w:rsid w:val="00867970"/>
    <w:rsid w:val="00867BB2"/>
    <w:rsid w:val="00867E94"/>
    <w:rsid w:val="00870237"/>
    <w:rsid w:val="0087031A"/>
    <w:rsid w:val="00870B42"/>
    <w:rsid w:val="00870D8F"/>
    <w:rsid w:val="0087108C"/>
    <w:rsid w:val="0087112E"/>
    <w:rsid w:val="00871289"/>
    <w:rsid w:val="0087151C"/>
    <w:rsid w:val="00871811"/>
    <w:rsid w:val="00871C94"/>
    <w:rsid w:val="00872381"/>
    <w:rsid w:val="0087273B"/>
    <w:rsid w:val="00872772"/>
    <w:rsid w:val="00872A51"/>
    <w:rsid w:val="008730E0"/>
    <w:rsid w:val="008731C5"/>
    <w:rsid w:val="00873466"/>
    <w:rsid w:val="00873AB1"/>
    <w:rsid w:val="00873B69"/>
    <w:rsid w:val="00874270"/>
    <w:rsid w:val="0087451C"/>
    <w:rsid w:val="00874608"/>
    <w:rsid w:val="00874693"/>
    <w:rsid w:val="00875D57"/>
    <w:rsid w:val="008760A0"/>
    <w:rsid w:val="00876166"/>
    <w:rsid w:val="0087643D"/>
    <w:rsid w:val="008764F6"/>
    <w:rsid w:val="00876BCC"/>
    <w:rsid w:val="00876D6D"/>
    <w:rsid w:val="00877B0D"/>
    <w:rsid w:val="00877F53"/>
    <w:rsid w:val="0088023D"/>
    <w:rsid w:val="00881203"/>
    <w:rsid w:val="008812A5"/>
    <w:rsid w:val="008816BD"/>
    <w:rsid w:val="00881828"/>
    <w:rsid w:val="0088327F"/>
    <w:rsid w:val="00883914"/>
    <w:rsid w:val="00883B78"/>
    <w:rsid w:val="0088413D"/>
    <w:rsid w:val="0088464C"/>
    <w:rsid w:val="00884A9F"/>
    <w:rsid w:val="00884FF0"/>
    <w:rsid w:val="00885614"/>
    <w:rsid w:val="0088584A"/>
    <w:rsid w:val="00885D16"/>
    <w:rsid w:val="00885DEA"/>
    <w:rsid w:val="008860F3"/>
    <w:rsid w:val="00886839"/>
    <w:rsid w:val="00886C0D"/>
    <w:rsid w:val="00886E37"/>
    <w:rsid w:val="00887239"/>
    <w:rsid w:val="0088764C"/>
    <w:rsid w:val="00887908"/>
    <w:rsid w:val="00887990"/>
    <w:rsid w:val="00887EC0"/>
    <w:rsid w:val="008907AB"/>
    <w:rsid w:val="008908FA"/>
    <w:rsid w:val="00890B6F"/>
    <w:rsid w:val="00891111"/>
    <w:rsid w:val="00891263"/>
    <w:rsid w:val="008912D6"/>
    <w:rsid w:val="008915B1"/>
    <w:rsid w:val="008915F1"/>
    <w:rsid w:val="00891755"/>
    <w:rsid w:val="008919A6"/>
    <w:rsid w:val="00891D83"/>
    <w:rsid w:val="0089217A"/>
    <w:rsid w:val="00892AAC"/>
    <w:rsid w:val="00892E93"/>
    <w:rsid w:val="008934DE"/>
    <w:rsid w:val="008937CF"/>
    <w:rsid w:val="00893B94"/>
    <w:rsid w:val="008942B0"/>
    <w:rsid w:val="00895D74"/>
    <w:rsid w:val="008968FB"/>
    <w:rsid w:val="00896BC3"/>
    <w:rsid w:val="00897034"/>
    <w:rsid w:val="00897821"/>
    <w:rsid w:val="00897B01"/>
    <w:rsid w:val="00897D0B"/>
    <w:rsid w:val="008A0090"/>
    <w:rsid w:val="008A049D"/>
    <w:rsid w:val="008A08AB"/>
    <w:rsid w:val="008A08CD"/>
    <w:rsid w:val="008A09A6"/>
    <w:rsid w:val="008A0EEE"/>
    <w:rsid w:val="008A24E8"/>
    <w:rsid w:val="008A26A7"/>
    <w:rsid w:val="008A3027"/>
    <w:rsid w:val="008A33DF"/>
    <w:rsid w:val="008A35F1"/>
    <w:rsid w:val="008A45A4"/>
    <w:rsid w:val="008A45DE"/>
    <w:rsid w:val="008A4A10"/>
    <w:rsid w:val="008A4A53"/>
    <w:rsid w:val="008A4BC6"/>
    <w:rsid w:val="008A4DDB"/>
    <w:rsid w:val="008A52C1"/>
    <w:rsid w:val="008A62FC"/>
    <w:rsid w:val="008A6318"/>
    <w:rsid w:val="008A64BF"/>
    <w:rsid w:val="008A6512"/>
    <w:rsid w:val="008A65BF"/>
    <w:rsid w:val="008A679B"/>
    <w:rsid w:val="008A67E5"/>
    <w:rsid w:val="008A6EC5"/>
    <w:rsid w:val="008A71D5"/>
    <w:rsid w:val="008B01C9"/>
    <w:rsid w:val="008B05B6"/>
    <w:rsid w:val="008B0887"/>
    <w:rsid w:val="008B0999"/>
    <w:rsid w:val="008B0C2D"/>
    <w:rsid w:val="008B0F85"/>
    <w:rsid w:val="008B1D88"/>
    <w:rsid w:val="008B2022"/>
    <w:rsid w:val="008B2DB0"/>
    <w:rsid w:val="008B3861"/>
    <w:rsid w:val="008B4335"/>
    <w:rsid w:val="008B4654"/>
    <w:rsid w:val="008B4FFA"/>
    <w:rsid w:val="008B50E4"/>
    <w:rsid w:val="008B5A2A"/>
    <w:rsid w:val="008B5F5C"/>
    <w:rsid w:val="008B697E"/>
    <w:rsid w:val="008B6B42"/>
    <w:rsid w:val="008B7B68"/>
    <w:rsid w:val="008C0009"/>
    <w:rsid w:val="008C0A18"/>
    <w:rsid w:val="008C0BC7"/>
    <w:rsid w:val="008C0C8E"/>
    <w:rsid w:val="008C0CA6"/>
    <w:rsid w:val="008C0F46"/>
    <w:rsid w:val="008C1186"/>
    <w:rsid w:val="008C1469"/>
    <w:rsid w:val="008C174B"/>
    <w:rsid w:val="008C18CB"/>
    <w:rsid w:val="008C1982"/>
    <w:rsid w:val="008C1A4B"/>
    <w:rsid w:val="008C2E5E"/>
    <w:rsid w:val="008C305E"/>
    <w:rsid w:val="008C3EAD"/>
    <w:rsid w:val="008C3F48"/>
    <w:rsid w:val="008C4234"/>
    <w:rsid w:val="008C4873"/>
    <w:rsid w:val="008C4B58"/>
    <w:rsid w:val="008C4D9D"/>
    <w:rsid w:val="008C5196"/>
    <w:rsid w:val="008C59E2"/>
    <w:rsid w:val="008C5A5A"/>
    <w:rsid w:val="008C5B5C"/>
    <w:rsid w:val="008C5B7F"/>
    <w:rsid w:val="008C616A"/>
    <w:rsid w:val="008C620A"/>
    <w:rsid w:val="008C62AC"/>
    <w:rsid w:val="008C678A"/>
    <w:rsid w:val="008C6D79"/>
    <w:rsid w:val="008C79A2"/>
    <w:rsid w:val="008C7DAA"/>
    <w:rsid w:val="008C7E1C"/>
    <w:rsid w:val="008D0052"/>
    <w:rsid w:val="008D01AA"/>
    <w:rsid w:val="008D0499"/>
    <w:rsid w:val="008D08CB"/>
    <w:rsid w:val="008D090A"/>
    <w:rsid w:val="008D0D8F"/>
    <w:rsid w:val="008D1F5E"/>
    <w:rsid w:val="008D2C88"/>
    <w:rsid w:val="008D3039"/>
    <w:rsid w:val="008D3305"/>
    <w:rsid w:val="008D331C"/>
    <w:rsid w:val="008D35EF"/>
    <w:rsid w:val="008D3B1D"/>
    <w:rsid w:val="008D3BB7"/>
    <w:rsid w:val="008D3D36"/>
    <w:rsid w:val="008D4958"/>
    <w:rsid w:val="008D5254"/>
    <w:rsid w:val="008D5D4D"/>
    <w:rsid w:val="008D7233"/>
    <w:rsid w:val="008D796F"/>
    <w:rsid w:val="008D7BED"/>
    <w:rsid w:val="008E0900"/>
    <w:rsid w:val="008E1E2F"/>
    <w:rsid w:val="008E21BF"/>
    <w:rsid w:val="008E2385"/>
    <w:rsid w:val="008E2456"/>
    <w:rsid w:val="008E2AF7"/>
    <w:rsid w:val="008E2B45"/>
    <w:rsid w:val="008E2D9C"/>
    <w:rsid w:val="008E3B76"/>
    <w:rsid w:val="008E418C"/>
    <w:rsid w:val="008E4880"/>
    <w:rsid w:val="008E5061"/>
    <w:rsid w:val="008E5436"/>
    <w:rsid w:val="008E555E"/>
    <w:rsid w:val="008E5709"/>
    <w:rsid w:val="008E5AEC"/>
    <w:rsid w:val="008E5B03"/>
    <w:rsid w:val="008E60E3"/>
    <w:rsid w:val="008E655E"/>
    <w:rsid w:val="008E6883"/>
    <w:rsid w:val="008E6E48"/>
    <w:rsid w:val="008E7227"/>
    <w:rsid w:val="008E76AD"/>
    <w:rsid w:val="008E7B07"/>
    <w:rsid w:val="008E7D6C"/>
    <w:rsid w:val="008E7DFB"/>
    <w:rsid w:val="008F0000"/>
    <w:rsid w:val="008F0811"/>
    <w:rsid w:val="008F0AF9"/>
    <w:rsid w:val="008F0C95"/>
    <w:rsid w:val="008F0D06"/>
    <w:rsid w:val="008F139E"/>
    <w:rsid w:val="008F1C48"/>
    <w:rsid w:val="008F1CA0"/>
    <w:rsid w:val="008F1ED3"/>
    <w:rsid w:val="008F22EB"/>
    <w:rsid w:val="008F2988"/>
    <w:rsid w:val="008F2D84"/>
    <w:rsid w:val="008F2F5A"/>
    <w:rsid w:val="008F32F1"/>
    <w:rsid w:val="008F3641"/>
    <w:rsid w:val="008F383A"/>
    <w:rsid w:val="008F3E48"/>
    <w:rsid w:val="008F47EF"/>
    <w:rsid w:val="008F4836"/>
    <w:rsid w:val="008F50DE"/>
    <w:rsid w:val="008F5261"/>
    <w:rsid w:val="008F5E38"/>
    <w:rsid w:val="008F6237"/>
    <w:rsid w:val="008F6679"/>
    <w:rsid w:val="008F6E06"/>
    <w:rsid w:val="008F7A30"/>
    <w:rsid w:val="008F7A71"/>
    <w:rsid w:val="008F7B72"/>
    <w:rsid w:val="008F7BBA"/>
    <w:rsid w:val="008F7DB9"/>
    <w:rsid w:val="00900094"/>
    <w:rsid w:val="009008F4"/>
    <w:rsid w:val="00900B16"/>
    <w:rsid w:val="00900BDD"/>
    <w:rsid w:val="00900FC2"/>
    <w:rsid w:val="009011CC"/>
    <w:rsid w:val="009014C8"/>
    <w:rsid w:val="0090198E"/>
    <w:rsid w:val="00901F09"/>
    <w:rsid w:val="00902051"/>
    <w:rsid w:val="0090211A"/>
    <w:rsid w:val="009024FE"/>
    <w:rsid w:val="009025CB"/>
    <w:rsid w:val="00902840"/>
    <w:rsid w:val="00902AF6"/>
    <w:rsid w:val="00902E11"/>
    <w:rsid w:val="00903134"/>
    <w:rsid w:val="009039B8"/>
    <w:rsid w:val="00903B22"/>
    <w:rsid w:val="00903F27"/>
    <w:rsid w:val="0090478E"/>
    <w:rsid w:val="00904AE3"/>
    <w:rsid w:val="009053C6"/>
    <w:rsid w:val="00906B8A"/>
    <w:rsid w:val="00906C08"/>
    <w:rsid w:val="00906E4F"/>
    <w:rsid w:val="00907D0E"/>
    <w:rsid w:val="009101D7"/>
    <w:rsid w:val="009106BB"/>
    <w:rsid w:val="009108D1"/>
    <w:rsid w:val="00910A65"/>
    <w:rsid w:val="00910DB5"/>
    <w:rsid w:val="009111C8"/>
    <w:rsid w:val="00911368"/>
    <w:rsid w:val="009114D3"/>
    <w:rsid w:val="009116C0"/>
    <w:rsid w:val="00911E56"/>
    <w:rsid w:val="009122EF"/>
    <w:rsid w:val="0091285D"/>
    <w:rsid w:val="00912C44"/>
    <w:rsid w:val="00912F27"/>
    <w:rsid w:val="00913202"/>
    <w:rsid w:val="009133D9"/>
    <w:rsid w:val="009142FA"/>
    <w:rsid w:val="00914BCF"/>
    <w:rsid w:val="00914E24"/>
    <w:rsid w:val="009155D1"/>
    <w:rsid w:val="00915859"/>
    <w:rsid w:val="009162ED"/>
    <w:rsid w:val="00917180"/>
    <w:rsid w:val="00917655"/>
    <w:rsid w:val="00917A0A"/>
    <w:rsid w:val="00917A70"/>
    <w:rsid w:val="00920B73"/>
    <w:rsid w:val="009211EF"/>
    <w:rsid w:val="00921688"/>
    <w:rsid w:val="0092180D"/>
    <w:rsid w:val="00921A25"/>
    <w:rsid w:val="00921A36"/>
    <w:rsid w:val="00922599"/>
    <w:rsid w:val="009227EC"/>
    <w:rsid w:val="00922822"/>
    <w:rsid w:val="009228A2"/>
    <w:rsid w:val="009228B7"/>
    <w:rsid w:val="00923B4B"/>
    <w:rsid w:val="00923F29"/>
    <w:rsid w:val="00924658"/>
    <w:rsid w:val="00925482"/>
    <w:rsid w:val="009256BF"/>
    <w:rsid w:val="009258C7"/>
    <w:rsid w:val="0092603D"/>
    <w:rsid w:val="00926069"/>
    <w:rsid w:val="00926945"/>
    <w:rsid w:val="00927DF5"/>
    <w:rsid w:val="00930A2B"/>
    <w:rsid w:val="00932064"/>
    <w:rsid w:val="00932658"/>
    <w:rsid w:val="009330B7"/>
    <w:rsid w:val="009334DC"/>
    <w:rsid w:val="009338D0"/>
    <w:rsid w:val="00933AF0"/>
    <w:rsid w:val="00933B00"/>
    <w:rsid w:val="00933F6A"/>
    <w:rsid w:val="00934DEC"/>
    <w:rsid w:val="00935C7B"/>
    <w:rsid w:val="00936191"/>
    <w:rsid w:val="0093660D"/>
    <w:rsid w:val="0093725C"/>
    <w:rsid w:val="00937C7C"/>
    <w:rsid w:val="009407E5"/>
    <w:rsid w:val="0094166D"/>
    <w:rsid w:val="009417CF"/>
    <w:rsid w:val="00941A1C"/>
    <w:rsid w:val="00941C0F"/>
    <w:rsid w:val="00941E74"/>
    <w:rsid w:val="009422F9"/>
    <w:rsid w:val="009427C6"/>
    <w:rsid w:val="00942E14"/>
    <w:rsid w:val="00943302"/>
    <w:rsid w:val="00943CB0"/>
    <w:rsid w:val="00943EB8"/>
    <w:rsid w:val="009444D2"/>
    <w:rsid w:val="00944BED"/>
    <w:rsid w:val="009454B8"/>
    <w:rsid w:val="009455C7"/>
    <w:rsid w:val="00945DA3"/>
    <w:rsid w:val="00945DC0"/>
    <w:rsid w:val="009463A0"/>
    <w:rsid w:val="00946C18"/>
    <w:rsid w:val="00947852"/>
    <w:rsid w:val="009504ED"/>
    <w:rsid w:val="009504F3"/>
    <w:rsid w:val="00950F14"/>
    <w:rsid w:val="0095131A"/>
    <w:rsid w:val="009513CA"/>
    <w:rsid w:val="00952B27"/>
    <w:rsid w:val="00952EF1"/>
    <w:rsid w:val="009536A5"/>
    <w:rsid w:val="00953891"/>
    <w:rsid w:val="00953F6A"/>
    <w:rsid w:val="00954130"/>
    <w:rsid w:val="00954B24"/>
    <w:rsid w:val="009554C6"/>
    <w:rsid w:val="0095671F"/>
    <w:rsid w:val="00960305"/>
    <w:rsid w:val="00960314"/>
    <w:rsid w:val="009605AA"/>
    <w:rsid w:val="00961D6C"/>
    <w:rsid w:val="00961E50"/>
    <w:rsid w:val="0096202C"/>
    <w:rsid w:val="0096205E"/>
    <w:rsid w:val="0096267E"/>
    <w:rsid w:val="00962CE3"/>
    <w:rsid w:val="00962DA9"/>
    <w:rsid w:val="00962E32"/>
    <w:rsid w:val="009631EB"/>
    <w:rsid w:val="00963336"/>
    <w:rsid w:val="0096387E"/>
    <w:rsid w:val="00963C36"/>
    <w:rsid w:val="00963ED5"/>
    <w:rsid w:val="009641EA"/>
    <w:rsid w:val="0096523D"/>
    <w:rsid w:val="0096563E"/>
    <w:rsid w:val="009666A3"/>
    <w:rsid w:val="00966B14"/>
    <w:rsid w:val="00966F6E"/>
    <w:rsid w:val="00966FC5"/>
    <w:rsid w:val="009679D6"/>
    <w:rsid w:val="00967BDB"/>
    <w:rsid w:val="00970933"/>
    <w:rsid w:val="009709B8"/>
    <w:rsid w:val="00971DD0"/>
    <w:rsid w:val="00971E81"/>
    <w:rsid w:val="00971FBC"/>
    <w:rsid w:val="009728CC"/>
    <w:rsid w:val="00972A11"/>
    <w:rsid w:val="00973037"/>
    <w:rsid w:val="00973738"/>
    <w:rsid w:val="00973850"/>
    <w:rsid w:val="00974410"/>
    <w:rsid w:val="009745F5"/>
    <w:rsid w:val="00974985"/>
    <w:rsid w:val="009757EE"/>
    <w:rsid w:val="0097588B"/>
    <w:rsid w:val="009762CE"/>
    <w:rsid w:val="00976436"/>
    <w:rsid w:val="00976507"/>
    <w:rsid w:val="0097659D"/>
    <w:rsid w:val="00976662"/>
    <w:rsid w:val="0097681F"/>
    <w:rsid w:val="00976935"/>
    <w:rsid w:val="00976ADC"/>
    <w:rsid w:val="00976BB2"/>
    <w:rsid w:val="00976CAB"/>
    <w:rsid w:val="00976E40"/>
    <w:rsid w:val="00977A2E"/>
    <w:rsid w:val="00977E0E"/>
    <w:rsid w:val="00977FFA"/>
    <w:rsid w:val="009803F2"/>
    <w:rsid w:val="0098048D"/>
    <w:rsid w:val="00980A40"/>
    <w:rsid w:val="00980E84"/>
    <w:rsid w:val="00980F4E"/>
    <w:rsid w:val="00980F58"/>
    <w:rsid w:val="00981E0C"/>
    <w:rsid w:val="0098209C"/>
    <w:rsid w:val="009825E9"/>
    <w:rsid w:val="0098275A"/>
    <w:rsid w:val="009827BD"/>
    <w:rsid w:val="00982BA1"/>
    <w:rsid w:val="0098376B"/>
    <w:rsid w:val="009837CE"/>
    <w:rsid w:val="009838F7"/>
    <w:rsid w:val="00983B2B"/>
    <w:rsid w:val="00983E61"/>
    <w:rsid w:val="00984AE9"/>
    <w:rsid w:val="00984B2F"/>
    <w:rsid w:val="00984F4A"/>
    <w:rsid w:val="00985071"/>
    <w:rsid w:val="00985A8E"/>
    <w:rsid w:val="00985ED2"/>
    <w:rsid w:val="009868DC"/>
    <w:rsid w:val="00986F3B"/>
    <w:rsid w:val="00986FF3"/>
    <w:rsid w:val="00987752"/>
    <w:rsid w:val="00987BA4"/>
    <w:rsid w:val="00987F27"/>
    <w:rsid w:val="00990A7D"/>
    <w:rsid w:val="00990C5B"/>
    <w:rsid w:val="00992463"/>
    <w:rsid w:val="009929C3"/>
    <w:rsid w:val="00992E85"/>
    <w:rsid w:val="0099392D"/>
    <w:rsid w:val="00993B3B"/>
    <w:rsid w:val="009942D6"/>
    <w:rsid w:val="00994739"/>
    <w:rsid w:val="0099549D"/>
    <w:rsid w:val="00995952"/>
    <w:rsid w:val="00995D16"/>
    <w:rsid w:val="00996420"/>
    <w:rsid w:val="00996B5A"/>
    <w:rsid w:val="00996D2B"/>
    <w:rsid w:val="009970D3"/>
    <w:rsid w:val="00997198"/>
    <w:rsid w:val="00997692"/>
    <w:rsid w:val="009A004E"/>
    <w:rsid w:val="009A05CF"/>
    <w:rsid w:val="009A0937"/>
    <w:rsid w:val="009A0B70"/>
    <w:rsid w:val="009A0CAC"/>
    <w:rsid w:val="009A13C2"/>
    <w:rsid w:val="009A1E66"/>
    <w:rsid w:val="009A2145"/>
    <w:rsid w:val="009A2524"/>
    <w:rsid w:val="009A2F4B"/>
    <w:rsid w:val="009A33A7"/>
    <w:rsid w:val="009A36C6"/>
    <w:rsid w:val="009A38FA"/>
    <w:rsid w:val="009A4344"/>
    <w:rsid w:val="009A43C5"/>
    <w:rsid w:val="009A459C"/>
    <w:rsid w:val="009A5A9E"/>
    <w:rsid w:val="009A65E2"/>
    <w:rsid w:val="009A6777"/>
    <w:rsid w:val="009A69DC"/>
    <w:rsid w:val="009A72C0"/>
    <w:rsid w:val="009A7DC0"/>
    <w:rsid w:val="009B07D2"/>
    <w:rsid w:val="009B0C30"/>
    <w:rsid w:val="009B1350"/>
    <w:rsid w:val="009B13D0"/>
    <w:rsid w:val="009B144D"/>
    <w:rsid w:val="009B1477"/>
    <w:rsid w:val="009B247B"/>
    <w:rsid w:val="009B2940"/>
    <w:rsid w:val="009B2AB8"/>
    <w:rsid w:val="009B361C"/>
    <w:rsid w:val="009B3963"/>
    <w:rsid w:val="009B41DB"/>
    <w:rsid w:val="009B4A78"/>
    <w:rsid w:val="009B4ABB"/>
    <w:rsid w:val="009B592C"/>
    <w:rsid w:val="009B5BDA"/>
    <w:rsid w:val="009B5D2E"/>
    <w:rsid w:val="009B5FB2"/>
    <w:rsid w:val="009B5FFC"/>
    <w:rsid w:val="009B723D"/>
    <w:rsid w:val="009B7370"/>
    <w:rsid w:val="009B7407"/>
    <w:rsid w:val="009B7839"/>
    <w:rsid w:val="009B79A2"/>
    <w:rsid w:val="009B7BB7"/>
    <w:rsid w:val="009B7DB2"/>
    <w:rsid w:val="009C01E7"/>
    <w:rsid w:val="009C0816"/>
    <w:rsid w:val="009C0888"/>
    <w:rsid w:val="009C1122"/>
    <w:rsid w:val="009C13CF"/>
    <w:rsid w:val="009C15A1"/>
    <w:rsid w:val="009C17AA"/>
    <w:rsid w:val="009C1A32"/>
    <w:rsid w:val="009C1C6A"/>
    <w:rsid w:val="009C265A"/>
    <w:rsid w:val="009C2FA6"/>
    <w:rsid w:val="009C339F"/>
    <w:rsid w:val="009C4030"/>
    <w:rsid w:val="009C4CAC"/>
    <w:rsid w:val="009C50FA"/>
    <w:rsid w:val="009C51AD"/>
    <w:rsid w:val="009C641A"/>
    <w:rsid w:val="009C65AF"/>
    <w:rsid w:val="009C7625"/>
    <w:rsid w:val="009C7BE6"/>
    <w:rsid w:val="009C7CED"/>
    <w:rsid w:val="009D1536"/>
    <w:rsid w:val="009D1EEB"/>
    <w:rsid w:val="009D1F57"/>
    <w:rsid w:val="009D20B8"/>
    <w:rsid w:val="009D20DE"/>
    <w:rsid w:val="009D214D"/>
    <w:rsid w:val="009D23FA"/>
    <w:rsid w:val="009D3305"/>
    <w:rsid w:val="009D3744"/>
    <w:rsid w:val="009D377D"/>
    <w:rsid w:val="009D3786"/>
    <w:rsid w:val="009D39C6"/>
    <w:rsid w:val="009D3A89"/>
    <w:rsid w:val="009D3B33"/>
    <w:rsid w:val="009D4950"/>
    <w:rsid w:val="009D4ABF"/>
    <w:rsid w:val="009D5507"/>
    <w:rsid w:val="009D57E3"/>
    <w:rsid w:val="009D59AE"/>
    <w:rsid w:val="009D5C6B"/>
    <w:rsid w:val="009D60DF"/>
    <w:rsid w:val="009D6412"/>
    <w:rsid w:val="009D6CEA"/>
    <w:rsid w:val="009D6DF5"/>
    <w:rsid w:val="009D6E6D"/>
    <w:rsid w:val="009D73CF"/>
    <w:rsid w:val="009D7879"/>
    <w:rsid w:val="009D7AFA"/>
    <w:rsid w:val="009D7C4D"/>
    <w:rsid w:val="009D7CBF"/>
    <w:rsid w:val="009E01AB"/>
    <w:rsid w:val="009E029B"/>
    <w:rsid w:val="009E0614"/>
    <w:rsid w:val="009E0F49"/>
    <w:rsid w:val="009E1188"/>
    <w:rsid w:val="009E16D2"/>
    <w:rsid w:val="009E179B"/>
    <w:rsid w:val="009E1866"/>
    <w:rsid w:val="009E1C34"/>
    <w:rsid w:val="009E26F5"/>
    <w:rsid w:val="009E29CB"/>
    <w:rsid w:val="009E3134"/>
    <w:rsid w:val="009E33FB"/>
    <w:rsid w:val="009E37D6"/>
    <w:rsid w:val="009E3C5A"/>
    <w:rsid w:val="009E3E7D"/>
    <w:rsid w:val="009E4393"/>
    <w:rsid w:val="009E44A7"/>
    <w:rsid w:val="009E4802"/>
    <w:rsid w:val="009E4B69"/>
    <w:rsid w:val="009E4E86"/>
    <w:rsid w:val="009E4EFF"/>
    <w:rsid w:val="009E5555"/>
    <w:rsid w:val="009E58D7"/>
    <w:rsid w:val="009E5B28"/>
    <w:rsid w:val="009E5EE0"/>
    <w:rsid w:val="009E61A9"/>
    <w:rsid w:val="009E629C"/>
    <w:rsid w:val="009E691E"/>
    <w:rsid w:val="009E6C4F"/>
    <w:rsid w:val="009E70FF"/>
    <w:rsid w:val="009E71F0"/>
    <w:rsid w:val="009E75F5"/>
    <w:rsid w:val="009E7ED3"/>
    <w:rsid w:val="009E7F26"/>
    <w:rsid w:val="009F04B8"/>
    <w:rsid w:val="009F0BA5"/>
    <w:rsid w:val="009F0CCC"/>
    <w:rsid w:val="009F18ED"/>
    <w:rsid w:val="009F3097"/>
    <w:rsid w:val="009F3221"/>
    <w:rsid w:val="009F32C5"/>
    <w:rsid w:val="009F3808"/>
    <w:rsid w:val="009F3C95"/>
    <w:rsid w:val="009F40F0"/>
    <w:rsid w:val="009F4B84"/>
    <w:rsid w:val="009F4E42"/>
    <w:rsid w:val="009F5009"/>
    <w:rsid w:val="009F572A"/>
    <w:rsid w:val="009F5FD7"/>
    <w:rsid w:val="009F6046"/>
    <w:rsid w:val="009F61AC"/>
    <w:rsid w:val="009F63ED"/>
    <w:rsid w:val="009F6B38"/>
    <w:rsid w:val="009F7415"/>
    <w:rsid w:val="009F7549"/>
    <w:rsid w:val="009F76A6"/>
    <w:rsid w:val="009F7A4B"/>
    <w:rsid w:val="00A01484"/>
    <w:rsid w:val="00A01817"/>
    <w:rsid w:val="00A01873"/>
    <w:rsid w:val="00A01BDD"/>
    <w:rsid w:val="00A03029"/>
    <w:rsid w:val="00A03183"/>
    <w:rsid w:val="00A0325C"/>
    <w:rsid w:val="00A0370A"/>
    <w:rsid w:val="00A037AF"/>
    <w:rsid w:val="00A04DFF"/>
    <w:rsid w:val="00A052AD"/>
    <w:rsid w:val="00A052E0"/>
    <w:rsid w:val="00A05312"/>
    <w:rsid w:val="00A05734"/>
    <w:rsid w:val="00A05AED"/>
    <w:rsid w:val="00A05F55"/>
    <w:rsid w:val="00A06279"/>
    <w:rsid w:val="00A06497"/>
    <w:rsid w:val="00A066CB"/>
    <w:rsid w:val="00A07139"/>
    <w:rsid w:val="00A07F0D"/>
    <w:rsid w:val="00A11187"/>
    <w:rsid w:val="00A1142D"/>
    <w:rsid w:val="00A119F6"/>
    <w:rsid w:val="00A12DF0"/>
    <w:rsid w:val="00A13619"/>
    <w:rsid w:val="00A1387C"/>
    <w:rsid w:val="00A139C9"/>
    <w:rsid w:val="00A13A14"/>
    <w:rsid w:val="00A13A70"/>
    <w:rsid w:val="00A13D1F"/>
    <w:rsid w:val="00A1495D"/>
    <w:rsid w:val="00A15348"/>
    <w:rsid w:val="00A1622E"/>
    <w:rsid w:val="00A16C3F"/>
    <w:rsid w:val="00A1755A"/>
    <w:rsid w:val="00A17617"/>
    <w:rsid w:val="00A178DC"/>
    <w:rsid w:val="00A17BB5"/>
    <w:rsid w:val="00A200F6"/>
    <w:rsid w:val="00A201C3"/>
    <w:rsid w:val="00A20484"/>
    <w:rsid w:val="00A20AB4"/>
    <w:rsid w:val="00A20B84"/>
    <w:rsid w:val="00A20C01"/>
    <w:rsid w:val="00A20D83"/>
    <w:rsid w:val="00A21212"/>
    <w:rsid w:val="00A21997"/>
    <w:rsid w:val="00A21FA6"/>
    <w:rsid w:val="00A22051"/>
    <w:rsid w:val="00A221A2"/>
    <w:rsid w:val="00A2259F"/>
    <w:rsid w:val="00A22F1A"/>
    <w:rsid w:val="00A23007"/>
    <w:rsid w:val="00A23482"/>
    <w:rsid w:val="00A2380C"/>
    <w:rsid w:val="00A2387A"/>
    <w:rsid w:val="00A23D80"/>
    <w:rsid w:val="00A24079"/>
    <w:rsid w:val="00A242C2"/>
    <w:rsid w:val="00A2470D"/>
    <w:rsid w:val="00A2488D"/>
    <w:rsid w:val="00A249D1"/>
    <w:rsid w:val="00A24BE5"/>
    <w:rsid w:val="00A25279"/>
    <w:rsid w:val="00A252CD"/>
    <w:rsid w:val="00A2569E"/>
    <w:rsid w:val="00A267B9"/>
    <w:rsid w:val="00A26CBC"/>
    <w:rsid w:val="00A27CBA"/>
    <w:rsid w:val="00A27F9F"/>
    <w:rsid w:val="00A30B1B"/>
    <w:rsid w:val="00A3114D"/>
    <w:rsid w:val="00A312C7"/>
    <w:rsid w:val="00A316F8"/>
    <w:rsid w:val="00A32345"/>
    <w:rsid w:val="00A324F0"/>
    <w:rsid w:val="00A327A3"/>
    <w:rsid w:val="00A3353D"/>
    <w:rsid w:val="00A337DA"/>
    <w:rsid w:val="00A33965"/>
    <w:rsid w:val="00A33A34"/>
    <w:rsid w:val="00A33C6D"/>
    <w:rsid w:val="00A33EAC"/>
    <w:rsid w:val="00A33ECA"/>
    <w:rsid w:val="00A344AF"/>
    <w:rsid w:val="00A34CDB"/>
    <w:rsid w:val="00A34E32"/>
    <w:rsid w:val="00A34E47"/>
    <w:rsid w:val="00A352CA"/>
    <w:rsid w:val="00A353A7"/>
    <w:rsid w:val="00A3563F"/>
    <w:rsid w:val="00A35DDC"/>
    <w:rsid w:val="00A36F7D"/>
    <w:rsid w:val="00A372D9"/>
    <w:rsid w:val="00A37326"/>
    <w:rsid w:val="00A3754A"/>
    <w:rsid w:val="00A378DD"/>
    <w:rsid w:val="00A37D20"/>
    <w:rsid w:val="00A37DBA"/>
    <w:rsid w:val="00A40171"/>
    <w:rsid w:val="00A4062E"/>
    <w:rsid w:val="00A40688"/>
    <w:rsid w:val="00A409D3"/>
    <w:rsid w:val="00A40F56"/>
    <w:rsid w:val="00A41410"/>
    <w:rsid w:val="00A41B84"/>
    <w:rsid w:val="00A41D18"/>
    <w:rsid w:val="00A4215C"/>
    <w:rsid w:val="00A42274"/>
    <w:rsid w:val="00A42451"/>
    <w:rsid w:val="00A42628"/>
    <w:rsid w:val="00A42987"/>
    <w:rsid w:val="00A42B9E"/>
    <w:rsid w:val="00A42C95"/>
    <w:rsid w:val="00A42F26"/>
    <w:rsid w:val="00A43332"/>
    <w:rsid w:val="00A4398F"/>
    <w:rsid w:val="00A441B6"/>
    <w:rsid w:val="00A44BCF"/>
    <w:rsid w:val="00A45130"/>
    <w:rsid w:val="00A4568F"/>
    <w:rsid w:val="00A459B3"/>
    <w:rsid w:val="00A468B5"/>
    <w:rsid w:val="00A469C1"/>
    <w:rsid w:val="00A47166"/>
    <w:rsid w:val="00A47763"/>
    <w:rsid w:val="00A47891"/>
    <w:rsid w:val="00A505EC"/>
    <w:rsid w:val="00A513ED"/>
    <w:rsid w:val="00A517EE"/>
    <w:rsid w:val="00A52605"/>
    <w:rsid w:val="00A52DCE"/>
    <w:rsid w:val="00A538F8"/>
    <w:rsid w:val="00A53F85"/>
    <w:rsid w:val="00A540B2"/>
    <w:rsid w:val="00A544A7"/>
    <w:rsid w:val="00A55272"/>
    <w:rsid w:val="00A55760"/>
    <w:rsid w:val="00A55F79"/>
    <w:rsid w:val="00A55FBD"/>
    <w:rsid w:val="00A56460"/>
    <w:rsid w:val="00A5712C"/>
    <w:rsid w:val="00A573E2"/>
    <w:rsid w:val="00A61052"/>
    <w:rsid w:val="00A6106C"/>
    <w:rsid w:val="00A61453"/>
    <w:rsid w:val="00A61798"/>
    <w:rsid w:val="00A61864"/>
    <w:rsid w:val="00A61E85"/>
    <w:rsid w:val="00A62449"/>
    <w:rsid w:val="00A633B2"/>
    <w:rsid w:val="00A6363A"/>
    <w:rsid w:val="00A63BC4"/>
    <w:rsid w:val="00A63E3E"/>
    <w:rsid w:val="00A63EF2"/>
    <w:rsid w:val="00A64148"/>
    <w:rsid w:val="00A64726"/>
    <w:rsid w:val="00A64973"/>
    <w:rsid w:val="00A64B6E"/>
    <w:rsid w:val="00A6501D"/>
    <w:rsid w:val="00A657B6"/>
    <w:rsid w:val="00A659F6"/>
    <w:rsid w:val="00A65B19"/>
    <w:rsid w:val="00A65D04"/>
    <w:rsid w:val="00A664B5"/>
    <w:rsid w:val="00A668CD"/>
    <w:rsid w:val="00A66AE4"/>
    <w:rsid w:val="00A66C60"/>
    <w:rsid w:val="00A66C8D"/>
    <w:rsid w:val="00A66C9E"/>
    <w:rsid w:val="00A670DD"/>
    <w:rsid w:val="00A67205"/>
    <w:rsid w:val="00A67D7A"/>
    <w:rsid w:val="00A67E8E"/>
    <w:rsid w:val="00A70849"/>
    <w:rsid w:val="00A70C6A"/>
    <w:rsid w:val="00A71703"/>
    <w:rsid w:val="00A71758"/>
    <w:rsid w:val="00A7189F"/>
    <w:rsid w:val="00A71C7D"/>
    <w:rsid w:val="00A71EB7"/>
    <w:rsid w:val="00A7289C"/>
    <w:rsid w:val="00A72D6D"/>
    <w:rsid w:val="00A72EF2"/>
    <w:rsid w:val="00A73B00"/>
    <w:rsid w:val="00A73C91"/>
    <w:rsid w:val="00A73F9A"/>
    <w:rsid w:val="00A7440D"/>
    <w:rsid w:val="00A7443F"/>
    <w:rsid w:val="00A74955"/>
    <w:rsid w:val="00A74969"/>
    <w:rsid w:val="00A74D87"/>
    <w:rsid w:val="00A74DD7"/>
    <w:rsid w:val="00A756C8"/>
    <w:rsid w:val="00A76016"/>
    <w:rsid w:val="00A76248"/>
    <w:rsid w:val="00A76712"/>
    <w:rsid w:val="00A76BD3"/>
    <w:rsid w:val="00A7703C"/>
    <w:rsid w:val="00A77A00"/>
    <w:rsid w:val="00A77B25"/>
    <w:rsid w:val="00A800A4"/>
    <w:rsid w:val="00A80111"/>
    <w:rsid w:val="00A813B5"/>
    <w:rsid w:val="00A82832"/>
    <w:rsid w:val="00A8327D"/>
    <w:rsid w:val="00A832E9"/>
    <w:rsid w:val="00A83F2E"/>
    <w:rsid w:val="00A84217"/>
    <w:rsid w:val="00A8474F"/>
    <w:rsid w:val="00A848D3"/>
    <w:rsid w:val="00A84978"/>
    <w:rsid w:val="00A84D07"/>
    <w:rsid w:val="00A84F4A"/>
    <w:rsid w:val="00A85D55"/>
    <w:rsid w:val="00A85EA5"/>
    <w:rsid w:val="00A861B5"/>
    <w:rsid w:val="00A86541"/>
    <w:rsid w:val="00A86639"/>
    <w:rsid w:val="00A86676"/>
    <w:rsid w:val="00A868DA"/>
    <w:rsid w:val="00A869FA"/>
    <w:rsid w:val="00A900CA"/>
    <w:rsid w:val="00A90152"/>
    <w:rsid w:val="00A90909"/>
    <w:rsid w:val="00A9143F"/>
    <w:rsid w:val="00A92316"/>
    <w:rsid w:val="00A926CD"/>
    <w:rsid w:val="00A929D2"/>
    <w:rsid w:val="00A92F8F"/>
    <w:rsid w:val="00A93950"/>
    <w:rsid w:val="00A93E78"/>
    <w:rsid w:val="00A940DD"/>
    <w:rsid w:val="00A944C2"/>
    <w:rsid w:val="00A94744"/>
    <w:rsid w:val="00A94CAA"/>
    <w:rsid w:val="00A950E7"/>
    <w:rsid w:val="00A9559D"/>
    <w:rsid w:val="00A95CCC"/>
    <w:rsid w:val="00A96189"/>
    <w:rsid w:val="00A9627D"/>
    <w:rsid w:val="00A963B3"/>
    <w:rsid w:val="00A9676E"/>
    <w:rsid w:val="00A970AB"/>
    <w:rsid w:val="00A97345"/>
    <w:rsid w:val="00A9745C"/>
    <w:rsid w:val="00A97494"/>
    <w:rsid w:val="00A97663"/>
    <w:rsid w:val="00A977D9"/>
    <w:rsid w:val="00A9796D"/>
    <w:rsid w:val="00AA06CC"/>
    <w:rsid w:val="00AA08E6"/>
    <w:rsid w:val="00AA0A04"/>
    <w:rsid w:val="00AA0AF4"/>
    <w:rsid w:val="00AA10FF"/>
    <w:rsid w:val="00AA120F"/>
    <w:rsid w:val="00AA127C"/>
    <w:rsid w:val="00AA14A7"/>
    <w:rsid w:val="00AA14EA"/>
    <w:rsid w:val="00AA19C3"/>
    <w:rsid w:val="00AA2268"/>
    <w:rsid w:val="00AA2580"/>
    <w:rsid w:val="00AA30A0"/>
    <w:rsid w:val="00AA33BA"/>
    <w:rsid w:val="00AA378D"/>
    <w:rsid w:val="00AA3A5B"/>
    <w:rsid w:val="00AA3AD2"/>
    <w:rsid w:val="00AA3D33"/>
    <w:rsid w:val="00AA3DDF"/>
    <w:rsid w:val="00AA3E98"/>
    <w:rsid w:val="00AA4305"/>
    <w:rsid w:val="00AA46DE"/>
    <w:rsid w:val="00AA55D9"/>
    <w:rsid w:val="00AA5924"/>
    <w:rsid w:val="00AA6338"/>
    <w:rsid w:val="00AA6DC1"/>
    <w:rsid w:val="00AA6E09"/>
    <w:rsid w:val="00AA7A76"/>
    <w:rsid w:val="00AB00F4"/>
    <w:rsid w:val="00AB0ABC"/>
    <w:rsid w:val="00AB0BD8"/>
    <w:rsid w:val="00AB0F50"/>
    <w:rsid w:val="00AB1271"/>
    <w:rsid w:val="00AB1474"/>
    <w:rsid w:val="00AB1516"/>
    <w:rsid w:val="00AB1C1F"/>
    <w:rsid w:val="00AB2603"/>
    <w:rsid w:val="00AB2939"/>
    <w:rsid w:val="00AB31D7"/>
    <w:rsid w:val="00AB3949"/>
    <w:rsid w:val="00AB3CCC"/>
    <w:rsid w:val="00AB4C10"/>
    <w:rsid w:val="00AB4D36"/>
    <w:rsid w:val="00AB519E"/>
    <w:rsid w:val="00AB51B7"/>
    <w:rsid w:val="00AB531D"/>
    <w:rsid w:val="00AB5496"/>
    <w:rsid w:val="00AB59F5"/>
    <w:rsid w:val="00AB5BE2"/>
    <w:rsid w:val="00AB645C"/>
    <w:rsid w:val="00AB6E55"/>
    <w:rsid w:val="00AB7AC0"/>
    <w:rsid w:val="00AB7EDF"/>
    <w:rsid w:val="00AC0284"/>
    <w:rsid w:val="00AC0968"/>
    <w:rsid w:val="00AC0C8C"/>
    <w:rsid w:val="00AC1833"/>
    <w:rsid w:val="00AC1978"/>
    <w:rsid w:val="00AC19D9"/>
    <w:rsid w:val="00AC277D"/>
    <w:rsid w:val="00AC2826"/>
    <w:rsid w:val="00AC2B5D"/>
    <w:rsid w:val="00AC2D36"/>
    <w:rsid w:val="00AC35E0"/>
    <w:rsid w:val="00AC36EA"/>
    <w:rsid w:val="00AC48C1"/>
    <w:rsid w:val="00AC4E79"/>
    <w:rsid w:val="00AC5228"/>
    <w:rsid w:val="00AC54C9"/>
    <w:rsid w:val="00AC584D"/>
    <w:rsid w:val="00AC5BA3"/>
    <w:rsid w:val="00AC5DF9"/>
    <w:rsid w:val="00AC5E8D"/>
    <w:rsid w:val="00AC640E"/>
    <w:rsid w:val="00AC6643"/>
    <w:rsid w:val="00AC695F"/>
    <w:rsid w:val="00AC6AEF"/>
    <w:rsid w:val="00AC6D42"/>
    <w:rsid w:val="00AC7071"/>
    <w:rsid w:val="00AC72FC"/>
    <w:rsid w:val="00AC7338"/>
    <w:rsid w:val="00AC75D2"/>
    <w:rsid w:val="00AC79B0"/>
    <w:rsid w:val="00AC7B11"/>
    <w:rsid w:val="00AD06F0"/>
    <w:rsid w:val="00AD0B83"/>
    <w:rsid w:val="00AD0DE0"/>
    <w:rsid w:val="00AD0EBD"/>
    <w:rsid w:val="00AD1627"/>
    <w:rsid w:val="00AD1EB1"/>
    <w:rsid w:val="00AD22A2"/>
    <w:rsid w:val="00AD2643"/>
    <w:rsid w:val="00AD3275"/>
    <w:rsid w:val="00AD4417"/>
    <w:rsid w:val="00AD481B"/>
    <w:rsid w:val="00AD4C3A"/>
    <w:rsid w:val="00AD4FFA"/>
    <w:rsid w:val="00AD50EB"/>
    <w:rsid w:val="00AD559D"/>
    <w:rsid w:val="00AD62B6"/>
    <w:rsid w:val="00AD64E7"/>
    <w:rsid w:val="00AD7157"/>
    <w:rsid w:val="00AD7A9A"/>
    <w:rsid w:val="00AD7D71"/>
    <w:rsid w:val="00AE07E8"/>
    <w:rsid w:val="00AE0BF4"/>
    <w:rsid w:val="00AE1642"/>
    <w:rsid w:val="00AE22A3"/>
    <w:rsid w:val="00AE23CE"/>
    <w:rsid w:val="00AE26B1"/>
    <w:rsid w:val="00AE297A"/>
    <w:rsid w:val="00AE2A07"/>
    <w:rsid w:val="00AE3012"/>
    <w:rsid w:val="00AE307D"/>
    <w:rsid w:val="00AE37FF"/>
    <w:rsid w:val="00AE47FC"/>
    <w:rsid w:val="00AE48DD"/>
    <w:rsid w:val="00AE4A53"/>
    <w:rsid w:val="00AE4AFE"/>
    <w:rsid w:val="00AE4D83"/>
    <w:rsid w:val="00AE4FBE"/>
    <w:rsid w:val="00AE4FCF"/>
    <w:rsid w:val="00AE536F"/>
    <w:rsid w:val="00AE5D56"/>
    <w:rsid w:val="00AE5F9F"/>
    <w:rsid w:val="00AE5FFF"/>
    <w:rsid w:val="00AE6871"/>
    <w:rsid w:val="00AE68E2"/>
    <w:rsid w:val="00AE697B"/>
    <w:rsid w:val="00AE6A72"/>
    <w:rsid w:val="00AE7338"/>
    <w:rsid w:val="00AE77D7"/>
    <w:rsid w:val="00AE7973"/>
    <w:rsid w:val="00AE7B42"/>
    <w:rsid w:val="00AE7DAB"/>
    <w:rsid w:val="00AF0399"/>
    <w:rsid w:val="00AF04B5"/>
    <w:rsid w:val="00AF06EC"/>
    <w:rsid w:val="00AF09AC"/>
    <w:rsid w:val="00AF0E3C"/>
    <w:rsid w:val="00AF1896"/>
    <w:rsid w:val="00AF1BAF"/>
    <w:rsid w:val="00AF22C2"/>
    <w:rsid w:val="00AF2515"/>
    <w:rsid w:val="00AF27E9"/>
    <w:rsid w:val="00AF2A37"/>
    <w:rsid w:val="00AF2F12"/>
    <w:rsid w:val="00AF32B9"/>
    <w:rsid w:val="00AF3853"/>
    <w:rsid w:val="00AF3E42"/>
    <w:rsid w:val="00AF4172"/>
    <w:rsid w:val="00AF46DC"/>
    <w:rsid w:val="00AF4941"/>
    <w:rsid w:val="00AF589C"/>
    <w:rsid w:val="00AF58ED"/>
    <w:rsid w:val="00AF5996"/>
    <w:rsid w:val="00AF5B8C"/>
    <w:rsid w:val="00AF6529"/>
    <w:rsid w:val="00AF6552"/>
    <w:rsid w:val="00AF6904"/>
    <w:rsid w:val="00AF6A65"/>
    <w:rsid w:val="00AF6A6C"/>
    <w:rsid w:val="00AF765F"/>
    <w:rsid w:val="00B002AA"/>
    <w:rsid w:val="00B00527"/>
    <w:rsid w:val="00B00602"/>
    <w:rsid w:val="00B00705"/>
    <w:rsid w:val="00B00BF1"/>
    <w:rsid w:val="00B01141"/>
    <w:rsid w:val="00B011C5"/>
    <w:rsid w:val="00B012FB"/>
    <w:rsid w:val="00B0176C"/>
    <w:rsid w:val="00B01D8D"/>
    <w:rsid w:val="00B02013"/>
    <w:rsid w:val="00B022EF"/>
    <w:rsid w:val="00B03D13"/>
    <w:rsid w:val="00B0424C"/>
    <w:rsid w:val="00B042DF"/>
    <w:rsid w:val="00B04D3A"/>
    <w:rsid w:val="00B052A8"/>
    <w:rsid w:val="00B059AA"/>
    <w:rsid w:val="00B05F69"/>
    <w:rsid w:val="00B0604D"/>
    <w:rsid w:val="00B06286"/>
    <w:rsid w:val="00B0655C"/>
    <w:rsid w:val="00B06715"/>
    <w:rsid w:val="00B06915"/>
    <w:rsid w:val="00B06B92"/>
    <w:rsid w:val="00B07694"/>
    <w:rsid w:val="00B07D78"/>
    <w:rsid w:val="00B07EBC"/>
    <w:rsid w:val="00B11172"/>
    <w:rsid w:val="00B113A1"/>
    <w:rsid w:val="00B118E1"/>
    <w:rsid w:val="00B1269E"/>
    <w:rsid w:val="00B12928"/>
    <w:rsid w:val="00B1294C"/>
    <w:rsid w:val="00B12AEA"/>
    <w:rsid w:val="00B12BD8"/>
    <w:rsid w:val="00B12E02"/>
    <w:rsid w:val="00B135AE"/>
    <w:rsid w:val="00B13792"/>
    <w:rsid w:val="00B138A3"/>
    <w:rsid w:val="00B13C6A"/>
    <w:rsid w:val="00B14D02"/>
    <w:rsid w:val="00B1508D"/>
    <w:rsid w:val="00B15F28"/>
    <w:rsid w:val="00B15F74"/>
    <w:rsid w:val="00B160E8"/>
    <w:rsid w:val="00B16174"/>
    <w:rsid w:val="00B16202"/>
    <w:rsid w:val="00B16222"/>
    <w:rsid w:val="00B16631"/>
    <w:rsid w:val="00B16FF2"/>
    <w:rsid w:val="00B17EF1"/>
    <w:rsid w:val="00B17FBB"/>
    <w:rsid w:val="00B200B6"/>
    <w:rsid w:val="00B202A4"/>
    <w:rsid w:val="00B205A3"/>
    <w:rsid w:val="00B2065E"/>
    <w:rsid w:val="00B20EB3"/>
    <w:rsid w:val="00B20ECF"/>
    <w:rsid w:val="00B20FCB"/>
    <w:rsid w:val="00B216EE"/>
    <w:rsid w:val="00B2279E"/>
    <w:rsid w:val="00B227CA"/>
    <w:rsid w:val="00B22C42"/>
    <w:rsid w:val="00B23B42"/>
    <w:rsid w:val="00B24176"/>
    <w:rsid w:val="00B242E7"/>
    <w:rsid w:val="00B24392"/>
    <w:rsid w:val="00B247CA"/>
    <w:rsid w:val="00B2498F"/>
    <w:rsid w:val="00B24C81"/>
    <w:rsid w:val="00B24D58"/>
    <w:rsid w:val="00B255EF"/>
    <w:rsid w:val="00B25961"/>
    <w:rsid w:val="00B2651E"/>
    <w:rsid w:val="00B2670B"/>
    <w:rsid w:val="00B26A9C"/>
    <w:rsid w:val="00B26E33"/>
    <w:rsid w:val="00B27651"/>
    <w:rsid w:val="00B27728"/>
    <w:rsid w:val="00B30680"/>
    <w:rsid w:val="00B30C7B"/>
    <w:rsid w:val="00B310DD"/>
    <w:rsid w:val="00B31389"/>
    <w:rsid w:val="00B31668"/>
    <w:rsid w:val="00B317DE"/>
    <w:rsid w:val="00B3231F"/>
    <w:rsid w:val="00B32527"/>
    <w:rsid w:val="00B32C88"/>
    <w:rsid w:val="00B331FC"/>
    <w:rsid w:val="00B334E9"/>
    <w:rsid w:val="00B33A4A"/>
    <w:rsid w:val="00B3411A"/>
    <w:rsid w:val="00B345F9"/>
    <w:rsid w:val="00B34F35"/>
    <w:rsid w:val="00B34F87"/>
    <w:rsid w:val="00B35046"/>
    <w:rsid w:val="00B35429"/>
    <w:rsid w:val="00B35832"/>
    <w:rsid w:val="00B363C0"/>
    <w:rsid w:val="00B36A99"/>
    <w:rsid w:val="00B373BF"/>
    <w:rsid w:val="00B37D6A"/>
    <w:rsid w:val="00B37F7F"/>
    <w:rsid w:val="00B4034D"/>
    <w:rsid w:val="00B40614"/>
    <w:rsid w:val="00B40DEA"/>
    <w:rsid w:val="00B413F7"/>
    <w:rsid w:val="00B41746"/>
    <w:rsid w:val="00B41964"/>
    <w:rsid w:val="00B41BA5"/>
    <w:rsid w:val="00B4244A"/>
    <w:rsid w:val="00B425D1"/>
    <w:rsid w:val="00B42BB7"/>
    <w:rsid w:val="00B43814"/>
    <w:rsid w:val="00B43C21"/>
    <w:rsid w:val="00B43CBD"/>
    <w:rsid w:val="00B440B7"/>
    <w:rsid w:val="00B444D7"/>
    <w:rsid w:val="00B4527D"/>
    <w:rsid w:val="00B45306"/>
    <w:rsid w:val="00B4586E"/>
    <w:rsid w:val="00B45E58"/>
    <w:rsid w:val="00B46871"/>
    <w:rsid w:val="00B46BD3"/>
    <w:rsid w:val="00B47A6C"/>
    <w:rsid w:val="00B50C09"/>
    <w:rsid w:val="00B51711"/>
    <w:rsid w:val="00B51936"/>
    <w:rsid w:val="00B525F7"/>
    <w:rsid w:val="00B529FF"/>
    <w:rsid w:val="00B536F5"/>
    <w:rsid w:val="00B53CE8"/>
    <w:rsid w:val="00B54250"/>
    <w:rsid w:val="00B542F9"/>
    <w:rsid w:val="00B54780"/>
    <w:rsid w:val="00B54C62"/>
    <w:rsid w:val="00B54CB6"/>
    <w:rsid w:val="00B567A5"/>
    <w:rsid w:val="00B56D47"/>
    <w:rsid w:val="00B571AC"/>
    <w:rsid w:val="00B577A4"/>
    <w:rsid w:val="00B60153"/>
    <w:rsid w:val="00B61691"/>
    <w:rsid w:val="00B61EB8"/>
    <w:rsid w:val="00B626AB"/>
    <w:rsid w:val="00B62CAE"/>
    <w:rsid w:val="00B631E2"/>
    <w:rsid w:val="00B63616"/>
    <w:rsid w:val="00B63646"/>
    <w:rsid w:val="00B63828"/>
    <w:rsid w:val="00B63A7A"/>
    <w:rsid w:val="00B63B22"/>
    <w:rsid w:val="00B63BC3"/>
    <w:rsid w:val="00B647D3"/>
    <w:rsid w:val="00B655A7"/>
    <w:rsid w:val="00B6598C"/>
    <w:rsid w:val="00B65B6D"/>
    <w:rsid w:val="00B65DF1"/>
    <w:rsid w:val="00B65FD8"/>
    <w:rsid w:val="00B6615B"/>
    <w:rsid w:val="00B6617C"/>
    <w:rsid w:val="00B66307"/>
    <w:rsid w:val="00B666B6"/>
    <w:rsid w:val="00B66CA9"/>
    <w:rsid w:val="00B66E29"/>
    <w:rsid w:val="00B67375"/>
    <w:rsid w:val="00B6747E"/>
    <w:rsid w:val="00B674A3"/>
    <w:rsid w:val="00B67A83"/>
    <w:rsid w:val="00B67B2C"/>
    <w:rsid w:val="00B70B6B"/>
    <w:rsid w:val="00B711B8"/>
    <w:rsid w:val="00B71430"/>
    <w:rsid w:val="00B71C60"/>
    <w:rsid w:val="00B71FBB"/>
    <w:rsid w:val="00B72823"/>
    <w:rsid w:val="00B72B3F"/>
    <w:rsid w:val="00B7389E"/>
    <w:rsid w:val="00B73DE7"/>
    <w:rsid w:val="00B73E4A"/>
    <w:rsid w:val="00B743DF"/>
    <w:rsid w:val="00B74558"/>
    <w:rsid w:val="00B74812"/>
    <w:rsid w:val="00B7518E"/>
    <w:rsid w:val="00B7549A"/>
    <w:rsid w:val="00B75AFB"/>
    <w:rsid w:val="00B75D33"/>
    <w:rsid w:val="00B75F14"/>
    <w:rsid w:val="00B75FB6"/>
    <w:rsid w:val="00B76C6C"/>
    <w:rsid w:val="00B76DA1"/>
    <w:rsid w:val="00B77090"/>
    <w:rsid w:val="00B77432"/>
    <w:rsid w:val="00B77B95"/>
    <w:rsid w:val="00B77CD0"/>
    <w:rsid w:val="00B77DE8"/>
    <w:rsid w:val="00B77E77"/>
    <w:rsid w:val="00B80275"/>
    <w:rsid w:val="00B811C7"/>
    <w:rsid w:val="00B8124C"/>
    <w:rsid w:val="00B81265"/>
    <w:rsid w:val="00B818A5"/>
    <w:rsid w:val="00B8195D"/>
    <w:rsid w:val="00B81B82"/>
    <w:rsid w:val="00B81CA1"/>
    <w:rsid w:val="00B82D6D"/>
    <w:rsid w:val="00B83441"/>
    <w:rsid w:val="00B83893"/>
    <w:rsid w:val="00B83C46"/>
    <w:rsid w:val="00B84601"/>
    <w:rsid w:val="00B84859"/>
    <w:rsid w:val="00B84B6A"/>
    <w:rsid w:val="00B84D3A"/>
    <w:rsid w:val="00B8538C"/>
    <w:rsid w:val="00B854AB"/>
    <w:rsid w:val="00B85C54"/>
    <w:rsid w:val="00B85D81"/>
    <w:rsid w:val="00B86580"/>
    <w:rsid w:val="00B867B7"/>
    <w:rsid w:val="00B86D56"/>
    <w:rsid w:val="00B86E8E"/>
    <w:rsid w:val="00B872BB"/>
    <w:rsid w:val="00B8769F"/>
    <w:rsid w:val="00B8772F"/>
    <w:rsid w:val="00B877E1"/>
    <w:rsid w:val="00B87AF5"/>
    <w:rsid w:val="00B9047A"/>
    <w:rsid w:val="00B909ED"/>
    <w:rsid w:val="00B90A5D"/>
    <w:rsid w:val="00B9166D"/>
    <w:rsid w:val="00B91D67"/>
    <w:rsid w:val="00B91F27"/>
    <w:rsid w:val="00B92B88"/>
    <w:rsid w:val="00B92C5B"/>
    <w:rsid w:val="00B93277"/>
    <w:rsid w:val="00B93C59"/>
    <w:rsid w:val="00B93C83"/>
    <w:rsid w:val="00B93F81"/>
    <w:rsid w:val="00B93FB2"/>
    <w:rsid w:val="00B944EF"/>
    <w:rsid w:val="00B9507F"/>
    <w:rsid w:val="00B95446"/>
    <w:rsid w:val="00B958FC"/>
    <w:rsid w:val="00B95AD4"/>
    <w:rsid w:val="00B96030"/>
    <w:rsid w:val="00B9674A"/>
    <w:rsid w:val="00B9690F"/>
    <w:rsid w:val="00B96939"/>
    <w:rsid w:val="00B96BAD"/>
    <w:rsid w:val="00B96C60"/>
    <w:rsid w:val="00B96F1E"/>
    <w:rsid w:val="00B97C06"/>
    <w:rsid w:val="00BA0219"/>
    <w:rsid w:val="00BA0229"/>
    <w:rsid w:val="00BA04D6"/>
    <w:rsid w:val="00BA078B"/>
    <w:rsid w:val="00BA08D2"/>
    <w:rsid w:val="00BA0CEF"/>
    <w:rsid w:val="00BA0F1E"/>
    <w:rsid w:val="00BA14C1"/>
    <w:rsid w:val="00BA1622"/>
    <w:rsid w:val="00BA1B61"/>
    <w:rsid w:val="00BA1C74"/>
    <w:rsid w:val="00BA1F12"/>
    <w:rsid w:val="00BA1F90"/>
    <w:rsid w:val="00BA2155"/>
    <w:rsid w:val="00BA3167"/>
    <w:rsid w:val="00BA32CB"/>
    <w:rsid w:val="00BA34A9"/>
    <w:rsid w:val="00BA368D"/>
    <w:rsid w:val="00BA3E63"/>
    <w:rsid w:val="00BA5190"/>
    <w:rsid w:val="00BA54EA"/>
    <w:rsid w:val="00BA5A2E"/>
    <w:rsid w:val="00BA5E01"/>
    <w:rsid w:val="00BA678E"/>
    <w:rsid w:val="00BB0127"/>
    <w:rsid w:val="00BB0B79"/>
    <w:rsid w:val="00BB0C1D"/>
    <w:rsid w:val="00BB0E22"/>
    <w:rsid w:val="00BB1A2B"/>
    <w:rsid w:val="00BB1C77"/>
    <w:rsid w:val="00BB2258"/>
    <w:rsid w:val="00BB290D"/>
    <w:rsid w:val="00BB396B"/>
    <w:rsid w:val="00BB3A57"/>
    <w:rsid w:val="00BB429E"/>
    <w:rsid w:val="00BB433B"/>
    <w:rsid w:val="00BB47D7"/>
    <w:rsid w:val="00BB4C7E"/>
    <w:rsid w:val="00BB54D1"/>
    <w:rsid w:val="00BB5E1C"/>
    <w:rsid w:val="00BB6255"/>
    <w:rsid w:val="00BB695F"/>
    <w:rsid w:val="00BB6A2F"/>
    <w:rsid w:val="00BB7A15"/>
    <w:rsid w:val="00BC0091"/>
    <w:rsid w:val="00BC0C6C"/>
    <w:rsid w:val="00BC0DB4"/>
    <w:rsid w:val="00BC16B2"/>
    <w:rsid w:val="00BC1A38"/>
    <w:rsid w:val="00BC28C5"/>
    <w:rsid w:val="00BC2EC8"/>
    <w:rsid w:val="00BC2F04"/>
    <w:rsid w:val="00BC3253"/>
    <w:rsid w:val="00BC3CE7"/>
    <w:rsid w:val="00BC4049"/>
    <w:rsid w:val="00BC59E4"/>
    <w:rsid w:val="00BC6D15"/>
    <w:rsid w:val="00BC79CD"/>
    <w:rsid w:val="00BD066E"/>
    <w:rsid w:val="00BD1AE7"/>
    <w:rsid w:val="00BD2291"/>
    <w:rsid w:val="00BD3980"/>
    <w:rsid w:val="00BD3C15"/>
    <w:rsid w:val="00BD51ED"/>
    <w:rsid w:val="00BD5983"/>
    <w:rsid w:val="00BD5B75"/>
    <w:rsid w:val="00BD5B82"/>
    <w:rsid w:val="00BD64C2"/>
    <w:rsid w:val="00BD69AA"/>
    <w:rsid w:val="00BD6B94"/>
    <w:rsid w:val="00BD77DE"/>
    <w:rsid w:val="00BE0486"/>
    <w:rsid w:val="00BE0B6D"/>
    <w:rsid w:val="00BE0CDD"/>
    <w:rsid w:val="00BE11D2"/>
    <w:rsid w:val="00BE12C7"/>
    <w:rsid w:val="00BE1B88"/>
    <w:rsid w:val="00BE2051"/>
    <w:rsid w:val="00BE2326"/>
    <w:rsid w:val="00BE24E2"/>
    <w:rsid w:val="00BE291F"/>
    <w:rsid w:val="00BE2D3C"/>
    <w:rsid w:val="00BE3D98"/>
    <w:rsid w:val="00BE3F62"/>
    <w:rsid w:val="00BE3F8B"/>
    <w:rsid w:val="00BE4259"/>
    <w:rsid w:val="00BE4833"/>
    <w:rsid w:val="00BE4A6A"/>
    <w:rsid w:val="00BE4E9B"/>
    <w:rsid w:val="00BE505D"/>
    <w:rsid w:val="00BE52E8"/>
    <w:rsid w:val="00BE577C"/>
    <w:rsid w:val="00BE5DBA"/>
    <w:rsid w:val="00BE6A3B"/>
    <w:rsid w:val="00BE6E1C"/>
    <w:rsid w:val="00BE7444"/>
    <w:rsid w:val="00BE764E"/>
    <w:rsid w:val="00BE77A6"/>
    <w:rsid w:val="00BF00FA"/>
    <w:rsid w:val="00BF0F23"/>
    <w:rsid w:val="00BF111F"/>
    <w:rsid w:val="00BF1BBA"/>
    <w:rsid w:val="00BF21C2"/>
    <w:rsid w:val="00BF25D6"/>
    <w:rsid w:val="00BF2790"/>
    <w:rsid w:val="00BF2B67"/>
    <w:rsid w:val="00BF2C28"/>
    <w:rsid w:val="00BF2EDC"/>
    <w:rsid w:val="00BF3396"/>
    <w:rsid w:val="00BF3B4A"/>
    <w:rsid w:val="00BF3C81"/>
    <w:rsid w:val="00BF3F55"/>
    <w:rsid w:val="00BF40F8"/>
    <w:rsid w:val="00BF4C6D"/>
    <w:rsid w:val="00BF4CC9"/>
    <w:rsid w:val="00BF4FA8"/>
    <w:rsid w:val="00BF5BE9"/>
    <w:rsid w:val="00BF691E"/>
    <w:rsid w:val="00BF776D"/>
    <w:rsid w:val="00BF7901"/>
    <w:rsid w:val="00C009FC"/>
    <w:rsid w:val="00C00F72"/>
    <w:rsid w:val="00C01058"/>
    <w:rsid w:val="00C021BF"/>
    <w:rsid w:val="00C02608"/>
    <w:rsid w:val="00C02A7C"/>
    <w:rsid w:val="00C02DD8"/>
    <w:rsid w:val="00C03439"/>
    <w:rsid w:val="00C03A7D"/>
    <w:rsid w:val="00C041FA"/>
    <w:rsid w:val="00C04223"/>
    <w:rsid w:val="00C04B54"/>
    <w:rsid w:val="00C04C2F"/>
    <w:rsid w:val="00C04D45"/>
    <w:rsid w:val="00C05670"/>
    <w:rsid w:val="00C05D84"/>
    <w:rsid w:val="00C05E46"/>
    <w:rsid w:val="00C062FA"/>
    <w:rsid w:val="00C06940"/>
    <w:rsid w:val="00C06D8C"/>
    <w:rsid w:val="00C070E3"/>
    <w:rsid w:val="00C0710A"/>
    <w:rsid w:val="00C0723F"/>
    <w:rsid w:val="00C072A4"/>
    <w:rsid w:val="00C075AD"/>
    <w:rsid w:val="00C077FF"/>
    <w:rsid w:val="00C078B5"/>
    <w:rsid w:val="00C1038C"/>
    <w:rsid w:val="00C10A03"/>
    <w:rsid w:val="00C10C3A"/>
    <w:rsid w:val="00C10F0E"/>
    <w:rsid w:val="00C11576"/>
    <w:rsid w:val="00C11A82"/>
    <w:rsid w:val="00C11D08"/>
    <w:rsid w:val="00C1224F"/>
    <w:rsid w:val="00C12C32"/>
    <w:rsid w:val="00C13437"/>
    <w:rsid w:val="00C134D9"/>
    <w:rsid w:val="00C1366F"/>
    <w:rsid w:val="00C13938"/>
    <w:rsid w:val="00C13A06"/>
    <w:rsid w:val="00C13BE3"/>
    <w:rsid w:val="00C14227"/>
    <w:rsid w:val="00C1439E"/>
    <w:rsid w:val="00C148B8"/>
    <w:rsid w:val="00C14A63"/>
    <w:rsid w:val="00C15216"/>
    <w:rsid w:val="00C160E0"/>
    <w:rsid w:val="00C16563"/>
    <w:rsid w:val="00C17198"/>
    <w:rsid w:val="00C17AB7"/>
    <w:rsid w:val="00C17F04"/>
    <w:rsid w:val="00C20869"/>
    <w:rsid w:val="00C21555"/>
    <w:rsid w:val="00C218A3"/>
    <w:rsid w:val="00C22B15"/>
    <w:rsid w:val="00C22E81"/>
    <w:rsid w:val="00C22F26"/>
    <w:rsid w:val="00C23A30"/>
    <w:rsid w:val="00C23F7D"/>
    <w:rsid w:val="00C243B1"/>
    <w:rsid w:val="00C245E9"/>
    <w:rsid w:val="00C24715"/>
    <w:rsid w:val="00C2476E"/>
    <w:rsid w:val="00C24D65"/>
    <w:rsid w:val="00C25312"/>
    <w:rsid w:val="00C2581F"/>
    <w:rsid w:val="00C25928"/>
    <w:rsid w:val="00C25D36"/>
    <w:rsid w:val="00C25D63"/>
    <w:rsid w:val="00C269C8"/>
    <w:rsid w:val="00C26BB7"/>
    <w:rsid w:val="00C26DCB"/>
    <w:rsid w:val="00C2734B"/>
    <w:rsid w:val="00C30592"/>
    <w:rsid w:val="00C30701"/>
    <w:rsid w:val="00C31736"/>
    <w:rsid w:val="00C317EC"/>
    <w:rsid w:val="00C318D5"/>
    <w:rsid w:val="00C319E1"/>
    <w:rsid w:val="00C323CA"/>
    <w:rsid w:val="00C324FE"/>
    <w:rsid w:val="00C33163"/>
    <w:rsid w:val="00C33523"/>
    <w:rsid w:val="00C33732"/>
    <w:rsid w:val="00C339C9"/>
    <w:rsid w:val="00C34149"/>
    <w:rsid w:val="00C344EA"/>
    <w:rsid w:val="00C34E1B"/>
    <w:rsid w:val="00C35186"/>
    <w:rsid w:val="00C358A5"/>
    <w:rsid w:val="00C35B8C"/>
    <w:rsid w:val="00C367E6"/>
    <w:rsid w:val="00C36B21"/>
    <w:rsid w:val="00C36B42"/>
    <w:rsid w:val="00C37727"/>
    <w:rsid w:val="00C37AB1"/>
    <w:rsid w:val="00C37E81"/>
    <w:rsid w:val="00C40056"/>
    <w:rsid w:val="00C406BC"/>
    <w:rsid w:val="00C412CD"/>
    <w:rsid w:val="00C41349"/>
    <w:rsid w:val="00C41B57"/>
    <w:rsid w:val="00C41EDA"/>
    <w:rsid w:val="00C42389"/>
    <w:rsid w:val="00C425E8"/>
    <w:rsid w:val="00C426FF"/>
    <w:rsid w:val="00C42BBA"/>
    <w:rsid w:val="00C42ED3"/>
    <w:rsid w:val="00C4312B"/>
    <w:rsid w:val="00C43498"/>
    <w:rsid w:val="00C4382C"/>
    <w:rsid w:val="00C44205"/>
    <w:rsid w:val="00C4582C"/>
    <w:rsid w:val="00C45AAE"/>
    <w:rsid w:val="00C45C49"/>
    <w:rsid w:val="00C46F70"/>
    <w:rsid w:val="00C47881"/>
    <w:rsid w:val="00C50072"/>
    <w:rsid w:val="00C50078"/>
    <w:rsid w:val="00C50949"/>
    <w:rsid w:val="00C50982"/>
    <w:rsid w:val="00C509A3"/>
    <w:rsid w:val="00C51E4D"/>
    <w:rsid w:val="00C522EF"/>
    <w:rsid w:val="00C52ABC"/>
    <w:rsid w:val="00C52E19"/>
    <w:rsid w:val="00C53675"/>
    <w:rsid w:val="00C536F3"/>
    <w:rsid w:val="00C53709"/>
    <w:rsid w:val="00C53BF4"/>
    <w:rsid w:val="00C53D24"/>
    <w:rsid w:val="00C54476"/>
    <w:rsid w:val="00C54F11"/>
    <w:rsid w:val="00C55B41"/>
    <w:rsid w:val="00C55BE1"/>
    <w:rsid w:val="00C55C1C"/>
    <w:rsid w:val="00C5644A"/>
    <w:rsid w:val="00C56E9B"/>
    <w:rsid w:val="00C5733F"/>
    <w:rsid w:val="00C57999"/>
    <w:rsid w:val="00C57B20"/>
    <w:rsid w:val="00C602BF"/>
    <w:rsid w:val="00C60382"/>
    <w:rsid w:val="00C604A0"/>
    <w:rsid w:val="00C610DB"/>
    <w:rsid w:val="00C612D5"/>
    <w:rsid w:val="00C61455"/>
    <w:rsid w:val="00C6188F"/>
    <w:rsid w:val="00C62168"/>
    <w:rsid w:val="00C622D3"/>
    <w:rsid w:val="00C62332"/>
    <w:rsid w:val="00C62392"/>
    <w:rsid w:val="00C626C4"/>
    <w:rsid w:val="00C628A2"/>
    <w:rsid w:val="00C63010"/>
    <w:rsid w:val="00C63230"/>
    <w:rsid w:val="00C63341"/>
    <w:rsid w:val="00C634EA"/>
    <w:rsid w:val="00C635B3"/>
    <w:rsid w:val="00C63A1C"/>
    <w:rsid w:val="00C63AEC"/>
    <w:rsid w:val="00C64806"/>
    <w:rsid w:val="00C64CF6"/>
    <w:rsid w:val="00C64E96"/>
    <w:rsid w:val="00C6553B"/>
    <w:rsid w:val="00C6567A"/>
    <w:rsid w:val="00C659F6"/>
    <w:rsid w:val="00C6676A"/>
    <w:rsid w:val="00C66AD9"/>
    <w:rsid w:val="00C66F5B"/>
    <w:rsid w:val="00C677CF"/>
    <w:rsid w:val="00C67AD0"/>
    <w:rsid w:val="00C70007"/>
    <w:rsid w:val="00C70417"/>
    <w:rsid w:val="00C705D1"/>
    <w:rsid w:val="00C7080C"/>
    <w:rsid w:val="00C70867"/>
    <w:rsid w:val="00C708D9"/>
    <w:rsid w:val="00C70F34"/>
    <w:rsid w:val="00C7140A"/>
    <w:rsid w:val="00C71915"/>
    <w:rsid w:val="00C71921"/>
    <w:rsid w:val="00C71A22"/>
    <w:rsid w:val="00C71E99"/>
    <w:rsid w:val="00C72005"/>
    <w:rsid w:val="00C72758"/>
    <w:rsid w:val="00C72D43"/>
    <w:rsid w:val="00C74940"/>
    <w:rsid w:val="00C74BF0"/>
    <w:rsid w:val="00C74CF9"/>
    <w:rsid w:val="00C755EF"/>
    <w:rsid w:val="00C75F86"/>
    <w:rsid w:val="00C76310"/>
    <w:rsid w:val="00C771A3"/>
    <w:rsid w:val="00C7776E"/>
    <w:rsid w:val="00C7793A"/>
    <w:rsid w:val="00C77F4E"/>
    <w:rsid w:val="00C8002D"/>
    <w:rsid w:val="00C80361"/>
    <w:rsid w:val="00C8050C"/>
    <w:rsid w:val="00C806EC"/>
    <w:rsid w:val="00C808CF"/>
    <w:rsid w:val="00C814EC"/>
    <w:rsid w:val="00C81C61"/>
    <w:rsid w:val="00C81CC6"/>
    <w:rsid w:val="00C81ED7"/>
    <w:rsid w:val="00C820E0"/>
    <w:rsid w:val="00C82B78"/>
    <w:rsid w:val="00C83C86"/>
    <w:rsid w:val="00C83DA3"/>
    <w:rsid w:val="00C83E37"/>
    <w:rsid w:val="00C84172"/>
    <w:rsid w:val="00C848C6"/>
    <w:rsid w:val="00C84BBB"/>
    <w:rsid w:val="00C85271"/>
    <w:rsid w:val="00C8631B"/>
    <w:rsid w:val="00C87099"/>
    <w:rsid w:val="00C87547"/>
    <w:rsid w:val="00C905A1"/>
    <w:rsid w:val="00C906EA"/>
    <w:rsid w:val="00C90F27"/>
    <w:rsid w:val="00C91A0A"/>
    <w:rsid w:val="00C91C21"/>
    <w:rsid w:val="00C91CAF"/>
    <w:rsid w:val="00C92290"/>
    <w:rsid w:val="00C92708"/>
    <w:rsid w:val="00C930A8"/>
    <w:rsid w:val="00C931A4"/>
    <w:rsid w:val="00C93C90"/>
    <w:rsid w:val="00C945A9"/>
    <w:rsid w:val="00C9462E"/>
    <w:rsid w:val="00C94C16"/>
    <w:rsid w:val="00C9509D"/>
    <w:rsid w:val="00C953EE"/>
    <w:rsid w:val="00C9558C"/>
    <w:rsid w:val="00C95A8F"/>
    <w:rsid w:val="00C95CAA"/>
    <w:rsid w:val="00C9602B"/>
    <w:rsid w:val="00C96C38"/>
    <w:rsid w:val="00C96D82"/>
    <w:rsid w:val="00C96FFB"/>
    <w:rsid w:val="00C970F5"/>
    <w:rsid w:val="00C9765E"/>
    <w:rsid w:val="00C978F9"/>
    <w:rsid w:val="00C97A17"/>
    <w:rsid w:val="00CA0A21"/>
    <w:rsid w:val="00CA0C07"/>
    <w:rsid w:val="00CA10E5"/>
    <w:rsid w:val="00CA1231"/>
    <w:rsid w:val="00CA134E"/>
    <w:rsid w:val="00CA18E2"/>
    <w:rsid w:val="00CA1ABB"/>
    <w:rsid w:val="00CA1DF3"/>
    <w:rsid w:val="00CA2906"/>
    <w:rsid w:val="00CA3186"/>
    <w:rsid w:val="00CA335F"/>
    <w:rsid w:val="00CA35DA"/>
    <w:rsid w:val="00CA38AA"/>
    <w:rsid w:val="00CA3978"/>
    <w:rsid w:val="00CA3C53"/>
    <w:rsid w:val="00CA3DA0"/>
    <w:rsid w:val="00CA3E6F"/>
    <w:rsid w:val="00CA43BB"/>
    <w:rsid w:val="00CA4873"/>
    <w:rsid w:val="00CA4A71"/>
    <w:rsid w:val="00CA4B85"/>
    <w:rsid w:val="00CA4EDC"/>
    <w:rsid w:val="00CA4FD1"/>
    <w:rsid w:val="00CA55E2"/>
    <w:rsid w:val="00CA5A27"/>
    <w:rsid w:val="00CA5A28"/>
    <w:rsid w:val="00CA5BC6"/>
    <w:rsid w:val="00CA64E6"/>
    <w:rsid w:val="00CA6F16"/>
    <w:rsid w:val="00CA6FD2"/>
    <w:rsid w:val="00CA7238"/>
    <w:rsid w:val="00CA7405"/>
    <w:rsid w:val="00CA740C"/>
    <w:rsid w:val="00CA7ABE"/>
    <w:rsid w:val="00CA7F9E"/>
    <w:rsid w:val="00CB0929"/>
    <w:rsid w:val="00CB171A"/>
    <w:rsid w:val="00CB237B"/>
    <w:rsid w:val="00CB2400"/>
    <w:rsid w:val="00CB26A3"/>
    <w:rsid w:val="00CB2907"/>
    <w:rsid w:val="00CB297B"/>
    <w:rsid w:val="00CB2FB1"/>
    <w:rsid w:val="00CB3158"/>
    <w:rsid w:val="00CB31AC"/>
    <w:rsid w:val="00CB4254"/>
    <w:rsid w:val="00CB4784"/>
    <w:rsid w:val="00CB4AC7"/>
    <w:rsid w:val="00CB4C01"/>
    <w:rsid w:val="00CB53BD"/>
    <w:rsid w:val="00CB53E5"/>
    <w:rsid w:val="00CB552E"/>
    <w:rsid w:val="00CB5857"/>
    <w:rsid w:val="00CB5BEF"/>
    <w:rsid w:val="00CB6418"/>
    <w:rsid w:val="00CB7757"/>
    <w:rsid w:val="00CB77E8"/>
    <w:rsid w:val="00CB79AB"/>
    <w:rsid w:val="00CB7CCC"/>
    <w:rsid w:val="00CC02CA"/>
    <w:rsid w:val="00CC050A"/>
    <w:rsid w:val="00CC0AF3"/>
    <w:rsid w:val="00CC0DFC"/>
    <w:rsid w:val="00CC374F"/>
    <w:rsid w:val="00CC3C41"/>
    <w:rsid w:val="00CC3DB7"/>
    <w:rsid w:val="00CC3F18"/>
    <w:rsid w:val="00CC5236"/>
    <w:rsid w:val="00CC61F5"/>
    <w:rsid w:val="00CC6353"/>
    <w:rsid w:val="00CC7336"/>
    <w:rsid w:val="00CD05BA"/>
    <w:rsid w:val="00CD12CD"/>
    <w:rsid w:val="00CD1B0B"/>
    <w:rsid w:val="00CD1E14"/>
    <w:rsid w:val="00CD252C"/>
    <w:rsid w:val="00CD25EB"/>
    <w:rsid w:val="00CD2F1B"/>
    <w:rsid w:val="00CD2FE4"/>
    <w:rsid w:val="00CD3249"/>
    <w:rsid w:val="00CD34AD"/>
    <w:rsid w:val="00CD3B92"/>
    <w:rsid w:val="00CD45C3"/>
    <w:rsid w:val="00CD49CE"/>
    <w:rsid w:val="00CD49E6"/>
    <w:rsid w:val="00CD4BD6"/>
    <w:rsid w:val="00CD54C5"/>
    <w:rsid w:val="00CD5A61"/>
    <w:rsid w:val="00CD5F87"/>
    <w:rsid w:val="00CD6305"/>
    <w:rsid w:val="00CD63D1"/>
    <w:rsid w:val="00CD6AB2"/>
    <w:rsid w:val="00CD6BF9"/>
    <w:rsid w:val="00CD6DBA"/>
    <w:rsid w:val="00CD70D6"/>
    <w:rsid w:val="00CD77F5"/>
    <w:rsid w:val="00CE0455"/>
    <w:rsid w:val="00CE134F"/>
    <w:rsid w:val="00CE1398"/>
    <w:rsid w:val="00CE183D"/>
    <w:rsid w:val="00CE240E"/>
    <w:rsid w:val="00CE2E28"/>
    <w:rsid w:val="00CE3A7D"/>
    <w:rsid w:val="00CE3A83"/>
    <w:rsid w:val="00CE3BEA"/>
    <w:rsid w:val="00CE3C7B"/>
    <w:rsid w:val="00CE40A1"/>
    <w:rsid w:val="00CE49C7"/>
    <w:rsid w:val="00CE4A59"/>
    <w:rsid w:val="00CE4A61"/>
    <w:rsid w:val="00CE504F"/>
    <w:rsid w:val="00CE5065"/>
    <w:rsid w:val="00CE50A5"/>
    <w:rsid w:val="00CE563B"/>
    <w:rsid w:val="00CE595C"/>
    <w:rsid w:val="00CE6079"/>
    <w:rsid w:val="00CE6297"/>
    <w:rsid w:val="00CE6660"/>
    <w:rsid w:val="00CE6A4F"/>
    <w:rsid w:val="00CE77A3"/>
    <w:rsid w:val="00CE78F9"/>
    <w:rsid w:val="00CF007D"/>
    <w:rsid w:val="00CF06DE"/>
    <w:rsid w:val="00CF0B2F"/>
    <w:rsid w:val="00CF0C61"/>
    <w:rsid w:val="00CF0F87"/>
    <w:rsid w:val="00CF186E"/>
    <w:rsid w:val="00CF25C9"/>
    <w:rsid w:val="00CF2C41"/>
    <w:rsid w:val="00CF2F2F"/>
    <w:rsid w:val="00CF348C"/>
    <w:rsid w:val="00CF3907"/>
    <w:rsid w:val="00CF39D6"/>
    <w:rsid w:val="00CF3AEB"/>
    <w:rsid w:val="00CF3EB9"/>
    <w:rsid w:val="00CF4458"/>
    <w:rsid w:val="00CF4DDF"/>
    <w:rsid w:val="00CF4ED4"/>
    <w:rsid w:val="00CF50CD"/>
    <w:rsid w:val="00CF5A17"/>
    <w:rsid w:val="00CF5D41"/>
    <w:rsid w:val="00CF5EC2"/>
    <w:rsid w:val="00CF61E4"/>
    <w:rsid w:val="00CF6E6F"/>
    <w:rsid w:val="00CF6E88"/>
    <w:rsid w:val="00CF6FFA"/>
    <w:rsid w:val="00CF7A02"/>
    <w:rsid w:val="00CF7D0B"/>
    <w:rsid w:val="00CF7ECB"/>
    <w:rsid w:val="00D00341"/>
    <w:rsid w:val="00D00A5A"/>
    <w:rsid w:val="00D00A8E"/>
    <w:rsid w:val="00D00C99"/>
    <w:rsid w:val="00D00DAA"/>
    <w:rsid w:val="00D00DF2"/>
    <w:rsid w:val="00D01AE2"/>
    <w:rsid w:val="00D01FAC"/>
    <w:rsid w:val="00D027D1"/>
    <w:rsid w:val="00D0339D"/>
    <w:rsid w:val="00D03E38"/>
    <w:rsid w:val="00D040C7"/>
    <w:rsid w:val="00D04A17"/>
    <w:rsid w:val="00D04EB5"/>
    <w:rsid w:val="00D0500B"/>
    <w:rsid w:val="00D06205"/>
    <w:rsid w:val="00D064E3"/>
    <w:rsid w:val="00D065B8"/>
    <w:rsid w:val="00D07424"/>
    <w:rsid w:val="00D079C4"/>
    <w:rsid w:val="00D07DD4"/>
    <w:rsid w:val="00D107B9"/>
    <w:rsid w:val="00D1099F"/>
    <w:rsid w:val="00D10BC3"/>
    <w:rsid w:val="00D11098"/>
    <w:rsid w:val="00D114CB"/>
    <w:rsid w:val="00D118F3"/>
    <w:rsid w:val="00D11AE6"/>
    <w:rsid w:val="00D11F83"/>
    <w:rsid w:val="00D12CB5"/>
    <w:rsid w:val="00D131D6"/>
    <w:rsid w:val="00D13523"/>
    <w:rsid w:val="00D13576"/>
    <w:rsid w:val="00D13DD4"/>
    <w:rsid w:val="00D13E9E"/>
    <w:rsid w:val="00D14734"/>
    <w:rsid w:val="00D14F14"/>
    <w:rsid w:val="00D15376"/>
    <w:rsid w:val="00D155A3"/>
    <w:rsid w:val="00D15DBA"/>
    <w:rsid w:val="00D16313"/>
    <w:rsid w:val="00D1714B"/>
    <w:rsid w:val="00D17AC6"/>
    <w:rsid w:val="00D17D9F"/>
    <w:rsid w:val="00D20A88"/>
    <w:rsid w:val="00D2145F"/>
    <w:rsid w:val="00D2149E"/>
    <w:rsid w:val="00D21A5E"/>
    <w:rsid w:val="00D21B09"/>
    <w:rsid w:val="00D21D34"/>
    <w:rsid w:val="00D2225C"/>
    <w:rsid w:val="00D23362"/>
    <w:rsid w:val="00D23A14"/>
    <w:rsid w:val="00D23D15"/>
    <w:rsid w:val="00D2496B"/>
    <w:rsid w:val="00D24E7D"/>
    <w:rsid w:val="00D256F0"/>
    <w:rsid w:val="00D25C2D"/>
    <w:rsid w:val="00D25D37"/>
    <w:rsid w:val="00D26348"/>
    <w:rsid w:val="00D26739"/>
    <w:rsid w:val="00D26A23"/>
    <w:rsid w:val="00D2733F"/>
    <w:rsid w:val="00D277A3"/>
    <w:rsid w:val="00D27978"/>
    <w:rsid w:val="00D27B1D"/>
    <w:rsid w:val="00D30836"/>
    <w:rsid w:val="00D30FDB"/>
    <w:rsid w:val="00D314EF"/>
    <w:rsid w:val="00D32017"/>
    <w:rsid w:val="00D3246B"/>
    <w:rsid w:val="00D32A66"/>
    <w:rsid w:val="00D32DBC"/>
    <w:rsid w:val="00D333E0"/>
    <w:rsid w:val="00D3378B"/>
    <w:rsid w:val="00D33D54"/>
    <w:rsid w:val="00D34E2B"/>
    <w:rsid w:val="00D351CC"/>
    <w:rsid w:val="00D353B1"/>
    <w:rsid w:val="00D35800"/>
    <w:rsid w:val="00D36384"/>
    <w:rsid w:val="00D36DB1"/>
    <w:rsid w:val="00D36DBB"/>
    <w:rsid w:val="00D371BD"/>
    <w:rsid w:val="00D37C28"/>
    <w:rsid w:val="00D37D4F"/>
    <w:rsid w:val="00D37EE5"/>
    <w:rsid w:val="00D40467"/>
    <w:rsid w:val="00D4106E"/>
    <w:rsid w:val="00D410BE"/>
    <w:rsid w:val="00D41577"/>
    <w:rsid w:val="00D4162D"/>
    <w:rsid w:val="00D42148"/>
    <w:rsid w:val="00D43A38"/>
    <w:rsid w:val="00D44216"/>
    <w:rsid w:val="00D447B7"/>
    <w:rsid w:val="00D4484F"/>
    <w:rsid w:val="00D44ABA"/>
    <w:rsid w:val="00D451DD"/>
    <w:rsid w:val="00D460F5"/>
    <w:rsid w:val="00D46161"/>
    <w:rsid w:val="00D467ED"/>
    <w:rsid w:val="00D469BD"/>
    <w:rsid w:val="00D47300"/>
    <w:rsid w:val="00D4746B"/>
    <w:rsid w:val="00D475AD"/>
    <w:rsid w:val="00D47812"/>
    <w:rsid w:val="00D47F68"/>
    <w:rsid w:val="00D5079D"/>
    <w:rsid w:val="00D50B2F"/>
    <w:rsid w:val="00D513E5"/>
    <w:rsid w:val="00D51C8A"/>
    <w:rsid w:val="00D51EA3"/>
    <w:rsid w:val="00D51ED2"/>
    <w:rsid w:val="00D52EB0"/>
    <w:rsid w:val="00D53384"/>
    <w:rsid w:val="00D541D6"/>
    <w:rsid w:val="00D55250"/>
    <w:rsid w:val="00D55ADF"/>
    <w:rsid w:val="00D56E32"/>
    <w:rsid w:val="00D57220"/>
    <w:rsid w:val="00D5750D"/>
    <w:rsid w:val="00D5760A"/>
    <w:rsid w:val="00D57BF8"/>
    <w:rsid w:val="00D57D43"/>
    <w:rsid w:val="00D57FF0"/>
    <w:rsid w:val="00D60B5C"/>
    <w:rsid w:val="00D60CA9"/>
    <w:rsid w:val="00D60DB9"/>
    <w:rsid w:val="00D60FAF"/>
    <w:rsid w:val="00D611F9"/>
    <w:rsid w:val="00D613B0"/>
    <w:rsid w:val="00D618BD"/>
    <w:rsid w:val="00D6195E"/>
    <w:rsid w:val="00D62744"/>
    <w:rsid w:val="00D6289C"/>
    <w:rsid w:val="00D628DB"/>
    <w:rsid w:val="00D62A28"/>
    <w:rsid w:val="00D62D4D"/>
    <w:rsid w:val="00D6331B"/>
    <w:rsid w:val="00D63B86"/>
    <w:rsid w:val="00D63BE6"/>
    <w:rsid w:val="00D63E02"/>
    <w:rsid w:val="00D63F13"/>
    <w:rsid w:val="00D642BE"/>
    <w:rsid w:val="00D644E8"/>
    <w:rsid w:val="00D6495D"/>
    <w:rsid w:val="00D655CE"/>
    <w:rsid w:val="00D65D87"/>
    <w:rsid w:val="00D65ECD"/>
    <w:rsid w:val="00D6673E"/>
    <w:rsid w:val="00D66B5F"/>
    <w:rsid w:val="00D66D8F"/>
    <w:rsid w:val="00D67E9A"/>
    <w:rsid w:val="00D70722"/>
    <w:rsid w:val="00D70F84"/>
    <w:rsid w:val="00D71147"/>
    <w:rsid w:val="00D716C9"/>
    <w:rsid w:val="00D7184D"/>
    <w:rsid w:val="00D72B19"/>
    <w:rsid w:val="00D72B27"/>
    <w:rsid w:val="00D7340B"/>
    <w:rsid w:val="00D73BB8"/>
    <w:rsid w:val="00D73C6E"/>
    <w:rsid w:val="00D746CE"/>
    <w:rsid w:val="00D74E42"/>
    <w:rsid w:val="00D74F2A"/>
    <w:rsid w:val="00D7512C"/>
    <w:rsid w:val="00D7554F"/>
    <w:rsid w:val="00D756DC"/>
    <w:rsid w:val="00D75CD6"/>
    <w:rsid w:val="00D75DA1"/>
    <w:rsid w:val="00D762D0"/>
    <w:rsid w:val="00D763B9"/>
    <w:rsid w:val="00D76473"/>
    <w:rsid w:val="00D76FBF"/>
    <w:rsid w:val="00D770B3"/>
    <w:rsid w:val="00D7785A"/>
    <w:rsid w:val="00D77E84"/>
    <w:rsid w:val="00D8013F"/>
    <w:rsid w:val="00D80221"/>
    <w:rsid w:val="00D80BDB"/>
    <w:rsid w:val="00D81104"/>
    <w:rsid w:val="00D813B4"/>
    <w:rsid w:val="00D819BC"/>
    <w:rsid w:val="00D81B8A"/>
    <w:rsid w:val="00D82C18"/>
    <w:rsid w:val="00D82D08"/>
    <w:rsid w:val="00D83B31"/>
    <w:rsid w:val="00D83C67"/>
    <w:rsid w:val="00D8427F"/>
    <w:rsid w:val="00D84795"/>
    <w:rsid w:val="00D84D99"/>
    <w:rsid w:val="00D84F29"/>
    <w:rsid w:val="00D84F7E"/>
    <w:rsid w:val="00D855C9"/>
    <w:rsid w:val="00D858F1"/>
    <w:rsid w:val="00D85980"/>
    <w:rsid w:val="00D86959"/>
    <w:rsid w:val="00D87D39"/>
    <w:rsid w:val="00D87E97"/>
    <w:rsid w:val="00D90298"/>
    <w:rsid w:val="00D9146D"/>
    <w:rsid w:val="00D91A82"/>
    <w:rsid w:val="00D91E99"/>
    <w:rsid w:val="00D920F2"/>
    <w:rsid w:val="00D92E0B"/>
    <w:rsid w:val="00D92E1A"/>
    <w:rsid w:val="00D934D9"/>
    <w:rsid w:val="00D93912"/>
    <w:rsid w:val="00D93AFD"/>
    <w:rsid w:val="00D93B5F"/>
    <w:rsid w:val="00D94323"/>
    <w:rsid w:val="00D94428"/>
    <w:rsid w:val="00D94BDD"/>
    <w:rsid w:val="00D95650"/>
    <w:rsid w:val="00D957FE"/>
    <w:rsid w:val="00D959F0"/>
    <w:rsid w:val="00D9683F"/>
    <w:rsid w:val="00D96A28"/>
    <w:rsid w:val="00D96F9C"/>
    <w:rsid w:val="00D9787D"/>
    <w:rsid w:val="00D97AB7"/>
    <w:rsid w:val="00D97F5A"/>
    <w:rsid w:val="00DA0540"/>
    <w:rsid w:val="00DA1742"/>
    <w:rsid w:val="00DA2462"/>
    <w:rsid w:val="00DA267D"/>
    <w:rsid w:val="00DA2918"/>
    <w:rsid w:val="00DA2C1D"/>
    <w:rsid w:val="00DA2C5D"/>
    <w:rsid w:val="00DA2F9A"/>
    <w:rsid w:val="00DA358C"/>
    <w:rsid w:val="00DA36EC"/>
    <w:rsid w:val="00DA4141"/>
    <w:rsid w:val="00DA4E4B"/>
    <w:rsid w:val="00DA4F98"/>
    <w:rsid w:val="00DA53AA"/>
    <w:rsid w:val="00DA54A7"/>
    <w:rsid w:val="00DA55B4"/>
    <w:rsid w:val="00DA5747"/>
    <w:rsid w:val="00DA58A9"/>
    <w:rsid w:val="00DA6211"/>
    <w:rsid w:val="00DA6674"/>
    <w:rsid w:val="00DA6C6D"/>
    <w:rsid w:val="00DA78A5"/>
    <w:rsid w:val="00DA7B46"/>
    <w:rsid w:val="00DB005D"/>
    <w:rsid w:val="00DB02E5"/>
    <w:rsid w:val="00DB07F7"/>
    <w:rsid w:val="00DB08EF"/>
    <w:rsid w:val="00DB0D13"/>
    <w:rsid w:val="00DB1125"/>
    <w:rsid w:val="00DB115A"/>
    <w:rsid w:val="00DB17CA"/>
    <w:rsid w:val="00DB1944"/>
    <w:rsid w:val="00DB1C5B"/>
    <w:rsid w:val="00DB1D79"/>
    <w:rsid w:val="00DB1F01"/>
    <w:rsid w:val="00DB24D0"/>
    <w:rsid w:val="00DB2A31"/>
    <w:rsid w:val="00DB2EB2"/>
    <w:rsid w:val="00DB3268"/>
    <w:rsid w:val="00DB33B0"/>
    <w:rsid w:val="00DB38A8"/>
    <w:rsid w:val="00DB4CD6"/>
    <w:rsid w:val="00DB6B62"/>
    <w:rsid w:val="00DB6C15"/>
    <w:rsid w:val="00DB6E0E"/>
    <w:rsid w:val="00DC0159"/>
    <w:rsid w:val="00DC04B7"/>
    <w:rsid w:val="00DC05D0"/>
    <w:rsid w:val="00DC08A9"/>
    <w:rsid w:val="00DC0BF3"/>
    <w:rsid w:val="00DC12C2"/>
    <w:rsid w:val="00DC227F"/>
    <w:rsid w:val="00DC23DF"/>
    <w:rsid w:val="00DC2FA4"/>
    <w:rsid w:val="00DC4045"/>
    <w:rsid w:val="00DC420F"/>
    <w:rsid w:val="00DC5A11"/>
    <w:rsid w:val="00DC5E47"/>
    <w:rsid w:val="00DC5EFD"/>
    <w:rsid w:val="00DC609A"/>
    <w:rsid w:val="00DC640C"/>
    <w:rsid w:val="00DC64DE"/>
    <w:rsid w:val="00DC669C"/>
    <w:rsid w:val="00DC6A40"/>
    <w:rsid w:val="00DC6E39"/>
    <w:rsid w:val="00DC6E99"/>
    <w:rsid w:val="00DD0365"/>
    <w:rsid w:val="00DD0446"/>
    <w:rsid w:val="00DD066A"/>
    <w:rsid w:val="00DD075C"/>
    <w:rsid w:val="00DD12A6"/>
    <w:rsid w:val="00DD12C8"/>
    <w:rsid w:val="00DD1398"/>
    <w:rsid w:val="00DD1446"/>
    <w:rsid w:val="00DD1616"/>
    <w:rsid w:val="00DD16FB"/>
    <w:rsid w:val="00DD1A7B"/>
    <w:rsid w:val="00DD1CBD"/>
    <w:rsid w:val="00DD2268"/>
    <w:rsid w:val="00DD239B"/>
    <w:rsid w:val="00DD26F3"/>
    <w:rsid w:val="00DD2A19"/>
    <w:rsid w:val="00DD3B9C"/>
    <w:rsid w:val="00DD3E52"/>
    <w:rsid w:val="00DD468B"/>
    <w:rsid w:val="00DD47D7"/>
    <w:rsid w:val="00DD48C1"/>
    <w:rsid w:val="00DD5E27"/>
    <w:rsid w:val="00DD5EFC"/>
    <w:rsid w:val="00DD6159"/>
    <w:rsid w:val="00DD62DB"/>
    <w:rsid w:val="00DD6711"/>
    <w:rsid w:val="00DD73DD"/>
    <w:rsid w:val="00DD759A"/>
    <w:rsid w:val="00DD79D7"/>
    <w:rsid w:val="00DE0F68"/>
    <w:rsid w:val="00DE1A7D"/>
    <w:rsid w:val="00DE22EF"/>
    <w:rsid w:val="00DE424B"/>
    <w:rsid w:val="00DE4F0F"/>
    <w:rsid w:val="00DE52F5"/>
    <w:rsid w:val="00DE5882"/>
    <w:rsid w:val="00DE58AE"/>
    <w:rsid w:val="00DE66AC"/>
    <w:rsid w:val="00DE6BA1"/>
    <w:rsid w:val="00DE72B0"/>
    <w:rsid w:val="00DE75D4"/>
    <w:rsid w:val="00DE7733"/>
    <w:rsid w:val="00DE7A24"/>
    <w:rsid w:val="00DF0075"/>
    <w:rsid w:val="00DF0087"/>
    <w:rsid w:val="00DF0449"/>
    <w:rsid w:val="00DF05AB"/>
    <w:rsid w:val="00DF09D8"/>
    <w:rsid w:val="00DF0D15"/>
    <w:rsid w:val="00DF0E67"/>
    <w:rsid w:val="00DF1B0F"/>
    <w:rsid w:val="00DF1C66"/>
    <w:rsid w:val="00DF1EE5"/>
    <w:rsid w:val="00DF1F7B"/>
    <w:rsid w:val="00DF2055"/>
    <w:rsid w:val="00DF2281"/>
    <w:rsid w:val="00DF2721"/>
    <w:rsid w:val="00DF297C"/>
    <w:rsid w:val="00DF2EE6"/>
    <w:rsid w:val="00DF3DB6"/>
    <w:rsid w:val="00DF4359"/>
    <w:rsid w:val="00DF53F2"/>
    <w:rsid w:val="00DF548B"/>
    <w:rsid w:val="00DF57DC"/>
    <w:rsid w:val="00DF6287"/>
    <w:rsid w:val="00DF65FF"/>
    <w:rsid w:val="00DF6720"/>
    <w:rsid w:val="00DF6B2C"/>
    <w:rsid w:val="00DF6E29"/>
    <w:rsid w:val="00DF6FCD"/>
    <w:rsid w:val="00E0115A"/>
    <w:rsid w:val="00E012D0"/>
    <w:rsid w:val="00E023A5"/>
    <w:rsid w:val="00E02528"/>
    <w:rsid w:val="00E02ACF"/>
    <w:rsid w:val="00E02CAB"/>
    <w:rsid w:val="00E02E75"/>
    <w:rsid w:val="00E0377F"/>
    <w:rsid w:val="00E04022"/>
    <w:rsid w:val="00E04739"/>
    <w:rsid w:val="00E04D56"/>
    <w:rsid w:val="00E0511B"/>
    <w:rsid w:val="00E05485"/>
    <w:rsid w:val="00E057EE"/>
    <w:rsid w:val="00E068C6"/>
    <w:rsid w:val="00E07077"/>
    <w:rsid w:val="00E07511"/>
    <w:rsid w:val="00E07B48"/>
    <w:rsid w:val="00E07CD5"/>
    <w:rsid w:val="00E07EDC"/>
    <w:rsid w:val="00E07F63"/>
    <w:rsid w:val="00E111F6"/>
    <w:rsid w:val="00E11508"/>
    <w:rsid w:val="00E11C25"/>
    <w:rsid w:val="00E12099"/>
    <w:rsid w:val="00E127F7"/>
    <w:rsid w:val="00E12D7E"/>
    <w:rsid w:val="00E12DB8"/>
    <w:rsid w:val="00E12E1A"/>
    <w:rsid w:val="00E130F0"/>
    <w:rsid w:val="00E133D0"/>
    <w:rsid w:val="00E1351A"/>
    <w:rsid w:val="00E135A4"/>
    <w:rsid w:val="00E13828"/>
    <w:rsid w:val="00E1459C"/>
    <w:rsid w:val="00E14871"/>
    <w:rsid w:val="00E14E32"/>
    <w:rsid w:val="00E15AA8"/>
    <w:rsid w:val="00E15B5B"/>
    <w:rsid w:val="00E1629B"/>
    <w:rsid w:val="00E16546"/>
    <w:rsid w:val="00E16B06"/>
    <w:rsid w:val="00E16CF4"/>
    <w:rsid w:val="00E16E2F"/>
    <w:rsid w:val="00E16EDE"/>
    <w:rsid w:val="00E16F1E"/>
    <w:rsid w:val="00E1731C"/>
    <w:rsid w:val="00E17DF8"/>
    <w:rsid w:val="00E207B8"/>
    <w:rsid w:val="00E20D93"/>
    <w:rsid w:val="00E21087"/>
    <w:rsid w:val="00E21334"/>
    <w:rsid w:val="00E2165F"/>
    <w:rsid w:val="00E21869"/>
    <w:rsid w:val="00E21C08"/>
    <w:rsid w:val="00E2233A"/>
    <w:rsid w:val="00E223B2"/>
    <w:rsid w:val="00E22A75"/>
    <w:rsid w:val="00E22AA8"/>
    <w:rsid w:val="00E22D47"/>
    <w:rsid w:val="00E22F26"/>
    <w:rsid w:val="00E22F42"/>
    <w:rsid w:val="00E236DE"/>
    <w:rsid w:val="00E239CF"/>
    <w:rsid w:val="00E2432E"/>
    <w:rsid w:val="00E249E9"/>
    <w:rsid w:val="00E24CC8"/>
    <w:rsid w:val="00E25248"/>
    <w:rsid w:val="00E259F3"/>
    <w:rsid w:val="00E25D0F"/>
    <w:rsid w:val="00E25EA7"/>
    <w:rsid w:val="00E26E5B"/>
    <w:rsid w:val="00E27964"/>
    <w:rsid w:val="00E27AC3"/>
    <w:rsid w:val="00E27DAD"/>
    <w:rsid w:val="00E27EA5"/>
    <w:rsid w:val="00E30984"/>
    <w:rsid w:val="00E30BE8"/>
    <w:rsid w:val="00E31519"/>
    <w:rsid w:val="00E31540"/>
    <w:rsid w:val="00E31BD2"/>
    <w:rsid w:val="00E328E3"/>
    <w:rsid w:val="00E32A00"/>
    <w:rsid w:val="00E32BAE"/>
    <w:rsid w:val="00E33EE9"/>
    <w:rsid w:val="00E341DF"/>
    <w:rsid w:val="00E34415"/>
    <w:rsid w:val="00E34BF8"/>
    <w:rsid w:val="00E34CB2"/>
    <w:rsid w:val="00E350F4"/>
    <w:rsid w:val="00E353FB"/>
    <w:rsid w:val="00E3568D"/>
    <w:rsid w:val="00E356E7"/>
    <w:rsid w:val="00E366E0"/>
    <w:rsid w:val="00E36830"/>
    <w:rsid w:val="00E36AD1"/>
    <w:rsid w:val="00E36C81"/>
    <w:rsid w:val="00E36E0F"/>
    <w:rsid w:val="00E3702C"/>
    <w:rsid w:val="00E37578"/>
    <w:rsid w:val="00E403F3"/>
    <w:rsid w:val="00E40D3E"/>
    <w:rsid w:val="00E410C6"/>
    <w:rsid w:val="00E41253"/>
    <w:rsid w:val="00E414EE"/>
    <w:rsid w:val="00E4156C"/>
    <w:rsid w:val="00E41988"/>
    <w:rsid w:val="00E41BA7"/>
    <w:rsid w:val="00E4268B"/>
    <w:rsid w:val="00E429BC"/>
    <w:rsid w:val="00E42F96"/>
    <w:rsid w:val="00E43A3C"/>
    <w:rsid w:val="00E43B4A"/>
    <w:rsid w:val="00E43B52"/>
    <w:rsid w:val="00E43E7F"/>
    <w:rsid w:val="00E44448"/>
    <w:rsid w:val="00E447D4"/>
    <w:rsid w:val="00E44A95"/>
    <w:rsid w:val="00E44D08"/>
    <w:rsid w:val="00E44E98"/>
    <w:rsid w:val="00E44FD4"/>
    <w:rsid w:val="00E45155"/>
    <w:rsid w:val="00E46127"/>
    <w:rsid w:val="00E46204"/>
    <w:rsid w:val="00E46303"/>
    <w:rsid w:val="00E46690"/>
    <w:rsid w:val="00E467CF"/>
    <w:rsid w:val="00E46CFA"/>
    <w:rsid w:val="00E46EB4"/>
    <w:rsid w:val="00E46FD1"/>
    <w:rsid w:val="00E47396"/>
    <w:rsid w:val="00E4766A"/>
    <w:rsid w:val="00E50871"/>
    <w:rsid w:val="00E50B0F"/>
    <w:rsid w:val="00E50F23"/>
    <w:rsid w:val="00E51231"/>
    <w:rsid w:val="00E51B20"/>
    <w:rsid w:val="00E5200F"/>
    <w:rsid w:val="00E527AB"/>
    <w:rsid w:val="00E5347B"/>
    <w:rsid w:val="00E535AC"/>
    <w:rsid w:val="00E53F9C"/>
    <w:rsid w:val="00E54843"/>
    <w:rsid w:val="00E54AE8"/>
    <w:rsid w:val="00E54B84"/>
    <w:rsid w:val="00E552E5"/>
    <w:rsid w:val="00E565AA"/>
    <w:rsid w:val="00E568D6"/>
    <w:rsid w:val="00E57A1E"/>
    <w:rsid w:val="00E60207"/>
    <w:rsid w:val="00E60897"/>
    <w:rsid w:val="00E60BA3"/>
    <w:rsid w:val="00E60F95"/>
    <w:rsid w:val="00E612E8"/>
    <w:rsid w:val="00E615A3"/>
    <w:rsid w:val="00E617E0"/>
    <w:rsid w:val="00E618F4"/>
    <w:rsid w:val="00E62346"/>
    <w:rsid w:val="00E62573"/>
    <w:rsid w:val="00E62A28"/>
    <w:rsid w:val="00E62EA9"/>
    <w:rsid w:val="00E62FF8"/>
    <w:rsid w:val="00E6312E"/>
    <w:rsid w:val="00E631DA"/>
    <w:rsid w:val="00E6352B"/>
    <w:rsid w:val="00E6362F"/>
    <w:rsid w:val="00E63949"/>
    <w:rsid w:val="00E63A4C"/>
    <w:rsid w:val="00E63D66"/>
    <w:rsid w:val="00E6400E"/>
    <w:rsid w:val="00E642D8"/>
    <w:rsid w:val="00E651E4"/>
    <w:rsid w:val="00E654AC"/>
    <w:rsid w:val="00E66B19"/>
    <w:rsid w:val="00E66C85"/>
    <w:rsid w:val="00E66E9C"/>
    <w:rsid w:val="00E67000"/>
    <w:rsid w:val="00E6746E"/>
    <w:rsid w:val="00E67779"/>
    <w:rsid w:val="00E67A7F"/>
    <w:rsid w:val="00E70818"/>
    <w:rsid w:val="00E708F3"/>
    <w:rsid w:val="00E710E1"/>
    <w:rsid w:val="00E712E2"/>
    <w:rsid w:val="00E71F62"/>
    <w:rsid w:val="00E72289"/>
    <w:rsid w:val="00E72434"/>
    <w:rsid w:val="00E72926"/>
    <w:rsid w:val="00E72A4D"/>
    <w:rsid w:val="00E733DF"/>
    <w:rsid w:val="00E7484D"/>
    <w:rsid w:val="00E74C17"/>
    <w:rsid w:val="00E75542"/>
    <w:rsid w:val="00E755B6"/>
    <w:rsid w:val="00E75CCF"/>
    <w:rsid w:val="00E767AC"/>
    <w:rsid w:val="00E768AB"/>
    <w:rsid w:val="00E770F1"/>
    <w:rsid w:val="00E77C17"/>
    <w:rsid w:val="00E77D1E"/>
    <w:rsid w:val="00E77F11"/>
    <w:rsid w:val="00E77F40"/>
    <w:rsid w:val="00E80183"/>
    <w:rsid w:val="00E8053C"/>
    <w:rsid w:val="00E805C6"/>
    <w:rsid w:val="00E81664"/>
    <w:rsid w:val="00E8181B"/>
    <w:rsid w:val="00E818AB"/>
    <w:rsid w:val="00E81B06"/>
    <w:rsid w:val="00E81C52"/>
    <w:rsid w:val="00E81D85"/>
    <w:rsid w:val="00E8259E"/>
    <w:rsid w:val="00E8291C"/>
    <w:rsid w:val="00E82D46"/>
    <w:rsid w:val="00E839A7"/>
    <w:rsid w:val="00E8432B"/>
    <w:rsid w:val="00E8488F"/>
    <w:rsid w:val="00E8539B"/>
    <w:rsid w:val="00E85B58"/>
    <w:rsid w:val="00E85B77"/>
    <w:rsid w:val="00E85D09"/>
    <w:rsid w:val="00E85EFB"/>
    <w:rsid w:val="00E86560"/>
    <w:rsid w:val="00E86988"/>
    <w:rsid w:val="00E86B26"/>
    <w:rsid w:val="00E87369"/>
    <w:rsid w:val="00E87B78"/>
    <w:rsid w:val="00E87D35"/>
    <w:rsid w:val="00E87D6F"/>
    <w:rsid w:val="00E87ED9"/>
    <w:rsid w:val="00E90474"/>
    <w:rsid w:val="00E90C0C"/>
    <w:rsid w:val="00E911A8"/>
    <w:rsid w:val="00E914BA"/>
    <w:rsid w:val="00E91CB9"/>
    <w:rsid w:val="00E91F7C"/>
    <w:rsid w:val="00E92527"/>
    <w:rsid w:val="00E926AE"/>
    <w:rsid w:val="00E926D6"/>
    <w:rsid w:val="00E92767"/>
    <w:rsid w:val="00E9279F"/>
    <w:rsid w:val="00E9287F"/>
    <w:rsid w:val="00E930E9"/>
    <w:rsid w:val="00E931EE"/>
    <w:rsid w:val="00E933AC"/>
    <w:rsid w:val="00E93B36"/>
    <w:rsid w:val="00E94036"/>
    <w:rsid w:val="00E943FF"/>
    <w:rsid w:val="00E94E92"/>
    <w:rsid w:val="00E957AC"/>
    <w:rsid w:val="00E95BE2"/>
    <w:rsid w:val="00E95D1B"/>
    <w:rsid w:val="00E95E01"/>
    <w:rsid w:val="00E96519"/>
    <w:rsid w:val="00E96E89"/>
    <w:rsid w:val="00E9703A"/>
    <w:rsid w:val="00E9710D"/>
    <w:rsid w:val="00E9721D"/>
    <w:rsid w:val="00E97398"/>
    <w:rsid w:val="00E9779F"/>
    <w:rsid w:val="00E97879"/>
    <w:rsid w:val="00E97BCD"/>
    <w:rsid w:val="00EA0490"/>
    <w:rsid w:val="00EA1ADA"/>
    <w:rsid w:val="00EA1B5C"/>
    <w:rsid w:val="00EA3004"/>
    <w:rsid w:val="00EA31C2"/>
    <w:rsid w:val="00EA355D"/>
    <w:rsid w:val="00EA35A5"/>
    <w:rsid w:val="00EA3915"/>
    <w:rsid w:val="00EA4073"/>
    <w:rsid w:val="00EA53BD"/>
    <w:rsid w:val="00EA5B25"/>
    <w:rsid w:val="00EA693C"/>
    <w:rsid w:val="00EA6ED8"/>
    <w:rsid w:val="00EA6EEB"/>
    <w:rsid w:val="00EA737B"/>
    <w:rsid w:val="00EA75E1"/>
    <w:rsid w:val="00EA7995"/>
    <w:rsid w:val="00EA7DE5"/>
    <w:rsid w:val="00EA7E64"/>
    <w:rsid w:val="00EB05D4"/>
    <w:rsid w:val="00EB07BC"/>
    <w:rsid w:val="00EB0B39"/>
    <w:rsid w:val="00EB1ACF"/>
    <w:rsid w:val="00EB1B3F"/>
    <w:rsid w:val="00EB21B0"/>
    <w:rsid w:val="00EB2490"/>
    <w:rsid w:val="00EB27D1"/>
    <w:rsid w:val="00EB2C31"/>
    <w:rsid w:val="00EB2E04"/>
    <w:rsid w:val="00EB2E17"/>
    <w:rsid w:val="00EB4259"/>
    <w:rsid w:val="00EB43D4"/>
    <w:rsid w:val="00EB4519"/>
    <w:rsid w:val="00EB49B0"/>
    <w:rsid w:val="00EB514B"/>
    <w:rsid w:val="00EB5611"/>
    <w:rsid w:val="00EB5BBD"/>
    <w:rsid w:val="00EB5CFA"/>
    <w:rsid w:val="00EB5D31"/>
    <w:rsid w:val="00EB61D2"/>
    <w:rsid w:val="00EB671D"/>
    <w:rsid w:val="00EB6745"/>
    <w:rsid w:val="00EB6A9A"/>
    <w:rsid w:val="00EB6B6E"/>
    <w:rsid w:val="00EB787B"/>
    <w:rsid w:val="00EB7FFE"/>
    <w:rsid w:val="00EC0185"/>
    <w:rsid w:val="00EC06A6"/>
    <w:rsid w:val="00EC0D04"/>
    <w:rsid w:val="00EC0F26"/>
    <w:rsid w:val="00EC1D48"/>
    <w:rsid w:val="00EC1EB4"/>
    <w:rsid w:val="00EC3092"/>
    <w:rsid w:val="00EC3A2D"/>
    <w:rsid w:val="00EC4097"/>
    <w:rsid w:val="00EC4254"/>
    <w:rsid w:val="00EC445F"/>
    <w:rsid w:val="00EC45B3"/>
    <w:rsid w:val="00EC5C37"/>
    <w:rsid w:val="00EC649A"/>
    <w:rsid w:val="00EC672C"/>
    <w:rsid w:val="00EC6EF2"/>
    <w:rsid w:val="00EC71AD"/>
    <w:rsid w:val="00EC720F"/>
    <w:rsid w:val="00EC77BC"/>
    <w:rsid w:val="00EC7C87"/>
    <w:rsid w:val="00EC7FE6"/>
    <w:rsid w:val="00ED05E1"/>
    <w:rsid w:val="00ED0A5B"/>
    <w:rsid w:val="00ED0C93"/>
    <w:rsid w:val="00ED15CD"/>
    <w:rsid w:val="00ED16C9"/>
    <w:rsid w:val="00ED18D3"/>
    <w:rsid w:val="00ED1F39"/>
    <w:rsid w:val="00ED1FC9"/>
    <w:rsid w:val="00ED237F"/>
    <w:rsid w:val="00ED288A"/>
    <w:rsid w:val="00ED2E9B"/>
    <w:rsid w:val="00ED2FB5"/>
    <w:rsid w:val="00ED3614"/>
    <w:rsid w:val="00ED3622"/>
    <w:rsid w:val="00ED40A4"/>
    <w:rsid w:val="00ED4385"/>
    <w:rsid w:val="00ED471D"/>
    <w:rsid w:val="00ED4FD4"/>
    <w:rsid w:val="00ED5476"/>
    <w:rsid w:val="00ED57E1"/>
    <w:rsid w:val="00ED5E75"/>
    <w:rsid w:val="00ED6F6C"/>
    <w:rsid w:val="00ED7144"/>
    <w:rsid w:val="00ED747B"/>
    <w:rsid w:val="00EE0806"/>
    <w:rsid w:val="00EE0D3F"/>
    <w:rsid w:val="00EE0ECB"/>
    <w:rsid w:val="00EE1827"/>
    <w:rsid w:val="00EE1E1F"/>
    <w:rsid w:val="00EE2196"/>
    <w:rsid w:val="00EE2269"/>
    <w:rsid w:val="00EE22D7"/>
    <w:rsid w:val="00EE2B46"/>
    <w:rsid w:val="00EE2D12"/>
    <w:rsid w:val="00EE32DB"/>
    <w:rsid w:val="00EE3840"/>
    <w:rsid w:val="00EE45D2"/>
    <w:rsid w:val="00EE4AB4"/>
    <w:rsid w:val="00EE4FC8"/>
    <w:rsid w:val="00EE544F"/>
    <w:rsid w:val="00EE58D3"/>
    <w:rsid w:val="00EE5BDB"/>
    <w:rsid w:val="00EE6286"/>
    <w:rsid w:val="00EE65B9"/>
    <w:rsid w:val="00EE6D69"/>
    <w:rsid w:val="00EE6E36"/>
    <w:rsid w:val="00EE7273"/>
    <w:rsid w:val="00EE7A31"/>
    <w:rsid w:val="00EF0813"/>
    <w:rsid w:val="00EF0C88"/>
    <w:rsid w:val="00EF417C"/>
    <w:rsid w:val="00EF44D0"/>
    <w:rsid w:val="00EF44EB"/>
    <w:rsid w:val="00EF4598"/>
    <w:rsid w:val="00EF4603"/>
    <w:rsid w:val="00EF4628"/>
    <w:rsid w:val="00EF5DC5"/>
    <w:rsid w:val="00EF6C42"/>
    <w:rsid w:val="00EF79B3"/>
    <w:rsid w:val="00EF7DF4"/>
    <w:rsid w:val="00F0053A"/>
    <w:rsid w:val="00F00750"/>
    <w:rsid w:val="00F008A5"/>
    <w:rsid w:val="00F008A8"/>
    <w:rsid w:val="00F01E17"/>
    <w:rsid w:val="00F023F4"/>
    <w:rsid w:val="00F02C41"/>
    <w:rsid w:val="00F03872"/>
    <w:rsid w:val="00F04556"/>
    <w:rsid w:val="00F05291"/>
    <w:rsid w:val="00F05B7F"/>
    <w:rsid w:val="00F05D50"/>
    <w:rsid w:val="00F065EE"/>
    <w:rsid w:val="00F06B41"/>
    <w:rsid w:val="00F0713A"/>
    <w:rsid w:val="00F07178"/>
    <w:rsid w:val="00F07371"/>
    <w:rsid w:val="00F07906"/>
    <w:rsid w:val="00F07B17"/>
    <w:rsid w:val="00F10A7D"/>
    <w:rsid w:val="00F112A4"/>
    <w:rsid w:val="00F11543"/>
    <w:rsid w:val="00F11545"/>
    <w:rsid w:val="00F11F04"/>
    <w:rsid w:val="00F1205D"/>
    <w:rsid w:val="00F12C6E"/>
    <w:rsid w:val="00F13734"/>
    <w:rsid w:val="00F13918"/>
    <w:rsid w:val="00F13B22"/>
    <w:rsid w:val="00F1431E"/>
    <w:rsid w:val="00F14656"/>
    <w:rsid w:val="00F1492A"/>
    <w:rsid w:val="00F14C27"/>
    <w:rsid w:val="00F14C53"/>
    <w:rsid w:val="00F15417"/>
    <w:rsid w:val="00F15468"/>
    <w:rsid w:val="00F15633"/>
    <w:rsid w:val="00F158F8"/>
    <w:rsid w:val="00F16920"/>
    <w:rsid w:val="00F16947"/>
    <w:rsid w:val="00F16CD3"/>
    <w:rsid w:val="00F17C6A"/>
    <w:rsid w:val="00F17C9A"/>
    <w:rsid w:val="00F17F8F"/>
    <w:rsid w:val="00F20F03"/>
    <w:rsid w:val="00F213CA"/>
    <w:rsid w:val="00F2142B"/>
    <w:rsid w:val="00F226D5"/>
    <w:rsid w:val="00F22F2E"/>
    <w:rsid w:val="00F2336B"/>
    <w:rsid w:val="00F23436"/>
    <w:rsid w:val="00F2396F"/>
    <w:rsid w:val="00F2478B"/>
    <w:rsid w:val="00F256F7"/>
    <w:rsid w:val="00F25DA2"/>
    <w:rsid w:val="00F264F7"/>
    <w:rsid w:val="00F26743"/>
    <w:rsid w:val="00F26BE5"/>
    <w:rsid w:val="00F26EC5"/>
    <w:rsid w:val="00F26FC8"/>
    <w:rsid w:val="00F27449"/>
    <w:rsid w:val="00F2779B"/>
    <w:rsid w:val="00F27895"/>
    <w:rsid w:val="00F30366"/>
    <w:rsid w:val="00F31218"/>
    <w:rsid w:val="00F3158E"/>
    <w:rsid w:val="00F318CF"/>
    <w:rsid w:val="00F31B34"/>
    <w:rsid w:val="00F32B3B"/>
    <w:rsid w:val="00F339BD"/>
    <w:rsid w:val="00F33C5C"/>
    <w:rsid w:val="00F33DF5"/>
    <w:rsid w:val="00F33F09"/>
    <w:rsid w:val="00F33F20"/>
    <w:rsid w:val="00F340BE"/>
    <w:rsid w:val="00F3419E"/>
    <w:rsid w:val="00F34AA5"/>
    <w:rsid w:val="00F34AC9"/>
    <w:rsid w:val="00F350C6"/>
    <w:rsid w:val="00F3536E"/>
    <w:rsid w:val="00F35706"/>
    <w:rsid w:val="00F35725"/>
    <w:rsid w:val="00F359C1"/>
    <w:rsid w:val="00F35A64"/>
    <w:rsid w:val="00F35B1D"/>
    <w:rsid w:val="00F3693A"/>
    <w:rsid w:val="00F36C5F"/>
    <w:rsid w:val="00F36E10"/>
    <w:rsid w:val="00F36FF5"/>
    <w:rsid w:val="00F37362"/>
    <w:rsid w:val="00F37585"/>
    <w:rsid w:val="00F3768A"/>
    <w:rsid w:val="00F37928"/>
    <w:rsid w:val="00F37BCB"/>
    <w:rsid w:val="00F37CD9"/>
    <w:rsid w:val="00F37E15"/>
    <w:rsid w:val="00F4016D"/>
    <w:rsid w:val="00F401C9"/>
    <w:rsid w:val="00F403EF"/>
    <w:rsid w:val="00F40FB6"/>
    <w:rsid w:val="00F41090"/>
    <w:rsid w:val="00F410DE"/>
    <w:rsid w:val="00F4116B"/>
    <w:rsid w:val="00F41449"/>
    <w:rsid w:val="00F4146E"/>
    <w:rsid w:val="00F41B82"/>
    <w:rsid w:val="00F424CD"/>
    <w:rsid w:val="00F42FEB"/>
    <w:rsid w:val="00F43A90"/>
    <w:rsid w:val="00F43BAA"/>
    <w:rsid w:val="00F43BB9"/>
    <w:rsid w:val="00F43C7A"/>
    <w:rsid w:val="00F44089"/>
    <w:rsid w:val="00F45287"/>
    <w:rsid w:val="00F452D7"/>
    <w:rsid w:val="00F45462"/>
    <w:rsid w:val="00F454E4"/>
    <w:rsid w:val="00F45898"/>
    <w:rsid w:val="00F45C96"/>
    <w:rsid w:val="00F47298"/>
    <w:rsid w:val="00F474CE"/>
    <w:rsid w:val="00F47971"/>
    <w:rsid w:val="00F501B4"/>
    <w:rsid w:val="00F504A1"/>
    <w:rsid w:val="00F508BA"/>
    <w:rsid w:val="00F50BF0"/>
    <w:rsid w:val="00F50EB4"/>
    <w:rsid w:val="00F50EC1"/>
    <w:rsid w:val="00F5152D"/>
    <w:rsid w:val="00F51D40"/>
    <w:rsid w:val="00F521C1"/>
    <w:rsid w:val="00F5242C"/>
    <w:rsid w:val="00F524EF"/>
    <w:rsid w:val="00F532AE"/>
    <w:rsid w:val="00F53447"/>
    <w:rsid w:val="00F5396D"/>
    <w:rsid w:val="00F54506"/>
    <w:rsid w:val="00F54780"/>
    <w:rsid w:val="00F547C3"/>
    <w:rsid w:val="00F5547A"/>
    <w:rsid w:val="00F55817"/>
    <w:rsid w:val="00F558F1"/>
    <w:rsid w:val="00F5590D"/>
    <w:rsid w:val="00F56265"/>
    <w:rsid w:val="00F569F8"/>
    <w:rsid w:val="00F56AFC"/>
    <w:rsid w:val="00F5734A"/>
    <w:rsid w:val="00F60747"/>
    <w:rsid w:val="00F607A6"/>
    <w:rsid w:val="00F60C8C"/>
    <w:rsid w:val="00F60CE9"/>
    <w:rsid w:val="00F61719"/>
    <w:rsid w:val="00F61A2D"/>
    <w:rsid w:val="00F61FFE"/>
    <w:rsid w:val="00F62034"/>
    <w:rsid w:val="00F625AF"/>
    <w:rsid w:val="00F625B5"/>
    <w:rsid w:val="00F629A6"/>
    <w:rsid w:val="00F62A23"/>
    <w:rsid w:val="00F62BF2"/>
    <w:rsid w:val="00F62EF1"/>
    <w:rsid w:val="00F62F25"/>
    <w:rsid w:val="00F6331B"/>
    <w:rsid w:val="00F6338C"/>
    <w:rsid w:val="00F6338E"/>
    <w:rsid w:val="00F63655"/>
    <w:rsid w:val="00F63B6E"/>
    <w:rsid w:val="00F63C50"/>
    <w:rsid w:val="00F63F89"/>
    <w:rsid w:val="00F6407F"/>
    <w:rsid w:val="00F64094"/>
    <w:rsid w:val="00F64385"/>
    <w:rsid w:val="00F64756"/>
    <w:rsid w:val="00F64B0A"/>
    <w:rsid w:val="00F64CDA"/>
    <w:rsid w:val="00F65252"/>
    <w:rsid w:val="00F65778"/>
    <w:rsid w:val="00F65AD2"/>
    <w:rsid w:val="00F66C7F"/>
    <w:rsid w:val="00F66DDF"/>
    <w:rsid w:val="00F67675"/>
    <w:rsid w:val="00F677C6"/>
    <w:rsid w:val="00F67B33"/>
    <w:rsid w:val="00F67E33"/>
    <w:rsid w:val="00F67FF9"/>
    <w:rsid w:val="00F70343"/>
    <w:rsid w:val="00F7060A"/>
    <w:rsid w:val="00F70789"/>
    <w:rsid w:val="00F70C06"/>
    <w:rsid w:val="00F70E77"/>
    <w:rsid w:val="00F71788"/>
    <w:rsid w:val="00F717BE"/>
    <w:rsid w:val="00F7191F"/>
    <w:rsid w:val="00F72249"/>
    <w:rsid w:val="00F72E43"/>
    <w:rsid w:val="00F7312E"/>
    <w:rsid w:val="00F73C57"/>
    <w:rsid w:val="00F74094"/>
    <w:rsid w:val="00F74478"/>
    <w:rsid w:val="00F744F9"/>
    <w:rsid w:val="00F746AF"/>
    <w:rsid w:val="00F74975"/>
    <w:rsid w:val="00F75241"/>
    <w:rsid w:val="00F75995"/>
    <w:rsid w:val="00F76179"/>
    <w:rsid w:val="00F76A4E"/>
    <w:rsid w:val="00F7714C"/>
    <w:rsid w:val="00F7734E"/>
    <w:rsid w:val="00F778A4"/>
    <w:rsid w:val="00F77CFE"/>
    <w:rsid w:val="00F800B0"/>
    <w:rsid w:val="00F80212"/>
    <w:rsid w:val="00F80752"/>
    <w:rsid w:val="00F809D3"/>
    <w:rsid w:val="00F809F9"/>
    <w:rsid w:val="00F81092"/>
    <w:rsid w:val="00F817C5"/>
    <w:rsid w:val="00F8196F"/>
    <w:rsid w:val="00F81EF0"/>
    <w:rsid w:val="00F8203D"/>
    <w:rsid w:val="00F827F9"/>
    <w:rsid w:val="00F829C3"/>
    <w:rsid w:val="00F82B40"/>
    <w:rsid w:val="00F82B9B"/>
    <w:rsid w:val="00F83467"/>
    <w:rsid w:val="00F8347C"/>
    <w:rsid w:val="00F83552"/>
    <w:rsid w:val="00F835A0"/>
    <w:rsid w:val="00F839F0"/>
    <w:rsid w:val="00F83BFF"/>
    <w:rsid w:val="00F83F93"/>
    <w:rsid w:val="00F844EB"/>
    <w:rsid w:val="00F8454B"/>
    <w:rsid w:val="00F84554"/>
    <w:rsid w:val="00F85E59"/>
    <w:rsid w:val="00F85EEF"/>
    <w:rsid w:val="00F8601D"/>
    <w:rsid w:val="00F876EA"/>
    <w:rsid w:val="00F87B2D"/>
    <w:rsid w:val="00F87C66"/>
    <w:rsid w:val="00F87F56"/>
    <w:rsid w:val="00F91795"/>
    <w:rsid w:val="00F9277E"/>
    <w:rsid w:val="00F92967"/>
    <w:rsid w:val="00F92D2E"/>
    <w:rsid w:val="00F9351F"/>
    <w:rsid w:val="00F93A7B"/>
    <w:rsid w:val="00F93BAE"/>
    <w:rsid w:val="00F940C0"/>
    <w:rsid w:val="00F9481E"/>
    <w:rsid w:val="00F9487E"/>
    <w:rsid w:val="00F948EC"/>
    <w:rsid w:val="00F94E81"/>
    <w:rsid w:val="00F95305"/>
    <w:rsid w:val="00F9612A"/>
    <w:rsid w:val="00F96467"/>
    <w:rsid w:val="00F965D7"/>
    <w:rsid w:val="00F96AEB"/>
    <w:rsid w:val="00F96D13"/>
    <w:rsid w:val="00F9793B"/>
    <w:rsid w:val="00F97A6F"/>
    <w:rsid w:val="00F97B56"/>
    <w:rsid w:val="00F97F98"/>
    <w:rsid w:val="00FA04B0"/>
    <w:rsid w:val="00FA04DB"/>
    <w:rsid w:val="00FA0BF0"/>
    <w:rsid w:val="00FA0C54"/>
    <w:rsid w:val="00FA0CAD"/>
    <w:rsid w:val="00FA1BD7"/>
    <w:rsid w:val="00FA26C7"/>
    <w:rsid w:val="00FA273E"/>
    <w:rsid w:val="00FA2A06"/>
    <w:rsid w:val="00FA2D74"/>
    <w:rsid w:val="00FA344B"/>
    <w:rsid w:val="00FA3C5B"/>
    <w:rsid w:val="00FA3ECC"/>
    <w:rsid w:val="00FA4243"/>
    <w:rsid w:val="00FA448B"/>
    <w:rsid w:val="00FA4C3C"/>
    <w:rsid w:val="00FA50DB"/>
    <w:rsid w:val="00FA5B8C"/>
    <w:rsid w:val="00FA5E32"/>
    <w:rsid w:val="00FA6541"/>
    <w:rsid w:val="00FA6643"/>
    <w:rsid w:val="00FA6D28"/>
    <w:rsid w:val="00FA7B09"/>
    <w:rsid w:val="00FA7F6D"/>
    <w:rsid w:val="00FB066F"/>
    <w:rsid w:val="00FB0981"/>
    <w:rsid w:val="00FB1221"/>
    <w:rsid w:val="00FB158E"/>
    <w:rsid w:val="00FB1855"/>
    <w:rsid w:val="00FB1A60"/>
    <w:rsid w:val="00FB1AEC"/>
    <w:rsid w:val="00FB1E29"/>
    <w:rsid w:val="00FB2103"/>
    <w:rsid w:val="00FB22FC"/>
    <w:rsid w:val="00FB2527"/>
    <w:rsid w:val="00FB3E97"/>
    <w:rsid w:val="00FB3ED4"/>
    <w:rsid w:val="00FB43B1"/>
    <w:rsid w:val="00FB49AE"/>
    <w:rsid w:val="00FB4DAD"/>
    <w:rsid w:val="00FB5520"/>
    <w:rsid w:val="00FB552E"/>
    <w:rsid w:val="00FB5AB4"/>
    <w:rsid w:val="00FB6E44"/>
    <w:rsid w:val="00FB7815"/>
    <w:rsid w:val="00FB7C17"/>
    <w:rsid w:val="00FC07D4"/>
    <w:rsid w:val="00FC0AA2"/>
    <w:rsid w:val="00FC1CAF"/>
    <w:rsid w:val="00FC1E2E"/>
    <w:rsid w:val="00FC1ECD"/>
    <w:rsid w:val="00FC2320"/>
    <w:rsid w:val="00FC2984"/>
    <w:rsid w:val="00FC2B31"/>
    <w:rsid w:val="00FC2CBB"/>
    <w:rsid w:val="00FC3179"/>
    <w:rsid w:val="00FC3270"/>
    <w:rsid w:val="00FC3385"/>
    <w:rsid w:val="00FC35AF"/>
    <w:rsid w:val="00FC4044"/>
    <w:rsid w:val="00FC4419"/>
    <w:rsid w:val="00FC473D"/>
    <w:rsid w:val="00FC4C73"/>
    <w:rsid w:val="00FC4E4A"/>
    <w:rsid w:val="00FC4FFC"/>
    <w:rsid w:val="00FC5565"/>
    <w:rsid w:val="00FC59D8"/>
    <w:rsid w:val="00FC5FD4"/>
    <w:rsid w:val="00FC64CD"/>
    <w:rsid w:val="00FC6537"/>
    <w:rsid w:val="00FC68B4"/>
    <w:rsid w:val="00FC76EB"/>
    <w:rsid w:val="00FC7885"/>
    <w:rsid w:val="00FD0281"/>
    <w:rsid w:val="00FD05FB"/>
    <w:rsid w:val="00FD1287"/>
    <w:rsid w:val="00FD12CE"/>
    <w:rsid w:val="00FD19CC"/>
    <w:rsid w:val="00FD2426"/>
    <w:rsid w:val="00FD304F"/>
    <w:rsid w:val="00FD351B"/>
    <w:rsid w:val="00FD3DAE"/>
    <w:rsid w:val="00FD3E8C"/>
    <w:rsid w:val="00FD56AF"/>
    <w:rsid w:val="00FD61CC"/>
    <w:rsid w:val="00FD648D"/>
    <w:rsid w:val="00FD6550"/>
    <w:rsid w:val="00FD66AF"/>
    <w:rsid w:val="00FD6BD0"/>
    <w:rsid w:val="00FD6BE2"/>
    <w:rsid w:val="00FD6D22"/>
    <w:rsid w:val="00FD70D5"/>
    <w:rsid w:val="00FD7218"/>
    <w:rsid w:val="00FD77A5"/>
    <w:rsid w:val="00FD7A91"/>
    <w:rsid w:val="00FD7F5C"/>
    <w:rsid w:val="00FE042B"/>
    <w:rsid w:val="00FE049D"/>
    <w:rsid w:val="00FE19C0"/>
    <w:rsid w:val="00FE23E1"/>
    <w:rsid w:val="00FE259A"/>
    <w:rsid w:val="00FE2749"/>
    <w:rsid w:val="00FE27DD"/>
    <w:rsid w:val="00FE2A09"/>
    <w:rsid w:val="00FE2BAB"/>
    <w:rsid w:val="00FE2C60"/>
    <w:rsid w:val="00FE3296"/>
    <w:rsid w:val="00FE393C"/>
    <w:rsid w:val="00FE3D0F"/>
    <w:rsid w:val="00FE3FFA"/>
    <w:rsid w:val="00FE4003"/>
    <w:rsid w:val="00FE406E"/>
    <w:rsid w:val="00FE452D"/>
    <w:rsid w:val="00FE54A6"/>
    <w:rsid w:val="00FE596B"/>
    <w:rsid w:val="00FE5B31"/>
    <w:rsid w:val="00FE7681"/>
    <w:rsid w:val="00FE7965"/>
    <w:rsid w:val="00FE7DA3"/>
    <w:rsid w:val="00FE7EED"/>
    <w:rsid w:val="00FF0141"/>
    <w:rsid w:val="00FF0403"/>
    <w:rsid w:val="00FF0945"/>
    <w:rsid w:val="00FF098F"/>
    <w:rsid w:val="00FF0EF4"/>
    <w:rsid w:val="00FF2363"/>
    <w:rsid w:val="00FF2C2C"/>
    <w:rsid w:val="00FF2D0F"/>
    <w:rsid w:val="00FF2EEB"/>
    <w:rsid w:val="00FF3190"/>
    <w:rsid w:val="00FF3661"/>
    <w:rsid w:val="00FF37F7"/>
    <w:rsid w:val="00FF3860"/>
    <w:rsid w:val="00FF386D"/>
    <w:rsid w:val="00FF3F30"/>
    <w:rsid w:val="00FF4658"/>
    <w:rsid w:val="00FF4F31"/>
    <w:rsid w:val="00FF4FF4"/>
    <w:rsid w:val="00FF5107"/>
    <w:rsid w:val="00FF532A"/>
    <w:rsid w:val="00FF55B8"/>
    <w:rsid w:val="00FF586D"/>
    <w:rsid w:val="00FF5DDB"/>
    <w:rsid w:val="00FF66E7"/>
    <w:rsid w:val="00FF691C"/>
    <w:rsid w:val="00FF6993"/>
    <w:rsid w:val="00FF730E"/>
    <w:rsid w:val="00FF7457"/>
    <w:rsid w:val="00FF75B0"/>
    <w:rsid w:val="00FF78A1"/>
    <w:rsid w:val="00FF7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E"/>
    <w:rPr>
      <w:sz w:val="24"/>
      <w:lang w:val="en-GB" w:eastAsia="en-US"/>
    </w:rPr>
  </w:style>
  <w:style w:type="paragraph" w:styleId="Heading1">
    <w:name w:val="heading 1"/>
    <w:basedOn w:val="Normal"/>
    <w:next w:val="Normal"/>
    <w:qFormat/>
    <w:rsid w:val="0000287E"/>
    <w:pPr>
      <w:numPr>
        <w:numId w:val="2"/>
      </w:numPr>
      <w:spacing w:before="1800" w:after="1800" w:line="480" w:lineRule="exact"/>
      <w:ind w:right="1418"/>
      <w:jc w:val="center"/>
      <w:outlineLvl w:val="0"/>
    </w:pPr>
    <w:rPr>
      <w:b/>
      <w:sz w:val="48"/>
    </w:rPr>
  </w:style>
  <w:style w:type="paragraph" w:styleId="Heading2">
    <w:name w:val="heading 2"/>
    <w:basedOn w:val="Normal"/>
    <w:next w:val="FirstPara"/>
    <w:link w:val="Heading2Char"/>
    <w:qFormat/>
    <w:rsid w:val="0000287E"/>
    <w:pPr>
      <w:keepNext/>
      <w:numPr>
        <w:ilvl w:val="1"/>
        <w:numId w:val="2"/>
      </w:numPr>
      <w:spacing w:before="240" w:line="480" w:lineRule="exact"/>
      <w:outlineLvl w:val="1"/>
    </w:pPr>
    <w:rPr>
      <w:b/>
    </w:rPr>
  </w:style>
  <w:style w:type="paragraph" w:styleId="Heading3">
    <w:name w:val="heading 3"/>
    <w:basedOn w:val="Normal"/>
    <w:next w:val="FirstPara"/>
    <w:link w:val="Heading3Char"/>
    <w:qFormat/>
    <w:rsid w:val="0000287E"/>
    <w:pPr>
      <w:keepNext/>
      <w:numPr>
        <w:ilvl w:val="2"/>
        <w:numId w:val="2"/>
      </w:numPr>
      <w:spacing w:before="240" w:line="360" w:lineRule="exact"/>
      <w:outlineLvl w:val="2"/>
    </w:pPr>
    <w:rPr>
      <w:u w:val="single"/>
    </w:rPr>
  </w:style>
  <w:style w:type="paragraph" w:styleId="Heading4">
    <w:name w:val="heading 4"/>
    <w:basedOn w:val="Normal"/>
    <w:next w:val="FirstPara"/>
    <w:link w:val="Heading4Char"/>
    <w:qFormat/>
    <w:rsid w:val="0000287E"/>
    <w:pPr>
      <w:keepNext/>
      <w:numPr>
        <w:ilvl w:val="3"/>
        <w:numId w:val="2"/>
      </w:numPr>
      <w:spacing w:before="240" w:line="360" w:lineRule="exact"/>
      <w:outlineLvl w:val="3"/>
    </w:pPr>
    <w:rPr>
      <w:i/>
    </w:rPr>
  </w:style>
  <w:style w:type="paragraph" w:styleId="Heading5">
    <w:name w:val="heading 5"/>
    <w:basedOn w:val="Normal"/>
    <w:next w:val="Normal"/>
    <w:qFormat/>
    <w:rsid w:val="0000287E"/>
    <w:pPr>
      <w:keepNext/>
      <w:numPr>
        <w:ilvl w:val="4"/>
        <w:numId w:val="2"/>
      </w:numPr>
      <w:outlineLvl w:val="4"/>
    </w:pPr>
    <w:rPr>
      <w:b/>
      <w:bCs/>
      <w:sz w:val="20"/>
      <w:lang w:val="en-US"/>
    </w:rPr>
  </w:style>
  <w:style w:type="paragraph" w:styleId="Heading6">
    <w:name w:val="heading 6"/>
    <w:basedOn w:val="Normal"/>
    <w:next w:val="Normal"/>
    <w:qFormat/>
    <w:rsid w:val="0000287E"/>
    <w:pPr>
      <w:keepNext/>
      <w:numPr>
        <w:ilvl w:val="5"/>
        <w:numId w:val="2"/>
      </w:numPr>
      <w:jc w:val="center"/>
      <w:outlineLvl w:val="5"/>
    </w:pPr>
    <w:rPr>
      <w:b/>
      <w:bCs/>
      <w:sz w:val="20"/>
    </w:rPr>
  </w:style>
  <w:style w:type="paragraph" w:styleId="Heading7">
    <w:name w:val="heading 7"/>
    <w:basedOn w:val="Normal"/>
    <w:next w:val="Normal"/>
    <w:qFormat/>
    <w:rsid w:val="0000287E"/>
    <w:pPr>
      <w:numPr>
        <w:ilvl w:val="6"/>
        <w:numId w:val="2"/>
      </w:numPr>
      <w:outlineLvl w:val="6"/>
    </w:pPr>
    <w:rPr>
      <w:rFonts w:ascii="Arial" w:hAnsi="Arial"/>
      <w:i/>
      <w:sz w:val="20"/>
    </w:rPr>
  </w:style>
  <w:style w:type="paragraph" w:styleId="Heading8">
    <w:name w:val="heading 8"/>
    <w:basedOn w:val="Normal"/>
    <w:next w:val="Centre"/>
    <w:qFormat/>
    <w:rsid w:val="0000287E"/>
    <w:pPr>
      <w:keepNext/>
      <w:numPr>
        <w:ilvl w:val="7"/>
        <w:numId w:val="2"/>
      </w:numPr>
      <w:spacing w:before="240" w:after="240" w:line="360" w:lineRule="atLeast"/>
      <w:outlineLvl w:val="7"/>
    </w:pPr>
    <w:rPr>
      <w:b/>
    </w:rPr>
  </w:style>
  <w:style w:type="paragraph" w:styleId="Heading9">
    <w:name w:val="heading 9"/>
    <w:basedOn w:val="Normal"/>
    <w:next w:val="Centre"/>
    <w:qFormat/>
    <w:rsid w:val="0000287E"/>
    <w:pPr>
      <w:keepNext/>
      <w:numPr>
        <w:ilvl w:val="8"/>
        <w:numId w:val="2"/>
      </w:numPr>
      <w:tabs>
        <w:tab w:val="left" w:pos="1701"/>
      </w:tabs>
      <w:spacing w:before="120" w:after="120" w:line="360" w:lineRule="auto"/>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
    <w:name w:val="First Para"/>
    <w:basedOn w:val="Normal"/>
    <w:next w:val="MainPara"/>
    <w:rsid w:val="0000287E"/>
    <w:pPr>
      <w:spacing w:before="240" w:line="360" w:lineRule="exact"/>
      <w:jc w:val="both"/>
    </w:pPr>
  </w:style>
  <w:style w:type="paragraph" w:customStyle="1" w:styleId="MainPara">
    <w:name w:val="Main Para"/>
    <w:basedOn w:val="Normal"/>
    <w:rsid w:val="0000287E"/>
    <w:pPr>
      <w:spacing w:before="240" w:line="360" w:lineRule="exact"/>
      <w:ind w:left="20" w:firstLine="320"/>
      <w:jc w:val="both"/>
    </w:pPr>
  </w:style>
  <w:style w:type="paragraph" w:customStyle="1" w:styleId="Centre">
    <w:name w:val="Centre"/>
    <w:basedOn w:val="Normal"/>
    <w:rsid w:val="0000287E"/>
    <w:pPr>
      <w:spacing w:before="240" w:after="240" w:line="480" w:lineRule="auto"/>
      <w:jc w:val="center"/>
    </w:pPr>
  </w:style>
  <w:style w:type="paragraph" w:customStyle="1" w:styleId="Abstract">
    <w:name w:val="Abstract"/>
    <w:basedOn w:val="Normal"/>
    <w:rsid w:val="0000287E"/>
    <w:pPr>
      <w:spacing w:before="240" w:line="360" w:lineRule="atLeast"/>
      <w:ind w:left="567" w:right="567"/>
      <w:jc w:val="both"/>
    </w:pPr>
    <w:rPr>
      <w:rFonts w:ascii="Times" w:hAnsi="Times"/>
      <w:i/>
    </w:rPr>
  </w:style>
  <w:style w:type="character" w:styleId="EndnoteReference">
    <w:name w:val="endnote reference"/>
    <w:semiHidden/>
    <w:rsid w:val="0000287E"/>
    <w:rPr>
      <w:vertAlign w:val="superscript"/>
    </w:rPr>
  </w:style>
  <w:style w:type="paragraph" w:customStyle="1" w:styleId="Equation">
    <w:name w:val="Equation"/>
    <w:basedOn w:val="Normal"/>
    <w:next w:val="Normal"/>
    <w:rsid w:val="0000287E"/>
    <w:pPr>
      <w:tabs>
        <w:tab w:val="right" w:pos="8940"/>
      </w:tabs>
      <w:spacing w:before="240"/>
      <w:ind w:left="560"/>
    </w:pPr>
  </w:style>
  <w:style w:type="paragraph" w:styleId="Footer">
    <w:name w:val="footer"/>
    <w:basedOn w:val="Normal"/>
    <w:link w:val="FooterChar"/>
    <w:uiPriority w:val="99"/>
    <w:rsid w:val="0000287E"/>
    <w:pPr>
      <w:tabs>
        <w:tab w:val="center" w:pos="4320"/>
        <w:tab w:val="right" w:pos="8640"/>
      </w:tabs>
      <w:jc w:val="center"/>
    </w:pPr>
    <w:rPr>
      <w:rFonts w:ascii="Times" w:hAnsi="Times"/>
      <w:sz w:val="20"/>
    </w:rPr>
  </w:style>
  <w:style w:type="paragraph" w:customStyle="1" w:styleId="footnoteeqn">
    <w:name w:val="footnote eqn"/>
    <w:basedOn w:val="FootnoteText"/>
    <w:next w:val="FootnoteText"/>
    <w:rsid w:val="0000287E"/>
    <w:pPr>
      <w:ind w:left="840" w:firstLine="11"/>
    </w:pPr>
  </w:style>
  <w:style w:type="paragraph" w:styleId="FootnoteText">
    <w:name w:val="footnote text"/>
    <w:basedOn w:val="Normal"/>
    <w:link w:val="FootnoteTextChar"/>
    <w:uiPriority w:val="99"/>
    <w:rsid w:val="0000287E"/>
    <w:pPr>
      <w:ind w:left="560" w:hanging="560"/>
      <w:jc w:val="both"/>
    </w:pPr>
    <w:rPr>
      <w:sz w:val="20"/>
    </w:rPr>
  </w:style>
  <w:style w:type="character" w:styleId="FootnoteReference">
    <w:name w:val="footnote reference"/>
    <w:uiPriority w:val="99"/>
    <w:rsid w:val="0000287E"/>
    <w:rPr>
      <w:rFonts w:ascii="Times" w:hAnsi="Times"/>
      <w:position w:val="6"/>
      <w:sz w:val="18"/>
    </w:rPr>
  </w:style>
  <w:style w:type="paragraph" w:customStyle="1" w:styleId="Hanging">
    <w:name w:val="Hanging"/>
    <w:basedOn w:val="FirstPara"/>
    <w:next w:val="FirstPara"/>
    <w:rsid w:val="0000287E"/>
    <w:pPr>
      <w:spacing w:before="0"/>
      <w:ind w:left="560" w:hanging="540"/>
      <w:jc w:val="left"/>
    </w:pPr>
  </w:style>
  <w:style w:type="paragraph" w:styleId="Header">
    <w:name w:val="header"/>
    <w:basedOn w:val="Normal"/>
    <w:semiHidden/>
    <w:rsid w:val="0000287E"/>
    <w:pPr>
      <w:jc w:val="center"/>
    </w:pPr>
    <w:rPr>
      <w:rFonts w:ascii="Times" w:hAnsi="Times"/>
      <w:i/>
    </w:rPr>
  </w:style>
  <w:style w:type="paragraph" w:customStyle="1" w:styleId="List1">
    <w:name w:val="List1"/>
    <w:basedOn w:val="Normal"/>
    <w:rsid w:val="0000287E"/>
    <w:pPr>
      <w:spacing w:line="360" w:lineRule="atLeast"/>
      <w:ind w:left="1121" w:hanging="561"/>
    </w:pPr>
  </w:style>
  <w:style w:type="paragraph" w:customStyle="1" w:styleId="NormalIndent1">
    <w:name w:val="Normal Indent1"/>
    <w:basedOn w:val="Normal"/>
    <w:next w:val="Normal"/>
    <w:rsid w:val="0000287E"/>
    <w:pPr>
      <w:spacing w:line="360" w:lineRule="atLeast"/>
      <w:ind w:left="720"/>
    </w:pPr>
  </w:style>
  <w:style w:type="paragraph" w:customStyle="1" w:styleId="ParaafterEqn">
    <w:name w:val="Para after Eqn"/>
    <w:basedOn w:val="FirstPara"/>
    <w:next w:val="MainPara"/>
    <w:rsid w:val="0000287E"/>
    <w:pPr>
      <w:spacing w:before="0" w:line="360" w:lineRule="atLeast"/>
    </w:pPr>
  </w:style>
  <w:style w:type="paragraph" w:styleId="Quote">
    <w:name w:val="Quote"/>
    <w:basedOn w:val="MainPara"/>
    <w:next w:val="FirstPara"/>
    <w:qFormat/>
    <w:rsid w:val="0000287E"/>
    <w:pPr>
      <w:spacing w:before="0"/>
      <w:ind w:left="560" w:right="580" w:firstLine="0"/>
    </w:pPr>
  </w:style>
  <w:style w:type="paragraph" w:customStyle="1" w:styleId="Table">
    <w:name w:val="Table"/>
    <w:basedOn w:val="Normal"/>
    <w:rsid w:val="0000287E"/>
    <w:pPr>
      <w:keepNext/>
      <w:spacing w:line="240" w:lineRule="atLeast"/>
    </w:pPr>
    <w:rPr>
      <w:sz w:val="20"/>
    </w:rPr>
  </w:style>
  <w:style w:type="paragraph" w:customStyle="1" w:styleId="where">
    <w:name w:val="where"/>
    <w:basedOn w:val="ParaafterEqn"/>
    <w:rsid w:val="0000287E"/>
    <w:pPr>
      <w:spacing w:line="240" w:lineRule="auto"/>
      <w:jc w:val="left"/>
    </w:pPr>
  </w:style>
  <w:style w:type="character" w:styleId="PageNumber">
    <w:name w:val="page number"/>
    <w:basedOn w:val="DefaultParagraphFont"/>
    <w:semiHidden/>
    <w:rsid w:val="0000287E"/>
  </w:style>
  <w:style w:type="character" w:styleId="Hyperlink">
    <w:name w:val="Hyperlink"/>
    <w:uiPriority w:val="99"/>
    <w:rsid w:val="0000287E"/>
    <w:rPr>
      <w:color w:val="0000FF"/>
      <w:u w:val="single"/>
    </w:rPr>
  </w:style>
  <w:style w:type="paragraph" w:customStyle="1" w:styleId="References">
    <w:name w:val="References"/>
    <w:basedOn w:val="Normal"/>
    <w:rsid w:val="0000287E"/>
    <w:pPr>
      <w:spacing w:line="360" w:lineRule="atLeast"/>
      <w:ind w:left="860" w:hanging="840"/>
    </w:pPr>
    <w:rPr>
      <w:sz w:val="20"/>
    </w:rPr>
  </w:style>
  <w:style w:type="paragraph" w:styleId="BodyText2">
    <w:name w:val="Body Text 2"/>
    <w:basedOn w:val="Normal"/>
    <w:semiHidden/>
    <w:rsid w:val="0000287E"/>
    <w:pPr>
      <w:spacing w:line="312" w:lineRule="auto"/>
      <w:jc w:val="both"/>
    </w:pPr>
    <w:rPr>
      <w:color w:val="000000"/>
    </w:rPr>
  </w:style>
  <w:style w:type="character" w:styleId="CommentReference">
    <w:name w:val="annotation reference"/>
    <w:semiHidden/>
    <w:rsid w:val="0000287E"/>
    <w:rPr>
      <w:sz w:val="16"/>
    </w:rPr>
  </w:style>
  <w:style w:type="paragraph" w:styleId="CommentText">
    <w:name w:val="annotation text"/>
    <w:basedOn w:val="Normal"/>
    <w:link w:val="CommentTextChar"/>
    <w:semiHidden/>
    <w:rsid w:val="0000287E"/>
    <w:rPr>
      <w:sz w:val="20"/>
    </w:rPr>
  </w:style>
  <w:style w:type="paragraph" w:customStyle="1" w:styleId="Matrix">
    <w:name w:val="Matrix"/>
    <w:basedOn w:val="Normal"/>
    <w:next w:val="MainPara"/>
    <w:rsid w:val="0000287E"/>
    <w:pPr>
      <w:spacing w:line="360" w:lineRule="auto"/>
      <w:jc w:val="center"/>
    </w:pPr>
  </w:style>
  <w:style w:type="paragraph" w:customStyle="1" w:styleId="Figure">
    <w:name w:val="Figure"/>
    <w:basedOn w:val="Matrix"/>
    <w:next w:val="MainPara"/>
    <w:rsid w:val="0000287E"/>
    <w:pPr>
      <w:spacing w:before="240"/>
    </w:pPr>
  </w:style>
  <w:style w:type="paragraph" w:customStyle="1" w:styleId="footnoteequation">
    <w:name w:val="footnote equation"/>
    <w:basedOn w:val="FootnoteText"/>
    <w:rsid w:val="0000287E"/>
    <w:pPr>
      <w:ind w:left="1701" w:hanging="567"/>
      <w:jc w:val="left"/>
    </w:pPr>
  </w:style>
  <w:style w:type="paragraph" w:customStyle="1" w:styleId="HangingPara">
    <w:name w:val="Hanging Para"/>
    <w:basedOn w:val="MainPara"/>
    <w:rsid w:val="0000287E"/>
    <w:pPr>
      <w:spacing w:line="360" w:lineRule="auto"/>
      <w:ind w:left="420" w:hanging="400"/>
      <w:jc w:val="left"/>
    </w:pPr>
  </w:style>
  <w:style w:type="paragraph" w:styleId="PlainText">
    <w:name w:val="Plain Text"/>
    <w:basedOn w:val="Normal"/>
    <w:semiHidden/>
    <w:rsid w:val="0000287E"/>
    <w:rPr>
      <w:rFonts w:ascii="Courier New" w:hAnsi="Courier New"/>
      <w:sz w:val="20"/>
    </w:rPr>
  </w:style>
  <w:style w:type="paragraph" w:customStyle="1" w:styleId="publications">
    <w:name w:val="publications"/>
    <w:basedOn w:val="Normal"/>
    <w:rsid w:val="0000287E"/>
    <w:pPr>
      <w:tabs>
        <w:tab w:val="left" w:pos="840"/>
      </w:tabs>
      <w:spacing w:line="360" w:lineRule="atLeast"/>
      <w:ind w:left="1400" w:hanging="1400"/>
    </w:pPr>
    <w:rPr>
      <w:noProof/>
      <w:sz w:val="20"/>
    </w:rPr>
  </w:style>
  <w:style w:type="paragraph" w:customStyle="1" w:styleId="source">
    <w:name w:val="source"/>
    <w:basedOn w:val="References"/>
    <w:next w:val="MainPara"/>
    <w:rsid w:val="0000287E"/>
    <w:pPr>
      <w:spacing w:line="300" w:lineRule="atLeast"/>
      <w:ind w:left="839" w:hanging="839"/>
    </w:pPr>
  </w:style>
  <w:style w:type="character" w:styleId="FollowedHyperlink">
    <w:name w:val="FollowedHyperlink"/>
    <w:semiHidden/>
    <w:rsid w:val="0000287E"/>
    <w:rPr>
      <w:color w:val="800080"/>
      <w:u w:val="single"/>
    </w:rPr>
  </w:style>
  <w:style w:type="paragraph" w:styleId="TOC1">
    <w:name w:val="toc 1"/>
    <w:basedOn w:val="Normal"/>
    <w:next w:val="Normal"/>
    <w:autoRedefine/>
    <w:semiHidden/>
    <w:rsid w:val="0000287E"/>
    <w:pPr>
      <w:spacing w:before="120" w:after="120"/>
    </w:pPr>
    <w:rPr>
      <w:b/>
      <w:caps/>
      <w:sz w:val="20"/>
    </w:rPr>
  </w:style>
  <w:style w:type="paragraph" w:styleId="TOC2">
    <w:name w:val="toc 2"/>
    <w:basedOn w:val="Normal"/>
    <w:next w:val="Normal"/>
    <w:autoRedefine/>
    <w:semiHidden/>
    <w:rsid w:val="0000287E"/>
    <w:pPr>
      <w:ind w:left="240"/>
    </w:pPr>
    <w:rPr>
      <w:smallCaps/>
      <w:sz w:val="20"/>
    </w:rPr>
  </w:style>
  <w:style w:type="paragraph" w:styleId="TOC3">
    <w:name w:val="toc 3"/>
    <w:basedOn w:val="Normal"/>
    <w:next w:val="Normal"/>
    <w:autoRedefine/>
    <w:semiHidden/>
    <w:rsid w:val="0000287E"/>
    <w:pPr>
      <w:ind w:left="480"/>
    </w:pPr>
    <w:rPr>
      <w:i/>
      <w:sz w:val="20"/>
    </w:rPr>
  </w:style>
  <w:style w:type="paragraph" w:styleId="TOC4">
    <w:name w:val="toc 4"/>
    <w:basedOn w:val="Normal"/>
    <w:next w:val="Normal"/>
    <w:autoRedefine/>
    <w:semiHidden/>
    <w:rsid w:val="0000287E"/>
    <w:pPr>
      <w:ind w:left="720"/>
    </w:pPr>
    <w:rPr>
      <w:sz w:val="18"/>
    </w:rPr>
  </w:style>
  <w:style w:type="paragraph" w:styleId="TOC5">
    <w:name w:val="toc 5"/>
    <w:basedOn w:val="Normal"/>
    <w:next w:val="Normal"/>
    <w:autoRedefine/>
    <w:semiHidden/>
    <w:rsid w:val="0000287E"/>
    <w:pPr>
      <w:ind w:left="960"/>
    </w:pPr>
    <w:rPr>
      <w:sz w:val="18"/>
    </w:rPr>
  </w:style>
  <w:style w:type="paragraph" w:styleId="TOC6">
    <w:name w:val="toc 6"/>
    <w:basedOn w:val="Normal"/>
    <w:next w:val="Normal"/>
    <w:autoRedefine/>
    <w:semiHidden/>
    <w:rsid w:val="0000287E"/>
    <w:pPr>
      <w:ind w:left="1200"/>
    </w:pPr>
    <w:rPr>
      <w:sz w:val="18"/>
    </w:rPr>
  </w:style>
  <w:style w:type="paragraph" w:styleId="TOC7">
    <w:name w:val="toc 7"/>
    <w:basedOn w:val="Normal"/>
    <w:next w:val="Normal"/>
    <w:autoRedefine/>
    <w:semiHidden/>
    <w:rsid w:val="0000287E"/>
    <w:pPr>
      <w:ind w:left="1440"/>
    </w:pPr>
    <w:rPr>
      <w:sz w:val="18"/>
    </w:rPr>
  </w:style>
  <w:style w:type="paragraph" w:styleId="TOC8">
    <w:name w:val="toc 8"/>
    <w:basedOn w:val="Normal"/>
    <w:next w:val="Normal"/>
    <w:autoRedefine/>
    <w:semiHidden/>
    <w:rsid w:val="0000287E"/>
    <w:pPr>
      <w:ind w:left="1680"/>
    </w:pPr>
    <w:rPr>
      <w:sz w:val="18"/>
    </w:rPr>
  </w:style>
  <w:style w:type="paragraph" w:styleId="TOC9">
    <w:name w:val="toc 9"/>
    <w:basedOn w:val="Normal"/>
    <w:next w:val="Normal"/>
    <w:autoRedefine/>
    <w:semiHidden/>
    <w:rsid w:val="0000287E"/>
    <w:pPr>
      <w:ind w:left="1920"/>
    </w:pPr>
    <w:rPr>
      <w:sz w:val="18"/>
    </w:rPr>
  </w:style>
  <w:style w:type="paragraph" w:styleId="DocumentMap">
    <w:name w:val="Document Map"/>
    <w:basedOn w:val="Normal"/>
    <w:semiHidden/>
    <w:rsid w:val="0000287E"/>
    <w:pPr>
      <w:shd w:val="clear" w:color="auto" w:fill="000080"/>
    </w:pPr>
    <w:rPr>
      <w:rFonts w:ascii="Tahoma" w:hAnsi="Tahoma"/>
    </w:rPr>
  </w:style>
  <w:style w:type="paragraph" w:styleId="ListBullet">
    <w:name w:val="List Bullet"/>
    <w:basedOn w:val="Normal"/>
    <w:autoRedefine/>
    <w:semiHidden/>
    <w:rsid w:val="0000287E"/>
    <w:pPr>
      <w:numPr>
        <w:numId w:val="1"/>
      </w:numPr>
    </w:pPr>
  </w:style>
  <w:style w:type="paragraph" w:styleId="Caption">
    <w:name w:val="caption"/>
    <w:basedOn w:val="Normal"/>
    <w:next w:val="Normal"/>
    <w:qFormat/>
    <w:rsid w:val="0000287E"/>
    <w:pPr>
      <w:spacing w:before="120" w:after="120"/>
    </w:pPr>
    <w:rPr>
      <w:b/>
      <w:bCs/>
      <w:sz w:val="20"/>
    </w:rPr>
  </w:style>
  <w:style w:type="paragraph" w:styleId="Title">
    <w:name w:val="Title"/>
    <w:basedOn w:val="Normal"/>
    <w:qFormat/>
    <w:rsid w:val="0000287E"/>
    <w:pPr>
      <w:jc w:val="center"/>
    </w:pPr>
    <w:rPr>
      <w:rFonts w:ascii="Arial" w:hAnsi="Arial" w:cs="Arial"/>
      <w:b/>
      <w:bCs/>
      <w:szCs w:val="24"/>
      <w:lang w:val="en-US"/>
    </w:rPr>
  </w:style>
  <w:style w:type="paragraph" w:styleId="BodyText">
    <w:name w:val="Body Text"/>
    <w:basedOn w:val="Normal"/>
    <w:semiHidden/>
    <w:rsid w:val="0000287E"/>
    <w:pPr>
      <w:jc w:val="center"/>
    </w:pPr>
    <w:rPr>
      <w:rFonts w:ascii="Arial" w:hAnsi="Arial" w:cs="Arial"/>
      <w:sz w:val="40"/>
      <w:szCs w:val="24"/>
    </w:rPr>
  </w:style>
  <w:style w:type="paragraph" w:styleId="TableofFigures">
    <w:name w:val="table of figures"/>
    <w:basedOn w:val="Normal"/>
    <w:next w:val="Normal"/>
    <w:semiHidden/>
    <w:rsid w:val="0000287E"/>
    <w:pPr>
      <w:ind w:left="480" w:hanging="480"/>
    </w:pPr>
  </w:style>
  <w:style w:type="character" w:customStyle="1" w:styleId="Heading2Char">
    <w:name w:val="Heading 2 Char"/>
    <w:link w:val="Heading2"/>
    <w:rsid w:val="004C48E6"/>
    <w:rPr>
      <w:b/>
      <w:sz w:val="24"/>
      <w:lang w:val="en-GB" w:eastAsia="en-US"/>
    </w:rPr>
  </w:style>
  <w:style w:type="character" w:customStyle="1" w:styleId="Heading3Char">
    <w:name w:val="Heading 3 Char"/>
    <w:link w:val="Heading3"/>
    <w:rsid w:val="004C48E6"/>
    <w:rPr>
      <w:sz w:val="24"/>
      <w:u w:val="single"/>
      <w:lang w:val="en-GB" w:eastAsia="en-US"/>
    </w:rPr>
  </w:style>
  <w:style w:type="character" w:customStyle="1" w:styleId="Heading4Char">
    <w:name w:val="Heading 4 Char"/>
    <w:link w:val="Heading4"/>
    <w:rsid w:val="004C48E6"/>
    <w:rPr>
      <w:i/>
      <w:sz w:val="24"/>
      <w:lang w:val="en-GB" w:eastAsia="en-US"/>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DB33B0"/>
    <w:pPr>
      <w:spacing w:line="280" w:lineRule="exact"/>
      <w:ind w:left="720"/>
      <w:contextualSpacing/>
      <w:jc w:val="both"/>
    </w:pPr>
    <w:rPr>
      <w:rFonts w:ascii="Arial" w:eastAsia="Calibri" w:hAnsi="Arial"/>
      <w:sz w:val="22"/>
      <w:szCs w:val="22"/>
      <w:lang w:val="en-ZA"/>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locked/>
    <w:rsid w:val="00035A92"/>
    <w:rPr>
      <w:rFonts w:ascii="Arial" w:eastAsia="Calibri" w:hAnsi="Arial"/>
      <w:sz w:val="22"/>
      <w:szCs w:val="22"/>
      <w:lang w:eastAsia="en-US"/>
    </w:rPr>
  </w:style>
  <w:style w:type="paragraph" w:customStyle="1" w:styleId="Default">
    <w:name w:val="Default"/>
    <w:rsid w:val="00D74E42"/>
    <w:pPr>
      <w:autoSpaceDE w:val="0"/>
      <w:autoSpaceDN w:val="0"/>
      <w:adjustRightInd w:val="0"/>
    </w:pPr>
    <w:rPr>
      <w:rFonts w:ascii="Arial" w:hAnsi="Arial" w:cs="Arial"/>
      <w:color w:val="000000"/>
      <w:sz w:val="24"/>
      <w:szCs w:val="24"/>
      <w:lang w:eastAsia="en-ZA"/>
    </w:rPr>
  </w:style>
  <w:style w:type="character" w:customStyle="1" w:styleId="FooterChar">
    <w:name w:val="Footer Char"/>
    <w:link w:val="Footer"/>
    <w:uiPriority w:val="99"/>
    <w:rsid w:val="004F6559"/>
    <w:rPr>
      <w:rFonts w:ascii="Times" w:hAnsi="Times"/>
      <w:lang w:val="en-GB" w:eastAsia="en-US"/>
    </w:rPr>
  </w:style>
  <w:style w:type="paragraph" w:styleId="BalloonText">
    <w:name w:val="Balloon Text"/>
    <w:basedOn w:val="Normal"/>
    <w:link w:val="BalloonTextChar"/>
    <w:uiPriority w:val="99"/>
    <w:semiHidden/>
    <w:unhideWhenUsed/>
    <w:rsid w:val="009A05CF"/>
    <w:rPr>
      <w:sz w:val="18"/>
      <w:szCs w:val="18"/>
    </w:rPr>
  </w:style>
  <w:style w:type="character" w:customStyle="1" w:styleId="BalloonTextChar">
    <w:name w:val="Balloon Text Char"/>
    <w:basedOn w:val="DefaultParagraphFont"/>
    <w:link w:val="BalloonText"/>
    <w:uiPriority w:val="99"/>
    <w:semiHidden/>
    <w:rsid w:val="009A05CF"/>
    <w:rPr>
      <w:sz w:val="18"/>
      <w:szCs w:val="18"/>
      <w:lang w:val="en-GB" w:eastAsia="en-US"/>
    </w:rPr>
  </w:style>
  <w:style w:type="paragraph" w:styleId="NormalWeb">
    <w:name w:val="Normal (Web)"/>
    <w:basedOn w:val="Normal"/>
    <w:uiPriority w:val="99"/>
    <w:unhideWhenUsed/>
    <w:rsid w:val="002D39A0"/>
    <w:pPr>
      <w:spacing w:before="100" w:beforeAutospacing="1" w:after="100" w:afterAutospacing="1"/>
    </w:pPr>
    <w:rPr>
      <w:szCs w:val="24"/>
      <w:lang w:val="en-ZA" w:eastAsia="en-ZA"/>
    </w:rPr>
  </w:style>
  <w:style w:type="paragraph" w:styleId="BodyTextIndent">
    <w:name w:val="Body Text Indent"/>
    <w:basedOn w:val="Normal"/>
    <w:link w:val="BodyTextIndentChar"/>
    <w:uiPriority w:val="99"/>
    <w:semiHidden/>
    <w:unhideWhenUsed/>
    <w:rsid w:val="00C30592"/>
    <w:pPr>
      <w:spacing w:after="120"/>
      <w:ind w:left="283"/>
    </w:pPr>
  </w:style>
  <w:style w:type="character" w:customStyle="1" w:styleId="BodyTextIndentChar">
    <w:name w:val="Body Text Indent Char"/>
    <w:basedOn w:val="DefaultParagraphFont"/>
    <w:link w:val="BodyTextIndent"/>
    <w:uiPriority w:val="99"/>
    <w:semiHidden/>
    <w:rsid w:val="00C30592"/>
    <w:rPr>
      <w:sz w:val="24"/>
      <w:lang w:val="en-GB" w:eastAsia="en-US"/>
    </w:rPr>
  </w:style>
  <w:style w:type="character" w:styleId="Emphasis">
    <w:name w:val="Emphasis"/>
    <w:basedOn w:val="DefaultParagraphFont"/>
    <w:uiPriority w:val="20"/>
    <w:qFormat/>
    <w:rsid w:val="00C30592"/>
    <w:rPr>
      <w:i/>
      <w:iCs/>
    </w:rPr>
  </w:style>
  <w:style w:type="table" w:styleId="TableGrid">
    <w:name w:val="Table Grid"/>
    <w:basedOn w:val="TableNormal"/>
    <w:uiPriority w:val="39"/>
    <w:rsid w:val="00324F8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uiPriority w:val="99"/>
    <w:rsid w:val="00CB4AC7"/>
    <w:rPr>
      <w:lang w:val="en-GB" w:eastAsia="en-US"/>
    </w:rPr>
  </w:style>
  <w:style w:type="character" w:customStyle="1" w:styleId="NoSpacingChar">
    <w:name w:val="No Spacing Char"/>
    <w:basedOn w:val="DefaultParagraphFont"/>
    <w:link w:val="NoSpacing"/>
    <w:uiPriority w:val="99"/>
    <w:locked/>
    <w:rsid w:val="00637EE6"/>
    <w:rPr>
      <w:rFonts w:ascii="Arial" w:hAnsi="Arial"/>
      <w:sz w:val="24"/>
    </w:rPr>
  </w:style>
  <w:style w:type="paragraph" w:styleId="NoSpacing">
    <w:name w:val="No Spacing"/>
    <w:basedOn w:val="Normal"/>
    <w:link w:val="NoSpacingChar"/>
    <w:uiPriority w:val="99"/>
    <w:qFormat/>
    <w:rsid w:val="00637EE6"/>
    <w:pPr>
      <w:jc w:val="both"/>
    </w:pPr>
    <w:rPr>
      <w:rFonts w:ascii="Arial" w:hAnsi="Arial"/>
      <w:lang w:val="en-ZA" w:eastAsia="en-GB"/>
    </w:rPr>
  </w:style>
  <w:style w:type="paragraph" w:customStyle="1" w:styleId="SAICANumberingParagraphs">
    <w:name w:val="SAICA Numbering Paragraphs"/>
    <w:basedOn w:val="Normal"/>
    <w:link w:val="SAICANumberingParagraphsChar"/>
    <w:qFormat/>
    <w:rsid w:val="00C82B78"/>
    <w:pPr>
      <w:numPr>
        <w:numId w:val="3"/>
      </w:numPr>
      <w:spacing w:after="240" w:line="259" w:lineRule="auto"/>
      <w:jc w:val="both"/>
    </w:pPr>
    <w:rPr>
      <w:rFonts w:ascii="Arial" w:hAnsi="Arial" w:cs="Arial"/>
      <w:sz w:val="22"/>
      <w:szCs w:val="22"/>
      <w:lang w:eastAsia="en-GB"/>
    </w:rPr>
  </w:style>
  <w:style w:type="character" w:customStyle="1" w:styleId="SAICANumberingParagraphsChar">
    <w:name w:val="SAICA Numbering Paragraphs Char"/>
    <w:basedOn w:val="DefaultParagraphFont"/>
    <w:link w:val="SAICANumberingParagraphs"/>
    <w:rsid w:val="00C82B78"/>
    <w:rPr>
      <w:rFonts w:ascii="Arial" w:hAnsi="Arial" w:cs="Arial"/>
      <w:sz w:val="22"/>
      <w:szCs w:val="22"/>
      <w:lang w:val="en-GB"/>
    </w:rPr>
  </w:style>
  <w:style w:type="character" w:customStyle="1" w:styleId="e24kjd">
    <w:name w:val="e24kjd"/>
    <w:basedOn w:val="DefaultParagraphFont"/>
    <w:rsid w:val="007A76B9"/>
  </w:style>
  <w:style w:type="paragraph" w:styleId="CommentSubject">
    <w:name w:val="annotation subject"/>
    <w:basedOn w:val="CommentText"/>
    <w:next w:val="CommentText"/>
    <w:link w:val="CommentSubjectChar"/>
    <w:uiPriority w:val="99"/>
    <w:semiHidden/>
    <w:unhideWhenUsed/>
    <w:rsid w:val="00AA127C"/>
    <w:rPr>
      <w:b/>
      <w:bCs/>
    </w:rPr>
  </w:style>
  <w:style w:type="character" w:customStyle="1" w:styleId="CommentTextChar">
    <w:name w:val="Comment Text Char"/>
    <w:basedOn w:val="DefaultParagraphFont"/>
    <w:link w:val="CommentText"/>
    <w:semiHidden/>
    <w:rsid w:val="00AA127C"/>
    <w:rPr>
      <w:lang w:val="en-GB" w:eastAsia="en-US"/>
    </w:rPr>
  </w:style>
  <w:style w:type="character" w:customStyle="1" w:styleId="CommentSubjectChar">
    <w:name w:val="Comment Subject Char"/>
    <w:basedOn w:val="CommentTextChar"/>
    <w:link w:val="CommentSubject"/>
    <w:uiPriority w:val="99"/>
    <w:semiHidden/>
    <w:rsid w:val="00AA127C"/>
    <w:rPr>
      <w:b/>
      <w:bCs/>
      <w:lang w:val="en-GB" w:eastAsia="en-US"/>
    </w:rPr>
  </w:style>
  <w:style w:type="character" w:customStyle="1" w:styleId="markedcontent">
    <w:name w:val="markedcontent"/>
    <w:basedOn w:val="DefaultParagraphFont"/>
    <w:rsid w:val="00E6362F"/>
  </w:style>
  <w:style w:type="paragraph" w:styleId="Revision">
    <w:name w:val="Revision"/>
    <w:hidden/>
    <w:uiPriority w:val="99"/>
    <w:semiHidden/>
    <w:rsid w:val="005E3E8D"/>
    <w:rPr>
      <w:sz w:val="24"/>
      <w:lang w:val="en-GB" w:eastAsia="en-US"/>
    </w:rPr>
  </w:style>
</w:styles>
</file>

<file path=word/webSettings.xml><?xml version="1.0" encoding="utf-8"?>
<w:webSettings xmlns:r="http://schemas.openxmlformats.org/officeDocument/2006/relationships" xmlns:w="http://schemas.openxmlformats.org/wordprocessingml/2006/main">
  <w:divs>
    <w:div w:id="3166608">
      <w:bodyDiv w:val="1"/>
      <w:marLeft w:val="0"/>
      <w:marRight w:val="0"/>
      <w:marTop w:val="0"/>
      <w:marBottom w:val="0"/>
      <w:divBdr>
        <w:top w:val="none" w:sz="0" w:space="0" w:color="auto"/>
        <w:left w:val="none" w:sz="0" w:space="0" w:color="auto"/>
        <w:bottom w:val="none" w:sz="0" w:space="0" w:color="auto"/>
        <w:right w:val="none" w:sz="0" w:space="0" w:color="auto"/>
      </w:divBdr>
    </w:div>
    <w:div w:id="11959596">
      <w:bodyDiv w:val="1"/>
      <w:marLeft w:val="0"/>
      <w:marRight w:val="0"/>
      <w:marTop w:val="0"/>
      <w:marBottom w:val="0"/>
      <w:divBdr>
        <w:top w:val="none" w:sz="0" w:space="0" w:color="auto"/>
        <w:left w:val="none" w:sz="0" w:space="0" w:color="auto"/>
        <w:bottom w:val="none" w:sz="0" w:space="0" w:color="auto"/>
        <w:right w:val="none" w:sz="0" w:space="0" w:color="auto"/>
      </w:divBdr>
      <w:divsChild>
        <w:div w:id="1533305128">
          <w:marLeft w:val="1080"/>
          <w:marRight w:val="0"/>
          <w:marTop w:val="100"/>
          <w:marBottom w:val="0"/>
          <w:divBdr>
            <w:top w:val="none" w:sz="0" w:space="0" w:color="auto"/>
            <w:left w:val="none" w:sz="0" w:space="0" w:color="auto"/>
            <w:bottom w:val="none" w:sz="0" w:space="0" w:color="auto"/>
            <w:right w:val="none" w:sz="0" w:space="0" w:color="auto"/>
          </w:divBdr>
        </w:div>
        <w:div w:id="1860778883">
          <w:marLeft w:val="1080"/>
          <w:marRight w:val="0"/>
          <w:marTop w:val="100"/>
          <w:marBottom w:val="0"/>
          <w:divBdr>
            <w:top w:val="none" w:sz="0" w:space="0" w:color="auto"/>
            <w:left w:val="none" w:sz="0" w:space="0" w:color="auto"/>
            <w:bottom w:val="none" w:sz="0" w:space="0" w:color="auto"/>
            <w:right w:val="none" w:sz="0" w:space="0" w:color="auto"/>
          </w:divBdr>
        </w:div>
        <w:div w:id="805782268">
          <w:marLeft w:val="1080"/>
          <w:marRight w:val="0"/>
          <w:marTop w:val="100"/>
          <w:marBottom w:val="0"/>
          <w:divBdr>
            <w:top w:val="none" w:sz="0" w:space="0" w:color="auto"/>
            <w:left w:val="none" w:sz="0" w:space="0" w:color="auto"/>
            <w:bottom w:val="none" w:sz="0" w:space="0" w:color="auto"/>
            <w:right w:val="none" w:sz="0" w:space="0" w:color="auto"/>
          </w:divBdr>
        </w:div>
        <w:div w:id="1780031984">
          <w:marLeft w:val="1080"/>
          <w:marRight w:val="0"/>
          <w:marTop w:val="100"/>
          <w:marBottom w:val="0"/>
          <w:divBdr>
            <w:top w:val="none" w:sz="0" w:space="0" w:color="auto"/>
            <w:left w:val="none" w:sz="0" w:space="0" w:color="auto"/>
            <w:bottom w:val="none" w:sz="0" w:space="0" w:color="auto"/>
            <w:right w:val="none" w:sz="0" w:space="0" w:color="auto"/>
          </w:divBdr>
        </w:div>
      </w:divsChild>
    </w:div>
    <w:div w:id="105392967">
      <w:bodyDiv w:val="1"/>
      <w:marLeft w:val="0"/>
      <w:marRight w:val="0"/>
      <w:marTop w:val="0"/>
      <w:marBottom w:val="0"/>
      <w:divBdr>
        <w:top w:val="none" w:sz="0" w:space="0" w:color="auto"/>
        <w:left w:val="none" w:sz="0" w:space="0" w:color="auto"/>
        <w:bottom w:val="none" w:sz="0" w:space="0" w:color="auto"/>
        <w:right w:val="none" w:sz="0" w:space="0" w:color="auto"/>
      </w:divBdr>
      <w:divsChild>
        <w:div w:id="2067026177">
          <w:marLeft w:val="547"/>
          <w:marRight w:val="0"/>
          <w:marTop w:val="96"/>
          <w:marBottom w:val="0"/>
          <w:divBdr>
            <w:top w:val="none" w:sz="0" w:space="0" w:color="auto"/>
            <w:left w:val="none" w:sz="0" w:space="0" w:color="auto"/>
            <w:bottom w:val="none" w:sz="0" w:space="0" w:color="auto"/>
            <w:right w:val="none" w:sz="0" w:space="0" w:color="auto"/>
          </w:divBdr>
        </w:div>
        <w:div w:id="904100774">
          <w:marLeft w:val="547"/>
          <w:marRight w:val="0"/>
          <w:marTop w:val="96"/>
          <w:marBottom w:val="0"/>
          <w:divBdr>
            <w:top w:val="none" w:sz="0" w:space="0" w:color="auto"/>
            <w:left w:val="none" w:sz="0" w:space="0" w:color="auto"/>
            <w:bottom w:val="none" w:sz="0" w:space="0" w:color="auto"/>
            <w:right w:val="none" w:sz="0" w:space="0" w:color="auto"/>
          </w:divBdr>
        </w:div>
        <w:div w:id="383525869">
          <w:marLeft w:val="547"/>
          <w:marRight w:val="0"/>
          <w:marTop w:val="96"/>
          <w:marBottom w:val="0"/>
          <w:divBdr>
            <w:top w:val="none" w:sz="0" w:space="0" w:color="auto"/>
            <w:left w:val="none" w:sz="0" w:space="0" w:color="auto"/>
            <w:bottom w:val="none" w:sz="0" w:space="0" w:color="auto"/>
            <w:right w:val="none" w:sz="0" w:space="0" w:color="auto"/>
          </w:divBdr>
        </w:div>
        <w:div w:id="1007906057">
          <w:marLeft w:val="547"/>
          <w:marRight w:val="0"/>
          <w:marTop w:val="96"/>
          <w:marBottom w:val="0"/>
          <w:divBdr>
            <w:top w:val="none" w:sz="0" w:space="0" w:color="auto"/>
            <w:left w:val="none" w:sz="0" w:space="0" w:color="auto"/>
            <w:bottom w:val="none" w:sz="0" w:space="0" w:color="auto"/>
            <w:right w:val="none" w:sz="0" w:space="0" w:color="auto"/>
          </w:divBdr>
        </w:div>
        <w:div w:id="2082866143">
          <w:marLeft w:val="1166"/>
          <w:marRight w:val="0"/>
          <w:marTop w:val="86"/>
          <w:marBottom w:val="0"/>
          <w:divBdr>
            <w:top w:val="none" w:sz="0" w:space="0" w:color="auto"/>
            <w:left w:val="none" w:sz="0" w:space="0" w:color="auto"/>
            <w:bottom w:val="none" w:sz="0" w:space="0" w:color="auto"/>
            <w:right w:val="none" w:sz="0" w:space="0" w:color="auto"/>
          </w:divBdr>
        </w:div>
        <w:div w:id="2041739903">
          <w:marLeft w:val="1166"/>
          <w:marRight w:val="0"/>
          <w:marTop w:val="86"/>
          <w:marBottom w:val="0"/>
          <w:divBdr>
            <w:top w:val="none" w:sz="0" w:space="0" w:color="auto"/>
            <w:left w:val="none" w:sz="0" w:space="0" w:color="auto"/>
            <w:bottom w:val="none" w:sz="0" w:space="0" w:color="auto"/>
            <w:right w:val="none" w:sz="0" w:space="0" w:color="auto"/>
          </w:divBdr>
        </w:div>
      </w:divsChild>
    </w:div>
    <w:div w:id="127170160">
      <w:bodyDiv w:val="1"/>
      <w:marLeft w:val="0"/>
      <w:marRight w:val="0"/>
      <w:marTop w:val="0"/>
      <w:marBottom w:val="0"/>
      <w:divBdr>
        <w:top w:val="none" w:sz="0" w:space="0" w:color="auto"/>
        <w:left w:val="none" w:sz="0" w:space="0" w:color="auto"/>
        <w:bottom w:val="none" w:sz="0" w:space="0" w:color="auto"/>
        <w:right w:val="none" w:sz="0" w:space="0" w:color="auto"/>
      </w:divBdr>
      <w:divsChild>
        <w:div w:id="1754011119">
          <w:marLeft w:val="274"/>
          <w:marRight w:val="0"/>
          <w:marTop w:val="200"/>
          <w:marBottom w:val="0"/>
          <w:divBdr>
            <w:top w:val="none" w:sz="0" w:space="0" w:color="auto"/>
            <w:left w:val="none" w:sz="0" w:space="0" w:color="auto"/>
            <w:bottom w:val="none" w:sz="0" w:space="0" w:color="auto"/>
            <w:right w:val="none" w:sz="0" w:space="0" w:color="auto"/>
          </w:divBdr>
        </w:div>
        <w:div w:id="1781097428">
          <w:marLeft w:val="274"/>
          <w:marRight w:val="0"/>
          <w:marTop w:val="200"/>
          <w:marBottom w:val="0"/>
          <w:divBdr>
            <w:top w:val="none" w:sz="0" w:space="0" w:color="auto"/>
            <w:left w:val="none" w:sz="0" w:space="0" w:color="auto"/>
            <w:bottom w:val="none" w:sz="0" w:space="0" w:color="auto"/>
            <w:right w:val="none" w:sz="0" w:space="0" w:color="auto"/>
          </w:divBdr>
        </w:div>
        <w:div w:id="594821580">
          <w:marLeft w:val="274"/>
          <w:marRight w:val="0"/>
          <w:marTop w:val="200"/>
          <w:marBottom w:val="0"/>
          <w:divBdr>
            <w:top w:val="none" w:sz="0" w:space="0" w:color="auto"/>
            <w:left w:val="none" w:sz="0" w:space="0" w:color="auto"/>
            <w:bottom w:val="none" w:sz="0" w:space="0" w:color="auto"/>
            <w:right w:val="none" w:sz="0" w:space="0" w:color="auto"/>
          </w:divBdr>
        </w:div>
        <w:div w:id="803040621">
          <w:marLeft w:val="274"/>
          <w:marRight w:val="0"/>
          <w:marTop w:val="200"/>
          <w:marBottom w:val="0"/>
          <w:divBdr>
            <w:top w:val="none" w:sz="0" w:space="0" w:color="auto"/>
            <w:left w:val="none" w:sz="0" w:space="0" w:color="auto"/>
            <w:bottom w:val="none" w:sz="0" w:space="0" w:color="auto"/>
            <w:right w:val="none" w:sz="0" w:space="0" w:color="auto"/>
          </w:divBdr>
        </w:div>
        <w:div w:id="1828008383">
          <w:marLeft w:val="562"/>
          <w:marRight w:val="0"/>
          <w:marTop w:val="100"/>
          <w:marBottom w:val="0"/>
          <w:divBdr>
            <w:top w:val="none" w:sz="0" w:space="0" w:color="auto"/>
            <w:left w:val="none" w:sz="0" w:space="0" w:color="auto"/>
            <w:bottom w:val="none" w:sz="0" w:space="0" w:color="auto"/>
            <w:right w:val="none" w:sz="0" w:space="0" w:color="auto"/>
          </w:divBdr>
        </w:div>
        <w:div w:id="296839531">
          <w:marLeft w:val="562"/>
          <w:marRight w:val="0"/>
          <w:marTop w:val="100"/>
          <w:marBottom w:val="0"/>
          <w:divBdr>
            <w:top w:val="none" w:sz="0" w:space="0" w:color="auto"/>
            <w:left w:val="none" w:sz="0" w:space="0" w:color="auto"/>
            <w:bottom w:val="none" w:sz="0" w:space="0" w:color="auto"/>
            <w:right w:val="none" w:sz="0" w:space="0" w:color="auto"/>
          </w:divBdr>
        </w:div>
        <w:div w:id="657854159">
          <w:marLeft w:val="562"/>
          <w:marRight w:val="0"/>
          <w:marTop w:val="100"/>
          <w:marBottom w:val="0"/>
          <w:divBdr>
            <w:top w:val="none" w:sz="0" w:space="0" w:color="auto"/>
            <w:left w:val="none" w:sz="0" w:space="0" w:color="auto"/>
            <w:bottom w:val="none" w:sz="0" w:space="0" w:color="auto"/>
            <w:right w:val="none" w:sz="0" w:space="0" w:color="auto"/>
          </w:divBdr>
        </w:div>
        <w:div w:id="37901564">
          <w:marLeft w:val="274"/>
          <w:marRight w:val="0"/>
          <w:marTop w:val="200"/>
          <w:marBottom w:val="0"/>
          <w:divBdr>
            <w:top w:val="none" w:sz="0" w:space="0" w:color="auto"/>
            <w:left w:val="none" w:sz="0" w:space="0" w:color="auto"/>
            <w:bottom w:val="none" w:sz="0" w:space="0" w:color="auto"/>
            <w:right w:val="none" w:sz="0" w:space="0" w:color="auto"/>
          </w:divBdr>
        </w:div>
        <w:div w:id="1776821814">
          <w:marLeft w:val="562"/>
          <w:marRight w:val="0"/>
          <w:marTop w:val="100"/>
          <w:marBottom w:val="0"/>
          <w:divBdr>
            <w:top w:val="none" w:sz="0" w:space="0" w:color="auto"/>
            <w:left w:val="none" w:sz="0" w:space="0" w:color="auto"/>
            <w:bottom w:val="none" w:sz="0" w:space="0" w:color="auto"/>
            <w:right w:val="none" w:sz="0" w:space="0" w:color="auto"/>
          </w:divBdr>
        </w:div>
        <w:div w:id="2117017146">
          <w:marLeft w:val="562"/>
          <w:marRight w:val="0"/>
          <w:marTop w:val="100"/>
          <w:marBottom w:val="0"/>
          <w:divBdr>
            <w:top w:val="none" w:sz="0" w:space="0" w:color="auto"/>
            <w:left w:val="none" w:sz="0" w:space="0" w:color="auto"/>
            <w:bottom w:val="none" w:sz="0" w:space="0" w:color="auto"/>
            <w:right w:val="none" w:sz="0" w:space="0" w:color="auto"/>
          </w:divBdr>
        </w:div>
        <w:div w:id="637226095">
          <w:marLeft w:val="562"/>
          <w:marRight w:val="0"/>
          <w:marTop w:val="100"/>
          <w:marBottom w:val="0"/>
          <w:divBdr>
            <w:top w:val="none" w:sz="0" w:space="0" w:color="auto"/>
            <w:left w:val="none" w:sz="0" w:space="0" w:color="auto"/>
            <w:bottom w:val="none" w:sz="0" w:space="0" w:color="auto"/>
            <w:right w:val="none" w:sz="0" w:space="0" w:color="auto"/>
          </w:divBdr>
        </w:div>
        <w:div w:id="102120362">
          <w:marLeft w:val="562"/>
          <w:marRight w:val="0"/>
          <w:marTop w:val="100"/>
          <w:marBottom w:val="0"/>
          <w:divBdr>
            <w:top w:val="none" w:sz="0" w:space="0" w:color="auto"/>
            <w:left w:val="none" w:sz="0" w:space="0" w:color="auto"/>
            <w:bottom w:val="none" w:sz="0" w:space="0" w:color="auto"/>
            <w:right w:val="none" w:sz="0" w:space="0" w:color="auto"/>
          </w:divBdr>
        </w:div>
      </w:divsChild>
    </w:div>
    <w:div w:id="129517086">
      <w:bodyDiv w:val="1"/>
      <w:marLeft w:val="0"/>
      <w:marRight w:val="0"/>
      <w:marTop w:val="0"/>
      <w:marBottom w:val="0"/>
      <w:divBdr>
        <w:top w:val="none" w:sz="0" w:space="0" w:color="auto"/>
        <w:left w:val="none" w:sz="0" w:space="0" w:color="auto"/>
        <w:bottom w:val="none" w:sz="0" w:space="0" w:color="auto"/>
        <w:right w:val="none" w:sz="0" w:space="0" w:color="auto"/>
      </w:divBdr>
    </w:div>
    <w:div w:id="141000069">
      <w:bodyDiv w:val="1"/>
      <w:marLeft w:val="0"/>
      <w:marRight w:val="0"/>
      <w:marTop w:val="0"/>
      <w:marBottom w:val="0"/>
      <w:divBdr>
        <w:top w:val="none" w:sz="0" w:space="0" w:color="auto"/>
        <w:left w:val="none" w:sz="0" w:space="0" w:color="auto"/>
        <w:bottom w:val="none" w:sz="0" w:space="0" w:color="auto"/>
        <w:right w:val="none" w:sz="0" w:space="0" w:color="auto"/>
      </w:divBdr>
      <w:divsChild>
        <w:div w:id="267548131">
          <w:marLeft w:val="533"/>
          <w:marRight w:val="0"/>
          <w:marTop w:val="96"/>
          <w:marBottom w:val="0"/>
          <w:divBdr>
            <w:top w:val="none" w:sz="0" w:space="0" w:color="auto"/>
            <w:left w:val="none" w:sz="0" w:space="0" w:color="auto"/>
            <w:bottom w:val="none" w:sz="0" w:space="0" w:color="auto"/>
            <w:right w:val="none" w:sz="0" w:space="0" w:color="auto"/>
          </w:divBdr>
        </w:div>
        <w:div w:id="1380202448">
          <w:marLeft w:val="533"/>
          <w:marRight w:val="0"/>
          <w:marTop w:val="96"/>
          <w:marBottom w:val="0"/>
          <w:divBdr>
            <w:top w:val="none" w:sz="0" w:space="0" w:color="auto"/>
            <w:left w:val="none" w:sz="0" w:space="0" w:color="auto"/>
            <w:bottom w:val="none" w:sz="0" w:space="0" w:color="auto"/>
            <w:right w:val="none" w:sz="0" w:space="0" w:color="auto"/>
          </w:divBdr>
        </w:div>
        <w:div w:id="1920670158">
          <w:marLeft w:val="1166"/>
          <w:marRight w:val="0"/>
          <w:marTop w:val="96"/>
          <w:marBottom w:val="0"/>
          <w:divBdr>
            <w:top w:val="none" w:sz="0" w:space="0" w:color="auto"/>
            <w:left w:val="none" w:sz="0" w:space="0" w:color="auto"/>
            <w:bottom w:val="none" w:sz="0" w:space="0" w:color="auto"/>
            <w:right w:val="none" w:sz="0" w:space="0" w:color="auto"/>
          </w:divBdr>
        </w:div>
        <w:div w:id="1664045017">
          <w:marLeft w:val="518"/>
          <w:marRight w:val="0"/>
          <w:marTop w:val="120"/>
          <w:marBottom w:val="0"/>
          <w:divBdr>
            <w:top w:val="none" w:sz="0" w:space="0" w:color="auto"/>
            <w:left w:val="none" w:sz="0" w:space="0" w:color="auto"/>
            <w:bottom w:val="none" w:sz="0" w:space="0" w:color="auto"/>
            <w:right w:val="none" w:sz="0" w:space="0" w:color="auto"/>
          </w:divBdr>
        </w:div>
        <w:div w:id="957103559">
          <w:marLeft w:val="1152"/>
          <w:marRight w:val="0"/>
          <w:marTop w:val="120"/>
          <w:marBottom w:val="0"/>
          <w:divBdr>
            <w:top w:val="none" w:sz="0" w:space="0" w:color="auto"/>
            <w:left w:val="none" w:sz="0" w:space="0" w:color="auto"/>
            <w:bottom w:val="none" w:sz="0" w:space="0" w:color="auto"/>
            <w:right w:val="none" w:sz="0" w:space="0" w:color="auto"/>
          </w:divBdr>
        </w:div>
      </w:divsChild>
    </w:div>
    <w:div w:id="160123024">
      <w:bodyDiv w:val="1"/>
      <w:marLeft w:val="0"/>
      <w:marRight w:val="0"/>
      <w:marTop w:val="0"/>
      <w:marBottom w:val="0"/>
      <w:divBdr>
        <w:top w:val="none" w:sz="0" w:space="0" w:color="auto"/>
        <w:left w:val="none" w:sz="0" w:space="0" w:color="auto"/>
        <w:bottom w:val="none" w:sz="0" w:space="0" w:color="auto"/>
        <w:right w:val="none" w:sz="0" w:space="0" w:color="auto"/>
      </w:divBdr>
      <w:divsChild>
        <w:div w:id="1010911722">
          <w:marLeft w:val="547"/>
          <w:marRight w:val="0"/>
          <w:marTop w:val="240"/>
          <w:marBottom w:val="240"/>
          <w:divBdr>
            <w:top w:val="none" w:sz="0" w:space="0" w:color="auto"/>
            <w:left w:val="none" w:sz="0" w:space="0" w:color="auto"/>
            <w:bottom w:val="none" w:sz="0" w:space="0" w:color="auto"/>
            <w:right w:val="none" w:sz="0" w:space="0" w:color="auto"/>
          </w:divBdr>
        </w:div>
        <w:div w:id="2088186525">
          <w:marLeft w:val="1267"/>
          <w:marRight w:val="0"/>
          <w:marTop w:val="240"/>
          <w:marBottom w:val="240"/>
          <w:divBdr>
            <w:top w:val="none" w:sz="0" w:space="0" w:color="auto"/>
            <w:left w:val="none" w:sz="0" w:space="0" w:color="auto"/>
            <w:bottom w:val="none" w:sz="0" w:space="0" w:color="auto"/>
            <w:right w:val="none" w:sz="0" w:space="0" w:color="auto"/>
          </w:divBdr>
        </w:div>
        <w:div w:id="1269048419">
          <w:marLeft w:val="1267"/>
          <w:marRight w:val="0"/>
          <w:marTop w:val="240"/>
          <w:marBottom w:val="240"/>
          <w:divBdr>
            <w:top w:val="none" w:sz="0" w:space="0" w:color="auto"/>
            <w:left w:val="none" w:sz="0" w:space="0" w:color="auto"/>
            <w:bottom w:val="none" w:sz="0" w:space="0" w:color="auto"/>
            <w:right w:val="none" w:sz="0" w:space="0" w:color="auto"/>
          </w:divBdr>
        </w:div>
        <w:div w:id="1694452035">
          <w:marLeft w:val="1267"/>
          <w:marRight w:val="0"/>
          <w:marTop w:val="240"/>
          <w:marBottom w:val="240"/>
          <w:divBdr>
            <w:top w:val="none" w:sz="0" w:space="0" w:color="auto"/>
            <w:left w:val="none" w:sz="0" w:space="0" w:color="auto"/>
            <w:bottom w:val="none" w:sz="0" w:space="0" w:color="auto"/>
            <w:right w:val="none" w:sz="0" w:space="0" w:color="auto"/>
          </w:divBdr>
        </w:div>
        <w:div w:id="682587635">
          <w:marLeft w:val="547"/>
          <w:marRight w:val="0"/>
          <w:marTop w:val="240"/>
          <w:marBottom w:val="240"/>
          <w:divBdr>
            <w:top w:val="none" w:sz="0" w:space="0" w:color="auto"/>
            <w:left w:val="none" w:sz="0" w:space="0" w:color="auto"/>
            <w:bottom w:val="none" w:sz="0" w:space="0" w:color="auto"/>
            <w:right w:val="none" w:sz="0" w:space="0" w:color="auto"/>
          </w:divBdr>
        </w:div>
        <w:div w:id="1354267720">
          <w:marLeft w:val="547"/>
          <w:marRight w:val="0"/>
          <w:marTop w:val="240"/>
          <w:marBottom w:val="240"/>
          <w:divBdr>
            <w:top w:val="none" w:sz="0" w:space="0" w:color="auto"/>
            <w:left w:val="none" w:sz="0" w:space="0" w:color="auto"/>
            <w:bottom w:val="none" w:sz="0" w:space="0" w:color="auto"/>
            <w:right w:val="none" w:sz="0" w:space="0" w:color="auto"/>
          </w:divBdr>
        </w:div>
      </w:divsChild>
    </w:div>
    <w:div w:id="187302192">
      <w:bodyDiv w:val="1"/>
      <w:marLeft w:val="0"/>
      <w:marRight w:val="0"/>
      <w:marTop w:val="0"/>
      <w:marBottom w:val="0"/>
      <w:divBdr>
        <w:top w:val="none" w:sz="0" w:space="0" w:color="auto"/>
        <w:left w:val="none" w:sz="0" w:space="0" w:color="auto"/>
        <w:bottom w:val="none" w:sz="0" w:space="0" w:color="auto"/>
        <w:right w:val="none" w:sz="0" w:space="0" w:color="auto"/>
      </w:divBdr>
      <w:divsChild>
        <w:div w:id="53091397">
          <w:marLeft w:val="547"/>
          <w:marRight w:val="0"/>
          <w:marTop w:val="140"/>
          <w:marBottom w:val="0"/>
          <w:divBdr>
            <w:top w:val="none" w:sz="0" w:space="0" w:color="auto"/>
            <w:left w:val="none" w:sz="0" w:space="0" w:color="auto"/>
            <w:bottom w:val="none" w:sz="0" w:space="0" w:color="auto"/>
            <w:right w:val="none" w:sz="0" w:space="0" w:color="auto"/>
          </w:divBdr>
        </w:div>
      </w:divsChild>
    </w:div>
    <w:div w:id="193663603">
      <w:bodyDiv w:val="1"/>
      <w:marLeft w:val="0"/>
      <w:marRight w:val="0"/>
      <w:marTop w:val="0"/>
      <w:marBottom w:val="0"/>
      <w:divBdr>
        <w:top w:val="none" w:sz="0" w:space="0" w:color="auto"/>
        <w:left w:val="none" w:sz="0" w:space="0" w:color="auto"/>
        <w:bottom w:val="none" w:sz="0" w:space="0" w:color="auto"/>
        <w:right w:val="none" w:sz="0" w:space="0" w:color="auto"/>
      </w:divBdr>
      <w:divsChild>
        <w:div w:id="1228954018">
          <w:marLeft w:val="360"/>
          <w:marRight w:val="0"/>
          <w:marTop w:val="200"/>
          <w:marBottom w:val="0"/>
          <w:divBdr>
            <w:top w:val="none" w:sz="0" w:space="0" w:color="auto"/>
            <w:left w:val="none" w:sz="0" w:space="0" w:color="auto"/>
            <w:bottom w:val="none" w:sz="0" w:space="0" w:color="auto"/>
            <w:right w:val="none" w:sz="0" w:space="0" w:color="auto"/>
          </w:divBdr>
        </w:div>
        <w:div w:id="212424746">
          <w:marLeft w:val="360"/>
          <w:marRight w:val="0"/>
          <w:marTop w:val="200"/>
          <w:marBottom w:val="0"/>
          <w:divBdr>
            <w:top w:val="none" w:sz="0" w:space="0" w:color="auto"/>
            <w:left w:val="none" w:sz="0" w:space="0" w:color="auto"/>
            <w:bottom w:val="none" w:sz="0" w:space="0" w:color="auto"/>
            <w:right w:val="none" w:sz="0" w:space="0" w:color="auto"/>
          </w:divBdr>
        </w:div>
        <w:div w:id="158270995">
          <w:marLeft w:val="360"/>
          <w:marRight w:val="0"/>
          <w:marTop w:val="200"/>
          <w:marBottom w:val="0"/>
          <w:divBdr>
            <w:top w:val="none" w:sz="0" w:space="0" w:color="auto"/>
            <w:left w:val="none" w:sz="0" w:space="0" w:color="auto"/>
            <w:bottom w:val="none" w:sz="0" w:space="0" w:color="auto"/>
            <w:right w:val="none" w:sz="0" w:space="0" w:color="auto"/>
          </w:divBdr>
        </w:div>
        <w:div w:id="2142264832">
          <w:marLeft w:val="360"/>
          <w:marRight w:val="0"/>
          <w:marTop w:val="200"/>
          <w:marBottom w:val="0"/>
          <w:divBdr>
            <w:top w:val="none" w:sz="0" w:space="0" w:color="auto"/>
            <w:left w:val="none" w:sz="0" w:space="0" w:color="auto"/>
            <w:bottom w:val="none" w:sz="0" w:space="0" w:color="auto"/>
            <w:right w:val="none" w:sz="0" w:space="0" w:color="auto"/>
          </w:divBdr>
        </w:div>
        <w:div w:id="459298621">
          <w:marLeft w:val="360"/>
          <w:marRight w:val="0"/>
          <w:marTop w:val="200"/>
          <w:marBottom w:val="0"/>
          <w:divBdr>
            <w:top w:val="none" w:sz="0" w:space="0" w:color="auto"/>
            <w:left w:val="none" w:sz="0" w:space="0" w:color="auto"/>
            <w:bottom w:val="none" w:sz="0" w:space="0" w:color="auto"/>
            <w:right w:val="none" w:sz="0" w:space="0" w:color="auto"/>
          </w:divBdr>
        </w:div>
        <w:div w:id="1934703429">
          <w:marLeft w:val="360"/>
          <w:marRight w:val="0"/>
          <w:marTop w:val="200"/>
          <w:marBottom w:val="0"/>
          <w:divBdr>
            <w:top w:val="none" w:sz="0" w:space="0" w:color="auto"/>
            <w:left w:val="none" w:sz="0" w:space="0" w:color="auto"/>
            <w:bottom w:val="none" w:sz="0" w:space="0" w:color="auto"/>
            <w:right w:val="none" w:sz="0" w:space="0" w:color="auto"/>
          </w:divBdr>
        </w:div>
        <w:div w:id="1432124157">
          <w:marLeft w:val="360"/>
          <w:marRight w:val="0"/>
          <w:marTop w:val="200"/>
          <w:marBottom w:val="0"/>
          <w:divBdr>
            <w:top w:val="none" w:sz="0" w:space="0" w:color="auto"/>
            <w:left w:val="none" w:sz="0" w:space="0" w:color="auto"/>
            <w:bottom w:val="none" w:sz="0" w:space="0" w:color="auto"/>
            <w:right w:val="none" w:sz="0" w:space="0" w:color="auto"/>
          </w:divBdr>
        </w:div>
        <w:div w:id="2114278791">
          <w:marLeft w:val="360"/>
          <w:marRight w:val="0"/>
          <w:marTop w:val="200"/>
          <w:marBottom w:val="0"/>
          <w:divBdr>
            <w:top w:val="none" w:sz="0" w:space="0" w:color="auto"/>
            <w:left w:val="none" w:sz="0" w:space="0" w:color="auto"/>
            <w:bottom w:val="none" w:sz="0" w:space="0" w:color="auto"/>
            <w:right w:val="none" w:sz="0" w:space="0" w:color="auto"/>
          </w:divBdr>
        </w:div>
        <w:div w:id="1793590793">
          <w:marLeft w:val="360"/>
          <w:marRight w:val="0"/>
          <w:marTop w:val="200"/>
          <w:marBottom w:val="0"/>
          <w:divBdr>
            <w:top w:val="none" w:sz="0" w:space="0" w:color="auto"/>
            <w:left w:val="none" w:sz="0" w:space="0" w:color="auto"/>
            <w:bottom w:val="none" w:sz="0" w:space="0" w:color="auto"/>
            <w:right w:val="none" w:sz="0" w:space="0" w:color="auto"/>
          </w:divBdr>
        </w:div>
      </w:divsChild>
    </w:div>
    <w:div w:id="218827418">
      <w:bodyDiv w:val="1"/>
      <w:marLeft w:val="0"/>
      <w:marRight w:val="0"/>
      <w:marTop w:val="0"/>
      <w:marBottom w:val="0"/>
      <w:divBdr>
        <w:top w:val="none" w:sz="0" w:space="0" w:color="auto"/>
        <w:left w:val="none" w:sz="0" w:space="0" w:color="auto"/>
        <w:bottom w:val="none" w:sz="0" w:space="0" w:color="auto"/>
        <w:right w:val="none" w:sz="0" w:space="0" w:color="auto"/>
      </w:divBdr>
      <w:divsChild>
        <w:div w:id="1458911792">
          <w:marLeft w:val="547"/>
          <w:marRight w:val="0"/>
          <w:marTop w:val="0"/>
          <w:marBottom w:val="0"/>
          <w:divBdr>
            <w:top w:val="none" w:sz="0" w:space="0" w:color="auto"/>
            <w:left w:val="none" w:sz="0" w:space="0" w:color="auto"/>
            <w:bottom w:val="none" w:sz="0" w:space="0" w:color="auto"/>
            <w:right w:val="none" w:sz="0" w:space="0" w:color="auto"/>
          </w:divBdr>
        </w:div>
        <w:div w:id="1677729006">
          <w:marLeft w:val="1166"/>
          <w:marRight w:val="0"/>
          <w:marTop w:val="0"/>
          <w:marBottom w:val="0"/>
          <w:divBdr>
            <w:top w:val="none" w:sz="0" w:space="0" w:color="auto"/>
            <w:left w:val="none" w:sz="0" w:space="0" w:color="auto"/>
            <w:bottom w:val="none" w:sz="0" w:space="0" w:color="auto"/>
            <w:right w:val="none" w:sz="0" w:space="0" w:color="auto"/>
          </w:divBdr>
        </w:div>
        <w:div w:id="286275655">
          <w:marLeft w:val="1166"/>
          <w:marRight w:val="0"/>
          <w:marTop w:val="0"/>
          <w:marBottom w:val="0"/>
          <w:divBdr>
            <w:top w:val="none" w:sz="0" w:space="0" w:color="auto"/>
            <w:left w:val="none" w:sz="0" w:space="0" w:color="auto"/>
            <w:bottom w:val="none" w:sz="0" w:space="0" w:color="auto"/>
            <w:right w:val="none" w:sz="0" w:space="0" w:color="auto"/>
          </w:divBdr>
        </w:div>
        <w:div w:id="1234120338">
          <w:marLeft w:val="547"/>
          <w:marRight w:val="0"/>
          <w:marTop w:val="0"/>
          <w:marBottom w:val="0"/>
          <w:divBdr>
            <w:top w:val="none" w:sz="0" w:space="0" w:color="auto"/>
            <w:left w:val="none" w:sz="0" w:space="0" w:color="auto"/>
            <w:bottom w:val="none" w:sz="0" w:space="0" w:color="auto"/>
            <w:right w:val="none" w:sz="0" w:space="0" w:color="auto"/>
          </w:divBdr>
        </w:div>
        <w:div w:id="197550705">
          <w:marLeft w:val="1166"/>
          <w:marRight w:val="0"/>
          <w:marTop w:val="0"/>
          <w:marBottom w:val="0"/>
          <w:divBdr>
            <w:top w:val="none" w:sz="0" w:space="0" w:color="auto"/>
            <w:left w:val="none" w:sz="0" w:space="0" w:color="auto"/>
            <w:bottom w:val="none" w:sz="0" w:space="0" w:color="auto"/>
            <w:right w:val="none" w:sz="0" w:space="0" w:color="auto"/>
          </w:divBdr>
        </w:div>
        <w:div w:id="1304504065">
          <w:marLeft w:val="1166"/>
          <w:marRight w:val="0"/>
          <w:marTop w:val="0"/>
          <w:marBottom w:val="0"/>
          <w:divBdr>
            <w:top w:val="none" w:sz="0" w:space="0" w:color="auto"/>
            <w:left w:val="none" w:sz="0" w:space="0" w:color="auto"/>
            <w:bottom w:val="none" w:sz="0" w:space="0" w:color="auto"/>
            <w:right w:val="none" w:sz="0" w:space="0" w:color="auto"/>
          </w:divBdr>
        </w:div>
        <w:div w:id="251278947">
          <w:marLeft w:val="547"/>
          <w:marRight w:val="0"/>
          <w:marTop w:val="0"/>
          <w:marBottom w:val="0"/>
          <w:divBdr>
            <w:top w:val="none" w:sz="0" w:space="0" w:color="auto"/>
            <w:left w:val="none" w:sz="0" w:space="0" w:color="auto"/>
            <w:bottom w:val="none" w:sz="0" w:space="0" w:color="auto"/>
            <w:right w:val="none" w:sz="0" w:space="0" w:color="auto"/>
          </w:divBdr>
        </w:div>
        <w:div w:id="1257203366">
          <w:marLeft w:val="1166"/>
          <w:marRight w:val="0"/>
          <w:marTop w:val="0"/>
          <w:marBottom w:val="0"/>
          <w:divBdr>
            <w:top w:val="none" w:sz="0" w:space="0" w:color="auto"/>
            <w:left w:val="none" w:sz="0" w:space="0" w:color="auto"/>
            <w:bottom w:val="none" w:sz="0" w:space="0" w:color="auto"/>
            <w:right w:val="none" w:sz="0" w:space="0" w:color="auto"/>
          </w:divBdr>
        </w:div>
        <w:div w:id="2003461608">
          <w:marLeft w:val="1166"/>
          <w:marRight w:val="0"/>
          <w:marTop w:val="0"/>
          <w:marBottom w:val="0"/>
          <w:divBdr>
            <w:top w:val="none" w:sz="0" w:space="0" w:color="auto"/>
            <w:left w:val="none" w:sz="0" w:space="0" w:color="auto"/>
            <w:bottom w:val="none" w:sz="0" w:space="0" w:color="auto"/>
            <w:right w:val="none" w:sz="0" w:space="0" w:color="auto"/>
          </w:divBdr>
        </w:div>
      </w:divsChild>
    </w:div>
    <w:div w:id="407191906">
      <w:bodyDiv w:val="1"/>
      <w:marLeft w:val="0"/>
      <w:marRight w:val="0"/>
      <w:marTop w:val="0"/>
      <w:marBottom w:val="0"/>
      <w:divBdr>
        <w:top w:val="none" w:sz="0" w:space="0" w:color="auto"/>
        <w:left w:val="none" w:sz="0" w:space="0" w:color="auto"/>
        <w:bottom w:val="none" w:sz="0" w:space="0" w:color="auto"/>
        <w:right w:val="none" w:sz="0" w:space="0" w:color="auto"/>
      </w:divBdr>
    </w:div>
    <w:div w:id="413166297">
      <w:bodyDiv w:val="1"/>
      <w:marLeft w:val="0"/>
      <w:marRight w:val="0"/>
      <w:marTop w:val="0"/>
      <w:marBottom w:val="0"/>
      <w:divBdr>
        <w:top w:val="none" w:sz="0" w:space="0" w:color="auto"/>
        <w:left w:val="none" w:sz="0" w:space="0" w:color="auto"/>
        <w:bottom w:val="none" w:sz="0" w:space="0" w:color="auto"/>
        <w:right w:val="none" w:sz="0" w:space="0" w:color="auto"/>
      </w:divBdr>
    </w:div>
    <w:div w:id="464156008">
      <w:bodyDiv w:val="1"/>
      <w:marLeft w:val="0"/>
      <w:marRight w:val="0"/>
      <w:marTop w:val="0"/>
      <w:marBottom w:val="0"/>
      <w:divBdr>
        <w:top w:val="none" w:sz="0" w:space="0" w:color="auto"/>
        <w:left w:val="none" w:sz="0" w:space="0" w:color="auto"/>
        <w:bottom w:val="none" w:sz="0" w:space="0" w:color="auto"/>
        <w:right w:val="none" w:sz="0" w:space="0" w:color="auto"/>
      </w:divBdr>
    </w:div>
    <w:div w:id="469902132">
      <w:bodyDiv w:val="1"/>
      <w:marLeft w:val="0"/>
      <w:marRight w:val="0"/>
      <w:marTop w:val="0"/>
      <w:marBottom w:val="0"/>
      <w:divBdr>
        <w:top w:val="none" w:sz="0" w:space="0" w:color="auto"/>
        <w:left w:val="none" w:sz="0" w:space="0" w:color="auto"/>
        <w:bottom w:val="none" w:sz="0" w:space="0" w:color="auto"/>
        <w:right w:val="none" w:sz="0" w:space="0" w:color="auto"/>
      </w:divBdr>
    </w:div>
    <w:div w:id="594284486">
      <w:bodyDiv w:val="1"/>
      <w:marLeft w:val="0"/>
      <w:marRight w:val="0"/>
      <w:marTop w:val="0"/>
      <w:marBottom w:val="0"/>
      <w:divBdr>
        <w:top w:val="none" w:sz="0" w:space="0" w:color="auto"/>
        <w:left w:val="none" w:sz="0" w:space="0" w:color="auto"/>
        <w:bottom w:val="none" w:sz="0" w:space="0" w:color="auto"/>
        <w:right w:val="none" w:sz="0" w:space="0" w:color="auto"/>
      </w:divBdr>
    </w:div>
    <w:div w:id="636689722">
      <w:bodyDiv w:val="1"/>
      <w:marLeft w:val="0"/>
      <w:marRight w:val="0"/>
      <w:marTop w:val="0"/>
      <w:marBottom w:val="0"/>
      <w:divBdr>
        <w:top w:val="none" w:sz="0" w:space="0" w:color="auto"/>
        <w:left w:val="none" w:sz="0" w:space="0" w:color="auto"/>
        <w:bottom w:val="none" w:sz="0" w:space="0" w:color="auto"/>
        <w:right w:val="none" w:sz="0" w:space="0" w:color="auto"/>
      </w:divBdr>
      <w:divsChild>
        <w:div w:id="1144083676">
          <w:marLeft w:val="446"/>
          <w:marRight w:val="0"/>
          <w:marTop w:val="0"/>
          <w:marBottom w:val="0"/>
          <w:divBdr>
            <w:top w:val="none" w:sz="0" w:space="0" w:color="auto"/>
            <w:left w:val="none" w:sz="0" w:space="0" w:color="auto"/>
            <w:bottom w:val="none" w:sz="0" w:space="0" w:color="auto"/>
            <w:right w:val="none" w:sz="0" w:space="0" w:color="auto"/>
          </w:divBdr>
        </w:div>
        <w:div w:id="210581073">
          <w:marLeft w:val="446"/>
          <w:marRight w:val="0"/>
          <w:marTop w:val="0"/>
          <w:marBottom w:val="0"/>
          <w:divBdr>
            <w:top w:val="none" w:sz="0" w:space="0" w:color="auto"/>
            <w:left w:val="none" w:sz="0" w:space="0" w:color="auto"/>
            <w:bottom w:val="none" w:sz="0" w:space="0" w:color="auto"/>
            <w:right w:val="none" w:sz="0" w:space="0" w:color="auto"/>
          </w:divBdr>
        </w:div>
        <w:div w:id="2052262973">
          <w:marLeft w:val="1166"/>
          <w:marRight w:val="0"/>
          <w:marTop w:val="0"/>
          <w:marBottom w:val="0"/>
          <w:divBdr>
            <w:top w:val="none" w:sz="0" w:space="0" w:color="auto"/>
            <w:left w:val="none" w:sz="0" w:space="0" w:color="auto"/>
            <w:bottom w:val="none" w:sz="0" w:space="0" w:color="auto"/>
            <w:right w:val="none" w:sz="0" w:space="0" w:color="auto"/>
          </w:divBdr>
        </w:div>
        <w:div w:id="1711683952">
          <w:marLeft w:val="1166"/>
          <w:marRight w:val="0"/>
          <w:marTop w:val="0"/>
          <w:marBottom w:val="0"/>
          <w:divBdr>
            <w:top w:val="none" w:sz="0" w:space="0" w:color="auto"/>
            <w:left w:val="none" w:sz="0" w:space="0" w:color="auto"/>
            <w:bottom w:val="none" w:sz="0" w:space="0" w:color="auto"/>
            <w:right w:val="none" w:sz="0" w:space="0" w:color="auto"/>
          </w:divBdr>
        </w:div>
      </w:divsChild>
    </w:div>
    <w:div w:id="646976502">
      <w:bodyDiv w:val="1"/>
      <w:marLeft w:val="0"/>
      <w:marRight w:val="0"/>
      <w:marTop w:val="0"/>
      <w:marBottom w:val="0"/>
      <w:divBdr>
        <w:top w:val="none" w:sz="0" w:space="0" w:color="auto"/>
        <w:left w:val="none" w:sz="0" w:space="0" w:color="auto"/>
        <w:bottom w:val="none" w:sz="0" w:space="0" w:color="auto"/>
        <w:right w:val="none" w:sz="0" w:space="0" w:color="auto"/>
      </w:divBdr>
    </w:div>
    <w:div w:id="690300164">
      <w:bodyDiv w:val="1"/>
      <w:marLeft w:val="0"/>
      <w:marRight w:val="0"/>
      <w:marTop w:val="0"/>
      <w:marBottom w:val="0"/>
      <w:divBdr>
        <w:top w:val="none" w:sz="0" w:space="0" w:color="auto"/>
        <w:left w:val="none" w:sz="0" w:space="0" w:color="auto"/>
        <w:bottom w:val="none" w:sz="0" w:space="0" w:color="auto"/>
        <w:right w:val="none" w:sz="0" w:space="0" w:color="auto"/>
      </w:divBdr>
      <w:divsChild>
        <w:div w:id="1804806085">
          <w:marLeft w:val="547"/>
          <w:marRight w:val="0"/>
          <w:marTop w:val="115"/>
          <w:marBottom w:val="0"/>
          <w:divBdr>
            <w:top w:val="none" w:sz="0" w:space="0" w:color="auto"/>
            <w:left w:val="none" w:sz="0" w:space="0" w:color="auto"/>
            <w:bottom w:val="none" w:sz="0" w:space="0" w:color="auto"/>
            <w:right w:val="none" w:sz="0" w:space="0" w:color="auto"/>
          </w:divBdr>
        </w:div>
        <w:div w:id="1684435514">
          <w:marLeft w:val="547"/>
          <w:marRight w:val="0"/>
          <w:marTop w:val="115"/>
          <w:marBottom w:val="0"/>
          <w:divBdr>
            <w:top w:val="none" w:sz="0" w:space="0" w:color="auto"/>
            <w:left w:val="none" w:sz="0" w:space="0" w:color="auto"/>
            <w:bottom w:val="none" w:sz="0" w:space="0" w:color="auto"/>
            <w:right w:val="none" w:sz="0" w:space="0" w:color="auto"/>
          </w:divBdr>
        </w:div>
        <w:div w:id="513809267">
          <w:marLeft w:val="547"/>
          <w:marRight w:val="0"/>
          <w:marTop w:val="115"/>
          <w:marBottom w:val="0"/>
          <w:divBdr>
            <w:top w:val="none" w:sz="0" w:space="0" w:color="auto"/>
            <w:left w:val="none" w:sz="0" w:space="0" w:color="auto"/>
            <w:bottom w:val="none" w:sz="0" w:space="0" w:color="auto"/>
            <w:right w:val="none" w:sz="0" w:space="0" w:color="auto"/>
          </w:divBdr>
        </w:div>
      </w:divsChild>
    </w:div>
    <w:div w:id="775636675">
      <w:bodyDiv w:val="1"/>
      <w:marLeft w:val="0"/>
      <w:marRight w:val="0"/>
      <w:marTop w:val="0"/>
      <w:marBottom w:val="0"/>
      <w:divBdr>
        <w:top w:val="none" w:sz="0" w:space="0" w:color="auto"/>
        <w:left w:val="none" w:sz="0" w:space="0" w:color="auto"/>
        <w:bottom w:val="none" w:sz="0" w:space="0" w:color="auto"/>
        <w:right w:val="none" w:sz="0" w:space="0" w:color="auto"/>
      </w:divBdr>
      <w:divsChild>
        <w:div w:id="230120933">
          <w:marLeft w:val="547"/>
          <w:marRight w:val="0"/>
          <w:marTop w:val="120"/>
          <w:marBottom w:val="120"/>
          <w:divBdr>
            <w:top w:val="none" w:sz="0" w:space="0" w:color="auto"/>
            <w:left w:val="none" w:sz="0" w:space="0" w:color="auto"/>
            <w:bottom w:val="none" w:sz="0" w:space="0" w:color="auto"/>
            <w:right w:val="none" w:sz="0" w:space="0" w:color="auto"/>
          </w:divBdr>
        </w:div>
        <w:div w:id="533541103">
          <w:marLeft w:val="547"/>
          <w:marRight w:val="0"/>
          <w:marTop w:val="120"/>
          <w:marBottom w:val="120"/>
          <w:divBdr>
            <w:top w:val="none" w:sz="0" w:space="0" w:color="auto"/>
            <w:left w:val="none" w:sz="0" w:space="0" w:color="auto"/>
            <w:bottom w:val="none" w:sz="0" w:space="0" w:color="auto"/>
            <w:right w:val="none" w:sz="0" w:space="0" w:color="auto"/>
          </w:divBdr>
        </w:div>
        <w:div w:id="112285506">
          <w:marLeft w:val="547"/>
          <w:marRight w:val="0"/>
          <w:marTop w:val="120"/>
          <w:marBottom w:val="120"/>
          <w:divBdr>
            <w:top w:val="none" w:sz="0" w:space="0" w:color="auto"/>
            <w:left w:val="none" w:sz="0" w:space="0" w:color="auto"/>
            <w:bottom w:val="none" w:sz="0" w:space="0" w:color="auto"/>
            <w:right w:val="none" w:sz="0" w:space="0" w:color="auto"/>
          </w:divBdr>
        </w:div>
      </w:divsChild>
    </w:div>
    <w:div w:id="805397655">
      <w:bodyDiv w:val="1"/>
      <w:marLeft w:val="0"/>
      <w:marRight w:val="0"/>
      <w:marTop w:val="0"/>
      <w:marBottom w:val="0"/>
      <w:divBdr>
        <w:top w:val="none" w:sz="0" w:space="0" w:color="auto"/>
        <w:left w:val="none" w:sz="0" w:space="0" w:color="auto"/>
        <w:bottom w:val="none" w:sz="0" w:space="0" w:color="auto"/>
        <w:right w:val="none" w:sz="0" w:space="0" w:color="auto"/>
      </w:divBdr>
    </w:div>
    <w:div w:id="821851327">
      <w:bodyDiv w:val="1"/>
      <w:marLeft w:val="0"/>
      <w:marRight w:val="0"/>
      <w:marTop w:val="0"/>
      <w:marBottom w:val="0"/>
      <w:divBdr>
        <w:top w:val="none" w:sz="0" w:space="0" w:color="auto"/>
        <w:left w:val="none" w:sz="0" w:space="0" w:color="auto"/>
        <w:bottom w:val="none" w:sz="0" w:space="0" w:color="auto"/>
        <w:right w:val="none" w:sz="0" w:space="0" w:color="auto"/>
      </w:divBdr>
      <w:divsChild>
        <w:div w:id="367991123">
          <w:marLeft w:val="173"/>
          <w:marRight w:val="0"/>
          <w:marTop w:val="0"/>
          <w:marBottom w:val="0"/>
          <w:divBdr>
            <w:top w:val="none" w:sz="0" w:space="0" w:color="auto"/>
            <w:left w:val="none" w:sz="0" w:space="0" w:color="auto"/>
            <w:bottom w:val="none" w:sz="0" w:space="0" w:color="auto"/>
            <w:right w:val="none" w:sz="0" w:space="0" w:color="auto"/>
          </w:divBdr>
        </w:div>
        <w:div w:id="1779792439">
          <w:marLeft w:val="173"/>
          <w:marRight w:val="0"/>
          <w:marTop w:val="0"/>
          <w:marBottom w:val="0"/>
          <w:divBdr>
            <w:top w:val="none" w:sz="0" w:space="0" w:color="auto"/>
            <w:left w:val="none" w:sz="0" w:space="0" w:color="auto"/>
            <w:bottom w:val="none" w:sz="0" w:space="0" w:color="auto"/>
            <w:right w:val="none" w:sz="0" w:space="0" w:color="auto"/>
          </w:divBdr>
        </w:div>
      </w:divsChild>
    </w:div>
    <w:div w:id="830558857">
      <w:bodyDiv w:val="1"/>
      <w:marLeft w:val="0"/>
      <w:marRight w:val="0"/>
      <w:marTop w:val="0"/>
      <w:marBottom w:val="0"/>
      <w:divBdr>
        <w:top w:val="none" w:sz="0" w:space="0" w:color="auto"/>
        <w:left w:val="none" w:sz="0" w:space="0" w:color="auto"/>
        <w:bottom w:val="none" w:sz="0" w:space="0" w:color="auto"/>
        <w:right w:val="none" w:sz="0" w:space="0" w:color="auto"/>
      </w:divBdr>
      <w:divsChild>
        <w:div w:id="1199315244">
          <w:marLeft w:val="446"/>
          <w:marRight w:val="0"/>
          <w:marTop w:val="0"/>
          <w:marBottom w:val="0"/>
          <w:divBdr>
            <w:top w:val="none" w:sz="0" w:space="0" w:color="auto"/>
            <w:left w:val="none" w:sz="0" w:space="0" w:color="auto"/>
            <w:bottom w:val="none" w:sz="0" w:space="0" w:color="auto"/>
            <w:right w:val="none" w:sz="0" w:space="0" w:color="auto"/>
          </w:divBdr>
        </w:div>
      </w:divsChild>
    </w:div>
    <w:div w:id="842400620">
      <w:bodyDiv w:val="1"/>
      <w:marLeft w:val="0"/>
      <w:marRight w:val="0"/>
      <w:marTop w:val="0"/>
      <w:marBottom w:val="0"/>
      <w:divBdr>
        <w:top w:val="none" w:sz="0" w:space="0" w:color="auto"/>
        <w:left w:val="none" w:sz="0" w:space="0" w:color="auto"/>
        <w:bottom w:val="none" w:sz="0" w:space="0" w:color="auto"/>
        <w:right w:val="none" w:sz="0" w:space="0" w:color="auto"/>
      </w:divBdr>
    </w:div>
    <w:div w:id="846561203">
      <w:bodyDiv w:val="1"/>
      <w:marLeft w:val="0"/>
      <w:marRight w:val="0"/>
      <w:marTop w:val="0"/>
      <w:marBottom w:val="0"/>
      <w:divBdr>
        <w:top w:val="none" w:sz="0" w:space="0" w:color="auto"/>
        <w:left w:val="none" w:sz="0" w:space="0" w:color="auto"/>
        <w:bottom w:val="none" w:sz="0" w:space="0" w:color="auto"/>
        <w:right w:val="none" w:sz="0" w:space="0" w:color="auto"/>
      </w:divBdr>
      <w:divsChild>
        <w:div w:id="1224606619">
          <w:marLeft w:val="706"/>
          <w:marRight w:val="0"/>
          <w:marTop w:val="100"/>
          <w:marBottom w:val="0"/>
          <w:divBdr>
            <w:top w:val="none" w:sz="0" w:space="0" w:color="auto"/>
            <w:left w:val="none" w:sz="0" w:space="0" w:color="auto"/>
            <w:bottom w:val="none" w:sz="0" w:space="0" w:color="auto"/>
            <w:right w:val="none" w:sz="0" w:space="0" w:color="auto"/>
          </w:divBdr>
        </w:div>
        <w:div w:id="2099329288">
          <w:marLeft w:val="706"/>
          <w:marRight w:val="0"/>
          <w:marTop w:val="100"/>
          <w:marBottom w:val="0"/>
          <w:divBdr>
            <w:top w:val="none" w:sz="0" w:space="0" w:color="auto"/>
            <w:left w:val="none" w:sz="0" w:space="0" w:color="auto"/>
            <w:bottom w:val="none" w:sz="0" w:space="0" w:color="auto"/>
            <w:right w:val="none" w:sz="0" w:space="0" w:color="auto"/>
          </w:divBdr>
        </w:div>
        <w:div w:id="1232621852">
          <w:marLeft w:val="706"/>
          <w:marRight w:val="0"/>
          <w:marTop w:val="100"/>
          <w:marBottom w:val="0"/>
          <w:divBdr>
            <w:top w:val="none" w:sz="0" w:space="0" w:color="auto"/>
            <w:left w:val="none" w:sz="0" w:space="0" w:color="auto"/>
            <w:bottom w:val="none" w:sz="0" w:space="0" w:color="auto"/>
            <w:right w:val="none" w:sz="0" w:space="0" w:color="auto"/>
          </w:divBdr>
        </w:div>
        <w:div w:id="904530657">
          <w:marLeft w:val="706"/>
          <w:marRight w:val="0"/>
          <w:marTop w:val="100"/>
          <w:marBottom w:val="0"/>
          <w:divBdr>
            <w:top w:val="none" w:sz="0" w:space="0" w:color="auto"/>
            <w:left w:val="none" w:sz="0" w:space="0" w:color="auto"/>
            <w:bottom w:val="none" w:sz="0" w:space="0" w:color="auto"/>
            <w:right w:val="none" w:sz="0" w:space="0" w:color="auto"/>
          </w:divBdr>
        </w:div>
        <w:div w:id="911164828">
          <w:marLeft w:val="706"/>
          <w:marRight w:val="0"/>
          <w:marTop w:val="100"/>
          <w:marBottom w:val="0"/>
          <w:divBdr>
            <w:top w:val="none" w:sz="0" w:space="0" w:color="auto"/>
            <w:left w:val="none" w:sz="0" w:space="0" w:color="auto"/>
            <w:bottom w:val="none" w:sz="0" w:space="0" w:color="auto"/>
            <w:right w:val="none" w:sz="0" w:space="0" w:color="auto"/>
          </w:divBdr>
        </w:div>
        <w:div w:id="964501280">
          <w:marLeft w:val="706"/>
          <w:marRight w:val="0"/>
          <w:marTop w:val="100"/>
          <w:marBottom w:val="0"/>
          <w:divBdr>
            <w:top w:val="none" w:sz="0" w:space="0" w:color="auto"/>
            <w:left w:val="none" w:sz="0" w:space="0" w:color="auto"/>
            <w:bottom w:val="none" w:sz="0" w:space="0" w:color="auto"/>
            <w:right w:val="none" w:sz="0" w:space="0" w:color="auto"/>
          </w:divBdr>
        </w:div>
      </w:divsChild>
    </w:div>
    <w:div w:id="920990596">
      <w:bodyDiv w:val="1"/>
      <w:marLeft w:val="0"/>
      <w:marRight w:val="0"/>
      <w:marTop w:val="0"/>
      <w:marBottom w:val="0"/>
      <w:divBdr>
        <w:top w:val="none" w:sz="0" w:space="0" w:color="auto"/>
        <w:left w:val="none" w:sz="0" w:space="0" w:color="auto"/>
        <w:bottom w:val="none" w:sz="0" w:space="0" w:color="auto"/>
        <w:right w:val="none" w:sz="0" w:space="0" w:color="auto"/>
      </w:divBdr>
    </w:div>
    <w:div w:id="931007163">
      <w:bodyDiv w:val="1"/>
      <w:marLeft w:val="0"/>
      <w:marRight w:val="0"/>
      <w:marTop w:val="0"/>
      <w:marBottom w:val="0"/>
      <w:divBdr>
        <w:top w:val="none" w:sz="0" w:space="0" w:color="auto"/>
        <w:left w:val="none" w:sz="0" w:space="0" w:color="auto"/>
        <w:bottom w:val="none" w:sz="0" w:space="0" w:color="auto"/>
        <w:right w:val="none" w:sz="0" w:space="0" w:color="auto"/>
      </w:divBdr>
      <w:divsChild>
        <w:div w:id="1314875626">
          <w:marLeft w:val="360"/>
          <w:marRight w:val="0"/>
          <w:marTop w:val="200"/>
          <w:marBottom w:val="0"/>
          <w:divBdr>
            <w:top w:val="none" w:sz="0" w:space="0" w:color="auto"/>
            <w:left w:val="none" w:sz="0" w:space="0" w:color="auto"/>
            <w:bottom w:val="none" w:sz="0" w:space="0" w:color="auto"/>
            <w:right w:val="none" w:sz="0" w:space="0" w:color="auto"/>
          </w:divBdr>
        </w:div>
        <w:div w:id="164589937">
          <w:marLeft w:val="360"/>
          <w:marRight w:val="0"/>
          <w:marTop w:val="200"/>
          <w:marBottom w:val="0"/>
          <w:divBdr>
            <w:top w:val="none" w:sz="0" w:space="0" w:color="auto"/>
            <w:left w:val="none" w:sz="0" w:space="0" w:color="auto"/>
            <w:bottom w:val="none" w:sz="0" w:space="0" w:color="auto"/>
            <w:right w:val="none" w:sz="0" w:space="0" w:color="auto"/>
          </w:divBdr>
        </w:div>
        <w:div w:id="951283217">
          <w:marLeft w:val="360"/>
          <w:marRight w:val="0"/>
          <w:marTop w:val="200"/>
          <w:marBottom w:val="0"/>
          <w:divBdr>
            <w:top w:val="none" w:sz="0" w:space="0" w:color="auto"/>
            <w:left w:val="none" w:sz="0" w:space="0" w:color="auto"/>
            <w:bottom w:val="none" w:sz="0" w:space="0" w:color="auto"/>
            <w:right w:val="none" w:sz="0" w:space="0" w:color="auto"/>
          </w:divBdr>
        </w:div>
        <w:div w:id="90399660">
          <w:marLeft w:val="360"/>
          <w:marRight w:val="0"/>
          <w:marTop w:val="200"/>
          <w:marBottom w:val="0"/>
          <w:divBdr>
            <w:top w:val="none" w:sz="0" w:space="0" w:color="auto"/>
            <w:left w:val="none" w:sz="0" w:space="0" w:color="auto"/>
            <w:bottom w:val="none" w:sz="0" w:space="0" w:color="auto"/>
            <w:right w:val="none" w:sz="0" w:space="0" w:color="auto"/>
          </w:divBdr>
        </w:div>
        <w:div w:id="1409113713">
          <w:marLeft w:val="360"/>
          <w:marRight w:val="0"/>
          <w:marTop w:val="200"/>
          <w:marBottom w:val="0"/>
          <w:divBdr>
            <w:top w:val="none" w:sz="0" w:space="0" w:color="auto"/>
            <w:left w:val="none" w:sz="0" w:space="0" w:color="auto"/>
            <w:bottom w:val="none" w:sz="0" w:space="0" w:color="auto"/>
            <w:right w:val="none" w:sz="0" w:space="0" w:color="auto"/>
          </w:divBdr>
        </w:div>
      </w:divsChild>
    </w:div>
    <w:div w:id="1039016857">
      <w:bodyDiv w:val="1"/>
      <w:marLeft w:val="0"/>
      <w:marRight w:val="0"/>
      <w:marTop w:val="0"/>
      <w:marBottom w:val="0"/>
      <w:divBdr>
        <w:top w:val="none" w:sz="0" w:space="0" w:color="auto"/>
        <w:left w:val="none" w:sz="0" w:space="0" w:color="auto"/>
        <w:bottom w:val="none" w:sz="0" w:space="0" w:color="auto"/>
        <w:right w:val="none" w:sz="0" w:space="0" w:color="auto"/>
      </w:divBdr>
      <w:divsChild>
        <w:div w:id="824246402">
          <w:marLeft w:val="547"/>
          <w:marRight w:val="0"/>
          <w:marTop w:val="77"/>
          <w:marBottom w:val="0"/>
          <w:divBdr>
            <w:top w:val="none" w:sz="0" w:space="0" w:color="auto"/>
            <w:left w:val="none" w:sz="0" w:space="0" w:color="auto"/>
            <w:bottom w:val="none" w:sz="0" w:space="0" w:color="auto"/>
            <w:right w:val="none" w:sz="0" w:space="0" w:color="auto"/>
          </w:divBdr>
        </w:div>
        <w:div w:id="1486579871">
          <w:marLeft w:val="547"/>
          <w:marRight w:val="0"/>
          <w:marTop w:val="77"/>
          <w:marBottom w:val="0"/>
          <w:divBdr>
            <w:top w:val="none" w:sz="0" w:space="0" w:color="auto"/>
            <w:left w:val="none" w:sz="0" w:space="0" w:color="auto"/>
            <w:bottom w:val="none" w:sz="0" w:space="0" w:color="auto"/>
            <w:right w:val="none" w:sz="0" w:space="0" w:color="auto"/>
          </w:divBdr>
        </w:div>
      </w:divsChild>
    </w:div>
    <w:div w:id="1051269159">
      <w:bodyDiv w:val="1"/>
      <w:marLeft w:val="0"/>
      <w:marRight w:val="0"/>
      <w:marTop w:val="0"/>
      <w:marBottom w:val="0"/>
      <w:divBdr>
        <w:top w:val="none" w:sz="0" w:space="0" w:color="auto"/>
        <w:left w:val="none" w:sz="0" w:space="0" w:color="auto"/>
        <w:bottom w:val="none" w:sz="0" w:space="0" w:color="auto"/>
        <w:right w:val="none" w:sz="0" w:space="0" w:color="auto"/>
      </w:divBdr>
    </w:div>
    <w:div w:id="1053039910">
      <w:bodyDiv w:val="1"/>
      <w:marLeft w:val="0"/>
      <w:marRight w:val="0"/>
      <w:marTop w:val="0"/>
      <w:marBottom w:val="0"/>
      <w:divBdr>
        <w:top w:val="none" w:sz="0" w:space="0" w:color="auto"/>
        <w:left w:val="none" w:sz="0" w:space="0" w:color="auto"/>
        <w:bottom w:val="none" w:sz="0" w:space="0" w:color="auto"/>
        <w:right w:val="none" w:sz="0" w:space="0" w:color="auto"/>
      </w:divBdr>
    </w:div>
    <w:div w:id="1053117493">
      <w:bodyDiv w:val="1"/>
      <w:marLeft w:val="0"/>
      <w:marRight w:val="0"/>
      <w:marTop w:val="0"/>
      <w:marBottom w:val="0"/>
      <w:divBdr>
        <w:top w:val="none" w:sz="0" w:space="0" w:color="auto"/>
        <w:left w:val="none" w:sz="0" w:space="0" w:color="auto"/>
        <w:bottom w:val="none" w:sz="0" w:space="0" w:color="auto"/>
        <w:right w:val="none" w:sz="0" w:space="0" w:color="auto"/>
      </w:divBdr>
    </w:div>
    <w:div w:id="1080248007">
      <w:bodyDiv w:val="1"/>
      <w:marLeft w:val="0"/>
      <w:marRight w:val="0"/>
      <w:marTop w:val="0"/>
      <w:marBottom w:val="0"/>
      <w:divBdr>
        <w:top w:val="none" w:sz="0" w:space="0" w:color="auto"/>
        <w:left w:val="none" w:sz="0" w:space="0" w:color="auto"/>
        <w:bottom w:val="none" w:sz="0" w:space="0" w:color="auto"/>
        <w:right w:val="none" w:sz="0" w:space="0" w:color="auto"/>
      </w:divBdr>
    </w:div>
    <w:div w:id="1107775789">
      <w:bodyDiv w:val="1"/>
      <w:marLeft w:val="0"/>
      <w:marRight w:val="0"/>
      <w:marTop w:val="0"/>
      <w:marBottom w:val="0"/>
      <w:divBdr>
        <w:top w:val="none" w:sz="0" w:space="0" w:color="auto"/>
        <w:left w:val="none" w:sz="0" w:space="0" w:color="auto"/>
        <w:bottom w:val="none" w:sz="0" w:space="0" w:color="auto"/>
        <w:right w:val="none" w:sz="0" w:space="0" w:color="auto"/>
      </w:divBdr>
      <w:divsChild>
        <w:div w:id="976178598">
          <w:marLeft w:val="547"/>
          <w:marRight w:val="0"/>
          <w:marTop w:val="96"/>
          <w:marBottom w:val="0"/>
          <w:divBdr>
            <w:top w:val="none" w:sz="0" w:space="0" w:color="auto"/>
            <w:left w:val="none" w:sz="0" w:space="0" w:color="auto"/>
            <w:bottom w:val="none" w:sz="0" w:space="0" w:color="auto"/>
            <w:right w:val="none" w:sz="0" w:space="0" w:color="auto"/>
          </w:divBdr>
        </w:div>
        <w:div w:id="1282767482">
          <w:marLeft w:val="547"/>
          <w:marRight w:val="0"/>
          <w:marTop w:val="96"/>
          <w:marBottom w:val="0"/>
          <w:divBdr>
            <w:top w:val="none" w:sz="0" w:space="0" w:color="auto"/>
            <w:left w:val="none" w:sz="0" w:space="0" w:color="auto"/>
            <w:bottom w:val="none" w:sz="0" w:space="0" w:color="auto"/>
            <w:right w:val="none" w:sz="0" w:space="0" w:color="auto"/>
          </w:divBdr>
        </w:div>
        <w:div w:id="977762502">
          <w:marLeft w:val="1080"/>
          <w:marRight w:val="0"/>
          <w:marTop w:val="96"/>
          <w:marBottom w:val="0"/>
          <w:divBdr>
            <w:top w:val="none" w:sz="0" w:space="0" w:color="auto"/>
            <w:left w:val="none" w:sz="0" w:space="0" w:color="auto"/>
            <w:bottom w:val="none" w:sz="0" w:space="0" w:color="auto"/>
            <w:right w:val="none" w:sz="0" w:space="0" w:color="auto"/>
          </w:divBdr>
        </w:div>
        <w:div w:id="1815904133">
          <w:marLeft w:val="547"/>
          <w:marRight w:val="0"/>
          <w:marTop w:val="96"/>
          <w:marBottom w:val="0"/>
          <w:divBdr>
            <w:top w:val="none" w:sz="0" w:space="0" w:color="auto"/>
            <w:left w:val="none" w:sz="0" w:space="0" w:color="auto"/>
            <w:bottom w:val="none" w:sz="0" w:space="0" w:color="auto"/>
            <w:right w:val="none" w:sz="0" w:space="0" w:color="auto"/>
          </w:divBdr>
        </w:div>
      </w:divsChild>
    </w:div>
    <w:div w:id="1122380630">
      <w:bodyDiv w:val="1"/>
      <w:marLeft w:val="0"/>
      <w:marRight w:val="0"/>
      <w:marTop w:val="0"/>
      <w:marBottom w:val="0"/>
      <w:divBdr>
        <w:top w:val="none" w:sz="0" w:space="0" w:color="auto"/>
        <w:left w:val="none" w:sz="0" w:space="0" w:color="auto"/>
        <w:bottom w:val="none" w:sz="0" w:space="0" w:color="auto"/>
        <w:right w:val="none" w:sz="0" w:space="0" w:color="auto"/>
      </w:divBdr>
      <w:divsChild>
        <w:div w:id="1072241615">
          <w:marLeft w:val="547"/>
          <w:marRight w:val="0"/>
          <w:marTop w:val="96"/>
          <w:marBottom w:val="0"/>
          <w:divBdr>
            <w:top w:val="none" w:sz="0" w:space="0" w:color="auto"/>
            <w:left w:val="none" w:sz="0" w:space="0" w:color="auto"/>
            <w:bottom w:val="none" w:sz="0" w:space="0" w:color="auto"/>
            <w:right w:val="none" w:sz="0" w:space="0" w:color="auto"/>
          </w:divBdr>
        </w:div>
        <w:div w:id="481846364">
          <w:marLeft w:val="547"/>
          <w:marRight w:val="0"/>
          <w:marTop w:val="96"/>
          <w:marBottom w:val="0"/>
          <w:divBdr>
            <w:top w:val="none" w:sz="0" w:space="0" w:color="auto"/>
            <w:left w:val="none" w:sz="0" w:space="0" w:color="auto"/>
            <w:bottom w:val="none" w:sz="0" w:space="0" w:color="auto"/>
            <w:right w:val="none" w:sz="0" w:space="0" w:color="auto"/>
          </w:divBdr>
        </w:div>
        <w:div w:id="1705445052">
          <w:marLeft w:val="547"/>
          <w:marRight w:val="0"/>
          <w:marTop w:val="96"/>
          <w:marBottom w:val="0"/>
          <w:divBdr>
            <w:top w:val="none" w:sz="0" w:space="0" w:color="auto"/>
            <w:left w:val="none" w:sz="0" w:space="0" w:color="auto"/>
            <w:bottom w:val="none" w:sz="0" w:space="0" w:color="auto"/>
            <w:right w:val="none" w:sz="0" w:space="0" w:color="auto"/>
          </w:divBdr>
        </w:div>
        <w:div w:id="1204555934">
          <w:marLeft w:val="547"/>
          <w:marRight w:val="0"/>
          <w:marTop w:val="96"/>
          <w:marBottom w:val="0"/>
          <w:divBdr>
            <w:top w:val="none" w:sz="0" w:space="0" w:color="auto"/>
            <w:left w:val="none" w:sz="0" w:space="0" w:color="auto"/>
            <w:bottom w:val="none" w:sz="0" w:space="0" w:color="auto"/>
            <w:right w:val="none" w:sz="0" w:space="0" w:color="auto"/>
          </w:divBdr>
        </w:div>
        <w:div w:id="562830613">
          <w:marLeft w:val="547"/>
          <w:marRight w:val="0"/>
          <w:marTop w:val="96"/>
          <w:marBottom w:val="0"/>
          <w:divBdr>
            <w:top w:val="none" w:sz="0" w:space="0" w:color="auto"/>
            <w:left w:val="none" w:sz="0" w:space="0" w:color="auto"/>
            <w:bottom w:val="none" w:sz="0" w:space="0" w:color="auto"/>
            <w:right w:val="none" w:sz="0" w:space="0" w:color="auto"/>
          </w:divBdr>
        </w:div>
      </w:divsChild>
    </w:div>
    <w:div w:id="1158885912">
      <w:bodyDiv w:val="1"/>
      <w:marLeft w:val="0"/>
      <w:marRight w:val="0"/>
      <w:marTop w:val="0"/>
      <w:marBottom w:val="0"/>
      <w:divBdr>
        <w:top w:val="none" w:sz="0" w:space="0" w:color="auto"/>
        <w:left w:val="none" w:sz="0" w:space="0" w:color="auto"/>
        <w:bottom w:val="none" w:sz="0" w:space="0" w:color="auto"/>
        <w:right w:val="none" w:sz="0" w:space="0" w:color="auto"/>
      </w:divBdr>
    </w:div>
    <w:div w:id="1198929870">
      <w:bodyDiv w:val="1"/>
      <w:marLeft w:val="0"/>
      <w:marRight w:val="0"/>
      <w:marTop w:val="0"/>
      <w:marBottom w:val="0"/>
      <w:divBdr>
        <w:top w:val="none" w:sz="0" w:space="0" w:color="auto"/>
        <w:left w:val="none" w:sz="0" w:space="0" w:color="auto"/>
        <w:bottom w:val="none" w:sz="0" w:space="0" w:color="auto"/>
        <w:right w:val="none" w:sz="0" w:space="0" w:color="auto"/>
      </w:divBdr>
    </w:div>
    <w:div w:id="1256523927">
      <w:bodyDiv w:val="1"/>
      <w:marLeft w:val="0"/>
      <w:marRight w:val="0"/>
      <w:marTop w:val="0"/>
      <w:marBottom w:val="0"/>
      <w:divBdr>
        <w:top w:val="none" w:sz="0" w:space="0" w:color="auto"/>
        <w:left w:val="none" w:sz="0" w:space="0" w:color="auto"/>
        <w:bottom w:val="none" w:sz="0" w:space="0" w:color="auto"/>
        <w:right w:val="none" w:sz="0" w:space="0" w:color="auto"/>
      </w:divBdr>
      <w:divsChild>
        <w:div w:id="1405570044">
          <w:marLeft w:val="547"/>
          <w:marRight w:val="0"/>
          <w:marTop w:val="120"/>
          <w:marBottom w:val="0"/>
          <w:divBdr>
            <w:top w:val="none" w:sz="0" w:space="0" w:color="auto"/>
            <w:left w:val="none" w:sz="0" w:space="0" w:color="auto"/>
            <w:bottom w:val="none" w:sz="0" w:space="0" w:color="auto"/>
            <w:right w:val="none" w:sz="0" w:space="0" w:color="auto"/>
          </w:divBdr>
        </w:div>
        <w:div w:id="1166163866">
          <w:marLeft w:val="547"/>
          <w:marRight w:val="0"/>
          <w:marTop w:val="120"/>
          <w:marBottom w:val="0"/>
          <w:divBdr>
            <w:top w:val="none" w:sz="0" w:space="0" w:color="auto"/>
            <w:left w:val="none" w:sz="0" w:space="0" w:color="auto"/>
            <w:bottom w:val="none" w:sz="0" w:space="0" w:color="auto"/>
            <w:right w:val="none" w:sz="0" w:space="0" w:color="auto"/>
          </w:divBdr>
        </w:div>
        <w:div w:id="589585962">
          <w:marLeft w:val="547"/>
          <w:marRight w:val="0"/>
          <w:marTop w:val="120"/>
          <w:marBottom w:val="0"/>
          <w:divBdr>
            <w:top w:val="none" w:sz="0" w:space="0" w:color="auto"/>
            <w:left w:val="none" w:sz="0" w:space="0" w:color="auto"/>
            <w:bottom w:val="none" w:sz="0" w:space="0" w:color="auto"/>
            <w:right w:val="none" w:sz="0" w:space="0" w:color="auto"/>
          </w:divBdr>
        </w:div>
        <w:div w:id="661589043">
          <w:marLeft w:val="547"/>
          <w:marRight w:val="0"/>
          <w:marTop w:val="120"/>
          <w:marBottom w:val="0"/>
          <w:divBdr>
            <w:top w:val="none" w:sz="0" w:space="0" w:color="auto"/>
            <w:left w:val="none" w:sz="0" w:space="0" w:color="auto"/>
            <w:bottom w:val="none" w:sz="0" w:space="0" w:color="auto"/>
            <w:right w:val="none" w:sz="0" w:space="0" w:color="auto"/>
          </w:divBdr>
        </w:div>
        <w:div w:id="492835550">
          <w:marLeft w:val="547"/>
          <w:marRight w:val="0"/>
          <w:marTop w:val="120"/>
          <w:marBottom w:val="0"/>
          <w:divBdr>
            <w:top w:val="none" w:sz="0" w:space="0" w:color="auto"/>
            <w:left w:val="none" w:sz="0" w:space="0" w:color="auto"/>
            <w:bottom w:val="none" w:sz="0" w:space="0" w:color="auto"/>
            <w:right w:val="none" w:sz="0" w:space="0" w:color="auto"/>
          </w:divBdr>
        </w:div>
        <w:div w:id="1512717267">
          <w:marLeft w:val="547"/>
          <w:marRight w:val="0"/>
          <w:marTop w:val="120"/>
          <w:marBottom w:val="0"/>
          <w:divBdr>
            <w:top w:val="none" w:sz="0" w:space="0" w:color="auto"/>
            <w:left w:val="none" w:sz="0" w:space="0" w:color="auto"/>
            <w:bottom w:val="none" w:sz="0" w:space="0" w:color="auto"/>
            <w:right w:val="none" w:sz="0" w:space="0" w:color="auto"/>
          </w:divBdr>
        </w:div>
        <w:div w:id="1143960333">
          <w:marLeft w:val="547"/>
          <w:marRight w:val="0"/>
          <w:marTop w:val="120"/>
          <w:marBottom w:val="0"/>
          <w:divBdr>
            <w:top w:val="none" w:sz="0" w:space="0" w:color="auto"/>
            <w:left w:val="none" w:sz="0" w:space="0" w:color="auto"/>
            <w:bottom w:val="none" w:sz="0" w:space="0" w:color="auto"/>
            <w:right w:val="none" w:sz="0" w:space="0" w:color="auto"/>
          </w:divBdr>
        </w:div>
        <w:div w:id="557940593">
          <w:marLeft w:val="547"/>
          <w:marRight w:val="0"/>
          <w:marTop w:val="120"/>
          <w:marBottom w:val="0"/>
          <w:divBdr>
            <w:top w:val="none" w:sz="0" w:space="0" w:color="auto"/>
            <w:left w:val="none" w:sz="0" w:space="0" w:color="auto"/>
            <w:bottom w:val="none" w:sz="0" w:space="0" w:color="auto"/>
            <w:right w:val="none" w:sz="0" w:space="0" w:color="auto"/>
          </w:divBdr>
        </w:div>
        <w:div w:id="586618003">
          <w:marLeft w:val="547"/>
          <w:marRight w:val="0"/>
          <w:marTop w:val="120"/>
          <w:marBottom w:val="0"/>
          <w:divBdr>
            <w:top w:val="none" w:sz="0" w:space="0" w:color="auto"/>
            <w:left w:val="none" w:sz="0" w:space="0" w:color="auto"/>
            <w:bottom w:val="none" w:sz="0" w:space="0" w:color="auto"/>
            <w:right w:val="none" w:sz="0" w:space="0" w:color="auto"/>
          </w:divBdr>
        </w:div>
      </w:divsChild>
    </w:div>
    <w:div w:id="1261525096">
      <w:bodyDiv w:val="1"/>
      <w:marLeft w:val="0"/>
      <w:marRight w:val="0"/>
      <w:marTop w:val="0"/>
      <w:marBottom w:val="0"/>
      <w:divBdr>
        <w:top w:val="none" w:sz="0" w:space="0" w:color="auto"/>
        <w:left w:val="none" w:sz="0" w:space="0" w:color="auto"/>
        <w:bottom w:val="none" w:sz="0" w:space="0" w:color="auto"/>
        <w:right w:val="none" w:sz="0" w:space="0" w:color="auto"/>
      </w:divBdr>
      <w:divsChild>
        <w:div w:id="90243528">
          <w:marLeft w:val="547"/>
          <w:marRight w:val="0"/>
          <w:marTop w:val="77"/>
          <w:marBottom w:val="0"/>
          <w:divBdr>
            <w:top w:val="none" w:sz="0" w:space="0" w:color="auto"/>
            <w:left w:val="none" w:sz="0" w:space="0" w:color="auto"/>
            <w:bottom w:val="none" w:sz="0" w:space="0" w:color="auto"/>
            <w:right w:val="none" w:sz="0" w:space="0" w:color="auto"/>
          </w:divBdr>
        </w:div>
      </w:divsChild>
    </w:div>
    <w:div w:id="1287196260">
      <w:bodyDiv w:val="1"/>
      <w:marLeft w:val="0"/>
      <w:marRight w:val="0"/>
      <w:marTop w:val="0"/>
      <w:marBottom w:val="0"/>
      <w:divBdr>
        <w:top w:val="none" w:sz="0" w:space="0" w:color="auto"/>
        <w:left w:val="none" w:sz="0" w:space="0" w:color="auto"/>
        <w:bottom w:val="none" w:sz="0" w:space="0" w:color="auto"/>
        <w:right w:val="none" w:sz="0" w:space="0" w:color="auto"/>
      </w:divBdr>
    </w:div>
    <w:div w:id="1347563625">
      <w:bodyDiv w:val="1"/>
      <w:marLeft w:val="0"/>
      <w:marRight w:val="0"/>
      <w:marTop w:val="0"/>
      <w:marBottom w:val="0"/>
      <w:divBdr>
        <w:top w:val="none" w:sz="0" w:space="0" w:color="auto"/>
        <w:left w:val="none" w:sz="0" w:space="0" w:color="auto"/>
        <w:bottom w:val="none" w:sz="0" w:space="0" w:color="auto"/>
        <w:right w:val="none" w:sz="0" w:space="0" w:color="auto"/>
      </w:divBdr>
      <w:divsChild>
        <w:div w:id="700008905">
          <w:marLeft w:val="547"/>
          <w:marRight w:val="0"/>
          <w:marTop w:val="0"/>
          <w:marBottom w:val="0"/>
          <w:divBdr>
            <w:top w:val="none" w:sz="0" w:space="0" w:color="auto"/>
            <w:left w:val="none" w:sz="0" w:space="0" w:color="auto"/>
            <w:bottom w:val="none" w:sz="0" w:space="0" w:color="auto"/>
            <w:right w:val="none" w:sz="0" w:space="0" w:color="auto"/>
          </w:divBdr>
        </w:div>
        <w:div w:id="201290482">
          <w:marLeft w:val="547"/>
          <w:marRight w:val="0"/>
          <w:marTop w:val="0"/>
          <w:marBottom w:val="0"/>
          <w:divBdr>
            <w:top w:val="none" w:sz="0" w:space="0" w:color="auto"/>
            <w:left w:val="none" w:sz="0" w:space="0" w:color="auto"/>
            <w:bottom w:val="none" w:sz="0" w:space="0" w:color="auto"/>
            <w:right w:val="none" w:sz="0" w:space="0" w:color="auto"/>
          </w:divBdr>
        </w:div>
      </w:divsChild>
    </w:div>
    <w:div w:id="1388797825">
      <w:bodyDiv w:val="1"/>
      <w:marLeft w:val="0"/>
      <w:marRight w:val="0"/>
      <w:marTop w:val="0"/>
      <w:marBottom w:val="0"/>
      <w:divBdr>
        <w:top w:val="none" w:sz="0" w:space="0" w:color="auto"/>
        <w:left w:val="none" w:sz="0" w:space="0" w:color="auto"/>
        <w:bottom w:val="none" w:sz="0" w:space="0" w:color="auto"/>
        <w:right w:val="none" w:sz="0" w:space="0" w:color="auto"/>
      </w:divBdr>
    </w:div>
    <w:div w:id="1393892798">
      <w:bodyDiv w:val="1"/>
      <w:marLeft w:val="0"/>
      <w:marRight w:val="0"/>
      <w:marTop w:val="0"/>
      <w:marBottom w:val="0"/>
      <w:divBdr>
        <w:top w:val="none" w:sz="0" w:space="0" w:color="auto"/>
        <w:left w:val="none" w:sz="0" w:space="0" w:color="auto"/>
        <w:bottom w:val="none" w:sz="0" w:space="0" w:color="auto"/>
        <w:right w:val="none" w:sz="0" w:space="0" w:color="auto"/>
      </w:divBdr>
      <w:divsChild>
        <w:div w:id="1602449344">
          <w:marLeft w:val="547"/>
          <w:marRight w:val="0"/>
          <w:marTop w:val="0"/>
          <w:marBottom w:val="0"/>
          <w:divBdr>
            <w:top w:val="none" w:sz="0" w:space="0" w:color="auto"/>
            <w:left w:val="none" w:sz="0" w:space="0" w:color="auto"/>
            <w:bottom w:val="none" w:sz="0" w:space="0" w:color="auto"/>
            <w:right w:val="none" w:sz="0" w:space="0" w:color="auto"/>
          </w:divBdr>
        </w:div>
        <w:div w:id="1156452255">
          <w:marLeft w:val="547"/>
          <w:marRight w:val="0"/>
          <w:marTop w:val="0"/>
          <w:marBottom w:val="0"/>
          <w:divBdr>
            <w:top w:val="none" w:sz="0" w:space="0" w:color="auto"/>
            <w:left w:val="none" w:sz="0" w:space="0" w:color="auto"/>
            <w:bottom w:val="none" w:sz="0" w:space="0" w:color="auto"/>
            <w:right w:val="none" w:sz="0" w:space="0" w:color="auto"/>
          </w:divBdr>
        </w:div>
        <w:div w:id="2049796873">
          <w:marLeft w:val="547"/>
          <w:marRight w:val="0"/>
          <w:marTop w:val="0"/>
          <w:marBottom w:val="0"/>
          <w:divBdr>
            <w:top w:val="none" w:sz="0" w:space="0" w:color="auto"/>
            <w:left w:val="none" w:sz="0" w:space="0" w:color="auto"/>
            <w:bottom w:val="none" w:sz="0" w:space="0" w:color="auto"/>
            <w:right w:val="none" w:sz="0" w:space="0" w:color="auto"/>
          </w:divBdr>
        </w:div>
        <w:div w:id="788820644">
          <w:marLeft w:val="547"/>
          <w:marRight w:val="0"/>
          <w:marTop w:val="0"/>
          <w:marBottom w:val="0"/>
          <w:divBdr>
            <w:top w:val="none" w:sz="0" w:space="0" w:color="auto"/>
            <w:left w:val="none" w:sz="0" w:space="0" w:color="auto"/>
            <w:bottom w:val="none" w:sz="0" w:space="0" w:color="auto"/>
            <w:right w:val="none" w:sz="0" w:space="0" w:color="auto"/>
          </w:divBdr>
        </w:div>
        <w:div w:id="437990339">
          <w:marLeft w:val="547"/>
          <w:marRight w:val="0"/>
          <w:marTop w:val="0"/>
          <w:marBottom w:val="0"/>
          <w:divBdr>
            <w:top w:val="none" w:sz="0" w:space="0" w:color="auto"/>
            <w:left w:val="none" w:sz="0" w:space="0" w:color="auto"/>
            <w:bottom w:val="none" w:sz="0" w:space="0" w:color="auto"/>
            <w:right w:val="none" w:sz="0" w:space="0" w:color="auto"/>
          </w:divBdr>
        </w:div>
      </w:divsChild>
    </w:div>
    <w:div w:id="1439565264">
      <w:bodyDiv w:val="1"/>
      <w:marLeft w:val="0"/>
      <w:marRight w:val="0"/>
      <w:marTop w:val="0"/>
      <w:marBottom w:val="0"/>
      <w:divBdr>
        <w:top w:val="none" w:sz="0" w:space="0" w:color="auto"/>
        <w:left w:val="none" w:sz="0" w:space="0" w:color="auto"/>
        <w:bottom w:val="none" w:sz="0" w:space="0" w:color="auto"/>
        <w:right w:val="none" w:sz="0" w:space="0" w:color="auto"/>
      </w:divBdr>
      <w:divsChild>
        <w:div w:id="279193108">
          <w:marLeft w:val="173"/>
          <w:marRight w:val="0"/>
          <w:marTop w:val="77"/>
          <w:marBottom w:val="0"/>
          <w:divBdr>
            <w:top w:val="none" w:sz="0" w:space="0" w:color="auto"/>
            <w:left w:val="none" w:sz="0" w:space="0" w:color="auto"/>
            <w:bottom w:val="none" w:sz="0" w:space="0" w:color="auto"/>
            <w:right w:val="none" w:sz="0" w:space="0" w:color="auto"/>
          </w:divBdr>
        </w:div>
      </w:divsChild>
    </w:div>
    <w:div w:id="1451390017">
      <w:bodyDiv w:val="1"/>
      <w:marLeft w:val="0"/>
      <w:marRight w:val="0"/>
      <w:marTop w:val="0"/>
      <w:marBottom w:val="0"/>
      <w:divBdr>
        <w:top w:val="none" w:sz="0" w:space="0" w:color="auto"/>
        <w:left w:val="none" w:sz="0" w:space="0" w:color="auto"/>
        <w:bottom w:val="none" w:sz="0" w:space="0" w:color="auto"/>
        <w:right w:val="none" w:sz="0" w:space="0" w:color="auto"/>
      </w:divBdr>
    </w:div>
    <w:div w:id="1472400534">
      <w:bodyDiv w:val="1"/>
      <w:marLeft w:val="0"/>
      <w:marRight w:val="0"/>
      <w:marTop w:val="0"/>
      <w:marBottom w:val="0"/>
      <w:divBdr>
        <w:top w:val="none" w:sz="0" w:space="0" w:color="auto"/>
        <w:left w:val="none" w:sz="0" w:space="0" w:color="auto"/>
        <w:bottom w:val="none" w:sz="0" w:space="0" w:color="auto"/>
        <w:right w:val="none" w:sz="0" w:space="0" w:color="auto"/>
      </w:divBdr>
      <w:divsChild>
        <w:div w:id="1823347569">
          <w:marLeft w:val="547"/>
          <w:marRight w:val="0"/>
          <w:marTop w:val="0"/>
          <w:marBottom w:val="0"/>
          <w:divBdr>
            <w:top w:val="none" w:sz="0" w:space="0" w:color="auto"/>
            <w:left w:val="none" w:sz="0" w:space="0" w:color="auto"/>
            <w:bottom w:val="none" w:sz="0" w:space="0" w:color="auto"/>
            <w:right w:val="none" w:sz="0" w:space="0" w:color="auto"/>
          </w:divBdr>
        </w:div>
        <w:div w:id="1197157439">
          <w:marLeft w:val="547"/>
          <w:marRight w:val="0"/>
          <w:marTop w:val="0"/>
          <w:marBottom w:val="0"/>
          <w:divBdr>
            <w:top w:val="none" w:sz="0" w:space="0" w:color="auto"/>
            <w:left w:val="none" w:sz="0" w:space="0" w:color="auto"/>
            <w:bottom w:val="none" w:sz="0" w:space="0" w:color="auto"/>
            <w:right w:val="none" w:sz="0" w:space="0" w:color="auto"/>
          </w:divBdr>
        </w:div>
        <w:div w:id="521743625">
          <w:marLeft w:val="547"/>
          <w:marRight w:val="0"/>
          <w:marTop w:val="0"/>
          <w:marBottom w:val="0"/>
          <w:divBdr>
            <w:top w:val="none" w:sz="0" w:space="0" w:color="auto"/>
            <w:left w:val="none" w:sz="0" w:space="0" w:color="auto"/>
            <w:bottom w:val="none" w:sz="0" w:space="0" w:color="auto"/>
            <w:right w:val="none" w:sz="0" w:space="0" w:color="auto"/>
          </w:divBdr>
        </w:div>
        <w:div w:id="1336880587">
          <w:marLeft w:val="547"/>
          <w:marRight w:val="0"/>
          <w:marTop w:val="0"/>
          <w:marBottom w:val="0"/>
          <w:divBdr>
            <w:top w:val="none" w:sz="0" w:space="0" w:color="auto"/>
            <w:left w:val="none" w:sz="0" w:space="0" w:color="auto"/>
            <w:bottom w:val="none" w:sz="0" w:space="0" w:color="auto"/>
            <w:right w:val="none" w:sz="0" w:space="0" w:color="auto"/>
          </w:divBdr>
        </w:div>
      </w:divsChild>
    </w:div>
    <w:div w:id="1481001731">
      <w:bodyDiv w:val="1"/>
      <w:marLeft w:val="0"/>
      <w:marRight w:val="0"/>
      <w:marTop w:val="0"/>
      <w:marBottom w:val="0"/>
      <w:divBdr>
        <w:top w:val="none" w:sz="0" w:space="0" w:color="auto"/>
        <w:left w:val="none" w:sz="0" w:space="0" w:color="auto"/>
        <w:bottom w:val="none" w:sz="0" w:space="0" w:color="auto"/>
        <w:right w:val="none" w:sz="0" w:space="0" w:color="auto"/>
      </w:divBdr>
    </w:div>
    <w:div w:id="1536582708">
      <w:bodyDiv w:val="1"/>
      <w:marLeft w:val="0"/>
      <w:marRight w:val="0"/>
      <w:marTop w:val="0"/>
      <w:marBottom w:val="0"/>
      <w:divBdr>
        <w:top w:val="none" w:sz="0" w:space="0" w:color="auto"/>
        <w:left w:val="none" w:sz="0" w:space="0" w:color="auto"/>
        <w:bottom w:val="none" w:sz="0" w:space="0" w:color="auto"/>
        <w:right w:val="none" w:sz="0" w:space="0" w:color="auto"/>
      </w:divBdr>
      <w:divsChild>
        <w:div w:id="1116288652">
          <w:marLeft w:val="547"/>
          <w:marRight w:val="0"/>
          <w:marTop w:val="0"/>
          <w:marBottom w:val="0"/>
          <w:divBdr>
            <w:top w:val="none" w:sz="0" w:space="0" w:color="auto"/>
            <w:left w:val="none" w:sz="0" w:space="0" w:color="auto"/>
            <w:bottom w:val="none" w:sz="0" w:space="0" w:color="auto"/>
            <w:right w:val="none" w:sz="0" w:space="0" w:color="auto"/>
          </w:divBdr>
        </w:div>
        <w:div w:id="251548037">
          <w:marLeft w:val="547"/>
          <w:marRight w:val="0"/>
          <w:marTop w:val="0"/>
          <w:marBottom w:val="0"/>
          <w:divBdr>
            <w:top w:val="none" w:sz="0" w:space="0" w:color="auto"/>
            <w:left w:val="none" w:sz="0" w:space="0" w:color="auto"/>
            <w:bottom w:val="none" w:sz="0" w:space="0" w:color="auto"/>
            <w:right w:val="none" w:sz="0" w:space="0" w:color="auto"/>
          </w:divBdr>
        </w:div>
        <w:div w:id="1093429619">
          <w:marLeft w:val="1166"/>
          <w:marRight w:val="0"/>
          <w:marTop w:val="0"/>
          <w:marBottom w:val="0"/>
          <w:divBdr>
            <w:top w:val="none" w:sz="0" w:space="0" w:color="auto"/>
            <w:left w:val="none" w:sz="0" w:space="0" w:color="auto"/>
            <w:bottom w:val="none" w:sz="0" w:space="0" w:color="auto"/>
            <w:right w:val="none" w:sz="0" w:space="0" w:color="auto"/>
          </w:divBdr>
        </w:div>
        <w:div w:id="832571468">
          <w:marLeft w:val="1166"/>
          <w:marRight w:val="0"/>
          <w:marTop w:val="0"/>
          <w:marBottom w:val="0"/>
          <w:divBdr>
            <w:top w:val="none" w:sz="0" w:space="0" w:color="auto"/>
            <w:left w:val="none" w:sz="0" w:space="0" w:color="auto"/>
            <w:bottom w:val="none" w:sz="0" w:space="0" w:color="auto"/>
            <w:right w:val="none" w:sz="0" w:space="0" w:color="auto"/>
          </w:divBdr>
        </w:div>
        <w:div w:id="913468462">
          <w:marLeft w:val="1166"/>
          <w:marRight w:val="0"/>
          <w:marTop w:val="0"/>
          <w:marBottom w:val="0"/>
          <w:divBdr>
            <w:top w:val="none" w:sz="0" w:space="0" w:color="auto"/>
            <w:left w:val="none" w:sz="0" w:space="0" w:color="auto"/>
            <w:bottom w:val="none" w:sz="0" w:space="0" w:color="auto"/>
            <w:right w:val="none" w:sz="0" w:space="0" w:color="auto"/>
          </w:divBdr>
        </w:div>
      </w:divsChild>
    </w:div>
    <w:div w:id="1540243920">
      <w:bodyDiv w:val="1"/>
      <w:marLeft w:val="0"/>
      <w:marRight w:val="0"/>
      <w:marTop w:val="0"/>
      <w:marBottom w:val="0"/>
      <w:divBdr>
        <w:top w:val="none" w:sz="0" w:space="0" w:color="auto"/>
        <w:left w:val="none" w:sz="0" w:space="0" w:color="auto"/>
        <w:bottom w:val="none" w:sz="0" w:space="0" w:color="auto"/>
        <w:right w:val="none" w:sz="0" w:space="0" w:color="auto"/>
      </w:divBdr>
    </w:div>
    <w:div w:id="1547719227">
      <w:bodyDiv w:val="1"/>
      <w:marLeft w:val="0"/>
      <w:marRight w:val="0"/>
      <w:marTop w:val="0"/>
      <w:marBottom w:val="0"/>
      <w:divBdr>
        <w:top w:val="none" w:sz="0" w:space="0" w:color="auto"/>
        <w:left w:val="none" w:sz="0" w:space="0" w:color="auto"/>
        <w:bottom w:val="none" w:sz="0" w:space="0" w:color="auto"/>
        <w:right w:val="none" w:sz="0" w:space="0" w:color="auto"/>
      </w:divBdr>
    </w:div>
    <w:div w:id="1574504412">
      <w:bodyDiv w:val="1"/>
      <w:marLeft w:val="0"/>
      <w:marRight w:val="0"/>
      <w:marTop w:val="0"/>
      <w:marBottom w:val="0"/>
      <w:divBdr>
        <w:top w:val="none" w:sz="0" w:space="0" w:color="auto"/>
        <w:left w:val="none" w:sz="0" w:space="0" w:color="auto"/>
        <w:bottom w:val="none" w:sz="0" w:space="0" w:color="auto"/>
        <w:right w:val="none" w:sz="0" w:space="0" w:color="auto"/>
      </w:divBdr>
      <w:divsChild>
        <w:div w:id="1269318205">
          <w:marLeft w:val="547"/>
          <w:marRight w:val="0"/>
          <w:marTop w:val="96"/>
          <w:marBottom w:val="0"/>
          <w:divBdr>
            <w:top w:val="none" w:sz="0" w:space="0" w:color="auto"/>
            <w:left w:val="none" w:sz="0" w:space="0" w:color="auto"/>
            <w:bottom w:val="none" w:sz="0" w:space="0" w:color="auto"/>
            <w:right w:val="none" w:sz="0" w:space="0" w:color="auto"/>
          </w:divBdr>
        </w:div>
        <w:div w:id="1406301879">
          <w:marLeft w:val="1166"/>
          <w:marRight w:val="0"/>
          <w:marTop w:val="96"/>
          <w:marBottom w:val="0"/>
          <w:divBdr>
            <w:top w:val="none" w:sz="0" w:space="0" w:color="auto"/>
            <w:left w:val="none" w:sz="0" w:space="0" w:color="auto"/>
            <w:bottom w:val="none" w:sz="0" w:space="0" w:color="auto"/>
            <w:right w:val="none" w:sz="0" w:space="0" w:color="auto"/>
          </w:divBdr>
        </w:div>
        <w:div w:id="1257052947">
          <w:marLeft w:val="1166"/>
          <w:marRight w:val="0"/>
          <w:marTop w:val="96"/>
          <w:marBottom w:val="0"/>
          <w:divBdr>
            <w:top w:val="none" w:sz="0" w:space="0" w:color="auto"/>
            <w:left w:val="none" w:sz="0" w:space="0" w:color="auto"/>
            <w:bottom w:val="none" w:sz="0" w:space="0" w:color="auto"/>
            <w:right w:val="none" w:sz="0" w:space="0" w:color="auto"/>
          </w:divBdr>
        </w:div>
        <w:div w:id="402218913">
          <w:marLeft w:val="1166"/>
          <w:marRight w:val="0"/>
          <w:marTop w:val="96"/>
          <w:marBottom w:val="0"/>
          <w:divBdr>
            <w:top w:val="none" w:sz="0" w:space="0" w:color="auto"/>
            <w:left w:val="none" w:sz="0" w:space="0" w:color="auto"/>
            <w:bottom w:val="none" w:sz="0" w:space="0" w:color="auto"/>
            <w:right w:val="none" w:sz="0" w:space="0" w:color="auto"/>
          </w:divBdr>
        </w:div>
        <w:div w:id="860171721">
          <w:marLeft w:val="1166"/>
          <w:marRight w:val="0"/>
          <w:marTop w:val="96"/>
          <w:marBottom w:val="0"/>
          <w:divBdr>
            <w:top w:val="none" w:sz="0" w:space="0" w:color="auto"/>
            <w:left w:val="none" w:sz="0" w:space="0" w:color="auto"/>
            <w:bottom w:val="none" w:sz="0" w:space="0" w:color="auto"/>
            <w:right w:val="none" w:sz="0" w:space="0" w:color="auto"/>
          </w:divBdr>
        </w:div>
        <w:div w:id="1753382564">
          <w:marLeft w:val="1166"/>
          <w:marRight w:val="0"/>
          <w:marTop w:val="96"/>
          <w:marBottom w:val="0"/>
          <w:divBdr>
            <w:top w:val="none" w:sz="0" w:space="0" w:color="auto"/>
            <w:left w:val="none" w:sz="0" w:space="0" w:color="auto"/>
            <w:bottom w:val="none" w:sz="0" w:space="0" w:color="auto"/>
            <w:right w:val="none" w:sz="0" w:space="0" w:color="auto"/>
          </w:divBdr>
        </w:div>
        <w:div w:id="375007407">
          <w:marLeft w:val="1166"/>
          <w:marRight w:val="0"/>
          <w:marTop w:val="96"/>
          <w:marBottom w:val="0"/>
          <w:divBdr>
            <w:top w:val="none" w:sz="0" w:space="0" w:color="auto"/>
            <w:left w:val="none" w:sz="0" w:space="0" w:color="auto"/>
            <w:bottom w:val="none" w:sz="0" w:space="0" w:color="auto"/>
            <w:right w:val="none" w:sz="0" w:space="0" w:color="auto"/>
          </w:divBdr>
        </w:div>
      </w:divsChild>
    </w:div>
    <w:div w:id="1577088071">
      <w:bodyDiv w:val="1"/>
      <w:marLeft w:val="0"/>
      <w:marRight w:val="0"/>
      <w:marTop w:val="0"/>
      <w:marBottom w:val="0"/>
      <w:divBdr>
        <w:top w:val="none" w:sz="0" w:space="0" w:color="auto"/>
        <w:left w:val="none" w:sz="0" w:space="0" w:color="auto"/>
        <w:bottom w:val="none" w:sz="0" w:space="0" w:color="auto"/>
        <w:right w:val="none" w:sz="0" w:space="0" w:color="auto"/>
      </w:divBdr>
    </w:div>
    <w:div w:id="1579555057">
      <w:bodyDiv w:val="1"/>
      <w:marLeft w:val="0"/>
      <w:marRight w:val="0"/>
      <w:marTop w:val="0"/>
      <w:marBottom w:val="0"/>
      <w:divBdr>
        <w:top w:val="none" w:sz="0" w:space="0" w:color="auto"/>
        <w:left w:val="none" w:sz="0" w:space="0" w:color="auto"/>
        <w:bottom w:val="none" w:sz="0" w:space="0" w:color="auto"/>
        <w:right w:val="none" w:sz="0" w:space="0" w:color="auto"/>
      </w:divBdr>
      <w:divsChild>
        <w:div w:id="246115768">
          <w:marLeft w:val="446"/>
          <w:marRight w:val="0"/>
          <w:marTop w:val="0"/>
          <w:marBottom w:val="0"/>
          <w:divBdr>
            <w:top w:val="none" w:sz="0" w:space="0" w:color="auto"/>
            <w:left w:val="none" w:sz="0" w:space="0" w:color="auto"/>
            <w:bottom w:val="none" w:sz="0" w:space="0" w:color="auto"/>
            <w:right w:val="none" w:sz="0" w:space="0" w:color="auto"/>
          </w:divBdr>
        </w:div>
      </w:divsChild>
    </w:div>
    <w:div w:id="1616012745">
      <w:bodyDiv w:val="1"/>
      <w:marLeft w:val="0"/>
      <w:marRight w:val="0"/>
      <w:marTop w:val="0"/>
      <w:marBottom w:val="0"/>
      <w:divBdr>
        <w:top w:val="none" w:sz="0" w:space="0" w:color="auto"/>
        <w:left w:val="none" w:sz="0" w:space="0" w:color="auto"/>
        <w:bottom w:val="none" w:sz="0" w:space="0" w:color="auto"/>
        <w:right w:val="none" w:sz="0" w:space="0" w:color="auto"/>
      </w:divBdr>
      <w:divsChild>
        <w:div w:id="122159675">
          <w:marLeft w:val="547"/>
          <w:marRight w:val="0"/>
          <w:marTop w:val="96"/>
          <w:marBottom w:val="0"/>
          <w:divBdr>
            <w:top w:val="none" w:sz="0" w:space="0" w:color="auto"/>
            <w:left w:val="none" w:sz="0" w:space="0" w:color="auto"/>
            <w:bottom w:val="none" w:sz="0" w:space="0" w:color="auto"/>
            <w:right w:val="none" w:sz="0" w:space="0" w:color="auto"/>
          </w:divBdr>
        </w:div>
        <w:div w:id="216015691">
          <w:marLeft w:val="547"/>
          <w:marRight w:val="0"/>
          <w:marTop w:val="96"/>
          <w:marBottom w:val="0"/>
          <w:divBdr>
            <w:top w:val="none" w:sz="0" w:space="0" w:color="auto"/>
            <w:left w:val="none" w:sz="0" w:space="0" w:color="auto"/>
            <w:bottom w:val="none" w:sz="0" w:space="0" w:color="auto"/>
            <w:right w:val="none" w:sz="0" w:space="0" w:color="auto"/>
          </w:divBdr>
        </w:div>
        <w:div w:id="1828592474">
          <w:marLeft w:val="547"/>
          <w:marRight w:val="0"/>
          <w:marTop w:val="96"/>
          <w:marBottom w:val="0"/>
          <w:divBdr>
            <w:top w:val="none" w:sz="0" w:space="0" w:color="auto"/>
            <w:left w:val="none" w:sz="0" w:space="0" w:color="auto"/>
            <w:bottom w:val="none" w:sz="0" w:space="0" w:color="auto"/>
            <w:right w:val="none" w:sz="0" w:space="0" w:color="auto"/>
          </w:divBdr>
        </w:div>
        <w:div w:id="1066954059">
          <w:marLeft w:val="1166"/>
          <w:marRight w:val="0"/>
          <w:marTop w:val="96"/>
          <w:marBottom w:val="0"/>
          <w:divBdr>
            <w:top w:val="none" w:sz="0" w:space="0" w:color="auto"/>
            <w:left w:val="none" w:sz="0" w:space="0" w:color="auto"/>
            <w:bottom w:val="none" w:sz="0" w:space="0" w:color="auto"/>
            <w:right w:val="none" w:sz="0" w:space="0" w:color="auto"/>
          </w:divBdr>
        </w:div>
        <w:div w:id="1251811089">
          <w:marLeft w:val="547"/>
          <w:marRight w:val="0"/>
          <w:marTop w:val="96"/>
          <w:marBottom w:val="0"/>
          <w:divBdr>
            <w:top w:val="none" w:sz="0" w:space="0" w:color="auto"/>
            <w:left w:val="none" w:sz="0" w:space="0" w:color="auto"/>
            <w:bottom w:val="none" w:sz="0" w:space="0" w:color="auto"/>
            <w:right w:val="none" w:sz="0" w:space="0" w:color="auto"/>
          </w:divBdr>
        </w:div>
      </w:divsChild>
    </w:div>
    <w:div w:id="1646860771">
      <w:bodyDiv w:val="1"/>
      <w:marLeft w:val="0"/>
      <w:marRight w:val="0"/>
      <w:marTop w:val="0"/>
      <w:marBottom w:val="0"/>
      <w:divBdr>
        <w:top w:val="none" w:sz="0" w:space="0" w:color="auto"/>
        <w:left w:val="none" w:sz="0" w:space="0" w:color="auto"/>
        <w:bottom w:val="none" w:sz="0" w:space="0" w:color="auto"/>
        <w:right w:val="none" w:sz="0" w:space="0" w:color="auto"/>
      </w:divBdr>
      <w:divsChild>
        <w:div w:id="245651447">
          <w:marLeft w:val="547"/>
          <w:marRight w:val="0"/>
          <w:marTop w:val="0"/>
          <w:marBottom w:val="0"/>
          <w:divBdr>
            <w:top w:val="none" w:sz="0" w:space="0" w:color="auto"/>
            <w:left w:val="none" w:sz="0" w:space="0" w:color="auto"/>
            <w:bottom w:val="none" w:sz="0" w:space="0" w:color="auto"/>
            <w:right w:val="none" w:sz="0" w:space="0" w:color="auto"/>
          </w:divBdr>
        </w:div>
        <w:div w:id="355156632">
          <w:marLeft w:val="547"/>
          <w:marRight w:val="0"/>
          <w:marTop w:val="0"/>
          <w:marBottom w:val="0"/>
          <w:divBdr>
            <w:top w:val="none" w:sz="0" w:space="0" w:color="auto"/>
            <w:left w:val="none" w:sz="0" w:space="0" w:color="auto"/>
            <w:bottom w:val="none" w:sz="0" w:space="0" w:color="auto"/>
            <w:right w:val="none" w:sz="0" w:space="0" w:color="auto"/>
          </w:divBdr>
        </w:div>
      </w:divsChild>
    </w:div>
    <w:div w:id="1655646506">
      <w:bodyDiv w:val="1"/>
      <w:marLeft w:val="0"/>
      <w:marRight w:val="0"/>
      <w:marTop w:val="0"/>
      <w:marBottom w:val="0"/>
      <w:divBdr>
        <w:top w:val="none" w:sz="0" w:space="0" w:color="auto"/>
        <w:left w:val="none" w:sz="0" w:space="0" w:color="auto"/>
        <w:bottom w:val="none" w:sz="0" w:space="0" w:color="auto"/>
        <w:right w:val="none" w:sz="0" w:space="0" w:color="auto"/>
      </w:divBdr>
      <w:divsChild>
        <w:div w:id="2020425227">
          <w:marLeft w:val="547"/>
          <w:marRight w:val="0"/>
          <w:marTop w:val="77"/>
          <w:marBottom w:val="0"/>
          <w:divBdr>
            <w:top w:val="none" w:sz="0" w:space="0" w:color="auto"/>
            <w:left w:val="none" w:sz="0" w:space="0" w:color="auto"/>
            <w:bottom w:val="none" w:sz="0" w:space="0" w:color="auto"/>
            <w:right w:val="none" w:sz="0" w:space="0" w:color="auto"/>
          </w:divBdr>
        </w:div>
        <w:div w:id="1504315596">
          <w:marLeft w:val="1166"/>
          <w:marRight w:val="0"/>
          <w:marTop w:val="72"/>
          <w:marBottom w:val="0"/>
          <w:divBdr>
            <w:top w:val="none" w:sz="0" w:space="0" w:color="auto"/>
            <w:left w:val="none" w:sz="0" w:space="0" w:color="auto"/>
            <w:bottom w:val="none" w:sz="0" w:space="0" w:color="auto"/>
            <w:right w:val="none" w:sz="0" w:space="0" w:color="auto"/>
          </w:divBdr>
        </w:div>
        <w:div w:id="826898560">
          <w:marLeft w:val="1166"/>
          <w:marRight w:val="0"/>
          <w:marTop w:val="72"/>
          <w:marBottom w:val="0"/>
          <w:divBdr>
            <w:top w:val="none" w:sz="0" w:space="0" w:color="auto"/>
            <w:left w:val="none" w:sz="0" w:space="0" w:color="auto"/>
            <w:bottom w:val="none" w:sz="0" w:space="0" w:color="auto"/>
            <w:right w:val="none" w:sz="0" w:space="0" w:color="auto"/>
          </w:divBdr>
        </w:div>
      </w:divsChild>
    </w:div>
    <w:div w:id="1681278304">
      <w:bodyDiv w:val="1"/>
      <w:marLeft w:val="0"/>
      <w:marRight w:val="0"/>
      <w:marTop w:val="0"/>
      <w:marBottom w:val="0"/>
      <w:divBdr>
        <w:top w:val="none" w:sz="0" w:space="0" w:color="auto"/>
        <w:left w:val="none" w:sz="0" w:space="0" w:color="auto"/>
        <w:bottom w:val="none" w:sz="0" w:space="0" w:color="auto"/>
        <w:right w:val="none" w:sz="0" w:space="0" w:color="auto"/>
      </w:divBdr>
      <w:divsChild>
        <w:div w:id="281110821">
          <w:marLeft w:val="547"/>
          <w:marRight w:val="0"/>
          <w:marTop w:val="96"/>
          <w:marBottom w:val="0"/>
          <w:divBdr>
            <w:top w:val="none" w:sz="0" w:space="0" w:color="auto"/>
            <w:left w:val="none" w:sz="0" w:space="0" w:color="auto"/>
            <w:bottom w:val="none" w:sz="0" w:space="0" w:color="auto"/>
            <w:right w:val="none" w:sz="0" w:space="0" w:color="auto"/>
          </w:divBdr>
        </w:div>
        <w:div w:id="375739426">
          <w:marLeft w:val="1166"/>
          <w:marRight w:val="0"/>
          <w:marTop w:val="96"/>
          <w:marBottom w:val="0"/>
          <w:divBdr>
            <w:top w:val="none" w:sz="0" w:space="0" w:color="auto"/>
            <w:left w:val="none" w:sz="0" w:space="0" w:color="auto"/>
            <w:bottom w:val="none" w:sz="0" w:space="0" w:color="auto"/>
            <w:right w:val="none" w:sz="0" w:space="0" w:color="auto"/>
          </w:divBdr>
        </w:div>
        <w:div w:id="1860505488">
          <w:marLeft w:val="547"/>
          <w:marRight w:val="0"/>
          <w:marTop w:val="96"/>
          <w:marBottom w:val="0"/>
          <w:divBdr>
            <w:top w:val="none" w:sz="0" w:space="0" w:color="auto"/>
            <w:left w:val="none" w:sz="0" w:space="0" w:color="auto"/>
            <w:bottom w:val="none" w:sz="0" w:space="0" w:color="auto"/>
            <w:right w:val="none" w:sz="0" w:space="0" w:color="auto"/>
          </w:divBdr>
        </w:div>
        <w:div w:id="470558597">
          <w:marLeft w:val="1166"/>
          <w:marRight w:val="0"/>
          <w:marTop w:val="96"/>
          <w:marBottom w:val="0"/>
          <w:divBdr>
            <w:top w:val="none" w:sz="0" w:space="0" w:color="auto"/>
            <w:left w:val="none" w:sz="0" w:space="0" w:color="auto"/>
            <w:bottom w:val="none" w:sz="0" w:space="0" w:color="auto"/>
            <w:right w:val="none" w:sz="0" w:space="0" w:color="auto"/>
          </w:divBdr>
        </w:div>
        <w:div w:id="346106448">
          <w:marLeft w:val="547"/>
          <w:marRight w:val="0"/>
          <w:marTop w:val="96"/>
          <w:marBottom w:val="0"/>
          <w:divBdr>
            <w:top w:val="none" w:sz="0" w:space="0" w:color="auto"/>
            <w:left w:val="none" w:sz="0" w:space="0" w:color="auto"/>
            <w:bottom w:val="none" w:sz="0" w:space="0" w:color="auto"/>
            <w:right w:val="none" w:sz="0" w:space="0" w:color="auto"/>
          </w:divBdr>
        </w:div>
      </w:divsChild>
    </w:div>
    <w:div w:id="1707027437">
      <w:bodyDiv w:val="1"/>
      <w:marLeft w:val="0"/>
      <w:marRight w:val="0"/>
      <w:marTop w:val="0"/>
      <w:marBottom w:val="0"/>
      <w:divBdr>
        <w:top w:val="none" w:sz="0" w:space="0" w:color="auto"/>
        <w:left w:val="none" w:sz="0" w:space="0" w:color="auto"/>
        <w:bottom w:val="none" w:sz="0" w:space="0" w:color="auto"/>
        <w:right w:val="none" w:sz="0" w:space="0" w:color="auto"/>
      </w:divBdr>
      <w:divsChild>
        <w:div w:id="2123454418">
          <w:marLeft w:val="547"/>
          <w:marRight w:val="0"/>
          <w:marTop w:val="77"/>
          <w:marBottom w:val="0"/>
          <w:divBdr>
            <w:top w:val="none" w:sz="0" w:space="0" w:color="auto"/>
            <w:left w:val="none" w:sz="0" w:space="0" w:color="auto"/>
            <w:bottom w:val="none" w:sz="0" w:space="0" w:color="auto"/>
            <w:right w:val="none" w:sz="0" w:space="0" w:color="auto"/>
          </w:divBdr>
        </w:div>
        <w:div w:id="1990396728">
          <w:marLeft w:val="547"/>
          <w:marRight w:val="0"/>
          <w:marTop w:val="77"/>
          <w:marBottom w:val="0"/>
          <w:divBdr>
            <w:top w:val="none" w:sz="0" w:space="0" w:color="auto"/>
            <w:left w:val="none" w:sz="0" w:space="0" w:color="auto"/>
            <w:bottom w:val="none" w:sz="0" w:space="0" w:color="auto"/>
            <w:right w:val="none" w:sz="0" w:space="0" w:color="auto"/>
          </w:divBdr>
        </w:div>
        <w:div w:id="1074278345">
          <w:marLeft w:val="547"/>
          <w:marRight w:val="0"/>
          <w:marTop w:val="77"/>
          <w:marBottom w:val="0"/>
          <w:divBdr>
            <w:top w:val="none" w:sz="0" w:space="0" w:color="auto"/>
            <w:left w:val="none" w:sz="0" w:space="0" w:color="auto"/>
            <w:bottom w:val="none" w:sz="0" w:space="0" w:color="auto"/>
            <w:right w:val="none" w:sz="0" w:space="0" w:color="auto"/>
          </w:divBdr>
        </w:div>
        <w:div w:id="976449248">
          <w:marLeft w:val="547"/>
          <w:marRight w:val="0"/>
          <w:marTop w:val="77"/>
          <w:marBottom w:val="0"/>
          <w:divBdr>
            <w:top w:val="none" w:sz="0" w:space="0" w:color="auto"/>
            <w:left w:val="none" w:sz="0" w:space="0" w:color="auto"/>
            <w:bottom w:val="none" w:sz="0" w:space="0" w:color="auto"/>
            <w:right w:val="none" w:sz="0" w:space="0" w:color="auto"/>
          </w:divBdr>
        </w:div>
        <w:div w:id="1780656">
          <w:marLeft w:val="547"/>
          <w:marRight w:val="0"/>
          <w:marTop w:val="77"/>
          <w:marBottom w:val="0"/>
          <w:divBdr>
            <w:top w:val="none" w:sz="0" w:space="0" w:color="auto"/>
            <w:left w:val="none" w:sz="0" w:space="0" w:color="auto"/>
            <w:bottom w:val="none" w:sz="0" w:space="0" w:color="auto"/>
            <w:right w:val="none" w:sz="0" w:space="0" w:color="auto"/>
          </w:divBdr>
        </w:div>
        <w:div w:id="1192645059">
          <w:marLeft w:val="547"/>
          <w:marRight w:val="0"/>
          <w:marTop w:val="77"/>
          <w:marBottom w:val="0"/>
          <w:divBdr>
            <w:top w:val="none" w:sz="0" w:space="0" w:color="auto"/>
            <w:left w:val="none" w:sz="0" w:space="0" w:color="auto"/>
            <w:bottom w:val="none" w:sz="0" w:space="0" w:color="auto"/>
            <w:right w:val="none" w:sz="0" w:space="0" w:color="auto"/>
          </w:divBdr>
        </w:div>
        <w:div w:id="26684278">
          <w:marLeft w:val="547"/>
          <w:marRight w:val="0"/>
          <w:marTop w:val="77"/>
          <w:marBottom w:val="0"/>
          <w:divBdr>
            <w:top w:val="none" w:sz="0" w:space="0" w:color="auto"/>
            <w:left w:val="none" w:sz="0" w:space="0" w:color="auto"/>
            <w:bottom w:val="none" w:sz="0" w:space="0" w:color="auto"/>
            <w:right w:val="none" w:sz="0" w:space="0" w:color="auto"/>
          </w:divBdr>
        </w:div>
        <w:div w:id="1434789609">
          <w:marLeft w:val="1166"/>
          <w:marRight w:val="0"/>
          <w:marTop w:val="77"/>
          <w:marBottom w:val="0"/>
          <w:divBdr>
            <w:top w:val="none" w:sz="0" w:space="0" w:color="auto"/>
            <w:left w:val="none" w:sz="0" w:space="0" w:color="auto"/>
            <w:bottom w:val="none" w:sz="0" w:space="0" w:color="auto"/>
            <w:right w:val="none" w:sz="0" w:space="0" w:color="auto"/>
          </w:divBdr>
        </w:div>
        <w:div w:id="1527987476">
          <w:marLeft w:val="1166"/>
          <w:marRight w:val="0"/>
          <w:marTop w:val="77"/>
          <w:marBottom w:val="0"/>
          <w:divBdr>
            <w:top w:val="none" w:sz="0" w:space="0" w:color="auto"/>
            <w:left w:val="none" w:sz="0" w:space="0" w:color="auto"/>
            <w:bottom w:val="none" w:sz="0" w:space="0" w:color="auto"/>
            <w:right w:val="none" w:sz="0" w:space="0" w:color="auto"/>
          </w:divBdr>
        </w:div>
        <w:div w:id="1880429152">
          <w:marLeft w:val="1166"/>
          <w:marRight w:val="0"/>
          <w:marTop w:val="77"/>
          <w:marBottom w:val="0"/>
          <w:divBdr>
            <w:top w:val="none" w:sz="0" w:space="0" w:color="auto"/>
            <w:left w:val="none" w:sz="0" w:space="0" w:color="auto"/>
            <w:bottom w:val="none" w:sz="0" w:space="0" w:color="auto"/>
            <w:right w:val="none" w:sz="0" w:space="0" w:color="auto"/>
          </w:divBdr>
        </w:div>
        <w:div w:id="1694578108">
          <w:marLeft w:val="1166"/>
          <w:marRight w:val="0"/>
          <w:marTop w:val="77"/>
          <w:marBottom w:val="0"/>
          <w:divBdr>
            <w:top w:val="none" w:sz="0" w:space="0" w:color="auto"/>
            <w:left w:val="none" w:sz="0" w:space="0" w:color="auto"/>
            <w:bottom w:val="none" w:sz="0" w:space="0" w:color="auto"/>
            <w:right w:val="none" w:sz="0" w:space="0" w:color="auto"/>
          </w:divBdr>
        </w:div>
        <w:div w:id="307511890">
          <w:marLeft w:val="1166"/>
          <w:marRight w:val="0"/>
          <w:marTop w:val="77"/>
          <w:marBottom w:val="0"/>
          <w:divBdr>
            <w:top w:val="none" w:sz="0" w:space="0" w:color="auto"/>
            <w:left w:val="none" w:sz="0" w:space="0" w:color="auto"/>
            <w:bottom w:val="none" w:sz="0" w:space="0" w:color="auto"/>
            <w:right w:val="none" w:sz="0" w:space="0" w:color="auto"/>
          </w:divBdr>
        </w:div>
      </w:divsChild>
    </w:div>
    <w:div w:id="1767143948">
      <w:bodyDiv w:val="1"/>
      <w:marLeft w:val="0"/>
      <w:marRight w:val="0"/>
      <w:marTop w:val="0"/>
      <w:marBottom w:val="0"/>
      <w:divBdr>
        <w:top w:val="none" w:sz="0" w:space="0" w:color="auto"/>
        <w:left w:val="none" w:sz="0" w:space="0" w:color="auto"/>
        <w:bottom w:val="none" w:sz="0" w:space="0" w:color="auto"/>
        <w:right w:val="none" w:sz="0" w:space="0" w:color="auto"/>
      </w:divBdr>
      <w:divsChild>
        <w:div w:id="1758669886">
          <w:marLeft w:val="173"/>
          <w:marRight w:val="0"/>
          <w:marTop w:val="77"/>
          <w:marBottom w:val="0"/>
          <w:divBdr>
            <w:top w:val="none" w:sz="0" w:space="0" w:color="auto"/>
            <w:left w:val="none" w:sz="0" w:space="0" w:color="auto"/>
            <w:bottom w:val="none" w:sz="0" w:space="0" w:color="auto"/>
            <w:right w:val="none" w:sz="0" w:space="0" w:color="auto"/>
          </w:divBdr>
        </w:div>
      </w:divsChild>
    </w:div>
    <w:div w:id="1801339158">
      <w:bodyDiv w:val="1"/>
      <w:marLeft w:val="0"/>
      <w:marRight w:val="0"/>
      <w:marTop w:val="0"/>
      <w:marBottom w:val="0"/>
      <w:divBdr>
        <w:top w:val="none" w:sz="0" w:space="0" w:color="auto"/>
        <w:left w:val="none" w:sz="0" w:space="0" w:color="auto"/>
        <w:bottom w:val="none" w:sz="0" w:space="0" w:color="auto"/>
        <w:right w:val="none" w:sz="0" w:space="0" w:color="auto"/>
      </w:divBdr>
    </w:div>
    <w:div w:id="1802840102">
      <w:bodyDiv w:val="1"/>
      <w:marLeft w:val="0"/>
      <w:marRight w:val="0"/>
      <w:marTop w:val="0"/>
      <w:marBottom w:val="0"/>
      <w:divBdr>
        <w:top w:val="none" w:sz="0" w:space="0" w:color="auto"/>
        <w:left w:val="none" w:sz="0" w:space="0" w:color="auto"/>
        <w:bottom w:val="none" w:sz="0" w:space="0" w:color="auto"/>
        <w:right w:val="none" w:sz="0" w:space="0" w:color="auto"/>
      </w:divBdr>
      <w:divsChild>
        <w:div w:id="76756043">
          <w:marLeft w:val="274"/>
          <w:marRight w:val="0"/>
          <w:marTop w:val="200"/>
          <w:marBottom w:val="160"/>
          <w:divBdr>
            <w:top w:val="none" w:sz="0" w:space="0" w:color="auto"/>
            <w:left w:val="none" w:sz="0" w:space="0" w:color="auto"/>
            <w:bottom w:val="none" w:sz="0" w:space="0" w:color="auto"/>
            <w:right w:val="none" w:sz="0" w:space="0" w:color="auto"/>
          </w:divBdr>
        </w:div>
        <w:div w:id="1568950744">
          <w:marLeft w:val="274"/>
          <w:marRight w:val="0"/>
          <w:marTop w:val="200"/>
          <w:marBottom w:val="160"/>
          <w:divBdr>
            <w:top w:val="none" w:sz="0" w:space="0" w:color="auto"/>
            <w:left w:val="none" w:sz="0" w:space="0" w:color="auto"/>
            <w:bottom w:val="none" w:sz="0" w:space="0" w:color="auto"/>
            <w:right w:val="none" w:sz="0" w:space="0" w:color="auto"/>
          </w:divBdr>
        </w:div>
        <w:div w:id="1668172765">
          <w:marLeft w:val="648"/>
          <w:marRight w:val="0"/>
          <w:marTop w:val="100"/>
          <w:marBottom w:val="160"/>
          <w:divBdr>
            <w:top w:val="none" w:sz="0" w:space="0" w:color="auto"/>
            <w:left w:val="none" w:sz="0" w:space="0" w:color="auto"/>
            <w:bottom w:val="none" w:sz="0" w:space="0" w:color="auto"/>
            <w:right w:val="none" w:sz="0" w:space="0" w:color="auto"/>
          </w:divBdr>
        </w:div>
        <w:div w:id="1514495089">
          <w:marLeft w:val="648"/>
          <w:marRight w:val="0"/>
          <w:marTop w:val="100"/>
          <w:marBottom w:val="160"/>
          <w:divBdr>
            <w:top w:val="none" w:sz="0" w:space="0" w:color="auto"/>
            <w:left w:val="none" w:sz="0" w:space="0" w:color="auto"/>
            <w:bottom w:val="none" w:sz="0" w:space="0" w:color="auto"/>
            <w:right w:val="none" w:sz="0" w:space="0" w:color="auto"/>
          </w:divBdr>
        </w:div>
        <w:div w:id="313532404">
          <w:marLeft w:val="648"/>
          <w:marRight w:val="0"/>
          <w:marTop w:val="100"/>
          <w:marBottom w:val="160"/>
          <w:divBdr>
            <w:top w:val="none" w:sz="0" w:space="0" w:color="auto"/>
            <w:left w:val="none" w:sz="0" w:space="0" w:color="auto"/>
            <w:bottom w:val="none" w:sz="0" w:space="0" w:color="auto"/>
            <w:right w:val="none" w:sz="0" w:space="0" w:color="auto"/>
          </w:divBdr>
        </w:div>
        <w:div w:id="1330017265">
          <w:marLeft w:val="648"/>
          <w:marRight w:val="0"/>
          <w:marTop w:val="100"/>
          <w:marBottom w:val="160"/>
          <w:divBdr>
            <w:top w:val="none" w:sz="0" w:space="0" w:color="auto"/>
            <w:left w:val="none" w:sz="0" w:space="0" w:color="auto"/>
            <w:bottom w:val="none" w:sz="0" w:space="0" w:color="auto"/>
            <w:right w:val="none" w:sz="0" w:space="0" w:color="auto"/>
          </w:divBdr>
        </w:div>
        <w:div w:id="1482428292">
          <w:marLeft w:val="648"/>
          <w:marRight w:val="0"/>
          <w:marTop w:val="100"/>
          <w:marBottom w:val="160"/>
          <w:divBdr>
            <w:top w:val="none" w:sz="0" w:space="0" w:color="auto"/>
            <w:left w:val="none" w:sz="0" w:space="0" w:color="auto"/>
            <w:bottom w:val="none" w:sz="0" w:space="0" w:color="auto"/>
            <w:right w:val="none" w:sz="0" w:space="0" w:color="auto"/>
          </w:divBdr>
        </w:div>
        <w:div w:id="1976449954">
          <w:marLeft w:val="648"/>
          <w:marRight w:val="0"/>
          <w:marTop w:val="100"/>
          <w:marBottom w:val="160"/>
          <w:divBdr>
            <w:top w:val="none" w:sz="0" w:space="0" w:color="auto"/>
            <w:left w:val="none" w:sz="0" w:space="0" w:color="auto"/>
            <w:bottom w:val="none" w:sz="0" w:space="0" w:color="auto"/>
            <w:right w:val="none" w:sz="0" w:space="0" w:color="auto"/>
          </w:divBdr>
        </w:div>
        <w:div w:id="549197405">
          <w:marLeft w:val="648"/>
          <w:marRight w:val="0"/>
          <w:marTop w:val="100"/>
          <w:marBottom w:val="160"/>
          <w:divBdr>
            <w:top w:val="none" w:sz="0" w:space="0" w:color="auto"/>
            <w:left w:val="none" w:sz="0" w:space="0" w:color="auto"/>
            <w:bottom w:val="none" w:sz="0" w:space="0" w:color="auto"/>
            <w:right w:val="none" w:sz="0" w:space="0" w:color="auto"/>
          </w:divBdr>
        </w:div>
      </w:divsChild>
    </w:div>
    <w:div w:id="1829394242">
      <w:bodyDiv w:val="1"/>
      <w:marLeft w:val="0"/>
      <w:marRight w:val="0"/>
      <w:marTop w:val="0"/>
      <w:marBottom w:val="0"/>
      <w:divBdr>
        <w:top w:val="none" w:sz="0" w:space="0" w:color="auto"/>
        <w:left w:val="none" w:sz="0" w:space="0" w:color="auto"/>
        <w:bottom w:val="none" w:sz="0" w:space="0" w:color="auto"/>
        <w:right w:val="none" w:sz="0" w:space="0" w:color="auto"/>
      </w:divBdr>
    </w:div>
    <w:div w:id="1911033496">
      <w:bodyDiv w:val="1"/>
      <w:marLeft w:val="0"/>
      <w:marRight w:val="0"/>
      <w:marTop w:val="0"/>
      <w:marBottom w:val="0"/>
      <w:divBdr>
        <w:top w:val="none" w:sz="0" w:space="0" w:color="auto"/>
        <w:left w:val="none" w:sz="0" w:space="0" w:color="auto"/>
        <w:bottom w:val="none" w:sz="0" w:space="0" w:color="auto"/>
        <w:right w:val="none" w:sz="0" w:space="0" w:color="auto"/>
      </w:divBdr>
      <w:divsChild>
        <w:div w:id="1609700674">
          <w:marLeft w:val="446"/>
          <w:marRight w:val="0"/>
          <w:marTop w:val="0"/>
          <w:marBottom w:val="0"/>
          <w:divBdr>
            <w:top w:val="none" w:sz="0" w:space="0" w:color="auto"/>
            <w:left w:val="none" w:sz="0" w:space="0" w:color="auto"/>
            <w:bottom w:val="none" w:sz="0" w:space="0" w:color="auto"/>
            <w:right w:val="none" w:sz="0" w:space="0" w:color="auto"/>
          </w:divBdr>
        </w:div>
        <w:div w:id="717751820">
          <w:marLeft w:val="446"/>
          <w:marRight w:val="0"/>
          <w:marTop w:val="0"/>
          <w:marBottom w:val="0"/>
          <w:divBdr>
            <w:top w:val="none" w:sz="0" w:space="0" w:color="auto"/>
            <w:left w:val="none" w:sz="0" w:space="0" w:color="auto"/>
            <w:bottom w:val="none" w:sz="0" w:space="0" w:color="auto"/>
            <w:right w:val="none" w:sz="0" w:space="0" w:color="auto"/>
          </w:divBdr>
        </w:div>
      </w:divsChild>
    </w:div>
    <w:div w:id="1928265980">
      <w:bodyDiv w:val="1"/>
      <w:marLeft w:val="0"/>
      <w:marRight w:val="0"/>
      <w:marTop w:val="0"/>
      <w:marBottom w:val="0"/>
      <w:divBdr>
        <w:top w:val="none" w:sz="0" w:space="0" w:color="auto"/>
        <w:left w:val="none" w:sz="0" w:space="0" w:color="auto"/>
        <w:bottom w:val="none" w:sz="0" w:space="0" w:color="auto"/>
        <w:right w:val="none" w:sz="0" w:space="0" w:color="auto"/>
      </w:divBdr>
    </w:div>
    <w:div w:id="1948924361">
      <w:bodyDiv w:val="1"/>
      <w:marLeft w:val="0"/>
      <w:marRight w:val="0"/>
      <w:marTop w:val="0"/>
      <w:marBottom w:val="0"/>
      <w:divBdr>
        <w:top w:val="none" w:sz="0" w:space="0" w:color="auto"/>
        <w:left w:val="none" w:sz="0" w:space="0" w:color="auto"/>
        <w:bottom w:val="none" w:sz="0" w:space="0" w:color="auto"/>
        <w:right w:val="none" w:sz="0" w:space="0" w:color="auto"/>
      </w:divBdr>
    </w:div>
    <w:div w:id="1956978877">
      <w:bodyDiv w:val="1"/>
      <w:marLeft w:val="0"/>
      <w:marRight w:val="0"/>
      <w:marTop w:val="0"/>
      <w:marBottom w:val="0"/>
      <w:divBdr>
        <w:top w:val="none" w:sz="0" w:space="0" w:color="auto"/>
        <w:left w:val="none" w:sz="0" w:space="0" w:color="auto"/>
        <w:bottom w:val="none" w:sz="0" w:space="0" w:color="auto"/>
        <w:right w:val="none" w:sz="0" w:space="0" w:color="auto"/>
      </w:divBdr>
    </w:div>
    <w:div w:id="2058159848">
      <w:bodyDiv w:val="1"/>
      <w:marLeft w:val="0"/>
      <w:marRight w:val="0"/>
      <w:marTop w:val="0"/>
      <w:marBottom w:val="0"/>
      <w:divBdr>
        <w:top w:val="none" w:sz="0" w:space="0" w:color="auto"/>
        <w:left w:val="none" w:sz="0" w:space="0" w:color="auto"/>
        <w:bottom w:val="none" w:sz="0" w:space="0" w:color="auto"/>
        <w:right w:val="none" w:sz="0" w:space="0" w:color="auto"/>
      </w:divBdr>
    </w:div>
    <w:div w:id="2106419706">
      <w:bodyDiv w:val="1"/>
      <w:marLeft w:val="0"/>
      <w:marRight w:val="0"/>
      <w:marTop w:val="0"/>
      <w:marBottom w:val="0"/>
      <w:divBdr>
        <w:top w:val="none" w:sz="0" w:space="0" w:color="auto"/>
        <w:left w:val="none" w:sz="0" w:space="0" w:color="auto"/>
        <w:bottom w:val="none" w:sz="0" w:space="0" w:color="auto"/>
        <w:right w:val="none" w:sz="0" w:space="0" w:color="auto"/>
      </w:divBdr>
    </w:div>
    <w:div w:id="2127769436">
      <w:bodyDiv w:val="1"/>
      <w:marLeft w:val="0"/>
      <w:marRight w:val="0"/>
      <w:marTop w:val="0"/>
      <w:marBottom w:val="0"/>
      <w:divBdr>
        <w:top w:val="none" w:sz="0" w:space="0" w:color="auto"/>
        <w:left w:val="none" w:sz="0" w:space="0" w:color="auto"/>
        <w:bottom w:val="none" w:sz="0" w:space="0" w:color="auto"/>
        <w:right w:val="none" w:sz="0" w:space="0" w:color="auto"/>
      </w:divBdr>
      <w:divsChild>
        <w:div w:id="1766457978">
          <w:marLeft w:val="360"/>
          <w:marRight w:val="0"/>
          <w:marTop w:val="200"/>
          <w:marBottom w:val="0"/>
          <w:divBdr>
            <w:top w:val="none" w:sz="0" w:space="0" w:color="auto"/>
            <w:left w:val="none" w:sz="0" w:space="0" w:color="auto"/>
            <w:bottom w:val="none" w:sz="0" w:space="0" w:color="auto"/>
            <w:right w:val="none" w:sz="0" w:space="0" w:color="auto"/>
          </w:divBdr>
        </w:div>
        <w:div w:id="1839886087">
          <w:marLeft w:val="360"/>
          <w:marRight w:val="0"/>
          <w:marTop w:val="200"/>
          <w:marBottom w:val="0"/>
          <w:divBdr>
            <w:top w:val="none" w:sz="0" w:space="0" w:color="auto"/>
            <w:left w:val="none" w:sz="0" w:space="0" w:color="auto"/>
            <w:bottom w:val="none" w:sz="0" w:space="0" w:color="auto"/>
            <w:right w:val="none" w:sz="0" w:space="0" w:color="auto"/>
          </w:divBdr>
        </w:div>
        <w:div w:id="1895579070">
          <w:marLeft w:val="360"/>
          <w:marRight w:val="0"/>
          <w:marTop w:val="200"/>
          <w:marBottom w:val="0"/>
          <w:divBdr>
            <w:top w:val="none" w:sz="0" w:space="0" w:color="auto"/>
            <w:left w:val="none" w:sz="0" w:space="0" w:color="auto"/>
            <w:bottom w:val="none" w:sz="0" w:space="0" w:color="auto"/>
            <w:right w:val="none" w:sz="0" w:space="0" w:color="auto"/>
          </w:divBdr>
        </w:div>
        <w:div w:id="304941117">
          <w:marLeft w:val="850"/>
          <w:marRight w:val="0"/>
          <w:marTop w:val="200"/>
          <w:marBottom w:val="0"/>
          <w:divBdr>
            <w:top w:val="none" w:sz="0" w:space="0" w:color="auto"/>
            <w:left w:val="none" w:sz="0" w:space="0" w:color="auto"/>
            <w:bottom w:val="none" w:sz="0" w:space="0" w:color="auto"/>
            <w:right w:val="none" w:sz="0" w:space="0" w:color="auto"/>
          </w:divBdr>
        </w:div>
        <w:div w:id="810908220">
          <w:marLeft w:val="850"/>
          <w:marRight w:val="0"/>
          <w:marTop w:val="200"/>
          <w:marBottom w:val="0"/>
          <w:divBdr>
            <w:top w:val="none" w:sz="0" w:space="0" w:color="auto"/>
            <w:left w:val="none" w:sz="0" w:space="0" w:color="auto"/>
            <w:bottom w:val="none" w:sz="0" w:space="0" w:color="auto"/>
            <w:right w:val="none" w:sz="0" w:space="0" w:color="auto"/>
          </w:divBdr>
        </w:div>
        <w:div w:id="100226751">
          <w:marLeft w:val="850"/>
          <w:marRight w:val="0"/>
          <w:marTop w:val="200"/>
          <w:marBottom w:val="0"/>
          <w:divBdr>
            <w:top w:val="none" w:sz="0" w:space="0" w:color="auto"/>
            <w:left w:val="none" w:sz="0" w:space="0" w:color="auto"/>
            <w:bottom w:val="none" w:sz="0" w:space="0" w:color="auto"/>
            <w:right w:val="none" w:sz="0" w:space="0" w:color="auto"/>
          </w:divBdr>
        </w:div>
        <w:div w:id="968123110">
          <w:marLeft w:val="360"/>
          <w:marRight w:val="0"/>
          <w:marTop w:val="200"/>
          <w:marBottom w:val="0"/>
          <w:divBdr>
            <w:top w:val="none" w:sz="0" w:space="0" w:color="auto"/>
            <w:left w:val="none" w:sz="0" w:space="0" w:color="auto"/>
            <w:bottom w:val="none" w:sz="0" w:space="0" w:color="auto"/>
            <w:right w:val="none" w:sz="0" w:space="0" w:color="auto"/>
          </w:divBdr>
        </w:div>
        <w:div w:id="275325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1037-6A86-4BB4-9880-3FFFF88E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10446</Words>
  <Characters>59546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Word template for PROVIDE</vt:lpstr>
    </vt:vector>
  </TitlesOfParts>
  <Company/>
  <LinksUpToDate>false</LinksUpToDate>
  <CharactersWithSpaces>69853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 for PROVIDE</dc:title>
  <dc:creator>Kalie Pauw</dc:creator>
  <cp:lastModifiedBy>User</cp:lastModifiedBy>
  <cp:revision>2</cp:revision>
  <cp:lastPrinted>2003-08-12T10:02:00Z</cp:lastPrinted>
  <dcterms:created xsi:type="dcterms:W3CDTF">2022-11-08T19:18:00Z</dcterms:created>
  <dcterms:modified xsi:type="dcterms:W3CDTF">2022-11-08T19:18:00Z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8c2f70188a8381b2cc92323be1c6d29f7b46f30f823789580f0c395fb3021624</vt:lpwstr>
  </property>
</Properties>
</file>