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9F" w:rsidRPr="0013390D" w:rsidRDefault="0045112D" w:rsidP="0013390D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13390D">
        <w:rPr>
          <w:rFonts w:ascii="Arial" w:hAnsi="Arial" w:cs="Arial"/>
          <w:b/>
          <w:sz w:val="20"/>
          <w:szCs w:val="20"/>
        </w:rPr>
        <w:t xml:space="preserve">Report of the </w:t>
      </w:r>
      <w:r w:rsidR="00507212" w:rsidRPr="0013390D">
        <w:rPr>
          <w:rFonts w:ascii="Arial" w:hAnsi="Arial" w:cs="Arial"/>
          <w:b/>
          <w:sz w:val="20"/>
          <w:szCs w:val="20"/>
        </w:rPr>
        <w:t xml:space="preserve">Select Committee on Security and Justice </w:t>
      </w:r>
      <w:r w:rsidRPr="0013390D">
        <w:rPr>
          <w:rFonts w:ascii="Arial" w:hAnsi="Arial" w:cs="Arial"/>
          <w:b/>
          <w:sz w:val="20"/>
          <w:szCs w:val="20"/>
        </w:rPr>
        <w:t xml:space="preserve">on the </w:t>
      </w:r>
      <w:r w:rsidR="00B65B9F" w:rsidRPr="0013390D">
        <w:rPr>
          <w:rFonts w:ascii="Arial" w:hAnsi="Arial" w:cs="Arial"/>
          <w:b/>
          <w:bCs/>
          <w:sz w:val="20"/>
          <w:szCs w:val="20"/>
        </w:rPr>
        <w:t>Interim Critical Infrastructure Protection Regulations in terms of section 27 of the Critical Infrastructure Protection Act, 2019 (Act No. 8 of 2019</w:t>
      </w:r>
      <w:r w:rsidR="00B65B9F" w:rsidRPr="0013390D">
        <w:rPr>
          <w:rFonts w:ascii="Arial" w:hAnsi="Arial" w:cs="Arial"/>
          <w:sz w:val="20"/>
          <w:szCs w:val="20"/>
        </w:rPr>
        <w:t xml:space="preserve">), </w:t>
      </w:r>
      <w:r w:rsidR="00B65B9F" w:rsidRPr="0013390D">
        <w:rPr>
          <w:rFonts w:ascii="Arial" w:hAnsi="Arial" w:cs="Arial"/>
          <w:b/>
          <w:bCs/>
          <w:sz w:val="20"/>
          <w:szCs w:val="20"/>
        </w:rPr>
        <w:t xml:space="preserve">dated </w:t>
      </w:r>
      <w:r w:rsidR="008D1D90" w:rsidRPr="0013390D">
        <w:rPr>
          <w:rFonts w:ascii="Arial" w:hAnsi="Arial" w:cs="Arial"/>
          <w:b/>
          <w:bCs/>
          <w:sz w:val="20"/>
          <w:szCs w:val="20"/>
        </w:rPr>
        <w:t>2 November 2</w:t>
      </w:r>
      <w:r w:rsidR="00B65B9F" w:rsidRPr="0013390D">
        <w:rPr>
          <w:rFonts w:ascii="Arial" w:hAnsi="Arial" w:cs="Arial"/>
          <w:b/>
          <w:bCs/>
          <w:sz w:val="20"/>
          <w:szCs w:val="20"/>
        </w:rPr>
        <w:t>022</w:t>
      </w:r>
      <w:r w:rsidR="008D1D90" w:rsidRPr="0013390D">
        <w:rPr>
          <w:rFonts w:ascii="Arial" w:hAnsi="Arial" w:cs="Arial"/>
          <w:b/>
          <w:bCs/>
          <w:sz w:val="20"/>
          <w:szCs w:val="20"/>
        </w:rPr>
        <w:t>.</w:t>
      </w:r>
    </w:p>
    <w:p w:rsidR="00B65B9F" w:rsidRPr="0013390D" w:rsidRDefault="00B65B9F" w:rsidP="0013390D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B65B9F" w:rsidRPr="0013390D" w:rsidRDefault="00B65B9F" w:rsidP="0013390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13390D">
        <w:rPr>
          <w:rFonts w:ascii="Arial" w:hAnsi="Arial" w:cs="Arial"/>
          <w:sz w:val="20"/>
          <w:szCs w:val="20"/>
        </w:rPr>
        <w:t>The Select Committee on Security and Justice, having considered the Interim Critical Infrastructure Protection Regulations in terms of section 27 of the Critical Infrastructure Protection Act, 2019 (Act No. 8 of 2019), reports as follows:</w:t>
      </w:r>
    </w:p>
    <w:p w:rsidR="00B65B9F" w:rsidRPr="0013390D" w:rsidRDefault="00B65B9F" w:rsidP="0013390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B65B9F" w:rsidRPr="0013390D" w:rsidRDefault="00B65B9F" w:rsidP="0013390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sz w:val="20"/>
          <w:szCs w:val="20"/>
        </w:rPr>
      </w:pPr>
      <w:r w:rsidRPr="0013390D">
        <w:rPr>
          <w:rFonts w:ascii="Arial" w:hAnsi="Arial" w:cs="Arial"/>
          <w:b/>
          <w:bCs/>
          <w:sz w:val="20"/>
          <w:szCs w:val="20"/>
        </w:rPr>
        <w:t>Introduction</w:t>
      </w:r>
    </w:p>
    <w:p w:rsidR="00B65B9F" w:rsidRPr="0013390D" w:rsidRDefault="00B65B9F" w:rsidP="0013390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13390D">
        <w:rPr>
          <w:rFonts w:ascii="Arial" w:hAnsi="Arial" w:cs="Arial"/>
          <w:sz w:val="20"/>
          <w:szCs w:val="20"/>
        </w:rPr>
        <w:t xml:space="preserve">The Critical Infrastructure Protection Act, 2019 (Act No. 08 of 2019) (the Act) was assented to by the President on 20 </w:t>
      </w:r>
      <w:r w:rsidR="003874F1" w:rsidRPr="0013390D">
        <w:rPr>
          <w:rFonts w:ascii="Arial" w:hAnsi="Arial" w:cs="Arial"/>
          <w:sz w:val="20"/>
          <w:szCs w:val="20"/>
        </w:rPr>
        <w:t>November</w:t>
      </w:r>
      <w:r w:rsidRPr="0013390D">
        <w:rPr>
          <w:rFonts w:ascii="Arial" w:hAnsi="Arial" w:cs="Arial"/>
          <w:sz w:val="20"/>
          <w:szCs w:val="20"/>
        </w:rPr>
        <w:t xml:space="preserve"> 2019. As per section 27 of the Act, the Minister of Police must table any proposed regulations in Parliament for scrutiny before promulgation. On 21 July 2022, the Council referred the </w:t>
      </w:r>
      <w:r w:rsidR="00637FE3" w:rsidRPr="0013390D">
        <w:rPr>
          <w:rFonts w:ascii="Arial" w:hAnsi="Arial" w:cs="Arial"/>
          <w:sz w:val="20"/>
          <w:szCs w:val="20"/>
        </w:rPr>
        <w:t>Interim</w:t>
      </w:r>
      <w:r w:rsidRPr="0013390D">
        <w:rPr>
          <w:rFonts w:ascii="Arial" w:hAnsi="Arial" w:cs="Arial"/>
          <w:sz w:val="20"/>
          <w:szCs w:val="20"/>
        </w:rPr>
        <w:t xml:space="preserve"> Regulations to the Select Committee (ATC No 106-2022) for consideration.</w:t>
      </w:r>
    </w:p>
    <w:p w:rsidR="00B65B9F" w:rsidRPr="0013390D" w:rsidRDefault="00B65B9F" w:rsidP="0013390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B65B9F" w:rsidRPr="0013390D" w:rsidRDefault="00B65B9F" w:rsidP="0013390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sz w:val="20"/>
          <w:szCs w:val="20"/>
        </w:rPr>
      </w:pPr>
      <w:r w:rsidRPr="0013390D">
        <w:rPr>
          <w:rFonts w:ascii="Arial" w:hAnsi="Arial" w:cs="Arial"/>
          <w:b/>
          <w:bCs/>
          <w:sz w:val="20"/>
          <w:szCs w:val="20"/>
        </w:rPr>
        <w:t xml:space="preserve">Draft Regulations of the Critical Infrastructure Protection Act </w:t>
      </w:r>
    </w:p>
    <w:p w:rsidR="00B65B9F" w:rsidRPr="0013390D" w:rsidRDefault="00B65B9F" w:rsidP="0013390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13390D">
        <w:rPr>
          <w:rFonts w:ascii="Arial" w:hAnsi="Arial" w:cs="Arial"/>
          <w:sz w:val="20"/>
          <w:szCs w:val="20"/>
        </w:rPr>
        <w:t>The Draft Regulations deal with the following 14 aspects, related mainly to the functions and</w:t>
      </w:r>
    </w:p>
    <w:p w:rsidR="00B65B9F" w:rsidRPr="0013390D" w:rsidRDefault="00B65B9F" w:rsidP="0013390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13390D">
        <w:rPr>
          <w:rFonts w:ascii="Arial" w:hAnsi="Arial" w:cs="Arial"/>
          <w:sz w:val="20"/>
          <w:szCs w:val="20"/>
        </w:rPr>
        <w:t>procedures to be followed by the Critical Infrastructure Council:</w:t>
      </w:r>
    </w:p>
    <w:p w:rsidR="00B65B9F" w:rsidRPr="0013390D" w:rsidRDefault="00B65B9F" w:rsidP="0013390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13390D">
        <w:rPr>
          <w:rFonts w:ascii="Arial" w:hAnsi="Arial" w:cs="Arial"/>
          <w:sz w:val="20"/>
          <w:szCs w:val="20"/>
        </w:rPr>
        <w:t>• Regulation 1: Definitions</w:t>
      </w:r>
    </w:p>
    <w:p w:rsidR="00B65B9F" w:rsidRPr="0013390D" w:rsidRDefault="00B65B9F" w:rsidP="0013390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13390D">
        <w:rPr>
          <w:rFonts w:ascii="Arial" w:hAnsi="Arial" w:cs="Arial"/>
          <w:sz w:val="20"/>
          <w:szCs w:val="20"/>
        </w:rPr>
        <w:t>• Regulation 2: Establishment and functions of the Critical Infrastructure Council</w:t>
      </w:r>
    </w:p>
    <w:p w:rsidR="00B65B9F" w:rsidRPr="0013390D" w:rsidRDefault="00B65B9F" w:rsidP="0013390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13390D">
        <w:rPr>
          <w:rFonts w:ascii="Arial" w:hAnsi="Arial" w:cs="Arial"/>
          <w:sz w:val="20"/>
          <w:szCs w:val="20"/>
        </w:rPr>
        <w:t>• Regulation 3: Ordinary meetings of the Critical Infrastructure Council</w:t>
      </w:r>
    </w:p>
    <w:p w:rsidR="00B65B9F" w:rsidRPr="0013390D" w:rsidRDefault="00B65B9F" w:rsidP="0013390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13390D">
        <w:rPr>
          <w:rFonts w:ascii="Arial" w:hAnsi="Arial" w:cs="Arial"/>
          <w:sz w:val="20"/>
          <w:szCs w:val="20"/>
        </w:rPr>
        <w:t>• Regulation 4: Special meetings of the Critical Infrastructure Council</w:t>
      </w:r>
    </w:p>
    <w:p w:rsidR="00B65B9F" w:rsidRPr="0013390D" w:rsidRDefault="00B65B9F" w:rsidP="0013390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13390D">
        <w:rPr>
          <w:rFonts w:ascii="Arial" w:hAnsi="Arial" w:cs="Arial"/>
          <w:sz w:val="20"/>
          <w:szCs w:val="20"/>
        </w:rPr>
        <w:t>• Regulation 5: Resolutions of the Critical Infrastructure Council in respect of application</w:t>
      </w:r>
    </w:p>
    <w:p w:rsidR="00B65B9F" w:rsidRPr="0013390D" w:rsidRDefault="00B65B9F" w:rsidP="0013390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13390D">
        <w:rPr>
          <w:rFonts w:ascii="Arial" w:hAnsi="Arial" w:cs="Arial"/>
          <w:sz w:val="20"/>
          <w:szCs w:val="20"/>
        </w:rPr>
        <w:t>for declaration of infrastructure as critical infrastructure</w:t>
      </w:r>
    </w:p>
    <w:p w:rsidR="00B65B9F" w:rsidRPr="0013390D" w:rsidRDefault="00B65B9F" w:rsidP="0013390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13390D">
        <w:rPr>
          <w:rFonts w:ascii="Arial" w:hAnsi="Arial" w:cs="Arial"/>
          <w:sz w:val="20"/>
          <w:szCs w:val="20"/>
        </w:rPr>
        <w:t>• Regulation 6: Resolutions of the Critical Infrastructure Council to dispense with</w:t>
      </w:r>
    </w:p>
    <w:p w:rsidR="00B65B9F" w:rsidRPr="0013390D" w:rsidRDefault="00B65B9F" w:rsidP="0013390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13390D">
        <w:rPr>
          <w:rFonts w:ascii="Arial" w:hAnsi="Arial" w:cs="Arial"/>
          <w:sz w:val="20"/>
          <w:szCs w:val="20"/>
        </w:rPr>
        <w:t>publication</w:t>
      </w:r>
    </w:p>
    <w:p w:rsidR="00B65B9F" w:rsidRPr="0013390D" w:rsidRDefault="00B65B9F" w:rsidP="0013390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13390D">
        <w:rPr>
          <w:rFonts w:ascii="Arial" w:hAnsi="Arial" w:cs="Arial"/>
          <w:sz w:val="20"/>
          <w:szCs w:val="20"/>
        </w:rPr>
        <w:t>• Regulation 7: Resolutions of the Critical Infrastructure Council in respect of policies,</w:t>
      </w:r>
    </w:p>
    <w:p w:rsidR="00B65B9F" w:rsidRPr="0013390D" w:rsidRDefault="00B65B9F" w:rsidP="0013390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13390D">
        <w:rPr>
          <w:rFonts w:ascii="Arial" w:hAnsi="Arial" w:cs="Arial"/>
          <w:sz w:val="20"/>
          <w:szCs w:val="20"/>
        </w:rPr>
        <w:t>protocols and standards</w:t>
      </w:r>
    </w:p>
    <w:p w:rsidR="00B65B9F" w:rsidRPr="0013390D" w:rsidRDefault="00B65B9F" w:rsidP="0013390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13390D">
        <w:rPr>
          <w:rFonts w:ascii="Arial" w:hAnsi="Arial" w:cs="Arial"/>
          <w:sz w:val="20"/>
          <w:szCs w:val="20"/>
        </w:rPr>
        <w:t>• Regulation 8: Assignment of functions by the Minister</w:t>
      </w:r>
    </w:p>
    <w:p w:rsidR="00B65B9F" w:rsidRPr="0013390D" w:rsidRDefault="00B65B9F" w:rsidP="0013390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13390D">
        <w:rPr>
          <w:rFonts w:ascii="Arial" w:hAnsi="Arial" w:cs="Arial"/>
          <w:sz w:val="20"/>
          <w:szCs w:val="20"/>
        </w:rPr>
        <w:t>• Regulation 9: Ad hoc committees</w:t>
      </w:r>
    </w:p>
    <w:p w:rsidR="00B65B9F" w:rsidRPr="0013390D" w:rsidRDefault="00B65B9F" w:rsidP="0013390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13390D">
        <w:rPr>
          <w:rFonts w:ascii="Arial" w:hAnsi="Arial" w:cs="Arial"/>
          <w:sz w:val="20"/>
          <w:szCs w:val="20"/>
        </w:rPr>
        <w:t>• Regulation 10: Standing committees</w:t>
      </w:r>
    </w:p>
    <w:p w:rsidR="00B65B9F" w:rsidRPr="0013390D" w:rsidRDefault="00B65B9F" w:rsidP="0013390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13390D">
        <w:rPr>
          <w:rFonts w:ascii="Arial" w:hAnsi="Arial" w:cs="Arial"/>
          <w:sz w:val="20"/>
          <w:szCs w:val="20"/>
        </w:rPr>
        <w:t>• Regulation 11: Establishment of Critical Infrastructure Protection Regulator</w:t>
      </w:r>
    </w:p>
    <w:p w:rsidR="00B65B9F" w:rsidRPr="0013390D" w:rsidRDefault="00B65B9F" w:rsidP="0013390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13390D">
        <w:rPr>
          <w:rFonts w:ascii="Arial" w:hAnsi="Arial" w:cs="Arial"/>
          <w:sz w:val="20"/>
          <w:szCs w:val="20"/>
        </w:rPr>
        <w:t>• Regulation 12: Functions of the Critical Infrastructure Protection Regulator 10</w:t>
      </w:r>
    </w:p>
    <w:p w:rsidR="00B65B9F" w:rsidRPr="0013390D" w:rsidRDefault="00B65B9F" w:rsidP="0013390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13390D">
        <w:rPr>
          <w:rFonts w:ascii="Arial" w:hAnsi="Arial" w:cs="Arial"/>
          <w:sz w:val="20"/>
          <w:szCs w:val="20"/>
        </w:rPr>
        <w:t>• Regulation 13: Manner of service of notice</w:t>
      </w:r>
    </w:p>
    <w:p w:rsidR="00B65B9F" w:rsidRPr="0013390D" w:rsidRDefault="00B65B9F" w:rsidP="0013390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13390D">
        <w:rPr>
          <w:rFonts w:ascii="Arial" w:hAnsi="Arial" w:cs="Arial"/>
          <w:sz w:val="20"/>
          <w:szCs w:val="20"/>
        </w:rPr>
        <w:t>• Regulation 14: Commencement</w:t>
      </w:r>
    </w:p>
    <w:p w:rsidR="00B65B9F" w:rsidRPr="0013390D" w:rsidRDefault="00B65B9F" w:rsidP="0013390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B65B9F" w:rsidRPr="0013390D" w:rsidRDefault="00B65B9F" w:rsidP="0013390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sz w:val="20"/>
          <w:szCs w:val="20"/>
        </w:rPr>
      </w:pPr>
      <w:r w:rsidRPr="0013390D">
        <w:rPr>
          <w:rFonts w:ascii="Arial" w:hAnsi="Arial" w:cs="Arial"/>
          <w:b/>
          <w:bCs/>
          <w:sz w:val="20"/>
          <w:szCs w:val="20"/>
        </w:rPr>
        <w:t>Proposed Amendments to Critical Infrastructure Protection Act Regulations</w:t>
      </w:r>
    </w:p>
    <w:p w:rsidR="00637FE3" w:rsidRPr="0013390D" w:rsidRDefault="00637FE3" w:rsidP="0013390D">
      <w:pPr>
        <w:pStyle w:val="ListParagraph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Cs/>
          <w:sz w:val="20"/>
          <w:szCs w:val="20"/>
        </w:rPr>
      </w:pPr>
      <w:r w:rsidRPr="0013390D">
        <w:rPr>
          <w:rFonts w:ascii="Arial" w:hAnsi="Arial" w:cs="Arial"/>
          <w:bCs/>
          <w:sz w:val="20"/>
          <w:szCs w:val="20"/>
        </w:rPr>
        <w:t>The Committee was briefed on the matter and amendments made by the National Assembly and had no further recommendations to make.</w:t>
      </w:r>
    </w:p>
    <w:p w:rsidR="00B65B9F" w:rsidRPr="0013390D" w:rsidRDefault="00B65B9F" w:rsidP="0013390D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sz w:val="20"/>
          <w:szCs w:val="20"/>
        </w:rPr>
      </w:pPr>
    </w:p>
    <w:p w:rsidR="00B65B9F" w:rsidRPr="0013390D" w:rsidRDefault="00B65B9F" w:rsidP="0013390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sz w:val="20"/>
          <w:szCs w:val="20"/>
        </w:rPr>
      </w:pPr>
      <w:r w:rsidRPr="0013390D">
        <w:rPr>
          <w:rFonts w:ascii="Arial" w:hAnsi="Arial" w:cs="Arial"/>
          <w:b/>
          <w:bCs/>
          <w:sz w:val="20"/>
          <w:szCs w:val="20"/>
        </w:rPr>
        <w:t>Recommendation</w:t>
      </w:r>
    </w:p>
    <w:p w:rsidR="00B65B9F" w:rsidRPr="0013390D" w:rsidRDefault="00B65B9F" w:rsidP="0013390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13390D">
        <w:rPr>
          <w:rFonts w:ascii="Arial" w:hAnsi="Arial" w:cs="Arial"/>
          <w:sz w:val="20"/>
          <w:szCs w:val="20"/>
        </w:rPr>
        <w:t xml:space="preserve">The Committee having considered the </w:t>
      </w:r>
      <w:r w:rsidR="00637FE3" w:rsidRPr="0013390D">
        <w:rPr>
          <w:rFonts w:ascii="Arial" w:hAnsi="Arial" w:cs="Arial"/>
          <w:sz w:val="20"/>
          <w:szCs w:val="20"/>
        </w:rPr>
        <w:t xml:space="preserve">Interim Critical Infrastructure Protection Regulations in terms of section 27 of the Critical Infrastructure Protection Act, 2019 (Act No. 8 of 2019) </w:t>
      </w:r>
      <w:r w:rsidRPr="0013390D">
        <w:rPr>
          <w:rFonts w:ascii="Arial" w:hAnsi="Arial" w:cs="Arial"/>
          <w:sz w:val="20"/>
          <w:szCs w:val="20"/>
        </w:rPr>
        <w:t xml:space="preserve">recommends that the </w:t>
      </w:r>
      <w:r w:rsidR="00637FE3" w:rsidRPr="0013390D">
        <w:rPr>
          <w:rFonts w:ascii="Arial" w:hAnsi="Arial" w:cs="Arial"/>
          <w:sz w:val="20"/>
          <w:szCs w:val="20"/>
        </w:rPr>
        <w:t>National Council of Provinces approve the Interim Regulations</w:t>
      </w:r>
      <w:r w:rsidRPr="0013390D">
        <w:rPr>
          <w:rFonts w:ascii="Arial" w:hAnsi="Arial" w:cs="Arial"/>
          <w:sz w:val="20"/>
          <w:szCs w:val="20"/>
        </w:rPr>
        <w:t>.</w:t>
      </w:r>
    </w:p>
    <w:p w:rsidR="00AC0212" w:rsidRPr="0013390D" w:rsidRDefault="00AC0212" w:rsidP="0013390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923ABE" w:rsidRPr="0013390D" w:rsidRDefault="007D347C" w:rsidP="0013390D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13390D">
        <w:rPr>
          <w:rFonts w:ascii="Arial" w:hAnsi="Arial" w:cs="Arial"/>
          <w:b/>
          <w:sz w:val="20"/>
          <w:szCs w:val="20"/>
        </w:rPr>
        <w:t>Report to be considered</w:t>
      </w:r>
      <w:r w:rsidR="00AC0212" w:rsidRPr="0013390D">
        <w:rPr>
          <w:rFonts w:ascii="Arial" w:hAnsi="Arial" w:cs="Arial"/>
          <w:b/>
          <w:sz w:val="20"/>
          <w:szCs w:val="20"/>
        </w:rPr>
        <w:t>.</w:t>
      </w:r>
    </w:p>
    <w:sectPr w:rsidR="00923ABE" w:rsidRPr="0013390D" w:rsidSect="007F75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676" w:rsidRDefault="001C4676" w:rsidP="001F4F50">
      <w:pPr>
        <w:spacing w:line="240" w:lineRule="auto"/>
      </w:pPr>
      <w:r>
        <w:separator/>
      </w:r>
    </w:p>
  </w:endnote>
  <w:endnote w:type="continuationSeparator" w:id="0">
    <w:p w:rsidR="001C4676" w:rsidRDefault="001C4676" w:rsidP="001F4F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676" w:rsidRDefault="001C4676" w:rsidP="001F4F50">
      <w:pPr>
        <w:spacing w:line="240" w:lineRule="auto"/>
      </w:pPr>
      <w:r>
        <w:separator/>
      </w:r>
    </w:p>
  </w:footnote>
  <w:footnote w:type="continuationSeparator" w:id="0">
    <w:p w:rsidR="001C4676" w:rsidRDefault="001C4676" w:rsidP="001F4F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6AB0"/>
    <w:multiLevelType w:val="hybridMultilevel"/>
    <w:tmpl w:val="17987AC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3F9499B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306D2"/>
    <w:multiLevelType w:val="hybridMultilevel"/>
    <w:tmpl w:val="CA245ED2"/>
    <w:lvl w:ilvl="0" w:tplc="29B697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5EB43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2A33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6207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069A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C8E3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1049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EA5D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A4FC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FD15E8"/>
    <w:multiLevelType w:val="hybridMultilevel"/>
    <w:tmpl w:val="4986068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A1E09"/>
    <w:multiLevelType w:val="hybridMultilevel"/>
    <w:tmpl w:val="E43C8C5A"/>
    <w:lvl w:ilvl="0" w:tplc="C7EE69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A488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3C81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E490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4ED2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6CFA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18E5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CCC6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E442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C039E5"/>
    <w:multiLevelType w:val="hybridMultilevel"/>
    <w:tmpl w:val="7F5C8F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36008"/>
    <w:multiLevelType w:val="hybridMultilevel"/>
    <w:tmpl w:val="CF2C8AFA"/>
    <w:lvl w:ilvl="0" w:tplc="441095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865F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929F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4EAB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A6C0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F8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0647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0AC4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042F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89296D"/>
    <w:multiLevelType w:val="hybridMultilevel"/>
    <w:tmpl w:val="FE386DA4"/>
    <w:lvl w:ilvl="0" w:tplc="9080E7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3AEF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D6E0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543E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38BE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9E2A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0C4C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E2D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3E2E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3673F0"/>
    <w:multiLevelType w:val="hybridMultilevel"/>
    <w:tmpl w:val="268C192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5112D"/>
    <w:rsid w:val="0002281E"/>
    <w:rsid w:val="000F4EDF"/>
    <w:rsid w:val="0013390D"/>
    <w:rsid w:val="001376FE"/>
    <w:rsid w:val="001C4676"/>
    <w:rsid w:val="001F4F50"/>
    <w:rsid w:val="00220E54"/>
    <w:rsid w:val="00267556"/>
    <w:rsid w:val="002C5AC5"/>
    <w:rsid w:val="00330CDB"/>
    <w:rsid w:val="003329F8"/>
    <w:rsid w:val="00350C72"/>
    <w:rsid w:val="0035759C"/>
    <w:rsid w:val="003646C8"/>
    <w:rsid w:val="003874F1"/>
    <w:rsid w:val="003A6173"/>
    <w:rsid w:val="0045112D"/>
    <w:rsid w:val="0045654C"/>
    <w:rsid w:val="004B4A44"/>
    <w:rsid w:val="00507212"/>
    <w:rsid w:val="005B2B46"/>
    <w:rsid w:val="005C2C78"/>
    <w:rsid w:val="00637FE3"/>
    <w:rsid w:val="006414AD"/>
    <w:rsid w:val="006439F4"/>
    <w:rsid w:val="006462D3"/>
    <w:rsid w:val="006A7D50"/>
    <w:rsid w:val="007216BA"/>
    <w:rsid w:val="00773444"/>
    <w:rsid w:val="007847D9"/>
    <w:rsid w:val="007864D3"/>
    <w:rsid w:val="007D347C"/>
    <w:rsid w:val="007E4765"/>
    <w:rsid w:val="007F75CF"/>
    <w:rsid w:val="00841DC9"/>
    <w:rsid w:val="00892BC1"/>
    <w:rsid w:val="008D1D90"/>
    <w:rsid w:val="00922303"/>
    <w:rsid w:val="00923ABE"/>
    <w:rsid w:val="00A03DA8"/>
    <w:rsid w:val="00A23B14"/>
    <w:rsid w:val="00A456EC"/>
    <w:rsid w:val="00A4624E"/>
    <w:rsid w:val="00A51D50"/>
    <w:rsid w:val="00AC0212"/>
    <w:rsid w:val="00B65B9F"/>
    <w:rsid w:val="00B90A1C"/>
    <w:rsid w:val="00C54EF1"/>
    <w:rsid w:val="00CC645A"/>
    <w:rsid w:val="00E43EC3"/>
    <w:rsid w:val="00F8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5CF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B2B4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B2B46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F4F5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F50"/>
  </w:style>
  <w:style w:type="paragraph" w:styleId="Footer">
    <w:name w:val="footer"/>
    <w:basedOn w:val="Normal"/>
    <w:link w:val="FooterChar"/>
    <w:uiPriority w:val="99"/>
    <w:unhideWhenUsed/>
    <w:rsid w:val="001F4F5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F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1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3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97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3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4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5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10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the Republic  of South Africa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Silkstone</dc:creator>
  <cp:lastModifiedBy>User</cp:lastModifiedBy>
  <cp:revision>2</cp:revision>
  <dcterms:created xsi:type="dcterms:W3CDTF">2022-11-03T07:32:00Z</dcterms:created>
  <dcterms:modified xsi:type="dcterms:W3CDTF">2022-11-03T07:32:00Z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a05fa563625f0f2834a11493d93bc40b45b92359ac5060c5c9b7aa50a7cecd8b</vt:lpwstr>
  </property>
</Properties>
</file>