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59" w:rsidRPr="00AB088E" w:rsidRDefault="00AB088E" w:rsidP="00AB088E">
      <w:pPr>
        <w:pStyle w:val="Heading1"/>
        <w:numPr>
          <w:ilvl w:val="0"/>
          <w:numId w:val="0"/>
        </w:numPr>
        <w:spacing w:before="0" w:after="0" w:line="240" w:lineRule="auto"/>
        <w:jc w:val="left"/>
        <w:rPr>
          <w:rFonts w:ascii="Arial" w:hAnsi="Arial" w:cs="Arial"/>
          <w:sz w:val="20"/>
          <w:szCs w:val="20"/>
        </w:rPr>
      </w:pPr>
      <w:bookmarkStart w:id="0" w:name="_Toc486422698"/>
      <w:r w:rsidRPr="00AB088E">
        <w:rPr>
          <w:rFonts w:ascii="Arial" w:hAnsi="Arial" w:cs="Arial"/>
          <w:caps w:val="0"/>
          <w:sz w:val="20"/>
          <w:szCs w:val="20"/>
        </w:rPr>
        <w:t>Portfolio Committee on Public Works: Report on an</w:t>
      </w:r>
      <w:r>
        <w:rPr>
          <w:rFonts w:ascii="Arial" w:hAnsi="Arial" w:cs="Arial"/>
          <w:caps w:val="0"/>
          <w:sz w:val="20"/>
          <w:szCs w:val="20"/>
        </w:rPr>
        <w:t xml:space="preserve"> Oversight v</w:t>
      </w:r>
      <w:r w:rsidRPr="00AB088E">
        <w:rPr>
          <w:rFonts w:ascii="Arial" w:hAnsi="Arial" w:cs="Arial"/>
          <w:caps w:val="0"/>
          <w:sz w:val="20"/>
          <w:szCs w:val="20"/>
        </w:rPr>
        <w:t xml:space="preserve">isit to </w:t>
      </w:r>
      <w:bookmarkEnd w:id="0"/>
      <w:r w:rsidRPr="00AB088E">
        <w:rPr>
          <w:rFonts w:ascii="Arial" w:hAnsi="Arial" w:cs="Arial"/>
          <w:caps w:val="0"/>
          <w:sz w:val="20"/>
          <w:szCs w:val="20"/>
        </w:rPr>
        <w:t>the Telkom Towers, Dated 2 November 2022.</w:t>
      </w:r>
    </w:p>
    <w:p w:rsidR="00E30B59" w:rsidRPr="00AB088E" w:rsidRDefault="00E30B59" w:rsidP="00AB088E">
      <w:pPr>
        <w:spacing w:after="0" w:line="240" w:lineRule="auto"/>
        <w:rPr>
          <w:rFonts w:ascii="Arial" w:hAnsi="Arial" w:cs="Arial"/>
          <w:sz w:val="20"/>
          <w:szCs w:val="20"/>
          <w:lang w:val="en-US" w:eastAsia="en-GB"/>
        </w:rPr>
      </w:pPr>
    </w:p>
    <w:p w:rsidR="00E30B59" w:rsidRPr="00AB088E" w:rsidRDefault="00E30B59" w:rsidP="00AB088E">
      <w:pPr>
        <w:spacing w:after="0" w:line="240" w:lineRule="auto"/>
        <w:rPr>
          <w:rFonts w:ascii="Arial" w:hAnsi="Arial" w:cs="Arial"/>
          <w:sz w:val="20"/>
          <w:szCs w:val="20"/>
          <w:lang w:val="en-US" w:eastAsia="en-GB"/>
        </w:rPr>
      </w:pPr>
      <w:r w:rsidRPr="00AB088E">
        <w:rPr>
          <w:rFonts w:ascii="Arial" w:hAnsi="Arial" w:cs="Arial"/>
          <w:sz w:val="20"/>
          <w:szCs w:val="20"/>
          <w:lang w:val="en-US" w:eastAsia="en-GB"/>
        </w:rPr>
        <w:t>The Portfolio Committee on Public Works</w:t>
      </w:r>
      <w:r w:rsidR="002E1F85" w:rsidRPr="00AB088E">
        <w:rPr>
          <w:rFonts w:ascii="Arial" w:hAnsi="Arial" w:cs="Arial"/>
          <w:sz w:val="20"/>
          <w:szCs w:val="20"/>
          <w:lang w:val="en-US" w:eastAsia="en-GB"/>
        </w:rPr>
        <w:t xml:space="preserve"> and Infrastructure</w:t>
      </w:r>
      <w:r w:rsidRPr="00AB088E">
        <w:rPr>
          <w:rFonts w:ascii="Arial" w:hAnsi="Arial" w:cs="Arial"/>
          <w:sz w:val="20"/>
          <w:szCs w:val="20"/>
          <w:lang w:val="en-US" w:eastAsia="en-GB"/>
        </w:rPr>
        <w:t xml:space="preserve">, having undertaken an oversight visit to </w:t>
      </w:r>
      <w:r w:rsidR="0018404F" w:rsidRPr="00AB088E">
        <w:rPr>
          <w:rFonts w:ascii="Arial" w:hAnsi="Arial" w:cs="Arial"/>
          <w:sz w:val="20"/>
          <w:szCs w:val="20"/>
          <w:lang w:val="en-US" w:eastAsia="en-GB"/>
        </w:rPr>
        <w:t>the Telkom Towers (</w:t>
      </w:r>
      <w:r w:rsidR="009B069C" w:rsidRPr="00AB088E">
        <w:rPr>
          <w:rFonts w:ascii="Arial" w:hAnsi="Arial" w:cs="Arial"/>
          <w:sz w:val="20"/>
          <w:szCs w:val="20"/>
          <w:lang w:val="en-US" w:eastAsia="en-GB"/>
        </w:rPr>
        <w:t>Gauteng</w:t>
      </w:r>
      <w:r w:rsidR="0018404F" w:rsidRPr="00AB088E">
        <w:rPr>
          <w:rFonts w:ascii="Arial" w:hAnsi="Arial" w:cs="Arial"/>
          <w:sz w:val="20"/>
          <w:szCs w:val="20"/>
          <w:lang w:val="en-US" w:eastAsia="en-GB"/>
        </w:rPr>
        <w:t xml:space="preserve">), </w:t>
      </w:r>
      <w:r w:rsidR="00AA571D" w:rsidRPr="00AB088E">
        <w:rPr>
          <w:rFonts w:ascii="Arial" w:hAnsi="Arial" w:cs="Arial"/>
          <w:sz w:val="20"/>
          <w:szCs w:val="20"/>
          <w:lang w:val="en-US" w:eastAsia="en-GB"/>
        </w:rPr>
        <w:t xml:space="preserve">from 30 </w:t>
      </w:r>
      <w:r w:rsidR="0018404F" w:rsidRPr="00AB088E">
        <w:rPr>
          <w:rFonts w:ascii="Arial" w:hAnsi="Arial" w:cs="Arial"/>
          <w:sz w:val="20"/>
          <w:szCs w:val="20"/>
          <w:lang w:val="en-US" w:eastAsia="en-GB"/>
        </w:rPr>
        <w:t>September to 1 October 2022</w:t>
      </w:r>
      <w:r w:rsidRPr="00AB088E">
        <w:rPr>
          <w:rFonts w:ascii="Arial" w:hAnsi="Arial" w:cs="Arial"/>
          <w:sz w:val="20"/>
          <w:szCs w:val="20"/>
          <w:lang w:val="en-US" w:eastAsia="en-GB"/>
        </w:rPr>
        <w:t>, reports as follows:</w:t>
      </w:r>
    </w:p>
    <w:p w:rsidR="00E30B59" w:rsidRPr="00AB088E" w:rsidRDefault="00137980" w:rsidP="00AB088E">
      <w:pPr>
        <w:pStyle w:val="Heading1"/>
        <w:spacing w:before="0" w:after="0" w:line="240" w:lineRule="auto"/>
        <w:jc w:val="left"/>
        <w:rPr>
          <w:rFonts w:ascii="Arial" w:hAnsi="Arial" w:cs="Arial"/>
          <w:sz w:val="20"/>
          <w:szCs w:val="20"/>
        </w:rPr>
      </w:pPr>
      <w:r w:rsidRPr="00AB088E">
        <w:rPr>
          <w:rFonts w:ascii="Arial" w:hAnsi="Arial" w:cs="Arial"/>
          <w:sz w:val="20"/>
          <w:szCs w:val="20"/>
        </w:rPr>
        <w:t>ATTE</w:t>
      </w:r>
      <w:r w:rsidR="00BC524E" w:rsidRPr="00AB088E">
        <w:rPr>
          <w:rFonts w:ascii="Arial" w:hAnsi="Arial" w:cs="Arial"/>
          <w:sz w:val="20"/>
          <w:szCs w:val="20"/>
        </w:rPr>
        <w:t>NDANCE</w:t>
      </w:r>
    </w:p>
    <w:p w:rsidR="00EF74A5" w:rsidRPr="00AB088E" w:rsidRDefault="00EF74A5" w:rsidP="00AB088E">
      <w:pPr>
        <w:spacing w:after="0" w:line="240" w:lineRule="auto"/>
        <w:rPr>
          <w:rFonts w:ascii="Arial" w:hAnsi="Arial" w:cs="Arial"/>
          <w:sz w:val="20"/>
          <w:szCs w:val="20"/>
        </w:rPr>
      </w:pPr>
    </w:p>
    <w:p w:rsidR="00BC524E" w:rsidRPr="00AB088E" w:rsidRDefault="00BC524E" w:rsidP="00AB088E">
      <w:pPr>
        <w:pStyle w:val="ListParagraph"/>
        <w:numPr>
          <w:ilvl w:val="0"/>
          <w:numId w:val="10"/>
        </w:numPr>
        <w:spacing w:after="0" w:line="240" w:lineRule="auto"/>
        <w:rPr>
          <w:rFonts w:ascii="Arial" w:hAnsi="Arial" w:cs="Arial"/>
          <w:sz w:val="20"/>
          <w:szCs w:val="20"/>
        </w:rPr>
      </w:pPr>
      <w:r w:rsidRPr="00AB088E">
        <w:rPr>
          <w:rFonts w:ascii="Arial" w:hAnsi="Arial" w:cs="Arial"/>
          <w:sz w:val="20"/>
          <w:szCs w:val="20"/>
        </w:rPr>
        <w:t>Ms N Ntobongwana</w:t>
      </w:r>
      <w:r w:rsidR="00137980" w:rsidRPr="00AB088E">
        <w:rPr>
          <w:rFonts w:ascii="Arial" w:hAnsi="Arial" w:cs="Arial"/>
          <w:sz w:val="20"/>
          <w:szCs w:val="20"/>
        </w:rPr>
        <w:t>, MP</w:t>
      </w:r>
      <w:r w:rsidRPr="00AB088E">
        <w:rPr>
          <w:rFonts w:ascii="Arial" w:hAnsi="Arial" w:cs="Arial"/>
          <w:sz w:val="20"/>
          <w:szCs w:val="20"/>
        </w:rPr>
        <w:t xml:space="preserve"> (Leader of the Delegation)</w:t>
      </w:r>
    </w:p>
    <w:p w:rsidR="00BC524E" w:rsidRPr="00AB088E" w:rsidRDefault="00BC524E" w:rsidP="00AB088E">
      <w:pPr>
        <w:pStyle w:val="ListParagraph"/>
        <w:numPr>
          <w:ilvl w:val="0"/>
          <w:numId w:val="10"/>
        </w:numPr>
        <w:spacing w:after="0" w:line="240" w:lineRule="auto"/>
        <w:rPr>
          <w:rFonts w:ascii="Arial" w:hAnsi="Arial" w:cs="Arial"/>
          <w:sz w:val="20"/>
          <w:szCs w:val="20"/>
        </w:rPr>
      </w:pPr>
      <w:r w:rsidRPr="00AB088E">
        <w:rPr>
          <w:rFonts w:ascii="Arial" w:hAnsi="Arial" w:cs="Arial"/>
          <w:sz w:val="20"/>
          <w:szCs w:val="20"/>
        </w:rPr>
        <w:t>Ms L Mjobo</w:t>
      </w:r>
      <w:r w:rsidR="00137980" w:rsidRPr="00AB088E">
        <w:rPr>
          <w:rFonts w:ascii="Arial" w:hAnsi="Arial" w:cs="Arial"/>
          <w:sz w:val="20"/>
          <w:szCs w:val="20"/>
        </w:rPr>
        <w:t>, MP</w:t>
      </w:r>
    </w:p>
    <w:p w:rsidR="00BC524E" w:rsidRPr="00AB088E" w:rsidRDefault="00BC524E" w:rsidP="00AB088E">
      <w:pPr>
        <w:pStyle w:val="ListParagraph"/>
        <w:numPr>
          <w:ilvl w:val="0"/>
          <w:numId w:val="10"/>
        </w:numPr>
        <w:spacing w:after="0" w:line="240" w:lineRule="auto"/>
        <w:rPr>
          <w:rFonts w:ascii="Arial" w:hAnsi="Arial" w:cs="Arial"/>
          <w:sz w:val="20"/>
          <w:szCs w:val="20"/>
        </w:rPr>
      </w:pPr>
      <w:r w:rsidRPr="00AB088E">
        <w:rPr>
          <w:rFonts w:ascii="Arial" w:hAnsi="Arial" w:cs="Arial"/>
          <w:sz w:val="20"/>
          <w:szCs w:val="20"/>
        </w:rPr>
        <w:t xml:space="preserve">Ms S </w:t>
      </w:r>
      <w:r w:rsidR="00E1636B" w:rsidRPr="00AB088E">
        <w:rPr>
          <w:rFonts w:ascii="Arial" w:hAnsi="Arial" w:cs="Arial"/>
          <w:sz w:val="20"/>
          <w:szCs w:val="20"/>
        </w:rPr>
        <w:t xml:space="preserve">R </w:t>
      </w:r>
      <w:r w:rsidRPr="00AB088E">
        <w:rPr>
          <w:rFonts w:ascii="Arial" w:hAnsi="Arial" w:cs="Arial"/>
          <w:sz w:val="20"/>
          <w:szCs w:val="20"/>
        </w:rPr>
        <w:t>Van Schalkwyk</w:t>
      </w:r>
      <w:r w:rsidR="00137980" w:rsidRPr="00AB088E">
        <w:rPr>
          <w:rFonts w:ascii="Arial" w:hAnsi="Arial" w:cs="Arial"/>
          <w:sz w:val="20"/>
          <w:szCs w:val="20"/>
        </w:rPr>
        <w:t>, MP</w:t>
      </w:r>
    </w:p>
    <w:p w:rsidR="00137980" w:rsidRPr="00AB088E" w:rsidRDefault="00137980" w:rsidP="00AB088E">
      <w:pPr>
        <w:pStyle w:val="ListParagraph"/>
        <w:numPr>
          <w:ilvl w:val="0"/>
          <w:numId w:val="10"/>
        </w:numPr>
        <w:spacing w:after="0" w:line="240" w:lineRule="auto"/>
        <w:rPr>
          <w:rFonts w:ascii="Arial" w:hAnsi="Arial" w:cs="Arial"/>
          <w:sz w:val="20"/>
          <w:szCs w:val="20"/>
        </w:rPr>
      </w:pPr>
      <w:r w:rsidRPr="00AB088E">
        <w:rPr>
          <w:rFonts w:ascii="Arial" w:hAnsi="Arial" w:cs="Arial"/>
          <w:sz w:val="20"/>
          <w:szCs w:val="20"/>
        </w:rPr>
        <w:t>Mr E Mathebula, MP</w:t>
      </w:r>
    </w:p>
    <w:p w:rsidR="00BC524E" w:rsidRPr="00AB088E" w:rsidRDefault="00BC524E" w:rsidP="00AB088E">
      <w:pPr>
        <w:pStyle w:val="ListParagraph"/>
        <w:numPr>
          <w:ilvl w:val="0"/>
          <w:numId w:val="10"/>
        </w:numPr>
        <w:spacing w:after="0" w:line="240" w:lineRule="auto"/>
        <w:rPr>
          <w:rFonts w:ascii="Arial" w:hAnsi="Arial" w:cs="Arial"/>
          <w:sz w:val="20"/>
          <w:szCs w:val="20"/>
        </w:rPr>
      </w:pPr>
      <w:r w:rsidRPr="00AB088E">
        <w:rPr>
          <w:rFonts w:ascii="Arial" w:hAnsi="Arial" w:cs="Arial"/>
          <w:sz w:val="20"/>
          <w:szCs w:val="20"/>
        </w:rPr>
        <w:t xml:space="preserve">Ms </w:t>
      </w:r>
      <w:r w:rsidR="00137980" w:rsidRPr="00AB088E">
        <w:rPr>
          <w:rFonts w:ascii="Arial" w:hAnsi="Arial" w:cs="Arial"/>
          <w:sz w:val="20"/>
          <w:szCs w:val="20"/>
        </w:rPr>
        <w:t>S Graham</w:t>
      </w:r>
      <w:r w:rsidR="00816792" w:rsidRPr="00AB088E">
        <w:rPr>
          <w:rFonts w:ascii="Arial" w:hAnsi="Arial" w:cs="Arial"/>
          <w:sz w:val="20"/>
          <w:szCs w:val="20"/>
        </w:rPr>
        <w:t>-Mar</w:t>
      </w:r>
      <w:r w:rsidR="00F41307" w:rsidRPr="00AB088E">
        <w:rPr>
          <w:rFonts w:ascii="Arial" w:hAnsi="Arial" w:cs="Arial"/>
          <w:sz w:val="20"/>
          <w:szCs w:val="20"/>
        </w:rPr>
        <w:t>é</w:t>
      </w:r>
      <w:r w:rsidR="00137980" w:rsidRPr="00AB088E">
        <w:rPr>
          <w:rFonts w:ascii="Arial" w:hAnsi="Arial" w:cs="Arial"/>
          <w:sz w:val="20"/>
          <w:szCs w:val="20"/>
        </w:rPr>
        <w:t>, MP</w:t>
      </w:r>
    </w:p>
    <w:p w:rsidR="00137980" w:rsidRPr="00AB088E" w:rsidRDefault="00137980" w:rsidP="00AB088E">
      <w:pPr>
        <w:pStyle w:val="ListParagraph"/>
        <w:numPr>
          <w:ilvl w:val="0"/>
          <w:numId w:val="10"/>
        </w:numPr>
        <w:spacing w:after="0" w:line="240" w:lineRule="auto"/>
        <w:rPr>
          <w:rFonts w:ascii="Arial" w:hAnsi="Arial" w:cs="Arial"/>
          <w:sz w:val="20"/>
          <w:szCs w:val="20"/>
        </w:rPr>
      </w:pPr>
      <w:r w:rsidRPr="00AB088E">
        <w:rPr>
          <w:rFonts w:ascii="Arial" w:hAnsi="Arial" w:cs="Arial"/>
          <w:sz w:val="20"/>
          <w:szCs w:val="20"/>
        </w:rPr>
        <w:t xml:space="preserve">Ms </w:t>
      </w:r>
      <w:r w:rsidR="00816792" w:rsidRPr="00AB088E">
        <w:rPr>
          <w:rFonts w:ascii="Arial" w:hAnsi="Arial" w:cs="Arial"/>
          <w:sz w:val="20"/>
          <w:szCs w:val="20"/>
        </w:rPr>
        <w:t xml:space="preserve">M </w:t>
      </w:r>
      <w:r w:rsidRPr="00AB088E">
        <w:rPr>
          <w:rFonts w:ascii="Arial" w:hAnsi="Arial" w:cs="Arial"/>
          <w:sz w:val="20"/>
          <w:szCs w:val="20"/>
        </w:rPr>
        <w:t>B Hicklin, MP</w:t>
      </w:r>
    </w:p>
    <w:p w:rsidR="00137980" w:rsidRPr="00AB088E" w:rsidRDefault="00137980" w:rsidP="00AB088E">
      <w:pPr>
        <w:pStyle w:val="ListParagraph"/>
        <w:numPr>
          <w:ilvl w:val="0"/>
          <w:numId w:val="10"/>
        </w:numPr>
        <w:spacing w:after="0" w:line="240" w:lineRule="auto"/>
        <w:rPr>
          <w:rFonts w:ascii="Arial" w:hAnsi="Arial" w:cs="Arial"/>
          <w:sz w:val="20"/>
          <w:szCs w:val="20"/>
        </w:rPr>
      </w:pPr>
      <w:r w:rsidRPr="00AB088E">
        <w:rPr>
          <w:rFonts w:ascii="Arial" w:hAnsi="Arial" w:cs="Arial"/>
          <w:sz w:val="20"/>
          <w:szCs w:val="20"/>
        </w:rPr>
        <w:t>Ms M Siwisa, MP</w:t>
      </w:r>
    </w:p>
    <w:p w:rsidR="0018404F" w:rsidRPr="00AB088E" w:rsidRDefault="0018404F" w:rsidP="00AB088E">
      <w:pPr>
        <w:pStyle w:val="ListParagraph"/>
        <w:numPr>
          <w:ilvl w:val="0"/>
          <w:numId w:val="10"/>
        </w:numPr>
        <w:spacing w:after="0" w:line="240" w:lineRule="auto"/>
        <w:rPr>
          <w:rFonts w:ascii="Arial" w:hAnsi="Arial" w:cs="Arial"/>
          <w:sz w:val="20"/>
          <w:szCs w:val="20"/>
        </w:rPr>
      </w:pPr>
      <w:r w:rsidRPr="00AB088E">
        <w:rPr>
          <w:rFonts w:ascii="Arial" w:hAnsi="Arial" w:cs="Arial"/>
          <w:sz w:val="20"/>
          <w:szCs w:val="20"/>
        </w:rPr>
        <w:t>Mr SS Zondo, MP</w:t>
      </w:r>
    </w:p>
    <w:p w:rsidR="00137980" w:rsidRPr="00AB088E" w:rsidRDefault="00137980" w:rsidP="00AB088E">
      <w:pPr>
        <w:pStyle w:val="ListParagraph"/>
        <w:numPr>
          <w:ilvl w:val="0"/>
          <w:numId w:val="10"/>
        </w:numPr>
        <w:spacing w:after="0" w:line="240" w:lineRule="auto"/>
        <w:rPr>
          <w:rFonts w:ascii="Arial" w:hAnsi="Arial" w:cs="Arial"/>
          <w:sz w:val="20"/>
          <w:szCs w:val="20"/>
        </w:rPr>
      </w:pPr>
      <w:r w:rsidRPr="00AB088E">
        <w:rPr>
          <w:rFonts w:ascii="Arial" w:hAnsi="Arial" w:cs="Arial"/>
          <w:sz w:val="20"/>
          <w:szCs w:val="20"/>
        </w:rPr>
        <w:t>Mr W Thring, MP</w:t>
      </w:r>
    </w:p>
    <w:p w:rsidR="00AC2FDA" w:rsidRPr="00AB088E" w:rsidRDefault="00AC2FDA" w:rsidP="00AB088E">
      <w:pPr>
        <w:pStyle w:val="Heading1"/>
        <w:spacing w:before="0" w:after="0" w:line="240" w:lineRule="auto"/>
        <w:jc w:val="left"/>
        <w:rPr>
          <w:rFonts w:ascii="Arial" w:hAnsi="Arial" w:cs="Arial"/>
          <w:sz w:val="20"/>
          <w:szCs w:val="20"/>
        </w:rPr>
      </w:pPr>
      <w:r w:rsidRPr="00AB088E">
        <w:rPr>
          <w:rFonts w:ascii="Arial" w:hAnsi="Arial" w:cs="Arial"/>
          <w:sz w:val="20"/>
          <w:szCs w:val="20"/>
        </w:rPr>
        <w:t>INTRODUCTION</w:t>
      </w:r>
    </w:p>
    <w:p w:rsidR="00EF74A5" w:rsidRPr="00AB088E" w:rsidRDefault="00EF74A5" w:rsidP="00AB088E">
      <w:pPr>
        <w:spacing w:after="0" w:line="240" w:lineRule="auto"/>
        <w:rPr>
          <w:rFonts w:ascii="Arial" w:hAnsi="Arial" w:cs="Arial"/>
          <w:sz w:val="20"/>
          <w:szCs w:val="20"/>
        </w:rPr>
      </w:pPr>
    </w:p>
    <w:p w:rsidR="00897848" w:rsidRPr="00AB088E" w:rsidRDefault="00AC2FDA" w:rsidP="00AB088E">
      <w:pPr>
        <w:spacing w:after="0" w:line="240" w:lineRule="auto"/>
        <w:rPr>
          <w:rFonts w:ascii="Arial" w:hAnsi="Arial" w:cs="Arial"/>
          <w:sz w:val="20"/>
          <w:szCs w:val="20"/>
        </w:rPr>
      </w:pPr>
      <w:r w:rsidRPr="00AB088E">
        <w:rPr>
          <w:rFonts w:ascii="Arial" w:hAnsi="Arial" w:cs="Arial"/>
          <w:sz w:val="20"/>
          <w:szCs w:val="20"/>
        </w:rPr>
        <w:t xml:space="preserve">During this oversight visit, the Portfolio Committee on Public Works and Infrastructure visited the </w:t>
      </w:r>
      <w:r w:rsidR="009D4DFD" w:rsidRPr="00AB088E">
        <w:rPr>
          <w:rFonts w:ascii="Arial" w:hAnsi="Arial" w:cs="Arial"/>
          <w:sz w:val="20"/>
          <w:szCs w:val="20"/>
        </w:rPr>
        <w:t xml:space="preserve">national Department of Public Works and Infrastructure (DPWI) </w:t>
      </w:r>
      <w:r w:rsidR="00C01AF8" w:rsidRPr="00AB088E">
        <w:rPr>
          <w:rFonts w:ascii="Arial" w:hAnsi="Arial" w:cs="Arial"/>
          <w:sz w:val="20"/>
          <w:szCs w:val="20"/>
        </w:rPr>
        <w:t>refurbishment project of the Telkom Towers</w:t>
      </w:r>
      <w:r w:rsidR="009D4DFD" w:rsidRPr="00AB088E">
        <w:rPr>
          <w:rFonts w:ascii="Arial" w:hAnsi="Arial" w:cs="Arial"/>
          <w:sz w:val="20"/>
          <w:szCs w:val="20"/>
        </w:rPr>
        <w:t xml:space="preserve"> </w:t>
      </w:r>
      <w:r w:rsidR="00040993" w:rsidRPr="00AB088E">
        <w:rPr>
          <w:rFonts w:ascii="Arial" w:hAnsi="Arial" w:cs="Arial"/>
          <w:sz w:val="20"/>
          <w:szCs w:val="20"/>
        </w:rPr>
        <w:t xml:space="preserve">precinct </w:t>
      </w:r>
      <w:r w:rsidR="009D4DFD" w:rsidRPr="00AB088E">
        <w:rPr>
          <w:rFonts w:ascii="Arial" w:hAnsi="Arial" w:cs="Arial"/>
          <w:sz w:val="20"/>
          <w:szCs w:val="20"/>
        </w:rPr>
        <w:t xml:space="preserve">to accommodate the South African Police Service (SAPS) </w:t>
      </w:r>
      <w:r w:rsidRPr="00AB088E">
        <w:rPr>
          <w:rFonts w:ascii="Arial" w:hAnsi="Arial" w:cs="Arial"/>
          <w:sz w:val="20"/>
          <w:szCs w:val="20"/>
        </w:rPr>
        <w:t xml:space="preserve">in </w:t>
      </w:r>
      <w:r w:rsidR="009D4DFD" w:rsidRPr="00AB088E">
        <w:rPr>
          <w:rFonts w:ascii="Arial" w:hAnsi="Arial" w:cs="Arial"/>
          <w:sz w:val="20"/>
          <w:szCs w:val="20"/>
        </w:rPr>
        <w:t xml:space="preserve">Pretoria, </w:t>
      </w:r>
      <w:r w:rsidRPr="00AB088E">
        <w:rPr>
          <w:rFonts w:ascii="Arial" w:hAnsi="Arial" w:cs="Arial"/>
          <w:sz w:val="20"/>
          <w:szCs w:val="20"/>
        </w:rPr>
        <w:t>Gauteng</w:t>
      </w:r>
      <w:r w:rsidR="007150BA" w:rsidRPr="00AB088E">
        <w:rPr>
          <w:rFonts w:ascii="Arial" w:hAnsi="Arial" w:cs="Arial"/>
          <w:sz w:val="20"/>
          <w:szCs w:val="20"/>
        </w:rPr>
        <w:t xml:space="preserve">. </w:t>
      </w:r>
    </w:p>
    <w:p w:rsidR="00F20CE3" w:rsidRPr="00AB088E" w:rsidRDefault="007150BA" w:rsidP="00AB088E">
      <w:pPr>
        <w:spacing w:after="0" w:line="240" w:lineRule="auto"/>
        <w:rPr>
          <w:rFonts w:ascii="Arial" w:hAnsi="Arial" w:cs="Arial"/>
          <w:sz w:val="20"/>
          <w:szCs w:val="20"/>
        </w:rPr>
      </w:pPr>
      <w:r w:rsidRPr="00AB088E">
        <w:rPr>
          <w:rFonts w:ascii="Arial" w:hAnsi="Arial" w:cs="Arial"/>
          <w:sz w:val="20"/>
          <w:szCs w:val="20"/>
        </w:rPr>
        <w:t xml:space="preserve">The aim was </w:t>
      </w:r>
      <w:r w:rsidR="00AC2FDA" w:rsidRPr="00AB088E">
        <w:rPr>
          <w:rFonts w:ascii="Arial" w:hAnsi="Arial" w:cs="Arial"/>
          <w:sz w:val="20"/>
          <w:szCs w:val="20"/>
        </w:rPr>
        <w:t xml:space="preserve">to gather </w:t>
      </w:r>
      <w:r w:rsidRPr="00AB088E">
        <w:rPr>
          <w:rFonts w:ascii="Arial" w:hAnsi="Arial" w:cs="Arial"/>
          <w:sz w:val="20"/>
          <w:szCs w:val="20"/>
        </w:rPr>
        <w:t xml:space="preserve">first-hand </w:t>
      </w:r>
      <w:r w:rsidR="00AC2FDA" w:rsidRPr="00AB088E">
        <w:rPr>
          <w:rFonts w:ascii="Arial" w:hAnsi="Arial" w:cs="Arial"/>
          <w:sz w:val="20"/>
          <w:szCs w:val="20"/>
        </w:rPr>
        <w:t xml:space="preserve">knowledge of the </w:t>
      </w:r>
      <w:r w:rsidR="009B069C" w:rsidRPr="00AB088E">
        <w:rPr>
          <w:rFonts w:ascii="Arial" w:hAnsi="Arial" w:cs="Arial"/>
          <w:sz w:val="20"/>
          <w:szCs w:val="20"/>
        </w:rPr>
        <w:t>challenges experienced</w:t>
      </w:r>
      <w:r w:rsidR="00C01AF8" w:rsidRPr="00AB088E">
        <w:rPr>
          <w:rFonts w:ascii="Arial" w:hAnsi="Arial" w:cs="Arial"/>
          <w:sz w:val="20"/>
          <w:szCs w:val="20"/>
        </w:rPr>
        <w:t xml:space="preserve"> that might have </w:t>
      </w:r>
      <w:r w:rsidR="00506186" w:rsidRPr="00AB088E">
        <w:rPr>
          <w:rFonts w:ascii="Arial" w:hAnsi="Arial" w:cs="Arial"/>
          <w:sz w:val="20"/>
          <w:szCs w:val="20"/>
        </w:rPr>
        <w:t>caused delays</w:t>
      </w:r>
      <w:r w:rsidR="009B069C" w:rsidRPr="00AB088E">
        <w:rPr>
          <w:rFonts w:ascii="Arial" w:hAnsi="Arial" w:cs="Arial"/>
          <w:sz w:val="20"/>
          <w:szCs w:val="20"/>
        </w:rPr>
        <w:t xml:space="preserve"> </w:t>
      </w:r>
      <w:r w:rsidR="00C01AF8" w:rsidRPr="00AB088E">
        <w:rPr>
          <w:rFonts w:ascii="Arial" w:hAnsi="Arial" w:cs="Arial"/>
          <w:sz w:val="20"/>
          <w:szCs w:val="20"/>
        </w:rPr>
        <w:t xml:space="preserve">in completing the </w:t>
      </w:r>
      <w:r w:rsidR="00897848" w:rsidRPr="00AB088E">
        <w:rPr>
          <w:rFonts w:ascii="Arial" w:hAnsi="Arial" w:cs="Arial"/>
          <w:sz w:val="20"/>
          <w:szCs w:val="20"/>
        </w:rPr>
        <w:t>refurbishment</w:t>
      </w:r>
      <w:r w:rsidR="00C01AF8" w:rsidRPr="00AB088E">
        <w:rPr>
          <w:rFonts w:ascii="Arial" w:hAnsi="Arial" w:cs="Arial"/>
          <w:sz w:val="20"/>
          <w:szCs w:val="20"/>
        </w:rPr>
        <w:t xml:space="preserve"> of the Telkom Towers</w:t>
      </w:r>
      <w:r w:rsidR="00897848" w:rsidRPr="00AB088E">
        <w:rPr>
          <w:rFonts w:ascii="Arial" w:hAnsi="Arial" w:cs="Arial"/>
          <w:sz w:val="20"/>
          <w:szCs w:val="20"/>
        </w:rPr>
        <w:t xml:space="preserve">. </w:t>
      </w:r>
      <w:r w:rsidR="00C01AF8" w:rsidRPr="00AB088E">
        <w:rPr>
          <w:rFonts w:ascii="Arial" w:hAnsi="Arial" w:cs="Arial"/>
          <w:sz w:val="20"/>
          <w:szCs w:val="20"/>
        </w:rPr>
        <w:t xml:space="preserve">This oversight visit was a follow-up on a previous visit to the project </w:t>
      </w:r>
      <w:r w:rsidR="001414FA" w:rsidRPr="00AB088E">
        <w:rPr>
          <w:rFonts w:ascii="Arial" w:hAnsi="Arial" w:cs="Arial"/>
          <w:sz w:val="20"/>
          <w:szCs w:val="20"/>
        </w:rPr>
        <w:t xml:space="preserve">(2019) </w:t>
      </w:r>
      <w:r w:rsidR="00C01AF8" w:rsidRPr="00AB088E">
        <w:rPr>
          <w:rFonts w:ascii="Arial" w:hAnsi="Arial" w:cs="Arial"/>
          <w:sz w:val="20"/>
          <w:szCs w:val="20"/>
        </w:rPr>
        <w:t xml:space="preserve">and a meeting held on 8 June 2022 to get an update on progress with the project. </w:t>
      </w:r>
      <w:r w:rsidR="009B069C" w:rsidRPr="00AB088E">
        <w:rPr>
          <w:rFonts w:ascii="Arial" w:hAnsi="Arial" w:cs="Arial"/>
          <w:sz w:val="20"/>
          <w:szCs w:val="20"/>
        </w:rPr>
        <w:t xml:space="preserve"> </w:t>
      </w:r>
      <w:r w:rsidR="001414FA" w:rsidRPr="00AB088E">
        <w:rPr>
          <w:rFonts w:ascii="Arial" w:hAnsi="Arial" w:cs="Arial"/>
          <w:sz w:val="20"/>
          <w:szCs w:val="20"/>
        </w:rPr>
        <w:t xml:space="preserve">During </w:t>
      </w:r>
      <w:r w:rsidR="00506186" w:rsidRPr="00AB088E">
        <w:rPr>
          <w:rFonts w:ascii="Arial" w:hAnsi="Arial" w:cs="Arial"/>
          <w:sz w:val="20"/>
          <w:szCs w:val="20"/>
        </w:rPr>
        <w:t>the 2019</w:t>
      </w:r>
      <w:r w:rsidR="009B069C" w:rsidRPr="00AB088E">
        <w:rPr>
          <w:rFonts w:ascii="Arial" w:hAnsi="Arial" w:cs="Arial"/>
          <w:sz w:val="20"/>
          <w:szCs w:val="20"/>
        </w:rPr>
        <w:t xml:space="preserve"> </w:t>
      </w:r>
      <w:r w:rsidR="001414FA" w:rsidRPr="00AB088E">
        <w:rPr>
          <w:rFonts w:ascii="Arial" w:hAnsi="Arial" w:cs="Arial"/>
          <w:sz w:val="20"/>
          <w:szCs w:val="20"/>
        </w:rPr>
        <w:t xml:space="preserve">oversight visit, </w:t>
      </w:r>
      <w:r w:rsidR="009B069C" w:rsidRPr="00AB088E">
        <w:rPr>
          <w:rFonts w:ascii="Arial" w:hAnsi="Arial" w:cs="Arial"/>
          <w:sz w:val="20"/>
          <w:szCs w:val="20"/>
        </w:rPr>
        <w:t>t</w:t>
      </w:r>
      <w:r w:rsidR="00A665CB" w:rsidRPr="00AB088E">
        <w:rPr>
          <w:rFonts w:ascii="Arial" w:hAnsi="Arial" w:cs="Arial"/>
          <w:sz w:val="20"/>
          <w:szCs w:val="20"/>
        </w:rPr>
        <w:t xml:space="preserve">he Committee </w:t>
      </w:r>
      <w:r w:rsidR="001414FA" w:rsidRPr="00AB088E">
        <w:rPr>
          <w:rFonts w:ascii="Arial" w:hAnsi="Arial" w:cs="Arial"/>
          <w:sz w:val="20"/>
          <w:szCs w:val="20"/>
        </w:rPr>
        <w:t>were told that</w:t>
      </w:r>
      <w:r w:rsidR="009B069C" w:rsidRPr="00AB088E">
        <w:rPr>
          <w:rFonts w:ascii="Arial" w:hAnsi="Arial" w:cs="Arial"/>
          <w:sz w:val="20"/>
          <w:szCs w:val="20"/>
        </w:rPr>
        <w:t xml:space="preserve"> </w:t>
      </w:r>
      <w:r w:rsidR="001414FA" w:rsidRPr="00AB088E">
        <w:rPr>
          <w:rFonts w:ascii="Arial" w:hAnsi="Arial" w:cs="Arial"/>
          <w:sz w:val="20"/>
          <w:szCs w:val="20"/>
        </w:rPr>
        <w:t>the building would be ready in April 2020 for the South African Police Service (SAPS) to move into the Telkom Towers precinct.  The fact that this did not happen means that the</w:t>
      </w:r>
      <w:r w:rsidR="00A665CB" w:rsidRPr="00AB088E">
        <w:rPr>
          <w:rFonts w:ascii="Arial" w:hAnsi="Arial" w:cs="Arial"/>
          <w:sz w:val="20"/>
          <w:szCs w:val="20"/>
        </w:rPr>
        <w:t xml:space="preserve"> recommendations </w:t>
      </w:r>
      <w:r w:rsidR="001414FA" w:rsidRPr="00AB088E">
        <w:rPr>
          <w:rFonts w:ascii="Arial" w:hAnsi="Arial" w:cs="Arial"/>
          <w:sz w:val="20"/>
          <w:szCs w:val="20"/>
        </w:rPr>
        <w:t xml:space="preserve">that was made </w:t>
      </w:r>
      <w:r w:rsidR="00A665CB" w:rsidRPr="00AB088E">
        <w:rPr>
          <w:rFonts w:ascii="Arial" w:hAnsi="Arial" w:cs="Arial"/>
          <w:sz w:val="20"/>
          <w:szCs w:val="20"/>
        </w:rPr>
        <w:t xml:space="preserve">to the DPWI </w:t>
      </w:r>
      <w:r w:rsidR="001414FA" w:rsidRPr="00AB088E">
        <w:rPr>
          <w:rFonts w:ascii="Arial" w:hAnsi="Arial" w:cs="Arial"/>
          <w:sz w:val="20"/>
          <w:szCs w:val="20"/>
        </w:rPr>
        <w:t>remains unimplemented. R</w:t>
      </w:r>
      <w:r w:rsidR="00A665CB" w:rsidRPr="00AB088E">
        <w:rPr>
          <w:rFonts w:ascii="Arial" w:hAnsi="Arial" w:cs="Arial"/>
          <w:sz w:val="20"/>
          <w:szCs w:val="20"/>
        </w:rPr>
        <w:t xml:space="preserve">ealising that challenges </w:t>
      </w:r>
      <w:r w:rsidR="001414FA" w:rsidRPr="00AB088E">
        <w:rPr>
          <w:rFonts w:ascii="Arial" w:hAnsi="Arial" w:cs="Arial"/>
          <w:sz w:val="20"/>
          <w:szCs w:val="20"/>
        </w:rPr>
        <w:t xml:space="preserve">continue to be </w:t>
      </w:r>
      <w:r w:rsidR="00A665CB" w:rsidRPr="00AB088E">
        <w:rPr>
          <w:rFonts w:ascii="Arial" w:hAnsi="Arial" w:cs="Arial"/>
          <w:sz w:val="20"/>
          <w:szCs w:val="20"/>
        </w:rPr>
        <w:t>experience</w:t>
      </w:r>
      <w:r w:rsidR="001414FA" w:rsidRPr="00AB088E">
        <w:rPr>
          <w:rFonts w:ascii="Arial" w:hAnsi="Arial" w:cs="Arial"/>
          <w:sz w:val="20"/>
          <w:szCs w:val="20"/>
        </w:rPr>
        <w:t>d with the refurbishment project</w:t>
      </w:r>
      <w:r w:rsidR="00A665CB" w:rsidRPr="00AB088E">
        <w:rPr>
          <w:rFonts w:ascii="Arial" w:hAnsi="Arial" w:cs="Arial"/>
          <w:sz w:val="20"/>
          <w:szCs w:val="20"/>
        </w:rPr>
        <w:t>, the committee resolved to conduct a follow-up oversight visit to gain an understanding of blockages t</w:t>
      </w:r>
      <w:r w:rsidR="001414FA" w:rsidRPr="00AB088E">
        <w:rPr>
          <w:rFonts w:ascii="Arial" w:hAnsi="Arial" w:cs="Arial"/>
          <w:sz w:val="20"/>
          <w:szCs w:val="20"/>
        </w:rPr>
        <w:t>hat prevent</w:t>
      </w:r>
      <w:r w:rsidR="00A665CB" w:rsidRPr="00AB088E">
        <w:rPr>
          <w:rFonts w:ascii="Arial" w:hAnsi="Arial" w:cs="Arial"/>
          <w:sz w:val="20"/>
          <w:szCs w:val="20"/>
        </w:rPr>
        <w:t xml:space="preserve"> the success</w:t>
      </w:r>
      <w:r w:rsidR="001414FA" w:rsidRPr="00AB088E">
        <w:rPr>
          <w:rFonts w:ascii="Arial" w:hAnsi="Arial" w:cs="Arial"/>
          <w:sz w:val="20"/>
          <w:szCs w:val="20"/>
        </w:rPr>
        <w:t xml:space="preserve">ful </w:t>
      </w:r>
      <w:r w:rsidR="00506186" w:rsidRPr="00AB088E">
        <w:rPr>
          <w:rFonts w:ascii="Arial" w:hAnsi="Arial" w:cs="Arial"/>
          <w:sz w:val="20"/>
          <w:szCs w:val="20"/>
        </w:rPr>
        <w:t>completion of</w:t>
      </w:r>
      <w:r w:rsidR="00A665CB" w:rsidRPr="00AB088E">
        <w:rPr>
          <w:rFonts w:ascii="Arial" w:hAnsi="Arial" w:cs="Arial"/>
          <w:sz w:val="20"/>
          <w:szCs w:val="20"/>
        </w:rPr>
        <w:t xml:space="preserve"> the project.</w:t>
      </w:r>
    </w:p>
    <w:p w:rsidR="00A665CB" w:rsidRPr="00AB088E" w:rsidRDefault="00A665CB" w:rsidP="00AB088E">
      <w:pPr>
        <w:spacing w:after="0" w:line="240" w:lineRule="auto"/>
        <w:rPr>
          <w:rFonts w:ascii="Arial" w:hAnsi="Arial" w:cs="Arial"/>
          <w:sz w:val="20"/>
          <w:szCs w:val="20"/>
        </w:rPr>
      </w:pPr>
    </w:p>
    <w:p w:rsidR="009B069C" w:rsidRPr="00AB088E" w:rsidRDefault="00D25DED" w:rsidP="00AB088E">
      <w:pPr>
        <w:pStyle w:val="Heading1"/>
        <w:spacing w:before="0" w:after="0" w:line="240" w:lineRule="auto"/>
        <w:jc w:val="left"/>
        <w:rPr>
          <w:rFonts w:ascii="Arial" w:hAnsi="Arial" w:cs="Arial"/>
          <w:sz w:val="20"/>
          <w:szCs w:val="20"/>
        </w:rPr>
      </w:pPr>
      <w:r w:rsidRPr="00AB088E">
        <w:rPr>
          <w:rFonts w:ascii="Arial" w:hAnsi="Arial" w:cs="Arial"/>
          <w:sz w:val="20"/>
          <w:szCs w:val="20"/>
        </w:rPr>
        <w:t>MANDATES AND FUNCTIONS</w:t>
      </w:r>
    </w:p>
    <w:p w:rsidR="00EF74A5" w:rsidRPr="00AB088E" w:rsidRDefault="00EF74A5" w:rsidP="00AB088E">
      <w:pPr>
        <w:spacing w:after="0" w:line="240" w:lineRule="auto"/>
        <w:rPr>
          <w:rFonts w:ascii="Arial" w:hAnsi="Arial" w:cs="Arial"/>
          <w:sz w:val="20"/>
          <w:szCs w:val="20"/>
        </w:rPr>
      </w:pPr>
    </w:p>
    <w:p w:rsidR="005F1319" w:rsidRPr="00AB088E" w:rsidRDefault="005F1319" w:rsidP="00AB088E">
      <w:pPr>
        <w:pStyle w:val="Heading2"/>
        <w:spacing w:before="0" w:line="240" w:lineRule="auto"/>
        <w:rPr>
          <w:rFonts w:ascii="Arial" w:hAnsi="Arial" w:cs="Arial"/>
          <w:sz w:val="20"/>
          <w:szCs w:val="20"/>
        </w:rPr>
      </w:pPr>
      <w:r w:rsidRPr="00AB088E">
        <w:rPr>
          <w:rFonts w:ascii="Arial" w:hAnsi="Arial" w:cs="Arial"/>
          <w:sz w:val="20"/>
          <w:szCs w:val="20"/>
        </w:rPr>
        <w:t xml:space="preserve">The Mandate of the DPWI - the relationship with the PMTE </w:t>
      </w:r>
    </w:p>
    <w:p w:rsidR="00EF74A5" w:rsidRPr="00AB088E" w:rsidRDefault="00EF74A5" w:rsidP="00AB088E">
      <w:pPr>
        <w:spacing w:after="0" w:line="240" w:lineRule="auto"/>
        <w:rPr>
          <w:rFonts w:ascii="Arial" w:hAnsi="Arial" w:cs="Arial"/>
          <w:sz w:val="20"/>
          <w:szCs w:val="20"/>
        </w:rPr>
      </w:pPr>
    </w:p>
    <w:p w:rsidR="00750C96" w:rsidRPr="00AB088E" w:rsidRDefault="00750C96" w:rsidP="00AB088E">
      <w:pPr>
        <w:spacing w:after="0" w:line="240" w:lineRule="auto"/>
        <w:rPr>
          <w:rFonts w:ascii="Arial" w:hAnsi="Arial" w:cs="Arial"/>
          <w:sz w:val="20"/>
          <w:szCs w:val="20"/>
        </w:rPr>
      </w:pPr>
      <w:r w:rsidRPr="00AB088E">
        <w:rPr>
          <w:rFonts w:ascii="Arial" w:hAnsi="Arial" w:cs="Arial"/>
          <w:sz w:val="20"/>
          <w:szCs w:val="20"/>
          <w:lang w:val="en-US"/>
        </w:rPr>
        <w:t xml:space="preserve">The </w:t>
      </w:r>
      <w:r w:rsidRPr="00AB088E">
        <w:rPr>
          <w:rFonts w:ascii="Arial" w:hAnsi="Arial" w:cs="Arial"/>
          <w:sz w:val="20"/>
          <w:szCs w:val="20"/>
        </w:rPr>
        <w:t xml:space="preserve">DPWI is the custodian and manager of governments’ immovable assets. This includes the acquisition, maintenance and disposal of such assets. The DPWI is further responsible for the determination of accommodation requirements, and rendering expert built environment services to client departments. </w:t>
      </w:r>
    </w:p>
    <w:p w:rsidR="00BE3C65" w:rsidRPr="00AB088E" w:rsidRDefault="00750C96" w:rsidP="00AB088E">
      <w:pPr>
        <w:spacing w:after="0" w:line="240" w:lineRule="auto"/>
        <w:rPr>
          <w:rFonts w:ascii="Arial" w:hAnsi="Arial" w:cs="Arial"/>
          <w:sz w:val="20"/>
          <w:szCs w:val="20"/>
          <w:lang w:val="en-US"/>
        </w:rPr>
      </w:pPr>
      <w:r w:rsidRPr="00AB088E">
        <w:rPr>
          <w:rFonts w:ascii="Arial" w:hAnsi="Arial" w:cs="Arial"/>
          <w:sz w:val="20"/>
          <w:szCs w:val="20"/>
        </w:rPr>
        <w:t>As part of the turnaround strategy that started in 2011/12, the former Department of Public Works (DPW) operationalized the Property Management and Trading Entity (PMTE) in the 2014/15 financial year as an internal component within the Department. With this establishment, the responsibility for the Immovable Asset Register, and the key tasks of the DPWI as the custodian and landlord of state property were transferred from the DPWI to the PMTE.</w:t>
      </w:r>
      <w:r w:rsidRPr="00AB088E">
        <w:rPr>
          <w:rFonts w:ascii="Arial" w:hAnsi="Arial" w:cs="Arial"/>
          <w:sz w:val="20"/>
          <w:szCs w:val="20"/>
          <w:lang w:val="en-US"/>
        </w:rPr>
        <w:t xml:space="preserve"> </w:t>
      </w:r>
    </w:p>
    <w:p w:rsidR="005C7959" w:rsidRPr="00AB088E" w:rsidRDefault="00BE3C65" w:rsidP="00AB088E">
      <w:pPr>
        <w:spacing w:after="0" w:line="240" w:lineRule="auto"/>
        <w:rPr>
          <w:rFonts w:ascii="Arial" w:hAnsi="Arial" w:cs="Arial"/>
          <w:sz w:val="20"/>
          <w:szCs w:val="20"/>
        </w:rPr>
      </w:pPr>
      <w:r w:rsidRPr="00AB088E">
        <w:rPr>
          <w:rFonts w:ascii="Arial" w:hAnsi="Arial" w:cs="Arial"/>
          <w:sz w:val="20"/>
          <w:szCs w:val="20"/>
          <w:lang w:val="en-US"/>
        </w:rPr>
        <w:t xml:space="preserve">After the </w:t>
      </w:r>
      <w:r w:rsidR="00EF74A5" w:rsidRPr="00AB088E">
        <w:rPr>
          <w:rFonts w:ascii="Arial" w:hAnsi="Arial" w:cs="Arial"/>
          <w:sz w:val="20"/>
          <w:szCs w:val="20"/>
          <w:lang w:val="en-US"/>
        </w:rPr>
        <w:t>operationalization</w:t>
      </w:r>
      <w:r w:rsidRPr="00AB088E">
        <w:rPr>
          <w:rFonts w:ascii="Arial" w:hAnsi="Arial" w:cs="Arial"/>
          <w:sz w:val="20"/>
          <w:szCs w:val="20"/>
          <w:lang w:val="en-US"/>
        </w:rPr>
        <w:t xml:space="preserve"> of the PMTE, </w:t>
      </w:r>
      <w:r w:rsidRPr="00AB088E">
        <w:rPr>
          <w:rFonts w:ascii="Arial" w:hAnsi="Arial" w:cs="Arial"/>
          <w:sz w:val="20"/>
          <w:szCs w:val="20"/>
        </w:rPr>
        <w:t>t</w:t>
      </w:r>
      <w:r w:rsidR="00F20CE3" w:rsidRPr="00AB088E">
        <w:rPr>
          <w:rFonts w:ascii="Arial" w:hAnsi="Arial" w:cs="Arial"/>
          <w:sz w:val="20"/>
          <w:szCs w:val="20"/>
        </w:rPr>
        <w:t xml:space="preserve">he DPWI has the responsibility for developing policy and regulations to ensure standards and uniformity in the public works, infrastructure, construction, and professional built environment sector. </w:t>
      </w:r>
    </w:p>
    <w:p w:rsidR="00AC2FDA" w:rsidRPr="00AB088E" w:rsidRDefault="00AC2FDA" w:rsidP="00AB088E">
      <w:pPr>
        <w:spacing w:after="0" w:line="240" w:lineRule="auto"/>
        <w:rPr>
          <w:rFonts w:ascii="Arial" w:hAnsi="Arial" w:cs="Arial"/>
          <w:sz w:val="20"/>
          <w:szCs w:val="20"/>
          <w:lang w:val="en-US"/>
        </w:rPr>
      </w:pPr>
      <w:r w:rsidRPr="00AB088E">
        <w:rPr>
          <w:rFonts w:ascii="Arial" w:hAnsi="Arial" w:cs="Arial"/>
          <w:sz w:val="20"/>
          <w:szCs w:val="20"/>
          <w:lang w:val="en-US"/>
        </w:rPr>
        <w:t xml:space="preserve">The </w:t>
      </w:r>
      <w:r w:rsidR="009B1FAE" w:rsidRPr="00AB088E">
        <w:rPr>
          <w:rFonts w:ascii="Arial" w:hAnsi="Arial" w:cs="Arial"/>
          <w:sz w:val="20"/>
          <w:szCs w:val="20"/>
          <w:lang w:val="en-US"/>
        </w:rPr>
        <w:t xml:space="preserve">Constitution, including Schedule 4 (that describes public works as a concurrent function), the </w:t>
      </w:r>
      <w:r w:rsidRPr="00AB088E">
        <w:rPr>
          <w:rFonts w:ascii="Arial" w:hAnsi="Arial" w:cs="Arial"/>
          <w:sz w:val="20"/>
          <w:szCs w:val="20"/>
          <w:lang w:val="en-US"/>
        </w:rPr>
        <w:t>Public Finance Management Act (PFMA</w:t>
      </w:r>
      <w:r w:rsidR="00536345" w:rsidRPr="00AB088E">
        <w:rPr>
          <w:rFonts w:ascii="Arial" w:hAnsi="Arial" w:cs="Arial"/>
          <w:sz w:val="20"/>
          <w:szCs w:val="20"/>
          <w:lang w:val="en-US"/>
        </w:rPr>
        <w:t>, Act 1 of 1999</w:t>
      </w:r>
      <w:r w:rsidRPr="00AB088E">
        <w:rPr>
          <w:rFonts w:ascii="Arial" w:hAnsi="Arial" w:cs="Arial"/>
          <w:sz w:val="20"/>
          <w:szCs w:val="20"/>
          <w:lang w:val="en-US"/>
        </w:rPr>
        <w:t xml:space="preserve">) and the respective Acts of the Independent Development Trust, Agrément South Africa, Construction Industry Development Board, and Council for the Built Environment, describes the </w:t>
      </w:r>
      <w:r w:rsidR="00D25DED" w:rsidRPr="00AB088E">
        <w:rPr>
          <w:rFonts w:ascii="Arial" w:hAnsi="Arial" w:cs="Arial"/>
          <w:sz w:val="20"/>
          <w:szCs w:val="20"/>
          <w:lang w:val="en-US"/>
        </w:rPr>
        <w:t xml:space="preserve">mandate, and </w:t>
      </w:r>
      <w:r w:rsidRPr="00AB088E">
        <w:rPr>
          <w:rFonts w:ascii="Arial" w:hAnsi="Arial" w:cs="Arial"/>
          <w:sz w:val="20"/>
          <w:szCs w:val="20"/>
          <w:lang w:val="en-US"/>
        </w:rPr>
        <w:t>regulatory and governance relationship between the entities</w:t>
      </w:r>
      <w:r w:rsidR="00717AC8" w:rsidRPr="00AB088E">
        <w:rPr>
          <w:rFonts w:ascii="Arial" w:hAnsi="Arial" w:cs="Arial"/>
          <w:sz w:val="20"/>
          <w:szCs w:val="20"/>
          <w:lang w:val="en-US"/>
        </w:rPr>
        <w:t>,</w:t>
      </w:r>
      <w:r w:rsidRPr="00AB088E">
        <w:rPr>
          <w:rFonts w:ascii="Arial" w:hAnsi="Arial" w:cs="Arial"/>
          <w:sz w:val="20"/>
          <w:szCs w:val="20"/>
          <w:lang w:val="en-US"/>
        </w:rPr>
        <w:t xml:space="preserve"> </w:t>
      </w:r>
      <w:r w:rsidR="00717AC8" w:rsidRPr="00AB088E">
        <w:rPr>
          <w:rFonts w:ascii="Arial" w:hAnsi="Arial" w:cs="Arial"/>
          <w:sz w:val="20"/>
          <w:szCs w:val="20"/>
          <w:lang w:val="en-US"/>
        </w:rPr>
        <w:t xml:space="preserve">the DPWI </w:t>
      </w:r>
      <w:r w:rsidRPr="00AB088E">
        <w:rPr>
          <w:rFonts w:ascii="Arial" w:hAnsi="Arial" w:cs="Arial"/>
          <w:sz w:val="20"/>
          <w:szCs w:val="20"/>
          <w:lang w:val="en-US"/>
        </w:rPr>
        <w:t xml:space="preserve">and the Minister. </w:t>
      </w:r>
    </w:p>
    <w:p w:rsidR="00AC2FDA" w:rsidRPr="00AB088E" w:rsidRDefault="00AC2FDA" w:rsidP="00AB088E">
      <w:pPr>
        <w:spacing w:after="0" w:line="240" w:lineRule="auto"/>
        <w:rPr>
          <w:rFonts w:ascii="Arial" w:hAnsi="Arial" w:cs="Arial"/>
          <w:sz w:val="20"/>
          <w:szCs w:val="20"/>
        </w:rPr>
      </w:pPr>
      <w:r w:rsidRPr="00AB088E">
        <w:rPr>
          <w:rFonts w:ascii="Arial" w:hAnsi="Arial" w:cs="Arial"/>
          <w:sz w:val="20"/>
          <w:szCs w:val="20"/>
        </w:rPr>
        <w:t xml:space="preserve">Since the PMTE has taken over the core functions related to the </w:t>
      </w:r>
      <w:r w:rsidR="00B96316" w:rsidRPr="00AB088E">
        <w:rPr>
          <w:rFonts w:ascii="Arial" w:hAnsi="Arial" w:cs="Arial"/>
          <w:sz w:val="20"/>
          <w:szCs w:val="20"/>
        </w:rPr>
        <w:t>Government Immovable Asset Management Act (</w:t>
      </w:r>
      <w:r w:rsidRPr="00AB088E">
        <w:rPr>
          <w:rFonts w:ascii="Arial" w:hAnsi="Arial" w:cs="Arial"/>
          <w:sz w:val="20"/>
          <w:szCs w:val="20"/>
        </w:rPr>
        <w:t>GIAMA</w:t>
      </w:r>
      <w:r w:rsidR="003E73D4" w:rsidRPr="00AB088E">
        <w:rPr>
          <w:rFonts w:ascii="Arial" w:hAnsi="Arial" w:cs="Arial"/>
          <w:sz w:val="20"/>
          <w:szCs w:val="20"/>
        </w:rPr>
        <w:t xml:space="preserve">, </w:t>
      </w:r>
      <w:r w:rsidR="00B96316" w:rsidRPr="00AB088E">
        <w:rPr>
          <w:rFonts w:ascii="Arial" w:hAnsi="Arial" w:cs="Arial"/>
          <w:sz w:val="20"/>
          <w:szCs w:val="20"/>
        </w:rPr>
        <w:t>2007)</w:t>
      </w:r>
      <w:r w:rsidRPr="00AB088E">
        <w:rPr>
          <w:rFonts w:ascii="Arial" w:hAnsi="Arial" w:cs="Arial"/>
          <w:sz w:val="20"/>
          <w:szCs w:val="20"/>
        </w:rPr>
        <w:t>, it exercises a property management, maintenance and trading function in respect of government properties. While in the past, the DPW</w:t>
      </w:r>
      <w:r w:rsidR="005C7959" w:rsidRPr="00AB088E">
        <w:rPr>
          <w:rFonts w:ascii="Arial" w:hAnsi="Arial" w:cs="Arial"/>
          <w:sz w:val="20"/>
          <w:szCs w:val="20"/>
        </w:rPr>
        <w:t>I</w:t>
      </w:r>
      <w:r w:rsidRPr="00AB088E">
        <w:rPr>
          <w:rFonts w:ascii="Arial" w:hAnsi="Arial" w:cs="Arial"/>
          <w:sz w:val="20"/>
          <w:szCs w:val="20"/>
        </w:rPr>
        <w:t xml:space="preserve"> acted as regulator as well as property manager of government immovable assets, since undergoing a turnaround strategy from 20</w:t>
      </w:r>
      <w:r w:rsidR="005F1319" w:rsidRPr="00AB088E">
        <w:rPr>
          <w:rFonts w:ascii="Arial" w:hAnsi="Arial" w:cs="Arial"/>
          <w:sz w:val="20"/>
          <w:szCs w:val="20"/>
        </w:rPr>
        <w:t>11/</w:t>
      </w:r>
      <w:r w:rsidRPr="00AB088E">
        <w:rPr>
          <w:rFonts w:ascii="Arial" w:hAnsi="Arial" w:cs="Arial"/>
          <w:sz w:val="20"/>
          <w:szCs w:val="20"/>
        </w:rPr>
        <w:t xml:space="preserve">12 onwards, the function of property management, maintenance and trading has been devolved to the PMTE. As custodian of vast immovable assets, there is substantial opportunity to generate income and the PMTE would be responsible for this aspect of the public works function of government. This aspect lagged behind for many years due to the incompleteness of the Government </w:t>
      </w:r>
      <w:r w:rsidRPr="00AB088E">
        <w:rPr>
          <w:rFonts w:ascii="Arial" w:hAnsi="Arial" w:cs="Arial"/>
          <w:sz w:val="20"/>
          <w:szCs w:val="20"/>
        </w:rPr>
        <w:lastRenderedPageBreak/>
        <w:t>Immovable Asset Register (GIAR) that is managed by the DPW</w:t>
      </w:r>
      <w:r w:rsidRPr="00AB088E">
        <w:rPr>
          <w:rStyle w:val="FootnoteReference"/>
          <w:rFonts w:ascii="Arial" w:hAnsi="Arial" w:cs="Arial"/>
          <w:sz w:val="20"/>
          <w:szCs w:val="20"/>
        </w:rPr>
        <w:footnoteReference w:id="1"/>
      </w:r>
      <w:r w:rsidRPr="00AB088E">
        <w:rPr>
          <w:rFonts w:ascii="Arial" w:hAnsi="Arial" w:cs="Arial"/>
          <w:sz w:val="20"/>
          <w:szCs w:val="20"/>
        </w:rPr>
        <w:t xml:space="preserve"> as regulator and custodian department.</w:t>
      </w:r>
    </w:p>
    <w:p w:rsidR="00EF74A5" w:rsidRPr="00AB088E" w:rsidRDefault="00EF74A5" w:rsidP="00AB088E">
      <w:pPr>
        <w:spacing w:after="0" w:line="240" w:lineRule="auto"/>
        <w:rPr>
          <w:rFonts w:ascii="Arial" w:hAnsi="Arial" w:cs="Arial"/>
          <w:sz w:val="20"/>
          <w:szCs w:val="20"/>
        </w:rPr>
      </w:pPr>
    </w:p>
    <w:p w:rsidR="005F1319" w:rsidRPr="00AB088E" w:rsidRDefault="00302F78" w:rsidP="00AB088E">
      <w:pPr>
        <w:pStyle w:val="Heading2"/>
        <w:spacing w:before="0" w:line="240" w:lineRule="auto"/>
        <w:rPr>
          <w:rFonts w:ascii="Arial" w:hAnsi="Arial" w:cs="Arial"/>
          <w:sz w:val="20"/>
          <w:szCs w:val="20"/>
        </w:rPr>
      </w:pPr>
      <w:r w:rsidRPr="00AB088E">
        <w:rPr>
          <w:rFonts w:ascii="Arial" w:hAnsi="Arial" w:cs="Arial"/>
          <w:sz w:val="20"/>
          <w:szCs w:val="20"/>
        </w:rPr>
        <w:t>The Mandate o</w:t>
      </w:r>
      <w:r w:rsidR="005F1319" w:rsidRPr="00AB088E">
        <w:rPr>
          <w:rFonts w:ascii="Arial" w:hAnsi="Arial" w:cs="Arial"/>
          <w:sz w:val="20"/>
          <w:szCs w:val="20"/>
        </w:rPr>
        <w:t xml:space="preserve">f </w:t>
      </w:r>
      <w:r w:rsidR="00BA327C" w:rsidRPr="00AB088E">
        <w:rPr>
          <w:rFonts w:ascii="Arial" w:hAnsi="Arial" w:cs="Arial"/>
          <w:sz w:val="20"/>
          <w:szCs w:val="20"/>
        </w:rPr>
        <w:t>the</w:t>
      </w:r>
      <w:r w:rsidR="005F1319" w:rsidRPr="00AB088E">
        <w:rPr>
          <w:rFonts w:ascii="Arial" w:hAnsi="Arial" w:cs="Arial"/>
          <w:sz w:val="20"/>
          <w:szCs w:val="20"/>
        </w:rPr>
        <w:t xml:space="preserve"> Portfolio Committee </w:t>
      </w:r>
      <w:r w:rsidR="00D4003A" w:rsidRPr="00AB088E">
        <w:rPr>
          <w:rFonts w:ascii="Arial" w:hAnsi="Arial" w:cs="Arial"/>
          <w:sz w:val="20"/>
          <w:szCs w:val="20"/>
        </w:rPr>
        <w:t>on</w:t>
      </w:r>
      <w:r w:rsidR="005F1319" w:rsidRPr="00AB088E">
        <w:rPr>
          <w:rFonts w:ascii="Arial" w:hAnsi="Arial" w:cs="Arial"/>
          <w:sz w:val="20"/>
          <w:szCs w:val="20"/>
        </w:rPr>
        <w:t xml:space="preserve"> Public Works</w:t>
      </w:r>
      <w:r w:rsidR="00EF74A5" w:rsidRPr="00AB088E">
        <w:rPr>
          <w:rFonts w:ascii="Arial" w:hAnsi="Arial" w:cs="Arial"/>
          <w:sz w:val="20"/>
          <w:szCs w:val="20"/>
        </w:rPr>
        <w:t xml:space="preserve"> and Infrastructure</w:t>
      </w:r>
    </w:p>
    <w:p w:rsidR="009B069C" w:rsidRPr="00AB088E" w:rsidRDefault="009B069C" w:rsidP="00AB088E">
      <w:pPr>
        <w:spacing w:after="0" w:line="240" w:lineRule="auto"/>
        <w:rPr>
          <w:rFonts w:ascii="Arial" w:hAnsi="Arial" w:cs="Arial"/>
          <w:sz w:val="20"/>
          <w:szCs w:val="20"/>
        </w:rPr>
      </w:pPr>
    </w:p>
    <w:p w:rsidR="005F1319" w:rsidRPr="00AB088E" w:rsidRDefault="005F1319" w:rsidP="00AB088E">
      <w:pPr>
        <w:spacing w:after="0" w:line="240" w:lineRule="auto"/>
        <w:rPr>
          <w:rFonts w:ascii="Arial" w:hAnsi="Arial" w:cs="Arial"/>
          <w:sz w:val="20"/>
          <w:szCs w:val="20"/>
          <w:lang w:val="en-US"/>
        </w:rPr>
      </w:pPr>
      <w:r w:rsidRPr="00AB088E">
        <w:rPr>
          <w:rFonts w:ascii="Arial" w:hAnsi="Arial" w:cs="Arial"/>
          <w:sz w:val="20"/>
          <w:szCs w:val="20"/>
        </w:rPr>
        <w:t xml:space="preserve">The </w:t>
      </w:r>
      <w:r w:rsidRPr="00AB088E">
        <w:rPr>
          <w:rFonts w:ascii="Arial" w:hAnsi="Arial" w:cs="Arial"/>
          <w:sz w:val="20"/>
          <w:szCs w:val="20"/>
          <w:lang w:val="en-US"/>
        </w:rPr>
        <w:t>Committee does oversight over the programmatic deliverables of the Department of Public Works and Infrastructure (DPWI) and its entities to implement the policies made by the Minister of Public Works as per the mandate of the DPW. The Constitution, and Government Immovable Management Act (GIAMA, Act 19 of 2007), describes the mandate of the DPWI.</w:t>
      </w:r>
    </w:p>
    <w:p w:rsidR="005F1319" w:rsidRPr="00AB088E" w:rsidRDefault="005F1319" w:rsidP="00AB088E">
      <w:pPr>
        <w:spacing w:after="0" w:line="240" w:lineRule="auto"/>
        <w:rPr>
          <w:rFonts w:ascii="Arial" w:hAnsi="Arial" w:cs="Arial"/>
          <w:sz w:val="20"/>
          <w:szCs w:val="20"/>
        </w:rPr>
      </w:pPr>
    </w:p>
    <w:p w:rsidR="00AC2FDA" w:rsidRPr="00AB088E" w:rsidRDefault="005F1319" w:rsidP="00AB088E">
      <w:pPr>
        <w:pStyle w:val="Heading1"/>
        <w:spacing w:before="0" w:after="0" w:line="240" w:lineRule="auto"/>
        <w:jc w:val="left"/>
        <w:rPr>
          <w:rFonts w:ascii="Arial" w:hAnsi="Arial" w:cs="Arial"/>
          <w:sz w:val="20"/>
          <w:szCs w:val="20"/>
        </w:rPr>
      </w:pPr>
      <w:r w:rsidRPr="00AB088E">
        <w:rPr>
          <w:rFonts w:ascii="Arial" w:hAnsi="Arial" w:cs="Arial"/>
          <w:sz w:val="20"/>
          <w:szCs w:val="20"/>
        </w:rPr>
        <w:t>PURPOSE OF THE OVERS</w:t>
      </w:r>
      <w:r w:rsidR="00F24A8B" w:rsidRPr="00AB088E">
        <w:rPr>
          <w:rFonts w:ascii="Arial" w:hAnsi="Arial" w:cs="Arial"/>
          <w:sz w:val="20"/>
          <w:szCs w:val="20"/>
        </w:rPr>
        <w:t>IGHT VISIT</w:t>
      </w:r>
    </w:p>
    <w:p w:rsidR="00F24A8B" w:rsidRPr="00AB088E" w:rsidRDefault="00F24A8B" w:rsidP="00AB088E">
      <w:pPr>
        <w:tabs>
          <w:tab w:val="left" w:pos="709"/>
          <w:tab w:val="left" w:pos="3960"/>
        </w:tabs>
        <w:spacing w:after="0" w:line="240" w:lineRule="auto"/>
        <w:rPr>
          <w:rFonts w:ascii="Arial" w:hAnsi="Arial" w:cs="Arial"/>
          <w:b/>
          <w:sz w:val="20"/>
          <w:szCs w:val="20"/>
        </w:rPr>
      </w:pPr>
    </w:p>
    <w:p w:rsidR="00AC2FDA" w:rsidRPr="00AB088E" w:rsidRDefault="00AC2FDA" w:rsidP="00AB088E">
      <w:pPr>
        <w:tabs>
          <w:tab w:val="left" w:pos="3960"/>
        </w:tabs>
        <w:spacing w:after="0" w:line="240" w:lineRule="auto"/>
        <w:rPr>
          <w:rFonts w:ascii="Arial" w:hAnsi="Arial" w:cs="Arial"/>
          <w:sz w:val="20"/>
          <w:szCs w:val="20"/>
        </w:rPr>
      </w:pPr>
      <w:r w:rsidRPr="00AB088E">
        <w:rPr>
          <w:rFonts w:ascii="Arial" w:hAnsi="Arial" w:cs="Arial"/>
          <w:sz w:val="20"/>
          <w:szCs w:val="20"/>
        </w:rPr>
        <w:t xml:space="preserve">The main purpose </w:t>
      </w:r>
      <w:r w:rsidR="00F24A8B" w:rsidRPr="00AB088E">
        <w:rPr>
          <w:rFonts w:ascii="Arial" w:hAnsi="Arial" w:cs="Arial"/>
          <w:sz w:val="20"/>
          <w:szCs w:val="20"/>
        </w:rPr>
        <w:t xml:space="preserve">of the oversight visit was to oversee the work </w:t>
      </w:r>
      <w:r w:rsidR="004E45C8" w:rsidRPr="00AB088E">
        <w:rPr>
          <w:rFonts w:ascii="Arial" w:hAnsi="Arial" w:cs="Arial"/>
          <w:sz w:val="20"/>
          <w:szCs w:val="20"/>
        </w:rPr>
        <w:t xml:space="preserve">of </w:t>
      </w:r>
      <w:r w:rsidR="00F24A8B" w:rsidRPr="00AB088E">
        <w:rPr>
          <w:rFonts w:ascii="Arial" w:hAnsi="Arial" w:cs="Arial"/>
          <w:sz w:val="20"/>
          <w:szCs w:val="20"/>
        </w:rPr>
        <w:t xml:space="preserve">the DPWI/PMTE </w:t>
      </w:r>
      <w:r w:rsidR="004E45C8" w:rsidRPr="00AB088E">
        <w:rPr>
          <w:rFonts w:ascii="Arial" w:hAnsi="Arial" w:cs="Arial"/>
          <w:sz w:val="20"/>
          <w:szCs w:val="20"/>
        </w:rPr>
        <w:t>o</w:t>
      </w:r>
      <w:r w:rsidR="00F24A8B" w:rsidRPr="00AB088E">
        <w:rPr>
          <w:rFonts w:ascii="Arial" w:hAnsi="Arial" w:cs="Arial"/>
          <w:sz w:val="20"/>
          <w:szCs w:val="20"/>
        </w:rPr>
        <w:t>n refurbish</w:t>
      </w:r>
      <w:r w:rsidR="004E45C8" w:rsidRPr="00AB088E">
        <w:rPr>
          <w:rFonts w:ascii="Arial" w:hAnsi="Arial" w:cs="Arial"/>
          <w:sz w:val="20"/>
          <w:szCs w:val="20"/>
        </w:rPr>
        <w:t>ing</w:t>
      </w:r>
      <w:r w:rsidR="00506186" w:rsidRPr="00AB088E">
        <w:rPr>
          <w:rFonts w:ascii="Arial" w:hAnsi="Arial" w:cs="Arial"/>
          <w:sz w:val="20"/>
          <w:szCs w:val="20"/>
        </w:rPr>
        <w:t xml:space="preserve"> work at</w:t>
      </w:r>
      <w:r w:rsidR="00F24A8B" w:rsidRPr="00AB088E">
        <w:rPr>
          <w:rFonts w:ascii="Arial" w:hAnsi="Arial" w:cs="Arial"/>
          <w:sz w:val="20"/>
          <w:szCs w:val="20"/>
        </w:rPr>
        <w:t xml:space="preserve"> the Telkom Towers</w:t>
      </w:r>
      <w:r w:rsidR="00D43F3D" w:rsidRPr="00AB088E">
        <w:rPr>
          <w:rFonts w:ascii="Arial" w:hAnsi="Arial" w:cs="Arial"/>
          <w:sz w:val="20"/>
          <w:szCs w:val="20"/>
        </w:rPr>
        <w:t xml:space="preserve">. The committee </w:t>
      </w:r>
      <w:r w:rsidR="00506186" w:rsidRPr="00AB088E">
        <w:rPr>
          <w:rFonts w:ascii="Arial" w:hAnsi="Arial" w:cs="Arial"/>
          <w:sz w:val="20"/>
          <w:szCs w:val="20"/>
        </w:rPr>
        <w:t>wanted to</w:t>
      </w:r>
      <w:r w:rsidR="00F24A8B" w:rsidRPr="00AB088E">
        <w:rPr>
          <w:rFonts w:ascii="Arial" w:hAnsi="Arial" w:cs="Arial"/>
          <w:sz w:val="20"/>
          <w:szCs w:val="20"/>
        </w:rPr>
        <w:t xml:space="preserve"> establish </w:t>
      </w:r>
      <w:r w:rsidR="00D43F3D" w:rsidRPr="00AB088E">
        <w:rPr>
          <w:rFonts w:ascii="Arial" w:hAnsi="Arial" w:cs="Arial"/>
          <w:sz w:val="20"/>
          <w:szCs w:val="20"/>
        </w:rPr>
        <w:t xml:space="preserve">what the </w:t>
      </w:r>
      <w:r w:rsidR="00F24A8B" w:rsidRPr="00AB088E">
        <w:rPr>
          <w:rFonts w:ascii="Arial" w:hAnsi="Arial" w:cs="Arial"/>
          <w:sz w:val="20"/>
          <w:szCs w:val="20"/>
        </w:rPr>
        <w:t xml:space="preserve">reasons </w:t>
      </w:r>
      <w:r w:rsidR="00D43F3D" w:rsidRPr="00AB088E">
        <w:rPr>
          <w:rFonts w:ascii="Arial" w:hAnsi="Arial" w:cs="Arial"/>
          <w:sz w:val="20"/>
          <w:szCs w:val="20"/>
        </w:rPr>
        <w:t xml:space="preserve">were </w:t>
      </w:r>
      <w:r w:rsidR="00F24A8B" w:rsidRPr="00AB088E">
        <w:rPr>
          <w:rFonts w:ascii="Arial" w:hAnsi="Arial" w:cs="Arial"/>
          <w:sz w:val="20"/>
          <w:szCs w:val="20"/>
        </w:rPr>
        <w:t xml:space="preserve">for the delays in </w:t>
      </w:r>
      <w:r w:rsidR="00D43F3D" w:rsidRPr="00AB088E">
        <w:rPr>
          <w:rFonts w:ascii="Arial" w:hAnsi="Arial" w:cs="Arial"/>
          <w:sz w:val="20"/>
          <w:szCs w:val="20"/>
        </w:rPr>
        <w:t xml:space="preserve">completing and </w:t>
      </w:r>
      <w:r w:rsidR="00F24A8B" w:rsidRPr="00AB088E">
        <w:rPr>
          <w:rFonts w:ascii="Arial" w:hAnsi="Arial" w:cs="Arial"/>
          <w:sz w:val="20"/>
          <w:szCs w:val="20"/>
        </w:rPr>
        <w:t xml:space="preserve">handing </w:t>
      </w:r>
      <w:r w:rsidR="00D43F3D" w:rsidRPr="00AB088E">
        <w:rPr>
          <w:rFonts w:ascii="Arial" w:hAnsi="Arial" w:cs="Arial"/>
          <w:sz w:val="20"/>
          <w:szCs w:val="20"/>
        </w:rPr>
        <w:t xml:space="preserve">over </w:t>
      </w:r>
      <w:r w:rsidR="00F24A8B" w:rsidRPr="00AB088E">
        <w:rPr>
          <w:rFonts w:ascii="Arial" w:hAnsi="Arial" w:cs="Arial"/>
          <w:sz w:val="20"/>
          <w:szCs w:val="20"/>
        </w:rPr>
        <w:t>the building to the SAPS.</w:t>
      </w:r>
    </w:p>
    <w:p w:rsidR="00AC2FDA" w:rsidRPr="00AB088E" w:rsidRDefault="00AC2FDA" w:rsidP="00AB088E">
      <w:pPr>
        <w:tabs>
          <w:tab w:val="left" w:pos="3960"/>
        </w:tabs>
        <w:spacing w:after="0" w:line="240" w:lineRule="auto"/>
        <w:rPr>
          <w:rFonts w:ascii="Arial" w:hAnsi="Arial" w:cs="Arial"/>
          <w:sz w:val="20"/>
          <w:szCs w:val="20"/>
        </w:rPr>
      </w:pPr>
      <w:r w:rsidRPr="00AB088E">
        <w:rPr>
          <w:rFonts w:ascii="Arial" w:hAnsi="Arial" w:cs="Arial"/>
          <w:sz w:val="20"/>
          <w:szCs w:val="20"/>
        </w:rPr>
        <w:t xml:space="preserve">The methodology followed on </w:t>
      </w:r>
      <w:r w:rsidR="00F24A8B" w:rsidRPr="00AB088E">
        <w:rPr>
          <w:rFonts w:ascii="Arial" w:hAnsi="Arial" w:cs="Arial"/>
          <w:sz w:val="20"/>
          <w:szCs w:val="20"/>
        </w:rPr>
        <w:t>the first day was to receive briefings from both the DPWI and SAPS on the Telkom Towers project</w:t>
      </w:r>
      <w:r w:rsidR="00D43F3D" w:rsidRPr="00AB088E">
        <w:rPr>
          <w:rFonts w:ascii="Arial" w:hAnsi="Arial" w:cs="Arial"/>
          <w:sz w:val="20"/>
          <w:szCs w:val="20"/>
        </w:rPr>
        <w:t>. O</w:t>
      </w:r>
      <w:r w:rsidR="00F24A8B" w:rsidRPr="00AB088E">
        <w:rPr>
          <w:rFonts w:ascii="Arial" w:hAnsi="Arial" w:cs="Arial"/>
          <w:sz w:val="20"/>
          <w:szCs w:val="20"/>
        </w:rPr>
        <w:t xml:space="preserve">n the second day, the committee visited the Telkom Towers </w:t>
      </w:r>
      <w:r w:rsidR="00B31706" w:rsidRPr="00AB088E">
        <w:rPr>
          <w:rFonts w:ascii="Arial" w:hAnsi="Arial" w:cs="Arial"/>
          <w:sz w:val="20"/>
          <w:szCs w:val="20"/>
        </w:rPr>
        <w:t xml:space="preserve">project </w:t>
      </w:r>
      <w:r w:rsidR="00F24A8B" w:rsidRPr="00AB088E">
        <w:rPr>
          <w:rFonts w:ascii="Arial" w:hAnsi="Arial" w:cs="Arial"/>
          <w:sz w:val="20"/>
          <w:szCs w:val="20"/>
        </w:rPr>
        <w:t>site.</w:t>
      </w:r>
      <w:r w:rsidRPr="00AB088E">
        <w:rPr>
          <w:rFonts w:ascii="Arial" w:hAnsi="Arial" w:cs="Arial"/>
          <w:sz w:val="20"/>
          <w:szCs w:val="20"/>
        </w:rPr>
        <w:t xml:space="preserve"> Presentations were made and Members deliberated to gather in-depth insight into the </w:t>
      </w:r>
      <w:r w:rsidR="00F24A8B" w:rsidRPr="00AB088E">
        <w:rPr>
          <w:rFonts w:ascii="Arial" w:hAnsi="Arial" w:cs="Arial"/>
          <w:sz w:val="20"/>
          <w:szCs w:val="20"/>
        </w:rPr>
        <w:t>factors preventing SAPS from occupying the precinct</w:t>
      </w:r>
      <w:r w:rsidRPr="00AB088E">
        <w:rPr>
          <w:rFonts w:ascii="Arial" w:hAnsi="Arial" w:cs="Arial"/>
          <w:sz w:val="20"/>
          <w:szCs w:val="20"/>
        </w:rPr>
        <w:t xml:space="preserve">. This allowed Members to engage with the </w:t>
      </w:r>
      <w:r w:rsidR="00F24A8B" w:rsidRPr="00AB088E">
        <w:rPr>
          <w:rFonts w:ascii="Arial" w:hAnsi="Arial" w:cs="Arial"/>
          <w:sz w:val="20"/>
          <w:szCs w:val="20"/>
        </w:rPr>
        <w:t>Acting Director-General of the DPWI</w:t>
      </w:r>
      <w:r w:rsidRPr="00AB088E">
        <w:rPr>
          <w:rFonts w:ascii="Arial" w:hAnsi="Arial" w:cs="Arial"/>
          <w:sz w:val="20"/>
          <w:szCs w:val="20"/>
        </w:rPr>
        <w:t xml:space="preserve">, </w:t>
      </w:r>
      <w:r w:rsidR="00F24A8B" w:rsidRPr="00AB088E">
        <w:rPr>
          <w:rFonts w:ascii="Arial" w:hAnsi="Arial" w:cs="Arial"/>
          <w:sz w:val="20"/>
          <w:szCs w:val="20"/>
        </w:rPr>
        <w:t xml:space="preserve">National Police Commissioner </w:t>
      </w:r>
      <w:r w:rsidRPr="00AB088E">
        <w:rPr>
          <w:rFonts w:ascii="Arial" w:hAnsi="Arial" w:cs="Arial"/>
          <w:sz w:val="20"/>
          <w:szCs w:val="20"/>
        </w:rPr>
        <w:t xml:space="preserve">and the senior management of </w:t>
      </w:r>
      <w:r w:rsidR="00F24A8B" w:rsidRPr="00AB088E">
        <w:rPr>
          <w:rFonts w:ascii="Arial" w:hAnsi="Arial" w:cs="Arial"/>
          <w:sz w:val="20"/>
          <w:szCs w:val="20"/>
        </w:rPr>
        <w:t>both departments</w:t>
      </w:r>
      <w:r w:rsidRPr="00AB088E">
        <w:rPr>
          <w:rFonts w:ascii="Arial" w:hAnsi="Arial" w:cs="Arial"/>
          <w:sz w:val="20"/>
          <w:szCs w:val="20"/>
        </w:rPr>
        <w:t xml:space="preserve">. The deliberations focused on key matters such as challenges emerging from </w:t>
      </w:r>
      <w:r w:rsidR="00F24A8B" w:rsidRPr="00AB088E">
        <w:rPr>
          <w:rFonts w:ascii="Arial" w:hAnsi="Arial" w:cs="Arial"/>
          <w:sz w:val="20"/>
          <w:szCs w:val="20"/>
        </w:rPr>
        <w:t>the Telkom Towers project.</w:t>
      </w:r>
      <w:r w:rsidRPr="00AB088E">
        <w:rPr>
          <w:rFonts w:ascii="Arial" w:hAnsi="Arial" w:cs="Arial"/>
          <w:sz w:val="20"/>
          <w:szCs w:val="20"/>
        </w:rPr>
        <w:t xml:space="preserve"> </w:t>
      </w:r>
    </w:p>
    <w:p w:rsidR="00137980" w:rsidRPr="00AB088E" w:rsidRDefault="00137980" w:rsidP="00AB088E">
      <w:pPr>
        <w:spacing w:after="0" w:line="240" w:lineRule="auto"/>
        <w:rPr>
          <w:rFonts w:ascii="Arial" w:hAnsi="Arial" w:cs="Arial"/>
          <w:sz w:val="20"/>
          <w:szCs w:val="20"/>
        </w:rPr>
      </w:pPr>
    </w:p>
    <w:p w:rsidR="002453D4" w:rsidRPr="00AB088E" w:rsidRDefault="002453D4" w:rsidP="00AB088E">
      <w:pPr>
        <w:spacing w:after="0" w:line="240" w:lineRule="auto"/>
        <w:rPr>
          <w:rFonts w:ascii="Arial" w:hAnsi="Arial" w:cs="Arial"/>
          <w:sz w:val="20"/>
          <w:szCs w:val="20"/>
        </w:rPr>
      </w:pPr>
    </w:p>
    <w:p w:rsidR="000E7529" w:rsidRPr="00AB088E" w:rsidRDefault="00EF74A5" w:rsidP="00AB088E">
      <w:pPr>
        <w:pStyle w:val="Heading1"/>
        <w:spacing w:before="0" w:after="0" w:line="240" w:lineRule="auto"/>
        <w:jc w:val="left"/>
        <w:rPr>
          <w:rFonts w:ascii="Arial" w:hAnsi="Arial" w:cs="Arial"/>
          <w:sz w:val="20"/>
          <w:szCs w:val="20"/>
        </w:rPr>
      </w:pPr>
      <w:r w:rsidRPr="00AB088E">
        <w:rPr>
          <w:rFonts w:ascii="Arial" w:hAnsi="Arial" w:cs="Arial"/>
          <w:sz w:val="20"/>
          <w:szCs w:val="20"/>
        </w:rPr>
        <w:t xml:space="preserve">DAY 1 OF THE VISITS: </w:t>
      </w:r>
      <w:r w:rsidR="00F24A8B" w:rsidRPr="00AB088E">
        <w:rPr>
          <w:rFonts w:ascii="Arial" w:hAnsi="Arial" w:cs="Arial"/>
          <w:sz w:val="20"/>
          <w:szCs w:val="20"/>
        </w:rPr>
        <w:t>FRIDAY</w:t>
      </w:r>
      <w:r w:rsidR="007A66AE" w:rsidRPr="00AB088E">
        <w:rPr>
          <w:rFonts w:ascii="Arial" w:hAnsi="Arial" w:cs="Arial"/>
          <w:sz w:val="20"/>
          <w:szCs w:val="20"/>
        </w:rPr>
        <w:t xml:space="preserve">, </w:t>
      </w:r>
      <w:r w:rsidR="00F24A8B" w:rsidRPr="00AB088E">
        <w:rPr>
          <w:rFonts w:ascii="Arial" w:hAnsi="Arial" w:cs="Arial"/>
          <w:sz w:val="20"/>
          <w:szCs w:val="20"/>
        </w:rPr>
        <w:t>30 OCTOBER 2022</w:t>
      </w:r>
    </w:p>
    <w:p w:rsidR="00EF74A5" w:rsidRPr="00AB088E" w:rsidRDefault="00EF74A5" w:rsidP="00AB088E">
      <w:pPr>
        <w:spacing w:after="0" w:line="240" w:lineRule="auto"/>
        <w:rPr>
          <w:rFonts w:ascii="Arial" w:hAnsi="Arial" w:cs="Arial"/>
          <w:b/>
          <w:bCs/>
          <w:sz w:val="20"/>
          <w:szCs w:val="20"/>
        </w:rPr>
      </w:pPr>
    </w:p>
    <w:p w:rsidR="000E7529" w:rsidRPr="00AB088E" w:rsidRDefault="000E7529" w:rsidP="00AB088E">
      <w:pPr>
        <w:pStyle w:val="Heading2"/>
        <w:spacing w:before="0" w:line="240" w:lineRule="auto"/>
        <w:rPr>
          <w:rFonts w:ascii="Arial" w:hAnsi="Arial" w:cs="Arial"/>
          <w:sz w:val="20"/>
          <w:szCs w:val="20"/>
        </w:rPr>
      </w:pPr>
      <w:r w:rsidRPr="00AB088E">
        <w:rPr>
          <w:rFonts w:ascii="Arial" w:hAnsi="Arial" w:cs="Arial"/>
          <w:sz w:val="20"/>
          <w:szCs w:val="20"/>
        </w:rPr>
        <w:t>Visit to the Head Office of the Department of Public Works and Infrastructure</w:t>
      </w:r>
    </w:p>
    <w:p w:rsidR="00176F3E" w:rsidRPr="00AB088E" w:rsidRDefault="00176F3E" w:rsidP="00AB088E">
      <w:pPr>
        <w:spacing w:after="0" w:line="240" w:lineRule="auto"/>
        <w:rPr>
          <w:rFonts w:ascii="Arial" w:hAnsi="Arial" w:cs="Arial"/>
          <w:bCs/>
          <w:sz w:val="20"/>
          <w:szCs w:val="20"/>
        </w:rPr>
      </w:pPr>
    </w:p>
    <w:p w:rsidR="000E7529" w:rsidRPr="00AB088E" w:rsidRDefault="00F24A8B" w:rsidP="00AB088E">
      <w:pPr>
        <w:spacing w:after="0" w:line="240" w:lineRule="auto"/>
        <w:rPr>
          <w:rFonts w:ascii="Arial" w:hAnsi="Arial" w:cs="Arial"/>
          <w:bCs/>
          <w:sz w:val="20"/>
          <w:szCs w:val="20"/>
        </w:rPr>
      </w:pPr>
      <w:r w:rsidRPr="00AB088E">
        <w:rPr>
          <w:rFonts w:ascii="Arial" w:hAnsi="Arial" w:cs="Arial"/>
          <w:bCs/>
          <w:sz w:val="20"/>
          <w:szCs w:val="20"/>
        </w:rPr>
        <w:t xml:space="preserve">The apologies of the Minister of Public Works and Infrastructure, and the </w:t>
      </w:r>
      <w:r w:rsidR="00F07B1F" w:rsidRPr="00AB088E">
        <w:rPr>
          <w:rFonts w:ascii="Arial" w:hAnsi="Arial" w:cs="Arial"/>
          <w:bCs/>
          <w:sz w:val="20"/>
          <w:szCs w:val="20"/>
        </w:rPr>
        <w:t>M</w:t>
      </w:r>
      <w:r w:rsidRPr="00AB088E">
        <w:rPr>
          <w:rFonts w:ascii="Arial" w:hAnsi="Arial" w:cs="Arial"/>
          <w:bCs/>
          <w:sz w:val="20"/>
          <w:szCs w:val="20"/>
        </w:rPr>
        <w:t xml:space="preserve">inister of </w:t>
      </w:r>
      <w:r w:rsidR="00F07B1F" w:rsidRPr="00AB088E">
        <w:rPr>
          <w:rFonts w:ascii="Arial" w:hAnsi="Arial" w:cs="Arial"/>
          <w:bCs/>
          <w:sz w:val="20"/>
          <w:szCs w:val="20"/>
        </w:rPr>
        <w:t xml:space="preserve">South African </w:t>
      </w:r>
      <w:r w:rsidRPr="00AB088E">
        <w:rPr>
          <w:rFonts w:ascii="Arial" w:hAnsi="Arial" w:cs="Arial"/>
          <w:bCs/>
          <w:sz w:val="20"/>
          <w:szCs w:val="20"/>
        </w:rPr>
        <w:t xml:space="preserve">Police </w:t>
      </w:r>
      <w:r w:rsidR="00F07B1F" w:rsidRPr="00AB088E">
        <w:rPr>
          <w:rFonts w:ascii="Arial" w:hAnsi="Arial" w:cs="Arial"/>
          <w:bCs/>
          <w:sz w:val="20"/>
          <w:szCs w:val="20"/>
        </w:rPr>
        <w:t xml:space="preserve">Service </w:t>
      </w:r>
      <w:r w:rsidRPr="00AB088E">
        <w:rPr>
          <w:rFonts w:ascii="Arial" w:hAnsi="Arial" w:cs="Arial"/>
          <w:bCs/>
          <w:sz w:val="20"/>
          <w:szCs w:val="20"/>
        </w:rPr>
        <w:t>were registered and noted</w:t>
      </w:r>
      <w:r w:rsidR="00981659" w:rsidRPr="00AB088E">
        <w:rPr>
          <w:rFonts w:ascii="Arial" w:hAnsi="Arial" w:cs="Arial"/>
          <w:bCs/>
          <w:sz w:val="20"/>
          <w:szCs w:val="20"/>
        </w:rPr>
        <w:t xml:space="preserve">; the reasons for their absence was that they had to attend a special cabinet </w:t>
      </w:r>
      <w:r w:rsidR="00D168BE" w:rsidRPr="00AB088E">
        <w:rPr>
          <w:rFonts w:ascii="Arial" w:hAnsi="Arial" w:cs="Arial"/>
          <w:bCs/>
          <w:sz w:val="20"/>
          <w:szCs w:val="20"/>
        </w:rPr>
        <w:t>meeting. The</w:t>
      </w:r>
      <w:r w:rsidR="00176F3E" w:rsidRPr="00AB088E">
        <w:rPr>
          <w:rFonts w:ascii="Arial" w:hAnsi="Arial" w:cs="Arial"/>
          <w:bCs/>
          <w:sz w:val="20"/>
          <w:szCs w:val="20"/>
        </w:rPr>
        <w:t xml:space="preserve"> Deputy Ministers of both departments could also not attend the session due to conflicting commitments.</w:t>
      </w:r>
    </w:p>
    <w:p w:rsidR="00176F3E" w:rsidRPr="00AB088E" w:rsidRDefault="00176F3E" w:rsidP="00AB088E">
      <w:pPr>
        <w:spacing w:after="0" w:line="240" w:lineRule="auto"/>
        <w:rPr>
          <w:rFonts w:ascii="Arial" w:hAnsi="Arial" w:cs="Arial"/>
          <w:bCs/>
          <w:sz w:val="20"/>
          <w:szCs w:val="20"/>
        </w:rPr>
      </w:pPr>
    </w:p>
    <w:p w:rsidR="007E654C" w:rsidRPr="00AB088E" w:rsidRDefault="00D5391B" w:rsidP="00AB088E">
      <w:pPr>
        <w:pStyle w:val="Heading3"/>
        <w:spacing w:before="0" w:after="0" w:line="240" w:lineRule="auto"/>
        <w:jc w:val="left"/>
        <w:rPr>
          <w:rFonts w:ascii="Arial" w:hAnsi="Arial" w:cs="Arial"/>
          <w:sz w:val="20"/>
          <w:szCs w:val="20"/>
        </w:rPr>
      </w:pPr>
      <w:r w:rsidRPr="00AB088E">
        <w:rPr>
          <w:rFonts w:ascii="Arial" w:hAnsi="Arial" w:cs="Arial"/>
          <w:sz w:val="20"/>
          <w:szCs w:val="20"/>
        </w:rPr>
        <w:t xml:space="preserve">Presentation by the </w:t>
      </w:r>
      <w:r w:rsidR="00176F3E" w:rsidRPr="00AB088E">
        <w:rPr>
          <w:rFonts w:ascii="Arial" w:hAnsi="Arial" w:cs="Arial"/>
          <w:sz w:val="20"/>
          <w:szCs w:val="20"/>
        </w:rPr>
        <w:t>National Police Commissioner</w:t>
      </w:r>
    </w:p>
    <w:p w:rsidR="007E654C" w:rsidRPr="00AB088E" w:rsidRDefault="007E654C" w:rsidP="00AB088E">
      <w:pPr>
        <w:spacing w:after="0" w:line="240" w:lineRule="auto"/>
        <w:rPr>
          <w:rFonts w:ascii="Arial" w:hAnsi="Arial" w:cs="Arial"/>
          <w:sz w:val="20"/>
          <w:szCs w:val="20"/>
        </w:rPr>
      </w:pPr>
    </w:p>
    <w:p w:rsidR="007E654C" w:rsidRPr="00AB088E" w:rsidRDefault="007E654C" w:rsidP="00AB088E">
      <w:pPr>
        <w:spacing w:after="0" w:line="240" w:lineRule="auto"/>
        <w:rPr>
          <w:rFonts w:ascii="Arial" w:hAnsi="Arial" w:cs="Arial"/>
          <w:sz w:val="20"/>
          <w:szCs w:val="20"/>
        </w:rPr>
      </w:pPr>
      <w:r w:rsidRPr="00AB088E">
        <w:rPr>
          <w:rFonts w:ascii="Arial" w:hAnsi="Arial" w:cs="Arial"/>
          <w:sz w:val="20"/>
          <w:szCs w:val="20"/>
        </w:rPr>
        <w:t xml:space="preserve">The National Police Commissioner, Lieutenant-General Masemola, assisted by a team of senior </w:t>
      </w:r>
      <w:r w:rsidR="00CB5C9E" w:rsidRPr="00AB088E">
        <w:rPr>
          <w:rFonts w:ascii="Arial" w:hAnsi="Arial" w:cs="Arial"/>
          <w:sz w:val="20"/>
          <w:szCs w:val="20"/>
        </w:rPr>
        <w:t xml:space="preserve">SAPS </w:t>
      </w:r>
      <w:r w:rsidRPr="00AB088E">
        <w:rPr>
          <w:rFonts w:ascii="Arial" w:hAnsi="Arial" w:cs="Arial"/>
          <w:sz w:val="20"/>
          <w:szCs w:val="20"/>
        </w:rPr>
        <w:t>officials presented as follows:</w:t>
      </w:r>
    </w:p>
    <w:p w:rsidR="007E654C" w:rsidRPr="00AB088E" w:rsidRDefault="007E654C" w:rsidP="00AB088E">
      <w:pPr>
        <w:spacing w:after="0" w:line="240" w:lineRule="auto"/>
        <w:rPr>
          <w:rFonts w:ascii="Arial" w:hAnsi="Arial" w:cs="Arial"/>
          <w:sz w:val="20"/>
          <w:szCs w:val="20"/>
        </w:rPr>
      </w:pPr>
      <w:r w:rsidRPr="00AB088E">
        <w:rPr>
          <w:rFonts w:ascii="Arial" w:hAnsi="Arial" w:cs="Arial"/>
          <w:sz w:val="20"/>
          <w:szCs w:val="20"/>
        </w:rPr>
        <w:t>The Department of Public Works and Infrastructure (DPWI), as the mandated custodian of all Government Immovable Assets, showed interest in the Telkom Towers building for use by a Government Department. The DPWI presented the proposal to acquire the Telkom Towers building to the former National Commissioner of the SAPS, on 2015-06-12.</w:t>
      </w:r>
      <w:r w:rsidR="00D510E5" w:rsidRPr="00AB088E">
        <w:rPr>
          <w:rFonts w:ascii="Arial" w:hAnsi="Arial" w:cs="Arial"/>
          <w:sz w:val="20"/>
          <w:szCs w:val="20"/>
        </w:rPr>
        <w:t xml:space="preserve"> </w:t>
      </w:r>
      <w:r w:rsidRPr="00AB088E">
        <w:rPr>
          <w:rFonts w:ascii="Arial" w:hAnsi="Arial" w:cs="Arial"/>
          <w:sz w:val="20"/>
          <w:szCs w:val="20"/>
        </w:rPr>
        <w:t xml:space="preserve">Subsequent to the presentation of the Feasibility Analysis conducted by the Custodian, on 2015-06-17, a motivation regarding the progress on the negotiation outcomes </w:t>
      </w:r>
      <w:r w:rsidR="00506186" w:rsidRPr="00AB088E">
        <w:rPr>
          <w:rFonts w:ascii="Arial" w:hAnsi="Arial" w:cs="Arial"/>
          <w:sz w:val="20"/>
          <w:szCs w:val="20"/>
        </w:rPr>
        <w:t>was submitted</w:t>
      </w:r>
      <w:r w:rsidRPr="00AB088E">
        <w:rPr>
          <w:rFonts w:ascii="Arial" w:hAnsi="Arial" w:cs="Arial"/>
          <w:sz w:val="20"/>
          <w:szCs w:val="20"/>
        </w:rPr>
        <w:t xml:space="preserve"> by the then Divisional Commissioner: Facility Management, Lieutenant General Mkhwanazi. The Divisional Commissioner: Facility Management submitted to the former National Commissioner, who then accepted the proposal made by the DPWI to acquire the Telkom Towers building for utilization by SAPS, on 20 October 2015.</w:t>
      </w:r>
      <w:r w:rsidR="00D510E5" w:rsidRPr="00AB088E">
        <w:rPr>
          <w:rFonts w:ascii="Arial" w:hAnsi="Arial" w:cs="Arial"/>
          <w:sz w:val="20"/>
          <w:szCs w:val="20"/>
        </w:rPr>
        <w:t xml:space="preserve"> </w:t>
      </w:r>
      <w:r w:rsidRPr="00AB088E">
        <w:rPr>
          <w:rFonts w:ascii="Arial" w:hAnsi="Arial" w:cs="Arial"/>
          <w:sz w:val="20"/>
          <w:szCs w:val="20"/>
        </w:rPr>
        <w:t>The acceptance of the procurement of the Telkom Towers building was further confirmed by the former Acting National Commissioner on 30 October 2015.</w:t>
      </w:r>
    </w:p>
    <w:p w:rsidR="007E654C" w:rsidRPr="00AB088E" w:rsidRDefault="007E654C" w:rsidP="00AB088E">
      <w:pPr>
        <w:spacing w:after="0" w:line="240" w:lineRule="auto"/>
        <w:rPr>
          <w:rFonts w:ascii="Arial" w:hAnsi="Arial" w:cs="Arial"/>
          <w:sz w:val="20"/>
          <w:szCs w:val="20"/>
        </w:rPr>
      </w:pPr>
    </w:p>
    <w:p w:rsidR="00D065D7" w:rsidRPr="00AB088E" w:rsidRDefault="00D065D7" w:rsidP="00AB088E">
      <w:pPr>
        <w:pStyle w:val="Heading4"/>
        <w:spacing w:before="0" w:line="240" w:lineRule="auto"/>
        <w:rPr>
          <w:rFonts w:ascii="Arial" w:hAnsi="Arial" w:cs="Arial"/>
          <w:sz w:val="20"/>
          <w:szCs w:val="20"/>
        </w:rPr>
      </w:pPr>
      <w:r w:rsidRPr="00AB088E">
        <w:rPr>
          <w:rFonts w:ascii="Arial" w:hAnsi="Arial" w:cs="Arial"/>
          <w:sz w:val="20"/>
          <w:szCs w:val="20"/>
        </w:rPr>
        <w:t>The Telkom Towers</w:t>
      </w:r>
      <w:r w:rsidR="006C61DB" w:rsidRPr="00AB088E">
        <w:rPr>
          <w:rFonts w:ascii="Arial" w:hAnsi="Arial" w:cs="Arial"/>
          <w:sz w:val="20"/>
          <w:szCs w:val="20"/>
        </w:rPr>
        <w:t xml:space="preserve"> Precinct</w:t>
      </w:r>
    </w:p>
    <w:p w:rsidR="00027D57" w:rsidRPr="00AB088E" w:rsidRDefault="00027D57" w:rsidP="00AB088E">
      <w:pPr>
        <w:spacing w:after="0" w:line="240" w:lineRule="auto"/>
        <w:rPr>
          <w:rFonts w:ascii="Arial" w:hAnsi="Arial" w:cs="Arial"/>
          <w:sz w:val="20"/>
          <w:szCs w:val="20"/>
        </w:rPr>
      </w:pPr>
    </w:p>
    <w:p w:rsidR="007E654C" w:rsidRPr="00AB088E" w:rsidRDefault="001341EF" w:rsidP="00AB088E">
      <w:pPr>
        <w:spacing w:after="0" w:line="240" w:lineRule="auto"/>
        <w:rPr>
          <w:rFonts w:ascii="Arial" w:hAnsi="Arial" w:cs="Arial"/>
          <w:sz w:val="20"/>
          <w:szCs w:val="20"/>
        </w:rPr>
      </w:pPr>
      <w:r w:rsidRPr="00AB088E">
        <w:rPr>
          <w:rFonts w:ascii="Arial" w:hAnsi="Arial" w:cs="Arial"/>
          <w:sz w:val="20"/>
          <w:szCs w:val="20"/>
        </w:rPr>
        <w:t xml:space="preserve">Telkom Towers as a </w:t>
      </w:r>
      <w:r w:rsidR="007E654C" w:rsidRPr="00AB088E">
        <w:rPr>
          <w:rFonts w:ascii="Arial" w:hAnsi="Arial" w:cs="Arial"/>
          <w:sz w:val="20"/>
          <w:szCs w:val="20"/>
        </w:rPr>
        <w:t>National Key Point (NKP) Building:</w:t>
      </w:r>
    </w:p>
    <w:p w:rsidR="0027715F" w:rsidRPr="00AB088E" w:rsidRDefault="007E654C" w:rsidP="00AB088E">
      <w:pPr>
        <w:spacing w:after="0" w:line="240" w:lineRule="auto"/>
        <w:rPr>
          <w:rFonts w:ascii="Arial" w:hAnsi="Arial" w:cs="Arial"/>
          <w:sz w:val="20"/>
          <w:szCs w:val="20"/>
        </w:rPr>
      </w:pPr>
      <w:r w:rsidRPr="00AB088E">
        <w:rPr>
          <w:rFonts w:ascii="Arial" w:hAnsi="Arial" w:cs="Arial"/>
          <w:sz w:val="20"/>
          <w:szCs w:val="20"/>
        </w:rPr>
        <w:t xml:space="preserve">This building was part of </w:t>
      </w:r>
      <w:r w:rsidR="00506186" w:rsidRPr="00AB088E">
        <w:rPr>
          <w:rFonts w:ascii="Arial" w:hAnsi="Arial" w:cs="Arial"/>
          <w:sz w:val="20"/>
          <w:szCs w:val="20"/>
        </w:rPr>
        <w:t>the ten</w:t>
      </w:r>
      <w:r w:rsidRPr="00AB088E">
        <w:rPr>
          <w:rFonts w:ascii="Arial" w:hAnsi="Arial" w:cs="Arial"/>
          <w:sz w:val="20"/>
          <w:szCs w:val="20"/>
        </w:rPr>
        <w:t xml:space="preserve"> buildings procured from Telkom Trust, however, the building was bought back by Telkom Trust for R41 million. The rationale behind the purchase back by Telkom Trust was that the building </w:t>
      </w:r>
      <w:r w:rsidR="009B5276" w:rsidRPr="00AB088E">
        <w:rPr>
          <w:rFonts w:ascii="Arial" w:hAnsi="Arial" w:cs="Arial"/>
          <w:sz w:val="20"/>
          <w:szCs w:val="20"/>
        </w:rPr>
        <w:t>would be</w:t>
      </w:r>
      <w:r w:rsidRPr="00AB088E">
        <w:rPr>
          <w:rFonts w:ascii="Arial" w:hAnsi="Arial" w:cs="Arial"/>
          <w:sz w:val="20"/>
          <w:szCs w:val="20"/>
        </w:rPr>
        <w:t xml:space="preserve"> used as a NKP for Telkom Trust. The purchase process back to </w:t>
      </w:r>
      <w:r w:rsidRPr="00AB088E">
        <w:rPr>
          <w:rFonts w:ascii="Arial" w:hAnsi="Arial" w:cs="Arial"/>
          <w:sz w:val="20"/>
          <w:szCs w:val="20"/>
        </w:rPr>
        <w:lastRenderedPageBreak/>
        <w:t xml:space="preserve">Telkom Owners was handled by both the DPWI and National Treasury because the building is </w:t>
      </w:r>
      <w:r w:rsidR="009B5276" w:rsidRPr="00AB088E">
        <w:rPr>
          <w:rFonts w:ascii="Arial" w:hAnsi="Arial" w:cs="Arial"/>
          <w:sz w:val="20"/>
          <w:szCs w:val="20"/>
        </w:rPr>
        <w:t>currently used</w:t>
      </w:r>
      <w:r w:rsidRPr="00AB088E">
        <w:rPr>
          <w:rFonts w:ascii="Arial" w:hAnsi="Arial" w:cs="Arial"/>
          <w:sz w:val="20"/>
          <w:szCs w:val="20"/>
        </w:rPr>
        <w:t xml:space="preserve"> as a NKP for Telkom Trust.</w:t>
      </w:r>
    </w:p>
    <w:p w:rsidR="007E654C" w:rsidRPr="00AB088E" w:rsidRDefault="009B5276" w:rsidP="00AB088E">
      <w:pPr>
        <w:spacing w:after="0" w:line="240" w:lineRule="auto"/>
        <w:rPr>
          <w:rFonts w:ascii="Arial" w:hAnsi="Arial" w:cs="Arial"/>
          <w:sz w:val="20"/>
          <w:szCs w:val="20"/>
        </w:rPr>
      </w:pPr>
      <w:r w:rsidRPr="00AB088E">
        <w:rPr>
          <w:rFonts w:ascii="Arial" w:hAnsi="Arial" w:cs="Arial"/>
          <w:sz w:val="20"/>
          <w:szCs w:val="20"/>
        </w:rPr>
        <w:t>Telkom Towers as an Information Technology and Communications</w:t>
      </w:r>
      <w:r w:rsidR="007E654C" w:rsidRPr="00AB088E">
        <w:rPr>
          <w:rFonts w:ascii="Arial" w:hAnsi="Arial" w:cs="Arial"/>
          <w:sz w:val="20"/>
          <w:szCs w:val="20"/>
        </w:rPr>
        <w:t xml:space="preserve"> </w:t>
      </w:r>
      <w:r w:rsidRPr="00AB088E">
        <w:rPr>
          <w:rFonts w:ascii="Arial" w:hAnsi="Arial" w:cs="Arial"/>
          <w:sz w:val="20"/>
          <w:szCs w:val="20"/>
        </w:rPr>
        <w:t>(</w:t>
      </w:r>
      <w:r w:rsidR="007E654C" w:rsidRPr="00AB088E">
        <w:rPr>
          <w:rFonts w:ascii="Arial" w:hAnsi="Arial" w:cs="Arial"/>
          <w:sz w:val="20"/>
          <w:szCs w:val="20"/>
        </w:rPr>
        <w:t>IT</w:t>
      </w:r>
      <w:r w:rsidRPr="00AB088E">
        <w:rPr>
          <w:rFonts w:ascii="Arial" w:hAnsi="Arial" w:cs="Arial"/>
          <w:sz w:val="20"/>
          <w:szCs w:val="20"/>
        </w:rPr>
        <w:t>C)</w:t>
      </w:r>
      <w:r w:rsidR="007E654C" w:rsidRPr="00AB088E">
        <w:rPr>
          <w:rFonts w:ascii="Arial" w:hAnsi="Arial" w:cs="Arial"/>
          <w:sz w:val="20"/>
          <w:szCs w:val="20"/>
        </w:rPr>
        <w:t xml:space="preserve"> Building:</w:t>
      </w:r>
    </w:p>
    <w:p w:rsidR="0027715F" w:rsidRPr="00AB088E" w:rsidRDefault="007E654C" w:rsidP="00AB088E">
      <w:pPr>
        <w:spacing w:after="0" w:line="240" w:lineRule="auto"/>
        <w:rPr>
          <w:rFonts w:ascii="Arial" w:hAnsi="Arial" w:cs="Arial"/>
          <w:sz w:val="20"/>
          <w:szCs w:val="20"/>
        </w:rPr>
      </w:pPr>
      <w:r w:rsidRPr="00AB088E">
        <w:rPr>
          <w:rFonts w:ascii="Arial" w:hAnsi="Arial" w:cs="Arial"/>
          <w:sz w:val="20"/>
          <w:szCs w:val="20"/>
        </w:rPr>
        <w:t xml:space="preserve">This building is also part of the </w:t>
      </w:r>
      <w:r w:rsidR="006C61DB" w:rsidRPr="00AB088E">
        <w:rPr>
          <w:rFonts w:ascii="Arial" w:hAnsi="Arial" w:cs="Arial"/>
          <w:sz w:val="20"/>
          <w:szCs w:val="20"/>
        </w:rPr>
        <w:t>ten</w:t>
      </w:r>
      <w:r w:rsidRPr="00AB088E">
        <w:rPr>
          <w:rFonts w:ascii="Arial" w:hAnsi="Arial" w:cs="Arial"/>
          <w:sz w:val="20"/>
          <w:szCs w:val="20"/>
        </w:rPr>
        <w:t xml:space="preserve"> buildings procured from Telkom Trust, however, the building is currently being leased to the Telkom Trust by the D</w:t>
      </w:r>
      <w:r w:rsidR="0027715F" w:rsidRPr="00AB088E">
        <w:rPr>
          <w:rFonts w:ascii="Arial" w:hAnsi="Arial" w:cs="Arial"/>
          <w:sz w:val="20"/>
          <w:szCs w:val="20"/>
        </w:rPr>
        <w:t xml:space="preserve">PWI </w:t>
      </w:r>
      <w:r w:rsidRPr="00AB088E">
        <w:rPr>
          <w:rFonts w:ascii="Arial" w:hAnsi="Arial" w:cs="Arial"/>
          <w:sz w:val="20"/>
          <w:szCs w:val="20"/>
        </w:rPr>
        <w:t xml:space="preserve">for a period of two years, which expired on </w:t>
      </w:r>
      <w:r w:rsidR="0027715F" w:rsidRPr="00AB088E">
        <w:rPr>
          <w:rFonts w:ascii="Arial" w:hAnsi="Arial" w:cs="Arial"/>
          <w:sz w:val="20"/>
          <w:szCs w:val="20"/>
        </w:rPr>
        <w:t>31 August 2017</w:t>
      </w:r>
      <w:r w:rsidR="009B5276" w:rsidRPr="00AB088E">
        <w:rPr>
          <w:rFonts w:ascii="Arial" w:hAnsi="Arial" w:cs="Arial"/>
          <w:sz w:val="20"/>
          <w:szCs w:val="20"/>
        </w:rPr>
        <w:t>.</w:t>
      </w:r>
      <w:r w:rsidR="007119BC" w:rsidRPr="00AB088E">
        <w:rPr>
          <w:rFonts w:ascii="Arial" w:hAnsi="Arial" w:cs="Arial"/>
          <w:sz w:val="20"/>
          <w:szCs w:val="20"/>
        </w:rPr>
        <w:t xml:space="preserve"> </w:t>
      </w:r>
      <w:r w:rsidR="009B5276" w:rsidRPr="00AB088E">
        <w:rPr>
          <w:rFonts w:ascii="Arial" w:hAnsi="Arial" w:cs="Arial"/>
          <w:sz w:val="20"/>
          <w:szCs w:val="20"/>
        </w:rPr>
        <w:t>C</w:t>
      </w:r>
      <w:r w:rsidRPr="00AB088E">
        <w:rPr>
          <w:rFonts w:ascii="Arial" w:hAnsi="Arial" w:cs="Arial"/>
          <w:sz w:val="20"/>
          <w:szCs w:val="20"/>
        </w:rPr>
        <w:t>urrently the building</w:t>
      </w:r>
      <w:r w:rsidR="0027715F" w:rsidRPr="00AB088E">
        <w:rPr>
          <w:rFonts w:ascii="Arial" w:hAnsi="Arial" w:cs="Arial"/>
          <w:sz w:val="20"/>
          <w:szCs w:val="20"/>
        </w:rPr>
        <w:t xml:space="preserve"> is on a month-to-month lease. </w:t>
      </w:r>
      <w:r w:rsidRPr="00AB088E">
        <w:rPr>
          <w:rFonts w:ascii="Arial" w:hAnsi="Arial" w:cs="Arial"/>
          <w:sz w:val="20"/>
          <w:szCs w:val="20"/>
        </w:rPr>
        <w:t>The lease agreement is that the building is used as a Telkom IT</w:t>
      </w:r>
      <w:r w:rsidR="009B5276" w:rsidRPr="00AB088E">
        <w:rPr>
          <w:rFonts w:ascii="Arial" w:hAnsi="Arial" w:cs="Arial"/>
          <w:sz w:val="20"/>
          <w:szCs w:val="20"/>
        </w:rPr>
        <w:t>C</w:t>
      </w:r>
      <w:r w:rsidRPr="00AB088E">
        <w:rPr>
          <w:rFonts w:ascii="Arial" w:hAnsi="Arial" w:cs="Arial"/>
          <w:sz w:val="20"/>
          <w:szCs w:val="20"/>
        </w:rPr>
        <w:t xml:space="preserve"> hub.</w:t>
      </w:r>
    </w:p>
    <w:p w:rsidR="0027715F" w:rsidRPr="00AB088E" w:rsidRDefault="0027715F" w:rsidP="00AB088E">
      <w:pPr>
        <w:spacing w:after="0" w:line="240" w:lineRule="auto"/>
        <w:rPr>
          <w:rFonts w:ascii="Arial" w:hAnsi="Arial" w:cs="Arial"/>
          <w:sz w:val="20"/>
          <w:szCs w:val="20"/>
        </w:rPr>
      </w:pPr>
    </w:p>
    <w:p w:rsidR="0027715F" w:rsidRPr="00AB088E" w:rsidRDefault="0027715F" w:rsidP="00AB088E">
      <w:pPr>
        <w:spacing w:after="0" w:line="240" w:lineRule="auto"/>
        <w:rPr>
          <w:rFonts w:ascii="Arial" w:hAnsi="Arial" w:cs="Arial"/>
          <w:sz w:val="20"/>
          <w:szCs w:val="20"/>
        </w:rPr>
      </w:pPr>
      <w:r w:rsidRPr="00AB088E">
        <w:rPr>
          <w:rFonts w:ascii="Arial" w:hAnsi="Arial" w:cs="Arial"/>
          <w:sz w:val="20"/>
          <w:szCs w:val="20"/>
        </w:rPr>
        <w:t>The PR Building</w:t>
      </w:r>
      <w:r w:rsidR="00027D57" w:rsidRPr="00AB088E">
        <w:rPr>
          <w:rFonts w:ascii="Arial" w:hAnsi="Arial" w:cs="Arial"/>
          <w:sz w:val="20"/>
          <w:szCs w:val="20"/>
        </w:rPr>
        <w:t xml:space="preserve">: </w:t>
      </w:r>
      <w:r w:rsidRPr="00AB088E">
        <w:rPr>
          <w:rFonts w:ascii="Arial" w:hAnsi="Arial" w:cs="Arial"/>
          <w:sz w:val="20"/>
          <w:szCs w:val="20"/>
        </w:rPr>
        <w:t xml:space="preserve"> </w:t>
      </w:r>
    </w:p>
    <w:p w:rsidR="0027715F" w:rsidRPr="00AB088E" w:rsidRDefault="0027715F" w:rsidP="00AB088E">
      <w:pPr>
        <w:spacing w:after="0" w:line="240" w:lineRule="auto"/>
        <w:rPr>
          <w:rFonts w:ascii="Arial" w:hAnsi="Arial" w:cs="Arial"/>
          <w:sz w:val="20"/>
          <w:szCs w:val="20"/>
        </w:rPr>
      </w:pPr>
      <w:r w:rsidRPr="00AB088E">
        <w:rPr>
          <w:rFonts w:ascii="Arial" w:hAnsi="Arial" w:cs="Arial"/>
          <w:sz w:val="20"/>
          <w:szCs w:val="20"/>
        </w:rPr>
        <w:t xml:space="preserve">This building is also part of </w:t>
      </w:r>
      <w:r w:rsidR="00506186" w:rsidRPr="00AB088E">
        <w:rPr>
          <w:rFonts w:ascii="Arial" w:hAnsi="Arial" w:cs="Arial"/>
          <w:sz w:val="20"/>
          <w:szCs w:val="20"/>
        </w:rPr>
        <w:t>the ten</w:t>
      </w:r>
      <w:r w:rsidR="006C61DB" w:rsidRPr="00AB088E">
        <w:rPr>
          <w:rFonts w:ascii="Arial" w:hAnsi="Arial" w:cs="Arial"/>
          <w:sz w:val="20"/>
          <w:szCs w:val="20"/>
        </w:rPr>
        <w:t xml:space="preserve"> </w:t>
      </w:r>
      <w:r w:rsidRPr="00AB088E">
        <w:rPr>
          <w:rFonts w:ascii="Arial" w:hAnsi="Arial" w:cs="Arial"/>
          <w:sz w:val="20"/>
          <w:szCs w:val="20"/>
        </w:rPr>
        <w:t>buildings procured from Telkom Trust, however, the building is currently being leased to the Telkom Trust, by the DPWI for a period of three years, which expired on 31 August 2018, unfortunately there is no feedback given with regard to the status of the lease after the expiry of the contract.</w:t>
      </w:r>
    </w:p>
    <w:p w:rsidR="0027715F" w:rsidRPr="00AB088E" w:rsidRDefault="0027715F" w:rsidP="00AB088E">
      <w:pPr>
        <w:spacing w:after="0" w:line="240" w:lineRule="auto"/>
        <w:rPr>
          <w:rFonts w:ascii="Arial" w:hAnsi="Arial" w:cs="Arial"/>
          <w:sz w:val="20"/>
          <w:szCs w:val="20"/>
        </w:rPr>
      </w:pPr>
    </w:p>
    <w:p w:rsidR="0027715F" w:rsidRPr="00AB088E" w:rsidRDefault="0027715F" w:rsidP="00AB088E">
      <w:pPr>
        <w:spacing w:after="0" w:line="240" w:lineRule="auto"/>
        <w:rPr>
          <w:rFonts w:ascii="Arial" w:hAnsi="Arial" w:cs="Arial"/>
          <w:sz w:val="20"/>
          <w:szCs w:val="20"/>
        </w:rPr>
      </w:pPr>
      <w:r w:rsidRPr="00AB088E">
        <w:rPr>
          <w:rFonts w:ascii="Arial" w:hAnsi="Arial" w:cs="Arial"/>
          <w:sz w:val="20"/>
          <w:szCs w:val="20"/>
        </w:rPr>
        <w:t>The South Tower</w:t>
      </w:r>
      <w:r w:rsidR="00027D57" w:rsidRPr="00AB088E">
        <w:rPr>
          <w:rFonts w:ascii="Arial" w:hAnsi="Arial" w:cs="Arial"/>
          <w:sz w:val="20"/>
          <w:szCs w:val="20"/>
        </w:rPr>
        <w:t xml:space="preserve">: </w:t>
      </w:r>
    </w:p>
    <w:p w:rsidR="0027715F" w:rsidRPr="00AB088E" w:rsidRDefault="0027715F" w:rsidP="00AB088E">
      <w:pPr>
        <w:spacing w:after="0" w:line="240" w:lineRule="auto"/>
        <w:rPr>
          <w:rFonts w:ascii="Arial" w:hAnsi="Arial" w:cs="Arial"/>
          <w:sz w:val="20"/>
          <w:szCs w:val="20"/>
        </w:rPr>
      </w:pPr>
      <w:r w:rsidRPr="00AB088E">
        <w:rPr>
          <w:rFonts w:ascii="Arial" w:hAnsi="Arial" w:cs="Arial"/>
          <w:sz w:val="20"/>
          <w:szCs w:val="20"/>
        </w:rPr>
        <w:t>The building was ready for occupation, but could not be occupied, pending approval of the migration plan that will permit the activation of space planning by the DPWI.</w:t>
      </w:r>
    </w:p>
    <w:p w:rsidR="007A53BD" w:rsidRPr="00AB088E" w:rsidRDefault="007A53BD" w:rsidP="00AB088E">
      <w:pPr>
        <w:spacing w:after="0" w:line="240" w:lineRule="auto"/>
        <w:rPr>
          <w:rFonts w:ascii="Arial" w:hAnsi="Arial" w:cs="Arial"/>
          <w:sz w:val="20"/>
          <w:szCs w:val="20"/>
        </w:rPr>
      </w:pPr>
    </w:p>
    <w:p w:rsidR="0027715F" w:rsidRPr="00AB088E" w:rsidRDefault="0027715F" w:rsidP="00AB088E">
      <w:pPr>
        <w:spacing w:after="0" w:line="240" w:lineRule="auto"/>
        <w:rPr>
          <w:rFonts w:ascii="Arial" w:hAnsi="Arial" w:cs="Arial"/>
          <w:sz w:val="20"/>
          <w:szCs w:val="20"/>
        </w:rPr>
      </w:pPr>
      <w:r w:rsidRPr="00AB088E">
        <w:rPr>
          <w:rFonts w:ascii="Arial" w:hAnsi="Arial" w:cs="Arial"/>
          <w:sz w:val="20"/>
          <w:szCs w:val="20"/>
        </w:rPr>
        <w:t>The Northern Tower and Annex Building:</w:t>
      </w:r>
    </w:p>
    <w:p w:rsidR="0027715F" w:rsidRPr="00AB088E" w:rsidRDefault="0027715F" w:rsidP="00AB088E">
      <w:pPr>
        <w:spacing w:after="0" w:line="240" w:lineRule="auto"/>
        <w:rPr>
          <w:rFonts w:ascii="Arial" w:hAnsi="Arial" w:cs="Arial"/>
          <w:sz w:val="20"/>
          <w:szCs w:val="20"/>
        </w:rPr>
      </w:pPr>
      <w:r w:rsidRPr="00AB088E">
        <w:rPr>
          <w:rFonts w:ascii="Arial" w:hAnsi="Arial" w:cs="Arial"/>
          <w:sz w:val="20"/>
          <w:szCs w:val="20"/>
        </w:rPr>
        <w:t>The buildings are ready for occupation, pending approval of the migration plan, which will permit the activation of space planning by the DPWI.</w:t>
      </w:r>
    </w:p>
    <w:p w:rsidR="0027715F" w:rsidRPr="00AB088E" w:rsidRDefault="0027715F" w:rsidP="00AB088E">
      <w:pPr>
        <w:spacing w:after="0" w:line="240" w:lineRule="auto"/>
        <w:rPr>
          <w:rFonts w:ascii="Arial" w:hAnsi="Arial" w:cs="Arial"/>
          <w:sz w:val="20"/>
          <w:szCs w:val="20"/>
        </w:rPr>
      </w:pPr>
    </w:p>
    <w:p w:rsidR="0027715F" w:rsidRPr="00AB088E" w:rsidRDefault="0027715F" w:rsidP="00AB088E">
      <w:pPr>
        <w:spacing w:after="0" w:line="240" w:lineRule="auto"/>
        <w:rPr>
          <w:rFonts w:ascii="Arial" w:hAnsi="Arial" w:cs="Arial"/>
          <w:sz w:val="20"/>
          <w:szCs w:val="20"/>
        </w:rPr>
      </w:pPr>
      <w:r w:rsidRPr="00AB088E">
        <w:rPr>
          <w:rFonts w:ascii="Arial" w:hAnsi="Arial" w:cs="Arial"/>
          <w:sz w:val="20"/>
          <w:szCs w:val="20"/>
        </w:rPr>
        <w:t>The Eastern and Western Tower Buildings</w:t>
      </w:r>
      <w:r w:rsidR="00027D57" w:rsidRPr="00AB088E">
        <w:rPr>
          <w:rFonts w:ascii="Arial" w:hAnsi="Arial" w:cs="Arial"/>
          <w:sz w:val="20"/>
          <w:szCs w:val="20"/>
        </w:rPr>
        <w:t xml:space="preserve">: </w:t>
      </w:r>
    </w:p>
    <w:p w:rsidR="0027715F" w:rsidRPr="00AB088E" w:rsidRDefault="0027715F" w:rsidP="00AB088E">
      <w:pPr>
        <w:spacing w:after="0" w:line="240" w:lineRule="auto"/>
        <w:rPr>
          <w:rFonts w:ascii="Arial" w:hAnsi="Arial" w:cs="Arial"/>
          <w:sz w:val="20"/>
          <w:szCs w:val="20"/>
        </w:rPr>
      </w:pPr>
      <w:r w:rsidRPr="00AB088E">
        <w:rPr>
          <w:rFonts w:ascii="Arial" w:hAnsi="Arial" w:cs="Arial"/>
          <w:sz w:val="20"/>
          <w:szCs w:val="20"/>
        </w:rPr>
        <w:t>The buildings are ready for occupation as “phase two proposal”, awaiting activation of space planning by the DPWI and pending the approval of the migration plan.</w:t>
      </w:r>
    </w:p>
    <w:p w:rsidR="0027715F" w:rsidRPr="00AB088E" w:rsidRDefault="0027715F" w:rsidP="00AB088E">
      <w:pPr>
        <w:spacing w:after="0" w:line="240" w:lineRule="auto"/>
        <w:rPr>
          <w:rFonts w:ascii="Arial" w:hAnsi="Arial" w:cs="Arial"/>
          <w:sz w:val="20"/>
          <w:szCs w:val="20"/>
        </w:rPr>
      </w:pPr>
    </w:p>
    <w:p w:rsidR="0027715F" w:rsidRPr="00AB088E" w:rsidRDefault="0027715F" w:rsidP="00AB088E">
      <w:pPr>
        <w:spacing w:after="0" w:line="240" w:lineRule="auto"/>
        <w:rPr>
          <w:rFonts w:ascii="Arial" w:hAnsi="Arial" w:cs="Arial"/>
          <w:sz w:val="20"/>
          <w:szCs w:val="20"/>
        </w:rPr>
      </w:pPr>
      <w:r w:rsidRPr="00AB088E">
        <w:rPr>
          <w:rFonts w:ascii="Arial" w:hAnsi="Arial" w:cs="Arial"/>
          <w:sz w:val="20"/>
          <w:szCs w:val="20"/>
        </w:rPr>
        <w:t>The Somerset House</w:t>
      </w:r>
      <w:r w:rsidR="00027D57" w:rsidRPr="00AB088E">
        <w:rPr>
          <w:rFonts w:ascii="Arial" w:hAnsi="Arial" w:cs="Arial"/>
          <w:sz w:val="20"/>
          <w:szCs w:val="20"/>
        </w:rPr>
        <w:t>:</w:t>
      </w:r>
    </w:p>
    <w:p w:rsidR="0027715F" w:rsidRPr="00AB088E" w:rsidRDefault="0027715F" w:rsidP="00AB088E">
      <w:pPr>
        <w:spacing w:after="0" w:line="240" w:lineRule="auto"/>
        <w:rPr>
          <w:rFonts w:ascii="Arial" w:hAnsi="Arial" w:cs="Arial"/>
          <w:sz w:val="20"/>
          <w:szCs w:val="20"/>
        </w:rPr>
      </w:pPr>
      <w:r w:rsidRPr="00AB088E">
        <w:rPr>
          <w:rFonts w:ascii="Arial" w:hAnsi="Arial" w:cs="Arial"/>
          <w:sz w:val="20"/>
          <w:szCs w:val="20"/>
        </w:rPr>
        <w:t>The building was a heritage protected building and needed to be repaired and upgraded.</w:t>
      </w:r>
    </w:p>
    <w:p w:rsidR="0027715F" w:rsidRPr="00AB088E" w:rsidRDefault="0027715F" w:rsidP="00AB088E">
      <w:pPr>
        <w:spacing w:after="0" w:line="240" w:lineRule="auto"/>
        <w:rPr>
          <w:rFonts w:ascii="Arial" w:hAnsi="Arial" w:cs="Arial"/>
          <w:sz w:val="20"/>
          <w:szCs w:val="20"/>
        </w:rPr>
      </w:pPr>
    </w:p>
    <w:p w:rsidR="0027715F" w:rsidRPr="00AB088E" w:rsidRDefault="0027715F" w:rsidP="00AB088E">
      <w:pPr>
        <w:spacing w:after="0" w:line="240" w:lineRule="auto"/>
        <w:rPr>
          <w:rFonts w:ascii="Arial" w:hAnsi="Arial" w:cs="Arial"/>
          <w:sz w:val="20"/>
          <w:szCs w:val="20"/>
        </w:rPr>
      </w:pPr>
      <w:r w:rsidRPr="00AB088E">
        <w:rPr>
          <w:rFonts w:ascii="Arial" w:hAnsi="Arial" w:cs="Arial"/>
          <w:sz w:val="20"/>
          <w:szCs w:val="20"/>
        </w:rPr>
        <w:t>The Central Building:</w:t>
      </w:r>
    </w:p>
    <w:p w:rsidR="0027715F" w:rsidRPr="00AB088E" w:rsidRDefault="0027715F" w:rsidP="00AB088E">
      <w:pPr>
        <w:spacing w:after="0" w:line="240" w:lineRule="auto"/>
        <w:rPr>
          <w:rFonts w:ascii="Arial" w:hAnsi="Arial" w:cs="Arial"/>
          <w:sz w:val="20"/>
          <w:szCs w:val="20"/>
        </w:rPr>
      </w:pPr>
      <w:r w:rsidRPr="00AB088E">
        <w:rPr>
          <w:rFonts w:ascii="Arial" w:hAnsi="Arial" w:cs="Arial"/>
          <w:sz w:val="20"/>
          <w:szCs w:val="20"/>
        </w:rPr>
        <w:t>The building was condemned for occupation by the municipality due to contamination of the water supply and reticulation in the building.</w:t>
      </w:r>
    </w:p>
    <w:p w:rsidR="00D6412C" w:rsidRPr="00AB088E" w:rsidRDefault="00D6412C" w:rsidP="00AB088E">
      <w:pPr>
        <w:spacing w:after="0" w:line="240" w:lineRule="auto"/>
        <w:rPr>
          <w:rFonts w:ascii="Arial" w:hAnsi="Arial" w:cs="Arial"/>
          <w:sz w:val="20"/>
          <w:szCs w:val="20"/>
        </w:rPr>
      </w:pPr>
    </w:p>
    <w:p w:rsidR="007E654C" w:rsidRPr="00AB088E" w:rsidRDefault="007E654C" w:rsidP="00AB088E">
      <w:pPr>
        <w:pStyle w:val="Heading4"/>
        <w:spacing w:before="0" w:line="240" w:lineRule="auto"/>
        <w:rPr>
          <w:rFonts w:ascii="Arial" w:hAnsi="Arial" w:cs="Arial"/>
          <w:sz w:val="20"/>
          <w:szCs w:val="20"/>
        </w:rPr>
      </w:pPr>
      <w:r w:rsidRPr="00AB088E">
        <w:rPr>
          <w:rFonts w:ascii="Arial" w:hAnsi="Arial" w:cs="Arial"/>
          <w:sz w:val="20"/>
          <w:szCs w:val="20"/>
        </w:rPr>
        <w:t xml:space="preserve"> </w:t>
      </w:r>
      <w:r w:rsidR="00D6412C" w:rsidRPr="00AB088E">
        <w:rPr>
          <w:rFonts w:ascii="Arial" w:hAnsi="Arial" w:cs="Arial"/>
          <w:sz w:val="20"/>
          <w:szCs w:val="20"/>
        </w:rPr>
        <w:t>Financial expenditure breakdown to date</w:t>
      </w:r>
    </w:p>
    <w:p w:rsidR="00D6412C" w:rsidRPr="00AB088E" w:rsidRDefault="00D6412C" w:rsidP="00AB088E">
      <w:pPr>
        <w:spacing w:after="0" w:line="240" w:lineRule="auto"/>
        <w:rPr>
          <w:rFonts w:ascii="Arial" w:hAnsi="Arial" w:cs="Arial"/>
          <w:sz w:val="20"/>
          <w:szCs w:val="20"/>
        </w:rPr>
      </w:pPr>
    </w:p>
    <w:p w:rsidR="00D5391B" w:rsidRPr="00AB088E" w:rsidRDefault="0027715F" w:rsidP="00AB088E">
      <w:pPr>
        <w:spacing w:after="0" w:line="240" w:lineRule="auto"/>
        <w:rPr>
          <w:rFonts w:ascii="Arial" w:hAnsi="Arial" w:cs="Arial"/>
          <w:sz w:val="20"/>
          <w:szCs w:val="20"/>
        </w:rPr>
      </w:pPr>
      <w:r w:rsidRPr="00AB088E">
        <w:rPr>
          <w:rFonts w:ascii="Arial" w:hAnsi="Arial" w:cs="Arial"/>
          <w:sz w:val="20"/>
          <w:szCs w:val="20"/>
        </w:rPr>
        <w:t>The Complex</w:t>
      </w:r>
      <w:r w:rsidR="007A53BD" w:rsidRPr="00AB088E">
        <w:rPr>
          <w:rFonts w:ascii="Arial" w:hAnsi="Arial" w:cs="Arial"/>
          <w:sz w:val="20"/>
          <w:szCs w:val="20"/>
        </w:rPr>
        <w:t xml:space="preserve"> (or Precinct)</w:t>
      </w:r>
      <w:r w:rsidRPr="00AB088E">
        <w:rPr>
          <w:rFonts w:ascii="Arial" w:hAnsi="Arial" w:cs="Arial"/>
          <w:sz w:val="20"/>
          <w:szCs w:val="20"/>
        </w:rPr>
        <w:t>, with the exception of the IT</w:t>
      </w:r>
      <w:r w:rsidR="007A53BD" w:rsidRPr="00AB088E">
        <w:rPr>
          <w:rFonts w:ascii="Arial" w:hAnsi="Arial" w:cs="Arial"/>
          <w:sz w:val="20"/>
          <w:szCs w:val="20"/>
        </w:rPr>
        <w:t>C</w:t>
      </w:r>
      <w:r w:rsidRPr="00AB088E">
        <w:rPr>
          <w:rFonts w:ascii="Arial" w:hAnsi="Arial" w:cs="Arial"/>
          <w:sz w:val="20"/>
          <w:szCs w:val="20"/>
        </w:rPr>
        <w:t xml:space="preserve"> and PR Buildings (leased), were acquired and finally transferred to NDPWI, by Telkom Retirement Fund, on </w:t>
      </w:r>
      <w:r w:rsidR="00D065D7" w:rsidRPr="00AB088E">
        <w:rPr>
          <w:rFonts w:ascii="Arial" w:hAnsi="Arial" w:cs="Arial"/>
          <w:sz w:val="20"/>
          <w:szCs w:val="20"/>
        </w:rPr>
        <w:t xml:space="preserve">6 June </w:t>
      </w:r>
      <w:r w:rsidRPr="00AB088E">
        <w:rPr>
          <w:rFonts w:ascii="Arial" w:hAnsi="Arial" w:cs="Arial"/>
          <w:sz w:val="20"/>
          <w:szCs w:val="20"/>
        </w:rPr>
        <w:t>2016.</w:t>
      </w:r>
      <w:r w:rsidR="00D065D7" w:rsidRPr="00AB088E">
        <w:rPr>
          <w:rFonts w:ascii="Arial" w:hAnsi="Arial" w:cs="Arial"/>
          <w:sz w:val="20"/>
          <w:szCs w:val="20"/>
        </w:rPr>
        <w:t xml:space="preserve"> The initial asking price from Telkom Retirement Fund (TRF), for ten (10) buildings, was R 954,000,000-00, excluding VAT. The DPWI’s negotiated price was R 650,000,000-00 excluding VAT. Telkom indicated that the PR building, which is classified as a NKP, would be purchased back for the amount </w:t>
      </w:r>
      <w:r w:rsidR="00582E6D" w:rsidRPr="00AB088E">
        <w:rPr>
          <w:rFonts w:ascii="Arial" w:hAnsi="Arial" w:cs="Arial"/>
          <w:sz w:val="20"/>
          <w:szCs w:val="20"/>
        </w:rPr>
        <w:t>of R</w:t>
      </w:r>
      <w:r w:rsidR="00D065D7" w:rsidRPr="00AB088E">
        <w:rPr>
          <w:rFonts w:ascii="Arial" w:hAnsi="Arial" w:cs="Arial"/>
          <w:sz w:val="20"/>
          <w:szCs w:val="20"/>
        </w:rPr>
        <w:t xml:space="preserve"> 41,000,000-00, thus reducing the purchase price to R 609,000,000-00 excluding VAT, for nine buildings and a total purchase amount of R 694,260,000-00 including VAT. The SAPS indicated that the amount of R 149,698,855-00 was available, from the Capital Works Budget allocation, in the 2015/2016 financial year, which was subsequently transferred to the DPWI on 5 November 2015.</w:t>
      </w:r>
    </w:p>
    <w:p w:rsidR="00D065D7" w:rsidRPr="00AB088E" w:rsidRDefault="00D065D7" w:rsidP="00AB088E">
      <w:pPr>
        <w:spacing w:after="0" w:line="240" w:lineRule="auto"/>
        <w:rPr>
          <w:rFonts w:ascii="Arial" w:hAnsi="Arial" w:cs="Arial"/>
          <w:sz w:val="20"/>
          <w:szCs w:val="20"/>
        </w:rPr>
      </w:pPr>
      <w:r w:rsidRPr="00AB088E">
        <w:rPr>
          <w:rFonts w:ascii="Arial" w:hAnsi="Arial" w:cs="Arial"/>
          <w:sz w:val="20"/>
          <w:szCs w:val="20"/>
        </w:rPr>
        <w:t>The DPWI confirmed that the amount of R 150,301,145-00 was also available from the Property Management Trading Entity (PMTE) budget in the 2015/2016 financial year. A combined amount of R300,000,000-00 was then paid as the first payment on the overall purchase price. The SAPS paid the settlement amount of R 394,260,000-00 to the DPWI on 10 February 2016. Upon the conclusion of the acquisition process for the Telkom Towers buildings, the SAPS undertook an IS/ICT Infrastructure roll-out project, for the commissioning of the cabling and associated hardware and services, as activated through a letter received on 29 September 2015. Subsequent to that, the Division: Technology Management Services (TMS) initiated a procurement process and approval was granted by the Bid Adjudication Committee (BAC) to appoint the contractors amounting to R344 117 009-00.</w:t>
      </w:r>
    </w:p>
    <w:p w:rsidR="00D065D7" w:rsidRPr="00AB088E" w:rsidRDefault="00D065D7" w:rsidP="00AB088E">
      <w:pPr>
        <w:spacing w:after="0" w:line="240" w:lineRule="auto"/>
        <w:rPr>
          <w:rFonts w:ascii="Arial" w:hAnsi="Arial" w:cs="Arial"/>
          <w:sz w:val="20"/>
          <w:szCs w:val="20"/>
        </w:rPr>
      </w:pPr>
    </w:p>
    <w:p w:rsidR="002453D4" w:rsidRPr="00AB088E" w:rsidRDefault="002453D4" w:rsidP="00AB088E">
      <w:pPr>
        <w:spacing w:after="0" w:line="240" w:lineRule="auto"/>
        <w:rPr>
          <w:rFonts w:ascii="Arial" w:hAnsi="Arial" w:cs="Arial"/>
          <w:sz w:val="20"/>
          <w:szCs w:val="20"/>
        </w:rPr>
      </w:pPr>
    </w:p>
    <w:p w:rsidR="002453D4" w:rsidRPr="00AB088E" w:rsidRDefault="002453D4" w:rsidP="00AB088E">
      <w:pPr>
        <w:spacing w:after="0" w:line="240" w:lineRule="auto"/>
        <w:rPr>
          <w:rFonts w:ascii="Arial" w:hAnsi="Arial" w:cs="Arial"/>
          <w:sz w:val="20"/>
          <w:szCs w:val="20"/>
        </w:rPr>
      </w:pPr>
    </w:p>
    <w:p w:rsidR="00D065D7" w:rsidRPr="00AB088E" w:rsidRDefault="00D065D7" w:rsidP="00AB088E">
      <w:pPr>
        <w:pStyle w:val="Heading4"/>
        <w:spacing w:before="0" w:line="240" w:lineRule="auto"/>
        <w:rPr>
          <w:rFonts w:ascii="Arial" w:hAnsi="Arial" w:cs="Arial"/>
          <w:sz w:val="20"/>
          <w:szCs w:val="20"/>
        </w:rPr>
      </w:pPr>
      <w:r w:rsidRPr="00AB088E">
        <w:rPr>
          <w:rFonts w:ascii="Arial" w:hAnsi="Arial" w:cs="Arial"/>
          <w:sz w:val="20"/>
          <w:szCs w:val="20"/>
        </w:rPr>
        <w:t>Migration challenges</w:t>
      </w:r>
    </w:p>
    <w:p w:rsidR="00D065D7" w:rsidRPr="00AB088E" w:rsidRDefault="00D065D7" w:rsidP="00AB088E">
      <w:pPr>
        <w:spacing w:after="0" w:line="240" w:lineRule="auto"/>
        <w:rPr>
          <w:rFonts w:ascii="Arial" w:hAnsi="Arial" w:cs="Arial"/>
          <w:sz w:val="20"/>
          <w:szCs w:val="20"/>
        </w:rPr>
      </w:pPr>
    </w:p>
    <w:p w:rsidR="00D6412C" w:rsidRPr="00AB088E" w:rsidRDefault="00D6412C" w:rsidP="00AB088E">
      <w:pPr>
        <w:spacing w:after="0" w:line="240" w:lineRule="auto"/>
        <w:rPr>
          <w:rFonts w:ascii="Arial" w:hAnsi="Arial" w:cs="Arial"/>
          <w:sz w:val="20"/>
          <w:szCs w:val="20"/>
        </w:rPr>
      </w:pPr>
      <w:r w:rsidRPr="00AB088E">
        <w:rPr>
          <w:rFonts w:ascii="Arial" w:hAnsi="Arial" w:cs="Arial"/>
          <w:sz w:val="20"/>
          <w:szCs w:val="20"/>
        </w:rPr>
        <w:t xml:space="preserve">According to the Acceptance Letter, the occupation by the SAPS was meant to be executed by 1 April 2016, however, the occupation was on condition that repairs and renovations were completed and paid for by the DPWI. The NDPWI indicated that the SAPS could only occupy when the Department is </w:t>
      </w:r>
      <w:r w:rsidRPr="00AB088E">
        <w:rPr>
          <w:rFonts w:ascii="Arial" w:hAnsi="Arial" w:cs="Arial"/>
          <w:sz w:val="20"/>
          <w:szCs w:val="20"/>
        </w:rPr>
        <w:lastRenderedPageBreak/>
        <w:t xml:space="preserve">issued with Occupation and Compliance Certificates. The commitment by the DPWI as per their presentation made on 9 April 2018 to the National </w:t>
      </w:r>
      <w:r w:rsidR="00194CFA" w:rsidRPr="00AB088E">
        <w:rPr>
          <w:rFonts w:ascii="Arial" w:hAnsi="Arial" w:cs="Arial"/>
          <w:sz w:val="20"/>
          <w:szCs w:val="20"/>
        </w:rPr>
        <w:t>Commissioner, reflected</w:t>
      </w:r>
      <w:r w:rsidRPr="00AB088E">
        <w:rPr>
          <w:rFonts w:ascii="Arial" w:hAnsi="Arial" w:cs="Arial"/>
          <w:sz w:val="20"/>
          <w:szCs w:val="20"/>
        </w:rPr>
        <w:t xml:space="preserve"> that the North Tower would be ready, which lead to the National Commissioner taking occupation of the North Tower Floor 23 </w:t>
      </w:r>
      <w:r w:rsidR="00194CFA" w:rsidRPr="00AB088E">
        <w:rPr>
          <w:rFonts w:ascii="Arial" w:hAnsi="Arial" w:cs="Arial"/>
          <w:sz w:val="20"/>
          <w:szCs w:val="20"/>
        </w:rPr>
        <w:t>and</w:t>
      </w:r>
      <w:r w:rsidRPr="00AB088E">
        <w:rPr>
          <w:rFonts w:ascii="Arial" w:hAnsi="Arial" w:cs="Arial"/>
          <w:sz w:val="20"/>
          <w:szCs w:val="20"/>
        </w:rPr>
        <w:t xml:space="preserve"> 24 during May 2018. However, due to the continuous challenges experienced by the office of the National Commissioner with regard to the building and non-compliance to the OHS Act, the National Commissioner had to vacate the building and had to be temporarily accommodated at Maupa Naga. Several engagements with the DPWI led to the second Project Execution Plan presented on 27 July 2018 for the North Tower and Annex (Phase 1), which indicated that the two buildings would only be ready nine months after handing over of the site, which was expected to be 26 November 2018, thus the practical completion date was estimated to be 31 July 2019.</w:t>
      </w:r>
    </w:p>
    <w:p w:rsidR="00D6412C" w:rsidRPr="00AB088E" w:rsidRDefault="00D6412C" w:rsidP="00AB088E">
      <w:pPr>
        <w:spacing w:after="0" w:line="240" w:lineRule="auto"/>
        <w:rPr>
          <w:rFonts w:ascii="Arial" w:hAnsi="Arial" w:cs="Arial"/>
          <w:sz w:val="20"/>
          <w:szCs w:val="20"/>
        </w:rPr>
      </w:pPr>
    </w:p>
    <w:p w:rsidR="00D6412C" w:rsidRPr="00AB088E" w:rsidRDefault="00D6412C" w:rsidP="00AB088E">
      <w:pPr>
        <w:pStyle w:val="Heading4"/>
        <w:spacing w:before="0" w:line="240" w:lineRule="auto"/>
        <w:rPr>
          <w:rFonts w:ascii="Arial" w:hAnsi="Arial" w:cs="Arial"/>
          <w:sz w:val="20"/>
          <w:szCs w:val="20"/>
        </w:rPr>
      </w:pPr>
      <w:r w:rsidRPr="00AB088E">
        <w:rPr>
          <w:rFonts w:ascii="Arial" w:hAnsi="Arial" w:cs="Arial"/>
          <w:sz w:val="20"/>
          <w:szCs w:val="20"/>
        </w:rPr>
        <w:t>Occupational Health and Safety Challenges</w:t>
      </w:r>
    </w:p>
    <w:p w:rsidR="00D6412C" w:rsidRPr="00AB088E" w:rsidRDefault="00D6412C" w:rsidP="00AB088E">
      <w:pPr>
        <w:spacing w:after="0" w:line="240" w:lineRule="auto"/>
        <w:rPr>
          <w:rFonts w:ascii="Arial" w:hAnsi="Arial" w:cs="Arial"/>
          <w:sz w:val="20"/>
          <w:szCs w:val="20"/>
        </w:rPr>
      </w:pPr>
    </w:p>
    <w:p w:rsidR="00D6412C" w:rsidRPr="00AB088E" w:rsidRDefault="00D6412C" w:rsidP="00AB088E">
      <w:pPr>
        <w:spacing w:after="0" w:line="240" w:lineRule="auto"/>
        <w:rPr>
          <w:rFonts w:ascii="Arial" w:hAnsi="Arial" w:cs="Arial"/>
          <w:sz w:val="20"/>
          <w:szCs w:val="20"/>
        </w:rPr>
      </w:pPr>
      <w:r w:rsidRPr="00AB088E">
        <w:rPr>
          <w:rFonts w:ascii="Arial" w:hAnsi="Arial" w:cs="Arial"/>
          <w:sz w:val="20"/>
          <w:szCs w:val="20"/>
        </w:rPr>
        <w:t xml:space="preserve">During the meeting held between the former DPWI Director General, Adv. Vukela and the National Commissioner, on 9 April 2018, the DPWI made a commitment that three floors (Floors 23, 24 </w:t>
      </w:r>
      <w:r w:rsidR="00B0541D" w:rsidRPr="00AB088E">
        <w:rPr>
          <w:rFonts w:ascii="Arial" w:hAnsi="Arial" w:cs="Arial"/>
          <w:sz w:val="20"/>
          <w:szCs w:val="20"/>
        </w:rPr>
        <w:t>and</w:t>
      </w:r>
      <w:r w:rsidRPr="00AB088E">
        <w:rPr>
          <w:rFonts w:ascii="Arial" w:hAnsi="Arial" w:cs="Arial"/>
          <w:sz w:val="20"/>
          <w:szCs w:val="20"/>
        </w:rPr>
        <w:t xml:space="preserve"> 25) would be ready for occupation, by 2 May 2018</w:t>
      </w:r>
      <w:r w:rsidR="00A003C0" w:rsidRPr="00AB088E">
        <w:rPr>
          <w:rFonts w:ascii="Arial" w:hAnsi="Arial" w:cs="Arial"/>
          <w:sz w:val="20"/>
          <w:szCs w:val="20"/>
        </w:rPr>
        <w:t xml:space="preserve">. </w:t>
      </w:r>
      <w:r w:rsidRPr="00AB088E">
        <w:rPr>
          <w:rFonts w:ascii="Arial" w:hAnsi="Arial" w:cs="Arial"/>
          <w:sz w:val="20"/>
          <w:szCs w:val="20"/>
        </w:rPr>
        <w:t xml:space="preserve">Unfortunately, there was no further communication and the National Commissioner and his staff took occupation on </w:t>
      </w:r>
      <w:r w:rsidR="00A003C0" w:rsidRPr="00AB088E">
        <w:rPr>
          <w:rFonts w:ascii="Arial" w:hAnsi="Arial" w:cs="Arial"/>
          <w:sz w:val="20"/>
          <w:szCs w:val="20"/>
        </w:rPr>
        <w:t xml:space="preserve">7 May </w:t>
      </w:r>
      <w:r w:rsidRPr="00AB088E">
        <w:rPr>
          <w:rFonts w:ascii="Arial" w:hAnsi="Arial" w:cs="Arial"/>
          <w:sz w:val="20"/>
          <w:szCs w:val="20"/>
        </w:rPr>
        <w:t>2018</w:t>
      </w:r>
      <w:r w:rsidR="00A003C0" w:rsidRPr="00AB088E">
        <w:rPr>
          <w:rFonts w:ascii="Arial" w:hAnsi="Arial" w:cs="Arial"/>
          <w:sz w:val="20"/>
          <w:szCs w:val="20"/>
        </w:rPr>
        <w:t xml:space="preserve">. It was only after occupation </w:t>
      </w:r>
      <w:r w:rsidRPr="00AB088E">
        <w:rPr>
          <w:rFonts w:ascii="Arial" w:hAnsi="Arial" w:cs="Arial"/>
          <w:sz w:val="20"/>
          <w:szCs w:val="20"/>
        </w:rPr>
        <w:t xml:space="preserve">that a letter was received from </w:t>
      </w:r>
      <w:r w:rsidR="00A003C0" w:rsidRPr="00AB088E">
        <w:rPr>
          <w:rFonts w:ascii="Arial" w:hAnsi="Arial" w:cs="Arial"/>
          <w:sz w:val="20"/>
          <w:szCs w:val="20"/>
        </w:rPr>
        <w:t xml:space="preserve">the </w:t>
      </w:r>
      <w:r w:rsidRPr="00AB088E">
        <w:rPr>
          <w:rFonts w:ascii="Arial" w:hAnsi="Arial" w:cs="Arial"/>
          <w:sz w:val="20"/>
          <w:szCs w:val="20"/>
        </w:rPr>
        <w:t>DPWI indicating that the building (North Tower) needed to comply with the requirement</w:t>
      </w:r>
      <w:r w:rsidR="00A003C0" w:rsidRPr="00AB088E">
        <w:rPr>
          <w:rFonts w:ascii="Arial" w:hAnsi="Arial" w:cs="Arial"/>
          <w:sz w:val="20"/>
          <w:szCs w:val="20"/>
        </w:rPr>
        <w:t>s,</w:t>
      </w:r>
      <w:r w:rsidRPr="00AB088E">
        <w:rPr>
          <w:rFonts w:ascii="Arial" w:hAnsi="Arial" w:cs="Arial"/>
          <w:sz w:val="20"/>
          <w:szCs w:val="20"/>
        </w:rPr>
        <w:t xml:space="preserve"> where a certificate of occupation and compliance had to be issued to the</w:t>
      </w:r>
      <w:r w:rsidR="00A003C0" w:rsidRPr="00AB088E">
        <w:rPr>
          <w:rFonts w:ascii="Arial" w:hAnsi="Arial" w:cs="Arial"/>
          <w:sz w:val="20"/>
          <w:szCs w:val="20"/>
        </w:rPr>
        <w:t xml:space="preserve"> National Commissioner prior occupation. </w:t>
      </w:r>
      <w:r w:rsidRPr="00AB088E">
        <w:rPr>
          <w:rFonts w:ascii="Arial" w:hAnsi="Arial" w:cs="Arial"/>
          <w:sz w:val="20"/>
          <w:szCs w:val="20"/>
        </w:rPr>
        <w:t>The building did not have a fire detection system and the fire sprinklers were not functioning which exposed the building to high risk of fire.</w:t>
      </w:r>
    </w:p>
    <w:p w:rsidR="00A003C0" w:rsidRPr="00AB088E" w:rsidRDefault="00A003C0" w:rsidP="00AB088E">
      <w:pPr>
        <w:spacing w:after="0" w:line="240" w:lineRule="auto"/>
        <w:rPr>
          <w:rFonts w:ascii="Arial" w:hAnsi="Arial" w:cs="Arial"/>
          <w:sz w:val="20"/>
          <w:szCs w:val="20"/>
        </w:rPr>
      </w:pPr>
      <w:r w:rsidRPr="00AB088E">
        <w:rPr>
          <w:rFonts w:ascii="Arial" w:hAnsi="Arial" w:cs="Arial"/>
          <w:sz w:val="20"/>
          <w:szCs w:val="20"/>
        </w:rPr>
        <w:t xml:space="preserve">The Certificate of Occupation and the Certificate of Compliance (electrical) for the North Tower and Annex buildings were outstanding. Upon receipt of the letter from the DPWI regarding the non-compliance of the buildings, the then National Commissioner was forced to vacate, also due to the fact that the Commissioning and Maintenance Records of the HVAC and passenger lifts were also outstanding. </w:t>
      </w:r>
    </w:p>
    <w:p w:rsidR="00A003C0" w:rsidRPr="00AB088E" w:rsidRDefault="00A003C0" w:rsidP="00AB088E">
      <w:pPr>
        <w:spacing w:after="0" w:line="240" w:lineRule="auto"/>
        <w:rPr>
          <w:rFonts w:ascii="Arial" w:hAnsi="Arial" w:cs="Arial"/>
          <w:sz w:val="20"/>
          <w:szCs w:val="20"/>
        </w:rPr>
      </w:pPr>
      <w:r w:rsidRPr="00AB088E">
        <w:rPr>
          <w:rFonts w:ascii="Arial" w:hAnsi="Arial" w:cs="Arial"/>
          <w:sz w:val="20"/>
          <w:szCs w:val="20"/>
        </w:rPr>
        <w:t>The Telkom North Towers makes provision for 12 lifts, six high-rise lifts and six low-rise lifts, only three high rise lifts were functional while only one low rise lift was functional, which created a serious challenge for the members that were in occupation at the time. The malfunctioning of the lifts posed significant high risks as there were reports of the lifts dropping to certain floors and members being trapped in the lifts.</w:t>
      </w:r>
    </w:p>
    <w:p w:rsidR="00A003C0" w:rsidRPr="00AB088E" w:rsidRDefault="00A003C0" w:rsidP="00AB088E">
      <w:pPr>
        <w:spacing w:after="0" w:line="240" w:lineRule="auto"/>
        <w:rPr>
          <w:rFonts w:ascii="Arial" w:hAnsi="Arial" w:cs="Arial"/>
          <w:sz w:val="20"/>
          <w:szCs w:val="20"/>
        </w:rPr>
      </w:pPr>
      <w:r w:rsidRPr="00AB088E">
        <w:rPr>
          <w:rFonts w:ascii="Arial" w:hAnsi="Arial" w:cs="Arial"/>
          <w:sz w:val="20"/>
          <w:szCs w:val="20"/>
        </w:rPr>
        <w:t>Certificates of Occupation and Compliance for all other buildings were never issued, as the project execution plans only covered the North Tower and Annex, thereby excluding all other buildings.</w:t>
      </w:r>
    </w:p>
    <w:p w:rsidR="00A003C0" w:rsidRPr="00AB088E" w:rsidRDefault="00A003C0" w:rsidP="00AB088E">
      <w:pPr>
        <w:spacing w:after="0" w:line="240" w:lineRule="auto"/>
        <w:rPr>
          <w:rFonts w:ascii="Arial" w:hAnsi="Arial" w:cs="Arial"/>
          <w:sz w:val="20"/>
          <w:szCs w:val="20"/>
        </w:rPr>
      </w:pPr>
    </w:p>
    <w:p w:rsidR="00A003C0" w:rsidRPr="00AB088E" w:rsidRDefault="00A003C0" w:rsidP="00AB088E">
      <w:pPr>
        <w:pStyle w:val="Heading4"/>
        <w:spacing w:before="0" w:line="240" w:lineRule="auto"/>
        <w:rPr>
          <w:rFonts w:ascii="Arial" w:hAnsi="Arial" w:cs="Arial"/>
          <w:sz w:val="20"/>
          <w:szCs w:val="20"/>
        </w:rPr>
      </w:pPr>
      <w:r w:rsidRPr="00AB088E">
        <w:rPr>
          <w:rFonts w:ascii="Arial" w:hAnsi="Arial" w:cs="Arial"/>
          <w:sz w:val="20"/>
          <w:szCs w:val="20"/>
        </w:rPr>
        <w:t>Status of SAPS leased facilities affected by the delay in migration</w:t>
      </w:r>
    </w:p>
    <w:p w:rsidR="00A003C0" w:rsidRPr="00AB088E" w:rsidRDefault="00A003C0" w:rsidP="00AB088E">
      <w:pPr>
        <w:spacing w:after="0" w:line="240" w:lineRule="auto"/>
        <w:rPr>
          <w:rFonts w:ascii="Arial" w:hAnsi="Arial" w:cs="Arial"/>
          <w:sz w:val="20"/>
          <w:szCs w:val="20"/>
        </w:rPr>
      </w:pPr>
    </w:p>
    <w:p w:rsidR="001900D4" w:rsidRPr="00AB088E" w:rsidRDefault="00A003C0" w:rsidP="00AB088E">
      <w:pPr>
        <w:spacing w:after="0" w:line="240" w:lineRule="auto"/>
        <w:rPr>
          <w:rFonts w:ascii="Arial" w:hAnsi="Arial" w:cs="Arial"/>
          <w:sz w:val="20"/>
          <w:szCs w:val="20"/>
        </w:rPr>
      </w:pPr>
      <w:r w:rsidRPr="00AB088E">
        <w:rPr>
          <w:rFonts w:ascii="Arial" w:hAnsi="Arial" w:cs="Arial"/>
          <w:sz w:val="20"/>
          <w:szCs w:val="20"/>
        </w:rPr>
        <w:t xml:space="preserve">The SAPS continues to incur costs on month-to-month leases, which were earmarked for termination upon the finalization of the migration to Telkom Towers. In addition, the facilities that are leased on a month-to-month basis are in a bad condition, due to neglected maintenance by the landlords, thus exposing the SAPS members to occupational health and safety risks. </w:t>
      </w:r>
    </w:p>
    <w:p w:rsidR="001900D4" w:rsidRPr="00AB088E" w:rsidRDefault="001900D4" w:rsidP="00AB088E">
      <w:pPr>
        <w:spacing w:after="0" w:line="240" w:lineRule="auto"/>
        <w:rPr>
          <w:rFonts w:ascii="Arial" w:hAnsi="Arial" w:cs="Arial"/>
          <w:sz w:val="20"/>
          <w:szCs w:val="20"/>
        </w:rPr>
      </w:pPr>
      <w:r w:rsidRPr="00AB088E">
        <w:rPr>
          <w:rFonts w:ascii="Arial" w:hAnsi="Arial" w:cs="Arial"/>
          <w:sz w:val="20"/>
          <w:szCs w:val="20"/>
        </w:rPr>
        <w:t xml:space="preserve">The SAPS incurs an expenditure of R 31 073 038.65 per month on leases </w:t>
      </w:r>
      <w:r w:rsidR="00653A10" w:rsidRPr="00AB088E">
        <w:rPr>
          <w:rFonts w:ascii="Arial" w:hAnsi="Arial" w:cs="Arial"/>
          <w:sz w:val="20"/>
          <w:szCs w:val="20"/>
        </w:rPr>
        <w:t>due to</w:t>
      </w:r>
      <w:r w:rsidRPr="00AB088E">
        <w:rPr>
          <w:rFonts w:ascii="Arial" w:hAnsi="Arial" w:cs="Arial"/>
          <w:sz w:val="20"/>
          <w:szCs w:val="20"/>
        </w:rPr>
        <w:t xml:space="preserve"> the delayed implementation of the Migration Plan to the Telkom Towers Buildings.</w:t>
      </w:r>
    </w:p>
    <w:p w:rsidR="00A003C0" w:rsidRPr="00AB088E" w:rsidRDefault="00A003C0" w:rsidP="00AB088E">
      <w:pPr>
        <w:spacing w:after="0" w:line="240" w:lineRule="auto"/>
        <w:rPr>
          <w:rFonts w:ascii="Arial" w:hAnsi="Arial" w:cs="Arial"/>
          <w:sz w:val="20"/>
          <w:szCs w:val="20"/>
        </w:rPr>
      </w:pPr>
    </w:p>
    <w:p w:rsidR="00653A10" w:rsidRPr="00AB088E" w:rsidRDefault="00653A10" w:rsidP="00AB088E">
      <w:pPr>
        <w:pStyle w:val="Heading4"/>
        <w:spacing w:before="0" w:line="240" w:lineRule="auto"/>
        <w:rPr>
          <w:rFonts w:ascii="Arial" w:hAnsi="Arial" w:cs="Arial"/>
          <w:sz w:val="20"/>
          <w:szCs w:val="20"/>
        </w:rPr>
      </w:pPr>
      <w:r w:rsidRPr="00AB088E">
        <w:rPr>
          <w:rFonts w:ascii="Arial" w:hAnsi="Arial" w:cs="Arial"/>
          <w:sz w:val="20"/>
          <w:szCs w:val="20"/>
        </w:rPr>
        <w:t>Challenges that contributed to further delays in migration</w:t>
      </w:r>
    </w:p>
    <w:p w:rsidR="00653A10" w:rsidRPr="00AB088E" w:rsidRDefault="00653A10" w:rsidP="00AB088E">
      <w:pPr>
        <w:spacing w:after="0" w:line="240" w:lineRule="auto"/>
        <w:rPr>
          <w:rFonts w:ascii="Arial" w:hAnsi="Arial" w:cs="Arial"/>
          <w:sz w:val="20"/>
          <w:szCs w:val="20"/>
        </w:rPr>
      </w:pPr>
    </w:p>
    <w:p w:rsidR="00653A10" w:rsidRPr="00AB088E" w:rsidRDefault="00653A10" w:rsidP="00AB088E">
      <w:pPr>
        <w:spacing w:after="0" w:line="240" w:lineRule="auto"/>
        <w:rPr>
          <w:rFonts w:ascii="Arial" w:hAnsi="Arial" w:cs="Arial"/>
          <w:sz w:val="20"/>
          <w:szCs w:val="20"/>
        </w:rPr>
      </w:pPr>
      <w:r w:rsidRPr="00AB088E">
        <w:rPr>
          <w:rFonts w:ascii="Arial" w:hAnsi="Arial" w:cs="Arial"/>
          <w:sz w:val="20"/>
          <w:szCs w:val="20"/>
        </w:rPr>
        <w:t xml:space="preserve">The DPWI appointed the Development Bank of South Africa (DBSA) as an </w:t>
      </w:r>
      <w:r w:rsidR="00654800" w:rsidRPr="00AB088E">
        <w:rPr>
          <w:rFonts w:ascii="Arial" w:hAnsi="Arial" w:cs="Arial"/>
          <w:sz w:val="20"/>
          <w:szCs w:val="20"/>
        </w:rPr>
        <w:t>i</w:t>
      </w:r>
      <w:r w:rsidRPr="00AB088E">
        <w:rPr>
          <w:rFonts w:ascii="Arial" w:hAnsi="Arial" w:cs="Arial"/>
          <w:sz w:val="20"/>
          <w:szCs w:val="20"/>
        </w:rPr>
        <w:t xml:space="preserve">mplementing </w:t>
      </w:r>
      <w:r w:rsidR="00654800" w:rsidRPr="00AB088E">
        <w:rPr>
          <w:rFonts w:ascii="Arial" w:hAnsi="Arial" w:cs="Arial"/>
          <w:sz w:val="20"/>
          <w:szCs w:val="20"/>
        </w:rPr>
        <w:t>a</w:t>
      </w:r>
      <w:r w:rsidRPr="00AB088E">
        <w:rPr>
          <w:rFonts w:ascii="Arial" w:hAnsi="Arial" w:cs="Arial"/>
          <w:sz w:val="20"/>
          <w:szCs w:val="20"/>
        </w:rPr>
        <w:t>gent to execute the project</w:t>
      </w:r>
      <w:r w:rsidR="00654800" w:rsidRPr="00AB088E">
        <w:rPr>
          <w:rFonts w:ascii="Arial" w:hAnsi="Arial" w:cs="Arial"/>
          <w:sz w:val="20"/>
          <w:szCs w:val="20"/>
        </w:rPr>
        <w:t>. The refurbishment project</w:t>
      </w:r>
      <w:r w:rsidRPr="00AB088E">
        <w:rPr>
          <w:rFonts w:ascii="Arial" w:hAnsi="Arial" w:cs="Arial"/>
          <w:sz w:val="20"/>
          <w:szCs w:val="20"/>
        </w:rPr>
        <w:t xml:space="preserve"> entails repairs, renovations and maintenance of two Telkom Towers buildings, namely</w:t>
      </w:r>
      <w:r w:rsidR="00654800" w:rsidRPr="00AB088E">
        <w:rPr>
          <w:rFonts w:ascii="Arial" w:hAnsi="Arial" w:cs="Arial"/>
          <w:sz w:val="20"/>
          <w:szCs w:val="20"/>
        </w:rPr>
        <w:t xml:space="preserve"> the</w:t>
      </w:r>
      <w:r w:rsidRPr="00AB088E">
        <w:rPr>
          <w:rFonts w:ascii="Arial" w:hAnsi="Arial" w:cs="Arial"/>
          <w:sz w:val="20"/>
          <w:szCs w:val="20"/>
        </w:rPr>
        <w:t xml:space="preserve"> North Tower and Annex Building. The DBSA was appointed on 18 May 2018 with an estimated contract value of R194 376 069-00. The project was handed over by DBSA to contractors on 24 June 2019. The initial completion date was projected for 30 May 2020</w:t>
      </w:r>
      <w:r w:rsidR="00B57359" w:rsidRPr="00AB088E">
        <w:rPr>
          <w:rFonts w:ascii="Arial" w:hAnsi="Arial" w:cs="Arial"/>
          <w:sz w:val="20"/>
          <w:szCs w:val="20"/>
        </w:rPr>
        <w:t>. This contradicts the date given to the committee during the 2019 oversight visit, when it was stated as 15 April 2020.</w:t>
      </w:r>
      <w:r w:rsidRPr="00AB088E">
        <w:rPr>
          <w:rFonts w:ascii="Arial" w:hAnsi="Arial" w:cs="Arial"/>
          <w:sz w:val="20"/>
          <w:szCs w:val="20"/>
        </w:rPr>
        <w:t xml:space="preserve"> </w:t>
      </w:r>
      <w:r w:rsidR="000A24BA" w:rsidRPr="00AB088E">
        <w:rPr>
          <w:rFonts w:ascii="Arial" w:hAnsi="Arial" w:cs="Arial"/>
          <w:sz w:val="20"/>
          <w:szCs w:val="20"/>
        </w:rPr>
        <w:t xml:space="preserve">The report provided during the current oversight visit stated that </w:t>
      </w:r>
      <w:r w:rsidRPr="00AB088E">
        <w:rPr>
          <w:rFonts w:ascii="Arial" w:hAnsi="Arial" w:cs="Arial"/>
          <w:sz w:val="20"/>
          <w:szCs w:val="20"/>
        </w:rPr>
        <w:t xml:space="preserve">the revised completion date as communicated during the meeting held on site on 18 June 2020 </w:t>
      </w:r>
      <w:r w:rsidR="00661C44" w:rsidRPr="00AB088E">
        <w:rPr>
          <w:rFonts w:ascii="Arial" w:hAnsi="Arial" w:cs="Arial"/>
          <w:sz w:val="20"/>
          <w:szCs w:val="20"/>
        </w:rPr>
        <w:t>was stated</w:t>
      </w:r>
      <w:r w:rsidR="000A24BA" w:rsidRPr="00AB088E">
        <w:rPr>
          <w:rFonts w:ascii="Arial" w:hAnsi="Arial" w:cs="Arial"/>
          <w:sz w:val="20"/>
          <w:szCs w:val="20"/>
        </w:rPr>
        <w:t xml:space="preserve"> as </w:t>
      </w:r>
      <w:r w:rsidRPr="00AB088E">
        <w:rPr>
          <w:rFonts w:ascii="Arial" w:hAnsi="Arial" w:cs="Arial"/>
          <w:sz w:val="20"/>
          <w:szCs w:val="20"/>
        </w:rPr>
        <w:t>15 October 2020</w:t>
      </w:r>
      <w:r w:rsidR="000A24BA" w:rsidRPr="00AB088E">
        <w:rPr>
          <w:rFonts w:ascii="Arial" w:hAnsi="Arial" w:cs="Arial"/>
          <w:sz w:val="20"/>
          <w:szCs w:val="20"/>
        </w:rPr>
        <w:t xml:space="preserve">. It is clear </w:t>
      </w:r>
      <w:r w:rsidR="00661C44" w:rsidRPr="00AB088E">
        <w:rPr>
          <w:rFonts w:ascii="Arial" w:hAnsi="Arial" w:cs="Arial"/>
          <w:sz w:val="20"/>
          <w:szCs w:val="20"/>
        </w:rPr>
        <w:t>that completion</w:t>
      </w:r>
      <w:r w:rsidRPr="00AB088E">
        <w:rPr>
          <w:rFonts w:ascii="Arial" w:hAnsi="Arial" w:cs="Arial"/>
          <w:sz w:val="20"/>
          <w:szCs w:val="20"/>
        </w:rPr>
        <w:t xml:space="preserve"> dates kept changing</w:t>
      </w:r>
      <w:r w:rsidR="000A24BA" w:rsidRPr="00AB088E">
        <w:rPr>
          <w:rFonts w:ascii="Arial" w:hAnsi="Arial" w:cs="Arial"/>
          <w:sz w:val="20"/>
          <w:szCs w:val="20"/>
        </w:rPr>
        <w:t xml:space="preserve"> as it was later shifted</w:t>
      </w:r>
      <w:r w:rsidRPr="00AB088E">
        <w:rPr>
          <w:rFonts w:ascii="Arial" w:hAnsi="Arial" w:cs="Arial"/>
          <w:sz w:val="20"/>
          <w:szCs w:val="20"/>
        </w:rPr>
        <w:t xml:space="preserve"> to 31 March 2021 </w:t>
      </w:r>
      <w:r w:rsidR="000A24BA" w:rsidRPr="00AB088E">
        <w:rPr>
          <w:rFonts w:ascii="Arial" w:hAnsi="Arial" w:cs="Arial"/>
          <w:sz w:val="20"/>
          <w:szCs w:val="20"/>
        </w:rPr>
        <w:t xml:space="preserve">which </w:t>
      </w:r>
      <w:r w:rsidRPr="00AB088E">
        <w:rPr>
          <w:rFonts w:ascii="Arial" w:hAnsi="Arial" w:cs="Arial"/>
          <w:sz w:val="20"/>
          <w:szCs w:val="20"/>
        </w:rPr>
        <w:t>also did not materialize.</w:t>
      </w:r>
    </w:p>
    <w:p w:rsidR="000A24BA" w:rsidRPr="00AB088E" w:rsidRDefault="000A24BA" w:rsidP="00AB088E">
      <w:pPr>
        <w:spacing w:after="0" w:line="240" w:lineRule="auto"/>
        <w:rPr>
          <w:rFonts w:ascii="Arial" w:hAnsi="Arial" w:cs="Arial"/>
          <w:sz w:val="20"/>
          <w:szCs w:val="20"/>
        </w:rPr>
      </w:pPr>
      <w:r w:rsidRPr="00AB088E">
        <w:rPr>
          <w:rFonts w:ascii="Arial" w:hAnsi="Arial" w:cs="Arial"/>
          <w:sz w:val="20"/>
          <w:szCs w:val="20"/>
        </w:rPr>
        <w:t xml:space="preserve">Before stating the reasons that project manager gave for these shifting dates, it must be kept in mind that shifting deadlines on projects means deviations of orders and increased project cost. It also means loss of trust in the </w:t>
      </w:r>
      <w:r w:rsidR="00582E6D" w:rsidRPr="00AB088E">
        <w:rPr>
          <w:rFonts w:ascii="Arial" w:hAnsi="Arial" w:cs="Arial"/>
          <w:sz w:val="20"/>
          <w:szCs w:val="20"/>
        </w:rPr>
        <w:t>PMTE Construction Project M</w:t>
      </w:r>
      <w:r w:rsidRPr="00AB088E">
        <w:rPr>
          <w:rFonts w:ascii="Arial" w:hAnsi="Arial" w:cs="Arial"/>
          <w:sz w:val="20"/>
          <w:szCs w:val="20"/>
        </w:rPr>
        <w:t>anag</w:t>
      </w:r>
      <w:r w:rsidR="00582E6D" w:rsidRPr="00AB088E">
        <w:rPr>
          <w:rFonts w:ascii="Arial" w:hAnsi="Arial" w:cs="Arial"/>
          <w:sz w:val="20"/>
          <w:szCs w:val="20"/>
        </w:rPr>
        <w:t>ement branch</w:t>
      </w:r>
      <w:r w:rsidRPr="00AB088E">
        <w:rPr>
          <w:rFonts w:ascii="Arial" w:hAnsi="Arial" w:cs="Arial"/>
          <w:sz w:val="20"/>
          <w:szCs w:val="20"/>
        </w:rPr>
        <w:t xml:space="preserve">. Furthermore, there should be clearly recorded reasons on requests for deviation of deadlines and cost before such can be agreed to. It is clear from the records that the DPWI and DBSA team provided vague high level information and reasons for shifting deadlines rather than providing the committee delegation material </w:t>
      </w:r>
      <w:r w:rsidRPr="00AB088E">
        <w:rPr>
          <w:rFonts w:ascii="Arial" w:hAnsi="Arial" w:cs="Arial"/>
          <w:sz w:val="20"/>
          <w:szCs w:val="20"/>
        </w:rPr>
        <w:lastRenderedPageBreak/>
        <w:t xml:space="preserve">evidence showing why the refurbishment continued to be incomplete. </w:t>
      </w:r>
      <w:r w:rsidR="00A91089" w:rsidRPr="00AB088E">
        <w:rPr>
          <w:rFonts w:ascii="Arial" w:hAnsi="Arial" w:cs="Arial"/>
          <w:sz w:val="20"/>
          <w:szCs w:val="20"/>
        </w:rPr>
        <w:t>The lack of material evidence that should be part of the project management process, such as the signing off on phases by registered project managers, and bui</w:t>
      </w:r>
      <w:r w:rsidR="00B63DF8" w:rsidRPr="00AB088E">
        <w:rPr>
          <w:rFonts w:ascii="Arial" w:hAnsi="Arial" w:cs="Arial"/>
          <w:sz w:val="20"/>
          <w:szCs w:val="20"/>
        </w:rPr>
        <w:t>l</w:t>
      </w:r>
      <w:r w:rsidR="00A91089" w:rsidRPr="00AB088E">
        <w:rPr>
          <w:rFonts w:ascii="Arial" w:hAnsi="Arial" w:cs="Arial"/>
          <w:sz w:val="20"/>
          <w:szCs w:val="20"/>
        </w:rPr>
        <w:t xml:space="preserve">t environment </w:t>
      </w:r>
      <w:r w:rsidR="00B63DF8" w:rsidRPr="00AB088E">
        <w:rPr>
          <w:rFonts w:ascii="Arial" w:hAnsi="Arial" w:cs="Arial"/>
          <w:sz w:val="20"/>
          <w:szCs w:val="20"/>
        </w:rPr>
        <w:t>professionals such as architects, structural and electrical engineers and internal designers, contravenes construction industry and built environment professional standards and frameworks.</w:t>
      </w:r>
    </w:p>
    <w:p w:rsidR="00653A10" w:rsidRPr="00AB088E" w:rsidRDefault="00653A10" w:rsidP="00AB088E">
      <w:pPr>
        <w:spacing w:after="0" w:line="240" w:lineRule="auto"/>
        <w:rPr>
          <w:rFonts w:ascii="Arial" w:hAnsi="Arial" w:cs="Arial"/>
          <w:sz w:val="20"/>
          <w:szCs w:val="20"/>
        </w:rPr>
      </w:pPr>
      <w:r w:rsidRPr="00AB088E">
        <w:rPr>
          <w:rFonts w:ascii="Arial" w:hAnsi="Arial" w:cs="Arial"/>
          <w:sz w:val="20"/>
          <w:szCs w:val="20"/>
        </w:rPr>
        <w:t xml:space="preserve">The </w:t>
      </w:r>
      <w:r w:rsidR="00B63DF8" w:rsidRPr="00AB088E">
        <w:rPr>
          <w:rFonts w:ascii="Arial" w:hAnsi="Arial" w:cs="Arial"/>
          <w:sz w:val="20"/>
          <w:szCs w:val="20"/>
        </w:rPr>
        <w:t xml:space="preserve">DBSA and DPWI team reported that reasons for delay included that the </w:t>
      </w:r>
      <w:r w:rsidRPr="00AB088E">
        <w:rPr>
          <w:rFonts w:ascii="Arial" w:hAnsi="Arial" w:cs="Arial"/>
          <w:sz w:val="20"/>
          <w:szCs w:val="20"/>
        </w:rPr>
        <w:t xml:space="preserve">project was marred by community unrest, which led to site-closure. </w:t>
      </w:r>
      <w:r w:rsidR="000E1CEB" w:rsidRPr="00AB088E">
        <w:rPr>
          <w:rFonts w:ascii="Arial" w:hAnsi="Arial" w:cs="Arial"/>
          <w:sz w:val="20"/>
          <w:szCs w:val="20"/>
        </w:rPr>
        <w:t>The team did not stipulate w</w:t>
      </w:r>
      <w:r w:rsidR="008A3614" w:rsidRPr="00AB088E">
        <w:rPr>
          <w:rFonts w:ascii="Arial" w:hAnsi="Arial" w:cs="Arial"/>
          <w:sz w:val="20"/>
          <w:szCs w:val="20"/>
        </w:rPr>
        <w:t>hich years, months or dates</w:t>
      </w:r>
      <w:r w:rsidR="000E1CEB" w:rsidRPr="00AB088E">
        <w:rPr>
          <w:rFonts w:ascii="Arial" w:hAnsi="Arial" w:cs="Arial"/>
          <w:sz w:val="20"/>
          <w:szCs w:val="20"/>
        </w:rPr>
        <w:t xml:space="preserve"> these </w:t>
      </w:r>
      <w:r w:rsidR="008A3614" w:rsidRPr="00AB088E">
        <w:rPr>
          <w:rFonts w:ascii="Arial" w:hAnsi="Arial" w:cs="Arial"/>
          <w:sz w:val="20"/>
          <w:szCs w:val="20"/>
        </w:rPr>
        <w:t xml:space="preserve">negatively </w:t>
      </w:r>
      <w:r w:rsidR="000E1CEB" w:rsidRPr="00AB088E">
        <w:rPr>
          <w:rFonts w:ascii="Arial" w:hAnsi="Arial" w:cs="Arial"/>
          <w:sz w:val="20"/>
          <w:szCs w:val="20"/>
        </w:rPr>
        <w:t>affected the project</w:t>
      </w:r>
      <w:r w:rsidR="008A3614" w:rsidRPr="00AB088E">
        <w:rPr>
          <w:rFonts w:ascii="Arial" w:hAnsi="Arial" w:cs="Arial"/>
          <w:sz w:val="20"/>
          <w:szCs w:val="20"/>
        </w:rPr>
        <w:t xml:space="preserve"> deadline, neither did they, or the project manager provide detail of the work of the community liaison officer whose function is to ensure that such incidences are foreseen and timeously resolved</w:t>
      </w:r>
      <w:r w:rsidR="000E1CEB" w:rsidRPr="00AB088E">
        <w:rPr>
          <w:rFonts w:ascii="Arial" w:hAnsi="Arial" w:cs="Arial"/>
          <w:sz w:val="20"/>
          <w:szCs w:val="20"/>
        </w:rPr>
        <w:t xml:space="preserve">. </w:t>
      </w:r>
      <w:r w:rsidRPr="00AB088E">
        <w:rPr>
          <w:rFonts w:ascii="Arial" w:hAnsi="Arial" w:cs="Arial"/>
          <w:sz w:val="20"/>
          <w:szCs w:val="20"/>
        </w:rPr>
        <w:t>The delayed completion of the project has resulted in an open-ended occupation of leased facilities that were earmarked for termination and subsequent migration to the Telkom Towers.</w:t>
      </w:r>
    </w:p>
    <w:p w:rsidR="00653A10" w:rsidRPr="00AB088E" w:rsidRDefault="00653A10" w:rsidP="00AB088E">
      <w:pPr>
        <w:spacing w:after="0" w:line="240" w:lineRule="auto"/>
        <w:rPr>
          <w:rFonts w:ascii="Arial" w:hAnsi="Arial" w:cs="Arial"/>
          <w:sz w:val="20"/>
          <w:szCs w:val="20"/>
        </w:rPr>
      </w:pPr>
      <w:r w:rsidRPr="00AB088E">
        <w:rPr>
          <w:rFonts w:ascii="Arial" w:hAnsi="Arial" w:cs="Arial"/>
          <w:sz w:val="20"/>
          <w:szCs w:val="20"/>
        </w:rPr>
        <w:t>The project only addressed two of the ten buildings, thus prolonging the migration and the subsequent cancellation of leased buildings in the greater Pretoria CBD. The scope of work addressed critical compliance issues and exclude</w:t>
      </w:r>
      <w:r w:rsidR="00661C44" w:rsidRPr="00AB088E">
        <w:rPr>
          <w:rFonts w:ascii="Arial" w:hAnsi="Arial" w:cs="Arial"/>
          <w:sz w:val="20"/>
          <w:szCs w:val="20"/>
        </w:rPr>
        <w:t>d</w:t>
      </w:r>
      <w:r w:rsidRPr="00AB088E">
        <w:rPr>
          <w:rFonts w:ascii="Arial" w:hAnsi="Arial" w:cs="Arial"/>
          <w:sz w:val="20"/>
          <w:szCs w:val="20"/>
        </w:rPr>
        <w:t xml:space="preserve"> aesthetic issues</w:t>
      </w:r>
      <w:r w:rsidR="00673FEB" w:rsidRPr="00AB088E">
        <w:rPr>
          <w:rFonts w:ascii="Arial" w:hAnsi="Arial" w:cs="Arial"/>
          <w:sz w:val="20"/>
          <w:szCs w:val="20"/>
        </w:rPr>
        <w:t xml:space="preserve"> such as</w:t>
      </w:r>
      <w:r w:rsidRPr="00AB088E">
        <w:rPr>
          <w:rFonts w:ascii="Arial" w:hAnsi="Arial" w:cs="Arial"/>
          <w:sz w:val="20"/>
          <w:szCs w:val="20"/>
        </w:rPr>
        <w:t xml:space="preserve"> painting and replacement of floor tiles and ceiling tiles.</w:t>
      </w:r>
      <w:r w:rsidR="00673FEB" w:rsidRPr="00AB088E">
        <w:rPr>
          <w:rFonts w:ascii="Arial" w:hAnsi="Arial" w:cs="Arial"/>
          <w:sz w:val="20"/>
          <w:szCs w:val="20"/>
        </w:rPr>
        <w:t xml:space="preserve"> It must be noted that in spite of the perception that such matters only affect aesthetics, they impact on Occupational Health and Safety</w:t>
      </w:r>
      <w:r w:rsidR="00DF2321" w:rsidRPr="00AB088E">
        <w:rPr>
          <w:rFonts w:ascii="Arial" w:hAnsi="Arial" w:cs="Arial"/>
          <w:sz w:val="20"/>
          <w:szCs w:val="20"/>
        </w:rPr>
        <w:t xml:space="preserve"> (OHS)</w:t>
      </w:r>
      <w:r w:rsidR="00673FEB" w:rsidRPr="00AB088E">
        <w:rPr>
          <w:rFonts w:ascii="Arial" w:hAnsi="Arial" w:cs="Arial"/>
          <w:sz w:val="20"/>
          <w:szCs w:val="20"/>
        </w:rPr>
        <w:t>.</w:t>
      </w:r>
      <w:r w:rsidRPr="00AB088E">
        <w:rPr>
          <w:rFonts w:ascii="Arial" w:hAnsi="Arial" w:cs="Arial"/>
          <w:sz w:val="20"/>
          <w:szCs w:val="20"/>
        </w:rPr>
        <w:t xml:space="preserve"> </w:t>
      </w:r>
    </w:p>
    <w:p w:rsidR="00653A10" w:rsidRPr="00AB088E" w:rsidRDefault="00653A10" w:rsidP="00AB088E">
      <w:pPr>
        <w:spacing w:after="0" w:line="240" w:lineRule="auto"/>
        <w:rPr>
          <w:rFonts w:ascii="Arial" w:hAnsi="Arial" w:cs="Arial"/>
          <w:sz w:val="20"/>
          <w:szCs w:val="20"/>
        </w:rPr>
      </w:pPr>
      <w:r w:rsidRPr="00AB088E">
        <w:rPr>
          <w:rFonts w:ascii="Arial" w:hAnsi="Arial" w:cs="Arial"/>
          <w:sz w:val="20"/>
          <w:szCs w:val="20"/>
        </w:rPr>
        <w:t>Lack of timeous feedback from the DPWI pertaining to project developments, created further challenges as the then National Commissioner continued to be temporarily accommodated at Maupa Naga.</w:t>
      </w:r>
    </w:p>
    <w:p w:rsidR="00653A10" w:rsidRPr="00AB088E" w:rsidRDefault="00653A10" w:rsidP="00AB088E">
      <w:pPr>
        <w:spacing w:after="0" w:line="240" w:lineRule="auto"/>
        <w:rPr>
          <w:rFonts w:ascii="Arial" w:hAnsi="Arial" w:cs="Arial"/>
          <w:sz w:val="20"/>
          <w:szCs w:val="20"/>
        </w:rPr>
      </w:pPr>
      <w:r w:rsidRPr="00AB088E">
        <w:rPr>
          <w:rFonts w:ascii="Arial" w:hAnsi="Arial" w:cs="Arial"/>
          <w:sz w:val="20"/>
          <w:szCs w:val="20"/>
        </w:rPr>
        <w:t>After the visit by the Portfolio Committee on Police (PCoP) to Veritas, in May 2021, a directive was given by the then National Commissioner that the Central Firearms Register (CFR) be migrated urgently to Telkom Towers, as the DPWI confirmed that the IT</w:t>
      </w:r>
      <w:r w:rsidR="00B84A24" w:rsidRPr="00AB088E">
        <w:rPr>
          <w:rFonts w:ascii="Arial" w:hAnsi="Arial" w:cs="Arial"/>
          <w:sz w:val="20"/>
          <w:szCs w:val="20"/>
        </w:rPr>
        <w:t>C</w:t>
      </w:r>
      <w:r w:rsidRPr="00AB088E">
        <w:rPr>
          <w:rFonts w:ascii="Arial" w:hAnsi="Arial" w:cs="Arial"/>
          <w:sz w:val="20"/>
          <w:szCs w:val="20"/>
        </w:rPr>
        <w:t xml:space="preserve"> building at Telkom Towers would be ready by October 2021 when the lease expire</w:t>
      </w:r>
      <w:r w:rsidR="00D04B01" w:rsidRPr="00AB088E">
        <w:rPr>
          <w:rFonts w:ascii="Arial" w:hAnsi="Arial" w:cs="Arial"/>
          <w:sz w:val="20"/>
          <w:szCs w:val="20"/>
        </w:rPr>
        <w:t>d</w:t>
      </w:r>
      <w:r w:rsidRPr="00AB088E">
        <w:rPr>
          <w:rFonts w:ascii="Arial" w:hAnsi="Arial" w:cs="Arial"/>
          <w:sz w:val="20"/>
          <w:szCs w:val="20"/>
        </w:rPr>
        <w:t xml:space="preserve">. </w:t>
      </w:r>
    </w:p>
    <w:p w:rsidR="00653A10" w:rsidRPr="00AB088E" w:rsidRDefault="00653A10" w:rsidP="00AB088E">
      <w:pPr>
        <w:spacing w:after="0" w:line="240" w:lineRule="auto"/>
        <w:rPr>
          <w:rFonts w:ascii="Arial" w:hAnsi="Arial" w:cs="Arial"/>
          <w:sz w:val="20"/>
          <w:szCs w:val="20"/>
        </w:rPr>
      </w:pPr>
      <w:r w:rsidRPr="00AB088E">
        <w:rPr>
          <w:rFonts w:ascii="Arial" w:hAnsi="Arial" w:cs="Arial"/>
          <w:sz w:val="20"/>
          <w:szCs w:val="20"/>
        </w:rPr>
        <w:t>In September 2021, the DPWI officially notified the National Commissioner that Telkom Towers North and Annex were ready for occupation</w:t>
      </w:r>
      <w:r w:rsidR="00673FEB" w:rsidRPr="00AB088E">
        <w:rPr>
          <w:rFonts w:ascii="Arial" w:hAnsi="Arial" w:cs="Arial"/>
          <w:sz w:val="20"/>
          <w:szCs w:val="20"/>
        </w:rPr>
        <w:t>. U</w:t>
      </w:r>
      <w:r w:rsidRPr="00AB088E">
        <w:rPr>
          <w:rFonts w:ascii="Arial" w:hAnsi="Arial" w:cs="Arial"/>
          <w:sz w:val="20"/>
          <w:szCs w:val="20"/>
        </w:rPr>
        <w:t>nfortunately, the IT</w:t>
      </w:r>
      <w:r w:rsidR="00B84A24" w:rsidRPr="00AB088E">
        <w:rPr>
          <w:rFonts w:ascii="Arial" w:hAnsi="Arial" w:cs="Arial"/>
          <w:sz w:val="20"/>
          <w:szCs w:val="20"/>
        </w:rPr>
        <w:t>C</w:t>
      </w:r>
      <w:r w:rsidRPr="00AB088E">
        <w:rPr>
          <w:rFonts w:ascii="Arial" w:hAnsi="Arial" w:cs="Arial"/>
          <w:sz w:val="20"/>
          <w:szCs w:val="20"/>
        </w:rPr>
        <w:t xml:space="preserve"> Building was not ready</w:t>
      </w:r>
      <w:r w:rsidR="00B804AD" w:rsidRPr="00AB088E">
        <w:rPr>
          <w:rFonts w:ascii="Arial" w:hAnsi="Arial" w:cs="Arial"/>
          <w:sz w:val="20"/>
          <w:szCs w:val="20"/>
        </w:rPr>
        <w:t xml:space="preserve"> for occupation. This</w:t>
      </w:r>
      <w:r w:rsidRPr="00AB088E">
        <w:rPr>
          <w:rFonts w:ascii="Arial" w:hAnsi="Arial" w:cs="Arial"/>
          <w:sz w:val="20"/>
          <w:szCs w:val="20"/>
        </w:rPr>
        <w:t xml:space="preserve"> meant that CFR had to be prioritized for occupation within the Telkom Tower Annex</w:t>
      </w:r>
      <w:r w:rsidR="00766155" w:rsidRPr="00AB088E">
        <w:rPr>
          <w:rFonts w:ascii="Arial" w:hAnsi="Arial" w:cs="Arial"/>
          <w:sz w:val="20"/>
          <w:szCs w:val="20"/>
        </w:rPr>
        <w:t xml:space="preserve">. </w:t>
      </w:r>
      <w:r w:rsidR="00B7795D" w:rsidRPr="00AB088E">
        <w:rPr>
          <w:rFonts w:ascii="Arial" w:hAnsi="Arial" w:cs="Arial"/>
          <w:sz w:val="20"/>
          <w:szCs w:val="20"/>
        </w:rPr>
        <w:t>T</w:t>
      </w:r>
      <w:r w:rsidRPr="00AB088E">
        <w:rPr>
          <w:rFonts w:ascii="Arial" w:hAnsi="Arial" w:cs="Arial"/>
          <w:sz w:val="20"/>
          <w:szCs w:val="20"/>
        </w:rPr>
        <w:t xml:space="preserve">he process of migrating the CFR commenced but </w:t>
      </w:r>
      <w:r w:rsidR="00512D87" w:rsidRPr="00AB088E">
        <w:rPr>
          <w:rFonts w:ascii="Arial" w:hAnsi="Arial" w:cs="Arial"/>
          <w:sz w:val="20"/>
          <w:szCs w:val="20"/>
        </w:rPr>
        <w:t>had to be</w:t>
      </w:r>
      <w:r w:rsidRPr="00AB088E">
        <w:rPr>
          <w:rFonts w:ascii="Arial" w:hAnsi="Arial" w:cs="Arial"/>
          <w:sz w:val="20"/>
          <w:szCs w:val="20"/>
        </w:rPr>
        <w:t xml:space="preserve"> stopped as the building was found to be </w:t>
      </w:r>
      <w:r w:rsidR="00525B65" w:rsidRPr="00AB088E">
        <w:rPr>
          <w:rFonts w:ascii="Arial" w:hAnsi="Arial" w:cs="Arial"/>
          <w:sz w:val="20"/>
          <w:szCs w:val="20"/>
        </w:rPr>
        <w:t>un</w:t>
      </w:r>
      <w:r w:rsidRPr="00AB088E">
        <w:rPr>
          <w:rFonts w:ascii="Arial" w:hAnsi="Arial" w:cs="Arial"/>
          <w:sz w:val="20"/>
          <w:szCs w:val="20"/>
        </w:rPr>
        <w:t xml:space="preserve">inhabitable, despite the Compliance Certificates issued by the Department of Labour and Tshwane Municipality.  </w:t>
      </w:r>
    </w:p>
    <w:p w:rsidR="00653A10" w:rsidRPr="00AB088E" w:rsidRDefault="00653A10" w:rsidP="00AB088E">
      <w:pPr>
        <w:spacing w:after="0" w:line="240" w:lineRule="auto"/>
        <w:rPr>
          <w:rFonts w:ascii="Arial" w:hAnsi="Arial" w:cs="Arial"/>
          <w:sz w:val="20"/>
          <w:szCs w:val="20"/>
        </w:rPr>
      </w:pPr>
      <w:r w:rsidRPr="00AB088E">
        <w:rPr>
          <w:rFonts w:ascii="Arial" w:hAnsi="Arial" w:cs="Arial"/>
          <w:sz w:val="20"/>
          <w:szCs w:val="20"/>
        </w:rPr>
        <w:t>The following challenges were brought to the attention of NDPWI for attention:</w:t>
      </w:r>
    </w:p>
    <w:p w:rsidR="00653A10" w:rsidRPr="00AB088E" w:rsidRDefault="00653A10" w:rsidP="00AB088E">
      <w:pPr>
        <w:pStyle w:val="ListParagraph"/>
        <w:numPr>
          <w:ilvl w:val="0"/>
          <w:numId w:val="17"/>
        </w:numPr>
        <w:spacing w:after="0" w:line="240" w:lineRule="auto"/>
        <w:rPr>
          <w:rFonts w:ascii="Arial" w:hAnsi="Arial" w:cs="Arial"/>
          <w:sz w:val="20"/>
          <w:szCs w:val="20"/>
        </w:rPr>
      </w:pPr>
      <w:r w:rsidRPr="00AB088E">
        <w:rPr>
          <w:rFonts w:ascii="Arial" w:hAnsi="Arial" w:cs="Arial"/>
          <w:sz w:val="20"/>
          <w:szCs w:val="20"/>
        </w:rPr>
        <w:t>T</w:t>
      </w:r>
      <w:r w:rsidR="00512D87" w:rsidRPr="00AB088E">
        <w:rPr>
          <w:rFonts w:ascii="Arial" w:hAnsi="Arial" w:cs="Arial"/>
          <w:sz w:val="20"/>
          <w:szCs w:val="20"/>
        </w:rPr>
        <w:t>he lifts at the Annex Building we</w:t>
      </w:r>
      <w:r w:rsidRPr="00AB088E">
        <w:rPr>
          <w:rFonts w:ascii="Arial" w:hAnsi="Arial" w:cs="Arial"/>
          <w:sz w:val="20"/>
          <w:szCs w:val="20"/>
        </w:rPr>
        <w:t>re malfunctioning.</w:t>
      </w:r>
    </w:p>
    <w:p w:rsidR="00653A10" w:rsidRPr="00AB088E" w:rsidRDefault="00653A10" w:rsidP="00AB088E">
      <w:pPr>
        <w:pStyle w:val="ListParagraph"/>
        <w:numPr>
          <w:ilvl w:val="0"/>
          <w:numId w:val="17"/>
        </w:numPr>
        <w:spacing w:after="0" w:line="240" w:lineRule="auto"/>
        <w:rPr>
          <w:rFonts w:ascii="Arial" w:hAnsi="Arial" w:cs="Arial"/>
          <w:sz w:val="20"/>
          <w:szCs w:val="20"/>
        </w:rPr>
      </w:pPr>
      <w:r w:rsidRPr="00AB088E">
        <w:rPr>
          <w:rFonts w:ascii="Arial" w:hAnsi="Arial" w:cs="Arial"/>
          <w:sz w:val="20"/>
          <w:szCs w:val="20"/>
        </w:rPr>
        <w:t>Visible leaks in the basement area and water ingress on the ground floor, coming from the side of the goods lifts.</w:t>
      </w:r>
    </w:p>
    <w:p w:rsidR="00653A10" w:rsidRPr="00AB088E" w:rsidRDefault="00512D87" w:rsidP="00AB088E">
      <w:pPr>
        <w:pStyle w:val="ListParagraph"/>
        <w:numPr>
          <w:ilvl w:val="0"/>
          <w:numId w:val="17"/>
        </w:numPr>
        <w:spacing w:after="0" w:line="240" w:lineRule="auto"/>
        <w:rPr>
          <w:rFonts w:ascii="Arial" w:hAnsi="Arial" w:cs="Arial"/>
          <w:sz w:val="20"/>
          <w:szCs w:val="20"/>
        </w:rPr>
      </w:pPr>
      <w:r w:rsidRPr="00AB088E">
        <w:rPr>
          <w:rFonts w:ascii="Arial" w:hAnsi="Arial" w:cs="Arial"/>
          <w:sz w:val="20"/>
          <w:szCs w:val="20"/>
        </w:rPr>
        <w:t>The mounted filing cabinets wer</w:t>
      </w:r>
      <w:r w:rsidR="00653A10" w:rsidRPr="00AB088E">
        <w:rPr>
          <w:rFonts w:ascii="Arial" w:hAnsi="Arial" w:cs="Arial"/>
          <w:sz w:val="20"/>
          <w:szCs w:val="20"/>
        </w:rPr>
        <w:t>e malfunctioning and need repairs (sliding on the fixations).</w:t>
      </w:r>
    </w:p>
    <w:p w:rsidR="003B44E4" w:rsidRPr="00AB088E" w:rsidRDefault="00512D87" w:rsidP="00AB088E">
      <w:pPr>
        <w:pStyle w:val="ListParagraph"/>
        <w:numPr>
          <w:ilvl w:val="0"/>
          <w:numId w:val="17"/>
        </w:numPr>
        <w:spacing w:after="0" w:line="240" w:lineRule="auto"/>
        <w:rPr>
          <w:rFonts w:ascii="Arial" w:hAnsi="Arial" w:cs="Arial"/>
          <w:sz w:val="20"/>
          <w:szCs w:val="20"/>
        </w:rPr>
      </w:pPr>
      <w:r w:rsidRPr="00AB088E">
        <w:rPr>
          <w:rFonts w:ascii="Arial" w:hAnsi="Arial" w:cs="Arial"/>
          <w:sz w:val="20"/>
          <w:szCs w:val="20"/>
        </w:rPr>
        <w:t>Carpets we</w:t>
      </w:r>
      <w:r w:rsidR="00653A10" w:rsidRPr="00AB088E">
        <w:rPr>
          <w:rFonts w:ascii="Arial" w:hAnsi="Arial" w:cs="Arial"/>
          <w:sz w:val="20"/>
          <w:szCs w:val="20"/>
        </w:rPr>
        <w:t>re old and worn out</w:t>
      </w:r>
      <w:r w:rsidRPr="00AB088E">
        <w:rPr>
          <w:rFonts w:ascii="Arial" w:hAnsi="Arial" w:cs="Arial"/>
          <w:sz w:val="20"/>
          <w:szCs w:val="20"/>
        </w:rPr>
        <w:t xml:space="preserve"> - usually the client department’s responsibility</w:t>
      </w:r>
      <w:r w:rsidR="00653A10" w:rsidRPr="00AB088E">
        <w:rPr>
          <w:rFonts w:ascii="Arial" w:hAnsi="Arial" w:cs="Arial"/>
          <w:sz w:val="20"/>
          <w:szCs w:val="20"/>
        </w:rPr>
        <w:t>.</w:t>
      </w:r>
    </w:p>
    <w:p w:rsidR="003B44E4" w:rsidRPr="00AB088E" w:rsidRDefault="008E06CD" w:rsidP="00AB088E">
      <w:pPr>
        <w:pStyle w:val="ListParagraph"/>
        <w:numPr>
          <w:ilvl w:val="0"/>
          <w:numId w:val="17"/>
        </w:numPr>
        <w:spacing w:after="0" w:line="240" w:lineRule="auto"/>
        <w:rPr>
          <w:rFonts w:ascii="Arial" w:hAnsi="Arial" w:cs="Arial"/>
          <w:sz w:val="20"/>
          <w:szCs w:val="20"/>
        </w:rPr>
      </w:pPr>
      <w:r w:rsidRPr="00AB088E">
        <w:rPr>
          <w:rFonts w:ascii="Arial" w:hAnsi="Arial" w:cs="Arial"/>
          <w:sz w:val="20"/>
          <w:szCs w:val="20"/>
        </w:rPr>
        <w:t>Fire extinguishers we</w:t>
      </w:r>
      <w:r w:rsidR="003B44E4" w:rsidRPr="00AB088E">
        <w:rPr>
          <w:rFonts w:ascii="Arial" w:hAnsi="Arial" w:cs="Arial"/>
          <w:sz w:val="20"/>
          <w:szCs w:val="20"/>
        </w:rPr>
        <w:t xml:space="preserve">re missing and </w:t>
      </w:r>
      <w:r w:rsidRPr="00AB088E">
        <w:rPr>
          <w:rFonts w:ascii="Arial" w:hAnsi="Arial" w:cs="Arial"/>
          <w:sz w:val="20"/>
          <w:szCs w:val="20"/>
        </w:rPr>
        <w:t>electrical distribution b</w:t>
      </w:r>
      <w:r w:rsidR="003B44E4" w:rsidRPr="00AB088E">
        <w:rPr>
          <w:rFonts w:ascii="Arial" w:hAnsi="Arial" w:cs="Arial"/>
          <w:sz w:val="20"/>
          <w:szCs w:val="20"/>
        </w:rPr>
        <w:t>oxes</w:t>
      </w:r>
      <w:r w:rsidRPr="00AB088E">
        <w:rPr>
          <w:rFonts w:ascii="Arial" w:hAnsi="Arial" w:cs="Arial"/>
          <w:sz w:val="20"/>
          <w:szCs w:val="20"/>
        </w:rPr>
        <w:t xml:space="preserve"> (DB) we</w:t>
      </w:r>
      <w:r w:rsidR="003B44E4" w:rsidRPr="00AB088E">
        <w:rPr>
          <w:rFonts w:ascii="Arial" w:hAnsi="Arial" w:cs="Arial"/>
          <w:sz w:val="20"/>
          <w:szCs w:val="20"/>
        </w:rPr>
        <w:t>re stripped of cables</w:t>
      </w:r>
      <w:r w:rsidRPr="00AB088E">
        <w:rPr>
          <w:rFonts w:ascii="Arial" w:hAnsi="Arial" w:cs="Arial"/>
          <w:sz w:val="20"/>
          <w:szCs w:val="20"/>
        </w:rPr>
        <w:t xml:space="preserve"> (evidence of cable theft) in a National Key Point building</w:t>
      </w:r>
      <w:r w:rsidR="003B44E4" w:rsidRPr="00AB088E">
        <w:rPr>
          <w:rFonts w:ascii="Arial" w:hAnsi="Arial" w:cs="Arial"/>
          <w:sz w:val="20"/>
          <w:szCs w:val="20"/>
        </w:rPr>
        <w:t>.</w:t>
      </w:r>
    </w:p>
    <w:p w:rsidR="003B44E4" w:rsidRPr="00AB088E" w:rsidRDefault="003B44E4" w:rsidP="00AB088E">
      <w:pPr>
        <w:pStyle w:val="ListParagraph"/>
        <w:numPr>
          <w:ilvl w:val="0"/>
          <w:numId w:val="17"/>
        </w:numPr>
        <w:spacing w:after="0" w:line="240" w:lineRule="auto"/>
        <w:rPr>
          <w:rFonts w:ascii="Arial" w:hAnsi="Arial" w:cs="Arial"/>
          <w:sz w:val="20"/>
          <w:szCs w:val="20"/>
        </w:rPr>
      </w:pPr>
      <w:r w:rsidRPr="00AB088E">
        <w:rPr>
          <w:rFonts w:ascii="Arial" w:hAnsi="Arial" w:cs="Arial"/>
          <w:sz w:val="20"/>
          <w:szCs w:val="20"/>
        </w:rPr>
        <w:t>Biometric system not in working condition.</w:t>
      </w:r>
    </w:p>
    <w:p w:rsidR="003B44E4" w:rsidRPr="00AB088E" w:rsidRDefault="003B44E4" w:rsidP="00AB088E">
      <w:pPr>
        <w:pStyle w:val="ListParagraph"/>
        <w:numPr>
          <w:ilvl w:val="0"/>
          <w:numId w:val="17"/>
        </w:numPr>
        <w:spacing w:after="0" w:line="240" w:lineRule="auto"/>
        <w:rPr>
          <w:rFonts w:ascii="Arial" w:hAnsi="Arial" w:cs="Arial"/>
          <w:sz w:val="20"/>
          <w:szCs w:val="20"/>
        </w:rPr>
      </w:pPr>
      <w:r w:rsidRPr="00AB088E">
        <w:rPr>
          <w:rFonts w:ascii="Arial" w:hAnsi="Arial" w:cs="Arial"/>
          <w:sz w:val="20"/>
          <w:szCs w:val="20"/>
        </w:rPr>
        <w:t>Damaged drywall in the basement storage area including holes in some of the walls that also require</w:t>
      </w:r>
      <w:r w:rsidR="00FD2010" w:rsidRPr="00AB088E">
        <w:rPr>
          <w:rFonts w:ascii="Arial" w:hAnsi="Arial" w:cs="Arial"/>
          <w:sz w:val="20"/>
          <w:szCs w:val="20"/>
        </w:rPr>
        <w:t>d</w:t>
      </w:r>
      <w:r w:rsidRPr="00AB088E">
        <w:rPr>
          <w:rFonts w:ascii="Arial" w:hAnsi="Arial" w:cs="Arial"/>
          <w:sz w:val="20"/>
          <w:szCs w:val="20"/>
        </w:rPr>
        <w:t xml:space="preserve"> repairs.</w:t>
      </w:r>
    </w:p>
    <w:p w:rsidR="003B44E4" w:rsidRPr="00AB088E" w:rsidRDefault="003B44E4" w:rsidP="00AB088E">
      <w:pPr>
        <w:pStyle w:val="ListParagraph"/>
        <w:numPr>
          <w:ilvl w:val="0"/>
          <w:numId w:val="17"/>
        </w:numPr>
        <w:spacing w:after="0" w:line="240" w:lineRule="auto"/>
        <w:rPr>
          <w:rFonts w:ascii="Arial" w:hAnsi="Arial" w:cs="Arial"/>
          <w:sz w:val="20"/>
          <w:szCs w:val="20"/>
        </w:rPr>
      </w:pPr>
      <w:r w:rsidRPr="00AB088E">
        <w:rPr>
          <w:rFonts w:ascii="Arial" w:hAnsi="Arial" w:cs="Arial"/>
          <w:sz w:val="20"/>
          <w:szCs w:val="20"/>
        </w:rPr>
        <w:t>Kitchens on several floors require</w:t>
      </w:r>
      <w:r w:rsidR="00E713BC" w:rsidRPr="00AB088E">
        <w:rPr>
          <w:rFonts w:ascii="Arial" w:hAnsi="Arial" w:cs="Arial"/>
          <w:sz w:val="20"/>
          <w:szCs w:val="20"/>
        </w:rPr>
        <w:t>d</w:t>
      </w:r>
      <w:r w:rsidRPr="00AB088E">
        <w:rPr>
          <w:rFonts w:ascii="Arial" w:hAnsi="Arial" w:cs="Arial"/>
          <w:sz w:val="20"/>
          <w:szCs w:val="20"/>
        </w:rPr>
        <w:t xml:space="preserve"> refurbishments.</w:t>
      </w:r>
    </w:p>
    <w:p w:rsidR="003B44E4" w:rsidRPr="00AB088E" w:rsidRDefault="003B44E4" w:rsidP="00AB088E">
      <w:pPr>
        <w:pStyle w:val="ListParagraph"/>
        <w:numPr>
          <w:ilvl w:val="0"/>
          <w:numId w:val="17"/>
        </w:numPr>
        <w:spacing w:after="0" w:line="240" w:lineRule="auto"/>
        <w:rPr>
          <w:rFonts w:ascii="Arial" w:hAnsi="Arial" w:cs="Arial"/>
          <w:sz w:val="20"/>
          <w:szCs w:val="20"/>
        </w:rPr>
      </w:pPr>
      <w:r w:rsidRPr="00AB088E">
        <w:rPr>
          <w:rFonts w:ascii="Arial" w:hAnsi="Arial" w:cs="Arial"/>
          <w:sz w:val="20"/>
          <w:szCs w:val="20"/>
        </w:rPr>
        <w:t>The door locks and safes need</w:t>
      </w:r>
      <w:r w:rsidR="00E713BC" w:rsidRPr="00AB088E">
        <w:rPr>
          <w:rFonts w:ascii="Arial" w:hAnsi="Arial" w:cs="Arial"/>
          <w:sz w:val="20"/>
          <w:szCs w:val="20"/>
        </w:rPr>
        <w:t>ed</w:t>
      </w:r>
      <w:r w:rsidRPr="00AB088E">
        <w:rPr>
          <w:rFonts w:ascii="Arial" w:hAnsi="Arial" w:cs="Arial"/>
          <w:sz w:val="20"/>
          <w:szCs w:val="20"/>
        </w:rPr>
        <w:t xml:space="preserve"> to be fitted with new locks.</w:t>
      </w:r>
    </w:p>
    <w:p w:rsidR="003B44E4" w:rsidRPr="00AB088E" w:rsidRDefault="003B44E4" w:rsidP="00AB088E">
      <w:pPr>
        <w:pStyle w:val="ListParagraph"/>
        <w:numPr>
          <w:ilvl w:val="0"/>
          <w:numId w:val="17"/>
        </w:numPr>
        <w:spacing w:after="0" w:line="240" w:lineRule="auto"/>
        <w:rPr>
          <w:rFonts w:ascii="Arial" w:hAnsi="Arial" w:cs="Arial"/>
          <w:sz w:val="20"/>
          <w:szCs w:val="20"/>
        </w:rPr>
      </w:pPr>
      <w:r w:rsidRPr="00AB088E">
        <w:rPr>
          <w:rFonts w:ascii="Arial" w:hAnsi="Arial" w:cs="Arial"/>
          <w:sz w:val="20"/>
          <w:szCs w:val="20"/>
        </w:rPr>
        <w:t xml:space="preserve">Bathrooms not </w:t>
      </w:r>
      <w:r w:rsidR="006048AB" w:rsidRPr="00AB088E">
        <w:rPr>
          <w:rFonts w:ascii="Arial" w:hAnsi="Arial" w:cs="Arial"/>
          <w:sz w:val="20"/>
          <w:szCs w:val="20"/>
        </w:rPr>
        <w:t>working,</w:t>
      </w:r>
      <w:r w:rsidR="00E713BC" w:rsidRPr="00AB088E">
        <w:rPr>
          <w:rFonts w:ascii="Arial" w:hAnsi="Arial" w:cs="Arial"/>
          <w:sz w:val="20"/>
          <w:szCs w:val="20"/>
        </w:rPr>
        <w:t xml:space="preserve"> some we</w:t>
      </w:r>
      <w:r w:rsidRPr="00AB088E">
        <w:rPr>
          <w:rFonts w:ascii="Arial" w:hAnsi="Arial" w:cs="Arial"/>
          <w:sz w:val="20"/>
          <w:szCs w:val="20"/>
        </w:rPr>
        <w:t>re without toilet paper holders.</w:t>
      </w:r>
    </w:p>
    <w:p w:rsidR="00653A10" w:rsidRPr="00AB088E" w:rsidRDefault="003B44E4" w:rsidP="00AB088E">
      <w:pPr>
        <w:pStyle w:val="ListParagraph"/>
        <w:numPr>
          <w:ilvl w:val="0"/>
          <w:numId w:val="17"/>
        </w:numPr>
        <w:spacing w:after="0" w:line="240" w:lineRule="auto"/>
        <w:rPr>
          <w:rFonts w:ascii="Arial" w:hAnsi="Arial" w:cs="Arial"/>
          <w:sz w:val="20"/>
          <w:szCs w:val="20"/>
        </w:rPr>
      </w:pPr>
      <w:r w:rsidRPr="00AB088E">
        <w:rPr>
          <w:rFonts w:ascii="Arial" w:hAnsi="Arial" w:cs="Arial"/>
          <w:sz w:val="20"/>
          <w:szCs w:val="20"/>
        </w:rPr>
        <w:t>Air conditioning system</w:t>
      </w:r>
      <w:r w:rsidR="00E713BC" w:rsidRPr="00AB088E">
        <w:rPr>
          <w:rFonts w:ascii="Arial" w:hAnsi="Arial" w:cs="Arial"/>
          <w:sz w:val="20"/>
          <w:szCs w:val="20"/>
        </w:rPr>
        <w:t xml:space="preserve"> were not working on</w:t>
      </w:r>
      <w:r w:rsidR="00850DDA" w:rsidRPr="00AB088E">
        <w:rPr>
          <w:rFonts w:ascii="Arial" w:hAnsi="Arial" w:cs="Arial"/>
          <w:sz w:val="20"/>
          <w:szCs w:val="20"/>
        </w:rPr>
        <w:t xml:space="preserve"> the</w:t>
      </w:r>
      <w:r w:rsidRPr="00AB088E">
        <w:rPr>
          <w:rFonts w:ascii="Arial" w:hAnsi="Arial" w:cs="Arial"/>
          <w:sz w:val="20"/>
          <w:szCs w:val="20"/>
        </w:rPr>
        <w:t xml:space="preserve"> ground floor.</w:t>
      </w:r>
    </w:p>
    <w:p w:rsidR="003B44E4" w:rsidRPr="00AB088E" w:rsidRDefault="003B44E4" w:rsidP="00AB088E">
      <w:pPr>
        <w:spacing w:after="0" w:line="240" w:lineRule="auto"/>
        <w:rPr>
          <w:rFonts w:ascii="Arial" w:hAnsi="Arial" w:cs="Arial"/>
          <w:sz w:val="20"/>
          <w:szCs w:val="20"/>
        </w:rPr>
      </w:pPr>
      <w:r w:rsidRPr="00AB088E">
        <w:rPr>
          <w:rFonts w:ascii="Arial" w:hAnsi="Arial" w:cs="Arial"/>
          <w:sz w:val="20"/>
          <w:szCs w:val="20"/>
        </w:rPr>
        <w:t>These issues were taken up with the DPWI</w:t>
      </w:r>
      <w:r w:rsidR="00B84A24" w:rsidRPr="00AB088E">
        <w:rPr>
          <w:rFonts w:ascii="Arial" w:hAnsi="Arial" w:cs="Arial"/>
          <w:sz w:val="20"/>
          <w:szCs w:val="20"/>
        </w:rPr>
        <w:t>. Unfortunately,</w:t>
      </w:r>
      <w:r w:rsidR="00FF43F4" w:rsidRPr="00AB088E">
        <w:rPr>
          <w:rFonts w:ascii="Arial" w:hAnsi="Arial" w:cs="Arial"/>
          <w:sz w:val="20"/>
          <w:szCs w:val="20"/>
        </w:rPr>
        <w:t xml:space="preserve"> at the date of the oversight visit,</w:t>
      </w:r>
      <w:r w:rsidR="00802531" w:rsidRPr="00AB088E">
        <w:rPr>
          <w:rFonts w:ascii="Arial" w:hAnsi="Arial" w:cs="Arial"/>
          <w:sz w:val="20"/>
          <w:szCs w:val="20"/>
        </w:rPr>
        <w:t xml:space="preserve"> no formal response </w:t>
      </w:r>
      <w:r w:rsidR="00B15182" w:rsidRPr="00AB088E">
        <w:rPr>
          <w:rFonts w:ascii="Arial" w:hAnsi="Arial" w:cs="Arial"/>
          <w:sz w:val="20"/>
          <w:szCs w:val="20"/>
        </w:rPr>
        <w:t>was</w:t>
      </w:r>
      <w:r w:rsidRPr="00AB088E">
        <w:rPr>
          <w:rFonts w:ascii="Arial" w:hAnsi="Arial" w:cs="Arial"/>
          <w:sz w:val="20"/>
          <w:szCs w:val="20"/>
        </w:rPr>
        <w:t xml:space="preserve"> received regarding the progress on the execution of the repairs </w:t>
      </w:r>
      <w:r w:rsidR="00B15182" w:rsidRPr="00AB088E">
        <w:rPr>
          <w:rFonts w:ascii="Arial" w:hAnsi="Arial" w:cs="Arial"/>
          <w:sz w:val="20"/>
          <w:szCs w:val="20"/>
        </w:rPr>
        <w:t>listed above, and</w:t>
      </w:r>
      <w:r w:rsidRPr="00AB088E">
        <w:rPr>
          <w:rFonts w:ascii="Arial" w:hAnsi="Arial" w:cs="Arial"/>
          <w:sz w:val="20"/>
          <w:szCs w:val="20"/>
        </w:rPr>
        <w:t xml:space="preserve"> ensuring that the </w:t>
      </w:r>
      <w:r w:rsidR="00B15182" w:rsidRPr="00AB088E">
        <w:rPr>
          <w:rFonts w:ascii="Arial" w:hAnsi="Arial" w:cs="Arial"/>
          <w:sz w:val="20"/>
          <w:szCs w:val="20"/>
        </w:rPr>
        <w:t xml:space="preserve">functionality of </w:t>
      </w:r>
      <w:r w:rsidRPr="00AB088E">
        <w:rPr>
          <w:rFonts w:ascii="Arial" w:hAnsi="Arial" w:cs="Arial"/>
          <w:sz w:val="20"/>
          <w:szCs w:val="20"/>
        </w:rPr>
        <w:t xml:space="preserve">lifts and </w:t>
      </w:r>
      <w:r w:rsidR="00B15182" w:rsidRPr="00AB088E">
        <w:rPr>
          <w:rFonts w:ascii="Arial" w:hAnsi="Arial" w:cs="Arial"/>
          <w:sz w:val="20"/>
          <w:szCs w:val="20"/>
        </w:rPr>
        <w:t xml:space="preserve">the </w:t>
      </w:r>
      <w:r w:rsidR="003C78A9" w:rsidRPr="00AB088E">
        <w:rPr>
          <w:rFonts w:ascii="Arial" w:hAnsi="Arial" w:cs="Arial"/>
          <w:sz w:val="20"/>
          <w:szCs w:val="20"/>
        </w:rPr>
        <w:t>heating, ventilation and air conditioning (</w:t>
      </w:r>
      <w:r w:rsidR="00B15182" w:rsidRPr="00AB088E">
        <w:rPr>
          <w:rFonts w:ascii="Arial" w:hAnsi="Arial" w:cs="Arial"/>
          <w:sz w:val="20"/>
          <w:szCs w:val="20"/>
        </w:rPr>
        <w:t>HVAC</w:t>
      </w:r>
      <w:r w:rsidR="003C78A9" w:rsidRPr="00AB088E">
        <w:rPr>
          <w:rFonts w:ascii="Arial" w:hAnsi="Arial" w:cs="Arial"/>
          <w:sz w:val="20"/>
          <w:szCs w:val="20"/>
        </w:rPr>
        <w:t>)</w:t>
      </w:r>
      <w:r w:rsidRPr="00AB088E">
        <w:rPr>
          <w:rFonts w:ascii="Arial" w:hAnsi="Arial" w:cs="Arial"/>
          <w:sz w:val="20"/>
          <w:szCs w:val="20"/>
        </w:rPr>
        <w:t xml:space="preserve"> system</w:t>
      </w:r>
      <w:r w:rsidR="00730FAA" w:rsidRPr="00AB088E">
        <w:rPr>
          <w:rFonts w:ascii="Arial" w:hAnsi="Arial" w:cs="Arial"/>
          <w:sz w:val="20"/>
          <w:szCs w:val="20"/>
        </w:rPr>
        <w:t>. All other buildings were</w:t>
      </w:r>
      <w:r w:rsidRPr="00AB088E">
        <w:rPr>
          <w:rFonts w:ascii="Arial" w:hAnsi="Arial" w:cs="Arial"/>
          <w:sz w:val="20"/>
          <w:szCs w:val="20"/>
        </w:rPr>
        <w:t xml:space="preserve"> vandalised and needed </w:t>
      </w:r>
      <w:r w:rsidR="00730FAA" w:rsidRPr="00AB088E">
        <w:rPr>
          <w:rFonts w:ascii="Arial" w:hAnsi="Arial" w:cs="Arial"/>
          <w:sz w:val="20"/>
          <w:szCs w:val="20"/>
        </w:rPr>
        <w:t>urgent</w:t>
      </w:r>
      <w:r w:rsidRPr="00AB088E">
        <w:rPr>
          <w:rFonts w:ascii="Arial" w:hAnsi="Arial" w:cs="Arial"/>
          <w:sz w:val="20"/>
          <w:szCs w:val="20"/>
        </w:rPr>
        <w:t xml:space="preserve"> repairs, which mean</w:t>
      </w:r>
      <w:r w:rsidR="00730FAA" w:rsidRPr="00AB088E">
        <w:rPr>
          <w:rFonts w:ascii="Arial" w:hAnsi="Arial" w:cs="Arial"/>
          <w:sz w:val="20"/>
          <w:szCs w:val="20"/>
        </w:rPr>
        <w:t>t that the SAPS wa</w:t>
      </w:r>
      <w:r w:rsidRPr="00AB088E">
        <w:rPr>
          <w:rFonts w:ascii="Arial" w:hAnsi="Arial" w:cs="Arial"/>
          <w:sz w:val="20"/>
          <w:szCs w:val="20"/>
        </w:rPr>
        <w:t>s not in a position to reduce its current leased-property portfolio.</w:t>
      </w:r>
    </w:p>
    <w:p w:rsidR="003B44E4" w:rsidRPr="00AB088E" w:rsidRDefault="003B44E4" w:rsidP="00AB088E">
      <w:pPr>
        <w:spacing w:after="0" w:line="240" w:lineRule="auto"/>
        <w:rPr>
          <w:rFonts w:ascii="Arial" w:hAnsi="Arial" w:cs="Arial"/>
          <w:sz w:val="20"/>
          <w:szCs w:val="20"/>
        </w:rPr>
      </w:pPr>
      <w:r w:rsidRPr="00AB088E">
        <w:rPr>
          <w:rFonts w:ascii="Arial" w:hAnsi="Arial" w:cs="Arial"/>
          <w:sz w:val="20"/>
          <w:szCs w:val="20"/>
        </w:rPr>
        <w:t>The SAPS would recommend that the DPWI provides the SAPS with a credible plan, with clear timelines on the implementation of the migration to Telkom Towers and that a Project Steering Committee be established to drive the project and report regularly to the relevant authorities. Failure to urgently attend to this matter would mean that an alternative project management method is considered so that the Telkom Towers project can be completed.</w:t>
      </w:r>
    </w:p>
    <w:p w:rsidR="00A665CB" w:rsidRPr="00AB088E" w:rsidRDefault="00A665CB" w:rsidP="00AB088E">
      <w:pPr>
        <w:spacing w:after="0" w:line="240" w:lineRule="auto"/>
        <w:rPr>
          <w:rFonts w:ascii="Arial" w:hAnsi="Arial" w:cs="Arial"/>
          <w:sz w:val="20"/>
          <w:szCs w:val="20"/>
        </w:rPr>
      </w:pPr>
    </w:p>
    <w:p w:rsidR="00176F3E" w:rsidRPr="00AB088E" w:rsidRDefault="00176F3E" w:rsidP="00AB088E">
      <w:pPr>
        <w:pStyle w:val="Heading3"/>
        <w:spacing w:before="0" w:after="0" w:line="240" w:lineRule="auto"/>
        <w:jc w:val="left"/>
        <w:rPr>
          <w:rFonts w:ascii="Arial" w:hAnsi="Arial" w:cs="Arial"/>
          <w:sz w:val="20"/>
          <w:szCs w:val="20"/>
        </w:rPr>
      </w:pPr>
      <w:r w:rsidRPr="00AB088E">
        <w:rPr>
          <w:rFonts w:ascii="Arial" w:hAnsi="Arial" w:cs="Arial"/>
          <w:sz w:val="20"/>
          <w:szCs w:val="20"/>
        </w:rPr>
        <w:t>Presentation by the Acting Director–General of the DPWI</w:t>
      </w:r>
    </w:p>
    <w:p w:rsidR="00D055A4" w:rsidRPr="00AB088E" w:rsidRDefault="00D055A4" w:rsidP="00AB088E">
      <w:pPr>
        <w:spacing w:after="0" w:line="240" w:lineRule="auto"/>
        <w:rPr>
          <w:rFonts w:ascii="Arial" w:hAnsi="Arial" w:cs="Arial"/>
          <w:sz w:val="20"/>
          <w:szCs w:val="20"/>
        </w:rPr>
      </w:pPr>
    </w:p>
    <w:p w:rsidR="00D055A4" w:rsidRPr="00AB088E" w:rsidRDefault="00D055A4" w:rsidP="00AB088E">
      <w:pPr>
        <w:spacing w:after="0" w:line="240" w:lineRule="auto"/>
        <w:rPr>
          <w:rFonts w:ascii="Arial" w:hAnsi="Arial" w:cs="Arial"/>
          <w:sz w:val="20"/>
          <w:szCs w:val="20"/>
        </w:rPr>
      </w:pPr>
      <w:r w:rsidRPr="00AB088E">
        <w:rPr>
          <w:rFonts w:ascii="Arial" w:hAnsi="Arial" w:cs="Arial"/>
          <w:sz w:val="20"/>
          <w:szCs w:val="20"/>
        </w:rPr>
        <w:t xml:space="preserve">The Acting Director – General of the DPWI, </w:t>
      </w:r>
      <w:r w:rsidR="00E13FDF" w:rsidRPr="00AB088E">
        <w:rPr>
          <w:rFonts w:ascii="Arial" w:hAnsi="Arial" w:cs="Arial"/>
          <w:sz w:val="20"/>
          <w:szCs w:val="20"/>
        </w:rPr>
        <w:t>D</w:t>
      </w:r>
      <w:r w:rsidRPr="00AB088E">
        <w:rPr>
          <w:rFonts w:ascii="Arial" w:hAnsi="Arial" w:cs="Arial"/>
          <w:sz w:val="20"/>
          <w:szCs w:val="20"/>
        </w:rPr>
        <w:t>r Moemi, assisted by his senior management team, reported as follows:</w:t>
      </w:r>
    </w:p>
    <w:p w:rsidR="00B071DD" w:rsidRPr="00AB088E" w:rsidRDefault="00B071DD" w:rsidP="00AB088E">
      <w:pPr>
        <w:spacing w:after="0" w:line="240" w:lineRule="auto"/>
        <w:rPr>
          <w:rFonts w:ascii="Arial" w:hAnsi="Arial" w:cs="Arial"/>
          <w:sz w:val="20"/>
          <w:szCs w:val="20"/>
        </w:rPr>
      </w:pPr>
    </w:p>
    <w:p w:rsidR="00D055A4" w:rsidRPr="00AB088E" w:rsidRDefault="00D055A4" w:rsidP="00AB088E">
      <w:pPr>
        <w:pStyle w:val="Heading4"/>
        <w:spacing w:before="0" w:line="240" w:lineRule="auto"/>
        <w:rPr>
          <w:rFonts w:ascii="Arial" w:hAnsi="Arial" w:cs="Arial"/>
          <w:sz w:val="20"/>
          <w:szCs w:val="20"/>
        </w:rPr>
      </w:pPr>
      <w:r w:rsidRPr="00AB088E">
        <w:rPr>
          <w:rFonts w:ascii="Arial" w:hAnsi="Arial" w:cs="Arial"/>
          <w:sz w:val="20"/>
          <w:szCs w:val="20"/>
        </w:rPr>
        <w:lastRenderedPageBreak/>
        <w:t>Telkom Towers phase 1 migration</w:t>
      </w:r>
    </w:p>
    <w:p w:rsidR="00D055A4" w:rsidRPr="00AB088E" w:rsidRDefault="00D055A4" w:rsidP="00AB088E">
      <w:pPr>
        <w:spacing w:after="0" w:line="240" w:lineRule="auto"/>
        <w:rPr>
          <w:rFonts w:ascii="Arial" w:hAnsi="Arial" w:cs="Arial"/>
          <w:sz w:val="20"/>
          <w:szCs w:val="20"/>
        </w:rPr>
      </w:pPr>
    </w:p>
    <w:p w:rsidR="00D055A4" w:rsidRPr="00AB088E" w:rsidRDefault="00D055A4" w:rsidP="00AB088E">
      <w:pPr>
        <w:spacing w:after="0" w:line="240" w:lineRule="auto"/>
        <w:rPr>
          <w:rFonts w:ascii="Arial" w:hAnsi="Arial" w:cs="Arial"/>
          <w:sz w:val="20"/>
          <w:szCs w:val="20"/>
        </w:rPr>
      </w:pPr>
      <w:r w:rsidRPr="00AB088E">
        <w:rPr>
          <w:rFonts w:ascii="Arial" w:hAnsi="Arial" w:cs="Arial"/>
          <w:sz w:val="20"/>
          <w:szCs w:val="20"/>
        </w:rPr>
        <w:t>In order to respond to the immediate upgrade requirements for the Telkom Towers (North Building) and Annex buildings, a project was commenced through the Development Bank of Southern Africa (“DBSA”) as Implementing Agents to DPWI, in accordance with the SAPS migration plan. The site was handed over to the contractor on the 24th June 2019. A Summary of the project plan for this project is provided below.</w:t>
      </w:r>
    </w:p>
    <w:p w:rsidR="00D055A4" w:rsidRPr="00AB088E" w:rsidRDefault="00D055A4" w:rsidP="00AB088E">
      <w:pPr>
        <w:spacing w:after="0" w:line="240" w:lineRule="auto"/>
        <w:rPr>
          <w:rFonts w:ascii="Arial" w:hAnsi="Arial" w:cs="Arial"/>
          <w:sz w:val="20"/>
          <w:szCs w:val="20"/>
        </w:rPr>
      </w:pPr>
      <w:r w:rsidRPr="00AB088E">
        <w:rPr>
          <w:rFonts w:ascii="Arial" w:hAnsi="Arial" w:cs="Arial"/>
          <w:sz w:val="20"/>
          <w:szCs w:val="20"/>
        </w:rPr>
        <w:t>The projected savings on termination of Presidia, La Rochelle, Opera Plaza and Opera Plaza Annex is R3 455 289.65. The project percentage reported was 100</w:t>
      </w:r>
      <w:r w:rsidR="00AC7B13" w:rsidRPr="00AB088E">
        <w:rPr>
          <w:rFonts w:ascii="Arial" w:hAnsi="Arial" w:cs="Arial"/>
          <w:sz w:val="20"/>
          <w:szCs w:val="20"/>
        </w:rPr>
        <w:t xml:space="preserve"> per cent </w:t>
      </w:r>
      <w:r w:rsidR="00B071DD" w:rsidRPr="00AB088E">
        <w:rPr>
          <w:rFonts w:ascii="Arial" w:hAnsi="Arial" w:cs="Arial"/>
          <w:sz w:val="20"/>
          <w:szCs w:val="20"/>
        </w:rPr>
        <w:t>which was the responsibility of the DBSA. Of the six leased buildings due to the delay in migration, four were terminates in July 2022 and the remaining two are on a month-to-month basis.</w:t>
      </w:r>
    </w:p>
    <w:p w:rsidR="00B071DD" w:rsidRPr="00AB088E" w:rsidRDefault="00B071DD" w:rsidP="00AB088E">
      <w:pPr>
        <w:spacing w:after="0" w:line="240" w:lineRule="auto"/>
        <w:rPr>
          <w:rFonts w:ascii="Arial" w:hAnsi="Arial" w:cs="Arial"/>
          <w:sz w:val="20"/>
          <w:szCs w:val="20"/>
        </w:rPr>
      </w:pPr>
    </w:p>
    <w:p w:rsidR="00B071DD" w:rsidRPr="00AB088E" w:rsidRDefault="00B071DD" w:rsidP="00AB088E">
      <w:pPr>
        <w:pStyle w:val="Heading4"/>
        <w:spacing w:before="0" w:line="240" w:lineRule="auto"/>
        <w:rPr>
          <w:rFonts w:ascii="Arial" w:hAnsi="Arial" w:cs="Arial"/>
          <w:sz w:val="20"/>
          <w:szCs w:val="20"/>
        </w:rPr>
      </w:pPr>
      <w:r w:rsidRPr="00AB088E">
        <w:rPr>
          <w:rFonts w:ascii="Arial" w:hAnsi="Arial" w:cs="Arial"/>
          <w:sz w:val="20"/>
          <w:szCs w:val="20"/>
        </w:rPr>
        <w:t>The Annex Building</w:t>
      </w:r>
    </w:p>
    <w:p w:rsidR="00B071DD" w:rsidRPr="00AB088E" w:rsidRDefault="00B071DD" w:rsidP="00AB088E">
      <w:pPr>
        <w:spacing w:after="0" w:line="240" w:lineRule="auto"/>
        <w:rPr>
          <w:rFonts w:ascii="Arial" w:hAnsi="Arial" w:cs="Arial"/>
          <w:sz w:val="20"/>
          <w:szCs w:val="20"/>
        </w:rPr>
      </w:pPr>
    </w:p>
    <w:p w:rsidR="00B071DD" w:rsidRPr="00AB088E" w:rsidRDefault="00B071DD" w:rsidP="00AB088E">
      <w:pPr>
        <w:spacing w:after="0" w:line="240" w:lineRule="auto"/>
        <w:rPr>
          <w:rFonts w:ascii="Arial" w:hAnsi="Arial" w:cs="Arial"/>
          <w:sz w:val="20"/>
          <w:szCs w:val="20"/>
        </w:rPr>
      </w:pPr>
      <w:r w:rsidRPr="00AB088E">
        <w:rPr>
          <w:rFonts w:ascii="Arial" w:hAnsi="Arial" w:cs="Arial"/>
          <w:sz w:val="20"/>
          <w:szCs w:val="20"/>
        </w:rPr>
        <w:t xml:space="preserve">Further new work requirements for the Annex building necessitated the need to address the water ingress problem prior to occupation into the building. The condition assessment identified the following key matters: </w:t>
      </w:r>
    </w:p>
    <w:p w:rsidR="00B071DD" w:rsidRPr="00AB088E" w:rsidRDefault="00B071DD" w:rsidP="00AB088E">
      <w:pPr>
        <w:pStyle w:val="ListParagraph"/>
        <w:numPr>
          <w:ilvl w:val="0"/>
          <w:numId w:val="26"/>
        </w:numPr>
        <w:spacing w:after="0" w:line="240" w:lineRule="auto"/>
        <w:rPr>
          <w:rFonts w:ascii="Arial" w:hAnsi="Arial" w:cs="Arial"/>
          <w:sz w:val="20"/>
          <w:szCs w:val="20"/>
        </w:rPr>
      </w:pPr>
      <w:r w:rsidRPr="00AB088E">
        <w:rPr>
          <w:rFonts w:ascii="Arial" w:hAnsi="Arial" w:cs="Arial"/>
          <w:sz w:val="20"/>
          <w:szCs w:val="20"/>
        </w:rPr>
        <w:t>Damaged joint sealant and joints not sealed properly (wear and tear) were noted between the wall and barrier concrete beam.</w:t>
      </w:r>
    </w:p>
    <w:p w:rsidR="00B071DD" w:rsidRPr="00AB088E" w:rsidRDefault="00B071DD" w:rsidP="00AB088E">
      <w:pPr>
        <w:pStyle w:val="ListParagraph"/>
        <w:numPr>
          <w:ilvl w:val="0"/>
          <w:numId w:val="26"/>
        </w:numPr>
        <w:spacing w:after="0" w:line="240" w:lineRule="auto"/>
        <w:rPr>
          <w:rFonts w:ascii="Arial" w:hAnsi="Arial" w:cs="Arial"/>
          <w:sz w:val="20"/>
          <w:szCs w:val="20"/>
        </w:rPr>
      </w:pPr>
      <w:r w:rsidRPr="00AB088E">
        <w:rPr>
          <w:rFonts w:ascii="Arial" w:hAnsi="Arial" w:cs="Arial"/>
          <w:sz w:val="20"/>
          <w:szCs w:val="20"/>
        </w:rPr>
        <w:t>Damaged joint sealant was noted between the concrete wall panels of the building.</w:t>
      </w:r>
    </w:p>
    <w:p w:rsidR="00B071DD" w:rsidRPr="00AB088E" w:rsidRDefault="00B071DD" w:rsidP="00AB088E">
      <w:pPr>
        <w:pStyle w:val="ListParagraph"/>
        <w:numPr>
          <w:ilvl w:val="0"/>
          <w:numId w:val="26"/>
        </w:numPr>
        <w:spacing w:after="0" w:line="240" w:lineRule="auto"/>
        <w:rPr>
          <w:rFonts w:ascii="Arial" w:hAnsi="Arial" w:cs="Arial"/>
          <w:sz w:val="20"/>
          <w:szCs w:val="20"/>
        </w:rPr>
      </w:pPr>
      <w:r w:rsidRPr="00AB088E">
        <w:rPr>
          <w:rFonts w:ascii="Arial" w:hAnsi="Arial" w:cs="Arial"/>
          <w:sz w:val="20"/>
          <w:szCs w:val="20"/>
        </w:rPr>
        <w:t xml:space="preserve">Evidence of water ingress were noted on the testing pit </w:t>
      </w:r>
      <w:r w:rsidR="00E13FDF" w:rsidRPr="00AB088E">
        <w:rPr>
          <w:rFonts w:ascii="Arial" w:hAnsi="Arial" w:cs="Arial"/>
          <w:sz w:val="20"/>
          <w:szCs w:val="20"/>
        </w:rPr>
        <w:t>of</w:t>
      </w:r>
      <w:r w:rsidRPr="00AB088E">
        <w:rPr>
          <w:rFonts w:ascii="Arial" w:hAnsi="Arial" w:cs="Arial"/>
          <w:sz w:val="20"/>
          <w:szCs w:val="20"/>
        </w:rPr>
        <w:t xml:space="preserve"> the building. </w:t>
      </w:r>
    </w:p>
    <w:p w:rsidR="00B071DD" w:rsidRPr="00AB088E" w:rsidRDefault="00B071DD" w:rsidP="00AB088E">
      <w:pPr>
        <w:pStyle w:val="ListParagraph"/>
        <w:numPr>
          <w:ilvl w:val="0"/>
          <w:numId w:val="26"/>
        </w:numPr>
        <w:spacing w:after="0" w:line="240" w:lineRule="auto"/>
        <w:rPr>
          <w:rFonts w:ascii="Arial" w:hAnsi="Arial" w:cs="Arial"/>
          <w:sz w:val="20"/>
          <w:szCs w:val="20"/>
        </w:rPr>
      </w:pPr>
      <w:r w:rsidRPr="00AB088E">
        <w:rPr>
          <w:rFonts w:ascii="Arial" w:hAnsi="Arial" w:cs="Arial"/>
          <w:sz w:val="20"/>
          <w:szCs w:val="20"/>
        </w:rPr>
        <w:t xml:space="preserve">Cracks on the basement slab with evidence of water leakages were noted. </w:t>
      </w:r>
    </w:p>
    <w:p w:rsidR="00B071DD" w:rsidRPr="00AB088E" w:rsidRDefault="00B071DD" w:rsidP="00AB088E">
      <w:pPr>
        <w:pStyle w:val="ListParagraph"/>
        <w:numPr>
          <w:ilvl w:val="0"/>
          <w:numId w:val="26"/>
        </w:numPr>
        <w:spacing w:after="0" w:line="240" w:lineRule="auto"/>
        <w:rPr>
          <w:rFonts w:ascii="Arial" w:hAnsi="Arial" w:cs="Arial"/>
          <w:sz w:val="20"/>
          <w:szCs w:val="20"/>
        </w:rPr>
      </w:pPr>
      <w:r w:rsidRPr="00AB088E">
        <w:rPr>
          <w:rFonts w:ascii="Arial" w:hAnsi="Arial" w:cs="Arial"/>
          <w:sz w:val="20"/>
          <w:szCs w:val="20"/>
        </w:rPr>
        <w:t xml:space="preserve">Cracks on the parking area floor slab were noted. </w:t>
      </w:r>
    </w:p>
    <w:p w:rsidR="00B071DD" w:rsidRPr="00AB088E" w:rsidRDefault="00B071DD" w:rsidP="00AB088E">
      <w:pPr>
        <w:pStyle w:val="ListParagraph"/>
        <w:numPr>
          <w:ilvl w:val="0"/>
          <w:numId w:val="26"/>
        </w:numPr>
        <w:spacing w:after="0" w:line="240" w:lineRule="auto"/>
        <w:rPr>
          <w:rFonts w:ascii="Arial" w:hAnsi="Arial" w:cs="Arial"/>
          <w:sz w:val="20"/>
          <w:szCs w:val="20"/>
        </w:rPr>
      </w:pPr>
      <w:r w:rsidRPr="00AB088E">
        <w:rPr>
          <w:rFonts w:ascii="Arial" w:hAnsi="Arial" w:cs="Arial"/>
          <w:sz w:val="20"/>
          <w:szCs w:val="20"/>
        </w:rPr>
        <w:t>Evidence of standing water on the parking area floor slab were noted</w:t>
      </w:r>
      <w:r w:rsidR="006048AB" w:rsidRPr="00AB088E">
        <w:rPr>
          <w:rFonts w:ascii="Arial" w:hAnsi="Arial" w:cs="Arial"/>
          <w:sz w:val="20"/>
          <w:szCs w:val="20"/>
        </w:rPr>
        <w:t>.</w:t>
      </w:r>
    </w:p>
    <w:p w:rsidR="00B071DD" w:rsidRPr="00AB088E" w:rsidRDefault="00B071DD" w:rsidP="00AB088E">
      <w:pPr>
        <w:spacing w:after="0" w:line="240" w:lineRule="auto"/>
        <w:rPr>
          <w:rFonts w:ascii="Arial" w:hAnsi="Arial" w:cs="Arial"/>
          <w:sz w:val="20"/>
          <w:szCs w:val="20"/>
        </w:rPr>
      </w:pPr>
    </w:p>
    <w:p w:rsidR="00B071DD" w:rsidRPr="00AB088E" w:rsidRDefault="00B071DD" w:rsidP="00AB088E">
      <w:pPr>
        <w:spacing w:after="0" w:line="240" w:lineRule="auto"/>
        <w:rPr>
          <w:rFonts w:ascii="Arial" w:hAnsi="Arial" w:cs="Arial"/>
          <w:sz w:val="20"/>
          <w:szCs w:val="20"/>
        </w:rPr>
      </w:pPr>
      <w:r w:rsidRPr="00AB088E">
        <w:rPr>
          <w:rFonts w:ascii="Arial" w:hAnsi="Arial" w:cs="Arial"/>
          <w:sz w:val="20"/>
          <w:szCs w:val="20"/>
        </w:rPr>
        <w:t>The site handover date is scheduled for 5 December 2022.</w:t>
      </w:r>
    </w:p>
    <w:p w:rsidR="00B071DD" w:rsidRPr="00AB088E" w:rsidRDefault="00B071DD" w:rsidP="00AB088E">
      <w:pPr>
        <w:pStyle w:val="Heading4"/>
        <w:spacing w:before="0" w:line="240" w:lineRule="auto"/>
        <w:rPr>
          <w:rFonts w:ascii="Arial" w:hAnsi="Arial" w:cs="Arial"/>
          <w:sz w:val="20"/>
          <w:szCs w:val="20"/>
        </w:rPr>
      </w:pPr>
      <w:r w:rsidRPr="00AB088E">
        <w:rPr>
          <w:rFonts w:ascii="Arial" w:hAnsi="Arial" w:cs="Arial"/>
          <w:sz w:val="20"/>
          <w:szCs w:val="20"/>
        </w:rPr>
        <w:t>IT Building</w:t>
      </w:r>
    </w:p>
    <w:p w:rsidR="00B071DD" w:rsidRPr="00AB088E" w:rsidRDefault="00B071DD" w:rsidP="00AB088E">
      <w:pPr>
        <w:spacing w:after="0" w:line="240" w:lineRule="auto"/>
        <w:rPr>
          <w:rFonts w:ascii="Arial" w:hAnsi="Arial" w:cs="Arial"/>
          <w:sz w:val="20"/>
          <w:szCs w:val="20"/>
        </w:rPr>
      </w:pPr>
    </w:p>
    <w:p w:rsidR="00B071DD" w:rsidRPr="00AB088E" w:rsidRDefault="00B071DD" w:rsidP="00AB088E">
      <w:pPr>
        <w:spacing w:after="0" w:line="240" w:lineRule="auto"/>
        <w:rPr>
          <w:rFonts w:ascii="Arial" w:hAnsi="Arial" w:cs="Arial"/>
          <w:sz w:val="20"/>
          <w:szCs w:val="20"/>
        </w:rPr>
      </w:pPr>
      <w:r w:rsidRPr="00AB088E">
        <w:rPr>
          <w:rFonts w:ascii="Arial" w:hAnsi="Arial" w:cs="Arial"/>
          <w:sz w:val="20"/>
          <w:szCs w:val="20"/>
        </w:rPr>
        <w:t xml:space="preserve">The DPWI is implementing a concurrent service to repair and maintain IT Building (Phase 6) with a GLA of ± 7 218 m². In 2021, this building was identified by SAPS to be an immediate term solution to accommodate the Visible Policing (VISPOL: FLASH units) which are currently accommodated at Veritas Building in Pretoria CBD. Departmental Professionals (in-house) undertake the planning and designs as the consulting team. The project was set back due to procurement </w:t>
      </w:r>
      <w:r w:rsidR="00266DB3" w:rsidRPr="00AB088E">
        <w:rPr>
          <w:rFonts w:ascii="Arial" w:hAnsi="Arial" w:cs="Arial"/>
          <w:sz w:val="20"/>
          <w:szCs w:val="20"/>
        </w:rPr>
        <w:t>challenge, which</w:t>
      </w:r>
      <w:r w:rsidRPr="00AB088E">
        <w:rPr>
          <w:rFonts w:ascii="Arial" w:hAnsi="Arial" w:cs="Arial"/>
          <w:sz w:val="20"/>
          <w:szCs w:val="20"/>
        </w:rPr>
        <w:t xml:space="preserve"> have since been escalated to the Accounting Officer for intervention.</w:t>
      </w:r>
    </w:p>
    <w:p w:rsidR="00B071DD" w:rsidRPr="00AB088E" w:rsidRDefault="00B071DD" w:rsidP="00AB088E">
      <w:pPr>
        <w:spacing w:after="0" w:line="240" w:lineRule="auto"/>
        <w:rPr>
          <w:rFonts w:ascii="Arial" w:hAnsi="Arial" w:cs="Arial"/>
          <w:sz w:val="20"/>
          <w:szCs w:val="20"/>
        </w:rPr>
      </w:pPr>
      <w:r w:rsidRPr="00AB088E">
        <w:rPr>
          <w:rFonts w:ascii="Arial" w:hAnsi="Arial" w:cs="Arial"/>
          <w:sz w:val="20"/>
          <w:szCs w:val="20"/>
        </w:rPr>
        <w:t xml:space="preserve">The </w:t>
      </w:r>
      <w:r w:rsidR="00266DB3" w:rsidRPr="00AB088E">
        <w:rPr>
          <w:rFonts w:ascii="Arial" w:hAnsi="Arial" w:cs="Arial"/>
          <w:sz w:val="20"/>
          <w:szCs w:val="20"/>
        </w:rPr>
        <w:t>s</w:t>
      </w:r>
      <w:r w:rsidRPr="00AB088E">
        <w:rPr>
          <w:rFonts w:ascii="Arial" w:hAnsi="Arial" w:cs="Arial"/>
          <w:sz w:val="20"/>
          <w:szCs w:val="20"/>
        </w:rPr>
        <w:t>cheduled for 18 October 2022.</w:t>
      </w:r>
    </w:p>
    <w:p w:rsidR="00B071DD" w:rsidRPr="00AB088E" w:rsidRDefault="00B071DD" w:rsidP="00AB088E">
      <w:pPr>
        <w:spacing w:after="0" w:line="240" w:lineRule="auto"/>
        <w:rPr>
          <w:rFonts w:ascii="Arial" w:hAnsi="Arial" w:cs="Arial"/>
          <w:sz w:val="20"/>
          <w:szCs w:val="20"/>
        </w:rPr>
      </w:pPr>
    </w:p>
    <w:p w:rsidR="00B071DD" w:rsidRPr="00AB088E" w:rsidRDefault="00B071DD" w:rsidP="00AB088E">
      <w:pPr>
        <w:pStyle w:val="Heading4"/>
        <w:spacing w:before="0" w:line="240" w:lineRule="auto"/>
        <w:rPr>
          <w:rFonts w:ascii="Arial" w:hAnsi="Arial" w:cs="Arial"/>
          <w:sz w:val="20"/>
          <w:szCs w:val="20"/>
        </w:rPr>
      </w:pPr>
      <w:r w:rsidRPr="00AB088E">
        <w:rPr>
          <w:rFonts w:ascii="Arial" w:hAnsi="Arial" w:cs="Arial"/>
          <w:sz w:val="20"/>
          <w:szCs w:val="20"/>
        </w:rPr>
        <w:t>Refurbishment, Operate and Transfer (ROT)</w:t>
      </w:r>
    </w:p>
    <w:p w:rsidR="00B071DD" w:rsidRPr="00AB088E" w:rsidRDefault="00B071DD" w:rsidP="00AB088E">
      <w:pPr>
        <w:spacing w:after="0" w:line="240" w:lineRule="auto"/>
        <w:rPr>
          <w:rFonts w:ascii="Arial" w:hAnsi="Arial" w:cs="Arial"/>
          <w:sz w:val="20"/>
          <w:szCs w:val="20"/>
        </w:rPr>
      </w:pPr>
    </w:p>
    <w:p w:rsidR="00B071DD" w:rsidRPr="00AB088E" w:rsidRDefault="00B071DD" w:rsidP="00AB088E">
      <w:pPr>
        <w:spacing w:after="0" w:line="240" w:lineRule="auto"/>
        <w:rPr>
          <w:rFonts w:ascii="Arial" w:hAnsi="Arial" w:cs="Arial"/>
          <w:sz w:val="20"/>
          <w:szCs w:val="20"/>
        </w:rPr>
      </w:pPr>
      <w:r w:rsidRPr="00AB088E">
        <w:rPr>
          <w:rFonts w:ascii="Arial" w:hAnsi="Arial" w:cs="Arial"/>
          <w:sz w:val="20"/>
          <w:szCs w:val="20"/>
        </w:rPr>
        <w:t>The other phases of Telkom Towers have not been activated as yet due to funding constraints as Phases 1 and IT Building are funded under the Department’s budget. The Department is currently exploring other strategies such as Refurbishment, Operate and Transfer (“ROT”) models to expedite funding. The ROT Programme will include East Tower, West Wing, South Tower, PR Building, Some</w:t>
      </w:r>
      <w:r w:rsidR="00F52DB5" w:rsidRPr="00AB088E">
        <w:rPr>
          <w:rFonts w:ascii="Arial" w:hAnsi="Arial" w:cs="Arial"/>
          <w:sz w:val="20"/>
          <w:szCs w:val="20"/>
        </w:rPr>
        <w:t>rset House and Central Building.</w:t>
      </w:r>
    </w:p>
    <w:p w:rsidR="00B071DD" w:rsidRPr="00AB088E" w:rsidRDefault="00B071DD" w:rsidP="00AB088E">
      <w:pPr>
        <w:spacing w:after="0" w:line="240" w:lineRule="auto"/>
        <w:rPr>
          <w:rFonts w:ascii="Arial" w:hAnsi="Arial" w:cs="Arial"/>
          <w:sz w:val="20"/>
          <w:szCs w:val="20"/>
        </w:rPr>
      </w:pPr>
      <w:r w:rsidRPr="00AB088E">
        <w:rPr>
          <w:rFonts w:ascii="Arial" w:hAnsi="Arial" w:cs="Arial"/>
          <w:sz w:val="20"/>
          <w:szCs w:val="20"/>
        </w:rPr>
        <w:t xml:space="preserve">Based on an earlier agreement with the ISA, the preparation and issuing of the RFI for potential ROT programme is in </w:t>
      </w:r>
      <w:r w:rsidR="00AC7B13" w:rsidRPr="00AB088E">
        <w:rPr>
          <w:rFonts w:ascii="Arial" w:hAnsi="Arial" w:cs="Arial"/>
          <w:sz w:val="20"/>
          <w:szCs w:val="20"/>
        </w:rPr>
        <w:t>the 3</w:t>
      </w:r>
      <w:r w:rsidR="00AC7B13" w:rsidRPr="00AB088E">
        <w:rPr>
          <w:rFonts w:ascii="Arial" w:hAnsi="Arial" w:cs="Arial"/>
          <w:sz w:val="20"/>
          <w:szCs w:val="20"/>
          <w:vertAlign w:val="superscript"/>
        </w:rPr>
        <w:t>rd</w:t>
      </w:r>
      <w:r w:rsidR="00AC7B13" w:rsidRPr="00AB088E">
        <w:rPr>
          <w:rFonts w:ascii="Arial" w:hAnsi="Arial" w:cs="Arial"/>
          <w:sz w:val="20"/>
          <w:szCs w:val="20"/>
        </w:rPr>
        <w:t xml:space="preserve"> Quarter </w:t>
      </w:r>
      <w:r w:rsidRPr="00AB088E">
        <w:rPr>
          <w:rFonts w:ascii="Arial" w:hAnsi="Arial" w:cs="Arial"/>
          <w:sz w:val="20"/>
          <w:szCs w:val="20"/>
        </w:rPr>
        <w:t xml:space="preserve">of 2022/23 Financial Year and the issuing of the RFP is anticipated in </w:t>
      </w:r>
      <w:r w:rsidR="00AC7B13" w:rsidRPr="00AB088E">
        <w:rPr>
          <w:rFonts w:ascii="Arial" w:hAnsi="Arial" w:cs="Arial"/>
          <w:sz w:val="20"/>
          <w:szCs w:val="20"/>
        </w:rPr>
        <w:t>the 4</w:t>
      </w:r>
      <w:r w:rsidR="00AC7B13" w:rsidRPr="00AB088E">
        <w:rPr>
          <w:rFonts w:ascii="Arial" w:hAnsi="Arial" w:cs="Arial"/>
          <w:sz w:val="20"/>
          <w:szCs w:val="20"/>
          <w:vertAlign w:val="superscript"/>
        </w:rPr>
        <w:t>th</w:t>
      </w:r>
      <w:r w:rsidR="00AC7B13" w:rsidRPr="00AB088E">
        <w:rPr>
          <w:rFonts w:ascii="Arial" w:hAnsi="Arial" w:cs="Arial"/>
          <w:sz w:val="20"/>
          <w:szCs w:val="20"/>
        </w:rPr>
        <w:t xml:space="preserve"> </w:t>
      </w:r>
      <w:r w:rsidRPr="00AB088E">
        <w:rPr>
          <w:rFonts w:ascii="Arial" w:hAnsi="Arial" w:cs="Arial"/>
          <w:sz w:val="20"/>
          <w:szCs w:val="20"/>
        </w:rPr>
        <w:t>Quarter of 2022/23 Financial Year.</w:t>
      </w:r>
    </w:p>
    <w:p w:rsidR="00B071DD" w:rsidRPr="00AB088E" w:rsidRDefault="00B071DD" w:rsidP="00AB088E">
      <w:pPr>
        <w:spacing w:after="0" w:line="240" w:lineRule="auto"/>
        <w:rPr>
          <w:rFonts w:ascii="Arial" w:hAnsi="Arial" w:cs="Arial"/>
          <w:sz w:val="20"/>
          <w:szCs w:val="20"/>
        </w:rPr>
      </w:pPr>
      <w:r w:rsidRPr="00AB088E">
        <w:rPr>
          <w:rFonts w:ascii="Arial" w:hAnsi="Arial" w:cs="Arial"/>
          <w:sz w:val="20"/>
          <w:szCs w:val="20"/>
        </w:rPr>
        <w:t>The associated leases linked to the future migration plan include Shorberg Building, Alben Building, General Piet Joubert Building, Koedoe Building, Thibault Navarre Complex (Wachthuis).</w:t>
      </w:r>
    </w:p>
    <w:p w:rsidR="00F52DB5" w:rsidRPr="00AB088E" w:rsidRDefault="00F52DB5" w:rsidP="00AB088E">
      <w:pPr>
        <w:spacing w:after="0" w:line="240" w:lineRule="auto"/>
        <w:rPr>
          <w:rFonts w:ascii="Arial" w:hAnsi="Arial" w:cs="Arial"/>
          <w:sz w:val="20"/>
          <w:szCs w:val="20"/>
        </w:rPr>
      </w:pPr>
    </w:p>
    <w:p w:rsidR="00F52DB5" w:rsidRPr="00AB088E" w:rsidRDefault="00F52DB5" w:rsidP="00AB088E">
      <w:pPr>
        <w:pStyle w:val="Heading4"/>
        <w:spacing w:before="0" w:line="240" w:lineRule="auto"/>
        <w:rPr>
          <w:rFonts w:ascii="Arial" w:hAnsi="Arial" w:cs="Arial"/>
          <w:sz w:val="20"/>
          <w:szCs w:val="20"/>
        </w:rPr>
      </w:pPr>
      <w:r w:rsidRPr="00AB088E">
        <w:rPr>
          <w:rFonts w:ascii="Arial" w:hAnsi="Arial" w:cs="Arial"/>
          <w:sz w:val="20"/>
          <w:szCs w:val="20"/>
        </w:rPr>
        <w:t>SAPS leasing portfolio</w:t>
      </w:r>
    </w:p>
    <w:p w:rsidR="00F52DB5" w:rsidRPr="00AB088E" w:rsidRDefault="00F52DB5" w:rsidP="00AB088E">
      <w:pPr>
        <w:spacing w:after="0" w:line="240" w:lineRule="auto"/>
        <w:rPr>
          <w:rFonts w:ascii="Arial" w:hAnsi="Arial" w:cs="Arial"/>
          <w:sz w:val="20"/>
          <w:szCs w:val="20"/>
        </w:rPr>
      </w:pPr>
    </w:p>
    <w:p w:rsidR="00F52DB5" w:rsidRPr="00AB088E" w:rsidRDefault="00F52DB5" w:rsidP="00AB088E">
      <w:pPr>
        <w:spacing w:after="0" w:line="240" w:lineRule="auto"/>
        <w:rPr>
          <w:rFonts w:ascii="Arial" w:hAnsi="Arial" w:cs="Arial"/>
          <w:sz w:val="20"/>
          <w:szCs w:val="20"/>
        </w:rPr>
      </w:pPr>
      <w:r w:rsidRPr="00AB088E">
        <w:rPr>
          <w:rFonts w:ascii="Arial" w:hAnsi="Arial" w:cs="Arial"/>
          <w:sz w:val="20"/>
          <w:szCs w:val="20"/>
        </w:rPr>
        <w:t xml:space="preserve">In relation to the SAPS leasing portfolio, SAPS is the largest single user of leased accommodation within the Department. </w:t>
      </w:r>
    </w:p>
    <w:p w:rsidR="00F52DB5" w:rsidRPr="00AB088E" w:rsidRDefault="00F52DB5" w:rsidP="00AB088E">
      <w:pPr>
        <w:spacing w:after="0" w:line="240" w:lineRule="auto"/>
        <w:rPr>
          <w:rFonts w:ascii="Arial" w:hAnsi="Arial" w:cs="Arial"/>
          <w:sz w:val="20"/>
          <w:szCs w:val="20"/>
        </w:rPr>
      </w:pPr>
      <w:r w:rsidRPr="00AB088E">
        <w:rPr>
          <w:rFonts w:ascii="Arial" w:hAnsi="Arial" w:cs="Arial"/>
          <w:sz w:val="20"/>
          <w:szCs w:val="20"/>
        </w:rPr>
        <w:t xml:space="preserve">The majority of leases procured for SAPS have expired, however, and are currently running on a month-to-month basis thereby weakening the Department of Public Works </w:t>
      </w:r>
      <w:r w:rsidR="00CA5AB4" w:rsidRPr="00AB088E">
        <w:rPr>
          <w:rFonts w:ascii="Arial" w:hAnsi="Arial" w:cs="Arial"/>
          <w:sz w:val="20"/>
          <w:szCs w:val="20"/>
        </w:rPr>
        <w:t>and</w:t>
      </w:r>
      <w:r w:rsidRPr="00AB088E">
        <w:rPr>
          <w:rFonts w:ascii="Arial" w:hAnsi="Arial" w:cs="Arial"/>
          <w:sz w:val="20"/>
          <w:szCs w:val="20"/>
        </w:rPr>
        <w:t xml:space="preserve"> Infrastructure position in enforcing the provisions in lease agreements, particularly as they relate to compliance with occupational health and safety requirements.</w:t>
      </w:r>
    </w:p>
    <w:p w:rsidR="00F52DB5" w:rsidRPr="00AB088E" w:rsidRDefault="00F52DB5" w:rsidP="00AB088E">
      <w:pPr>
        <w:spacing w:after="0" w:line="240" w:lineRule="auto"/>
        <w:rPr>
          <w:rFonts w:ascii="Arial" w:hAnsi="Arial" w:cs="Arial"/>
          <w:sz w:val="20"/>
          <w:szCs w:val="20"/>
        </w:rPr>
      </w:pPr>
      <w:r w:rsidRPr="00AB088E">
        <w:rPr>
          <w:rFonts w:ascii="Arial" w:hAnsi="Arial" w:cs="Arial"/>
          <w:sz w:val="20"/>
          <w:szCs w:val="20"/>
        </w:rPr>
        <w:t>The main objectives of the National Treasury approval for the lease renewal project was to achieve savings and ensure building compliance with Occupational Health and Safety Requirements.</w:t>
      </w:r>
    </w:p>
    <w:p w:rsidR="00B071DD" w:rsidRPr="00AB088E" w:rsidRDefault="00F52DB5" w:rsidP="00AB088E">
      <w:pPr>
        <w:spacing w:after="0" w:line="240" w:lineRule="auto"/>
        <w:rPr>
          <w:rFonts w:ascii="Arial" w:hAnsi="Arial" w:cs="Arial"/>
          <w:sz w:val="20"/>
          <w:szCs w:val="20"/>
        </w:rPr>
      </w:pPr>
      <w:r w:rsidRPr="00AB088E">
        <w:rPr>
          <w:rFonts w:ascii="Arial" w:hAnsi="Arial" w:cs="Arial"/>
          <w:sz w:val="20"/>
          <w:szCs w:val="20"/>
        </w:rPr>
        <w:t>The total lease cost per annum is R178</w:t>
      </w:r>
      <w:r w:rsidR="00B530C1" w:rsidRPr="00AB088E">
        <w:rPr>
          <w:rFonts w:ascii="Arial" w:hAnsi="Arial" w:cs="Arial"/>
          <w:sz w:val="20"/>
          <w:szCs w:val="20"/>
        </w:rPr>
        <w:t>, 474,345.00</w:t>
      </w:r>
      <w:r w:rsidRPr="00AB088E">
        <w:rPr>
          <w:rFonts w:ascii="Arial" w:hAnsi="Arial" w:cs="Arial"/>
          <w:sz w:val="20"/>
          <w:szCs w:val="20"/>
        </w:rPr>
        <w:t>.</w:t>
      </w:r>
    </w:p>
    <w:p w:rsidR="00F52DB5" w:rsidRPr="00AB088E" w:rsidRDefault="00F52DB5" w:rsidP="00AB088E">
      <w:pPr>
        <w:spacing w:after="0" w:line="240" w:lineRule="auto"/>
        <w:rPr>
          <w:rFonts w:ascii="Arial" w:hAnsi="Arial" w:cs="Arial"/>
          <w:sz w:val="20"/>
          <w:szCs w:val="20"/>
        </w:rPr>
      </w:pPr>
    </w:p>
    <w:p w:rsidR="00F52DB5" w:rsidRPr="00AB088E" w:rsidRDefault="00F52DB5" w:rsidP="00AB088E">
      <w:pPr>
        <w:pStyle w:val="Heading4"/>
        <w:spacing w:before="0" w:line="240" w:lineRule="auto"/>
        <w:rPr>
          <w:rFonts w:ascii="Arial" w:hAnsi="Arial" w:cs="Arial"/>
          <w:sz w:val="20"/>
          <w:szCs w:val="20"/>
        </w:rPr>
      </w:pPr>
      <w:r w:rsidRPr="00AB088E">
        <w:rPr>
          <w:rFonts w:ascii="Arial" w:hAnsi="Arial" w:cs="Arial"/>
          <w:sz w:val="20"/>
          <w:szCs w:val="20"/>
        </w:rPr>
        <w:lastRenderedPageBreak/>
        <w:t>Facilities management</w:t>
      </w:r>
    </w:p>
    <w:p w:rsidR="00F52DB5" w:rsidRPr="00AB088E" w:rsidRDefault="00F52DB5" w:rsidP="00AB088E">
      <w:pPr>
        <w:spacing w:after="0" w:line="240" w:lineRule="auto"/>
        <w:rPr>
          <w:rFonts w:ascii="Arial" w:hAnsi="Arial" w:cs="Arial"/>
          <w:sz w:val="20"/>
          <w:szCs w:val="20"/>
        </w:rPr>
      </w:pPr>
    </w:p>
    <w:p w:rsidR="00F52DB5" w:rsidRPr="00AB088E" w:rsidRDefault="00F52DB5" w:rsidP="00AB088E">
      <w:pPr>
        <w:spacing w:after="0" w:line="240" w:lineRule="auto"/>
        <w:rPr>
          <w:rFonts w:ascii="Arial" w:hAnsi="Arial" w:cs="Arial"/>
          <w:sz w:val="20"/>
          <w:szCs w:val="20"/>
        </w:rPr>
      </w:pPr>
      <w:r w:rsidRPr="00AB088E">
        <w:rPr>
          <w:rFonts w:ascii="Arial" w:hAnsi="Arial" w:cs="Arial"/>
          <w:sz w:val="20"/>
          <w:szCs w:val="20"/>
        </w:rPr>
        <w:t xml:space="preserve">The DPWI is responding to all maintenance issues through its day-to-day call centre and maintenance regime. In recent times, the Department has attended to the repair of pumps, water supply, leakages, plumbing, carpentry and electrical items. This methodology will continue until the activation of the </w:t>
      </w:r>
      <w:r w:rsidR="00187C76" w:rsidRPr="00AB088E">
        <w:rPr>
          <w:rFonts w:ascii="Arial" w:hAnsi="Arial" w:cs="Arial"/>
          <w:sz w:val="20"/>
          <w:szCs w:val="20"/>
        </w:rPr>
        <w:t>Total Facilities Management (</w:t>
      </w:r>
      <w:r w:rsidRPr="00AB088E">
        <w:rPr>
          <w:rFonts w:ascii="Arial" w:hAnsi="Arial" w:cs="Arial"/>
          <w:sz w:val="20"/>
          <w:szCs w:val="20"/>
        </w:rPr>
        <w:t>TFM</w:t>
      </w:r>
      <w:r w:rsidR="00187C76" w:rsidRPr="00AB088E">
        <w:rPr>
          <w:rFonts w:ascii="Arial" w:hAnsi="Arial" w:cs="Arial"/>
          <w:sz w:val="20"/>
          <w:szCs w:val="20"/>
        </w:rPr>
        <w:t>) strategy</w:t>
      </w:r>
      <w:r w:rsidR="00B40F4C" w:rsidRPr="00AB088E">
        <w:rPr>
          <w:rFonts w:ascii="Arial" w:hAnsi="Arial" w:cs="Arial"/>
          <w:sz w:val="20"/>
          <w:szCs w:val="20"/>
        </w:rPr>
        <w:t>.</w:t>
      </w:r>
    </w:p>
    <w:p w:rsidR="00F52DB5" w:rsidRPr="00AB088E" w:rsidRDefault="00F52DB5" w:rsidP="00AB088E">
      <w:pPr>
        <w:spacing w:after="0" w:line="240" w:lineRule="auto"/>
        <w:rPr>
          <w:rFonts w:ascii="Arial" w:hAnsi="Arial" w:cs="Arial"/>
          <w:sz w:val="20"/>
          <w:szCs w:val="20"/>
        </w:rPr>
      </w:pPr>
      <w:r w:rsidRPr="00AB088E">
        <w:rPr>
          <w:rFonts w:ascii="Arial" w:hAnsi="Arial" w:cs="Arial"/>
          <w:sz w:val="20"/>
          <w:szCs w:val="20"/>
        </w:rPr>
        <w:t>The DPWI has engaged SAPS on the long-term integrated maintenance strategy for the Telkom Tower (North Building) and Annex Building. The TFM will be phased in for all the other buildings in the Telkom Towers complex, as and when they are renovated and refurbished.</w:t>
      </w:r>
    </w:p>
    <w:p w:rsidR="000E7529" w:rsidRPr="00AB088E" w:rsidRDefault="000E7529" w:rsidP="00AB088E">
      <w:pPr>
        <w:pStyle w:val="Heading3"/>
        <w:spacing w:before="0" w:after="0" w:line="240" w:lineRule="auto"/>
        <w:jc w:val="left"/>
        <w:rPr>
          <w:rFonts w:ascii="Arial" w:hAnsi="Arial" w:cs="Arial"/>
          <w:sz w:val="20"/>
          <w:szCs w:val="20"/>
        </w:rPr>
      </w:pPr>
      <w:r w:rsidRPr="00AB088E">
        <w:rPr>
          <w:rFonts w:ascii="Arial" w:eastAsiaTheme="minorHAnsi" w:hAnsi="Arial" w:cs="Arial"/>
          <w:sz w:val="20"/>
          <w:szCs w:val="20"/>
        </w:rPr>
        <w:t>T</w:t>
      </w:r>
      <w:r w:rsidRPr="00AB088E">
        <w:rPr>
          <w:rFonts w:ascii="Arial" w:hAnsi="Arial" w:cs="Arial"/>
          <w:sz w:val="20"/>
          <w:szCs w:val="20"/>
        </w:rPr>
        <w:t>he following matters emerged from deliberations:</w:t>
      </w:r>
    </w:p>
    <w:p w:rsidR="00F32DD1" w:rsidRPr="00AB088E" w:rsidRDefault="00DB7BA1" w:rsidP="00AB088E">
      <w:pPr>
        <w:spacing w:after="0" w:line="240" w:lineRule="auto"/>
        <w:rPr>
          <w:rFonts w:ascii="Arial" w:hAnsi="Arial" w:cs="Arial"/>
          <w:bCs/>
          <w:sz w:val="20"/>
          <w:szCs w:val="20"/>
        </w:rPr>
      </w:pPr>
      <w:r w:rsidRPr="00AB088E">
        <w:rPr>
          <w:rFonts w:ascii="Arial" w:hAnsi="Arial" w:cs="Arial"/>
          <w:bCs/>
          <w:sz w:val="20"/>
          <w:szCs w:val="20"/>
        </w:rPr>
        <w:t>The Committee raised its concern regarding the basis upon which the Telkom Towers precinct was acquired as it was also reported that some of the buildings are currently leased back to Telkom after acquisition.</w:t>
      </w:r>
      <w:r w:rsidR="009D456F" w:rsidRPr="00AB088E">
        <w:rPr>
          <w:rFonts w:ascii="Arial" w:hAnsi="Arial" w:cs="Arial"/>
          <w:bCs/>
          <w:sz w:val="20"/>
          <w:szCs w:val="20"/>
        </w:rPr>
        <w:t xml:space="preserve"> Another matter that was raised on leasing was the red flags that were raised by the Auditor General when reporting to the committee was the month-to-month leases that were not properly manage</w:t>
      </w:r>
      <w:r w:rsidR="0079241F" w:rsidRPr="00AB088E">
        <w:rPr>
          <w:rFonts w:ascii="Arial" w:hAnsi="Arial" w:cs="Arial"/>
          <w:bCs/>
          <w:sz w:val="20"/>
          <w:szCs w:val="20"/>
        </w:rPr>
        <w:t>d</w:t>
      </w:r>
      <w:r w:rsidR="009D456F" w:rsidRPr="00AB088E">
        <w:rPr>
          <w:rFonts w:ascii="Arial" w:hAnsi="Arial" w:cs="Arial"/>
          <w:bCs/>
          <w:sz w:val="20"/>
          <w:szCs w:val="20"/>
        </w:rPr>
        <w:t>, inaccurate and inconsistent.</w:t>
      </w:r>
    </w:p>
    <w:p w:rsidR="00DB7BA1" w:rsidRPr="00AB088E" w:rsidRDefault="00DB7BA1" w:rsidP="00AB088E">
      <w:pPr>
        <w:spacing w:after="0" w:line="240" w:lineRule="auto"/>
        <w:rPr>
          <w:rFonts w:ascii="Arial" w:hAnsi="Arial" w:cs="Arial"/>
          <w:bCs/>
          <w:sz w:val="20"/>
          <w:szCs w:val="20"/>
        </w:rPr>
      </w:pPr>
      <w:r w:rsidRPr="00AB088E">
        <w:rPr>
          <w:rFonts w:ascii="Arial" w:hAnsi="Arial" w:cs="Arial"/>
          <w:bCs/>
          <w:sz w:val="20"/>
          <w:szCs w:val="20"/>
        </w:rPr>
        <w:t>It was also unclear why health and safety certification was granted by the City of Tshwane and later reversed after the Parliament fire debacle.</w:t>
      </w:r>
      <w:r w:rsidR="0071340D" w:rsidRPr="00AB088E">
        <w:rPr>
          <w:rFonts w:ascii="Arial" w:hAnsi="Arial" w:cs="Arial"/>
          <w:sz w:val="20"/>
          <w:szCs w:val="20"/>
        </w:rPr>
        <w:t xml:space="preserve"> </w:t>
      </w:r>
      <w:r w:rsidR="0071340D" w:rsidRPr="00AB088E">
        <w:rPr>
          <w:rFonts w:ascii="Arial" w:hAnsi="Arial" w:cs="Arial"/>
          <w:bCs/>
          <w:sz w:val="20"/>
          <w:szCs w:val="20"/>
        </w:rPr>
        <w:t>The safety of the Telkom Towers was noted as a huge concern and as such, the department was encouraged to prioritise the safety of inhabitants while ensuring that the migration project is expedited.</w:t>
      </w:r>
    </w:p>
    <w:p w:rsidR="009D456F" w:rsidRPr="00AB088E" w:rsidRDefault="00F62D7C" w:rsidP="00AB088E">
      <w:pPr>
        <w:spacing w:after="0" w:line="240" w:lineRule="auto"/>
        <w:rPr>
          <w:rFonts w:ascii="Arial" w:hAnsi="Arial" w:cs="Arial"/>
          <w:bCs/>
          <w:sz w:val="20"/>
          <w:szCs w:val="20"/>
        </w:rPr>
      </w:pPr>
      <w:r w:rsidRPr="00AB088E">
        <w:rPr>
          <w:rFonts w:ascii="Arial" w:hAnsi="Arial" w:cs="Arial"/>
          <w:bCs/>
          <w:sz w:val="20"/>
          <w:szCs w:val="20"/>
        </w:rPr>
        <w:t xml:space="preserve">The department had to explain why the Independent Development Trust (IDT) </w:t>
      </w:r>
      <w:r w:rsidR="008711B3" w:rsidRPr="00AB088E">
        <w:rPr>
          <w:rFonts w:ascii="Arial" w:hAnsi="Arial" w:cs="Arial"/>
          <w:bCs/>
          <w:sz w:val="20"/>
          <w:szCs w:val="20"/>
        </w:rPr>
        <w:t>may in future</w:t>
      </w:r>
      <w:r w:rsidRPr="00AB088E">
        <w:rPr>
          <w:rFonts w:ascii="Arial" w:hAnsi="Arial" w:cs="Arial"/>
          <w:bCs/>
          <w:sz w:val="20"/>
          <w:szCs w:val="20"/>
        </w:rPr>
        <w:t xml:space="preserve"> only </w:t>
      </w:r>
      <w:r w:rsidR="008711B3" w:rsidRPr="00AB088E">
        <w:rPr>
          <w:rFonts w:ascii="Arial" w:hAnsi="Arial" w:cs="Arial"/>
          <w:bCs/>
          <w:sz w:val="20"/>
          <w:szCs w:val="20"/>
        </w:rPr>
        <w:t xml:space="preserve">be </w:t>
      </w:r>
      <w:r w:rsidRPr="00AB088E">
        <w:rPr>
          <w:rFonts w:ascii="Arial" w:hAnsi="Arial" w:cs="Arial"/>
          <w:bCs/>
          <w:sz w:val="20"/>
          <w:szCs w:val="20"/>
        </w:rPr>
        <w:t>given 10% of the work and the rest w</w:t>
      </w:r>
      <w:r w:rsidR="00FE5605" w:rsidRPr="00AB088E">
        <w:rPr>
          <w:rFonts w:ascii="Arial" w:hAnsi="Arial" w:cs="Arial"/>
          <w:bCs/>
          <w:sz w:val="20"/>
          <w:szCs w:val="20"/>
        </w:rPr>
        <w:t>ould be</w:t>
      </w:r>
      <w:r w:rsidRPr="00AB088E">
        <w:rPr>
          <w:rFonts w:ascii="Arial" w:hAnsi="Arial" w:cs="Arial"/>
          <w:bCs/>
          <w:sz w:val="20"/>
          <w:szCs w:val="20"/>
        </w:rPr>
        <w:t xml:space="preserve"> granted to the DBSA and Coega Development Corporation </w:t>
      </w:r>
      <w:r w:rsidR="009D456F" w:rsidRPr="00AB088E">
        <w:rPr>
          <w:rFonts w:ascii="Arial" w:hAnsi="Arial" w:cs="Arial"/>
          <w:bCs/>
          <w:sz w:val="20"/>
          <w:szCs w:val="20"/>
        </w:rPr>
        <w:t>(</w:t>
      </w:r>
      <w:r w:rsidRPr="00AB088E">
        <w:rPr>
          <w:rFonts w:ascii="Arial" w:hAnsi="Arial" w:cs="Arial"/>
          <w:bCs/>
          <w:sz w:val="20"/>
          <w:szCs w:val="20"/>
        </w:rPr>
        <w:t>CDC)</w:t>
      </w:r>
      <w:r w:rsidR="009D456F" w:rsidRPr="00AB088E">
        <w:rPr>
          <w:rFonts w:ascii="Arial" w:hAnsi="Arial" w:cs="Arial"/>
          <w:bCs/>
          <w:sz w:val="20"/>
          <w:szCs w:val="20"/>
        </w:rPr>
        <w:t>.</w:t>
      </w:r>
    </w:p>
    <w:p w:rsidR="00526D9C" w:rsidRPr="00AB088E" w:rsidRDefault="00EF74A5" w:rsidP="00AB088E">
      <w:pPr>
        <w:pStyle w:val="Heading1"/>
        <w:spacing w:before="0" w:after="0" w:line="240" w:lineRule="auto"/>
        <w:jc w:val="left"/>
        <w:rPr>
          <w:rFonts w:ascii="Arial" w:hAnsi="Arial" w:cs="Arial"/>
          <w:sz w:val="20"/>
          <w:szCs w:val="20"/>
        </w:rPr>
      </w:pPr>
      <w:r w:rsidRPr="00AB088E">
        <w:rPr>
          <w:rFonts w:ascii="Arial" w:hAnsi="Arial" w:cs="Arial"/>
          <w:sz w:val="20"/>
          <w:szCs w:val="20"/>
        </w:rPr>
        <w:t xml:space="preserve">DAY 2 OF THE VISITS: </w:t>
      </w:r>
      <w:r w:rsidR="00526D9C" w:rsidRPr="00AB088E">
        <w:rPr>
          <w:rFonts w:ascii="Arial" w:hAnsi="Arial" w:cs="Arial"/>
          <w:sz w:val="20"/>
          <w:szCs w:val="20"/>
        </w:rPr>
        <w:t>SATURDAY, 1 OCTOBER 2022</w:t>
      </w:r>
    </w:p>
    <w:p w:rsidR="007D28A5" w:rsidRPr="00AB088E" w:rsidRDefault="007D28A5" w:rsidP="00AB088E">
      <w:pPr>
        <w:spacing w:after="0" w:line="240" w:lineRule="auto"/>
        <w:rPr>
          <w:rFonts w:ascii="Arial" w:hAnsi="Arial" w:cs="Arial"/>
          <w:sz w:val="20"/>
          <w:szCs w:val="20"/>
        </w:rPr>
      </w:pPr>
    </w:p>
    <w:p w:rsidR="005E0FFC" w:rsidRPr="00AB088E" w:rsidRDefault="00D5391B" w:rsidP="00AB088E">
      <w:pPr>
        <w:pStyle w:val="Heading2"/>
        <w:spacing w:before="0" w:line="240" w:lineRule="auto"/>
        <w:rPr>
          <w:rFonts w:ascii="Arial" w:hAnsi="Arial" w:cs="Arial"/>
          <w:sz w:val="20"/>
          <w:szCs w:val="20"/>
        </w:rPr>
      </w:pPr>
      <w:r w:rsidRPr="00AB088E">
        <w:rPr>
          <w:rFonts w:ascii="Arial" w:hAnsi="Arial" w:cs="Arial"/>
          <w:sz w:val="20"/>
          <w:szCs w:val="20"/>
        </w:rPr>
        <w:t xml:space="preserve">Visit to the </w:t>
      </w:r>
      <w:r w:rsidR="00176F3E" w:rsidRPr="00AB088E">
        <w:rPr>
          <w:rFonts w:ascii="Arial" w:hAnsi="Arial" w:cs="Arial"/>
          <w:sz w:val="20"/>
          <w:szCs w:val="20"/>
        </w:rPr>
        <w:t>Telkom Towers precinct</w:t>
      </w:r>
    </w:p>
    <w:p w:rsidR="00BA021F" w:rsidRPr="00AB088E" w:rsidRDefault="00BA021F" w:rsidP="00AB088E">
      <w:pPr>
        <w:spacing w:after="0" w:line="240" w:lineRule="auto"/>
        <w:rPr>
          <w:rFonts w:ascii="Arial" w:hAnsi="Arial" w:cs="Arial"/>
          <w:b/>
          <w:bCs/>
          <w:sz w:val="20"/>
          <w:szCs w:val="20"/>
        </w:rPr>
      </w:pPr>
    </w:p>
    <w:p w:rsidR="00136381" w:rsidRPr="00AB088E" w:rsidRDefault="007D28A5" w:rsidP="00AB088E">
      <w:pPr>
        <w:spacing w:after="0" w:line="240" w:lineRule="auto"/>
        <w:rPr>
          <w:rFonts w:ascii="Arial" w:hAnsi="Arial" w:cs="Arial"/>
          <w:bCs/>
          <w:sz w:val="20"/>
          <w:szCs w:val="20"/>
        </w:rPr>
      </w:pPr>
      <w:r w:rsidRPr="00AB088E">
        <w:rPr>
          <w:rFonts w:ascii="Arial" w:hAnsi="Arial" w:cs="Arial"/>
          <w:bCs/>
          <w:sz w:val="20"/>
          <w:szCs w:val="20"/>
        </w:rPr>
        <w:t>On the second day, the Committee visited the Telkom Towers precinct where the</w:t>
      </w:r>
      <w:r w:rsidR="00B62354" w:rsidRPr="00AB088E">
        <w:rPr>
          <w:rFonts w:ascii="Arial" w:hAnsi="Arial" w:cs="Arial"/>
          <w:bCs/>
          <w:sz w:val="20"/>
          <w:szCs w:val="20"/>
        </w:rPr>
        <w:t xml:space="preserve"> Minister, Deputy Minister, National Police Commissioner and</w:t>
      </w:r>
      <w:r w:rsidRPr="00AB088E">
        <w:rPr>
          <w:rFonts w:ascii="Arial" w:hAnsi="Arial" w:cs="Arial"/>
          <w:bCs/>
          <w:sz w:val="20"/>
          <w:szCs w:val="20"/>
        </w:rPr>
        <w:t xml:space="preserve"> SAPS officials ought to be accommodated. Upon arrival, it was learnt that there was no access to most of the floors that the SAPS delegation (which included General Fani and General Sithole) led the Committee </w:t>
      </w:r>
      <w:r w:rsidR="00134C55" w:rsidRPr="00AB088E">
        <w:rPr>
          <w:rFonts w:ascii="Arial" w:hAnsi="Arial" w:cs="Arial"/>
          <w:bCs/>
          <w:sz w:val="20"/>
          <w:szCs w:val="20"/>
        </w:rPr>
        <w:t>through parts of the building</w:t>
      </w:r>
      <w:r w:rsidRPr="00AB088E">
        <w:rPr>
          <w:rFonts w:ascii="Arial" w:hAnsi="Arial" w:cs="Arial"/>
          <w:bCs/>
          <w:sz w:val="20"/>
          <w:szCs w:val="20"/>
        </w:rPr>
        <w:t>. This was due to the lack of coordination within SAPS as communication regarding the visit was timeously communicated with both departments.</w:t>
      </w:r>
    </w:p>
    <w:p w:rsidR="000F1E6D" w:rsidRPr="00AB088E" w:rsidRDefault="007D28A5" w:rsidP="00AB088E">
      <w:pPr>
        <w:spacing w:after="0" w:line="240" w:lineRule="auto"/>
        <w:rPr>
          <w:rFonts w:ascii="Arial" w:hAnsi="Arial" w:cs="Arial"/>
          <w:bCs/>
          <w:color w:val="FF0000"/>
          <w:sz w:val="20"/>
          <w:szCs w:val="20"/>
        </w:rPr>
      </w:pPr>
      <w:r w:rsidRPr="00AB088E">
        <w:rPr>
          <w:rFonts w:ascii="Arial" w:hAnsi="Arial" w:cs="Arial"/>
          <w:bCs/>
          <w:sz w:val="20"/>
          <w:szCs w:val="20"/>
        </w:rPr>
        <w:t xml:space="preserve">The Committee </w:t>
      </w:r>
      <w:r w:rsidR="00136381" w:rsidRPr="00AB088E">
        <w:rPr>
          <w:rFonts w:ascii="Arial" w:hAnsi="Arial" w:cs="Arial"/>
          <w:bCs/>
          <w:sz w:val="20"/>
          <w:szCs w:val="20"/>
        </w:rPr>
        <w:t>first accessed</w:t>
      </w:r>
      <w:r w:rsidRPr="00AB088E">
        <w:rPr>
          <w:rFonts w:ascii="Arial" w:hAnsi="Arial" w:cs="Arial"/>
          <w:bCs/>
          <w:sz w:val="20"/>
          <w:szCs w:val="20"/>
        </w:rPr>
        <w:t xml:space="preserve"> the 18</w:t>
      </w:r>
      <w:r w:rsidRPr="00AB088E">
        <w:rPr>
          <w:rFonts w:ascii="Arial" w:hAnsi="Arial" w:cs="Arial"/>
          <w:bCs/>
          <w:sz w:val="20"/>
          <w:szCs w:val="20"/>
          <w:vertAlign w:val="superscript"/>
        </w:rPr>
        <w:t>th</w:t>
      </w:r>
      <w:r w:rsidRPr="00AB088E">
        <w:rPr>
          <w:rFonts w:ascii="Arial" w:hAnsi="Arial" w:cs="Arial"/>
          <w:bCs/>
          <w:sz w:val="20"/>
          <w:szCs w:val="20"/>
        </w:rPr>
        <w:t xml:space="preserve"> floor that would be occupied by the SAPS Legal Services officials. </w:t>
      </w:r>
      <w:r w:rsidR="00136381" w:rsidRPr="00AB088E">
        <w:rPr>
          <w:rFonts w:ascii="Arial" w:hAnsi="Arial" w:cs="Arial"/>
          <w:bCs/>
          <w:sz w:val="20"/>
          <w:szCs w:val="20"/>
        </w:rPr>
        <w:t>It was established that there were few officials who had moved into the floor and the rest were still occupying rented buildings elsewhere. Officials who were present during the visit indicated that the air conditioning was dysfunctional and it was evident that the floor mats had not been cleaned.</w:t>
      </w:r>
      <w:r w:rsidR="00136381" w:rsidRPr="00AB088E">
        <w:rPr>
          <w:rFonts w:ascii="Arial" w:hAnsi="Arial" w:cs="Arial"/>
          <w:bCs/>
          <w:color w:val="FF0000"/>
          <w:sz w:val="20"/>
          <w:szCs w:val="20"/>
        </w:rPr>
        <w:t xml:space="preserve"> </w:t>
      </w:r>
    </w:p>
    <w:p w:rsidR="007D28A5" w:rsidRPr="00AB088E" w:rsidRDefault="00136381" w:rsidP="00AB088E">
      <w:pPr>
        <w:spacing w:after="0" w:line="240" w:lineRule="auto"/>
        <w:rPr>
          <w:rFonts w:ascii="Arial" w:hAnsi="Arial" w:cs="Arial"/>
          <w:bCs/>
          <w:sz w:val="20"/>
          <w:szCs w:val="20"/>
        </w:rPr>
      </w:pPr>
      <w:r w:rsidRPr="00AB088E">
        <w:rPr>
          <w:rFonts w:ascii="Arial" w:hAnsi="Arial" w:cs="Arial"/>
          <w:bCs/>
          <w:sz w:val="20"/>
          <w:szCs w:val="20"/>
        </w:rPr>
        <w:t>The Development Bank of Southern Africa (DBSA) official who was present indicated that when the building was handed over in August 2021, everything was in working order</w:t>
      </w:r>
      <w:r w:rsidR="000F1E6D" w:rsidRPr="00AB088E">
        <w:rPr>
          <w:rFonts w:ascii="Arial" w:hAnsi="Arial" w:cs="Arial"/>
          <w:bCs/>
          <w:sz w:val="20"/>
          <w:szCs w:val="20"/>
        </w:rPr>
        <w:t>. The official</w:t>
      </w:r>
      <w:r w:rsidRPr="00AB088E">
        <w:rPr>
          <w:rFonts w:ascii="Arial" w:hAnsi="Arial" w:cs="Arial"/>
          <w:bCs/>
          <w:sz w:val="20"/>
          <w:szCs w:val="20"/>
        </w:rPr>
        <w:t xml:space="preserve"> insisted that </w:t>
      </w:r>
      <w:r w:rsidR="000F1E6D" w:rsidRPr="00AB088E">
        <w:rPr>
          <w:rFonts w:ascii="Arial" w:hAnsi="Arial" w:cs="Arial"/>
          <w:bCs/>
          <w:sz w:val="20"/>
          <w:szCs w:val="20"/>
        </w:rPr>
        <w:t xml:space="preserve">the matters noted </w:t>
      </w:r>
      <w:r w:rsidRPr="00AB088E">
        <w:rPr>
          <w:rFonts w:ascii="Arial" w:hAnsi="Arial" w:cs="Arial"/>
          <w:bCs/>
          <w:sz w:val="20"/>
          <w:szCs w:val="20"/>
        </w:rPr>
        <w:t xml:space="preserve">were maintenance issues that </w:t>
      </w:r>
      <w:r w:rsidR="000F1E6D" w:rsidRPr="00AB088E">
        <w:rPr>
          <w:rFonts w:ascii="Arial" w:hAnsi="Arial" w:cs="Arial"/>
          <w:bCs/>
          <w:sz w:val="20"/>
          <w:szCs w:val="20"/>
        </w:rPr>
        <w:t xml:space="preserve">was the responsibility of </w:t>
      </w:r>
      <w:r w:rsidRPr="00AB088E">
        <w:rPr>
          <w:rFonts w:ascii="Arial" w:hAnsi="Arial" w:cs="Arial"/>
          <w:bCs/>
          <w:sz w:val="20"/>
          <w:szCs w:val="20"/>
        </w:rPr>
        <w:t>SAPS</w:t>
      </w:r>
      <w:r w:rsidR="001A314F" w:rsidRPr="00AB088E">
        <w:rPr>
          <w:rFonts w:ascii="Arial" w:hAnsi="Arial" w:cs="Arial"/>
          <w:bCs/>
          <w:sz w:val="20"/>
          <w:szCs w:val="20"/>
        </w:rPr>
        <w:t xml:space="preserve"> as a client department</w:t>
      </w:r>
      <w:r w:rsidRPr="00AB088E">
        <w:rPr>
          <w:rFonts w:ascii="Arial" w:hAnsi="Arial" w:cs="Arial"/>
          <w:bCs/>
          <w:sz w:val="20"/>
          <w:szCs w:val="20"/>
        </w:rPr>
        <w:t>.</w:t>
      </w:r>
    </w:p>
    <w:p w:rsidR="001A314F" w:rsidRPr="00AB088E" w:rsidRDefault="001A314F" w:rsidP="00AB088E">
      <w:pPr>
        <w:spacing w:after="0" w:line="240" w:lineRule="auto"/>
        <w:rPr>
          <w:rFonts w:ascii="Arial" w:hAnsi="Arial" w:cs="Arial"/>
          <w:bCs/>
          <w:sz w:val="20"/>
          <w:szCs w:val="20"/>
        </w:rPr>
      </w:pPr>
      <w:r w:rsidRPr="00AB088E">
        <w:rPr>
          <w:rFonts w:ascii="Arial" w:hAnsi="Arial" w:cs="Arial"/>
          <w:bCs/>
          <w:sz w:val="20"/>
          <w:szCs w:val="20"/>
        </w:rPr>
        <w:t>Another floor that the committee accessed, was the 23rd floor, which was supposed to accommodate the officials employed in the Office of the Minister. Again, the limitation was that the keys had not been brought through by the responsible official who claimed to have left them either in the vehicle or another office. The Committee discovered defects and huge holes on the ceiling and expired fire extinguishers. The DBSA Project Manager present still insisted that those were maintenance issues and the DDG: Construction from the DPWI indicated that there was a plan in place to replace the fire extinguishers as it was part of another project scope.</w:t>
      </w:r>
    </w:p>
    <w:p w:rsidR="00140A84" w:rsidRPr="00AB088E" w:rsidRDefault="001A314F" w:rsidP="00AB088E">
      <w:pPr>
        <w:spacing w:after="0" w:line="240" w:lineRule="auto"/>
        <w:rPr>
          <w:rFonts w:ascii="Arial" w:hAnsi="Arial" w:cs="Arial"/>
          <w:bCs/>
          <w:sz w:val="20"/>
          <w:szCs w:val="20"/>
        </w:rPr>
      </w:pPr>
      <w:r w:rsidRPr="00AB088E">
        <w:rPr>
          <w:rFonts w:ascii="Arial" w:hAnsi="Arial" w:cs="Arial"/>
          <w:bCs/>
          <w:sz w:val="20"/>
          <w:szCs w:val="20"/>
        </w:rPr>
        <w:t>The Committee raised its dissatisfaction with the SAPS officials conduct as it was deemed a deliberate motive to sabotage the work of the committee thereby hindering it from playing its oversight role.</w:t>
      </w:r>
      <w:r w:rsidR="00B62354" w:rsidRPr="00AB088E">
        <w:rPr>
          <w:rFonts w:ascii="Arial" w:hAnsi="Arial" w:cs="Arial"/>
          <w:bCs/>
          <w:sz w:val="20"/>
          <w:szCs w:val="20"/>
        </w:rPr>
        <w:t xml:space="preserve"> </w:t>
      </w:r>
    </w:p>
    <w:p w:rsidR="001A314F" w:rsidRPr="00AB088E" w:rsidRDefault="00B62354" w:rsidP="00AB088E">
      <w:pPr>
        <w:spacing w:after="0" w:line="240" w:lineRule="auto"/>
        <w:rPr>
          <w:rFonts w:ascii="Arial" w:hAnsi="Arial" w:cs="Arial"/>
          <w:bCs/>
          <w:sz w:val="20"/>
          <w:szCs w:val="20"/>
        </w:rPr>
      </w:pPr>
      <w:r w:rsidRPr="00AB088E">
        <w:rPr>
          <w:rFonts w:ascii="Arial" w:hAnsi="Arial" w:cs="Arial"/>
          <w:bCs/>
          <w:sz w:val="20"/>
          <w:szCs w:val="20"/>
        </w:rPr>
        <w:t xml:space="preserve">A resolution was taken to conduct </w:t>
      </w:r>
      <w:r w:rsidR="004E06A6" w:rsidRPr="00AB088E">
        <w:rPr>
          <w:rFonts w:ascii="Arial" w:hAnsi="Arial" w:cs="Arial"/>
          <w:bCs/>
          <w:sz w:val="20"/>
          <w:szCs w:val="20"/>
        </w:rPr>
        <w:t xml:space="preserve">further </w:t>
      </w:r>
      <w:r w:rsidRPr="00AB088E">
        <w:rPr>
          <w:rFonts w:ascii="Arial" w:hAnsi="Arial" w:cs="Arial"/>
          <w:bCs/>
          <w:sz w:val="20"/>
          <w:szCs w:val="20"/>
        </w:rPr>
        <w:t xml:space="preserve">“spot” visits to the Telkom Towers so that the committee </w:t>
      </w:r>
      <w:r w:rsidR="004E06A6" w:rsidRPr="00AB088E">
        <w:rPr>
          <w:rFonts w:ascii="Arial" w:hAnsi="Arial" w:cs="Arial"/>
          <w:bCs/>
          <w:sz w:val="20"/>
          <w:szCs w:val="20"/>
        </w:rPr>
        <w:t>can</w:t>
      </w:r>
      <w:r w:rsidRPr="00AB088E">
        <w:rPr>
          <w:rFonts w:ascii="Arial" w:hAnsi="Arial" w:cs="Arial"/>
          <w:bCs/>
          <w:sz w:val="20"/>
          <w:szCs w:val="20"/>
        </w:rPr>
        <w:t xml:space="preserve"> obtain all the information it </w:t>
      </w:r>
      <w:r w:rsidR="004E06A6" w:rsidRPr="00AB088E">
        <w:rPr>
          <w:rFonts w:ascii="Arial" w:hAnsi="Arial" w:cs="Arial"/>
          <w:bCs/>
          <w:sz w:val="20"/>
          <w:szCs w:val="20"/>
        </w:rPr>
        <w:t>requires without any obstacles to</w:t>
      </w:r>
      <w:r w:rsidRPr="00AB088E">
        <w:rPr>
          <w:rFonts w:ascii="Arial" w:hAnsi="Arial" w:cs="Arial"/>
          <w:bCs/>
          <w:sz w:val="20"/>
          <w:szCs w:val="20"/>
        </w:rPr>
        <w:t xml:space="preserve"> </w:t>
      </w:r>
      <w:r w:rsidR="00A92D87" w:rsidRPr="00AB088E">
        <w:rPr>
          <w:rFonts w:ascii="Arial" w:hAnsi="Arial" w:cs="Arial"/>
          <w:bCs/>
          <w:sz w:val="20"/>
          <w:szCs w:val="20"/>
        </w:rPr>
        <w:t>access</w:t>
      </w:r>
      <w:r w:rsidRPr="00AB088E">
        <w:rPr>
          <w:rFonts w:ascii="Arial" w:hAnsi="Arial" w:cs="Arial"/>
          <w:bCs/>
          <w:sz w:val="20"/>
          <w:szCs w:val="20"/>
        </w:rPr>
        <w:t xml:space="preserve">. </w:t>
      </w:r>
    </w:p>
    <w:p w:rsidR="005B0963" w:rsidRPr="00AB088E" w:rsidRDefault="00526D9C" w:rsidP="00AB088E">
      <w:pPr>
        <w:pStyle w:val="Heading1"/>
        <w:spacing w:before="0" w:after="0" w:line="240" w:lineRule="auto"/>
        <w:jc w:val="left"/>
        <w:rPr>
          <w:rFonts w:ascii="Arial" w:hAnsi="Arial" w:cs="Arial"/>
          <w:sz w:val="20"/>
          <w:szCs w:val="20"/>
        </w:rPr>
      </w:pPr>
      <w:r w:rsidRPr="00AB088E">
        <w:rPr>
          <w:rFonts w:ascii="Arial" w:hAnsi="Arial" w:cs="Arial"/>
          <w:sz w:val="20"/>
          <w:szCs w:val="20"/>
        </w:rPr>
        <w:t>FINDINGS</w:t>
      </w:r>
    </w:p>
    <w:p w:rsidR="001C400C" w:rsidRPr="00AB088E" w:rsidRDefault="001C400C" w:rsidP="00AB088E">
      <w:pPr>
        <w:spacing w:after="0" w:line="240" w:lineRule="auto"/>
        <w:rPr>
          <w:rFonts w:ascii="Arial" w:hAnsi="Arial" w:cs="Arial"/>
          <w:sz w:val="20"/>
          <w:szCs w:val="20"/>
        </w:rPr>
      </w:pPr>
    </w:p>
    <w:p w:rsidR="00A665CB" w:rsidRPr="00AB088E" w:rsidRDefault="00A665CB" w:rsidP="00AB088E">
      <w:pPr>
        <w:pStyle w:val="ListParagraph"/>
        <w:numPr>
          <w:ilvl w:val="0"/>
          <w:numId w:val="16"/>
        </w:numPr>
        <w:spacing w:after="0" w:line="240" w:lineRule="auto"/>
        <w:rPr>
          <w:rFonts w:ascii="Arial" w:hAnsi="Arial" w:cs="Arial"/>
          <w:sz w:val="20"/>
          <w:szCs w:val="20"/>
        </w:rPr>
      </w:pPr>
      <w:r w:rsidRPr="00AB088E">
        <w:rPr>
          <w:rFonts w:ascii="Arial" w:hAnsi="Arial" w:cs="Arial"/>
          <w:sz w:val="20"/>
          <w:szCs w:val="20"/>
        </w:rPr>
        <w:t xml:space="preserve">There was </w:t>
      </w:r>
      <w:r w:rsidR="00F32DD1" w:rsidRPr="00AB088E">
        <w:rPr>
          <w:rFonts w:ascii="Arial" w:hAnsi="Arial" w:cs="Arial"/>
          <w:sz w:val="20"/>
          <w:szCs w:val="20"/>
        </w:rPr>
        <w:t>lack of communication between the affected departments, which caused the unnecessary delay, resulting in fruitless and wasteful expenditure.</w:t>
      </w:r>
    </w:p>
    <w:p w:rsidR="002C02F4" w:rsidRPr="00AB088E" w:rsidRDefault="002C02F4" w:rsidP="00AB088E">
      <w:pPr>
        <w:pStyle w:val="ListParagraph"/>
        <w:numPr>
          <w:ilvl w:val="0"/>
          <w:numId w:val="16"/>
        </w:numPr>
        <w:spacing w:after="0" w:line="240" w:lineRule="auto"/>
        <w:rPr>
          <w:rFonts w:ascii="Arial" w:hAnsi="Arial" w:cs="Arial"/>
          <w:sz w:val="20"/>
          <w:szCs w:val="20"/>
        </w:rPr>
      </w:pPr>
      <w:r w:rsidRPr="00AB088E">
        <w:rPr>
          <w:rFonts w:ascii="Arial" w:hAnsi="Arial" w:cs="Arial"/>
          <w:sz w:val="20"/>
          <w:szCs w:val="20"/>
        </w:rPr>
        <w:t>The information session report was contradicted by the evidence gathered at the project site.</w:t>
      </w:r>
    </w:p>
    <w:p w:rsidR="00F32DD1" w:rsidRPr="00AB088E" w:rsidRDefault="00F32DD1" w:rsidP="00AB088E">
      <w:pPr>
        <w:pStyle w:val="ListParagraph"/>
        <w:numPr>
          <w:ilvl w:val="0"/>
          <w:numId w:val="16"/>
        </w:numPr>
        <w:spacing w:after="0" w:line="240" w:lineRule="auto"/>
        <w:rPr>
          <w:rFonts w:ascii="Arial" w:hAnsi="Arial" w:cs="Arial"/>
          <w:sz w:val="20"/>
          <w:szCs w:val="20"/>
        </w:rPr>
      </w:pPr>
      <w:r w:rsidRPr="00AB088E">
        <w:rPr>
          <w:rFonts w:ascii="Arial" w:hAnsi="Arial" w:cs="Arial"/>
          <w:sz w:val="20"/>
          <w:szCs w:val="20"/>
        </w:rPr>
        <w:t>The Minister of Police and National Police Commissioner have not yet moved into Telkom Towers due to delays and such are still working from home.</w:t>
      </w:r>
    </w:p>
    <w:p w:rsidR="00F62D7C" w:rsidRPr="00AB088E" w:rsidRDefault="00F62D7C" w:rsidP="00AB088E">
      <w:pPr>
        <w:pStyle w:val="ListParagraph"/>
        <w:numPr>
          <w:ilvl w:val="0"/>
          <w:numId w:val="16"/>
        </w:numPr>
        <w:spacing w:after="0" w:line="240" w:lineRule="auto"/>
        <w:rPr>
          <w:rFonts w:ascii="Arial" w:hAnsi="Arial" w:cs="Arial"/>
          <w:sz w:val="20"/>
          <w:szCs w:val="20"/>
        </w:rPr>
      </w:pPr>
      <w:r w:rsidRPr="00AB088E">
        <w:rPr>
          <w:rFonts w:ascii="Arial" w:hAnsi="Arial" w:cs="Arial"/>
          <w:sz w:val="20"/>
          <w:szCs w:val="20"/>
        </w:rPr>
        <w:t>Critical SAPS officials were evicted in some of the leased buildings due to non-payment of rental by the department.</w:t>
      </w:r>
    </w:p>
    <w:p w:rsidR="00C35DB2" w:rsidRPr="00AB088E" w:rsidRDefault="000224B7" w:rsidP="00AB088E">
      <w:pPr>
        <w:pStyle w:val="ListParagraph"/>
        <w:numPr>
          <w:ilvl w:val="0"/>
          <w:numId w:val="16"/>
        </w:numPr>
        <w:spacing w:after="0" w:line="240" w:lineRule="auto"/>
        <w:rPr>
          <w:rFonts w:ascii="Arial" w:hAnsi="Arial" w:cs="Arial"/>
          <w:sz w:val="20"/>
          <w:szCs w:val="20"/>
        </w:rPr>
      </w:pPr>
      <w:r w:rsidRPr="00AB088E">
        <w:rPr>
          <w:rFonts w:ascii="Arial" w:hAnsi="Arial" w:cs="Arial"/>
          <w:sz w:val="20"/>
          <w:szCs w:val="20"/>
        </w:rPr>
        <w:lastRenderedPageBreak/>
        <w:t xml:space="preserve">The </w:t>
      </w:r>
      <w:r w:rsidR="00A665CB" w:rsidRPr="00AB088E">
        <w:rPr>
          <w:rFonts w:ascii="Arial" w:hAnsi="Arial" w:cs="Arial"/>
          <w:sz w:val="20"/>
          <w:szCs w:val="20"/>
        </w:rPr>
        <w:t xml:space="preserve">occupied </w:t>
      </w:r>
      <w:r w:rsidRPr="00AB088E">
        <w:rPr>
          <w:rFonts w:ascii="Arial" w:hAnsi="Arial" w:cs="Arial"/>
          <w:sz w:val="20"/>
          <w:szCs w:val="20"/>
        </w:rPr>
        <w:t xml:space="preserve">building had a low bandwidth due to incorrect ICT infrastructure </w:t>
      </w:r>
      <w:r w:rsidR="00A92D87" w:rsidRPr="00AB088E">
        <w:rPr>
          <w:rFonts w:ascii="Arial" w:hAnsi="Arial" w:cs="Arial"/>
          <w:sz w:val="20"/>
          <w:szCs w:val="20"/>
        </w:rPr>
        <w:t>cabling</w:t>
      </w:r>
      <w:r w:rsidRPr="00AB088E">
        <w:rPr>
          <w:rFonts w:ascii="Arial" w:hAnsi="Arial" w:cs="Arial"/>
          <w:sz w:val="20"/>
          <w:szCs w:val="20"/>
        </w:rPr>
        <w:t>, which causes connectivity issues for occupants.</w:t>
      </w:r>
    </w:p>
    <w:p w:rsidR="00E13FDF" w:rsidRPr="00AB088E" w:rsidRDefault="00E13FDF" w:rsidP="00AB088E">
      <w:pPr>
        <w:pStyle w:val="ListParagraph"/>
        <w:numPr>
          <w:ilvl w:val="0"/>
          <w:numId w:val="16"/>
        </w:numPr>
        <w:spacing w:after="0" w:line="240" w:lineRule="auto"/>
        <w:rPr>
          <w:rFonts w:ascii="Arial" w:hAnsi="Arial" w:cs="Arial"/>
          <w:sz w:val="20"/>
          <w:szCs w:val="20"/>
        </w:rPr>
      </w:pPr>
      <w:r w:rsidRPr="00AB088E">
        <w:rPr>
          <w:rFonts w:ascii="Arial" w:hAnsi="Arial" w:cs="Arial"/>
          <w:sz w:val="20"/>
          <w:szCs w:val="20"/>
        </w:rPr>
        <w:t>The issue of security came to the fore as the client department reported theft of cables.</w:t>
      </w:r>
      <w:r w:rsidR="00315F78" w:rsidRPr="00AB088E">
        <w:rPr>
          <w:rFonts w:ascii="Arial" w:hAnsi="Arial" w:cs="Arial"/>
          <w:sz w:val="20"/>
          <w:szCs w:val="20"/>
        </w:rPr>
        <w:t xml:space="preserve"> This matter requires urgent attention as it is supposed to accommodate a client department that does sensitive work.</w:t>
      </w:r>
    </w:p>
    <w:p w:rsidR="000224B7" w:rsidRPr="00AB088E" w:rsidRDefault="000224B7" w:rsidP="00AB088E">
      <w:pPr>
        <w:pStyle w:val="ListParagraph"/>
        <w:numPr>
          <w:ilvl w:val="0"/>
          <w:numId w:val="16"/>
        </w:numPr>
        <w:spacing w:after="0" w:line="240" w:lineRule="auto"/>
        <w:rPr>
          <w:rFonts w:ascii="Arial" w:hAnsi="Arial" w:cs="Arial"/>
          <w:sz w:val="20"/>
          <w:szCs w:val="20"/>
        </w:rPr>
      </w:pPr>
      <w:r w:rsidRPr="00AB088E">
        <w:rPr>
          <w:rFonts w:ascii="Arial" w:hAnsi="Arial" w:cs="Arial"/>
          <w:sz w:val="20"/>
          <w:szCs w:val="20"/>
        </w:rPr>
        <w:t>Firefighting equipment had expired, posing a fire hazard to the building.</w:t>
      </w:r>
    </w:p>
    <w:p w:rsidR="000224B7" w:rsidRPr="00AB088E" w:rsidRDefault="000224B7" w:rsidP="00AB088E">
      <w:pPr>
        <w:pStyle w:val="ListParagraph"/>
        <w:numPr>
          <w:ilvl w:val="0"/>
          <w:numId w:val="16"/>
        </w:numPr>
        <w:spacing w:after="0" w:line="240" w:lineRule="auto"/>
        <w:rPr>
          <w:rFonts w:ascii="Arial" w:hAnsi="Arial" w:cs="Arial"/>
          <w:sz w:val="20"/>
          <w:szCs w:val="20"/>
        </w:rPr>
      </w:pPr>
      <w:r w:rsidRPr="00AB088E">
        <w:rPr>
          <w:rFonts w:ascii="Arial" w:hAnsi="Arial" w:cs="Arial"/>
          <w:sz w:val="20"/>
          <w:szCs w:val="20"/>
        </w:rPr>
        <w:t>The building was poorly maintained.</w:t>
      </w:r>
      <w:r w:rsidR="006E1A31" w:rsidRPr="00AB088E">
        <w:rPr>
          <w:rFonts w:ascii="Arial" w:hAnsi="Arial" w:cs="Arial"/>
          <w:sz w:val="20"/>
          <w:szCs w:val="20"/>
        </w:rPr>
        <w:t xml:space="preserve"> The client department and DPWI had to properly to the Government Immovable Asset Management Act, prepare detailed Custodian and user Asset Management Plans so that the division DPWI duties and t</w:t>
      </w:r>
      <w:r w:rsidR="00192E8D" w:rsidRPr="00AB088E">
        <w:rPr>
          <w:rFonts w:ascii="Arial" w:hAnsi="Arial" w:cs="Arial"/>
          <w:sz w:val="20"/>
          <w:szCs w:val="20"/>
        </w:rPr>
        <w:t>h</w:t>
      </w:r>
      <w:r w:rsidR="006E1A31" w:rsidRPr="00AB088E">
        <w:rPr>
          <w:rFonts w:ascii="Arial" w:hAnsi="Arial" w:cs="Arial"/>
          <w:sz w:val="20"/>
          <w:szCs w:val="20"/>
        </w:rPr>
        <w:t>e c</w:t>
      </w:r>
      <w:r w:rsidR="00192E8D" w:rsidRPr="00AB088E">
        <w:rPr>
          <w:rFonts w:ascii="Arial" w:hAnsi="Arial" w:cs="Arial"/>
          <w:sz w:val="20"/>
          <w:szCs w:val="20"/>
        </w:rPr>
        <w:t>l</w:t>
      </w:r>
      <w:r w:rsidR="006E1A31" w:rsidRPr="00AB088E">
        <w:rPr>
          <w:rFonts w:ascii="Arial" w:hAnsi="Arial" w:cs="Arial"/>
          <w:sz w:val="20"/>
          <w:szCs w:val="20"/>
        </w:rPr>
        <w:t xml:space="preserve">ient responsibilities are made clear. </w:t>
      </w:r>
    </w:p>
    <w:p w:rsidR="000224B7" w:rsidRPr="00AB088E" w:rsidRDefault="000224B7" w:rsidP="00AB088E">
      <w:pPr>
        <w:pStyle w:val="ListParagraph"/>
        <w:numPr>
          <w:ilvl w:val="0"/>
          <w:numId w:val="16"/>
        </w:numPr>
        <w:spacing w:after="0" w:line="240" w:lineRule="auto"/>
        <w:rPr>
          <w:rFonts w:ascii="Arial" w:hAnsi="Arial" w:cs="Arial"/>
          <w:sz w:val="20"/>
          <w:szCs w:val="20"/>
        </w:rPr>
      </w:pPr>
      <w:r w:rsidRPr="00AB088E">
        <w:rPr>
          <w:rFonts w:ascii="Arial" w:hAnsi="Arial" w:cs="Arial"/>
          <w:sz w:val="20"/>
          <w:szCs w:val="20"/>
        </w:rPr>
        <w:t>Air conditioning was not working on the floors that the committee had access to.</w:t>
      </w:r>
      <w:r w:rsidR="007136CD" w:rsidRPr="00AB088E">
        <w:rPr>
          <w:rFonts w:ascii="Arial" w:hAnsi="Arial" w:cs="Arial"/>
          <w:sz w:val="20"/>
          <w:szCs w:val="20"/>
        </w:rPr>
        <w:t xml:space="preserve"> The Heating, Ventilation and Air Conditioning system requires </w:t>
      </w:r>
      <w:r w:rsidR="007E4226" w:rsidRPr="00AB088E">
        <w:rPr>
          <w:rFonts w:ascii="Arial" w:hAnsi="Arial" w:cs="Arial"/>
          <w:sz w:val="20"/>
          <w:szCs w:val="20"/>
        </w:rPr>
        <w:t>scheduled</w:t>
      </w:r>
      <w:r w:rsidR="007136CD" w:rsidRPr="00AB088E">
        <w:rPr>
          <w:rFonts w:ascii="Arial" w:hAnsi="Arial" w:cs="Arial"/>
          <w:sz w:val="20"/>
          <w:szCs w:val="20"/>
        </w:rPr>
        <w:t xml:space="preserve"> maintenance.</w:t>
      </w:r>
    </w:p>
    <w:p w:rsidR="006E0A29" w:rsidRPr="00AB088E" w:rsidRDefault="00526D9C" w:rsidP="00AB088E">
      <w:pPr>
        <w:pStyle w:val="Heading1"/>
        <w:spacing w:before="0" w:after="0" w:line="240" w:lineRule="auto"/>
        <w:jc w:val="left"/>
        <w:rPr>
          <w:rFonts w:ascii="Arial" w:hAnsi="Arial" w:cs="Arial"/>
          <w:sz w:val="20"/>
          <w:szCs w:val="20"/>
        </w:rPr>
      </w:pPr>
      <w:r w:rsidRPr="00AB088E">
        <w:rPr>
          <w:rFonts w:ascii="Arial" w:hAnsi="Arial" w:cs="Arial"/>
          <w:sz w:val="20"/>
          <w:szCs w:val="20"/>
        </w:rPr>
        <w:t>RECOMMENDATIONS</w:t>
      </w:r>
    </w:p>
    <w:p w:rsidR="007136CD" w:rsidRPr="00AB088E" w:rsidRDefault="007136CD" w:rsidP="00AB088E">
      <w:pPr>
        <w:spacing w:after="0" w:line="240" w:lineRule="auto"/>
        <w:rPr>
          <w:rFonts w:ascii="Arial" w:hAnsi="Arial" w:cs="Arial"/>
          <w:sz w:val="20"/>
          <w:szCs w:val="20"/>
        </w:rPr>
      </w:pPr>
    </w:p>
    <w:p w:rsidR="006E0A29" w:rsidRPr="00AB088E" w:rsidRDefault="006E0A29" w:rsidP="00AB088E">
      <w:pPr>
        <w:spacing w:after="0" w:line="240" w:lineRule="auto"/>
        <w:rPr>
          <w:rFonts w:ascii="Arial" w:hAnsi="Arial" w:cs="Arial"/>
          <w:sz w:val="20"/>
          <w:szCs w:val="20"/>
        </w:rPr>
      </w:pPr>
      <w:r w:rsidRPr="00AB088E">
        <w:rPr>
          <w:rFonts w:ascii="Arial" w:hAnsi="Arial" w:cs="Arial"/>
          <w:sz w:val="20"/>
          <w:szCs w:val="20"/>
        </w:rPr>
        <w:t xml:space="preserve">Having considered the </w:t>
      </w:r>
      <w:r w:rsidR="00153A56" w:rsidRPr="00AB088E">
        <w:rPr>
          <w:rFonts w:ascii="Arial" w:hAnsi="Arial" w:cs="Arial"/>
          <w:sz w:val="20"/>
          <w:szCs w:val="20"/>
        </w:rPr>
        <w:t>findings that emerged</w:t>
      </w:r>
      <w:r w:rsidR="00EC058E" w:rsidRPr="00AB088E">
        <w:rPr>
          <w:rFonts w:ascii="Arial" w:hAnsi="Arial" w:cs="Arial"/>
          <w:sz w:val="20"/>
          <w:szCs w:val="20"/>
        </w:rPr>
        <w:t xml:space="preserve"> from</w:t>
      </w:r>
      <w:r w:rsidR="00AA4B9E" w:rsidRPr="00AB088E">
        <w:rPr>
          <w:rFonts w:ascii="Arial" w:hAnsi="Arial" w:cs="Arial"/>
          <w:sz w:val="20"/>
          <w:szCs w:val="20"/>
        </w:rPr>
        <w:t>,</w:t>
      </w:r>
      <w:r w:rsidR="00EC058E" w:rsidRPr="00AB088E">
        <w:rPr>
          <w:rFonts w:ascii="Arial" w:hAnsi="Arial" w:cs="Arial"/>
          <w:sz w:val="20"/>
          <w:szCs w:val="20"/>
        </w:rPr>
        <w:t xml:space="preserve"> and are evident</w:t>
      </w:r>
      <w:r w:rsidR="00153A56" w:rsidRPr="00AB088E">
        <w:rPr>
          <w:rFonts w:ascii="Arial" w:hAnsi="Arial" w:cs="Arial"/>
          <w:sz w:val="20"/>
          <w:szCs w:val="20"/>
        </w:rPr>
        <w:t xml:space="preserve"> in the deliberations</w:t>
      </w:r>
      <w:r w:rsidRPr="00AB088E">
        <w:rPr>
          <w:rFonts w:ascii="Arial" w:hAnsi="Arial" w:cs="Arial"/>
          <w:sz w:val="20"/>
          <w:szCs w:val="20"/>
        </w:rPr>
        <w:t>, the Committee recommends that the Minister of Public Works and Infrastructure:</w:t>
      </w:r>
    </w:p>
    <w:p w:rsidR="00730FAA" w:rsidRPr="00AB088E" w:rsidRDefault="00730FAA" w:rsidP="00AB088E">
      <w:pPr>
        <w:pStyle w:val="ListParagraph"/>
        <w:numPr>
          <w:ilvl w:val="0"/>
          <w:numId w:val="27"/>
        </w:numPr>
        <w:spacing w:after="0" w:line="240" w:lineRule="auto"/>
        <w:rPr>
          <w:rFonts w:ascii="Arial" w:hAnsi="Arial" w:cs="Arial"/>
          <w:sz w:val="20"/>
          <w:szCs w:val="20"/>
        </w:rPr>
      </w:pPr>
      <w:r w:rsidRPr="00AB088E">
        <w:rPr>
          <w:rFonts w:ascii="Arial" w:hAnsi="Arial" w:cs="Arial"/>
          <w:sz w:val="20"/>
          <w:szCs w:val="20"/>
        </w:rPr>
        <w:t>Notes that the manner in which the PMTE and DBSA was managing the refurbishment project was leading to distrust with SAPS as client department</w:t>
      </w:r>
      <w:r w:rsidR="0026407A" w:rsidRPr="00AB088E">
        <w:rPr>
          <w:rFonts w:ascii="Arial" w:hAnsi="Arial" w:cs="Arial"/>
          <w:sz w:val="20"/>
          <w:szCs w:val="20"/>
        </w:rPr>
        <w:t xml:space="preserve">. SAPS stated </w:t>
      </w:r>
      <w:r w:rsidR="00136AC5" w:rsidRPr="00AB088E">
        <w:rPr>
          <w:rFonts w:ascii="Arial" w:hAnsi="Arial" w:cs="Arial"/>
          <w:sz w:val="20"/>
          <w:szCs w:val="20"/>
        </w:rPr>
        <w:t xml:space="preserve">that failure to improve on delivery indicated that </w:t>
      </w:r>
      <w:r w:rsidR="00747BC7" w:rsidRPr="00AB088E">
        <w:rPr>
          <w:rFonts w:ascii="Arial" w:hAnsi="Arial" w:cs="Arial"/>
          <w:sz w:val="20"/>
          <w:szCs w:val="20"/>
        </w:rPr>
        <w:t>as client it</w:t>
      </w:r>
      <w:r w:rsidR="00136AC5" w:rsidRPr="00AB088E">
        <w:rPr>
          <w:rFonts w:ascii="Arial" w:hAnsi="Arial" w:cs="Arial"/>
          <w:sz w:val="20"/>
          <w:szCs w:val="20"/>
        </w:rPr>
        <w:t xml:space="preserve"> would be forced to find an alternative project management method so that the Telkom </w:t>
      </w:r>
      <w:r w:rsidR="0073161C" w:rsidRPr="00AB088E">
        <w:rPr>
          <w:rFonts w:ascii="Arial" w:hAnsi="Arial" w:cs="Arial"/>
          <w:sz w:val="20"/>
          <w:szCs w:val="20"/>
        </w:rPr>
        <w:t>Towers project can be completed</w:t>
      </w:r>
      <w:r w:rsidRPr="00AB088E">
        <w:rPr>
          <w:rFonts w:ascii="Arial" w:hAnsi="Arial" w:cs="Arial"/>
          <w:sz w:val="20"/>
          <w:szCs w:val="20"/>
        </w:rPr>
        <w:t>. A Project Steering Committee needed to be established to drive the project, report</w:t>
      </w:r>
      <w:r w:rsidR="00136AC5" w:rsidRPr="00AB088E">
        <w:rPr>
          <w:rFonts w:ascii="Arial" w:hAnsi="Arial" w:cs="Arial"/>
          <w:sz w:val="20"/>
          <w:szCs w:val="20"/>
        </w:rPr>
        <w:t xml:space="preserve"> progress to completion</w:t>
      </w:r>
      <w:r w:rsidRPr="00AB088E">
        <w:rPr>
          <w:rFonts w:ascii="Arial" w:hAnsi="Arial" w:cs="Arial"/>
          <w:sz w:val="20"/>
          <w:szCs w:val="20"/>
        </w:rPr>
        <w:t xml:space="preserve"> regularly to the both executive authorities and the Portfolio Committee on Public Works and Infrastructure. </w:t>
      </w:r>
    </w:p>
    <w:p w:rsidR="00C814CE" w:rsidRPr="00AB088E" w:rsidRDefault="00264BFF" w:rsidP="00AB088E">
      <w:pPr>
        <w:pStyle w:val="ListParagraph"/>
        <w:numPr>
          <w:ilvl w:val="0"/>
          <w:numId w:val="27"/>
        </w:numPr>
        <w:spacing w:after="0" w:line="240" w:lineRule="auto"/>
        <w:rPr>
          <w:rFonts w:ascii="Arial" w:hAnsi="Arial" w:cs="Arial"/>
          <w:sz w:val="20"/>
          <w:szCs w:val="20"/>
        </w:rPr>
      </w:pPr>
      <w:r w:rsidRPr="00AB088E">
        <w:rPr>
          <w:rFonts w:ascii="Arial" w:hAnsi="Arial" w:cs="Arial"/>
          <w:sz w:val="20"/>
          <w:szCs w:val="20"/>
        </w:rPr>
        <w:t>Ensures that</w:t>
      </w:r>
      <w:r w:rsidR="00C814CE" w:rsidRPr="00AB088E">
        <w:rPr>
          <w:rFonts w:ascii="Arial" w:hAnsi="Arial" w:cs="Arial"/>
          <w:sz w:val="20"/>
          <w:szCs w:val="20"/>
        </w:rPr>
        <w:t xml:space="preserve"> </w:t>
      </w:r>
      <w:r w:rsidR="00BB697C" w:rsidRPr="00AB088E">
        <w:rPr>
          <w:rFonts w:ascii="Arial" w:hAnsi="Arial" w:cs="Arial"/>
          <w:sz w:val="20"/>
          <w:szCs w:val="20"/>
        </w:rPr>
        <w:t xml:space="preserve">PMTE and </w:t>
      </w:r>
      <w:r w:rsidR="00C814CE" w:rsidRPr="00AB088E">
        <w:rPr>
          <w:rFonts w:ascii="Arial" w:hAnsi="Arial" w:cs="Arial"/>
          <w:sz w:val="20"/>
          <w:szCs w:val="20"/>
        </w:rPr>
        <w:t xml:space="preserve">DBSA as </w:t>
      </w:r>
      <w:r w:rsidR="00BB697C" w:rsidRPr="00AB088E">
        <w:rPr>
          <w:rFonts w:ascii="Arial" w:hAnsi="Arial" w:cs="Arial"/>
          <w:sz w:val="20"/>
          <w:szCs w:val="20"/>
        </w:rPr>
        <w:t xml:space="preserve">current </w:t>
      </w:r>
      <w:r w:rsidR="00C814CE" w:rsidRPr="00AB088E">
        <w:rPr>
          <w:rFonts w:ascii="Arial" w:hAnsi="Arial" w:cs="Arial"/>
          <w:sz w:val="20"/>
          <w:szCs w:val="20"/>
        </w:rPr>
        <w:t xml:space="preserve">project management </w:t>
      </w:r>
      <w:r w:rsidR="00C2434A" w:rsidRPr="00AB088E">
        <w:rPr>
          <w:rFonts w:ascii="Arial" w:hAnsi="Arial" w:cs="Arial"/>
          <w:sz w:val="20"/>
          <w:szCs w:val="20"/>
        </w:rPr>
        <w:t xml:space="preserve">entity </w:t>
      </w:r>
      <w:r w:rsidR="00BB697C" w:rsidRPr="00AB088E">
        <w:rPr>
          <w:rFonts w:ascii="Arial" w:hAnsi="Arial" w:cs="Arial"/>
          <w:sz w:val="20"/>
          <w:szCs w:val="20"/>
        </w:rPr>
        <w:t>responsible for</w:t>
      </w:r>
      <w:r w:rsidR="00C814CE" w:rsidRPr="00AB088E">
        <w:rPr>
          <w:rFonts w:ascii="Arial" w:hAnsi="Arial" w:cs="Arial"/>
          <w:sz w:val="20"/>
          <w:szCs w:val="20"/>
        </w:rPr>
        <w:t xml:space="preserve"> the Telkom Towers refurbishment project provide a detailed report </w:t>
      </w:r>
      <w:r w:rsidRPr="00AB088E">
        <w:rPr>
          <w:rFonts w:ascii="Arial" w:hAnsi="Arial" w:cs="Arial"/>
          <w:sz w:val="20"/>
          <w:szCs w:val="20"/>
        </w:rPr>
        <w:t xml:space="preserve">to the committee on work per phase, contractors and sub-contractors, and related costs paid per phase. It should include all scope of work with amendments per phase; </w:t>
      </w:r>
      <w:r w:rsidR="00C814CE" w:rsidRPr="00AB088E">
        <w:rPr>
          <w:rFonts w:ascii="Arial" w:hAnsi="Arial" w:cs="Arial"/>
          <w:sz w:val="20"/>
          <w:szCs w:val="20"/>
        </w:rPr>
        <w:t xml:space="preserve">applicable </w:t>
      </w:r>
      <w:r w:rsidRPr="00AB088E">
        <w:rPr>
          <w:rFonts w:ascii="Arial" w:hAnsi="Arial" w:cs="Arial"/>
          <w:sz w:val="20"/>
          <w:szCs w:val="20"/>
        </w:rPr>
        <w:t xml:space="preserve">signed off </w:t>
      </w:r>
      <w:r w:rsidR="00C814CE" w:rsidRPr="00AB088E">
        <w:rPr>
          <w:rFonts w:ascii="Arial" w:hAnsi="Arial" w:cs="Arial"/>
          <w:sz w:val="20"/>
          <w:szCs w:val="20"/>
        </w:rPr>
        <w:t>completion certificates per phase</w:t>
      </w:r>
      <w:r w:rsidRPr="00AB088E">
        <w:rPr>
          <w:rFonts w:ascii="Arial" w:hAnsi="Arial" w:cs="Arial"/>
          <w:sz w:val="20"/>
          <w:szCs w:val="20"/>
        </w:rPr>
        <w:t>;</w:t>
      </w:r>
      <w:r w:rsidR="00C814CE" w:rsidRPr="00AB088E">
        <w:rPr>
          <w:rFonts w:ascii="Arial" w:hAnsi="Arial" w:cs="Arial"/>
          <w:sz w:val="20"/>
          <w:szCs w:val="20"/>
        </w:rPr>
        <w:t xml:space="preserve"> deadline deviation requests</w:t>
      </w:r>
      <w:r w:rsidRPr="00AB088E">
        <w:rPr>
          <w:rFonts w:ascii="Arial" w:hAnsi="Arial" w:cs="Arial"/>
          <w:sz w:val="20"/>
          <w:szCs w:val="20"/>
        </w:rPr>
        <w:t>,</w:t>
      </w:r>
      <w:r w:rsidR="00C814CE" w:rsidRPr="00AB088E">
        <w:rPr>
          <w:rFonts w:ascii="Arial" w:hAnsi="Arial" w:cs="Arial"/>
          <w:sz w:val="20"/>
          <w:szCs w:val="20"/>
        </w:rPr>
        <w:t xml:space="preserve"> and </w:t>
      </w:r>
      <w:r w:rsidRPr="00AB088E">
        <w:rPr>
          <w:rFonts w:ascii="Arial" w:hAnsi="Arial" w:cs="Arial"/>
          <w:sz w:val="20"/>
          <w:szCs w:val="20"/>
        </w:rPr>
        <w:t xml:space="preserve">where applicable, </w:t>
      </w:r>
      <w:r w:rsidR="00C814CE" w:rsidRPr="00AB088E">
        <w:rPr>
          <w:rFonts w:ascii="Arial" w:hAnsi="Arial" w:cs="Arial"/>
          <w:sz w:val="20"/>
          <w:szCs w:val="20"/>
        </w:rPr>
        <w:t>permissions</w:t>
      </w:r>
      <w:r w:rsidRPr="00AB088E">
        <w:rPr>
          <w:rFonts w:ascii="Arial" w:hAnsi="Arial" w:cs="Arial"/>
          <w:sz w:val="20"/>
          <w:szCs w:val="20"/>
        </w:rPr>
        <w:t>, and relevant added costs</w:t>
      </w:r>
      <w:r w:rsidR="00C814CE" w:rsidRPr="00AB088E">
        <w:rPr>
          <w:rFonts w:ascii="Arial" w:hAnsi="Arial" w:cs="Arial"/>
          <w:sz w:val="20"/>
          <w:szCs w:val="20"/>
        </w:rPr>
        <w:t xml:space="preserve"> from the commencement date of the project to the date of the oversight visit. </w:t>
      </w:r>
      <w:r w:rsidR="00103E24" w:rsidRPr="00AB088E">
        <w:rPr>
          <w:rFonts w:ascii="Arial" w:hAnsi="Arial" w:cs="Arial"/>
          <w:i/>
          <w:sz w:val="20"/>
          <w:szCs w:val="20"/>
        </w:rPr>
        <w:t xml:space="preserve">The report to include information that enables a timeline with challenges noted, strategies to </w:t>
      </w:r>
      <w:r w:rsidRPr="00AB088E">
        <w:rPr>
          <w:rFonts w:ascii="Arial" w:hAnsi="Arial" w:cs="Arial"/>
          <w:i/>
          <w:sz w:val="20"/>
          <w:szCs w:val="20"/>
        </w:rPr>
        <w:t>o</w:t>
      </w:r>
      <w:r w:rsidR="00103E24" w:rsidRPr="00AB088E">
        <w:rPr>
          <w:rFonts w:ascii="Arial" w:hAnsi="Arial" w:cs="Arial"/>
          <w:i/>
          <w:sz w:val="20"/>
          <w:szCs w:val="20"/>
        </w:rPr>
        <w:t xml:space="preserve">vercome them, and reasons for </w:t>
      </w:r>
      <w:r w:rsidR="00492A94" w:rsidRPr="00AB088E">
        <w:rPr>
          <w:rFonts w:ascii="Arial" w:hAnsi="Arial" w:cs="Arial"/>
          <w:i/>
          <w:sz w:val="20"/>
          <w:szCs w:val="20"/>
        </w:rPr>
        <w:t>deviations so that the contin</w:t>
      </w:r>
      <w:r w:rsidRPr="00AB088E">
        <w:rPr>
          <w:rFonts w:ascii="Arial" w:hAnsi="Arial" w:cs="Arial"/>
          <w:i/>
          <w:sz w:val="20"/>
          <w:szCs w:val="20"/>
        </w:rPr>
        <w:t>u</w:t>
      </w:r>
      <w:r w:rsidR="00492A94" w:rsidRPr="00AB088E">
        <w:rPr>
          <w:rFonts w:ascii="Arial" w:hAnsi="Arial" w:cs="Arial"/>
          <w:i/>
          <w:sz w:val="20"/>
          <w:szCs w:val="20"/>
        </w:rPr>
        <w:t>ed incomplete status of this project can be properly documented</w:t>
      </w:r>
      <w:r w:rsidR="00492A94" w:rsidRPr="00AB088E">
        <w:rPr>
          <w:rFonts w:ascii="Arial" w:hAnsi="Arial" w:cs="Arial"/>
          <w:sz w:val="20"/>
          <w:szCs w:val="20"/>
        </w:rPr>
        <w:t>.</w:t>
      </w:r>
    </w:p>
    <w:p w:rsidR="00F32DD1" w:rsidRPr="00AB088E" w:rsidRDefault="00A92D87" w:rsidP="00AB088E">
      <w:pPr>
        <w:pStyle w:val="ListParagraph"/>
        <w:numPr>
          <w:ilvl w:val="0"/>
          <w:numId w:val="27"/>
        </w:numPr>
        <w:spacing w:after="0" w:line="240" w:lineRule="auto"/>
        <w:rPr>
          <w:rFonts w:ascii="Arial" w:hAnsi="Arial" w:cs="Arial"/>
          <w:sz w:val="20"/>
          <w:szCs w:val="20"/>
        </w:rPr>
      </w:pPr>
      <w:r w:rsidRPr="00AB088E">
        <w:rPr>
          <w:rFonts w:ascii="Arial" w:hAnsi="Arial" w:cs="Arial"/>
          <w:sz w:val="20"/>
          <w:szCs w:val="20"/>
        </w:rPr>
        <w:t>E</w:t>
      </w:r>
      <w:r w:rsidR="00F32DD1" w:rsidRPr="00AB088E">
        <w:rPr>
          <w:rFonts w:ascii="Arial" w:hAnsi="Arial" w:cs="Arial"/>
          <w:sz w:val="20"/>
          <w:szCs w:val="20"/>
        </w:rPr>
        <w:t xml:space="preserve">nsure that </w:t>
      </w:r>
      <w:r w:rsidR="00C814CE" w:rsidRPr="00AB088E">
        <w:rPr>
          <w:rFonts w:ascii="Arial" w:hAnsi="Arial" w:cs="Arial"/>
          <w:sz w:val="20"/>
          <w:szCs w:val="20"/>
        </w:rPr>
        <w:t xml:space="preserve">refurbishment and construction project management projects from the PMTE refurbishment, operating and transfer </w:t>
      </w:r>
      <w:r w:rsidR="004E06A6" w:rsidRPr="00AB088E">
        <w:rPr>
          <w:rFonts w:ascii="Arial" w:hAnsi="Arial" w:cs="Arial"/>
          <w:sz w:val="20"/>
          <w:szCs w:val="20"/>
        </w:rPr>
        <w:t xml:space="preserve">(ROT) </w:t>
      </w:r>
      <w:r w:rsidR="00C814CE" w:rsidRPr="00AB088E">
        <w:rPr>
          <w:rFonts w:ascii="Arial" w:hAnsi="Arial" w:cs="Arial"/>
          <w:sz w:val="20"/>
          <w:szCs w:val="20"/>
        </w:rPr>
        <w:t>programme</w:t>
      </w:r>
      <w:r w:rsidR="00F32DD1" w:rsidRPr="00AB088E">
        <w:rPr>
          <w:rFonts w:ascii="Arial" w:hAnsi="Arial" w:cs="Arial"/>
          <w:sz w:val="20"/>
          <w:szCs w:val="20"/>
        </w:rPr>
        <w:t xml:space="preserve"> is allocated to the Independent Development Trust (IDT) so that the entity can be sustainable after its resuscitation from nearly being closed down.</w:t>
      </w:r>
    </w:p>
    <w:p w:rsidR="0063793E" w:rsidRPr="00AB088E" w:rsidRDefault="0063793E" w:rsidP="00AB088E">
      <w:pPr>
        <w:pStyle w:val="ListParagraph"/>
        <w:numPr>
          <w:ilvl w:val="0"/>
          <w:numId w:val="27"/>
        </w:numPr>
        <w:spacing w:after="0" w:line="240" w:lineRule="auto"/>
        <w:rPr>
          <w:rFonts w:ascii="Arial" w:hAnsi="Arial" w:cs="Arial"/>
          <w:bCs/>
          <w:sz w:val="20"/>
          <w:szCs w:val="20"/>
        </w:rPr>
      </w:pPr>
      <w:r w:rsidRPr="00AB088E">
        <w:rPr>
          <w:rFonts w:ascii="Arial" w:hAnsi="Arial" w:cs="Arial"/>
          <w:bCs/>
          <w:sz w:val="20"/>
          <w:szCs w:val="20"/>
        </w:rPr>
        <w:t>Provide a detailed explanation about why the Independent Development Trust (IDT) may in future only be given 10</w:t>
      </w:r>
      <w:r w:rsidR="00027D57" w:rsidRPr="00AB088E">
        <w:rPr>
          <w:rFonts w:ascii="Arial" w:hAnsi="Arial" w:cs="Arial"/>
          <w:bCs/>
          <w:sz w:val="20"/>
          <w:szCs w:val="20"/>
        </w:rPr>
        <w:t xml:space="preserve"> per cent </w:t>
      </w:r>
      <w:r w:rsidRPr="00AB088E">
        <w:rPr>
          <w:rFonts w:ascii="Arial" w:hAnsi="Arial" w:cs="Arial"/>
          <w:bCs/>
          <w:sz w:val="20"/>
          <w:szCs w:val="20"/>
        </w:rPr>
        <w:t>of the work and the rest would be granted to the DBSA and Coega Development Corporation (CDC).</w:t>
      </w:r>
    </w:p>
    <w:p w:rsidR="00F32DD1" w:rsidRPr="00AB088E" w:rsidRDefault="00F32DD1" w:rsidP="00AB088E">
      <w:pPr>
        <w:spacing w:after="0" w:line="240" w:lineRule="auto"/>
        <w:ind w:left="540" w:hanging="540"/>
        <w:rPr>
          <w:rFonts w:ascii="Arial" w:hAnsi="Arial" w:cs="Arial"/>
          <w:sz w:val="20"/>
          <w:szCs w:val="20"/>
        </w:rPr>
      </w:pPr>
    </w:p>
    <w:p w:rsidR="008D5FCD" w:rsidRPr="00AB088E" w:rsidRDefault="008D5FCD" w:rsidP="00AB088E">
      <w:pPr>
        <w:spacing w:after="0" w:line="240" w:lineRule="auto"/>
        <w:ind w:left="450" w:hanging="450"/>
        <w:rPr>
          <w:rFonts w:ascii="Arial" w:hAnsi="Arial" w:cs="Arial"/>
          <w:sz w:val="20"/>
          <w:szCs w:val="20"/>
        </w:rPr>
      </w:pPr>
    </w:p>
    <w:p w:rsidR="00E075F8" w:rsidRPr="00AB088E" w:rsidRDefault="00E075F8" w:rsidP="00AB088E">
      <w:pPr>
        <w:spacing w:after="0" w:line="240" w:lineRule="auto"/>
        <w:rPr>
          <w:rFonts w:ascii="Arial" w:hAnsi="Arial" w:cs="Arial"/>
          <w:b/>
          <w:sz w:val="20"/>
          <w:szCs w:val="20"/>
        </w:rPr>
      </w:pPr>
      <w:r w:rsidRPr="00AB088E">
        <w:rPr>
          <w:rFonts w:ascii="Arial" w:hAnsi="Arial" w:cs="Arial"/>
          <w:b/>
          <w:sz w:val="20"/>
          <w:szCs w:val="20"/>
        </w:rPr>
        <w:t xml:space="preserve">Report to </w:t>
      </w:r>
      <w:r w:rsidR="00137980" w:rsidRPr="00AB088E">
        <w:rPr>
          <w:rFonts w:ascii="Arial" w:hAnsi="Arial" w:cs="Arial"/>
          <w:b/>
          <w:sz w:val="20"/>
          <w:szCs w:val="20"/>
        </w:rPr>
        <w:t xml:space="preserve">be </w:t>
      </w:r>
      <w:r w:rsidRPr="00AB088E">
        <w:rPr>
          <w:rFonts w:ascii="Arial" w:hAnsi="Arial" w:cs="Arial"/>
          <w:b/>
          <w:sz w:val="20"/>
          <w:szCs w:val="20"/>
        </w:rPr>
        <w:t>considered.</w:t>
      </w:r>
    </w:p>
    <w:sectPr w:rsidR="00E075F8" w:rsidRPr="00AB088E" w:rsidSect="00AC2FDA">
      <w:footerReference w:type="default" r:id="rId8"/>
      <w:pgSz w:w="11906" w:h="16838"/>
      <w:pgMar w:top="9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60F" w:rsidRDefault="00EC060F" w:rsidP="004A1EEF">
      <w:pPr>
        <w:spacing w:after="0" w:line="240" w:lineRule="auto"/>
      </w:pPr>
      <w:r>
        <w:separator/>
      </w:r>
    </w:p>
  </w:endnote>
  <w:endnote w:type="continuationSeparator" w:id="0">
    <w:p w:rsidR="00EC060F" w:rsidRDefault="00EC060F" w:rsidP="004A1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CB" w:rsidRDefault="00A665CB">
    <w:pPr>
      <w:pStyle w:val="Footer"/>
      <w:jc w:val="right"/>
    </w:pPr>
  </w:p>
  <w:p w:rsidR="00A665CB" w:rsidRDefault="00A66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60F" w:rsidRDefault="00EC060F" w:rsidP="004A1EEF">
      <w:pPr>
        <w:spacing w:after="0" w:line="240" w:lineRule="auto"/>
      </w:pPr>
      <w:r>
        <w:separator/>
      </w:r>
    </w:p>
  </w:footnote>
  <w:footnote w:type="continuationSeparator" w:id="0">
    <w:p w:rsidR="00EC060F" w:rsidRDefault="00EC060F" w:rsidP="004A1EEF">
      <w:pPr>
        <w:spacing w:after="0" w:line="240" w:lineRule="auto"/>
      </w:pPr>
      <w:r>
        <w:continuationSeparator/>
      </w:r>
    </w:p>
  </w:footnote>
  <w:footnote w:id="1">
    <w:p w:rsidR="00A665CB" w:rsidRPr="00F34750" w:rsidRDefault="00A665CB" w:rsidP="00AC2FDA">
      <w:pPr>
        <w:pStyle w:val="FootnoteText"/>
        <w:jc w:val="both"/>
        <w:rPr>
          <w:rFonts w:ascii="Times New Roman" w:hAnsi="Times New Roman" w:cs="Times New Roman"/>
        </w:rPr>
      </w:pPr>
      <w:r w:rsidRPr="00F34750">
        <w:rPr>
          <w:rStyle w:val="FootnoteReference"/>
          <w:rFonts w:ascii="Times New Roman" w:hAnsi="Times New Roman" w:cs="Times New Roman"/>
        </w:rPr>
        <w:footnoteRef/>
      </w:r>
      <w:r w:rsidRPr="00F34750">
        <w:rPr>
          <w:rFonts w:ascii="Times New Roman" w:hAnsi="Times New Roman" w:cs="Times New Roman"/>
        </w:rPr>
        <w:t xml:space="preserve"> </w:t>
      </w:r>
      <w:r>
        <w:rPr>
          <w:rFonts w:ascii="Times New Roman" w:hAnsi="Times New Roman" w:cs="Times New Roman"/>
        </w:rPr>
        <w:t xml:space="preserve">Referring to the Department’s former name here purposely as stated in </w:t>
      </w:r>
      <w:r w:rsidRPr="00F34750">
        <w:rPr>
          <w:rFonts w:ascii="Times New Roman" w:hAnsi="Times New Roman" w:cs="Times New Roman"/>
        </w:rPr>
        <w:t xml:space="preserve">Section 4 of the </w:t>
      </w:r>
      <w:r>
        <w:rPr>
          <w:rFonts w:ascii="Times New Roman" w:hAnsi="Times New Roman" w:cs="Times New Roman"/>
        </w:rPr>
        <w:t>GIAMA. This section of the Act</w:t>
      </w:r>
      <w:r w:rsidRPr="00F34750">
        <w:rPr>
          <w:rFonts w:ascii="Times New Roman" w:hAnsi="Times New Roman" w:cs="Times New Roman"/>
        </w:rPr>
        <w:t xml:space="preserve"> makes the Minister of Public Works the custodian of all “immovable assets that vest</w:t>
      </w:r>
      <w:r>
        <w:rPr>
          <w:rFonts w:ascii="Times New Roman" w:hAnsi="Times New Roman" w:cs="Times New Roman"/>
        </w:rPr>
        <w:t>s</w:t>
      </w:r>
      <w:r w:rsidRPr="00F34750">
        <w:rPr>
          <w:rFonts w:ascii="Times New Roman" w:hAnsi="Times New Roman" w:cs="Times New Roman"/>
        </w:rPr>
        <w:t xml:space="preserve"> in the national government, except in cases where custodial functions were assigned to other Ministers by virtue of legislation before the commencement of this Act;” The GIAMA states that the establishment and management of the GIAR across the three spheres of government is the responsibility of the DPW as custodian department.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305"/>
    <w:multiLevelType w:val="hybridMultilevel"/>
    <w:tmpl w:val="F80C6E5E"/>
    <w:lvl w:ilvl="0" w:tplc="9F20FB1A">
      <w:start w:val="1"/>
      <w:numFmt w:val="bullet"/>
      <w:lvlText w:val="•"/>
      <w:lvlJc w:val="left"/>
      <w:pPr>
        <w:tabs>
          <w:tab w:val="num" w:pos="720"/>
        </w:tabs>
        <w:ind w:left="720" w:hanging="360"/>
      </w:pPr>
      <w:rPr>
        <w:rFonts w:ascii="Arial" w:hAnsi="Arial" w:hint="default"/>
      </w:rPr>
    </w:lvl>
    <w:lvl w:ilvl="1" w:tplc="AAFE8640" w:tentative="1">
      <w:start w:val="1"/>
      <w:numFmt w:val="bullet"/>
      <w:lvlText w:val="•"/>
      <w:lvlJc w:val="left"/>
      <w:pPr>
        <w:tabs>
          <w:tab w:val="num" w:pos="1440"/>
        </w:tabs>
        <w:ind w:left="1440" w:hanging="360"/>
      </w:pPr>
      <w:rPr>
        <w:rFonts w:ascii="Arial" w:hAnsi="Arial" w:hint="default"/>
      </w:rPr>
    </w:lvl>
    <w:lvl w:ilvl="2" w:tplc="AADC4128" w:tentative="1">
      <w:start w:val="1"/>
      <w:numFmt w:val="bullet"/>
      <w:lvlText w:val="•"/>
      <w:lvlJc w:val="left"/>
      <w:pPr>
        <w:tabs>
          <w:tab w:val="num" w:pos="2160"/>
        </w:tabs>
        <w:ind w:left="2160" w:hanging="360"/>
      </w:pPr>
      <w:rPr>
        <w:rFonts w:ascii="Arial" w:hAnsi="Arial" w:hint="default"/>
      </w:rPr>
    </w:lvl>
    <w:lvl w:ilvl="3" w:tplc="EF2E3984" w:tentative="1">
      <w:start w:val="1"/>
      <w:numFmt w:val="bullet"/>
      <w:lvlText w:val="•"/>
      <w:lvlJc w:val="left"/>
      <w:pPr>
        <w:tabs>
          <w:tab w:val="num" w:pos="2880"/>
        </w:tabs>
        <w:ind w:left="2880" w:hanging="360"/>
      </w:pPr>
      <w:rPr>
        <w:rFonts w:ascii="Arial" w:hAnsi="Arial" w:hint="default"/>
      </w:rPr>
    </w:lvl>
    <w:lvl w:ilvl="4" w:tplc="CBA4F542" w:tentative="1">
      <w:start w:val="1"/>
      <w:numFmt w:val="bullet"/>
      <w:lvlText w:val="•"/>
      <w:lvlJc w:val="left"/>
      <w:pPr>
        <w:tabs>
          <w:tab w:val="num" w:pos="3600"/>
        </w:tabs>
        <w:ind w:left="3600" w:hanging="360"/>
      </w:pPr>
      <w:rPr>
        <w:rFonts w:ascii="Arial" w:hAnsi="Arial" w:hint="default"/>
      </w:rPr>
    </w:lvl>
    <w:lvl w:ilvl="5" w:tplc="7822340E" w:tentative="1">
      <w:start w:val="1"/>
      <w:numFmt w:val="bullet"/>
      <w:lvlText w:val="•"/>
      <w:lvlJc w:val="left"/>
      <w:pPr>
        <w:tabs>
          <w:tab w:val="num" w:pos="4320"/>
        </w:tabs>
        <w:ind w:left="4320" w:hanging="360"/>
      </w:pPr>
      <w:rPr>
        <w:rFonts w:ascii="Arial" w:hAnsi="Arial" w:hint="default"/>
      </w:rPr>
    </w:lvl>
    <w:lvl w:ilvl="6" w:tplc="82C2A9CE" w:tentative="1">
      <w:start w:val="1"/>
      <w:numFmt w:val="bullet"/>
      <w:lvlText w:val="•"/>
      <w:lvlJc w:val="left"/>
      <w:pPr>
        <w:tabs>
          <w:tab w:val="num" w:pos="5040"/>
        </w:tabs>
        <w:ind w:left="5040" w:hanging="360"/>
      </w:pPr>
      <w:rPr>
        <w:rFonts w:ascii="Arial" w:hAnsi="Arial" w:hint="default"/>
      </w:rPr>
    </w:lvl>
    <w:lvl w:ilvl="7" w:tplc="CDCA54B0" w:tentative="1">
      <w:start w:val="1"/>
      <w:numFmt w:val="bullet"/>
      <w:lvlText w:val="•"/>
      <w:lvlJc w:val="left"/>
      <w:pPr>
        <w:tabs>
          <w:tab w:val="num" w:pos="5760"/>
        </w:tabs>
        <w:ind w:left="5760" w:hanging="360"/>
      </w:pPr>
      <w:rPr>
        <w:rFonts w:ascii="Arial" w:hAnsi="Arial" w:hint="default"/>
      </w:rPr>
    </w:lvl>
    <w:lvl w:ilvl="8" w:tplc="50F66DF4" w:tentative="1">
      <w:start w:val="1"/>
      <w:numFmt w:val="bullet"/>
      <w:lvlText w:val="•"/>
      <w:lvlJc w:val="left"/>
      <w:pPr>
        <w:tabs>
          <w:tab w:val="num" w:pos="6480"/>
        </w:tabs>
        <w:ind w:left="6480" w:hanging="360"/>
      </w:pPr>
      <w:rPr>
        <w:rFonts w:ascii="Arial" w:hAnsi="Arial" w:hint="default"/>
      </w:rPr>
    </w:lvl>
  </w:abstractNum>
  <w:abstractNum w:abstractNumId="1">
    <w:nsid w:val="0BDB7E58"/>
    <w:multiLevelType w:val="hybridMultilevel"/>
    <w:tmpl w:val="873C6B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E92BFF"/>
    <w:multiLevelType w:val="hybridMultilevel"/>
    <w:tmpl w:val="0A40A81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nsid w:val="0F1E36E2"/>
    <w:multiLevelType w:val="hybridMultilevel"/>
    <w:tmpl w:val="7BC0F2A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435D1B"/>
    <w:multiLevelType w:val="hybridMultilevel"/>
    <w:tmpl w:val="519C5B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3E839E2"/>
    <w:multiLevelType w:val="multilevel"/>
    <w:tmpl w:val="31FE6D5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C35DC3"/>
    <w:multiLevelType w:val="hybridMultilevel"/>
    <w:tmpl w:val="76645A3E"/>
    <w:lvl w:ilvl="0" w:tplc="FFFFFFF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60C51E2"/>
    <w:multiLevelType w:val="hybridMultilevel"/>
    <w:tmpl w:val="1FBE31E0"/>
    <w:lvl w:ilvl="0" w:tplc="BE9276D4">
      <w:start w:val="1"/>
      <w:numFmt w:val="bullet"/>
      <w:lvlText w:val="•"/>
      <w:lvlJc w:val="left"/>
      <w:pPr>
        <w:tabs>
          <w:tab w:val="num" w:pos="720"/>
        </w:tabs>
        <w:ind w:left="720" w:hanging="360"/>
      </w:pPr>
      <w:rPr>
        <w:rFonts w:ascii="Arial" w:hAnsi="Arial" w:hint="default"/>
      </w:rPr>
    </w:lvl>
    <w:lvl w:ilvl="1" w:tplc="0D7A54DC" w:tentative="1">
      <w:start w:val="1"/>
      <w:numFmt w:val="bullet"/>
      <w:lvlText w:val="•"/>
      <w:lvlJc w:val="left"/>
      <w:pPr>
        <w:tabs>
          <w:tab w:val="num" w:pos="1440"/>
        </w:tabs>
        <w:ind w:left="1440" w:hanging="360"/>
      </w:pPr>
      <w:rPr>
        <w:rFonts w:ascii="Arial" w:hAnsi="Arial" w:hint="default"/>
      </w:rPr>
    </w:lvl>
    <w:lvl w:ilvl="2" w:tplc="F1B0A9B2" w:tentative="1">
      <w:start w:val="1"/>
      <w:numFmt w:val="bullet"/>
      <w:lvlText w:val="•"/>
      <w:lvlJc w:val="left"/>
      <w:pPr>
        <w:tabs>
          <w:tab w:val="num" w:pos="2160"/>
        </w:tabs>
        <w:ind w:left="2160" w:hanging="360"/>
      </w:pPr>
      <w:rPr>
        <w:rFonts w:ascii="Arial" w:hAnsi="Arial" w:hint="default"/>
      </w:rPr>
    </w:lvl>
    <w:lvl w:ilvl="3" w:tplc="7D4C5198" w:tentative="1">
      <w:start w:val="1"/>
      <w:numFmt w:val="bullet"/>
      <w:lvlText w:val="•"/>
      <w:lvlJc w:val="left"/>
      <w:pPr>
        <w:tabs>
          <w:tab w:val="num" w:pos="2880"/>
        </w:tabs>
        <w:ind w:left="2880" w:hanging="360"/>
      </w:pPr>
      <w:rPr>
        <w:rFonts w:ascii="Arial" w:hAnsi="Arial" w:hint="default"/>
      </w:rPr>
    </w:lvl>
    <w:lvl w:ilvl="4" w:tplc="CF744512" w:tentative="1">
      <w:start w:val="1"/>
      <w:numFmt w:val="bullet"/>
      <w:lvlText w:val="•"/>
      <w:lvlJc w:val="left"/>
      <w:pPr>
        <w:tabs>
          <w:tab w:val="num" w:pos="3600"/>
        </w:tabs>
        <w:ind w:left="3600" w:hanging="360"/>
      </w:pPr>
      <w:rPr>
        <w:rFonts w:ascii="Arial" w:hAnsi="Arial" w:hint="default"/>
      </w:rPr>
    </w:lvl>
    <w:lvl w:ilvl="5" w:tplc="28A82560" w:tentative="1">
      <w:start w:val="1"/>
      <w:numFmt w:val="bullet"/>
      <w:lvlText w:val="•"/>
      <w:lvlJc w:val="left"/>
      <w:pPr>
        <w:tabs>
          <w:tab w:val="num" w:pos="4320"/>
        </w:tabs>
        <w:ind w:left="4320" w:hanging="360"/>
      </w:pPr>
      <w:rPr>
        <w:rFonts w:ascii="Arial" w:hAnsi="Arial" w:hint="default"/>
      </w:rPr>
    </w:lvl>
    <w:lvl w:ilvl="6" w:tplc="447E224A" w:tentative="1">
      <w:start w:val="1"/>
      <w:numFmt w:val="bullet"/>
      <w:lvlText w:val="•"/>
      <w:lvlJc w:val="left"/>
      <w:pPr>
        <w:tabs>
          <w:tab w:val="num" w:pos="5040"/>
        </w:tabs>
        <w:ind w:left="5040" w:hanging="360"/>
      </w:pPr>
      <w:rPr>
        <w:rFonts w:ascii="Arial" w:hAnsi="Arial" w:hint="default"/>
      </w:rPr>
    </w:lvl>
    <w:lvl w:ilvl="7" w:tplc="B7663E00" w:tentative="1">
      <w:start w:val="1"/>
      <w:numFmt w:val="bullet"/>
      <w:lvlText w:val="•"/>
      <w:lvlJc w:val="left"/>
      <w:pPr>
        <w:tabs>
          <w:tab w:val="num" w:pos="5760"/>
        </w:tabs>
        <w:ind w:left="5760" w:hanging="360"/>
      </w:pPr>
      <w:rPr>
        <w:rFonts w:ascii="Arial" w:hAnsi="Arial" w:hint="default"/>
      </w:rPr>
    </w:lvl>
    <w:lvl w:ilvl="8" w:tplc="F73424B4" w:tentative="1">
      <w:start w:val="1"/>
      <w:numFmt w:val="bullet"/>
      <w:lvlText w:val="•"/>
      <w:lvlJc w:val="left"/>
      <w:pPr>
        <w:tabs>
          <w:tab w:val="num" w:pos="6480"/>
        </w:tabs>
        <w:ind w:left="6480" w:hanging="360"/>
      </w:pPr>
      <w:rPr>
        <w:rFonts w:ascii="Arial" w:hAnsi="Arial" w:hint="default"/>
      </w:rPr>
    </w:lvl>
  </w:abstractNum>
  <w:abstractNum w:abstractNumId="8">
    <w:nsid w:val="26570A5E"/>
    <w:multiLevelType w:val="hybridMultilevel"/>
    <w:tmpl w:val="C01EB790"/>
    <w:lvl w:ilvl="0" w:tplc="899A59C0">
      <w:start w:val="1"/>
      <w:numFmt w:val="bullet"/>
      <w:lvlText w:val=""/>
      <w:lvlJc w:val="left"/>
      <w:pPr>
        <w:tabs>
          <w:tab w:val="num" w:pos="720"/>
        </w:tabs>
        <w:ind w:left="720" w:hanging="360"/>
      </w:pPr>
      <w:rPr>
        <w:rFonts w:ascii="Wingdings" w:hAnsi="Wingdings" w:hint="default"/>
      </w:rPr>
    </w:lvl>
    <w:lvl w:ilvl="1" w:tplc="995CEBF0" w:tentative="1">
      <w:start w:val="1"/>
      <w:numFmt w:val="bullet"/>
      <w:lvlText w:val=""/>
      <w:lvlJc w:val="left"/>
      <w:pPr>
        <w:tabs>
          <w:tab w:val="num" w:pos="1440"/>
        </w:tabs>
        <w:ind w:left="1440" w:hanging="360"/>
      </w:pPr>
      <w:rPr>
        <w:rFonts w:ascii="Wingdings" w:hAnsi="Wingdings" w:hint="default"/>
      </w:rPr>
    </w:lvl>
    <w:lvl w:ilvl="2" w:tplc="D3ECBE62" w:tentative="1">
      <w:start w:val="1"/>
      <w:numFmt w:val="bullet"/>
      <w:lvlText w:val=""/>
      <w:lvlJc w:val="left"/>
      <w:pPr>
        <w:tabs>
          <w:tab w:val="num" w:pos="2160"/>
        </w:tabs>
        <w:ind w:left="2160" w:hanging="360"/>
      </w:pPr>
      <w:rPr>
        <w:rFonts w:ascii="Wingdings" w:hAnsi="Wingdings" w:hint="default"/>
      </w:rPr>
    </w:lvl>
    <w:lvl w:ilvl="3" w:tplc="38A22746" w:tentative="1">
      <w:start w:val="1"/>
      <w:numFmt w:val="bullet"/>
      <w:lvlText w:val=""/>
      <w:lvlJc w:val="left"/>
      <w:pPr>
        <w:tabs>
          <w:tab w:val="num" w:pos="2880"/>
        </w:tabs>
        <w:ind w:left="2880" w:hanging="360"/>
      </w:pPr>
      <w:rPr>
        <w:rFonts w:ascii="Wingdings" w:hAnsi="Wingdings" w:hint="default"/>
      </w:rPr>
    </w:lvl>
    <w:lvl w:ilvl="4" w:tplc="2C062FD4" w:tentative="1">
      <w:start w:val="1"/>
      <w:numFmt w:val="bullet"/>
      <w:lvlText w:val=""/>
      <w:lvlJc w:val="left"/>
      <w:pPr>
        <w:tabs>
          <w:tab w:val="num" w:pos="3600"/>
        </w:tabs>
        <w:ind w:left="3600" w:hanging="360"/>
      </w:pPr>
      <w:rPr>
        <w:rFonts w:ascii="Wingdings" w:hAnsi="Wingdings" w:hint="default"/>
      </w:rPr>
    </w:lvl>
    <w:lvl w:ilvl="5" w:tplc="4C4C8758" w:tentative="1">
      <w:start w:val="1"/>
      <w:numFmt w:val="bullet"/>
      <w:lvlText w:val=""/>
      <w:lvlJc w:val="left"/>
      <w:pPr>
        <w:tabs>
          <w:tab w:val="num" w:pos="4320"/>
        </w:tabs>
        <w:ind w:left="4320" w:hanging="360"/>
      </w:pPr>
      <w:rPr>
        <w:rFonts w:ascii="Wingdings" w:hAnsi="Wingdings" w:hint="default"/>
      </w:rPr>
    </w:lvl>
    <w:lvl w:ilvl="6" w:tplc="CD7CAC64" w:tentative="1">
      <w:start w:val="1"/>
      <w:numFmt w:val="bullet"/>
      <w:lvlText w:val=""/>
      <w:lvlJc w:val="left"/>
      <w:pPr>
        <w:tabs>
          <w:tab w:val="num" w:pos="5040"/>
        </w:tabs>
        <w:ind w:left="5040" w:hanging="360"/>
      </w:pPr>
      <w:rPr>
        <w:rFonts w:ascii="Wingdings" w:hAnsi="Wingdings" w:hint="default"/>
      </w:rPr>
    </w:lvl>
    <w:lvl w:ilvl="7" w:tplc="EF30BCFE" w:tentative="1">
      <w:start w:val="1"/>
      <w:numFmt w:val="bullet"/>
      <w:lvlText w:val=""/>
      <w:lvlJc w:val="left"/>
      <w:pPr>
        <w:tabs>
          <w:tab w:val="num" w:pos="5760"/>
        </w:tabs>
        <w:ind w:left="5760" w:hanging="360"/>
      </w:pPr>
      <w:rPr>
        <w:rFonts w:ascii="Wingdings" w:hAnsi="Wingdings" w:hint="default"/>
      </w:rPr>
    </w:lvl>
    <w:lvl w:ilvl="8" w:tplc="E13C5DC8" w:tentative="1">
      <w:start w:val="1"/>
      <w:numFmt w:val="bullet"/>
      <w:lvlText w:val=""/>
      <w:lvlJc w:val="left"/>
      <w:pPr>
        <w:tabs>
          <w:tab w:val="num" w:pos="6480"/>
        </w:tabs>
        <w:ind w:left="6480" w:hanging="360"/>
      </w:pPr>
      <w:rPr>
        <w:rFonts w:ascii="Wingdings" w:hAnsi="Wingdings" w:hint="default"/>
      </w:rPr>
    </w:lvl>
  </w:abstractNum>
  <w:abstractNum w:abstractNumId="9">
    <w:nsid w:val="2C502AA9"/>
    <w:multiLevelType w:val="multilevel"/>
    <w:tmpl w:val="2EEEC00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C5E5852"/>
    <w:multiLevelType w:val="hybridMultilevel"/>
    <w:tmpl w:val="0BB22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CDD46C9"/>
    <w:multiLevelType w:val="multilevel"/>
    <w:tmpl w:val="91F4B5D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AA0AE9"/>
    <w:multiLevelType w:val="hybridMultilevel"/>
    <w:tmpl w:val="692AFC1E"/>
    <w:lvl w:ilvl="0" w:tplc="8DB85920">
      <w:start w:val="1"/>
      <w:numFmt w:val="bullet"/>
      <w:lvlText w:val="•"/>
      <w:lvlJc w:val="left"/>
      <w:pPr>
        <w:tabs>
          <w:tab w:val="num" w:pos="720"/>
        </w:tabs>
        <w:ind w:left="720" w:hanging="360"/>
      </w:pPr>
      <w:rPr>
        <w:rFonts w:ascii="Arial" w:hAnsi="Arial" w:hint="default"/>
      </w:rPr>
    </w:lvl>
    <w:lvl w:ilvl="1" w:tplc="7D549E28" w:tentative="1">
      <w:start w:val="1"/>
      <w:numFmt w:val="bullet"/>
      <w:lvlText w:val="•"/>
      <w:lvlJc w:val="left"/>
      <w:pPr>
        <w:tabs>
          <w:tab w:val="num" w:pos="1440"/>
        </w:tabs>
        <w:ind w:left="1440" w:hanging="360"/>
      </w:pPr>
      <w:rPr>
        <w:rFonts w:ascii="Arial" w:hAnsi="Arial" w:hint="default"/>
      </w:rPr>
    </w:lvl>
    <w:lvl w:ilvl="2" w:tplc="D3A6334E" w:tentative="1">
      <w:start w:val="1"/>
      <w:numFmt w:val="bullet"/>
      <w:lvlText w:val="•"/>
      <w:lvlJc w:val="left"/>
      <w:pPr>
        <w:tabs>
          <w:tab w:val="num" w:pos="2160"/>
        </w:tabs>
        <w:ind w:left="2160" w:hanging="360"/>
      </w:pPr>
      <w:rPr>
        <w:rFonts w:ascii="Arial" w:hAnsi="Arial" w:hint="default"/>
      </w:rPr>
    </w:lvl>
    <w:lvl w:ilvl="3" w:tplc="BBD20548" w:tentative="1">
      <w:start w:val="1"/>
      <w:numFmt w:val="bullet"/>
      <w:lvlText w:val="•"/>
      <w:lvlJc w:val="left"/>
      <w:pPr>
        <w:tabs>
          <w:tab w:val="num" w:pos="2880"/>
        </w:tabs>
        <w:ind w:left="2880" w:hanging="360"/>
      </w:pPr>
      <w:rPr>
        <w:rFonts w:ascii="Arial" w:hAnsi="Arial" w:hint="default"/>
      </w:rPr>
    </w:lvl>
    <w:lvl w:ilvl="4" w:tplc="F6D29144" w:tentative="1">
      <w:start w:val="1"/>
      <w:numFmt w:val="bullet"/>
      <w:lvlText w:val="•"/>
      <w:lvlJc w:val="left"/>
      <w:pPr>
        <w:tabs>
          <w:tab w:val="num" w:pos="3600"/>
        </w:tabs>
        <w:ind w:left="3600" w:hanging="360"/>
      </w:pPr>
      <w:rPr>
        <w:rFonts w:ascii="Arial" w:hAnsi="Arial" w:hint="default"/>
      </w:rPr>
    </w:lvl>
    <w:lvl w:ilvl="5" w:tplc="59DEEE4C" w:tentative="1">
      <w:start w:val="1"/>
      <w:numFmt w:val="bullet"/>
      <w:lvlText w:val="•"/>
      <w:lvlJc w:val="left"/>
      <w:pPr>
        <w:tabs>
          <w:tab w:val="num" w:pos="4320"/>
        </w:tabs>
        <w:ind w:left="4320" w:hanging="360"/>
      </w:pPr>
      <w:rPr>
        <w:rFonts w:ascii="Arial" w:hAnsi="Arial" w:hint="default"/>
      </w:rPr>
    </w:lvl>
    <w:lvl w:ilvl="6" w:tplc="7EEA7442" w:tentative="1">
      <w:start w:val="1"/>
      <w:numFmt w:val="bullet"/>
      <w:lvlText w:val="•"/>
      <w:lvlJc w:val="left"/>
      <w:pPr>
        <w:tabs>
          <w:tab w:val="num" w:pos="5040"/>
        </w:tabs>
        <w:ind w:left="5040" w:hanging="360"/>
      </w:pPr>
      <w:rPr>
        <w:rFonts w:ascii="Arial" w:hAnsi="Arial" w:hint="default"/>
      </w:rPr>
    </w:lvl>
    <w:lvl w:ilvl="7" w:tplc="628C15DC" w:tentative="1">
      <w:start w:val="1"/>
      <w:numFmt w:val="bullet"/>
      <w:lvlText w:val="•"/>
      <w:lvlJc w:val="left"/>
      <w:pPr>
        <w:tabs>
          <w:tab w:val="num" w:pos="5760"/>
        </w:tabs>
        <w:ind w:left="5760" w:hanging="360"/>
      </w:pPr>
      <w:rPr>
        <w:rFonts w:ascii="Arial" w:hAnsi="Arial" w:hint="default"/>
      </w:rPr>
    </w:lvl>
    <w:lvl w:ilvl="8" w:tplc="D736E082" w:tentative="1">
      <w:start w:val="1"/>
      <w:numFmt w:val="bullet"/>
      <w:lvlText w:val="•"/>
      <w:lvlJc w:val="left"/>
      <w:pPr>
        <w:tabs>
          <w:tab w:val="num" w:pos="6480"/>
        </w:tabs>
        <w:ind w:left="6480" w:hanging="360"/>
      </w:pPr>
      <w:rPr>
        <w:rFonts w:ascii="Arial" w:hAnsi="Arial" w:hint="default"/>
      </w:rPr>
    </w:lvl>
  </w:abstractNum>
  <w:abstractNum w:abstractNumId="13">
    <w:nsid w:val="2F2973C5"/>
    <w:multiLevelType w:val="multilevel"/>
    <w:tmpl w:val="82B85770"/>
    <w:lvl w:ilvl="0">
      <w:start w:val="1"/>
      <w:numFmt w:val="decimal"/>
      <w:lvlText w:val="%1."/>
      <w:lvlJc w:val="left"/>
      <w:pPr>
        <w:ind w:left="720" w:hanging="360"/>
      </w:pPr>
    </w:lvl>
    <w:lvl w:ilvl="1">
      <w:start w:val="1"/>
      <w:numFmt w:val="decimal"/>
      <w:isLgl/>
      <w:lvlText w:val="%1.%2."/>
      <w:lvlJc w:val="left"/>
      <w:pPr>
        <w:ind w:left="1152"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1013855"/>
    <w:multiLevelType w:val="hybridMultilevel"/>
    <w:tmpl w:val="84B0E09E"/>
    <w:lvl w:ilvl="0" w:tplc="8C3EBC3C">
      <w:start w:val="1"/>
      <w:numFmt w:val="bullet"/>
      <w:lvlText w:val="•"/>
      <w:lvlJc w:val="left"/>
      <w:pPr>
        <w:tabs>
          <w:tab w:val="num" w:pos="720"/>
        </w:tabs>
        <w:ind w:left="720" w:hanging="360"/>
      </w:pPr>
      <w:rPr>
        <w:rFonts w:ascii="Arial" w:hAnsi="Arial" w:hint="default"/>
      </w:rPr>
    </w:lvl>
    <w:lvl w:ilvl="1" w:tplc="D3DE944C" w:tentative="1">
      <w:start w:val="1"/>
      <w:numFmt w:val="bullet"/>
      <w:lvlText w:val="•"/>
      <w:lvlJc w:val="left"/>
      <w:pPr>
        <w:tabs>
          <w:tab w:val="num" w:pos="1440"/>
        </w:tabs>
        <w:ind w:left="1440" w:hanging="360"/>
      </w:pPr>
      <w:rPr>
        <w:rFonts w:ascii="Arial" w:hAnsi="Arial" w:hint="default"/>
      </w:rPr>
    </w:lvl>
    <w:lvl w:ilvl="2" w:tplc="B6F44962" w:tentative="1">
      <w:start w:val="1"/>
      <w:numFmt w:val="bullet"/>
      <w:lvlText w:val="•"/>
      <w:lvlJc w:val="left"/>
      <w:pPr>
        <w:tabs>
          <w:tab w:val="num" w:pos="2160"/>
        </w:tabs>
        <w:ind w:left="2160" w:hanging="360"/>
      </w:pPr>
      <w:rPr>
        <w:rFonts w:ascii="Arial" w:hAnsi="Arial" w:hint="default"/>
      </w:rPr>
    </w:lvl>
    <w:lvl w:ilvl="3" w:tplc="C52CC346" w:tentative="1">
      <w:start w:val="1"/>
      <w:numFmt w:val="bullet"/>
      <w:lvlText w:val="•"/>
      <w:lvlJc w:val="left"/>
      <w:pPr>
        <w:tabs>
          <w:tab w:val="num" w:pos="2880"/>
        </w:tabs>
        <w:ind w:left="2880" w:hanging="360"/>
      </w:pPr>
      <w:rPr>
        <w:rFonts w:ascii="Arial" w:hAnsi="Arial" w:hint="default"/>
      </w:rPr>
    </w:lvl>
    <w:lvl w:ilvl="4" w:tplc="D40A3048" w:tentative="1">
      <w:start w:val="1"/>
      <w:numFmt w:val="bullet"/>
      <w:lvlText w:val="•"/>
      <w:lvlJc w:val="left"/>
      <w:pPr>
        <w:tabs>
          <w:tab w:val="num" w:pos="3600"/>
        </w:tabs>
        <w:ind w:left="3600" w:hanging="360"/>
      </w:pPr>
      <w:rPr>
        <w:rFonts w:ascii="Arial" w:hAnsi="Arial" w:hint="default"/>
      </w:rPr>
    </w:lvl>
    <w:lvl w:ilvl="5" w:tplc="9154CF38" w:tentative="1">
      <w:start w:val="1"/>
      <w:numFmt w:val="bullet"/>
      <w:lvlText w:val="•"/>
      <w:lvlJc w:val="left"/>
      <w:pPr>
        <w:tabs>
          <w:tab w:val="num" w:pos="4320"/>
        </w:tabs>
        <w:ind w:left="4320" w:hanging="360"/>
      </w:pPr>
      <w:rPr>
        <w:rFonts w:ascii="Arial" w:hAnsi="Arial" w:hint="default"/>
      </w:rPr>
    </w:lvl>
    <w:lvl w:ilvl="6" w:tplc="4DDC8668" w:tentative="1">
      <w:start w:val="1"/>
      <w:numFmt w:val="bullet"/>
      <w:lvlText w:val="•"/>
      <w:lvlJc w:val="left"/>
      <w:pPr>
        <w:tabs>
          <w:tab w:val="num" w:pos="5040"/>
        </w:tabs>
        <w:ind w:left="5040" w:hanging="360"/>
      </w:pPr>
      <w:rPr>
        <w:rFonts w:ascii="Arial" w:hAnsi="Arial" w:hint="default"/>
      </w:rPr>
    </w:lvl>
    <w:lvl w:ilvl="7" w:tplc="D2A6A874" w:tentative="1">
      <w:start w:val="1"/>
      <w:numFmt w:val="bullet"/>
      <w:lvlText w:val="•"/>
      <w:lvlJc w:val="left"/>
      <w:pPr>
        <w:tabs>
          <w:tab w:val="num" w:pos="5760"/>
        </w:tabs>
        <w:ind w:left="5760" w:hanging="360"/>
      </w:pPr>
      <w:rPr>
        <w:rFonts w:ascii="Arial" w:hAnsi="Arial" w:hint="default"/>
      </w:rPr>
    </w:lvl>
    <w:lvl w:ilvl="8" w:tplc="E214D5D8" w:tentative="1">
      <w:start w:val="1"/>
      <w:numFmt w:val="bullet"/>
      <w:lvlText w:val="•"/>
      <w:lvlJc w:val="left"/>
      <w:pPr>
        <w:tabs>
          <w:tab w:val="num" w:pos="6480"/>
        </w:tabs>
        <w:ind w:left="6480" w:hanging="360"/>
      </w:pPr>
      <w:rPr>
        <w:rFonts w:ascii="Arial" w:hAnsi="Arial" w:hint="default"/>
      </w:rPr>
    </w:lvl>
  </w:abstractNum>
  <w:abstractNum w:abstractNumId="15">
    <w:nsid w:val="40897C7E"/>
    <w:multiLevelType w:val="hybridMultilevel"/>
    <w:tmpl w:val="92B496F6"/>
    <w:lvl w:ilvl="0" w:tplc="EB1C2A1C">
      <w:start w:val="1"/>
      <w:numFmt w:val="bullet"/>
      <w:lvlText w:val="•"/>
      <w:lvlJc w:val="left"/>
      <w:pPr>
        <w:tabs>
          <w:tab w:val="num" w:pos="720"/>
        </w:tabs>
        <w:ind w:left="720" w:hanging="360"/>
      </w:pPr>
      <w:rPr>
        <w:rFonts w:ascii="Arial" w:hAnsi="Arial" w:hint="default"/>
      </w:rPr>
    </w:lvl>
    <w:lvl w:ilvl="1" w:tplc="CC58F76E" w:tentative="1">
      <w:start w:val="1"/>
      <w:numFmt w:val="bullet"/>
      <w:lvlText w:val="•"/>
      <w:lvlJc w:val="left"/>
      <w:pPr>
        <w:tabs>
          <w:tab w:val="num" w:pos="1440"/>
        </w:tabs>
        <w:ind w:left="1440" w:hanging="360"/>
      </w:pPr>
      <w:rPr>
        <w:rFonts w:ascii="Arial" w:hAnsi="Arial" w:hint="default"/>
      </w:rPr>
    </w:lvl>
    <w:lvl w:ilvl="2" w:tplc="EC3081A0" w:tentative="1">
      <w:start w:val="1"/>
      <w:numFmt w:val="bullet"/>
      <w:lvlText w:val="•"/>
      <w:lvlJc w:val="left"/>
      <w:pPr>
        <w:tabs>
          <w:tab w:val="num" w:pos="2160"/>
        </w:tabs>
        <w:ind w:left="2160" w:hanging="360"/>
      </w:pPr>
      <w:rPr>
        <w:rFonts w:ascii="Arial" w:hAnsi="Arial" w:hint="default"/>
      </w:rPr>
    </w:lvl>
    <w:lvl w:ilvl="3" w:tplc="3B520EB2" w:tentative="1">
      <w:start w:val="1"/>
      <w:numFmt w:val="bullet"/>
      <w:lvlText w:val="•"/>
      <w:lvlJc w:val="left"/>
      <w:pPr>
        <w:tabs>
          <w:tab w:val="num" w:pos="2880"/>
        </w:tabs>
        <w:ind w:left="2880" w:hanging="360"/>
      </w:pPr>
      <w:rPr>
        <w:rFonts w:ascii="Arial" w:hAnsi="Arial" w:hint="default"/>
      </w:rPr>
    </w:lvl>
    <w:lvl w:ilvl="4" w:tplc="47666C10" w:tentative="1">
      <w:start w:val="1"/>
      <w:numFmt w:val="bullet"/>
      <w:lvlText w:val="•"/>
      <w:lvlJc w:val="left"/>
      <w:pPr>
        <w:tabs>
          <w:tab w:val="num" w:pos="3600"/>
        </w:tabs>
        <w:ind w:left="3600" w:hanging="360"/>
      </w:pPr>
      <w:rPr>
        <w:rFonts w:ascii="Arial" w:hAnsi="Arial" w:hint="default"/>
      </w:rPr>
    </w:lvl>
    <w:lvl w:ilvl="5" w:tplc="2158B108" w:tentative="1">
      <w:start w:val="1"/>
      <w:numFmt w:val="bullet"/>
      <w:lvlText w:val="•"/>
      <w:lvlJc w:val="left"/>
      <w:pPr>
        <w:tabs>
          <w:tab w:val="num" w:pos="4320"/>
        </w:tabs>
        <w:ind w:left="4320" w:hanging="360"/>
      </w:pPr>
      <w:rPr>
        <w:rFonts w:ascii="Arial" w:hAnsi="Arial" w:hint="default"/>
      </w:rPr>
    </w:lvl>
    <w:lvl w:ilvl="6" w:tplc="144CFD1E" w:tentative="1">
      <w:start w:val="1"/>
      <w:numFmt w:val="bullet"/>
      <w:lvlText w:val="•"/>
      <w:lvlJc w:val="left"/>
      <w:pPr>
        <w:tabs>
          <w:tab w:val="num" w:pos="5040"/>
        </w:tabs>
        <w:ind w:left="5040" w:hanging="360"/>
      </w:pPr>
      <w:rPr>
        <w:rFonts w:ascii="Arial" w:hAnsi="Arial" w:hint="default"/>
      </w:rPr>
    </w:lvl>
    <w:lvl w:ilvl="7" w:tplc="1A300EB4" w:tentative="1">
      <w:start w:val="1"/>
      <w:numFmt w:val="bullet"/>
      <w:lvlText w:val="•"/>
      <w:lvlJc w:val="left"/>
      <w:pPr>
        <w:tabs>
          <w:tab w:val="num" w:pos="5760"/>
        </w:tabs>
        <w:ind w:left="5760" w:hanging="360"/>
      </w:pPr>
      <w:rPr>
        <w:rFonts w:ascii="Arial" w:hAnsi="Arial" w:hint="default"/>
      </w:rPr>
    </w:lvl>
    <w:lvl w:ilvl="8" w:tplc="6B82F89E" w:tentative="1">
      <w:start w:val="1"/>
      <w:numFmt w:val="bullet"/>
      <w:lvlText w:val="•"/>
      <w:lvlJc w:val="left"/>
      <w:pPr>
        <w:tabs>
          <w:tab w:val="num" w:pos="6480"/>
        </w:tabs>
        <w:ind w:left="6480" w:hanging="360"/>
      </w:pPr>
      <w:rPr>
        <w:rFonts w:ascii="Arial" w:hAnsi="Arial" w:hint="default"/>
      </w:rPr>
    </w:lvl>
  </w:abstractNum>
  <w:abstractNum w:abstractNumId="16">
    <w:nsid w:val="42527A57"/>
    <w:multiLevelType w:val="hybridMultilevel"/>
    <w:tmpl w:val="6444F88C"/>
    <w:lvl w:ilvl="0" w:tplc="A6826FE6">
      <w:start w:val="1"/>
      <w:numFmt w:val="bullet"/>
      <w:lvlText w:val="•"/>
      <w:lvlJc w:val="left"/>
      <w:pPr>
        <w:tabs>
          <w:tab w:val="num" w:pos="720"/>
        </w:tabs>
        <w:ind w:left="720" w:hanging="360"/>
      </w:pPr>
      <w:rPr>
        <w:rFonts w:ascii="Arial" w:hAnsi="Arial" w:hint="default"/>
      </w:rPr>
    </w:lvl>
    <w:lvl w:ilvl="1" w:tplc="57F83732" w:tentative="1">
      <w:start w:val="1"/>
      <w:numFmt w:val="bullet"/>
      <w:lvlText w:val="•"/>
      <w:lvlJc w:val="left"/>
      <w:pPr>
        <w:tabs>
          <w:tab w:val="num" w:pos="1440"/>
        </w:tabs>
        <w:ind w:left="1440" w:hanging="360"/>
      </w:pPr>
      <w:rPr>
        <w:rFonts w:ascii="Arial" w:hAnsi="Arial" w:hint="default"/>
      </w:rPr>
    </w:lvl>
    <w:lvl w:ilvl="2" w:tplc="08981BBC" w:tentative="1">
      <w:start w:val="1"/>
      <w:numFmt w:val="bullet"/>
      <w:lvlText w:val="•"/>
      <w:lvlJc w:val="left"/>
      <w:pPr>
        <w:tabs>
          <w:tab w:val="num" w:pos="2160"/>
        </w:tabs>
        <w:ind w:left="2160" w:hanging="360"/>
      </w:pPr>
      <w:rPr>
        <w:rFonts w:ascii="Arial" w:hAnsi="Arial" w:hint="default"/>
      </w:rPr>
    </w:lvl>
    <w:lvl w:ilvl="3" w:tplc="69A69E5E" w:tentative="1">
      <w:start w:val="1"/>
      <w:numFmt w:val="bullet"/>
      <w:lvlText w:val="•"/>
      <w:lvlJc w:val="left"/>
      <w:pPr>
        <w:tabs>
          <w:tab w:val="num" w:pos="2880"/>
        </w:tabs>
        <w:ind w:left="2880" w:hanging="360"/>
      </w:pPr>
      <w:rPr>
        <w:rFonts w:ascii="Arial" w:hAnsi="Arial" w:hint="default"/>
      </w:rPr>
    </w:lvl>
    <w:lvl w:ilvl="4" w:tplc="19761576" w:tentative="1">
      <w:start w:val="1"/>
      <w:numFmt w:val="bullet"/>
      <w:lvlText w:val="•"/>
      <w:lvlJc w:val="left"/>
      <w:pPr>
        <w:tabs>
          <w:tab w:val="num" w:pos="3600"/>
        </w:tabs>
        <w:ind w:left="3600" w:hanging="360"/>
      </w:pPr>
      <w:rPr>
        <w:rFonts w:ascii="Arial" w:hAnsi="Arial" w:hint="default"/>
      </w:rPr>
    </w:lvl>
    <w:lvl w:ilvl="5" w:tplc="BF222850" w:tentative="1">
      <w:start w:val="1"/>
      <w:numFmt w:val="bullet"/>
      <w:lvlText w:val="•"/>
      <w:lvlJc w:val="left"/>
      <w:pPr>
        <w:tabs>
          <w:tab w:val="num" w:pos="4320"/>
        </w:tabs>
        <w:ind w:left="4320" w:hanging="360"/>
      </w:pPr>
      <w:rPr>
        <w:rFonts w:ascii="Arial" w:hAnsi="Arial" w:hint="default"/>
      </w:rPr>
    </w:lvl>
    <w:lvl w:ilvl="6" w:tplc="DE2A89C2" w:tentative="1">
      <w:start w:val="1"/>
      <w:numFmt w:val="bullet"/>
      <w:lvlText w:val="•"/>
      <w:lvlJc w:val="left"/>
      <w:pPr>
        <w:tabs>
          <w:tab w:val="num" w:pos="5040"/>
        </w:tabs>
        <w:ind w:left="5040" w:hanging="360"/>
      </w:pPr>
      <w:rPr>
        <w:rFonts w:ascii="Arial" w:hAnsi="Arial" w:hint="default"/>
      </w:rPr>
    </w:lvl>
    <w:lvl w:ilvl="7" w:tplc="727A2FF2" w:tentative="1">
      <w:start w:val="1"/>
      <w:numFmt w:val="bullet"/>
      <w:lvlText w:val="•"/>
      <w:lvlJc w:val="left"/>
      <w:pPr>
        <w:tabs>
          <w:tab w:val="num" w:pos="5760"/>
        </w:tabs>
        <w:ind w:left="5760" w:hanging="360"/>
      </w:pPr>
      <w:rPr>
        <w:rFonts w:ascii="Arial" w:hAnsi="Arial" w:hint="default"/>
      </w:rPr>
    </w:lvl>
    <w:lvl w:ilvl="8" w:tplc="C86A2D20" w:tentative="1">
      <w:start w:val="1"/>
      <w:numFmt w:val="bullet"/>
      <w:lvlText w:val="•"/>
      <w:lvlJc w:val="left"/>
      <w:pPr>
        <w:tabs>
          <w:tab w:val="num" w:pos="6480"/>
        </w:tabs>
        <w:ind w:left="6480" w:hanging="360"/>
      </w:pPr>
      <w:rPr>
        <w:rFonts w:ascii="Arial" w:hAnsi="Arial" w:hint="default"/>
      </w:rPr>
    </w:lvl>
  </w:abstractNum>
  <w:abstractNum w:abstractNumId="17">
    <w:nsid w:val="470847EF"/>
    <w:multiLevelType w:val="hybridMultilevel"/>
    <w:tmpl w:val="DB943B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863397F"/>
    <w:multiLevelType w:val="hybridMultilevel"/>
    <w:tmpl w:val="F2AC6A90"/>
    <w:lvl w:ilvl="0" w:tplc="83DACEC2">
      <w:start w:val="1"/>
      <w:numFmt w:val="bullet"/>
      <w:lvlText w:val="•"/>
      <w:lvlJc w:val="left"/>
      <w:pPr>
        <w:tabs>
          <w:tab w:val="num" w:pos="720"/>
        </w:tabs>
        <w:ind w:left="720" w:hanging="360"/>
      </w:pPr>
      <w:rPr>
        <w:rFonts w:ascii="Arial" w:hAnsi="Arial" w:hint="default"/>
      </w:rPr>
    </w:lvl>
    <w:lvl w:ilvl="1" w:tplc="9208E9F2" w:tentative="1">
      <w:start w:val="1"/>
      <w:numFmt w:val="bullet"/>
      <w:lvlText w:val="•"/>
      <w:lvlJc w:val="left"/>
      <w:pPr>
        <w:tabs>
          <w:tab w:val="num" w:pos="1440"/>
        </w:tabs>
        <w:ind w:left="1440" w:hanging="360"/>
      </w:pPr>
      <w:rPr>
        <w:rFonts w:ascii="Arial" w:hAnsi="Arial" w:hint="default"/>
      </w:rPr>
    </w:lvl>
    <w:lvl w:ilvl="2" w:tplc="8C984A18" w:tentative="1">
      <w:start w:val="1"/>
      <w:numFmt w:val="bullet"/>
      <w:lvlText w:val="•"/>
      <w:lvlJc w:val="left"/>
      <w:pPr>
        <w:tabs>
          <w:tab w:val="num" w:pos="2160"/>
        </w:tabs>
        <w:ind w:left="2160" w:hanging="360"/>
      </w:pPr>
      <w:rPr>
        <w:rFonts w:ascii="Arial" w:hAnsi="Arial" w:hint="default"/>
      </w:rPr>
    </w:lvl>
    <w:lvl w:ilvl="3" w:tplc="11F0688A" w:tentative="1">
      <w:start w:val="1"/>
      <w:numFmt w:val="bullet"/>
      <w:lvlText w:val="•"/>
      <w:lvlJc w:val="left"/>
      <w:pPr>
        <w:tabs>
          <w:tab w:val="num" w:pos="2880"/>
        </w:tabs>
        <w:ind w:left="2880" w:hanging="360"/>
      </w:pPr>
      <w:rPr>
        <w:rFonts w:ascii="Arial" w:hAnsi="Arial" w:hint="default"/>
      </w:rPr>
    </w:lvl>
    <w:lvl w:ilvl="4" w:tplc="D7EAE1D0" w:tentative="1">
      <w:start w:val="1"/>
      <w:numFmt w:val="bullet"/>
      <w:lvlText w:val="•"/>
      <w:lvlJc w:val="left"/>
      <w:pPr>
        <w:tabs>
          <w:tab w:val="num" w:pos="3600"/>
        </w:tabs>
        <w:ind w:left="3600" w:hanging="360"/>
      </w:pPr>
      <w:rPr>
        <w:rFonts w:ascii="Arial" w:hAnsi="Arial" w:hint="default"/>
      </w:rPr>
    </w:lvl>
    <w:lvl w:ilvl="5" w:tplc="9782C7CC" w:tentative="1">
      <w:start w:val="1"/>
      <w:numFmt w:val="bullet"/>
      <w:lvlText w:val="•"/>
      <w:lvlJc w:val="left"/>
      <w:pPr>
        <w:tabs>
          <w:tab w:val="num" w:pos="4320"/>
        </w:tabs>
        <w:ind w:left="4320" w:hanging="360"/>
      </w:pPr>
      <w:rPr>
        <w:rFonts w:ascii="Arial" w:hAnsi="Arial" w:hint="default"/>
      </w:rPr>
    </w:lvl>
    <w:lvl w:ilvl="6" w:tplc="660C34C0" w:tentative="1">
      <w:start w:val="1"/>
      <w:numFmt w:val="bullet"/>
      <w:lvlText w:val="•"/>
      <w:lvlJc w:val="left"/>
      <w:pPr>
        <w:tabs>
          <w:tab w:val="num" w:pos="5040"/>
        </w:tabs>
        <w:ind w:left="5040" w:hanging="360"/>
      </w:pPr>
      <w:rPr>
        <w:rFonts w:ascii="Arial" w:hAnsi="Arial" w:hint="default"/>
      </w:rPr>
    </w:lvl>
    <w:lvl w:ilvl="7" w:tplc="150603BE" w:tentative="1">
      <w:start w:val="1"/>
      <w:numFmt w:val="bullet"/>
      <w:lvlText w:val="•"/>
      <w:lvlJc w:val="left"/>
      <w:pPr>
        <w:tabs>
          <w:tab w:val="num" w:pos="5760"/>
        </w:tabs>
        <w:ind w:left="5760" w:hanging="360"/>
      </w:pPr>
      <w:rPr>
        <w:rFonts w:ascii="Arial" w:hAnsi="Arial" w:hint="default"/>
      </w:rPr>
    </w:lvl>
    <w:lvl w:ilvl="8" w:tplc="DB803720" w:tentative="1">
      <w:start w:val="1"/>
      <w:numFmt w:val="bullet"/>
      <w:lvlText w:val="•"/>
      <w:lvlJc w:val="left"/>
      <w:pPr>
        <w:tabs>
          <w:tab w:val="num" w:pos="6480"/>
        </w:tabs>
        <w:ind w:left="6480" w:hanging="360"/>
      </w:pPr>
      <w:rPr>
        <w:rFonts w:ascii="Arial" w:hAnsi="Arial" w:hint="default"/>
      </w:rPr>
    </w:lvl>
  </w:abstractNum>
  <w:abstractNum w:abstractNumId="19">
    <w:nsid w:val="51225047"/>
    <w:multiLevelType w:val="hybridMultilevel"/>
    <w:tmpl w:val="E758CD96"/>
    <w:lvl w:ilvl="0" w:tplc="B2C25B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D42AC"/>
    <w:multiLevelType w:val="hybridMultilevel"/>
    <w:tmpl w:val="135AA96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5544A1C"/>
    <w:multiLevelType w:val="hybridMultilevel"/>
    <w:tmpl w:val="1E7016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5E91602"/>
    <w:multiLevelType w:val="hybridMultilevel"/>
    <w:tmpl w:val="E904C69E"/>
    <w:lvl w:ilvl="0" w:tplc="47842752">
      <w:start w:val="1"/>
      <w:numFmt w:val="bullet"/>
      <w:lvlText w:val=""/>
      <w:lvlJc w:val="left"/>
      <w:pPr>
        <w:tabs>
          <w:tab w:val="num" w:pos="720"/>
        </w:tabs>
        <w:ind w:left="720" w:hanging="360"/>
      </w:pPr>
      <w:rPr>
        <w:rFonts w:ascii="Wingdings" w:hAnsi="Wingdings" w:hint="default"/>
      </w:rPr>
    </w:lvl>
    <w:lvl w:ilvl="1" w:tplc="D974D356" w:tentative="1">
      <w:start w:val="1"/>
      <w:numFmt w:val="bullet"/>
      <w:lvlText w:val=""/>
      <w:lvlJc w:val="left"/>
      <w:pPr>
        <w:tabs>
          <w:tab w:val="num" w:pos="1440"/>
        </w:tabs>
        <w:ind w:left="1440" w:hanging="360"/>
      </w:pPr>
      <w:rPr>
        <w:rFonts w:ascii="Wingdings" w:hAnsi="Wingdings" w:hint="default"/>
      </w:rPr>
    </w:lvl>
    <w:lvl w:ilvl="2" w:tplc="1758F89A" w:tentative="1">
      <w:start w:val="1"/>
      <w:numFmt w:val="bullet"/>
      <w:lvlText w:val=""/>
      <w:lvlJc w:val="left"/>
      <w:pPr>
        <w:tabs>
          <w:tab w:val="num" w:pos="2160"/>
        </w:tabs>
        <w:ind w:left="2160" w:hanging="360"/>
      </w:pPr>
      <w:rPr>
        <w:rFonts w:ascii="Wingdings" w:hAnsi="Wingdings" w:hint="default"/>
      </w:rPr>
    </w:lvl>
    <w:lvl w:ilvl="3" w:tplc="BC8CE2C6" w:tentative="1">
      <w:start w:val="1"/>
      <w:numFmt w:val="bullet"/>
      <w:lvlText w:val=""/>
      <w:lvlJc w:val="left"/>
      <w:pPr>
        <w:tabs>
          <w:tab w:val="num" w:pos="2880"/>
        </w:tabs>
        <w:ind w:left="2880" w:hanging="360"/>
      </w:pPr>
      <w:rPr>
        <w:rFonts w:ascii="Wingdings" w:hAnsi="Wingdings" w:hint="default"/>
      </w:rPr>
    </w:lvl>
    <w:lvl w:ilvl="4" w:tplc="7A12A2B4" w:tentative="1">
      <w:start w:val="1"/>
      <w:numFmt w:val="bullet"/>
      <w:lvlText w:val=""/>
      <w:lvlJc w:val="left"/>
      <w:pPr>
        <w:tabs>
          <w:tab w:val="num" w:pos="3600"/>
        </w:tabs>
        <w:ind w:left="3600" w:hanging="360"/>
      </w:pPr>
      <w:rPr>
        <w:rFonts w:ascii="Wingdings" w:hAnsi="Wingdings" w:hint="default"/>
      </w:rPr>
    </w:lvl>
    <w:lvl w:ilvl="5" w:tplc="62D28944" w:tentative="1">
      <w:start w:val="1"/>
      <w:numFmt w:val="bullet"/>
      <w:lvlText w:val=""/>
      <w:lvlJc w:val="left"/>
      <w:pPr>
        <w:tabs>
          <w:tab w:val="num" w:pos="4320"/>
        </w:tabs>
        <w:ind w:left="4320" w:hanging="360"/>
      </w:pPr>
      <w:rPr>
        <w:rFonts w:ascii="Wingdings" w:hAnsi="Wingdings" w:hint="default"/>
      </w:rPr>
    </w:lvl>
    <w:lvl w:ilvl="6" w:tplc="8B8AB354" w:tentative="1">
      <w:start w:val="1"/>
      <w:numFmt w:val="bullet"/>
      <w:lvlText w:val=""/>
      <w:lvlJc w:val="left"/>
      <w:pPr>
        <w:tabs>
          <w:tab w:val="num" w:pos="5040"/>
        </w:tabs>
        <w:ind w:left="5040" w:hanging="360"/>
      </w:pPr>
      <w:rPr>
        <w:rFonts w:ascii="Wingdings" w:hAnsi="Wingdings" w:hint="default"/>
      </w:rPr>
    </w:lvl>
    <w:lvl w:ilvl="7" w:tplc="3A60C972" w:tentative="1">
      <w:start w:val="1"/>
      <w:numFmt w:val="bullet"/>
      <w:lvlText w:val=""/>
      <w:lvlJc w:val="left"/>
      <w:pPr>
        <w:tabs>
          <w:tab w:val="num" w:pos="5760"/>
        </w:tabs>
        <w:ind w:left="5760" w:hanging="360"/>
      </w:pPr>
      <w:rPr>
        <w:rFonts w:ascii="Wingdings" w:hAnsi="Wingdings" w:hint="default"/>
      </w:rPr>
    </w:lvl>
    <w:lvl w:ilvl="8" w:tplc="C658BA22" w:tentative="1">
      <w:start w:val="1"/>
      <w:numFmt w:val="bullet"/>
      <w:lvlText w:val=""/>
      <w:lvlJc w:val="left"/>
      <w:pPr>
        <w:tabs>
          <w:tab w:val="num" w:pos="6480"/>
        </w:tabs>
        <w:ind w:left="6480" w:hanging="360"/>
      </w:pPr>
      <w:rPr>
        <w:rFonts w:ascii="Wingdings" w:hAnsi="Wingdings" w:hint="default"/>
      </w:rPr>
    </w:lvl>
  </w:abstractNum>
  <w:abstractNum w:abstractNumId="23">
    <w:nsid w:val="5ED44187"/>
    <w:multiLevelType w:val="hybridMultilevel"/>
    <w:tmpl w:val="57C0D6B6"/>
    <w:lvl w:ilvl="0" w:tplc="8F3EC35C">
      <w:start w:val="1"/>
      <w:numFmt w:val="bullet"/>
      <w:lvlText w:val="•"/>
      <w:lvlJc w:val="left"/>
      <w:pPr>
        <w:tabs>
          <w:tab w:val="num" w:pos="720"/>
        </w:tabs>
        <w:ind w:left="720" w:hanging="360"/>
      </w:pPr>
      <w:rPr>
        <w:rFonts w:ascii="Arial" w:hAnsi="Arial" w:hint="default"/>
      </w:rPr>
    </w:lvl>
    <w:lvl w:ilvl="1" w:tplc="4E626E34" w:tentative="1">
      <w:start w:val="1"/>
      <w:numFmt w:val="bullet"/>
      <w:lvlText w:val="•"/>
      <w:lvlJc w:val="left"/>
      <w:pPr>
        <w:tabs>
          <w:tab w:val="num" w:pos="1440"/>
        </w:tabs>
        <w:ind w:left="1440" w:hanging="360"/>
      </w:pPr>
      <w:rPr>
        <w:rFonts w:ascii="Arial" w:hAnsi="Arial" w:hint="default"/>
      </w:rPr>
    </w:lvl>
    <w:lvl w:ilvl="2" w:tplc="4DCE4D52" w:tentative="1">
      <w:start w:val="1"/>
      <w:numFmt w:val="bullet"/>
      <w:lvlText w:val="•"/>
      <w:lvlJc w:val="left"/>
      <w:pPr>
        <w:tabs>
          <w:tab w:val="num" w:pos="2160"/>
        </w:tabs>
        <w:ind w:left="2160" w:hanging="360"/>
      </w:pPr>
      <w:rPr>
        <w:rFonts w:ascii="Arial" w:hAnsi="Arial" w:hint="default"/>
      </w:rPr>
    </w:lvl>
    <w:lvl w:ilvl="3" w:tplc="A33CD714" w:tentative="1">
      <w:start w:val="1"/>
      <w:numFmt w:val="bullet"/>
      <w:lvlText w:val="•"/>
      <w:lvlJc w:val="left"/>
      <w:pPr>
        <w:tabs>
          <w:tab w:val="num" w:pos="2880"/>
        </w:tabs>
        <w:ind w:left="2880" w:hanging="360"/>
      </w:pPr>
      <w:rPr>
        <w:rFonts w:ascii="Arial" w:hAnsi="Arial" w:hint="default"/>
      </w:rPr>
    </w:lvl>
    <w:lvl w:ilvl="4" w:tplc="CFAEE712" w:tentative="1">
      <w:start w:val="1"/>
      <w:numFmt w:val="bullet"/>
      <w:lvlText w:val="•"/>
      <w:lvlJc w:val="left"/>
      <w:pPr>
        <w:tabs>
          <w:tab w:val="num" w:pos="3600"/>
        </w:tabs>
        <w:ind w:left="3600" w:hanging="360"/>
      </w:pPr>
      <w:rPr>
        <w:rFonts w:ascii="Arial" w:hAnsi="Arial" w:hint="default"/>
      </w:rPr>
    </w:lvl>
    <w:lvl w:ilvl="5" w:tplc="4806A59C" w:tentative="1">
      <w:start w:val="1"/>
      <w:numFmt w:val="bullet"/>
      <w:lvlText w:val="•"/>
      <w:lvlJc w:val="left"/>
      <w:pPr>
        <w:tabs>
          <w:tab w:val="num" w:pos="4320"/>
        </w:tabs>
        <w:ind w:left="4320" w:hanging="360"/>
      </w:pPr>
      <w:rPr>
        <w:rFonts w:ascii="Arial" w:hAnsi="Arial" w:hint="default"/>
      </w:rPr>
    </w:lvl>
    <w:lvl w:ilvl="6" w:tplc="CC903C02" w:tentative="1">
      <w:start w:val="1"/>
      <w:numFmt w:val="bullet"/>
      <w:lvlText w:val="•"/>
      <w:lvlJc w:val="left"/>
      <w:pPr>
        <w:tabs>
          <w:tab w:val="num" w:pos="5040"/>
        </w:tabs>
        <w:ind w:left="5040" w:hanging="360"/>
      </w:pPr>
      <w:rPr>
        <w:rFonts w:ascii="Arial" w:hAnsi="Arial" w:hint="default"/>
      </w:rPr>
    </w:lvl>
    <w:lvl w:ilvl="7" w:tplc="6F52295C" w:tentative="1">
      <w:start w:val="1"/>
      <w:numFmt w:val="bullet"/>
      <w:lvlText w:val="•"/>
      <w:lvlJc w:val="left"/>
      <w:pPr>
        <w:tabs>
          <w:tab w:val="num" w:pos="5760"/>
        </w:tabs>
        <w:ind w:left="5760" w:hanging="360"/>
      </w:pPr>
      <w:rPr>
        <w:rFonts w:ascii="Arial" w:hAnsi="Arial" w:hint="default"/>
      </w:rPr>
    </w:lvl>
    <w:lvl w:ilvl="8" w:tplc="3B127278" w:tentative="1">
      <w:start w:val="1"/>
      <w:numFmt w:val="bullet"/>
      <w:lvlText w:val="•"/>
      <w:lvlJc w:val="left"/>
      <w:pPr>
        <w:tabs>
          <w:tab w:val="num" w:pos="6480"/>
        </w:tabs>
        <w:ind w:left="6480" w:hanging="360"/>
      </w:pPr>
      <w:rPr>
        <w:rFonts w:ascii="Arial" w:hAnsi="Arial" w:hint="default"/>
      </w:rPr>
    </w:lvl>
  </w:abstractNum>
  <w:abstractNum w:abstractNumId="24">
    <w:nsid w:val="64560E72"/>
    <w:multiLevelType w:val="multilevel"/>
    <w:tmpl w:val="158884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55E04C3"/>
    <w:multiLevelType w:val="hybridMultilevel"/>
    <w:tmpl w:val="C7545B4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6AA163CD"/>
    <w:multiLevelType w:val="multilevel"/>
    <w:tmpl w:val="9244CB68"/>
    <w:lvl w:ilvl="0">
      <w:start w:val="6"/>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7">
    <w:nsid w:val="7BCF786B"/>
    <w:multiLevelType w:val="multilevel"/>
    <w:tmpl w:val="DD801AC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num w:numId="1">
    <w:abstractNumId w:val="10"/>
  </w:num>
  <w:num w:numId="2">
    <w:abstractNumId w:val="19"/>
  </w:num>
  <w:num w:numId="3">
    <w:abstractNumId w:val="13"/>
  </w:num>
  <w:num w:numId="4">
    <w:abstractNumId w:val="6"/>
  </w:num>
  <w:num w:numId="5">
    <w:abstractNumId w:val="5"/>
  </w:num>
  <w:num w:numId="6">
    <w:abstractNumId w:val="26"/>
  </w:num>
  <w:num w:numId="7">
    <w:abstractNumId w:val="2"/>
  </w:num>
  <w:num w:numId="8">
    <w:abstractNumId w:val="21"/>
  </w:num>
  <w:num w:numId="9">
    <w:abstractNumId w:val="24"/>
  </w:num>
  <w:num w:numId="10">
    <w:abstractNumId w:val="27"/>
  </w:num>
  <w:num w:numId="11">
    <w:abstractNumId w:val="22"/>
  </w:num>
  <w:num w:numId="12">
    <w:abstractNumId w:val="8"/>
  </w:num>
  <w:num w:numId="13">
    <w:abstractNumId w:val="1"/>
  </w:num>
  <w:num w:numId="14">
    <w:abstractNumId w:val="11"/>
  </w:num>
  <w:num w:numId="15">
    <w:abstractNumId w:val="9"/>
  </w:num>
  <w:num w:numId="16">
    <w:abstractNumId w:val="3"/>
  </w:num>
  <w:num w:numId="17">
    <w:abstractNumId w:val="17"/>
  </w:num>
  <w:num w:numId="18">
    <w:abstractNumId w:val="14"/>
  </w:num>
  <w:num w:numId="19">
    <w:abstractNumId w:val="15"/>
  </w:num>
  <w:num w:numId="20">
    <w:abstractNumId w:val="0"/>
  </w:num>
  <w:num w:numId="21">
    <w:abstractNumId w:val="16"/>
  </w:num>
  <w:num w:numId="22">
    <w:abstractNumId w:val="12"/>
  </w:num>
  <w:num w:numId="23">
    <w:abstractNumId w:val="7"/>
  </w:num>
  <w:num w:numId="24">
    <w:abstractNumId w:val="18"/>
  </w:num>
  <w:num w:numId="25">
    <w:abstractNumId w:val="23"/>
  </w:num>
  <w:num w:numId="26">
    <w:abstractNumId w:val="4"/>
  </w:num>
  <w:num w:numId="27">
    <w:abstractNumId w:val="20"/>
  </w:num>
  <w:num w:numId="28">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5122"/>
  </w:hdrShapeDefaults>
  <w:footnotePr>
    <w:footnote w:id="-1"/>
    <w:footnote w:id="0"/>
  </w:footnotePr>
  <w:endnotePr>
    <w:endnote w:id="-1"/>
    <w:endnote w:id="0"/>
  </w:endnotePr>
  <w:compat/>
  <w:rsids>
    <w:rsidRoot w:val="004A1EEF"/>
    <w:rsid w:val="000078B5"/>
    <w:rsid w:val="00013CDC"/>
    <w:rsid w:val="00013DE8"/>
    <w:rsid w:val="000150CA"/>
    <w:rsid w:val="00020358"/>
    <w:rsid w:val="000224B7"/>
    <w:rsid w:val="00027D57"/>
    <w:rsid w:val="00030435"/>
    <w:rsid w:val="00032087"/>
    <w:rsid w:val="00040993"/>
    <w:rsid w:val="00042B22"/>
    <w:rsid w:val="00044431"/>
    <w:rsid w:val="00045A67"/>
    <w:rsid w:val="0005097F"/>
    <w:rsid w:val="0005496A"/>
    <w:rsid w:val="00064377"/>
    <w:rsid w:val="0006487C"/>
    <w:rsid w:val="0007201B"/>
    <w:rsid w:val="0007561D"/>
    <w:rsid w:val="000758FC"/>
    <w:rsid w:val="000859F9"/>
    <w:rsid w:val="000862FC"/>
    <w:rsid w:val="000975C7"/>
    <w:rsid w:val="000A1E05"/>
    <w:rsid w:val="000A24BA"/>
    <w:rsid w:val="000A6D61"/>
    <w:rsid w:val="000B18AC"/>
    <w:rsid w:val="000C10B3"/>
    <w:rsid w:val="000C2C25"/>
    <w:rsid w:val="000C59B0"/>
    <w:rsid w:val="000D241D"/>
    <w:rsid w:val="000D393F"/>
    <w:rsid w:val="000D68A5"/>
    <w:rsid w:val="000D6A9A"/>
    <w:rsid w:val="000E14D7"/>
    <w:rsid w:val="000E1557"/>
    <w:rsid w:val="000E1CEB"/>
    <w:rsid w:val="000E4D7E"/>
    <w:rsid w:val="000E7529"/>
    <w:rsid w:val="000F17B6"/>
    <w:rsid w:val="000F1E6D"/>
    <w:rsid w:val="000F35A6"/>
    <w:rsid w:val="000F4029"/>
    <w:rsid w:val="000F5693"/>
    <w:rsid w:val="00103E24"/>
    <w:rsid w:val="00104AB6"/>
    <w:rsid w:val="00104DA7"/>
    <w:rsid w:val="00107013"/>
    <w:rsid w:val="0011228D"/>
    <w:rsid w:val="00116600"/>
    <w:rsid w:val="00121833"/>
    <w:rsid w:val="0013068F"/>
    <w:rsid w:val="001341EF"/>
    <w:rsid w:val="00134C55"/>
    <w:rsid w:val="001356CA"/>
    <w:rsid w:val="001361E0"/>
    <w:rsid w:val="00136381"/>
    <w:rsid w:val="00136761"/>
    <w:rsid w:val="00136AC5"/>
    <w:rsid w:val="00137980"/>
    <w:rsid w:val="00140684"/>
    <w:rsid w:val="00140A84"/>
    <w:rsid w:val="001414FA"/>
    <w:rsid w:val="00141538"/>
    <w:rsid w:val="001416D8"/>
    <w:rsid w:val="00146B5E"/>
    <w:rsid w:val="00146EAF"/>
    <w:rsid w:val="00147176"/>
    <w:rsid w:val="00152738"/>
    <w:rsid w:val="00153A56"/>
    <w:rsid w:val="0015516B"/>
    <w:rsid w:val="001613D1"/>
    <w:rsid w:val="00163EBD"/>
    <w:rsid w:val="00164713"/>
    <w:rsid w:val="00164D16"/>
    <w:rsid w:val="00165409"/>
    <w:rsid w:val="0016753C"/>
    <w:rsid w:val="00167DBE"/>
    <w:rsid w:val="00171CC3"/>
    <w:rsid w:val="00176F3E"/>
    <w:rsid w:val="00177B14"/>
    <w:rsid w:val="00182B03"/>
    <w:rsid w:val="001831A5"/>
    <w:rsid w:val="0018404F"/>
    <w:rsid w:val="00185E46"/>
    <w:rsid w:val="00187A51"/>
    <w:rsid w:val="00187C76"/>
    <w:rsid w:val="001900D4"/>
    <w:rsid w:val="00192612"/>
    <w:rsid w:val="00192E8D"/>
    <w:rsid w:val="001936E4"/>
    <w:rsid w:val="00194CFA"/>
    <w:rsid w:val="001951F0"/>
    <w:rsid w:val="001953B3"/>
    <w:rsid w:val="001961ED"/>
    <w:rsid w:val="00196CCB"/>
    <w:rsid w:val="001A1DDA"/>
    <w:rsid w:val="001A314F"/>
    <w:rsid w:val="001B3EFA"/>
    <w:rsid w:val="001C05A2"/>
    <w:rsid w:val="001C400C"/>
    <w:rsid w:val="001D2648"/>
    <w:rsid w:val="001D5856"/>
    <w:rsid w:val="001E26E9"/>
    <w:rsid w:val="001E4616"/>
    <w:rsid w:val="001E6350"/>
    <w:rsid w:val="001E7776"/>
    <w:rsid w:val="001F0A5E"/>
    <w:rsid w:val="001F13FC"/>
    <w:rsid w:val="001F6C92"/>
    <w:rsid w:val="002067DB"/>
    <w:rsid w:val="00207D2F"/>
    <w:rsid w:val="00214A39"/>
    <w:rsid w:val="00217767"/>
    <w:rsid w:val="00222866"/>
    <w:rsid w:val="00224277"/>
    <w:rsid w:val="00226C66"/>
    <w:rsid w:val="00231924"/>
    <w:rsid w:val="00237058"/>
    <w:rsid w:val="00237C79"/>
    <w:rsid w:val="00243E28"/>
    <w:rsid w:val="0024426E"/>
    <w:rsid w:val="002453D4"/>
    <w:rsid w:val="00251367"/>
    <w:rsid w:val="00260F3F"/>
    <w:rsid w:val="00261636"/>
    <w:rsid w:val="00262434"/>
    <w:rsid w:val="00263CFD"/>
    <w:rsid w:val="0026407A"/>
    <w:rsid w:val="00264BFF"/>
    <w:rsid w:val="002665FF"/>
    <w:rsid w:val="00266CE2"/>
    <w:rsid w:val="00266DB3"/>
    <w:rsid w:val="00272E8F"/>
    <w:rsid w:val="00274393"/>
    <w:rsid w:val="002770FB"/>
    <w:rsid w:val="0027715F"/>
    <w:rsid w:val="00277B6C"/>
    <w:rsid w:val="00280496"/>
    <w:rsid w:val="00281E6A"/>
    <w:rsid w:val="00282CE1"/>
    <w:rsid w:val="00285F86"/>
    <w:rsid w:val="00286635"/>
    <w:rsid w:val="00286B92"/>
    <w:rsid w:val="00292891"/>
    <w:rsid w:val="002946BA"/>
    <w:rsid w:val="002959A0"/>
    <w:rsid w:val="002A727F"/>
    <w:rsid w:val="002B160D"/>
    <w:rsid w:val="002C02F4"/>
    <w:rsid w:val="002C3884"/>
    <w:rsid w:val="002D0F0E"/>
    <w:rsid w:val="002D5743"/>
    <w:rsid w:val="002D7C06"/>
    <w:rsid w:val="002E1F85"/>
    <w:rsid w:val="002F1E89"/>
    <w:rsid w:val="002F29F7"/>
    <w:rsid w:val="0030076F"/>
    <w:rsid w:val="00301740"/>
    <w:rsid w:val="00301914"/>
    <w:rsid w:val="00302F78"/>
    <w:rsid w:val="00304B89"/>
    <w:rsid w:val="00305C1E"/>
    <w:rsid w:val="00312F4E"/>
    <w:rsid w:val="00313137"/>
    <w:rsid w:val="00315F78"/>
    <w:rsid w:val="00316BF7"/>
    <w:rsid w:val="00323775"/>
    <w:rsid w:val="00325CCA"/>
    <w:rsid w:val="00326EE0"/>
    <w:rsid w:val="00330F59"/>
    <w:rsid w:val="00332B66"/>
    <w:rsid w:val="00334689"/>
    <w:rsid w:val="00334B88"/>
    <w:rsid w:val="00334C5A"/>
    <w:rsid w:val="00341CF5"/>
    <w:rsid w:val="00347DFD"/>
    <w:rsid w:val="0035226C"/>
    <w:rsid w:val="00352B55"/>
    <w:rsid w:val="003557E2"/>
    <w:rsid w:val="003649F6"/>
    <w:rsid w:val="003659F8"/>
    <w:rsid w:val="00366497"/>
    <w:rsid w:val="00367A88"/>
    <w:rsid w:val="00370F65"/>
    <w:rsid w:val="00371BE9"/>
    <w:rsid w:val="003760D0"/>
    <w:rsid w:val="00376FB4"/>
    <w:rsid w:val="0038104E"/>
    <w:rsid w:val="00382D30"/>
    <w:rsid w:val="003849BD"/>
    <w:rsid w:val="00390EC1"/>
    <w:rsid w:val="0039603C"/>
    <w:rsid w:val="003A2608"/>
    <w:rsid w:val="003A2744"/>
    <w:rsid w:val="003B15FC"/>
    <w:rsid w:val="003B44E4"/>
    <w:rsid w:val="003B54F3"/>
    <w:rsid w:val="003B6CFD"/>
    <w:rsid w:val="003C1993"/>
    <w:rsid w:val="003C22DA"/>
    <w:rsid w:val="003C78A9"/>
    <w:rsid w:val="003C79D4"/>
    <w:rsid w:val="003D10A1"/>
    <w:rsid w:val="003D39F7"/>
    <w:rsid w:val="003D5F06"/>
    <w:rsid w:val="003D74AE"/>
    <w:rsid w:val="003D777E"/>
    <w:rsid w:val="003E6631"/>
    <w:rsid w:val="003E73D4"/>
    <w:rsid w:val="003E7BFC"/>
    <w:rsid w:val="003F6C92"/>
    <w:rsid w:val="004001FD"/>
    <w:rsid w:val="004006C9"/>
    <w:rsid w:val="00401095"/>
    <w:rsid w:val="00412C87"/>
    <w:rsid w:val="00417724"/>
    <w:rsid w:val="004240E6"/>
    <w:rsid w:val="004247FE"/>
    <w:rsid w:val="00426648"/>
    <w:rsid w:val="00434085"/>
    <w:rsid w:val="0043518F"/>
    <w:rsid w:val="00435447"/>
    <w:rsid w:val="004426FC"/>
    <w:rsid w:val="00444BF0"/>
    <w:rsid w:val="00452E21"/>
    <w:rsid w:val="00455143"/>
    <w:rsid w:val="00461D69"/>
    <w:rsid w:val="00464FD6"/>
    <w:rsid w:val="00470FC4"/>
    <w:rsid w:val="00471A17"/>
    <w:rsid w:val="00473D80"/>
    <w:rsid w:val="00477B6F"/>
    <w:rsid w:val="00480E9C"/>
    <w:rsid w:val="004828E5"/>
    <w:rsid w:val="00482B53"/>
    <w:rsid w:val="00482BC6"/>
    <w:rsid w:val="00491D79"/>
    <w:rsid w:val="00492A94"/>
    <w:rsid w:val="00495AE1"/>
    <w:rsid w:val="004A1EEF"/>
    <w:rsid w:val="004A679C"/>
    <w:rsid w:val="004B08A9"/>
    <w:rsid w:val="004B18B9"/>
    <w:rsid w:val="004B687D"/>
    <w:rsid w:val="004B6E58"/>
    <w:rsid w:val="004B7FE3"/>
    <w:rsid w:val="004C0FBF"/>
    <w:rsid w:val="004D22DC"/>
    <w:rsid w:val="004D50CA"/>
    <w:rsid w:val="004D7D0D"/>
    <w:rsid w:val="004E031A"/>
    <w:rsid w:val="004E055A"/>
    <w:rsid w:val="004E06A6"/>
    <w:rsid w:val="004E1D39"/>
    <w:rsid w:val="004E2981"/>
    <w:rsid w:val="004E45C8"/>
    <w:rsid w:val="004E4988"/>
    <w:rsid w:val="004E5E87"/>
    <w:rsid w:val="004E77EE"/>
    <w:rsid w:val="004E79B2"/>
    <w:rsid w:val="004F0B96"/>
    <w:rsid w:val="004F5C06"/>
    <w:rsid w:val="004F70F0"/>
    <w:rsid w:val="004F7CF6"/>
    <w:rsid w:val="00502F82"/>
    <w:rsid w:val="00506186"/>
    <w:rsid w:val="00507D40"/>
    <w:rsid w:val="00512D87"/>
    <w:rsid w:val="00513D3D"/>
    <w:rsid w:val="0052490F"/>
    <w:rsid w:val="00524936"/>
    <w:rsid w:val="0052506A"/>
    <w:rsid w:val="0052515D"/>
    <w:rsid w:val="00525B65"/>
    <w:rsid w:val="00526D9C"/>
    <w:rsid w:val="00532620"/>
    <w:rsid w:val="00536345"/>
    <w:rsid w:val="00541C42"/>
    <w:rsid w:val="00542CE4"/>
    <w:rsid w:val="0056362A"/>
    <w:rsid w:val="00564BDD"/>
    <w:rsid w:val="005654DD"/>
    <w:rsid w:val="00573E06"/>
    <w:rsid w:val="00576AEE"/>
    <w:rsid w:val="00582E6D"/>
    <w:rsid w:val="00586C2A"/>
    <w:rsid w:val="00587F5D"/>
    <w:rsid w:val="005910C4"/>
    <w:rsid w:val="005939DD"/>
    <w:rsid w:val="00594BBF"/>
    <w:rsid w:val="005951BA"/>
    <w:rsid w:val="0059602E"/>
    <w:rsid w:val="00596261"/>
    <w:rsid w:val="005A4748"/>
    <w:rsid w:val="005B0963"/>
    <w:rsid w:val="005B1213"/>
    <w:rsid w:val="005B12D7"/>
    <w:rsid w:val="005B2DCA"/>
    <w:rsid w:val="005B31D2"/>
    <w:rsid w:val="005B350C"/>
    <w:rsid w:val="005C1553"/>
    <w:rsid w:val="005C7959"/>
    <w:rsid w:val="005D381F"/>
    <w:rsid w:val="005D449C"/>
    <w:rsid w:val="005E0A9C"/>
    <w:rsid w:val="005E0FFC"/>
    <w:rsid w:val="005E1DAB"/>
    <w:rsid w:val="005F1319"/>
    <w:rsid w:val="005F1657"/>
    <w:rsid w:val="005F3635"/>
    <w:rsid w:val="00601ED7"/>
    <w:rsid w:val="006048AB"/>
    <w:rsid w:val="006126D4"/>
    <w:rsid w:val="00612A1A"/>
    <w:rsid w:val="006138E8"/>
    <w:rsid w:val="00613E3D"/>
    <w:rsid w:val="006174D4"/>
    <w:rsid w:val="00620222"/>
    <w:rsid w:val="00620510"/>
    <w:rsid w:val="00624370"/>
    <w:rsid w:val="0062437B"/>
    <w:rsid w:val="00633DDA"/>
    <w:rsid w:val="006353D1"/>
    <w:rsid w:val="00635E6E"/>
    <w:rsid w:val="0063793E"/>
    <w:rsid w:val="00642B1C"/>
    <w:rsid w:val="006464DE"/>
    <w:rsid w:val="00646C37"/>
    <w:rsid w:val="00647AAF"/>
    <w:rsid w:val="006519EF"/>
    <w:rsid w:val="00653A10"/>
    <w:rsid w:val="00654800"/>
    <w:rsid w:val="00655785"/>
    <w:rsid w:val="00655C9A"/>
    <w:rsid w:val="0066152A"/>
    <w:rsid w:val="006617DB"/>
    <w:rsid w:val="00661C44"/>
    <w:rsid w:val="00663EA2"/>
    <w:rsid w:val="00673FEB"/>
    <w:rsid w:val="0068048F"/>
    <w:rsid w:val="00685398"/>
    <w:rsid w:val="00686460"/>
    <w:rsid w:val="006922B4"/>
    <w:rsid w:val="00693783"/>
    <w:rsid w:val="00693AE7"/>
    <w:rsid w:val="00694CD7"/>
    <w:rsid w:val="00697EC2"/>
    <w:rsid w:val="006A3657"/>
    <w:rsid w:val="006A5A8C"/>
    <w:rsid w:val="006A68B4"/>
    <w:rsid w:val="006B3CD8"/>
    <w:rsid w:val="006C1986"/>
    <w:rsid w:val="006C61DB"/>
    <w:rsid w:val="006D06D6"/>
    <w:rsid w:val="006D2DA5"/>
    <w:rsid w:val="006D587A"/>
    <w:rsid w:val="006E0A29"/>
    <w:rsid w:val="006E1A31"/>
    <w:rsid w:val="006E3670"/>
    <w:rsid w:val="006E4BA2"/>
    <w:rsid w:val="006F1AD8"/>
    <w:rsid w:val="006F6910"/>
    <w:rsid w:val="00706884"/>
    <w:rsid w:val="007119BC"/>
    <w:rsid w:val="0071340D"/>
    <w:rsid w:val="007136CD"/>
    <w:rsid w:val="0071390A"/>
    <w:rsid w:val="00714692"/>
    <w:rsid w:val="00714CE9"/>
    <w:rsid w:val="007150BA"/>
    <w:rsid w:val="00717AC8"/>
    <w:rsid w:val="00721ACA"/>
    <w:rsid w:val="00727358"/>
    <w:rsid w:val="00730FAA"/>
    <w:rsid w:val="0073161C"/>
    <w:rsid w:val="00731A61"/>
    <w:rsid w:val="0074078C"/>
    <w:rsid w:val="0074171E"/>
    <w:rsid w:val="00742453"/>
    <w:rsid w:val="00744302"/>
    <w:rsid w:val="00746445"/>
    <w:rsid w:val="00747BC7"/>
    <w:rsid w:val="00750C96"/>
    <w:rsid w:val="007514F8"/>
    <w:rsid w:val="007520FA"/>
    <w:rsid w:val="00752349"/>
    <w:rsid w:val="00754B04"/>
    <w:rsid w:val="00762CCC"/>
    <w:rsid w:val="00766155"/>
    <w:rsid w:val="0077242A"/>
    <w:rsid w:val="00772A2E"/>
    <w:rsid w:val="007752BB"/>
    <w:rsid w:val="00775CC9"/>
    <w:rsid w:val="00775E5B"/>
    <w:rsid w:val="007766E9"/>
    <w:rsid w:val="00776EBF"/>
    <w:rsid w:val="00783EA6"/>
    <w:rsid w:val="00787A49"/>
    <w:rsid w:val="0079241F"/>
    <w:rsid w:val="00792F11"/>
    <w:rsid w:val="007A4878"/>
    <w:rsid w:val="007A53BD"/>
    <w:rsid w:val="007A657B"/>
    <w:rsid w:val="007A66AE"/>
    <w:rsid w:val="007A7EE9"/>
    <w:rsid w:val="007B4AB5"/>
    <w:rsid w:val="007B5120"/>
    <w:rsid w:val="007B619F"/>
    <w:rsid w:val="007B76ED"/>
    <w:rsid w:val="007C46B4"/>
    <w:rsid w:val="007C49C1"/>
    <w:rsid w:val="007D28A5"/>
    <w:rsid w:val="007D5DB1"/>
    <w:rsid w:val="007E05A6"/>
    <w:rsid w:val="007E3BD5"/>
    <w:rsid w:val="007E4226"/>
    <w:rsid w:val="007E654C"/>
    <w:rsid w:val="007F04E2"/>
    <w:rsid w:val="007F11F4"/>
    <w:rsid w:val="007F16A6"/>
    <w:rsid w:val="007F3BFA"/>
    <w:rsid w:val="007F4381"/>
    <w:rsid w:val="007F687B"/>
    <w:rsid w:val="007F6E45"/>
    <w:rsid w:val="00801903"/>
    <w:rsid w:val="00802531"/>
    <w:rsid w:val="00803A15"/>
    <w:rsid w:val="0081157A"/>
    <w:rsid w:val="008122D8"/>
    <w:rsid w:val="00816651"/>
    <w:rsid w:val="00816792"/>
    <w:rsid w:val="008271F2"/>
    <w:rsid w:val="008274F7"/>
    <w:rsid w:val="00827BEB"/>
    <w:rsid w:val="008315BF"/>
    <w:rsid w:val="0083179F"/>
    <w:rsid w:val="008363BE"/>
    <w:rsid w:val="00842DE6"/>
    <w:rsid w:val="00844C1A"/>
    <w:rsid w:val="008450DE"/>
    <w:rsid w:val="00846550"/>
    <w:rsid w:val="00847D43"/>
    <w:rsid w:val="0085022D"/>
    <w:rsid w:val="00850587"/>
    <w:rsid w:val="00850C0F"/>
    <w:rsid w:val="00850DDA"/>
    <w:rsid w:val="00853FD9"/>
    <w:rsid w:val="0085535D"/>
    <w:rsid w:val="008623C5"/>
    <w:rsid w:val="008704B0"/>
    <w:rsid w:val="008711B3"/>
    <w:rsid w:val="008768A9"/>
    <w:rsid w:val="00881AB5"/>
    <w:rsid w:val="00881CE0"/>
    <w:rsid w:val="0088360D"/>
    <w:rsid w:val="00891DC9"/>
    <w:rsid w:val="008933AF"/>
    <w:rsid w:val="00895012"/>
    <w:rsid w:val="00897848"/>
    <w:rsid w:val="00897950"/>
    <w:rsid w:val="008A3614"/>
    <w:rsid w:val="008A413B"/>
    <w:rsid w:val="008A53CE"/>
    <w:rsid w:val="008A53EC"/>
    <w:rsid w:val="008A7B18"/>
    <w:rsid w:val="008B0319"/>
    <w:rsid w:val="008B0520"/>
    <w:rsid w:val="008B3EE1"/>
    <w:rsid w:val="008B44EF"/>
    <w:rsid w:val="008B4B96"/>
    <w:rsid w:val="008C0C7B"/>
    <w:rsid w:val="008C14A2"/>
    <w:rsid w:val="008C520B"/>
    <w:rsid w:val="008C77F6"/>
    <w:rsid w:val="008C7B43"/>
    <w:rsid w:val="008D0937"/>
    <w:rsid w:val="008D14C5"/>
    <w:rsid w:val="008D4252"/>
    <w:rsid w:val="008D5FCD"/>
    <w:rsid w:val="008E06CD"/>
    <w:rsid w:val="008E1FB0"/>
    <w:rsid w:val="008E272D"/>
    <w:rsid w:val="008E34C4"/>
    <w:rsid w:val="008F077B"/>
    <w:rsid w:val="008F72C5"/>
    <w:rsid w:val="00904110"/>
    <w:rsid w:val="00904FB3"/>
    <w:rsid w:val="00906B7C"/>
    <w:rsid w:val="00914BC3"/>
    <w:rsid w:val="00920610"/>
    <w:rsid w:val="00921AEF"/>
    <w:rsid w:val="00924409"/>
    <w:rsid w:val="00924B0F"/>
    <w:rsid w:val="00926393"/>
    <w:rsid w:val="0093272C"/>
    <w:rsid w:val="00933681"/>
    <w:rsid w:val="00935CCE"/>
    <w:rsid w:val="009401F4"/>
    <w:rsid w:val="009428A5"/>
    <w:rsid w:val="00944806"/>
    <w:rsid w:val="00946F9A"/>
    <w:rsid w:val="00947A9F"/>
    <w:rsid w:val="00951D73"/>
    <w:rsid w:val="00952075"/>
    <w:rsid w:val="009545ED"/>
    <w:rsid w:val="00957C1B"/>
    <w:rsid w:val="0096341B"/>
    <w:rsid w:val="0096554D"/>
    <w:rsid w:val="00971F03"/>
    <w:rsid w:val="00981659"/>
    <w:rsid w:val="00986B33"/>
    <w:rsid w:val="00986C0C"/>
    <w:rsid w:val="009906AA"/>
    <w:rsid w:val="0099163E"/>
    <w:rsid w:val="009938D6"/>
    <w:rsid w:val="00996848"/>
    <w:rsid w:val="009A052B"/>
    <w:rsid w:val="009A230B"/>
    <w:rsid w:val="009A2E7D"/>
    <w:rsid w:val="009A6FD2"/>
    <w:rsid w:val="009A728E"/>
    <w:rsid w:val="009B069C"/>
    <w:rsid w:val="009B1FAE"/>
    <w:rsid w:val="009B5276"/>
    <w:rsid w:val="009B6250"/>
    <w:rsid w:val="009C07B6"/>
    <w:rsid w:val="009C1D44"/>
    <w:rsid w:val="009C6619"/>
    <w:rsid w:val="009D16E8"/>
    <w:rsid w:val="009D456F"/>
    <w:rsid w:val="009D4DFD"/>
    <w:rsid w:val="009D53F6"/>
    <w:rsid w:val="009E1E80"/>
    <w:rsid w:val="009E2F1C"/>
    <w:rsid w:val="009F58EA"/>
    <w:rsid w:val="009F5C2E"/>
    <w:rsid w:val="009F6F21"/>
    <w:rsid w:val="009F768A"/>
    <w:rsid w:val="00A003C0"/>
    <w:rsid w:val="00A00A0F"/>
    <w:rsid w:val="00A01E64"/>
    <w:rsid w:val="00A05BCD"/>
    <w:rsid w:val="00A05C1E"/>
    <w:rsid w:val="00A10148"/>
    <w:rsid w:val="00A113BB"/>
    <w:rsid w:val="00A178DD"/>
    <w:rsid w:val="00A20B8E"/>
    <w:rsid w:val="00A2286D"/>
    <w:rsid w:val="00A267E5"/>
    <w:rsid w:val="00A275D0"/>
    <w:rsid w:val="00A32D95"/>
    <w:rsid w:val="00A33476"/>
    <w:rsid w:val="00A363ED"/>
    <w:rsid w:val="00A37A1B"/>
    <w:rsid w:val="00A43186"/>
    <w:rsid w:val="00A43B4A"/>
    <w:rsid w:val="00A44D0B"/>
    <w:rsid w:val="00A62CA4"/>
    <w:rsid w:val="00A665CB"/>
    <w:rsid w:val="00A812D0"/>
    <w:rsid w:val="00A8279C"/>
    <w:rsid w:val="00A91089"/>
    <w:rsid w:val="00A920F0"/>
    <w:rsid w:val="00A929FF"/>
    <w:rsid w:val="00A92D87"/>
    <w:rsid w:val="00A9542D"/>
    <w:rsid w:val="00AA0123"/>
    <w:rsid w:val="00AA2F9E"/>
    <w:rsid w:val="00AA4B9E"/>
    <w:rsid w:val="00AA571D"/>
    <w:rsid w:val="00AA601E"/>
    <w:rsid w:val="00AB088E"/>
    <w:rsid w:val="00AB1051"/>
    <w:rsid w:val="00AB2460"/>
    <w:rsid w:val="00AC1A48"/>
    <w:rsid w:val="00AC2FDA"/>
    <w:rsid w:val="00AC7B13"/>
    <w:rsid w:val="00AD0F3A"/>
    <w:rsid w:val="00AD524E"/>
    <w:rsid w:val="00AD775F"/>
    <w:rsid w:val="00AE0A93"/>
    <w:rsid w:val="00AF3250"/>
    <w:rsid w:val="00AF5FB1"/>
    <w:rsid w:val="00AF7506"/>
    <w:rsid w:val="00B0541D"/>
    <w:rsid w:val="00B071DD"/>
    <w:rsid w:val="00B15182"/>
    <w:rsid w:val="00B174D7"/>
    <w:rsid w:val="00B25399"/>
    <w:rsid w:val="00B272E9"/>
    <w:rsid w:val="00B30BC6"/>
    <w:rsid w:val="00B31706"/>
    <w:rsid w:val="00B344C4"/>
    <w:rsid w:val="00B36068"/>
    <w:rsid w:val="00B40A3A"/>
    <w:rsid w:val="00B40F4C"/>
    <w:rsid w:val="00B41FEC"/>
    <w:rsid w:val="00B43613"/>
    <w:rsid w:val="00B530C1"/>
    <w:rsid w:val="00B554D2"/>
    <w:rsid w:val="00B57359"/>
    <w:rsid w:val="00B57993"/>
    <w:rsid w:val="00B6028C"/>
    <w:rsid w:val="00B62354"/>
    <w:rsid w:val="00B63DF8"/>
    <w:rsid w:val="00B64528"/>
    <w:rsid w:val="00B67231"/>
    <w:rsid w:val="00B76B78"/>
    <w:rsid w:val="00B77426"/>
    <w:rsid w:val="00B7795D"/>
    <w:rsid w:val="00B804AD"/>
    <w:rsid w:val="00B836AB"/>
    <w:rsid w:val="00B84A24"/>
    <w:rsid w:val="00B84F94"/>
    <w:rsid w:val="00B917C2"/>
    <w:rsid w:val="00B96316"/>
    <w:rsid w:val="00BA021F"/>
    <w:rsid w:val="00BA327C"/>
    <w:rsid w:val="00BA34D9"/>
    <w:rsid w:val="00BA6C3F"/>
    <w:rsid w:val="00BA76D8"/>
    <w:rsid w:val="00BB164E"/>
    <w:rsid w:val="00BB199C"/>
    <w:rsid w:val="00BB346E"/>
    <w:rsid w:val="00BB697C"/>
    <w:rsid w:val="00BC4D23"/>
    <w:rsid w:val="00BC524E"/>
    <w:rsid w:val="00BD00E6"/>
    <w:rsid w:val="00BD2547"/>
    <w:rsid w:val="00BD52D0"/>
    <w:rsid w:val="00BE24A3"/>
    <w:rsid w:val="00BE3C65"/>
    <w:rsid w:val="00BE4749"/>
    <w:rsid w:val="00BE7171"/>
    <w:rsid w:val="00BF0306"/>
    <w:rsid w:val="00BF5DF3"/>
    <w:rsid w:val="00C01AF8"/>
    <w:rsid w:val="00C067DC"/>
    <w:rsid w:val="00C07D73"/>
    <w:rsid w:val="00C10A8C"/>
    <w:rsid w:val="00C206E8"/>
    <w:rsid w:val="00C222EB"/>
    <w:rsid w:val="00C2434A"/>
    <w:rsid w:val="00C335E1"/>
    <w:rsid w:val="00C35DB2"/>
    <w:rsid w:val="00C404B1"/>
    <w:rsid w:val="00C43CAC"/>
    <w:rsid w:val="00C538B4"/>
    <w:rsid w:val="00C60A52"/>
    <w:rsid w:val="00C70E8B"/>
    <w:rsid w:val="00C75BCE"/>
    <w:rsid w:val="00C76A61"/>
    <w:rsid w:val="00C76C53"/>
    <w:rsid w:val="00C814CE"/>
    <w:rsid w:val="00C87B1F"/>
    <w:rsid w:val="00C90860"/>
    <w:rsid w:val="00C91D78"/>
    <w:rsid w:val="00CA5AB4"/>
    <w:rsid w:val="00CB01B8"/>
    <w:rsid w:val="00CB0B70"/>
    <w:rsid w:val="00CB1EB5"/>
    <w:rsid w:val="00CB3903"/>
    <w:rsid w:val="00CB4A4F"/>
    <w:rsid w:val="00CB5C9E"/>
    <w:rsid w:val="00CB74AD"/>
    <w:rsid w:val="00CC1FA6"/>
    <w:rsid w:val="00CC4396"/>
    <w:rsid w:val="00CD5DA2"/>
    <w:rsid w:val="00CE0A9B"/>
    <w:rsid w:val="00CE2B13"/>
    <w:rsid w:val="00CE40F7"/>
    <w:rsid w:val="00CE512B"/>
    <w:rsid w:val="00CE6EDB"/>
    <w:rsid w:val="00CF4E22"/>
    <w:rsid w:val="00D01630"/>
    <w:rsid w:val="00D039EF"/>
    <w:rsid w:val="00D04B01"/>
    <w:rsid w:val="00D055A4"/>
    <w:rsid w:val="00D065D7"/>
    <w:rsid w:val="00D116A7"/>
    <w:rsid w:val="00D12D59"/>
    <w:rsid w:val="00D168BE"/>
    <w:rsid w:val="00D22430"/>
    <w:rsid w:val="00D25DED"/>
    <w:rsid w:val="00D26AA1"/>
    <w:rsid w:val="00D2746F"/>
    <w:rsid w:val="00D2749C"/>
    <w:rsid w:val="00D33E1B"/>
    <w:rsid w:val="00D36432"/>
    <w:rsid w:val="00D375B3"/>
    <w:rsid w:val="00D4003A"/>
    <w:rsid w:val="00D4288C"/>
    <w:rsid w:val="00D43B8B"/>
    <w:rsid w:val="00D43F3D"/>
    <w:rsid w:val="00D45739"/>
    <w:rsid w:val="00D465B0"/>
    <w:rsid w:val="00D46E06"/>
    <w:rsid w:val="00D47B1F"/>
    <w:rsid w:val="00D510E5"/>
    <w:rsid w:val="00D51F43"/>
    <w:rsid w:val="00D5391B"/>
    <w:rsid w:val="00D559DE"/>
    <w:rsid w:val="00D570F5"/>
    <w:rsid w:val="00D6360F"/>
    <w:rsid w:val="00D6412C"/>
    <w:rsid w:val="00D659A3"/>
    <w:rsid w:val="00D727DD"/>
    <w:rsid w:val="00D95C66"/>
    <w:rsid w:val="00D97991"/>
    <w:rsid w:val="00DA00EC"/>
    <w:rsid w:val="00DA0D87"/>
    <w:rsid w:val="00DA24B3"/>
    <w:rsid w:val="00DA7BE2"/>
    <w:rsid w:val="00DB7BA1"/>
    <w:rsid w:val="00DC0E2E"/>
    <w:rsid w:val="00DD2C69"/>
    <w:rsid w:val="00DD4EB1"/>
    <w:rsid w:val="00DD7CB3"/>
    <w:rsid w:val="00DE570A"/>
    <w:rsid w:val="00DF0769"/>
    <w:rsid w:val="00DF19D3"/>
    <w:rsid w:val="00DF2321"/>
    <w:rsid w:val="00DF2FE9"/>
    <w:rsid w:val="00DF3E29"/>
    <w:rsid w:val="00E006C6"/>
    <w:rsid w:val="00E01F3B"/>
    <w:rsid w:val="00E02B4B"/>
    <w:rsid w:val="00E0590A"/>
    <w:rsid w:val="00E075F8"/>
    <w:rsid w:val="00E13441"/>
    <w:rsid w:val="00E13FDF"/>
    <w:rsid w:val="00E1636B"/>
    <w:rsid w:val="00E25586"/>
    <w:rsid w:val="00E25CDC"/>
    <w:rsid w:val="00E30B59"/>
    <w:rsid w:val="00E327B0"/>
    <w:rsid w:val="00E3542B"/>
    <w:rsid w:val="00E3588D"/>
    <w:rsid w:val="00E409BF"/>
    <w:rsid w:val="00E456C9"/>
    <w:rsid w:val="00E465BE"/>
    <w:rsid w:val="00E469F5"/>
    <w:rsid w:val="00E46B41"/>
    <w:rsid w:val="00E50D60"/>
    <w:rsid w:val="00E51D22"/>
    <w:rsid w:val="00E564E7"/>
    <w:rsid w:val="00E65B65"/>
    <w:rsid w:val="00E713BC"/>
    <w:rsid w:val="00E72694"/>
    <w:rsid w:val="00E727B1"/>
    <w:rsid w:val="00E74956"/>
    <w:rsid w:val="00E82206"/>
    <w:rsid w:val="00E84A2A"/>
    <w:rsid w:val="00E91B4C"/>
    <w:rsid w:val="00E9237D"/>
    <w:rsid w:val="00E9544B"/>
    <w:rsid w:val="00EA6C40"/>
    <w:rsid w:val="00EB1CCF"/>
    <w:rsid w:val="00EB38F3"/>
    <w:rsid w:val="00EB39ED"/>
    <w:rsid w:val="00EB499D"/>
    <w:rsid w:val="00EB5B4C"/>
    <w:rsid w:val="00EB6BFA"/>
    <w:rsid w:val="00EB7085"/>
    <w:rsid w:val="00EB7DF5"/>
    <w:rsid w:val="00EC058E"/>
    <w:rsid w:val="00EC060F"/>
    <w:rsid w:val="00EC4234"/>
    <w:rsid w:val="00EC5CE8"/>
    <w:rsid w:val="00ED758C"/>
    <w:rsid w:val="00ED761D"/>
    <w:rsid w:val="00ED7F0E"/>
    <w:rsid w:val="00EE0AC5"/>
    <w:rsid w:val="00EF0AF9"/>
    <w:rsid w:val="00EF4191"/>
    <w:rsid w:val="00EF74A5"/>
    <w:rsid w:val="00F07B1F"/>
    <w:rsid w:val="00F11D1E"/>
    <w:rsid w:val="00F160D2"/>
    <w:rsid w:val="00F20CE3"/>
    <w:rsid w:val="00F21626"/>
    <w:rsid w:val="00F21CC2"/>
    <w:rsid w:val="00F24A8B"/>
    <w:rsid w:val="00F2537D"/>
    <w:rsid w:val="00F25AEB"/>
    <w:rsid w:val="00F309E0"/>
    <w:rsid w:val="00F32DD1"/>
    <w:rsid w:val="00F32F0B"/>
    <w:rsid w:val="00F35FED"/>
    <w:rsid w:val="00F40080"/>
    <w:rsid w:val="00F41307"/>
    <w:rsid w:val="00F43A3D"/>
    <w:rsid w:val="00F45D2B"/>
    <w:rsid w:val="00F46D48"/>
    <w:rsid w:val="00F47E97"/>
    <w:rsid w:val="00F5097E"/>
    <w:rsid w:val="00F52DB5"/>
    <w:rsid w:val="00F52F98"/>
    <w:rsid w:val="00F5786C"/>
    <w:rsid w:val="00F61DA7"/>
    <w:rsid w:val="00F62D7C"/>
    <w:rsid w:val="00F63FA1"/>
    <w:rsid w:val="00F71521"/>
    <w:rsid w:val="00F7254C"/>
    <w:rsid w:val="00F800DA"/>
    <w:rsid w:val="00F80BE1"/>
    <w:rsid w:val="00F87860"/>
    <w:rsid w:val="00F931B3"/>
    <w:rsid w:val="00F93A49"/>
    <w:rsid w:val="00FA04E2"/>
    <w:rsid w:val="00FA2FD7"/>
    <w:rsid w:val="00FA38CC"/>
    <w:rsid w:val="00FB15E2"/>
    <w:rsid w:val="00FB27FD"/>
    <w:rsid w:val="00FD0E9D"/>
    <w:rsid w:val="00FD1561"/>
    <w:rsid w:val="00FD2010"/>
    <w:rsid w:val="00FE19CB"/>
    <w:rsid w:val="00FE3E82"/>
    <w:rsid w:val="00FE5605"/>
    <w:rsid w:val="00FF4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D2"/>
  </w:style>
  <w:style w:type="paragraph" w:styleId="Heading1">
    <w:name w:val="heading 1"/>
    <w:basedOn w:val="Normal"/>
    <w:next w:val="Normal"/>
    <w:link w:val="Heading1Char"/>
    <w:uiPriority w:val="9"/>
    <w:qFormat/>
    <w:rsid w:val="00EF74A5"/>
    <w:pPr>
      <w:keepNext/>
      <w:keepLines/>
      <w:numPr>
        <w:numId w:val="15"/>
      </w:numPr>
      <w:spacing w:before="320" w:after="40" w:line="276" w:lineRule="auto"/>
      <w:jc w:val="both"/>
      <w:outlineLvl w:val="0"/>
    </w:pPr>
    <w:rPr>
      <w:rFonts w:ascii="Times New Roman" w:eastAsiaTheme="majorEastAsia" w:hAnsi="Times New Roman" w:cstheme="majorBidi"/>
      <w:b/>
      <w:bCs/>
      <w:caps/>
      <w:spacing w:val="4"/>
      <w:sz w:val="24"/>
      <w:szCs w:val="28"/>
    </w:rPr>
  </w:style>
  <w:style w:type="paragraph" w:styleId="Heading2">
    <w:name w:val="heading 2"/>
    <w:basedOn w:val="Normal"/>
    <w:next w:val="Normal"/>
    <w:link w:val="Heading2Char"/>
    <w:autoRedefine/>
    <w:uiPriority w:val="9"/>
    <w:unhideWhenUsed/>
    <w:qFormat/>
    <w:rsid w:val="00EF74A5"/>
    <w:pPr>
      <w:keepNext/>
      <w:keepLines/>
      <w:numPr>
        <w:ilvl w:val="1"/>
        <w:numId w:val="15"/>
      </w:numPr>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autoRedefine/>
    <w:uiPriority w:val="9"/>
    <w:unhideWhenUsed/>
    <w:qFormat/>
    <w:rsid w:val="007A7EE9"/>
    <w:pPr>
      <w:keepNext/>
      <w:keepLines/>
      <w:numPr>
        <w:ilvl w:val="2"/>
        <w:numId w:val="15"/>
      </w:numPr>
      <w:spacing w:before="40" w:after="240"/>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autoRedefine/>
    <w:uiPriority w:val="9"/>
    <w:unhideWhenUsed/>
    <w:qFormat/>
    <w:rsid w:val="00D065D7"/>
    <w:pPr>
      <w:keepNext/>
      <w:keepLines/>
      <w:numPr>
        <w:ilvl w:val="3"/>
        <w:numId w:val="15"/>
      </w:numPr>
      <w:spacing w:before="40" w:after="0"/>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semiHidden/>
    <w:unhideWhenUsed/>
    <w:qFormat/>
    <w:rsid w:val="00EF74A5"/>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F74A5"/>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F74A5"/>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F74A5"/>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74A5"/>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EEF"/>
  </w:style>
  <w:style w:type="paragraph" w:styleId="Footer">
    <w:name w:val="footer"/>
    <w:basedOn w:val="Normal"/>
    <w:link w:val="FooterChar"/>
    <w:uiPriority w:val="99"/>
    <w:unhideWhenUsed/>
    <w:rsid w:val="004A1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EEF"/>
  </w:style>
  <w:style w:type="character" w:customStyle="1" w:styleId="Heading1Char">
    <w:name w:val="Heading 1 Char"/>
    <w:basedOn w:val="DefaultParagraphFont"/>
    <w:link w:val="Heading1"/>
    <w:uiPriority w:val="9"/>
    <w:rsid w:val="00EF74A5"/>
    <w:rPr>
      <w:rFonts w:ascii="Times New Roman" w:eastAsiaTheme="majorEastAsia" w:hAnsi="Times New Roman" w:cstheme="majorBidi"/>
      <w:b/>
      <w:bCs/>
      <w:caps/>
      <w:spacing w:val="4"/>
      <w:sz w:val="24"/>
      <w:szCs w:val="28"/>
    </w:rPr>
  </w:style>
  <w:style w:type="paragraph" w:styleId="NoSpacing">
    <w:name w:val="No Spacing"/>
    <w:uiPriority w:val="1"/>
    <w:qFormat/>
    <w:rsid w:val="00E30B59"/>
    <w:pPr>
      <w:spacing w:after="0" w:line="240" w:lineRule="auto"/>
      <w:jc w:val="both"/>
    </w:pPr>
    <w:rPr>
      <w:rFonts w:eastAsiaTheme="minorEastAsia"/>
    </w:rPr>
  </w:style>
  <w:style w:type="paragraph" w:styleId="FootnoteText">
    <w:name w:val="footnote text"/>
    <w:basedOn w:val="Normal"/>
    <w:link w:val="FootnoteTextChar"/>
    <w:uiPriority w:val="99"/>
    <w:semiHidden/>
    <w:unhideWhenUsed/>
    <w:rsid w:val="00E30B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B59"/>
    <w:rPr>
      <w:sz w:val="20"/>
      <w:szCs w:val="20"/>
    </w:rPr>
  </w:style>
  <w:style w:type="character" w:styleId="FootnoteReference">
    <w:name w:val="footnote reference"/>
    <w:basedOn w:val="DefaultParagraphFont"/>
    <w:uiPriority w:val="99"/>
    <w:semiHidden/>
    <w:unhideWhenUsed/>
    <w:rsid w:val="00E30B59"/>
    <w:rPr>
      <w:vertAlign w:val="superscript"/>
    </w:rPr>
  </w:style>
  <w:style w:type="paragraph" w:styleId="ListParagraph">
    <w:name w:val="List Paragraph"/>
    <w:basedOn w:val="Normal"/>
    <w:uiPriority w:val="34"/>
    <w:qFormat/>
    <w:rsid w:val="00E30B59"/>
    <w:pPr>
      <w:ind w:left="720"/>
      <w:contextualSpacing/>
    </w:pPr>
  </w:style>
  <w:style w:type="paragraph" w:customStyle="1" w:styleId="Default">
    <w:name w:val="Default"/>
    <w:rsid w:val="00E30B5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30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B59"/>
    <w:rPr>
      <w:rFonts w:ascii="Segoe UI" w:hAnsi="Segoe UI" w:cs="Segoe UI"/>
      <w:sz w:val="18"/>
      <w:szCs w:val="18"/>
    </w:rPr>
  </w:style>
  <w:style w:type="character" w:styleId="CommentReference">
    <w:name w:val="annotation reference"/>
    <w:basedOn w:val="DefaultParagraphFont"/>
    <w:uiPriority w:val="99"/>
    <w:semiHidden/>
    <w:unhideWhenUsed/>
    <w:rsid w:val="00B77426"/>
    <w:rPr>
      <w:sz w:val="16"/>
      <w:szCs w:val="16"/>
    </w:rPr>
  </w:style>
  <w:style w:type="paragraph" w:styleId="CommentText">
    <w:name w:val="annotation text"/>
    <w:basedOn w:val="Normal"/>
    <w:link w:val="CommentTextChar"/>
    <w:uiPriority w:val="99"/>
    <w:semiHidden/>
    <w:unhideWhenUsed/>
    <w:rsid w:val="00B77426"/>
    <w:pPr>
      <w:spacing w:line="240" w:lineRule="auto"/>
    </w:pPr>
    <w:rPr>
      <w:sz w:val="20"/>
      <w:szCs w:val="20"/>
    </w:rPr>
  </w:style>
  <w:style w:type="character" w:customStyle="1" w:styleId="CommentTextChar">
    <w:name w:val="Comment Text Char"/>
    <w:basedOn w:val="DefaultParagraphFont"/>
    <w:link w:val="CommentText"/>
    <w:uiPriority w:val="99"/>
    <w:semiHidden/>
    <w:rsid w:val="00B77426"/>
    <w:rPr>
      <w:sz w:val="20"/>
      <w:szCs w:val="20"/>
    </w:rPr>
  </w:style>
  <w:style w:type="paragraph" w:styleId="CommentSubject">
    <w:name w:val="annotation subject"/>
    <w:basedOn w:val="CommentText"/>
    <w:next w:val="CommentText"/>
    <w:link w:val="CommentSubjectChar"/>
    <w:uiPriority w:val="99"/>
    <w:semiHidden/>
    <w:unhideWhenUsed/>
    <w:rsid w:val="00B77426"/>
    <w:rPr>
      <w:b/>
      <w:bCs/>
    </w:rPr>
  </w:style>
  <w:style w:type="character" w:customStyle="1" w:styleId="CommentSubjectChar">
    <w:name w:val="Comment Subject Char"/>
    <w:basedOn w:val="CommentTextChar"/>
    <w:link w:val="CommentSubject"/>
    <w:uiPriority w:val="99"/>
    <w:semiHidden/>
    <w:rsid w:val="00B77426"/>
    <w:rPr>
      <w:b/>
      <w:bCs/>
      <w:sz w:val="20"/>
      <w:szCs w:val="20"/>
    </w:rPr>
  </w:style>
  <w:style w:type="paragraph" w:customStyle="1" w:styleId="TableParagraph">
    <w:name w:val="Table Paragraph"/>
    <w:basedOn w:val="Normal"/>
    <w:uiPriority w:val="1"/>
    <w:qFormat/>
    <w:rsid w:val="00AC2FDA"/>
    <w:pPr>
      <w:widowControl w:val="0"/>
      <w:autoSpaceDE w:val="0"/>
      <w:autoSpaceDN w:val="0"/>
      <w:spacing w:after="0" w:line="240" w:lineRule="auto"/>
      <w:ind w:left="56"/>
    </w:pPr>
    <w:rPr>
      <w:rFonts w:ascii="Myriad Pro Light" w:eastAsia="Myriad Pro Light" w:hAnsi="Myriad Pro Light" w:cs="Myriad Pro Light"/>
      <w:lang w:val="en-US"/>
    </w:rPr>
  </w:style>
  <w:style w:type="paragraph" w:styleId="NormalWeb">
    <w:name w:val="Normal (Web)"/>
    <w:basedOn w:val="Normal"/>
    <w:uiPriority w:val="99"/>
    <w:semiHidden/>
    <w:unhideWhenUsed/>
    <w:rsid w:val="002F29F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EF74A5"/>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A7EE9"/>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D065D7"/>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EF74A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F74A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F74A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F74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74A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101190703">
      <w:bodyDiv w:val="1"/>
      <w:marLeft w:val="0"/>
      <w:marRight w:val="0"/>
      <w:marTop w:val="0"/>
      <w:marBottom w:val="0"/>
      <w:divBdr>
        <w:top w:val="none" w:sz="0" w:space="0" w:color="auto"/>
        <w:left w:val="none" w:sz="0" w:space="0" w:color="auto"/>
        <w:bottom w:val="none" w:sz="0" w:space="0" w:color="auto"/>
        <w:right w:val="none" w:sz="0" w:space="0" w:color="auto"/>
      </w:divBdr>
      <w:divsChild>
        <w:div w:id="1396392519">
          <w:marLeft w:val="360"/>
          <w:marRight w:val="0"/>
          <w:marTop w:val="0"/>
          <w:marBottom w:val="0"/>
          <w:divBdr>
            <w:top w:val="none" w:sz="0" w:space="0" w:color="auto"/>
            <w:left w:val="none" w:sz="0" w:space="0" w:color="auto"/>
            <w:bottom w:val="none" w:sz="0" w:space="0" w:color="auto"/>
            <w:right w:val="none" w:sz="0" w:space="0" w:color="auto"/>
          </w:divBdr>
        </w:div>
        <w:div w:id="602566304">
          <w:marLeft w:val="360"/>
          <w:marRight w:val="0"/>
          <w:marTop w:val="0"/>
          <w:marBottom w:val="0"/>
          <w:divBdr>
            <w:top w:val="none" w:sz="0" w:space="0" w:color="auto"/>
            <w:left w:val="none" w:sz="0" w:space="0" w:color="auto"/>
            <w:bottom w:val="none" w:sz="0" w:space="0" w:color="auto"/>
            <w:right w:val="none" w:sz="0" w:space="0" w:color="auto"/>
          </w:divBdr>
        </w:div>
        <w:div w:id="676154961">
          <w:marLeft w:val="360"/>
          <w:marRight w:val="0"/>
          <w:marTop w:val="0"/>
          <w:marBottom w:val="0"/>
          <w:divBdr>
            <w:top w:val="none" w:sz="0" w:space="0" w:color="auto"/>
            <w:left w:val="none" w:sz="0" w:space="0" w:color="auto"/>
            <w:bottom w:val="none" w:sz="0" w:space="0" w:color="auto"/>
            <w:right w:val="none" w:sz="0" w:space="0" w:color="auto"/>
          </w:divBdr>
        </w:div>
        <w:div w:id="1364941001">
          <w:marLeft w:val="360"/>
          <w:marRight w:val="0"/>
          <w:marTop w:val="0"/>
          <w:marBottom w:val="0"/>
          <w:divBdr>
            <w:top w:val="none" w:sz="0" w:space="0" w:color="auto"/>
            <w:left w:val="none" w:sz="0" w:space="0" w:color="auto"/>
            <w:bottom w:val="none" w:sz="0" w:space="0" w:color="auto"/>
            <w:right w:val="none" w:sz="0" w:space="0" w:color="auto"/>
          </w:divBdr>
        </w:div>
        <w:div w:id="453989525">
          <w:marLeft w:val="360"/>
          <w:marRight w:val="0"/>
          <w:marTop w:val="0"/>
          <w:marBottom w:val="0"/>
          <w:divBdr>
            <w:top w:val="none" w:sz="0" w:space="0" w:color="auto"/>
            <w:left w:val="none" w:sz="0" w:space="0" w:color="auto"/>
            <w:bottom w:val="none" w:sz="0" w:space="0" w:color="auto"/>
            <w:right w:val="none" w:sz="0" w:space="0" w:color="auto"/>
          </w:divBdr>
        </w:div>
        <w:div w:id="1259562861">
          <w:marLeft w:val="274"/>
          <w:marRight w:val="0"/>
          <w:marTop w:val="0"/>
          <w:marBottom w:val="0"/>
          <w:divBdr>
            <w:top w:val="none" w:sz="0" w:space="0" w:color="auto"/>
            <w:left w:val="none" w:sz="0" w:space="0" w:color="auto"/>
            <w:bottom w:val="none" w:sz="0" w:space="0" w:color="auto"/>
            <w:right w:val="none" w:sz="0" w:space="0" w:color="auto"/>
          </w:divBdr>
        </w:div>
        <w:div w:id="350301637">
          <w:marLeft w:val="274"/>
          <w:marRight w:val="0"/>
          <w:marTop w:val="0"/>
          <w:marBottom w:val="0"/>
          <w:divBdr>
            <w:top w:val="none" w:sz="0" w:space="0" w:color="auto"/>
            <w:left w:val="none" w:sz="0" w:space="0" w:color="auto"/>
            <w:bottom w:val="none" w:sz="0" w:space="0" w:color="auto"/>
            <w:right w:val="none" w:sz="0" w:space="0" w:color="auto"/>
          </w:divBdr>
        </w:div>
        <w:div w:id="210964844">
          <w:marLeft w:val="274"/>
          <w:marRight w:val="0"/>
          <w:marTop w:val="0"/>
          <w:marBottom w:val="0"/>
          <w:divBdr>
            <w:top w:val="none" w:sz="0" w:space="0" w:color="auto"/>
            <w:left w:val="none" w:sz="0" w:space="0" w:color="auto"/>
            <w:bottom w:val="none" w:sz="0" w:space="0" w:color="auto"/>
            <w:right w:val="none" w:sz="0" w:space="0" w:color="auto"/>
          </w:divBdr>
        </w:div>
        <w:div w:id="1247617618">
          <w:marLeft w:val="274"/>
          <w:marRight w:val="0"/>
          <w:marTop w:val="0"/>
          <w:marBottom w:val="0"/>
          <w:divBdr>
            <w:top w:val="none" w:sz="0" w:space="0" w:color="auto"/>
            <w:left w:val="none" w:sz="0" w:space="0" w:color="auto"/>
            <w:bottom w:val="none" w:sz="0" w:space="0" w:color="auto"/>
            <w:right w:val="none" w:sz="0" w:space="0" w:color="auto"/>
          </w:divBdr>
        </w:div>
        <w:div w:id="1871725102">
          <w:marLeft w:val="274"/>
          <w:marRight w:val="0"/>
          <w:marTop w:val="0"/>
          <w:marBottom w:val="0"/>
          <w:divBdr>
            <w:top w:val="none" w:sz="0" w:space="0" w:color="auto"/>
            <w:left w:val="none" w:sz="0" w:space="0" w:color="auto"/>
            <w:bottom w:val="none" w:sz="0" w:space="0" w:color="auto"/>
            <w:right w:val="none" w:sz="0" w:space="0" w:color="auto"/>
          </w:divBdr>
        </w:div>
        <w:div w:id="1643849409">
          <w:marLeft w:val="360"/>
          <w:marRight w:val="0"/>
          <w:marTop w:val="0"/>
          <w:marBottom w:val="0"/>
          <w:divBdr>
            <w:top w:val="none" w:sz="0" w:space="0" w:color="auto"/>
            <w:left w:val="none" w:sz="0" w:space="0" w:color="auto"/>
            <w:bottom w:val="none" w:sz="0" w:space="0" w:color="auto"/>
            <w:right w:val="none" w:sz="0" w:space="0" w:color="auto"/>
          </w:divBdr>
        </w:div>
      </w:divsChild>
    </w:div>
    <w:div w:id="534197786">
      <w:bodyDiv w:val="1"/>
      <w:marLeft w:val="0"/>
      <w:marRight w:val="0"/>
      <w:marTop w:val="0"/>
      <w:marBottom w:val="0"/>
      <w:divBdr>
        <w:top w:val="none" w:sz="0" w:space="0" w:color="auto"/>
        <w:left w:val="none" w:sz="0" w:space="0" w:color="auto"/>
        <w:bottom w:val="none" w:sz="0" w:space="0" w:color="auto"/>
        <w:right w:val="none" w:sz="0" w:space="0" w:color="auto"/>
      </w:divBdr>
      <w:divsChild>
        <w:div w:id="1416122891">
          <w:marLeft w:val="274"/>
          <w:marRight w:val="0"/>
          <w:marTop w:val="0"/>
          <w:marBottom w:val="0"/>
          <w:divBdr>
            <w:top w:val="none" w:sz="0" w:space="0" w:color="auto"/>
            <w:left w:val="none" w:sz="0" w:space="0" w:color="auto"/>
            <w:bottom w:val="none" w:sz="0" w:space="0" w:color="auto"/>
            <w:right w:val="none" w:sz="0" w:space="0" w:color="auto"/>
          </w:divBdr>
        </w:div>
        <w:div w:id="1485319627">
          <w:marLeft w:val="274"/>
          <w:marRight w:val="0"/>
          <w:marTop w:val="0"/>
          <w:marBottom w:val="0"/>
          <w:divBdr>
            <w:top w:val="none" w:sz="0" w:space="0" w:color="auto"/>
            <w:left w:val="none" w:sz="0" w:space="0" w:color="auto"/>
            <w:bottom w:val="none" w:sz="0" w:space="0" w:color="auto"/>
            <w:right w:val="none" w:sz="0" w:space="0" w:color="auto"/>
          </w:divBdr>
        </w:div>
        <w:div w:id="1872067251">
          <w:marLeft w:val="274"/>
          <w:marRight w:val="0"/>
          <w:marTop w:val="0"/>
          <w:marBottom w:val="0"/>
          <w:divBdr>
            <w:top w:val="none" w:sz="0" w:space="0" w:color="auto"/>
            <w:left w:val="none" w:sz="0" w:space="0" w:color="auto"/>
            <w:bottom w:val="none" w:sz="0" w:space="0" w:color="auto"/>
            <w:right w:val="none" w:sz="0" w:space="0" w:color="auto"/>
          </w:divBdr>
        </w:div>
        <w:div w:id="1248881977">
          <w:marLeft w:val="274"/>
          <w:marRight w:val="0"/>
          <w:marTop w:val="0"/>
          <w:marBottom w:val="0"/>
          <w:divBdr>
            <w:top w:val="none" w:sz="0" w:space="0" w:color="auto"/>
            <w:left w:val="none" w:sz="0" w:space="0" w:color="auto"/>
            <w:bottom w:val="none" w:sz="0" w:space="0" w:color="auto"/>
            <w:right w:val="none" w:sz="0" w:space="0" w:color="auto"/>
          </w:divBdr>
        </w:div>
        <w:div w:id="1982150792">
          <w:marLeft w:val="274"/>
          <w:marRight w:val="0"/>
          <w:marTop w:val="0"/>
          <w:marBottom w:val="0"/>
          <w:divBdr>
            <w:top w:val="none" w:sz="0" w:space="0" w:color="auto"/>
            <w:left w:val="none" w:sz="0" w:space="0" w:color="auto"/>
            <w:bottom w:val="none" w:sz="0" w:space="0" w:color="auto"/>
            <w:right w:val="none" w:sz="0" w:space="0" w:color="auto"/>
          </w:divBdr>
        </w:div>
        <w:div w:id="198933746">
          <w:marLeft w:val="274"/>
          <w:marRight w:val="0"/>
          <w:marTop w:val="0"/>
          <w:marBottom w:val="0"/>
          <w:divBdr>
            <w:top w:val="none" w:sz="0" w:space="0" w:color="auto"/>
            <w:left w:val="none" w:sz="0" w:space="0" w:color="auto"/>
            <w:bottom w:val="none" w:sz="0" w:space="0" w:color="auto"/>
            <w:right w:val="none" w:sz="0" w:space="0" w:color="auto"/>
          </w:divBdr>
        </w:div>
        <w:div w:id="1563366123">
          <w:marLeft w:val="274"/>
          <w:marRight w:val="0"/>
          <w:marTop w:val="0"/>
          <w:marBottom w:val="0"/>
          <w:divBdr>
            <w:top w:val="none" w:sz="0" w:space="0" w:color="auto"/>
            <w:left w:val="none" w:sz="0" w:space="0" w:color="auto"/>
            <w:bottom w:val="none" w:sz="0" w:space="0" w:color="auto"/>
            <w:right w:val="none" w:sz="0" w:space="0" w:color="auto"/>
          </w:divBdr>
        </w:div>
      </w:divsChild>
    </w:div>
    <w:div w:id="648558710">
      <w:bodyDiv w:val="1"/>
      <w:marLeft w:val="0"/>
      <w:marRight w:val="0"/>
      <w:marTop w:val="0"/>
      <w:marBottom w:val="0"/>
      <w:divBdr>
        <w:top w:val="none" w:sz="0" w:space="0" w:color="auto"/>
        <w:left w:val="none" w:sz="0" w:space="0" w:color="auto"/>
        <w:bottom w:val="none" w:sz="0" w:space="0" w:color="auto"/>
        <w:right w:val="none" w:sz="0" w:space="0" w:color="auto"/>
      </w:divBdr>
      <w:divsChild>
        <w:div w:id="64375103">
          <w:marLeft w:val="0"/>
          <w:marRight w:val="0"/>
          <w:marTop w:val="0"/>
          <w:marBottom w:val="0"/>
          <w:divBdr>
            <w:top w:val="none" w:sz="0" w:space="0" w:color="auto"/>
            <w:left w:val="none" w:sz="0" w:space="0" w:color="auto"/>
            <w:bottom w:val="none" w:sz="0" w:space="0" w:color="auto"/>
            <w:right w:val="none" w:sz="0" w:space="0" w:color="auto"/>
          </w:divBdr>
          <w:divsChild>
            <w:div w:id="197133946">
              <w:marLeft w:val="0"/>
              <w:marRight w:val="0"/>
              <w:marTop w:val="0"/>
              <w:marBottom w:val="0"/>
              <w:divBdr>
                <w:top w:val="none" w:sz="0" w:space="0" w:color="auto"/>
                <w:left w:val="none" w:sz="0" w:space="0" w:color="auto"/>
                <w:bottom w:val="none" w:sz="0" w:space="0" w:color="auto"/>
                <w:right w:val="none" w:sz="0" w:space="0" w:color="auto"/>
              </w:divBdr>
              <w:divsChild>
                <w:div w:id="1967156759">
                  <w:marLeft w:val="0"/>
                  <w:marRight w:val="0"/>
                  <w:marTop w:val="0"/>
                  <w:marBottom w:val="0"/>
                  <w:divBdr>
                    <w:top w:val="none" w:sz="0" w:space="0" w:color="auto"/>
                    <w:left w:val="none" w:sz="0" w:space="0" w:color="auto"/>
                    <w:bottom w:val="none" w:sz="0" w:space="0" w:color="auto"/>
                    <w:right w:val="none" w:sz="0" w:space="0" w:color="auto"/>
                  </w:divBdr>
                  <w:divsChild>
                    <w:div w:id="178203524">
                      <w:marLeft w:val="0"/>
                      <w:marRight w:val="0"/>
                      <w:marTop w:val="0"/>
                      <w:marBottom w:val="0"/>
                      <w:divBdr>
                        <w:top w:val="none" w:sz="0" w:space="0" w:color="auto"/>
                        <w:left w:val="none" w:sz="0" w:space="0" w:color="auto"/>
                        <w:bottom w:val="none" w:sz="0" w:space="0" w:color="auto"/>
                        <w:right w:val="none" w:sz="0" w:space="0" w:color="auto"/>
                      </w:divBdr>
                      <w:divsChild>
                        <w:div w:id="1395003847">
                          <w:marLeft w:val="0"/>
                          <w:marRight w:val="0"/>
                          <w:marTop w:val="0"/>
                          <w:marBottom w:val="0"/>
                          <w:divBdr>
                            <w:top w:val="none" w:sz="0" w:space="0" w:color="auto"/>
                            <w:left w:val="none" w:sz="0" w:space="0" w:color="auto"/>
                            <w:bottom w:val="none" w:sz="0" w:space="0" w:color="auto"/>
                            <w:right w:val="none" w:sz="0" w:space="0" w:color="auto"/>
                          </w:divBdr>
                          <w:divsChild>
                            <w:div w:id="355498168">
                              <w:marLeft w:val="0"/>
                              <w:marRight w:val="0"/>
                              <w:marTop w:val="0"/>
                              <w:marBottom w:val="0"/>
                              <w:divBdr>
                                <w:top w:val="none" w:sz="0" w:space="0" w:color="auto"/>
                                <w:left w:val="none" w:sz="0" w:space="0" w:color="auto"/>
                                <w:bottom w:val="none" w:sz="0" w:space="0" w:color="auto"/>
                                <w:right w:val="none" w:sz="0" w:space="0" w:color="auto"/>
                              </w:divBdr>
                              <w:divsChild>
                                <w:div w:id="1646084384">
                                  <w:marLeft w:val="0"/>
                                  <w:marRight w:val="0"/>
                                  <w:marTop w:val="0"/>
                                  <w:marBottom w:val="0"/>
                                  <w:divBdr>
                                    <w:top w:val="none" w:sz="0" w:space="0" w:color="auto"/>
                                    <w:left w:val="none" w:sz="0" w:space="0" w:color="auto"/>
                                    <w:bottom w:val="none" w:sz="0" w:space="0" w:color="auto"/>
                                    <w:right w:val="none" w:sz="0" w:space="0" w:color="auto"/>
                                  </w:divBdr>
                                  <w:divsChild>
                                    <w:div w:id="1742486211">
                                      <w:marLeft w:val="0"/>
                                      <w:marRight w:val="0"/>
                                      <w:marTop w:val="0"/>
                                      <w:marBottom w:val="0"/>
                                      <w:divBdr>
                                        <w:top w:val="none" w:sz="0" w:space="0" w:color="auto"/>
                                        <w:left w:val="none" w:sz="0" w:space="0" w:color="auto"/>
                                        <w:bottom w:val="none" w:sz="0" w:space="0" w:color="auto"/>
                                        <w:right w:val="none" w:sz="0" w:space="0" w:color="auto"/>
                                      </w:divBdr>
                                      <w:divsChild>
                                        <w:div w:id="1231505983">
                                          <w:marLeft w:val="0"/>
                                          <w:marRight w:val="0"/>
                                          <w:marTop w:val="0"/>
                                          <w:marBottom w:val="0"/>
                                          <w:divBdr>
                                            <w:top w:val="none" w:sz="0" w:space="0" w:color="auto"/>
                                            <w:left w:val="none" w:sz="0" w:space="0" w:color="auto"/>
                                            <w:bottom w:val="none" w:sz="0" w:space="0" w:color="auto"/>
                                            <w:right w:val="none" w:sz="0" w:space="0" w:color="auto"/>
                                          </w:divBdr>
                                          <w:divsChild>
                                            <w:div w:id="1465544967">
                                              <w:marLeft w:val="0"/>
                                              <w:marRight w:val="0"/>
                                              <w:marTop w:val="0"/>
                                              <w:marBottom w:val="0"/>
                                              <w:divBdr>
                                                <w:top w:val="none" w:sz="0" w:space="0" w:color="auto"/>
                                                <w:left w:val="none" w:sz="0" w:space="0" w:color="auto"/>
                                                <w:bottom w:val="none" w:sz="0" w:space="0" w:color="auto"/>
                                                <w:right w:val="none" w:sz="0" w:space="0" w:color="auto"/>
                                              </w:divBdr>
                                              <w:divsChild>
                                                <w:div w:id="1397363782">
                                                  <w:marLeft w:val="0"/>
                                                  <w:marRight w:val="0"/>
                                                  <w:marTop w:val="0"/>
                                                  <w:marBottom w:val="0"/>
                                                  <w:divBdr>
                                                    <w:top w:val="none" w:sz="0" w:space="0" w:color="auto"/>
                                                    <w:left w:val="none" w:sz="0" w:space="0" w:color="auto"/>
                                                    <w:bottom w:val="none" w:sz="0" w:space="0" w:color="auto"/>
                                                    <w:right w:val="none" w:sz="0" w:space="0" w:color="auto"/>
                                                  </w:divBdr>
                                                  <w:divsChild>
                                                    <w:div w:id="1691569246">
                                                      <w:marLeft w:val="0"/>
                                                      <w:marRight w:val="0"/>
                                                      <w:marTop w:val="0"/>
                                                      <w:marBottom w:val="0"/>
                                                      <w:divBdr>
                                                        <w:top w:val="none" w:sz="0" w:space="0" w:color="auto"/>
                                                        <w:left w:val="none" w:sz="0" w:space="0" w:color="auto"/>
                                                        <w:bottom w:val="none" w:sz="0" w:space="0" w:color="auto"/>
                                                        <w:right w:val="none" w:sz="0" w:space="0" w:color="auto"/>
                                                      </w:divBdr>
                                                      <w:divsChild>
                                                        <w:div w:id="2118599390">
                                                          <w:marLeft w:val="0"/>
                                                          <w:marRight w:val="0"/>
                                                          <w:marTop w:val="0"/>
                                                          <w:marBottom w:val="0"/>
                                                          <w:divBdr>
                                                            <w:top w:val="none" w:sz="0" w:space="0" w:color="auto"/>
                                                            <w:left w:val="none" w:sz="0" w:space="0" w:color="auto"/>
                                                            <w:bottom w:val="none" w:sz="0" w:space="0" w:color="auto"/>
                                                            <w:right w:val="none" w:sz="0" w:space="0" w:color="auto"/>
                                                          </w:divBdr>
                                                          <w:divsChild>
                                                            <w:div w:id="12721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3524810">
      <w:bodyDiv w:val="1"/>
      <w:marLeft w:val="0"/>
      <w:marRight w:val="0"/>
      <w:marTop w:val="0"/>
      <w:marBottom w:val="0"/>
      <w:divBdr>
        <w:top w:val="none" w:sz="0" w:space="0" w:color="auto"/>
        <w:left w:val="none" w:sz="0" w:space="0" w:color="auto"/>
        <w:bottom w:val="none" w:sz="0" w:space="0" w:color="auto"/>
        <w:right w:val="none" w:sz="0" w:space="0" w:color="auto"/>
      </w:divBdr>
      <w:divsChild>
        <w:div w:id="1537236212">
          <w:marLeft w:val="0"/>
          <w:marRight w:val="0"/>
          <w:marTop w:val="0"/>
          <w:marBottom w:val="0"/>
          <w:divBdr>
            <w:top w:val="none" w:sz="0" w:space="0" w:color="auto"/>
            <w:left w:val="none" w:sz="0" w:space="0" w:color="auto"/>
            <w:bottom w:val="none" w:sz="0" w:space="0" w:color="auto"/>
            <w:right w:val="none" w:sz="0" w:space="0" w:color="auto"/>
          </w:divBdr>
          <w:divsChild>
            <w:div w:id="1017002798">
              <w:marLeft w:val="0"/>
              <w:marRight w:val="0"/>
              <w:marTop w:val="0"/>
              <w:marBottom w:val="0"/>
              <w:divBdr>
                <w:top w:val="none" w:sz="0" w:space="0" w:color="auto"/>
                <w:left w:val="none" w:sz="0" w:space="0" w:color="auto"/>
                <w:bottom w:val="none" w:sz="0" w:space="0" w:color="auto"/>
                <w:right w:val="none" w:sz="0" w:space="0" w:color="auto"/>
              </w:divBdr>
              <w:divsChild>
                <w:div w:id="1759131793">
                  <w:marLeft w:val="0"/>
                  <w:marRight w:val="0"/>
                  <w:marTop w:val="0"/>
                  <w:marBottom w:val="0"/>
                  <w:divBdr>
                    <w:top w:val="none" w:sz="0" w:space="0" w:color="auto"/>
                    <w:left w:val="none" w:sz="0" w:space="0" w:color="auto"/>
                    <w:bottom w:val="none" w:sz="0" w:space="0" w:color="auto"/>
                    <w:right w:val="none" w:sz="0" w:space="0" w:color="auto"/>
                  </w:divBdr>
                  <w:divsChild>
                    <w:div w:id="1714497328">
                      <w:marLeft w:val="0"/>
                      <w:marRight w:val="0"/>
                      <w:marTop w:val="0"/>
                      <w:marBottom w:val="0"/>
                      <w:divBdr>
                        <w:top w:val="none" w:sz="0" w:space="0" w:color="auto"/>
                        <w:left w:val="none" w:sz="0" w:space="0" w:color="auto"/>
                        <w:bottom w:val="none" w:sz="0" w:space="0" w:color="auto"/>
                        <w:right w:val="none" w:sz="0" w:space="0" w:color="auto"/>
                      </w:divBdr>
                      <w:divsChild>
                        <w:div w:id="514467862">
                          <w:marLeft w:val="0"/>
                          <w:marRight w:val="0"/>
                          <w:marTop w:val="0"/>
                          <w:marBottom w:val="0"/>
                          <w:divBdr>
                            <w:top w:val="none" w:sz="0" w:space="0" w:color="auto"/>
                            <w:left w:val="none" w:sz="0" w:space="0" w:color="auto"/>
                            <w:bottom w:val="none" w:sz="0" w:space="0" w:color="auto"/>
                            <w:right w:val="none" w:sz="0" w:space="0" w:color="auto"/>
                          </w:divBdr>
                          <w:divsChild>
                            <w:div w:id="1382630395">
                              <w:marLeft w:val="0"/>
                              <w:marRight w:val="0"/>
                              <w:marTop w:val="0"/>
                              <w:marBottom w:val="0"/>
                              <w:divBdr>
                                <w:top w:val="none" w:sz="0" w:space="0" w:color="auto"/>
                                <w:left w:val="none" w:sz="0" w:space="0" w:color="auto"/>
                                <w:bottom w:val="none" w:sz="0" w:space="0" w:color="auto"/>
                                <w:right w:val="none" w:sz="0" w:space="0" w:color="auto"/>
                              </w:divBdr>
                              <w:divsChild>
                                <w:div w:id="1648316197">
                                  <w:marLeft w:val="0"/>
                                  <w:marRight w:val="0"/>
                                  <w:marTop w:val="0"/>
                                  <w:marBottom w:val="0"/>
                                  <w:divBdr>
                                    <w:top w:val="none" w:sz="0" w:space="0" w:color="auto"/>
                                    <w:left w:val="none" w:sz="0" w:space="0" w:color="auto"/>
                                    <w:bottom w:val="none" w:sz="0" w:space="0" w:color="auto"/>
                                    <w:right w:val="none" w:sz="0" w:space="0" w:color="auto"/>
                                  </w:divBdr>
                                  <w:divsChild>
                                    <w:div w:id="67650647">
                                      <w:marLeft w:val="0"/>
                                      <w:marRight w:val="0"/>
                                      <w:marTop w:val="0"/>
                                      <w:marBottom w:val="0"/>
                                      <w:divBdr>
                                        <w:top w:val="none" w:sz="0" w:space="0" w:color="auto"/>
                                        <w:left w:val="none" w:sz="0" w:space="0" w:color="auto"/>
                                        <w:bottom w:val="none" w:sz="0" w:space="0" w:color="auto"/>
                                        <w:right w:val="none" w:sz="0" w:space="0" w:color="auto"/>
                                      </w:divBdr>
                                      <w:divsChild>
                                        <w:div w:id="1101681523">
                                          <w:marLeft w:val="0"/>
                                          <w:marRight w:val="0"/>
                                          <w:marTop w:val="0"/>
                                          <w:marBottom w:val="0"/>
                                          <w:divBdr>
                                            <w:top w:val="none" w:sz="0" w:space="0" w:color="auto"/>
                                            <w:left w:val="none" w:sz="0" w:space="0" w:color="auto"/>
                                            <w:bottom w:val="none" w:sz="0" w:space="0" w:color="auto"/>
                                            <w:right w:val="none" w:sz="0" w:space="0" w:color="auto"/>
                                          </w:divBdr>
                                          <w:divsChild>
                                            <w:div w:id="692264387">
                                              <w:marLeft w:val="0"/>
                                              <w:marRight w:val="0"/>
                                              <w:marTop w:val="0"/>
                                              <w:marBottom w:val="0"/>
                                              <w:divBdr>
                                                <w:top w:val="none" w:sz="0" w:space="0" w:color="auto"/>
                                                <w:left w:val="none" w:sz="0" w:space="0" w:color="auto"/>
                                                <w:bottom w:val="none" w:sz="0" w:space="0" w:color="auto"/>
                                                <w:right w:val="none" w:sz="0" w:space="0" w:color="auto"/>
                                              </w:divBdr>
                                              <w:divsChild>
                                                <w:div w:id="726536648">
                                                  <w:marLeft w:val="0"/>
                                                  <w:marRight w:val="0"/>
                                                  <w:marTop w:val="0"/>
                                                  <w:marBottom w:val="0"/>
                                                  <w:divBdr>
                                                    <w:top w:val="none" w:sz="0" w:space="0" w:color="auto"/>
                                                    <w:left w:val="none" w:sz="0" w:space="0" w:color="auto"/>
                                                    <w:bottom w:val="none" w:sz="0" w:space="0" w:color="auto"/>
                                                    <w:right w:val="none" w:sz="0" w:space="0" w:color="auto"/>
                                                  </w:divBdr>
                                                  <w:divsChild>
                                                    <w:div w:id="1093816236">
                                                      <w:marLeft w:val="0"/>
                                                      <w:marRight w:val="0"/>
                                                      <w:marTop w:val="0"/>
                                                      <w:marBottom w:val="0"/>
                                                      <w:divBdr>
                                                        <w:top w:val="none" w:sz="0" w:space="0" w:color="auto"/>
                                                        <w:left w:val="none" w:sz="0" w:space="0" w:color="auto"/>
                                                        <w:bottom w:val="none" w:sz="0" w:space="0" w:color="auto"/>
                                                        <w:right w:val="none" w:sz="0" w:space="0" w:color="auto"/>
                                                      </w:divBdr>
                                                      <w:divsChild>
                                                        <w:div w:id="893195604">
                                                          <w:marLeft w:val="0"/>
                                                          <w:marRight w:val="0"/>
                                                          <w:marTop w:val="0"/>
                                                          <w:marBottom w:val="0"/>
                                                          <w:divBdr>
                                                            <w:top w:val="none" w:sz="0" w:space="0" w:color="auto"/>
                                                            <w:left w:val="none" w:sz="0" w:space="0" w:color="auto"/>
                                                            <w:bottom w:val="none" w:sz="0" w:space="0" w:color="auto"/>
                                                            <w:right w:val="none" w:sz="0" w:space="0" w:color="auto"/>
                                                          </w:divBdr>
                                                          <w:divsChild>
                                                            <w:div w:id="10582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3654292">
      <w:bodyDiv w:val="1"/>
      <w:marLeft w:val="0"/>
      <w:marRight w:val="0"/>
      <w:marTop w:val="0"/>
      <w:marBottom w:val="0"/>
      <w:divBdr>
        <w:top w:val="none" w:sz="0" w:space="0" w:color="auto"/>
        <w:left w:val="none" w:sz="0" w:space="0" w:color="auto"/>
        <w:bottom w:val="none" w:sz="0" w:space="0" w:color="auto"/>
        <w:right w:val="none" w:sz="0" w:space="0" w:color="auto"/>
      </w:divBdr>
      <w:divsChild>
        <w:div w:id="1372419859">
          <w:marLeft w:val="547"/>
          <w:marRight w:val="0"/>
          <w:marTop w:val="82"/>
          <w:marBottom w:val="0"/>
          <w:divBdr>
            <w:top w:val="none" w:sz="0" w:space="0" w:color="auto"/>
            <w:left w:val="none" w:sz="0" w:space="0" w:color="auto"/>
            <w:bottom w:val="none" w:sz="0" w:space="0" w:color="auto"/>
            <w:right w:val="none" w:sz="0" w:space="0" w:color="auto"/>
          </w:divBdr>
        </w:div>
        <w:div w:id="1519194387">
          <w:marLeft w:val="547"/>
          <w:marRight w:val="0"/>
          <w:marTop w:val="82"/>
          <w:marBottom w:val="0"/>
          <w:divBdr>
            <w:top w:val="none" w:sz="0" w:space="0" w:color="auto"/>
            <w:left w:val="none" w:sz="0" w:space="0" w:color="auto"/>
            <w:bottom w:val="none" w:sz="0" w:space="0" w:color="auto"/>
            <w:right w:val="none" w:sz="0" w:space="0" w:color="auto"/>
          </w:divBdr>
        </w:div>
        <w:div w:id="266469462">
          <w:marLeft w:val="547"/>
          <w:marRight w:val="0"/>
          <w:marTop w:val="82"/>
          <w:marBottom w:val="0"/>
          <w:divBdr>
            <w:top w:val="none" w:sz="0" w:space="0" w:color="auto"/>
            <w:left w:val="none" w:sz="0" w:space="0" w:color="auto"/>
            <w:bottom w:val="none" w:sz="0" w:space="0" w:color="auto"/>
            <w:right w:val="none" w:sz="0" w:space="0" w:color="auto"/>
          </w:divBdr>
        </w:div>
        <w:div w:id="317928615">
          <w:marLeft w:val="547"/>
          <w:marRight w:val="0"/>
          <w:marTop w:val="82"/>
          <w:marBottom w:val="0"/>
          <w:divBdr>
            <w:top w:val="none" w:sz="0" w:space="0" w:color="auto"/>
            <w:left w:val="none" w:sz="0" w:space="0" w:color="auto"/>
            <w:bottom w:val="none" w:sz="0" w:space="0" w:color="auto"/>
            <w:right w:val="none" w:sz="0" w:space="0" w:color="auto"/>
          </w:divBdr>
        </w:div>
        <w:div w:id="41516550">
          <w:marLeft w:val="547"/>
          <w:marRight w:val="0"/>
          <w:marTop w:val="82"/>
          <w:marBottom w:val="0"/>
          <w:divBdr>
            <w:top w:val="none" w:sz="0" w:space="0" w:color="auto"/>
            <w:left w:val="none" w:sz="0" w:space="0" w:color="auto"/>
            <w:bottom w:val="none" w:sz="0" w:space="0" w:color="auto"/>
            <w:right w:val="none" w:sz="0" w:space="0" w:color="auto"/>
          </w:divBdr>
        </w:div>
      </w:divsChild>
    </w:div>
    <w:div w:id="1667052937">
      <w:bodyDiv w:val="1"/>
      <w:marLeft w:val="0"/>
      <w:marRight w:val="0"/>
      <w:marTop w:val="0"/>
      <w:marBottom w:val="0"/>
      <w:divBdr>
        <w:top w:val="none" w:sz="0" w:space="0" w:color="auto"/>
        <w:left w:val="none" w:sz="0" w:space="0" w:color="auto"/>
        <w:bottom w:val="none" w:sz="0" w:space="0" w:color="auto"/>
        <w:right w:val="none" w:sz="0" w:space="0" w:color="auto"/>
      </w:divBdr>
      <w:divsChild>
        <w:div w:id="1042746751">
          <w:marLeft w:val="562"/>
          <w:marRight w:val="0"/>
          <w:marTop w:val="240"/>
          <w:marBottom w:val="40"/>
          <w:divBdr>
            <w:top w:val="none" w:sz="0" w:space="0" w:color="auto"/>
            <w:left w:val="none" w:sz="0" w:space="0" w:color="auto"/>
            <w:bottom w:val="none" w:sz="0" w:space="0" w:color="auto"/>
            <w:right w:val="none" w:sz="0" w:space="0" w:color="auto"/>
          </w:divBdr>
        </w:div>
        <w:div w:id="1636906173">
          <w:marLeft w:val="1123"/>
          <w:marRight w:val="0"/>
          <w:marTop w:val="40"/>
          <w:marBottom w:val="80"/>
          <w:divBdr>
            <w:top w:val="none" w:sz="0" w:space="0" w:color="auto"/>
            <w:left w:val="none" w:sz="0" w:space="0" w:color="auto"/>
            <w:bottom w:val="none" w:sz="0" w:space="0" w:color="auto"/>
            <w:right w:val="none" w:sz="0" w:space="0" w:color="auto"/>
          </w:divBdr>
        </w:div>
        <w:div w:id="593905457">
          <w:marLeft w:val="562"/>
          <w:marRight w:val="0"/>
          <w:marTop w:val="240"/>
          <w:marBottom w:val="40"/>
          <w:divBdr>
            <w:top w:val="none" w:sz="0" w:space="0" w:color="auto"/>
            <w:left w:val="none" w:sz="0" w:space="0" w:color="auto"/>
            <w:bottom w:val="none" w:sz="0" w:space="0" w:color="auto"/>
            <w:right w:val="none" w:sz="0" w:space="0" w:color="auto"/>
          </w:divBdr>
        </w:div>
        <w:div w:id="1454210953">
          <w:marLeft w:val="1123"/>
          <w:marRight w:val="0"/>
          <w:marTop w:val="40"/>
          <w:marBottom w:val="80"/>
          <w:divBdr>
            <w:top w:val="none" w:sz="0" w:space="0" w:color="auto"/>
            <w:left w:val="none" w:sz="0" w:space="0" w:color="auto"/>
            <w:bottom w:val="none" w:sz="0" w:space="0" w:color="auto"/>
            <w:right w:val="none" w:sz="0" w:space="0" w:color="auto"/>
          </w:divBdr>
        </w:div>
      </w:divsChild>
    </w:div>
    <w:div w:id="1693384705">
      <w:bodyDiv w:val="1"/>
      <w:marLeft w:val="0"/>
      <w:marRight w:val="0"/>
      <w:marTop w:val="0"/>
      <w:marBottom w:val="0"/>
      <w:divBdr>
        <w:top w:val="none" w:sz="0" w:space="0" w:color="auto"/>
        <w:left w:val="none" w:sz="0" w:space="0" w:color="auto"/>
        <w:bottom w:val="none" w:sz="0" w:space="0" w:color="auto"/>
        <w:right w:val="none" w:sz="0" w:space="0" w:color="auto"/>
      </w:divBdr>
      <w:divsChild>
        <w:div w:id="509686768">
          <w:marLeft w:val="360"/>
          <w:marRight w:val="0"/>
          <w:marTop w:val="0"/>
          <w:marBottom w:val="0"/>
          <w:divBdr>
            <w:top w:val="none" w:sz="0" w:space="0" w:color="auto"/>
            <w:left w:val="none" w:sz="0" w:space="0" w:color="auto"/>
            <w:bottom w:val="none" w:sz="0" w:space="0" w:color="auto"/>
            <w:right w:val="none" w:sz="0" w:space="0" w:color="auto"/>
          </w:divBdr>
        </w:div>
        <w:div w:id="493497006">
          <w:marLeft w:val="360"/>
          <w:marRight w:val="0"/>
          <w:marTop w:val="0"/>
          <w:marBottom w:val="0"/>
          <w:divBdr>
            <w:top w:val="none" w:sz="0" w:space="0" w:color="auto"/>
            <w:left w:val="none" w:sz="0" w:space="0" w:color="auto"/>
            <w:bottom w:val="none" w:sz="0" w:space="0" w:color="auto"/>
            <w:right w:val="none" w:sz="0" w:space="0" w:color="auto"/>
          </w:divBdr>
        </w:div>
        <w:div w:id="98986396">
          <w:marLeft w:val="360"/>
          <w:marRight w:val="0"/>
          <w:marTop w:val="0"/>
          <w:marBottom w:val="0"/>
          <w:divBdr>
            <w:top w:val="none" w:sz="0" w:space="0" w:color="auto"/>
            <w:left w:val="none" w:sz="0" w:space="0" w:color="auto"/>
            <w:bottom w:val="none" w:sz="0" w:space="0" w:color="auto"/>
            <w:right w:val="none" w:sz="0" w:space="0" w:color="auto"/>
          </w:divBdr>
        </w:div>
        <w:div w:id="1493065852">
          <w:marLeft w:val="360"/>
          <w:marRight w:val="0"/>
          <w:marTop w:val="0"/>
          <w:marBottom w:val="0"/>
          <w:divBdr>
            <w:top w:val="none" w:sz="0" w:space="0" w:color="auto"/>
            <w:left w:val="none" w:sz="0" w:space="0" w:color="auto"/>
            <w:bottom w:val="none" w:sz="0" w:space="0" w:color="auto"/>
            <w:right w:val="none" w:sz="0" w:space="0" w:color="auto"/>
          </w:divBdr>
        </w:div>
        <w:div w:id="1489322943">
          <w:marLeft w:val="360"/>
          <w:marRight w:val="0"/>
          <w:marTop w:val="0"/>
          <w:marBottom w:val="0"/>
          <w:divBdr>
            <w:top w:val="none" w:sz="0" w:space="0" w:color="auto"/>
            <w:left w:val="none" w:sz="0" w:space="0" w:color="auto"/>
            <w:bottom w:val="none" w:sz="0" w:space="0" w:color="auto"/>
            <w:right w:val="none" w:sz="0" w:space="0" w:color="auto"/>
          </w:divBdr>
        </w:div>
        <w:div w:id="81145346">
          <w:marLeft w:val="274"/>
          <w:marRight w:val="0"/>
          <w:marTop w:val="0"/>
          <w:marBottom w:val="0"/>
          <w:divBdr>
            <w:top w:val="none" w:sz="0" w:space="0" w:color="auto"/>
            <w:left w:val="none" w:sz="0" w:space="0" w:color="auto"/>
            <w:bottom w:val="none" w:sz="0" w:space="0" w:color="auto"/>
            <w:right w:val="none" w:sz="0" w:space="0" w:color="auto"/>
          </w:divBdr>
        </w:div>
        <w:div w:id="1029837725">
          <w:marLeft w:val="274"/>
          <w:marRight w:val="0"/>
          <w:marTop w:val="0"/>
          <w:marBottom w:val="0"/>
          <w:divBdr>
            <w:top w:val="none" w:sz="0" w:space="0" w:color="auto"/>
            <w:left w:val="none" w:sz="0" w:space="0" w:color="auto"/>
            <w:bottom w:val="none" w:sz="0" w:space="0" w:color="auto"/>
            <w:right w:val="none" w:sz="0" w:space="0" w:color="auto"/>
          </w:divBdr>
        </w:div>
        <w:div w:id="1325085198">
          <w:marLeft w:val="274"/>
          <w:marRight w:val="0"/>
          <w:marTop w:val="0"/>
          <w:marBottom w:val="0"/>
          <w:divBdr>
            <w:top w:val="none" w:sz="0" w:space="0" w:color="auto"/>
            <w:left w:val="none" w:sz="0" w:space="0" w:color="auto"/>
            <w:bottom w:val="none" w:sz="0" w:space="0" w:color="auto"/>
            <w:right w:val="none" w:sz="0" w:space="0" w:color="auto"/>
          </w:divBdr>
        </w:div>
        <w:div w:id="933854285">
          <w:marLeft w:val="274"/>
          <w:marRight w:val="0"/>
          <w:marTop w:val="0"/>
          <w:marBottom w:val="0"/>
          <w:divBdr>
            <w:top w:val="none" w:sz="0" w:space="0" w:color="auto"/>
            <w:left w:val="none" w:sz="0" w:space="0" w:color="auto"/>
            <w:bottom w:val="none" w:sz="0" w:space="0" w:color="auto"/>
            <w:right w:val="none" w:sz="0" w:space="0" w:color="auto"/>
          </w:divBdr>
        </w:div>
        <w:div w:id="796146411">
          <w:marLeft w:val="274"/>
          <w:marRight w:val="0"/>
          <w:marTop w:val="0"/>
          <w:marBottom w:val="0"/>
          <w:divBdr>
            <w:top w:val="none" w:sz="0" w:space="0" w:color="auto"/>
            <w:left w:val="none" w:sz="0" w:space="0" w:color="auto"/>
            <w:bottom w:val="none" w:sz="0" w:space="0" w:color="auto"/>
            <w:right w:val="none" w:sz="0" w:space="0" w:color="auto"/>
          </w:divBdr>
        </w:div>
        <w:div w:id="2113935745">
          <w:marLeft w:val="360"/>
          <w:marRight w:val="0"/>
          <w:marTop w:val="0"/>
          <w:marBottom w:val="0"/>
          <w:divBdr>
            <w:top w:val="none" w:sz="0" w:space="0" w:color="auto"/>
            <w:left w:val="none" w:sz="0" w:space="0" w:color="auto"/>
            <w:bottom w:val="none" w:sz="0" w:space="0" w:color="auto"/>
            <w:right w:val="none" w:sz="0" w:space="0" w:color="auto"/>
          </w:divBdr>
        </w:div>
      </w:divsChild>
    </w:div>
    <w:div w:id="1754233160">
      <w:bodyDiv w:val="1"/>
      <w:marLeft w:val="0"/>
      <w:marRight w:val="0"/>
      <w:marTop w:val="0"/>
      <w:marBottom w:val="0"/>
      <w:divBdr>
        <w:top w:val="none" w:sz="0" w:space="0" w:color="auto"/>
        <w:left w:val="none" w:sz="0" w:space="0" w:color="auto"/>
        <w:bottom w:val="none" w:sz="0" w:space="0" w:color="auto"/>
        <w:right w:val="none" w:sz="0" w:space="0" w:color="auto"/>
      </w:divBdr>
      <w:divsChild>
        <w:div w:id="829247882">
          <w:marLeft w:val="360"/>
          <w:marRight w:val="0"/>
          <w:marTop w:val="0"/>
          <w:marBottom w:val="0"/>
          <w:divBdr>
            <w:top w:val="none" w:sz="0" w:space="0" w:color="auto"/>
            <w:left w:val="none" w:sz="0" w:space="0" w:color="auto"/>
            <w:bottom w:val="none" w:sz="0" w:space="0" w:color="auto"/>
            <w:right w:val="none" w:sz="0" w:space="0" w:color="auto"/>
          </w:divBdr>
        </w:div>
        <w:div w:id="1968320002">
          <w:marLeft w:val="360"/>
          <w:marRight w:val="0"/>
          <w:marTop w:val="0"/>
          <w:marBottom w:val="0"/>
          <w:divBdr>
            <w:top w:val="none" w:sz="0" w:space="0" w:color="auto"/>
            <w:left w:val="none" w:sz="0" w:space="0" w:color="auto"/>
            <w:bottom w:val="none" w:sz="0" w:space="0" w:color="auto"/>
            <w:right w:val="none" w:sz="0" w:space="0" w:color="auto"/>
          </w:divBdr>
        </w:div>
        <w:div w:id="521821809">
          <w:marLeft w:val="360"/>
          <w:marRight w:val="0"/>
          <w:marTop w:val="0"/>
          <w:marBottom w:val="0"/>
          <w:divBdr>
            <w:top w:val="none" w:sz="0" w:space="0" w:color="auto"/>
            <w:left w:val="none" w:sz="0" w:space="0" w:color="auto"/>
            <w:bottom w:val="none" w:sz="0" w:space="0" w:color="auto"/>
            <w:right w:val="none" w:sz="0" w:space="0" w:color="auto"/>
          </w:divBdr>
        </w:div>
        <w:div w:id="850485800">
          <w:marLeft w:val="360"/>
          <w:marRight w:val="0"/>
          <w:marTop w:val="0"/>
          <w:marBottom w:val="0"/>
          <w:divBdr>
            <w:top w:val="none" w:sz="0" w:space="0" w:color="auto"/>
            <w:left w:val="none" w:sz="0" w:space="0" w:color="auto"/>
            <w:bottom w:val="none" w:sz="0" w:space="0" w:color="auto"/>
            <w:right w:val="none" w:sz="0" w:space="0" w:color="auto"/>
          </w:divBdr>
        </w:div>
        <w:div w:id="616571042">
          <w:marLeft w:val="360"/>
          <w:marRight w:val="0"/>
          <w:marTop w:val="0"/>
          <w:marBottom w:val="0"/>
          <w:divBdr>
            <w:top w:val="none" w:sz="0" w:space="0" w:color="auto"/>
            <w:left w:val="none" w:sz="0" w:space="0" w:color="auto"/>
            <w:bottom w:val="none" w:sz="0" w:space="0" w:color="auto"/>
            <w:right w:val="none" w:sz="0" w:space="0" w:color="auto"/>
          </w:divBdr>
        </w:div>
        <w:div w:id="980230925">
          <w:marLeft w:val="274"/>
          <w:marRight w:val="0"/>
          <w:marTop w:val="0"/>
          <w:marBottom w:val="0"/>
          <w:divBdr>
            <w:top w:val="none" w:sz="0" w:space="0" w:color="auto"/>
            <w:left w:val="none" w:sz="0" w:space="0" w:color="auto"/>
            <w:bottom w:val="none" w:sz="0" w:space="0" w:color="auto"/>
            <w:right w:val="none" w:sz="0" w:space="0" w:color="auto"/>
          </w:divBdr>
        </w:div>
        <w:div w:id="2094662243">
          <w:marLeft w:val="274"/>
          <w:marRight w:val="0"/>
          <w:marTop w:val="0"/>
          <w:marBottom w:val="0"/>
          <w:divBdr>
            <w:top w:val="none" w:sz="0" w:space="0" w:color="auto"/>
            <w:left w:val="none" w:sz="0" w:space="0" w:color="auto"/>
            <w:bottom w:val="none" w:sz="0" w:space="0" w:color="auto"/>
            <w:right w:val="none" w:sz="0" w:space="0" w:color="auto"/>
          </w:divBdr>
        </w:div>
        <w:div w:id="975140986">
          <w:marLeft w:val="274"/>
          <w:marRight w:val="0"/>
          <w:marTop w:val="0"/>
          <w:marBottom w:val="0"/>
          <w:divBdr>
            <w:top w:val="none" w:sz="0" w:space="0" w:color="auto"/>
            <w:left w:val="none" w:sz="0" w:space="0" w:color="auto"/>
            <w:bottom w:val="none" w:sz="0" w:space="0" w:color="auto"/>
            <w:right w:val="none" w:sz="0" w:space="0" w:color="auto"/>
          </w:divBdr>
        </w:div>
        <w:div w:id="820193644">
          <w:marLeft w:val="274"/>
          <w:marRight w:val="0"/>
          <w:marTop w:val="0"/>
          <w:marBottom w:val="0"/>
          <w:divBdr>
            <w:top w:val="none" w:sz="0" w:space="0" w:color="auto"/>
            <w:left w:val="none" w:sz="0" w:space="0" w:color="auto"/>
            <w:bottom w:val="none" w:sz="0" w:space="0" w:color="auto"/>
            <w:right w:val="none" w:sz="0" w:space="0" w:color="auto"/>
          </w:divBdr>
        </w:div>
        <w:div w:id="1194613561">
          <w:marLeft w:val="274"/>
          <w:marRight w:val="0"/>
          <w:marTop w:val="0"/>
          <w:marBottom w:val="0"/>
          <w:divBdr>
            <w:top w:val="none" w:sz="0" w:space="0" w:color="auto"/>
            <w:left w:val="none" w:sz="0" w:space="0" w:color="auto"/>
            <w:bottom w:val="none" w:sz="0" w:space="0" w:color="auto"/>
            <w:right w:val="none" w:sz="0" w:space="0" w:color="auto"/>
          </w:divBdr>
        </w:div>
        <w:div w:id="607389832">
          <w:marLeft w:val="360"/>
          <w:marRight w:val="0"/>
          <w:marTop w:val="0"/>
          <w:marBottom w:val="0"/>
          <w:divBdr>
            <w:top w:val="none" w:sz="0" w:space="0" w:color="auto"/>
            <w:left w:val="none" w:sz="0" w:space="0" w:color="auto"/>
            <w:bottom w:val="none" w:sz="0" w:space="0" w:color="auto"/>
            <w:right w:val="none" w:sz="0" w:space="0" w:color="auto"/>
          </w:divBdr>
        </w:div>
      </w:divsChild>
    </w:div>
    <w:div w:id="1993018867">
      <w:bodyDiv w:val="1"/>
      <w:marLeft w:val="0"/>
      <w:marRight w:val="0"/>
      <w:marTop w:val="0"/>
      <w:marBottom w:val="0"/>
      <w:divBdr>
        <w:top w:val="none" w:sz="0" w:space="0" w:color="auto"/>
        <w:left w:val="none" w:sz="0" w:space="0" w:color="auto"/>
        <w:bottom w:val="none" w:sz="0" w:space="0" w:color="auto"/>
        <w:right w:val="none" w:sz="0" w:space="0" w:color="auto"/>
      </w:divBdr>
      <w:divsChild>
        <w:div w:id="49423755">
          <w:marLeft w:val="274"/>
          <w:marRight w:val="0"/>
          <w:marTop w:val="0"/>
          <w:marBottom w:val="0"/>
          <w:divBdr>
            <w:top w:val="none" w:sz="0" w:space="0" w:color="auto"/>
            <w:left w:val="none" w:sz="0" w:space="0" w:color="auto"/>
            <w:bottom w:val="none" w:sz="0" w:space="0" w:color="auto"/>
            <w:right w:val="none" w:sz="0" w:space="0" w:color="auto"/>
          </w:divBdr>
        </w:div>
        <w:div w:id="2144693554">
          <w:marLeft w:val="274"/>
          <w:marRight w:val="0"/>
          <w:marTop w:val="0"/>
          <w:marBottom w:val="0"/>
          <w:divBdr>
            <w:top w:val="none" w:sz="0" w:space="0" w:color="auto"/>
            <w:left w:val="none" w:sz="0" w:space="0" w:color="auto"/>
            <w:bottom w:val="none" w:sz="0" w:space="0" w:color="auto"/>
            <w:right w:val="none" w:sz="0" w:space="0" w:color="auto"/>
          </w:divBdr>
        </w:div>
        <w:div w:id="1508905680">
          <w:marLeft w:val="274"/>
          <w:marRight w:val="0"/>
          <w:marTop w:val="0"/>
          <w:marBottom w:val="0"/>
          <w:divBdr>
            <w:top w:val="none" w:sz="0" w:space="0" w:color="auto"/>
            <w:left w:val="none" w:sz="0" w:space="0" w:color="auto"/>
            <w:bottom w:val="none" w:sz="0" w:space="0" w:color="auto"/>
            <w:right w:val="none" w:sz="0" w:space="0" w:color="auto"/>
          </w:divBdr>
        </w:div>
        <w:div w:id="478232768">
          <w:marLeft w:val="274"/>
          <w:marRight w:val="0"/>
          <w:marTop w:val="0"/>
          <w:marBottom w:val="0"/>
          <w:divBdr>
            <w:top w:val="none" w:sz="0" w:space="0" w:color="auto"/>
            <w:left w:val="none" w:sz="0" w:space="0" w:color="auto"/>
            <w:bottom w:val="none" w:sz="0" w:space="0" w:color="auto"/>
            <w:right w:val="none" w:sz="0" w:space="0" w:color="auto"/>
          </w:divBdr>
        </w:div>
        <w:div w:id="22833023">
          <w:marLeft w:val="274"/>
          <w:marRight w:val="0"/>
          <w:marTop w:val="0"/>
          <w:marBottom w:val="0"/>
          <w:divBdr>
            <w:top w:val="none" w:sz="0" w:space="0" w:color="auto"/>
            <w:left w:val="none" w:sz="0" w:space="0" w:color="auto"/>
            <w:bottom w:val="none" w:sz="0" w:space="0" w:color="auto"/>
            <w:right w:val="none" w:sz="0" w:space="0" w:color="auto"/>
          </w:divBdr>
        </w:div>
        <w:div w:id="1810199148">
          <w:marLeft w:val="274"/>
          <w:marRight w:val="0"/>
          <w:marTop w:val="0"/>
          <w:marBottom w:val="0"/>
          <w:divBdr>
            <w:top w:val="none" w:sz="0" w:space="0" w:color="auto"/>
            <w:left w:val="none" w:sz="0" w:space="0" w:color="auto"/>
            <w:bottom w:val="none" w:sz="0" w:space="0" w:color="auto"/>
            <w:right w:val="none" w:sz="0" w:space="0" w:color="auto"/>
          </w:divBdr>
        </w:div>
        <w:div w:id="2014531974">
          <w:marLeft w:val="360"/>
          <w:marRight w:val="0"/>
          <w:marTop w:val="0"/>
          <w:marBottom w:val="0"/>
          <w:divBdr>
            <w:top w:val="none" w:sz="0" w:space="0" w:color="auto"/>
            <w:left w:val="none" w:sz="0" w:space="0" w:color="auto"/>
            <w:bottom w:val="none" w:sz="0" w:space="0" w:color="auto"/>
            <w:right w:val="none" w:sz="0" w:space="0" w:color="auto"/>
          </w:divBdr>
        </w:div>
        <w:div w:id="198519943">
          <w:marLeft w:val="360"/>
          <w:marRight w:val="0"/>
          <w:marTop w:val="0"/>
          <w:marBottom w:val="0"/>
          <w:divBdr>
            <w:top w:val="none" w:sz="0" w:space="0" w:color="auto"/>
            <w:left w:val="none" w:sz="0" w:space="0" w:color="auto"/>
            <w:bottom w:val="none" w:sz="0" w:space="0" w:color="auto"/>
            <w:right w:val="none" w:sz="0" w:space="0" w:color="auto"/>
          </w:divBdr>
        </w:div>
        <w:div w:id="167722890">
          <w:marLeft w:val="274"/>
          <w:marRight w:val="0"/>
          <w:marTop w:val="0"/>
          <w:marBottom w:val="0"/>
          <w:divBdr>
            <w:top w:val="none" w:sz="0" w:space="0" w:color="auto"/>
            <w:left w:val="none" w:sz="0" w:space="0" w:color="auto"/>
            <w:bottom w:val="none" w:sz="0" w:space="0" w:color="auto"/>
            <w:right w:val="none" w:sz="0" w:space="0" w:color="auto"/>
          </w:divBdr>
        </w:div>
        <w:div w:id="862131678">
          <w:marLeft w:val="274"/>
          <w:marRight w:val="0"/>
          <w:marTop w:val="0"/>
          <w:marBottom w:val="0"/>
          <w:divBdr>
            <w:top w:val="none" w:sz="0" w:space="0" w:color="auto"/>
            <w:left w:val="none" w:sz="0" w:space="0" w:color="auto"/>
            <w:bottom w:val="none" w:sz="0" w:space="0" w:color="auto"/>
            <w:right w:val="none" w:sz="0" w:space="0" w:color="auto"/>
          </w:divBdr>
        </w:div>
        <w:div w:id="1623345671">
          <w:marLeft w:val="274"/>
          <w:marRight w:val="0"/>
          <w:marTop w:val="0"/>
          <w:marBottom w:val="0"/>
          <w:divBdr>
            <w:top w:val="none" w:sz="0" w:space="0" w:color="auto"/>
            <w:left w:val="none" w:sz="0" w:space="0" w:color="auto"/>
            <w:bottom w:val="none" w:sz="0" w:space="0" w:color="auto"/>
            <w:right w:val="none" w:sz="0" w:space="0" w:color="auto"/>
          </w:divBdr>
        </w:div>
        <w:div w:id="343677011">
          <w:marLeft w:val="274"/>
          <w:marRight w:val="0"/>
          <w:marTop w:val="0"/>
          <w:marBottom w:val="0"/>
          <w:divBdr>
            <w:top w:val="none" w:sz="0" w:space="0" w:color="auto"/>
            <w:left w:val="none" w:sz="0" w:space="0" w:color="auto"/>
            <w:bottom w:val="none" w:sz="0" w:space="0" w:color="auto"/>
            <w:right w:val="none" w:sz="0" w:space="0" w:color="auto"/>
          </w:divBdr>
        </w:div>
        <w:div w:id="45573749">
          <w:marLeft w:val="274"/>
          <w:marRight w:val="0"/>
          <w:marTop w:val="0"/>
          <w:marBottom w:val="0"/>
          <w:divBdr>
            <w:top w:val="none" w:sz="0" w:space="0" w:color="auto"/>
            <w:left w:val="none" w:sz="0" w:space="0" w:color="auto"/>
            <w:bottom w:val="none" w:sz="0" w:space="0" w:color="auto"/>
            <w:right w:val="none" w:sz="0" w:space="0" w:color="auto"/>
          </w:divBdr>
        </w:div>
        <w:div w:id="1384064684">
          <w:marLeft w:val="274"/>
          <w:marRight w:val="0"/>
          <w:marTop w:val="0"/>
          <w:marBottom w:val="0"/>
          <w:divBdr>
            <w:top w:val="none" w:sz="0" w:space="0" w:color="auto"/>
            <w:left w:val="none" w:sz="0" w:space="0" w:color="auto"/>
            <w:bottom w:val="none" w:sz="0" w:space="0" w:color="auto"/>
            <w:right w:val="none" w:sz="0" w:space="0" w:color="auto"/>
          </w:divBdr>
        </w:div>
        <w:div w:id="1389455978">
          <w:marLeft w:val="274"/>
          <w:marRight w:val="0"/>
          <w:marTop w:val="0"/>
          <w:marBottom w:val="0"/>
          <w:divBdr>
            <w:top w:val="none" w:sz="0" w:space="0" w:color="auto"/>
            <w:left w:val="none" w:sz="0" w:space="0" w:color="auto"/>
            <w:bottom w:val="none" w:sz="0" w:space="0" w:color="auto"/>
            <w:right w:val="none" w:sz="0" w:space="0" w:color="auto"/>
          </w:divBdr>
        </w:div>
        <w:div w:id="122160822">
          <w:marLeft w:val="274"/>
          <w:marRight w:val="0"/>
          <w:marTop w:val="0"/>
          <w:marBottom w:val="0"/>
          <w:divBdr>
            <w:top w:val="none" w:sz="0" w:space="0" w:color="auto"/>
            <w:left w:val="none" w:sz="0" w:space="0" w:color="auto"/>
            <w:bottom w:val="none" w:sz="0" w:space="0" w:color="auto"/>
            <w:right w:val="none" w:sz="0" w:space="0" w:color="auto"/>
          </w:divBdr>
        </w:div>
        <w:div w:id="1673798913">
          <w:marLeft w:val="274"/>
          <w:marRight w:val="0"/>
          <w:marTop w:val="0"/>
          <w:marBottom w:val="0"/>
          <w:divBdr>
            <w:top w:val="none" w:sz="0" w:space="0" w:color="auto"/>
            <w:left w:val="none" w:sz="0" w:space="0" w:color="auto"/>
            <w:bottom w:val="none" w:sz="0" w:space="0" w:color="auto"/>
            <w:right w:val="none" w:sz="0" w:space="0" w:color="auto"/>
          </w:divBdr>
        </w:div>
        <w:div w:id="1208639991">
          <w:marLeft w:val="274"/>
          <w:marRight w:val="0"/>
          <w:marTop w:val="0"/>
          <w:marBottom w:val="0"/>
          <w:divBdr>
            <w:top w:val="none" w:sz="0" w:space="0" w:color="auto"/>
            <w:left w:val="none" w:sz="0" w:space="0" w:color="auto"/>
            <w:bottom w:val="none" w:sz="0" w:space="0" w:color="auto"/>
            <w:right w:val="none" w:sz="0" w:space="0" w:color="auto"/>
          </w:divBdr>
        </w:div>
      </w:divsChild>
    </w:div>
    <w:div w:id="2127695385">
      <w:bodyDiv w:val="1"/>
      <w:marLeft w:val="0"/>
      <w:marRight w:val="0"/>
      <w:marTop w:val="0"/>
      <w:marBottom w:val="0"/>
      <w:divBdr>
        <w:top w:val="none" w:sz="0" w:space="0" w:color="auto"/>
        <w:left w:val="none" w:sz="0" w:space="0" w:color="auto"/>
        <w:bottom w:val="none" w:sz="0" w:space="0" w:color="auto"/>
        <w:right w:val="none" w:sz="0" w:space="0" w:color="auto"/>
      </w:divBdr>
      <w:divsChild>
        <w:div w:id="2138642070">
          <w:marLeft w:val="446"/>
          <w:marRight w:val="0"/>
          <w:marTop w:val="0"/>
          <w:marBottom w:val="0"/>
          <w:divBdr>
            <w:top w:val="none" w:sz="0" w:space="0" w:color="auto"/>
            <w:left w:val="none" w:sz="0" w:space="0" w:color="auto"/>
            <w:bottom w:val="none" w:sz="0" w:space="0" w:color="auto"/>
            <w:right w:val="none" w:sz="0" w:space="0" w:color="auto"/>
          </w:divBdr>
        </w:div>
        <w:div w:id="683286075">
          <w:marLeft w:val="446"/>
          <w:marRight w:val="0"/>
          <w:marTop w:val="0"/>
          <w:marBottom w:val="0"/>
          <w:divBdr>
            <w:top w:val="none" w:sz="0" w:space="0" w:color="auto"/>
            <w:left w:val="none" w:sz="0" w:space="0" w:color="auto"/>
            <w:bottom w:val="none" w:sz="0" w:space="0" w:color="auto"/>
            <w:right w:val="none" w:sz="0" w:space="0" w:color="auto"/>
          </w:divBdr>
        </w:div>
        <w:div w:id="1174302937">
          <w:marLeft w:val="446"/>
          <w:marRight w:val="0"/>
          <w:marTop w:val="0"/>
          <w:marBottom w:val="0"/>
          <w:divBdr>
            <w:top w:val="none" w:sz="0" w:space="0" w:color="auto"/>
            <w:left w:val="none" w:sz="0" w:space="0" w:color="auto"/>
            <w:bottom w:val="none" w:sz="0" w:space="0" w:color="auto"/>
            <w:right w:val="none" w:sz="0" w:space="0" w:color="auto"/>
          </w:divBdr>
        </w:div>
        <w:div w:id="126484849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8A79B-3FD0-49D0-BDBD-8878DC03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4752</Words>
  <Characters>27091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31780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Shuaib Denyssen</dc:creator>
  <cp:lastModifiedBy>User</cp:lastModifiedBy>
  <cp:revision>2</cp:revision>
  <cp:lastPrinted>2019-09-12T05:37:00Z</cp:lastPrinted>
  <dcterms:created xsi:type="dcterms:W3CDTF">2022-11-03T07:29:00Z</dcterms:created>
  <dcterms:modified xsi:type="dcterms:W3CDTF">2022-11-03T07:29:00Z</dcterms:modified>
</cp:coreProperties>
</file>