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690" w:rsidRPr="00F47B29" w:rsidRDefault="00DA2441" w:rsidP="005D4919">
      <w:pPr>
        <w:tabs>
          <w:tab w:val="left" w:pos="2855"/>
        </w:tabs>
        <w:spacing w:line="276" w:lineRule="auto"/>
        <w:rPr>
          <w:rFonts w:cs="Arial"/>
          <w:sz w:val="24"/>
          <w:szCs w:val="24"/>
        </w:rPr>
      </w:pPr>
      <w:bookmarkStart w:id="0" w:name="_GoBack"/>
      <w:bookmarkEnd w:id="0"/>
      <w:r w:rsidRPr="00F47B29">
        <w:rPr>
          <w:rFonts w:cs="Arial"/>
          <w:sz w:val="24"/>
          <w:szCs w:val="24"/>
        </w:rPr>
        <w:tab/>
      </w:r>
    </w:p>
    <w:p w:rsidR="00F91633" w:rsidRDefault="00F52984" w:rsidP="005D4919">
      <w:pPr>
        <w:spacing w:line="276" w:lineRule="auto"/>
        <w:rPr>
          <w:rFonts w:cs="Arial"/>
          <w:b/>
          <w:sz w:val="24"/>
          <w:szCs w:val="24"/>
        </w:rPr>
      </w:pPr>
      <w:r w:rsidRPr="00F47B29">
        <w:rPr>
          <w:rFonts w:cs="Arial"/>
          <w:b/>
          <w:sz w:val="24"/>
          <w:szCs w:val="24"/>
        </w:rPr>
        <w:t>Technical Notes o</w:t>
      </w:r>
      <w:r w:rsidR="00F91633">
        <w:rPr>
          <w:rFonts w:cs="Arial"/>
          <w:b/>
          <w:sz w:val="24"/>
          <w:szCs w:val="24"/>
        </w:rPr>
        <w:t>n Engagement with Eskom on the Energy Crises</w:t>
      </w:r>
    </w:p>
    <w:p w:rsidR="000518E5" w:rsidRPr="00F47B29" w:rsidRDefault="000518E5" w:rsidP="005D4919">
      <w:pPr>
        <w:spacing w:line="276" w:lineRule="auto"/>
        <w:rPr>
          <w:rFonts w:cs="Arial"/>
          <w:b/>
          <w:sz w:val="24"/>
          <w:szCs w:val="24"/>
        </w:rPr>
      </w:pPr>
    </w:p>
    <w:p w:rsidR="000518E5" w:rsidRPr="0010540E" w:rsidRDefault="000518E5" w:rsidP="005D4919">
      <w:pPr>
        <w:spacing w:line="276" w:lineRule="auto"/>
        <w:rPr>
          <w:rFonts w:cs="Arial"/>
          <w:sz w:val="16"/>
          <w:szCs w:val="16"/>
        </w:rPr>
      </w:pP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F47B29">
        <w:rPr>
          <w:rFonts w:cs="Arial"/>
          <w:b/>
          <w:sz w:val="24"/>
          <w:szCs w:val="24"/>
        </w:rPr>
        <w:tab/>
      </w:r>
      <w:r w:rsidRPr="0010540E">
        <w:rPr>
          <w:rFonts w:cs="Arial"/>
          <w:sz w:val="16"/>
          <w:szCs w:val="16"/>
        </w:rPr>
        <w:t>01 November 2022</w:t>
      </w:r>
    </w:p>
    <w:p w:rsidR="000518E5" w:rsidRPr="0010540E" w:rsidRDefault="000518E5" w:rsidP="005D4919">
      <w:pPr>
        <w:spacing w:line="276" w:lineRule="auto"/>
        <w:rPr>
          <w:rFonts w:cs="Arial"/>
          <w:b/>
          <w:sz w:val="24"/>
          <w:szCs w:val="24"/>
          <w:u w:val="single"/>
        </w:rPr>
      </w:pPr>
      <w:r w:rsidRPr="00F47B29">
        <w:rPr>
          <w:rFonts w:cs="Arial"/>
          <w:b/>
          <w:sz w:val="24"/>
          <w:szCs w:val="24"/>
          <w:u w:val="single"/>
        </w:rPr>
        <w:tab/>
      </w:r>
      <w:r w:rsidRPr="00F47B29">
        <w:rPr>
          <w:rFonts w:cs="Arial"/>
          <w:b/>
          <w:sz w:val="24"/>
          <w:szCs w:val="24"/>
          <w:u w:val="single"/>
        </w:rPr>
        <w:tab/>
      </w:r>
      <w:r w:rsidRPr="00F47B29">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r w:rsidRPr="0010540E">
        <w:rPr>
          <w:rFonts w:cs="Arial"/>
          <w:b/>
          <w:sz w:val="24"/>
          <w:szCs w:val="24"/>
          <w:u w:val="single"/>
        </w:rPr>
        <w:tab/>
      </w:r>
    </w:p>
    <w:p w:rsidR="00F52984" w:rsidRPr="00F47B29" w:rsidRDefault="00F52984" w:rsidP="005D4919">
      <w:pPr>
        <w:spacing w:line="276" w:lineRule="auto"/>
        <w:rPr>
          <w:rFonts w:cs="Arial"/>
          <w:b/>
          <w:sz w:val="24"/>
          <w:szCs w:val="24"/>
        </w:rPr>
      </w:pPr>
    </w:p>
    <w:p w:rsidR="00F52984" w:rsidRPr="00F47B29" w:rsidRDefault="00F52984" w:rsidP="005D4919">
      <w:pPr>
        <w:spacing w:line="276" w:lineRule="auto"/>
        <w:rPr>
          <w:rFonts w:cs="Arial"/>
          <w:b/>
          <w:sz w:val="24"/>
          <w:szCs w:val="24"/>
        </w:rPr>
      </w:pPr>
      <w:r w:rsidRPr="00F47B29">
        <w:rPr>
          <w:rFonts w:cs="Arial"/>
          <w:b/>
          <w:sz w:val="24"/>
          <w:szCs w:val="24"/>
        </w:rPr>
        <w:t>1. Governance</w:t>
      </w:r>
    </w:p>
    <w:p w:rsidR="00F52984" w:rsidRPr="0010540E" w:rsidRDefault="00F52984" w:rsidP="005D4919">
      <w:pPr>
        <w:pStyle w:val="Default"/>
        <w:spacing w:line="276" w:lineRule="auto"/>
        <w:jc w:val="both"/>
        <w:rPr>
          <w:rFonts w:ascii="Arial" w:hAnsi="Arial" w:cs="Arial"/>
          <w:color w:val="auto"/>
        </w:rPr>
      </w:pPr>
    </w:p>
    <w:p w:rsidR="00F52984" w:rsidRPr="0010540E" w:rsidRDefault="00F52984" w:rsidP="005D4919">
      <w:pPr>
        <w:pStyle w:val="Default"/>
        <w:spacing w:line="276" w:lineRule="auto"/>
        <w:jc w:val="both"/>
        <w:rPr>
          <w:rFonts w:ascii="Arial" w:hAnsi="Arial" w:cs="Arial"/>
          <w:color w:val="auto"/>
        </w:rPr>
      </w:pPr>
      <w:r w:rsidRPr="0010540E">
        <w:rPr>
          <w:rFonts w:ascii="Arial" w:hAnsi="Arial" w:cs="Arial"/>
          <w:color w:val="auto"/>
        </w:rPr>
        <w:t>Eskom faced several challenges in the past which includes governance, operational and financial. Esk</w:t>
      </w:r>
      <w:r w:rsidRPr="00F47B29">
        <w:rPr>
          <w:rFonts w:ascii="Arial" w:hAnsi="Arial" w:cs="Arial"/>
          <w:color w:val="auto"/>
        </w:rPr>
        <w:t>om face an enduring problem of poor utility performa</w:t>
      </w:r>
      <w:r w:rsidRPr="0010540E">
        <w:rPr>
          <w:rFonts w:ascii="Arial" w:hAnsi="Arial" w:cs="Arial"/>
          <w:color w:val="auto"/>
        </w:rPr>
        <w:t>nce, i.e., it has</w:t>
      </w:r>
      <w:r w:rsidRPr="00F47B29">
        <w:rPr>
          <w:rFonts w:ascii="Arial" w:hAnsi="Arial" w:cs="Arial"/>
          <w:color w:val="auto"/>
        </w:rPr>
        <w:t xml:space="preserve"> failed to deliver adequate, reliable, and competitively priced electricity to consumers</w:t>
      </w:r>
      <w:r w:rsidRPr="0010540E">
        <w:rPr>
          <w:rFonts w:ascii="Arial" w:hAnsi="Arial" w:cs="Arial"/>
          <w:color w:val="auto"/>
        </w:rPr>
        <w:t xml:space="preserve">. </w:t>
      </w:r>
    </w:p>
    <w:p w:rsidR="00F52984" w:rsidRPr="00F47B29" w:rsidRDefault="00F52984" w:rsidP="005D4919">
      <w:pPr>
        <w:autoSpaceDE w:val="0"/>
        <w:autoSpaceDN w:val="0"/>
        <w:adjustRightInd w:val="0"/>
        <w:spacing w:line="276" w:lineRule="auto"/>
        <w:rPr>
          <w:rFonts w:cs="Arial"/>
          <w:sz w:val="24"/>
          <w:szCs w:val="24"/>
        </w:rPr>
      </w:pPr>
      <w:r w:rsidRPr="00F47B29">
        <w:rPr>
          <w:rFonts w:cs="Arial"/>
          <w:sz w:val="24"/>
          <w:szCs w:val="24"/>
        </w:rPr>
        <w:t>To address Eskom’s problems, the President’s Eskom Sustainability Task Team formulated a restructuring proposal, some of which was taken forward by Department of Public Enterprises (DPE) in the Roadmap for Eskom in a Reformed Electricity Supply Industry (2019). The Roadmap outlined specific steps and timelines for restructuring Eskom, including the incremental process of separating Eskom into three state-owned subsidiaries: Generation, Transmission, and Distribution. The first step outlined by the document is the creation of a fully Eskom-owned transmission subsidiary, responsible for purchasing, system operation, and grid management. According to the President, Eskom has established a separate transmission subsidiary, and is on track to complete its unbundling by December 2022. The Minister of Finance in his speech outline that, the Electricity Regulation Amendment Bill has been finalised. It provides for the establishment of an independent transmission and system operator, which will fundamentally transform the electricity sector. Reducing South Africa’s reliance on a single monopoly utility and unlocking massive new private investment in generation capacity will contribute significantly to long-term energy security. This will have implications on how Eskom conducts its business and need to be outlined within a specific context.</w:t>
      </w:r>
    </w:p>
    <w:p w:rsidR="00F52984" w:rsidRPr="00F47B29" w:rsidRDefault="00F52984" w:rsidP="005D4919">
      <w:pPr>
        <w:autoSpaceDE w:val="0"/>
        <w:autoSpaceDN w:val="0"/>
        <w:adjustRightInd w:val="0"/>
        <w:spacing w:line="276" w:lineRule="auto"/>
        <w:rPr>
          <w:rFonts w:cs="Arial"/>
          <w:sz w:val="24"/>
          <w:szCs w:val="24"/>
        </w:rPr>
      </w:pPr>
    </w:p>
    <w:p w:rsidR="00F52984" w:rsidRPr="00F47B29" w:rsidRDefault="00F52984" w:rsidP="005D4919">
      <w:pPr>
        <w:autoSpaceDE w:val="0"/>
        <w:autoSpaceDN w:val="0"/>
        <w:adjustRightInd w:val="0"/>
        <w:spacing w:line="276" w:lineRule="auto"/>
        <w:rPr>
          <w:rFonts w:cs="Arial"/>
          <w:sz w:val="24"/>
          <w:szCs w:val="24"/>
        </w:rPr>
      </w:pPr>
      <w:r w:rsidRPr="00F47B29">
        <w:rPr>
          <w:rFonts w:cs="Arial"/>
          <w:sz w:val="24"/>
          <w:szCs w:val="24"/>
        </w:rPr>
        <w:t>The emergence of distributed generation due to Eskom’s inability to meet electricity demand and rising electricity tariffs is further disrupting and changing South Africa’s electricity landscape. The regulatory reforms and policy decisions required to unlock this market were initially slow to develop and incomplete. However, the increasing severity of the power crisis has prompted the government to be more decisive in creating a conducive enabling environment for increased investment.</w:t>
      </w:r>
    </w:p>
    <w:p w:rsidR="005D4919" w:rsidRPr="00F47B29" w:rsidRDefault="005D4919" w:rsidP="005D4919">
      <w:pPr>
        <w:autoSpaceDE w:val="0"/>
        <w:autoSpaceDN w:val="0"/>
        <w:adjustRightInd w:val="0"/>
        <w:spacing w:line="276" w:lineRule="auto"/>
        <w:rPr>
          <w:rFonts w:cs="Arial"/>
          <w:sz w:val="24"/>
          <w:szCs w:val="24"/>
        </w:rPr>
      </w:pPr>
    </w:p>
    <w:p w:rsidR="005D4919" w:rsidRPr="0010540E" w:rsidRDefault="00F47B29" w:rsidP="005D4919">
      <w:pPr>
        <w:autoSpaceDE w:val="0"/>
        <w:autoSpaceDN w:val="0"/>
        <w:adjustRightInd w:val="0"/>
        <w:spacing w:line="276" w:lineRule="auto"/>
        <w:rPr>
          <w:rFonts w:cs="Arial"/>
          <w:b/>
          <w:sz w:val="24"/>
          <w:szCs w:val="24"/>
        </w:rPr>
      </w:pPr>
      <w:r w:rsidRPr="00F47B29">
        <w:rPr>
          <w:rFonts w:cs="Arial"/>
          <w:b/>
          <w:sz w:val="24"/>
          <w:szCs w:val="24"/>
        </w:rPr>
        <w:t xml:space="preserve">2. </w:t>
      </w:r>
      <w:r w:rsidR="005D4919" w:rsidRPr="0010540E">
        <w:rPr>
          <w:rFonts w:cs="Arial"/>
          <w:b/>
          <w:sz w:val="24"/>
          <w:szCs w:val="24"/>
        </w:rPr>
        <w:t>Appointment of New Board Members at Eskom</w:t>
      </w:r>
    </w:p>
    <w:p w:rsidR="005D4919" w:rsidRPr="0010540E" w:rsidRDefault="005D4919" w:rsidP="0010540E">
      <w:pPr>
        <w:spacing w:before="100" w:beforeAutospacing="1" w:after="100" w:afterAutospacing="1" w:line="240" w:lineRule="auto"/>
        <w:rPr>
          <w:rFonts w:eastAsia="Times New Roman" w:cs="Arial"/>
          <w:sz w:val="24"/>
          <w:szCs w:val="24"/>
          <w:lang w:val="en-US" w:eastAsia="en-ZA"/>
        </w:rPr>
      </w:pPr>
      <w:r w:rsidRPr="0010540E">
        <w:rPr>
          <w:rFonts w:eastAsia="Times New Roman" w:cs="Arial"/>
          <w:sz w:val="24"/>
          <w:szCs w:val="24"/>
          <w:lang w:val="en-US" w:eastAsia="en-ZA"/>
        </w:rPr>
        <w:t>The appointments</w:t>
      </w:r>
      <w:r w:rsidR="000518E5" w:rsidRPr="00F47B29">
        <w:rPr>
          <w:rFonts w:eastAsia="Times New Roman" w:cs="Arial"/>
          <w:sz w:val="24"/>
          <w:szCs w:val="24"/>
          <w:lang w:val="en-US" w:eastAsia="en-ZA"/>
        </w:rPr>
        <w:t xml:space="preserve"> of t</w:t>
      </w:r>
      <w:r w:rsidRPr="0010540E">
        <w:rPr>
          <w:rFonts w:eastAsia="Times New Roman" w:cs="Arial"/>
          <w:sz w:val="24"/>
          <w:szCs w:val="24"/>
          <w:lang w:val="en-US" w:eastAsia="en-ZA"/>
        </w:rPr>
        <w:t>he new Eskom Board of Directors with effect from 1 October 2022 included the following individuals:</w:t>
      </w:r>
    </w:p>
    <w:p w:rsidR="005D4919" w:rsidRPr="00F47B29" w:rsidRDefault="005D4919" w:rsidP="0010540E">
      <w:pPr>
        <w:spacing w:before="100" w:beforeAutospacing="1" w:after="100" w:afterAutospacing="1" w:line="240" w:lineRule="auto"/>
        <w:jc w:val="left"/>
        <w:rPr>
          <w:rFonts w:cs="Arial"/>
          <w:sz w:val="24"/>
          <w:szCs w:val="24"/>
        </w:rPr>
      </w:pPr>
      <w:r w:rsidRPr="0010540E">
        <w:rPr>
          <w:rFonts w:eastAsia="Times New Roman" w:cs="Arial"/>
          <w:sz w:val="24"/>
          <w:szCs w:val="24"/>
          <w:lang w:val="en-US" w:eastAsia="en-ZA"/>
        </w:rPr>
        <w:t>1. Mr Mpho Makwana as Chairperson</w:t>
      </w:r>
      <w:r w:rsidRPr="0010540E">
        <w:rPr>
          <w:rFonts w:eastAsia="Times New Roman" w:cs="Arial"/>
          <w:sz w:val="24"/>
          <w:szCs w:val="24"/>
          <w:lang w:val="en-US" w:eastAsia="en-ZA"/>
        </w:rPr>
        <w:br/>
        <w:t>2. Dr Busisiwe Vilakazi</w:t>
      </w:r>
      <w:r w:rsidRPr="0010540E">
        <w:rPr>
          <w:rFonts w:eastAsia="Times New Roman" w:cs="Arial"/>
          <w:sz w:val="24"/>
          <w:szCs w:val="24"/>
          <w:lang w:val="en-US" w:eastAsia="en-ZA"/>
        </w:rPr>
        <w:br/>
      </w:r>
      <w:r w:rsidRPr="0010540E">
        <w:rPr>
          <w:rFonts w:eastAsia="Times New Roman" w:cs="Arial"/>
          <w:sz w:val="24"/>
          <w:szCs w:val="24"/>
          <w:lang w:val="en-US" w:eastAsia="en-ZA"/>
        </w:rPr>
        <w:lastRenderedPageBreak/>
        <w:t>3. Mr Lwazi Goqwana</w:t>
      </w:r>
      <w:r w:rsidRPr="0010540E">
        <w:rPr>
          <w:rFonts w:eastAsia="Times New Roman" w:cs="Arial"/>
          <w:sz w:val="24"/>
          <w:szCs w:val="24"/>
          <w:lang w:val="en-US" w:eastAsia="en-ZA"/>
        </w:rPr>
        <w:br/>
        <w:t>4. Mr Clive Le Roux</w:t>
      </w:r>
      <w:r w:rsidRPr="0010540E">
        <w:rPr>
          <w:rFonts w:eastAsia="Times New Roman" w:cs="Arial"/>
          <w:sz w:val="24"/>
          <w:szCs w:val="24"/>
          <w:lang w:val="en-US" w:eastAsia="en-ZA"/>
        </w:rPr>
        <w:br/>
        <w:t>5. Mr Leslie Mkhabela</w:t>
      </w:r>
      <w:r w:rsidRPr="0010540E">
        <w:rPr>
          <w:rFonts w:eastAsia="Times New Roman" w:cs="Arial"/>
          <w:sz w:val="24"/>
          <w:szCs w:val="24"/>
          <w:lang w:val="en-US" w:eastAsia="en-ZA"/>
        </w:rPr>
        <w:br/>
        <w:t>6. Mr Mteto Nyati</w:t>
      </w:r>
      <w:r w:rsidRPr="0010540E">
        <w:rPr>
          <w:rFonts w:eastAsia="Times New Roman" w:cs="Arial"/>
          <w:sz w:val="24"/>
          <w:szCs w:val="24"/>
          <w:lang w:val="en-US" w:eastAsia="en-ZA"/>
        </w:rPr>
        <w:br/>
        <w:t>7. Ms Fathima Gany</w:t>
      </w:r>
      <w:r w:rsidRPr="0010540E">
        <w:rPr>
          <w:rFonts w:eastAsia="Times New Roman" w:cs="Arial"/>
          <w:sz w:val="24"/>
          <w:szCs w:val="24"/>
          <w:lang w:val="en-US" w:eastAsia="en-ZA"/>
        </w:rPr>
        <w:br/>
        <w:t>8. Ms Ayanda Mafuleka</w:t>
      </w:r>
      <w:r w:rsidRPr="0010540E">
        <w:rPr>
          <w:rFonts w:eastAsia="Times New Roman" w:cs="Arial"/>
          <w:sz w:val="24"/>
          <w:szCs w:val="24"/>
          <w:lang w:val="en-US" w:eastAsia="en-ZA"/>
        </w:rPr>
        <w:br/>
        <w:t>9. Dr Tsakani Mthombeni</w:t>
      </w:r>
      <w:r w:rsidRPr="0010540E">
        <w:rPr>
          <w:rFonts w:eastAsia="Times New Roman" w:cs="Arial"/>
          <w:sz w:val="24"/>
          <w:szCs w:val="24"/>
          <w:lang w:val="en-US" w:eastAsia="en-ZA"/>
        </w:rPr>
        <w:br/>
        <w:t>10. Dr Claudelle von Eck</w:t>
      </w:r>
      <w:r w:rsidRPr="0010540E">
        <w:rPr>
          <w:rFonts w:eastAsia="Times New Roman" w:cs="Arial"/>
          <w:sz w:val="24"/>
          <w:szCs w:val="24"/>
          <w:lang w:val="en-US" w:eastAsia="en-ZA"/>
        </w:rPr>
        <w:br/>
        <w:t>11. Ms Tryphosa Ramano</w:t>
      </w:r>
      <w:r w:rsidRPr="0010540E">
        <w:rPr>
          <w:rFonts w:eastAsia="Times New Roman" w:cs="Arial"/>
          <w:sz w:val="24"/>
          <w:szCs w:val="24"/>
          <w:lang w:val="en-US" w:eastAsia="en-ZA"/>
        </w:rPr>
        <w:br/>
        <w:t>12. Mr Bheki Ntshalintshali</w:t>
      </w:r>
    </w:p>
    <w:p w:rsidR="00F52984" w:rsidRPr="00F47B29" w:rsidRDefault="00F52984" w:rsidP="0010540E">
      <w:pPr>
        <w:autoSpaceDE w:val="0"/>
        <w:autoSpaceDN w:val="0"/>
        <w:adjustRightInd w:val="0"/>
        <w:spacing w:line="276" w:lineRule="auto"/>
        <w:jc w:val="left"/>
        <w:rPr>
          <w:rFonts w:cs="Arial"/>
          <w:sz w:val="24"/>
          <w:szCs w:val="24"/>
        </w:rPr>
      </w:pPr>
    </w:p>
    <w:p w:rsidR="00F52984" w:rsidRPr="00F47B29" w:rsidRDefault="00F47B29" w:rsidP="0010540E">
      <w:pPr>
        <w:spacing w:after="160" w:line="276" w:lineRule="auto"/>
        <w:jc w:val="left"/>
        <w:rPr>
          <w:rFonts w:cs="Arial"/>
          <w:b/>
          <w:sz w:val="24"/>
          <w:szCs w:val="24"/>
        </w:rPr>
      </w:pPr>
      <w:r w:rsidRPr="00F47B29">
        <w:rPr>
          <w:rFonts w:cs="Arial"/>
          <w:b/>
          <w:sz w:val="24"/>
          <w:szCs w:val="24"/>
        </w:rPr>
        <w:t>3</w:t>
      </w:r>
      <w:r w:rsidR="00F52984" w:rsidRPr="00F47B29">
        <w:rPr>
          <w:rFonts w:cs="Arial"/>
          <w:b/>
          <w:sz w:val="24"/>
          <w:szCs w:val="24"/>
        </w:rPr>
        <w:t>. Financial Highlights</w:t>
      </w:r>
    </w:p>
    <w:p w:rsidR="005D4919" w:rsidRPr="00F47B29" w:rsidRDefault="005D4919" w:rsidP="005D4919">
      <w:pPr>
        <w:spacing w:line="276" w:lineRule="auto"/>
        <w:rPr>
          <w:rFonts w:cs="Arial"/>
          <w:b/>
          <w:sz w:val="24"/>
          <w:szCs w:val="24"/>
        </w:rPr>
      </w:pPr>
    </w:p>
    <w:p w:rsidR="005D4919" w:rsidRPr="00F47B29" w:rsidRDefault="005D4919" w:rsidP="005D4919">
      <w:pPr>
        <w:spacing w:line="276" w:lineRule="auto"/>
        <w:rPr>
          <w:rFonts w:cs="Arial"/>
          <w:b/>
          <w:sz w:val="24"/>
          <w:szCs w:val="24"/>
        </w:rPr>
      </w:pPr>
      <w:r w:rsidRPr="0010540E">
        <w:rPr>
          <w:rFonts w:ascii="Calibri-Bold" w:hAnsi="Calibri-Bold" w:cs="Calibri-Bold"/>
          <w:b/>
          <w:bCs/>
          <w:sz w:val="20"/>
          <w:szCs w:val="20"/>
          <w:lang w:val="en-ZA"/>
        </w:rPr>
        <w:t>Table 1: Eskom's dire financial situation (Source: Eskom, 2022)</w:t>
      </w:r>
    </w:p>
    <w:p w:rsidR="00F52984" w:rsidRPr="00F47B29" w:rsidRDefault="00F52984" w:rsidP="005D4919">
      <w:pPr>
        <w:spacing w:line="276" w:lineRule="auto"/>
        <w:rPr>
          <w:rFonts w:cs="Arial"/>
          <w:b/>
          <w:sz w:val="24"/>
          <w:szCs w:val="24"/>
        </w:rPr>
      </w:pPr>
      <w:r w:rsidRPr="0010540E">
        <w:rPr>
          <w:rFonts w:cs="Arial"/>
          <w:noProof/>
          <w:sz w:val="24"/>
          <w:szCs w:val="24"/>
          <w:lang w:val="en-ZA" w:eastAsia="en-ZA"/>
        </w:rPr>
        <w:drawing>
          <wp:inline distT="0" distB="0" distL="0" distR="0">
            <wp:extent cx="4267200" cy="472176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200" cy="4721763"/>
                    </a:xfrm>
                    <a:prstGeom prst="rect">
                      <a:avLst/>
                    </a:prstGeom>
                    <a:noFill/>
                    <a:ln>
                      <a:noFill/>
                    </a:ln>
                  </pic:spPr>
                </pic:pic>
              </a:graphicData>
            </a:graphic>
          </wp:inline>
        </w:drawing>
      </w:r>
    </w:p>
    <w:p w:rsidR="00F52984" w:rsidRPr="00F47B29" w:rsidRDefault="00F52984" w:rsidP="005D4919">
      <w:pPr>
        <w:spacing w:line="276" w:lineRule="auto"/>
        <w:rPr>
          <w:rFonts w:cs="Arial"/>
          <w:sz w:val="24"/>
          <w:szCs w:val="24"/>
        </w:rPr>
      </w:pPr>
    </w:p>
    <w:p w:rsidR="005D4919" w:rsidRPr="00F47B29" w:rsidRDefault="005D4919" w:rsidP="005D4919">
      <w:pPr>
        <w:spacing w:line="276" w:lineRule="auto"/>
        <w:rPr>
          <w:rFonts w:cs="Arial"/>
          <w:sz w:val="24"/>
          <w:szCs w:val="24"/>
        </w:rPr>
      </w:pPr>
      <w:commentRangeStart w:id="1"/>
      <w:r w:rsidRPr="00F47B29">
        <w:rPr>
          <w:rFonts w:cs="Arial"/>
          <w:sz w:val="24"/>
          <w:szCs w:val="24"/>
        </w:rPr>
        <w:t xml:space="preserve">To address Eskom’s financial challenges the Minister of Finance has outlined key interventions through his </w:t>
      </w:r>
      <w:commentRangeEnd w:id="1"/>
      <w:r w:rsidRPr="0010540E">
        <w:rPr>
          <w:rStyle w:val="CommentReference"/>
          <w:rFonts w:eastAsia="Times New Roman" w:cs="Arial"/>
          <w:sz w:val="24"/>
          <w:szCs w:val="24"/>
          <w:lang w:eastAsia="en-GB"/>
        </w:rPr>
        <w:commentReference w:id="1"/>
      </w:r>
      <w:r w:rsidRPr="00F47B29">
        <w:rPr>
          <w:rFonts w:cs="Arial"/>
          <w:sz w:val="24"/>
          <w:szCs w:val="24"/>
        </w:rPr>
        <w:t>Medium Term Budget Policy statement (MTPS).</w:t>
      </w:r>
    </w:p>
    <w:p w:rsidR="005D4919" w:rsidRPr="00F47B29" w:rsidRDefault="005D4919" w:rsidP="005D4919">
      <w:pPr>
        <w:spacing w:line="276" w:lineRule="auto"/>
        <w:rPr>
          <w:rFonts w:cs="Arial"/>
          <w:b/>
          <w:sz w:val="24"/>
          <w:szCs w:val="24"/>
        </w:rPr>
      </w:pPr>
    </w:p>
    <w:p w:rsidR="000518E5" w:rsidRPr="00F47B29" w:rsidRDefault="000518E5" w:rsidP="005D4919">
      <w:pPr>
        <w:spacing w:line="276" w:lineRule="auto"/>
        <w:rPr>
          <w:rFonts w:cs="Arial"/>
          <w:b/>
          <w:sz w:val="24"/>
          <w:szCs w:val="24"/>
        </w:rPr>
      </w:pPr>
    </w:p>
    <w:p w:rsidR="00F52984" w:rsidRPr="00F47B29" w:rsidRDefault="00F47B29" w:rsidP="005D4919">
      <w:pPr>
        <w:spacing w:line="276" w:lineRule="auto"/>
        <w:rPr>
          <w:rFonts w:cs="Arial"/>
          <w:b/>
          <w:sz w:val="24"/>
          <w:szCs w:val="24"/>
        </w:rPr>
      </w:pPr>
      <w:r w:rsidRPr="00F47B29">
        <w:rPr>
          <w:rFonts w:cs="Arial"/>
          <w:b/>
          <w:sz w:val="24"/>
          <w:szCs w:val="24"/>
        </w:rPr>
        <w:t>4</w:t>
      </w:r>
      <w:r w:rsidR="00F52984" w:rsidRPr="00F47B29">
        <w:rPr>
          <w:rFonts w:cs="Arial"/>
          <w:b/>
          <w:sz w:val="24"/>
          <w:szCs w:val="24"/>
        </w:rPr>
        <w:t>. Medium Term Budget Policy Statement</w:t>
      </w:r>
    </w:p>
    <w:p w:rsidR="00F52984" w:rsidRPr="00F47B29" w:rsidRDefault="00F52984" w:rsidP="005D4919">
      <w:pPr>
        <w:spacing w:line="276" w:lineRule="auto"/>
        <w:rPr>
          <w:rFonts w:cs="Arial"/>
          <w:sz w:val="24"/>
          <w:szCs w:val="24"/>
        </w:rPr>
      </w:pPr>
    </w:p>
    <w:p w:rsidR="00F52984" w:rsidRPr="00F47B29" w:rsidRDefault="00F52984" w:rsidP="005D4919">
      <w:pPr>
        <w:autoSpaceDE w:val="0"/>
        <w:autoSpaceDN w:val="0"/>
        <w:adjustRightInd w:val="0"/>
        <w:spacing w:line="276" w:lineRule="auto"/>
        <w:rPr>
          <w:rFonts w:cs="Arial"/>
          <w:sz w:val="24"/>
          <w:szCs w:val="24"/>
        </w:rPr>
      </w:pPr>
      <w:r w:rsidRPr="00F47B29">
        <w:rPr>
          <w:rFonts w:cs="Arial"/>
          <w:i/>
          <w:iCs/>
          <w:sz w:val="24"/>
          <w:szCs w:val="24"/>
        </w:rPr>
        <w:t xml:space="preserve">The 2022 Medium Term Budget Policy Statement Speech by </w:t>
      </w:r>
      <w:r w:rsidRPr="00F47B29">
        <w:rPr>
          <w:rFonts w:cs="Arial"/>
          <w:iCs/>
          <w:sz w:val="24"/>
          <w:szCs w:val="24"/>
        </w:rPr>
        <w:t>th</w:t>
      </w:r>
      <w:r w:rsidRPr="00F47B29">
        <w:rPr>
          <w:rFonts w:cs="Arial"/>
          <w:sz w:val="24"/>
          <w:szCs w:val="24"/>
        </w:rPr>
        <w:t>e Minister of Finance outlines the following: For at least a decade, government has spent billions of rands supporting Eskom, with limited improvements in the reliability of the electricity supply or the financial health of the company. To ensure Eskom’s long-term financial viability, government will take over a significant portion of the utility’s R400 billion debt. While the selection of the relevant debt instruments and the method of effecting the relief is still to be determined, the quantum is expected to be between one-third and two-thirds of Eskom’s current debt. The debt takeover, once finalised, together with other reforms will ensure that Eskom is financially sustainable. The programme will allow Eskom to focus on plant performance and capital investment and ensure that it no longer relies on government bailouts. Importantly, the programme will include strict conditions required of Eskom and other stakeholders before and during the debt transfer. These conditions will address Eskom’s structural challenges by managing its costs, addressing municipal and household arrears due to the utility, and providing greater clarity and transparency in tariff pricing. In addition, the conditions will be informed by a Treasury led independent review of Eskom’s operations, in particular the performance of its generation fleet. Further details of the programme will be finalised following consultations with all relevant stakeholders and lenders and will be announced in the 2023 Budget.</w:t>
      </w:r>
    </w:p>
    <w:p w:rsidR="00F52984" w:rsidRPr="00F47B29" w:rsidRDefault="00F52984" w:rsidP="005D4919">
      <w:pPr>
        <w:spacing w:line="276" w:lineRule="auto"/>
        <w:rPr>
          <w:rFonts w:cs="Arial"/>
          <w:b/>
          <w:sz w:val="24"/>
          <w:szCs w:val="24"/>
        </w:rPr>
      </w:pPr>
    </w:p>
    <w:p w:rsidR="00F52984" w:rsidRPr="00F47B29" w:rsidRDefault="00F47B29" w:rsidP="005D4919">
      <w:pPr>
        <w:spacing w:line="276" w:lineRule="auto"/>
        <w:rPr>
          <w:rFonts w:cs="Arial"/>
          <w:b/>
          <w:sz w:val="24"/>
          <w:szCs w:val="24"/>
        </w:rPr>
      </w:pPr>
      <w:r w:rsidRPr="00F47B29">
        <w:rPr>
          <w:rFonts w:cs="Arial"/>
          <w:b/>
          <w:sz w:val="24"/>
          <w:szCs w:val="24"/>
        </w:rPr>
        <w:t>5</w:t>
      </w:r>
      <w:r w:rsidR="00F52984" w:rsidRPr="00F47B29">
        <w:rPr>
          <w:rFonts w:cs="Arial"/>
          <w:b/>
          <w:sz w:val="24"/>
          <w:szCs w:val="24"/>
        </w:rPr>
        <w:t>. Municipal debt</w:t>
      </w:r>
    </w:p>
    <w:p w:rsidR="000518E5" w:rsidRPr="00F47B29" w:rsidRDefault="000518E5" w:rsidP="005D4919">
      <w:pPr>
        <w:autoSpaceDE w:val="0"/>
        <w:autoSpaceDN w:val="0"/>
        <w:adjustRightInd w:val="0"/>
        <w:spacing w:line="276" w:lineRule="auto"/>
        <w:rPr>
          <w:rFonts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cs="Arial"/>
          <w:sz w:val="24"/>
          <w:szCs w:val="24"/>
        </w:rPr>
        <w:t>A culture of non</w:t>
      </w:r>
      <w:r w:rsidRPr="00F47B29">
        <w:rPr>
          <w:rFonts w:ascii="Cambria Math" w:hAnsi="Cambria Math" w:cs="Cambria Math"/>
          <w:sz w:val="24"/>
          <w:szCs w:val="24"/>
        </w:rPr>
        <w:t>‐</w:t>
      </w:r>
      <w:r w:rsidRPr="00F47B29">
        <w:rPr>
          <w:rFonts w:cs="Arial"/>
          <w:sz w:val="24"/>
          <w:szCs w:val="24"/>
        </w:rPr>
        <w:t xml:space="preserve">payment, particularly among municipalities, has become a systemic problem. </w:t>
      </w:r>
      <w:r w:rsidRPr="00F47B29">
        <w:rPr>
          <w:rFonts w:eastAsia="GillSansStd" w:cs="Arial"/>
          <w:sz w:val="24"/>
          <w:szCs w:val="24"/>
        </w:rPr>
        <w:t>In its 2021 Integrated Report Eskom it states the following; despite Eskom best efforts, limited success has been achieved in managing municipal arrear debt, which continued to escalate to unacceptably high levels, increasing by 26% to R35.3 billion at year end. Payment levels are showing early signs of improvement because of Eskom municipal debt management strategy and ring-fencing arrear accounts, leading to lower interest charges. Eskom continue to pursue existing debt management processes and enforce its rights through legal action.</w:t>
      </w:r>
    </w:p>
    <w:p w:rsidR="00F52984" w:rsidRPr="00F47B29" w:rsidRDefault="00F52984" w:rsidP="005D4919">
      <w:pPr>
        <w:spacing w:line="276" w:lineRule="auto"/>
        <w:rPr>
          <w:rFonts w:cs="Arial"/>
          <w:sz w:val="24"/>
          <w:szCs w:val="24"/>
        </w:rPr>
      </w:pPr>
    </w:p>
    <w:p w:rsidR="00F52984" w:rsidRPr="00F47B29" w:rsidRDefault="00F52984" w:rsidP="005D4919">
      <w:pPr>
        <w:spacing w:line="276" w:lineRule="auto"/>
        <w:rPr>
          <w:rFonts w:cs="Arial"/>
          <w:sz w:val="24"/>
          <w:szCs w:val="24"/>
        </w:rPr>
      </w:pPr>
      <w:r w:rsidRPr="0010540E">
        <w:rPr>
          <w:rFonts w:cs="Arial"/>
          <w:noProof/>
          <w:sz w:val="24"/>
          <w:szCs w:val="24"/>
          <w:lang w:val="en-ZA" w:eastAsia="en-ZA"/>
        </w:rPr>
        <w:drawing>
          <wp:inline distT="0" distB="0" distL="0" distR="0">
            <wp:extent cx="2734057" cy="338184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34057" cy="3381847"/>
                    </a:xfrm>
                    <a:prstGeom prst="rect">
                      <a:avLst/>
                    </a:prstGeom>
                  </pic:spPr>
                </pic:pic>
              </a:graphicData>
            </a:graphic>
          </wp:inline>
        </w:drawing>
      </w:r>
    </w:p>
    <w:p w:rsidR="00F52984" w:rsidRPr="00F47B29" w:rsidRDefault="00F52984" w:rsidP="005D4919">
      <w:pPr>
        <w:spacing w:line="276" w:lineRule="auto"/>
        <w:rPr>
          <w:rFonts w:cs="Arial"/>
          <w:sz w:val="24"/>
          <w:szCs w:val="24"/>
        </w:rPr>
      </w:pPr>
    </w:p>
    <w:p w:rsidR="00F52984" w:rsidRPr="00F47B29" w:rsidRDefault="00F47B29" w:rsidP="005D4919">
      <w:pPr>
        <w:autoSpaceDE w:val="0"/>
        <w:autoSpaceDN w:val="0"/>
        <w:adjustRightInd w:val="0"/>
        <w:spacing w:line="276" w:lineRule="auto"/>
        <w:rPr>
          <w:rFonts w:cs="Arial"/>
          <w:b/>
          <w:bCs/>
          <w:sz w:val="24"/>
          <w:szCs w:val="24"/>
        </w:rPr>
      </w:pPr>
      <w:r w:rsidRPr="00F47B29">
        <w:rPr>
          <w:rFonts w:cs="Arial"/>
          <w:b/>
          <w:bCs/>
          <w:sz w:val="24"/>
          <w:szCs w:val="24"/>
        </w:rPr>
        <w:t>6</w:t>
      </w:r>
      <w:r w:rsidR="00F52984" w:rsidRPr="00F47B29">
        <w:rPr>
          <w:rFonts w:cs="Arial"/>
          <w:b/>
          <w:bCs/>
          <w:sz w:val="24"/>
          <w:szCs w:val="24"/>
        </w:rPr>
        <w:t>. Residential arrear debt</w:t>
      </w:r>
    </w:p>
    <w:p w:rsidR="00F52984" w:rsidRPr="0010540E" w:rsidRDefault="00F52984" w:rsidP="005D4919">
      <w:pPr>
        <w:autoSpaceDE w:val="0"/>
        <w:autoSpaceDN w:val="0"/>
        <w:adjustRightInd w:val="0"/>
        <w:spacing w:line="276" w:lineRule="auto"/>
        <w:rPr>
          <w:rFonts w:cs="Arial"/>
          <w:b/>
          <w:bCs/>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While arrear municipal debt has grown rapidly over the past few years, Soweto arrear debt has increased at a slower rate. Nevertheless, small power users, particularly in Soweto, comprise tens of thousands of residential customers, presenting a much greater challenge to manage and collect individual outstanding amounts compared to the few hundred municipal customers. Average payment levels in Soweto remain low, at 20.6% for the year (2020: 20.7%). Total invoiced Soweto debt has decreased to R7.5 billion (including interest) at year end (2020: R12.8 billion).</w:t>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Of this, only R536 million is deemed collectable and is reflected as trade receivables in our annual financial statements. The reduction in Soweto debt is mainly due to</w:t>
      </w: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the write-off of prescribed debt of R5.3 billion and write back of non-compliant “in duplum” interest of R3.3 billion. During the year, the Board granted approval for management to engage with the City of Johannesburg for the proposed transfer of customers in Eskom's licensed areas of supply to City Power. These include Soweto and Sandton. Negotiations have commenced; the Soweto debt balance, regulatory processes as well as social, human resource and financial implications are being considered.</w:t>
      </w:r>
    </w:p>
    <w:p w:rsidR="00F52984" w:rsidRPr="00F47B29" w:rsidRDefault="00F52984" w:rsidP="005D4919">
      <w:pPr>
        <w:spacing w:after="160" w:line="276" w:lineRule="auto"/>
        <w:rPr>
          <w:rFonts w:cs="Arial"/>
          <w:b/>
          <w:sz w:val="24"/>
          <w:szCs w:val="24"/>
        </w:rPr>
      </w:pPr>
    </w:p>
    <w:p w:rsidR="00F47B29" w:rsidRPr="00F47B29" w:rsidRDefault="00F47B29">
      <w:pPr>
        <w:spacing w:after="160" w:line="259" w:lineRule="auto"/>
        <w:jc w:val="left"/>
        <w:rPr>
          <w:rFonts w:cs="Arial"/>
          <w:b/>
          <w:sz w:val="24"/>
          <w:szCs w:val="24"/>
        </w:rPr>
      </w:pPr>
      <w:r w:rsidRPr="00F47B29">
        <w:rPr>
          <w:rFonts w:cs="Arial"/>
          <w:b/>
          <w:sz w:val="24"/>
          <w:szCs w:val="24"/>
        </w:rPr>
        <w:br w:type="page"/>
      </w:r>
    </w:p>
    <w:p w:rsidR="00F52984" w:rsidRPr="00F47B29" w:rsidRDefault="00F47B29" w:rsidP="005D4919">
      <w:pPr>
        <w:spacing w:line="276" w:lineRule="auto"/>
        <w:rPr>
          <w:rFonts w:cs="Arial"/>
          <w:b/>
          <w:sz w:val="24"/>
          <w:szCs w:val="24"/>
        </w:rPr>
      </w:pPr>
      <w:r w:rsidRPr="00F47B29">
        <w:rPr>
          <w:rFonts w:cs="Arial"/>
          <w:b/>
          <w:sz w:val="24"/>
          <w:szCs w:val="24"/>
        </w:rPr>
        <w:t>7</w:t>
      </w:r>
      <w:r w:rsidR="00F52984" w:rsidRPr="00F47B29">
        <w:rPr>
          <w:rFonts w:cs="Arial"/>
          <w:b/>
          <w:sz w:val="24"/>
          <w:szCs w:val="24"/>
        </w:rPr>
        <w:t>.</w:t>
      </w:r>
      <w:r w:rsidR="001F0183">
        <w:rPr>
          <w:rFonts w:cs="Arial"/>
          <w:b/>
          <w:sz w:val="24"/>
          <w:szCs w:val="24"/>
        </w:rPr>
        <w:t xml:space="preserve"> Power Interruptions and</w:t>
      </w:r>
      <w:r w:rsidR="00F52984" w:rsidRPr="00F47B29">
        <w:rPr>
          <w:rFonts w:cs="Arial"/>
          <w:b/>
          <w:sz w:val="24"/>
          <w:szCs w:val="24"/>
        </w:rPr>
        <w:t xml:space="preserve"> Loadshedding</w:t>
      </w:r>
    </w:p>
    <w:p w:rsidR="00F52984" w:rsidRPr="00F47B29" w:rsidRDefault="00F52984" w:rsidP="005D4919">
      <w:pPr>
        <w:spacing w:line="276" w:lineRule="auto"/>
        <w:rPr>
          <w:rFonts w:cs="Arial"/>
          <w:b/>
          <w:sz w:val="24"/>
          <w:szCs w:val="24"/>
        </w:rPr>
      </w:pPr>
    </w:p>
    <w:p w:rsidR="00F52984" w:rsidRPr="00F47B29" w:rsidRDefault="00F52984" w:rsidP="005D4919">
      <w:pPr>
        <w:spacing w:line="276" w:lineRule="auto"/>
        <w:rPr>
          <w:rFonts w:cs="Arial"/>
          <w:b/>
          <w:sz w:val="24"/>
          <w:szCs w:val="24"/>
        </w:rPr>
      </w:pPr>
    </w:p>
    <w:p w:rsidR="00F52984" w:rsidRPr="00F47B29" w:rsidRDefault="00F52984" w:rsidP="005D4919">
      <w:pPr>
        <w:spacing w:line="276" w:lineRule="auto"/>
        <w:rPr>
          <w:rFonts w:cs="Arial"/>
          <w:sz w:val="24"/>
          <w:szCs w:val="24"/>
        </w:rPr>
      </w:pPr>
      <w:r w:rsidRPr="0010540E">
        <w:rPr>
          <w:rFonts w:cs="Arial"/>
          <w:noProof/>
          <w:sz w:val="24"/>
          <w:szCs w:val="24"/>
          <w:lang w:val="en-ZA" w:eastAsia="en-ZA"/>
        </w:rPr>
        <w:drawing>
          <wp:inline distT="0" distB="0" distL="0" distR="0">
            <wp:extent cx="4187741" cy="2895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5927" cy="2901260"/>
                    </a:xfrm>
                    <a:prstGeom prst="rect">
                      <a:avLst/>
                    </a:prstGeom>
                    <a:noFill/>
                    <a:ln>
                      <a:noFill/>
                    </a:ln>
                  </pic:spPr>
                </pic:pic>
              </a:graphicData>
            </a:graphic>
          </wp:inline>
        </w:drawing>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10540E">
        <w:rPr>
          <w:rFonts w:cs="Arial"/>
          <w:b/>
          <w:bCs/>
          <w:sz w:val="24"/>
          <w:szCs w:val="24"/>
          <w:lang w:val="en-ZA"/>
        </w:rPr>
        <w:t>Figure 1: Annual loadshedding (2007 - 2021) (Source: CSIR)</w:t>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In its 2021 Integrated Report stated that, the low plant availability resulted in Eskom having to make extensive use of peaking capacity to meet demand during periods of poor base-load generation capacity to avoid or minimise loadshedding. Eskom spent R7 billion utilising Eskom’s and IPP OCGTs to support the power system, which, given its financial position, is not sustainable. We regret the 47 days of loadshedding we had to implement during the year, given the cost to the economy and the disruption to customers.</w:t>
      </w:r>
    </w:p>
    <w:p w:rsidR="00F52984" w:rsidRPr="0010540E" w:rsidRDefault="00F52984" w:rsidP="005D4919">
      <w:pPr>
        <w:shd w:val="clear" w:color="auto" w:fill="FFFFFF"/>
        <w:spacing w:before="100" w:beforeAutospacing="1" w:after="300" w:line="276" w:lineRule="auto"/>
        <w:rPr>
          <w:rFonts w:eastAsia="Times New Roman" w:cs="Arial"/>
          <w:sz w:val="24"/>
          <w:szCs w:val="24"/>
          <w:lang w:val="en-US" w:eastAsia="en-ZA"/>
        </w:rPr>
      </w:pPr>
      <w:r w:rsidRPr="00F47B29">
        <w:rPr>
          <w:rFonts w:cs="Arial"/>
          <w:sz w:val="24"/>
          <w:szCs w:val="24"/>
        </w:rPr>
        <w:t>South Africans are facing loadshedding challenge, this disrupts economic development and growth placing risk in the economy. The challenge will take longer to resolve according to the Chief Operating Officer. Recently, t</w:t>
      </w:r>
      <w:r w:rsidRPr="0010540E">
        <w:rPr>
          <w:rFonts w:eastAsia="Times New Roman" w:cs="Arial"/>
          <w:sz w:val="24"/>
          <w:szCs w:val="24"/>
          <w:lang w:val="en-US" w:eastAsia="en-ZA"/>
        </w:rPr>
        <w:t>he group said that the continued load shedding is necessary as its emergency reserves are almost depleted. The emergency generation reserves are almost depleted, both the diesel and pumped storage dam levels. These, together with persistent high levels of breakdowns of generating units, are among the major contributors to the continuing generation capacity shortages. The utility currently has 5,683MW on planned maintenance, while another 1, 585MW of capacity is unavailable due to breakdowns.</w:t>
      </w:r>
    </w:p>
    <w:p w:rsidR="00F47B29" w:rsidRDefault="00F47B29" w:rsidP="005D4919">
      <w:pPr>
        <w:autoSpaceDE w:val="0"/>
        <w:autoSpaceDN w:val="0"/>
        <w:adjustRightInd w:val="0"/>
        <w:spacing w:line="276" w:lineRule="auto"/>
        <w:rPr>
          <w:rFonts w:cs="Arial"/>
          <w:b/>
          <w:bCs/>
          <w:sz w:val="24"/>
          <w:szCs w:val="24"/>
        </w:rPr>
      </w:pPr>
    </w:p>
    <w:p w:rsidR="001F0183" w:rsidRDefault="001F0183" w:rsidP="005D4919">
      <w:pPr>
        <w:autoSpaceDE w:val="0"/>
        <w:autoSpaceDN w:val="0"/>
        <w:adjustRightInd w:val="0"/>
        <w:spacing w:line="276" w:lineRule="auto"/>
        <w:rPr>
          <w:rFonts w:cs="Arial"/>
          <w:b/>
          <w:bCs/>
          <w:sz w:val="24"/>
          <w:szCs w:val="24"/>
        </w:rPr>
      </w:pPr>
    </w:p>
    <w:p w:rsidR="001F0183" w:rsidRPr="00F47B29" w:rsidRDefault="001F0183" w:rsidP="005D4919">
      <w:pPr>
        <w:autoSpaceDE w:val="0"/>
        <w:autoSpaceDN w:val="0"/>
        <w:adjustRightInd w:val="0"/>
        <w:spacing w:line="276" w:lineRule="auto"/>
        <w:rPr>
          <w:rFonts w:cs="Arial"/>
          <w:b/>
          <w:bCs/>
          <w:sz w:val="24"/>
          <w:szCs w:val="24"/>
        </w:rPr>
      </w:pPr>
    </w:p>
    <w:p w:rsidR="00F47B29" w:rsidRPr="00F47B29" w:rsidRDefault="00F47B29" w:rsidP="005D4919">
      <w:pPr>
        <w:autoSpaceDE w:val="0"/>
        <w:autoSpaceDN w:val="0"/>
        <w:adjustRightInd w:val="0"/>
        <w:spacing w:line="276" w:lineRule="auto"/>
        <w:rPr>
          <w:rFonts w:cs="Arial"/>
          <w:b/>
          <w:bCs/>
          <w:sz w:val="24"/>
          <w:szCs w:val="24"/>
        </w:rPr>
      </w:pPr>
    </w:p>
    <w:p w:rsidR="00F52984" w:rsidRPr="00F47B29" w:rsidRDefault="00F47B29" w:rsidP="005D4919">
      <w:pPr>
        <w:autoSpaceDE w:val="0"/>
        <w:autoSpaceDN w:val="0"/>
        <w:adjustRightInd w:val="0"/>
        <w:spacing w:line="276" w:lineRule="auto"/>
        <w:rPr>
          <w:rFonts w:cs="Arial"/>
          <w:b/>
          <w:bCs/>
          <w:sz w:val="24"/>
          <w:szCs w:val="24"/>
        </w:rPr>
      </w:pPr>
      <w:r w:rsidRPr="00F47B29">
        <w:rPr>
          <w:rFonts w:cs="Arial"/>
          <w:b/>
          <w:bCs/>
          <w:sz w:val="24"/>
          <w:szCs w:val="24"/>
        </w:rPr>
        <w:t>7</w:t>
      </w:r>
      <w:r w:rsidR="00F52984" w:rsidRPr="00F47B29">
        <w:rPr>
          <w:rFonts w:cs="Arial"/>
          <w:b/>
          <w:bCs/>
          <w:sz w:val="24"/>
          <w:szCs w:val="24"/>
        </w:rPr>
        <w:t>.1 The cost of loadshedding</w:t>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 xml:space="preserve">A study by Nova Economics on behalf of Eskom estimates that 1% loadshedding (as percentage of electricity sales) is associated with a 0.4% decrease in GDP growth. </w:t>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The cost of an entire day of loadshedding to the economy is estimated as:</w:t>
      </w: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 Stage 1 (or loadshedding 1 000MW): R235.5 million</w:t>
      </w: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 Stage 2 (2 000MW): R471.3 million</w:t>
      </w: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 Stage 3 (3 000MW): R706.7 million</w:t>
      </w: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 Stage 4 (4 000MW): R942.4 million</w:t>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52984" w:rsidP="005D4919">
      <w:pPr>
        <w:autoSpaceDE w:val="0"/>
        <w:autoSpaceDN w:val="0"/>
        <w:adjustRightInd w:val="0"/>
        <w:spacing w:line="276" w:lineRule="auto"/>
        <w:rPr>
          <w:rFonts w:eastAsia="GillSansStd" w:cs="Arial"/>
          <w:sz w:val="24"/>
          <w:szCs w:val="24"/>
        </w:rPr>
      </w:pPr>
      <w:r w:rsidRPr="00F47B29">
        <w:rPr>
          <w:rFonts w:eastAsia="GillSansStd" w:cs="Arial"/>
          <w:sz w:val="24"/>
          <w:szCs w:val="24"/>
        </w:rPr>
        <w:t>Estimates indicate that the energy-intensive primary and secondary industries, such as agriculture, utilities and manufacturing, are the worst affected by loadshedding. By contrast, the more service-oriented industries are less significantly affected. The agricultural sector seems to be the most adversely affected, because of its heavy reliance on electricity for irrigation and refrigeration purposes. Furthermore, the manufacturing sector is most affected in absolute terms.</w:t>
      </w:r>
    </w:p>
    <w:p w:rsidR="00F52984" w:rsidRPr="00F47B29" w:rsidRDefault="00F52984" w:rsidP="005D4919">
      <w:pPr>
        <w:autoSpaceDE w:val="0"/>
        <w:autoSpaceDN w:val="0"/>
        <w:adjustRightInd w:val="0"/>
        <w:spacing w:line="276" w:lineRule="auto"/>
        <w:rPr>
          <w:rFonts w:eastAsia="GillSansStd" w:cs="Arial"/>
          <w:sz w:val="24"/>
          <w:szCs w:val="24"/>
        </w:rPr>
      </w:pPr>
    </w:p>
    <w:p w:rsidR="00F52984" w:rsidRPr="00F47B29" w:rsidRDefault="00F47B29" w:rsidP="005D4919">
      <w:pPr>
        <w:spacing w:line="276" w:lineRule="auto"/>
        <w:rPr>
          <w:rFonts w:cs="Arial"/>
          <w:b/>
          <w:sz w:val="24"/>
          <w:szCs w:val="24"/>
        </w:rPr>
      </w:pPr>
      <w:r w:rsidRPr="00F47B29">
        <w:rPr>
          <w:rFonts w:cs="Arial"/>
          <w:b/>
          <w:sz w:val="24"/>
          <w:szCs w:val="24"/>
        </w:rPr>
        <w:t>8</w:t>
      </w:r>
      <w:r w:rsidR="00F52984" w:rsidRPr="00F47B29">
        <w:rPr>
          <w:rFonts w:cs="Arial"/>
          <w:b/>
          <w:sz w:val="24"/>
          <w:szCs w:val="24"/>
        </w:rPr>
        <w:t>. Koeberg Nuclear Power Station</w:t>
      </w:r>
    </w:p>
    <w:p w:rsidR="00D13D26" w:rsidRPr="00F47B29" w:rsidRDefault="00D13D26" w:rsidP="005D4919">
      <w:pPr>
        <w:spacing w:line="276" w:lineRule="auto"/>
        <w:rPr>
          <w:rFonts w:cs="Arial"/>
          <w:b/>
          <w:sz w:val="24"/>
          <w:szCs w:val="24"/>
        </w:rPr>
      </w:pPr>
    </w:p>
    <w:p w:rsidR="00D13D26" w:rsidRPr="0010540E" w:rsidRDefault="00D13D26"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The long-term operation (LTO) project will extend the life of Koeberg Nuclear Power Station for an additional 20 years to 2045, in line with the IRP 2019 expectations for continued energy security beyond 2024. Compared to the cost of new build, the extension of Koeberg is economically viable and will secure 1 860MW for another 20 years. Extending the station's operating life is an investment into sustainable and less carbon-intensive electricity generation infrastructure.</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 xml:space="preserve">The LTO activities are progressing in accordance with the baseline schedule, except for the seismic hazard analysis, which has been delayed. An alternate approach is being developed to mitigate against the effect of the delays. The impact of the COVID-19 lockdown and the reduction in the budget for capital expenditure due to financial constraints had a negative impact on the progress of LTO activities. The risk is being addressed by optimising scope and engaging with the </w:t>
      </w:r>
      <w:r w:rsidR="00F32949">
        <w:rPr>
          <w:rFonts w:eastAsia="GillSansStd" w:cs="Arial"/>
          <w:sz w:val="24"/>
          <w:szCs w:val="24"/>
        </w:rPr>
        <w:t>National Nuclear Regulator (</w:t>
      </w:r>
      <w:r w:rsidRPr="0010540E">
        <w:rPr>
          <w:rFonts w:eastAsia="GillSansStd" w:cs="Arial"/>
          <w:sz w:val="24"/>
          <w:szCs w:val="24"/>
        </w:rPr>
        <w:t>NNR</w:t>
      </w:r>
      <w:r w:rsidR="00F32949">
        <w:rPr>
          <w:rFonts w:eastAsia="GillSansStd" w:cs="Arial"/>
          <w:sz w:val="24"/>
          <w:szCs w:val="24"/>
        </w:rPr>
        <w:t>)</w:t>
      </w:r>
      <w:r w:rsidRPr="0010540E">
        <w:rPr>
          <w:rFonts w:eastAsia="GillSansStd" w:cs="Arial"/>
          <w:sz w:val="24"/>
          <w:szCs w:val="24"/>
        </w:rPr>
        <w:t>. The extension will include the replacement of Koeberg's six steam generators, which have been in operation since 1984, during the next refuelling outage on each of the units. Once removed, the current steam generators will be stored on the Koeberg site, where they will be packaged and dismantled for final disposal at a national nuclear waste repository.</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The three steam generators for Unit 1 have been delivered to Koeberg. Two of the three steam generators for Unit 2 are nearing completion of manufacturing and factory testing, and are scheduled for delivery during the last quarter of 2021. The third steam generator has been delayed due to a factory mishandling issue and is undergoing analysis of its future usability. Following the readiness review during December 2020</w:t>
      </w: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for the Koeberg Unit 1 refuelling outage, it was concluded that the steam generator replacement (SGR) project posed a significant risk of a prolonged extension to the outage due to certain work packages and plans still being reviewed, and the licence for the original steam generator interim storage facility not being complete. The decision was made to delay installation of the steam generators to the next outage, as it had the least impact on the overall generation energy planning. The revised plan is to install the steam generators during the respective outages in 2022.</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F47B29" w:rsidRDefault="001F0183" w:rsidP="005D4919">
      <w:pPr>
        <w:spacing w:line="276" w:lineRule="auto"/>
        <w:rPr>
          <w:rFonts w:cs="Arial"/>
          <w:b/>
          <w:sz w:val="24"/>
          <w:szCs w:val="24"/>
        </w:rPr>
      </w:pPr>
      <w:r>
        <w:rPr>
          <w:rFonts w:cs="Arial"/>
          <w:b/>
          <w:sz w:val="24"/>
          <w:szCs w:val="24"/>
        </w:rPr>
        <w:t>9</w:t>
      </w:r>
      <w:r w:rsidR="00F52984" w:rsidRPr="00F47B29">
        <w:rPr>
          <w:rFonts w:cs="Arial"/>
          <w:b/>
          <w:sz w:val="24"/>
          <w:szCs w:val="24"/>
        </w:rPr>
        <w:t>. New Build Program</w:t>
      </w:r>
    </w:p>
    <w:p w:rsidR="00F52984" w:rsidRPr="00F47B29" w:rsidRDefault="00F52984" w:rsidP="005D4919">
      <w:pPr>
        <w:spacing w:line="276" w:lineRule="auto"/>
        <w:rPr>
          <w:rFonts w:cs="Arial"/>
          <w:b/>
          <w:sz w:val="24"/>
          <w:szCs w:val="24"/>
        </w:rPr>
      </w:pPr>
    </w:p>
    <w:p w:rsidR="00F52984" w:rsidRPr="0010540E" w:rsidRDefault="005D4919"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According to reports, i</w:t>
      </w:r>
      <w:r w:rsidR="00F52984" w:rsidRPr="0010540E">
        <w:rPr>
          <w:rFonts w:cs="Arial"/>
          <w:sz w:val="24"/>
          <w:szCs w:val="24"/>
          <w:lang w:val="en-US"/>
        </w:rPr>
        <w:t>t will cost Eskom around R33 billion more and take another four years to complete its two newest power stations — Kusile and Medupi. That was revealed in the utility’s latest update to Parliament’s Standing Committee on Public Accounts (Scopa). Construction of the power stations began in 2007, and both were initially supposed to be completed by 2014.</w:t>
      </w:r>
      <w:r w:rsidR="00D13D26" w:rsidRPr="0010540E">
        <w:rPr>
          <w:rFonts w:cs="Arial"/>
          <w:sz w:val="24"/>
          <w:szCs w:val="24"/>
          <w:lang w:val="en-US"/>
        </w:rPr>
        <w:t xml:space="preserve"> </w:t>
      </w:r>
      <w:r w:rsidR="00F52984" w:rsidRPr="0010540E">
        <w:rPr>
          <w:rFonts w:cs="Arial"/>
          <w:sz w:val="24"/>
          <w:szCs w:val="24"/>
          <w:lang w:val="en-US"/>
        </w:rPr>
        <w:t>But with Eskom’s latest timelines, only one of the power stations will be ready a decade later than originally planned.</w:t>
      </w:r>
      <w:r w:rsidR="00D13D26" w:rsidRPr="0010540E">
        <w:rPr>
          <w:rFonts w:cs="Arial"/>
          <w:sz w:val="24"/>
          <w:szCs w:val="24"/>
          <w:lang w:val="en-US"/>
        </w:rPr>
        <w:t xml:space="preserve"> </w:t>
      </w:r>
      <w:r w:rsidR="00F52984" w:rsidRPr="0010540E">
        <w:rPr>
          <w:rFonts w:cs="Arial"/>
          <w:sz w:val="24"/>
          <w:szCs w:val="24"/>
          <w:lang w:val="en-US"/>
        </w:rPr>
        <w:t>Eskom said it was planning to reach full project completion at Medupi, which is located near Lephalale in Limpopo, in November 2023.</w:t>
      </w:r>
    </w:p>
    <w:p w:rsidR="00F52984" w:rsidRPr="0010540E" w:rsidRDefault="00F52984"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 xml:space="preserve">However, the return to service of Medupi Unit 4, </w:t>
      </w:r>
      <w:hyperlink r:id="rId12" w:history="1">
        <w:r w:rsidRPr="00F47B29">
          <w:rPr>
            <w:rStyle w:val="Hyperlink"/>
            <w:rFonts w:cs="Arial"/>
            <w:bCs/>
            <w:color w:val="auto"/>
            <w:sz w:val="24"/>
            <w:szCs w:val="24"/>
            <w:u w:val="none"/>
            <w:lang w:val="en-US"/>
          </w:rPr>
          <w:t>which suffered an explosion</w:t>
        </w:r>
      </w:hyperlink>
      <w:r w:rsidRPr="0010540E">
        <w:rPr>
          <w:rFonts w:cs="Arial"/>
          <w:sz w:val="24"/>
          <w:szCs w:val="24"/>
          <w:lang w:val="en-US"/>
        </w:rPr>
        <w:t xml:space="preserve"> just over a week after it reached commercial operation, is now only slated for September 2024.That means Medupi will only have five operational generating units by its supposed project completion date.</w:t>
      </w:r>
      <w:r w:rsidR="00D13D26" w:rsidRPr="0010540E">
        <w:rPr>
          <w:rFonts w:cs="Arial"/>
          <w:sz w:val="24"/>
          <w:szCs w:val="24"/>
          <w:lang w:val="en-US"/>
        </w:rPr>
        <w:t xml:space="preserve"> </w:t>
      </w:r>
      <w:r w:rsidRPr="0010540E">
        <w:rPr>
          <w:rFonts w:cs="Arial"/>
          <w:sz w:val="24"/>
          <w:szCs w:val="24"/>
          <w:lang w:val="en-US"/>
        </w:rPr>
        <w:t>It estimated the remaining investment cost for this power plant would be R18.95 billion, adding to the R126.05 billion Eskom claims to have spent on the plant as of August 2022.</w:t>
      </w:r>
    </w:p>
    <w:p w:rsidR="00F52984" w:rsidRPr="0010540E" w:rsidRDefault="00F52984"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Should Eskom stick to this budget, the total cost will be R145 billion, R10 billion more than Eskom said it would cost in August 2021.</w:t>
      </w:r>
      <w:r w:rsidR="00D13D26" w:rsidRPr="0010540E">
        <w:rPr>
          <w:rFonts w:cs="Arial"/>
          <w:sz w:val="24"/>
          <w:szCs w:val="24"/>
          <w:lang w:val="en-US"/>
        </w:rPr>
        <w:t xml:space="preserve"> </w:t>
      </w:r>
      <w:r w:rsidRPr="0010540E">
        <w:rPr>
          <w:rFonts w:cs="Arial"/>
          <w:sz w:val="24"/>
          <w:szCs w:val="24"/>
          <w:lang w:val="en-US"/>
        </w:rPr>
        <w:t>That is R65 billion more than its original budget of R80 billion.</w:t>
      </w:r>
    </w:p>
    <w:p w:rsidR="00D13D26" w:rsidRPr="00F47B29" w:rsidRDefault="00D13D26" w:rsidP="005D4919">
      <w:pPr>
        <w:shd w:val="clear" w:color="auto" w:fill="FFFFFF"/>
        <w:spacing w:before="100" w:beforeAutospacing="1" w:after="100" w:afterAutospacing="1" w:line="276" w:lineRule="auto"/>
        <w:rPr>
          <w:rFonts w:eastAsia="Times New Roman" w:cs="Arial"/>
          <w:sz w:val="24"/>
          <w:szCs w:val="24"/>
          <w:lang w:val="en-US" w:eastAsia="en-ZA"/>
        </w:rPr>
      </w:pPr>
      <w:r w:rsidRPr="00F47B29">
        <w:rPr>
          <w:rFonts w:eastAsia="Times New Roman" w:cs="Arial"/>
          <w:sz w:val="24"/>
          <w:szCs w:val="24"/>
          <w:lang w:val="en-US" w:eastAsia="en-ZA"/>
        </w:rPr>
        <w:t>Kusile, near Emalahleni in Mpumalanga, has been even more expensive and is now only set for completion by May 2026, instead of 2025 as previously planned. That is barring any further delays. It currently has four units operational, the last of which reached commercial operation at the end of May 2022. The remaining two are only set to come online in December 2023 and May 2024, respectively. As of August 2022, Eskom had already spent R147.4 billion on this plant. It is set to invest another R14 billion in Kusile, bringing its total budgeted cost to R161.4 billion.</w:t>
      </w:r>
    </w:p>
    <w:p w:rsidR="00C20AE9" w:rsidRPr="0010540E" w:rsidRDefault="00D13D26"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Combined, Medupi and Kusile will cost Eskom around R146.4 billion more than initially budgeted. But the amounts Eskom have used in its presentation to Scopa exclude capitalised interest during construction and expenditure on flue gas desulphurisation technology.</w:t>
      </w:r>
      <w:r w:rsidR="00802EB4">
        <w:rPr>
          <w:rFonts w:cs="Arial"/>
          <w:sz w:val="24"/>
          <w:szCs w:val="24"/>
          <w:lang w:val="en-US"/>
        </w:rPr>
        <w:t xml:space="preserve"> </w:t>
      </w:r>
      <w:r w:rsidR="00C20AE9" w:rsidRPr="0010540E">
        <w:rPr>
          <w:rFonts w:cs="Arial"/>
          <w:sz w:val="24"/>
          <w:szCs w:val="24"/>
          <w:lang w:val="en-US"/>
        </w:rPr>
        <w:t>The big reason for the excessive costs is severely flawed designs that have required, and will require, major reworks of all the generating units at Kusile and Medupi.</w:t>
      </w:r>
    </w:p>
    <w:p w:rsidR="00C20AE9" w:rsidRPr="0010540E" w:rsidRDefault="00C20AE9"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These issues have resulted in both plants having much lower energy availability factors (EAF) than anticipated, meaning they have struggled to come anywhere near their nameplate capacities of 4,800MW each.</w:t>
      </w:r>
    </w:p>
    <w:p w:rsidR="00C20AE9" w:rsidRPr="0010540E" w:rsidRDefault="00C20AE9"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In an attempt to rectify this, Eskom had to embark on several costly refurbishment projects, including:</w:t>
      </w:r>
    </w:p>
    <w:p w:rsidR="00C20AE9" w:rsidRPr="0010540E" w:rsidRDefault="00C20AE9" w:rsidP="005D4919">
      <w:pPr>
        <w:numPr>
          <w:ilvl w:val="0"/>
          <w:numId w:val="47"/>
        </w:numPr>
        <w:shd w:val="clear" w:color="auto" w:fill="FFFFFF"/>
        <w:spacing w:before="100" w:beforeAutospacing="1" w:after="75" w:line="276" w:lineRule="auto"/>
        <w:rPr>
          <w:rFonts w:cs="Arial"/>
          <w:sz w:val="24"/>
          <w:szCs w:val="24"/>
          <w:lang w:val="en-US"/>
        </w:rPr>
      </w:pPr>
      <w:r w:rsidRPr="0010540E">
        <w:rPr>
          <w:rFonts w:cs="Arial"/>
          <w:sz w:val="24"/>
          <w:szCs w:val="24"/>
          <w:lang w:val="en-US"/>
        </w:rPr>
        <w:t>Eleven modifications to each mill for each unit</w:t>
      </w:r>
    </w:p>
    <w:p w:rsidR="00C20AE9" w:rsidRPr="0010540E" w:rsidRDefault="00C20AE9" w:rsidP="005D4919">
      <w:pPr>
        <w:numPr>
          <w:ilvl w:val="0"/>
          <w:numId w:val="47"/>
        </w:numPr>
        <w:shd w:val="clear" w:color="auto" w:fill="FFFFFF"/>
        <w:spacing w:before="100" w:beforeAutospacing="1" w:after="75" w:line="276" w:lineRule="auto"/>
        <w:rPr>
          <w:rFonts w:cs="Arial"/>
          <w:sz w:val="24"/>
          <w:szCs w:val="24"/>
          <w:lang w:val="en-US"/>
        </w:rPr>
      </w:pPr>
      <w:r w:rsidRPr="0010540E">
        <w:rPr>
          <w:rFonts w:cs="Arial"/>
          <w:sz w:val="24"/>
          <w:szCs w:val="24"/>
          <w:lang w:val="en-US"/>
        </w:rPr>
        <w:t>Redirecting the flue gas inlet to the bag filter, and equipment changes to the pulsing systems for the pulse jet fabric filter</w:t>
      </w:r>
    </w:p>
    <w:p w:rsidR="00C20AE9" w:rsidRPr="0010540E" w:rsidRDefault="00C20AE9" w:rsidP="005D4919">
      <w:pPr>
        <w:numPr>
          <w:ilvl w:val="0"/>
          <w:numId w:val="47"/>
        </w:numPr>
        <w:shd w:val="clear" w:color="auto" w:fill="FFFFFF"/>
        <w:spacing w:before="100" w:beforeAutospacing="1" w:after="75" w:line="276" w:lineRule="auto"/>
        <w:rPr>
          <w:rFonts w:cs="Arial"/>
          <w:sz w:val="24"/>
          <w:szCs w:val="24"/>
          <w:lang w:val="en-US"/>
        </w:rPr>
      </w:pPr>
      <w:r w:rsidRPr="0010540E">
        <w:rPr>
          <w:rFonts w:cs="Arial"/>
          <w:sz w:val="24"/>
          <w:szCs w:val="24"/>
          <w:lang w:val="en-US"/>
        </w:rPr>
        <w:t>Addition of internal erosion protection and modification to the pin rack driving the rotation of the gas-air heaters</w:t>
      </w:r>
    </w:p>
    <w:p w:rsidR="00C20AE9" w:rsidRPr="0010540E" w:rsidRDefault="00C20AE9" w:rsidP="005D4919">
      <w:pPr>
        <w:numPr>
          <w:ilvl w:val="0"/>
          <w:numId w:val="47"/>
        </w:numPr>
        <w:shd w:val="clear" w:color="auto" w:fill="FFFFFF"/>
        <w:spacing w:before="100" w:beforeAutospacing="1" w:after="75" w:line="276" w:lineRule="auto"/>
        <w:rPr>
          <w:rFonts w:cs="Arial"/>
          <w:sz w:val="24"/>
          <w:szCs w:val="24"/>
          <w:lang w:val="en-US"/>
        </w:rPr>
      </w:pPr>
      <w:r w:rsidRPr="0010540E">
        <w:rPr>
          <w:rFonts w:cs="Arial"/>
          <w:sz w:val="24"/>
          <w:szCs w:val="24"/>
          <w:lang w:val="en-US"/>
        </w:rPr>
        <w:t>Implementing erosion protection in the various hot air ducts.</w:t>
      </w:r>
    </w:p>
    <w:p w:rsidR="005D4919" w:rsidRPr="0010540E" w:rsidRDefault="00C20AE9" w:rsidP="005D4919">
      <w:pPr>
        <w:shd w:val="clear" w:color="auto" w:fill="FFFFFF"/>
        <w:spacing w:before="100" w:beforeAutospacing="1" w:after="100" w:afterAutospacing="1" w:line="276" w:lineRule="auto"/>
        <w:rPr>
          <w:rFonts w:cs="Arial"/>
          <w:sz w:val="24"/>
          <w:szCs w:val="24"/>
          <w:lang w:val="en-US"/>
        </w:rPr>
      </w:pPr>
      <w:r w:rsidRPr="0010540E">
        <w:rPr>
          <w:rFonts w:cs="Arial"/>
          <w:sz w:val="24"/>
          <w:szCs w:val="24"/>
          <w:lang w:val="en-US"/>
        </w:rPr>
        <w:t>The modifications have resulted in a significant performance improvement, at least at Medupi.</w:t>
      </w:r>
      <w:r w:rsidR="005D4919" w:rsidRPr="0010540E">
        <w:rPr>
          <w:rFonts w:cs="Arial"/>
          <w:sz w:val="24"/>
          <w:szCs w:val="24"/>
          <w:lang w:val="en-US"/>
        </w:rPr>
        <w:t xml:space="preserve"> </w:t>
      </w:r>
      <w:r w:rsidRPr="0010540E">
        <w:rPr>
          <w:rFonts w:cs="Arial"/>
          <w:sz w:val="24"/>
          <w:szCs w:val="24"/>
          <w:lang w:val="en-US"/>
        </w:rPr>
        <w:t>Its EAF increased from 46% in May 2020 to 73% by May 2022. Excluding the out-of-service Unit 4, the actual EAF would have been 82% by April 2022.</w:t>
      </w:r>
      <w:r w:rsidR="005D4919" w:rsidRPr="0010540E">
        <w:rPr>
          <w:rFonts w:cs="Arial"/>
          <w:sz w:val="24"/>
          <w:szCs w:val="24"/>
          <w:lang w:val="en-US"/>
        </w:rPr>
        <w:t xml:space="preserve"> </w:t>
      </w:r>
      <w:r w:rsidRPr="0010540E">
        <w:rPr>
          <w:rFonts w:cs="Arial"/>
          <w:sz w:val="24"/>
          <w:szCs w:val="24"/>
          <w:lang w:val="en-US"/>
        </w:rPr>
        <w:t>Ongoing work at Kusile is also expected to improve overall reliability and reduce the likelihood of trips.</w:t>
      </w:r>
      <w:r w:rsidR="005D4919" w:rsidRPr="0010540E">
        <w:rPr>
          <w:rFonts w:cs="Arial"/>
          <w:sz w:val="24"/>
          <w:szCs w:val="24"/>
          <w:lang w:val="en-US"/>
        </w:rPr>
        <w:t xml:space="preserve"> </w:t>
      </w:r>
      <w:r w:rsidRPr="0010540E">
        <w:rPr>
          <w:rFonts w:cs="Arial"/>
          <w:sz w:val="24"/>
          <w:szCs w:val="24"/>
          <w:lang w:val="en-US"/>
        </w:rPr>
        <w:t>So far, the modifications have resulted in Kusile Unit 1’s average load losses of 171MW in three months being reduced to 24MW in seven months.</w:t>
      </w:r>
    </w:p>
    <w:p w:rsidR="00F52984" w:rsidRPr="00F47B29" w:rsidRDefault="001F0183" w:rsidP="005D4919">
      <w:pPr>
        <w:spacing w:line="276" w:lineRule="auto"/>
        <w:rPr>
          <w:rFonts w:cs="Arial"/>
          <w:b/>
          <w:sz w:val="24"/>
          <w:szCs w:val="24"/>
        </w:rPr>
      </w:pPr>
      <w:r>
        <w:rPr>
          <w:rFonts w:cs="Arial"/>
          <w:b/>
          <w:sz w:val="24"/>
          <w:szCs w:val="24"/>
        </w:rPr>
        <w:t>10</w:t>
      </w:r>
      <w:r w:rsidR="00F52984" w:rsidRPr="00F47B29">
        <w:rPr>
          <w:rFonts w:cs="Arial"/>
          <w:b/>
          <w:sz w:val="24"/>
          <w:szCs w:val="24"/>
        </w:rPr>
        <w:t>. Just Energy Transition</w:t>
      </w:r>
    </w:p>
    <w:p w:rsidR="00D13D26" w:rsidRPr="0010540E" w:rsidRDefault="00D13D26"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Eskom’s current investment in renewable generating capacity is modest, with one wind facility, hydro stations and a number of small solar PV projects. Eskom aim to drive the Just Energy Transition to introduce more renewable capacity, to reach its long-term objective of attaining net zero emissions by 2050, with an increase in sustainable jobs. Eskom submitted a MES exemption application in September 2020, which aimed to balance environmental impact and financial affordability. However, it was withdrawn based on high-level discussions with DPE and DFFE. Eskom is preparing a comprehensive Just Energy Transition and emission reduction alternative approach to present to DFFE. Leading the Just Energy Transition by using generating plant approaching the end of life, through repurposing and repowering as alternatives to full decommissioning of power station sites. Thereafter, JET will be used as the key enabler to set the course for a Generation of the future.</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The Just Energy Transition (JET) Office is responsible for identifying and assessing JET-related risks and opportunities, controls and treatment plans. Progress is reported directly to the GCE and the JET Steering Committee on a monthly basis. These risks and opportunities are directly linked to Eskom's climate change imperatives. South Africa is a proud signatory to the Paris Agreement on Climate Change and is fully committed to meeting its local and global obligations in terms of the treaty, a commitment which Eskom fully supports.</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In November 2021, the nations of the world met at the COP 26 summit in the United Kingdom to assess the progress on the fight against climate change and to develop strategies for the future. This was an opportunity for South Africa to highlight its contributions, including the initiatives aimed at a Just Energy Transition. As Eskom moves away from its reliance on coal, it will shift its focus to the implementation of the Just Energy Transition. This also considers the impact of decisions on workers in the coal industry and communities invested in the coal value chain and associated economies. Eskom, by virtue of the size of its operations, plays a central role in facilitating such a transition, while also ensuring equitable access to affordable electricity for all South Africans.</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Eskom’s long-term strategy positions it as an enabler of the Just Energy Transition, or JET, as well as a key role player in executing the latest Integrated Resource Plan. Eskom was the first business in South Africa to establish a JET Office dedicated to this strategic imperative, evidence of its commitment to decarbonising in a socially and economically just manner. JET will act as a pivot point to enable the strategy to deliver growth. Eskom will repower and repurpose power stations, and build on the success of our Renewable Business Unit. Eskom is engaging with key stakeholders to negotiate a Just Energy Transition Transaction to fundamentally reorganise our balance sheet based on a green commitment. Such a transaction is expected to facilitate the refinancing of existing facilities on a concessional basis for a longer period, providing a level of relief its debt service requirements and cost of funding.</w:t>
      </w:r>
    </w:p>
    <w:p w:rsidR="00F52984" w:rsidRPr="0010540E" w:rsidRDefault="00F52984" w:rsidP="005D4919">
      <w:pPr>
        <w:autoSpaceDE w:val="0"/>
        <w:autoSpaceDN w:val="0"/>
        <w:adjustRightInd w:val="0"/>
        <w:spacing w:line="276" w:lineRule="auto"/>
        <w:rPr>
          <w:rFonts w:eastAsia="GillSansStd" w:cs="Arial"/>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Eskom will apply repowering and repurposing of power stations, and build on the success of our Renewable Business Unit as catalysts for the Just Energy Transition, focusing on industrialisation, job creation and the continued socio-economic development of communities and settlements established around our power stations. The initiatives that are beginning to emerge from the ongoing strategy review will be pursued over the short, medium and long term. This will ensure that timely and appropriate strategic decisions are made to catalyse opportunities that will improve our sustainability and resilience, and also benefit the South African electricity industry. Consequently, our turnaround plan remains the key enabler that must be successfully delivered so that</w:t>
      </w:r>
      <w:r w:rsidR="00F32949">
        <w:rPr>
          <w:rFonts w:eastAsia="GillSansStd" w:cs="Arial"/>
          <w:sz w:val="24"/>
          <w:szCs w:val="24"/>
        </w:rPr>
        <w:t xml:space="preserve"> </w:t>
      </w:r>
      <w:r w:rsidRPr="0010540E">
        <w:rPr>
          <w:rFonts w:eastAsia="GillSansStd" w:cs="Arial"/>
          <w:sz w:val="24"/>
          <w:szCs w:val="24"/>
        </w:rPr>
        <w:t>we can pursue a trajectory towards a sustainable, low carbon future. However, unless the tariff methodology is properly applied, our ability to execute these strategies</w:t>
      </w:r>
    </w:p>
    <w:p w:rsidR="00F52984" w:rsidRPr="0010540E" w:rsidRDefault="00F52984" w:rsidP="005D4919">
      <w:pPr>
        <w:spacing w:line="276" w:lineRule="auto"/>
        <w:rPr>
          <w:rFonts w:eastAsia="GillSansStd" w:cs="Arial"/>
          <w:sz w:val="24"/>
          <w:szCs w:val="24"/>
        </w:rPr>
      </w:pPr>
      <w:r w:rsidRPr="0010540E">
        <w:rPr>
          <w:rFonts w:eastAsia="GillSansStd" w:cs="Arial"/>
          <w:sz w:val="24"/>
          <w:szCs w:val="24"/>
        </w:rPr>
        <w:t>will be compromised.</w:t>
      </w:r>
    </w:p>
    <w:p w:rsidR="00F52984" w:rsidRPr="0010540E" w:rsidRDefault="00F52984" w:rsidP="005D4919">
      <w:pPr>
        <w:spacing w:line="276" w:lineRule="auto"/>
        <w:rPr>
          <w:rFonts w:eastAsia="GillSansStd" w:cs="Arial"/>
          <w:sz w:val="24"/>
          <w:szCs w:val="24"/>
        </w:rPr>
      </w:pPr>
    </w:p>
    <w:p w:rsidR="00F52984" w:rsidRPr="0010540E" w:rsidRDefault="001F0183" w:rsidP="005D4919">
      <w:pPr>
        <w:autoSpaceDE w:val="0"/>
        <w:autoSpaceDN w:val="0"/>
        <w:adjustRightInd w:val="0"/>
        <w:spacing w:line="276" w:lineRule="auto"/>
        <w:rPr>
          <w:rFonts w:cs="Arial"/>
          <w:b/>
          <w:bCs/>
          <w:sz w:val="24"/>
          <w:szCs w:val="24"/>
        </w:rPr>
      </w:pPr>
      <w:r>
        <w:rPr>
          <w:rFonts w:cs="Arial"/>
          <w:b/>
          <w:bCs/>
          <w:sz w:val="24"/>
          <w:szCs w:val="24"/>
        </w:rPr>
        <w:t xml:space="preserve">11. </w:t>
      </w:r>
      <w:r w:rsidR="00F52984" w:rsidRPr="0010540E">
        <w:rPr>
          <w:rFonts w:cs="Arial"/>
          <w:b/>
          <w:bCs/>
          <w:sz w:val="24"/>
          <w:szCs w:val="24"/>
        </w:rPr>
        <w:t>Long-term strategy</w:t>
      </w:r>
    </w:p>
    <w:p w:rsidR="00F52984" w:rsidRPr="0010540E" w:rsidRDefault="00F52984" w:rsidP="005D4919">
      <w:pPr>
        <w:autoSpaceDE w:val="0"/>
        <w:autoSpaceDN w:val="0"/>
        <w:adjustRightInd w:val="0"/>
        <w:spacing w:line="276" w:lineRule="auto"/>
        <w:rPr>
          <w:rFonts w:cs="Arial"/>
          <w:b/>
          <w:bCs/>
          <w:sz w:val="24"/>
          <w:szCs w:val="24"/>
        </w:rPr>
      </w:pPr>
    </w:p>
    <w:p w:rsidR="00F52984" w:rsidRPr="0010540E" w:rsidRDefault="00F52984" w:rsidP="005D4919">
      <w:pPr>
        <w:autoSpaceDE w:val="0"/>
        <w:autoSpaceDN w:val="0"/>
        <w:adjustRightInd w:val="0"/>
        <w:spacing w:line="276" w:lineRule="auto"/>
        <w:rPr>
          <w:rFonts w:eastAsia="GillSansStd" w:cs="Arial"/>
          <w:sz w:val="24"/>
          <w:szCs w:val="24"/>
        </w:rPr>
      </w:pPr>
      <w:r w:rsidRPr="0010540E">
        <w:rPr>
          <w:rFonts w:eastAsia="GillSansStd" w:cs="Arial"/>
          <w:sz w:val="24"/>
          <w:szCs w:val="24"/>
        </w:rPr>
        <w:t>The long-term strategy positions Eskom as an enabler of the Just Energy Transition and a key role player in executing the IRP. Eskom intend to remain a critical player in the electricity sector and make a vital contribution to economic growth, job creation, socio-economic development and the creation of a stable, equitable and cohesive South Africa.</w:t>
      </w:r>
      <w:r w:rsidRPr="0010540E">
        <w:rPr>
          <w:rFonts w:cs="Arial"/>
          <w:b/>
          <w:bCs/>
          <w:sz w:val="24"/>
          <w:szCs w:val="24"/>
        </w:rPr>
        <w:t xml:space="preserve"> </w:t>
      </w:r>
      <w:r w:rsidRPr="0010540E">
        <w:rPr>
          <w:rFonts w:eastAsia="GillSansStd" w:cs="Arial"/>
          <w:sz w:val="24"/>
          <w:szCs w:val="24"/>
        </w:rPr>
        <w:t>JET is about leveraging the opportunities presented by the transition towards a cleaner and greener energy future, while enabling the creation of new job opportunities for those displaced by the replacement of coal by these cleaner technologies. Therefore, it means a transition towards a low-carbon, climate-resilient economy and society in a manner that does not impede socio-economic development, but results in an increase</w:t>
      </w:r>
      <w:r w:rsidR="00F32949">
        <w:rPr>
          <w:rFonts w:eastAsia="GillSansStd" w:cs="Arial"/>
          <w:sz w:val="24"/>
          <w:szCs w:val="24"/>
        </w:rPr>
        <w:t xml:space="preserve"> </w:t>
      </w:r>
      <w:r w:rsidRPr="0010540E">
        <w:rPr>
          <w:rFonts w:eastAsia="GillSansStd" w:cs="Arial"/>
          <w:sz w:val="24"/>
          <w:szCs w:val="24"/>
        </w:rPr>
        <w:t>in sustainable jobs. It is not a sudden shift in economic activity, but occurs in a phased manner over time. By following a JET pathway, it will be possible to simultaneously spur economic growth, create sustainable jobs and put emissions into structural decline, as opposed to an electricity supply that is seen to compromise economic growth. Eskom is a key enabler of South Africa's transition towards an economically inclusive and lower carbon future. The JET vision is net zero emissions by 2050, with an increase in sustainable jobs. The JET Office has been established to drive this vision. JET is a key lever to unlock the potential for local manufacturing and industrialisation, which includes meeting the demand for electric vehicles. The JET social impact will be addressed by retraining staff in the required skills.</w:t>
      </w:r>
    </w:p>
    <w:p w:rsidR="00F52984" w:rsidRPr="0010540E" w:rsidRDefault="00F52984" w:rsidP="005D4919">
      <w:pPr>
        <w:spacing w:line="276" w:lineRule="auto"/>
        <w:rPr>
          <w:rFonts w:cs="Arial"/>
          <w:b/>
          <w:sz w:val="24"/>
          <w:szCs w:val="24"/>
        </w:rPr>
      </w:pPr>
    </w:p>
    <w:p w:rsidR="00F52984" w:rsidRPr="0010540E" w:rsidRDefault="001F0183" w:rsidP="005D4919">
      <w:pPr>
        <w:spacing w:line="276" w:lineRule="auto"/>
        <w:rPr>
          <w:rFonts w:cs="Arial"/>
          <w:b/>
          <w:sz w:val="24"/>
          <w:szCs w:val="24"/>
        </w:rPr>
      </w:pPr>
      <w:r>
        <w:rPr>
          <w:rFonts w:cs="Arial"/>
          <w:b/>
          <w:sz w:val="24"/>
          <w:szCs w:val="24"/>
        </w:rPr>
        <w:t xml:space="preserve">12. </w:t>
      </w:r>
      <w:r w:rsidR="00F52984" w:rsidRPr="0010540E">
        <w:rPr>
          <w:rFonts w:cs="Arial"/>
          <w:b/>
          <w:sz w:val="24"/>
          <w:szCs w:val="24"/>
        </w:rPr>
        <w:t>Issues for consideration by the Committee.</w:t>
      </w:r>
    </w:p>
    <w:p w:rsidR="00F52984" w:rsidRPr="00F47B29" w:rsidRDefault="00F52984" w:rsidP="005D4919">
      <w:pPr>
        <w:spacing w:line="276" w:lineRule="auto"/>
        <w:rPr>
          <w:rFonts w:cs="Arial"/>
          <w:sz w:val="24"/>
          <w:szCs w:val="24"/>
        </w:rPr>
      </w:pPr>
    </w:p>
    <w:p w:rsidR="002E7889" w:rsidRDefault="002E7889" w:rsidP="005D4919">
      <w:pPr>
        <w:pStyle w:val="ListParagraph"/>
        <w:numPr>
          <w:ilvl w:val="0"/>
          <w:numId w:val="46"/>
        </w:numPr>
        <w:spacing w:line="276" w:lineRule="auto"/>
        <w:rPr>
          <w:rFonts w:cs="Arial"/>
          <w:sz w:val="24"/>
          <w:szCs w:val="24"/>
        </w:rPr>
      </w:pPr>
      <w:r>
        <w:rPr>
          <w:rFonts w:cs="Arial"/>
          <w:sz w:val="24"/>
          <w:szCs w:val="24"/>
        </w:rPr>
        <w:t xml:space="preserve">How far is Eskom in the implementation of the </w:t>
      </w:r>
      <w:r w:rsidRPr="006069DC">
        <w:rPr>
          <w:rFonts w:cs="Arial"/>
          <w:sz w:val="24"/>
          <w:szCs w:val="24"/>
        </w:rPr>
        <w:t>Department of Public Enterprises (DPE) in the Roadmap for Eskom in a Reformed Electricity Supply Industry (2019).</w:t>
      </w:r>
    </w:p>
    <w:p w:rsidR="00DB6342" w:rsidRDefault="00DB6342" w:rsidP="005D4919">
      <w:pPr>
        <w:pStyle w:val="ListParagraph"/>
        <w:numPr>
          <w:ilvl w:val="0"/>
          <w:numId w:val="46"/>
        </w:numPr>
        <w:spacing w:line="276" w:lineRule="auto"/>
        <w:rPr>
          <w:rFonts w:cs="Arial"/>
          <w:sz w:val="24"/>
          <w:szCs w:val="24"/>
        </w:rPr>
      </w:pPr>
      <w:r>
        <w:rPr>
          <w:rFonts w:cs="Arial"/>
          <w:sz w:val="24"/>
          <w:szCs w:val="24"/>
        </w:rPr>
        <w:t>Are we likely to see changes in the electricity industry or the role of Eskom’s, mandate resulting from the Electricity Regulation Amendment Bill?</w:t>
      </w:r>
    </w:p>
    <w:p w:rsidR="00DB6342" w:rsidRDefault="00DB6342" w:rsidP="005D4919">
      <w:pPr>
        <w:pStyle w:val="ListParagraph"/>
        <w:numPr>
          <w:ilvl w:val="0"/>
          <w:numId w:val="46"/>
        </w:numPr>
        <w:spacing w:line="276" w:lineRule="auto"/>
        <w:rPr>
          <w:rFonts w:cs="Arial"/>
          <w:sz w:val="24"/>
          <w:szCs w:val="24"/>
        </w:rPr>
      </w:pPr>
      <w:r>
        <w:rPr>
          <w:rFonts w:cs="Arial"/>
          <w:sz w:val="24"/>
          <w:szCs w:val="24"/>
        </w:rPr>
        <w:t>The Committee notes positive feedback from the rating’s agency on Eskom resulting from the announcement made by the Finance Minister. How is Eskom likely to distribute its allocations after receiving the announcement to improve on it operational and financial results?</w:t>
      </w:r>
    </w:p>
    <w:p w:rsidR="00DB6342" w:rsidRDefault="00DB6342" w:rsidP="005D4919">
      <w:pPr>
        <w:pStyle w:val="ListParagraph"/>
        <w:numPr>
          <w:ilvl w:val="0"/>
          <w:numId w:val="46"/>
        </w:numPr>
        <w:spacing w:line="276" w:lineRule="auto"/>
        <w:rPr>
          <w:rFonts w:cs="Arial"/>
          <w:sz w:val="24"/>
          <w:szCs w:val="24"/>
        </w:rPr>
      </w:pPr>
      <w:r>
        <w:rPr>
          <w:rFonts w:cs="Arial"/>
          <w:sz w:val="24"/>
          <w:szCs w:val="24"/>
        </w:rPr>
        <w:t xml:space="preserve">How is Eskom resolving the issues relating to </w:t>
      </w:r>
      <w:r w:rsidR="00F32949">
        <w:rPr>
          <w:rFonts w:cs="Arial"/>
          <w:sz w:val="24"/>
          <w:szCs w:val="24"/>
        </w:rPr>
        <w:t>municipal and</w:t>
      </w:r>
      <w:r>
        <w:rPr>
          <w:rFonts w:cs="Arial"/>
          <w:sz w:val="24"/>
          <w:szCs w:val="24"/>
        </w:rPr>
        <w:t xml:space="preserve"> residential arrear </w:t>
      </w:r>
      <w:r w:rsidR="00F32949">
        <w:rPr>
          <w:rFonts w:cs="Arial"/>
          <w:sz w:val="24"/>
          <w:szCs w:val="24"/>
        </w:rPr>
        <w:t>debt?</w:t>
      </w:r>
    </w:p>
    <w:p w:rsidR="00F52984" w:rsidRDefault="00F52984" w:rsidP="005D4919">
      <w:pPr>
        <w:pStyle w:val="ListParagraph"/>
        <w:numPr>
          <w:ilvl w:val="0"/>
          <w:numId w:val="46"/>
        </w:numPr>
        <w:spacing w:line="276" w:lineRule="auto"/>
        <w:rPr>
          <w:rFonts w:cs="Arial"/>
          <w:sz w:val="24"/>
          <w:szCs w:val="24"/>
        </w:rPr>
      </w:pPr>
      <w:r w:rsidRPr="00F47B29">
        <w:rPr>
          <w:rFonts w:cs="Arial"/>
          <w:sz w:val="24"/>
          <w:szCs w:val="24"/>
        </w:rPr>
        <w:t>What is the current costs of IPP OCGTs in powering the system?</w:t>
      </w:r>
    </w:p>
    <w:p w:rsidR="00F32949" w:rsidRDefault="00F32949" w:rsidP="005D4919">
      <w:pPr>
        <w:pStyle w:val="ListParagraph"/>
        <w:numPr>
          <w:ilvl w:val="0"/>
          <w:numId w:val="46"/>
        </w:numPr>
        <w:spacing w:line="276" w:lineRule="auto"/>
        <w:rPr>
          <w:rFonts w:cs="Arial"/>
          <w:sz w:val="24"/>
          <w:szCs w:val="24"/>
        </w:rPr>
      </w:pPr>
      <w:r>
        <w:rPr>
          <w:rFonts w:cs="Arial"/>
          <w:sz w:val="24"/>
          <w:szCs w:val="24"/>
        </w:rPr>
        <w:t>What’s the recent cost of loadshedding to the economy and what are the mitigating mechanism to contain such risks?</w:t>
      </w:r>
    </w:p>
    <w:p w:rsidR="00F32949" w:rsidRDefault="00F91633" w:rsidP="005D4919">
      <w:pPr>
        <w:pStyle w:val="ListParagraph"/>
        <w:numPr>
          <w:ilvl w:val="0"/>
          <w:numId w:val="46"/>
        </w:numPr>
        <w:spacing w:line="276" w:lineRule="auto"/>
        <w:rPr>
          <w:rFonts w:cs="Arial"/>
          <w:sz w:val="24"/>
          <w:szCs w:val="24"/>
        </w:rPr>
      </w:pPr>
      <w:r>
        <w:rPr>
          <w:rFonts w:cs="Arial"/>
          <w:sz w:val="24"/>
          <w:szCs w:val="24"/>
        </w:rPr>
        <w:t>Eskom should explain to the Committee what is causing delays in the SGR project?</w:t>
      </w:r>
    </w:p>
    <w:p w:rsidR="00F91633" w:rsidRDefault="00F91633" w:rsidP="005D4919">
      <w:pPr>
        <w:pStyle w:val="ListParagraph"/>
        <w:numPr>
          <w:ilvl w:val="0"/>
          <w:numId w:val="46"/>
        </w:numPr>
        <w:spacing w:line="276" w:lineRule="auto"/>
        <w:rPr>
          <w:rFonts w:cs="Arial"/>
          <w:sz w:val="24"/>
          <w:szCs w:val="24"/>
        </w:rPr>
      </w:pPr>
      <w:r>
        <w:rPr>
          <w:rFonts w:cs="Arial"/>
          <w:sz w:val="24"/>
          <w:szCs w:val="24"/>
        </w:rPr>
        <w:t>Are the delays in the SGR not having a negative impact on the long-term operation (LTO) project?</w:t>
      </w:r>
    </w:p>
    <w:p w:rsidR="00F91633" w:rsidRDefault="00F91633" w:rsidP="005D4919">
      <w:pPr>
        <w:pStyle w:val="ListParagraph"/>
        <w:numPr>
          <w:ilvl w:val="0"/>
          <w:numId w:val="46"/>
        </w:numPr>
        <w:spacing w:line="276" w:lineRule="auto"/>
        <w:rPr>
          <w:rFonts w:cs="Arial"/>
          <w:sz w:val="24"/>
          <w:szCs w:val="24"/>
        </w:rPr>
      </w:pPr>
      <w:r>
        <w:rPr>
          <w:rFonts w:cs="Arial"/>
          <w:sz w:val="24"/>
          <w:szCs w:val="24"/>
        </w:rPr>
        <w:t>Eskom should explain to the Committee key challenges at the Medupi and Kusile. Eskom should also outline the total budget for the projects and what are causes of budget overruns.</w:t>
      </w:r>
    </w:p>
    <w:p w:rsidR="00F91633" w:rsidRDefault="00F91633" w:rsidP="005D4919">
      <w:pPr>
        <w:pStyle w:val="ListParagraph"/>
        <w:numPr>
          <w:ilvl w:val="0"/>
          <w:numId w:val="46"/>
        </w:numPr>
        <w:spacing w:line="276" w:lineRule="auto"/>
        <w:rPr>
          <w:rFonts w:cs="Arial"/>
          <w:sz w:val="24"/>
          <w:szCs w:val="24"/>
        </w:rPr>
      </w:pPr>
      <w:r>
        <w:rPr>
          <w:rFonts w:cs="Arial"/>
          <w:sz w:val="24"/>
          <w:szCs w:val="24"/>
        </w:rPr>
        <w:t>Eskom should explain to the Committee what are they intentions of the Just Energy Transition. How many coal power stations have been earmarked for repurposing and what will it mean to the grid?</w:t>
      </w:r>
    </w:p>
    <w:p w:rsidR="001F0183" w:rsidRPr="00F47B29" w:rsidRDefault="001F0183" w:rsidP="005D4919">
      <w:pPr>
        <w:pStyle w:val="ListParagraph"/>
        <w:numPr>
          <w:ilvl w:val="0"/>
          <w:numId w:val="46"/>
        </w:numPr>
        <w:spacing w:line="276" w:lineRule="auto"/>
        <w:rPr>
          <w:rFonts w:cs="Arial"/>
          <w:sz w:val="24"/>
          <w:szCs w:val="24"/>
        </w:rPr>
      </w:pPr>
      <w:r>
        <w:rPr>
          <w:rFonts w:cs="Arial"/>
          <w:sz w:val="24"/>
          <w:szCs w:val="24"/>
        </w:rPr>
        <w:t>How much is Eskom spending on different power sources?</w:t>
      </w:r>
    </w:p>
    <w:p w:rsidR="00CD7492" w:rsidRPr="00F47B29" w:rsidRDefault="00CD7492" w:rsidP="005D4919">
      <w:pPr>
        <w:spacing w:line="276" w:lineRule="auto"/>
        <w:rPr>
          <w:rFonts w:eastAsia="Times New Roman" w:cs="Arial"/>
          <w:sz w:val="24"/>
          <w:szCs w:val="24"/>
        </w:rPr>
      </w:pPr>
    </w:p>
    <w:sectPr w:rsidR="00CD7492" w:rsidRPr="00F47B29" w:rsidSect="00034DBC">
      <w:headerReference w:type="default" r:id="rId13"/>
      <w:footerReference w:type="default" r:id="rId14"/>
      <w:headerReference w:type="first" r:id="rId15"/>
      <w:footerReference w:type="first" r:id="rId16"/>
      <w:pgSz w:w="11906" w:h="16838"/>
      <w:pgMar w:top="1998"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Rodney Mnisi" w:date="2022-11-01T15:56:00Z" w:initials="RM">
    <w:p w:rsidR="005D4919" w:rsidRDefault="005D491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1D71B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92D" w:rsidRDefault="006E092D" w:rsidP="00BE1544">
      <w:pPr>
        <w:spacing w:line="240" w:lineRule="auto"/>
      </w:pPr>
      <w:r>
        <w:separator/>
      </w:r>
    </w:p>
  </w:endnote>
  <w:endnote w:type="continuationSeparator" w:id="0">
    <w:p w:rsidR="006E092D" w:rsidRDefault="006E092D" w:rsidP="00BE154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haris SIL">
    <w:altName w:val="Charis SIL"/>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GillSansStd">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932532"/>
      <w:docPartObj>
        <w:docPartGallery w:val="Page Numbers (Bottom of Page)"/>
        <w:docPartUnique/>
      </w:docPartObj>
    </w:sdtPr>
    <w:sdtContent>
      <w:sdt>
        <w:sdtPr>
          <w:id w:val="570545831"/>
          <w:docPartObj>
            <w:docPartGallery w:val="Page Numbers (Top of Page)"/>
            <w:docPartUnique/>
          </w:docPartObj>
        </w:sdtPr>
        <w:sdtContent>
          <w:p w:rsidR="001B0930" w:rsidRDefault="007164B2" w:rsidP="00BE1544">
            <w:pPr>
              <w:pStyle w:val="Footer"/>
              <w:rPr>
                <w:rFonts w:cs="Arial"/>
                <w:sz w:val="16"/>
                <w:szCs w:val="16"/>
              </w:rPr>
            </w:pPr>
            <w:r w:rsidRPr="007164B2">
              <w:rPr>
                <w:rFonts w:cs="Arial"/>
                <w:b/>
                <w:noProof/>
                <w:sz w:val="16"/>
                <w:szCs w:val="16"/>
                <w:lang w:val="en-ZA" w:eastAsia="en-ZA"/>
              </w:rPr>
              <w:pict>
                <v:line id="Straight Connector 12" o:spid="_x0000_s4098" style="position:absolute;left:0;text-align:left;z-index:251663360;visibility:visible;mso-position-horizontal-relative:margin;mso-position-vertical-relative:page;mso-width-relative:margin;mso-height-relative:margin" from="0,790.5pt" to="447.0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" strokecolor="#70ad47 [3209]" strokeweight=".5pt">
                  <v:stroke joinstyle="miter"/>
                  <w10:wrap anchorx="margin" anchory="page"/>
                </v:line>
              </w:pict>
            </w:r>
            <w:r w:rsidR="003E1969">
              <w:rPr>
                <w:rFonts w:cs="Arial"/>
                <w:b/>
                <w:sz w:val="16"/>
                <w:szCs w:val="16"/>
              </w:rPr>
              <w:t>Committee Section</w:t>
            </w:r>
            <w:r w:rsidR="0095530A" w:rsidRPr="00BE1544">
              <w:rPr>
                <w:rFonts w:cs="Arial"/>
                <w:b/>
                <w:sz w:val="16"/>
                <w:szCs w:val="16"/>
              </w:rPr>
              <w:t xml:space="preserve"> |</w:t>
            </w:r>
            <w:r w:rsidR="008756CC">
              <w:rPr>
                <w:rFonts w:cs="Arial"/>
                <w:sz w:val="16"/>
                <w:szCs w:val="16"/>
              </w:rPr>
              <w:t xml:space="preserve"> </w:t>
            </w:r>
            <w:r w:rsidR="001B0930">
              <w:rPr>
                <w:rFonts w:cs="Arial"/>
                <w:sz w:val="16"/>
                <w:szCs w:val="16"/>
              </w:rPr>
              <w:t xml:space="preserve">Technical Notes on Engagement with Eskom on the Energy Crisis </w:t>
            </w:r>
            <w:r w:rsidR="001B0930" w:rsidRPr="00BE1544">
              <w:rPr>
                <w:rFonts w:cs="Arial"/>
                <w:sz w:val="16"/>
                <w:szCs w:val="16"/>
              </w:rPr>
              <w:t xml:space="preserve">  </w:t>
            </w:r>
          </w:p>
          <w:p w:rsidR="0095530A" w:rsidRDefault="001B0930" w:rsidP="00BE1544">
            <w:pPr>
              <w:pStyle w:val="Footer"/>
            </w:pPr>
            <w:r w:rsidRPr="00BE1544">
              <w:rPr>
                <w:rFonts w:cs="Arial"/>
                <w:sz w:val="16"/>
                <w:szCs w:val="16"/>
              </w:rPr>
              <w:t xml:space="preserve">                                                                           </w:t>
            </w:r>
            <w:r>
              <w:rPr>
                <w:rFonts w:cs="Arial"/>
                <w:sz w:val="16"/>
                <w:szCs w:val="16"/>
              </w:rPr>
              <w:t xml:space="preserve">    </w:t>
            </w:r>
            <w:r w:rsidRPr="00BE1544">
              <w:rPr>
                <w:rFonts w:cs="Arial"/>
                <w:sz w:val="16"/>
                <w:szCs w:val="16"/>
              </w:rPr>
              <w:t xml:space="preserve"> </w:t>
            </w:r>
            <w:r w:rsidR="002610E0">
              <w:rPr>
                <w:rFonts w:cs="Arial"/>
                <w:sz w:val="16"/>
                <w:szCs w:val="16"/>
              </w:rPr>
              <w:t xml:space="preserve">                                                                                                        </w:t>
            </w:r>
            <w:r w:rsidR="0095530A" w:rsidRPr="00BE1544">
              <w:rPr>
                <w:rFonts w:cs="Arial"/>
                <w:sz w:val="16"/>
                <w:szCs w:val="16"/>
              </w:rPr>
              <w:t xml:space="preserve">Page </w:t>
            </w:r>
            <w:r w:rsidR="007164B2" w:rsidRPr="00BE1544">
              <w:rPr>
                <w:rFonts w:cs="Arial"/>
                <w:bCs/>
                <w:sz w:val="16"/>
                <w:szCs w:val="16"/>
              </w:rPr>
              <w:fldChar w:fldCharType="begin"/>
            </w:r>
            <w:r w:rsidR="0095530A" w:rsidRPr="00BE1544">
              <w:rPr>
                <w:rFonts w:cs="Arial"/>
                <w:bCs/>
                <w:sz w:val="16"/>
                <w:szCs w:val="16"/>
              </w:rPr>
              <w:instrText xml:space="preserve"> PAGE </w:instrText>
            </w:r>
            <w:r w:rsidR="007164B2" w:rsidRPr="00BE1544">
              <w:rPr>
                <w:rFonts w:cs="Arial"/>
                <w:bCs/>
                <w:sz w:val="16"/>
                <w:szCs w:val="16"/>
              </w:rPr>
              <w:fldChar w:fldCharType="separate"/>
            </w:r>
            <w:r w:rsidR="002F404C">
              <w:rPr>
                <w:rFonts w:cs="Arial"/>
                <w:bCs/>
                <w:noProof/>
                <w:sz w:val="16"/>
                <w:szCs w:val="16"/>
              </w:rPr>
              <w:t>11</w:t>
            </w:r>
            <w:r w:rsidR="007164B2" w:rsidRPr="00BE1544">
              <w:rPr>
                <w:rFonts w:cs="Arial"/>
                <w:bCs/>
                <w:sz w:val="16"/>
                <w:szCs w:val="16"/>
              </w:rPr>
              <w:fldChar w:fldCharType="end"/>
            </w:r>
            <w:r w:rsidR="0095530A" w:rsidRPr="00BE1544">
              <w:rPr>
                <w:rFonts w:cs="Arial"/>
                <w:sz w:val="16"/>
                <w:szCs w:val="16"/>
              </w:rPr>
              <w:t xml:space="preserve"> of </w:t>
            </w:r>
            <w:r w:rsidR="007164B2" w:rsidRPr="00BE1544">
              <w:rPr>
                <w:rFonts w:cs="Arial"/>
                <w:bCs/>
                <w:sz w:val="16"/>
                <w:szCs w:val="16"/>
              </w:rPr>
              <w:fldChar w:fldCharType="begin"/>
            </w:r>
            <w:r w:rsidR="0095530A" w:rsidRPr="00BE1544">
              <w:rPr>
                <w:rFonts w:cs="Arial"/>
                <w:bCs/>
                <w:sz w:val="16"/>
                <w:szCs w:val="16"/>
              </w:rPr>
              <w:instrText xml:space="preserve"> NUMPAGES  </w:instrText>
            </w:r>
            <w:r w:rsidR="007164B2" w:rsidRPr="00BE1544">
              <w:rPr>
                <w:rFonts w:cs="Arial"/>
                <w:bCs/>
                <w:sz w:val="16"/>
                <w:szCs w:val="16"/>
              </w:rPr>
              <w:fldChar w:fldCharType="separate"/>
            </w:r>
            <w:r w:rsidR="002F404C">
              <w:rPr>
                <w:rFonts w:cs="Arial"/>
                <w:bCs/>
                <w:noProof/>
                <w:sz w:val="16"/>
                <w:szCs w:val="16"/>
              </w:rPr>
              <w:t>11</w:t>
            </w:r>
            <w:r w:rsidR="007164B2" w:rsidRPr="00BE1544">
              <w:rPr>
                <w:rFonts w:cs="Arial"/>
                <w:bCs/>
                <w:sz w:val="16"/>
                <w:szCs w:val="16"/>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0A" w:rsidRPr="00BE1544" w:rsidRDefault="007164B2">
    <w:pPr>
      <w:pStyle w:val="Footer"/>
      <w:rPr>
        <w:rFonts w:cs="Arial"/>
        <w:sz w:val="16"/>
        <w:szCs w:val="16"/>
      </w:rPr>
    </w:pPr>
    <w:r w:rsidRPr="007164B2">
      <w:rPr>
        <w:rFonts w:cs="Arial"/>
        <w:b/>
        <w:noProof/>
        <w:sz w:val="16"/>
        <w:szCs w:val="16"/>
        <w:lang w:val="en-ZA" w:eastAsia="en-ZA"/>
      </w:rPr>
      <w:pict>
        <v:line id="Straight Connector 9" o:spid="_x0000_s4097" style="position:absolute;left:0;text-align:left;z-index:251661312;visibility:visible;mso-position-horizontal-relative:margin;mso-position-vertical-relative:page;mso-width-relative:margin;mso-height-relative:margin" from="1.3pt,790pt" to="448.35pt,7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" strokecolor="#70ad47 [3209]" strokeweight=".5pt">
          <v:stroke joinstyle="miter"/>
          <w10:wrap anchorx="margin" anchory="page"/>
        </v:line>
      </w:pict>
    </w:r>
    <w:r w:rsidR="00F55664">
      <w:rPr>
        <w:rFonts w:cs="Arial"/>
        <w:b/>
        <w:sz w:val="16"/>
        <w:szCs w:val="16"/>
      </w:rPr>
      <w:t>Committee Section:</w:t>
    </w:r>
    <w:r w:rsidR="0095530A" w:rsidRPr="00BE1544">
      <w:rPr>
        <w:rFonts w:cs="Arial"/>
        <w:sz w:val="16"/>
        <w:szCs w:val="16"/>
      </w:rPr>
      <w:t xml:space="preserve">   </w:t>
    </w:r>
    <w:r w:rsidR="001F0183">
      <w:rPr>
        <w:rFonts w:cs="Arial"/>
        <w:sz w:val="16"/>
        <w:szCs w:val="16"/>
      </w:rPr>
      <w:t xml:space="preserve">Technical Notes on Engagement with Eskom on the Energy Crisis </w:t>
    </w:r>
    <w:r w:rsidR="0095530A" w:rsidRPr="00BE1544">
      <w:rPr>
        <w:rFonts w:cs="Arial"/>
        <w:sz w:val="16"/>
        <w:szCs w:val="16"/>
      </w:rPr>
      <w:t xml:space="preserve">                                                                             </w:t>
    </w:r>
    <w:r w:rsidR="0095530A">
      <w:rPr>
        <w:rFonts w:cs="Arial"/>
        <w:sz w:val="16"/>
        <w:szCs w:val="16"/>
      </w:rPr>
      <w:t xml:space="preserve">    </w:t>
    </w:r>
    <w:r w:rsidR="0095530A" w:rsidRPr="00BE1544">
      <w:rPr>
        <w:rFonts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92D" w:rsidRDefault="006E092D" w:rsidP="00BE1544">
      <w:pPr>
        <w:spacing w:line="240" w:lineRule="auto"/>
      </w:pPr>
      <w:r>
        <w:separator/>
      </w:r>
    </w:p>
  </w:footnote>
  <w:footnote w:type="continuationSeparator" w:id="0">
    <w:p w:rsidR="006E092D" w:rsidRDefault="006E092D" w:rsidP="00BE154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0A" w:rsidRDefault="0095530A" w:rsidP="00B77E72">
    <w:pPr>
      <w:pStyle w:val="Header"/>
      <w:tabs>
        <w:tab w:val="clear" w:pos="4513"/>
        <w:tab w:val="clear" w:pos="9026"/>
        <w:tab w:val="left" w:pos="5431"/>
      </w:tabs>
    </w:pPr>
    <w:r>
      <w:rPr>
        <w:noProof/>
        <w:lang w:val="en-ZA" w:eastAsia="en-ZA"/>
      </w:rPr>
      <w:drawing>
        <wp:anchor distT="0" distB="0" distL="114300" distR="114300" simplePos="0" relativeHeight="251665408" behindDoc="0" locked="0" layoutInCell="1" allowOverlap="1">
          <wp:simplePos x="0" y="0"/>
          <wp:positionH relativeFrom="page">
            <wp:posOffset>705690</wp:posOffset>
          </wp:positionH>
          <wp:positionV relativeFrom="page">
            <wp:posOffset>108090</wp:posOffset>
          </wp:positionV>
          <wp:extent cx="800100" cy="824230"/>
          <wp:effectExtent l="0" t="0" r="0" b="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68547"/>
                  <a:stretch>
                    <a:fillRect/>
                  </a:stretch>
                </pic:blipFill>
                <pic:spPr bwMode="auto">
                  <a:xfrm>
                    <a:off x="0" y="0"/>
                    <a:ext cx="800100" cy="824230"/>
                  </a:xfrm>
                  <a:prstGeom prst="rect">
                    <a:avLst/>
                  </a:prstGeom>
                  <a:noFill/>
                  <a:ln>
                    <a:noFill/>
                  </a:ln>
                </pic:spPr>
              </pic:pic>
            </a:graphicData>
          </a:graphic>
        </wp:anchor>
      </w:drawing>
    </w:r>
    <w:r>
      <w:tab/>
    </w:r>
  </w:p>
  <w:p w:rsidR="0095530A" w:rsidRDefault="009553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30A" w:rsidRDefault="0095530A" w:rsidP="00B77E72">
    <w:pPr>
      <w:pStyle w:val="Header"/>
      <w:jc w:val="left"/>
      <w:rPr>
        <w:noProof/>
        <w:lang w:val="en-ZA" w:eastAsia="en-ZA"/>
      </w:rPr>
    </w:pPr>
  </w:p>
  <w:p w:rsidR="0095530A" w:rsidRDefault="0095530A" w:rsidP="00B77E72">
    <w:pPr>
      <w:pStyle w:val="Header"/>
      <w:jc w:val="right"/>
    </w:pPr>
    <w:r>
      <w:rPr>
        <w:noProof/>
        <w:lang w:val="en-ZA" w:eastAsia="en-ZA"/>
      </w:rPr>
      <w:drawing>
        <wp:anchor distT="0" distB="0" distL="114300" distR="114300" simplePos="0" relativeHeight="251664384" behindDoc="0" locked="0" layoutInCell="1" allowOverlap="1">
          <wp:simplePos x="0" y="0"/>
          <wp:positionH relativeFrom="column">
            <wp:posOffset>0</wp:posOffset>
          </wp:positionH>
          <wp:positionV relativeFrom="page">
            <wp:posOffset>446400</wp:posOffset>
          </wp:positionV>
          <wp:extent cx="2552065" cy="83820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065" cy="838200"/>
                  </a:xfrm>
                  <a:prstGeom prst="rect">
                    <a:avLst/>
                  </a:prstGeom>
                  <a:noFill/>
                </pic:spPr>
              </pic:pic>
            </a:graphicData>
          </a:graphic>
        </wp:anchor>
      </w:drawing>
    </w:r>
    <w:r w:rsidR="003E1969">
      <w:rPr>
        <w:noProof/>
        <w:lang w:val="en-ZA" w:eastAsia="en-ZA"/>
      </w:rPr>
      <w:drawing>
        <wp:inline distT="0" distB="0" distL="0" distR="0">
          <wp:extent cx="2353310" cy="6946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3310" cy="694690"/>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816"/>
    <w:multiLevelType w:val="hybridMultilevel"/>
    <w:tmpl w:val="732E4542"/>
    <w:lvl w:ilvl="0" w:tplc="F558FAB2">
      <w:start w:val="40"/>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BC1072"/>
    <w:multiLevelType w:val="hybridMultilevel"/>
    <w:tmpl w:val="41BE80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7087FE9"/>
    <w:multiLevelType w:val="hybridMultilevel"/>
    <w:tmpl w:val="C29C6C1C"/>
    <w:lvl w:ilvl="0" w:tplc="1C090001">
      <w:start w:val="1"/>
      <w:numFmt w:val="bullet"/>
      <w:lvlText w:val=""/>
      <w:lvlJc w:val="left"/>
      <w:pPr>
        <w:ind w:left="1190" w:hanging="360"/>
      </w:pPr>
      <w:rPr>
        <w:rFonts w:ascii="Symbol" w:hAnsi="Symbol" w:hint="default"/>
      </w:rPr>
    </w:lvl>
    <w:lvl w:ilvl="1" w:tplc="1C090003" w:tentative="1">
      <w:start w:val="1"/>
      <w:numFmt w:val="bullet"/>
      <w:lvlText w:val="o"/>
      <w:lvlJc w:val="left"/>
      <w:pPr>
        <w:ind w:left="1910" w:hanging="360"/>
      </w:pPr>
      <w:rPr>
        <w:rFonts w:ascii="Courier New" w:hAnsi="Courier New" w:cs="Courier New" w:hint="default"/>
      </w:rPr>
    </w:lvl>
    <w:lvl w:ilvl="2" w:tplc="1C090005" w:tentative="1">
      <w:start w:val="1"/>
      <w:numFmt w:val="bullet"/>
      <w:lvlText w:val=""/>
      <w:lvlJc w:val="left"/>
      <w:pPr>
        <w:ind w:left="2630" w:hanging="360"/>
      </w:pPr>
      <w:rPr>
        <w:rFonts w:ascii="Wingdings" w:hAnsi="Wingdings" w:hint="default"/>
      </w:rPr>
    </w:lvl>
    <w:lvl w:ilvl="3" w:tplc="1C090001" w:tentative="1">
      <w:start w:val="1"/>
      <w:numFmt w:val="bullet"/>
      <w:lvlText w:val=""/>
      <w:lvlJc w:val="left"/>
      <w:pPr>
        <w:ind w:left="3350" w:hanging="360"/>
      </w:pPr>
      <w:rPr>
        <w:rFonts w:ascii="Symbol" w:hAnsi="Symbol" w:hint="default"/>
      </w:rPr>
    </w:lvl>
    <w:lvl w:ilvl="4" w:tplc="1C090003" w:tentative="1">
      <w:start w:val="1"/>
      <w:numFmt w:val="bullet"/>
      <w:lvlText w:val="o"/>
      <w:lvlJc w:val="left"/>
      <w:pPr>
        <w:ind w:left="4070" w:hanging="360"/>
      </w:pPr>
      <w:rPr>
        <w:rFonts w:ascii="Courier New" w:hAnsi="Courier New" w:cs="Courier New" w:hint="default"/>
      </w:rPr>
    </w:lvl>
    <w:lvl w:ilvl="5" w:tplc="1C090005" w:tentative="1">
      <w:start w:val="1"/>
      <w:numFmt w:val="bullet"/>
      <w:lvlText w:val=""/>
      <w:lvlJc w:val="left"/>
      <w:pPr>
        <w:ind w:left="4790" w:hanging="360"/>
      </w:pPr>
      <w:rPr>
        <w:rFonts w:ascii="Wingdings" w:hAnsi="Wingdings" w:hint="default"/>
      </w:rPr>
    </w:lvl>
    <w:lvl w:ilvl="6" w:tplc="1C090001" w:tentative="1">
      <w:start w:val="1"/>
      <w:numFmt w:val="bullet"/>
      <w:lvlText w:val=""/>
      <w:lvlJc w:val="left"/>
      <w:pPr>
        <w:ind w:left="5510" w:hanging="360"/>
      </w:pPr>
      <w:rPr>
        <w:rFonts w:ascii="Symbol" w:hAnsi="Symbol" w:hint="default"/>
      </w:rPr>
    </w:lvl>
    <w:lvl w:ilvl="7" w:tplc="1C090003" w:tentative="1">
      <w:start w:val="1"/>
      <w:numFmt w:val="bullet"/>
      <w:lvlText w:val="o"/>
      <w:lvlJc w:val="left"/>
      <w:pPr>
        <w:ind w:left="6230" w:hanging="360"/>
      </w:pPr>
      <w:rPr>
        <w:rFonts w:ascii="Courier New" w:hAnsi="Courier New" w:cs="Courier New" w:hint="default"/>
      </w:rPr>
    </w:lvl>
    <w:lvl w:ilvl="8" w:tplc="1C090005" w:tentative="1">
      <w:start w:val="1"/>
      <w:numFmt w:val="bullet"/>
      <w:lvlText w:val=""/>
      <w:lvlJc w:val="left"/>
      <w:pPr>
        <w:ind w:left="6950" w:hanging="360"/>
      </w:pPr>
      <w:rPr>
        <w:rFonts w:ascii="Wingdings" w:hAnsi="Wingdings" w:hint="default"/>
      </w:rPr>
    </w:lvl>
  </w:abstractNum>
  <w:abstractNum w:abstractNumId="3">
    <w:nsid w:val="079509A2"/>
    <w:multiLevelType w:val="hybridMultilevel"/>
    <w:tmpl w:val="712E8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CB7055B"/>
    <w:multiLevelType w:val="hybridMultilevel"/>
    <w:tmpl w:val="306E69C4"/>
    <w:lvl w:ilvl="0" w:tplc="1C09000D">
      <w:start w:val="1"/>
      <w:numFmt w:val="bullet"/>
      <w:lvlText w:val=""/>
      <w:lvlJc w:val="left"/>
      <w:pPr>
        <w:ind w:left="1140" w:hanging="360"/>
      </w:pPr>
      <w:rPr>
        <w:rFonts w:ascii="Wingdings" w:hAnsi="Wingdings" w:hint="default"/>
      </w:rPr>
    </w:lvl>
    <w:lvl w:ilvl="1" w:tplc="1C090003" w:tentative="1">
      <w:start w:val="1"/>
      <w:numFmt w:val="bullet"/>
      <w:lvlText w:val="o"/>
      <w:lvlJc w:val="left"/>
      <w:pPr>
        <w:ind w:left="1860" w:hanging="360"/>
      </w:pPr>
      <w:rPr>
        <w:rFonts w:ascii="Courier New" w:hAnsi="Courier New" w:cs="Courier New" w:hint="default"/>
      </w:rPr>
    </w:lvl>
    <w:lvl w:ilvl="2" w:tplc="1C090005" w:tentative="1">
      <w:start w:val="1"/>
      <w:numFmt w:val="bullet"/>
      <w:lvlText w:val=""/>
      <w:lvlJc w:val="left"/>
      <w:pPr>
        <w:ind w:left="2580" w:hanging="360"/>
      </w:pPr>
      <w:rPr>
        <w:rFonts w:ascii="Wingdings" w:hAnsi="Wingdings" w:hint="default"/>
      </w:rPr>
    </w:lvl>
    <w:lvl w:ilvl="3" w:tplc="1C090001" w:tentative="1">
      <w:start w:val="1"/>
      <w:numFmt w:val="bullet"/>
      <w:lvlText w:val=""/>
      <w:lvlJc w:val="left"/>
      <w:pPr>
        <w:ind w:left="3300" w:hanging="360"/>
      </w:pPr>
      <w:rPr>
        <w:rFonts w:ascii="Symbol" w:hAnsi="Symbol" w:hint="default"/>
      </w:rPr>
    </w:lvl>
    <w:lvl w:ilvl="4" w:tplc="1C090003" w:tentative="1">
      <w:start w:val="1"/>
      <w:numFmt w:val="bullet"/>
      <w:lvlText w:val="o"/>
      <w:lvlJc w:val="left"/>
      <w:pPr>
        <w:ind w:left="4020" w:hanging="360"/>
      </w:pPr>
      <w:rPr>
        <w:rFonts w:ascii="Courier New" w:hAnsi="Courier New" w:cs="Courier New" w:hint="default"/>
      </w:rPr>
    </w:lvl>
    <w:lvl w:ilvl="5" w:tplc="1C090005" w:tentative="1">
      <w:start w:val="1"/>
      <w:numFmt w:val="bullet"/>
      <w:lvlText w:val=""/>
      <w:lvlJc w:val="left"/>
      <w:pPr>
        <w:ind w:left="4740" w:hanging="360"/>
      </w:pPr>
      <w:rPr>
        <w:rFonts w:ascii="Wingdings" w:hAnsi="Wingdings" w:hint="default"/>
      </w:rPr>
    </w:lvl>
    <w:lvl w:ilvl="6" w:tplc="1C090001" w:tentative="1">
      <w:start w:val="1"/>
      <w:numFmt w:val="bullet"/>
      <w:lvlText w:val=""/>
      <w:lvlJc w:val="left"/>
      <w:pPr>
        <w:ind w:left="5460" w:hanging="360"/>
      </w:pPr>
      <w:rPr>
        <w:rFonts w:ascii="Symbol" w:hAnsi="Symbol" w:hint="default"/>
      </w:rPr>
    </w:lvl>
    <w:lvl w:ilvl="7" w:tplc="1C090003" w:tentative="1">
      <w:start w:val="1"/>
      <w:numFmt w:val="bullet"/>
      <w:lvlText w:val="o"/>
      <w:lvlJc w:val="left"/>
      <w:pPr>
        <w:ind w:left="6180" w:hanging="360"/>
      </w:pPr>
      <w:rPr>
        <w:rFonts w:ascii="Courier New" w:hAnsi="Courier New" w:cs="Courier New" w:hint="default"/>
      </w:rPr>
    </w:lvl>
    <w:lvl w:ilvl="8" w:tplc="1C090005" w:tentative="1">
      <w:start w:val="1"/>
      <w:numFmt w:val="bullet"/>
      <w:lvlText w:val=""/>
      <w:lvlJc w:val="left"/>
      <w:pPr>
        <w:ind w:left="6900" w:hanging="360"/>
      </w:pPr>
      <w:rPr>
        <w:rFonts w:ascii="Wingdings" w:hAnsi="Wingdings" w:hint="default"/>
      </w:rPr>
    </w:lvl>
  </w:abstractNum>
  <w:abstractNum w:abstractNumId="5">
    <w:nsid w:val="0E3E046F"/>
    <w:multiLevelType w:val="hybridMultilevel"/>
    <w:tmpl w:val="A1C8E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EE81D23"/>
    <w:multiLevelType w:val="hybridMultilevel"/>
    <w:tmpl w:val="BBEE2C2C"/>
    <w:lvl w:ilvl="0" w:tplc="BD4451DC">
      <w:start w:val="30"/>
      <w:numFmt w:val="bullet"/>
      <w:lvlText w:val="-"/>
      <w:lvlJc w:val="left"/>
      <w:pPr>
        <w:ind w:left="408" w:hanging="360"/>
      </w:pPr>
      <w:rPr>
        <w:rFonts w:ascii="Calibri" w:eastAsiaTheme="minorHAnsi" w:hAnsi="Calibri" w:cs="Calibri" w:hint="default"/>
      </w:rPr>
    </w:lvl>
    <w:lvl w:ilvl="1" w:tplc="1C090003" w:tentative="1">
      <w:start w:val="1"/>
      <w:numFmt w:val="bullet"/>
      <w:lvlText w:val="o"/>
      <w:lvlJc w:val="left"/>
      <w:pPr>
        <w:ind w:left="1128" w:hanging="360"/>
      </w:pPr>
      <w:rPr>
        <w:rFonts w:ascii="Courier New" w:hAnsi="Courier New" w:cs="Courier New" w:hint="default"/>
      </w:rPr>
    </w:lvl>
    <w:lvl w:ilvl="2" w:tplc="1C090005" w:tentative="1">
      <w:start w:val="1"/>
      <w:numFmt w:val="bullet"/>
      <w:lvlText w:val=""/>
      <w:lvlJc w:val="left"/>
      <w:pPr>
        <w:ind w:left="1848" w:hanging="360"/>
      </w:pPr>
      <w:rPr>
        <w:rFonts w:ascii="Wingdings" w:hAnsi="Wingdings" w:hint="default"/>
      </w:rPr>
    </w:lvl>
    <w:lvl w:ilvl="3" w:tplc="1C090001" w:tentative="1">
      <w:start w:val="1"/>
      <w:numFmt w:val="bullet"/>
      <w:lvlText w:val=""/>
      <w:lvlJc w:val="left"/>
      <w:pPr>
        <w:ind w:left="2568" w:hanging="360"/>
      </w:pPr>
      <w:rPr>
        <w:rFonts w:ascii="Symbol" w:hAnsi="Symbol" w:hint="default"/>
      </w:rPr>
    </w:lvl>
    <w:lvl w:ilvl="4" w:tplc="1C090003" w:tentative="1">
      <w:start w:val="1"/>
      <w:numFmt w:val="bullet"/>
      <w:lvlText w:val="o"/>
      <w:lvlJc w:val="left"/>
      <w:pPr>
        <w:ind w:left="3288" w:hanging="360"/>
      </w:pPr>
      <w:rPr>
        <w:rFonts w:ascii="Courier New" w:hAnsi="Courier New" w:cs="Courier New" w:hint="default"/>
      </w:rPr>
    </w:lvl>
    <w:lvl w:ilvl="5" w:tplc="1C090005" w:tentative="1">
      <w:start w:val="1"/>
      <w:numFmt w:val="bullet"/>
      <w:lvlText w:val=""/>
      <w:lvlJc w:val="left"/>
      <w:pPr>
        <w:ind w:left="4008" w:hanging="360"/>
      </w:pPr>
      <w:rPr>
        <w:rFonts w:ascii="Wingdings" w:hAnsi="Wingdings" w:hint="default"/>
      </w:rPr>
    </w:lvl>
    <w:lvl w:ilvl="6" w:tplc="1C090001" w:tentative="1">
      <w:start w:val="1"/>
      <w:numFmt w:val="bullet"/>
      <w:lvlText w:val=""/>
      <w:lvlJc w:val="left"/>
      <w:pPr>
        <w:ind w:left="4728" w:hanging="360"/>
      </w:pPr>
      <w:rPr>
        <w:rFonts w:ascii="Symbol" w:hAnsi="Symbol" w:hint="default"/>
      </w:rPr>
    </w:lvl>
    <w:lvl w:ilvl="7" w:tplc="1C090003" w:tentative="1">
      <w:start w:val="1"/>
      <w:numFmt w:val="bullet"/>
      <w:lvlText w:val="o"/>
      <w:lvlJc w:val="left"/>
      <w:pPr>
        <w:ind w:left="5448" w:hanging="360"/>
      </w:pPr>
      <w:rPr>
        <w:rFonts w:ascii="Courier New" w:hAnsi="Courier New" w:cs="Courier New" w:hint="default"/>
      </w:rPr>
    </w:lvl>
    <w:lvl w:ilvl="8" w:tplc="1C090005" w:tentative="1">
      <w:start w:val="1"/>
      <w:numFmt w:val="bullet"/>
      <w:lvlText w:val=""/>
      <w:lvlJc w:val="left"/>
      <w:pPr>
        <w:ind w:left="6168" w:hanging="360"/>
      </w:pPr>
      <w:rPr>
        <w:rFonts w:ascii="Wingdings" w:hAnsi="Wingdings" w:hint="default"/>
      </w:rPr>
    </w:lvl>
  </w:abstractNum>
  <w:abstractNum w:abstractNumId="7">
    <w:nsid w:val="102D4691"/>
    <w:multiLevelType w:val="hybridMultilevel"/>
    <w:tmpl w:val="C6DC7D66"/>
    <w:lvl w:ilvl="0" w:tplc="F558FAB2">
      <w:start w:val="40"/>
      <w:numFmt w:val="bullet"/>
      <w:lvlText w:val="-"/>
      <w:lvlJc w:val="left"/>
      <w:pPr>
        <w:ind w:left="768" w:hanging="360"/>
      </w:pPr>
      <w:rPr>
        <w:rFonts w:ascii="Arial" w:eastAsiaTheme="minorHAnsi" w:hAnsi="Arial" w:cs="Aria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8">
    <w:nsid w:val="14A958D5"/>
    <w:multiLevelType w:val="hybridMultilevel"/>
    <w:tmpl w:val="6B1220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4B75DB5"/>
    <w:multiLevelType w:val="hybridMultilevel"/>
    <w:tmpl w:val="85466F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A415D04"/>
    <w:multiLevelType w:val="hybridMultilevel"/>
    <w:tmpl w:val="3FBA26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37F6884"/>
    <w:multiLevelType w:val="hybridMultilevel"/>
    <w:tmpl w:val="9ECC733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88D639E"/>
    <w:multiLevelType w:val="hybridMultilevel"/>
    <w:tmpl w:val="E28A7026"/>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nsid w:val="2AC87983"/>
    <w:multiLevelType w:val="hybridMultilevel"/>
    <w:tmpl w:val="D60C1B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C707303"/>
    <w:multiLevelType w:val="hybridMultilevel"/>
    <w:tmpl w:val="6D2E0DBA"/>
    <w:lvl w:ilvl="0" w:tplc="295AD20A">
      <w:start w:val="9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CF60972"/>
    <w:multiLevelType w:val="hybridMultilevel"/>
    <w:tmpl w:val="79E49EF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6">
    <w:nsid w:val="2E396F7A"/>
    <w:multiLevelType w:val="hybridMultilevel"/>
    <w:tmpl w:val="F2BCB7BC"/>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7">
    <w:nsid w:val="335C0A97"/>
    <w:multiLevelType w:val="hybridMultilevel"/>
    <w:tmpl w:val="FCA4C8CE"/>
    <w:lvl w:ilvl="0" w:tplc="1C090001">
      <w:start w:val="1"/>
      <w:numFmt w:val="bullet"/>
      <w:lvlText w:val=""/>
      <w:lvlJc w:val="left"/>
      <w:pPr>
        <w:ind w:left="784" w:hanging="360"/>
      </w:pPr>
      <w:rPr>
        <w:rFonts w:ascii="Symbol" w:hAnsi="Symbol" w:hint="default"/>
      </w:rPr>
    </w:lvl>
    <w:lvl w:ilvl="1" w:tplc="1C090003" w:tentative="1">
      <w:start w:val="1"/>
      <w:numFmt w:val="bullet"/>
      <w:lvlText w:val="o"/>
      <w:lvlJc w:val="left"/>
      <w:pPr>
        <w:ind w:left="1504" w:hanging="360"/>
      </w:pPr>
      <w:rPr>
        <w:rFonts w:ascii="Courier New" w:hAnsi="Courier New" w:cs="Courier New" w:hint="default"/>
      </w:rPr>
    </w:lvl>
    <w:lvl w:ilvl="2" w:tplc="1C090005" w:tentative="1">
      <w:start w:val="1"/>
      <w:numFmt w:val="bullet"/>
      <w:lvlText w:val=""/>
      <w:lvlJc w:val="left"/>
      <w:pPr>
        <w:ind w:left="2224" w:hanging="360"/>
      </w:pPr>
      <w:rPr>
        <w:rFonts w:ascii="Wingdings" w:hAnsi="Wingdings" w:hint="default"/>
      </w:rPr>
    </w:lvl>
    <w:lvl w:ilvl="3" w:tplc="1C090001" w:tentative="1">
      <w:start w:val="1"/>
      <w:numFmt w:val="bullet"/>
      <w:lvlText w:val=""/>
      <w:lvlJc w:val="left"/>
      <w:pPr>
        <w:ind w:left="2944" w:hanging="360"/>
      </w:pPr>
      <w:rPr>
        <w:rFonts w:ascii="Symbol" w:hAnsi="Symbol" w:hint="default"/>
      </w:rPr>
    </w:lvl>
    <w:lvl w:ilvl="4" w:tplc="1C090003" w:tentative="1">
      <w:start w:val="1"/>
      <w:numFmt w:val="bullet"/>
      <w:lvlText w:val="o"/>
      <w:lvlJc w:val="left"/>
      <w:pPr>
        <w:ind w:left="3664" w:hanging="360"/>
      </w:pPr>
      <w:rPr>
        <w:rFonts w:ascii="Courier New" w:hAnsi="Courier New" w:cs="Courier New" w:hint="default"/>
      </w:rPr>
    </w:lvl>
    <w:lvl w:ilvl="5" w:tplc="1C090005" w:tentative="1">
      <w:start w:val="1"/>
      <w:numFmt w:val="bullet"/>
      <w:lvlText w:val=""/>
      <w:lvlJc w:val="left"/>
      <w:pPr>
        <w:ind w:left="4384" w:hanging="360"/>
      </w:pPr>
      <w:rPr>
        <w:rFonts w:ascii="Wingdings" w:hAnsi="Wingdings" w:hint="default"/>
      </w:rPr>
    </w:lvl>
    <w:lvl w:ilvl="6" w:tplc="1C090001" w:tentative="1">
      <w:start w:val="1"/>
      <w:numFmt w:val="bullet"/>
      <w:lvlText w:val=""/>
      <w:lvlJc w:val="left"/>
      <w:pPr>
        <w:ind w:left="5104" w:hanging="360"/>
      </w:pPr>
      <w:rPr>
        <w:rFonts w:ascii="Symbol" w:hAnsi="Symbol" w:hint="default"/>
      </w:rPr>
    </w:lvl>
    <w:lvl w:ilvl="7" w:tplc="1C090003" w:tentative="1">
      <w:start w:val="1"/>
      <w:numFmt w:val="bullet"/>
      <w:lvlText w:val="o"/>
      <w:lvlJc w:val="left"/>
      <w:pPr>
        <w:ind w:left="5824" w:hanging="360"/>
      </w:pPr>
      <w:rPr>
        <w:rFonts w:ascii="Courier New" w:hAnsi="Courier New" w:cs="Courier New" w:hint="default"/>
      </w:rPr>
    </w:lvl>
    <w:lvl w:ilvl="8" w:tplc="1C090005" w:tentative="1">
      <w:start w:val="1"/>
      <w:numFmt w:val="bullet"/>
      <w:lvlText w:val=""/>
      <w:lvlJc w:val="left"/>
      <w:pPr>
        <w:ind w:left="6544" w:hanging="360"/>
      </w:pPr>
      <w:rPr>
        <w:rFonts w:ascii="Wingdings" w:hAnsi="Wingdings" w:hint="default"/>
      </w:rPr>
    </w:lvl>
  </w:abstractNum>
  <w:abstractNum w:abstractNumId="18">
    <w:nsid w:val="33981AE6"/>
    <w:multiLevelType w:val="hybridMultilevel"/>
    <w:tmpl w:val="4B2438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4AF6C64"/>
    <w:multiLevelType w:val="hybridMultilevel"/>
    <w:tmpl w:val="FB127D62"/>
    <w:lvl w:ilvl="0" w:tplc="F558FAB2">
      <w:start w:val="40"/>
      <w:numFmt w:val="bullet"/>
      <w:lvlText w:val="-"/>
      <w:lvlJc w:val="left"/>
      <w:pPr>
        <w:ind w:left="768" w:hanging="360"/>
      </w:pPr>
      <w:rPr>
        <w:rFonts w:ascii="Arial" w:eastAsiaTheme="minorHAnsi" w:hAnsi="Arial" w:cs="Aria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20">
    <w:nsid w:val="371426F1"/>
    <w:multiLevelType w:val="hybridMultilevel"/>
    <w:tmpl w:val="4F76F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7445E68"/>
    <w:multiLevelType w:val="hybridMultilevel"/>
    <w:tmpl w:val="CCA46CB4"/>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3754588D"/>
    <w:multiLevelType w:val="hybridMultilevel"/>
    <w:tmpl w:val="EA2678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9983977"/>
    <w:multiLevelType w:val="hybridMultilevel"/>
    <w:tmpl w:val="A0BA87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99C5412"/>
    <w:multiLevelType w:val="hybridMultilevel"/>
    <w:tmpl w:val="81E6CB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AEF3535"/>
    <w:multiLevelType w:val="hybridMultilevel"/>
    <w:tmpl w:val="E0EE9B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FB00D45"/>
    <w:multiLevelType w:val="multilevel"/>
    <w:tmpl w:val="6EEE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E2793E"/>
    <w:multiLevelType w:val="hybridMultilevel"/>
    <w:tmpl w:val="EA94CE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11E5B29"/>
    <w:multiLevelType w:val="hybridMultilevel"/>
    <w:tmpl w:val="E9588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422A7886"/>
    <w:multiLevelType w:val="hybridMultilevel"/>
    <w:tmpl w:val="E4E60798"/>
    <w:lvl w:ilvl="0" w:tplc="1C09000D">
      <w:start w:val="1"/>
      <w:numFmt w:val="bullet"/>
      <w:lvlText w:val=""/>
      <w:lvlJc w:val="left"/>
      <w:pPr>
        <w:ind w:left="1499" w:hanging="360"/>
      </w:pPr>
      <w:rPr>
        <w:rFonts w:ascii="Wingdings" w:hAnsi="Wingdings" w:hint="default"/>
      </w:rPr>
    </w:lvl>
    <w:lvl w:ilvl="1" w:tplc="1C090003" w:tentative="1">
      <w:start w:val="1"/>
      <w:numFmt w:val="bullet"/>
      <w:lvlText w:val="o"/>
      <w:lvlJc w:val="left"/>
      <w:pPr>
        <w:ind w:left="2219" w:hanging="360"/>
      </w:pPr>
      <w:rPr>
        <w:rFonts w:ascii="Courier New" w:hAnsi="Courier New" w:cs="Courier New" w:hint="default"/>
      </w:rPr>
    </w:lvl>
    <w:lvl w:ilvl="2" w:tplc="1C090005" w:tentative="1">
      <w:start w:val="1"/>
      <w:numFmt w:val="bullet"/>
      <w:lvlText w:val=""/>
      <w:lvlJc w:val="left"/>
      <w:pPr>
        <w:ind w:left="2939" w:hanging="360"/>
      </w:pPr>
      <w:rPr>
        <w:rFonts w:ascii="Wingdings" w:hAnsi="Wingdings" w:hint="default"/>
      </w:rPr>
    </w:lvl>
    <w:lvl w:ilvl="3" w:tplc="1C090001" w:tentative="1">
      <w:start w:val="1"/>
      <w:numFmt w:val="bullet"/>
      <w:lvlText w:val=""/>
      <w:lvlJc w:val="left"/>
      <w:pPr>
        <w:ind w:left="3659" w:hanging="360"/>
      </w:pPr>
      <w:rPr>
        <w:rFonts w:ascii="Symbol" w:hAnsi="Symbol" w:hint="default"/>
      </w:rPr>
    </w:lvl>
    <w:lvl w:ilvl="4" w:tplc="1C090003" w:tentative="1">
      <w:start w:val="1"/>
      <w:numFmt w:val="bullet"/>
      <w:lvlText w:val="o"/>
      <w:lvlJc w:val="left"/>
      <w:pPr>
        <w:ind w:left="4379" w:hanging="360"/>
      </w:pPr>
      <w:rPr>
        <w:rFonts w:ascii="Courier New" w:hAnsi="Courier New" w:cs="Courier New" w:hint="default"/>
      </w:rPr>
    </w:lvl>
    <w:lvl w:ilvl="5" w:tplc="1C090005" w:tentative="1">
      <w:start w:val="1"/>
      <w:numFmt w:val="bullet"/>
      <w:lvlText w:val=""/>
      <w:lvlJc w:val="left"/>
      <w:pPr>
        <w:ind w:left="5099" w:hanging="360"/>
      </w:pPr>
      <w:rPr>
        <w:rFonts w:ascii="Wingdings" w:hAnsi="Wingdings" w:hint="default"/>
      </w:rPr>
    </w:lvl>
    <w:lvl w:ilvl="6" w:tplc="1C090001" w:tentative="1">
      <w:start w:val="1"/>
      <w:numFmt w:val="bullet"/>
      <w:lvlText w:val=""/>
      <w:lvlJc w:val="left"/>
      <w:pPr>
        <w:ind w:left="5819" w:hanging="360"/>
      </w:pPr>
      <w:rPr>
        <w:rFonts w:ascii="Symbol" w:hAnsi="Symbol" w:hint="default"/>
      </w:rPr>
    </w:lvl>
    <w:lvl w:ilvl="7" w:tplc="1C090003" w:tentative="1">
      <w:start w:val="1"/>
      <w:numFmt w:val="bullet"/>
      <w:lvlText w:val="o"/>
      <w:lvlJc w:val="left"/>
      <w:pPr>
        <w:ind w:left="6539" w:hanging="360"/>
      </w:pPr>
      <w:rPr>
        <w:rFonts w:ascii="Courier New" w:hAnsi="Courier New" w:cs="Courier New" w:hint="default"/>
      </w:rPr>
    </w:lvl>
    <w:lvl w:ilvl="8" w:tplc="1C090005" w:tentative="1">
      <w:start w:val="1"/>
      <w:numFmt w:val="bullet"/>
      <w:lvlText w:val=""/>
      <w:lvlJc w:val="left"/>
      <w:pPr>
        <w:ind w:left="7259" w:hanging="360"/>
      </w:pPr>
      <w:rPr>
        <w:rFonts w:ascii="Wingdings" w:hAnsi="Wingdings" w:hint="default"/>
      </w:rPr>
    </w:lvl>
  </w:abstractNum>
  <w:abstractNum w:abstractNumId="30">
    <w:nsid w:val="47862B45"/>
    <w:multiLevelType w:val="hybridMultilevel"/>
    <w:tmpl w:val="83028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4A6245FF"/>
    <w:multiLevelType w:val="multilevel"/>
    <w:tmpl w:val="B55070A8"/>
    <w:styleLink w:val="Style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DCC4322"/>
    <w:multiLevelType w:val="hybridMultilevel"/>
    <w:tmpl w:val="00EC98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56ED0947"/>
    <w:multiLevelType w:val="hybridMultilevel"/>
    <w:tmpl w:val="34A85CC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577B5766"/>
    <w:multiLevelType w:val="hybridMultilevel"/>
    <w:tmpl w:val="01AC8DE6"/>
    <w:lvl w:ilvl="0" w:tplc="308CFBF0">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A4E35E5"/>
    <w:multiLevelType w:val="hybridMultilevel"/>
    <w:tmpl w:val="B80E7E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5D9C6D57"/>
    <w:multiLevelType w:val="hybridMultilevel"/>
    <w:tmpl w:val="D76258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650D681B"/>
    <w:multiLevelType w:val="multilevel"/>
    <w:tmpl w:val="4D6230BA"/>
    <w:lvl w:ilvl="0">
      <w:start w:val="1"/>
      <w:numFmt w:val="decimal"/>
      <w:lvlText w:val="%1."/>
      <w:lvlJc w:val="left"/>
      <w:pPr>
        <w:ind w:left="36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B614525"/>
    <w:multiLevelType w:val="hybridMultilevel"/>
    <w:tmpl w:val="9B220B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6F5D121B"/>
    <w:multiLevelType w:val="hybridMultilevel"/>
    <w:tmpl w:val="991AE6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6FD16530"/>
    <w:multiLevelType w:val="hybridMultilevel"/>
    <w:tmpl w:val="7D5A49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6FDA55C2"/>
    <w:multiLevelType w:val="hybridMultilevel"/>
    <w:tmpl w:val="88F23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72976DBB"/>
    <w:multiLevelType w:val="hybridMultilevel"/>
    <w:tmpl w:val="FCBEC41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78064CCE"/>
    <w:multiLevelType w:val="hybridMultilevel"/>
    <w:tmpl w:val="98209868"/>
    <w:lvl w:ilvl="0" w:tplc="1C090001">
      <w:start w:val="1"/>
      <w:numFmt w:val="bullet"/>
      <w:lvlText w:val=""/>
      <w:lvlJc w:val="left"/>
      <w:pPr>
        <w:ind w:left="788" w:hanging="360"/>
      </w:pPr>
      <w:rPr>
        <w:rFonts w:ascii="Symbol" w:hAnsi="Symbol" w:hint="default"/>
      </w:rPr>
    </w:lvl>
    <w:lvl w:ilvl="1" w:tplc="1C090003" w:tentative="1">
      <w:start w:val="1"/>
      <w:numFmt w:val="bullet"/>
      <w:lvlText w:val="o"/>
      <w:lvlJc w:val="left"/>
      <w:pPr>
        <w:ind w:left="1508" w:hanging="360"/>
      </w:pPr>
      <w:rPr>
        <w:rFonts w:ascii="Courier New" w:hAnsi="Courier New" w:cs="Courier New" w:hint="default"/>
      </w:rPr>
    </w:lvl>
    <w:lvl w:ilvl="2" w:tplc="1C090005" w:tentative="1">
      <w:start w:val="1"/>
      <w:numFmt w:val="bullet"/>
      <w:lvlText w:val=""/>
      <w:lvlJc w:val="left"/>
      <w:pPr>
        <w:ind w:left="2228" w:hanging="360"/>
      </w:pPr>
      <w:rPr>
        <w:rFonts w:ascii="Wingdings" w:hAnsi="Wingdings" w:hint="default"/>
      </w:rPr>
    </w:lvl>
    <w:lvl w:ilvl="3" w:tplc="1C090001" w:tentative="1">
      <w:start w:val="1"/>
      <w:numFmt w:val="bullet"/>
      <w:lvlText w:val=""/>
      <w:lvlJc w:val="left"/>
      <w:pPr>
        <w:ind w:left="2948" w:hanging="360"/>
      </w:pPr>
      <w:rPr>
        <w:rFonts w:ascii="Symbol" w:hAnsi="Symbol" w:hint="default"/>
      </w:rPr>
    </w:lvl>
    <w:lvl w:ilvl="4" w:tplc="1C090003" w:tentative="1">
      <w:start w:val="1"/>
      <w:numFmt w:val="bullet"/>
      <w:lvlText w:val="o"/>
      <w:lvlJc w:val="left"/>
      <w:pPr>
        <w:ind w:left="3668" w:hanging="360"/>
      </w:pPr>
      <w:rPr>
        <w:rFonts w:ascii="Courier New" w:hAnsi="Courier New" w:cs="Courier New" w:hint="default"/>
      </w:rPr>
    </w:lvl>
    <w:lvl w:ilvl="5" w:tplc="1C090005" w:tentative="1">
      <w:start w:val="1"/>
      <w:numFmt w:val="bullet"/>
      <w:lvlText w:val=""/>
      <w:lvlJc w:val="left"/>
      <w:pPr>
        <w:ind w:left="4388" w:hanging="360"/>
      </w:pPr>
      <w:rPr>
        <w:rFonts w:ascii="Wingdings" w:hAnsi="Wingdings" w:hint="default"/>
      </w:rPr>
    </w:lvl>
    <w:lvl w:ilvl="6" w:tplc="1C090001" w:tentative="1">
      <w:start w:val="1"/>
      <w:numFmt w:val="bullet"/>
      <w:lvlText w:val=""/>
      <w:lvlJc w:val="left"/>
      <w:pPr>
        <w:ind w:left="5108" w:hanging="360"/>
      </w:pPr>
      <w:rPr>
        <w:rFonts w:ascii="Symbol" w:hAnsi="Symbol" w:hint="default"/>
      </w:rPr>
    </w:lvl>
    <w:lvl w:ilvl="7" w:tplc="1C090003" w:tentative="1">
      <w:start w:val="1"/>
      <w:numFmt w:val="bullet"/>
      <w:lvlText w:val="o"/>
      <w:lvlJc w:val="left"/>
      <w:pPr>
        <w:ind w:left="5828" w:hanging="360"/>
      </w:pPr>
      <w:rPr>
        <w:rFonts w:ascii="Courier New" w:hAnsi="Courier New" w:cs="Courier New" w:hint="default"/>
      </w:rPr>
    </w:lvl>
    <w:lvl w:ilvl="8" w:tplc="1C090005" w:tentative="1">
      <w:start w:val="1"/>
      <w:numFmt w:val="bullet"/>
      <w:lvlText w:val=""/>
      <w:lvlJc w:val="left"/>
      <w:pPr>
        <w:ind w:left="6548" w:hanging="360"/>
      </w:pPr>
      <w:rPr>
        <w:rFonts w:ascii="Wingdings" w:hAnsi="Wingdings" w:hint="default"/>
      </w:rPr>
    </w:lvl>
  </w:abstractNum>
  <w:abstractNum w:abstractNumId="44">
    <w:nsid w:val="782859C7"/>
    <w:multiLevelType w:val="hybridMultilevel"/>
    <w:tmpl w:val="E25807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DE87A26"/>
    <w:multiLevelType w:val="hybridMultilevel"/>
    <w:tmpl w:val="9EE8B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7F164034"/>
    <w:multiLevelType w:val="hybridMultilevel"/>
    <w:tmpl w:val="77CC55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41"/>
  </w:num>
  <w:num w:numId="4">
    <w:abstractNumId w:val="14"/>
  </w:num>
  <w:num w:numId="5">
    <w:abstractNumId w:val="45"/>
  </w:num>
  <w:num w:numId="6">
    <w:abstractNumId w:val="36"/>
  </w:num>
  <w:num w:numId="7">
    <w:abstractNumId w:val="37"/>
  </w:num>
  <w:num w:numId="8">
    <w:abstractNumId w:val="17"/>
  </w:num>
  <w:num w:numId="9">
    <w:abstractNumId w:val="15"/>
  </w:num>
  <w:num w:numId="10">
    <w:abstractNumId w:val="43"/>
  </w:num>
  <w:num w:numId="11">
    <w:abstractNumId w:val="34"/>
  </w:num>
  <w:num w:numId="12">
    <w:abstractNumId w:val="44"/>
  </w:num>
  <w:num w:numId="13">
    <w:abstractNumId w:val="24"/>
  </w:num>
  <w:num w:numId="14">
    <w:abstractNumId w:val="42"/>
  </w:num>
  <w:num w:numId="15">
    <w:abstractNumId w:val="38"/>
  </w:num>
  <w:num w:numId="16">
    <w:abstractNumId w:val="0"/>
  </w:num>
  <w:num w:numId="17">
    <w:abstractNumId w:val="28"/>
  </w:num>
  <w:num w:numId="18">
    <w:abstractNumId w:val="32"/>
  </w:num>
  <w:num w:numId="19">
    <w:abstractNumId w:val="46"/>
  </w:num>
  <w:num w:numId="20">
    <w:abstractNumId w:val="3"/>
  </w:num>
  <w:num w:numId="21">
    <w:abstractNumId w:val="35"/>
  </w:num>
  <w:num w:numId="22">
    <w:abstractNumId w:val="20"/>
  </w:num>
  <w:num w:numId="23">
    <w:abstractNumId w:val="39"/>
  </w:num>
  <w:num w:numId="24">
    <w:abstractNumId w:val="13"/>
  </w:num>
  <w:num w:numId="25">
    <w:abstractNumId w:val="9"/>
  </w:num>
  <w:num w:numId="26">
    <w:abstractNumId w:val="10"/>
  </w:num>
  <w:num w:numId="27">
    <w:abstractNumId w:val="4"/>
  </w:num>
  <w:num w:numId="28">
    <w:abstractNumId w:val="40"/>
  </w:num>
  <w:num w:numId="29">
    <w:abstractNumId w:val="29"/>
  </w:num>
  <w:num w:numId="30">
    <w:abstractNumId w:val="8"/>
  </w:num>
  <w:num w:numId="31">
    <w:abstractNumId w:val="1"/>
  </w:num>
  <w:num w:numId="32">
    <w:abstractNumId w:val="25"/>
  </w:num>
  <w:num w:numId="33">
    <w:abstractNumId w:val="5"/>
  </w:num>
  <w:num w:numId="34">
    <w:abstractNumId w:val="22"/>
  </w:num>
  <w:num w:numId="35">
    <w:abstractNumId w:val="12"/>
  </w:num>
  <w:num w:numId="36">
    <w:abstractNumId w:val="23"/>
  </w:num>
  <w:num w:numId="37">
    <w:abstractNumId w:val="30"/>
  </w:num>
  <w:num w:numId="38">
    <w:abstractNumId w:val="6"/>
  </w:num>
  <w:num w:numId="39">
    <w:abstractNumId w:val="16"/>
  </w:num>
  <w:num w:numId="40">
    <w:abstractNumId w:val="11"/>
  </w:num>
  <w:num w:numId="41">
    <w:abstractNumId w:val="18"/>
  </w:num>
  <w:num w:numId="42">
    <w:abstractNumId w:val="27"/>
  </w:num>
  <w:num w:numId="43">
    <w:abstractNumId w:val="21"/>
  </w:num>
  <w:num w:numId="44">
    <w:abstractNumId w:val="7"/>
  </w:num>
  <w:num w:numId="45">
    <w:abstractNumId w:val="19"/>
  </w:num>
  <w:num w:numId="46">
    <w:abstractNumId w:val="33"/>
  </w:num>
  <w:num w:numId="47">
    <w:abstractNumId w:val="2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dney Mnisi">
    <w15:presenceInfo w15:providerId="AD" w15:userId="S-1-5-21-1454741856-2891356945-868088179-218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trackRevisions/>
  <w:defaultTabStop w:val="720"/>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rsids>
    <w:rsidRoot w:val="0077382E"/>
    <w:rsid w:val="00002AAE"/>
    <w:rsid w:val="000038F5"/>
    <w:rsid w:val="00004485"/>
    <w:rsid w:val="00004BA8"/>
    <w:rsid w:val="00005FCE"/>
    <w:rsid w:val="000103BD"/>
    <w:rsid w:val="000105AB"/>
    <w:rsid w:val="000111A6"/>
    <w:rsid w:val="000115F7"/>
    <w:rsid w:val="00012CF2"/>
    <w:rsid w:val="0001366F"/>
    <w:rsid w:val="000175C4"/>
    <w:rsid w:val="00017636"/>
    <w:rsid w:val="00020F0B"/>
    <w:rsid w:val="00022E68"/>
    <w:rsid w:val="000231F5"/>
    <w:rsid w:val="000232C5"/>
    <w:rsid w:val="0002450D"/>
    <w:rsid w:val="00034603"/>
    <w:rsid w:val="00034DBC"/>
    <w:rsid w:val="000368D6"/>
    <w:rsid w:val="00041445"/>
    <w:rsid w:val="00043CCC"/>
    <w:rsid w:val="0004425B"/>
    <w:rsid w:val="00044E62"/>
    <w:rsid w:val="00050521"/>
    <w:rsid w:val="000518E5"/>
    <w:rsid w:val="00052B47"/>
    <w:rsid w:val="00053B40"/>
    <w:rsid w:val="000547FF"/>
    <w:rsid w:val="0005580B"/>
    <w:rsid w:val="00063FF6"/>
    <w:rsid w:val="00064532"/>
    <w:rsid w:val="000649FC"/>
    <w:rsid w:val="00064FA2"/>
    <w:rsid w:val="00065093"/>
    <w:rsid w:val="000651EF"/>
    <w:rsid w:val="000661B0"/>
    <w:rsid w:val="000665E1"/>
    <w:rsid w:val="0006681D"/>
    <w:rsid w:val="000743D2"/>
    <w:rsid w:val="00075472"/>
    <w:rsid w:val="000765AF"/>
    <w:rsid w:val="000834CE"/>
    <w:rsid w:val="00083896"/>
    <w:rsid w:val="00084680"/>
    <w:rsid w:val="000875DB"/>
    <w:rsid w:val="00091967"/>
    <w:rsid w:val="000932D3"/>
    <w:rsid w:val="00096B67"/>
    <w:rsid w:val="00097ADC"/>
    <w:rsid w:val="000A0E95"/>
    <w:rsid w:val="000A7014"/>
    <w:rsid w:val="000A71D8"/>
    <w:rsid w:val="000B31EC"/>
    <w:rsid w:val="000B447F"/>
    <w:rsid w:val="000B7D24"/>
    <w:rsid w:val="000C059A"/>
    <w:rsid w:val="000C07AD"/>
    <w:rsid w:val="000C1D03"/>
    <w:rsid w:val="000C2823"/>
    <w:rsid w:val="000C29F5"/>
    <w:rsid w:val="000C4685"/>
    <w:rsid w:val="000C6B94"/>
    <w:rsid w:val="000C6F8C"/>
    <w:rsid w:val="000C75D4"/>
    <w:rsid w:val="000C7689"/>
    <w:rsid w:val="000D03E3"/>
    <w:rsid w:val="000D1C2F"/>
    <w:rsid w:val="000D25D3"/>
    <w:rsid w:val="000D41B1"/>
    <w:rsid w:val="000D4681"/>
    <w:rsid w:val="000D58EE"/>
    <w:rsid w:val="000E00A3"/>
    <w:rsid w:val="000E01F8"/>
    <w:rsid w:val="000E03D4"/>
    <w:rsid w:val="000E1B56"/>
    <w:rsid w:val="000E1C2E"/>
    <w:rsid w:val="000E2A83"/>
    <w:rsid w:val="000E46AC"/>
    <w:rsid w:val="000E695E"/>
    <w:rsid w:val="000E6F8A"/>
    <w:rsid w:val="000F0F61"/>
    <w:rsid w:val="000F3BA2"/>
    <w:rsid w:val="000F3ED9"/>
    <w:rsid w:val="000F47C4"/>
    <w:rsid w:val="000F6410"/>
    <w:rsid w:val="000F6BAC"/>
    <w:rsid w:val="000F7A8F"/>
    <w:rsid w:val="00104FA4"/>
    <w:rsid w:val="0010540E"/>
    <w:rsid w:val="00106F4B"/>
    <w:rsid w:val="00111D1D"/>
    <w:rsid w:val="0011372E"/>
    <w:rsid w:val="0011497F"/>
    <w:rsid w:val="001159EE"/>
    <w:rsid w:val="0012275E"/>
    <w:rsid w:val="00122C3B"/>
    <w:rsid w:val="0012304E"/>
    <w:rsid w:val="0013110A"/>
    <w:rsid w:val="00132BA8"/>
    <w:rsid w:val="00133EC4"/>
    <w:rsid w:val="0013435A"/>
    <w:rsid w:val="0014246E"/>
    <w:rsid w:val="00145687"/>
    <w:rsid w:val="00145CF5"/>
    <w:rsid w:val="00146108"/>
    <w:rsid w:val="0014711A"/>
    <w:rsid w:val="00147346"/>
    <w:rsid w:val="00147498"/>
    <w:rsid w:val="00151E4F"/>
    <w:rsid w:val="00153F87"/>
    <w:rsid w:val="00156B4C"/>
    <w:rsid w:val="0016077D"/>
    <w:rsid w:val="001607F9"/>
    <w:rsid w:val="00162D0A"/>
    <w:rsid w:val="001651E3"/>
    <w:rsid w:val="00165278"/>
    <w:rsid w:val="00171912"/>
    <w:rsid w:val="00171CD3"/>
    <w:rsid w:val="001721DF"/>
    <w:rsid w:val="0017246E"/>
    <w:rsid w:val="00175040"/>
    <w:rsid w:val="00175EAD"/>
    <w:rsid w:val="001760B4"/>
    <w:rsid w:val="00184C54"/>
    <w:rsid w:val="00184D13"/>
    <w:rsid w:val="00184DB7"/>
    <w:rsid w:val="00184FA8"/>
    <w:rsid w:val="00186E35"/>
    <w:rsid w:val="001875DA"/>
    <w:rsid w:val="00190160"/>
    <w:rsid w:val="0019262E"/>
    <w:rsid w:val="001934A3"/>
    <w:rsid w:val="00194802"/>
    <w:rsid w:val="0019519F"/>
    <w:rsid w:val="00195B15"/>
    <w:rsid w:val="001A0D59"/>
    <w:rsid w:val="001A3138"/>
    <w:rsid w:val="001A6B46"/>
    <w:rsid w:val="001A76C0"/>
    <w:rsid w:val="001B0930"/>
    <w:rsid w:val="001B26F4"/>
    <w:rsid w:val="001B27FB"/>
    <w:rsid w:val="001B3AB7"/>
    <w:rsid w:val="001B4D5A"/>
    <w:rsid w:val="001C382C"/>
    <w:rsid w:val="001C7477"/>
    <w:rsid w:val="001C7A63"/>
    <w:rsid w:val="001D0719"/>
    <w:rsid w:val="001D3E2E"/>
    <w:rsid w:val="001D6166"/>
    <w:rsid w:val="001D6CB2"/>
    <w:rsid w:val="001D7ED3"/>
    <w:rsid w:val="001E118E"/>
    <w:rsid w:val="001E4A83"/>
    <w:rsid w:val="001E5A7B"/>
    <w:rsid w:val="001E5B57"/>
    <w:rsid w:val="001F0183"/>
    <w:rsid w:val="001F1C9F"/>
    <w:rsid w:val="001F38E3"/>
    <w:rsid w:val="001F7609"/>
    <w:rsid w:val="0020194C"/>
    <w:rsid w:val="002048BA"/>
    <w:rsid w:val="00204B2E"/>
    <w:rsid w:val="00205522"/>
    <w:rsid w:val="00205739"/>
    <w:rsid w:val="00207082"/>
    <w:rsid w:val="00211501"/>
    <w:rsid w:val="0021685E"/>
    <w:rsid w:val="00216E44"/>
    <w:rsid w:val="0022223E"/>
    <w:rsid w:val="0022737F"/>
    <w:rsid w:val="00230425"/>
    <w:rsid w:val="00233605"/>
    <w:rsid w:val="002344CB"/>
    <w:rsid w:val="00234DC6"/>
    <w:rsid w:val="00237F49"/>
    <w:rsid w:val="0024109A"/>
    <w:rsid w:val="002416B0"/>
    <w:rsid w:val="00244AE1"/>
    <w:rsid w:val="00245D65"/>
    <w:rsid w:val="002505C1"/>
    <w:rsid w:val="0025190B"/>
    <w:rsid w:val="00251C39"/>
    <w:rsid w:val="00251F3E"/>
    <w:rsid w:val="00254379"/>
    <w:rsid w:val="002600A4"/>
    <w:rsid w:val="002606E9"/>
    <w:rsid w:val="002610E0"/>
    <w:rsid w:val="00266FE8"/>
    <w:rsid w:val="00267779"/>
    <w:rsid w:val="0027145A"/>
    <w:rsid w:val="00283133"/>
    <w:rsid w:val="00283C34"/>
    <w:rsid w:val="0028444F"/>
    <w:rsid w:val="002859D8"/>
    <w:rsid w:val="002877FB"/>
    <w:rsid w:val="0029053B"/>
    <w:rsid w:val="00295199"/>
    <w:rsid w:val="00296402"/>
    <w:rsid w:val="002A3C8D"/>
    <w:rsid w:val="002A4578"/>
    <w:rsid w:val="002A5BB6"/>
    <w:rsid w:val="002A6CC4"/>
    <w:rsid w:val="002B3F75"/>
    <w:rsid w:val="002B67EF"/>
    <w:rsid w:val="002B683C"/>
    <w:rsid w:val="002C0276"/>
    <w:rsid w:val="002C04EF"/>
    <w:rsid w:val="002C2153"/>
    <w:rsid w:val="002D023D"/>
    <w:rsid w:val="002D4AA1"/>
    <w:rsid w:val="002D6EE7"/>
    <w:rsid w:val="002E02A9"/>
    <w:rsid w:val="002E1A6F"/>
    <w:rsid w:val="002E3277"/>
    <w:rsid w:val="002E40B3"/>
    <w:rsid w:val="002E6B36"/>
    <w:rsid w:val="002E7889"/>
    <w:rsid w:val="002F0167"/>
    <w:rsid w:val="002F2E0E"/>
    <w:rsid w:val="002F404C"/>
    <w:rsid w:val="002F637A"/>
    <w:rsid w:val="002F6937"/>
    <w:rsid w:val="002F72C6"/>
    <w:rsid w:val="0030093C"/>
    <w:rsid w:val="003011D6"/>
    <w:rsid w:val="00301708"/>
    <w:rsid w:val="00302252"/>
    <w:rsid w:val="00305983"/>
    <w:rsid w:val="00307E09"/>
    <w:rsid w:val="00310424"/>
    <w:rsid w:val="0031278C"/>
    <w:rsid w:val="00313616"/>
    <w:rsid w:val="00316D59"/>
    <w:rsid w:val="00317299"/>
    <w:rsid w:val="00321A59"/>
    <w:rsid w:val="00324DD4"/>
    <w:rsid w:val="00327ADB"/>
    <w:rsid w:val="00330406"/>
    <w:rsid w:val="00330DB7"/>
    <w:rsid w:val="003317A2"/>
    <w:rsid w:val="003317D5"/>
    <w:rsid w:val="00331D9A"/>
    <w:rsid w:val="00331DC8"/>
    <w:rsid w:val="003322F0"/>
    <w:rsid w:val="00332529"/>
    <w:rsid w:val="00332710"/>
    <w:rsid w:val="003370B6"/>
    <w:rsid w:val="00340169"/>
    <w:rsid w:val="0034747D"/>
    <w:rsid w:val="0035545A"/>
    <w:rsid w:val="00355B36"/>
    <w:rsid w:val="00361B38"/>
    <w:rsid w:val="00364373"/>
    <w:rsid w:val="003664F8"/>
    <w:rsid w:val="00366CA1"/>
    <w:rsid w:val="00370155"/>
    <w:rsid w:val="0037073A"/>
    <w:rsid w:val="00371064"/>
    <w:rsid w:val="0037444C"/>
    <w:rsid w:val="00376633"/>
    <w:rsid w:val="003806AF"/>
    <w:rsid w:val="00380A2E"/>
    <w:rsid w:val="003814AD"/>
    <w:rsid w:val="00381899"/>
    <w:rsid w:val="0039041E"/>
    <w:rsid w:val="003939BE"/>
    <w:rsid w:val="003A0A59"/>
    <w:rsid w:val="003A2576"/>
    <w:rsid w:val="003A6C25"/>
    <w:rsid w:val="003B166E"/>
    <w:rsid w:val="003B2B53"/>
    <w:rsid w:val="003B2CB9"/>
    <w:rsid w:val="003B44B9"/>
    <w:rsid w:val="003B5525"/>
    <w:rsid w:val="003B6A33"/>
    <w:rsid w:val="003C314C"/>
    <w:rsid w:val="003C327B"/>
    <w:rsid w:val="003C7257"/>
    <w:rsid w:val="003D2CE3"/>
    <w:rsid w:val="003D335D"/>
    <w:rsid w:val="003D33DF"/>
    <w:rsid w:val="003E0E34"/>
    <w:rsid w:val="003E1969"/>
    <w:rsid w:val="003E4E15"/>
    <w:rsid w:val="003E54E3"/>
    <w:rsid w:val="003F4743"/>
    <w:rsid w:val="003F6C01"/>
    <w:rsid w:val="003F7124"/>
    <w:rsid w:val="00401161"/>
    <w:rsid w:val="004012E1"/>
    <w:rsid w:val="004016FC"/>
    <w:rsid w:val="00402B41"/>
    <w:rsid w:val="00404ABE"/>
    <w:rsid w:val="00406B5A"/>
    <w:rsid w:val="00407DF8"/>
    <w:rsid w:val="00411831"/>
    <w:rsid w:val="00413875"/>
    <w:rsid w:val="00417EB7"/>
    <w:rsid w:val="00422E3F"/>
    <w:rsid w:val="0042522F"/>
    <w:rsid w:val="00426AD7"/>
    <w:rsid w:val="00430500"/>
    <w:rsid w:val="004309B8"/>
    <w:rsid w:val="004319E9"/>
    <w:rsid w:val="004323D4"/>
    <w:rsid w:val="00433213"/>
    <w:rsid w:val="0043531F"/>
    <w:rsid w:val="00436195"/>
    <w:rsid w:val="00440289"/>
    <w:rsid w:val="00442251"/>
    <w:rsid w:val="00444393"/>
    <w:rsid w:val="00444B54"/>
    <w:rsid w:val="004479C7"/>
    <w:rsid w:val="004501BD"/>
    <w:rsid w:val="004522B4"/>
    <w:rsid w:val="00454A03"/>
    <w:rsid w:val="004572A4"/>
    <w:rsid w:val="00460AB5"/>
    <w:rsid w:val="00461552"/>
    <w:rsid w:val="004621B0"/>
    <w:rsid w:val="004622E0"/>
    <w:rsid w:val="004730CE"/>
    <w:rsid w:val="00474F20"/>
    <w:rsid w:val="0047509B"/>
    <w:rsid w:val="004751A1"/>
    <w:rsid w:val="004830FA"/>
    <w:rsid w:val="00483F9C"/>
    <w:rsid w:val="004855BF"/>
    <w:rsid w:val="004875AB"/>
    <w:rsid w:val="00490F5A"/>
    <w:rsid w:val="00491026"/>
    <w:rsid w:val="004919C0"/>
    <w:rsid w:val="004921DA"/>
    <w:rsid w:val="004958D8"/>
    <w:rsid w:val="004A0F42"/>
    <w:rsid w:val="004A1BB5"/>
    <w:rsid w:val="004A6535"/>
    <w:rsid w:val="004A755D"/>
    <w:rsid w:val="004B09D8"/>
    <w:rsid w:val="004B0BCE"/>
    <w:rsid w:val="004B118F"/>
    <w:rsid w:val="004B17A4"/>
    <w:rsid w:val="004B1F07"/>
    <w:rsid w:val="004B38DF"/>
    <w:rsid w:val="004B4E6C"/>
    <w:rsid w:val="004B76E4"/>
    <w:rsid w:val="004B7B7D"/>
    <w:rsid w:val="004C048C"/>
    <w:rsid w:val="004C0B88"/>
    <w:rsid w:val="004C2AD4"/>
    <w:rsid w:val="004C52D2"/>
    <w:rsid w:val="004D1DE0"/>
    <w:rsid w:val="004D2D1C"/>
    <w:rsid w:val="004D3FA7"/>
    <w:rsid w:val="004D40A1"/>
    <w:rsid w:val="004E2EB4"/>
    <w:rsid w:val="004E3030"/>
    <w:rsid w:val="004E7F15"/>
    <w:rsid w:val="004F0A77"/>
    <w:rsid w:val="004F1DED"/>
    <w:rsid w:val="004F494E"/>
    <w:rsid w:val="004F6479"/>
    <w:rsid w:val="00500FC7"/>
    <w:rsid w:val="0050140B"/>
    <w:rsid w:val="0050250B"/>
    <w:rsid w:val="005028B1"/>
    <w:rsid w:val="00502B4F"/>
    <w:rsid w:val="00504362"/>
    <w:rsid w:val="00504523"/>
    <w:rsid w:val="0050554E"/>
    <w:rsid w:val="00507265"/>
    <w:rsid w:val="00511111"/>
    <w:rsid w:val="00513D6C"/>
    <w:rsid w:val="00514FEF"/>
    <w:rsid w:val="00515249"/>
    <w:rsid w:val="00516E9A"/>
    <w:rsid w:val="00520D3C"/>
    <w:rsid w:val="0052419C"/>
    <w:rsid w:val="00524E7F"/>
    <w:rsid w:val="0052555A"/>
    <w:rsid w:val="00530E47"/>
    <w:rsid w:val="005341CB"/>
    <w:rsid w:val="0053427E"/>
    <w:rsid w:val="00535A9D"/>
    <w:rsid w:val="0053600B"/>
    <w:rsid w:val="00540E86"/>
    <w:rsid w:val="00541817"/>
    <w:rsid w:val="0054270F"/>
    <w:rsid w:val="00543E2F"/>
    <w:rsid w:val="00544B1E"/>
    <w:rsid w:val="005470B8"/>
    <w:rsid w:val="00554AA4"/>
    <w:rsid w:val="00555EEB"/>
    <w:rsid w:val="00557337"/>
    <w:rsid w:val="005578D4"/>
    <w:rsid w:val="00560B19"/>
    <w:rsid w:val="00561531"/>
    <w:rsid w:val="00561D5D"/>
    <w:rsid w:val="00563B85"/>
    <w:rsid w:val="00563D23"/>
    <w:rsid w:val="00564BAE"/>
    <w:rsid w:val="00570280"/>
    <w:rsid w:val="005708DF"/>
    <w:rsid w:val="00571F09"/>
    <w:rsid w:val="00574B80"/>
    <w:rsid w:val="00574FD2"/>
    <w:rsid w:val="0057684A"/>
    <w:rsid w:val="0057731B"/>
    <w:rsid w:val="00577355"/>
    <w:rsid w:val="00577987"/>
    <w:rsid w:val="0058071A"/>
    <w:rsid w:val="00581E2B"/>
    <w:rsid w:val="00583605"/>
    <w:rsid w:val="00584CE7"/>
    <w:rsid w:val="00586067"/>
    <w:rsid w:val="0059019A"/>
    <w:rsid w:val="00590D84"/>
    <w:rsid w:val="00592A0E"/>
    <w:rsid w:val="0059330F"/>
    <w:rsid w:val="005A12AB"/>
    <w:rsid w:val="005A758A"/>
    <w:rsid w:val="005B01B5"/>
    <w:rsid w:val="005B1D8E"/>
    <w:rsid w:val="005B3A9D"/>
    <w:rsid w:val="005B44A0"/>
    <w:rsid w:val="005B5D3A"/>
    <w:rsid w:val="005B6435"/>
    <w:rsid w:val="005B6DD0"/>
    <w:rsid w:val="005B7AAE"/>
    <w:rsid w:val="005C1CA9"/>
    <w:rsid w:val="005C626A"/>
    <w:rsid w:val="005C7AB2"/>
    <w:rsid w:val="005D0367"/>
    <w:rsid w:val="005D0EB0"/>
    <w:rsid w:val="005D4919"/>
    <w:rsid w:val="005D7AEB"/>
    <w:rsid w:val="005E068D"/>
    <w:rsid w:val="005E2320"/>
    <w:rsid w:val="005E64CE"/>
    <w:rsid w:val="005E6A44"/>
    <w:rsid w:val="005F34C5"/>
    <w:rsid w:val="005F4D88"/>
    <w:rsid w:val="005F517D"/>
    <w:rsid w:val="005F52AE"/>
    <w:rsid w:val="005F6187"/>
    <w:rsid w:val="005F6E2B"/>
    <w:rsid w:val="005F79E3"/>
    <w:rsid w:val="00601490"/>
    <w:rsid w:val="006060F2"/>
    <w:rsid w:val="00607F8E"/>
    <w:rsid w:val="0061079A"/>
    <w:rsid w:val="006123C9"/>
    <w:rsid w:val="00622233"/>
    <w:rsid w:val="00622792"/>
    <w:rsid w:val="006246A6"/>
    <w:rsid w:val="006266EB"/>
    <w:rsid w:val="0062676C"/>
    <w:rsid w:val="00626DE5"/>
    <w:rsid w:val="0062715A"/>
    <w:rsid w:val="00631471"/>
    <w:rsid w:val="006331B0"/>
    <w:rsid w:val="0063505C"/>
    <w:rsid w:val="00636068"/>
    <w:rsid w:val="00640166"/>
    <w:rsid w:val="006408DE"/>
    <w:rsid w:val="0064403A"/>
    <w:rsid w:val="00644350"/>
    <w:rsid w:val="006513A4"/>
    <w:rsid w:val="00651413"/>
    <w:rsid w:val="006525B6"/>
    <w:rsid w:val="00652792"/>
    <w:rsid w:val="00657342"/>
    <w:rsid w:val="00657981"/>
    <w:rsid w:val="00657E93"/>
    <w:rsid w:val="006601D3"/>
    <w:rsid w:val="00660229"/>
    <w:rsid w:val="00661314"/>
    <w:rsid w:val="006639E9"/>
    <w:rsid w:val="0066475A"/>
    <w:rsid w:val="00670D18"/>
    <w:rsid w:val="006711B9"/>
    <w:rsid w:val="00674756"/>
    <w:rsid w:val="00681985"/>
    <w:rsid w:val="0068251D"/>
    <w:rsid w:val="00682CF1"/>
    <w:rsid w:val="0068394E"/>
    <w:rsid w:val="006868B8"/>
    <w:rsid w:val="00686EA1"/>
    <w:rsid w:val="0069156D"/>
    <w:rsid w:val="00693315"/>
    <w:rsid w:val="006940E7"/>
    <w:rsid w:val="006A1CFD"/>
    <w:rsid w:val="006A2C2B"/>
    <w:rsid w:val="006A2EB9"/>
    <w:rsid w:val="006A49E6"/>
    <w:rsid w:val="006A69AE"/>
    <w:rsid w:val="006A73CD"/>
    <w:rsid w:val="006B02C5"/>
    <w:rsid w:val="006B1968"/>
    <w:rsid w:val="006B36CE"/>
    <w:rsid w:val="006B39AA"/>
    <w:rsid w:val="006B4A57"/>
    <w:rsid w:val="006B71D3"/>
    <w:rsid w:val="006C138E"/>
    <w:rsid w:val="006C1F33"/>
    <w:rsid w:val="006C24E2"/>
    <w:rsid w:val="006C25F1"/>
    <w:rsid w:val="006C4F65"/>
    <w:rsid w:val="006C6D80"/>
    <w:rsid w:val="006D157A"/>
    <w:rsid w:val="006D4CB2"/>
    <w:rsid w:val="006D53B3"/>
    <w:rsid w:val="006D6003"/>
    <w:rsid w:val="006D62FE"/>
    <w:rsid w:val="006D7CD4"/>
    <w:rsid w:val="006D7D6D"/>
    <w:rsid w:val="006E092D"/>
    <w:rsid w:val="006E0D9A"/>
    <w:rsid w:val="006E4DF7"/>
    <w:rsid w:val="006E579F"/>
    <w:rsid w:val="006F0260"/>
    <w:rsid w:val="006F142B"/>
    <w:rsid w:val="006F1FCC"/>
    <w:rsid w:val="006F3857"/>
    <w:rsid w:val="006F3BD3"/>
    <w:rsid w:val="006F5709"/>
    <w:rsid w:val="006F5E2B"/>
    <w:rsid w:val="007006A2"/>
    <w:rsid w:val="0070345F"/>
    <w:rsid w:val="00703662"/>
    <w:rsid w:val="007079D8"/>
    <w:rsid w:val="007110E1"/>
    <w:rsid w:val="007124E3"/>
    <w:rsid w:val="007164B2"/>
    <w:rsid w:val="007175AB"/>
    <w:rsid w:val="00721A51"/>
    <w:rsid w:val="00722749"/>
    <w:rsid w:val="00722B2D"/>
    <w:rsid w:val="007253BF"/>
    <w:rsid w:val="00725AF8"/>
    <w:rsid w:val="00726B03"/>
    <w:rsid w:val="0073115E"/>
    <w:rsid w:val="00731AC5"/>
    <w:rsid w:val="00732AE0"/>
    <w:rsid w:val="007331BE"/>
    <w:rsid w:val="00735748"/>
    <w:rsid w:val="0073715E"/>
    <w:rsid w:val="0074368D"/>
    <w:rsid w:val="00744AE0"/>
    <w:rsid w:val="007479B0"/>
    <w:rsid w:val="00750729"/>
    <w:rsid w:val="007518DF"/>
    <w:rsid w:val="00753085"/>
    <w:rsid w:val="00756B3F"/>
    <w:rsid w:val="00757EC6"/>
    <w:rsid w:val="007604F8"/>
    <w:rsid w:val="00764399"/>
    <w:rsid w:val="0076458D"/>
    <w:rsid w:val="00765A12"/>
    <w:rsid w:val="00770E8B"/>
    <w:rsid w:val="00772FED"/>
    <w:rsid w:val="0077382E"/>
    <w:rsid w:val="00776F28"/>
    <w:rsid w:val="00777B81"/>
    <w:rsid w:val="00786531"/>
    <w:rsid w:val="00786A86"/>
    <w:rsid w:val="007870FF"/>
    <w:rsid w:val="007909CC"/>
    <w:rsid w:val="007916D2"/>
    <w:rsid w:val="00793A38"/>
    <w:rsid w:val="0079526C"/>
    <w:rsid w:val="007A01B3"/>
    <w:rsid w:val="007A18D8"/>
    <w:rsid w:val="007A46CA"/>
    <w:rsid w:val="007A727C"/>
    <w:rsid w:val="007A7820"/>
    <w:rsid w:val="007B2ECA"/>
    <w:rsid w:val="007B402D"/>
    <w:rsid w:val="007C02B8"/>
    <w:rsid w:val="007C475A"/>
    <w:rsid w:val="007D003F"/>
    <w:rsid w:val="007D6101"/>
    <w:rsid w:val="007E291B"/>
    <w:rsid w:val="007E58F8"/>
    <w:rsid w:val="007E6384"/>
    <w:rsid w:val="007E6522"/>
    <w:rsid w:val="007E730F"/>
    <w:rsid w:val="007E734C"/>
    <w:rsid w:val="007F6B8C"/>
    <w:rsid w:val="007F73BA"/>
    <w:rsid w:val="008001B2"/>
    <w:rsid w:val="00802EB4"/>
    <w:rsid w:val="00807DFF"/>
    <w:rsid w:val="008121EA"/>
    <w:rsid w:val="008140B4"/>
    <w:rsid w:val="00814742"/>
    <w:rsid w:val="00814F59"/>
    <w:rsid w:val="00815408"/>
    <w:rsid w:val="00816A92"/>
    <w:rsid w:val="00823054"/>
    <w:rsid w:val="008305B0"/>
    <w:rsid w:val="0083192E"/>
    <w:rsid w:val="008321BE"/>
    <w:rsid w:val="008323E3"/>
    <w:rsid w:val="008327A6"/>
    <w:rsid w:val="00833128"/>
    <w:rsid w:val="00833A66"/>
    <w:rsid w:val="00833ABA"/>
    <w:rsid w:val="008343BE"/>
    <w:rsid w:val="0083497C"/>
    <w:rsid w:val="00834B0C"/>
    <w:rsid w:val="00834BAF"/>
    <w:rsid w:val="00837B3A"/>
    <w:rsid w:val="008400E0"/>
    <w:rsid w:val="00841D91"/>
    <w:rsid w:val="0084232E"/>
    <w:rsid w:val="00844EAF"/>
    <w:rsid w:val="0085310E"/>
    <w:rsid w:val="008535CC"/>
    <w:rsid w:val="008555E2"/>
    <w:rsid w:val="00855C24"/>
    <w:rsid w:val="00856E0E"/>
    <w:rsid w:val="00861BF7"/>
    <w:rsid w:val="00862186"/>
    <w:rsid w:val="00863F57"/>
    <w:rsid w:val="008664A8"/>
    <w:rsid w:val="00873046"/>
    <w:rsid w:val="008741D9"/>
    <w:rsid w:val="008756CC"/>
    <w:rsid w:val="00876513"/>
    <w:rsid w:val="008802DA"/>
    <w:rsid w:val="0088166D"/>
    <w:rsid w:val="008833E1"/>
    <w:rsid w:val="00885303"/>
    <w:rsid w:val="00886069"/>
    <w:rsid w:val="0088637F"/>
    <w:rsid w:val="00887F42"/>
    <w:rsid w:val="00890135"/>
    <w:rsid w:val="0089192B"/>
    <w:rsid w:val="00893EE9"/>
    <w:rsid w:val="0089471C"/>
    <w:rsid w:val="008A1185"/>
    <w:rsid w:val="008A1443"/>
    <w:rsid w:val="008A2DE7"/>
    <w:rsid w:val="008A4EF6"/>
    <w:rsid w:val="008A4FCC"/>
    <w:rsid w:val="008C17FA"/>
    <w:rsid w:val="008C355F"/>
    <w:rsid w:val="008C428D"/>
    <w:rsid w:val="008D3A29"/>
    <w:rsid w:val="008E1D4D"/>
    <w:rsid w:val="008E4148"/>
    <w:rsid w:val="008E56C7"/>
    <w:rsid w:val="008F294B"/>
    <w:rsid w:val="008F3FFF"/>
    <w:rsid w:val="008F4D05"/>
    <w:rsid w:val="008F5FD6"/>
    <w:rsid w:val="008F7D49"/>
    <w:rsid w:val="00900EB4"/>
    <w:rsid w:val="009031C3"/>
    <w:rsid w:val="009044EE"/>
    <w:rsid w:val="00907B73"/>
    <w:rsid w:val="0091690A"/>
    <w:rsid w:val="009177EF"/>
    <w:rsid w:val="009207F8"/>
    <w:rsid w:val="0092117A"/>
    <w:rsid w:val="00921EE6"/>
    <w:rsid w:val="009231E8"/>
    <w:rsid w:val="00925827"/>
    <w:rsid w:val="00925912"/>
    <w:rsid w:val="00925F71"/>
    <w:rsid w:val="009261BE"/>
    <w:rsid w:val="0092746D"/>
    <w:rsid w:val="009279FD"/>
    <w:rsid w:val="00931115"/>
    <w:rsid w:val="00931872"/>
    <w:rsid w:val="00931877"/>
    <w:rsid w:val="009330A3"/>
    <w:rsid w:val="0093772F"/>
    <w:rsid w:val="009377A1"/>
    <w:rsid w:val="009419A4"/>
    <w:rsid w:val="00943AC6"/>
    <w:rsid w:val="009441E7"/>
    <w:rsid w:val="00945AFA"/>
    <w:rsid w:val="00946B11"/>
    <w:rsid w:val="0094709F"/>
    <w:rsid w:val="00947241"/>
    <w:rsid w:val="00950361"/>
    <w:rsid w:val="00951037"/>
    <w:rsid w:val="009538DB"/>
    <w:rsid w:val="0095530A"/>
    <w:rsid w:val="009601E2"/>
    <w:rsid w:val="00960895"/>
    <w:rsid w:val="00960BB8"/>
    <w:rsid w:val="0096110F"/>
    <w:rsid w:val="00962284"/>
    <w:rsid w:val="009640CF"/>
    <w:rsid w:val="00971E25"/>
    <w:rsid w:val="00972334"/>
    <w:rsid w:val="009729C5"/>
    <w:rsid w:val="00976B9E"/>
    <w:rsid w:val="009775D3"/>
    <w:rsid w:val="00980C1B"/>
    <w:rsid w:val="00981FF7"/>
    <w:rsid w:val="00983A0D"/>
    <w:rsid w:val="009861F2"/>
    <w:rsid w:val="00991C4F"/>
    <w:rsid w:val="00992E60"/>
    <w:rsid w:val="009942C9"/>
    <w:rsid w:val="00994D5F"/>
    <w:rsid w:val="00995C93"/>
    <w:rsid w:val="00995F65"/>
    <w:rsid w:val="00995FC7"/>
    <w:rsid w:val="00997082"/>
    <w:rsid w:val="0099767E"/>
    <w:rsid w:val="009A1AC0"/>
    <w:rsid w:val="009A21E6"/>
    <w:rsid w:val="009A2690"/>
    <w:rsid w:val="009A360C"/>
    <w:rsid w:val="009A4D61"/>
    <w:rsid w:val="009A6EE7"/>
    <w:rsid w:val="009B03A0"/>
    <w:rsid w:val="009B0814"/>
    <w:rsid w:val="009B4034"/>
    <w:rsid w:val="009B73A1"/>
    <w:rsid w:val="009B763F"/>
    <w:rsid w:val="009C01A3"/>
    <w:rsid w:val="009C5A0D"/>
    <w:rsid w:val="009C683F"/>
    <w:rsid w:val="009D0C1A"/>
    <w:rsid w:val="009D1846"/>
    <w:rsid w:val="009D2C8D"/>
    <w:rsid w:val="009D5245"/>
    <w:rsid w:val="009E0C94"/>
    <w:rsid w:val="009E2076"/>
    <w:rsid w:val="009E2A27"/>
    <w:rsid w:val="009E3289"/>
    <w:rsid w:val="009E342F"/>
    <w:rsid w:val="009E40B2"/>
    <w:rsid w:val="009E5F5A"/>
    <w:rsid w:val="009E69CF"/>
    <w:rsid w:val="009F2181"/>
    <w:rsid w:val="009F39F8"/>
    <w:rsid w:val="009F4BE4"/>
    <w:rsid w:val="009F6D2D"/>
    <w:rsid w:val="009F7971"/>
    <w:rsid w:val="00A01431"/>
    <w:rsid w:val="00A0187A"/>
    <w:rsid w:val="00A05BA1"/>
    <w:rsid w:val="00A0615F"/>
    <w:rsid w:val="00A06FB6"/>
    <w:rsid w:val="00A07235"/>
    <w:rsid w:val="00A0730C"/>
    <w:rsid w:val="00A11BC1"/>
    <w:rsid w:val="00A1283B"/>
    <w:rsid w:val="00A15C9A"/>
    <w:rsid w:val="00A175F3"/>
    <w:rsid w:val="00A17B73"/>
    <w:rsid w:val="00A220B3"/>
    <w:rsid w:val="00A2592C"/>
    <w:rsid w:val="00A26A88"/>
    <w:rsid w:val="00A26C9B"/>
    <w:rsid w:val="00A26E8E"/>
    <w:rsid w:val="00A27009"/>
    <w:rsid w:val="00A32322"/>
    <w:rsid w:val="00A3309F"/>
    <w:rsid w:val="00A35D0E"/>
    <w:rsid w:val="00A45C25"/>
    <w:rsid w:val="00A5142D"/>
    <w:rsid w:val="00A53472"/>
    <w:rsid w:val="00A5394A"/>
    <w:rsid w:val="00A55C20"/>
    <w:rsid w:val="00A6389F"/>
    <w:rsid w:val="00A6416E"/>
    <w:rsid w:val="00A6658B"/>
    <w:rsid w:val="00A6738A"/>
    <w:rsid w:val="00A70021"/>
    <w:rsid w:val="00A70547"/>
    <w:rsid w:val="00A70EE0"/>
    <w:rsid w:val="00A7133A"/>
    <w:rsid w:val="00A73BF9"/>
    <w:rsid w:val="00A800A7"/>
    <w:rsid w:val="00A800AB"/>
    <w:rsid w:val="00A86F76"/>
    <w:rsid w:val="00A8767F"/>
    <w:rsid w:val="00A93F09"/>
    <w:rsid w:val="00A95E9E"/>
    <w:rsid w:val="00A96142"/>
    <w:rsid w:val="00AA2C9E"/>
    <w:rsid w:val="00AA6880"/>
    <w:rsid w:val="00AB053B"/>
    <w:rsid w:val="00AB0C45"/>
    <w:rsid w:val="00AB0E46"/>
    <w:rsid w:val="00AB1568"/>
    <w:rsid w:val="00AB5CC8"/>
    <w:rsid w:val="00AB6385"/>
    <w:rsid w:val="00AB7A23"/>
    <w:rsid w:val="00AC0D28"/>
    <w:rsid w:val="00AC55D7"/>
    <w:rsid w:val="00AC65C9"/>
    <w:rsid w:val="00AC73A8"/>
    <w:rsid w:val="00AD0A4E"/>
    <w:rsid w:val="00AD0FF4"/>
    <w:rsid w:val="00AD1674"/>
    <w:rsid w:val="00AD62C1"/>
    <w:rsid w:val="00AD657B"/>
    <w:rsid w:val="00AD6797"/>
    <w:rsid w:val="00AE0F63"/>
    <w:rsid w:val="00AE3AF9"/>
    <w:rsid w:val="00AE61E8"/>
    <w:rsid w:val="00AE62E5"/>
    <w:rsid w:val="00AE7D00"/>
    <w:rsid w:val="00AF087A"/>
    <w:rsid w:val="00AF1417"/>
    <w:rsid w:val="00AF16A8"/>
    <w:rsid w:val="00AF1B4A"/>
    <w:rsid w:val="00AF2974"/>
    <w:rsid w:val="00AF2B03"/>
    <w:rsid w:val="00AF60BE"/>
    <w:rsid w:val="00AF7FC9"/>
    <w:rsid w:val="00B027BA"/>
    <w:rsid w:val="00B0408D"/>
    <w:rsid w:val="00B04A45"/>
    <w:rsid w:val="00B0513A"/>
    <w:rsid w:val="00B10FA2"/>
    <w:rsid w:val="00B13ED5"/>
    <w:rsid w:val="00B17AFF"/>
    <w:rsid w:val="00B23F3F"/>
    <w:rsid w:val="00B23FB0"/>
    <w:rsid w:val="00B264AB"/>
    <w:rsid w:val="00B26907"/>
    <w:rsid w:val="00B271B7"/>
    <w:rsid w:val="00B27268"/>
    <w:rsid w:val="00B273FF"/>
    <w:rsid w:val="00B27479"/>
    <w:rsid w:val="00B27AEA"/>
    <w:rsid w:val="00B27C00"/>
    <w:rsid w:val="00B31BD3"/>
    <w:rsid w:val="00B337AE"/>
    <w:rsid w:val="00B36754"/>
    <w:rsid w:val="00B4028B"/>
    <w:rsid w:val="00B44854"/>
    <w:rsid w:val="00B457AD"/>
    <w:rsid w:val="00B463FF"/>
    <w:rsid w:val="00B46B80"/>
    <w:rsid w:val="00B5028B"/>
    <w:rsid w:val="00B5069B"/>
    <w:rsid w:val="00B5112A"/>
    <w:rsid w:val="00B5181D"/>
    <w:rsid w:val="00B51A2B"/>
    <w:rsid w:val="00B52713"/>
    <w:rsid w:val="00B528DB"/>
    <w:rsid w:val="00B54B13"/>
    <w:rsid w:val="00B55951"/>
    <w:rsid w:val="00B559C8"/>
    <w:rsid w:val="00B56DC6"/>
    <w:rsid w:val="00B62E94"/>
    <w:rsid w:val="00B63024"/>
    <w:rsid w:val="00B6321D"/>
    <w:rsid w:val="00B67015"/>
    <w:rsid w:val="00B67BDF"/>
    <w:rsid w:val="00B702A8"/>
    <w:rsid w:val="00B730A4"/>
    <w:rsid w:val="00B74BDE"/>
    <w:rsid w:val="00B75823"/>
    <w:rsid w:val="00B77E72"/>
    <w:rsid w:val="00B806A9"/>
    <w:rsid w:val="00B80BFE"/>
    <w:rsid w:val="00B826B8"/>
    <w:rsid w:val="00B82F51"/>
    <w:rsid w:val="00B83FA0"/>
    <w:rsid w:val="00B87F25"/>
    <w:rsid w:val="00B90F48"/>
    <w:rsid w:val="00B91AEB"/>
    <w:rsid w:val="00B9302E"/>
    <w:rsid w:val="00BA1564"/>
    <w:rsid w:val="00BA1A3C"/>
    <w:rsid w:val="00BA2BC4"/>
    <w:rsid w:val="00BA3E3E"/>
    <w:rsid w:val="00BB222C"/>
    <w:rsid w:val="00BB44A8"/>
    <w:rsid w:val="00BB550C"/>
    <w:rsid w:val="00BB7FD3"/>
    <w:rsid w:val="00BC0795"/>
    <w:rsid w:val="00BC26F7"/>
    <w:rsid w:val="00BC31EE"/>
    <w:rsid w:val="00BC6049"/>
    <w:rsid w:val="00BC72C1"/>
    <w:rsid w:val="00BD1731"/>
    <w:rsid w:val="00BD2B1E"/>
    <w:rsid w:val="00BD47D7"/>
    <w:rsid w:val="00BD5216"/>
    <w:rsid w:val="00BD6498"/>
    <w:rsid w:val="00BD68E3"/>
    <w:rsid w:val="00BE0D44"/>
    <w:rsid w:val="00BE1544"/>
    <w:rsid w:val="00BE3009"/>
    <w:rsid w:val="00BE3BF7"/>
    <w:rsid w:val="00BE4E88"/>
    <w:rsid w:val="00BE640F"/>
    <w:rsid w:val="00BE6723"/>
    <w:rsid w:val="00BE77B3"/>
    <w:rsid w:val="00BF2EA8"/>
    <w:rsid w:val="00BF319D"/>
    <w:rsid w:val="00BF361C"/>
    <w:rsid w:val="00BF71B2"/>
    <w:rsid w:val="00BF74AF"/>
    <w:rsid w:val="00BF7CD7"/>
    <w:rsid w:val="00C02359"/>
    <w:rsid w:val="00C02E6E"/>
    <w:rsid w:val="00C03A2E"/>
    <w:rsid w:val="00C04295"/>
    <w:rsid w:val="00C0670C"/>
    <w:rsid w:val="00C11207"/>
    <w:rsid w:val="00C16298"/>
    <w:rsid w:val="00C20AE9"/>
    <w:rsid w:val="00C21833"/>
    <w:rsid w:val="00C21A5D"/>
    <w:rsid w:val="00C226C6"/>
    <w:rsid w:val="00C231E8"/>
    <w:rsid w:val="00C24F3F"/>
    <w:rsid w:val="00C26E1D"/>
    <w:rsid w:val="00C30B12"/>
    <w:rsid w:val="00C31F5F"/>
    <w:rsid w:val="00C33D9F"/>
    <w:rsid w:val="00C34974"/>
    <w:rsid w:val="00C40354"/>
    <w:rsid w:val="00C41A91"/>
    <w:rsid w:val="00C470E0"/>
    <w:rsid w:val="00C47502"/>
    <w:rsid w:val="00C52E1C"/>
    <w:rsid w:val="00C53853"/>
    <w:rsid w:val="00C53A67"/>
    <w:rsid w:val="00C57085"/>
    <w:rsid w:val="00C603E0"/>
    <w:rsid w:val="00C6151C"/>
    <w:rsid w:val="00C61EE3"/>
    <w:rsid w:val="00C63D1D"/>
    <w:rsid w:val="00C643E9"/>
    <w:rsid w:val="00C6519E"/>
    <w:rsid w:val="00C66E2D"/>
    <w:rsid w:val="00C6753F"/>
    <w:rsid w:val="00C7023C"/>
    <w:rsid w:val="00C70476"/>
    <w:rsid w:val="00C70800"/>
    <w:rsid w:val="00C7101E"/>
    <w:rsid w:val="00C73FE5"/>
    <w:rsid w:val="00C8051C"/>
    <w:rsid w:val="00C83163"/>
    <w:rsid w:val="00C8630C"/>
    <w:rsid w:val="00C86727"/>
    <w:rsid w:val="00C86FE2"/>
    <w:rsid w:val="00C87EBF"/>
    <w:rsid w:val="00C92FFA"/>
    <w:rsid w:val="00C9341A"/>
    <w:rsid w:val="00C965D6"/>
    <w:rsid w:val="00C967F6"/>
    <w:rsid w:val="00CA0114"/>
    <w:rsid w:val="00CA07D6"/>
    <w:rsid w:val="00CA4119"/>
    <w:rsid w:val="00CB0D65"/>
    <w:rsid w:val="00CB178D"/>
    <w:rsid w:val="00CB19D9"/>
    <w:rsid w:val="00CB1D9E"/>
    <w:rsid w:val="00CB6295"/>
    <w:rsid w:val="00CC0A2C"/>
    <w:rsid w:val="00CC0FE4"/>
    <w:rsid w:val="00CC2909"/>
    <w:rsid w:val="00CC3446"/>
    <w:rsid w:val="00CC4A95"/>
    <w:rsid w:val="00CC6D04"/>
    <w:rsid w:val="00CD03BA"/>
    <w:rsid w:val="00CD29B3"/>
    <w:rsid w:val="00CD3F72"/>
    <w:rsid w:val="00CD5672"/>
    <w:rsid w:val="00CD7492"/>
    <w:rsid w:val="00CE1095"/>
    <w:rsid w:val="00CE55CC"/>
    <w:rsid w:val="00CE6A0F"/>
    <w:rsid w:val="00CE759F"/>
    <w:rsid w:val="00CF0525"/>
    <w:rsid w:val="00CF0F4B"/>
    <w:rsid w:val="00CF25C6"/>
    <w:rsid w:val="00CF4241"/>
    <w:rsid w:val="00CF51E0"/>
    <w:rsid w:val="00D00B2A"/>
    <w:rsid w:val="00D033D0"/>
    <w:rsid w:val="00D03CAD"/>
    <w:rsid w:val="00D06E6E"/>
    <w:rsid w:val="00D13D26"/>
    <w:rsid w:val="00D148E4"/>
    <w:rsid w:val="00D15E37"/>
    <w:rsid w:val="00D162BC"/>
    <w:rsid w:val="00D16629"/>
    <w:rsid w:val="00D16C83"/>
    <w:rsid w:val="00D2094C"/>
    <w:rsid w:val="00D20968"/>
    <w:rsid w:val="00D254C3"/>
    <w:rsid w:val="00D266A9"/>
    <w:rsid w:val="00D2727B"/>
    <w:rsid w:val="00D272BC"/>
    <w:rsid w:val="00D30C82"/>
    <w:rsid w:val="00D316A7"/>
    <w:rsid w:val="00D31F6C"/>
    <w:rsid w:val="00D323E9"/>
    <w:rsid w:val="00D376C9"/>
    <w:rsid w:val="00D37AA0"/>
    <w:rsid w:val="00D4083A"/>
    <w:rsid w:val="00D4101D"/>
    <w:rsid w:val="00D43DFD"/>
    <w:rsid w:val="00D449B6"/>
    <w:rsid w:val="00D45601"/>
    <w:rsid w:val="00D47BD8"/>
    <w:rsid w:val="00D50FA8"/>
    <w:rsid w:val="00D5280A"/>
    <w:rsid w:val="00D55C06"/>
    <w:rsid w:val="00D561E8"/>
    <w:rsid w:val="00D56B1B"/>
    <w:rsid w:val="00D61B40"/>
    <w:rsid w:val="00D6397B"/>
    <w:rsid w:val="00D64E8B"/>
    <w:rsid w:val="00D6591A"/>
    <w:rsid w:val="00D70722"/>
    <w:rsid w:val="00D7072B"/>
    <w:rsid w:val="00D72692"/>
    <w:rsid w:val="00D74667"/>
    <w:rsid w:val="00D74F34"/>
    <w:rsid w:val="00D75BCB"/>
    <w:rsid w:val="00D76929"/>
    <w:rsid w:val="00D77001"/>
    <w:rsid w:val="00D7729E"/>
    <w:rsid w:val="00D77A54"/>
    <w:rsid w:val="00D808E4"/>
    <w:rsid w:val="00D80AE2"/>
    <w:rsid w:val="00D822D7"/>
    <w:rsid w:val="00D87FB8"/>
    <w:rsid w:val="00D92BE7"/>
    <w:rsid w:val="00D93839"/>
    <w:rsid w:val="00D93AFD"/>
    <w:rsid w:val="00D941CB"/>
    <w:rsid w:val="00D9771D"/>
    <w:rsid w:val="00D97893"/>
    <w:rsid w:val="00DA0C42"/>
    <w:rsid w:val="00DA0FEC"/>
    <w:rsid w:val="00DA2441"/>
    <w:rsid w:val="00DA2773"/>
    <w:rsid w:val="00DA287F"/>
    <w:rsid w:val="00DA30C3"/>
    <w:rsid w:val="00DB3F39"/>
    <w:rsid w:val="00DB6342"/>
    <w:rsid w:val="00DC0720"/>
    <w:rsid w:val="00DC0B7F"/>
    <w:rsid w:val="00DC12DE"/>
    <w:rsid w:val="00DC4741"/>
    <w:rsid w:val="00DD0F17"/>
    <w:rsid w:val="00DD3242"/>
    <w:rsid w:val="00DD7FC8"/>
    <w:rsid w:val="00DE3409"/>
    <w:rsid w:val="00DE4260"/>
    <w:rsid w:val="00DF044C"/>
    <w:rsid w:val="00E00483"/>
    <w:rsid w:val="00E0154C"/>
    <w:rsid w:val="00E019B4"/>
    <w:rsid w:val="00E032CA"/>
    <w:rsid w:val="00E034C7"/>
    <w:rsid w:val="00E04CB4"/>
    <w:rsid w:val="00E06067"/>
    <w:rsid w:val="00E0618F"/>
    <w:rsid w:val="00E06448"/>
    <w:rsid w:val="00E1462F"/>
    <w:rsid w:val="00E14854"/>
    <w:rsid w:val="00E161E4"/>
    <w:rsid w:val="00E20771"/>
    <w:rsid w:val="00E21EAE"/>
    <w:rsid w:val="00E21F21"/>
    <w:rsid w:val="00E2242F"/>
    <w:rsid w:val="00E236B9"/>
    <w:rsid w:val="00E25914"/>
    <w:rsid w:val="00E2650E"/>
    <w:rsid w:val="00E27D5B"/>
    <w:rsid w:val="00E320F8"/>
    <w:rsid w:val="00E33BFE"/>
    <w:rsid w:val="00E3648B"/>
    <w:rsid w:val="00E459C3"/>
    <w:rsid w:val="00E4788E"/>
    <w:rsid w:val="00E5210D"/>
    <w:rsid w:val="00E52390"/>
    <w:rsid w:val="00E52F25"/>
    <w:rsid w:val="00E54B0A"/>
    <w:rsid w:val="00E56BD2"/>
    <w:rsid w:val="00E603E5"/>
    <w:rsid w:val="00E622B2"/>
    <w:rsid w:val="00E62AA2"/>
    <w:rsid w:val="00E70CBA"/>
    <w:rsid w:val="00E7614F"/>
    <w:rsid w:val="00E77951"/>
    <w:rsid w:val="00E837CD"/>
    <w:rsid w:val="00E861B1"/>
    <w:rsid w:val="00E90B87"/>
    <w:rsid w:val="00E90F3D"/>
    <w:rsid w:val="00E917D8"/>
    <w:rsid w:val="00E91EF8"/>
    <w:rsid w:val="00E947C4"/>
    <w:rsid w:val="00E96045"/>
    <w:rsid w:val="00EA0B2E"/>
    <w:rsid w:val="00EA22AF"/>
    <w:rsid w:val="00EA2738"/>
    <w:rsid w:val="00EA4BA2"/>
    <w:rsid w:val="00EA6567"/>
    <w:rsid w:val="00EA7388"/>
    <w:rsid w:val="00EB186E"/>
    <w:rsid w:val="00EB3E4A"/>
    <w:rsid w:val="00EB561C"/>
    <w:rsid w:val="00EB591A"/>
    <w:rsid w:val="00EB6AB0"/>
    <w:rsid w:val="00EC4810"/>
    <w:rsid w:val="00EC49C2"/>
    <w:rsid w:val="00EC4F51"/>
    <w:rsid w:val="00EC737B"/>
    <w:rsid w:val="00EC7A93"/>
    <w:rsid w:val="00EC7AFA"/>
    <w:rsid w:val="00ED15B3"/>
    <w:rsid w:val="00ED2065"/>
    <w:rsid w:val="00ED227F"/>
    <w:rsid w:val="00ED3E95"/>
    <w:rsid w:val="00ED4149"/>
    <w:rsid w:val="00ED5034"/>
    <w:rsid w:val="00ED60AD"/>
    <w:rsid w:val="00ED61B1"/>
    <w:rsid w:val="00ED69E3"/>
    <w:rsid w:val="00ED79AA"/>
    <w:rsid w:val="00EE46DF"/>
    <w:rsid w:val="00EE4ADF"/>
    <w:rsid w:val="00EE5F0D"/>
    <w:rsid w:val="00EE768F"/>
    <w:rsid w:val="00EF3CE4"/>
    <w:rsid w:val="00EF488F"/>
    <w:rsid w:val="00EF51F5"/>
    <w:rsid w:val="00EF5832"/>
    <w:rsid w:val="00F10EEF"/>
    <w:rsid w:val="00F14BC4"/>
    <w:rsid w:val="00F17ABC"/>
    <w:rsid w:val="00F203C3"/>
    <w:rsid w:val="00F20733"/>
    <w:rsid w:val="00F229B5"/>
    <w:rsid w:val="00F3068D"/>
    <w:rsid w:val="00F31F20"/>
    <w:rsid w:val="00F32396"/>
    <w:rsid w:val="00F32949"/>
    <w:rsid w:val="00F336F4"/>
    <w:rsid w:val="00F3396F"/>
    <w:rsid w:val="00F34113"/>
    <w:rsid w:val="00F37009"/>
    <w:rsid w:val="00F37E94"/>
    <w:rsid w:val="00F40BE8"/>
    <w:rsid w:val="00F42B76"/>
    <w:rsid w:val="00F46DB0"/>
    <w:rsid w:val="00F47B29"/>
    <w:rsid w:val="00F50262"/>
    <w:rsid w:val="00F52842"/>
    <w:rsid w:val="00F52984"/>
    <w:rsid w:val="00F5397F"/>
    <w:rsid w:val="00F5518D"/>
    <w:rsid w:val="00F55664"/>
    <w:rsid w:val="00F55EEF"/>
    <w:rsid w:val="00F56630"/>
    <w:rsid w:val="00F5683D"/>
    <w:rsid w:val="00F60750"/>
    <w:rsid w:val="00F60CF8"/>
    <w:rsid w:val="00F629F9"/>
    <w:rsid w:val="00F73E98"/>
    <w:rsid w:val="00F77CA2"/>
    <w:rsid w:val="00F80812"/>
    <w:rsid w:val="00F847D7"/>
    <w:rsid w:val="00F84C29"/>
    <w:rsid w:val="00F87D3A"/>
    <w:rsid w:val="00F90793"/>
    <w:rsid w:val="00F91633"/>
    <w:rsid w:val="00F91C1B"/>
    <w:rsid w:val="00F9202D"/>
    <w:rsid w:val="00F94556"/>
    <w:rsid w:val="00F9459F"/>
    <w:rsid w:val="00F9559D"/>
    <w:rsid w:val="00F962CD"/>
    <w:rsid w:val="00F97412"/>
    <w:rsid w:val="00F9782F"/>
    <w:rsid w:val="00FA13AD"/>
    <w:rsid w:val="00FA1FF4"/>
    <w:rsid w:val="00FA2B6E"/>
    <w:rsid w:val="00FA5386"/>
    <w:rsid w:val="00FA69A9"/>
    <w:rsid w:val="00FA7CC3"/>
    <w:rsid w:val="00FB02AB"/>
    <w:rsid w:val="00FB0302"/>
    <w:rsid w:val="00FB23B7"/>
    <w:rsid w:val="00FB7EB6"/>
    <w:rsid w:val="00FC039F"/>
    <w:rsid w:val="00FC15D6"/>
    <w:rsid w:val="00FC166E"/>
    <w:rsid w:val="00FC1B0A"/>
    <w:rsid w:val="00FC1E61"/>
    <w:rsid w:val="00FC4578"/>
    <w:rsid w:val="00FC7B2D"/>
    <w:rsid w:val="00FD09C6"/>
    <w:rsid w:val="00FD1672"/>
    <w:rsid w:val="00FD16C1"/>
    <w:rsid w:val="00FD265F"/>
    <w:rsid w:val="00FD2B25"/>
    <w:rsid w:val="00FD396A"/>
    <w:rsid w:val="00FD7241"/>
    <w:rsid w:val="00FE1C68"/>
    <w:rsid w:val="00FE2F74"/>
    <w:rsid w:val="00FE6F9B"/>
    <w:rsid w:val="00FE7439"/>
    <w:rsid w:val="00FF180C"/>
    <w:rsid w:val="00FF5C5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64BAE"/>
    <w:pPr>
      <w:spacing w:after="0" w:line="280" w:lineRule="exact"/>
      <w:jc w:val="both"/>
    </w:pPr>
    <w:rPr>
      <w:rFonts w:ascii="Arial" w:hAnsi="Arial"/>
      <w:lang w:val="en-GB"/>
    </w:rPr>
  </w:style>
  <w:style w:type="paragraph" w:styleId="Heading1">
    <w:name w:val="heading 1"/>
    <w:basedOn w:val="Normal"/>
    <w:next w:val="Normal"/>
    <w:link w:val="Heading1Char"/>
    <w:uiPriority w:val="9"/>
    <w:qFormat/>
    <w:rsid w:val="005028B1"/>
    <w:pPr>
      <w:keepNext/>
      <w:keepLines/>
      <w:spacing w:before="240"/>
      <w:outlineLvl w:val="0"/>
    </w:pPr>
    <w:rPr>
      <w:rFonts w:eastAsiaTheme="majorEastAsia" w:cstheme="majorBidi"/>
      <w:b/>
      <w:caps/>
      <w:color w:val="538135" w:themeColor="accent6" w:themeShade="BF"/>
      <w:szCs w:val="32"/>
    </w:rPr>
  </w:style>
  <w:style w:type="paragraph" w:styleId="Heading2">
    <w:name w:val="heading 2"/>
    <w:basedOn w:val="Normal"/>
    <w:next w:val="Normal"/>
    <w:link w:val="Heading2Char"/>
    <w:uiPriority w:val="9"/>
    <w:unhideWhenUsed/>
    <w:qFormat/>
    <w:rsid w:val="005028B1"/>
    <w:pPr>
      <w:keepNext/>
      <w:keepLines/>
      <w:spacing w:before="40"/>
      <w:jc w:val="left"/>
      <w:outlineLvl w:val="1"/>
    </w:pPr>
    <w:rPr>
      <w:rFonts w:eastAsiaTheme="majorEastAsia" w:cstheme="majorBidi"/>
      <w:b/>
      <w:color w:val="538135" w:themeColor="accent6" w:themeShade="BF"/>
      <w:szCs w:val="26"/>
    </w:rPr>
  </w:style>
  <w:style w:type="paragraph" w:styleId="Heading3">
    <w:name w:val="heading 3"/>
    <w:basedOn w:val="Normal"/>
    <w:next w:val="Normal"/>
    <w:link w:val="Heading3Char"/>
    <w:uiPriority w:val="9"/>
    <w:unhideWhenUsed/>
    <w:qFormat/>
    <w:rsid w:val="00052B47"/>
    <w:pPr>
      <w:keepNext/>
      <w:keepLines/>
      <w:outlineLvl w:val="2"/>
    </w:pPr>
    <w:rPr>
      <w:rFonts w:eastAsiaTheme="majorEastAsia" w:cstheme="majorBidi"/>
      <w:b/>
      <w:i/>
      <w:color w:val="538135" w:themeColor="accent6" w:themeShade="BF"/>
      <w:szCs w:val="24"/>
    </w:rPr>
  </w:style>
  <w:style w:type="paragraph" w:styleId="Heading4">
    <w:name w:val="heading 4"/>
    <w:basedOn w:val="Normal"/>
    <w:next w:val="Normal"/>
    <w:link w:val="Heading4Char"/>
    <w:uiPriority w:val="9"/>
    <w:semiHidden/>
    <w:unhideWhenUsed/>
    <w:rsid w:val="009E0C9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E0C9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0C9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0C9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0C9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0C9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544"/>
    <w:pPr>
      <w:tabs>
        <w:tab w:val="center" w:pos="4513"/>
        <w:tab w:val="right" w:pos="9026"/>
      </w:tabs>
      <w:spacing w:line="240" w:lineRule="auto"/>
    </w:pPr>
  </w:style>
  <w:style w:type="character" w:customStyle="1" w:styleId="HeaderChar">
    <w:name w:val="Header Char"/>
    <w:basedOn w:val="DefaultParagraphFont"/>
    <w:link w:val="Header"/>
    <w:uiPriority w:val="99"/>
    <w:rsid w:val="00BE1544"/>
  </w:style>
  <w:style w:type="paragraph" w:styleId="Footer">
    <w:name w:val="footer"/>
    <w:basedOn w:val="Normal"/>
    <w:link w:val="FooterChar"/>
    <w:uiPriority w:val="99"/>
    <w:unhideWhenUsed/>
    <w:rsid w:val="00BE1544"/>
    <w:pPr>
      <w:tabs>
        <w:tab w:val="center" w:pos="4513"/>
        <w:tab w:val="right" w:pos="9026"/>
      </w:tabs>
      <w:spacing w:line="240" w:lineRule="auto"/>
    </w:pPr>
  </w:style>
  <w:style w:type="character" w:customStyle="1" w:styleId="FooterChar">
    <w:name w:val="Footer Char"/>
    <w:basedOn w:val="DefaultParagraphFont"/>
    <w:link w:val="Footer"/>
    <w:uiPriority w:val="99"/>
    <w:rsid w:val="00BE1544"/>
  </w:style>
  <w:style w:type="paragraph" w:customStyle="1" w:styleId="ResearchTitle">
    <w:name w:val="Research Title"/>
    <w:basedOn w:val="Normal"/>
    <w:link w:val="ResearchTitleChar"/>
    <w:rsid w:val="008A1185"/>
    <w:rPr>
      <w:b/>
      <w:caps/>
      <w:color w:val="538135" w:themeColor="accent6" w:themeShade="BF"/>
      <w:sz w:val="24"/>
    </w:rPr>
  </w:style>
  <w:style w:type="paragraph" w:customStyle="1" w:styleId="ReseachMainHeading">
    <w:name w:val="Reseach Main Heading"/>
    <w:basedOn w:val="ResearchTitle"/>
    <w:link w:val="ReseachMainHeadingChar"/>
    <w:rsid w:val="005E068D"/>
    <w:rPr>
      <w:sz w:val="22"/>
    </w:rPr>
  </w:style>
  <w:style w:type="character" w:customStyle="1" w:styleId="ResearchTitleChar">
    <w:name w:val="Research Title Char"/>
    <w:basedOn w:val="DefaultParagraphFont"/>
    <w:link w:val="ResearchTitle"/>
    <w:rsid w:val="008A1185"/>
    <w:rPr>
      <w:rFonts w:ascii="Arial" w:hAnsi="Arial"/>
      <w:b/>
      <w:caps/>
      <w:color w:val="538135" w:themeColor="accent6" w:themeShade="BF"/>
      <w:sz w:val="24"/>
    </w:rPr>
  </w:style>
  <w:style w:type="paragraph" w:customStyle="1" w:styleId="ResearchSubheading">
    <w:name w:val="Research Sub heading"/>
    <w:basedOn w:val="ReseachMainHeading"/>
    <w:link w:val="ResearchSubheadingChar"/>
    <w:rsid w:val="005E068D"/>
    <w:rPr>
      <w:b w:val="0"/>
      <w:caps w:val="0"/>
    </w:rPr>
  </w:style>
  <w:style w:type="character" w:customStyle="1" w:styleId="ReseachMainHeadingChar">
    <w:name w:val="Reseach Main Heading Char"/>
    <w:basedOn w:val="ResearchTitleChar"/>
    <w:link w:val="ReseachMainHeading"/>
    <w:rsid w:val="005E068D"/>
    <w:rPr>
      <w:rFonts w:ascii="Arial" w:hAnsi="Arial"/>
      <w:b/>
      <w:caps/>
      <w:color w:val="538135" w:themeColor="accent6" w:themeShade="BF"/>
      <w:sz w:val="24"/>
    </w:rPr>
  </w:style>
  <w:style w:type="character" w:customStyle="1" w:styleId="Heading1Char">
    <w:name w:val="Heading 1 Char"/>
    <w:basedOn w:val="DefaultParagraphFont"/>
    <w:link w:val="Heading1"/>
    <w:uiPriority w:val="9"/>
    <w:rsid w:val="005028B1"/>
    <w:rPr>
      <w:rFonts w:ascii="Arial" w:eastAsiaTheme="majorEastAsia" w:hAnsi="Arial" w:cstheme="majorBidi"/>
      <w:b/>
      <w:caps/>
      <w:color w:val="538135" w:themeColor="accent6" w:themeShade="BF"/>
      <w:szCs w:val="32"/>
    </w:rPr>
  </w:style>
  <w:style w:type="character" w:customStyle="1" w:styleId="ResearchSubheadingChar">
    <w:name w:val="Research Sub heading Char"/>
    <w:basedOn w:val="ReseachMainHeadingChar"/>
    <w:link w:val="ResearchSubheading"/>
    <w:rsid w:val="005E068D"/>
    <w:rPr>
      <w:rFonts w:ascii="Arial" w:hAnsi="Arial"/>
      <w:b w:val="0"/>
      <w:caps w:val="0"/>
      <w:color w:val="538135" w:themeColor="accent6" w:themeShade="BF"/>
      <w:sz w:val="24"/>
    </w:rPr>
  </w:style>
  <w:style w:type="paragraph" w:styleId="TOCHeading">
    <w:name w:val="TOC Heading"/>
    <w:basedOn w:val="Heading1"/>
    <w:next w:val="Normal"/>
    <w:uiPriority w:val="39"/>
    <w:unhideWhenUsed/>
    <w:qFormat/>
    <w:rsid w:val="00052B47"/>
    <w:pPr>
      <w:outlineLvl w:val="9"/>
    </w:pPr>
    <w:rPr>
      <w:caps w:val="0"/>
      <w:color w:val="000000" w:themeColor="text1"/>
      <w:lang w:val="en-US"/>
    </w:rPr>
  </w:style>
  <w:style w:type="paragraph" w:styleId="TOC1">
    <w:name w:val="toc 1"/>
    <w:basedOn w:val="Normal"/>
    <w:next w:val="Normal"/>
    <w:autoRedefine/>
    <w:uiPriority w:val="39"/>
    <w:unhideWhenUsed/>
    <w:qFormat/>
    <w:rsid w:val="00052B47"/>
    <w:pPr>
      <w:spacing w:after="100"/>
    </w:pPr>
    <w:rPr>
      <w:b/>
      <w:caps/>
      <w:color w:val="000000" w:themeColor="text1"/>
      <w:sz w:val="24"/>
    </w:rPr>
  </w:style>
  <w:style w:type="character" w:styleId="Hyperlink">
    <w:name w:val="Hyperlink"/>
    <w:basedOn w:val="DefaultParagraphFont"/>
    <w:uiPriority w:val="99"/>
    <w:unhideWhenUsed/>
    <w:rsid w:val="005E068D"/>
    <w:rPr>
      <w:color w:val="0563C1" w:themeColor="hyperlink"/>
      <w:u w:val="single"/>
    </w:rPr>
  </w:style>
  <w:style w:type="paragraph" w:styleId="ListParagraph">
    <w:name w:val="List Paragraph"/>
    <w:basedOn w:val="Normal"/>
    <w:uiPriority w:val="34"/>
    <w:rsid w:val="005E068D"/>
    <w:pPr>
      <w:ind w:left="720"/>
      <w:contextualSpacing/>
    </w:pPr>
  </w:style>
  <w:style w:type="character" w:customStyle="1" w:styleId="Heading2Char">
    <w:name w:val="Heading 2 Char"/>
    <w:basedOn w:val="DefaultParagraphFont"/>
    <w:link w:val="Heading2"/>
    <w:uiPriority w:val="9"/>
    <w:rsid w:val="005028B1"/>
    <w:rPr>
      <w:rFonts w:ascii="Arial" w:eastAsiaTheme="majorEastAsia" w:hAnsi="Arial" w:cstheme="majorBidi"/>
      <w:b/>
      <w:color w:val="538135" w:themeColor="accent6" w:themeShade="BF"/>
      <w:szCs w:val="26"/>
    </w:rPr>
  </w:style>
  <w:style w:type="paragraph" w:styleId="TOC2">
    <w:name w:val="toc 2"/>
    <w:basedOn w:val="Normal"/>
    <w:next w:val="Normal"/>
    <w:autoRedefine/>
    <w:uiPriority w:val="39"/>
    <w:unhideWhenUsed/>
    <w:rsid w:val="0031278C"/>
    <w:pPr>
      <w:spacing w:after="100"/>
      <w:ind w:left="220"/>
    </w:pPr>
  </w:style>
  <w:style w:type="paragraph" w:styleId="TOC3">
    <w:name w:val="toc 3"/>
    <w:basedOn w:val="Normal"/>
    <w:next w:val="Normal"/>
    <w:autoRedefine/>
    <w:uiPriority w:val="39"/>
    <w:unhideWhenUsed/>
    <w:rsid w:val="009E0C94"/>
    <w:pPr>
      <w:spacing w:after="100" w:line="240" w:lineRule="exact"/>
      <w:ind w:left="442"/>
    </w:pPr>
    <w:rPr>
      <w:rFonts w:eastAsiaTheme="minorEastAsia" w:cs="Times New Roman"/>
      <w:lang w:val="en-US"/>
    </w:rPr>
  </w:style>
  <w:style w:type="paragraph" w:styleId="Title">
    <w:name w:val="Title"/>
    <w:basedOn w:val="Normal"/>
    <w:next w:val="Normal"/>
    <w:link w:val="TitleChar"/>
    <w:uiPriority w:val="10"/>
    <w:qFormat/>
    <w:rsid w:val="00893EE9"/>
    <w:pPr>
      <w:spacing w:line="240" w:lineRule="auto"/>
      <w:contextualSpacing/>
    </w:pPr>
    <w:rPr>
      <w:rFonts w:eastAsiaTheme="majorEastAsia" w:cstheme="majorBidi"/>
      <w:b/>
      <w:caps/>
      <w:color w:val="538135" w:themeColor="accent6" w:themeShade="BF"/>
      <w:spacing w:val="-10"/>
      <w:kern w:val="28"/>
      <w:sz w:val="28"/>
      <w:szCs w:val="56"/>
    </w:rPr>
  </w:style>
  <w:style w:type="character" w:customStyle="1" w:styleId="TitleChar">
    <w:name w:val="Title Char"/>
    <w:basedOn w:val="DefaultParagraphFont"/>
    <w:link w:val="Title"/>
    <w:uiPriority w:val="10"/>
    <w:rsid w:val="00893EE9"/>
    <w:rPr>
      <w:rFonts w:ascii="Arial" w:eastAsiaTheme="majorEastAsia" w:hAnsi="Arial" w:cstheme="majorBidi"/>
      <w:b/>
      <w:caps/>
      <w:color w:val="538135" w:themeColor="accent6" w:themeShade="BF"/>
      <w:spacing w:val="-10"/>
      <w:kern w:val="28"/>
      <w:sz w:val="28"/>
      <w:szCs w:val="56"/>
    </w:rPr>
  </w:style>
  <w:style w:type="paragraph" w:styleId="Subtitle">
    <w:name w:val="Subtitle"/>
    <w:basedOn w:val="Normal"/>
    <w:next w:val="Normal"/>
    <w:link w:val="SubtitleChar"/>
    <w:uiPriority w:val="11"/>
    <w:rsid w:val="00893E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93EE9"/>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052B47"/>
    <w:rPr>
      <w:rFonts w:ascii="Arial" w:eastAsiaTheme="majorEastAsia" w:hAnsi="Arial" w:cstheme="majorBidi"/>
      <w:b/>
      <w:i/>
      <w:color w:val="538135" w:themeColor="accent6" w:themeShade="BF"/>
      <w:szCs w:val="24"/>
    </w:rPr>
  </w:style>
  <w:style w:type="character" w:customStyle="1" w:styleId="Heading4Char">
    <w:name w:val="Heading 4 Char"/>
    <w:basedOn w:val="DefaultParagraphFont"/>
    <w:link w:val="Heading4"/>
    <w:uiPriority w:val="9"/>
    <w:semiHidden/>
    <w:rsid w:val="009E0C9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E0C9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E0C9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E0C9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E0C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0C9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9E0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B9302E"/>
    <w:pPr>
      <w:numPr>
        <w:numId w:val="1"/>
      </w:numPr>
    </w:pPr>
  </w:style>
  <w:style w:type="paragraph" w:styleId="CommentText">
    <w:name w:val="annotation text"/>
    <w:basedOn w:val="Normal"/>
    <w:link w:val="CommentTextChar"/>
    <w:semiHidden/>
    <w:rsid w:val="00052B47"/>
    <w:pPr>
      <w:jc w:val="left"/>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semiHidden/>
    <w:rsid w:val="00052B47"/>
    <w:rPr>
      <w:rFonts w:ascii="Arial" w:eastAsia="Times New Roman" w:hAnsi="Arial" w:cs="Times New Roman"/>
      <w:color w:val="000000"/>
      <w:sz w:val="20"/>
      <w:szCs w:val="20"/>
      <w:lang w:val="en-GB" w:eastAsia="en-GB"/>
    </w:rPr>
  </w:style>
  <w:style w:type="paragraph" w:styleId="FootnoteText">
    <w:name w:val="footnote text"/>
    <w:aliases w:val="Footnote Text Char1,Footnote Text Char Char"/>
    <w:basedOn w:val="Normal"/>
    <w:link w:val="FootnoteTextChar"/>
    <w:uiPriority w:val="99"/>
    <w:unhideWhenUsed/>
    <w:rsid w:val="00E91EF8"/>
    <w:pPr>
      <w:spacing w:line="240" w:lineRule="auto"/>
    </w:pPr>
    <w:rPr>
      <w:sz w:val="20"/>
      <w:szCs w:val="20"/>
    </w:rPr>
  </w:style>
  <w:style w:type="character" w:customStyle="1" w:styleId="FootnoteTextChar">
    <w:name w:val="Footnote Text Char"/>
    <w:aliases w:val="Footnote Text Char1 Char,Footnote Text Char Char Char"/>
    <w:basedOn w:val="DefaultParagraphFont"/>
    <w:link w:val="FootnoteText"/>
    <w:uiPriority w:val="99"/>
    <w:rsid w:val="00E91EF8"/>
    <w:rPr>
      <w:rFonts w:ascii="Arial" w:hAnsi="Arial"/>
      <w:sz w:val="20"/>
      <w:szCs w:val="20"/>
    </w:rPr>
  </w:style>
  <w:style w:type="character" w:styleId="FootnoteReference">
    <w:name w:val="footnote reference"/>
    <w:aliases w:val="ftref"/>
    <w:basedOn w:val="DefaultParagraphFont"/>
    <w:uiPriority w:val="99"/>
    <w:qFormat/>
    <w:rsid w:val="00E91EF8"/>
    <w:rPr>
      <w:vertAlign w:val="superscript"/>
    </w:rPr>
  </w:style>
  <w:style w:type="character" w:styleId="CommentReference">
    <w:name w:val="annotation reference"/>
    <w:basedOn w:val="DefaultParagraphFont"/>
    <w:uiPriority w:val="99"/>
    <w:semiHidden/>
    <w:unhideWhenUsed/>
    <w:rsid w:val="006F142B"/>
    <w:rPr>
      <w:sz w:val="16"/>
      <w:szCs w:val="16"/>
    </w:rPr>
  </w:style>
  <w:style w:type="paragraph" w:styleId="CommentSubject">
    <w:name w:val="annotation subject"/>
    <w:basedOn w:val="CommentText"/>
    <w:next w:val="CommentText"/>
    <w:link w:val="CommentSubjectChar"/>
    <w:uiPriority w:val="99"/>
    <w:semiHidden/>
    <w:unhideWhenUsed/>
    <w:rsid w:val="006F142B"/>
    <w:pPr>
      <w:spacing w:line="240" w:lineRule="auto"/>
      <w:jc w:val="both"/>
    </w:pPr>
    <w:rPr>
      <w:rFonts w:eastAsiaTheme="minorHAnsi" w:cstheme="minorBidi"/>
      <w:b/>
      <w:bCs/>
      <w:color w:val="auto"/>
      <w:lang w:val="en-ZA" w:eastAsia="en-US"/>
    </w:rPr>
  </w:style>
  <w:style w:type="character" w:customStyle="1" w:styleId="CommentSubjectChar">
    <w:name w:val="Comment Subject Char"/>
    <w:basedOn w:val="CommentTextChar"/>
    <w:link w:val="CommentSubject"/>
    <w:uiPriority w:val="99"/>
    <w:semiHidden/>
    <w:rsid w:val="006F142B"/>
    <w:rPr>
      <w:rFonts w:ascii="Arial" w:eastAsia="Times New Roman" w:hAnsi="Arial" w:cs="Times New Roman"/>
      <w:b/>
      <w:bCs/>
      <w:color w:val="000000"/>
      <w:sz w:val="20"/>
      <w:szCs w:val="20"/>
      <w:lang w:val="en-GB" w:eastAsia="en-GB"/>
    </w:rPr>
  </w:style>
  <w:style w:type="paragraph" w:styleId="BalloonText">
    <w:name w:val="Balloon Text"/>
    <w:basedOn w:val="Normal"/>
    <w:link w:val="BalloonTextChar"/>
    <w:uiPriority w:val="99"/>
    <w:semiHidden/>
    <w:unhideWhenUsed/>
    <w:rsid w:val="006F142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42B"/>
    <w:rPr>
      <w:rFonts w:ascii="Segoe UI" w:hAnsi="Segoe UI" w:cs="Segoe UI"/>
      <w:sz w:val="18"/>
      <w:szCs w:val="18"/>
    </w:rPr>
  </w:style>
  <w:style w:type="paragraph" w:styleId="TOC4">
    <w:name w:val="toc 4"/>
    <w:basedOn w:val="Normal"/>
    <w:next w:val="Normal"/>
    <w:autoRedefine/>
    <w:uiPriority w:val="39"/>
    <w:semiHidden/>
    <w:unhideWhenUsed/>
    <w:rsid w:val="00524E7F"/>
    <w:pPr>
      <w:spacing w:after="100"/>
      <w:ind w:left="660"/>
    </w:pPr>
  </w:style>
  <w:style w:type="paragraph" w:customStyle="1" w:styleId="SCOAP">
    <w:name w:val="SCOAP"/>
    <w:basedOn w:val="Normal"/>
    <w:qFormat/>
    <w:rsid w:val="00233605"/>
    <w:pPr>
      <w:spacing w:before="240" w:after="240" w:line="240" w:lineRule="auto"/>
      <w:ind w:right="-142"/>
    </w:pPr>
    <w:rPr>
      <w:rFonts w:eastAsia="Calibri" w:cs="Arial"/>
      <w:sz w:val="21"/>
      <w:szCs w:val="21"/>
    </w:rPr>
  </w:style>
  <w:style w:type="table" w:customStyle="1" w:styleId="TableGrid1">
    <w:name w:val="Table Grid1"/>
    <w:basedOn w:val="TableNormal"/>
    <w:next w:val="TableGrid"/>
    <w:uiPriority w:val="39"/>
    <w:rsid w:val="00233605"/>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73BA"/>
    <w:rPr>
      <w:rFonts w:ascii="Times New Roman" w:hAnsi="Times New Roman" w:cs="Times New Roman"/>
      <w:sz w:val="24"/>
      <w:szCs w:val="24"/>
    </w:rPr>
  </w:style>
  <w:style w:type="table" w:customStyle="1" w:styleId="GridTableLight">
    <w:name w:val="Grid Table Light"/>
    <w:basedOn w:val="TableNormal"/>
    <w:uiPriority w:val="40"/>
    <w:rsid w:val="00BC72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F52984"/>
    <w:pPr>
      <w:autoSpaceDE w:val="0"/>
      <w:autoSpaceDN w:val="0"/>
      <w:adjustRightInd w:val="0"/>
      <w:spacing w:after="0" w:line="240" w:lineRule="auto"/>
    </w:pPr>
    <w:rPr>
      <w:rFonts w:ascii="Charis SIL" w:hAnsi="Charis SIL" w:cs="Charis SIL"/>
      <w:color w:val="000000"/>
      <w:sz w:val="24"/>
      <w:szCs w:val="24"/>
    </w:rPr>
  </w:style>
  <w:style w:type="character" w:styleId="Emphasis">
    <w:name w:val="Emphasis"/>
    <w:basedOn w:val="DefaultParagraphFont"/>
    <w:uiPriority w:val="20"/>
    <w:qFormat/>
    <w:rsid w:val="005D4919"/>
    <w:rPr>
      <w:i/>
      <w:iCs/>
    </w:rPr>
  </w:style>
</w:styles>
</file>

<file path=word/webSettings.xml><?xml version="1.0" encoding="utf-8"?>
<w:webSettings xmlns:r="http://schemas.openxmlformats.org/officeDocument/2006/relationships" xmlns:w="http://schemas.openxmlformats.org/wordprocessingml/2006/main">
  <w:divs>
    <w:div w:id="28802608">
      <w:bodyDiv w:val="1"/>
      <w:marLeft w:val="0"/>
      <w:marRight w:val="0"/>
      <w:marTop w:val="0"/>
      <w:marBottom w:val="0"/>
      <w:divBdr>
        <w:top w:val="none" w:sz="0" w:space="0" w:color="auto"/>
        <w:left w:val="none" w:sz="0" w:space="0" w:color="auto"/>
        <w:bottom w:val="none" w:sz="0" w:space="0" w:color="auto"/>
        <w:right w:val="none" w:sz="0" w:space="0" w:color="auto"/>
      </w:divBdr>
    </w:div>
    <w:div w:id="30882062">
      <w:bodyDiv w:val="1"/>
      <w:marLeft w:val="0"/>
      <w:marRight w:val="0"/>
      <w:marTop w:val="0"/>
      <w:marBottom w:val="0"/>
      <w:divBdr>
        <w:top w:val="none" w:sz="0" w:space="0" w:color="auto"/>
        <w:left w:val="none" w:sz="0" w:space="0" w:color="auto"/>
        <w:bottom w:val="none" w:sz="0" w:space="0" w:color="auto"/>
        <w:right w:val="none" w:sz="0" w:space="0" w:color="auto"/>
      </w:divBdr>
      <w:divsChild>
        <w:div w:id="101000485">
          <w:marLeft w:val="0"/>
          <w:marRight w:val="0"/>
          <w:marTop w:val="0"/>
          <w:marBottom w:val="0"/>
          <w:divBdr>
            <w:top w:val="none" w:sz="0" w:space="0" w:color="auto"/>
            <w:left w:val="single" w:sz="6" w:space="0" w:color="F1F1F1"/>
            <w:bottom w:val="none" w:sz="0" w:space="0" w:color="auto"/>
            <w:right w:val="single" w:sz="6" w:space="0" w:color="F1F1F1"/>
          </w:divBdr>
          <w:divsChild>
            <w:div w:id="591013107">
              <w:marLeft w:val="0"/>
              <w:marRight w:val="0"/>
              <w:marTop w:val="0"/>
              <w:marBottom w:val="0"/>
              <w:divBdr>
                <w:top w:val="none" w:sz="0" w:space="0" w:color="auto"/>
                <w:left w:val="none" w:sz="0" w:space="0" w:color="auto"/>
                <w:bottom w:val="none" w:sz="0" w:space="0" w:color="auto"/>
                <w:right w:val="none" w:sz="0" w:space="0" w:color="auto"/>
              </w:divBdr>
              <w:divsChild>
                <w:div w:id="1770005350">
                  <w:marLeft w:val="0"/>
                  <w:marRight w:val="0"/>
                  <w:marTop w:val="0"/>
                  <w:marBottom w:val="0"/>
                  <w:divBdr>
                    <w:top w:val="none" w:sz="0" w:space="0" w:color="auto"/>
                    <w:left w:val="none" w:sz="0" w:space="0" w:color="auto"/>
                    <w:bottom w:val="none" w:sz="0" w:space="0" w:color="auto"/>
                    <w:right w:val="none" w:sz="0" w:space="0" w:color="auto"/>
                  </w:divBdr>
                  <w:divsChild>
                    <w:div w:id="49427112">
                      <w:marLeft w:val="0"/>
                      <w:marRight w:val="0"/>
                      <w:marTop w:val="0"/>
                      <w:marBottom w:val="0"/>
                      <w:divBdr>
                        <w:top w:val="none" w:sz="0" w:space="0" w:color="auto"/>
                        <w:left w:val="none" w:sz="0" w:space="0" w:color="auto"/>
                        <w:bottom w:val="none" w:sz="0" w:space="0" w:color="auto"/>
                        <w:right w:val="none" w:sz="0" w:space="0" w:color="auto"/>
                      </w:divBdr>
                      <w:divsChild>
                        <w:div w:id="294141359">
                          <w:marLeft w:val="0"/>
                          <w:marRight w:val="0"/>
                          <w:marTop w:val="0"/>
                          <w:marBottom w:val="0"/>
                          <w:divBdr>
                            <w:top w:val="none" w:sz="0" w:space="0" w:color="auto"/>
                            <w:left w:val="none" w:sz="0" w:space="0" w:color="auto"/>
                            <w:bottom w:val="none" w:sz="0" w:space="0" w:color="auto"/>
                            <w:right w:val="single" w:sz="6" w:space="23" w:color="EEEEEE"/>
                          </w:divBdr>
                          <w:divsChild>
                            <w:div w:id="8404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3157">
      <w:bodyDiv w:val="1"/>
      <w:marLeft w:val="0"/>
      <w:marRight w:val="0"/>
      <w:marTop w:val="0"/>
      <w:marBottom w:val="0"/>
      <w:divBdr>
        <w:top w:val="none" w:sz="0" w:space="0" w:color="auto"/>
        <w:left w:val="none" w:sz="0" w:space="0" w:color="auto"/>
        <w:bottom w:val="none" w:sz="0" w:space="0" w:color="auto"/>
        <w:right w:val="none" w:sz="0" w:space="0" w:color="auto"/>
      </w:divBdr>
    </w:div>
    <w:div w:id="162665773">
      <w:bodyDiv w:val="1"/>
      <w:marLeft w:val="0"/>
      <w:marRight w:val="0"/>
      <w:marTop w:val="0"/>
      <w:marBottom w:val="0"/>
      <w:divBdr>
        <w:top w:val="none" w:sz="0" w:space="0" w:color="auto"/>
        <w:left w:val="none" w:sz="0" w:space="0" w:color="auto"/>
        <w:bottom w:val="none" w:sz="0" w:space="0" w:color="auto"/>
        <w:right w:val="none" w:sz="0" w:space="0" w:color="auto"/>
      </w:divBdr>
    </w:div>
    <w:div w:id="234554831">
      <w:bodyDiv w:val="1"/>
      <w:marLeft w:val="0"/>
      <w:marRight w:val="0"/>
      <w:marTop w:val="0"/>
      <w:marBottom w:val="0"/>
      <w:divBdr>
        <w:top w:val="none" w:sz="0" w:space="0" w:color="auto"/>
        <w:left w:val="none" w:sz="0" w:space="0" w:color="auto"/>
        <w:bottom w:val="none" w:sz="0" w:space="0" w:color="auto"/>
        <w:right w:val="none" w:sz="0" w:space="0" w:color="auto"/>
      </w:divBdr>
      <w:divsChild>
        <w:div w:id="1404371595">
          <w:marLeft w:val="0"/>
          <w:marRight w:val="0"/>
          <w:marTop w:val="0"/>
          <w:marBottom w:val="0"/>
          <w:divBdr>
            <w:top w:val="none" w:sz="0" w:space="0" w:color="auto"/>
            <w:left w:val="single" w:sz="6" w:space="0" w:color="F1F1F1"/>
            <w:bottom w:val="none" w:sz="0" w:space="0" w:color="auto"/>
            <w:right w:val="single" w:sz="6" w:space="0" w:color="F1F1F1"/>
          </w:divBdr>
          <w:divsChild>
            <w:div w:id="797575224">
              <w:marLeft w:val="0"/>
              <w:marRight w:val="0"/>
              <w:marTop w:val="0"/>
              <w:marBottom w:val="0"/>
              <w:divBdr>
                <w:top w:val="none" w:sz="0" w:space="0" w:color="auto"/>
                <w:left w:val="none" w:sz="0" w:space="0" w:color="auto"/>
                <w:bottom w:val="none" w:sz="0" w:space="0" w:color="auto"/>
                <w:right w:val="none" w:sz="0" w:space="0" w:color="auto"/>
              </w:divBdr>
              <w:divsChild>
                <w:div w:id="168058771">
                  <w:marLeft w:val="0"/>
                  <w:marRight w:val="0"/>
                  <w:marTop w:val="0"/>
                  <w:marBottom w:val="0"/>
                  <w:divBdr>
                    <w:top w:val="none" w:sz="0" w:space="0" w:color="auto"/>
                    <w:left w:val="none" w:sz="0" w:space="0" w:color="auto"/>
                    <w:bottom w:val="none" w:sz="0" w:space="0" w:color="auto"/>
                    <w:right w:val="none" w:sz="0" w:space="0" w:color="auto"/>
                  </w:divBdr>
                  <w:divsChild>
                    <w:div w:id="1001391558">
                      <w:marLeft w:val="0"/>
                      <w:marRight w:val="0"/>
                      <w:marTop w:val="0"/>
                      <w:marBottom w:val="0"/>
                      <w:divBdr>
                        <w:top w:val="none" w:sz="0" w:space="0" w:color="auto"/>
                        <w:left w:val="none" w:sz="0" w:space="0" w:color="auto"/>
                        <w:bottom w:val="none" w:sz="0" w:space="0" w:color="auto"/>
                        <w:right w:val="none" w:sz="0" w:space="0" w:color="auto"/>
                      </w:divBdr>
                      <w:divsChild>
                        <w:div w:id="1457480499">
                          <w:marLeft w:val="0"/>
                          <w:marRight w:val="0"/>
                          <w:marTop w:val="0"/>
                          <w:marBottom w:val="0"/>
                          <w:divBdr>
                            <w:top w:val="none" w:sz="0" w:space="0" w:color="auto"/>
                            <w:left w:val="none" w:sz="0" w:space="0" w:color="auto"/>
                            <w:bottom w:val="none" w:sz="0" w:space="0" w:color="auto"/>
                            <w:right w:val="single" w:sz="6" w:space="23" w:color="EEEEEE"/>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221969">
      <w:bodyDiv w:val="1"/>
      <w:marLeft w:val="0"/>
      <w:marRight w:val="0"/>
      <w:marTop w:val="0"/>
      <w:marBottom w:val="0"/>
      <w:divBdr>
        <w:top w:val="none" w:sz="0" w:space="0" w:color="auto"/>
        <w:left w:val="none" w:sz="0" w:space="0" w:color="auto"/>
        <w:bottom w:val="none" w:sz="0" w:space="0" w:color="auto"/>
        <w:right w:val="none" w:sz="0" w:space="0" w:color="auto"/>
      </w:divBdr>
    </w:div>
    <w:div w:id="243224888">
      <w:bodyDiv w:val="1"/>
      <w:marLeft w:val="0"/>
      <w:marRight w:val="0"/>
      <w:marTop w:val="0"/>
      <w:marBottom w:val="0"/>
      <w:divBdr>
        <w:top w:val="none" w:sz="0" w:space="0" w:color="auto"/>
        <w:left w:val="none" w:sz="0" w:space="0" w:color="auto"/>
        <w:bottom w:val="none" w:sz="0" w:space="0" w:color="auto"/>
        <w:right w:val="none" w:sz="0" w:space="0" w:color="auto"/>
      </w:divBdr>
    </w:div>
    <w:div w:id="250545775">
      <w:bodyDiv w:val="1"/>
      <w:marLeft w:val="0"/>
      <w:marRight w:val="0"/>
      <w:marTop w:val="0"/>
      <w:marBottom w:val="0"/>
      <w:divBdr>
        <w:top w:val="none" w:sz="0" w:space="0" w:color="auto"/>
        <w:left w:val="none" w:sz="0" w:space="0" w:color="auto"/>
        <w:bottom w:val="none" w:sz="0" w:space="0" w:color="auto"/>
        <w:right w:val="none" w:sz="0" w:space="0" w:color="auto"/>
      </w:divBdr>
    </w:div>
    <w:div w:id="274216023">
      <w:bodyDiv w:val="1"/>
      <w:marLeft w:val="0"/>
      <w:marRight w:val="0"/>
      <w:marTop w:val="0"/>
      <w:marBottom w:val="0"/>
      <w:divBdr>
        <w:top w:val="none" w:sz="0" w:space="0" w:color="auto"/>
        <w:left w:val="none" w:sz="0" w:space="0" w:color="auto"/>
        <w:bottom w:val="none" w:sz="0" w:space="0" w:color="auto"/>
        <w:right w:val="none" w:sz="0" w:space="0" w:color="auto"/>
      </w:divBdr>
    </w:div>
    <w:div w:id="278530494">
      <w:bodyDiv w:val="1"/>
      <w:marLeft w:val="0"/>
      <w:marRight w:val="0"/>
      <w:marTop w:val="0"/>
      <w:marBottom w:val="0"/>
      <w:divBdr>
        <w:top w:val="none" w:sz="0" w:space="0" w:color="auto"/>
        <w:left w:val="none" w:sz="0" w:space="0" w:color="auto"/>
        <w:bottom w:val="none" w:sz="0" w:space="0" w:color="auto"/>
        <w:right w:val="none" w:sz="0" w:space="0" w:color="auto"/>
      </w:divBdr>
    </w:div>
    <w:div w:id="280458403">
      <w:bodyDiv w:val="1"/>
      <w:marLeft w:val="0"/>
      <w:marRight w:val="0"/>
      <w:marTop w:val="0"/>
      <w:marBottom w:val="0"/>
      <w:divBdr>
        <w:top w:val="none" w:sz="0" w:space="0" w:color="auto"/>
        <w:left w:val="none" w:sz="0" w:space="0" w:color="auto"/>
        <w:bottom w:val="none" w:sz="0" w:space="0" w:color="auto"/>
        <w:right w:val="none" w:sz="0" w:space="0" w:color="auto"/>
      </w:divBdr>
    </w:div>
    <w:div w:id="292911980">
      <w:bodyDiv w:val="1"/>
      <w:marLeft w:val="0"/>
      <w:marRight w:val="0"/>
      <w:marTop w:val="0"/>
      <w:marBottom w:val="0"/>
      <w:divBdr>
        <w:top w:val="none" w:sz="0" w:space="0" w:color="auto"/>
        <w:left w:val="none" w:sz="0" w:space="0" w:color="auto"/>
        <w:bottom w:val="none" w:sz="0" w:space="0" w:color="auto"/>
        <w:right w:val="none" w:sz="0" w:space="0" w:color="auto"/>
      </w:divBdr>
    </w:div>
    <w:div w:id="346760271">
      <w:bodyDiv w:val="1"/>
      <w:marLeft w:val="0"/>
      <w:marRight w:val="0"/>
      <w:marTop w:val="0"/>
      <w:marBottom w:val="0"/>
      <w:divBdr>
        <w:top w:val="none" w:sz="0" w:space="0" w:color="auto"/>
        <w:left w:val="none" w:sz="0" w:space="0" w:color="auto"/>
        <w:bottom w:val="none" w:sz="0" w:space="0" w:color="auto"/>
        <w:right w:val="none" w:sz="0" w:space="0" w:color="auto"/>
      </w:divBdr>
      <w:divsChild>
        <w:div w:id="1177965731">
          <w:marLeft w:val="0"/>
          <w:marRight w:val="0"/>
          <w:marTop w:val="0"/>
          <w:marBottom w:val="0"/>
          <w:divBdr>
            <w:top w:val="none" w:sz="0" w:space="0" w:color="auto"/>
            <w:left w:val="none" w:sz="0" w:space="0" w:color="auto"/>
            <w:bottom w:val="none" w:sz="0" w:space="0" w:color="auto"/>
            <w:right w:val="none" w:sz="0" w:space="0" w:color="auto"/>
          </w:divBdr>
          <w:divsChild>
            <w:div w:id="377434207">
              <w:marLeft w:val="0"/>
              <w:marRight w:val="0"/>
              <w:marTop w:val="0"/>
              <w:marBottom w:val="0"/>
              <w:divBdr>
                <w:top w:val="none" w:sz="0" w:space="0" w:color="auto"/>
                <w:left w:val="none" w:sz="0" w:space="0" w:color="auto"/>
                <w:bottom w:val="none" w:sz="0" w:space="0" w:color="auto"/>
                <w:right w:val="none" w:sz="0" w:space="0" w:color="auto"/>
              </w:divBdr>
              <w:divsChild>
                <w:div w:id="681706547">
                  <w:marLeft w:val="0"/>
                  <w:marRight w:val="0"/>
                  <w:marTop w:val="0"/>
                  <w:marBottom w:val="0"/>
                  <w:divBdr>
                    <w:top w:val="none" w:sz="0" w:space="0" w:color="auto"/>
                    <w:left w:val="none" w:sz="0" w:space="0" w:color="auto"/>
                    <w:bottom w:val="none" w:sz="0" w:space="0" w:color="auto"/>
                    <w:right w:val="none" w:sz="0" w:space="0" w:color="auto"/>
                  </w:divBdr>
                  <w:divsChild>
                    <w:div w:id="1935631945">
                      <w:marLeft w:val="0"/>
                      <w:marRight w:val="0"/>
                      <w:marTop w:val="0"/>
                      <w:marBottom w:val="0"/>
                      <w:divBdr>
                        <w:top w:val="none" w:sz="0" w:space="0" w:color="auto"/>
                        <w:left w:val="none" w:sz="0" w:space="0" w:color="auto"/>
                        <w:bottom w:val="none" w:sz="0" w:space="0" w:color="auto"/>
                        <w:right w:val="none" w:sz="0" w:space="0" w:color="auto"/>
                      </w:divBdr>
                      <w:divsChild>
                        <w:div w:id="972103732">
                          <w:marLeft w:val="0"/>
                          <w:marRight w:val="0"/>
                          <w:marTop w:val="0"/>
                          <w:marBottom w:val="0"/>
                          <w:divBdr>
                            <w:top w:val="none" w:sz="0" w:space="0" w:color="auto"/>
                            <w:left w:val="none" w:sz="0" w:space="0" w:color="auto"/>
                            <w:bottom w:val="none" w:sz="0" w:space="0" w:color="auto"/>
                            <w:right w:val="none" w:sz="0" w:space="0" w:color="auto"/>
                          </w:divBdr>
                          <w:divsChild>
                            <w:div w:id="678626085">
                              <w:marLeft w:val="0"/>
                              <w:marRight w:val="0"/>
                              <w:marTop w:val="0"/>
                              <w:marBottom w:val="0"/>
                              <w:divBdr>
                                <w:top w:val="none" w:sz="0" w:space="0" w:color="auto"/>
                                <w:left w:val="none" w:sz="0" w:space="0" w:color="auto"/>
                                <w:bottom w:val="none" w:sz="0" w:space="0" w:color="auto"/>
                                <w:right w:val="none" w:sz="0" w:space="0" w:color="auto"/>
                              </w:divBdr>
                              <w:divsChild>
                                <w:div w:id="2139301118">
                                  <w:marLeft w:val="0"/>
                                  <w:marRight w:val="0"/>
                                  <w:marTop w:val="0"/>
                                  <w:marBottom w:val="0"/>
                                  <w:divBdr>
                                    <w:top w:val="none" w:sz="0" w:space="0" w:color="auto"/>
                                    <w:left w:val="none" w:sz="0" w:space="0" w:color="auto"/>
                                    <w:bottom w:val="none" w:sz="0" w:space="0" w:color="auto"/>
                                    <w:right w:val="none" w:sz="0" w:space="0" w:color="auto"/>
                                  </w:divBdr>
                                  <w:divsChild>
                                    <w:div w:id="1856191375">
                                      <w:marLeft w:val="0"/>
                                      <w:marRight w:val="0"/>
                                      <w:marTop w:val="0"/>
                                      <w:marBottom w:val="0"/>
                                      <w:divBdr>
                                        <w:top w:val="none" w:sz="0" w:space="0" w:color="auto"/>
                                        <w:left w:val="none" w:sz="0" w:space="0" w:color="auto"/>
                                        <w:bottom w:val="none" w:sz="0" w:space="0" w:color="auto"/>
                                        <w:right w:val="none" w:sz="0" w:space="0" w:color="auto"/>
                                      </w:divBdr>
                                      <w:divsChild>
                                        <w:div w:id="1121345345">
                                          <w:marLeft w:val="0"/>
                                          <w:marRight w:val="0"/>
                                          <w:marTop w:val="0"/>
                                          <w:marBottom w:val="0"/>
                                          <w:divBdr>
                                            <w:top w:val="none" w:sz="0" w:space="0" w:color="auto"/>
                                            <w:left w:val="none" w:sz="0" w:space="0" w:color="auto"/>
                                            <w:bottom w:val="none" w:sz="0" w:space="0" w:color="auto"/>
                                            <w:right w:val="none" w:sz="0" w:space="0" w:color="auto"/>
                                          </w:divBdr>
                                          <w:divsChild>
                                            <w:div w:id="1783382239">
                                              <w:marLeft w:val="0"/>
                                              <w:marRight w:val="0"/>
                                              <w:marTop w:val="0"/>
                                              <w:marBottom w:val="0"/>
                                              <w:divBdr>
                                                <w:top w:val="none" w:sz="0" w:space="0" w:color="auto"/>
                                                <w:left w:val="none" w:sz="0" w:space="0" w:color="auto"/>
                                                <w:bottom w:val="none" w:sz="0" w:space="0" w:color="auto"/>
                                                <w:right w:val="none" w:sz="0" w:space="0" w:color="auto"/>
                                              </w:divBdr>
                                              <w:divsChild>
                                                <w:div w:id="445659633">
                                                  <w:marLeft w:val="0"/>
                                                  <w:marRight w:val="0"/>
                                                  <w:marTop w:val="0"/>
                                                  <w:marBottom w:val="0"/>
                                                  <w:divBdr>
                                                    <w:top w:val="none" w:sz="0" w:space="0" w:color="auto"/>
                                                    <w:left w:val="none" w:sz="0" w:space="0" w:color="auto"/>
                                                    <w:bottom w:val="none" w:sz="0" w:space="0" w:color="auto"/>
                                                    <w:right w:val="none" w:sz="0" w:space="0" w:color="auto"/>
                                                  </w:divBdr>
                                                  <w:divsChild>
                                                    <w:div w:id="1008556803">
                                                      <w:marLeft w:val="0"/>
                                                      <w:marRight w:val="0"/>
                                                      <w:marTop w:val="0"/>
                                                      <w:marBottom w:val="0"/>
                                                      <w:divBdr>
                                                        <w:top w:val="none" w:sz="0" w:space="0" w:color="auto"/>
                                                        <w:left w:val="none" w:sz="0" w:space="0" w:color="auto"/>
                                                        <w:bottom w:val="none" w:sz="0" w:space="0" w:color="auto"/>
                                                        <w:right w:val="none" w:sz="0" w:space="0" w:color="auto"/>
                                                      </w:divBdr>
                                                      <w:divsChild>
                                                        <w:div w:id="1488789154">
                                                          <w:marLeft w:val="0"/>
                                                          <w:marRight w:val="0"/>
                                                          <w:marTop w:val="0"/>
                                                          <w:marBottom w:val="0"/>
                                                          <w:divBdr>
                                                            <w:top w:val="none" w:sz="0" w:space="0" w:color="auto"/>
                                                            <w:left w:val="none" w:sz="0" w:space="0" w:color="auto"/>
                                                            <w:bottom w:val="none" w:sz="0" w:space="0" w:color="auto"/>
                                                            <w:right w:val="none" w:sz="0" w:space="0" w:color="auto"/>
                                                          </w:divBdr>
                                                          <w:divsChild>
                                                            <w:div w:id="49545558">
                                                              <w:marLeft w:val="0"/>
                                                              <w:marRight w:val="0"/>
                                                              <w:marTop w:val="0"/>
                                                              <w:marBottom w:val="0"/>
                                                              <w:divBdr>
                                                                <w:top w:val="none" w:sz="0" w:space="0" w:color="auto"/>
                                                                <w:left w:val="none" w:sz="0" w:space="0" w:color="auto"/>
                                                                <w:bottom w:val="none" w:sz="0" w:space="0" w:color="auto"/>
                                                                <w:right w:val="none" w:sz="0" w:space="0" w:color="auto"/>
                                                              </w:divBdr>
                                                              <w:divsChild>
                                                                <w:div w:id="1812669392">
                                                                  <w:marLeft w:val="0"/>
                                                                  <w:marRight w:val="0"/>
                                                                  <w:marTop w:val="0"/>
                                                                  <w:marBottom w:val="0"/>
                                                                  <w:divBdr>
                                                                    <w:top w:val="none" w:sz="0" w:space="0" w:color="auto"/>
                                                                    <w:left w:val="none" w:sz="0" w:space="0" w:color="auto"/>
                                                                    <w:bottom w:val="none" w:sz="0" w:space="0" w:color="auto"/>
                                                                    <w:right w:val="none" w:sz="0" w:space="0" w:color="auto"/>
                                                                  </w:divBdr>
                                                                  <w:divsChild>
                                                                    <w:div w:id="1823886010">
                                                                      <w:marLeft w:val="0"/>
                                                                      <w:marRight w:val="0"/>
                                                                      <w:marTop w:val="0"/>
                                                                      <w:marBottom w:val="0"/>
                                                                      <w:divBdr>
                                                                        <w:top w:val="none" w:sz="0" w:space="0" w:color="auto"/>
                                                                        <w:left w:val="none" w:sz="0" w:space="0" w:color="auto"/>
                                                                        <w:bottom w:val="none" w:sz="0" w:space="0" w:color="auto"/>
                                                                        <w:right w:val="none" w:sz="0" w:space="0" w:color="auto"/>
                                                                      </w:divBdr>
                                                                      <w:divsChild>
                                                                        <w:div w:id="679626519">
                                                                          <w:marLeft w:val="0"/>
                                                                          <w:marRight w:val="0"/>
                                                                          <w:marTop w:val="0"/>
                                                                          <w:marBottom w:val="0"/>
                                                                          <w:divBdr>
                                                                            <w:top w:val="none" w:sz="0" w:space="0" w:color="auto"/>
                                                                            <w:left w:val="none" w:sz="0" w:space="0" w:color="auto"/>
                                                                            <w:bottom w:val="none" w:sz="0" w:space="0" w:color="auto"/>
                                                                            <w:right w:val="none" w:sz="0" w:space="0" w:color="auto"/>
                                                                          </w:divBdr>
                                                                          <w:divsChild>
                                                                            <w:div w:id="638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040556">
      <w:bodyDiv w:val="1"/>
      <w:marLeft w:val="0"/>
      <w:marRight w:val="0"/>
      <w:marTop w:val="0"/>
      <w:marBottom w:val="0"/>
      <w:divBdr>
        <w:top w:val="none" w:sz="0" w:space="0" w:color="auto"/>
        <w:left w:val="none" w:sz="0" w:space="0" w:color="auto"/>
        <w:bottom w:val="none" w:sz="0" w:space="0" w:color="auto"/>
        <w:right w:val="none" w:sz="0" w:space="0" w:color="auto"/>
      </w:divBdr>
    </w:div>
    <w:div w:id="392890478">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10658834">
      <w:bodyDiv w:val="1"/>
      <w:marLeft w:val="0"/>
      <w:marRight w:val="0"/>
      <w:marTop w:val="0"/>
      <w:marBottom w:val="0"/>
      <w:divBdr>
        <w:top w:val="none" w:sz="0" w:space="0" w:color="auto"/>
        <w:left w:val="none" w:sz="0" w:space="0" w:color="auto"/>
        <w:bottom w:val="none" w:sz="0" w:space="0" w:color="auto"/>
        <w:right w:val="none" w:sz="0" w:space="0" w:color="auto"/>
      </w:divBdr>
    </w:div>
    <w:div w:id="431437804">
      <w:bodyDiv w:val="1"/>
      <w:marLeft w:val="0"/>
      <w:marRight w:val="0"/>
      <w:marTop w:val="0"/>
      <w:marBottom w:val="0"/>
      <w:divBdr>
        <w:top w:val="none" w:sz="0" w:space="0" w:color="auto"/>
        <w:left w:val="none" w:sz="0" w:space="0" w:color="auto"/>
        <w:bottom w:val="none" w:sz="0" w:space="0" w:color="auto"/>
        <w:right w:val="none" w:sz="0" w:space="0" w:color="auto"/>
      </w:divBdr>
    </w:div>
    <w:div w:id="498735819">
      <w:bodyDiv w:val="1"/>
      <w:marLeft w:val="0"/>
      <w:marRight w:val="0"/>
      <w:marTop w:val="0"/>
      <w:marBottom w:val="0"/>
      <w:divBdr>
        <w:top w:val="none" w:sz="0" w:space="0" w:color="auto"/>
        <w:left w:val="none" w:sz="0" w:space="0" w:color="auto"/>
        <w:bottom w:val="none" w:sz="0" w:space="0" w:color="auto"/>
        <w:right w:val="none" w:sz="0" w:space="0" w:color="auto"/>
      </w:divBdr>
      <w:divsChild>
        <w:div w:id="1337078895">
          <w:marLeft w:val="720"/>
          <w:marRight w:val="0"/>
          <w:marTop w:val="0"/>
          <w:marBottom w:val="0"/>
          <w:divBdr>
            <w:top w:val="none" w:sz="0" w:space="0" w:color="auto"/>
            <w:left w:val="none" w:sz="0" w:space="0" w:color="auto"/>
            <w:bottom w:val="none" w:sz="0" w:space="0" w:color="auto"/>
            <w:right w:val="none" w:sz="0" w:space="0" w:color="auto"/>
          </w:divBdr>
        </w:div>
        <w:div w:id="1874687625">
          <w:marLeft w:val="720"/>
          <w:marRight w:val="0"/>
          <w:marTop w:val="0"/>
          <w:marBottom w:val="0"/>
          <w:divBdr>
            <w:top w:val="none" w:sz="0" w:space="0" w:color="auto"/>
            <w:left w:val="none" w:sz="0" w:space="0" w:color="auto"/>
            <w:bottom w:val="none" w:sz="0" w:space="0" w:color="auto"/>
            <w:right w:val="none" w:sz="0" w:space="0" w:color="auto"/>
          </w:divBdr>
        </w:div>
        <w:div w:id="643241990">
          <w:marLeft w:val="720"/>
          <w:marRight w:val="0"/>
          <w:marTop w:val="0"/>
          <w:marBottom w:val="0"/>
          <w:divBdr>
            <w:top w:val="none" w:sz="0" w:space="0" w:color="auto"/>
            <w:left w:val="none" w:sz="0" w:space="0" w:color="auto"/>
            <w:bottom w:val="none" w:sz="0" w:space="0" w:color="auto"/>
            <w:right w:val="none" w:sz="0" w:space="0" w:color="auto"/>
          </w:divBdr>
        </w:div>
      </w:divsChild>
    </w:div>
    <w:div w:id="527909927">
      <w:bodyDiv w:val="1"/>
      <w:marLeft w:val="0"/>
      <w:marRight w:val="0"/>
      <w:marTop w:val="0"/>
      <w:marBottom w:val="0"/>
      <w:divBdr>
        <w:top w:val="none" w:sz="0" w:space="0" w:color="auto"/>
        <w:left w:val="none" w:sz="0" w:space="0" w:color="auto"/>
        <w:bottom w:val="none" w:sz="0" w:space="0" w:color="auto"/>
        <w:right w:val="none" w:sz="0" w:space="0" w:color="auto"/>
      </w:divBdr>
    </w:div>
    <w:div w:id="553858011">
      <w:bodyDiv w:val="1"/>
      <w:marLeft w:val="0"/>
      <w:marRight w:val="0"/>
      <w:marTop w:val="0"/>
      <w:marBottom w:val="0"/>
      <w:divBdr>
        <w:top w:val="none" w:sz="0" w:space="0" w:color="auto"/>
        <w:left w:val="none" w:sz="0" w:space="0" w:color="auto"/>
        <w:bottom w:val="none" w:sz="0" w:space="0" w:color="auto"/>
        <w:right w:val="none" w:sz="0" w:space="0" w:color="auto"/>
      </w:divBdr>
    </w:div>
    <w:div w:id="558594080">
      <w:bodyDiv w:val="1"/>
      <w:marLeft w:val="0"/>
      <w:marRight w:val="0"/>
      <w:marTop w:val="0"/>
      <w:marBottom w:val="0"/>
      <w:divBdr>
        <w:top w:val="none" w:sz="0" w:space="0" w:color="auto"/>
        <w:left w:val="none" w:sz="0" w:space="0" w:color="auto"/>
        <w:bottom w:val="none" w:sz="0" w:space="0" w:color="auto"/>
        <w:right w:val="none" w:sz="0" w:space="0" w:color="auto"/>
      </w:divBdr>
    </w:div>
    <w:div w:id="573321584">
      <w:bodyDiv w:val="1"/>
      <w:marLeft w:val="0"/>
      <w:marRight w:val="0"/>
      <w:marTop w:val="0"/>
      <w:marBottom w:val="0"/>
      <w:divBdr>
        <w:top w:val="none" w:sz="0" w:space="0" w:color="auto"/>
        <w:left w:val="none" w:sz="0" w:space="0" w:color="auto"/>
        <w:bottom w:val="none" w:sz="0" w:space="0" w:color="auto"/>
        <w:right w:val="none" w:sz="0" w:space="0" w:color="auto"/>
      </w:divBdr>
    </w:div>
    <w:div w:id="587739011">
      <w:bodyDiv w:val="1"/>
      <w:marLeft w:val="0"/>
      <w:marRight w:val="0"/>
      <w:marTop w:val="0"/>
      <w:marBottom w:val="0"/>
      <w:divBdr>
        <w:top w:val="none" w:sz="0" w:space="0" w:color="auto"/>
        <w:left w:val="none" w:sz="0" w:space="0" w:color="auto"/>
        <w:bottom w:val="none" w:sz="0" w:space="0" w:color="auto"/>
        <w:right w:val="none" w:sz="0" w:space="0" w:color="auto"/>
      </w:divBdr>
    </w:div>
    <w:div w:id="602225681">
      <w:bodyDiv w:val="1"/>
      <w:marLeft w:val="0"/>
      <w:marRight w:val="0"/>
      <w:marTop w:val="0"/>
      <w:marBottom w:val="0"/>
      <w:divBdr>
        <w:top w:val="none" w:sz="0" w:space="0" w:color="auto"/>
        <w:left w:val="none" w:sz="0" w:space="0" w:color="auto"/>
        <w:bottom w:val="none" w:sz="0" w:space="0" w:color="auto"/>
        <w:right w:val="none" w:sz="0" w:space="0" w:color="auto"/>
      </w:divBdr>
    </w:div>
    <w:div w:id="615454373">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57610657">
      <w:bodyDiv w:val="1"/>
      <w:marLeft w:val="0"/>
      <w:marRight w:val="0"/>
      <w:marTop w:val="0"/>
      <w:marBottom w:val="0"/>
      <w:divBdr>
        <w:top w:val="none" w:sz="0" w:space="0" w:color="auto"/>
        <w:left w:val="none" w:sz="0" w:space="0" w:color="auto"/>
        <w:bottom w:val="none" w:sz="0" w:space="0" w:color="auto"/>
        <w:right w:val="none" w:sz="0" w:space="0" w:color="auto"/>
      </w:divBdr>
    </w:div>
    <w:div w:id="707872508">
      <w:bodyDiv w:val="1"/>
      <w:marLeft w:val="0"/>
      <w:marRight w:val="0"/>
      <w:marTop w:val="0"/>
      <w:marBottom w:val="0"/>
      <w:divBdr>
        <w:top w:val="none" w:sz="0" w:space="0" w:color="auto"/>
        <w:left w:val="none" w:sz="0" w:space="0" w:color="auto"/>
        <w:bottom w:val="none" w:sz="0" w:space="0" w:color="auto"/>
        <w:right w:val="none" w:sz="0" w:space="0" w:color="auto"/>
      </w:divBdr>
    </w:div>
    <w:div w:id="752629994">
      <w:bodyDiv w:val="1"/>
      <w:marLeft w:val="0"/>
      <w:marRight w:val="0"/>
      <w:marTop w:val="0"/>
      <w:marBottom w:val="0"/>
      <w:divBdr>
        <w:top w:val="none" w:sz="0" w:space="0" w:color="auto"/>
        <w:left w:val="none" w:sz="0" w:space="0" w:color="auto"/>
        <w:bottom w:val="none" w:sz="0" w:space="0" w:color="auto"/>
        <w:right w:val="none" w:sz="0" w:space="0" w:color="auto"/>
      </w:divBdr>
    </w:div>
    <w:div w:id="770011533">
      <w:bodyDiv w:val="1"/>
      <w:marLeft w:val="0"/>
      <w:marRight w:val="0"/>
      <w:marTop w:val="0"/>
      <w:marBottom w:val="0"/>
      <w:divBdr>
        <w:top w:val="none" w:sz="0" w:space="0" w:color="auto"/>
        <w:left w:val="none" w:sz="0" w:space="0" w:color="auto"/>
        <w:bottom w:val="none" w:sz="0" w:space="0" w:color="auto"/>
        <w:right w:val="none" w:sz="0" w:space="0" w:color="auto"/>
      </w:divBdr>
    </w:div>
    <w:div w:id="783118425">
      <w:bodyDiv w:val="1"/>
      <w:marLeft w:val="0"/>
      <w:marRight w:val="0"/>
      <w:marTop w:val="0"/>
      <w:marBottom w:val="0"/>
      <w:divBdr>
        <w:top w:val="none" w:sz="0" w:space="0" w:color="auto"/>
        <w:left w:val="none" w:sz="0" w:space="0" w:color="auto"/>
        <w:bottom w:val="none" w:sz="0" w:space="0" w:color="auto"/>
        <w:right w:val="none" w:sz="0" w:space="0" w:color="auto"/>
      </w:divBdr>
    </w:div>
    <w:div w:id="806507440">
      <w:bodyDiv w:val="1"/>
      <w:marLeft w:val="0"/>
      <w:marRight w:val="0"/>
      <w:marTop w:val="0"/>
      <w:marBottom w:val="0"/>
      <w:divBdr>
        <w:top w:val="none" w:sz="0" w:space="0" w:color="auto"/>
        <w:left w:val="none" w:sz="0" w:space="0" w:color="auto"/>
        <w:bottom w:val="none" w:sz="0" w:space="0" w:color="auto"/>
        <w:right w:val="none" w:sz="0" w:space="0" w:color="auto"/>
      </w:divBdr>
    </w:div>
    <w:div w:id="910579859">
      <w:bodyDiv w:val="1"/>
      <w:marLeft w:val="0"/>
      <w:marRight w:val="0"/>
      <w:marTop w:val="0"/>
      <w:marBottom w:val="0"/>
      <w:divBdr>
        <w:top w:val="none" w:sz="0" w:space="0" w:color="auto"/>
        <w:left w:val="none" w:sz="0" w:space="0" w:color="auto"/>
        <w:bottom w:val="none" w:sz="0" w:space="0" w:color="auto"/>
        <w:right w:val="none" w:sz="0" w:space="0" w:color="auto"/>
      </w:divBdr>
    </w:div>
    <w:div w:id="919412626">
      <w:bodyDiv w:val="1"/>
      <w:marLeft w:val="0"/>
      <w:marRight w:val="0"/>
      <w:marTop w:val="0"/>
      <w:marBottom w:val="0"/>
      <w:divBdr>
        <w:top w:val="none" w:sz="0" w:space="0" w:color="auto"/>
        <w:left w:val="none" w:sz="0" w:space="0" w:color="auto"/>
        <w:bottom w:val="none" w:sz="0" w:space="0" w:color="auto"/>
        <w:right w:val="none" w:sz="0" w:space="0" w:color="auto"/>
      </w:divBdr>
    </w:div>
    <w:div w:id="927616824">
      <w:bodyDiv w:val="1"/>
      <w:marLeft w:val="0"/>
      <w:marRight w:val="0"/>
      <w:marTop w:val="0"/>
      <w:marBottom w:val="0"/>
      <w:divBdr>
        <w:top w:val="none" w:sz="0" w:space="0" w:color="auto"/>
        <w:left w:val="none" w:sz="0" w:space="0" w:color="auto"/>
        <w:bottom w:val="none" w:sz="0" w:space="0" w:color="auto"/>
        <w:right w:val="none" w:sz="0" w:space="0" w:color="auto"/>
      </w:divBdr>
    </w:div>
    <w:div w:id="942344328">
      <w:bodyDiv w:val="1"/>
      <w:marLeft w:val="0"/>
      <w:marRight w:val="0"/>
      <w:marTop w:val="0"/>
      <w:marBottom w:val="0"/>
      <w:divBdr>
        <w:top w:val="none" w:sz="0" w:space="0" w:color="auto"/>
        <w:left w:val="none" w:sz="0" w:space="0" w:color="auto"/>
        <w:bottom w:val="none" w:sz="0" w:space="0" w:color="auto"/>
        <w:right w:val="none" w:sz="0" w:space="0" w:color="auto"/>
      </w:divBdr>
    </w:div>
    <w:div w:id="1078091277">
      <w:bodyDiv w:val="1"/>
      <w:marLeft w:val="0"/>
      <w:marRight w:val="0"/>
      <w:marTop w:val="0"/>
      <w:marBottom w:val="0"/>
      <w:divBdr>
        <w:top w:val="none" w:sz="0" w:space="0" w:color="auto"/>
        <w:left w:val="none" w:sz="0" w:space="0" w:color="auto"/>
        <w:bottom w:val="none" w:sz="0" w:space="0" w:color="auto"/>
        <w:right w:val="none" w:sz="0" w:space="0" w:color="auto"/>
      </w:divBdr>
    </w:div>
    <w:div w:id="1098867321">
      <w:bodyDiv w:val="1"/>
      <w:marLeft w:val="0"/>
      <w:marRight w:val="0"/>
      <w:marTop w:val="0"/>
      <w:marBottom w:val="0"/>
      <w:divBdr>
        <w:top w:val="none" w:sz="0" w:space="0" w:color="auto"/>
        <w:left w:val="none" w:sz="0" w:space="0" w:color="auto"/>
        <w:bottom w:val="none" w:sz="0" w:space="0" w:color="auto"/>
        <w:right w:val="none" w:sz="0" w:space="0" w:color="auto"/>
      </w:divBdr>
    </w:div>
    <w:div w:id="1126655113">
      <w:bodyDiv w:val="1"/>
      <w:marLeft w:val="0"/>
      <w:marRight w:val="0"/>
      <w:marTop w:val="0"/>
      <w:marBottom w:val="0"/>
      <w:divBdr>
        <w:top w:val="none" w:sz="0" w:space="0" w:color="auto"/>
        <w:left w:val="none" w:sz="0" w:space="0" w:color="auto"/>
        <w:bottom w:val="none" w:sz="0" w:space="0" w:color="auto"/>
        <w:right w:val="none" w:sz="0" w:space="0" w:color="auto"/>
      </w:divBdr>
    </w:div>
    <w:div w:id="1216161442">
      <w:bodyDiv w:val="1"/>
      <w:marLeft w:val="0"/>
      <w:marRight w:val="0"/>
      <w:marTop w:val="0"/>
      <w:marBottom w:val="0"/>
      <w:divBdr>
        <w:top w:val="none" w:sz="0" w:space="0" w:color="auto"/>
        <w:left w:val="none" w:sz="0" w:space="0" w:color="auto"/>
        <w:bottom w:val="none" w:sz="0" w:space="0" w:color="auto"/>
        <w:right w:val="none" w:sz="0" w:space="0" w:color="auto"/>
      </w:divBdr>
    </w:div>
    <w:div w:id="1238519175">
      <w:bodyDiv w:val="1"/>
      <w:marLeft w:val="0"/>
      <w:marRight w:val="0"/>
      <w:marTop w:val="0"/>
      <w:marBottom w:val="0"/>
      <w:divBdr>
        <w:top w:val="none" w:sz="0" w:space="0" w:color="auto"/>
        <w:left w:val="none" w:sz="0" w:space="0" w:color="auto"/>
        <w:bottom w:val="none" w:sz="0" w:space="0" w:color="auto"/>
        <w:right w:val="none" w:sz="0" w:space="0" w:color="auto"/>
      </w:divBdr>
    </w:div>
    <w:div w:id="1268778067">
      <w:bodyDiv w:val="1"/>
      <w:marLeft w:val="0"/>
      <w:marRight w:val="0"/>
      <w:marTop w:val="0"/>
      <w:marBottom w:val="0"/>
      <w:divBdr>
        <w:top w:val="none" w:sz="0" w:space="0" w:color="auto"/>
        <w:left w:val="none" w:sz="0" w:space="0" w:color="auto"/>
        <w:bottom w:val="none" w:sz="0" w:space="0" w:color="auto"/>
        <w:right w:val="none" w:sz="0" w:space="0" w:color="auto"/>
      </w:divBdr>
    </w:div>
    <w:div w:id="1284575603">
      <w:bodyDiv w:val="1"/>
      <w:marLeft w:val="0"/>
      <w:marRight w:val="0"/>
      <w:marTop w:val="0"/>
      <w:marBottom w:val="0"/>
      <w:divBdr>
        <w:top w:val="none" w:sz="0" w:space="0" w:color="auto"/>
        <w:left w:val="none" w:sz="0" w:space="0" w:color="auto"/>
        <w:bottom w:val="none" w:sz="0" w:space="0" w:color="auto"/>
        <w:right w:val="none" w:sz="0" w:space="0" w:color="auto"/>
      </w:divBdr>
    </w:div>
    <w:div w:id="1285846425">
      <w:bodyDiv w:val="1"/>
      <w:marLeft w:val="0"/>
      <w:marRight w:val="0"/>
      <w:marTop w:val="0"/>
      <w:marBottom w:val="0"/>
      <w:divBdr>
        <w:top w:val="none" w:sz="0" w:space="0" w:color="auto"/>
        <w:left w:val="none" w:sz="0" w:space="0" w:color="auto"/>
        <w:bottom w:val="none" w:sz="0" w:space="0" w:color="auto"/>
        <w:right w:val="none" w:sz="0" w:space="0" w:color="auto"/>
      </w:divBdr>
    </w:div>
    <w:div w:id="1333871500">
      <w:bodyDiv w:val="1"/>
      <w:marLeft w:val="0"/>
      <w:marRight w:val="0"/>
      <w:marTop w:val="0"/>
      <w:marBottom w:val="0"/>
      <w:divBdr>
        <w:top w:val="none" w:sz="0" w:space="0" w:color="auto"/>
        <w:left w:val="none" w:sz="0" w:space="0" w:color="auto"/>
        <w:bottom w:val="none" w:sz="0" w:space="0" w:color="auto"/>
        <w:right w:val="none" w:sz="0" w:space="0" w:color="auto"/>
      </w:divBdr>
    </w:div>
    <w:div w:id="1356418308">
      <w:bodyDiv w:val="1"/>
      <w:marLeft w:val="0"/>
      <w:marRight w:val="0"/>
      <w:marTop w:val="0"/>
      <w:marBottom w:val="0"/>
      <w:divBdr>
        <w:top w:val="none" w:sz="0" w:space="0" w:color="auto"/>
        <w:left w:val="none" w:sz="0" w:space="0" w:color="auto"/>
        <w:bottom w:val="none" w:sz="0" w:space="0" w:color="auto"/>
        <w:right w:val="none" w:sz="0" w:space="0" w:color="auto"/>
      </w:divBdr>
    </w:div>
    <w:div w:id="1357268168">
      <w:bodyDiv w:val="1"/>
      <w:marLeft w:val="0"/>
      <w:marRight w:val="0"/>
      <w:marTop w:val="0"/>
      <w:marBottom w:val="0"/>
      <w:divBdr>
        <w:top w:val="none" w:sz="0" w:space="0" w:color="auto"/>
        <w:left w:val="none" w:sz="0" w:space="0" w:color="auto"/>
        <w:bottom w:val="none" w:sz="0" w:space="0" w:color="auto"/>
        <w:right w:val="none" w:sz="0" w:space="0" w:color="auto"/>
      </w:divBdr>
    </w:div>
    <w:div w:id="1382750283">
      <w:bodyDiv w:val="1"/>
      <w:marLeft w:val="0"/>
      <w:marRight w:val="0"/>
      <w:marTop w:val="0"/>
      <w:marBottom w:val="0"/>
      <w:divBdr>
        <w:top w:val="none" w:sz="0" w:space="0" w:color="auto"/>
        <w:left w:val="none" w:sz="0" w:space="0" w:color="auto"/>
        <w:bottom w:val="none" w:sz="0" w:space="0" w:color="auto"/>
        <w:right w:val="none" w:sz="0" w:space="0" w:color="auto"/>
      </w:divBdr>
    </w:div>
    <w:div w:id="1408308586">
      <w:bodyDiv w:val="1"/>
      <w:marLeft w:val="0"/>
      <w:marRight w:val="0"/>
      <w:marTop w:val="0"/>
      <w:marBottom w:val="0"/>
      <w:divBdr>
        <w:top w:val="none" w:sz="0" w:space="0" w:color="auto"/>
        <w:left w:val="none" w:sz="0" w:space="0" w:color="auto"/>
        <w:bottom w:val="none" w:sz="0" w:space="0" w:color="auto"/>
        <w:right w:val="none" w:sz="0" w:space="0" w:color="auto"/>
      </w:divBdr>
    </w:div>
    <w:div w:id="1415591572">
      <w:bodyDiv w:val="1"/>
      <w:marLeft w:val="0"/>
      <w:marRight w:val="0"/>
      <w:marTop w:val="0"/>
      <w:marBottom w:val="0"/>
      <w:divBdr>
        <w:top w:val="none" w:sz="0" w:space="0" w:color="auto"/>
        <w:left w:val="none" w:sz="0" w:space="0" w:color="auto"/>
        <w:bottom w:val="none" w:sz="0" w:space="0" w:color="auto"/>
        <w:right w:val="none" w:sz="0" w:space="0" w:color="auto"/>
      </w:divBdr>
    </w:div>
    <w:div w:id="1434127092">
      <w:bodyDiv w:val="1"/>
      <w:marLeft w:val="0"/>
      <w:marRight w:val="0"/>
      <w:marTop w:val="0"/>
      <w:marBottom w:val="0"/>
      <w:divBdr>
        <w:top w:val="none" w:sz="0" w:space="0" w:color="auto"/>
        <w:left w:val="none" w:sz="0" w:space="0" w:color="auto"/>
        <w:bottom w:val="none" w:sz="0" w:space="0" w:color="auto"/>
        <w:right w:val="none" w:sz="0" w:space="0" w:color="auto"/>
      </w:divBdr>
    </w:div>
    <w:div w:id="1451433313">
      <w:bodyDiv w:val="1"/>
      <w:marLeft w:val="0"/>
      <w:marRight w:val="0"/>
      <w:marTop w:val="0"/>
      <w:marBottom w:val="0"/>
      <w:divBdr>
        <w:top w:val="none" w:sz="0" w:space="0" w:color="auto"/>
        <w:left w:val="none" w:sz="0" w:space="0" w:color="auto"/>
        <w:bottom w:val="none" w:sz="0" w:space="0" w:color="auto"/>
        <w:right w:val="none" w:sz="0" w:space="0" w:color="auto"/>
      </w:divBdr>
    </w:div>
    <w:div w:id="1484078018">
      <w:bodyDiv w:val="1"/>
      <w:marLeft w:val="0"/>
      <w:marRight w:val="0"/>
      <w:marTop w:val="0"/>
      <w:marBottom w:val="0"/>
      <w:divBdr>
        <w:top w:val="none" w:sz="0" w:space="0" w:color="auto"/>
        <w:left w:val="none" w:sz="0" w:space="0" w:color="auto"/>
        <w:bottom w:val="none" w:sz="0" w:space="0" w:color="auto"/>
        <w:right w:val="none" w:sz="0" w:space="0" w:color="auto"/>
      </w:divBdr>
      <w:divsChild>
        <w:div w:id="1700468870">
          <w:marLeft w:val="360"/>
          <w:marRight w:val="0"/>
          <w:marTop w:val="200"/>
          <w:marBottom w:val="0"/>
          <w:divBdr>
            <w:top w:val="none" w:sz="0" w:space="0" w:color="auto"/>
            <w:left w:val="none" w:sz="0" w:space="0" w:color="auto"/>
            <w:bottom w:val="none" w:sz="0" w:space="0" w:color="auto"/>
            <w:right w:val="none" w:sz="0" w:space="0" w:color="auto"/>
          </w:divBdr>
        </w:div>
        <w:div w:id="1185556733">
          <w:marLeft w:val="360"/>
          <w:marRight w:val="0"/>
          <w:marTop w:val="200"/>
          <w:marBottom w:val="0"/>
          <w:divBdr>
            <w:top w:val="none" w:sz="0" w:space="0" w:color="auto"/>
            <w:left w:val="none" w:sz="0" w:space="0" w:color="auto"/>
            <w:bottom w:val="none" w:sz="0" w:space="0" w:color="auto"/>
            <w:right w:val="none" w:sz="0" w:space="0" w:color="auto"/>
          </w:divBdr>
        </w:div>
        <w:div w:id="1651977623">
          <w:marLeft w:val="360"/>
          <w:marRight w:val="0"/>
          <w:marTop w:val="200"/>
          <w:marBottom w:val="0"/>
          <w:divBdr>
            <w:top w:val="none" w:sz="0" w:space="0" w:color="auto"/>
            <w:left w:val="none" w:sz="0" w:space="0" w:color="auto"/>
            <w:bottom w:val="none" w:sz="0" w:space="0" w:color="auto"/>
            <w:right w:val="none" w:sz="0" w:space="0" w:color="auto"/>
          </w:divBdr>
        </w:div>
        <w:div w:id="1790706117">
          <w:marLeft w:val="360"/>
          <w:marRight w:val="0"/>
          <w:marTop w:val="200"/>
          <w:marBottom w:val="0"/>
          <w:divBdr>
            <w:top w:val="none" w:sz="0" w:space="0" w:color="auto"/>
            <w:left w:val="none" w:sz="0" w:space="0" w:color="auto"/>
            <w:bottom w:val="none" w:sz="0" w:space="0" w:color="auto"/>
            <w:right w:val="none" w:sz="0" w:space="0" w:color="auto"/>
          </w:divBdr>
        </w:div>
        <w:div w:id="1576435416">
          <w:marLeft w:val="360"/>
          <w:marRight w:val="0"/>
          <w:marTop w:val="200"/>
          <w:marBottom w:val="0"/>
          <w:divBdr>
            <w:top w:val="none" w:sz="0" w:space="0" w:color="auto"/>
            <w:left w:val="none" w:sz="0" w:space="0" w:color="auto"/>
            <w:bottom w:val="none" w:sz="0" w:space="0" w:color="auto"/>
            <w:right w:val="none" w:sz="0" w:space="0" w:color="auto"/>
          </w:divBdr>
        </w:div>
      </w:divsChild>
    </w:div>
    <w:div w:id="1498573102">
      <w:bodyDiv w:val="1"/>
      <w:marLeft w:val="0"/>
      <w:marRight w:val="0"/>
      <w:marTop w:val="0"/>
      <w:marBottom w:val="0"/>
      <w:divBdr>
        <w:top w:val="none" w:sz="0" w:space="0" w:color="auto"/>
        <w:left w:val="none" w:sz="0" w:space="0" w:color="auto"/>
        <w:bottom w:val="none" w:sz="0" w:space="0" w:color="auto"/>
        <w:right w:val="none" w:sz="0" w:space="0" w:color="auto"/>
      </w:divBdr>
      <w:divsChild>
        <w:div w:id="965426032">
          <w:marLeft w:val="0"/>
          <w:marRight w:val="0"/>
          <w:marTop w:val="0"/>
          <w:marBottom w:val="0"/>
          <w:divBdr>
            <w:top w:val="none" w:sz="0" w:space="0" w:color="auto"/>
            <w:left w:val="single" w:sz="6" w:space="0" w:color="F1F1F1"/>
            <w:bottom w:val="none" w:sz="0" w:space="0" w:color="auto"/>
            <w:right w:val="single" w:sz="6" w:space="0" w:color="F1F1F1"/>
          </w:divBdr>
          <w:divsChild>
            <w:div w:id="1063064379">
              <w:marLeft w:val="0"/>
              <w:marRight w:val="0"/>
              <w:marTop w:val="0"/>
              <w:marBottom w:val="0"/>
              <w:divBdr>
                <w:top w:val="none" w:sz="0" w:space="0" w:color="auto"/>
                <w:left w:val="none" w:sz="0" w:space="0" w:color="auto"/>
                <w:bottom w:val="none" w:sz="0" w:space="0" w:color="auto"/>
                <w:right w:val="none" w:sz="0" w:space="0" w:color="auto"/>
              </w:divBdr>
              <w:divsChild>
                <w:div w:id="3440173">
                  <w:marLeft w:val="0"/>
                  <w:marRight w:val="0"/>
                  <w:marTop w:val="0"/>
                  <w:marBottom w:val="0"/>
                  <w:divBdr>
                    <w:top w:val="none" w:sz="0" w:space="0" w:color="auto"/>
                    <w:left w:val="none" w:sz="0" w:space="0" w:color="auto"/>
                    <w:bottom w:val="none" w:sz="0" w:space="0" w:color="auto"/>
                    <w:right w:val="none" w:sz="0" w:space="0" w:color="auto"/>
                  </w:divBdr>
                  <w:divsChild>
                    <w:div w:id="64765309">
                      <w:marLeft w:val="0"/>
                      <w:marRight w:val="0"/>
                      <w:marTop w:val="0"/>
                      <w:marBottom w:val="0"/>
                      <w:divBdr>
                        <w:top w:val="none" w:sz="0" w:space="0" w:color="auto"/>
                        <w:left w:val="none" w:sz="0" w:space="0" w:color="auto"/>
                        <w:bottom w:val="none" w:sz="0" w:space="0" w:color="auto"/>
                        <w:right w:val="none" w:sz="0" w:space="0" w:color="auto"/>
                      </w:divBdr>
                      <w:divsChild>
                        <w:div w:id="1803883788">
                          <w:marLeft w:val="0"/>
                          <w:marRight w:val="0"/>
                          <w:marTop w:val="0"/>
                          <w:marBottom w:val="0"/>
                          <w:divBdr>
                            <w:top w:val="none" w:sz="0" w:space="0" w:color="auto"/>
                            <w:left w:val="none" w:sz="0" w:space="0" w:color="auto"/>
                            <w:bottom w:val="none" w:sz="0" w:space="0" w:color="auto"/>
                            <w:right w:val="single" w:sz="6" w:space="23" w:color="EEEEEE"/>
                          </w:divBdr>
                          <w:divsChild>
                            <w:div w:id="3548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274938">
      <w:bodyDiv w:val="1"/>
      <w:marLeft w:val="0"/>
      <w:marRight w:val="0"/>
      <w:marTop w:val="0"/>
      <w:marBottom w:val="0"/>
      <w:divBdr>
        <w:top w:val="none" w:sz="0" w:space="0" w:color="auto"/>
        <w:left w:val="none" w:sz="0" w:space="0" w:color="auto"/>
        <w:bottom w:val="none" w:sz="0" w:space="0" w:color="auto"/>
        <w:right w:val="none" w:sz="0" w:space="0" w:color="auto"/>
      </w:divBdr>
    </w:div>
    <w:div w:id="1540123526">
      <w:bodyDiv w:val="1"/>
      <w:marLeft w:val="0"/>
      <w:marRight w:val="0"/>
      <w:marTop w:val="0"/>
      <w:marBottom w:val="0"/>
      <w:divBdr>
        <w:top w:val="none" w:sz="0" w:space="0" w:color="auto"/>
        <w:left w:val="none" w:sz="0" w:space="0" w:color="auto"/>
        <w:bottom w:val="none" w:sz="0" w:space="0" w:color="auto"/>
        <w:right w:val="none" w:sz="0" w:space="0" w:color="auto"/>
      </w:divBdr>
    </w:div>
    <w:div w:id="1545561234">
      <w:bodyDiv w:val="1"/>
      <w:marLeft w:val="0"/>
      <w:marRight w:val="0"/>
      <w:marTop w:val="0"/>
      <w:marBottom w:val="0"/>
      <w:divBdr>
        <w:top w:val="none" w:sz="0" w:space="0" w:color="auto"/>
        <w:left w:val="none" w:sz="0" w:space="0" w:color="auto"/>
        <w:bottom w:val="none" w:sz="0" w:space="0" w:color="auto"/>
        <w:right w:val="none" w:sz="0" w:space="0" w:color="auto"/>
      </w:divBdr>
    </w:div>
    <w:div w:id="1549686596">
      <w:bodyDiv w:val="1"/>
      <w:marLeft w:val="0"/>
      <w:marRight w:val="0"/>
      <w:marTop w:val="0"/>
      <w:marBottom w:val="0"/>
      <w:divBdr>
        <w:top w:val="none" w:sz="0" w:space="0" w:color="auto"/>
        <w:left w:val="none" w:sz="0" w:space="0" w:color="auto"/>
        <w:bottom w:val="none" w:sz="0" w:space="0" w:color="auto"/>
        <w:right w:val="none" w:sz="0" w:space="0" w:color="auto"/>
      </w:divBdr>
    </w:div>
    <w:div w:id="1603605330">
      <w:bodyDiv w:val="1"/>
      <w:marLeft w:val="0"/>
      <w:marRight w:val="0"/>
      <w:marTop w:val="0"/>
      <w:marBottom w:val="0"/>
      <w:divBdr>
        <w:top w:val="none" w:sz="0" w:space="0" w:color="auto"/>
        <w:left w:val="none" w:sz="0" w:space="0" w:color="auto"/>
        <w:bottom w:val="none" w:sz="0" w:space="0" w:color="auto"/>
        <w:right w:val="none" w:sz="0" w:space="0" w:color="auto"/>
      </w:divBdr>
    </w:div>
    <w:div w:id="1607611883">
      <w:bodyDiv w:val="1"/>
      <w:marLeft w:val="0"/>
      <w:marRight w:val="0"/>
      <w:marTop w:val="0"/>
      <w:marBottom w:val="0"/>
      <w:divBdr>
        <w:top w:val="none" w:sz="0" w:space="0" w:color="auto"/>
        <w:left w:val="none" w:sz="0" w:space="0" w:color="auto"/>
        <w:bottom w:val="none" w:sz="0" w:space="0" w:color="auto"/>
        <w:right w:val="none" w:sz="0" w:space="0" w:color="auto"/>
      </w:divBdr>
    </w:div>
    <w:div w:id="1624192872">
      <w:bodyDiv w:val="1"/>
      <w:marLeft w:val="0"/>
      <w:marRight w:val="0"/>
      <w:marTop w:val="0"/>
      <w:marBottom w:val="0"/>
      <w:divBdr>
        <w:top w:val="none" w:sz="0" w:space="0" w:color="auto"/>
        <w:left w:val="none" w:sz="0" w:space="0" w:color="auto"/>
        <w:bottom w:val="none" w:sz="0" w:space="0" w:color="auto"/>
        <w:right w:val="none" w:sz="0" w:space="0" w:color="auto"/>
      </w:divBdr>
      <w:divsChild>
        <w:div w:id="288897154">
          <w:marLeft w:val="547"/>
          <w:marRight w:val="0"/>
          <w:marTop w:val="0"/>
          <w:marBottom w:val="0"/>
          <w:divBdr>
            <w:top w:val="none" w:sz="0" w:space="0" w:color="auto"/>
            <w:left w:val="none" w:sz="0" w:space="0" w:color="auto"/>
            <w:bottom w:val="none" w:sz="0" w:space="0" w:color="auto"/>
            <w:right w:val="none" w:sz="0" w:space="0" w:color="auto"/>
          </w:divBdr>
        </w:div>
        <w:div w:id="1785074667">
          <w:marLeft w:val="547"/>
          <w:marRight w:val="0"/>
          <w:marTop w:val="0"/>
          <w:marBottom w:val="0"/>
          <w:divBdr>
            <w:top w:val="none" w:sz="0" w:space="0" w:color="auto"/>
            <w:left w:val="none" w:sz="0" w:space="0" w:color="auto"/>
            <w:bottom w:val="none" w:sz="0" w:space="0" w:color="auto"/>
            <w:right w:val="none" w:sz="0" w:space="0" w:color="auto"/>
          </w:divBdr>
        </w:div>
        <w:div w:id="749739419">
          <w:marLeft w:val="547"/>
          <w:marRight w:val="0"/>
          <w:marTop w:val="0"/>
          <w:marBottom w:val="0"/>
          <w:divBdr>
            <w:top w:val="none" w:sz="0" w:space="0" w:color="auto"/>
            <w:left w:val="none" w:sz="0" w:space="0" w:color="auto"/>
            <w:bottom w:val="none" w:sz="0" w:space="0" w:color="auto"/>
            <w:right w:val="none" w:sz="0" w:space="0" w:color="auto"/>
          </w:divBdr>
        </w:div>
      </w:divsChild>
    </w:div>
    <w:div w:id="1626346440">
      <w:bodyDiv w:val="1"/>
      <w:marLeft w:val="0"/>
      <w:marRight w:val="0"/>
      <w:marTop w:val="0"/>
      <w:marBottom w:val="0"/>
      <w:divBdr>
        <w:top w:val="none" w:sz="0" w:space="0" w:color="auto"/>
        <w:left w:val="none" w:sz="0" w:space="0" w:color="auto"/>
        <w:bottom w:val="none" w:sz="0" w:space="0" w:color="auto"/>
        <w:right w:val="none" w:sz="0" w:space="0" w:color="auto"/>
      </w:divBdr>
    </w:div>
    <w:div w:id="1632125944">
      <w:bodyDiv w:val="1"/>
      <w:marLeft w:val="0"/>
      <w:marRight w:val="0"/>
      <w:marTop w:val="0"/>
      <w:marBottom w:val="0"/>
      <w:divBdr>
        <w:top w:val="none" w:sz="0" w:space="0" w:color="auto"/>
        <w:left w:val="none" w:sz="0" w:space="0" w:color="auto"/>
        <w:bottom w:val="none" w:sz="0" w:space="0" w:color="auto"/>
        <w:right w:val="none" w:sz="0" w:space="0" w:color="auto"/>
      </w:divBdr>
    </w:div>
    <w:div w:id="1666320902">
      <w:bodyDiv w:val="1"/>
      <w:marLeft w:val="0"/>
      <w:marRight w:val="0"/>
      <w:marTop w:val="0"/>
      <w:marBottom w:val="0"/>
      <w:divBdr>
        <w:top w:val="none" w:sz="0" w:space="0" w:color="auto"/>
        <w:left w:val="none" w:sz="0" w:space="0" w:color="auto"/>
        <w:bottom w:val="none" w:sz="0" w:space="0" w:color="auto"/>
        <w:right w:val="none" w:sz="0" w:space="0" w:color="auto"/>
      </w:divBdr>
    </w:div>
    <w:div w:id="1744600831">
      <w:bodyDiv w:val="1"/>
      <w:marLeft w:val="0"/>
      <w:marRight w:val="0"/>
      <w:marTop w:val="0"/>
      <w:marBottom w:val="0"/>
      <w:divBdr>
        <w:top w:val="none" w:sz="0" w:space="0" w:color="auto"/>
        <w:left w:val="none" w:sz="0" w:space="0" w:color="auto"/>
        <w:bottom w:val="none" w:sz="0" w:space="0" w:color="auto"/>
        <w:right w:val="none" w:sz="0" w:space="0" w:color="auto"/>
      </w:divBdr>
    </w:div>
    <w:div w:id="1786073233">
      <w:bodyDiv w:val="1"/>
      <w:marLeft w:val="0"/>
      <w:marRight w:val="0"/>
      <w:marTop w:val="0"/>
      <w:marBottom w:val="0"/>
      <w:divBdr>
        <w:top w:val="none" w:sz="0" w:space="0" w:color="auto"/>
        <w:left w:val="none" w:sz="0" w:space="0" w:color="auto"/>
        <w:bottom w:val="none" w:sz="0" w:space="0" w:color="auto"/>
        <w:right w:val="none" w:sz="0" w:space="0" w:color="auto"/>
      </w:divBdr>
    </w:div>
    <w:div w:id="1800562665">
      <w:bodyDiv w:val="1"/>
      <w:marLeft w:val="0"/>
      <w:marRight w:val="0"/>
      <w:marTop w:val="0"/>
      <w:marBottom w:val="0"/>
      <w:divBdr>
        <w:top w:val="none" w:sz="0" w:space="0" w:color="auto"/>
        <w:left w:val="none" w:sz="0" w:space="0" w:color="auto"/>
        <w:bottom w:val="none" w:sz="0" w:space="0" w:color="auto"/>
        <w:right w:val="none" w:sz="0" w:space="0" w:color="auto"/>
      </w:divBdr>
    </w:div>
    <w:div w:id="1871717632">
      <w:bodyDiv w:val="1"/>
      <w:marLeft w:val="0"/>
      <w:marRight w:val="0"/>
      <w:marTop w:val="0"/>
      <w:marBottom w:val="0"/>
      <w:divBdr>
        <w:top w:val="none" w:sz="0" w:space="0" w:color="auto"/>
        <w:left w:val="none" w:sz="0" w:space="0" w:color="auto"/>
        <w:bottom w:val="none" w:sz="0" w:space="0" w:color="auto"/>
        <w:right w:val="none" w:sz="0" w:space="0" w:color="auto"/>
      </w:divBdr>
    </w:div>
    <w:div w:id="1926693355">
      <w:bodyDiv w:val="1"/>
      <w:marLeft w:val="0"/>
      <w:marRight w:val="0"/>
      <w:marTop w:val="0"/>
      <w:marBottom w:val="0"/>
      <w:divBdr>
        <w:top w:val="none" w:sz="0" w:space="0" w:color="auto"/>
        <w:left w:val="none" w:sz="0" w:space="0" w:color="auto"/>
        <w:bottom w:val="none" w:sz="0" w:space="0" w:color="auto"/>
        <w:right w:val="none" w:sz="0" w:space="0" w:color="auto"/>
      </w:divBdr>
      <w:divsChild>
        <w:div w:id="13112415">
          <w:marLeft w:val="360"/>
          <w:marRight w:val="0"/>
          <w:marTop w:val="200"/>
          <w:marBottom w:val="0"/>
          <w:divBdr>
            <w:top w:val="none" w:sz="0" w:space="0" w:color="auto"/>
            <w:left w:val="none" w:sz="0" w:space="0" w:color="auto"/>
            <w:bottom w:val="none" w:sz="0" w:space="0" w:color="auto"/>
            <w:right w:val="none" w:sz="0" w:space="0" w:color="auto"/>
          </w:divBdr>
        </w:div>
        <w:div w:id="1676034065">
          <w:marLeft w:val="360"/>
          <w:marRight w:val="0"/>
          <w:marTop w:val="200"/>
          <w:marBottom w:val="0"/>
          <w:divBdr>
            <w:top w:val="none" w:sz="0" w:space="0" w:color="auto"/>
            <w:left w:val="none" w:sz="0" w:space="0" w:color="auto"/>
            <w:bottom w:val="none" w:sz="0" w:space="0" w:color="auto"/>
            <w:right w:val="none" w:sz="0" w:space="0" w:color="auto"/>
          </w:divBdr>
        </w:div>
        <w:div w:id="1547638188">
          <w:marLeft w:val="360"/>
          <w:marRight w:val="0"/>
          <w:marTop w:val="200"/>
          <w:marBottom w:val="0"/>
          <w:divBdr>
            <w:top w:val="none" w:sz="0" w:space="0" w:color="auto"/>
            <w:left w:val="none" w:sz="0" w:space="0" w:color="auto"/>
            <w:bottom w:val="none" w:sz="0" w:space="0" w:color="auto"/>
            <w:right w:val="none" w:sz="0" w:space="0" w:color="auto"/>
          </w:divBdr>
        </w:div>
      </w:divsChild>
    </w:div>
    <w:div w:id="1935361249">
      <w:bodyDiv w:val="1"/>
      <w:marLeft w:val="0"/>
      <w:marRight w:val="0"/>
      <w:marTop w:val="0"/>
      <w:marBottom w:val="0"/>
      <w:divBdr>
        <w:top w:val="none" w:sz="0" w:space="0" w:color="auto"/>
        <w:left w:val="none" w:sz="0" w:space="0" w:color="auto"/>
        <w:bottom w:val="none" w:sz="0" w:space="0" w:color="auto"/>
        <w:right w:val="none" w:sz="0" w:space="0" w:color="auto"/>
      </w:divBdr>
    </w:div>
    <w:div w:id="1986815604">
      <w:bodyDiv w:val="1"/>
      <w:marLeft w:val="0"/>
      <w:marRight w:val="0"/>
      <w:marTop w:val="0"/>
      <w:marBottom w:val="0"/>
      <w:divBdr>
        <w:top w:val="none" w:sz="0" w:space="0" w:color="auto"/>
        <w:left w:val="none" w:sz="0" w:space="0" w:color="auto"/>
        <w:bottom w:val="none" w:sz="0" w:space="0" w:color="auto"/>
        <w:right w:val="none" w:sz="0" w:space="0" w:color="auto"/>
      </w:divBdr>
    </w:div>
    <w:div w:id="1991597791">
      <w:bodyDiv w:val="1"/>
      <w:marLeft w:val="0"/>
      <w:marRight w:val="0"/>
      <w:marTop w:val="0"/>
      <w:marBottom w:val="0"/>
      <w:divBdr>
        <w:top w:val="none" w:sz="0" w:space="0" w:color="auto"/>
        <w:left w:val="none" w:sz="0" w:space="0" w:color="auto"/>
        <w:bottom w:val="none" w:sz="0" w:space="0" w:color="auto"/>
        <w:right w:val="none" w:sz="0" w:space="0" w:color="auto"/>
      </w:divBdr>
      <w:divsChild>
        <w:div w:id="621115657">
          <w:marLeft w:val="0"/>
          <w:marRight w:val="0"/>
          <w:marTop w:val="0"/>
          <w:marBottom w:val="0"/>
          <w:divBdr>
            <w:top w:val="none" w:sz="0" w:space="0" w:color="auto"/>
            <w:left w:val="single" w:sz="6" w:space="0" w:color="F1F1F1"/>
            <w:bottom w:val="none" w:sz="0" w:space="0" w:color="auto"/>
            <w:right w:val="single" w:sz="6" w:space="0" w:color="F1F1F1"/>
          </w:divBdr>
          <w:divsChild>
            <w:div w:id="131602324">
              <w:marLeft w:val="0"/>
              <w:marRight w:val="0"/>
              <w:marTop w:val="0"/>
              <w:marBottom w:val="0"/>
              <w:divBdr>
                <w:top w:val="none" w:sz="0" w:space="0" w:color="auto"/>
                <w:left w:val="none" w:sz="0" w:space="0" w:color="auto"/>
                <w:bottom w:val="none" w:sz="0" w:space="0" w:color="auto"/>
                <w:right w:val="none" w:sz="0" w:space="0" w:color="auto"/>
              </w:divBdr>
              <w:divsChild>
                <w:div w:id="32463582">
                  <w:marLeft w:val="0"/>
                  <w:marRight w:val="0"/>
                  <w:marTop w:val="0"/>
                  <w:marBottom w:val="0"/>
                  <w:divBdr>
                    <w:top w:val="none" w:sz="0" w:space="0" w:color="auto"/>
                    <w:left w:val="none" w:sz="0" w:space="0" w:color="auto"/>
                    <w:bottom w:val="none" w:sz="0" w:space="0" w:color="auto"/>
                    <w:right w:val="none" w:sz="0" w:space="0" w:color="auto"/>
                  </w:divBdr>
                  <w:divsChild>
                    <w:div w:id="1423641828">
                      <w:marLeft w:val="0"/>
                      <w:marRight w:val="0"/>
                      <w:marTop w:val="0"/>
                      <w:marBottom w:val="0"/>
                      <w:divBdr>
                        <w:top w:val="none" w:sz="0" w:space="0" w:color="auto"/>
                        <w:left w:val="none" w:sz="0" w:space="0" w:color="auto"/>
                        <w:bottom w:val="none" w:sz="0" w:space="0" w:color="auto"/>
                        <w:right w:val="none" w:sz="0" w:space="0" w:color="auto"/>
                      </w:divBdr>
                      <w:divsChild>
                        <w:div w:id="1519467349">
                          <w:marLeft w:val="0"/>
                          <w:marRight w:val="0"/>
                          <w:marTop w:val="0"/>
                          <w:marBottom w:val="0"/>
                          <w:divBdr>
                            <w:top w:val="none" w:sz="0" w:space="0" w:color="auto"/>
                            <w:left w:val="none" w:sz="0" w:space="0" w:color="auto"/>
                            <w:bottom w:val="none" w:sz="0" w:space="0" w:color="auto"/>
                            <w:right w:val="single" w:sz="6" w:space="23" w:color="EEEEEE"/>
                          </w:divBdr>
                          <w:divsChild>
                            <w:div w:id="12986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broadband.co.za/news/energy/409128-photos-show-devastation-at-medupi-after-explosion.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jawoodeen\Documents\E.Jawood%20een\Senior%20Researcher\Progress%20Report.%20Cluster\Researchers\2017\Budget%202017\Budget%20Analysi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62C8E-4AC8-4ECA-BAAF-94F4126C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 Analysis 2017</Template>
  <TotalTime>0</TotalTime>
  <Pages>11</Pages>
  <Words>3282</Words>
  <Characters>18713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Ekhsaan Jawoodeen</dc:creator>
  <cp:lastModifiedBy>USER</cp:lastModifiedBy>
  <cp:revision>2</cp:revision>
  <cp:lastPrinted>2022-10-07T20:47:00Z</cp:lastPrinted>
  <dcterms:created xsi:type="dcterms:W3CDTF">2022-11-02T07:43:00Z</dcterms:created>
  <dcterms:modified xsi:type="dcterms:W3CDTF">2022-11-02T07:43:00Z</dcterms:modified>
</cp:coreProperties>
</file>