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2E" w:rsidRPr="00133F4D" w:rsidRDefault="0069222E" w:rsidP="00133F4D">
      <w:pPr>
        <w:spacing w:after="0" w:line="240" w:lineRule="auto"/>
        <w:jc w:val="left"/>
        <w:rPr>
          <w:rFonts w:ascii="Arial" w:hAnsi="Arial" w:cs="Arial"/>
          <w:b/>
          <w:spacing w:val="6"/>
          <w:sz w:val="20"/>
          <w:szCs w:val="20"/>
        </w:rPr>
      </w:pPr>
      <w:bookmarkStart w:id="0" w:name="_GoBack"/>
      <w:bookmarkEnd w:id="0"/>
      <w:r w:rsidRPr="00133F4D">
        <w:rPr>
          <w:rFonts w:ascii="Arial" w:hAnsi="Arial" w:cs="Arial"/>
          <w:b/>
          <w:spacing w:val="6"/>
          <w:sz w:val="20"/>
          <w:szCs w:val="20"/>
        </w:rPr>
        <w:t>THE BUDGETARY REVIEW AND RECOMMENDATION REPORT (2021/22) OF THE PORTFOLIO COMMITTEE ON SPORT, ARTS AND CULTURE ON THE PERFORMANCE OF THE NATIONAL DEPARTMENT AND ITS ENTITIES, DATED</w:t>
      </w:r>
      <w:r w:rsidR="00593448" w:rsidRPr="00133F4D">
        <w:rPr>
          <w:rFonts w:ascii="Arial" w:hAnsi="Arial" w:cs="Arial"/>
          <w:b/>
          <w:spacing w:val="6"/>
          <w:sz w:val="20"/>
          <w:szCs w:val="20"/>
        </w:rPr>
        <w:t>,</w:t>
      </w:r>
      <w:r w:rsidRPr="00133F4D">
        <w:rPr>
          <w:rFonts w:ascii="Arial" w:hAnsi="Arial" w:cs="Arial"/>
          <w:b/>
          <w:spacing w:val="6"/>
          <w:sz w:val="20"/>
          <w:szCs w:val="20"/>
        </w:rPr>
        <w:t xml:space="preserve"> </w:t>
      </w:r>
      <w:r w:rsidR="00B32172" w:rsidRPr="00133F4D">
        <w:rPr>
          <w:rFonts w:ascii="Arial" w:hAnsi="Arial" w:cs="Arial"/>
          <w:b/>
          <w:spacing w:val="6"/>
          <w:sz w:val="20"/>
          <w:szCs w:val="20"/>
        </w:rPr>
        <w:t>25</w:t>
      </w:r>
      <w:r w:rsidRPr="00133F4D">
        <w:rPr>
          <w:rFonts w:ascii="Arial" w:hAnsi="Arial" w:cs="Arial"/>
          <w:b/>
          <w:spacing w:val="6"/>
          <w:sz w:val="20"/>
          <w:szCs w:val="20"/>
        </w:rPr>
        <w:t xml:space="preserve"> </w:t>
      </w:r>
      <w:r w:rsidR="00E34A3E" w:rsidRPr="00133F4D">
        <w:rPr>
          <w:rFonts w:ascii="Arial" w:hAnsi="Arial" w:cs="Arial"/>
          <w:b/>
          <w:spacing w:val="6"/>
          <w:sz w:val="20"/>
          <w:szCs w:val="20"/>
        </w:rPr>
        <w:t>OCTOBER 2022</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w:t>
      </w:r>
      <w:r w:rsidR="001E755D" w:rsidRPr="00133F4D">
        <w:rPr>
          <w:rFonts w:ascii="Arial" w:hAnsi="Arial" w:cs="Arial"/>
          <w:spacing w:val="6"/>
          <w:sz w:val="20"/>
          <w:szCs w:val="20"/>
        </w:rPr>
        <w:t>he Portfolio Committee on Sport</w:t>
      </w:r>
      <w:r w:rsidRPr="00133F4D">
        <w:rPr>
          <w:rFonts w:ascii="Arial" w:hAnsi="Arial" w:cs="Arial"/>
          <w:spacing w:val="6"/>
          <w:sz w:val="20"/>
          <w:szCs w:val="20"/>
        </w:rPr>
        <w:t>, Arts and Culture (“Committee”), having considered the performance of the Department of Sport, Arts and Culture (DSAC or “Department</w:t>
      </w:r>
      <w:r w:rsidR="00FF1EC1" w:rsidRPr="00133F4D">
        <w:rPr>
          <w:rFonts w:ascii="Arial" w:hAnsi="Arial" w:cs="Arial"/>
          <w:spacing w:val="6"/>
          <w:sz w:val="20"/>
          <w:szCs w:val="20"/>
        </w:rPr>
        <w:t>”) for the 2021/22</w:t>
      </w:r>
      <w:r w:rsidRPr="00133F4D">
        <w:rPr>
          <w:rFonts w:ascii="Arial" w:hAnsi="Arial" w:cs="Arial"/>
          <w:spacing w:val="6"/>
          <w:sz w:val="20"/>
          <w:szCs w:val="20"/>
        </w:rPr>
        <w:t xml:space="preserve"> financial year, report as follows:</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1"/>
        <w:spacing w:before="0" w:line="240" w:lineRule="auto"/>
        <w:ind w:left="567" w:hanging="567"/>
        <w:jc w:val="left"/>
        <w:rPr>
          <w:rFonts w:ascii="Arial" w:hAnsi="Arial" w:cs="Arial"/>
          <w:spacing w:val="6"/>
          <w:sz w:val="20"/>
          <w:szCs w:val="20"/>
        </w:rPr>
      </w:pPr>
      <w:bookmarkStart w:id="1" w:name="_Toc88519292"/>
      <w:bookmarkStart w:id="2" w:name="_Toc117192196"/>
      <w:r w:rsidRPr="00133F4D">
        <w:rPr>
          <w:rFonts w:ascii="Arial" w:hAnsi="Arial" w:cs="Arial"/>
          <w:spacing w:val="6"/>
          <w:sz w:val="20"/>
          <w:szCs w:val="20"/>
        </w:rPr>
        <w:t>INTRODUCTION</w:t>
      </w:r>
      <w:bookmarkEnd w:id="1"/>
      <w:bookmarkEnd w:id="2"/>
    </w:p>
    <w:p w:rsidR="00A857DB" w:rsidRPr="00133F4D" w:rsidRDefault="00A857DB"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Department, is established through</w:t>
      </w:r>
      <w:r w:rsidR="00E63466" w:rsidRPr="00133F4D">
        <w:rPr>
          <w:rFonts w:ascii="Arial" w:hAnsi="Arial" w:cs="Arial"/>
          <w:spacing w:val="6"/>
          <w:sz w:val="20"/>
          <w:szCs w:val="20"/>
        </w:rPr>
        <w:t xml:space="preserve"> merger</w:t>
      </w:r>
      <w:r w:rsidRPr="00133F4D">
        <w:rPr>
          <w:rFonts w:ascii="Arial" w:hAnsi="Arial" w:cs="Arial"/>
          <w:spacing w:val="6"/>
          <w:sz w:val="20"/>
          <w:szCs w:val="20"/>
        </w:rPr>
        <w:t xml:space="preserve"> between the Ministries of Sport and Recreation and of Arts and Culture, effective 01 April 2020. This Department plays a leading role in the implementation of Government’s Outcome 14 programme of social cohesion and nation building.</w:t>
      </w:r>
    </w:p>
    <w:p w:rsidR="00A857DB" w:rsidRPr="00133F4D" w:rsidRDefault="00A857DB" w:rsidP="00133F4D">
      <w:pPr>
        <w:spacing w:after="0" w:line="240" w:lineRule="auto"/>
        <w:jc w:val="left"/>
        <w:rPr>
          <w:rFonts w:ascii="Arial" w:hAnsi="Arial" w:cs="Arial"/>
          <w:spacing w:val="6"/>
          <w:sz w:val="20"/>
          <w:szCs w:val="20"/>
        </w:rPr>
      </w:pPr>
    </w:p>
    <w:p w:rsidR="00A857DB" w:rsidRPr="00133F4D" w:rsidRDefault="00A857DB"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first financial year</w:t>
      </w:r>
      <w:r w:rsidR="00EE460E" w:rsidRPr="00133F4D">
        <w:rPr>
          <w:rFonts w:ascii="Arial" w:hAnsi="Arial" w:cs="Arial"/>
          <w:spacing w:val="6"/>
          <w:sz w:val="20"/>
          <w:szCs w:val="20"/>
        </w:rPr>
        <w:t xml:space="preserve"> of the Department’s existence</w:t>
      </w:r>
      <w:r w:rsidRPr="00133F4D">
        <w:rPr>
          <w:rFonts w:ascii="Arial" w:hAnsi="Arial" w:cs="Arial"/>
          <w:spacing w:val="6"/>
          <w:sz w:val="20"/>
          <w:szCs w:val="20"/>
        </w:rPr>
        <w:t xml:space="preserve"> was </w:t>
      </w:r>
      <w:r w:rsidR="00EE460E" w:rsidRPr="00133F4D">
        <w:rPr>
          <w:rFonts w:ascii="Arial" w:hAnsi="Arial" w:cs="Arial"/>
          <w:spacing w:val="6"/>
          <w:sz w:val="20"/>
          <w:szCs w:val="20"/>
        </w:rPr>
        <w:t>dominated</w:t>
      </w:r>
      <w:r w:rsidRPr="00133F4D">
        <w:rPr>
          <w:rFonts w:ascii="Arial" w:hAnsi="Arial" w:cs="Arial"/>
          <w:spacing w:val="6"/>
          <w:sz w:val="20"/>
          <w:szCs w:val="20"/>
        </w:rPr>
        <w:t xml:space="preserve"> by the outbreak, control and management of the unprecedented impact of the global COVID-19 pandemic. </w:t>
      </w:r>
      <w:r w:rsidR="00EE460E" w:rsidRPr="00133F4D">
        <w:rPr>
          <w:rFonts w:ascii="Arial" w:hAnsi="Arial" w:cs="Arial"/>
          <w:spacing w:val="6"/>
          <w:sz w:val="20"/>
          <w:szCs w:val="20"/>
        </w:rPr>
        <w:t>The pandemic</w:t>
      </w:r>
      <w:r w:rsidRPr="00133F4D">
        <w:rPr>
          <w:rFonts w:ascii="Arial" w:hAnsi="Arial" w:cs="Arial"/>
          <w:spacing w:val="6"/>
          <w:sz w:val="20"/>
          <w:szCs w:val="20"/>
        </w:rPr>
        <w:t xml:space="preserve"> had far-reaching and devastating consequences for the Sport, Arts and Culture (SAC) sector, which </w:t>
      </w:r>
      <w:r w:rsidR="0048390F" w:rsidRPr="00133F4D">
        <w:rPr>
          <w:rFonts w:ascii="Arial" w:hAnsi="Arial" w:cs="Arial"/>
          <w:spacing w:val="6"/>
          <w:sz w:val="20"/>
          <w:szCs w:val="20"/>
        </w:rPr>
        <w:t>is</w:t>
      </w:r>
      <w:r w:rsidR="00EE460E" w:rsidRPr="00133F4D">
        <w:rPr>
          <w:rFonts w:ascii="Arial" w:hAnsi="Arial" w:cs="Arial"/>
          <w:spacing w:val="6"/>
          <w:sz w:val="20"/>
          <w:szCs w:val="20"/>
        </w:rPr>
        <w:t xml:space="preserve"> traditionally associated with large gatherings</w:t>
      </w:r>
      <w:r w:rsidR="0048390F" w:rsidRPr="00133F4D">
        <w:rPr>
          <w:rFonts w:ascii="Arial" w:hAnsi="Arial" w:cs="Arial"/>
          <w:spacing w:val="6"/>
          <w:sz w:val="20"/>
          <w:szCs w:val="20"/>
        </w:rPr>
        <w:t xml:space="preserve">, mass participation and general unrestricted movement in the physical and public spaces in which sector-related activities are performed. </w:t>
      </w:r>
    </w:p>
    <w:p w:rsidR="008B2BB6" w:rsidRPr="00133F4D" w:rsidRDefault="008B2BB6" w:rsidP="00133F4D">
      <w:pPr>
        <w:spacing w:after="0" w:line="240" w:lineRule="auto"/>
        <w:jc w:val="left"/>
        <w:rPr>
          <w:rFonts w:ascii="Arial" w:hAnsi="Arial" w:cs="Arial"/>
          <w:strike/>
          <w:spacing w:val="6"/>
          <w:sz w:val="20"/>
          <w:szCs w:val="20"/>
        </w:rPr>
      </w:pPr>
    </w:p>
    <w:p w:rsidR="007C5BC4" w:rsidRPr="00133F4D" w:rsidRDefault="00B52650"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w:t>
      </w:r>
      <w:r w:rsidR="007C5BC4" w:rsidRPr="00133F4D">
        <w:rPr>
          <w:rFonts w:ascii="Arial" w:hAnsi="Arial" w:cs="Arial"/>
          <w:spacing w:val="6"/>
          <w:sz w:val="20"/>
          <w:szCs w:val="20"/>
        </w:rPr>
        <w:t xml:space="preserve">he </w:t>
      </w:r>
      <w:r w:rsidRPr="00133F4D">
        <w:rPr>
          <w:rFonts w:ascii="Arial" w:hAnsi="Arial" w:cs="Arial"/>
          <w:spacing w:val="6"/>
          <w:sz w:val="20"/>
          <w:szCs w:val="20"/>
        </w:rPr>
        <w:t>2021/22 financial year saw</w:t>
      </w:r>
      <w:r w:rsidR="007C5BC4" w:rsidRPr="00133F4D">
        <w:rPr>
          <w:rFonts w:ascii="Arial" w:hAnsi="Arial" w:cs="Arial"/>
          <w:spacing w:val="6"/>
          <w:sz w:val="20"/>
          <w:szCs w:val="20"/>
        </w:rPr>
        <w:t xml:space="preserve"> the SAC</w:t>
      </w:r>
      <w:r w:rsidRPr="00133F4D">
        <w:rPr>
          <w:rFonts w:ascii="Arial" w:hAnsi="Arial" w:cs="Arial"/>
          <w:spacing w:val="6"/>
          <w:sz w:val="20"/>
          <w:szCs w:val="20"/>
        </w:rPr>
        <w:t xml:space="preserve"> sector continuing</w:t>
      </w:r>
      <w:r w:rsidR="007C5BC4" w:rsidRPr="00133F4D">
        <w:rPr>
          <w:rFonts w:ascii="Arial" w:hAnsi="Arial" w:cs="Arial"/>
          <w:spacing w:val="6"/>
          <w:sz w:val="20"/>
          <w:szCs w:val="20"/>
        </w:rPr>
        <w:t xml:space="preserve"> to work </w:t>
      </w:r>
      <w:r w:rsidRPr="00133F4D">
        <w:rPr>
          <w:rFonts w:ascii="Arial" w:hAnsi="Arial" w:cs="Arial"/>
          <w:spacing w:val="6"/>
          <w:sz w:val="20"/>
          <w:szCs w:val="20"/>
        </w:rPr>
        <w:t>in earnest</w:t>
      </w:r>
      <w:r w:rsidR="007C5BC4" w:rsidRPr="00133F4D">
        <w:rPr>
          <w:rFonts w:ascii="Arial" w:hAnsi="Arial" w:cs="Arial"/>
          <w:spacing w:val="6"/>
          <w:sz w:val="20"/>
          <w:szCs w:val="20"/>
        </w:rPr>
        <w:t xml:space="preserve"> to recover from significant loss and setbacks.</w:t>
      </w:r>
      <w:r w:rsidRPr="00133F4D">
        <w:rPr>
          <w:rFonts w:ascii="Arial" w:hAnsi="Arial" w:cs="Arial"/>
          <w:spacing w:val="6"/>
          <w:sz w:val="20"/>
          <w:szCs w:val="20"/>
        </w:rPr>
        <w:t xml:space="preserve"> As the sector is now able to host events and welcome domestic and international visitors, the entities and sector practitioners are still counting the costs of the negative impacts of the COVID-19 pandemic, which resulted in the loss of the ability to generate income, but also the unfortunate loss of life. The sector, which some may argue, was already in a fragile state before the pandemic started, is making progress in recovering from this unexpected disruption to operations.</w:t>
      </w:r>
    </w:p>
    <w:p w:rsidR="003E29CB" w:rsidRPr="00133F4D" w:rsidRDefault="003E29CB" w:rsidP="00133F4D">
      <w:pPr>
        <w:spacing w:after="0" w:line="240" w:lineRule="auto"/>
        <w:jc w:val="left"/>
        <w:rPr>
          <w:rFonts w:ascii="Arial" w:hAnsi="Arial" w:cs="Arial"/>
          <w:spacing w:val="6"/>
          <w:sz w:val="20"/>
          <w:szCs w:val="20"/>
        </w:rPr>
      </w:pPr>
    </w:p>
    <w:p w:rsidR="0031505C" w:rsidRPr="00133F4D" w:rsidRDefault="003E29CB"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That being said, the local situation cannot be looked at in isolation from </w:t>
      </w:r>
      <w:r w:rsidR="00E96038" w:rsidRPr="00133F4D">
        <w:rPr>
          <w:rFonts w:ascii="Arial" w:hAnsi="Arial" w:cs="Arial"/>
          <w:spacing w:val="6"/>
          <w:sz w:val="20"/>
          <w:szCs w:val="20"/>
        </w:rPr>
        <w:t xml:space="preserve">the global setting. </w:t>
      </w:r>
      <w:r w:rsidR="008F7A06" w:rsidRPr="00133F4D">
        <w:rPr>
          <w:rFonts w:ascii="Arial" w:hAnsi="Arial" w:cs="Arial"/>
          <w:spacing w:val="6"/>
          <w:sz w:val="20"/>
          <w:szCs w:val="20"/>
        </w:rPr>
        <w:t>A series of overlapping crises, including the transition from the overwhelming effects of the COVID-19 pandemic, has resulted in a bleak economic outlook</w:t>
      </w:r>
      <w:r w:rsidR="00F25E43" w:rsidRPr="00133F4D">
        <w:rPr>
          <w:rFonts w:ascii="Arial" w:hAnsi="Arial" w:cs="Arial"/>
          <w:spacing w:val="6"/>
          <w:sz w:val="20"/>
          <w:szCs w:val="20"/>
        </w:rPr>
        <w:t xml:space="preserve"> worldwide</w:t>
      </w:r>
      <w:r w:rsidR="008F7A06" w:rsidRPr="00133F4D">
        <w:rPr>
          <w:rFonts w:ascii="Arial" w:hAnsi="Arial" w:cs="Arial"/>
          <w:spacing w:val="6"/>
          <w:sz w:val="20"/>
          <w:szCs w:val="20"/>
        </w:rPr>
        <w:t>.</w:t>
      </w:r>
      <w:r w:rsidR="00F946B5" w:rsidRPr="00133F4D">
        <w:rPr>
          <w:rFonts w:ascii="Arial" w:hAnsi="Arial" w:cs="Arial"/>
          <w:spacing w:val="6"/>
          <w:sz w:val="20"/>
          <w:szCs w:val="20"/>
        </w:rPr>
        <w:t xml:space="preserve"> </w:t>
      </w:r>
      <w:r w:rsidR="0031505C" w:rsidRPr="00133F4D">
        <w:rPr>
          <w:rFonts w:ascii="Arial" w:hAnsi="Arial" w:cs="Arial"/>
          <w:spacing w:val="6"/>
          <w:sz w:val="20"/>
          <w:szCs w:val="20"/>
        </w:rPr>
        <w:t>The International Monetary Fund (IMF) forecasts that global growth to slow from 6.0% in 2021 to 3.2% in 2022 and 2.7% in 2023. This is the weakest growth profile since 2001 except for the global financial crisis and the acute phase of the COVID-19 pandemic.</w:t>
      </w:r>
    </w:p>
    <w:p w:rsidR="0031505C" w:rsidRPr="00133F4D" w:rsidRDefault="0031505C" w:rsidP="00133F4D">
      <w:pPr>
        <w:spacing w:after="0" w:line="240" w:lineRule="auto"/>
        <w:jc w:val="left"/>
        <w:rPr>
          <w:rFonts w:ascii="Arial" w:hAnsi="Arial" w:cs="Arial"/>
          <w:spacing w:val="6"/>
          <w:sz w:val="20"/>
          <w:szCs w:val="20"/>
        </w:rPr>
      </w:pPr>
    </w:p>
    <w:p w:rsidR="003E29CB" w:rsidRPr="00133F4D" w:rsidRDefault="00F946B5"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Despite this state of affairs, the South African Government has </w:t>
      </w:r>
      <w:r w:rsidR="00F23321" w:rsidRPr="00133F4D">
        <w:rPr>
          <w:rFonts w:ascii="Arial" w:hAnsi="Arial" w:cs="Arial"/>
          <w:spacing w:val="6"/>
          <w:sz w:val="20"/>
          <w:szCs w:val="20"/>
        </w:rPr>
        <w:t xml:space="preserve">put notable measures in place </w:t>
      </w:r>
      <w:r w:rsidR="00266EAF" w:rsidRPr="00133F4D">
        <w:rPr>
          <w:rFonts w:ascii="Arial" w:hAnsi="Arial" w:cs="Arial"/>
          <w:spacing w:val="6"/>
          <w:sz w:val="20"/>
          <w:szCs w:val="20"/>
        </w:rPr>
        <w:t>for the establishment of an economic recovery stimulus package that made provision for job creation and retention.</w:t>
      </w:r>
      <w:r w:rsidR="00665028" w:rsidRPr="00133F4D">
        <w:rPr>
          <w:rFonts w:ascii="Arial" w:hAnsi="Arial" w:cs="Arial"/>
          <w:spacing w:val="6"/>
          <w:sz w:val="20"/>
          <w:szCs w:val="20"/>
        </w:rPr>
        <w:t xml:space="preserve"> </w:t>
      </w:r>
      <w:r w:rsidR="00E10D32" w:rsidRPr="00133F4D">
        <w:rPr>
          <w:rFonts w:ascii="Arial" w:hAnsi="Arial" w:cs="Arial"/>
          <w:spacing w:val="6"/>
          <w:sz w:val="20"/>
          <w:szCs w:val="20"/>
        </w:rPr>
        <w:t>As such, Government is shifting its economic focus from a relief approach to one that seeks to set the country on a course of sustainable economic recovery. This is evidence</w:t>
      </w:r>
      <w:r w:rsidR="0054303C" w:rsidRPr="00133F4D">
        <w:rPr>
          <w:rFonts w:ascii="Arial" w:hAnsi="Arial" w:cs="Arial"/>
          <w:spacing w:val="6"/>
          <w:sz w:val="20"/>
          <w:szCs w:val="20"/>
        </w:rPr>
        <w:t>d</w:t>
      </w:r>
      <w:r w:rsidR="00E10D32" w:rsidRPr="00133F4D">
        <w:rPr>
          <w:rFonts w:ascii="Arial" w:hAnsi="Arial" w:cs="Arial"/>
          <w:spacing w:val="6"/>
          <w:sz w:val="20"/>
          <w:szCs w:val="20"/>
        </w:rPr>
        <w:t xml:space="preserve"> by the implementation of the Presidential Employment Stimulus Programme (PESP), which was launched in October 2020. </w:t>
      </w:r>
      <w:r w:rsidR="009448F5" w:rsidRPr="00133F4D">
        <w:rPr>
          <w:rFonts w:ascii="Arial" w:hAnsi="Arial" w:cs="Arial"/>
          <w:spacing w:val="6"/>
          <w:sz w:val="20"/>
          <w:szCs w:val="20"/>
        </w:rPr>
        <w:t>The Department is currently implementing the third phase of the PESP. The Department, in partnership with key entities such as the National Arts Council (NAC) and the National Film and Video Foundation (NFVF), is implementing the PESP to support sector practitioners and also to create jobs for others.</w:t>
      </w:r>
    </w:p>
    <w:p w:rsidR="0069222E" w:rsidRPr="00133F4D" w:rsidRDefault="0069222E" w:rsidP="00133F4D">
      <w:pPr>
        <w:spacing w:after="0" w:line="240" w:lineRule="auto"/>
        <w:jc w:val="left"/>
        <w:rPr>
          <w:rFonts w:ascii="Arial" w:hAnsi="Arial" w:cs="Arial"/>
          <w:spacing w:val="6"/>
          <w:sz w:val="20"/>
          <w:szCs w:val="20"/>
        </w:rPr>
      </w:pPr>
    </w:p>
    <w:p w:rsidR="00D40AA4" w:rsidRPr="00133F4D" w:rsidRDefault="008254A1"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As the sector is now able to host events and welcome domestic and international visitors, the entities and sector practitioners are still counting the costs of the negative impacts of the COVID-19 pandemic, which resulted in the loss of the ability to generate income, but also the unfortunate loss of life. The sector, which some may argue was already in a fragile state before the pandemic started, is making progress in recovering from this unexpected disruption to operations.</w:t>
      </w:r>
      <w:r w:rsidR="00D40AA4" w:rsidRPr="00133F4D">
        <w:rPr>
          <w:rFonts w:ascii="Arial" w:hAnsi="Arial" w:cs="Arial"/>
          <w:spacing w:val="6"/>
          <w:sz w:val="20"/>
          <w:szCs w:val="20"/>
        </w:rPr>
        <w:t xml:space="preserve"> However, there is a need to </w:t>
      </w:r>
      <w:r w:rsidR="00F50B9E" w:rsidRPr="00133F4D">
        <w:rPr>
          <w:rFonts w:ascii="Arial" w:hAnsi="Arial" w:cs="Arial"/>
          <w:spacing w:val="6"/>
          <w:sz w:val="20"/>
          <w:szCs w:val="20"/>
        </w:rPr>
        <w:t>mitigate the risk</w:t>
      </w:r>
      <w:r w:rsidR="00D40AA4" w:rsidRPr="00133F4D">
        <w:rPr>
          <w:rFonts w:ascii="Arial" w:hAnsi="Arial" w:cs="Arial"/>
          <w:spacing w:val="6"/>
          <w:sz w:val="20"/>
          <w:szCs w:val="20"/>
        </w:rPr>
        <w:t xml:space="preserve"> of the global economic downturn having a further negative impact on the main revenue streams for </w:t>
      </w:r>
      <w:r w:rsidR="00642B69" w:rsidRPr="00133F4D">
        <w:rPr>
          <w:rFonts w:ascii="Arial" w:hAnsi="Arial" w:cs="Arial"/>
          <w:spacing w:val="6"/>
          <w:sz w:val="20"/>
          <w:szCs w:val="20"/>
        </w:rPr>
        <w:t>role-players</w:t>
      </w:r>
      <w:r w:rsidR="00D40AA4" w:rsidRPr="00133F4D">
        <w:rPr>
          <w:rFonts w:ascii="Arial" w:hAnsi="Arial" w:cs="Arial"/>
          <w:spacing w:val="6"/>
          <w:sz w:val="20"/>
          <w:szCs w:val="20"/>
        </w:rPr>
        <w:t xml:space="preserve"> in the sector.</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1"/>
          <w:numId w:val="38"/>
        </w:numPr>
        <w:spacing w:line="240" w:lineRule="auto"/>
        <w:jc w:val="left"/>
        <w:rPr>
          <w:rFonts w:ascii="Arial" w:hAnsi="Arial" w:cs="Arial"/>
          <w:sz w:val="20"/>
          <w:szCs w:val="20"/>
        </w:rPr>
      </w:pPr>
      <w:bookmarkStart w:id="3" w:name="_Toc88519293"/>
      <w:r w:rsidRPr="00133F4D">
        <w:rPr>
          <w:rFonts w:ascii="Arial" w:hAnsi="Arial" w:cs="Arial"/>
          <w:sz w:val="20"/>
          <w:szCs w:val="20"/>
        </w:rPr>
        <w:t>Mandate of the Portfolio Committee</w:t>
      </w:r>
      <w:bookmarkEnd w:id="3"/>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Committee is mandated by the Constitution and the Rules of Parliament to oversee the activities and performance of the Department and the entities that report to it. Furthermore, the Committee </w:t>
      </w:r>
      <w:r w:rsidR="00771355" w:rsidRPr="00133F4D">
        <w:rPr>
          <w:rFonts w:ascii="Arial" w:hAnsi="Arial" w:cs="Arial"/>
          <w:spacing w:val="6"/>
          <w:sz w:val="20"/>
          <w:szCs w:val="20"/>
        </w:rPr>
        <w:t>is also required to</w:t>
      </w:r>
      <w:r w:rsidRPr="00133F4D">
        <w:rPr>
          <w:rFonts w:ascii="Arial" w:hAnsi="Arial" w:cs="Arial"/>
          <w:spacing w:val="6"/>
          <w:sz w:val="20"/>
          <w:szCs w:val="20"/>
        </w:rPr>
        <w:t xml:space="preserve"> consider, amend and/or initiate legislation; consider international agreements and provide a platform for the public to participate and present views on issues and/or legislation specific to the sport, arts and culture sectors.</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To enhance Parliament’s oversight role, the Money Bills Amendment Procedure and Related Matters (Money Bills) Act (No. 9 of 2009) was promulgated to provide Parliament with a procedure to make recommendations to the Minister of Finance to amend the budget of a national department. A key provision of this Act is that Portfolio Committees must annually compile Budgetary Review and Recommendation (BRR) Reports. These BRR Reports provide an assessment of service delivery performance given available resources; evaluates the effective and efficient use of resources; and may make recommendations on the forward use of resources. The BRR Reports also acts as a mechanism to measure service delivery and identify areas that require urgent intervention. The BRR Reports are also source documents for the Committees on Appropriations when they make recommendations to the Houses of Parliament on the Medium-Term Budget Policy Statement (MTBPS).</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1"/>
          <w:numId w:val="38"/>
        </w:numPr>
        <w:spacing w:line="240" w:lineRule="auto"/>
        <w:jc w:val="left"/>
        <w:rPr>
          <w:rFonts w:ascii="Arial" w:hAnsi="Arial" w:cs="Arial"/>
          <w:sz w:val="20"/>
          <w:szCs w:val="20"/>
        </w:rPr>
      </w:pPr>
      <w:bookmarkStart w:id="4" w:name="_Toc88519294"/>
      <w:r w:rsidRPr="00133F4D">
        <w:rPr>
          <w:rFonts w:ascii="Arial" w:hAnsi="Arial" w:cs="Arial"/>
          <w:sz w:val="20"/>
          <w:szCs w:val="20"/>
        </w:rPr>
        <w:t>Purpose of and method to develop the 2021 Budgetary Review and Recommendation Report of the Portfolio Committee on Sport, Arts and Culture</w:t>
      </w:r>
      <w:bookmarkEnd w:id="4"/>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purpose of the BRR Report is to account, in accordance with the National Assembly (NA) Rules 339 and 340, for work done by the Committee in considering th</w:t>
      </w:r>
      <w:r w:rsidR="00FF7E16" w:rsidRPr="00133F4D">
        <w:rPr>
          <w:rFonts w:ascii="Arial" w:hAnsi="Arial" w:cs="Arial"/>
          <w:spacing w:val="6"/>
          <w:sz w:val="20"/>
          <w:szCs w:val="20"/>
        </w:rPr>
        <w:t>e 2021</w:t>
      </w:r>
      <w:r w:rsidRPr="00133F4D">
        <w:rPr>
          <w:rFonts w:ascii="Arial" w:hAnsi="Arial" w:cs="Arial"/>
          <w:spacing w:val="6"/>
          <w:sz w:val="20"/>
          <w:szCs w:val="20"/>
        </w:rPr>
        <w:t>/2</w:t>
      </w:r>
      <w:r w:rsidR="00FF7E16" w:rsidRPr="00133F4D">
        <w:rPr>
          <w:rFonts w:ascii="Arial" w:hAnsi="Arial" w:cs="Arial"/>
          <w:spacing w:val="6"/>
          <w:sz w:val="20"/>
          <w:szCs w:val="20"/>
        </w:rPr>
        <w:t>2</w:t>
      </w:r>
      <w:r w:rsidRPr="00133F4D">
        <w:rPr>
          <w:rFonts w:ascii="Arial" w:hAnsi="Arial" w:cs="Arial"/>
          <w:spacing w:val="6"/>
          <w:sz w:val="20"/>
          <w:szCs w:val="20"/>
        </w:rPr>
        <w:t xml:space="preserve"> Annual Reports of the Department and entities, which were tabled in accordance with Section 40(1) of the Public Finance Management Act (PFMA) (No. 1 of 1999) and referred by the Speaker to the Committee for consideration and report.</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In preparation for the BRR Report, the Committee considered the Department and entities’ prevailing Strategic Plans, the </w:t>
      </w:r>
      <w:r w:rsidR="00F82B42" w:rsidRPr="00133F4D">
        <w:rPr>
          <w:rFonts w:ascii="Arial" w:hAnsi="Arial" w:cs="Arial"/>
          <w:spacing w:val="6"/>
          <w:sz w:val="20"/>
          <w:szCs w:val="20"/>
        </w:rPr>
        <w:t>2021/22</w:t>
      </w:r>
      <w:r w:rsidRPr="00133F4D">
        <w:rPr>
          <w:rFonts w:ascii="Arial" w:hAnsi="Arial" w:cs="Arial"/>
          <w:spacing w:val="6"/>
          <w:sz w:val="20"/>
          <w:szCs w:val="20"/>
        </w:rPr>
        <w:t xml:space="preserve"> budget allocations and Annual Performance Plans</w:t>
      </w:r>
      <w:r w:rsidR="004728DF" w:rsidRPr="00133F4D">
        <w:rPr>
          <w:rFonts w:ascii="Arial" w:hAnsi="Arial" w:cs="Arial"/>
          <w:spacing w:val="6"/>
          <w:sz w:val="20"/>
          <w:szCs w:val="20"/>
        </w:rPr>
        <w:t xml:space="preserve"> (APPs)</w:t>
      </w:r>
      <w:r w:rsidRPr="00133F4D">
        <w:rPr>
          <w:rFonts w:ascii="Arial" w:hAnsi="Arial" w:cs="Arial"/>
          <w:spacing w:val="6"/>
          <w:sz w:val="20"/>
          <w:szCs w:val="20"/>
        </w:rPr>
        <w:t>, the quarterly performance and expenditure trends, and conducted oversight by having briefings on specific initiatives and programmes.</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On </w:t>
      </w:r>
      <w:r w:rsidR="00DF5B83" w:rsidRPr="00133F4D">
        <w:rPr>
          <w:rFonts w:ascii="Arial" w:hAnsi="Arial" w:cs="Arial"/>
          <w:spacing w:val="6"/>
          <w:sz w:val="20"/>
          <w:szCs w:val="20"/>
        </w:rPr>
        <w:t>11</w:t>
      </w:r>
      <w:r w:rsidRPr="00133F4D">
        <w:rPr>
          <w:rFonts w:ascii="Arial" w:hAnsi="Arial" w:cs="Arial"/>
          <w:spacing w:val="6"/>
          <w:sz w:val="20"/>
          <w:szCs w:val="20"/>
        </w:rPr>
        <w:t xml:space="preserve"> </w:t>
      </w:r>
      <w:r w:rsidR="00DF5B83" w:rsidRPr="00133F4D">
        <w:rPr>
          <w:rFonts w:ascii="Arial" w:hAnsi="Arial" w:cs="Arial"/>
          <w:spacing w:val="6"/>
          <w:sz w:val="20"/>
          <w:szCs w:val="20"/>
        </w:rPr>
        <w:t>October 2022</w:t>
      </w:r>
      <w:r w:rsidRPr="00133F4D">
        <w:rPr>
          <w:rFonts w:ascii="Arial" w:hAnsi="Arial" w:cs="Arial"/>
          <w:spacing w:val="6"/>
          <w:sz w:val="20"/>
          <w:szCs w:val="20"/>
        </w:rPr>
        <w:t>, the Committee invited the Auditor-General of South Africa (AG</w:t>
      </w:r>
      <w:r w:rsidR="009049AE" w:rsidRPr="00133F4D">
        <w:rPr>
          <w:rFonts w:ascii="Arial" w:hAnsi="Arial" w:cs="Arial"/>
          <w:spacing w:val="6"/>
          <w:sz w:val="20"/>
          <w:szCs w:val="20"/>
        </w:rPr>
        <w:t>) to explain the 2021/22</w:t>
      </w:r>
      <w:r w:rsidRPr="00133F4D">
        <w:rPr>
          <w:rFonts w:ascii="Arial" w:hAnsi="Arial" w:cs="Arial"/>
          <w:spacing w:val="6"/>
          <w:sz w:val="20"/>
          <w:szCs w:val="20"/>
        </w:rPr>
        <w:t xml:space="preserve"> audit outcomes of the Department and the entities, and </w:t>
      </w:r>
      <w:r w:rsidR="00C3752B" w:rsidRPr="00133F4D">
        <w:rPr>
          <w:rFonts w:ascii="Arial" w:hAnsi="Arial" w:cs="Arial"/>
          <w:spacing w:val="6"/>
          <w:sz w:val="20"/>
          <w:szCs w:val="20"/>
        </w:rPr>
        <w:t>considered the Department’s 2021/22</w:t>
      </w:r>
      <w:r w:rsidRPr="00133F4D">
        <w:rPr>
          <w:rFonts w:ascii="Arial" w:hAnsi="Arial" w:cs="Arial"/>
          <w:spacing w:val="6"/>
          <w:sz w:val="20"/>
          <w:szCs w:val="20"/>
        </w:rPr>
        <w:t xml:space="preserve"> Annual Report on </w:t>
      </w:r>
      <w:r w:rsidR="009049AE" w:rsidRPr="00133F4D">
        <w:rPr>
          <w:rFonts w:ascii="Arial" w:hAnsi="Arial" w:cs="Arial"/>
          <w:spacing w:val="6"/>
          <w:sz w:val="20"/>
          <w:szCs w:val="20"/>
        </w:rPr>
        <w:t>18</w:t>
      </w:r>
      <w:r w:rsidRPr="00133F4D">
        <w:rPr>
          <w:rFonts w:ascii="Arial" w:hAnsi="Arial" w:cs="Arial"/>
          <w:spacing w:val="6"/>
          <w:sz w:val="20"/>
          <w:szCs w:val="20"/>
        </w:rPr>
        <w:t xml:space="preserve"> </w:t>
      </w:r>
      <w:r w:rsidR="009049AE" w:rsidRPr="00133F4D">
        <w:rPr>
          <w:rFonts w:ascii="Arial" w:hAnsi="Arial" w:cs="Arial"/>
          <w:spacing w:val="6"/>
          <w:sz w:val="20"/>
          <w:szCs w:val="20"/>
        </w:rPr>
        <w:t>October</w:t>
      </w:r>
      <w:r w:rsidR="0002491F" w:rsidRPr="00133F4D">
        <w:rPr>
          <w:rFonts w:ascii="Arial" w:hAnsi="Arial" w:cs="Arial"/>
          <w:spacing w:val="6"/>
          <w:sz w:val="20"/>
          <w:szCs w:val="20"/>
        </w:rPr>
        <w:t xml:space="preserve"> 2022</w:t>
      </w:r>
      <w:r w:rsidRPr="00133F4D">
        <w:rPr>
          <w:rFonts w:ascii="Arial" w:hAnsi="Arial" w:cs="Arial"/>
          <w:spacing w:val="6"/>
          <w:sz w:val="20"/>
          <w:szCs w:val="20"/>
        </w:rPr>
        <w:t>.</w:t>
      </w:r>
      <w:r w:rsidR="00C3752B" w:rsidRPr="00133F4D">
        <w:rPr>
          <w:rFonts w:ascii="Arial" w:hAnsi="Arial" w:cs="Arial"/>
          <w:spacing w:val="6"/>
          <w:sz w:val="20"/>
          <w:szCs w:val="20"/>
        </w:rPr>
        <w:t xml:space="preserve"> </w:t>
      </w:r>
      <w:r w:rsidR="005B77A1" w:rsidRPr="00133F4D">
        <w:rPr>
          <w:rFonts w:ascii="Arial" w:hAnsi="Arial" w:cs="Arial"/>
          <w:spacing w:val="6"/>
          <w:sz w:val="20"/>
          <w:szCs w:val="20"/>
        </w:rPr>
        <w:t>The Committee’s in-year oversight activities also included the consideration of the annual reports of two entities</w:t>
      </w:r>
      <w:r w:rsidR="00724D18" w:rsidRPr="00133F4D">
        <w:rPr>
          <w:rFonts w:ascii="Arial" w:hAnsi="Arial" w:cs="Arial"/>
          <w:spacing w:val="6"/>
          <w:sz w:val="20"/>
          <w:szCs w:val="20"/>
        </w:rPr>
        <w:t xml:space="preserve"> and one sport and recreation body</w:t>
      </w:r>
      <w:r w:rsidR="005B77A1" w:rsidRPr="00133F4D">
        <w:rPr>
          <w:rFonts w:ascii="Arial" w:hAnsi="Arial" w:cs="Arial"/>
          <w:spacing w:val="6"/>
          <w:sz w:val="20"/>
          <w:szCs w:val="20"/>
        </w:rPr>
        <w:t>, namely the Afrikaan</w:t>
      </w:r>
      <w:r w:rsidR="00724D18" w:rsidRPr="00133F4D">
        <w:rPr>
          <w:rFonts w:ascii="Arial" w:hAnsi="Arial" w:cs="Arial"/>
          <w:spacing w:val="6"/>
          <w:sz w:val="20"/>
          <w:szCs w:val="20"/>
        </w:rPr>
        <w:t xml:space="preserve">se Taalmuseum en –monument (ATM), </w:t>
      </w:r>
      <w:r w:rsidR="005B77A1" w:rsidRPr="00133F4D">
        <w:rPr>
          <w:rFonts w:ascii="Arial" w:hAnsi="Arial" w:cs="Arial"/>
          <w:spacing w:val="6"/>
          <w:sz w:val="20"/>
          <w:szCs w:val="20"/>
        </w:rPr>
        <w:t>the William Humphreys Art Gallery</w:t>
      </w:r>
      <w:r w:rsidR="00724D18" w:rsidRPr="00133F4D">
        <w:rPr>
          <w:rFonts w:ascii="Arial" w:hAnsi="Arial" w:cs="Arial"/>
          <w:spacing w:val="6"/>
          <w:sz w:val="20"/>
          <w:szCs w:val="20"/>
        </w:rPr>
        <w:t xml:space="preserve"> (WHAG), and the South African Hockey Association (SAHA)</w:t>
      </w:r>
      <w:r w:rsidR="005B77A1" w:rsidRPr="00133F4D">
        <w:rPr>
          <w:rFonts w:ascii="Arial" w:hAnsi="Arial" w:cs="Arial"/>
          <w:spacing w:val="6"/>
          <w:sz w:val="20"/>
          <w:szCs w:val="20"/>
        </w:rPr>
        <w:t>.</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1"/>
          <w:numId w:val="38"/>
        </w:numPr>
        <w:spacing w:line="240" w:lineRule="auto"/>
        <w:jc w:val="left"/>
        <w:rPr>
          <w:rFonts w:ascii="Arial" w:hAnsi="Arial" w:cs="Arial"/>
          <w:sz w:val="20"/>
          <w:szCs w:val="20"/>
        </w:rPr>
      </w:pPr>
      <w:bookmarkStart w:id="5" w:name="_Toc88519295"/>
      <w:r w:rsidRPr="00133F4D">
        <w:rPr>
          <w:rFonts w:ascii="Arial" w:hAnsi="Arial" w:cs="Arial"/>
          <w:sz w:val="20"/>
          <w:szCs w:val="20"/>
        </w:rPr>
        <w:t>Relevant policy documents</w:t>
      </w:r>
      <w:bookmarkEnd w:id="5"/>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Sport, arts and culture are considered fundamental to social cohesion and nation-building. The White Paper on Arts and Culture was introduced in 1996 created an environment conducive to promoting, protecting and realising the full potential of South Africa’s Cultural and Creative Industries through transforming the sector, recognising the rights and status of all practitioners, and integrating the sector into all aspects of socio-economic development.</w:t>
      </w:r>
    </w:p>
    <w:p w:rsidR="00EB526E" w:rsidRPr="00133F4D" w:rsidRDefault="00EB526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In August 2018, Cabinet approved a new White Paper on Arts, Culture and Heritage which revokes elements of the 1996 White Paper. It is a culmination of the review of the 1996 White Paper, which appreciated the achievements in all the facets of arts, culture and heritage and reflected on areas that remained a challenge in advancing nation-building and social cohesion. The White Paper aims for a dynamic, vibrant and transformed South African arts, culture and heritage sector that will contribute towards nation-building, social cohesion and socio-economic inclusion.</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White Paper on Sport and Recreation for the Republic of South Africa (2011) is the third in a series of official policies on sport and recreation since the establishment of the democratic Government in 1994. Its purpose is to transform the delivery of sport and recreation by ensuring equitable access, development and excellence at all levels of participation and to harness the socio-economic contributions that can create a better life for all South Africans.</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Both policy documents recognise the potential economic and social benefits of the sectors. The Department notes in its 2020 – 2025 Strategic Plan that two White Papers will have to be checked to ensure that they do not contradict in any way the extension of the mandate of the Ministry of Sport, Arts and Culture.</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1"/>
          <w:numId w:val="38"/>
        </w:numPr>
        <w:spacing w:line="240" w:lineRule="auto"/>
        <w:jc w:val="left"/>
        <w:rPr>
          <w:rFonts w:ascii="Arial" w:hAnsi="Arial" w:cs="Arial"/>
          <w:sz w:val="20"/>
          <w:szCs w:val="20"/>
        </w:rPr>
      </w:pPr>
      <w:bookmarkStart w:id="6" w:name="_Toc88519296"/>
      <w:r w:rsidRPr="00133F4D">
        <w:rPr>
          <w:rFonts w:ascii="Arial" w:hAnsi="Arial" w:cs="Arial"/>
          <w:sz w:val="20"/>
          <w:szCs w:val="20"/>
        </w:rPr>
        <w:lastRenderedPageBreak/>
        <w:t>Response to previous financial recommendations of the Portfolio Committee on Sport, Arts and Culture</w:t>
      </w:r>
      <w:bookmarkEnd w:id="6"/>
    </w:p>
    <w:p w:rsidR="0069222E" w:rsidRPr="00133F4D" w:rsidRDefault="00A263A9"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Along with the recommendations to the Department, the </w:t>
      </w:r>
      <w:r w:rsidR="0069222E" w:rsidRPr="00133F4D">
        <w:rPr>
          <w:rFonts w:ascii="Arial" w:hAnsi="Arial" w:cs="Arial"/>
          <w:spacing w:val="6"/>
          <w:sz w:val="20"/>
          <w:szCs w:val="20"/>
        </w:rPr>
        <w:t xml:space="preserve">Committee’s BRR Report </w:t>
      </w:r>
      <w:r w:rsidRPr="00133F4D">
        <w:rPr>
          <w:rFonts w:ascii="Arial" w:hAnsi="Arial" w:cs="Arial"/>
          <w:spacing w:val="6"/>
          <w:sz w:val="20"/>
          <w:szCs w:val="20"/>
        </w:rPr>
        <w:t>made</w:t>
      </w:r>
      <w:r w:rsidR="0069222E" w:rsidRPr="00133F4D">
        <w:rPr>
          <w:rFonts w:ascii="Arial" w:hAnsi="Arial" w:cs="Arial"/>
          <w:spacing w:val="6"/>
          <w:sz w:val="20"/>
          <w:szCs w:val="20"/>
        </w:rPr>
        <w:t xml:space="preserve"> </w:t>
      </w:r>
      <w:r w:rsidRPr="00133F4D">
        <w:rPr>
          <w:rFonts w:ascii="Arial" w:hAnsi="Arial" w:cs="Arial"/>
          <w:spacing w:val="6"/>
          <w:sz w:val="20"/>
          <w:szCs w:val="20"/>
        </w:rPr>
        <w:t>one recommendation</w:t>
      </w:r>
      <w:r w:rsidR="0069222E" w:rsidRPr="00133F4D">
        <w:rPr>
          <w:rFonts w:ascii="Arial" w:hAnsi="Arial" w:cs="Arial"/>
          <w:spacing w:val="6"/>
          <w:sz w:val="20"/>
          <w:szCs w:val="20"/>
        </w:rPr>
        <w:t xml:space="preserve"> relating to the National Treasury. </w:t>
      </w:r>
      <w:r w:rsidR="00F156B9" w:rsidRPr="00133F4D">
        <w:rPr>
          <w:rFonts w:ascii="Arial" w:hAnsi="Arial" w:cs="Arial"/>
          <w:spacing w:val="6"/>
          <w:sz w:val="20"/>
          <w:szCs w:val="20"/>
        </w:rPr>
        <w:t>A summary of t</w:t>
      </w:r>
      <w:r w:rsidR="008055DD" w:rsidRPr="00133F4D">
        <w:rPr>
          <w:rFonts w:ascii="Arial" w:hAnsi="Arial" w:cs="Arial"/>
          <w:spacing w:val="6"/>
          <w:sz w:val="20"/>
          <w:szCs w:val="20"/>
        </w:rPr>
        <w:t xml:space="preserve">hese </w:t>
      </w:r>
      <w:r w:rsidR="00C33DF3" w:rsidRPr="00133F4D">
        <w:rPr>
          <w:rFonts w:ascii="Arial" w:hAnsi="Arial" w:cs="Arial"/>
          <w:spacing w:val="6"/>
          <w:sz w:val="20"/>
          <w:szCs w:val="20"/>
        </w:rPr>
        <w:t>is</w:t>
      </w:r>
      <w:r w:rsidR="008055DD" w:rsidRPr="00133F4D">
        <w:rPr>
          <w:rFonts w:ascii="Arial" w:hAnsi="Arial" w:cs="Arial"/>
          <w:spacing w:val="6"/>
          <w:sz w:val="20"/>
          <w:szCs w:val="20"/>
        </w:rPr>
        <w:t xml:space="preserve"> captured in </w:t>
      </w:r>
      <w:r w:rsidR="00D92565" w:rsidRPr="00133F4D">
        <w:rPr>
          <w:rFonts w:ascii="Arial" w:hAnsi="Arial" w:cs="Arial"/>
          <w:spacing w:val="6"/>
          <w:sz w:val="20"/>
          <w:szCs w:val="20"/>
        </w:rPr>
        <w:t xml:space="preserve">the following </w:t>
      </w:r>
      <w:r w:rsidR="008055DD" w:rsidRPr="00133F4D">
        <w:rPr>
          <w:rFonts w:ascii="Arial" w:hAnsi="Arial" w:cs="Arial"/>
          <w:spacing w:val="6"/>
          <w:sz w:val="20"/>
          <w:szCs w:val="20"/>
        </w:rPr>
        <w:t>section.</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1"/>
        <w:spacing w:before="0" w:line="240" w:lineRule="auto"/>
        <w:ind w:left="567" w:hanging="567"/>
        <w:jc w:val="left"/>
        <w:rPr>
          <w:rFonts w:ascii="Arial" w:hAnsi="Arial" w:cs="Arial"/>
          <w:spacing w:val="6"/>
          <w:sz w:val="20"/>
          <w:szCs w:val="20"/>
        </w:rPr>
      </w:pPr>
      <w:bookmarkStart w:id="7" w:name="_Toc88519297"/>
      <w:r w:rsidRPr="00133F4D">
        <w:rPr>
          <w:rFonts w:ascii="Arial" w:hAnsi="Arial" w:cs="Arial"/>
          <w:spacing w:val="6"/>
          <w:sz w:val="20"/>
          <w:szCs w:val="20"/>
        </w:rPr>
        <w:t>SUMMARY OF PREVIOUS KEY FINANCIAL AND PERFORMANCE RECOMMENDATIONS OF THE COMMITTEE</w:t>
      </w:r>
      <w:bookmarkEnd w:id="7"/>
    </w:p>
    <w:p w:rsidR="007F426E" w:rsidRPr="00133F4D" w:rsidRDefault="007F426E" w:rsidP="00133F4D">
      <w:pPr>
        <w:spacing w:after="0" w:line="240" w:lineRule="auto"/>
        <w:jc w:val="left"/>
        <w:rPr>
          <w:rFonts w:ascii="Arial" w:hAnsi="Arial" w:cs="Arial"/>
          <w:sz w:val="20"/>
          <w:szCs w:val="20"/>
        </w:rPr>
      </w:pPr>
    </w:p>
    <w:p w:rsidR="007F426E" w:rsidRPr="00133F4D" w:rsidRDefault="008C1DD2" w:rsidP="00133F4D">
      <w:pPr>
        <w:pStyle w:val="Heading2"/>
        <w:numPr>
          <w:ilvl w:val="1"/>
          <w:numId w:val="41"/>
        </w:numPr>
        <w:spacing w:line="240" w:lineRule="auto"/>
        <w:jc w:val="left"/>
        <w:rPr>
          <w:rFonts w:ascii="Arial" w:hAnsi="Arial" w:cs="Arial"/>
          <w:sz w:val="20"/>
          <w:szCs w:val="20"/>
        </w:rPr>
      </w:pPr>
      <w:bookmarkStart w:id="8" w:name="_Toc88519298"/>
      <w:r w:rsidRPr="00133F4D">
        <w:rPr>
          <w:rFonts w:ascii="Arial" w:hAnsi="Arial" w:cs="Arial"/>
          <w:sz w:val="20"/>
          <w:szCs w:val="20"/>
        </w:rPr>
        <w:t>2021</w:t>
      </w:r>
      <w:r w:rsidR="0069222E" w:rsidRPr="00133F4D">
        <w:rPr>
          <w:rFonts w:ascii="Arial" w:hAnsi="Arial" w:cs="Arial"/>
          <w:sz w:val="20"/>
          <w:szCs w:val="20"/>
        </w:rPr>
        <w:t xml:space="preserve"> BRR Report recommendations</w:t>
      </w:r>
      <w:bookmarkEnd w:id="8"/>
    </w:p>
    <w:p w:rsidR="0086156D" w:rsidRPr="00133F4D" w:rsidRDefault="00D41DA8" w:rsidP="00133F4D">
      <w:pPr>
        <w:pStyle w:val="ListParagraph"/>
        <w:numPr>
          <w:ilvl w:val="2"/>
          <w:numId w:val="41"/>
        </w:numPr>
        <w:spacing w:after="0" w:line="240" w:lineRule="auto"/>
        <w:jc w:val="left"/>
        <w:rPr>
          <w:rFonts w:ascii="Arial" w:hAnsi="Arial" w:cs="Arial"/>
          <w:spacing w:val="6"/>
          <w:sz w:val="20"/>
          <w:szCs w:val="20"/>
        </w:rPr>
      </w:pPr>
      <w:r w:rsidRPr="00133F4D">
        <w:rPr>
          <w:rFonts w:ascii="Arial" w:hAnsi="Arial" w:cs="Arial"/>
          <w:spacing w:val="6"/>
          <w:sz w:val="20"/>
          <w:szCs w:val="20"/>
        </w:rPr>
        <w:t>The Department to e</w:t>
      </w:r>
      <w:r w:rsidR="0086156D" w:rsidRPr="00133F4D">
        <w:rPr>
          <w:rFonts w:ascii="Arial" w:hAnsi="Arial" w:cs="Arial"/>
          <w:spacing w:val="6"/>
          <w:sz w:val="20"/>
          <w:szCs w:val="20"/>
        </w:rPr>
        <w:t>nsure the implementation of the recommendations of the forensic report into the alleged mismanagement of PESP funds at the NAC.</w:t>
      </w:r>
    </w:p>
    <w:p w:rsidR="00F41939" w:rsidRPr="00133F4D" w:rsidRDefault="002D053E"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Continued support to the athletes and artists affected by the closure of the sector during the series of lockdowns at the height of the COVID-19 pandemic.</w:t>
      </w:r>
    </w:p>
    <w:p w:rsidR="00F41939" w:rsidRPr="00133F4D" w:rsidRDefault="00F41939"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The Department should continue to fill all the critical posts to improve service delivery in the sector.</w:t>
      </w:r>
    </w:p>
    <w:p w:rsidR="00F41939" w:rsidRPr="00133F4D" w:rsidRDefault="00F41939"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The Department and affected entities should implement internal consequence management as per the recommendations of the AG’s findings in the 2020/21 report</w:t>
      </w:r>
      <w:r w:rsidR="00071053" w:rsidRPr="00133F4D">
        <w:rPr>
          <w:rFonts w:ascii="Arial" w:hAnsi="Arial" w:cs="Arial"/>
          <w:spacing w:val="6"/>
          <w:sz w:val="20"/>
          <w:szCs w:val="20"/>
        </w:rPr>
        <w:t>.</w:t>
      </w:r>
    </w:p>
    <w:p w:rsidR="006601C9" w:rsidRPr="00133F4D" w:rsidRDefault="00071053"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The Department should strengthen internal controls as per the recommendations of the AGs report.</w:t>
      </w:r>
    </w:p>
    <w:p w:rsidR="006601C9" w:rsidRPr="00133F4D" w:rsidRDefault="006601C9"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The Department is urged to increase female participation in sport, especially in the underrepresented sporting codes including Boxing.</w:t>
      </w:r>
    </w:p>
    <w:p w:rsidR="00DE3977" w:rsidRPr="00133F4D" w:rsidRDefault="006601C9"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The Department should create a conclusive strategy on the phasing in of school sport as well as continuing with the implementation of MoU with the Department of Basic Education. More needs to be done in terms of the implementation of physical education at all schools.</w:t>
      </w:r>
    </w:p>
    <w:p w:rsidR="006601C9" w:rsidRPr="00133F4D" w:rsidRDefault="00DE3977"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 xml:space="preserve">The </w:t>
      </w:r>
      <w:r w:rsidR="00922A4D" w:rsidRPr="00133F4D">
        <w:rPr>
          <w:rFonts w:ascii="Arial" w:hAnsi="Arial" w:cs="Arial"/>
          <w:spacing w:val="6"/>
          <w:sz w:val="20"/>
          <w:szCs w:val="20"/>
        </w:rPr>
        <w:t>Municipal Infrastructure Grant (MIG)</w:t>
      </w:r>
      <w:r w:rsidRPr="00133F4D">
        <w:rPr>
          <w:rFonts w:ascii="Arial" w:hAnsi="Arial" w:cs="Arial"/>
          <w:spacing w:val="6"/>
          <w:sz w:val="20"/>
          <w:szCs w:val="20"/>
        </w:rPr>
        <w:t xml:space="preserve"> needs more focus on the township sport infrastructure, which has become dilapidated and white elephants.</w:t>
      </w:r>
    </w:p>
    <w:p w:rsidR="00071053" w:rsidRPr="00133F4D" w:rsidRDefault="007D11D3"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With the regression in audit opinions of some entities reporting to the Department, the Committee called for the Department to direct its attention to the internal matters which contributed to the regression.</w:t>
      </w:r>
    </w:p>
    <w:p w:rsidR="00FF67E4" w:rsidRPr="00133F4D" w:rsidRDefault="00473040"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As a matter of urgency, the Department should expedite programmes that address the awareness of Gender-Based Violence and Femicide (GBVF).</w:t>
      </w:r>
    </w:p>
    <w:p w:rsidR="00486BB0" w:rsidRPr="00133F4D" w:rsidRDefault="00486BB0"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 xml:space="preserve">In relation to the </w:t>
      </w:r>
      <w:r w:rsidR="00481A90" w:rsidRPr="00133F4D">
        <w:rPr>
          <w:rFonts w:ascii="Arial" w:hAnsi="Arial" w:cs="Arial"/>
          <w:spacing w:val="6"/>
          <w:sz w:val="20"/>
          <w:szCs w:val="20"/>
        </w:rPr>
        <w:t>ongoing heritage legacy projects, the Committee urged the Department to complete these projects such as the Winnie Mandela House and Sarah Baartman Centre of Remembrance in the 2022/23 financial year.</w:t>
      </w:r>
    </w:p>
    <w:p w:rsidR="007A5F9B" w:rsidRPr="00133F4D" w:rsidRDefault="007A5F9B" w:rsidP="00133F4D">
      <w:pPr>
        <w:pStyle w:val="ListParagraph"/>
        <w:numPr>
          <w:ilvl w:val="2"/>
          <w:numId w:val="41"/>
        </w:numPr>
        <w:spacing w:after="0" w:line="240" w:lineRule="auto"/>
        <w:ind w:left="709"/>
        <w:jc w:val="left"/>
        <w:rPr>
          <w:rFonts w:ascii="Arial" w:hAnsi="Arial" w:cs="Arial"/>
          <w:spacing w:val="6"/>
          <w:sz w:val="20"/>
          <w:szCs w:val="20"/>
        </w:rPr>
      </w:pPr>
      <w:r w:rsidRPr="00133F4D">
        <w:rPr>
          <w:rFonts w:ascii="Arial" w:hAnsi="Arial" w:cs="Arial"/>
          <w:spacing w:val="6"/>
          <w:sz w:val="20"/>
          <w:szCs w:val="20"/>
        </w:rPr>
        <w:t>To the Minister of Finance, the Committee recommended the prioritisation of adequate funding and allocation towards the implementation of the White Paper on Arts, Culture and Heritage over the MTSF.</w:t>
      </w:r>
    </w:p>
    <w:p w:rsidR="0069222E" w:rsidRPr="00133F4D" w:rsidRDefault="0069222E" w:rsidP="00133F4D">
      <w:pPr>
        <w:spacing w:after="0" w:line="240" w:lineRule="auto"/>
        <w:ind w:left="-11"/>
        <w:jc w:val="left"/>
        <w:rPr>
          <w:rFonts w:ascii="Arial" w:hAnsi="Arial" w:cs="Arial"/>
          <w:spacing w:val="6"/>
          <w:sz w:val="20"/>
          <w:szCs w:val="20"/>
        </w:rPr>
      </w:pPr>
    </w:p>
    <w:p w:rsidR="002C1F69" w:rsidRPr="00133F4D" w:rsidRDefault="005E7A26" w:rsidP="00133F4D">
      <w:pPr>
        <w:pStyle w:val="Heading2"/>
        <w:spacing w:line="240" w:lineRule="auto"/>
        <w:jc w:val="left"/>
        <w:rPr>
          <w:rFonts w:ascii="Arial" w:hAnsi="Arial" w:cs="Arial"/>
          <w:sz w:val="20"/>
          <w:szCs w:val="20"/>
        </w:rPr>
      </w:pPr>
      <w:bookmarkStart w:id="9" w:name="_Toc88519299"/>
      <w:r w:rsidRPr="00133F4D">
        <w:rPr>
          <w:rFonts w:ascii="Arial" w:hAnsi="Arial" w:cs="Arial"/>
          <w:sz w:val="20"/>
          <w:szCs w:val="20"/>
        </w:rPr>
        <w:t xml:space="preserve">2.2 </w:t>
      </w:r>
      <w:r w:rsidR="002C1F69" w:rsidRPr="00133F4D">
        <w:rPr>
          <w:rFonts w:ascii="Arial" w:hAnsi="Arial" w:cs="Arial"/>
          <w:sz w:val="20"/>
          <w:szCs w:val="20"/>
        </w:rPr>
        <w:t>2022/23 Committee Budget Vote 37 Report</w:t>
      </w:r>
    </w:p>
    <w:bookmarkEnd w:id="9"/>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following is a</w:t>
      </w:r>
      <w:r w:rsidR="005502F8" w:rsidRPr="00133F4D">
        <w:rPr>
          <w:rFonts w:ascii="Arial" w:hAnsi="Arial" w:cs="Arial"/>
          <w:spacing w:val="6"/>
          <w:sz w:val="20"/>
          <w:szCs w:val="20"/>
        </w:rPr>
        <w:t xml:space="preserve"> summary of </w:t>
      </w:r>
      <w:r w:rsidR="006A5748" w:rsidRPr="00133F4D">
        <w:rPr>
          <w:rFonts w:ascii="Arial" w:hAnsi="Arial" w:cs="Arial"/>
          <w:spacing w:val="6"/>
          <w:sz w:val="20"/>
          <w:szCs w:val="20"/>
        </w:rPr>
        <w:t>the</w:t>
      </w:r>
      <w:r w:rsidR="005502F8" w:rsidRPr="00133F4D">
        <w:rPr>
          <w:rFonts w:ascii="Arial" w:hAnsi="Arial" w:cs="Arial"/>
          <w:spacing w:val="6"/>
          <w:sz w:val="20"/>
          <w:szCs w:val="20"/>
        </w:rPr>
        <w:t xml:space="preserve"> </w:t>
      </w:r>
      <w:r w:rsidR="006A5748" w:rsidRPr="00133F4D">
        <w:rPr>
          <w:rFonts w:ascii="Arial" w:hAnsi="Arial" w:cs="Arial"/>
          <w:spacing w:val="6"/>
          <w:sz w:val="20"/>
          <w:szCs w:val="20"/>
        </w:rPr>
        <w:t xml:space="preserve">Committee’s </w:t>
      </w:r>
      <w:r w:rsidRPr="00133F4D">
        <w:rPr>
          <w:rFonts w:ascii="Arial" w:hAnsi="Arial" w:cs="Arial"/>
          <w:spacing w:val="6"/>
          <w:sz w:val="20"/>
          <w:szCs w:val="20"/>
        </w:rPr>
        <w:t>recommendations made to the Minister</w:t>
      </w:r>
      <w:r w:rsidR="006A5748" w:rsidRPr="00133F4D">
        <w:rPr>
          <w:rFonts w:ascii="Arial" w:hAnsi="Arial" w:cs="Arial"/>
          <w:spacing w:val="6"/>
          <w:sz w:val="20"/>
          <w:szCs w:val="20"/>
        </w:rPr>
        <w:t xml:space="preserve"> and the responses to these</w:t>
      </w:r>
      <w:r w:rsidRPr="00133F4D">
        <w:rPr>
          <w:rFonts w:ascii="Arial" w:hAnsi="Arial" w:cs="Arial"/>
          <w:spacing w:val="6"/>
          <w:sz w:val="20"/>
          <w:szCs w:val="20"/>
        </w:rPr>
        <w:t>:</w:t>
      </w:r>
    </w:p>
    <w:p w:rsidR="001E5B3B" w:rsidRPr="00133F4D" w:rsidRDefault="001E5B3B" w:rsidP="00133F4D">
      <w:pPr>
        <w:pStyle w:val="Caption"/>
        <w:keepNext/>
        <w:spacing w:after="0"/>
        <w:jc w:val="left"/>
        <w:rPr>
          <w:rFonts w:ascii="Arial" w:hAnsi="Arial" w:cs="Arial"/>
          <w:b/>
          <w:i w:val="0"/>
          <w:color w:val="auto"/>
          <w:spacing w:val="6"/>
          <w:sz w:val="20"/>
          <w:szCs w:val="20"/>
        </w:rPr>
      </w:pPr>
    </w:p>
    <w:p w:rsidR="006A5748" w:rsidRPr="00133F4D" w:rsidRDefault="006A5748" w:rsidP="00133F4D">
      <w:pPr>
        <w:pStyle w:val="Caption"/>
        <w:keepNext/>
        <w:spacing w:after="0"/>
        <w:jc w:val="left"/>
        <w:rPr>
          <w:rFonts w:ascii="Arial" w:hAnsi="Arial" w:cs="Arial"/>
          <w:b/>
          <w:i w:val="0"/>
          <w:color w:val="auto"/>
          <w:spacing w:val="6"/>
          <w:sz w:val="20"/>
          <w:szCs w:val="20"/>
        </w:rPr>
      </w:pPr>
      <w:r w:rsidRPr="00133F4D">
        <w:rPr>
          <w:rFonts w:ascii="Arial" w:hAnsi="Arial" w:cs="Arial"/>
          <w:b/>
          <w:i w:val="0"/>
          <w:color w:val="auto"/>
          <w:spacing w:val="6"/>
          <w:sz w:val="20"/>
          <w:szCs w:val="20"/>
        </w:rPr>
        <w:t xml:space="preserve">Table </w:t>
      </w:r>
      <w:r w:rsidR="00E922AD" w:rsidRPr="00133F4D">
        <w:rPr>
          <w:rFonts w:ascii="Arial" w:hAnsi="Arial" w:cs="Arial"/>
          <w:b/>
          <w:i w:val="0"/>
          <w:color w:val="auto"/>
          <w:spacing w:val="6"/>
          <w:sz w:val="20"/>
          <w:szCs w:val="20"/>
        </w:rPr>
        <w:fldChar w:fldCharType="begin"/>
      </w:r>
      <w:r w:rsidRPr="00133F4D">
        <w:rPr>
          <w:rFonts w:ascii="Arial" w:hAnsi="Arial" w:cs="Arial"/>
          <w:b/>
          <w:i w:val="0"/>
          <w:color w:val="auto"/>
          <w:spacing w:val="6"/>
          <w:sz w:val="20"/>
          <w:szCs w:val="20"/>
        </w:rPr>
        <w:instrText xml:space="preserve"> SEQ Table \* ARABIC </w:instrText>
      </w:r>
      <w:r w:rsidR="00E922AD" w:rsidRPr="00133F4D">
        <w:rPr>
          <w:rFonts w:ascii="Arial" w:hAnsi="Arial" w:cs="Arial"/>
          <w:b/>
          <w:i w:val="0"/>
          <w:color w:val="auto"/>
          <w:spacing w:val="6"/>
          <w:sz w:val="20"/>
          <w:szCs w:val="20"/>
        </w:rPr>
        <w:fldChar w:fldCharType="separate"/>
      </w:r>
      <w:r w:rsidR="00D81058" w:rsidRPr="00133F4D">
        <w:rPr>
          <w:rFonts w:ascii="Arial" w:hAnsi="Arial" w:cs="Arial"/>
          <w:b/>
          <w:i w:val="0"/>
          <w:noProof/>
          <w:color w:val="auto"/>
          <w:spacing w:val="6"/>
          <w:sz w:val="20"/>
          <w:szCs w:val="20"/>
        </w:rPr>
        <w:t>1</w:t>
      </w:r>
      <w:r w:rsidR="00E922AD" w:rsidRPr="00133F4D">
        <w:rPr>
          <w:rFonts w:ascii="Arial" w:hAnsi="Arial" w:cs="Arial"/>
          <w:b/>
          <w:i w:val="0"/>
          <w:color w:val="auto"/>
          <w:spacing w:val="6"/>
          <w:sz w:val="20"/>
          <w:szCs w:val="20"/>
        </w:rPr>
        <w:fldChar w:fldCharType="end"/>
      </w:r>
      <w:r w:rsidRPr="00133F4D">
        <w:rPr>
          <w:rFonts w:ascii="Arial" w:hAnsi="Arial" w:cs="Arial"/>
          <w:b/>
          <w:i w:val="0"/>
          <w:color w:val="auto"/>
          <w:spacing w:val="6"/>
          <w:sz w:val="20"/>
          <w:szCs w:val="20"/>
        </w:rPr>
        <w:t>: Recommendations by the Committee to the Minister with corresponding responses</w:t>
      </w:r>
    </w:p>
    <w:tbl>
      <w:tblPr>
        <w:tblStyle w:val="TableGrid"/>
        <w:tblW w:w="5000" w:type="pct"/>
        <w:tblLook w:val="04A0"/>
      </w:tblPr>
      <w:tblGrid>
        <w:gridCol w:w="2900"/>
        <w:gridCol w:w="6342"/>
      </w:tblGrid>
      <w:tr w:rsidR="0086032A" w:rsidRPr="00133F4D" w:rsidTr="00126E9E">
        <w:trPr>
          <w:trHeight w:val="386"/>
          <w:tblHeader/>
        </w:trPr>
        <w:tc>
          <w:tcPr>
            <w:tcW w:w="1569" w:type="pct"/>
            <w:shd w:val="clear" w:color="auto" w:fill="C5E0B3" w:themeFill="accent6" w:themeFillTint="66"/>
          </w:tcPr>
          <w:p w:rsidR="0086032A" w:rsidRPr="00133F4D" w:rsidRDefault="0086032A" w:rsidP="00133F4D">
            <w:pPr>
              <w:spacing w:line="240" w:lineRule="auto"/>
              <w:jc w:val="left"/>
              <w:rPr>
                <w:rFonts w:ascii="Arial" w:hAnsi="Arial" w:cs="Arial"/>
                <w:b/>
                <w:bCs/>
                <w:spacing w:val="6"/>
                <w:sz w:val="20"/>
                <w:szCs w:val="20"/>
                <w:lang w:val="en-US"/>
              </w:rPr>
            </w:pPr>
            <w:r w:rsidRPr="00133F4D">
              <w:rPr>
                <w:rFonts w:ascii="Arial" w:hAnsi="Arial" w:cs="Arial"/>
                <w:b/>
                <w:bCs/>
                <w:spacing w:val="6"/>
                <w:sz w:val="20"/>
                <w:szCs w:val="20"/>
                <w:lang w:val="en-US"/>
              </w:rPr>
              <w:t>RECOMMENDATIONS</w:t>
            </w:r>
          </w:p>
        </w:tc>
        <w:tc>
          <w:tcPr>
            <w:tcW w:w="3431" w:type="pct"/>
            <w:shd w:val="clear" w:color="auto" w:fill="C5E0B3" w:themeFill="accent6" w:themeFillTint="66"/>
          </w:tcPr>
          <w:p w:rsidR="0086032A" w:rsidRPr="00133F4D" w:rsidRDefault="0086032A" w:rsidP="00133F4D">
            <w:pPr>
              <w:spacing w:line="240" w:lineRule="auto"/>
              <w:jc w:val="left"/>
              <w:rPr>
                <w:rFonts w:ascii="Arial" w:hAnsi="Arial" w:cs="Arial"/>
                <w:spacing w:val="6"/>
                <w:sz w:val="20"/>
                <w:szCs w:val="20"/>
                <w:lang w:val="en-US"/>
              </w:rPr>
            </w:pPr>
            <w:r w:rsidRPr="00133F4D">
              <w:rPr>
                <w:rFonts w:ascii="Arial" w:hAnsi="Arial" w:cs="Arial"/>
                <w:b/>
                <w:bCs/>
                <w:spacing w:val="6"/>
                <w:sz w:val="20"/>
                <w:szCs w:val="20"/>
                <w:lang w:val="en-US"/>
              </w:rPr>
              <w:t>RESPONSES RECEIVED FROM THE MINISTER</w:t>
            </w:r>
          </w:p>
          <w:p w:rsidR="0086032A" w:rsidRPr="00133F4D" w:rsidRDefault="0086032A" w:rsidP="00133F4D">
            <w:pPr>
              <w:spacing w:line="240" w:lineRule="auto"/>
              <w:jc w:val="left"/>
              <w:rPr>
                <w:rFonts w:ascii="Arial" w:hAnsi="Arial" w:cs="Arial"/>
                <w:spacing w:val="6"/>
                <w:sz w:val="20"/>
                <w:szCs w:val="20"/>
                <w:lang w:val="en-US"/>
              </w:rPr>
            </w:pPr>
          </w:p>
        </w:tc>
      </w:tr>
      <w:tr w:rsidR="0086032A" w:rsidRPr="00133F4D" w:rsidTr="00A75D6A">
        <w:tc>
          <w:tcPr>
            <w:tcW w:w="5000" w:type="pct"/>
            <w:gridSpan w:val="2"/>
          </w:tcPr>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b/>
                <w:bCs/>
                <w:spacing w:val="6"/>
                <w:sz w:val="20"/>
                <w:szCs w:val="20"/>
              </w:rPr>
              <w:t>DSAC</w:t>
            </w:r>
          </w:p>
        </w:tc>
      </w:tr>
      <w:tr w:rsidR="0086032A" w:rsidRPr="00133F4D" w:rsidTr="00A75D6A">
        <w:tc>
          <w:tcPr>
            <w:tcW w:w="1569" w:type="pct"/>
          </w:tcPr>
          <w:p w:rsidR="0086032A" w:rsidRPr="00133F4D" w:rsidRDefault="0086032A" w:rsidP="00133F4D">
            <w:pPr>
              <w:spacing w:line="240" w:lineRule="auto"/>
              <w:jc w:val="left"/>
              <w:rPr>
                <w:rFonts w:ascii="Arial" w:hAnsi="Arial" w:cs="Arial"/>
                <w:b/>
                <w:bCs/>
                <w:spacing w:val="6"/>
                <w:sz w:val="20"/>
                <w:szCs w:val="20"/>
              </w:rPr>
            </w:pPr>
            <w:r w:rsidRPr="00133F4D">
              <w:rPr>
                <w:rFonts w:ascii="Arial" w:hAnsi="Arial" w:cs="Arial"/>
                <w:b/>
                <w:bCs/>
                <w:spacing w:val="6"/>
                <w:sz w:val="20"/>
                <w:szCs w:val="20"/>
              </w:rPr>
              <w:t xml:space="preserve">Language Rights: </w:t>
            </w: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The Department to ensure that the</w:t>
            </w:r>
            <w:r w:rsidR="00771355" w:rsidRPr="00133F4D">
              <w:rPr>
                <w:rFonts w:ascii="Arial" w:hAnsi="Arial" w:cs="Arial"/>
                <w:spacing w:val="6"/>
                <w:sz w:val="20"/>
                <w:szCs w:val="20"/>
              </w:rPr>
              <w:t xml:space="preserve"> South African Language Practitioners’ Council</w:t>
            </w:r>
            <w:r w:rsidRPr="00133F4D">
              <w:rPr>
                <w:rFonts w:ascii="Arial" w:hAnsi="Arial" w:cs="Arial"/>
                <w:spacing w:val="6"/>
                <w:sz w:val="20"/>
                <w:szCs w:val="20"/>
              </w:rPr>
              <w:t xml:space="preserve"> </w:t>
            </w:r>
            <w:r w:rsidR="00771355" w:rsidRPr="00133F4D">
              <w:rPr>
                <w:rFonts w:ascii="Arial" w:hAnsi="Arial" w:cs="Arial"/>
                <w:spacing w:val="6"/>
                <w:sz w:val="20"/>
                <w:szCs w:val="20"/>
              </w:rPr>
              <w:t>(</w:t>
            </w:r>
            <w:r w:rsidRPr="00133F4D">
              <w:rPr>
                <w:rFonts w:ascii="Arial" w:hAnsi="Arial" w:cs="Arial"/>
                <w:spacing w:val="6"/>
                <w:sz w:val="20"/>
                <w:szCs w:val="20"/>
              </w:rPr>
              <w:t>SALPC</w:t>
            </w:r>
            <w:r w:rsidR="00771355" w:rsidRPr="00133F4D">
              <w:rPr>
                <w:rFonts w:ascii="Arial" w:hAnsi="Arial" w:cs="Arial"/>
                <w:spacing w:val="6"/>
                <w:sz w:val="20"/>
                <w:szCs w:val="20"/>
              </w:rPr>
              <w:t>)</w:t>
            </w:r>
            <w:r w:rsidRPr="00133F4D">
              <w:rPr>
                <w:rFonts w:ascii="Arial" w:hAnsi="Arial" w:cs="Arial"/>
                <w:spacing w:val="6"/>
                <w:sz w:val="20"/>
                <w:szCs w:val="20"/>
              </w:rPr>
              <w:t xml:space="preserve"> is established to advance the promotion and protection of language practice in the country.</w:t>
            </w:r>
          </w:p>
        </w:tc>
        <w:tc>
          <w:tcPr>
            <w:tcW w:w="3431" w:type="pct"/>
          </w:tcPr>
          <w:p w:rsidR="0086032A" w:rsidRPr="00133F4D" w:rsidRDefault="0086032A" w:rsidP="00133F4D">
            <w:pPr>
              <w:spacing w:line="240" w:lineRule="auto"/>
              <w:jc w:val="left"/>
              <w:rPr>
                <w:rFonts w:ascii="Arial" w:hAnsi="Arial" w:cs="Arial"/>
                <w:spacing w:val="6"/>
                <w:sz w:val="20"/>
                <w:szCs w:val="20"/>
              </w:rPr>
            </w:pP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The budget to establish SALPC should be appropriated by National Treasury. The Department submitted a bid to National Treasury in 2016 to fund the implementation of the SALPC Act</w:t>
            </w:r>
            <w:r w:rsidR="002865D8" w:rsidRPr="00133F4D">
              <w:rPr>
                <w:rFonts w:ascii="Arial" w:hAnsi="Arial" w:cs="Arial"/>
                <w:spacing w:val="6"/>
                <w:sz w:val="20"/>
                <w:szCs w:val="20"/>
              </w:rPr>
              <w:t xml:space="preserve"> (No. 8 of </w:t>
            </w:r>
            <w:r w:rsidRPr="00133F4D">
              <w:rPr>
                <w:rFonts w:ascii="Arial" w:hAnsi="Arial" w:cs="Arial"/>
                <w:spacing w:val="6"/>
                <w:sz w:val="20"/>
                <w:szCs w:val="20"/>
              </w:rPr>
              <w:t>2014</w:t>
            </w:r>
            <w:r w:rsidR="002865D8" w:rsidRPr="00133F4D">
              <w:rPr>
                <w:rFonts w:ascii="Arial" w:hAnsi="Arial" w:cs="Arial"/>
                <w:spacing w:val="6"/>
                <w:sz w:val="20"/>
                <w:szCs w:val="20"/>
              </w:rPr>
              <w:t>)</w:t>
            </w:r>
            <w:r w:rsidRPr="00133F4D">
              <w:rPr>
                <w:rFonts w:ascii="Arial" w:hAnsi="Arial" w:cs="Arial"/>
                <w:spacing w:val="6"/>
                <w:sz w:val="20"/>
                <w:szCs w:val="20"/>
              </w:rPr>
              <w:t xml:space="preserve"> with no success. Since then, National Treasury has been indicating that there is no budget for new projects. This means that there are no funds to be allocated for the establishment of the Council as this is a new project.</w:t>
            </w:r>
          </w:p>
          <w:p w:rsidR="0086032A" w:rsidRPr="00133F4D" w:rsidRDefault="0086032A" w:rsidP="00133F4D">
            <w:pPr>
              <w:spacing w:line="240" w:lineRule="auto"/>
              <w:jc w:val="left"/>
              <w:rPr>
                <w:rFonts w:ascii="Arial" w:hAnsi="Arial" w:cs="Arial"/>
                <w:spacing w:val="6"/>
                <w:sz w:val="20"/>
                <w:szCs w:val="20"/>
              </w:rPr>
            </w:pP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 xml:space="preserve">To ensure that the Council is established, in 2021 DSAC appointed the SALPC Advisory Committee to advise and </w:t>
            </w:r>
            <w:r w:rsidRPr="00133F4D">
              <w:rPr>
                <w:rFonts w:ascii="Arial" w:hAnsi="Arial" w:cs="Arial"/>
                <w:spacing w:val="6"/>
                <w:sz w:val="20"/>
                <w:szCs w:val="20"/>
              </w:rPr>
              <w:lastRenderedPageBreak/>
              <w:t xml:space="preserve">recommend on how the Council can be established under strict budgetary constraints. The Advisory Committee made its recommendations to the Executive Management Team (EMT) of the DSAC to commence with a minimal start-up structure that will consist of at least five staff members in the initial years of the Council. These recommended positions are those of the Chief Executive Officer, Finance Manager, Registrar, Administrator and the </w:t>
            </w:r>
            <w:r w:rsidR="00B94E40" w:rsidRPr="00133F4D">
              <w:rPr>
                <w:rFonts w:ascii="Arial" w:hAnsi="Arial" w:cs="Arial"/>
                <w:spacing w:val="6"/>
                <w:sz w:val="20"/>
                <w:szCs w:val="20"/>
              </w:rPr>
              <w:t>Office Administrator.</w:t>
            </w:r>
          </w:p>
          <w:p w:rsidR="0086032A" w:rsidRPr="00133F4D" w:rsidRDefault="0086032A" w:rsidP="00133F4D">
            <w:pPr>
              <w:spacing w:line="240" w:lineRule="auto"/>
              <w:jc w:val="left"/>
              <w:rPr>
                <w:rFonts w:ascii="Arial" w:hAnsi="Arial" w:cs="Arial"/>
                <w:b/>
                <w:bCs/>
                <w:spacing w:val="6"/>
                <w:sz w:val="20"/>
                <w:szCs w:val="20"/>
              </w:rPr>
            </w:pPr>
            <w:r w:rsidRPr="00133F4D">
              <w:rPr>
                <w:rFonts w:ascii="Arial" w:hAnsi="Arial" w:cs="Arial"/>
                <w:spacing w:val="6"/>
                <w:sz w:val="20"/>
                <w:szCs w:val="20"/>
              </w:rPr>
              <w:t>Currently, the cost of the start-up structure is being finalised for the Chief Financial Officer to identify where the funds to support the start-up structure can be sourced within the Department. The Department intends to advertise for the SALPC Board by the end of September 2022 depending on the availability of funds.</w:t>
            </w:r>
          </w:p>
        </w:tc>
      </w:tr>
      <w:tr w:rsidR="0086032A" w:rsidRPr="00133F4D" w:rsidTr="00A75D6A">
        <w:tc>
          <w:tcPr>
            <w:tcW w:w="1569" w:type="pct"/>
          </w:tcPr>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b/>
                <w:bCs/>
                <w:spacing w:val="6"/>
                <w:sz w:val="20"/>
                <w:szCs w:val="20"/>
              </w:rPr>
              <w:lastRenderedPageBreak/>
              <w:t>Digital Content</w:t>
            </w:r>
            <w:r w:rsidRPr="00133F4D">
              <w:rPr>
                <w:rFonts w:ascii="Arial" w:hAnsi="Arial" w:cs="Arial"/>
                <w:spacing w:val="6"/>
                <w:sz w:val="20"/>
                <w:szCs w:val="20"/>
              </w:rPr>
              <w:t xml:space="preserve">: </w:t>
            </w: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With the finalisation of the Department of Communication’s Digital Economy Master Plan, DSAC and SABC should ensure the issue of content creation is addressed.</w:t>
            </w:r>
          </w:p>
          <w:p w:rsidR="0086032A" w:rsidRPr="00133F4D" w:rsidRDefault="0086032A" w:rsidP="00133F4D">
            <w:pPr>
              <w:spacing w:line="240" w:lineRule="auto"/>
              <w:jc w:val="left"/>
              <w:rPr>
                <w:rFonts w:ascii="Arial" w:hAnsi="Arial" w:cs="Arial"/>
                <w:spacing w:val="6"/>
                <w:sz w:val="20"/>
                <w:szCs w:val="20"/>
              </w:rPr>
            </w:pPr>
          </w:p>
        </w:tc>
        <w:tc>
          <w:tcPr>
            <w:tcW w:w="3431" w:type="pct"/>
          </w:tcPr>
          <w:p w:rsidR="0086032A" w:rsidRPr="00133F4D" w:rsidRDefault="0086032A" w:rsidP="00133F4D">
            <w:pPr>
              <w:spacing w:line="240" w:lineRule="auto"/>
              <w:jc w:val="left"/>
              <w:rPr>
                <w:rFonts w:ascii="Arial" w:hAnsi="Arial" w:cs="Arial"/>
                <w:bCs/>
                <w:spacing w:val="6"/>
                <w:sz w:val="20"/>
                <w:szCs w:val="20"/>
                <w:lang w:val="en-GB"/>
              </w:rPr>
            </w:pPr>
          </w:p>
          <w:p w:rsidR="0086032A" w:rsidRPr="00133F4D" w:rsidRDefault="0086032A" w:rsidP="00133F4D">
            <w:pPr>
              <w:spacing w:line="240" w:lineRule="auto"/>
              <w:jc w:val="left"/>
              <w:rPr>
                <w:rFonts w:ascii="Arial" w:hAnsi="Arial" w:cs="Arial"/>
                <w:bCs/>
                <w:spacing w:val="6"/>
                <w:sz w:val="20"/>
                <w:szCs w:val="20"/>
              </w:rPr>
            </w:pPr>
            <w:r w:rsidRPr="00133F4D">
              <w:rPr>
                <w:rFonts w:ascii="Arial" w:hAnsi="Arial" w:cs="Arial"/>
                <w:bCs/>
                <w:spacing w:val="6"/>
                <w:sz w:val="20"/>
                <w:szCs w:val="20"/>
                <w:lang w:val="en-GB"/>
              </w:rPr>
              <w:t xml:space="preserve">The Cultural and Creative Masterplan strategy’s </w:t>
            </w:r>
            <w:r w:rsidRPr="00133F4D">
              <w:rPr>
                <w:rFonts w:ascii="Arial" w:hAnsi="Arial" w:cs="Arial"/>
                <w:bCs/>
                <w:spacing w:val="6"/>
                <w:sz w:val="20"/>
                <w:szCs w:val="20"/>
                <w:lang w:val="en-US"/>
              </w:rPr>
              <w:t>main focus is to grow an innovative and sustainable Creative Industry and to set out key interventions</w:t>
            </w:r>
            <w:r w:rsidR="001E777F" w:rsidRPr="00133F4D">
              <w:rPr>
                <w:rFonts w:ascii="Arial" w:hAnsi="Arial" w:cs="Arial"/>
                <w:bCs/>
                <w:spacing w:val="6"/>
                <w:sz w:val="20"/>
                <w:szCs w:val="20"/>
                <w:lang w:val="en-US"/>
              </w:rPr>
              <w:t xml:space="preserve"> </w:t>
            </w:r>
            <w:r w:rsidRPr="00133F4D">
              <w:rPr>
                <w:rFonts w:ascii="Arial" w:hAnsi="Arial" w:cs="Arial"/>
                <w:bCs/>
                <w:spacing w:val="6"/>
                <w:sz w:val="20"/>
                <w:szCs w:val="20"/>
                <w:lang w:val="en-US"/>
              </w:rPr>
              <w:t xml:space="preserve">in an inclusive manner, so that it effectively contributes to the creation of decent work in the creative economy. The Masterplan is developed in collaboration with other partners including labor, business, and other </w:t>
            </w:r>
            <w:r w:rsidR="00831DED" w:rsidRPr="00133F4D">
              <w:rPr>
                <w:rFonts w:ascii="Arial" w:hAnsi="Arial" w:cs="Arial"/>
                <w:bCs/>
                <w:spacing w:val="6"/>
                <w:sz w:val="20"/>
                <w:szCs w:val="20"/>
                <w:lang w:val="en-US"/>
              </w:rPr>
              <w:t>G</w:t>
            </w:r>
            <w:r w:rsidR="0045293D" w:rsidRPr="00133F4D">
              <w:rPr>
                <w:rFonts w:ascii="Arial" w:hAnsi="Arial" w:cs="Arial"/>
                <w:bCs/>
                <w:spacing w:val="6"/>
                <w:sz w:val="20"/>
                <w:szCs w:val="20"/>
                <w:lang w:val="en-US"/>
              </w:rPr>
              <w:t>overnment departments, i.e. Small Business Development; Trade, Industry and Competition; and Communications and Digital Technologies</w:t>
            </w: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bCs/>
                <w:spacing w:val="6"/>
                <w:sz w:val="20"/>
                <w:szCs w:val="20"/>
              </w:rPr>
              <w:t xml:space="preserve">The Masterplan will be presented at Cabinet on 26 July </w:t>
            </w:r>
            <w:r w:rsidR="00F11031" w:rsidRPr="00133F4D">
              <w:rPr>
                <w:rFonts w:ascii="Arial" w:hAnsi="Arial" w:cs="Arial"/>
                <w:bCs/>
                <w:spacing w:val="6"/>
                <w:sz w:val="20"/>
                <w:szCs w:val="20"/>
              </w:rPr>
              <w:t xml:space="preserve">2022 </w:t>
            </w:r>
            <w:r w:rsidRPr="00133F4D">
              <w:rPr>
                <w:rFonts w:ascii="Arial" w:hAnsi="Arial" w:cs="Arial"/>
                <w:bCs/>
                <w:spacing w:val="6"/>
                <w:sz w:val="20"/>
                <w:szCs w:val="20"/>
              </w:rPr>
              <w:t>for approval to implement the Key Action Plan. The Marketing Plan will be finalised after the approval and communicated to stakeholders.</w:t>
            </w:r>
          </w:p>
        </w:tc>
      </w:tr>
      <w:tr w:rsidR="0086032A" w:rsidRPr="00133F4D" w:rsidTr="00A75D6A">
        <w:tc>
          <w:tcPr>
            <w:tcW w:w="1569" w:type="pct"/>
          </w:tcPr>
          <w:p w:rsidR="0086032A" w:rsidRPr="00133F4D" w:rsidRDefault="0086032A" w:rsidP="00133F4D">
            <w:pPr>
              <w:spacing w:line="240" w:lineRule="auto"/>
              <w:jc w:val="left"/>
              <w:rPr>
                <w:rFonts w:ascii="Arial" w:hAnsi="Arial" w:cs="Arial"/>
                <w:b/>
                <w:bCs/>
                <w:spacing w:val="6"/>
                <w:sz w:val="20"/>
                <w:szCs w:val="20"/>
              </w:rPr>
            </w:pPr>
            <w:r w:rsidRPr="00133F4D">
              <w:rPr>
                <w:rFonts w:ascii="Arial" w:hAnsi="Arial" w:cs="Arial"/>
                <w:b/>
                <w:bCs/>
                <w:spacing w:val="6"/>
                <w:sz w:val="20"/>
                <w:szCs w:val="20"/>
              </w:rPr>
              <w:t xml:space="preserve">Legislative and Policy Review: </w:t>
            </w: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The Department to submit an overview of how it plans to implement its legislative and policy review, including the National Strategy for Women and Sport South Africa by the end of the second quarter of the 2022/23 financial year.</w:t>
            </w:r>
          </w:p>
        </w:tc>
        <w:tc>
          <w:tcPr>
            <w:tcW w:w="3431" w:type="pct"/>
          </w:tcPr>
          <w:p w:rsidR="0086032A" w:rsidRPr="00133F4D" w:rsidRDefault="0086032A" w:rsidP="00133F4D">
            <w:pPr>
              <w:spacing w:line="240" w:lineRule="auto"/>
              <w:jc w:val="left"/>
              <w:rPr>
                <w:rFonts w:ascii="Arial" w:hAnsi="Arial" w:cs="Arial"/>
                <w:spacing w:val="6"/>
                <w:sz w:val="20"/>
                <w:szCs w:val="20"/>
              </w:rPr>
            </w:pPr>
          </w:p>
          <w:p w:rsidR="00E1527F" w:rsidRPr="00133F4D" w:rsidRDefault="00E1527F" w:rsidP="00133F4D">
            <w:pPr>
              <w:spacing w:line="240" w:lineRule="auto"/>
              <w:jc w:val="left"/>
              <w:rPr>
                <w:rFonts w:ascii="Arial" w:hAnsi="Arial" w:cs="Arial"/>
                <w:spacing w:val="6"/>
                <w:sz w:val="20"/>
                <w:szCs w:val="20"/>
              </w:rPr>
            </w:pP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The Department is leading the process of developing a Women in Sport Policy. This policy is aimed at ensuring redress and promotion of Women in the Sport and Recreation sector across the various spheres of the industry, e.g., participation, administration, coaching, technical services. The Socio-Economic Impact Assessment (SEIAS) on the Draft Policy has been approved by the Department of Performance Monitoring and Evaluation. The above-mentioned policy is currently at final consultation phase and the Department has recently concluded consultations with National Federations. There in one more consultation outstanding with the Sports Media, after which the Policy will be ready to go to Cabinet for approval.</w:t>
            </w:r>
          </w:p>
          <w:p w:rsidR="0086032A" w:rsidRPr="00133F4D" w:rsidRDefault="0086032A" w:rsidP="00133F4D">
            <w:pPr>
              <w:spacing w:line="240" w:lineRule="auto"/>
              <w:jc w:val="left"/>
              <w:rPr>
                <w:rFonts w:ascii="Arial" w:hAnsi="Arial" w:cs="Arial"/>
                <w:spacing w:val="6"/>
                <w:sz w:val="20"/>
                <w:szCs w:val="20"/>
              </w:rPr>
            </w:pP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In processing the national sport and recreation amendment Bill 2022, the Bill will be submitted to the DG’s cluster and will be presented to Cabinet before the end of Quarter 2.</w:t>
            </w:r>
          </w:p>
          <w:p w:rsidR="0086032A" w:rsidRPr="00133F4D" w:rsidRDefault="0086032A" w:rsidP="00133F4D">
            <w:pPr>
              <w:spacing w:line="240" w:lineRule="auto"/>
              <w:jc w:val="left"/>
              <w:rPr>
                <w:rFonts w:ascii="Arial" w:hAnsi="Arial" w:cs="Arial"/>
                <w:spacing w:val="6"/>
                <w:sz w:val="20"/>
                <w:szCs w:val="20"/>
              </w:rPr>
            </w:pP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 xml:space="preserve">To implement the White Paper a task team has been constituted and the terms of reference to appoint the service provider will be finalised by end of August 2022 </w:t>
            </w:r>
          </w:p>
          <w:p w:rsidR="0086032A" w:rsidRPr="00133F4D" w:rsidRDefault="0086032A" w:rsidP="00133F4D">
            <w:pPr>
              <w:spacing w:line="240" w:lineRule="auto"/>
              <w:jc w:val="left"/>
              <w:rPr>
                <w:rFonts w:ascii="Arial" w:hAnsi="Arial" w:cs="Arial"/>
                <w:spacing w:val="6"/>
                <w:sz w:val="20"/>
                <w:szCs w:val="20"/>
              </w:rPr>
            </w:pP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A road map for the amalgamation of entities will be submitted to the task team in August 2022 where after legal service will commence drafting required pieces of legislation.</w:t>
            </w:r>
          </w:p>
        </w:tc>
      </w:tr>
      <w:tr w:rsidR="0086032A" w:rsidRPr="00133F4D" w:rsidTr="00A75D6A">
        <w:tc>
          <w:tcPr>
            <w:tcW w:w="1569" w:type="pct"/>
          </w:tcPr>
          <w:p w:rsidR="0086032A" w:rsidRPr="00133F4D" w:rsidRDefault="0086032A" w:rsidP="00133F4D">
            <w:pPr>
              <w:spacing w:line="240" w:lineRule="auto"/>
              <w:jc w:val="left"/>
              <w:rPr>
                <w:rFonts w:ascii="Arial" w:hAnsi="Arial" w:cs="Arial"/>
                <w:b/>
                <w:bCs/>
                <w:spacing w:val="6"/>
                <w:sz w:val="20"/>
                <w:szCs w:val="20"/>
              </w:rPr>
            </w:pPr>
            <w:r w:rsidRPr="00133F4D">
              <w:rPr>
                <w:rFonts w:ascii="Arial" w:hAnsi="Arial" w:cs="Arial"/>
                <w:b/>
                <w:bCs/>
                <w:spacing w:val="6"/>
                <w:sz w:val="20"/>
                <w:szCs w:val="20"/>
              </w:rPr>
              <w:t>National Sport and Recreation Amendment Bill 2022</w:t>
            </w:r>
          </w:p>
          <w:p w:rsidR="0086032A" w:rsidRPr="00133F4D" w:rsidRDefault="0086032A" w:rsidP="00133F4D">
            <w:pPr>
              <w:spacing w:line="240" w:lineRule="auto"/>
              <w:jc w:val="left"/>
              <w:rPr>
                <w:rFonts w:ascii="Arial" w:hAnsi="Arial" w:cs="Arial"/>
                <w:spacing w:val="6"/>
                <w:sz w:val="20"/>
                <w:szCs w:val="20"/>
              </w:rPr>
            </w:pPr>
          </w:p>
        </w:tc>
        <w:tc>
          <w:tcPr>
            <w:tcW w:w="3431" w:type="pct"/>
          </w:tcPr>
          <w:p w:rsidR="00F11031" w:rsidRPr="00133F4D" w:rsidRDefault="00F11031" w:rsidP="00133F4D">
            <w:pPr>
              <w:spacing w:line="240" w:lineRule="auto"/>
              <w:jc w:val="left"/>
              <w:rPr>
                <w:rFonts w:ascii="Arial" w:hAnsi="Arial" w:cs="Arial"/>
                <w:b/>
                <w:bCs/>
                <w:spacing w:val="6"/>
                <w:sz w:val="20"/>
                <w:szCs w:val="20"/>
              </w:rPr>
            </w:pPr>
          </w:p>
          <w:p w:rsidR="0086032A" w:rsidRPr="00133F4D" w:rsidRDefault="0086032A" w:rsidP="00133F4D">
            <w:pPr>
              <w:spacing w:line="240" w:lineRule="auto"/>
              <w:jc w:val="left"/>
              <w:rPr>
                <w:rFonts w:ascii="Arial" w:hAnsi="Arial" w:cs="Arial"/>
                <w:b/>
                <w:bCs/>
                <w:spacing w:val="6"/>
                <w:sz w:val="20"/>
                <w:szCs w:val="20"/>
              </w:rPr>
            </w:pPr>
            <w:r w:rsidRPr="00133F4D">
              <w:rPr>
                <w:rFonts w:ascii="Arial" w:hAnsi="Arial" w:cs="Arial"/>
                <w:b/>
                <w:bCs/>
                <w:spacing w:val="6"/>
                <w:sz w:val="20"/>
                <w:szCs w:val="20"/>
              </w:rPr>
              <w:t>The Road map towards finalisation of the Bill is as follows:</w:t>
            </w:r>
          </w:p>
          <w:p w:rsidR="00781F8C" w:rsidRPr="00133F4D" w:rsidRDefault="00781F8C" w:rsidP="00133F4D">
            <w:pPr>
              <w:pStyle w:val="ListParagraph"/>
              <w:numPr>
                <w:ilvl w:val="0"/>
                <w:numId w:val="19"/>
              </w:numPr>
              <w:spacing w:line="240" w:lineRule="auto"/>
              <w:jc w:val="left"/>
              <w:rPr>
                <w:rFonts w:ascii="Arial" w:hAnsi="Arial" w:cs="Arial"/>
                <w:spacing w:val="6"/>
                <w:sz w:val="20"/>
                <w:szCs w:val="20"/>
              </w:rPr>
            </w:pPr>
            <w:r w:rsidRPr="00133F4D">
              <w:rPr>
                <w:rFonts w:ascii="Arial" w:hAnsi="Arial" w:cs="Arial"/>
                <w:spacing w:val="6"/>
                <w:sz w:val="20"/>
                <w:szCs w:val="20"/>
              </w:rPr>
              <w:t>Received certified Bill from DPME: Completed 14 March 2022</w:t>
            </w:r>
          </w:p>
          <w:p w:rsidR="00781F8C" w:rsidRPr="00133F4D" w:rsidRDefault="00781F8C" w:rsidP="00133F4D">
            <w:pPr>
              <w:pStyle w:val="ListParagraph"/>
              <w:numPr>
                <w:ilvl w:val="0"/>
                <w:numId w:val="19"/>
              </w:numPr>
              <w:spacing w:line="240" w:lineRule="auto"/>
              <w:jc w:val="left"/>
              <w:rPr>
                <w:rFonts w:ascii="Arial" w:hAnsi="Arial" w:cs="Arial"/>
                <w:spacing w:val="6"/>
                <w:sz w:val="20"/>
                <w:szCs w:val="20"/>
              </w:rPr>
            </w:pPr>
            <w:r w:rsidRPr="00133F4D">
              <w:rPr>
                <w:rFonts w:ascii="Arial" w:hAnsi="Arial" w:cs="Arial"/>
                <w:spacing w:val="6"/>
                <w:sz w:val="20"/>
                <w:szCs w:val="20"/>
              </w:rPr>
              <w:t>Received pre-certified Bill from OCSLA: Completed 21 April 2022</w:t>
            </w:r>
          </w:p>
          <w:p w:rsidR="00781F8C" w:rsidRPr="00133F4D" w:rsidRDefault="00781F8C" w:rsidP="00133F4D">
            <w:pPr>
              <w:pStyle w:val="ListParagraph"/>
              <w:numPr>
                <w:ilvl w:val="0"/>
                <w:numId w:val="19"/>
              </w:numPr>
              <w:spacing w:line="240" w:lineRule="auto"/>
              <w:jc w:val="left"/>
              <w:rPr>
                <w:rFonts w:ascii="Arial" w:hAnsi="Arial" w:cs="Arial"/>
                <w:spacing w:val="6"/>
                <w:sz w:val="20"/>
                <w:szCs w:val="20"/>
              </w:rPr>
            </w:pPr>
            <w:r w:rsidRPr="00133F4D">
              <w:rPr>
                <w:rFonts w:ascii="Arial" w:hAnsi="Arial" w:cs="Arial"/>
                <w:spacing w:val="6"/>
                <w:sz w:val="20"/>
                <w:szCs w:val="20"/>
              </w:rPr>
              <w:lastRenderedPageBreak/>
              <w:t>Present the draft Bill to SPCHD: 26 July 2022</w:t>
            </w:r>
          </w:p>
          <w:p w:rsidR="0085063B" w:rsidRPr="00133F4D" w:rsidRDefault="00781F8C" w:rsidP="00133F4D">
            <w:pPr>
              <w:pStyle w:val="ListParagraph"/>
              <w:numPr>
                <w:ilvl w:val="0"/>
                <w:numId w:val="19"/>
              </w:numPr>
              <w:spacing w:line="240" w:lineRule="auto"/>
              <w:jc w:val="left"/>
              <w:rPr>
                <w:rFonts w:ascii="Arial" w:hAnsi="Arial" w:cs="Arial"/>
                <w:spacing w:val="6"/>
                <w:sz w:val="20"/>
                <w:szCs w:val="20"/>
              </w:rPr>
            </w:pPr>
            <w:r w:rsidRPr="00133F4D">
              <w:rPr>
                <w:rFonts w:ascii="Arial" w:hAnsi="Arial" w:cs="Arial"/>
                <w:spacing w:val="6"/>
                <w:sz w:val="20"/>
                <w:szCs w:val="20"/>
              </w:rPr>
              <w:t>Draft Cabinet Memo for Minister’s consideration and approval and submission to Cabinet: 29 July 2022</w:t>
            </w:r>
          </w:p>
          <w:p w:rsidR="0086032A" w:rsidRPr="00133F4D" w:rsidRDefault="00781F8C" w:rsidP="00133F4D">
            <w:pPr>
              <w:pStyle w:val="ListParagraph"/>
              <w:numPr>
                <w:ilvl w:val="0"/>
                <w:numId w:val="19"/>
              </w:numPr>
              <w:spacing w:line="240" w:lineRule="auto"/>
              <w:jc w:val="left"/>
              <w:rPr>
                <w:rFonts w:ascii="Arial" w:hAnsi="Arial" w:cs="Arial"/>
                <w:spacing w:val="6"/>
                <w:sz w:val="20"/>
                <w:szCs w:val="20"/>
              </w:rPr>
            </w:pPr>
            <w:r w:rsidRPr="00133F4D">
              <w:rPr>
                <w:rFonts w:ascii="Arial" w:hAnsi="Arial" w:cs="Arial"/>
                <w:spacing w:val="6"/>
                <w:sz w:val="20"/>
                <w:szCs w:val="20"/>
              </w:rPr>
              <w:t>Submit Bill for Tabling at National Assembly: 17 August 2022.</w:t>
            </w:r>
          </w:p>
        </w:tc>
      </w:tr>
      <w:tr w:rsidR="0086032A" w:rsidRPr="00133F4D" w:rsidTr="00A75D6A">
        <w:tc>
          <w:tcPr>
            <w:tcW w:w="1569" w:type="pct"/>
          </w:tcPr>
          <w:p w:rsidR="0086032A" w:rsidRPr="00133F4D" w:rsidRDefault="0086032A" w:rsidP="00133F4D">
            <w:pPr>
              <w:spacing w:line="240" w:lineRule="auto"/>
              <w:jc w:val="left"/>
              <w:rPr>
                <w:rFonts w:ascii="Arial" w:hAnsi="Arial" w:cs="Arial"/>
                <w:spacing w:val="6"/>
                <w:sz w:val="20"/>
                <w:szCs w:val="20"/>
              </w:rPr>
            </w:pPr>
            <w:bookmarkStart w:id="10" w:name="_Hlk108528909"/>
            <w:r w:rsidRPr="00133F4D">
              <w:rPr>
                <w:rFonts w:ascii="Arial" w:hAnsi="Arial" w:cs="Arial"/>
                <w:b/>
                <w:bCs/>
                <w:spacing w:val="6"/>
                <w:sz w:val="20"/>
                <w:szCs w:val="20"/>
              </w:rPr>
              <w:lastRenderedPageBreak/>
              <w:t>Court Rulings:</w:t>
            </w:r>
            <w:r w:rsidRPr="00133F4D">
              <w:rPr>
                <w:rFonts w:ascii="Arial" w:hAnsi="Arial" w:cs="Arial"/>
                <w:spacing w:val="6"/>
                <w:sz w:val="20"/>
                <w:szCs w:val="20"/>
              </w:rPr>
              <w:t xml:space="preserve"> </w:t>
            </w:r>
          </w:p>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The Department to provide further insight into the implications of the court order between the DSAC and</w:t>
            </w:r>
            <w:r w:rsidR="007B5A5D" w:rsidRPr="00133F4D">
              <w:rPr>
                <w:rFonts w:ascii="Arial" w:hAnsi="Arial" w:cs="Arial"/>
                <w:spacing w:val="6"/>
                <w:sz w:val="20"/>
                <w:szCs w:val="20"/>
              </w:rPr>
              <w:t xml:space="preserve"> the South African Roadies’ Association (</w:t>
            </w:r>
            <w:r w:rsidRPr="00133F4D">
              <w:rPr>
                <w:rFonts w:ascii="Arial" w:hAnsi="Arial" w:cs="Arial"/>
                <w:spacing w:val="6"/>
                <w:sz w:val="20"/>
                <w:szCs w:val="20"/>
              </w:rPr>
              <w:t>SARA</w:t>
            </w:r>
            <w:r w:rsidR="007B5A5D" w:rsidRPr="00133F4D">
              <w:rPr>
                <w:rFonts w:ascii="Arial" w:hAnsi="Arial" w:cs="Arial"/>
                <w:spacing w:val="6"/>
                <w:sz w:val="20"/>
                <w:szCs w:val="20"/>
              </w:rPr>
              <w:t>)</w:t>
            </w:r>
            <w:r w:rsidRPr="00133F4D">
              <w:rPr>
                <w:rFonts w:ascii="Arial" w:hAnsi="Arial" w:cs="Arial"/>
                <w:spacing w:val="6"/>
                <w:sz w:val="20"/>
                <w:szCs w:val="20"/>
              </w:rPr>
              <w:t xml:space="preserve"> by the end of the first quarter of the 2022/23 financial year”.</w:t>
            </w:r>
          </w:p>
        </w:tc>
        <w:tc>
          <w:tcPr>
            <w:tcW w:w="3431" w:type="pct"/>
          </w:tcPr>
          <w:p w:rsidR="0086032A" w:rsidRPr="00133F4D" w:rsidRDefault="0086032A" w:rsidP="00133F4D">
            <w:pPr>
              <w:spacing w:line="240" w:lineRule="auto"/>
              <w:jc w:val="left"/>
              <w:rPr>
                <w:rFonts w:ascii="Arial" w:hAnsi="Arial" w:cs="Arial"/>
                <w:spacing w:val="6"/>
                <w:sz w:val="20"/>
                <w:szCs w:val="20"/>
                <w:lang w:val="en-US"/>
              </w:rPr>
            </w:pPr>
          </w:p>
          <w:p w:rsidR="0086032A" w:rsidRPr="00133F4D" w:rsidRDefault="0086032A" w:rsidP="00133F4D">
            <w:pPr>
              <w:spacing w:line="240" w:lineRule="auto"/>
              <w:jc w:val="left"/>
              <w:rPr>
                <w:rFonts w:ascii="Arial" w:hAnsi="Arial" w:cs="Arial"/>
                <w:spacing w:val="6"/>
                <w:sz w:val="20"/>
                <w:szCs w:val="20"/>
                <w:lang w:val="en-US"/>
              </w:rPr>
            </w:pPr>
            <w:r w:rsidRPr="00133F4D">
              <w:rPr>
                <w:rFonts w:ascii="Arial" w:hAnsi="Arial" w:cs="Arial"/>
                <w:spacing w:val="6"/>
                <w:sz w:val="20"/>
                <w:szCs w:val="20"/>
                <w:lang w:val="en-US"/>
              </w:rPr>
              <w:t xml:space="preserve">The matters relating to the Court Order between DSAC and SARA were settled at Alternative Dispute Resolution (ADR) meeting held on </w:t>
            </w:r>
            <w:r w:rsidR="00C977B4" w:rsidRPr="00133F4D">
              <w:rPr>
                <w:rFonts w:ascii="Arial" w:hAnsi="Arial" w:cs="Arial"/>
                <w:spacing w:val="6"/>
                <w:sz w:val="20"/>
                <w:szCs w:val="20"/>
                <w:lang w:val="en-US"/>
              </w:rPr>
              <w:t xml:space="preserve">09 </w:t>
            </w:r>
            <w:r w:rsidRPr="00133F4D">
              <w:rPr>
                <w:rFonts w:ascii="Arial" w:hAnsi="Arial" w:cs="Arial"/>
                <w:spacing w:val="6"/>
                <w:sz w:val="20"/>
                <w:szCs w:val="20"/>
                <w:lang w:val="en-US"/>
              </w:rPr>
              <w:t>March 2022.</w:t>
            </w:r>
          </w:p>
          <w:p w:rsidR="0086032A" w:rsidRPr="00133F4D" w:rsidRDefault="0086032A" w:rsidP="00133F4D">
            <w:pPr>
              <w:spacing w:line="240" w:lineRule="auto"/>
              <w:jc w:val="left"/>
              <w:rPr>
                <w:rFonts w:ascii="Arial" w:hAnsi="Arial" w:cs="Arial"/>
                <w:spacing w:val="6"/>
                <w:sz w:val="20"/>
                <w:szCs w:val="20"/>
                <w:lang w:val="en-US"/>
              </w:rPr>
            </w:pPr>
            <w:r w:rsidRPr="00133F4D">
              <w:rPr>
                <w:rFonts w:ascii="Arial" w:hAnsi="Arial" w:cs="Arial"/>
                <w:spacing w:val="6"/>
                <w:sz w:val="20"/>
                <w:szCs w:val="20"/>
                <w:lang w:val="en-US"/>
              </w:rPr>
              <w:t>The Public Protector attended the meeting, DSAC and SARA. At this meeting the Public Protector pronounced that by way of the discussions held at the said meeting, the file on the matter was officially closed.</w:t>
            </w:r>
          </w:p>
        </w:tc>
      </w:tr>
      <w:bookmarkEnd w:id="10"/>
      <w:tr w:rsidR="0086032A" w:rsidRPr="00133F4D" w:rsidTr="00A75D6A">
        <w:tc>
          <w:tcPr>
            <w:tcW w:w="1569" w:type="pct"/>
          </w:tcPr>
          <w:p w:rsidR="0086032A" w:rsidRPr="00133F4D" w:rsidRDefault="0086032A" w:rsidP="00133F4D">
            <w:pPr>
              <w:spacing w:line="240" w:lineRule="auto"/>
              <w:jc w:val="left"/>
              <w:rPr>
                <w:rFonts w:ascii="Arial" w:hAnsi="Arial" w:cs="Arial"/>
                <w:b/>
                <w:bCs/>
                <w:spacing w:val="6"/>
                <w:sz w:val="20"/>
                <w:szCs w:val="20"/>
              </w:rPr>
            </w:pPr>
            <w:r w:rsidRPr="00133F4D">
              <w:rPr>
                <w:rFonts w:ascii="Arial" w:hAnsi="Arial" w:cs="Arial"/>
                <w:b/>
                <w:bCs/>
                <w:spacing w:val="6"/>
                <w:sz w:val="20"/>
                <w:szCs w:val="20"/>
              </w:rPr>
              <w:t xml:space="preserve">COVID-19 Recovery Plan: </w:t>
            </w:r>
          </w:p>
          <w:p w:rsidR="0086032A" w:rsidRPr="00133F4D" w:rsidRDefault="0086032A" w:rsidP="00133F4D">
            <w:pPr>
              <w:spacing w:line="240" w:lineRule="auto"/>
              <w:jc w:val="left"/>
              <w:rPr>
                <w:rFonts w:ascii="Arial" w:hAnsi="Arial" w:cs="Arial"/>
                <w:b/>
                <w:bCs/>
                <w:spacing w:val="6"/>
                <w:sz w:val="20"/>
                <w:szCs w:val="20"/>
              </w:rPr>
            </w:pPr>
          </w:p>
        </w:tc>
        <w:tc>
          <w:tcPr>
            <w:tcW w:w="3431" w:type="pct"/>
          </w:tcPr>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spacing w:val="6"/>
                <w:sz w:val="20"/>
                <w:szCs w:val="20"/>
              </w:rPr>
              <w:t>The Department in conjunction with its Stakeholders such as the South African Sport Confederation and Olympic Committee</w:t>
            </w:r>
            <w:r w:rsidR="006D55B5" w:rsidRPr="00133F4D">
              <w:rPr>
                <w:rFonts w:ascii="Arial" w:hAnsi="Arial" w:cs="Arial"/>
                <w:spacing w:val="6"/>
                <w:sz w:val="20"/>
                <w:szCs w:val="20"/>
              </w:rPr>
              <w:t xml:space="preserve"> (SASCOC)</w:t>
            </w:r>
            <w:r w:rsidRPr="00133F4D">
              <w:rPr>
                <w:rFonts w:ascii="Arial" w:hAnsi="Arial" w:cs="Arial"/>
                <w:spacing w:val="6"/>
                <w:sz w:val="20"/>
                <w:szCs w:val="20"/>
              </w:rPr>
              <w:t>, the National Federations, Provincial Departments and Academies continues to implement programmes aimed at supporting athletes. These includes the Athlete Support Programme, the Provincial Academies Programme and the individual programmes managed by the Federations. Further efforts are contained in the Department’s Comprehensive Economic Recovery Plans.</w:t>
            </w:r>
          </w:p>
        </w:tc>
      </w:tr>
      <w:tr w:rsidR="0086032A" w:rsidRPr="00133F4D" w:rsidTr="00A75D6A">
        <w:tc>
          <w:tcPr>
            <w:tcW w:w="5000" w:type="pct"/>
            <w:gridSpan w:val="2"/>
          </w:tcPr>
          <w:p w:rsidR="0086032A" w:rsidRPr="00133F4D" w:rsidRDefault="0086032A" w:rsidP="00133F4D">
            <w:pPr>
              <w:spacing w:line="240" w:lineRule="auto"/>
              <w:jc w:val="left"/>
              <w:rPr>
                <w:rFonts w:ascii="Arial" w:hAnsi="Arial" w:cs="Arial"/>
                <w:spacing w:val="6"/>
                <w:sz w:val="20"/>
                <w:szCs w:val="20"/>
              </w:rPr>
            </w:pPr>
            <w:r w:rsidRPr="00133F4D">
              <w:rPr>
                <w:rFonts w:ascii="Arial" w:hAnsi="Arial" w:cs="Arial"/>
                <w:b/>
                <w:bCs/>
                <w:spacing w:val="6"/>
                <w:sz w:val="20"/>
                <w:szCs w:val="20"/>
              </w:rPr>
              <w:t>ATHLETICS SOUTH AFRICA</w:t>
            </w:r>
          </w:p>
        </w:tc>
      </w:tr>
      <w:tr w:rsidR="0086032A" w:rsidRPr="00133F4D" w:rsidTr="00A75D6A">
        <w:tc>
          <w:tcPr>
            <w:tcW w:w="1569" w:type="pct"/>
          </w:tcPr>
          <w:p w:rsidR="0086032A" w:rsidRPr="00133F4D" w:rsidRDefault="0086032A" w:rsidP="00133F4D">
            <w:pPr>
              <w:spacing w:line="240" w:lineRule="auto"/>
              <w:jc w:val="left"/>
              <w:rPr>
                <w:rFonts w:ascii="Arial" w:hAnsi="Arial" w:cs="Arial"/>
                <w:b/>
                <w:bCs/>
                <w:spacing w:val="6"/>
                <w:sz w:val="20"/>
                <w:szCs w:val="20"/>
                <w:lang w:val="en-US"/>
              </w:rPr>
            </w:pPr>
            <w:r w:rsidRPr="00133F4D">
              <w:rPr>
                <w:rFonts w:ascii="Arial" w:hAnsi="Arial" w:cs="Arial"/>
                <w:spacing w:val="6"/>
                <w:sz w:val="20"/>
                <w:szCs w:val="20"/>
              </w:rPr>
              <w:t>Athletics South Africa (ASA) needs to continue to support Caster Semenya in all efforts against World Athletics when the case is presented to the European Court for Human Rights.</w:t>
            </w:r>
          </w:p>
        </w:tc>
        <w:tc>
          <w:tcPr>
            <w:tcW w:w="3431" w:type="pct"/>
          </w:tcPr>
          <w:p w:rsidR="0086032A" w:rsidRPr="00133F4D" w:rsidRDefault="0086032A" w:rsidP="00133F4D">
            <w:pPr>
              <w:spacing w:line="240" w:lineRule="auto"/>
              <w:jc w:val="left"/>
              <w:rPr>
                <w:rFonts w:ascii="Arial" w:hAnsi="Arial" w:cs="Arial"/>
                <w:bCs/>
                <w:spacing w:val="6"/>
                <w:sz w:val="20"/>
                <w:szCs w:val="20"/>
                <w:lang w:val="en-US"/>
              </w:rPr>
            </w:pPr>
            <w:r w:rsidRPr="00133F4D">
              <w:rPr>
                <w:rFonts w:ascii="Arial" w:hAnsi="Arial" w:cs="Arial"/>
                <w:spacing w:val="6"/>
                <w:sz w:val="20"/>
                <w:szCs w:val="20"/>
              </w:rPr>
              <w:t>ASA indicated that the case is still pending, and they are awaiting the dates for the hearing. All submissions are ready when the case resumes. Their legal representatives recently met with their African counterpart from Kenya and Namibia to deliberate and engage further to represent an African position or statement when the case finally resumes soon. ASA indicated they are hopeful that the case will be heard before the World Athletics Track and Field Championships that will be held in Oregon, USA from 15 to 24 July 2022.</w:t>
            </w:r>
          </w:p>
        </w:tc>
      </w:tr>
      <w:tr w:rsidR="0086032A" w:rsidRPr="00133F4D" w:rsidTr="00A75D6A">
        <w:tc>
          <w:tcPr>
            <w:tcW w:w="1569" w:type="pct"/>
          </w:tcPr>
          <w:p w:rsidR="0086032A" w:rsidRPr="00133F4D" w:rsidRDefault="0086032A" w:rsidP="00133F4D">
            <w:pPr>
              <w:spacing w:line="240" w:lineRule="auto"/>
              <w:jc w:val="left"/>
              <w:rPr>
                <w:rFonts w:ascii="Arial" w:hAnsi="Arial" w:cs="Arial"/>
                <w:b/>
                <w:bCs/>
                <w:spacing w:val="6"/>
                <w:sz w:val="20"/>
                <w:szCs w:val="20"/>
                <w:lang w:val="en-US"/>
              </w:rPr>
            </w:pPr>
            <w:r w:rsidRPr="00133F4D">
              <w:rPr>
                <w:rFonts w:ascii="Arial" w:hAnsi="Arial" w:cs="Arial"/>
                <w:spacing w:val="6"/>
                <w:sz w:val="20"/>
                <w:szCs w:val="20"/>
              </w:rPr>
              <w:t>ASA needs to ensure that athletes are prepared and supported towards the 2022 Commonwealth Games in Birmingham</w:t>
            </w:r>
          </w:p>
        </w:tc>
        <w:tc>
          <w:tcPr>
            <w:tcW w:w="3431" w:type="pct"/>
          </w:tcPr>
          <w:p w:rsidR="0086032A" w:rsidRPr="00133F4D" w:rsidRDefault="0086032A" w:rsidP="00133F4D">
            <w:pPr>
              <w:spacing w:line="240" w:lineRule="auto"/>
              <w:jc w:val="left"/>
              <w:rPr>
                <w:rFonts w:ascii="Arial" w:hAnsi="Arial" w:cs="Arial"/>
                <w:spacing w:val="6"/>
                <w:sz w:val="20"/>
                <w:szCs w:val="20"/>
                <w:lang w:val="en-US"/>
              </w:rPr>
            </w:pPr>
            <w:r w:rsidRPr="00133F4D">
              <w:rPr>
                <w:rFonts w:ascii="Arial" w:hAnsi="Arial" w:cs="Arial"/>
                <w:spacing w:val="6"/>
                <w:sz w:val="20"/>
                <w:szCs w:val="20"/>
              </w:rPr>
              <w:t xml:space="preserve">ASA fully supports the participation of Athletes to the Commonwealth Games in Birmingham. Approximately 25 Athletes will be representing </w:t>
            </w:r>
            <w:r w:rsidR="003D6656" w:rsidRPr="00133F4D">
              <w:rPr>
                <w:rFonts w:ascii="Arial" w:hAnsi="Arial" w:cs="Arial"/>
                <w:spacing w:val="6"/>
                <w:sz w:val="20"/>
                <w:szCs w:val="20"/>
              </w:rPr>
              <w:t xml:space="preserve">ASA </w:t>
            </w:r>
            <w:r w:rsidRPr="00133F4D">
              <w:rPr>
                <w:rFonts w:ascii="Arial" w:hAnsi="Arial" w:cs="Arial"/>
                <w:spacing w:val="6"/>
                <w:sz w:val="20"/>
                <w:szCs w:val="20"/>
              </w:rPr>
              <w:t xml:space="preserve">within Team South Africa which is to be confirmed by SASCOC when the Final team is announced. These athletes have </w:t>
            </w:r>
            <w:r w:rsidR="007B2FF5" w:rsidRPr="00133F4D">
              <w:rPr>
                <w:rFonts w:ascii="Arial" w:hAnsi="Arial" w:cs="Arial"/>
                <w:spacing w:val="6"/>
                <w:sz w:val="20"/>
                <w:szCs w:val="20"/>
              </w:rPr>
              <w:t>qualified through Events organis</w:t>
            </w:r>
            <w:r w:rsidRPr="00133F4D">
              <w:rPr>
                <w:rFonts w:ascii="Arial" w:hAnsi="Arial" w:cs="Arial"/>
                <w:spacing w:val="6"/>
                <w:sz w:val="20"/>
                <w:szCs w:val="20"/>
              </w:rPr>
              <w:t xml:space="preserve">ed by </w:t>
            </w:r>
            <w:r w:rsidR="00BF16B2" w:rsidRPr="00133F4D">
              <w:rPr>
                <w:rFonts w:ascii="Arial" w:hAnsi="Arial" w:cs="Arial"/>
                <w:spacing w:val="6"/>
                <w:sz w:val="20"/>
                <w:szCs w:val="20"/>
              </w:rPr>
              <w:t>ASA</w:t>
            </w:r>
            <w:r w:rsidRPr="00133F4D">
              <w:rPr>
                <w:rFonts w:ascii="Arial" w:hAnsi="Arial" w:cs="Arial"/>
                <w:spacing w:val="6"/>
                <w:sz w:val="20"/>
                <w:szCs w:val="20"/>
              </w:rPr>
              <w:t xml:space="preserve">. Furthermore, Athletics South Africa will be participating at World Athletics Track and Field Championships that will be held in </w:t>
            </w:r>
            <w:r w:rsidR="007B2FF5" w:rsidRPr="00133F4D">
              <w:rPr>
                <w:rFonts w:ascii="Arial" w:hAnsi="Arial" w:cs="Arial"/>
                <w:spacing w:val="6"/>
                <w:sz w:val="20"/>
                <w:szCs w:val="20"/>
              </w:rPr>
              <w:t>Oregon,</w:t>
            </w:r>
            <w:r w:rsidRPr="00133F4D">
              <w:rPr>
                <w:rFonts w:ascii="Arial" w:hAnsi="Arial" w:cs="Arial"/>
                <w:spacing w:val="6"/>
                <w:sz w:val="20"/>
                <w:szCs w:val="20"/>
              </w:rPr>
              <w:t xml:space="preserve"> USA from 15 to 24 July 2022. These championships will further assist our athletes in the preparation for the Commonwealth Games.</w:t>
            </w:r>
          </w:p>
        </w:tc>
      </w:tr>
      <w:tr w:rsidR="0086032A" w:rsidRPr="00133F4D" w:rsidTr="00A75D6A">
        <w:tc>
          <w:tcPr>
            <w:tcW w:w="1569" w:type="pct"/>
          </w:tcPr>
          <w:p w:rsidR="0086032A" w:rsidRPr="00133F4D" w:rsidRDefault="0086032A" w:rsidP="00133F4D">
            <w:pPr>
              <w:spacing w:line="240" w:lineRule="auto"/>
              <w:jc w:val="left"/>
              <w:rPr>
                <w:rFonts w:ascii="Arial" w:hAnsi="Arial" w:cs="Arial"/>
                <w:bCs/>
                <w:spacing w:val="6"/>
                <w:sz w:val="20"/>
                <w:szCs w:val="20"/>
                <w:lang w:val="en-US"/>
              </w:rPr>
            </w:pPr>
            <w:r w:rsidRPr="00133F4D">
              <w:rPr>
                <w:rFonts w:ascii="Arial" w:hAnsi="Arial" w:cs="Arial"/>
                <w:spacing w:val="6"/>
                <w:sz w:val="20"/>
                <w:szCs w:val="20"/>
              </w:rPr>
              <w:t>ASA needs to ensure that the schools athletics becomes more functional and inclusive of all demographics to achieve transformation.</w:t>
            </w:r>
          </w:p>
        </w:tc>
        <w:tc>
          <w:tcPr>
            <w:tcW w:w="3431" w:type="pct"/>
          </w:tcPr>
          <w:p w:rsidR="0086032A" w:rsidRPr="00133F4D" w:rsidRDefault="004F7C6A" w:rsidP="00133F4D">
            <w:pPr>
              <w:spacing w:line="240" w:lineRule="auto"/>
              <w:jc w:val="left"/>
              <w:rPr>
                <w:rFonts w:ascii="Arial" w:hAnsi="Arial" w:cs="Arial"/>
                <w:spacing w:val="6"/>
                <w:sz w:val="20"/>
                <w:szCs w:val="20"/>
                <w:lang w:val="en-US"/>
              </w:rPr>
            </w:pPr>
            <w:r w:rsidRPr="00133F4D">
              <w:rPr>
                <w:rFonts w:ascii="Arial" w:hAnsi="Arial" w:cs="Arial"/>
                <w:spacing w:val="6"/>
                <w:sz w:val="20"/>
                <w:szCs w:val="20"/>
              </w:rPr>
              <w:t>ASA</w:t>
            </w:r>
            <w:r w:rsidR="0086032A" w:rsidRPr="00133F4D">
              <w:rPr>
                <w:rFonts w:ascii="Arial" w:hAnsi="Arial" w:cs="Arial"/>
                <w:spacing w:val="6"/>
                <w:sz w:val="20"/>
                <w:szCs w:val="20"/>
              </w:rPr>
              <w:t xml:space="preserve"> indicated that School Athletes are the cornerstone of Athletes Development from the primary schools right through up to high School and Elite</w:t>
            </w:r>
            <w:r w:rsidR="00721EED" w:rsidRPr="00133F4D">
              <w:rPr>
                <w:rFonts w:ascii="Arial" w:hAnsi="Arial" w:cs="Arial"/>
                <w:spacing w:val="6"/>
                <w:sz w:val="20"/>
                <w:szCs w:val="20"/>
              </w:rPr>
              <w:t xml:space="preserve"> Athletes. ASA </w:t>
            </w:r>
            <w:r w:rsidR="00D638A1" w:rsidRPr="00133F4D">
              <w:rPr>
                <w:rFonts w:ascii="Arial" w:hAnsi="Arial" w:cs="Arial"/>
                <w:spacing w:val="6"/>
                <w:sz w:val="20"/>
                <w:szCs w:val="20"/>
              </w:rPr>
              <w:t>will continue to s</w:t>
            </w:r>
            <w:r w:rsidR="0086032A" w:rsidRPr="00133F4D">
              <w:rPr>
                <w:rFonts w:ascii="Arial" w:hAnsi="Arial" w:cs="Arial"/>
                <w:spacing w:val="6"/>
                <w:sz w:val="20"/>
                <w:szCs w:val="20"/>
              </w:rPr>
              <w:t>upport our schools through Primary and High school events that takes place on an annual basis. Included in the school category is the Cross-Country School championships which is held together with their Senior Championship.</w:t>
            </w:r>
          </w:p>
        </w:tc>
      </w:tr>
      <w:tr w:rsidR="0086032A" w:rsidRPr="00133F4D" w:rsidTr="00A75D6A">
        <w:tc>
          <w:tcPr>
            <w:tcW w:w="1569" w:type="pct"/>
          </w:tcPr>
          <w:p w:rsidR="0086032A" w:rsidRPr="00133F4D" w:rsidRDefault="0086032A" w:rsidP="00133F4D">
            <w:pPr>
              <w:spacing w:line="240" w:lineRule="auto"/>
              <w:jc w:val="left"/>
              <w:rPr>
                <w:rFonts w:ascii="Arial" w:hAnsi="Arial" w:cs="Arial"/>
                <w:bCs/>
                <w:spacing w:val="6"/>
                <w:sz w:val="20"/>
                <w:szCs w:val="20"/>
                <w:lang w:val="en-US"/>
              </w:rPr>
            </w:pPr>
            <w:r w:rsidRPr="00133F4D">
              <w:rPr>
                <w:rFonts w:ascii="Arial" w:hAnsi="Arial" w:cs="Arial"/>
                <w:spacing w:val="6"/>
                <w:sz w:val="20"/>
                <w:szCs w:val="20"/>
              </w:rPr>
              <w:t xml:space="preserve">ASA should ensure that the broadcasting partnership with Super sport benefits the athletes. The federation also needs to continue to reach out to the national broadcaster (SABC) to </w:t>
            </w:r>
            <w:r w:rsidRPr="00133F4D">
              <w:rPr>
                <w:rFonts w:ascii="Arial" w:hAnsi="Arial" w:cs="Arial"/>
                <w:spacing w:val="6"/>
                <w:sz w:val="20"/>
                <w:szCs w:val="20"/>
              </w:rPr>
              <w:lastRenderedPageBreak/>
              <w:t>ensure that it secures rights to reach a wider audience.</w:t>
            </w:r>
          </w:p>
        </w:tc>
        <w:tc>
          <w:tcPr>
            <w:tcW w:w="3431" w:type="pct"/>
          </w:tcPr>
          <w:p w:rsidR="0086032A" w:rsidRPr="00133F4D" w:rsidRDefault="00B63134" w:rsidP="00133F4D">
            <w:pPr>
              <w:spacing w:line="240" w:lineRule="auto"/>
              <w:jc w:val="left"/>
              <w:rPr>
                <w:rFonts w:ascii="Arial" w:hAnsi="Arial" w:cs="Arial"/>
                <w:bCs/>
                <w:spacing w:val="6"/>
                <w:sz w:val="20"/>
                <w:szCs w:val="20"/>
                <w:lang w:val="en-US"/>
              </w:rPr>
            </w:pPr>
            <w:r w:rsidRPr="00133F4D">
              <w:rPr>
                <w:rFonts w:ascii="Arial" w:hAnsi="Arial" w:cs="Arial"/>
                <w:spacing w:val="6"/>
                <w:sz w:val="20"/>
                <w:szCs w:val="20"/>
              </w:rPr>
              <w:lastRenderedPageBreak/>
              <w:t>ASA</w:t>
            </w:r>
            <w:r w:rsidR="0086032A" w:rsidRPr="00133F4D">
              <w:rPr>
                <w:rFonts w:ascii="Arial" w:hAnsi="Arial" w:cs="Arial"/>
                <w:spacing w:val="6"/>
                <w:sz w:val="20"/>
                <w:szCs w:val="20"/>
              </w:rPr>
              <w:t xml:space="preserve"> indicated that negotiations are continuing with SABC about broadcasting of Athletics on the Public Broadcaster. </w:t>
            </w:r>
            <w:r w:rsidR="005707CE" w:rsidRPr="00133F4D">
              <w:rPr>
                <w:rFonts w:ascii="Arial" w:hAnsi="Arial" w:cs="Arial"/>
                <w:spacing w:val="6"/>
                <w:sz w:val="20"/>
                <w:szCs w:val="20"/>
              </w:rPr>
              <w:t>ASA</w:t>
            </w:r>
            <w:r w:rsidR="0086032A" w:rsidRPr="00133F4D">
              <w:rPr>
                <w:rFonts w:ascii="Arial" w:hAnsi="Arial" w:cs="Arial"/>
                <w:spacing w:val="6"/>
                <w:sz w:val="20"/>
                <w:szCs w:val="20"/>
              </w:rPr>
              <w:t xml:space="preserve"> is hopeful that an agreement will be reached soon, and an announcement will be made. The Department and Parliament will be notified when this agreement is concluded.</w:t>
            </w:r>
          </w:p>
        </w:tc>
      </w:tr>
      <w:tr w:rsidR="0086032A" w:rsidRPr="00133F4D" w:rsidTr="00A75D6A">
        <w:trPr>
          <w:trHeight w:val="70"/>
        </w:trPr>
        <w:tc>
          <w:tcPr>
            <w:tcW w:w="1569" w:type="pct"/>
          </w:tcPr>
          <w:p w:rsidR="0086032A" w:rsidRPr="00133F4D" w:rsidRDefault="0086032A" w:rsidP="00133F4D">
            <w:pPr>
              <w:spacing w:line="240" w:lineRule="auto"/>
              <w:jc w:val="left"/>
              <w:rPr>
                <w:rFonts w:ascii="Arial" w:hAnsi="Arial" w:cs="Arial"/>
                <w:spacing w:val="6"/>
                <w:sz w:val="20"/>
                <w:szCs w:val="20"/>
                <w:lang w:val="en-US"/>
              </w:rPr>
            </w:pPr>
            <w:r w:rsidRPr="00133F4D">
              <w:rPr>
                <w:rFonts w:ascii="Arial" w:hAnsi="Arial" w:cs="Arial"/>
                <w:spacing w:val="6"/>
                <w:sz w:val="20"/>
                <w:szCs w:val="20"/>
              </w:rPr>
              <w:lastRenderedPageBreak/>
              <w:t xml:space="preserve">ASA to provide an update on the way forward regarding its Acting CEO’s implication in the </w:t>
            </w:r>
            <w:r w:rsidR="00C64F90" w:rsidRPr="00133F4D">
              <w:rPr>
                <w:rFonts w:ascii="Arial" w:hAnsi="Arial" w:cs="Arial"/>
                <w:spacing w:val="6"/>
                <w:sz w:val="20"/>
                <w:szCs w:val="20"/>
              </w:rPr>
              <w:t>Special Investigating Unit (</w:t>
            </w:r>
            <w:r w:rsidRPr="00133F4D">
              <w:rPr>
                <w:rFonts w:ascii="Arial" w:hAnsi="Arial" w:cs="Arial"/>
                <w:spacing w:val="6"/>
                <w:sz w:val="20"/>
                <w:szCs w:val="20"/>
              </w:rPr>
              <w:t>SIU</w:t>
            </w:r>
            <w:r w:rsidR="00C64F90" w:rsidRPr="00133F4D">
              <w:rPr>
                <w:rFonts w:ascii="Arial" w:hAnsi="Arial" w:cs="Arial"/>
                <w:spacing w:val="6"/>
                <w:sz w:val="20"/>
                <w:szCs w:val="20"/>
              </w:rPr>
              <w:t>)</w:t>
            </w:r>
            <w:r w:rsidRPr="00133F4D">
              <w:rPr>
                <w:rFonts w:ascii="Arial" w:hAnsi="Arial" w:cs="Arial"/>
                <w:spacing w:val="6"/>
                <w:sz w:val="20"/>
                <w:szCs w:val="20"/>
              </w:rPr>
              <w:t xml:space="preserve"> investigation into the </w:t>
            </w:r>
            <w:r w:rsidR="00D9356E" w:rsidRPr="00133F4D">
              <w:rPr>
                <w:rFonts w:ascii="Arial" w:hAnsi="Arial" w:cs="Arial"/>
                <w:spacing w:val="6"/>
                <w:sz w:val="20"/>
                <w:szCs w:val="20"/>
              </w:rPr>
              <w:t>National Lotteries Commission (</w:t>
            </w:r>
            <w:r w:rsidRPr="00133F4D">
              <w:rPr>
                <w:rFonts w:ascii="Arial" w:hAnsi="Arial" w:cs="Arial"/>
                <w:spacing w:val="6"/>
                <w:sz w:val="20"/>
                <w:szCs w:val="20"/>
              </w:rPr>
              <w:t>NLC</w:t>
            </w:r>
            <w:r w:rsidR="00D9356E" w:rsidRPr="00133F4D">
              <w:rPr>
                <w:rFonts w:ascii="Arial" w:hAnsi="Arial" w:cs="Arial"/>
                <w:spacing w:val="6"/>
                <w:sz w:val="20"/>
                <w:szCs w:val="20"/>
              </w:rPr>
              <w:t>)</w:t>
            </w:r>
            <w:r w:rsidRPr="00133F4D">
              <w:rPr>
                <w:rFonts w:ascii="Arial" w:hAnsi="Arial" w:cs="Arial"/>
                <w:spacing w:val="6"/>
                <w:sz w:val="20"/>
                <w:szCs w:val="20"/>
              </w:rPr>
              <w:t xml:space="preserve"> funds meant to build an athletics stadium in Kimberl</w:t>
            </w:r>
            <w:r w:rsidR="00EF69AD" w:rsidRPr="00133F4D">
              <w:rPr>
                <w:rFonts w:ascii="Arial" w:hAnsi="Arial" w:cs="Arial"/>
                <w:spacing w:val="6"/>
                <w:sz w:val="20"/>
                <w:szCs w:val="20"/>
              </w:rPr>
              <w:t>e</w:t>
            </w:r>
            <w:r w:rsidRPr="00133F4D">
              <w:rPr>
                <w:rFonts w:ascii="Arial" w:hAnsi="Arial" w:cs="Arial"/>
                <w:spacing w:val="6"/>
                <w:sz w:val="20"/>
                <w:szCs w:val="20"/>
              </w:rPr>
              <w:t>y by the end of the second quarter of the 2022/23 financial year.</w:t>
            </w:r>
          </w:p>
        </w:tc>
        <w:tc>
          <w:tcPr>
            <w:tcW w:w="3431" w:type="pct"/>
          </w:tcPr>
          <w:p w:rsidR="0086032A" w:rsidRPr="00133F4D" w:rsidRDefault="00FC391D" w:rsidP="00133F4D">
            <w:pPr>
              <w:spacing w:line="240" w:lineRule="auto"/>
              <w:jc w:val="left"/>
              <w:rPr>
                <w:rFonts w:ascii="Arial" w:hAnsi="Arial" w:cs="Arial"/>
                <w:spacing w:val="6"/>
                <w:sz w:val="20"/>
                <w:szCs w:val="20"/>
              </w:rPr>
            </w:pPr>
            <w:r w:rsidRPr="00133F4D">
              <w:rPr>
                <w:rFonts w:ascii="Arial" w:hAnsi="Arial" w:cs="Arial"/>
                <w:spacing w:val="6"/>
                <w:sz w:val="20"/>
                <w:szCs w:val="20"/>
              </w:rPr>
              <w:t>ASA</w:t>
            </w:r>
            <w:r w:rsidR="0086032A" w:rsidRPr="00133F4D">
              <w:rPr>
                <w:rFonts w:ascii="Arial" w:hAnsi="Arial" w:cs="Arial"/>
                <w:spacing w:val="6"/>
                <w:sz w:val="20"/>
                <w:szCs w:val="20"/>
              </w:rPr>
              <w:t xml:space="preserve"> has provided an update on the matter. ASA indicates that as far as they are concerned:</w:t>
            </w:r>
          </w:p>
          <w:p w:rsidR="0086032A" w:rsidRPr="00133F4D" w:rsidRDefault="0086032A" w:rsidP="00133F4D">
            <w:pPr>
              <w:numPr>
                <w:ilvl w:val="0"/>
                <w:numId w:val="18"/>
              </w:numPr>
              <w:spacing w:line="240" w:lineRule="auto"/>
              <w:jc w:val="left"/>
              <w:rPr>
                <w:rFonts w:ascii="Arial" w:hAnsi="Arial" w:cs="Arial"/>
                <w:spacing w:val="6"/>
                <w:sz w:val="20"/>
                <w:szCs w:val="20"/>
              </w:rPr>
            </w:pPr>
            <w:r w:rsidRPr="00133F4D">
              <w:rPr>
                <w:rFonts w:ascii="Arial" w:hAnsi="Arial" w:cs="Arial"/>
                <w:spacing w:val="6"/>
                <w:sz w:val="20"/>
                <w:szCs w:val="20"/>
              </w:rPr>
              <w:t>There are no longer any issues of concern bet</w:t>
            </w:r>
            <w:r w:rsidR="00E837B1" w:rsidRPr="00133F4D">
              <w:rPr>
                <w:rFonts w:ascii="Arial" w:hAnsi="Arial" w:cs="Arial"/>
                <w:spacing w:val="6"/>
                <w:sz w:val="20"/>
                <w:szCs w:val="20"/>
              </w:rPr>
              <w:t>ween the SIU and Mr Magogodela.</w:t>
            </w:r>
          </w:p>
          <w:p w:rsidR="0086032A" w:rsidRPr="00133F4D" w:rsidRDefault="0086032A" w:rsidP="00133F4D">
            <w:pPr>
              <w:numPr>
                <w:ilvl w:val="0"/>
                <w:numId w:val="18"/>
              </w:numPr>
              <w:spacing w:line="240" w:lineRule="auto"/>
              <w:jc w:val="left"/>
              <w:rPr>
                <w:rFonts w:ascii="Arial" w:hAnsi="Arial" w:cs="Arial"/>
                <w:spacing w:val="6"/>
                <w:sz w:val="20"/>
                <w:szCs w:val="20"/>
              </w:rPr>
            </w:pPr>
            <w:r w:rsidRPr="00133F4D">
              <w:rPr>
                <w:rFonts w:ascii="Arial" w:hAnsi="Arial" w:cs="Arial"/>
                <w:spacing w:val="6"/>
                <w:sz w:val="20"/>
                <w:szCs w:val="20"/>
              </w:rPr>
              <w:t>The dispute between the SIU and ASA’s acting CEO has been successfully resolved.</w:t>
            </w:r>
          </w:p>
          <w:p w:rsidR="0086032A" w:rsidRPr="00133F4D" w:rsidRDefault="0086032A" w:rsidP="00133F4D">
            <w:pPr>
              <w:numPr>
                <w:ilvl w:val="0"/>
                <w:numId w:val="18"/>
              </w:numPr>
              <w:spacing w:line="240" w:lineRule="auto"/>
              <w:jc w:val="left"/>
              <w:rPr>
                <w:rFonts w:ascii="Arial" w:hAnsi="Arial" w:cs="Arial"/>
                <w:spacing w:val="6"/>
                <w:sz w:val="20"/>
                <w:szCs w:val="20"/>
              </w:rPr>
            </w:pPr>
            <w:r w:rsidRPr="00133F4D">
              <w:rPr>
                <w:rFonts w:ascii="Arial" w:hAnsi="Arial" w:cs="Arial"/>
                <w:spacing w:val="6"/>
                <w:sz w:val="20"/>
                <w:szCs w:val="20"/>
              </w:rPr>
              <w:t>A settlement agreement has been concluded between them which has resulted in Mr Magogodela no longer participating in the proceedings and no longer being a respondent in the application to preserve the assets of the respondents including that of Mr Magogo</w:t>
            </w:r>
            <w:r w:rsidR="00925031" w:rsidRPr="00133F4D">
              <w:rPr>
                <w:rFonts w:ascii="Arial" w:hAnsi="Arial" w:cs="Arial"/>
                <w:spacing w:val="6"/>
                <w:sz w:val="20"/>
                <w:szCs w:val="20"/>
              </w:rPr>
              <w:t>dela.</w:t>
            </w:r>
          </w:p>
          <w:p w:rsidR="0086032A" w:rsidRPr="00133F4D" w:rsidRDefault="0086032A" w:rsidP="00133F4D">
            <w:pPr>
              <w:numPr>
                <w:ilvl w:val="0"/>
                <w:numId w:val="18"/>
              </w:numPr>
              <w:spacing w:line="240" w:lineRule="auto"/>
              <w:jc w:val="left"/>
              <w:rPr>
                <w:rFonts w:ascii="Arial" w:hAnsi="Arial" w:cs="Arial"/>
                <w:b/>
                <w:bCs/>
                <w:spacing w:val="6"/>
                <w:sz w:val="20"/>
                <w:szCs w:val="20"/>
                <w:u w:val="single"/>
                <w:lang w:val="en-US"/>
              </w:rPr>
            </w:pPr>
            <w:r w:rsidRPr="00133F4D">
              <w:rPr>
                <w:rFonts w:ascii="Arial" w:hAnsi="Arial" w:cs="Arial"/>
                <w:spacing w:val="6"/>
                <w:sz w:val="20"/>
                <w:szCs w:val="20"/>
              </w:rPr>
              <w:t xml:space="preserve">They indicate that he has no interest in any of the proceedings that are currently pending, and his position has been acknowledged by the </w:t>
            </w:r>
            <w:r w:rsidR="00B52A84" w:rsidRPr="00133F4D">
              <w:rPr>
                <w:rFonts w:ascii="Arial" w:hAnsi="Arial" w:cs="Arial"/>
                <w:spacing w:val="6"/>
                <w:sz w:val="20"/>
                <w:szCs w:val="20"/>
              </w:rPr>
              <w:t>judge of the Special Tribunal.</w:t>
            </w:r>
          </w:p>
        </w:tc>
      </w:tr>
      <w:tr w:rsidR="0086032A" w:rsidRPr="00133F4D" w:rsidTr="00A75D6A">
        <w:tc>
          <w:tcPr>
            <w:tcW w:w="1569" w:type="pct"/>
          </w:tcPr>
          <w:p w:rsidR="00F11031" w:rsidRPr="00133F4D" w:rsidRDefault="0086032A" w:rsidP="00133F4D">
            <w:pPr>
              <w:spacing w:line="240" w:lineRule="auto"/>
              <w:jc w:val="left"/>
              <w:rPr>
                <w:rFonts w:ascii="Arial" w:hAnsi="Arial" w:cs="Arial"/>
                <w:spacing w:val="6"/>
                <w:sz w:val="20"/>
                <w:szCs w:val="20"/>
                <w:lang w:val="en-US"/>
              </w:rPr>
            </w:pPr>
            <w:r w:rsidRPr="00133F4D">
              <w:rPr>
                <w:rFonts w:ascii="Arial" w:hAnsi="Arial" w:cs="Arial"/>
                <w:spacing w:val="6"/>
                <w:sz w:val="20"/>
                <w:szCs w:val="20"/>
              </w:rPr>
              <w:t xml:space="preserve">ASA should maintain good working relationship with </w:t>
            </w:r>
            <w:r w:rsidR="008908E9" w:rsidRPr="00133F4D">
              <w:rPr>
                <w:rFonts w:ascii="Arial" w:hAnsi="Arial" w:cs="Arial"/>
                <w:spacing w:val="6"/>
                <w:sz w:val="20"/>
                <w:szCs w:val="20"/>
              </w:rPr>
              <w:t>School Athletics South Africa (</w:t>
            </w:r>
            <w:r w:rsidRPr="00133F4D">
              <w:rPr>
                <w:rFonts w:ascii="Arial" w:hAnsi="Arial" w:cs="Arial"/>
                <w:spacing w:val="6"/>
                <w:sz w:val="20"/>
                <w:szCs w:val="20"/>
              </w:rPr>
              <w:t>SASA</w:t>
            </w:r>
            <w:r w:rsidR="008908E9" w:rsidRPr="00133F4D">
              <w:rPr>
                <w:rFonts w:ascii="Arial" w:hAnsi="Arial" w:cs="Arial"/>
                <w:spacing w:val="6"/>
                <w:sz w:val="20"/>
                <w:szCs w:val="20"/>
              </w:rPr>
              <w:t>)</w:t>
            </w:r>
            <w:r w:rsidRPr="00133F4D">
              <w:rPr>
                <w:rFonts w:ascii="Arial" w:hAnsi="Arial" w:cs="Arial"/>
                <w:spacing w:val="6"/>
                <w:sz w:val="20"/>
                <w:szCs w:val="20"/>
              </w:rPr>
              <w:t xml:space="preserve"> to promote school athletics.</w:t>
            </w:r>
          </w:p>
          <w:p w:rsidR="0086032A" w:rsidRPr="00133F4D" w:rsidRDefault="0086032A" w:rsidP="00133F4D">
            <w:pPr>
              <w:spacing w:line="240" w:lineRule="auto"/>
              <w:jc w:val="left"/>
              <w:rPr>
                <w:rFonts w:ascii="Arial" w:hAnsi="Arial" w:cs="Arial"/>
                <w:spacing w:val="6"/>
                <w:sz w:val="20"/>
                <w:szCs w:val="20"/>
                <w:lang w:val="en-US"/>
              </w:rPr>
            </w:pPr>
          </w:p>
        </w:tc>
        <w:tc>
          <w:tcPr>
            <w:tcW w:w="3431" w:type="pct"/>
          </w:tcPr>
          <w:p w:rsidR="0086032A" w:rsidRPr="00133F4D" w:rsidRDefault="00046814" w:rsidP="00133F4D">
            <w:pPr>
              <w:spacing w:line="240" w:lineRule="auto"/>
              <w:jc w:val="left"/>
              <w:rPr>
                <w:rFonts w:ascii="Arial" w:hAnsi="Arial" w:cs="Arial"/>
                <w:b/>
                <w:bCs/>
                <w:spacing w:val="6"/>
                <w:sz w:val="20"/>
                <w:szCs w:val="20"/>
                <w:lang w:val="en-US"/>
              </w:rPr>
            </w:pPr>
            <w:r w:rsidRPr="00133F4D">
              <w:rPr>
                <w:rFonts w:ascii="Arial" w:hAnsi="Arial" w:cs="Arial"/>
                <w:spacing w:val="6"/>
                <w:sz w:val="20"/>
                <w:szCs w:val="20"/>
              </w:rPr>
              <w:t>ASA</w:t>
            </w:r>
            <w:r w:rsidR="0086032A" w:rsidRPr="00133F4D">
              <w:rPr>
                <w:rFonts w:ascii="Arial" w:hAnsi="Arial" w:cs="Arial"/>
                <w:spacing w:val="6"/>
                <w:sz w:val="20"/>
                <w:szCs w:val="20"/>
              </w:rPr>
              <w:t xml:space="preserve"> indicated that there is a good working relationship with SASA in terms of promotion of school athletics. They confirmed that SASA is a permanent member of the </w:t>
            </w:r>
            <w:r w:rsidR="000076DC" w:rsidRPr="00133F4D">
              <w:rPr>
                <w:rFonts w:ascii="Arial" w:hAnsi="Arial" w:cs="Arial"/>
                <w:spacing w:val="6"/>
                <w:sz w:val="20"/>
                <w:szCs w:val="20"/>
              </w:rPr>
              <w:t>A</w:t>
            </w:r>
            <w:r w:rsidR="0086032A" w:rsidRPr="00133F4D">
              <w:rPr>
                <w:rFonts w:ascii="Arial" w:hAnsi="Arial" w:cs="Arial"/>
                <w:spacing w:val="6"/>
                <w:sz w:val="20"/>
                <w:szCs w:val="20"/>
              </w:rPr>
              <w:t>SA Board and Council.</w:t>
            </w:r>
          </w:p>
        </w:tc>
      </w:tr>
    </w:tbl>
    <w:p w:rsidR="00123D45" w:rsidRPr="00133F4D" w:rsidRDefault="00FE35D2" w:rsidP="00133F4D">
      <w:pPr>
        <w:spacing w:after="0" w:line="240" w:lineRule="auto"/>
        <w:jc w:val="left"/>
        <w:rPr>
          <w:rFonts w:ascii="Arial" w:hAnsi="Arial" w:cs="Arial"/>
          <w:i/>
          <w:spacing w:val="6"/>
          <w:sz w:val="20"/>
          <w:szCs w:val="20"/>
        </w:rPr>
      </w:pPr>
      <w:r w:rsidRPr="00133F4D">
        <w:rPr>
          <w:rFonts w:ascii="Arial" w:hAnsi="Arial" w:cs="Arial"/>
          <w:i/>
          <w:spacing w:val="6"/>
          <w:sz w:val="20"/>
          <w:szCs w:val="20"/>
        </w:rPr>
        <w:t xml:space="preserve">Source: </w:t>
      </w:r>
      <w:r w:rsidR="008319CD" w:rsidRPr="00133F4D">
        <w:rPr>
          <w:rFonts w:ascii="Arial" w:hAnsi="Arial" w:cs="Arial"/>
          <w:i/>
          <w:spacing w:val="6"/>
          <w:sz w:val="20"/>
          <w:szCs w:val="20"/>
        </w:rPr>
        <w:t>DSAC</w:t>
      </w:r>
      <w:r w:rsidR="00757CE1" w:rsidRPr="00133F4D">
        <w:rPr>
          <w:rFonts w:ascii="Arial" w:hAnsi="Arial" w:cs="Arial"/>
          <w:i/>
          <w:spacing w:val="6"/>
          <w:sz w:val="20"/>
          <w:szCs w:val="20"/>
        </w:rPr>
        <w:t xml:space="preserve"> </w:t>
      </w:r>
      <w:r w:rsidR="008319CD" w:rsidRPr="00133F4D">
        <w:rPr>
          <w:rFonts w:ascii="Arial" w:hAnsi="Arial" w:cs="Arial"/>
          <w:i/>
          <w:spacing w:val="6"/>
          <w:sz w:val="20"/>
          <w:szCs w:val="20"/>
        </w:rPr>
        <w:t>Response to the Committee’s report on Budget Vote 37 (ATC number 67-2002)</w:t>
      </w:r>
    </w:p>
    <w:p w:rsidR="00CA1904" w:rsidRPr="00133F4D" w:rsidRDefault="00CA1904" w:rsidP="00133F4D">
      <w:pPr>
        <w:spacing w:after="0" w:line="240" w:lineRule="auto"/>
        <w:jc w:val="left"/>
        <w:rPr>
          <w:rFonts w:ascii="Arial" w:hAnsi="Arial" w:cs="Arial"/>
          <w:spacing w:val="6"/>
          <w:sz w:val="20"/>
          <w:szCs w:val="20"/>
        </w:rPr>
      </w:pPr>
    </w:p>
    <w:p w:rsidR="0069222E" w:rsidRPr="00133F4D" w:rsidRDefault="0069222E" w:rsidP="00133F4D">
      <w:pPr>
        <w:pStyle w:val="Heading1"/>
        <w:spacing w:before="0" w:line="240" w:lineRule="auto"/>
        <w:ind w:left="567" w:hanging="567"/>
        <w:jc w:val="left"/>
        <w:rPr>
          <w:rFonts w:ascii="Arial" w:hAnsi="Arial" w:cs="Arial"/>
          <w:spacing w:val="6"/>
          <w:sz w:val="20"/>
          <w:szCs w:val="20"/>
        </w:rPr>
      </w:pPr>
      <w:bookmarkStart w:id="11" w:name="_Toc88519300"/>
      <w:r w:rsidRPr="00133F4D">
        <w:rPr>
          <w:rFonts w:ascii="Arial" w:hAnsi="Arial" w:cs="Arial"/>
          <w:spacing w:val="6"/>
          <w:sz w:val="20"/>
          <w:szCs w:val="20"/>
        </w:rPr>
        <w:t>OVERVIEW OF THE KEY RELEVANT POLICY FOCUS AREAS</w:t>
      </w:r>
      <w:bookmarkEnd w:id="11"/>
    </w:p>
    <w:p w:rsidR="0069222E" w:rsidRPr="00133F4D" w:rsidRDefault="0069222E" w:rsidP="00133F4D">
      <w:pPr>
        <w:pStyle w:val="Heading2"/>
        <w:spacing w:line="240" w:lineRule="auto"/>
        <w:jc w:val="left"/>
        <w:rPr>
          <w:rFonts w:ascii="Arial" w:hAnsi="Arial" w:cs="Arial"/>
          <w:sz w:val="20"/>
          <w:szCs w:val="20"/>
        </w:rPr>
      </w:pPr>
      <w:bookmarkStart w:id="12" w:name="_Toc88519301"/>
      <w:r w:rsidRPr="00133F4D">
        <w:rPr>
          <w:rFonts w:ascii="Arial" w:hAnsi="Arial" w:cs="Arial"/>
          <w:sz w:val="20"/>
          <w:szCs w:val="20"/>
        </w:rPr>
        <w:t>Mandate of the Department</w:t>
      </w:r>
      <w:bookmarkEnd w:id="12"/>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mandate and/or function of the DSAC is derived from the Constitution of the Republic of South Africa (the “Constitution”), including the Preamble and Founding Provisions, and in sections 16(1) and 32 which respectively deal with the rights pertaining to freedom of expression and access to information. Further, the Constitution affirms the democratic values of human dignity and equality. In line with these Constitutional imperatives, the national Department has been assigned the powers and functions to develop and implement national policies and programmes relating to sport, arts, culture, heritage and recreation in the country.</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2"/>
        <w:spacing w:line="240" w:lineRule="auto"/>
        <w:jc w:val="left"/>
        <w:rPr>
          <w:rFonts w:ascii="Arial" w:hAnsi="Arial" w:cs="Arial"/>
          <w:sz w:val="20"/>
          <w:szCs w:val="20"/>
        </w:rPr>
      </w:pPr>
      <w:bookmarkStart w:id="13" w:name="_Toc88519302"/>
      <w:r w:rsidRPr="00133F4D">
        <w:rPr>
          <w:rFonts w:ascii="Arial" w:hAnsi="Arial" w:cs="Arial"/>
          <w:sz w:val="20"/>
          <w:szCs w:val="20"/>
        </w:rPr>
        <w:t>Strategic objectives</w:t>
      </w:r>
      <w:bookmarkEnd w:id="13"/>
    </w:p>
    <w:p w:rsidR="0069222E" w:rsidRPr="00133F4D" w:rsidRDefault="0069222E" w:rsidP="00133F4D">
      <w:pPr>
        <w:pStyle w:val="ListParagraph"/>
        <w:spacing w:after="0" w:line="240" w:lineRule="auto"/>
        <w:ind w:left="0"/>
        <w:jc w:val="left"/>
        <w:rPr>
          <w:rFonts w:ascii="Arial" w:hAnsi="Arial" w:cs="Arial"/>
          <w:spacing w:val="6"/>
          <w:sz w:val="20"/>
          <w:szCs w:val="20"/>
        </w:rPr>
      </w:pPr>
      <w:r w:rsidRPr="00133F4D">
        <w:rPr>
          <w:rFonts w:ascii="Arial" w:hAnsi="Arial" w:cs="Arial"/>
          <w:spacing w:val="6"/>
          <w:sz w:val="20"/>
          <w:szCs w:val="20"/>
        </w:rPr>
        <w:t>The 2019-2024 Medium-Term Strategic Framework (MTSF) represents the second five-year phase of implementation of the National Development Plan: Vision 2030 (NDP) which commits Government to 14 key outcomes. The Department is responsible for coordination the implementation of Outcome 14 of the NDP, ‘a diverse, socially cohesive society with a common national identity’. Accordingly, the Department’s ongoing and principal objective is to provide an enabling environment to cultivate an active, creative, winning and socially cohesive nation.</w:t>
      </w:r>
    </w:p>
    <w:p w:rsidR="0069222E" w:rsidRPr="00133F4D" w:rsidRDefault="0069222E" w:rsidP="00133F4D">
      <w:pPr>
        <w:pStyle w:val="ListParagraph"/>
        <w:spacing w:after="0" w:line="240" w:lineRule="auto"/>
        <w:ind w:left="0"/>
        <w:jc w:val="left"/>
        <w:rPr>
          <w:rFonts w:ascii="Arial" w:hAnsi="Arial" w:cs="Arial"/>
          <w:spacing w:val="6"/>
          <w:sz w:val="20"/>
          <w:szCs w:val="20"/>
        </w:rPr>
      </w:pPr>
    </w:p>
    <w:p w:rsidR="0069222E" w:rsidRPr="00133F4D" w:rsidRDefault="0069222E" w:rsidP="00133F4D">
      <w:pPr>
        <w:pStyle w:val="ListParagraph"/>
        <w:spacing w:after="0" w:line="240" w:lineRule="auto"/>
        <w:ind w:left="0"/>
        <w:jc w:val="left"/>
        <w:rPr>
          <w:rFonts w:ascii="Arial" w:hAnsi="Arial" w:cs="Arial"/>
          <w:spacing w:val="6"/>
          <w:sz w:val="20"/>
          <w:szCs w:val="20"/>
        </w:rPr>
      </w:pPr>
      <w:r w:rsidRPr="00133F4D">
        <w:rPr>
          <w:rFonts w:ascii="Arial" w:hAnsi="Arial" w:cs="Arial"/>
          <w:spacing w:val="6"/>
          <w:sz w:val="20"/>
          <w:szCs w:val="20"/>
        </w:rPr>
        <w:t>Government has committed to the seven priorities in the NDP five-year implementation plan over the MTSF. These priorities are economic transformation and job creation; education, skills and health; consolidating the social wage through reliable and quality basic services; spatial integration, human settlements and local government; social cohesion and safe communities; a capable, ethical and developmental state; and a better Africa and world.</w:t>
      </w:r>
    </w:p>
    <w:p w:rsidR="0069222E" w:rsidRPr="00133F4D" w:rsidRDefault="0069222E" w:rsidP="00133F4D">
      <w:pPr>
        <w:pStyle w:val="ListParagraph"/>
        <w:spacing w:after="0" w:line="240" w:lineRule="auto"/>
        <w:ind w:left="0"/>
        <w:jc w:val="left"/>
        <w:rPr>
          <w:rFonts w:ascii="Arial" w:hAnsi="Arial" w:cs="Arial"/>
          <w:spacing w:val="6"/>
          <w:sz w:val="20"/>
          <w:szCs w:val="20"/>
        </w:rPr>
      </w:pPr>
    </w:p>
    <w:p w:rsidR="0069222E" w:rsidRPr="00133F4D" w:rsidRDefault="0069222E" w:rsidP="00133F4D">
      <w:pPr>
        <w:pStyle w:val="ListParagraph"/>
        <w:spacing w:after="0" w:line="240" w:lineRule="auto"/>
        <w:ind w:left="0"/>
        <w:jc w:val="left"/>
        <w:rPr>
          <w:rFonts w:ascii="Arial" w:hAnsi="Arial" w:cs="Arial"/>
          <w:spacing w:val="6"/>
          <w:sz w:val="20"/>
          <w:szCs w:val="20"/>
        </w:rPr>
      </w:pPr>
      <w:r w:rsidRPr="00133F4D">
        <w:rPr>
          <w:rFonts w:ascii="Arial" w:hAnsi="Arial" w:cs="Arial"/>
          <w:spacing w:val="6"/>
          <w:sz w:val="20"/>
          <w:szCs w:val="20"/>
        </w:rPr>
        <w:t>As such, the Department’s Strategic Plan which outlines five outcomes which will see efforts and resources are thus directed toward achieving a transformed, active, creative and winning nation. These outcomes are linked to the priorities of Government as set out below:</w:t>
      </w:r>
    </w:p>
    <w:p w:rsidR="0069222E" w:rsidRPr="00133F4D" w:rsidRDefault="0069222E" w:rsidP="00133F4D">
      <w:pPr>
        <w:pStyle w:val="ListParagraph"/>
        <w:spacing w:after="0" w:line="240" w:lineRule="auto"/>
        <w:ind w:left="0"/>
        <w:jc w:val="left"/>
        <w:rPr>
          <w:rFonts w:ascii="Arial" w:hAnsi="Arial" w:cs="Arial"/>
          <w:spacing w:val="6"/>
          <w:sz w:val="20"/>
          <w:szCs w:val="20"/>
        </w:rPr>
      </w:pPr>
    </w:p>
    <w:p w:rsidR="0069222E" w:rsidRPr="00133F4D" w:rsidRDefault="0069222E" w:rsidP="00133F4D">
      <w:pPr>
        <w:pStyle w:val="Caption"/>
        <w:keepNext/>
        <w:spacing w:after="0"/>
        <w:jc w:val="left"/>
        <w:rPr>
          <w:rFonts w:ascii="Arial" w:hAnsi="Arial" w:cs="Arial"/>
          <w:b/>
          <w:i w:val="0"/>
          <w:color w:val="auto"/>
          <w:spacing w:val="6"/>
          <w:sz w:val="20"/>
          <w:szCs w:val="20"/>
        </w:rPr>
      </w:pPr>
      <w:r w:rsidRPr="00133F4D">
        <w:rPr>
          <w:rFonts w:ascii="Arial" w:hAnsi="Arial" w:cs="Arial"/>
          <w:b/>
          <w:i w:val="0"/>
          <w:color w:val="auto"/>
          <w:spacing w:val="6"/>
          <w:sz w:val="20"/>
          <w:szCs w:val="20"/>
        </w:rPr>
        <w:t xml:space="preserve">Table </w:t>
      </w:r>
      <w:r w:rsidR="00E922AD" w:rsidRPr="00133F4D">
        <w:rPr>
          <w:rFonts w:ascii="Arial" w:hAnsi="Arial" w:cs="Arial"/>
          <w:b/>
          <w:i w:val="0"/>
          <w:color w:val="auto"/>
          <w:spacing w:val="6"/>
          <w:sz w:val="20"/>
          <w:szCs w:val="20"/>
        </w:rPr>
        <w:fldChar w:fldCharType="begin"/>
      </w:r>
      <w:r w:rsidRPr="00133F4D">
        <w:rPr>
          <w:rFonts w:ascii="Arial" w:hAnsi="Arial" w:cs="Arial"/>
          <w:b/>
          <w:i w:val="0"/>
          <w:color w:val="auto"/>
          <w:spacing w:val="6"/>
          <w:sz w:val="20"/>
          <w:szCs w:val="20"/>
        </w:rPr>
        <w:instrText xml:space="preserve"> SEQ Table \* ARABIC </w:instrText>
      </w:r>
      <w:r w:rsidR="00E922AD" w:rsidRPr="00133F4D">
        <w:rPr>
          <w:rFonts w:ascii="Arial" w:hAnsi="Arial" w:cs="Arial"/>
          <w:b/>
          <w:i w:val="0"/>
          <w:color w:val="auto"/>
          <w:spacing w:val="6"/>
          <w:sz w:val="20"/>
          <w:szCs w:val="20"/>
        </w:rPr>
        <w:fldChar w:fldCharType="separate"/>
      </w:r>
      <w:r w:rsidR="00D81058" w:rsidRPr="00133F4D">
        <w:rPr>
          <w:rFonts w:ascii="Arial" w:hAnsi="Arial" w:cs="Arial"/>
          <w:b/>
          <w:i w:val="0"/>
          <w:noProof/>
          <w:color w:val="auto"/>
          <w:spacing w:val="6"/>
          <w:sz w:val="20"/>
          <w:szCs w:val="20"/>
        </w:rPr>
        <w:t>2</w:t>
      </w:r>
      <w:r w:rsidR="00E922AD" w:rsidRPr="00133F4D">
        <w:rPr>
          <w:rFonts w:ascii="Arial" w:hAnsi="Arial" w:cs="Arial"/>
          <w:b/>
          <w:i w:val="0"/>
          <w:color w:val="auto"/>
          <w:spacing w:val="6"/>
          <w:sz w:val="20"/>
          <w:szCs w:val="20"/>
        </w:rPr>
        <w:fldChar w:fldCharType="end"/>
      </w:r>
      <w:r w:rsidRPr="00133F4D">
        <w:rPr>
          <w:rFonts w:ascii="Arial" w:hAnsi="Arial" w:cs="Arial"/>
          <w:b/>
          <w:i w:val="0"/>
          <w:color w:val="auto"/>
          <w:spacing w:val="6"/>
          <w:sz w:val="20"/>
          <w:szCs w:val="20"/>
        </w:rPr>
        <w:t>: Link between Department of Sport, Arts and Culture outcomes and Government priorities</w:t>
      </w:r>
    </w:p>
    <w:tbl>
      <w:tblPr>
        <w:tblStyle w:val="TableGrid"/>
        <w:tblW w:w="0" w:type="auto"/>
        <w:tblLook w:val="04A0"/>
      </w:tblPr>
      <w:tblGrid>
        <w:gridCol w:w="4390"/>
        <w:gridCol w:w="4626"/>
      </w:tblGrid>
      <w:tr w:rsidR="0069222E" w:rsidRPr="00133F4D" w:rsidTr="00FE6809">
        <w:tc>
          <w:tcPr>
            <w:tcW w:w="4390" w:type="dxa"/>
            <w:shd w:val="clear" w:color="auto" w:fill="C5E0B3" w:themeFill="accent6" w:themeFillTint="66"/>
          </w:tcPr>
          <w:p w:rsidR="0069222E" w:rsidRPr="00133F4D" w:rsidRDefault="0069222E" w:rsidP="00133F4D">
            <w:pPr>
              <w:spacing w:line="240" w:lineRule="auto"/>
              <w:jc w:val="left"/>
              <w:rPr>
                <w:rFonts w:ascii="Arial" w:hAnsi="Arial" w:cs="Arial"/>
                <w:b/>
                <w:spacing w:val="6"/>
                <w:sz w:val="20"/>
                <w:szCs w:val="20"/>
              </w:rPr>
            </w:pPr>
            <w:r w:rsidRPr="00133F4D">
              <w:rPr>
                <w:rFonts w:ascii="Arial" w:hAnsi="Arial" w:cs="Arial"/>
                <w:b/>
                <w:spacing w:val="6"/>
                <w:sz w:val="20"/>
                <w:szCs w:val="20"/>
              </w:rPr>
              <w:t>DSAC Outcomes</w:t>
            </w:r>
          </w:p>
        </w:tc>
        <w:tc>
          <w:tcPr>
            <w:tcW w:w="4626" w:type="dxa"/>
            <w:shd w:val="clear" w:color="auto" w:fill="C5E0B3" w:themeFill="accent6" w:themeFillTint="66"/>
          </w:tcPr>
          <w:p w:rsidR="0069222E" w:rsidRPr="00133F4D" w:rsidRDefault="0069222E" w:rsidP="00133F4D">
            <w:pPr>
              <w:spacing w:line="240" w:lineRule="auto"/>
              <w:jc w:val="left"/>
              <w:rPr>
                <w:rFonts w:ascii="Arial" w:hAnsi="Arial" w:cs="Arial"/>
                <w:b/>
                <w:spacing w:val="6"/>
                <w:sz w:val="20"/>
                <w:szCs w:val="20"/>
              </w:rPr>
            </w:pPr>
            <w:r w:rsidRPr="00133F4D">
              <w:rPr>
                <w:rFonts w:ascii="Arial" w:hAnsi="Arial" w:cs="Arial"/>
                <w:b/>
                <w:spacing w:val="6"/>
                <w:sz w:val="20"/>
                <w:szCs w:val="20"/>
              </w:rPr>
              <w:t>Government Priorities</w:t>
            </w:r>
          </w:p>
        </w:tc>
      </w:tr>
      <w:tr w:rsidR="0069222E" w:rsidRPr="00133F4D" w:rsidTr="00FE6809">
        <w:tc>
          <w:tcPr>
            <w:tcW w:w="4390"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t xml:space="preserve">Outcome 1: Increased market share of and job opportunities created in sport, cultural </w:t>
            </w:r>
            <w:r w:rsidRPr="00133F4D">
              <w:rPr>
                <w:rFonts w:ascii="Arial" w:hAnsi="Arial" w:cs="Arial"/>
                <w:spacing w:val="6"/>
                <w:sz w:val="20"/>
                <w:szCs w:val="20"/>
              </w:rPr>
              <w:lastRenderedPageBreak/>
              <w:t>and creative industries</w:t>
            </w:r>
          </w:p>
        </w:tc>
        <w:tc>
          <w:tcPr>
            <w:tcW w:w="4626"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lastRenderedPageBreak/>
              <w:t>Economic transformation and job creation</w:t>
            </w:r>
          </w:p>
        </w:tc>
      </w:tr>
      <w:tr w:rsidR="0069222E" w:rsidRPr="00133F4D" w:rsidTr="00FE6809">
        <w:tc>
          <w:tcPr>
            <w:tcW w:w="4390"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lastRenderedPageBreak/>
              <w:t>Outcome 2: A diverse, socially cohesive society with a common national identity</w:t>
            </w:r>
          </w:p>
        </w:tc>
        <w:tc>
          <w:tcPr>
            <w:tcW w:w="4626"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t>Social cohesion and safe communities</w:t>
            </w:r>
          </w:p>
        </w:tc>
      </w:tr>
      <w:tr w:rsidR="0069222E" w:rsidRPr="00133F4D" w:rsidTr="00FE6809">
        <w:tc>
          <w:tcPr>
            <w:tcW w:w="4390"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t>Outcome 3: Transformed, capable and professional SAC Sector</w:t>
            </w:r>
          </w:p>
        </w:tc>
        <w:tc>
          <w:tcPr>
            <w:tcW w:w="4626"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t>Education, skills and health</w:t>
            </w:r>
          </w:p>
        </w:tc>
      </w:tr>
      <w:tr w:rsidR="0069222E" w:rsidRPr="00133F4D" w:rsidTr="00FE6809">
        <w:tc>
          <w:tcPr>
            <w:tcW w:w="4390"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t>Outcome 4: Integrated and accessible SAC infrastructure and information</w:t>
            </w:r>
          </w:p>
        </w:tc>
        <w:tc>
          <w:tcPr>
            <w:tcW w:w="4626"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t>Spatial integration, human settlements and local government</w:t>
            </w:r>
          </w:p>
        </w:tc>
      </w:tr>
      <w:tr w:rsidR="0069222E" w:rsidRPr="00133F4D" w:rsidTr="00FE6809">
        <w:tc>
          <w:tcPr>
            <w:tcW w:w="4390"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t>Outcome 5: Compliant and responsive governance</w:t>
            </w:r>
          </w:p>
        </w:tc>
        <w:tc>
          <w:tcPr>
            <w:tcW w:w="4626" w:type="dxa"/>
          </w:tcPr>
          <w:p w:rsidR="0069222E" w:rsidRPr="00133F4D" w:rsidRDefault="0069222E" w:rsidP="00133F4D">
            <w:pPr>
              <w:spacing w:line="240" w:lineRule="auto"/>
              <w:jc w:val="left"/>
              <w:rPr>
                <w:rFonts w:ascii="Arial" w:hAnsi="Arial" w:cs="Arial"/>
                <w:spacing w:val="6"/>
                <w:sz w:val="20"/>
                <w:szCs w:val="20"/>
              </w:rPr>
            </w:pPr>
            <w:r w:rsidRPr="00133F4D">
              <w:rPr>
                <w:rFonts w:ascii="Arial" w:hAnsi="Arial" w:cs="Arial"/>
                <w:spacing w:val="6"/>
                <w:sz w:val="20"/>
                <w:szCs w:val="20"/>
              </w:rPr>
              <w:t>Building a capable, ethical and developmental State</w:t>
            </w:r>
          </w:p>
        </w:tc>
      </w:tr>
    </w:tbl>
    <w:p w:rsidR="0069222E" w:rsidRPr="00133F4D" w:rsidRDefault="00341E14" w:rsidP="00133F4D">
      <w:pPr>
        <w:pStyle w:val="ListParagraph"/>
        <w:spacing w:after="0" w:line="240" w:lineRule="auto"/>
        <w:ind w:left="0"/>
        <w:jc w:val="left"/>
        <w:rPr>
          <w:rFonts w:ascii="Arial" w:hAnsi="Arial" w:cs="Arial"/>
          <w:i/>
          <w:spacing w:val="6"/>
          <w:sz w:val="20"/>
          <w:szCs w:val="20"/>
        </w:rPr>
      </w:pPr>
      <w:r w:rsidRPr="00133F4D">
        <w:rPr>
          <w:rFonts w:ascii="Arial" w:hAnsi="Arial" w:cs="Arial"/>
          <w:i/>
          <w:spacing w:val="6"/>
          <w:sz w:val="20"/>
          <w:szCs w:val="20"/>
        </w:rPr>
        <w:t>Source: DSAC Strategic Plan 2020 - 2025</w:t>
      </w:r>
    </w:p>
    <w:p w:rsidR="003C1CBD" w:rsidRPr="00133F4D" w:rsidRDefault="003C1CBD"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Department is mandated to develop and implement national policies and programmes relating to SAC in the country. This means that the Department needs to provide leadership to the SAC sector to accelerate its transformation; oversee the development and management of sport, arts and culture in South Africa; legislate on sports participation, sports infrastructure and safety; improve South Africa’s international ranking in selected sports through a partnership with the SASCOC; preserve, develop, protect and promote the cultural, heritage, and linguistic diversity and legacy of South Africa; lead nation building and social cohesion through social transformation; enhance archives and records management structures and systems; and promote access to information.</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is responsible for administering 22 pieces of legislation and overseeing 27 public entities. The Committee oversees both the Department and its entities. The sector focus for the public entities reporting to the Department include Development (Funding) Bodies; </w:t>
      </w:r>
      <w:r w:rsidRPr="00133F4D">
        <w:rPr>
          <w:rFonts w:ascii="Arial" w:hAnsi="Arial" w:cs="Arial"/>
          <w:bCs/>
          <w:color w:val="414142"/>
          <w:spacing w:val="6"/>
          <w:sz w:val="20"/>
          <w:szCs w:val="20"/>
        </w:rPr>
        <w:t>Performing Arts Institutions; Museums; Heritage; Libraries; Language; Professional Boxing; and Drug-Free Sport.</w:t>
      </w:r>
      <w:r w:rsidR="00515745" w:rsidRPr="00133F4D">
        <w:rPr>
          <w:rFonts w:ascii="Arial" w:hAnsi="Arial" w:cs="Arial"/>
          <w:bCs/>
          <w:color w:val="414142"/>
          <w:spacing w:val="6"/>
          <w:sz w:val="20"/>
          <w:szCs w:val="20"/>
        </w:rPr>
        <w:t xml:space="preserve"> </w:t>
      </w:r>
      <w:r w:rsidR="00DA6D04" w:rsidRPr="00133F4D">
        <w:rPr>
          <w:rFonts w:ascii="Arial" w:hAnsi="Arial" w:cs="Arial"/>
          <w:bCs/>
          <w:color w:val="414142"/>
          <w:spacing w:val="6"/>
          <w:sz w:val="20"/>
          <w:szCs w:val="20"/>
        </w:rPr>
        <w:t>It should be noted that i</w:t>
      </w:r>
      <w:r w:rsidR="00515745" w:rsidRPr="00133F4D">
        <w:rPr>
          <w:rFonts w:ascii="Arial" w:hAnsi="Arial" w:cs="Arial"/>
          <w:bCs/>
          <w:color w:val="414142"/>
          <w:spacing w:val="6"/>
          <w:sz w:val="20"/>
          <w:szCs w:val="20"/>
        </w:rPr>
        <w:t>n May 2021, the Mandela Bay Theatre Complex was declared a cultural institution for performing arts as per the Cultural Institutions Act (No. 119 of 1998, as amended) and as such, it is an entity funded by and reporting to the Department as of 01 April 2022.</w:t>
      </w:r>
      <w:r w:rsidR="00DA6D04" w:rsidRPr="00133F4D">
        <w:rPr>
          <w:rFonts w:ascii="Arial" w:hAnsi="Arial" w:cs="Arial"/>
          <w:bCs/>
          <w:color w:val="414142"/>
          <w:spacing w:val="6"/>
          <w:sz w:val="20"/>
          <w:szCs w:val="20"/>
        </w:rPr>
        <w:t xml:space="preserve"> Thus the number of </w:t>
      </w:r>
      <w:r w:rsidR="0073123A" w:rsidRPr="00133F4D">
        <w:rPr>
          <w:rFonts w:ascii="Arial" w:hAnsi="Arial" w:cs="Arial"/>
          <w:bCs/>
          <w:color w:val="414142"/>
          <w:spacing w:val="6"/>
          <w:sz w:val="20"/>
          <w:szCs w:val="20"/>
        </w:rPr>
        <w:t xml:space="preserve">public </w:t>
      </w:r>
      <w:r w:rsidR="00DA6D04" w:rsidRPr="00133F4D">
        <w:rPr>
          <w:rFonts w:ascii="Arial" w:hAnsi="Arial" w:cs="Arial"/>
          <w:bCs/>
          <w:color w:val="414142"/>
          <w:spacing w:val="6"/>
          <w:sz w:val="20"/>
          <w:szCs w:val="20"/>
        </w:rPr>
        <w:t>entities reporting to the Department in the 2022/23 financial year will increase from 27 to 28.</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1"/>
        <w:spacing w:before="0" w:line="240" w:lineRule="auto"/>
        <w:ind w:left="567" w:hanging="567"/>
        <w:jc w:val="left"/>
        <w:rPr>
          <w:rFonts w:ascii="Arial" w:hAnsi="Arial" w:cs="Arial"/>
          <w:spacing w:val="6"/>
          <w:sz w:val="20"/>
          <w:szCs w:val="20"/>
        </w:rPr>
      </w:pPr>
      <w:bookmarkStart w:id="14" w:name="_Toc88519303"/>
      <w:r w:rsidRPr="00133F4D">
        <w:rPr>
          <w:rFonts w:ascii="Arial" w:hAnsi="Arial" w:cs="Arial"/>
          <w:spacing w:val="6"/>
          <w:sz w:val="20"/>
          <w:szCs w:val="20"/>
        </w:rPr>
        <w:t>OVERVIEW AND ASSESSMENT OF THE FINANCIAL AND NON-FINANCIAL PERFORMA</w:t>
      </w:r>
      <w:r w:rsidR="00E77216" w:rsidRPr="00133F4D">
        <w:rPr>
          <w:rFonts w:ascii="Arial" w:hAnsi="Arial" w:cs="Arial"/>
          <w:spacing w:val="6"/>
          <w:sz w:val="20"/>
          <w:szCs w:val="20"/>
        </w:rPr>
        <w:t>NCE FOR THE PERIOD 01 APRIL 2021</w:t>
      </w:r>
      <w:r w:rsidRPr="00133F4D">
        <w:rPr>
          <w:rFonts w:ascii="Arial" w:hAnsi="Arial" w:cs="Arial"/>
          <w:spacing w:val="6"/>
          <w:sz w:val="20"/>
          <w:szCs w:val="20"/>
        </w:rPr>
        <w:t xml:space="preserve"> TO 31 MARCH 202</w:t>
      </w:r>
      <w:bookmarkEnd w:id="14"/>
      <w:r w:rsidR="00E77216" w:rsidRPr="00133F4D">
        <w:rPr>
          <w:rFonts w:ascii="Arial" w:hAnsi="Arial" w:cs="Arial"/>
          <w:spacing w:val="6"/>
          <w:sz w:val="20"/>
          <w:szCs w:val="20"/>
        </w:rPr>
        <w:t>2</w:t>
      </w: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This section of the report provides an overview and analysis of funds appropriated, the rate of predetermined objectives achieved, and human resources </w:t>
      </w:r>
      <w:r w:rsidR="00BA33B9" w:rsidRPr="00133F4D">
        <w:rPr>
          <w:rFonts w:ascii="Arial" w:hAnsi="Arial" w:cs="Arial"/>
          <w:spacing w:val="6"/>
          <w:sz w:val="20"/>
          <w:szCs w:val="20"/>
        </w:rPr>
        <w:t>as at 31 March 2022</w:t>
      </w:r>
      <w:r w:rsidRPr="00133F4D">
        <w:rPr>
          <w:rFonts w:ascii="Arial" w:hAnsi="Arial" w:cs="Arial"/>
          <w:spacing w:val="6"/>
          <w:sz w:val="20"/>
          <w:szCs w:val="20"/>
        </w:rPr>
        <w:t>.</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1"/>
          <w:numId w:val="11"/>
        </w:numPr>
        <w:spacing w:line="240" w:lineRule="auto"/>
        <w:jc w:val="left"/>
        <w:rPr>
          <w:rFonts w:ascii="Arial" w:hAnsi="Arial" w:cs="Arial"/>
          <w:sz w:val="20"/>
          <w:szCs w:val="20"/>
        </w:rPr>
      </w:pPr>
      <w:bookmarkStart w:id="15" w:name="_Toc88519304"/>
      <w:r w:rsidRPr="00133F4D">
        <w:rPr>
          <w:rFonts w:ascii="Arial" w:hAnsi="Arial" w:cs="Arial"/>
          <w:sz w:val="20"/>
          <w:szCs w:val="20"/>
        </w:rPr>
        <w:t>Financial performance</w:t>
      </w:r>
      <w:bookmarkEnd w:id="15"/>
    </w:p>
    <w:p w:rsidR="0069222E" w:rsidRPr="00133F4D" w:rsidRDefault="007E60E1"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Department’s final appropriation for the </w:t>
      </w:r>
      <w:r w:rsidR="00D416DD" w:rsidRPr="00133F4D">
        <w:rPr>
          <w:rFonts w:ascii="Arial" w:hAnsi="Arial" w:cs="Arial"/>
          <w:spacing w:val="6"/>
          <w:sz w:val="20"/>
          <w:szCs w:val="20"/>
        </w:rPr>
        <w:t>2021/22 financial year was R5.6</w:t>
      </w:r>
      <w:r w:rsidRPr="00133F4D">
        <w:rPr>
          <w:rFonts w:ascii="Arial" w:hAnsi="Arial" w:cs="Arial"/>
          <w:spacing w:val="6"/>
          <w:sz w:val="20"/>
          <w:szCs w:val="20"/>
        </w:rPr>
        <w:t xml:space="preserve"> billion. Actual expenditure for the period under review was R5.64 billion. Expenditure thus represents 98.2%. For the 2020/21 financial yea</w:t>
      </w:r>
      <w:r w:rsidR="00D416DD" w:rsidRPr="00133F4D">
        <w:rPr>
          <w:rFonts w:ascii="Arial" w:hAnsi="Arial" w:cs="Arial"/>
          <w:spacing w:val="6"/>
          <w:sz w:val="20"/>
          <w:szCs w:val="20"/>
        </w:rPr>
        <w:t>r, final appropriation was R5.3</w:t>
      </w:r>
      <w:r w:rsidRPr="00133F4D">
        <w:rPr>
          <w:rFonts w:ascii="Arial" w:hAnsi="Arial" w:cs="Arial"/>
          <w:spacing w:val="6"/>
          <w:sz w:val="20"/>
          <w:szCs w:val="20"/>
        </w:rPr>
        <w:t xml:space="preserve"> billion with actua</w:t>
      </w:r>
      <w:r w:rsidR="00D416DD" w:rsidRPr="00133F4D">
        <w:rPr>
          <w:rFonts w:ascii="Arial" w:hAnsi="Arial" w:cs="Arial"/>
          <w:spacing w:val="6"/>
          <w:sz w:val="20"/>
          <w:szCs w:val="20"/>
        </w:rPr>
        <w:t>l expenditure amounting to R5.2</w:t>
      </w:r>
      <w:r w:rsidRPr="00133F4D">
        <w:rPr>
          <w:rFonts w:ascii="Arial" w:hAnsi="Arial" w:cs="Arial"/>
          <w:spacing w:val="6"/>
          <w:sz w:val="20"/>
          <w:szCs w:val="20"/>
        </w:rPr>
        <w:t xml:space="preserve"> billion, which represents 97.5 per cent of the budget. The Department has thus increased its expenditure against appropriation with unspent funds decreasing from R135.2 million in 2020/21 to R103.6 million in 2021/22.</w:t>
      </w:r>
    </w:p>
    <w:p w:rsidR="0081044A" w:rsidRPr="00133F4D" w:rsidRDefault="0081044A" w:rsidP="00133F4D">
      <w:pPr>
        <w:spacing w:after="0" w:line="240" w:lineRule="auto"/>
        <w:jc w:val="left"/>
        <w:rPr>
          <w:rFonts w:ascii="Arial" w:hAnsi="Arial" w:cs="Arial"/>
          <w:spacing w:val="6"/>
          <w:sz w:val="20"/>
          <w:szCs w:val="20"/>
        </w:rPr>
      </w:pPr>
    </w:p>
    <w:p w:rsidR="0081044A" w:rsidRPr="00133F4D" w:rsidRDefault="0081044A"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Department’s budget funds four programmes; namely Programme 1: Administration; Programme 2: Recreational Development and Sport Promotion; Programme 3: Arts and Culture Promotion and Development; and Programme 4: Heritage Promotion and Preservation.</w:t>
      </w:r>
      <w:r w:rsidR="00EB4057" w:rsidRPr="00133F4D">
        <w:rPr>
          <w:rFonts w:ascii="Arial" w:hAnsi="Arial" w:cs="Arial"/>
          <w:spacing w:val="6"/>
          <w:sz w:val="20"/>
          <w:szCs w:val="20"/>
        </w:rPr>
        <w:t xml:space="preserve"> The purpose for each programme is tabulated below.</w:t>
      </w:r>
    </w:p>
    <w:p w:rsidR="00EB4057" w:rsidRPr="00133F4D" w:rsidRDefault="00EB4057" w:rsidP="00133F4D">
      <w:pPr>
        <w:spacing w:after="0" w:line="240" w:lineRule="auto"/>
        <w:jc w:val="left"/>
        <w:rPr>
          <w:rFonts w:ascii="Arial" w:hAnsi="Arial" w:cs="Arial"/>
          <w:spacing w:val="6"/>
          <w:sz w:val="20"/>
          <w:szCs w:val="20"/>
        </w:rPr>
      </w:pPr>
    </w:p>
    <w:p w:rsidR="00E83DE7" w:rsidRPr="00133F4D" w:rsidRDefault="00E83DE7" w:rsidP="00133F4D">
      <w:pPr>
        <w:pStyle w:val="Caption"/>
        <w:keepNext/>
        <w:spacing w:after="0"/>
        <w:jc w:val="left"/>
        <w:rPr>
          <w:rFonts w:ascii="Arial" w:hAnsi="Arial" w:cs="Arial"/>
          <w:b/>
          <w:i w:val="0"/>
          <w:color w:val="auto"/>
          <w:spacing w:val="6"/>
          <w:sz w:val="20"/>
          <w:szCs w:val="20"/>
        </w:rPr>
      </w:pPr>
      <w:r w:rsidRPr="00133F4D">
        <w:rPr>
          <w:rFonts w:ascii="Arial" w:hAnsi="Arial" w:cs="Arial"/>
          <w:b/>
          <w:i w:val="0"/>
          <w:color w:val="auto"/>
          <w:spacing w:val="6"/>
          <w:sz w:val="20"/>
          <w:szCs w:val="20"/>
        </w:rPr>
        <w:t xml:space="preserve">Table </w:t>
      </w:r>
      <w:r w:rsidR="00E922AD" w:rsidRPr="00133F4D">
        <w:rPr>
          <w:rFonts w:ascii="Arial" w:hAnsi="Arial" w:cs="Arial"/>
          <w:b/>
          <w:i w:val="0"/>
          <w:color w:val="auto"/>
          <w:spacing w:val="6"/>
          <w:sz w:val="20"/>
          <w:szCs w:val="20"/>
        </w:rPr>
        <w:fldChar w:fldCharType="begin"/>
      </w:r>
      <w:r w:rsidRPr="00133F4D">
        <w:rPr>
          <w:rFonts w:ascii="Arial" w:hAnsi="Arial" w:cs="Arial"/>
          <w:b/>
          <w:i w:val="0"/>
          <w:color w:val="auto"/>
          <w:spacing w:val="6"/>
          <w:sz w:val="20"/>
          <w:szCs w:val="20"/>
        </w:rPr>
        <w:instrText xml:space="preserve"> SEQ Table \* ARABIC </w:instrText>
      </w:r>
      <w:r w:rsidR="00E922AD" w:rsidRPr="00133F4D">
        <w:rPr>
          <w:rFonts w:ascii="Arial" w:hAnsi="Arial" w:cs="Arial"/>
          <w:b/>
          <w:i w:val="0"/>
          <w:color w:val="auto"/>
          <w:spacing w:val="6"/>
          <w:sz w:val="20"/>
          <w:szCs w:val="20"/>
        </w:rPr>
        <w:fldChar w:fldCharType="separate"/>
      </w:r>
      <w:r w:rsidR="00D81058" w:rsidRPr="00133F4D">
        <w:rPr>
          <w:rFonts w:ascii="Arial" w:hAnsi="Arial" w:cs="Arial"/>
          <w:b/>
          <w:i w:val="0"/>
          <w:noProof/>
          <w:color w:val="auto"/>
          <w:spacing w:val="6"/>
          <w:sz w:val="20"/>
          <w:szCs w:val="20"/>
        </w:rPr>
        <w:t>3</w:t>
      </w:r>
      <w:r w:rsidR="00E922AD" w:rsidRPr="00133F4D">
        <w:rPr>
          <w:rFonts w:ascii="Arial" w:hAnsi="Arial" w:cs="Arial"/>
          <w:b/>
          <w:i w:val="0"/>
          <w:color w:val="auto"/>
          <w:spacing w:val="6"/>
          <w:sz w:val="20"/>
          <w:szCs w:val="20"/>
        </w:rPr>
        <w:fldChar w:fldCharType="end"/>
      </w:r>
      <w:r w:rsidRPr="00133F4D">
        <w:rPr>
          <w:rFonts w:ascii="Arial" w:hAnsi="Arial" w:cs="Arial"/>
          <w:b/>
          <w:i w:val="0"/>
          <w:color w:val="auto"/>
          <w:spacing w:val="6"/>
          <w:sz w:val="20"/>
          <w:szCs w:val="20"/>
        </w:rPr>
        <w:t xml:space="preserve">: DSAC budget </w:t>
      </w:r>
      <w:r w:rsidR="009C6A02" w:rsidRPr="00133F4D">
        <w:rPr>
          <w:rFonts w:ascii="Arial" w:hAnsi="Arial" w:cs="Arial"/>
          <w:b/>
          <w:i w:val="0"/>
          <w:color w:val="auto"/>
          <w:spacing w:val="6"/>
          <w:sz w:val="20"/>
          <w:szCs w:val="20"/>
        </w:rPr>
        <w:t xml:space="preserve">programmes, </w:t>
      </w:r>
      <w:r w:rsidRPr="00133F4D">
        <w:rPr>
          <w:rFonts w:ascii="Arial" w:hAnsi="Arial" w:cs="Arial"/>
          <w:b/>
          <w:i w:val="0"/>
          <w:color w:val="auto"/>
          <w:spacing w:val="6"/>
          <w:sz w:val="20"/>
          <w:szCs w:val="20"/>
        </w:rPr>
        <w:t>purpose</w:t>
      </w:r>
      <w:r w:rsidR="00ED69DB" w:rsidRPr="00133F4D">
        <w:rPr>
          <w:rFonts w:ascii="Arial" w:hAnsi="Arial" w:cs="Arial"/>
          <w:b/>
          <w:i w:val="0"/>
          <w:color w:val="auto"/>
          <w:spacing w:val="6"/>
          <w:sz w:val="20"/>
          <w:szCs w:val="20"/>
        </w:rPr>
        <w:t xml:space="preserve"> and final appro</w:t>
      </w:r>
      <w:r w:rsidR="009C6A02" w:rsidRPr="00133F4D">
        <w:rPr>
          <w:rFonts w:ascii="Arial" w:hAnsi="Arial" w:cs="Arial"/>
          <w:b/>
          <w:i w:val="0"/>
          <w:color w:val="auto"/>
          <w:spacing w:val="6"/>
          <w:sz w:val="20"/>
          <w:szCs w:val="20"/>
        </w:rPr>
        <w:t>priation</w:t>
      </w:r>
    </w:p>
    <w:tbl>
      <w:tblPr>
        <w:tblStyle w:val="TableGrid"/>
        <w:tblW w:w="0" w:type="auto"/>
        <w:tblLook w:val="04A0"/>
      </w:tblPr>
      <w:tblGrid>
        <w:gridCol w:w="1993"/>
        <w:gridCol w:w="3959"/>
        <w:gridCol w:w="1788"/>
        <w:gridCol w:w="1502"/>
      </w:tblGrid>
      <w:tr w:rsidR="007078E5" w:rsidRPr="00133F4D" w:rsidTr="0072211B">
        <w:trPr>
          <w:trHeight w:val="1242"/>
          <w:tblHeader/>
        </w:trPr>
        <w:tc>
          <w:tcPr>
            <w:tcW w:w="1993" w:type="dxa"/>
            <w:shd w:val="clear" w:color="auto" w:fill="C5E0B3" w:themeFill="accent6" w:themeFillTint="66"/>
          </w:tcPr>
          <w:p w:rsidR="007078E5" w:rsidRPr="00133F4D" w:rsidRDefault="007078E5" w:rsidP="00133F4D">
            <w:pPr>
              <w:spacing w:line="240" w:lineRule="auto"/>
              <w:jc w:val="left"/>
              <w:rPr>
                <w:rFonts w:ascii="Arial" w:hAnsi="Arial" w:cs="Arial"/>
                <w:b/>
                <w:spacing w:val="6"/>
                <w:sz w:val="20"/>
                <w:szCs w:val="20"/>
              </w:rPr>
            </w:pPr>
            <w:r w:rsidRPr="00133F4D">
              <w:rPr>
                <w:rFonts w:ascii="Arial" w:hAnsi="Arial" w:cs="Arial"/>
                <w:b/>
                <w:spacing w:val="6"/>
                <w:sz w:val="20"/>
                <w:szCs w:val="20"/>
              </w:rPr>
              <w:t>Programme</w:t>
            </w:r>
          </w:p>
        </w:tc>
        <w:tc>
          <w:tcPr>
            <w:tcW w:w="3959" w:type="dxa"/>
            <w:shd w:val="clear" w:color="auto" w:fill="C5E0B3" w:themeFill="accent6" w:themeFillTint="66"/>
          </w:tcPr>
          <w:p w:rsidR="007078E5" w:rsidRPr="00133F4D" w:rsidRDefault="007078E5" w:rsidP="00133F4D">
            <w:pPr>
              <w:spacing w:line="240" w:lineRule="auto"/>
              <w:jc w:val="left"/>
              <w:rPr>
                <w:rFonts w:ascii="Arial" w:hAnsi="Arial" w:cs="Arial"/>
                <w:b/>
                <w:spacing w:val="6"/>
                <w:sz w:val="20"/>
                <w:szCs w:val="20"/>
              </w:rPr>
            </w:pPr>
            <w:r w:rsidRPr="00133F4D">
              <w:rPr>
                <w:rFonts w:ascii="Arial" w:hAnsi="Arial" w:cs="Arial"/>
                <w:b/>
                <w:spacing w:val="6"/>
                <w:sz w:val="20"/>
                <w:szCs w:val="20"/>
              </w:rPr>
              <w:t>Purpose</w:t>
            </w:r>
          </w:p>
        </w:tc>
        <w:tc>
          <w:tcPr>
            <w:tcW w:w="1788" w:type="dxa"/>
            <w:shd w:val="clear" w:color="auto" w:fill="C5E0B3" w:themeFill="accent6" w:themeFillTint="66"/>
          </w:tcPr>
          <w:p w:rsidR="007078E5" w:rsidRPr="00133F4D" w:rsidRDefault="007078E5" w:rsidP="00133F4D">
            <w:pPr>
              <w:spacing w:line="240" w:lineRule="auto"/>
              <w:jc w:val="left"/>
              <w:rPr>
                <w:rFonts w:ascii="Arial" w:hAnsi="Arial" w:cs="Arial"/>
                <w:b/>
                <w:spacing w:val="6"/>
                <w:sz w:val="20"/>
                <w:szCs w:val="20"/>
              </w:rPr>
            </w:pPr>
            <w:r w:rsidRPr="00133F4D">
              <w:rPr>
                <w:rFonts w:ascii="Arial" w:hAnsi="Arial" w:cs="Arial"/>
                <w:b/>
                <w:spacing w:val="6"/>
                <w:sz w:val="20"/>
                <w:szCs w:val="20"/>
              </w:rPr>
              <w:t>Final Appropriation</w:t>
            </w:r>
          </w:p>
          <w:p w:rsidR="007078E5" w:rsidRPr="00133F4D" w:rsidRDefault="007078E5" w:rsidP="00133F4D">
            <w:pPr>
              <w:spacing w:line="240" w:lineRule="auto"/>
              <w:jc w:val="left"/>
              <w:rPr>
                <w:rFonts w:ascii="Arial" w:hAnsi="Arial" w:cs="Arial"/>
                <w:b/>
                <w:spacing w:val="6"/>
                <w:sz w:val="20"/>
                <w:szCs w:val="20"/>
              </w:rPr>
            </w:pPr>
            <w:r w:rsidRPr="00133F4D">
              <w:rPr>
                <w:rFonts w:ascii="Arial" w:hAnsi="Arial" w:cs="Arial"/>
                <w:b/>
                <w:spacing w:val="6"/>
                <w:sz w:val="20"/>
                <w:szCs w:val="20"/>
              </w:rPr>
              <w:t>R’000</w:t>
            </w:r>
          </w:p>
        </w:tc>
        <w:tc>
          <w:tcPr>
            <w:tcW w:w="0" w:type="auto"/>
            <w:shd w:val="clear" w:color="auto" w:fill="C5E0B3" w:themeFill="accent6" w:themeFillTint="66"/>
          </w:tcPr>
          <w:p w:rsidR="007078E5" w:rsidRPr="00133F4D" w:rsidRDefault="007078E5" w:rsidP="00133F4D">
            <w:pPr>
              <w:spacing w:line="240" w:lineRule="auto"/>
              <w:jc w:val="left"/>
              <w:rPr>
                <w:rFonts w:ascii="Arial" w:hAnsi="Arial" w:cs="Arial"/>
                <w:b/>
                <w:spacing w:val="6"/>
                <w:sz w:val="20"/>
                <w:szCs w:val="20"/>
              </w:rPr>
            </w:pPr>
            <w:r w:rsidRPr="00133F4D">
              <w:rPr>
                <w:rFonts w:ascii="Arial" w:hAnsi="Arial" w:cs="Arial"/>
                <w:b/>
                <w:spacing w:val="6"/>
                <w:sz w:val="20"/>
                <w:szCs w:val="20"/>
              </w:rPr>
              <w:t>% of total allocation</w:t>
            </w:r>
          </w:p>
        </w:tc>
      </w:tr>
      <w:tr w:rsidR="007078E5" w:rsidRPr="00133F4D" w:rsidTr="0072211B">
        <w:trPr>
          <w:tblHeader/>
        </w:trPr>
        <w:tc>
          <w:tcPr>
            <w:tcW w:w="1993" w:type="dxa"/>
          </w:tcPr>
          <w:p w:rsidR="007078E5" w:rsidRPr="00133F4D" w:rsidRDefault="007078E5" w:rsidP="00133F4D">
            <w:pPr>
              <w:pStyle w:val="ListParagraph"/>
              <w:numPr>
                <w:ilvl w:val="0"/>
                <w:numId w:val="29"/>
              </w:numPr>
              <w:spacing w:line="240" w:lineRule="auto"/>
              <w:jc w:val="left"/>
              <w:rPr>
                <w:rFonts w:ascii="Arial" w:hAnsi="Arial" w:cs="Arial"/>
                <w:spacing w:val="6"/>
                <w:sz w:val="20"/>
                <w:szCs w:val="20"/>
              </w:rPr>
            </w:pPr>
            <w:r w:rsidRPr="00133F4D">
              <w:rPr>
                <w:rFonts w:ascii="Arial" w:hAnsi="Arial" w:cs="Arial"/>
                <w:color w:val="000000"/>
                <w:spacing w:val="6"/>
                <w:sz w:val="20"/>
                <w:szCs w:val="20"/>
                <w:lang w:val="en-GB" w:eastAsia="en-GB"/>
              </w:rPr>
              <w:t>Administration</w:t>
            </w:r>
          </w:p>
        </w:tc>
        <w:tc>
          <w:tcPr>
            <w:tcW w:w="3959" w:type="dxa"/>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To provide strategic leadership, management and support services to the Department.</w:t>
            </w:r>
          </w:p>
        </w:tc>
        <w:tc>
          <w:tcPr>
            <w:tcW w:w="1788" w:type="dxa"/>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497 093</w:t>
            </w:r>
          </w:p>
        </w:tc>
        <w:tc>
          <w:tcPr>
            <w:tcW w:w="0" w:type="auto"/>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8.6%</w:t>
            </w:r>
          </w:p>
        </w:tc>
      </w:tr>
      <w:tr w:rsidR="007078E5" w:rsidRPr="00133F4D" w:rsidTr="0072211B">
        <w:trPr>
          <w:tblHeader/>
        </w:trPr>
        <w:tc>
          <w:tcPr>
            <w:tcW w:w="1993" w:type="dxa"/>
          </w:tcPr>
          <w:p w:rsidR="007078E5" w:rsidRPr="00133F4D" w:rsidRDefault="007078E5" w:rsidP="00133F4D">
            <w:pPr>
              <w:pStyle w:val="ListParagraph"/>
              <w:numPr>
                <w:ilvl w:val="0"/>
                <w:numId w:val="29"/>
              </w:numPr>
              <w:spacing w:line="240" w:lineRule="auto"/>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lastRenderedPageBreak/>
              <w:t>Recreation Development and Sport Promotion</w:t>
            </w:r>
          </w:p>
        </w:tc>
        <w:tc>
          <w:tcPr>
            <w:tcW w:w="3959" w:type="dxa"/>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To support the provision of mass-participation opportunities, the development of elite athletes, and the regulation and maintenance of facilities.</w:t>
            </w:r>
          </w:p>
        </w:tc>
        <w:tc>
          <w:tcPr>
            <w:tcW w:w="1788" w:type="dxa"/>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1 372 722</w:t>
            </w:r>
          </w:p>
        </w:tc>
        <w:tc>
          <w:tcPr>
            <w:tcW w:w="0" w:type="auto"/>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23.9%</w:t>
            </w:r>
          </w:p>
        </w:tc>
      </w:tr>
      <w:tr w:rsidR="007078E5" w:rsidRPr="00133F4D" w:rsidTr="0072211B">
        <w:trPr>
          <w:tblHeader/>
        </w:trPr>
        <w:tc>
          <w:tcPr>
            <w:tcW w:w="1993" w:type="dxa"/>
          </w:tcPr>
          <w:p w:rsidR="007078E5" w:rsidRPr="00133F4D" w:rsidRDefault="007078E5" w:rsidP="00133F4D">
            <w:pPr>
              <w:pStyle w:val="ListParagraph"/>
              <w:numPr>
                <w:ilvl w:val="0"/>
                <w:numId w:val="29"/>
              </w:numPr>
              <w:spacing w:line="240" w:lineRule="auto"/>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Arts and Culture Promotion and Development</w:t>
            </w:r>
          </w:p>
        </w:tc>
        <w:tc>
          <w:tcPr>
            <w:tcW w:w="3959" w:type="dxa"/>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To develop and promote arts, culture and language, and implement the national cohesion strategy.</w:t>
            </w:r>
          </w:p>
        </w:tc>
        <w:tc>
          <w:tcPr>
            <w:tcW w:w="1788" w:type="dxa"/>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1 293 451</w:t>
            </w:r>
          </w:p>
        </w:tc>
        <w:tc>
          <w:tcPr>
            <w:tcW w:w="0" w:type="auto"/>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22.5%</w:t>
            </w:r>
          </w:p>
        </w:tc>
      </w:tr>
      <w:tr w:rsidR="007078E5" w:rsidRPr="00133F4D" w:rsidTr="0072211B">
        <w:trPr>
          <w:tblHeader/>
        </w:trPr>
        <w:tc>
          <w:tcPr>
            <w:tcW w:w="1993" w:type="dxa"/>
          </w:tcPr>
          <w:p w:rsidR="007078E5" w:rsidRPr="00133F4D" w:rsidRDefault="007078E5" w:rsidP="00133F4D">
            <w:pPr>
              <w:pStyle w:val="ListParagraph"/>
              <w:numPr>
                <w:ilvl w:val="0"/>
                <w:numId w:val="29"/>
              </w:numPr>
              <w:spacing w:line="240" w:lineRule="auto"/>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Heritage Promotion and Preservation</w:t>
            </w:r>
          </w:p>
        </w:tc>
        <w:tc>
          <w:tcPr>
            <w:tcW w:w="3959" w:type="dxa"/>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To preserve and promote South African heritage, including archival and heraldic heritage; as well as to oversee and transfer funds to libraries.</w:t>
            </w:r>
          </w:p>
        </w:tc>
        <w:tc>
          <w:tcPr>
            <w:tcW w:w="1788" w:type="dxa"/>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2 584 007</w:t>
            </w:r>
          </w:p>
        </w:tc>
        <w:tc>
          <w:tcPr>
            <w:tcW w:w="0" w:type="auto"/>
          </w:tcPr>
          <w:p w:rsidR="007078E5" w:rsidRPr="00133F4D" w:rsidRDefault="007078E5" w:rsidP="00133F4D">
            <w:pPr>
              <w:spacing w:line="240" w:lineRule="auto"/>
              <w:jc w:val="left"/>
              <w:rPr>
                <w:rFonts w:ascii="Arial" w:hAnsi="Arial" w:cs="Arial"/>
                <w:spacing w:val="6"/>
                <w:sz w:val="20"/>
                <w:szCs w:val="20"/>
              </w:rPr>
            </w:pPr>
            <w:r w:rsidRPr="00133F4D">
              <w:rPr>
                <w:rFonts w:ascii="Arial" w:hAnsi="Arial" w:cs="Arial"/>
                <w:spacing w:val="6"/>
                <w:sz w:val="20"/>
                <w:szCs w:val="20"/>
              </w:rPr>
              <w:t>45%</w:t>
            </w:r>
          </w:p>
        </w:tc>
      </w:tr>
      <w:tr w:rsidR="007078E5" w:rsidRPr="00133F4D" w:rsidTr="00EB1514">
        <w:trPr>
          <w:tblHeader/>
        </w:trPr>
        <w:tc>
          <w:tcPr>
            <w:tcW w:w="5952" w:type="dxa"/>
            <w:gridSpan w:val="2"/>
            <w:shd w:val="clear" w:color="auto" w:fill="C5E0B3" w:themeFill="accent6" w:themeFillTint="66"/>
          </w:tcPr>
          <w:p w:rsidR="007078E5" w:rsidRPr="00133F4D" w:rsidRDefault="007078E5" w:rsidP="00133F4D">
            <w:pPr>
              <w:spacing w:line="240" w:lineRule="auto"/>
              <w:jc w:val="left"/>
              <w:rPr>
                <w:rFonts w:ascii="Arial" w:hAnsi="Arial" w:cs="Arial"/>
                <w:spacing w:val="6"/>
                <w:sz w:val="20"/>
                <w:szCs w:val="20"/>
              </w:rPr>
            </w:pPr>
          </w:p>
        </w:tc>
        <w:tc>
          <w:tcPr>
            <w:tcW w:w="1788" w:type="dxa"/>
            <w:shd w:val="clear" w:color="auto" w:fill="C5E0B3" w:themeFill="accent6" w:themeFillTint="66"/>
          </w:tcPr>
          <w:p w:rsidR="007078E5" w:rsidRPr="00133F4D" w:rsidRDefault="007078E5" w:rsidP="00133F4D">
            <w:pPr>
              <w:spacing w:line="240" w:lineRule="auto"/>
              <w:jc w:val="left"/>
              <w:rPr>
                <w:rFonts w:ascii="Arial" w:hAnsi="Arial" w:cs="Arial"/>
                <w:spacing w:val="6"/>
                <w:sz w:val="20"/>
                <w:szCs w:val="20"/>
              </w:rPr>
            </w:pPr>
            <w:r w:rsidRPr="00133F4D">
              <w:rPr>
                <w:rFonts w:ascii="Arial" w:eastAsia="Calibri" w:hAnsi="Arial" w:cs="Arial"/>
                <w:b/>
                <w:color w:val="000000"/>
                <w:spacing w:val="6"/>
                <w:sz w:val="20"/>
                <w:szCs w:val="20"/>
                <w:lang w:val="en-GB" w:eastAsia="en-GB"/>
              </w:rPr>
              <w:t>5 747 273</w:t>
            </w:r>
          </w:p>
        </w:tc>
        <w:tc>
          <w:tcPr>
            <w:tcW w:w="0" w:type="auto"/>
            <w:shd w:val="clear" w:color="auto" w:fill="C5E0B3" w:themeFill="accent6" w:themeFillTint="66"/>
          </w:tcPr>
          <w:p w:rsidR="007078E5" w:rsidRPr="00133F4D" w:rsidRDefault="007078E5" w:rsidP="00133F4D">
            <w:pPr>
              <w:spacing w:line="240" w:lineRule="auto"/>
              <w:jc w:val="left"/>
              <w:rPr>
                <w:rFonts w:ascii="Arial" w:eastAsia="Calibri" w:hAnsi="Arial" w:cs="Arial"/>
                <w:b/>
                <w:color w:val="000000"/>
                <w:spacing w:val="6"/>
                <w:sz w:val="20"/>
                <w:szCs w:val="20"/>
                <w:lang w:val="en-GB" w:eastAsia="en-GB"/>
              </w:rPr>
            </w:pPr>
            <w:r w:rsidRPr="00133F4D">
              <w:rPr>
                <w:rFonts w:ascii="Arial" w:eastAsia="Calibri" w:hAnsi="Arial" w:cs="Arial"/>
                <w:b/>
                <w:color w:val="000000"/>
                <w:spacing w:val="6"/>
                <w:sz w:val="20"/>
                <w:szCs w:val="20"/>
                <w:lang w:val="en-GB" w:eastAsia="en-GB"/>
              </w:rPr>
              <w:t>100%</w:t>
            </w:r>
          </w:p>
        </w:tc>
      </w:tr>
    </w:tbl>
    <w:p w:rsidR="00EB4057" w:rsidRPr="00133F4D" w:rsidRDefault="00EB1514" w:rsidP="00133F4D">
      <w:pPr>
        <w:spacing w:after="0" w:line="240" w:lineRule="auto"/>
        <w:jc w:val="left"/>
        <w:rPr>
          <w:rFonts w:ascii="Arial" w:hAnsi="Arial" w:cs="Arial"/>
          <w:spacing w:val="6"/>
          <w:sz w:val="20"/>
          <w:szCs w:val="20"/>
        </w:rPr>
      </w:pPr>
      <w:r w:rsidRPr="00133F4D">
        <w:rPr>
          <w:rFonts w:ascii="Arial" w:hAnsi="Arial" w:cs="Arial"/>
          <w:i/>
          <w:spacing w:val="6"/>
          <w:sz w:val="20"/>
          <w:szCs w:val="20"/>
        </w:rPr>
        <w:t>Source: DSAC Annual Report 2021/22</w:t>
      </w:r>
    </w:p>
    <w:p w:rsidR="007E60E1" w:rsidRPr="00133F4D" w:rsidRDefault="007E60E1" w:rsidP="00133F4D">
      <w:pPr>
        <w:spacing w:after="0" w:line="240" w:lineRule="auto"/>
        <w:jc w:val="left"/>
        <w:rPr>
          <w:rFonts w:ascii="Arial" w:hAnsi="Arial" w:cs="Arial"/>
          <w:spacing w:val="6"/>
          <w:sz w:val="20"/>
          <w:szCs w:val="20"/>
        </w:rPr>
      </w:pPr>
    </w:p>
    <w:p w:rsidR="0069222E" w:rsidRPr="00133F4D" w:rsidRDefault="0069222E" w:rsidP="00133F4D">
      <w:pPr>
        <w:pStyle w:val="Caption"/>
        <w:keepNext/>
        <w:spacing w:after="0"/>
        <w:jc w:val="left"/>
        <w:rPr>
          <w:rFonts w:ascii="Arial" w:hAnsi="Arial" w:cs="Arial"/>
          <w:b/>
          <w:i w:val="0"/>
          <w:color w:val="auto"/>
          <w:spacing w:val="6"/>
          <w:sz w:val="20"/>
          <w:szCs w:val="20"/>
        </w:rPr>
      </w:pPr>
      <w:r w:rsidRPr="00133F4D">
        <w:rPr>
          <w:rFonts w:ascii="Arial" w:hAnsi="Arial" w:cs="Arial"/>
          <w:b/>
          <w:i w:val="0"/>
          <w:color w:val="auto"/>
          <w:spacing w:val="6"/>
          <w:sz w:val="20"/>
          <w:szCs w:val="20"/>
        </w:rPr>
        <w:t xml:space="preserve">Table </w:t>
      </w:r>
      <w:r w:rsidR="00E922AD" w:rsidRPr="00133F4D">
        <w:rPr>
          <w:rFonts w:ascii="Arial" w:hAnsi="Arial" w:cs="Arial"/>
          <w:b/>
          <w:i w:val="0"/>
          <w:color w:val="auto"/>
          <w:spacing w:val="6"/>
          <w:sz w:val="20"/>
          <w:szCs w:val="20"/>
        </w:rPr>
        <w:fldChar w:fldCharType="begin"/>
      </w:r>
      <w:r w:rsidRPr="00133F4D">
        <w:rPr>
          <w:rFonts w:ascii="Arial" w:hAnsi="Arial" w:cs="Arial"/>
          <w:b/>
          <w:i w:val="0"/>
          <w:color w:val="auto"/>
          <w:spacing w:val="6"/>
          <w:sz w:val="20"/>
          <w:szCs w:val="20"/>
        </w:rPr>
        <w:instrText xml:space="preserve"> SEQ Table \* ARABIC </w:instrText>
      </w:r>
      <w:r w:rsidR="00E922AD" w:rsidRPr="00133F4D">
        <w:rPr>
          <w:rFonts w:ascii="Arial" w:hAnsi="Arial" w:cs="Arial"/>
          <w:b/>
          <w:i w:val="0"/>
          <w:color w:val="auto"/>
          <w:spacing w:val="6"/>
          <w:sz w:val="20"/>
          <w:szCs w:val="20"/>
        </w:rPr>
        <w:fldChar w:fldCharType="separate"/>
      </w:r>
      <w:r w:rsidR="00D81058" w:rsidRPr="00133F4D">
        <w:rPr>
          <w:rFonts w:ascii="Arial" w:hAnsi="Arial" w:cs="Arial"/>
          <w:b/>
          <w:i w:val="0"/>
          <w:noProof/>
          <w:color w:val="auto"/>
          <w:spacing w:val="6"/>
          <w:sz w:val="20"/>
          <w:szCs w:val="20"/>
        </w:rPr>
        <w:t>4</w:t>
      </w:r>
      <w:r w:rsidR="00E922AD" w:rsidRPr="00133F4D">
        <w:rPr>
          <w:rFonts w:ascii="Arial" w:hAnsi="Arial" w:cs="Arial"/>
          <w:b/>
          <w:i w:val="0"/>
          <w:color w:val="auto"/>
          <w:spacing w:val="6"/>
          <w:sz w:val="20"/>
          <w:szCs w:val="20"/>
        </w:rPr>
        <w:fldChar w:fldCharType="end"/>
      </w:r>
      <w:r w:rsidRPr="00133F4D">
        <w:rPr>
          <w:rFonts w:ascii="Arial" w:hAnsi="Arial" w:cs="Arial"/>
          <w:b/>
          <w:i w:val="0"/>
          <w:color w:val="auto"/>
          <w:spacing w:val="6"/>
          <w:sz w:val="20"/>
          <w:szCs w:val="20"/>
        </w:rPr>
        <w:t>: Department of Sport, Arts and Culture 202</w:t>
      </w:r>
      <w:r w:rsidR="00D1096C" w:rsidRPr="00133F4D">
        <w:rPr>
          <w:rFonts w:ascii="Arial" w:hAnsi="Arial" w:cs="Arial"/>
          <w:b/>
          <w:i w:val="0"/>
          <w:color w:val="auto"/>
          <w:spacing w:val="6"/>
          <w:sz w:val="20"/>
          <w:szCs w:val="20"/>
        </w:rPr>
        <w:t xml:space="preserve">1/22 </w:t>
      </w:r>
      <w:r w:rsidRPr="00133F4D">
        <w:rPr>
          <w:rFonts w:ascii="Arial" w:hAnsi="Arial" w:cs="Arial"/>
          <w:b/>
          <w:i w:val="0"/>
          <w:color w:val="auto"/>
          <w:spacing w:val="6"/>
          <w:sz w:val="20"/>
          <w:szCs w:val="20"/>
        </w:rPr>
        <w:t>Expenditure by Programme and Economic Classification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1615"/>
        <w:gridCol w:w="1474"/>
        <w:gridCol w:w="1098"/>
        <w:gridCol w:w="1796"/>
      </w:tblGrid>
      <w:tr w:rsidR="0069222E" w:rsidRPr="00133F4D" w:rsidTr="0086156D">
        <w:trPr>
          <w:trHeight w:val="1108"/>
          <w:tblHeader/>
          <w:jc w:val="center"/>
        </w:trPr>
        <w:tc>
          <w:tcPr>
            <w:tcW w:w="3259" w:type="dxa"/>
            <w:shd w:val="clear" w:color="auto" w:fill="C5E0B3" w:themeFill="accent6" w:themeFillTint="66"/>
            <w:vAlign w:val="bottom"/>
          </w:tcPr>
          <w:p w:rsidR="0069222E" w:rsidRPr="00133F4D" w:rsidRDefault="0069222E"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R’000</w:t>
            </w:r>
          </w:p>
        </w:tc>
        <w:tc>
          <w:tcPr>
            <w:tcW w:w="1615" w:type="dxa"/>
            <w:shd w:val="clear" w:color="auto" w:fill="C5E0B3" w:themeFill="accent6" w:themeFillTint="66"/>
            <w:vAlign w:val="center"/>
          </w:tcPr>
          <w:p w:rsidR="0069222E" w:rsidRPr="00133F4D" w:rsidRDefault="0069222E"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Final appropriation</w:t>
            </w:r>
          </w:p>
        </w:tc>
        <w:tc>
          <w:tcPr>
            <w:tcW w:w="0" w:type="auto"/>
            <w:shd w:val="clear" w:color="auto" w:fill="C5E0B3" w:themeFill="accent6" w:themeFillTint="66"/>
            <w:vAlign w:val="center"/>
          </w:tcPr>
          <w:p w:rsidR="0069222E" w:rsidRPr="00133F4D" w:rsidRDefault="0069222E"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Actual expenditure</w:t>
            </w:r>
          </w:p>
        </w:tc>
        <w:tc>
          <w:tcPr>
            <w:tcW w:w="0" w:type="auto"/>
            <w:shd w:val="clear" w:color="auto" w:fill="C5E0B3" w:themeFill="accent6" w:themeFillTint="66"/>
            <w:vAlign w:val="center"/>
          </w:tcPr>
          <w:p w:rsidR="0069222E" w:rsidRPr="00133F4D" w:rsidRDefault="0069222E"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Variance</w:t>
            </w:r>
          </w:p>
        </w:tc>
        <w:tc>
          <w:tcPr>
            <w:tcW w:w="0" w:type="auto"/>
            <w:shd w:val="clear" w:color="auto" w:fill="C5E0B3" w:themeFill="accent6" w:themeFillTint="66"/>
            <w:vAlign w:val="center"/>
          </w:tcPr>
          <w:p w:rsidR="0069222E" w:rsidRPr="00133F4D" w:rsidRDefault="0069222E"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Expenditure as % of final appropriation</w:t>
            </w:r>
          </w:p>
        </w:tc>
      </w:tr>
      <w:tr w:rsidR="0069222E" w:rsidRPr="00133F4D" w:rsidTr="00E35668">
        <w:trPr>
          <w:trHeight w:val="361"/>
          <w:jc w:val="center"/>
        </w:trPr>
        <w:tc>
          <w:tcPr>
            <w:tcW w:w="0" w:type="auto"/>
            <w:gridSpan w:val="5"/>
            <w:shd w:val="clear" w:color="auto" w:fill="auto"/>
          </w:tcPr>
          <w:p w:rsidR="0069222E" w:rsidRPr="00133F4D" w:rsidRDefault="0069222E"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Programme</w:t>
            </w:r>
          </w:p>
        </w:tc>
      </w:tr>
      <w:tr w:rsidR="005C1D70" w:rsidRPr="00133F4D" w:rsidTr="00536262">
        <w:trPr>
          <w:trHeight w:val="506"/>
          <w:jc w:val="center"/>
        </w:trPr>
        <w:tc>
          <w:tcPr>
            <w:tcW w:w="3259" w:type="dxa"/>
            <w:shd w:val="clear" w:color="auto" w:fill="auto"/>
            <w:vAlign w:val="center"/>
          </w:tcPr>
          <w:p w:rsidR="005C1D70" w:rsidRPr="00133F4D" w:rsidRDefault="005C1D70" w:rsidP="00133F4D">
            <w:pPr>
              <w:numPr>
                <w:ilvl w:val="0"/>
                <w:numId w:val="1"/>
              </w:numPr>
              <w:spacing w:after="0" w:line="240" w:lineRule="auto"/>
              <w:ind w:left="313"/>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Administration</w:t>
            </w:r>
          </w:p>
        </w:tc>
        <w:tc>
          <w:tcPr>
            <w:tcW w:w="1615" w:type="dxa"/>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497 093</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459 174</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37 919</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eastAsia="Calibri" w:hAnsi="Arial" w:cs="Arial"/>
                <w:color w:val="000000"/>
                <w:spacing w:val="6"/>
                <w:sz w:val="20"/>
                <w:szCs w:val="20"/>
                <w:lang w:val="en-GB" w:eastAsia="en-GB"/>
              </w:rPr>
              <w:t>92.4%</w:t>
            </w:r>
          </w:p>
        </w:tc>
      </w:tr>
      <w:tr w:rsidR="005C1D70" w:rsidRPr="00133F4D" w:rsidTr="00536262">
        <w:trPr>
          <w:trHeight w:val="506"/>
          <w:jc w:val="center"/>
        </w:trPr>
        <w:tc>
          <w:tcPr>
            <w:tcW w:w="3259" w:type="dxa"/>
            <w:shd w:val="clear" w:color="auto" w:fill="auto"/>
            <w:vAlign w:val="center"/>
          </w:tcPr>
          <w:p w:rsidR="005C1D70" w:rsidRPr="00133F4D" w:rsidRDefault="005C1D70" w:rsidP="00133F4D">
            <w:pPr>
              <w:numPr>
                <w:ilvl w:val="0"/>
                <w:numId w:val="1"/>
              </w:numPr>
              <w:spacing w:after="0" w:line="240" w:lineRule="auto"/>
              <w:ind w:left="313"/>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Recreation Development and Sport Promotion</w:t>
            </w:r>
          </w:p>
        </w:tc>
        <w:tc>
          <w:tcPr>
            <w:tcW w:w="1615" w:type="dxa"/>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1 372 722</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1 352 547</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20 175</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eastAsia="Calibri" w:hAnsi="Arial" w:cs="Arial"/>
                <w:color w:val="000000"/>
                <w:spacing w:val="6"/>
                <w:sz w:val="20"/>
                <w:szCs w:val="20"/>
                <w:lang w:val="en-GB" w:eastAsia="en-GB"/>
              </w:rPr>
              <w:t>98.5%</w:t>
            </w:r>
          </w:p>
        </w:tc>
      </w:tr>
      <w:tr w:rsidR="005C1D70" w:rsidRPr="00133F4D" w:rsidTr="00536262">
        <w:trPr>
          <w:trHeight w:val="506"/>
          <w:jc w:val="center"/>
        </w:trPr>
        <w:tc>
          <w:tcPr>
            <w:tcW w:w="3259" w:type="dxa"/>
            <w:shd w:val="clear" w:color="auto" w:fill="auto"/>
            <w:vAlign w:val="center"/>
          </w:tcPr>
          <w:p w:rsidR="005C1D70" w:rsidRPr="00133F4D" w:rsidRDefault="005C1D70" w:rsidP="00133F4D">
            <w:pPr>
              <w:numPr>
                <w:ilvl w:val="0"/>
                <w:numId w:val="1"/>
              </w:numPr>
              <w:spacing w:after="0" w:line="240" w:lineRule="auto"/>
              <w:ind w:left="313"/>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Arts and Culture Promotion and Development</w:t>
            </w:r>
          </w:p>
        </w:tc>
        <w:tc>
          <w:tcPr>
            <w:tcW w:w="1615" w:type="dxa"/>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1 293 451</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1 261 895</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31 556</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eastAsia="Calibri" w:hAnsi="Arial" w:cs="Arial"/>
                <w:color w:val="000000"/>
                <w:spacing w:val="6"/>
                <w:sz w:val="20"/>
                <w:szCs w:val="20"/>
                <w:lang w:val="en-GB" w:eastAsia="en-GB"/>
              </w:rPr>
              <w:t>97.6%</w:t>
            </w:r>
          </w:p>
        </w:tc>
      </w:tr>
      <w:tr w:rsidR="005C1D70" w:rsidRPr="00133F4D" w:rsidTr="00536262">
        <w:trPr>
          <w:trHeight w:val="506"/>
          <w:jc w:val="center"/>
        </w:trPr>
        <w:tc>
          <w:tcPr>
            <w:tcW w:w="3259" w:type="dxa"/>
            <w:shd w:val="clear" w:color="auto" w:fill="auto"/>
            <w:vAlign w:val="center"/>
          </w:tcPr>
          <w:p w:rsidR="005C1D70" w:rsidRPr="00133F4D" w:rsidRDefault="005C1D70" w:rsidP="00133F4D">
            <w:pPr>
              <w:numPr>
                <w:ilvl w:val="0"/>
                <w:numId w:val="1"/>
              </w:numPr>
              <w:spacing w:after="0" w:line="240" w:lineRule="auto"/>
              <w:ind w:left="313"/>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Heritage Promotion and Preservation</w:t>
            </w:r>
          </w:p>
        </w:tc>
        <w:tc>
          <w:tcPr>
            <w:tcW w:w="1615" w:type="dxa"/>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2 584 007</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2 570 044</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spacing w:val="6"/>
                <w:sz w:val="20"/>
                <w:szCs w:val="20"/>
              </w:rPr>
              <w:t>13 963</w:t>
            </w:r>
          </w:p>
        </w:tc>
        <w:tc>
          <w:tcPr>
            <w:tcW w:w="0" w:type="auto"/>
            <w:shd w:val="clear" w:color="auto" w:fill="auto"/>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eastAsia="Calibri" w:hAnsi="Arial" w:cs="Arial"/>
                <w:color w:val="000000"/>
                <w:spacing w:val="6"/>
                <w:sz w:val="20"/>
                <w:szCs w:val="20"/>
                <w:lang w:val="en-GB" w:eastAsia="en-GB"/>
              </w:rPr>
              <w:t>99.5%</w:t>
            </w:r>
          </w:p>
        </w:tc>
      </w:tr>
      <w:tr w:rsidR="005C1D70" w:rsidRPr="00133F4D" w:rsidTr="00536262">
        <w:trPr>
          <w:jc w:val="center"/>
        </w:trPr>
        <w:tc>
          <w:tcPr>
            <w:tcW w:w="3259" w:type="dxa"/>
            <w:shd w:val="clear" w:color="auto" w:fill="auto"/>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TOTAL</w:t>
            </w:r>
          </w:p>
        </w:tc>
        <w:tc>
          <w:tcPr>
            <w:tcW w:w="1615" w:type="dxa"/>
            <w:shd w:val="clear" w:color="auto" w:fill="auto"/>
            <w:vAlign w:val="bottom"/>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eastAsia="Calibri" w:hAnsi="Arial" w:cs="Arial"/>
                <w:b/>
                <w:color w:val="000000"/>
                <w:spacing w:val="6"/>
                <w:sz w:val="20"/>
                <w:szCs w:val="20"/>
                <w:lang w:val="en-GB" w:eastAsia="en-GB"/>
              </w:rPr>
              <w:t>5 747 273</w:t>
            </w:r>
          </w:p>
        </w:tc>
        <w:tc>
          <w:tcPr>
            <w:tcW w:w="0" w:type="auto"/>
            <w:shd w:val="clear" w:color="auto" w:fill="auto"/>
            <w:vAlign w:val="bottom"/>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eastAsia="Calibri" w:hAnsi="Arial" w:cs="Arial"/>
                <w:b/>
                <w:color w:val="000000"/>
                <w:spacing w:val="6"/>
                <w:sz w:val="20"/>
                <w:szCs w:val="20"/>
                <w:lang w:val="en-GB" w:eastAsia="en-GB"/>
              </w:rPr>
              <w:t>5 643 660</w:t>
            </w:r>
          </w:p>
        </w:tc>
        <w:tc>
          <w:tcPr>
            <w:tcW w:w="0" w:type="auto"/>
            <w:shd w:val="clear" w:color="auto" w:fill="auto"/>
            <w:vAlign w:val="bottom"/>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eastAsia="Calibri" w:hAnsi="Arial" w:cs="Arial"/>
                <w:b/>
                <w:color w:val="000000"/>
                <w:spacing w:val="6"/>
                <w:sz w:val="20"/>
                <w:szCs w:val="20"/>
                <w:lang w:val="en-GB" w:eastAsia="en-GB"/>
              </w:rPr>
              <w:t>103 613</w:t>
            </w:r>
          </w:p>
        </w:tc>
        <w:tc>
          <w:tcPr>
            <w:tcW w:w="0" w:type="auto"/>
            <w:shd w:val="clear" w:color="auto" w:fill="auto"/>
            <w:vAlign w:val="bottom"/>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eastAsia="Calibri" w:hAnsi="Arial" w:cs="Arial"/>
                <w:b/>
                <w:color w:val="000000"/>
                <w:spacing w:val="6"/>
                <w:sz w:val="20"/>
                <w:szCs w:val="20"/>
                <w:lang w:val="en-GB" w:eastAsia="en-GB"/>
              </w:rPr>
              <w:t>98.2%</w:t>
            </w:r>
          </w:p>
        </w:tc>
      </w:tr>
      <w:tr w:rsidR="005C1D70" w:rsidRPr="00133F4D" w:rsidTr="00E35668">
        <w:trPr>
          <w:jc w:val="center"/>
        </w:trPr>
        <w:tc>
          <w:tcPr>
            <w:tcW w:w="0" w:type="auto"/>
            <w:gridSpan w:val="5"/>
            <w:shd w:val="clear" w:color="auto" w:fill="auto"/>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Economic classification</w:t>
            </w:r>
          </w:p>
        </w:tc>
      </w:tr>
      <w:tr w:rsidR="005C1D70" w:rsidRPr="00133F4D" w:rsidTr="00E35668">
        <w:trPr>
          <w:trHeight w:val="417"/>
          <w:jc w:val="center"/>
        </w:trPr>
        <w:tc>
          <w:tcPr>
            <w:tcW w:w="3259" w:type="dxa"/>
            <w:shd w:val="clear" w:color="auto" w:fill="auto"/>
            <w:vAlign w:val="center"/>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Current payments</w:t>
            </w:r>
          </w:p>
        </w:tc>
        <w:tc>
          <w:tcPr>
            <w:tcW w:w="1615" w:type="dxa"/>
            <w:shd w:val="clear" w:color="auto" w:fill="auto"/>
            <w:vAlign w:val="center"/>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891 559</w:t>
            </w:r>
          </w:p>
        </w:tc>
        <w:tc>
          <w:tcPr>
            <w:tcW w:w="0" w:type="auto"/>
            <w:shd w:val="clear" w:color="auto" w:fill="auto"/>
            <w:vAlign w:val="center"/>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843 770</w:t>
            </w:r>
          </w:p>
        </w:tc>
        <w:tc>
          <w:tcPr>
            <w:tcW w:w="0" w:type="auto"/>
            <w:shd w:val="clear" w:color="auto" w:fill="auto"/>
            <w:vAlign w:val="center"/>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47 789</w:t>
            </w:r>
          </w:p>
        </w:tc>
        <w:tc>
          <w:tcPr>
            <w:tcW w:w="0" w:type="auto"/>
            <w:shd w:val="clear" w:color="auto" w:fill="auto"/>
            <w:vAlign w:val="center"/>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94.6</w:t>
            </w:r>
            <w:r w:rsidR="00D14BA2" w:rsidRPr="00133F4D">
              <w:rPr>
                <w:rFonts w:ascii="Arial" w:hAnsi="Arial" w:cs="Arial"/>
                <w:b/>
                <w:color w:val="000000"/>
                <w:spacing w:val="6"/>
                <w:sz w:val="20"/>
                <w:szCs w:val="20"/>
                <w:lang w:val="en-GB" w:eastAsia="en-GB"/>
              </w:rPr>
              <w:t>%</w:t>
            </w:r>
          </w:p>
        </w:tc>
      </w:tr>
      <w:tr w:rsidR="005C1D70" w:rsidRPr="00133F4D" w:rsidTr="00E35668">
        <w:trPr>
          <w:trHeight w:val="417"/>
          <w:jc w:val="center"/>
        </w:trPr>
        <w:tc>
          <w:tcPr>
            <w:tcW w:w="3259" w:type="dxa"/>
            <w:shd w:val="clear" w:color="auto" w:fill="auto"/>
            <w:vAlign w:val="center"/>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Transfers and subsidies</w:t>
            </w:r>
          </w:p>
        </w:tc>
        <w:tc>
          <w:tcPr>
            <w:tcW w:w="1615" w:type="dxa"/>
            <w:shd w:val="clear" w:color="auto" w:fill="auto"/>
            <w:vAlign w:val="center"/>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4 763 984</w:t>
            </w:r>
          </w:p>
        </w:tc>
        <w:tc>
          <w:tcPr>
            <w:tcW w:w="0" w:type="auto"/>
            <w:shd w:val="clear" w:color="auto" w:fill="auto"/>
            <w:vAlign w:val="center"/>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4 731 841</w:t>
            </w:r>
          </w:p>
        </w:tc>
        <w:tc>
          <w:tcPr>
            <w:tcW w:w="0" w:type="auto"/>
            <w:shd w:val="clear" w:color="auto" w:fill="auto"/>
            <w:vAlign w:val="center"/>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32 143</w:t>
            </w:r>
          </w:p>
        </w:tc>
        <w:tc>
          <w:tcPr>
            <w:tcW w:w="0" w:type="auto"/>
            <w:shd w:val="clear" w:color="auto" w:fill="auto"/>
            <w:vAlign w:val="center"/>
          </w:tcPr>
          <w:p w:rsidR="005C1D70" w:rsidRPr="00133F4D" w:rsidRDefault="005C1D70"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99.3</w:t>
            </w:r>
            <w:r w:rsidR="00D14BA2" w:rsidRPr="00133F4D">
              <w:rPr>
                <w:rFonts w:ascii="Arial" w:hAnsi="Arial" w:cs="Arial"/>
                <w:b/>
                <w:color w:val="000000"/>
                <w:spacing w:val="6"/>
                <w:sz w:val="20"/>
                <w:szCs w:val="20"/>
                <w:lang w:val="en-GB" w:eastAsia="en-GB"/>
              </w:rPr>
              <w:t>%</w:t>
            </w:r>
          </w:p>
        </w:tc>
      </w:tr>
      <w:tr w:rsidR="005C1D70" w:rsidRPr="00133F4D" w:rsidTr="00E35668">
        <w:trPr>
          <w:trHeight w:val="417"/>
          <w:jc w:val="center"/>
        </w:trPr>
        <w:tc>
          <w:tcPr>
            <w:tcW w:w="3259" w:type="dxa"/>
            <w:shd w:val="clear" w:color="auto" w:fill="auto"/>
            <w:vAlign w:val="center"/>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Payments for capital assets</w:t>
            </w:r>
          </w:p>
        </w:tc>
        <w:tc>
          <w:tcPr>
            <w:tcW w:w="1615" w:type="dxa"/>
            <w:shd w:val="clear" w:color="auto" w:fill="auto"/>
            <w:vAlign w:val="center"/>
          </w:tcPr>
          <w:p w:rsidR="005C1D70"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79 966</w:t>
            </w:r>
          </w:p>
        </w:tc>
        <w:tc>
          <w:tcPr>
            <w:tcW w:w="0" w:type="auto"/>
            <w:shd w:val="clear" w:color="auto" w:fill="auto"/>
            <w:vAlign w:val="center"/>
          </w:tcPr>
          <w:p w:rsidR="005C1D70"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56 285</w:t>
            </w:r>
          </w:p>
        </w:tc>
        <w:tc>
          <w:tcPr>
            <w:tcW w:w="0" w:type="auto"/>
            <w:shd w:val="clear" w:color="auto" w:fill="auto"/>
            <w:vAlign w:val="center"/>
          </w:tcPr>
          <w:p w:rsidR="005C1D70"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23 681</w:t>
            </w:r>
          </w:p>
        </w:tc>
        <w:tc>
          <w:tcPr>
            <w:tcW w:w="0" w:type="auto"/>
            <w:shd w:val="clear" w:color="auto" w:fill="auto"/>
            <w:vAlign w:val="center"/>
          </w:tcPr>
          <w:p w:rsidR="005C1D70"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70.4%</w:t>
            </w:r>
          </w:p>
        </w:tc>
      </w:tr>
      <w:tr w:rsidR="005C1D70" w:rsidRPr="00133F4D" w:rsidTr="00E35668">
        <w:trPr>
          <w:trHeight w:val="413"/>
          <w:jc w:val="center"/>
        </w:trPr>
        <w:tc>
          <w:tcPr>
            <w:tcW w:w="3259" w:type="dxa"/>
            <w:shd w:val="clear" w:color="auto" w:fill="auto"/>
            <w:vAlign w:val="center"/>
          </w:tcPr>
          <w:p w:rsidR="005C1D70" w:rsidRPr="00133F4D" w:rsidRDefault="005C1D70"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Payments for financial assets</w:t>
            </w:r>
          </w:p>
        </w:tc>
        <w:tc>
          <w:tcPr>
            <w:tcW w:w="1615" w:type="dxa"/>
            <w:shd w:val="clear" w:color="auto" w:fill="auto"/>
            <w:vAlign w:val="center"/>
          </w:tcPr>
          <w:p w:rsidR="005C1D70"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11 764</w:t>
            </w:r>
          </w:p>
        </w:tc>
        <w:tc>
          <w:tcPr>
            <w:tcW w:w="0" w:type="auto"/>
            <w:shd w:val="clear" w:color="auto" w:fill="auto"/>
            <w:vAlign w:val="center"/>
          </w:tcPr>
          <w:p w:rsidR="005C1D70"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11 764</w:t>
            </w:r>
          </w:p>
        </w:tc>
        <w:tc>
          <w:tcPr>
            <w:tcW w:w="0" w:type="auto"/>
            <w:shd w:val="clear" w:color="auto" w:fill="auto"/>
            <w:vAlign w:val="center"/>
          </w:tcPr>
          <w:p w:rsidR="005C1D70"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w:t>
            </w:r>
          </w:p>
        </w:tc>
        <w:tc>
          <w:tcPr>
            <w:tcW w:w="0" w:type="auto"/>
            <w:shd w:val="clear" w:color="auto" w:fill="auto"/>
            <w:vAlign w:val="center"/>
          </w:tcPr>
          <w:p w:rsidR="005C1D70"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100.0%</w:t>
            </w:r>
          </w:p>
        </w:tc>
      </w:tr>
      <w:tr w:rsidR="00D14BA2" w:rsidRPr="00133F4D" w:rsidTr="0072211B">
        <w:trPr>
          <w:trHeight w:val="413"/>
          <w:jc w:val="center"/>
        </w:trPr>
        <w:tc>
          <w:tcPr>
            <w:tcW w:w="3259" w:type="dxa"/>
            <w:shd w:val="clear" w:color="auto" w:fill="C5E0B3" w:themeFill="accent6" w:themeFillTint="66"/>
            <w:vAlign w:val="center"/>
          </w:tcPr>
          <w:p w:rsidR="00D14BA2" w:rsidRPr="00133F4D" w:rsidRDefault="00D14BA2"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b/>
                <w:color w:val="000000"/>
                <w:spacing w:val="6"/>
                <w:sz w:val="20"/>
                <w:szCs w:val="20"/>
                <w:lang w:val="en-GB" w:eastAsia="en-GB"/>
              </w:rPr>
              <w:t>TOTAL</w:t>
            </w:r>
          </w:p>
        </w:tc>
        <w:tc>
          <w:tcPr>
            <w:tcW w:w="1615" w:type="dxa"/>
            <w:shd w:val="clear" w:color="auto" w:fill="C5E0B3" w:themeFill="accent6" w:themeFillTint="66"/>
            <w:vAlign w:val="bottom"/>
          </w:tcPr>
          <w:p w:rsidR="00D14BA2" w:rsidRPr="00133F4D" w:rsidRDefault="00D14BA2" w:rsidP="00133F4D">
            <w:pPr>
              <w:spacing w:after="0" w:line="240" w:lineRule="auto"/>
              <w:jc w:val="left"/>
              <w:rPr>
                <w:rFonts w:ascii="Arial" w:hAnsi="Arial" w:cs="Arial"/>
                <w:color w:val="000000"/>
                <w:spacing w:val="6"/>
                <w:sz w:val="20"/>
                <w:szCs w:val="20"/>
                <w:lang w:val="en-GB" w:eastAsia="en-GB"/>
              </w:rPr>
            </w:pPr>
            <w:r w:rsidRPr="00133F4D">
              <w:rPr>
                <w:rFonts w:ascii="Arial" w:eastAsia="Calibri" w:hAnsi="Arial" w:cs="Arial"/>
                <w:b/>
                <w:color w:val="000000"/>
                <w:spacing w:val="6"/>
                <w:sz w:val="20"/>
                <w:szCs w:val="20"/>
                <w:lang w:val="en-GB" w:eastAsia="en-GB"/>
              </w:rPr>
              <w:t>5 747 273</w:t>
            </w:r>
          </w:p>
        </w:tc>
        <w:tc>
          <w:tcPr>
            <w:tcW w:w="0" w:type="auto"/>
            <w:shd w:val="clear" w:color="auto" w:fill="C5E0B3" w:themeFill="accent6" w:themeFillTint="66"/>
            <w:vAlign w:val="bottom"/>
          </w:tcPr>
          <w:p w:rsidR="00D14BA2"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eastAsia="Calibri" w:hAnsi="Arial" w:cs="Arial"/>
                <w:b/>
                <w:color w:val="000000"/>
                <w:spacing w:val="6"/>
                <w:sz w:val="20"/>
                <w:szCs w:val="20"/>
                <w:lang w:val="en-GB" w:eastAsia="en-GB"/>
              </w:rPr>
              <w:t>5 643 660</w:t>
            </w:r>
          </w:p>
        </w:tc>
        <w:tc>
          <w:tcPr>
            <w:tcW w:w="0" w:type="auto"/>
            <w:shd w:val="clear" w:color="auto" w:fill="C5E0B3" w:themeFill="accent6" w:themeFillTint="66"/>
            <w:vAlign w:val="bottom"/>
          </w:tcPr>
          <w:p w:rsidR="00D14BA2"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eastAsia="Calibri" w:hAnsi="Arial" w:cs="Arial"/>
                <w:b/>
                <w:color w:val="000000"/>
                <w:spacing w:val="6"/>
                <w:sz w:val="20"/>
                <w:szCs w:val="20"/>
                <w:lang w:val="en-GB" w:eastAsia="en-GB"/>
              </w:rPr>
              <w:t>103 613</w:t>
            </w:r>
          </w:p>
        </w:tc>
        <w:tc>
          <w:tcPr>
            <w:tcW w:w="0" w:type="auto"/>
            <w:shd w:val="clear" w:color="auto" w:fill="C5E0B3" w:themeFill="accent6" w:themeFillTint="66"/>
            <w:vAlign w:val="bottom"/>
          </w:tcPr>
          <w:p w:rsidR="00D14BA2" w:rsidRPr="00133F4D" w:rsidRDefault="00D14BA2" w:rsidP="00133F4D">
            <w:pPr>
              <w:spacing w:after="0" w:line="240" w:lineRule="auto"/>
              <w:jc w:val="left"/>
              <w:rPr>
                <w:rFonts w:ascii="Arial" w:hAnsi="Arial" w:cs="Arial"/>
                <w:b/>
                <w:color w:val="000000"/>
                <w:spacing w:val="6"/>
                <w:sz w:val="20"/>
                <w:szCs w:val="20"/>
                <w:lang w:val="en-GB" w:eastAsia="en-GB"/>
              </w:rPr>
            </w:pPr>
            <w:r w:rsidRPr="00133F4D">
              <w:rPr>
                <w:rFonts w:ascii="Arial" w:eastAsia="Calibri" w:hAnsi="Arial" w:cs="Arial"/>
                <w:b/>
                <w:color w:val="000000"/>
                <w:spacing w:val="6"/>
                <w:sz w:val="20"/>
                <w:szCs w:val="20"/>
                <w:lang w:val="en-GB" w:eastAsia="en-GB"/>
              </w:rPr>
              <w:t>98.2%</w:t>
            </w:r>
          </w:p>
        </w:tc>
      </w:tr>
    </w:tbl>
    <w:p w:rsidR="0069222E" w:rsidRPr="00133F4D" w:rsidRDefault="0081044A" w:rsidP="00133F4D">
      <w:pPr>
        <w:spacing w:after="0" w:line="240" w:lineRule="auto"/>
        <w:jc w:val="left"/>
        <w:rPr>
          <w:rFonts w:ascii="Arial" w:hAnsi="Arial" w:cs="Arial"/>
          <w:i/>
          <w:spacing w:val="6"/>
          <w:sz w:val="20"/>
          <w:szCs w:val="20"/>
        </w:rPr>
      </w:pPr>
      <w:r w:rsidRPr="00133F4D">
        <w:rPr>
          <w:rFonts w:ascii="Arial" w:hAnsi="Arial" w:cs="Arial"/>
          <w:i/>
          <w:spacing w:val="6"/>
          <w:sz w:val="20"/>
          <w:szCs w:val="20"/>
        </w:rPr>
        <w:t>Source: DSAC Annual Report 2021/22</w:t>
      </w:r>
      <w:r w:rsidR="005C40C6" w:rsidRPr="00133F4D">
        <w:rPr>
          <w:rFonts w:ascii="Arial" w:hAnsi="Arial" w:cs="Arial"/>
          <w:i/>
          <w:spacing w:val="6"/>
          <w:sz w:val="20"/>
          <w:szCs w:val="20"/>
        </w:rPr>
        <w:t>,</w:t>
      </w:r>
      <w:r w:rsidR="005C40C6" w:rsidRPr="00133F4D">
        <w:rPr>
          <w:rFonts w:ascii="Arial" w:hAnsi="Arial" w:cs="Arial"/>
          <w:spacing w:val="6"/>
          <w:sz w:val="20"/>
          <w:szCs w:val="20"/>
        </w:rPr>
        <w:t xml:space="preserve"> </w:t>
      </w:r>
      <w:r w:rsidR="005C40C6" w:rsidRPr="00133F4D">
        <w:rPr>
          <w:rFonts w:ascii="Arial" w:hAnsi="Arial" w:cs="Arial"/>
          <w:i/>
          <w:spacing w:val="6"/>
          <w:sz w:val="20"/>
          <w:szCs w:val="20"/>
        </w:rPr>
        <w:t>p.156.</w:t>
      </w:r>
    </w:p>
    <w:p w:rsidR="009C5E9F" w:rsidRPr="00133F4D" w:rsidRDefault="009C5E9F"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Collectively, Pro</w:t>
      </w:r>
      <w:r w:rsidR="009C5E9F" w:rsidRPr="00133F4D">
        <w:rPr>
          <w:rFonts w:ascii="Arial" w:hAnsi="Arial" w:cs="Arial"/>
          <w:spacing w:val="6"/>
          <w:sz w:val="20"/>
          <w:szCs w:val="20"/>
        </w:rPr>
        <w:t>grammes 2 to 4 received 91.4</w:t>
      </w:r>
      <w:r w:rsidRPr="00133F4D">
        <w:rPr>
          <w:rFonts w:ascii="Arial" w:hAnsi="Arial" w:cs="Arial"/>
          <w:spacing w:val="6"/>
          <w:sz w:val="20"/>
          <w:szCs w:val="20"/>
        </w:rPr>
        <w:t>% of the Department’s total budget allocation.</w:t>
      </w:r>
    </w:p>
    <w:p w:rsidR="00661266" w:rsidRPr="00133F4D" w:rsidRDefault="00661266"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In terms of the economic classification, the Department’s expenditure comprised of main</w:t>
      </w:r>
      <w:r w:rsidR="009C5E9F" w:rsidRPr="00133F4D">
        <w:rPr>
          <w:rFonts w:ascii="Arial" w:hAnsi="Arial" w:cs="Arial"/>
          <w:spacing w:val="6"/>
          <w:sz w:val="20"/>
          <w:szCs w:val="20"/>
        </w:rPr>
        <w:t>ly transfers and subsidies (82.9</w:t>
      </w:r>
      <w:r w:rsidRPr="00133F4D">
        <w:rPr>
          <w:rFonts w:ascii="Arial" w:hAnsi="Arial" w:cs="Arial"/>
          <w:spacing w:val="6"/>
          <w:sz w:val="20"/>
          <w:szCs w:val="20"/>
        </w:rPr>
        <w:t>%), current payme</w:t>
      </w:r>
      <w:r w:rsidR="009C5E9F" w:rsidRPr="00133F4D">
        <w:rPr>
          <w:rFonts w:ascii="Arial" w:hAnsi="Arial" w:cs="Arial"/>
          <w:spacing w:val="6"/>
          <w:sz w:val="20"/>
          <w:szCs w:val="20"/>
        </w:rPr>
        <w:t>nts (operational expenses) (15.5</w:t>
      </w:r>
      <w:r w:rsidRPr="00133F4D">
        <w:rPr>
          <w:rFonts w:ascii="Arial" w:hAnsi="Arial" w:cs="Arial"/>
          <w:spacing w:val="6"/>
          <w:sz w:val="20"/>
          <w:szCs w:val="20"/>
        </w:rPr>
        <w:t>%), and payments of c</w:t>
      </w:r>
      <w:r w:rsidR="009C5E9F" w:rsidRPr="00133F4D">
        <w:rPr>
          <w:rFonts w:ascii="Arial" w:hAnsi="Arial" w:cs="Arial"/>
          <w:spacing w:val="6"/>
          <w:sz w:val="20"/>
          <w:szCs w:val="20"/>
        </w:rPr>
        <w:t>apital and financial assets (1.6</w:t>
      </w:r>
      <w:r w:rsidRPr="00133F4D">
        <w:rPr>
          <w:rFonts w:ascii="Arial" w:hAnsi="Arial" w:cs="Arial"/>
          <w:spacing w:val="6"/>
          <w:sz w:val="20"/>
          <w:szCs w:val="20"/>
        </w:rPr>
        <w:t>%).</w:t>
      </w:r>
    </w:p>
    <w:p w:rsidR="00640AF1" w:rsidRPr="00133F4D" w:rsidRDefault="00640AF1" w:rsidP="00133F4D">
      <w:pPr>
        <w:spacing w:after="0" w:line="240" w:lineRule="auto"/>
        <w:jc w:val="left"/>
        <w:rPr>
          <w:rFonts w:ascii="Arial" w:hAnsi="Arial" w:cs="Arial"/>
          <w:spacing w:val="6"/>
          <w:sz w:val="20"/>
          <w:szCs w:val="20"/>
        </w:rPr>
      </w:pPr>
    </w:p>
    <w:p w:rsidR="005E628B" w:rsidRPr="00133F4D" w:rsidRDefault="005E628B"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w:t>
      </w:r>
      <w:r w:rsidR="003E480E" w:rsidRPr="00133F4D">
        <w:rPr>
          <w:rFonts w:ascii="Arial" w:hAnsi="Arial" w:cs="Arial"/>
          <w:spacing w:val="6"/>
          <w:sz w:val="20"/>
          <w:szCs w:val="20"/>
        </w:rPr>
        <w:t>able 4</w:t>
      </w:r>
      <w:r w:rsidRPr="00133F4D">
        <w:rPr>
          <w:rFonts w:ascii="Arial" w:hAnsi="Arial" w:cs="Arial"/>
          <w:spacing w:val="6"/>
          <w:sz w:val="20"/>
          <w:szCs w:val="20"/>
        </w:rPr>
        <w:t xml:space="preserve"> above reflects that overall under-expenditure amounts to R103.6 million or 1.8% of the final appropriation. Under-expenditure in 2020/21 amounted to R135.2 million or 2.5% of the final appropriation. Therefore, this indicates a year-on-year improvement in unspent funds.</w:t>
      </w:r>
    </w:p>
    <w:p w:rsidR="005E628B" w:rsidRPr="00133F4D" w:rsidRDefault="005E628B" w:rsidP="00133F4D">
      <w:pPr>
        <w:spacing w:after="0" w:line="240" w:lineRule="auto"/>
        <w:jc w:val="left"/>
        <w:rPr>
          <w:rFonts w:ascii="Arial" w:hAnsi="Arial" w:cs="Arial"/>
          <w:spacing w:val="6"/>
          <w:sz w:val="20"/>
          <w:szCs w:val="20"/>
        </w:rPr>
      </w:pPr>
    </w:p>
    <w:p w:rsidR="00640AF1" w:rsidRPr="00133F4D" w:rsidRDefault="0054323B"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w:t>
      </w:r>
      <w:r w:rsidR="002468FF" w:rsidRPr="00133F4D">
        <w:rPr>
          <w:rFonts w:ascii="Arial" w:hAnsi="Arial" w:cs="Arial"/>
          <w:spacing w:val="6"/>
          <w:sz w:val="20"/>
          <w:szCs w:val="20"/>
        </w:rPr>
        <w:t xml:space="preserve">Table </w:t>
      </w:r>
      <w:r w:rsidR="003E480E" w:rsidRPr="00133F4D">
        <w:rPr>
          <w:rFonts w:ascii="Arial" w:hAnsi="Arial" w:cs="Arial"/>
          <w:spacing w:val="6"/>
          <w:sz w:val="20"/>
          <w:szCs w:val="20"/>
        </w:rPr>
        <w:t>5</w:t>
      </w:r>
      <w:r w:rsidRPr="00133F4D">
        <w:rPr>
          <w:rFonts w:ascii="Arial" w:hAnsi="Arial" w:cs="Arial"/>
          <w:spacing w:val="6"/>
          <w:sz w:val="20"/>
          <w:szCs w:val="20"/>
        </w:rPr>
        <w:t xml:space="preserve"> below provides an outline of the unspent funds per economic class</w:t>
      </w:r>
      <w:r w:rsidR="00E0167A" w:rsidRPr="00133F4D">
        <w:rPr>
          <w:rFonts w:ascii="Arial" w:hAnsi="Arial" w:cs="Arial"/>
          <w:spacing w:val="6"/>
          <w:sz w:val="20"/>
          <w:szCs w:val="20"/>
        </w:rPr>
        <w:t>i</w:t>
      </w:r>
      <w:r w:rsidRPr="00133F4D">
        <w:rPr>
          <w:rFonts w:ascii="Arial" w:hAnsi="Arial" w:cs="Arial"/>
          <w:spacing w:val="6"/>
          <w:sz w:val="20"/>
          <w:szCs w:val="20"/>
        </w:rPr>
        <w:t>fication.</w:t>
      </w:r>
    </w:p>
    <w:p w:rsidR="000718DB" w:rsidRPr="00133F4D" w:rsidRDefault="000718DB" w:rsidP="00133F4D">
      <w:pPr>
        <w:spacing w:after="0" w:line="240" w:lineRule="auto"/>
        <w:jc w:val="left"/>
        <w:rPr>
          <w:rFonts w:ascii="Arial" w:hAnsi="Arial" w:cs="Arial"/>
          <w:spacing w:val="6"/>
          <w:sz w:val="20"/>
          <w:szCs w:val="20"/>
        </w:rPr>
      </w:pPr>
    </w:p>
    <w:p w:rsidR="0054323B" w:rsidRPr="00133F4D" w:rsidRDefault="0054323B" w:rsidP="00133F4D">
      <w:pPr>
        <w:keepNext/>
        <w:spacing w:after="0" w:line="240" w:lineRule="auto"/>
        <w:jc w:val="left"/>
        <w:rPr>
          <w:rFonts w:ascii="Arial" w:eastAsia="Times New Roman" w:hAnsi="Arial" w:cs="Arial"/>
          <w:b/>
          <w:iCs/>
          <w:spacing w:val="6"/>
          <w:sz w:val="20"/>
          <w:szCs w:val="20"/>
          <w:lang w:val="en-US"/>
        </w:rPr>
      </w:pPr>
      <w:r w:rsidRPr="00133F4D">
        <w:rPr>
          <w:rFonts w:ascii="Arial" w:eastAsia="Times New Roman" w:hAnsi="Arial" w:cs="Arial"/>
          <w:b/>
          <w:iCs/>
          <w:spacing w:val="6"/>
          <w:sz w:val="20"/>
          <w:szCs w:val="20"/>
          <w:lang w:val="en-US"/>
        </w:rPr>
        <w:lastRenderedPageBreak/>
        <w:t xml:space="preserve">Table </w:t>
      </w:r>
      <w:r w:rsidR="00E922AD" w:rsidRPr="00133F4D">
        <w:rPr>
          <w:rFonts w:ascii="Arial" w:eastAsia="Times New Roman" w:hAnsi="Arial" w:cs="Arial"/>
          <w:b/>
          <w:iCs/>
          <w:spacing w:val="6"/>
          <w:sz w:val="20"/>
          <w:szCs w:val="20"/>
          <w:lang w:val="en-US"/>
        </w:rPr>
        <w:fldChar w:fldCharType="begin"/>
      </w:r>
      <w:r w:rsidRPr="00133F4D">
        <w:rPr>
          <w:rFonts w:ascii="Arial" w:eastAsia="Times New Roman" w:hAnsi="Arial" w:cs="Arial"/>
          <w:b/>
          <w:iCs/>
          <w:spacing w:val="6"/>
          <w:sz w:val="20"/>
          <w:szCs w:val="20"/>
          <w:lang w:val="en-US"/>
        </w:rPr>
        <w:instrText xml:space="preserve"> SEQ Table \* ARABIC </w:instrText>
      </w:r>
      <w:r w:rsidR="00E922AD" w:rsidRPr="00133F4D">
        <w:rPr>
          <w:rFonts w:ascii="Arial" w:eastAsia="Times New Roman" w:hAnsi="Arial" w:cs="Arial"/>
          <w:b/>
          <w:iCs/>
          <w:spacing w:val="6"/>
          <w:sz w:val="20"/>
          <w:szCs w:val="20"/>
          <w:lang w:val="en-US"/>
        </w:rPr>
        <w:fldChar w:fldCharType="separate"/>
      </w:r>
      <w:r w:rsidR="00D81058" w:rsidRPr="00133F4D">
        <w:rPr>
          <w:rFonts w:ascii="Arial" w:eastAsia="Times New Roman" w:hAnsi="Arial" w:cs="Arial"/>
          <w:b/>
          <w:iCs/>
          <w:noProof/>
          <w:spacing w:val="6"/>
          <w:sz w:val="20"/>
          <w:szCs w:val="20"/>
          <w:lang w:val="en-US"/>
        </w:rPr>
        <w:t>5</w:t>
      </w:r>
      <w:r w:rsidR="00E922AD" w:rsidRPr="00133F4D">
        <w:rPr>
          <w:rFonts w:ascii="Arial" w:eastAsia="Times New Roman" w:hAnsi="Arial" w:cs="Arial"/>
          <w:b/>
          <w:iCs/>
          <w:spacing w:val="6"/>
          <w:sz w:val="20"/>
          <w:szCs w:val="20"/>
          <w:lang w:val="en-US"/>
        </w:rPr>
        <w:fldChar w:fldCharType="end"/>
      </w:r>
      <w:r w:rsidRPr="00133F4D">
        <w:rPr>
          <w:rFonts w:ascii="Arial" w:eastAsia="Times New Roman" w:hAnsi="Arial" w:cs="Arial"/>
          <w:b/>
          <w:iCs/>
          <w:spacing w:val="6"/>
          <w:sz w:val="20"/>
          <w:szCs w:val="20"/>
          <w:lang w:val="en-US"/>
        </w:rPr>
        <w:t>: Outline of unspent funds per economic classification</w:t>
      </w:r>
    </w:p>
    <w:tbl>
      <w:tblPr>
        <w:tblStyle w:val="TableGrid2"/>
        <w:tblW w:w="5000" w:type="pct"/>
        <w:tblLook w:val="04A0"/>
      </w:tblPr>
      <w:tblGrid>
        <w:gridCol w:w="7841"/>
        <w:gridCol w:w="1401"/>
      </w:tblGrid>
      <w:tr w:rsidR="0054323B" w:rsidRPr="00133F4D" w:rsidTr="00536262">
        <w:trPr>
          <w:tblHeader/>
        </w:trPr>
        <w:tc>
          <w:tcPr>
            <w:tcW w:w="4242" w:type="pct"/>
            <w:shd w:val="clear" w:color="auto" w:fill="C5E0B3" w:themeFill="accent6" w:themeFillTint="66"/>
          </w:tcPr>
          <w:p w:rsidR="0054323B" w:rsidRPr="00133F4D" w:rsidRDefault="0054323B" w:rsidP="00133F4D">
            <w:pPr>
              <w:spacing w:line="240" w:lineRule="auto"/>
              <w:jc w:val="left"/>
              <w:rPr>
                <w:rFonts w:ascii="Arial" w:eastAsia="Times New Roman" w:hAnsi="Arial" w:cs="Arial"/>
                <w:b/>
                <w:spacing w:val="6"/>
                <w:sz w:val="20"/>
                <w:szCs w:val="20"/>
                <w:lang w:val="en-GB" w:eastAsia="en-GB"/>
              </w:rPr>
            </w:pPr>
            <w:r w:rsidRPr="00133F4D">
              <w:rPr>
                <w:rFonts w:ascii="Arial" w:eastAsia="Times New Roman" w:hAnsi="Arial" w:cs="Arial"/>
                <w:b/>
                <w:spacing w:val="6"/>
                <w:sz w:val="20"/>
                <w:szCs w:val="20"/>
                <w:lang w:val="en-GB" w:eastAsia="en-GB"/>
              </w:rPr>
              <w:t>Economic classification</w:t>
            </w:r>
          </w:p>
        </w:tc>
        <w:tc>
          <w:tcPr>
            <w:tcW w:w="758" w:type="pct"/>
            <w:shd w:val="clear" w:color="auto" w:fill="C5E0B3" w:themeFill="accent6" w:themeFillTint="66"/>
          </w:tcPr>
          <w:p w:rsidR="0054323B" w:rsidRPr="00133F4D" w:rsidRDefault="0054323B" w:rsidP="00133F4D">
            <w:pPr>
              <w:spacing w:line="240" w:lineRule="auto"/>
              <w:jc w:val="left"/>
              <w:rPr>
                <w:rFonts w:ascii="Arial" w:eastAsia="Times New Roman" w:hAnsi="Arial" w:cs="Arial"/>
                <w:b/>
                <w:spacing w:val="6"/>
                <w:sz w:val="20"/>
                <w:szCs w:val="20"/>
                <w:lang w:val="en-GB" w:eastAsia="en-GB"/>
              </w:rPr>
            </w:pPr>
            <w:r w:rsidRPr="00133F4D">
              <w:rPr>
                <w:rFonts w:ascii="Arial" w:eastAsia="Times New Roman" w:hAnsi="Arial" w:cs="Arial"/>
                <w:b/>
                <w:spacing w:val="6"/>
                <w:sz w:val="20"/>
                <w:szCs w:val="20"/>
                <w:lang w:val="en-GB" w:eastAsia="en-GB"/>
              </w:rPr>
              <w:t>R’000</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t>Compensation of employees (CoE)</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Department recorded a variance of R43.1 million which was caused by vacant positions. Following the SRSA – DAC merger, the Department had to be cautious in filling positions to avoid overloading the organisational structure prior to a review. The review of the structure is under way and once completed, the prioritised posts will be filled within available financial resources.</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43 052</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t>Goods and services</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variance of R4.7 million was mainly attributed to:</w:t>
            </w:r>
          </w:p>
          <w:p w:rsidR="0054323B" w:rsidRPr="00133F4D" w:rsidRDefault="0054323B" w:rsidP="00133F4D">
            <w:pPr>
              <w:numPr>
                <w:ilvl w:val="0"/>
                <w:numId w:val="21"/>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Department of Public Works and Infrastructure (DPWI) invoices that could not go through payment processing due to Basic Accounting System (BAS) challenges;</w:t>
            </w:r>
          </w:p>
          <w:p w:rsidR="0054323B" w:rsidRPr="00133F4D" w:rsidRDefault="0054323B" w:rsidP="00133F4D">
            <w:pPr>
              <w:numPr>
                <w:ilvl w:val="0"/>
                <w:numId w:val="21"/>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cancellation of departmental events as a result of the lockdown, which had an impact on travel costs;</w:t>
            </w:r>
          </w:p>
          <w:p w:rsidR="0054323B" w:rsidRPr="00133F4D" w:rsidRDefault="0054323B" w:rsidP="00133F4D">
            <w:pPr>
              <w:numPr>
                <w:ilvl w:val="0"/>
                <w:numId w:val="21"/>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advisory note from National Treasury to suspend procurement activities with a value above R30 000 with effect from 16 February 2022 for a period of 12 months also had a negative impact on implementation of departmental events and projects, therefore, affecting expenditure. The advisory note was based on the Constitutional Court judgement in relation to the Preferential Procurement Regulations, 2017.</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4 737</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t>Departmental agencies and accounts (Current/Capital)</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variance of R7.6 million was mainly attributed to:</w:t>
            </w:r>
          </w:p>
          <w:p w:rsidR="0054323B" w:rsidRPr="00133F4D" w:rsidRDefault="0054323B" w:rsidP="00133F4D">
            <w:pPr>
              <w:numPr>
                <w:ilvl w:val="0"/>
                <w:numId w:val="20"/>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PESP funds that were declined by three entities due to late approval of rollover by National Treasury; and</w:t>
            </w:r>
          </w:p>
          <w:p w:rsidR="0054323B" w:rsidRPr="00133F4D" w:rsidRDefault="0054323B" w:rsidP="00133F4D">
            <w:pPr>
              <w:numPr>
                <w:ilvl w:val="0"/>
                <w:numId w:val="20"/>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Iziko Museums and South African Library for the Blind invoices not received from the DPWI by 31 March 2022.</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7 567</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t>Higher education institutions</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variance of R1.5 million was due to failure by university (Stellenbosch) to submit compliance documents for the Human Language Technology (HLT) project.</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1 534</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t>Foreign government organisations</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variance of R193 000 was mainly attributed to fluctuation in the rand to pound and dollar exchange rate at the time of processing transfer payments to the Commonwealth Foundation and United Nations Educational, Scientific and Cultural Organization (UNESCO) for annual subscription fees.</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193</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t>Public corporations (Current/Capital)</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variance of R10.3 million was mainly attributed to:</w:t>
            </w:r>
          </w:p>
          <w:p w:rsidR="0054323B" w:rsidRPr="00133F4D" w:rsidRDefault="0054323B" w:rsidP="00133F4D">
            <w:pPr>
              <w:numPr>
                <w:ilvl w:val="0"/>
                <w:numId w:val="20"/>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difficulties in obtaining compliance documents from Mzansi Golden Economy (MGE) beneficiaries to complete Memoranda of Agreement (MoAs) as the arts and culture sector is gradually recovering from the detrimental effects of COVID-19 regulations;</w:t>
            </w:r>
          </w:p>
          <w:p w:rsidR="0054323B" w:rsidRPr="00133F4D" w:rsidRDefault="0054323B" w:rsidP="00133F4D">
            <w:pPr>
              <w:numPr>
                <w:ilvl w:val="0"/>
                <w:numId w:val="20"/>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capacity from support units, especially with regard to contracting, not being sufficiently matched to the high number of applications that were approved for the 2021/22 MGE open call; and</w:t>
            </w:r>
          </w:p>
          <w:p w:rsidR="0054323B" w:rsidRPr="00133F4D" w:rsidRDefault="0054323B" w:rsidP="00133F4D">
            <w:pPr>
              <w:numPr>
                <w:ilvl w:val="0"/>
                <w:numId w:val="20"/>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item creation process taking longer than anticipated, which resulted in a trickling effect on all other subsequent processes that needed to be completed.</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10 263</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t>Non-profit institutions (NPIs) (Current/Capital)</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variance of R8.9 million was mainly attributed to:</w:t>
            </w:r>
          </w:p>
          <w:p w:rsidR="0054323B" w:rsidRPr="00133F4D" w:rsidRDefault="0054323B" w:rsidP="00133F4D">
            <w:pPr>
              <w:numPr>
                <w:ilvl w:val="0"/>
                <w:numId w:val="22"/>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last tranche payment to the MRM which could not be made due to non-submission of audited financial report;</w:t>
            </w:r>
          </w:p>
          <w:p w:rsidR="0054323B" w:rsidRPr="00133F4D" w:rsidRDefault="0054323B" w:rsidP="00133F4D">
            <w:pPr>
              <w:numPr>
                <w:ilvl w:val="0"/>
                <w:numId w:val="22"/>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community arts development programmes budgeted for under NPIs, which were later discovered to be classified under departmental agencies and therefore paid as such;</w:t>
            </w:r>
          </w:p>
          <w:p w:rsidR="0054323B" w:rsidRPr="00133F4D" w:rsidRDefault="0054323B" w:rsidP="00133F4D">
            <w:pPr>
              <w:numPr>
                <w:ilvl w:val="0"/>
                <w:numId w:val="22"/>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Caiphus K Semenya Foundation project completed in line with the signed MoA; and</w:t>
            </w:r>
          </w:p>
          <w:p w:rsidR="0054323B" w:rsidRPr="00133F4D" w:rsidRDefault="0054323B" w:rsidP="00133F4D">
            <w:pPr>
              <w:numPr>
                <w:ilvl w:val="0"/>
                <w:numId w:val="22"/>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various heritage projects which were not completed on time.</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8 932</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t>Households</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lastRenderedPageBreak/>
              <w:t>The variance of R3.7 million was attributed to:</w:t>
            </w:r>
          </w:p>
          <w:p w:rsidR="0054323B" w:rsidRPr="00133F4D" w:rsidRDefault="0054323B" w:rsidP="00133F4D">
            <w:pPr>
              <w:numPr>
                <w:ilvl w:val="0"/>
                <w:numId w:val="23"/>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difficulties in obtaining compliance documents from MGE beneficiaries to complete contracts as the arts and culture sector is gradually recovering from the detrimental effects of COVID-19 regulations;</w:t>
            </w:r>
          </w:p>
          <w:p w:rsidR="0054323B" w:rsidRPr="00133F4D" w:rsidRDefault="0054323B" w:rsidP="00133F4D">
            <w:pPr>
              <w:numPr>
                <w:ilvl w:val="0"/>
                <w:numId w:val="23"/>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capacity from support units, especially with regard to contracting, not being sufficiently matched to the high number of applications that were approved for the 2021/22 MGE open call; and</w:t>
            </w:r>
          </w:p>
          <w:p w:rsidR="0054323B" w:rsidRPr="00133F4D" w:rsidRDefault="0054323B" w:rsidP="00133F4D">
            <w:pPr>
              <w:numPr>
                <w:ilvl w:val="0"/>
                <w:numId w:val="23"/>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item creation process taking longer than anticipated, which resulted in a trickling effect on all other subsequent processes that needed to be completed.</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lastRenderedPageBreak/>
              <w:t>3 653</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lastRenderedPageBreak/>
              <w:t>Machinery and equipment</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variance of R16.4 million was due to delays in Supply Chain Management (SCM) processes for the procurement of Information Technology (IT) and security infrastructure for the relocation project.</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16 416</w:t>
            </w:r>
          </w:p>
        </w:tc>
      </w:tr>
      <w:tr w:rsidR="0054323B" w:rsidRPr="00133F4D" w:rsidTr="00536262">
        <w:tc>
          <w:tcPr>
            <w:tcW w:w="4242" w:type="pct"/>
          </w:tcPr>
          <w:p w:rsidR="0054323B" w:rsidRPr="00133F4D" w:rsidRDefault="0054323B" w:rsidP="00133F4D">
            <w:pPr>
              <w:spacing w:line="240" w:lineRule="auto"/>
              <w:jc w:val="left"/>
              <w:rPr>
                <w:rFonts w:ascii="Arial" w:eastAsia="Times New Roman" w:hAnsi="Arial" w:cs="Arial"/>
                <w:i/>
                <w:spacing w:val="6"/>
                <w:sz w:val="20"/>
                <w:szCs w:val="20"/>
                <w:lang w:val="en-GB" w:eastAsia="en-GB"/>
              </w:rPr>
            </w:pPr>
            <w:r w:rsidRPr="00133F4D">
              <w:rPr>
                <w:rFonts w:ascii="Arial" w:eastAsia="Times New Roman" w:hAnsi="Arial" w:cs="Arial"/>
                <w:i/>
                <w:spacing w:val="6"/>
                <w:sz w:val="20"/>
                <w:szCs w:val="20"/>
                <w:lang w:val="en-GB" w:eastAsia="en-GB"/>
              </w:rPr>
              <w:t>Heritage assets</w:t>
            </w:r>
          </w:p>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The variance of R7.3 million was mainly attributed to:</w:t>
            </w:r>
          </w:p>
          <w:p w:rsidR="0054323B" w:rsidRPr="00133F4D" w:rsidRDefault="0054323B" w:rsidP="00133F4D">
            <w:pPr>
              <w:numPr>
                <w:ilvl w:val="0"/>
                <w:numId w:val="24"/>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outstanding invoices for the National Archives Heating, Ventilation and Air conditioning (HVAC) project which were not processed due to DPWI not submitting the complete supporting documents; and</w:t>
            </w:r>
          </w:p>
          <w:p w:rsidR="0054323B" w:rsidRPr="00133F4D" w:rsidRDefault="0054323B" w:rsidP="00133F4D">
            <w:pPr>
              <w:numPr>
                <w:ilvl w:val="0"/>
                <w:numId w:val="24"/>
              </w:numPr>
              <w:spacing w:line="240" w:lineRule="auto"/>
              <w:contextualSpacing/>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request to deviate from normal procurement process in procuring a sculpture from Prof. Pitika Ntuli being declined by National Treasury.</w:t>
            </w:r>
          </w:p>
        </w:tc>
        <w:tc>
          <w:tcPr>
            <w:tcW w:w="758" w:type="pct"/>
          </w:tcPr>
          <w:p w:rsidR="0054323B" w:rsidRPr="00133F4D" w:rsidRDefault="0054323B" w:rsidP="00133F4D">
            <w:pPr>
              <w:spacing w:line="240" w:lineRule="auto"/>
              <w:jc w:val="left"/>
              <w:rPr>
                <w:rFonts w:ascii="Arial" w:eastAsia="Times New Roman" w:hAnsi="Arial" w:cs="Arial"/>
                <w:spacing w:val="6"/>
                <w:sz w:val="20"/>
                <w:szCs w:val="20"/>
                <w:lang w:val="en-GB" w:eastAsia="en-GB"/>
              </w:rPr>
            </w:pPr>
            <w:r w:rsidRPr="00133F4D">
              <w:rPr>
                <w:rFonts w:ascii="Arial" w:eastAsia="Times New Roman" w:hAnsi="Arial" w:cs="Arial"/>
                <w:spacing w:val="6"/>
                <w:sz w:val="20"/>
                <w:szCs w:val="20"/>
                <w:lang w:val="en-GB" w:eastAsia="en-GB"/>
              </w:rPr>
              <w:t>7 265</w:t>
            </w:r>
          </w:p>
        </w:tc>
      </w:tr>
      <w:tr w:rsidR="0054323B" w:rsidRPr="00133F4D" w:rsidTr="00536262">
        <w:tc>
          <w:tcPr>
            <w:tcW w:w="4242" w:type="pct"/>
            <w:shd w:val="clear" w:color="auto" w:fill="C5E0B3" w:themeFill="accent6" w:themeFillTint="66"/>
          </w:tcPr>
          <w:p w:rsidR="0054323B" w:rsidRPr="00133F4D" w:rsidRDefault="0054323B" w:rsidP="00133F4D">
            <w:pPr>
              <w:spacing w:line="240" w:lineRule="auto"/>
              <w:jc w:val="left"/>
              <w:rPr>
                <w:rFonts w:ascii="Arial" w:eastAsia="Times New Roman" w:hAnsi="Arial" w:cs="Arial"/>
                <w:b/>
                <w:spacing w:val="6"/>
                <w:sz w:val="20"/>
                <w:szCs w:val="20"/>
                <w:lang w:val="en-GB" w:eastAsia="en-GB"/>
              </w:rPr>
            </w:pPr>
            <w:r w:rsidRPr="00133F4D">
              <w:rPr>
                <w:rFonts w:ascii="Arial" w:eastAsia="Times New Roman" w:hAnsi="Arial" w:cs="Arial"/>
                <w:b/>
                <w:spacing w:val="6"/>
                <w:sz w:val="20"/>
                <w:szCs w:val="20"/>
                <w:lang w:val="en-GB" w:eastAsia="en-GB"/>
              </w:rPr>
              <w:t>Total</w:t>
            </w:r>
          </w:p>
        </w:tc>
        <w:tc>
          <w:tcPr>
            <w:tcW w:w="758" w:type="pct"/>
            <w:shd w:val="clear" w:color="auto" w:fill="C5E0B3" w:themeFill="accent6" w:themeFillTint="66"/>
          </w:tcPr>
          <w:p w:rsidR="0054323B" w:rsidRPr="00133F4D" w:rsidRDefault="0054323B" w:rsidP="00133F4D">
            <w:pPr>
              <w:spacing w:line="240" w:lineRule="auto"/>
              <w:jc w:val="left"/>
              <w:rPr>
                <w:rFonts w:ascii="Arial" w:eastAsia="Times New Roman" w:hAnsi="Arial" w:cs="Arial"/>
                <w:b/>
                <w:spacing w:val="6"/>
                <w:sz w:val="20"/>
                <w:szCs w:val="20"/>
                <w:lang w:val="en-GB" w:eastAsia="en-GB"/>
              </w:rPr>
            </w:pPr>
            <w:r w:rsidRPr="00133F4D">
              <w:rPr>
                <w:rFonts w:ascii="Arial" w:eastAsia="Times New Roman" w:hAnsi="Arial" w:cs="Arial"/>
                <w:b/>
                <w:spacing w:val="6"/>
                <w:sz w:val="20"/>
                <w:szCs w:val="20"/>
                <w:lang w:val="en-GB" w:eastAsia="en-GB"/>
              </w:rPr>
              <w:t>103 613</w:t>
            </w:r>
          </w:p>
        </w:tc>
      </w:tr>
    </w:tbl>
    <w:p w:rsidR="00E328A7" w:rsidRPr="00133F4D" w:rsidRDefault="00E328A7" w:rsidP="00133F4D">
      <w:pPr>
        <w:spacing w:after="0" w:line="240" w:lineRule="auto"/>
        <w:jc w:val="left"/>
        <w:rPr>
          <w:rFonts w:ascii="Arial" w:hAnsi="Arial" w:cs="Arial"/>
          <w:i/>
          <w:spacing w:val="6"/>
          <w:sz w:val="20"/>
          <w:szCs w:val="20"/>
        </w:rPr>
      </w:pPr>
      <w:r w:rsidRPr="00133F4D">
        <w:rPr>
          <w:rFonts w:ascii="Arial" w:hAnsi="Arial" w:cs="Arial"/>
          <w:i/>
          <w:spacing w:val="6"/>
          <w:sz w:val="20"/>
          <w:szCs w:val="20"/>
        </w:rPr>
        <w:t>Source: DSAC Annual Report 2021/22, pp.13-14; pp.173-174.</w:t>
      </w:r>
    </w:p>
    <w:p w:rsidR="0054323B" w:rsidRPr="00133F4D" w:rsidRDefault="0054323B" w:rsidP="00133F4D">
      <w:pPr>
        <w:spacing w:after="0" w:line="240" w:lineRule="auto"/>
        <w:jc w:val="left"/>
        <w:rPr>
          <w:rFonts w:ascii="Arial" w:hAnsi="Arial" w:cs="Arial"/>
          <w:spacing w:val="6"/>
          <w:sz w:val="20"/>
          <w:szCs w:val="20"/>
        </w:rPr>
      </w:pPr>
    </w:p>
    <w:p w:rsidR="00064528" w:rsidRPr="00133F4D" w:rsidRDefault="00064528"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For the period under review all programmes, with the exception of Programme 1, which spent 92.4%</w:t>
      </w:r>
      <w:r w:rsidR="00E63466" w:rsidRPr="00133F4D">
        <w:rPr>
          <w:rFonts w:ascii="Arial" w:hAnsi="Arial" w:cs="Arial"/>
          <w:spacing w:val="6"/>
          <w:sz w:val="20"/>
          <w:szCs w:val="20"/>
        </w:rPr>
        <w:t>, spent above 95% of the total appropriation</w:t>
      </w:r>
      <w:r w:rsidRPr="00133F4D">
        <w:rPr>
          <w:rFonts w:ascii="Arial" w:hAnsi="Arial" w:cs="Arial"/>
          <w:spacing w:val="6"/>
          <w:sz w:val="20"/>
          <w:szCs w:val="20"/>
        </w:rPr>
        <w:t>. The Department noted the reason for this material variance is due to filling of vacant posts that were at different stages of the selection process, and delays in SCM processes for the procurement of IT and security infrastructure for the relocation project.</w:t>
      </w:r>
    </w:p>
    <w:p w:rsidR="00DB65E9" w:rsidRPr="00133F4D" w:rsidRDefault="00DB65E9" w:rsidP="00133F4D">
      <w:pPr>
        <w:spacing w:after="0" w:line="240" w:lineRule="auto"/>
        <w:jc w:val="left"/>
        <w:rPr>
          <w:rFonts w:ascii="Arial" w:hAnsi="Arial" w:cs="Arial"/>
          <w:spacing w:val="6"/>
          <w:sz w:val="20"/>
          <w:szCs w:val="20"/>
        </w:rPr>
      </w:pPr>
    </w:p>
    <w:p w:rsidR="00DB65E9" w:rsidRPr="00133F4D" w:rsidRDefault="00DB65E9"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conditional grants, viz. the Mass Participation and Sport Development Grant and the Community Library Conditional Grants, of R591 million and R1.5 billion, respectively, have both been fully paid to the provinces.</w:t>
      </w:r>
    </w:p>
    <w:p w:rsidR="0069222E" w:rsidRPr="00133F4D" w:rsidRDefault="0069222E" w:rsidP="00133F4D">
      <w:pPr>
        <w:spacing w:after="0" w:line="240" w:lineRule="auto"/>
        <w:jc w:val="left"/>
        <w:rPr>
          <w:rFonts w:ascii="Arial" w:hAnsi="Arial" w:cs="Arial"/>
          <w:i/>
          <w:spacing w:val="6"/>
          <w:sz w:val="20"/>
          <w:szCs w:val="20"/>
        </w:rPr>
      </w:pPr>
    </w:p>
    <w:p w:rsidR="0069222E" w:rsidRPr="00133F4D" w:rsidRDefault="0069222E" w:rsidP="00133F4D">
      <w:pPr>
        <w:pStyle w:val="Heading2"/>
        <w:numPr>
          <w:ilvl w:val="2"/>
          <w:numId w:val="11"/>
        </w:numPr>
        <w:spacing w:line="240" w:lineRule="auto"/>
        <w:jc w:val="left"/>
        <w:rPr>
          <w:rFonts w:ascii="Arial" w:hAnsi="Arial" w:cs="Arial"/>
          <w:sz w:val="20"/>
          <w:szCs w:val="20"/>
        </w:rPr>
      </w:pPr>
      <w:bookmarkStart w:id="16" w:name="_Toc88519307"/>
      <w:r w:rsidRPr="00133F4D">
        <w:rPr>
          <w:rFonts w:ascii="Arial" w:hAnsi="Arial" w:cs="Arial"/>
          <w:sz w:val="20"/>
          <w:szCs w:val="20"/>
        </w:rPr>
        <w:t xml:space="preserve">Unauthorised Expenditure, Irregular, and </w:t>
      </w:r>
      <w:r w:rsidR="00730034" w:rsidRPr="00133F4D">
        <w:rPr>
          <w:rFonts w:ascii="Arial" w:hAnsi="Arial" w:cs="Arial"/>
          <w:sz w:val="20"/>
          <w:szCs w:val="20"/>
        </w:rPr>
        <w:t xml:space="preserve">Fruitless </w:t>
      </w:r>
      <w:r w:rsidRPr="00133F4D">
        <w:rPr>
          <w:rFonts w:ascii="Arial" w:hAnsi="Arial" w:cs="Arial"/>
          <w:sz w:val="20"/>
          <w:szCs w:val="20"/>
        </w:rPr>
        <w:t xml:space="preserve">and </w:t>
      </w:r>
      <w:r w:rsidR="00730034" w:rsidRPr="00133F4D">
        <w:rPr>
          <w:rFonts w:ascii="Arial" w:hAnsi="Arial" w:cs="Arial"/>
          <w:sz w:val="20"/>
          <w:szCs w:val="20"/>
        </w:rPr>
        <w:t xml:space="preserve">Wasteful </w:t>
      </w:r>
      <w:r w:rsidR="00D55F4A" w:rsidRPr="00133F4D">
        <w:rPr>
          <w:rFonts w:ascii="Arial" w:hAnsi="Arial" w:cs="Arial"/>
          <w:sz w:val="20"/>
          <w:szCs w:val="20"/>
        </w:rPr>
        <w:t>incurred in the 2021/22</w:t>
      </w:r>
      <w:r w:rsidRPr="00133F4D">
        <w:rPr>
          <w:rFonts w:ascii="Arial" w:hAnsi="Arial" w:cs="Arial"/>
          <w:sz w:val="20"/>
          <w:szCs w:val="20"/>
        </w:rPr>
        <w:t xml:space="preserve"> financial year</w:t>
      </w:r>
      <w:bookmarkEnd w:id="16"/>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Public Finance Management Act, 1999 (Act No. 1 of 1999) section 38(1)(c) (ii) states that the accounting officer of a department, trading entity or constitutional institution must take effective and appropriate steps to prevent unauthorised as well as irregular, fruitless and wasteful expenditure resulting from criminal conduct.</w:t>
      </w:r>
    </w:p>
    <w:p w:rsidR="00E95FBE" w:rsidRPr="00133F4D" w:rsidRDefault="00E95FBE" w:rsidP="00133F4D">
      <w:pPr>
        <w:spacing w:after="0" w:line="240" w:lineRule="auto"/>
        <w:jc w:val="left"/>
        <w:rPr>
          <w:rFonts w:ascii="Arial" w:hAnsi="Arial" w:cs="Arial"/>
          <w:spacing w:val="6"/>
          <w:sz w:val="20"/>
          <w:szCs w:val="20"/>
        </w:rPr>
      </w:pPr>
    </w:p>
    <w:p w:rsidR="0069222E" w:rsidRPr="00133F4D" w:rsidRDefault="00E95FB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financial statements as presented in the DSAC 2021/22 annual report reflect the following:</w:t>
      </w:r>
    </w:p>
    <w:p w:rsidR="00E95FBE" w:rsidRPr="00133F4D" w:rsidRDefault="00E95FBE" w:rsidP="00133F4D">
      <w:pPr>
        <w:spacing w:after="0" w:line="240" w:lineRule="auto"/>
        <w:jc w:val="left"/>
        <w:rPr>
          <w:rFonts w:ascii="Arial" w:hAnsi="Arial" w:cs="Arial"/>
          <w:spacing w:val="6"/>
          <w:sz w:val="20"/>
          <w:szCs w:val="20"/>
        </w:rPr>
      </w:pPr>
    </w:p>
    <w:p w:rsidR="00E95FBE" w:rsidRPr="00133F4D" w:rsidRDefault="00E95FBE" w:rsidP="00133F4D">
      <w:pPr>
        <w:pStyle w:val="ListParagraph"/>
        <w:numPr>
          <w:ilvl w:val="0"/>
          <w:numId w:val="26"/>
        </w:numPr>
        <w:spacing w:after="0" w:line="240" w:lineRule="auto"/>
        <w:jc w:val="left"/>
        <w:rPr>
          <w:rFonts w:ascii="Arial" w:hAnsi="Arial" w:cs="Arial"/>
          <w:spacing w:val="6"/>
          <w:sz w:val="20"/>
          <w:szCs w:val="20"/>
        </w:rPr>
      </w:pPr>
      <w:r w:rsidRPr="00133F4D">
        <w:rPr>
          <w:rFonts w:ascii="Arial" w:hAnsi="Arial" w:cs="Arial"/>
          <w:i/>
          <w:spacing w:val="6"/>
          <w:sz w:val="20"/>
          <w:szCs w:val="20"/>
        </w:rPr>
        <w:t>Unauthorised expenditure</w:t>
      </w:r>
      <w:r w:rsidR="009755EB" w:rsidRPr="00133F4D">
        <w:rPr>
          <w:rFonts w:ascii="Arial" w:hAnsi="Arial" w:cs="Arial"/>
          <w:i/>
          <w:spacing w:val="6"/>
          <w:sz w:val="20"/>
          <w:szCs w:val="20"/>
        </w:rPr>
        <w:t xml:space="preserve">: </w:t>
      </w:r>
      <w:r w:rsidRPr="00133F4D">
        <w:rPr>
          <w:rFonts w:ascii="Arial" w:hAnsi="Arial" w:cs="Arial"/>
          <w:spacing w:val="6"/>
          <w:sz w:val="20"/>
          <w:szCs w:val="20"/>
        </w:rPr>
        <w:t>No unauthorised expenditure was incurred in the period under review.</w:t>
      </w:r>
    </w:p>
    <w:p w:rsidR="00E95FBE" w:rsidRPr="00133F4D" w:rsidRDefault="00E95FBE" w:rsidP="00133F4D">
      <w:pPr>
        <w:pStyle w:val="ListParagraph"/>
        <w:numPr>
          <w:ilvl w:val="0"/>
          <w:numId w:val="26"/>
        </w:numPr>
        <w:spacing w:after="0" w:line="240" w:lineRule="auto"/>
        <w:jc w:val="left"/>
        <w:rPr>
          <w:rFonts w:ascii="Arial" w:hAnsi="Arial" w:cs="Arial"/>
          <w:spacing w:val="6"/>
          <w:sz w:val="20"/>
          <w:szCs w:val="20"/>
        </w:rPr>
      </w:pPr>
      <w:r w:rsidRPr="00133F4D">
        <w:rPr>
          <w:rFonts w:ascii="Arial" w:hAnsi="Arial" w:cs="Arial"/>
          <w:i/>
          <w:spacing w:val="6"/>
          <w:sz w:val="20"/>
          <w:szCs w:val="20"/>
        </w:rPr>
        <w:t>Irregular expenditure</w:t>
      </w:r>
      <w:r w:rsidR="009755EB" w:rsidRPr="00133F4D">
        <w:rPr>
          <w:rFonts w:ascii="Arial" w:hAnsi="Arial" w:cs="Arial"/>
          <w:i/>
          <w:spacing w:val="6"/>
          <w:sz w:val="20"/>
          <w:szCs w:val="20"/>
        </w:rPr>
        <w:t xml:space="preserve">: </w:t>
      </w:r>
      <w:r w:rsidRPr="00133F4D">
        <w:rPr>
          <w:rFonts w:ascii="Arial" w:hAnsi="Arial" w:cs="Arial"/>
          <w:spacing w:val="6"/>
          <w:sz w:val="20"/>
          <w:szCs w:val="20"/>
        </w:rPr>
        <w:t xml:space="preserve">The opening balance for irregular expenditure at the beginning of 2021/22 was R389.9 million. A further R59.7 million was incurred in the period under review. The Department notes that the majority of irregular expenditure incurred during the financial year related to Mass Participation Grants transferred to provinces with the amended payment schedule not being approved by National Treasury. Included in the R59.7 million is R19.4 million which was disclosed as under assessment in the 2020/21 financial year and confirmed as irregular expenditure in the 2021/22 financial year. The closing balance for irregular expenditure at the end of the 2021/22 financial year was R449.7 million. </w:t>
      </w:r>
    </w:p>
    <w:p w:rsidR="00E95FBE" w:rsidRPr="00133F4D" w:rsidRDefault="00E95FBE" w:rsidP="00133F4D">
      <w:pPr>
        <w:pStyle w:val="ListParagraph"/>
        <w:numPr>
          <w:ilvl w:val="0"/>
          <w:numId w:val="26"/>
        </w:numPr>
        <w:spacing w:after="0" w:line="240" w:lineRule="auto"/>
        <w:jc w:val="left"/>
        <w:rPr>
          <w:rFonts w:ascii="Arial" w:hAnsi="Arial" w:cs="Arial"/>
          <w:spacing w:val="6"/>
          <w:sz w:val="20"/>
          <w:szCs w:val="20"/>
        </w:rPr>
      </w:pPr>
      <w:r w:rsidRPr="00133F4D">
        <w:rPr>
          <w:rFonts w:ascii="Arial" w:hAnsi="Arial" w:cs="Arial"/>
          <w:i/>
          <w:spacing w:val="6"/>
          <w:sz w:val="20"/>
          <w:szCs w:val="20"/>
        </w:rPr>
        <w:t>Fruitless and wasteful expenditure</w:t>
      </w:r>
      <w:r w:rsidR="009755EB" w:rsidRPr="00133F4D">
        <w:rPr>
          <w:rFonts w:ascii="Arial" w:hAnsi="Arial" w:cs="Arial"/>
          <w:i/>
          <w:spacing w:val="6"/>
          <w:sz w:val="20"/>
          <w:szCs w:val="20"/>
        </w:rPr>
        <w:t xml:space="preserve">: </w:t>
      </w:r>
      <w:r w:rsidRPr="00133F4D">
        <w:rPr>
          <w:rFonts w:ascii="Arial" w:hAnsi="Arial" w:cs="Arial"/>
          <w:spacing w:val="6"/>
          <w:sz w:val="20"/>
          <w:szCs w:val="20"/>
        </w:rPr>
        <w:t>The opening balance for fruitless and wasteful expenditure at the beginning of the financial year was R84.8 million. No fruitless and wasteful expenditure was identified during the period under review.</w:t>
      </w:r>
    </w:p>
    <w:p w:rsidR="009755EB" w:rsidRPr="00133F4D" w:rsidRDefault="00E95FBE" w:rsidP="00133F4D">
      <w:pPr>
        <w:pStyle w:val="ListParagraph"/>
        <w:numPr>
          <w:ilvl w:val="0"/>
          <w:numId w:val="26"/>
        </w:numPr>
        <w:spacing w:after="0" w:line="240" w:lineRule="auto"/>
        <w:jc w:val="left"/>
        <w:rPr>
          <w:rFonts w:ascii="Arial" w:hAnsi="Arial" w:cs="Arial"/>
          <w:spacing w:val="6"/>
          <w:sz w:val="20"/>
          <w:szCs w:val="20"/>
        </w:rPr>
      </w:pPr>
      <w:r w:rsidRPr="00133F4D">
        <w:rPr>
          <w:rFonts w:ascii="Arial" w:hAnsi="Arial" w:cs="Arial"/>
          <w:i/>
          <w:spacing w:val="6"/>
          <w:sz w:val="20"/>
          <w:szCs w:val="20"/>
        </w:rPr>
        <w:lastRenderedPageBreak/>
        <w:t>Contingent liabilities</w:t>
      </w:r>
      <w:r w:rsidR="009755EB" w:rsidRPr="00133F4D">
        <w:rPr>
          <w:rFonts w:ascii="Arial" w:hAnsi="Arial" w:cs="Arial"/>
          <w:i/>
          <w:spacing w:val="6"/>
          <w:sz w:val="20"/>
          <w:szCs w:val="20"/>
        </w:rPr>
        <w:t xml:space="preserve">: </w:t>
      </w:r>
      <w:r w:rsidRPr="00133F4D">
        <w:rPr>
          <w:rFonts w:ascii="Arial" w:hAnsi="Arial" w:cs="Arial"/>
          <w:spacing w:val="6"/>
          <w:sz w:val="20"/>
          <w:szCs w:val="20"/>
        </w:rPr>
        <w:t>The opening balance at the beginning of the financial year was R90.9 million. Liabilities incurred during the period under review amounts to R32.2 million. An amount of R2.7 million was paid/cancelled/reduced during the year, resulting in a closing balance of R120.5 million at the end of the financial year.</w:t>
      </w:r>
    </w:p>
    <w:p w:rsidR="00E95FBE" w:rsidRPr="00133F4D" w:rsidRDefault="00E95FBE" w:rsidP="00133F4D">
      <w:pPr>
        <w:pStyle w:val="ListParagraph"/>
        <w:numPr>
          <w:ilvl w:val="0"/>
          <w:numId w:val="26"/>
        </w:numPr>
        <w:spacing w:after="0" w:line="240" w:lineRule="auto"/>
        <w:jc w:val="left"/>
        <w:rPr>
          <w:rFonts w:ascii="Arial" w:hAnsi="Arial" w:cs="Arial"/>
          <w:spacing w:val="6"/>
          <w:sz w:val="20"/>
          <w:szCs w:val="20"/>
        </w:rPr>
      </w:pPr>
      <w:r w:rsidRPr="00133F4D">
        <w:rPr>
          <w:rFonts w:ascii="Arial" w:hAnsi="Arial" w:cs="Arial"/>
          <w:i/>
          <w:spacing w:val="6"/>
          <w:sz w:val="20"/>
          <w:szCs w:val="20"/>
        </w:rPr>
        <w:t>Contingent assets</w:t>
      </w:r>
      <w:r w:rsidR="009755EB" w:rsidRPr="00133F4D">
        <w:rPr>
          <w:rFonts w:ascii="Arial" w:hAnsi="Arial" w:cs="Arial"/>
          <w:i/>
          <w:spacing w:val="6"/>
          <w:sz w:val="20"/>
          <w:szCs w:val="20"/>
        </w:rPr>
        <w:t>:</w:t>
      </w:r>
      <w:r w:rsidR="009755EB" w:rsidRPr="00133F4D">
        <w:rPr>
          <w:rFonts w:ascii="Arial" w:hAnsi="Arial" w:cs="Arial"/>
          <w:spacing w:val="6"/>
          <w:sz w:val="20"/>
          <w:szCs w:val="20"/>
        </w:rPr>
        <w:t xml:space="preserve"> </w:t>
      </w:r>
      <w:r w:rsidRPr="00133F4D">
        <w:rPr>
          <w:rFonts w:ascii="Arial" w:hAnsi="Arial" w:cs="Arial"/>
          <w:spacing w:val="6"/>
          <w:sz w:val="20"/>
          <w:szCs w:val="20"/>
        </w:rPr>
        <w:t>The statement of contingent assets indicates an opening balance of R11.9 million, with a closing balance of R11.8 million, due to a positive movement of R110 000 which resu</w:t>
      </w:r>
      <w:r w:rsidR="00C426F1" w:rsidRPr="00133F4D">
        <w:rPr>
          <w:rFonts w:ascii="Arial" w:hAnsi="Arial" w:cs="Arial"/>
          <w:spacing w:val="6"/>
          <w:sz w:val="20"/>
          <w:szCs w:val="20"/>
        </w:rPr>
        <w:t>lted from a breach of contract.</w:t>
      </w:r>
    </w:p>
    <w:p w:rsidR="0069222E" w:rsidRPr="00133F4D" w:rsidRDefault="0069222E" w:rsidP="00133F4D">
      <w:pPr>
        <w:spacing w:after="0" w:line="240" w:lineRule="auto"/>
        <w:jc w:val="left"/>
        <w:rPr>
          <w:rFonts w:ascii="Arial" w:hAnsi="Arial" w:cs="Arial"/>
          <w:spacing w:val="6"/>
          <w:sz w:val="20"/>
          <w:szCs w:val="20"/>
        </w:rPr>
      </w:pPr>
    </w:p>
    <w:p w:rsidR="00C62DCD" w:rsidRPr="00133F4D" w:rsidRDefault="00C62DCD" w:rsidP="00133F4D">
      <w:pPr>
        <w:pStyle w:val="Heading2"/>
        <w:numPr>
          <w:ilvl w:val="2"/>
          <w:numId w:val="11"/>
        </w:numPr>
        <w:spacing w:line="240" w:lineRule="auto"/>
        <w:jc w:val="left"/>
        <w:rPr>
          <w:rFonts w:ascii="Arial" w:hAnsi="Arial" w:cs="Arial"/>
          <w:sz w:val="20"/>
          <w:szCs w:val="20"/>
        </w:rPr>
      </w:pPr>
      <w:r w:rsidRPr="00133F4D">
        <w:rPr>
          <w:rFonts w:ascii="Arial" w:hAnsi="Arial" w:cs="Arial"/>
          <w:sz w:val="20"/>
          <w:szCs w:val="20"/>
        </w:rPr>
        <w:t>Auditor-General’s report on the Department and the portfolio</w:t>
      </w:r>
    </w:p>
    <w:p w:rsidR="00DB4DC8" w:rsidRPr="00133F4D" w:rsidRDefault="00DB4DC8" w:rsidP="00133F4D">
      <w:pPr>
        <w:pStyle w:val="ListParagraph"/>
        <w:numPr>
          <w:ilvl w:val="3"/>
          <w:numId w:val="11"/>
        </w:numPr>
        <w:spacing w:after="0" w:line="240" w:lineRule="auto"/>
        <w:jc w:val="left"/>
        <w:rPr>
          <w:rFonts w:ascii="Arial" w:hAnsi="Arial" w:cs="Arial"/>
          <w:b/>
          <w:spacing w:val="6"/>
          <w:sz w:val="20"/>
          <w:szCs w:val="20"/>
          <w:lang w:val="en-GB" w:eastAsia="en-GB"/>
        </w:rPr>
      </w:pPr>
      <w:r w:rsidRPr="00133F4D">
        <w:rPr>
          <w:rFonts w:ascii="Arial" w:hAnsi="Arial" w:cs="Arial"/>
          <w:b/>
          <w:spacing w:val="6"/>
          <w:sz w:val="20"/>
          <w:szCs w:val="20"/>
          <w:lang w:val="en-GB" w:eastAsia="en-GB"/>
        </w:rPr>
        <w:t xml:space="preserve">Department of Sport, Arts and Culture </w:t>
      </w:r>
    </w:p>
    <w:p w:rsidR="00C615F1" w:rsidRPr="00133F4D" w:rsidRDefault="00C615F1" w:rsidP="00133F4D">
      <w:pPr>
        <w:pStyle w:val="ListParagraph"/>
        <w:spacing w:after="0" w:line="240" w:lineRule="auto"/>
        <w:ind w:left="0"/>
        <w:jc w:val="left"/>
        <w:rPr>
          <w:rFonts w:ascii="Arial" w:hAnsi="Arial" w:cs="Arial"/>
          <w:spacing w:val="6"/>
          <w:sz w:val="20"/>
          <w:szCs w:val="20"/>
          <w:lang w:val="en-GB" w:eastAsia="en-GB"/>
        </w:rPr>
      </w:pPr>
      <w:r w:rsidRPr="00133F4D">
        <w:rPr>
          <w:rFonts w:ascii="Arial" w:hAnsi="Arial" w:cs="Arial"/>
          <w:spacing w:val="6"/>
          <w:sz w:val="20"/>
          <w:szCs w:val="20"/>
          <w:lang w:val="en-GB" w:eastAsia="en-GB"/>
        </w:rPr>
        <w:t xml:space="preserve">The AG raised </w:t>
      </w:r>
      <w:r w:rsidR="00D9539A" w:rsidRPr="00133F4D">
        <w:rPr>
          <w:rFonts w:ascii="Arial" w:hAnsi="Arial" w:cs="Arial"/>
          <w:spacing w:val="6"/>
          <w:sz w:val="20"/>
          <w:szCs w:val="20"/>
          <w:lang w:val="en-GB" w:eastAsia="en-GB"/>
        </w:rPr>
        <w:t xml:space="preserve">the following matters: </w:t>
      </w:r>
    </w:p>
    <w:p w:rsidR="00C615F1" w:rsidRPr="00133F4D" w:rsidRDefault="00C615F1" w:rsidP="00133F4D">
      <w:pPr>
        <w:pStyle w:val="ListParagraph"/>
        <w:numPr>
          <w:ilvl w:val="0"/>
          <w:numId w:val="25"/>
        </w:numPr>
        <w:spacing w:after="0" w:line="240" w:lineRule="auto"/>
        <w:ind w:left="720" w:hanging="357"/>
        <w:contextualSpacing w:val="0"/>
        <w:jc w:val="left"/>
        <w:rPr>
          <w:rFonts w:ascii="Arial" w:eastAsia="Calibri" w:hAnsi="Arial" w:cs="Arial"/>
          <w:spacing w:val="6"/>
          <w:sz w:val="20"/>
          <w:szCs w:val="20"/>
        </w:rPr>
      </w:pPr>
      <w:r w:rsidRPr="00133F4D">
        <w:rPr>
          <w:rFonts w:ascii="Arial" w:eastAsia="Calibri" w:hAnsi="Arial" w:cs="Arial"/>
          <w:i/>
          <w:spacing w:val="6"/>
          <w:sz w:val="20"/>
          <w:szCs w:val="20"/>
        </w:rPr>
        <w:t xml:space="preserve">Contingent </w:t>
      </w:r>
      <w:r w:rsidR="0083388B" w:rsidRPr="00133F4D">
        <w:rPr>
          <w:rFonts w:ascii="Arial" w:eastAsia="Calibri" w:hAnsi="Arial" w:cs="Arial"/>
          <w:i/>
          <w:spacing w:val="6"/>
          <w:sz w:val="20"/>
          <w:szCs w:val="20"/>
        </w:rPr>
        <w:t>liabilities</w:t>
      </w:r>
      <w:r w:rsidRPr="00133F4D">
        <w:rPr>
          <w:rFonts w:ascii="Arial" w:eastAsia="Calibri" w:hAnsi="Arial" w:cs="Arial"/>
          <w:spacing w:val="6"/>
          <w:sz w:val="20"/>
          <w:szCs w:val="20"/>
        </w:rPr>
        <w:t>: The AG notes that the Department is the defendant in various claims and lawsuits, which they are opposing. The ultimate outcome of these matters could not be determined and no provision for any liability that may result was made in the financial statements.</w:t>
      </w:r>
    </w:p>
    <w:p w:rsidR="00C615F1" w:rsidRPr="00133F4D" w:rsidRDefault="00C152BC" w:rsidP="00133F4D">
      <w:pPr>
        <w:pStyle w:val="ListParagraph"/>
        <w:numPr>
          <w:ilvl w:val="0"/>
          <w:numId w:val="25"/>
        </w:numPr>
        <w:spacing w:after="0" w:line="240" w:lineRule="auto"/>
        <w:ind w:left="720" w:hanging="357"/>
        <w:contextualSpacing w:val="0"/>
        <w:jc w:val="left"/>
        <w:rPr>
          <w:rFonts w:ascii="Arial" w:hAnsi="Arial" w:cs="Arial"/>
          <w:spacing w:val="6"/>
          <w:sz w:val="20"/>
          <w:szCs w:val="20"/>
          <w:lang w:eastAsia="en-ZA"/>
        </w:rPr>
      </w:pPr>
      <w:r w:rsidRPr="00133F4D">
        <w:rPr>
          <w:rFonts w:ascii="Arial" w:hAnsi="Arial" w:cs="Arial"/>
          <w:i/>
          <w:spacing w:val="6"/>
          <w:sz w:val="20"/>
          <w:szCs w:val="20"/>
          <w:lang w:eastAsia="en-ZA"/>
        </w:rPr>
        <w:t>Usefulness and reliability of performance information</w:t>
      </w:r>
      <w:r w:rsidRPr="00133F4D">
        <w:rPr>
          <w:rFonts w:ascii="Arial" w:hAnsi="Arial" w:cs="Arial"/>
          <w:spacing w:val="6"/>
          <w:sz w:val="20"/>
          <w:szCs w:val="20"/>
          <w:lang w:eastAsia="en-ZA"/>
        </w:rPr>
        <w:t xml:space="preserve">: </w:t>
      </w:r>
      <w:r w:rsidR="00C615F1" w:rsidRPr="00133F4D">
        <w:rPr>
          <w:rFonts w:ascii="Arial" w:hAnsi="Arial" w:cs="Arial"/>
          <w:spacing w:val="6"/>
          <w:sz w:val="20"/>
          <w:szCs w:val="20"/>
          <w:lang w:eastAsia="en-ZA"/>
        </w:rPr>
        <w:t xml:space="preserve">The AG evaluated the usefulness and reliability of performance information reported under Programme 3 and did not identify any material findings on the usefulness </w:t>
      </w:r>
      <w:r w:rsidR="00C615F1" w:rsidRPr="00133F4D">
        <w:rPr>
          <w:rFonts w:ascii="Arial" w:eastAsia="Calibri" w:hAnsi="Arial" w:cs="Arial"/>
          <w:spacing w:val="6"/>
          <w:sz w:val="20"/>
          <w:szCs w:val="20"/>
        </w:rPr>
        <w:t>and reliability of the reported performance information. The other budget programmes were not audited.</w:t>
      </w:r>
    </w:p>
    <w:p w:rsidR="00C615F1" w:rsidRPr="00133F4D" w:rsidRDefault="007C10E4" w:rsidP="00133F4D">
      <w:pPr>
        <w:pStyle w:val="ListParagraph"/>
        <w:numPr>
          <w:ilvl w:val="0"/>
          <w:numId w:val="25"/>
        </w:numPr>
        <w:spacing w:after="0" w:line="240" w:lineRule="auto"/>
        <w:ind w:left="720" w:hanging="357"/>
        <w:contextualSpacing w:val="0"/>
        <w:jc w:val="left"/>
        <w:rPr>
          <w:rFonts w:ascii="Arial" w:hAnsi="Arial" w:cs="Arial"/>
          <w:spacing w:val="6"/>
          <w:sz w:val="20"/>
          <w:szCs w:val="20"/>
          <w:lang w:eastAsia="en-GB"/>
        </w:rPr>
      </w:pPr>
      <w:r w:rsidRPr="00133F4D">
        <w:rPr>
          <w:rFonts w:ascii="Arial" w:hAnsi="Arial" w:cs="Arial"/>
          <w:i/>
          <w:spacing w:val="6"/>
          <w:sz w:val="20"/>
          <w:szCs w:val="20"/>
          <w:lang w:eastAsia="en-GB"/>
        </w:rPr>
        <w:t>Financial statements</w:t>
      </w:r>
      <w:r w:rsidRPr="00133F4D">
        <w:rPr>
          <w:rFonts w:ascii="Arial" w:hAnsi="Arial" w:cs="Arial"/>
          <w:spacing w:val="6"/>
          <w:sz w:val="20"/>
          <w:szCs w:val="20"/>
          <w:lang w:eastAsia="en-GB"/>
        </w:rPr>
        <w:t xml:space="preserve">: </w:t>
      </w:r>
      <w:r w:rsidR="00C615F1" w:rsidRPr="00133F4D">
        <w:rPr>
          <w:rFonts w:ascii="Arial" w:hAnsi="Arial" w:cs="Arial"/>
          <w:spacing w:val="6"/>
          <w:sz w:val="20"/>
          <w:szCs w:val="20"/>
          <w:lang w:eastAsia="en-GB"/>
        </w:rPr>
        <w:t>The financial statements submitted for auditing were prepared in accordance with the Modified Cash Standard (MCS). This is an improvement from the last financial year when the financial statements were not supported by full and proper records as required by section 40(1)(b) of the PFMA.</w:t>
      </w:r>
    </w:p>
    <w:p w:rsidR="00C615F1" w:rsidRPr="00133F4D" w:rsidRDefault="00C615F1" w:rsidP="00133F4D">
      <w:pPr>
        <w:pStyle w:val="ListParagraph"/>
        <w:numPr>
          <w:ilvl w:val="0"/>
          <w:numId w:val="25"/>
        </w:numPr>
        <w:spacing w:after="0" w:line="240" w:lineRule="auto"/>
        <w:ind w:left="720" w:hanging="357"/>
        <w:contextualSpacing w:val="0"/>
        <w:jc w:val="left"/>
        <w:rPr>
          <w:rFonts w:ascii="Arial" w:hAnsi="Arial" w:cs="Arial"/>
          <w:spacing w:val="6"/>
          <w:sz w:val="20"/>
          <w:szCs w:val="20"/>
          <w:lang w:eastAsia="en-GB"/>
        </w:rPr>
      </w:pPr>
      <w:r w:rsidRPr="00133F4D">
        <w:rPr>
          <w:rFonts w:ascii="Arial" w:hAnsi="Arial" w:cs="Arial"/>
          <w:i/>
          <w:spacing w:val="6"/>
          <w:sz w:val="20"/>
          <w:szCs w:val="20"/>
          <w:lang w:eastAsia="en-GB"/>
        </w:rPr>
        <w:t>Expenditure management</w:t>
      </w:r>
      <w:r w:rsidRPr="00133F4D">
        <w:rPr>
          <w:rFonts w:ascii="Arial" w:hAnsi="Arial" w:cs="Arial"/>
          <w:spacing w:val="6"/>
          <w:sz w:val="20"/>
          <w:szCs w:val="20"/>
          <w:lang w:eastAsia="en-GB"/>
        </w:rPr>
        <w:t>: Effective and appropriate steps were not taken to prevent irregular expenditure amounting to R59.7 million as required by section 38(1)(c)(ii) of the PFMA and National Treasury regulation 9.1.1. The majority of the irregular expenditure was caused by non-compliance with the Division of Revenue Act requirements (DORA) due to the Department not preparing the amended payment schedule for approval by the National Treasury after withholding a certain percentage as a penalty.</w:t>
      </w:r>
    </w:p>
    <w:p w:rsidR="00C615F1" w:rsidRPr="00133F4D" w:rsidRDefault="00C615F1" w:rsidP="00133F4D">
      <w:pPr>
        <w:pStyle w:val="ListParagraph"/>
        <w:numPr>
          <w:ilvl w:val="0"/>
          <w:numId w:val="25"/>
        </w:numPr>
        <w:spacing w:after="0" w:line="240" w:lineRule="auto"/>
        <w:ind w:left="720" w:hanging="357"/>
        <w:contextualSpacing w:val="0"/>
        <w:jc w:val="left"/>
        <w:rPr>
          <w:rFonts w:ascii="Arial" w:hAnsi="Arial" w:cs="Arial"/>
          <w:spacing w:val="6"/>
          <w:sz w:val="20"/>
          <w:szCs w:val="20"/>
          <w:lang w:eastAsia="en-GB"/>
        </w:rPr>
      </w:pPr>
      <w:r w:rsidRPr="00133F4D">
        <w:rPr>
          <w:rFonts w:ascii="Arial" w:hAnsi="Arial" w:cs="Arial"/>
          <w:i/>
          <w:spacing w:val="6"/>
          <w:sz w:val="20"/>
          <w:szCs w:val="20"/>
          <w:lang w:eastAsia="en-GB"/>
        </w:rPr>
        <w:t>Consequence management</w:t>
      </w:r>
      <w:r w:rsidRPr="00133F4D">
        <w:rPr>
          <w:rFonts w:ascii="Arial" w:hAnsi="Arial" w:cs="Arial"/>
          <w:spacing w:val="6"/>
          <w:sz w:val="20"/>
          <w:szCs w:val="20"/>
          <w:lang w:eastAsia="en-GB"/>
        </w:rPr>
        <w:t>: Investigations were not conducted into the majority of allegations of financial misconduct committed by departmental officials, as required by treasury regulation 4.1.1.</w:t>
      </w:r>
    </w:p>
    <w:p w:rsidR="00C615F1" w:rsidRPr="00133F4D" w:rsidRDefault="00C615F1" w:rsidP="00133F4D">
      <w:pPr>
        <w:pStyle w:val="ListParagraph"/>
        <w:numPr>
          <w:ilvl w:val="0"/>
          <w:numId w:val="25"/>
        </w:numPr>
        <w:spacing w:after="0" w:line="240" w:lineRule="auto"/>
        <w:ind w:left="720" w:hanging="357"/>
        <w:contextualSpacing w:val="0"/>
        <w:jc w:val="left"/>
        <w:rPr>
          <w:rFonts w:ascii="Arial" w:hAnsi="Arial" w:cs="Arial"/>
          <w:spacing w:val="6"/>
          <w:sz w:val="20"/>
          <w:szCs w:val="20"/>
          <w:lang w:eastAsia="en-GB"/>
        </w:rPr>
      </w:pPr>
      <w:r w:rsidRPr="00133F4D">
        <w:rPr>
          <w:rFonts w:ascii="Arial" w:hAnsi="Arial" w:cs="Arial"/>
          <w:i/>
          <w:spacing w:val="6"/>
          <w:sz w:val="20"/>
          <w:szCs w:val="20"/>
          <w:lang w:eastAsia="en-GB"/>
        </w:rPr>
        <w:t>Transfer of funds</w:t>
      </w:r>
      <w:r w:rsidRPr="00133F4D">
        <w:rPr>
          <w:rFonts w:ascii="Arial" w:hAnsi="Arial" w:cs="Arial"/>
          <w:spacing w:val="6"/>
          <w:sz w:val="20"/>
          <w:szCs w:val="20"/>
          <w:lang w:eastAsia="en-GB"/>
        </w:rPr>
        <w:t>: Appropriate measures were not maintained to ensure that transfers and subsidies to entities were applied for their intended purposes, as required by National Treasury regulation 8.4.1.</w:t>
      </w:r>
    </w:p>
    <w:p w:rsidR="00C615F1" w:rsidRPr="00133F4D" w:rsidRDefault="00C615F1" w:rsidP="00133F4D">
      <w:pPr>
        <w:pStyle w:val="ListParagraph"/>
        <w:numPr>
          <w:ilvl w:val="0"/>
          <w:numId w:val="25"/>
        </w:numPr>
        <w:spacing w:after="0" w:line="240" w:lineRule="auto"/>
        <w:ind w:left="720" w:hanging="357"/>
        <w:contextualSpacing w:val="0"/>
        <w:jc w:val="left"/>
        <w:rPr>
          <w:rFonts w:ascii="Arial" w:hAnsi="Arial" w:cs="Arial"/>
          <w:spacing w:val="6"/>
          <w:sz w:val="20"/>
          <w:szCs w:val="20"/>
          <w:lang w:eastAsia="en-GB"/>
        </w:rPr>
      </w:pPr>
      <w:r w:rsidRPr="00133F4D">
        <w:rPr>
          <w:rFonts w:ascii="Arial" w:hAnsi="Arial" w:cs="Arial"/>
          <w:i/>
          <w:spacing w:val="6"/>
          <w:sz w:val="20"/>
          <w:szCs w:val="20"/>
        </w:rPr>
        <w:t>Internal control deficiencies</w:t>
      </w:r>
      <w:r w:rsidRPr="00133F4D">
        <w:rPr>
          <w:rFonts w:ascii="Arial" w:hAnsi="Arial" w:cs="Arial"/>
          <w:b/>
          <w:spacing w:val="6"/>
          <w:sz w:val="20"/>
          <w:szCs w:val="20"/>
        </w:rPr>
        <w:t xml:space="preserve">: </w:t>
      </w:r>
      <w:r w:rsidRPr="00133F4D">
        <w:rPr>
          <w:rFonts w:ascii="Arial" w:hAnsi="Arial" w:cs="Arial"/>
          <w:spacing w:val="6"/>
          <w:sz w:val="20"/>
          <w:szCs w:val="20"/>
          <w:lang w:val="en-US" w:eastAsia="en-GB"/>
        </w:rPr>
        <w:t>Leadership did not exercise adequate oversight responsibility over compliance with applicable legislation. Effective and adequate preventative controls were not implemented timeously, this resulted in instances of non-compliance with key legislation.</w:t>
      </w:r>
    </w:p>
    <w:p w:rsidR="00C615F1" w:rsidRPr="00133F4D" w:rsidRDefault="00677525" w:rsidP="00133F4D">
      <w:pPr>
        <w:pStyle w:val="ListParagraph"/>
        <w:numPr>
          <w:ilvl w:val="0"/>
          <w:numId w:val="25"/>
        </w:numPr>
        <w:spacing w:after="0" w:line="240" w:lineRule="auto"/>
        <w:ind w:left="720" w:hanging="357"/>
        <w:contextualSpacing w:val="0"/>
        <w:jc w:val="left"/>
        <w:rPr>
          <w:rFonts w:ascii="Arial" w:hAnsi="Arial" w:cs="Arial"/>
          <w:spacing w:val="6"/>
          <w:sz w:val="20"/>
          <w:szCs w:val="20"/>
          <w:lang w:eastAsia="en-GB"/>
        </w:rPr>
      </w:pPr>
      <w:r w:rsidRPr="00133F4D">
        <w:rPr>
          <w:rFonts w:ascii="Arial" w:hAnsi="Arial" w:cs="Arial"/>
          <w:i/>
          <w:spacing w:val="6"/>
          <w:sz w:val="20"/>
          <w:szCs w:val="20"/>
          <w:lang w:eastAsia="en-GB"/>
        </w:rPr>
        <w:t>Investigations</w:t>
      </w:r>
      <w:r w:rsidRPr="00133F4D">
        <w:rPr>
          <w:rFonts w:ascii="Arial" w:hAnsi="Arial" w:cs="Arial"/>
          <w:spacing w:val="6"/>
          <w:sz w:val="20"/>
          <w:szCs w:val="20"/>
          <w:lang w:eastAsia="en-GB"/>
        </w:rPr>
        <w:t xml:space="preserve">: </w:t>
      </w:r>
      <w:r w:rsidR="00C615F1" w:rsidRPr="00133F4D">
        <w:rPr>
          <w:rFonts w:ascii="Arial" w:hAnsi="Arial" w:cs="Arial"/>
          <w:spacing w:val="6"/>
          <w:sz w:val="20"/>
          <w:szCs w:val="20"/>
          <w:lang w:eastAsia="en-GB"/>
        </w:rPr>
        <w:t>The AG further notes, “internal audit unit referred some matters relating to legacy projects for further investigation by the Directorate for Priority Crime Investigations (Hawks)”. These investigations were with the National Prosecuting Authority (NPA) still in progress when the AG’s report was concluded.</w:t>
      </w:r>
    </w:p>
    <w:p w:rsidR="0069222E" w:rsidRPr="00133F4D" w:rsidRDefault="0069222E" w:rsidP="00133F4D">
      <w:pPr>
        <w:spacing w:after="0" w:line="240" w:lineRule="auto"/>
        <w:jc w:val="left"/>
        <w:rPr>
          <w:rFonts w:ascii="Arial" w:hAnsi="Arial" w:cs="Arial"/>
          <w:spacing w:val="6"/>
          <w:sz w:val="20"/>
          <w:szCs w:val="20"/>
          <w:lang w:val="en-US"/>
        </w:rPr>
      </w:pPr>
    </w:p>
    <w:p w:rsidR="00AD0431" w:rsidRPr="00133F4D" w:rsidRDefault="00AD0431" w:rsidP="00133F4D">
      <w:pPr>
        <w:pStyle w:val="ListParagraph"/>
        <w:numPr>
          <w:ilvl w:val="3"/>
          <w:numId w:val="11"/>
        </w:numPr>
        <w:spacing w:after="0" w:line="240" w:lineRule="auto"/>
        <w:jc w:val="left"/>
        <w:rPr>
          <w:rFonts w:ascii="Arial" w:hAnsi="Arial" w:cs="Arial"/>
          <w:b/>
          <w:spacing w:val="6"/>
          <w:sz w:val="20"/>
          <w:szCs w:val="20"/>
          <w:lang w:val="en-GB" w:eastAsia="en-GB"/>
        </w:rPr>
      </w:pPr>
      <w:r w:rsidRPr="00133F4D">
        <w:rPr>
          <w:rFonts w:ascii="Arial" w:hAnsi="Arial" w:cs="Arial"/>
          <w:b/>
          <w:spacing w:val="6"/>
          <w:sz w:val="20"/>
          <w:szCs w:val="20"/>
          <w:lang w:val="en-GB" w:eastAsia="en-GB"/>
        </w:rPr>
        <w:t>Snapshot of the portfolio</w:t>
      </w:r>
    </w:p>
    <w:p w:rsidR="002D4A27" w:rsidRPr="00133F4D" w:rsidRDefault="0069222E" w:rsidP="00133F4D">
      <w:pPr>
        <w:spacing w:after="0" w:line="240" w:lineRule="auto"/>
        <w:jc w:val="left"/>
        <w:rPr>
          <w:rFonts w:ascii="Arial" w:hAnsi="Arial" w:cs="Arial"/>
          <w:spacing w:val="6"/>
          <w:sz w:val="20"/>
          <w:szCs w:val="20"/>
          <w:lang w:eastAsia="en-GB"/>
        </w:rPr>
      </w:pPr>
      <w:r w:rsidRPr="00133F4D">
        <w:rPr>
          <w:rFonts w:ascii="Arial" w:hAnsi="Arial" w:cs="Arial"/>
          <w:spacing w:val="6"/>
          <w:sz w:val="20"/>
          <w:szCs w:val="20"/>
          <w:lang w:eastAsia="en-GB"/>
        </w:rPr>
        <w:t xml:space="preserve">In its presentation to the Committee, the AG provided </w:t>
      </w:r>
      <w:r w:rsidR="00CB1DEF" w:rsidRPr="00133F4D">
        <w:rPr>
          <w:rFonts w:ascii="Arial" w:hAnsi="Arial" w:cs="Arial"/>
          <w:spacing w:val="6"/>
          <w:sz w:val="20"/>
          <w:szCs w:val="20"/>
          <w:lang w:eastAsia="en-GB"/>
        </w:rPr>
        <w:t xml:space="preserve">a </w:t>
      </w:r>
      <w:r w:rsidRPr="00133F4D">
        <w:rPr>
          <w:rFonts w:ascii="Arial" w:hAnsi="Arial" w:cs="Arial"/>
          <w:spacing w:val="6"/>
          <w:sz w:val="20"/>
          <w:szCs w:val="20"/>
          <w:lang w:eastAsia="en-GB"/>
        </w:rPr>
        <w:t>snapshot of the audit across the portfolio. The AG noted that it had completed au</w:t>
      </w:r>
      <w:r w:rsidR="00D6540F" w:rsidRPr="00133F4D">
        <w:rPr>
          <w:rFonts w:ascii="Arial" w:hAnsi="Arial" w:cs="Arial"/>
          <w:spacing w:val="6"/>
          <w:sz w:val="20"/>
          <w:szCs w:val="20"/>
          <w:lang w:eastAsia="en-GB"/>
        </w:rPr>
        <w:t>dits of 28 auditees for the 2021/22</w:t>
      </w:r>
      <w:r w:rsidRPr="00133F4D">
        <w:rPr>
          <w:rFonts w:ascii="Arial" w:hAnsi="Arial" w:cs="Arial"/>
          <w:spacing w:val="6"/>
          <w:sz w:val="20"/>
          <w:szCs w:val="20"/>
          <w:lang w:eastAsia="en-GB"/>
        </w:rPr>
        <w:t xml:space="preserve"> financial year. This includes the Department and its entities.</w:t>
      </w:r>
      <w:r w:rsidR="00C72F39" w:rsidRPr="00133F4D">
        <w:rPr>
          <w:rFonts w:ascii="Arial" w:hAnsi="Arial" w:cs="Arial"/>
          <w:spacing w:val="6"/>
          <w:sz w:val="20"/>
          <w:szCs w:val="20"/>
          <w:lang w:eastAsia="en-GB"/>
        </w:rPr>
        <w:t xml:space="preserve"> </w:t>
      </w:r>
    </w:p>
    <w:p w:rsidR="00930459" w:rsidRPr="00133F4D" w:rsidRDefault="00930459" w:rsidP="00133F4D">
      <w:pPr>
        <w:spacing w:after="0" w:line="240" w:lineRule="auto"/>
        <w:jc w:val="left"/>
        <w:rPr>
          <w:rFonts w:ascii="Arial" w:hAnsi="Arial" w:cs="Arial"/>
          <w:spacing w:val="6"/>
          <w:sz w:val="20"/>
          <w:szCs w:val="20"/>
          <w:lang w:eastAsia="en-GB"/>
        </w:rPr>
      </w:pPr>
    </w:p>
    <w:p w:rsidR="00930459" w:rsidRPr="00133F4D" w:rsidRDefault="00930459" w:rsidP="00133F4D">
      <w:pPr>
        <w:spacing w:after="0" w:line="240" w:lineRule="auto"/>
        <w:jc w:val="left"/>
        <w:rPr>
          <w:rFonts w:ascii="Arial" w:hAnsi="Arial" w:cs="Arial"/>
          <w:spacing w:val="6"/>
          <w:sz w:val="20"/>
          <w:szCs w:val="20"/>
          <w:lang w:val="en-US" w:eastAsia="en-GB"/>
        </w:rPr>
      </w:pPr>
      <w:r w:rsidRPr="00133F4D">
        <w:rPr>
          <w:rFonts w:ascii="Arial" w:hAnsi="Arial" w:cs="Arial"/>
          <w:spacing w:val="6"/>
          <w:sz w:val="20"/>
          <w:szCs w:val="20"/>
          <w:lang w:val="en-US" w:eastAsia="en-GB"/>
        </w:rPr>
        <w:t>In the last financial year, the Robben Island Museum (RIM) failed to table their annual report by the deadline of 30 September 2021. It was however tabled later with the entity achieving a clean audit for the 2020/21 financial year, bringing the number of auditees having achieved this to 13.</w:t>
      </w:r>
    </w:p>
    <w:p w:rsidR="00930459" w:rsidRPr="00133F4D" w:rsidRDefault="00930459" w:rsidP="00133F4D">
      <w:pPr>
        <w:spacing w:after="0" w:line="240" w:lineRule="auto"/>
        <w:jc w:val="left"/>
        <w:rPr>
          <w:rFonts w:ascii="Arial" w:hAnsi="Arial" w:cs="Arial"/>
          <w:spacing w:val="6"/>
          <w:sz w:val="20"/>
          <w:szCs w:val="20"/>
          <w:lang w:val="en-US" w:eastAsia="en-GB"/>
        </w:rPr>
      </w:pPr>
    </w:p>
    <w:p w:rsidR="00930459" w:rsidRPr="00133F4D" w:rsidRDefault="00930459" w:rsidP="00133F4D">
      <w:pPr>
        <w:spacing w:after="0" w:line="240" w:lineRule="auto"/>
        <w:jc w:val="left"/>
        <w:rPr>
          <w:rFonts w:ascii="Arial" w:hAnsi="Arial" w:cs="Arial"/>
          <w:spacing w:val="6"/>
          <w:sz w:val="20"/>
          <w:szCs w:val="20"/>
          <w:lang w:val="en-US" w:eastAsia="en-GB"/>
        </w:rPr>
      </w:pPr>
      <w:r w:rsidRPr="00133F4D">
        <w:rPr>
          <w:rFonts w:ascii="Arial" w:hAnsi="Arial" w:cs="Arial"/>
          <w:spacing w:val="6"/>
          <w:sz w:val="20"/>
          <w:szCs w:val="20"/>
          <w:lang w:val="en-US" w:eastAsia="en-GB"/>
        </w:rPr>
        <w:t xml:space="preserve">The Department and its entities met the submission of annual reports deadline for the 2021/22 financial year. The portfolio managed to achieve 10 clean audits (36% of the portfolio). Fifteen auditees (53% of the portfolio) received financially unqualified audit opinions with findings. Three auditees (11% of the portfolio) received financially qualified audit opinions, with the </w:t>
      </w:r>
      <w:r w:rsidRPr="00133F4D">
        <w:rPr>
          <w:rFonts w:ascii="Arial" w:hAnsi="Arial" w:cs="Arial"/>
          <w:spacing w:val="6"/>
          <w:sz w:val="20"/>
          <w:szCs w:val="20"/>
          <w:lang w:val="en-US" w:eastAsia="en-GB"/>
        </w:rPr>
        <w:lastRenderedPageBreak/>
        <w:t>South African State Theatre (SAST) and the National Library of South Africa (NLSA) having repeat qualifications.</w:t>
      </w:r>
    </w:p>
    <w:p w:rsidR="00930459" w:rsidRPr="00133F4D" w:rsidRDefault="00930459" w:rsidP="00133F4D">
      <w:pPr>
        <w:spacing w:after="0" w:line="240" w:lineRule="auto"/>
        <w:jc w:val="left"/>
        <w:rPr>
          <w:rFonts w:ascii="Arial" w:hAnsi="Arial" w:cs="Arial"/>
          <w:spacing w:val="6"/>
          <w:sz w:val="20"/>
          <w:szCs w:val="20"/>
          <w:lang w:val="en-US" w:eastAsia="en-GB"/>
        </w:rPr>
      </w:pPr>
    </w:p>
    <w:p w:rsidR="00B030E9" w:rsidRPr="00133F4D" w:rsidRDefault="00B030E9" w:rsidP="00133F4D">
      <w:pPr>
        <w:spacing w:after="0" w:line="240" w:lineRule="auto"/>
        <w:jc w:val="left"/>
        <w:rPr>
          <w:rFonts w:ascii="Arial" w:hAnsi="Arial" w:cs="Arial"/>
          <w:spacing w:val="6"/>
          <w:sz w:val="20"/>
          <w:szCs w:val="20"/>
          <w:lang w:val="en-US" w:eastAsia="en-GB"/>
        </w:rPr>
      </w:pPr>
      <w:r w:rsidRPr="00133F4D">
        <w:rPr>
          <w:rFonts w:ascii="Arial" w:hAnsi="Arial" w:cs="Arial"/>
          <w:spacing w:val="6"/>
          <w:sz w:val="20"/>
          <w:szCs w:val="20"/>
          <w:lang w:val="en-US" w:eastAsia="en-GB"/>
        </w:rPr>
        <w:t xml:space="preserve">As per the AG’s presentation, there was an overall improvement in the outcomes compared to the 2020/21 financial year. </w:t>
      </w:r>
    </w:p>
    <w:p w:rsidR="002D4A27" w:rsidRPr="00133F4D" w:rsidRDefault="002D4A27" w:rsidP="00133F4D">
      <w:pPr>
        <w:spacing w:after="0" w:line="240" w:lineRule="auto"/>
        <w:jc w:val="left"/>
        <w:rPr>
          <w:rFonts w:ascii="Arial" w:hAnsi="Arial" w:cs="Arial"/>
          <w:spacing w:val="6"/>
          <w:sz w:val="20"/>
          <w:szCs w:val="20"/>
          <w:lang w:eastAsia="en-GB"/>
        </w:rPr>
      </w:pPr>
    </w:p>
    <w:p w:rsidR="0069222E" w:rsidRPr="00133F4D" w:rsidRDefault="0069222E" w:rsidP="00133F4D">
      <w:pPr>
        <w:pStyle w:val="NoSpacing"/>
        <w:jc w:val="left"/>
        <w:rPr>
          <w:rFonts w:ascii="Arial" w:hAnsi="Arial" w:cs="Arial"/>
          <w:i/>
          <w:spacing w:val="6"/>
          <w:sz w:val="20"/>
          <w:szCs w:val="20"/>
          <w:lang w:val="en-US"/>
        </w:rPr>
      </w:pPr>
      <w:r w:rsidRPr="00133F4D">
        <w:rPr>
          <w:rFonts w:ascii="Arial" w:hAnsi="Arial" w:cs="Arial"/>
          <w:i/>
          <w:spacing w:val="6"/>
          <w:sz w:val="20"/>
          <w:szCs w:val="20"/>
          <w:lang w:val="en-US"/>
        </w:rPr>
        <w:t>Movement in audit opinion</w:t>
      </w:r>
    </w:p>
    <w:p w:rsidR="00B84CB3" w:rsidRPr="00133F4D" w:rsidRDefault="00B84CB3" w:rsidP="00133F4D">
      <w:pPr>
        <w:pStyle w:val="NoSpacing"/>
        <w:numPr>
          <w:ilvl w:val="0"/>
          <w:numId w:val="27"/>
        </w:numPr>
        <w:jc w:val="left"/>
        <w:rPr>
          <w:rFonts w:ascii="Arial" w:hAnsi="Arial" w:cs="Arial"/>
          <w:spacing w:val="6"/>
          <w:sz w:val="20"/>
          <w:szCs w:val="20"/>
          <w:lang w:val="en-US"/>
        </w:rPr>
      </w:pPr>
      <w:r w:rsidRPr="00133F4D">
        <w:rPr>
          <w:rFonts w:ascii="Arial" w:hAnsi="Arial" w:cs="Arial"/>
          <w:i/>
          <w:spacing w:val="6"/>
          <w:sz w:val="20"/>
          <w:szCs w:val="20"/>
          <w:lang w:val="en-US"/>
        </w:rPr>
        <w:t>Unqualified with no findings</w:t>
      </w:r>
      <w:r w:rsidRPr="00133F4D">
        <w:rPr>
          <w:rFonts w:ascii="Arial" w:hAnsi="Arial" w:cs="Arial"/>
          <w:spacing w:val="6"/>
          <w:sz w:val="20"/>
          <w:szCs w:val="20"/>
          <w:lang w:val="en-US"/>
        </w:rPr>
        <w:t xml:space="preserve"> (10 out of 28)</w:t>
      </w:r>
    </w:p>
    <w:p w:rsidR="00B84CB3" w:rsidRPr="00133F4D" w:rsidRDefault="00D379F4" w:rsidP="00133F4D">
      <w:pPr>
        <w:pStyle w:val="NoSpacing"/>
        <w:numPr>
          <w:ilvl w:val="1"/>
          <w:numId w:val="2"/>
        </w:numPr>
        <w:ind w:left="1418"/>
        <w:jc w:val="left"/>
        <w:rPr>
          <w:rFonts w:ascii="Arial" w:hAnsi="Arial" w:cs="Arial"/>
          <w:spacing w:val="6"/>
          <w:sz w:val="20"/>
          <w:szCs w:val="20"/>
          <w:lang w:val="en-US"/>
        </w:rPr>
      </w:pPr>
      <w:r w:rsidRPr="00133F4D">
        <w:rPr>
          <w:rFonts w:ascii="Arial" w:hAnsi="Arial" w:cs="Arial"/>
          <w:spacing w:val="6"/>
          <w:sz w:val="20"/>
          <w:szCs w:val="20"/>
          <w:lang w:val="en-US"/>
        </w:rPr>
        <w:t>Seven</w:t>
      </w:r>
      <w:r w:rsidR="0069222E" w:rsidRPr="00133F4D">
        <w:rPr>
          <w:rFonts w:ascii="Arial" w:hAnsi="Arial" w:cs="Arial"/>
          <w:spacing w:val="6"/>
          <w:sz w:val="20"/>
          <w:szCs w:val="20"/>
          <w:lang w:val="en-US"/>
        </w:rPr>
        <w:t xml:space="preserve"> auditees retained its clean audit, namely </w:t>
      </w:r>
      <w:r w:rsidR="00E85EF7" w:rsidRPr="00133F4D">
        <w:rPr>
          <w:rFonts w:ascii="Arial" w:hAnsi="Arial" w:cs="Arial"/>
          <w:spacing w:val="6"/>
          <w:sz w:val="20"/>
          <w:szCs w:val="20"/>
          <w:lang w:val="en-US"/>
        </w:rPr>
        <w:t xml:space="preserve">William Humphreys Art Gallery; National Museum Bloemfontein; uMsunduzi Museum; South African Institute for Drug-Free Sports (SAIDS); </w:t>
      </w:r>
      <w:r w:rsidR="0069222E" w:rsidRPr="00133F4D">
        <w:rPr>
          <w:rFonts w:ascii="Arial" w:hAnsi="Arial" w:cs="Arial"/>
          <w:spacing w:val="6"/>
          <w:sz w:val="20"/>
          <w:szCs w:val="20"/>
          <w:lang w:val="en-US"/>
        </w:rPr>
        <w:t>Kwa-Zulu Natal Museum;</w:t>
      </w:r>
      <w:r w:rsidR="00192418" w:rsidRPr="00133F4D">
        <w:rPr>
          <w:rFonts w:ascii="Arial" w:hAnsi="Arial" w:cs="Arial"/>
          <w:spacing w:val="6"/>
          <w:sz w:val="20"/>
          <w:szCs w:val="20"/>
          <w:lang w:val="en-US"/>
        </w:rPr>
        <w:t xml:space="preserve"> ArtsCape Theatre; and the Playhouse Company.</w:t>
      </w:r>
    </w:p>
    <w:p w:rsidR="007E4B59" w:rsidRPr="00133F4D" w:rsidRDefault="007E4B59" w:rsidP="00133F4D">
      <w:pPr>
        <w:pStyle w:val="NoSpacing"/>
        <w:numPr>
          <w:ilvl w:val="1"/>
          <w:numId w:val="2"/>
        </w:numPr>
        <w:ind w:left="1418"/>
        <w:jc w:val="left"/>
        <w:rPr>
          <w:rFonts w:ascii="Arial" w:hAnsi="Arial" w:cs="Arial"/>
          <w:spacing w:val="6"/>
          <w:sz w:val="20"/>
          <w:szCs w:val="20"/>
          <w:lang w:val="en-US"/>
        </w:rPr>
      </w:pPr>
      <w:r w:rsidRPr="00133F4D">
        <w:rPr>
          <w:rFonts w:ascii="Arial" w:hAnsi="Arial" w:cs="Arial"/>
          <w:spacing w:val="6"/>
          <w:sz w:val="20"/>
          <w:szCs w:val="20"/>
          <w:lang w:val="en-US"/>
        </w:rPr>
        <w:t xml:space="preserve">Two auditees with an unqualified audit opinion with findings and one auditee with a qualified opinion improved to a clean audit in the current year. The former category includes the South African Heritage Resources Agency (SAHRA) and the Pan South African Language Board (PanSALB). </w:t>
      </w:r>
      <w:r w:rsidR="00F90CAD" w:rsidRPr="00133F4D">
        <w:rPr>
          <w:rFonts w:ascii="Arial" w:hAnsi="Arial" w:cs="Arial"/>
          <w:spacing w:val="6"/>
          <w:sz w:val="20"/>
          <w:szCs w:val="20"/>
          <w:lang w:val="en-US"/>
        </w:rPr>
        <w:t>The Afrikaanse Taalmuseum en –monument improved its audit opinion from qualified</w:t>
      </w:r>
      <w:r w:rsidR="003F3558" w:rsidRPr="00133F4D">
        <w:rPr>
          <w:rFonts w:ascii="Arial" w:hAnsi="Arial" w:cs="Arial"/>
          <w:spacing w:val="6"/>
          <w:sz w:val="20"/>
          <w:szCs w:val="20"/>
          <w:lang w:val="en-US"/>
        </w:rPr>
        <w:t xml:space="preserve"> in 2020/21</w:t>
      </w:r>
      <w:r w:rsidR="00F90CAD" w:rsidRPr="00133F4D">
        <w:rPr>
          <w:rFonts w:ascii="Arial" w:hAnsi="Arial" w:cs="Arial"/>
          <w:spacing w:val="6"/>
          <w:sz w:val="20"/>
          <w:szCs w:val="20"/>
          <w:lang w:val="en-US"/>
        </w:rPr>
        <w:t xml:space="preserve"> to clean.</w:t>
      </w:r>
    </w:p>
    <w:p w:rsidR="00E304C9" w:rsidRPr="00133F4D" w:rsidRDefault="00B84CB3" w:rsidP="00133F4D">
      <w:pPr>
        <w:pStyle w:val="NoSpacing"/>
        <w:numPr>
          <w:ilvl w:val="0"/>
          <w:numId w:val="27"/>
        </w:numPr>
        <w:jc w:val="left"/>
        <w:rPr>
          <w:rFonts w:ascii="Arial" w:hAnsi="Arial" w:cs="Arial"/>
          <w:spacing w:val="6"/>
          <w:sz w:val="20"/>
          <w:szCs w:val="20"/>
          <w:lang w:val="en-US"/>
        </w:rPr>
      </w:pPr>
      <w:r w:rsidRPr="00133F4D">
        <w:rPr>
          <w:rFonts w:ascii="Arial" w:hAnsi="Arial" w:cs="Arial"/>
          <w:i/>
          <w:spacing w:val="6"/>
          <w:sz w:val="20"/>
          <w:szCs w:val="20"/>
          <w:lang w:val="en-US"/>
        </w:rPr>
        <w:t>Unqualified with findings</w:t>
      </w:r>
      <w:r w:rsidRPr="00133F4D">
        <w:rPr>
          <w:rFonts w:ascii="Arial" w:hAnsi="Arial" w:cs="Arial"/>
          <w:spacing w:val="6"/>
          <w:sz w:val="20"/>
          <w:szCs w:val="20"/>
          <w:lang w:val="en-US"/>
        </w:rPr>
        <w:t xml:space="preserve"> (15 out of 28)</w:t>
      </w:r>
    </w:p>
    <w:p w:rsidR="00E304C9" w:rsidRPr="00133F4D" w:rsidRDefault="0012045F" w:rsidP="00133F4D">
      <w:pPr>
        <w:pStyle w:val="NoSpacing"/>
        <w:numPr>
          <w:ilvl w:val="1"/>
          <w:numId w:val="2"/>
        </w:numPr>
        <w:ind w:left="1418"/>
        <w:jc w:val="left"/>
        <w:rPr>
          <w:rFonts w:ascii="Arial" w:hAnsi="Arial" w:cs="Arial"/>
          <w:spacing w:val="6"/>
          <w:sz w:val="20"/>
          <w:szCs w:val="20"/>
          <w:lang w:val="en-US"/>
        </w:rPr>
      </w:pPr>
      <w:r w:rsidRPr="00133F4D">
        <w:rPr>
          <w:rFonts w:ascii="Arial" w:hAnsi="Arial" w:cs="Arial"/>
          <w:spacing w:val="6"/>
          <w:sz w:val="20"/>
          <w:szCs w:val="20"/>
          <w:lang w:val="en-US"/>
        </w:rPr>
        <w:t>Nine</w:t>
      </w:r>
      <w:r w:rsidR="0069222E" w:rsidRPr="00133F4D">
        <w:rPr>
          <w:rFonts w:ascii="Arial" w:hAnsi="Arial" w:cs="Arial"/>
          <w:spacing w:val="6"/>
          <w:sz w:val="20"/>
          <w:szCs w:val="20"/>
          <w:lang w:val="en-US"/>
        </w:rPr>
        <w:t xml:space="preserve"> auditees retained their unqualified with findings audit opinion</w:t>
      </w:r>
      <w:r w:rsidR="00823BA3" w:rsidRPr="00133F4D">
        <w:rPr>
          <w:rFonts w:ascii="Arial" w:hAnsi="Arial" w:cs="Arial"/>
          <w:spacing w:val="6"/>
          <w:sz w:val="20"/>
          <w:szCs w:val="20"/>
          <w:lang w:val="en-US"/>
        </w:rPr>
        <w:t xml:space="preserve">, including DSAC; Market Theatre Foundation; Freedom Park; the Performing Arts Centre of the Free State (PACOFS), National Arts Council (NAC); Amazwi Museum for Literature; Luthuli Museum; </w:t>
      </w:r>
      <w:r w:rsidR="001A2F16" w:rsidRPr="00133F4D">
        <w:rPr>
          <w:rFonts w:ascii="Arial" w:hAnsi="Arial" w:cs="Arial"/>
          <w:spacing w:val="6"/>
          <w:sz w:val="20"/>
          <w:szCs w:val="20"/>
          <w:lang w:val="en-US"/>
        </w:rPr>
        <w:t>Boxing South Africa (BSA); and the War Museum of the Boer Republics.</w:t>
      </w:r>
    </w:p>
    <w:p w:rsidR="009E2BA4" w:rsidRPr="00133F4D" w:rsidRDefault="009E2BA4" w:rsidP="00133F4D">
      <w:pPr>
        <w:pStyle w:val="NoSpacing"/>
        <w:numPr>
          <w:ilvl w:val="1"/>
          <w:numId w:val="2"/>
        </w:numPr>
        <w:ind w:left="1418"/>
        <w:jc w:val="left"/>
        <w:rPr>
          <w:rFonts w:ascii="Arial" w:hAnsi="Arial" w:cs="Arial"/>
          <w:spacing w:val="6"/>
          <w:sz w:val="20"/>
          <w:szCs w:val="20"/>
          <w:lang w:val="en-US"/>
        </w:rPr>
      </w:pPr>
      <w:r w:rsidRPr="00133F4D">
        <w:rPr>
          <w:rFonts w:ascii="Arial" w:hAnsi="Arial" w:cs="Arial"/>
          <w:spacing w:val="6"/>
          <w:sz w:val="20"/>
          <w:szCs w:val="20"/>
          <w:lang w:val="en-US"/>
        </w:rPr>
        <w:t xml:space="preserve">The National Film and Video Foundation (NFVF) </w:t>
      </w:r>
      <w:r w:rsidR="000E4A35" w:rsidRPr="00133F4D">
        <w:rPr>
          <w:rFonts w:ascii="Arial" w:hAnsi="Arial" w:cs="Arial"/>
          <w:spacing w:val="6"/>
          <w:sz w:val="20"/>
          <w:szCs w:val="20"/>
          <w:lang w:val="en-US"/>
        </w:rPr>
        <w:t>improved its audit opinion from qualified to unqualified with findings.</w:t>
      </w:r>
    </w:p>
    <w:p w:rsidR="003F3558" w:rsidRPr="00133F4D" w:rsidRDefault="003F3558" w:rsidP="00133F4D">
      <w:pPr>
        <w:pStyle w:val="NoSpacing"/>
        <w:numPr>
          <w:ilvl w:val="1"/>
          <w:numId w:val="2"/>
        </w:numPr>
        <w:ind w:left="1418"/>
        <w:jc w:val="left"/>
        <w:rPr>
          <w:rFonts w:ascii="Arial" w:hAnsi="Arial" w:cs="Arial"/>
          <w:spacing w:val="6"/>
          <w:sz w:val="20"/>
          <w:szCs w:val="20"/>
          <w:lang w:val="en-US"/>
        </w:rPr>
      </w:pPr>
      <w:r w:rsidRPr="00133F4D">
        <w:rPr>
          <w:rFonts w:ascii="Arial" w:hAnsi="Arial" w:cs="Arial"/>
          <w:spacing w:val="6"/>
          <w:sz w:val="20"/>
          <w:szCs w:val="20"/>
          <w:lang w:val="en-US"/>
        </w:rPr>
        <w:t>It is concerning that five entities have regressed in their audit outcomes. RIM; National Heritage Council (NHC); Ditsong Museums of South Africa (Ditsong Museums); South African Library for the Blind (SALB); and Nelson Mandela Museum (NMM) regressed from an unqualified with no findings (clean) to an unqualified with findings audit opinion.</w:t>
      </w:r>
    </w:p>
    <w:p w:rsidR="003F3558" w:rsidRPr="00133F4D" w:rsidRDefault="003F3558" w:rsidP="00133F4D">
      <w:pPr>
        <w:pStyle w:val="NoSpacing"/>
        <w:numPr>
          <w:ilvl w:val="0"/>
          <w:numId w:val="27"/>
        </w:numPr>
        <w:jc w:val="left"/>
        <w:rPr>
          <w:rFonts w:ascii="Arial" w:hAnsi="Arial" w:cs="Arial"/>
          <w:spacing w:val="6"/>
          <w:sz w:val="20"/>
          <w:szCs w:val="20"/>
          <w:lang w:val="en-US"/>
        </w:rPr>
      </w:pPr>
      <w:r w:rsidRPr="00133F4D">
        <w:rPr>
          <w:rFonts w:ascii="Arial" w:hAnsi="Arial" w:cs="Arial"/>
          <w:i/>
          <w:spacing w:val="6"/>
          <w:sz w:val="20"/>
          <w:szCs w:val="20"/>
          <w:lang w:val="en-US"/>
        </w:rPr>
        <w:t>Qualified</w:t>
      </w:r>
      <w:r w:rsidRPr="00133F4D">
        <w:rPr>
          <w:rFonts w:ascii="Arial" w:hAnsi="Arial" w:cs="Arial"/>
          <w:spacing w:val="6"/>
          <w:sz w:val="20"/>
          <w:szCs w:val="20"/>
          <w:lang w:val="en-US"/>
        </w:rPr>
        <w:t xml:space="preserve"> (3 out of 28)</w:t>
      </w:r>
    </w:p>
    <w:p w:rsidR="003F3558" w:rsidRPr="00133F4D" w:rsidRDefault="00546D17" w:rsidP="00133F4D">
      <w:pPr>
        <w:pStyle w:val="NoSpacing"/>
        <w:numPr>
          <w:ilvl w:val="1"/>
          <w:numId w:val="2"/>
        </w:numPr>
        <w:ind w:left="1418"/>
        <w:jc w:val="left"/>
        <w:rPr>
          <w:rFonts w:ascii="Arial" w:hAnsi="Arial" w:cs="Arial"/>
          <w:spacing w:val="6"/>
          <w:sz w:val="20"/>
          <w:szCs w:val="20"/>
          <w:lang w:val="en-US"/>
        </w:rPr>
      </w:pPr>
      <w:r w:rsidRPr="00133F4D">
        <w:rPr>
          <w:rFonts w:ascii="Arial" w:hAnsi="Arial" w:cs="Arial"/>
          <w:spacing w:val="6"/>
          <w:sz w:val="20"/>
          <w:szCs w:val="20"/>
          <w:lang w:val="en-US"/>
        </w:rPr>
        <w:t xml:space="preserve">Two entities, namely the </w:t>
      </w:r>
      <w:r w:rsidR="00A862DE" w:rsidRPr="00133F4D">
        <w:rPr>
          <w:rFonts w:ascii="Arial" w:hAnsi="Arial" w:cs="Arial"/>
          <w:spacing w:val="6"/>
          <w:sz w:val="20"/>
          <w:szCs w:val="20"/>
          <w:lang w:val="en-US"/>
        </w:rPr>
        <w:t xml:space="preserve">SAST and </w:t>
      </w:r>
      <w:r w:rsidRPr="00133F4D">
        <w:rPr>
          <w:rFonts w:ascii="Arial" w:hAnsi="Arial" w:cs="Arial"/>
          <w:spacing w:val="6"/>
          <w:sz w:val="20"/>
          <w:szCs w:val="20"/>
          <w:lang w:val="en-US"/>
        </w:rPr>
        <w:t>NLSA have retained their qualified audit opinions.</w:t>
      </w:r>
    </w:p>
    <w:p w:rsidR="003F3558" w:rsidRPr="00133F4D" w:rsidRDefault="003F3558" w:rsidP="00133F4D">
      <w:pPr>
        <w:pStyle w:val="NoSpacing"/>
        <w:numPr>
          <w:ilvl w:val="1"/>
          <w:numId w:val="2"/>
        </w:numPr>
        <w:ind w:left="1418"/>
        <w:jc w:val="left"/>
        <w:rPr>
          <w:rFonts w:ascii="Arial" w:hAnsi="Arial" w:cs="Arial"/>
          <w:spacing w:val="6"/>
          <w:sz w:val="20"/>
          <w:szCs w:val="20"/>
          <w:lang w:val="en-US"/>
        </w:rPr>
      </w:pPr>
      <w:r w:rsidRPr="00133F4D">
        <w:rPr>
          <w:rFonts w:ascii="Arial" w:hAnsi="Arial" w:cs="Arial"/>
          <w:spacing w:val="6"/>
          <w:sz w:val="20"/>
          <w:szCs w:val="20"/>
          <w:lang w:val="en-US"/>
        </w:rPr>
        <w:t>Iziko Museums regressed from a previously clean audit opinion to a qualified audit opinion.</w:t>
      </w:r>
    </w:p>
    <w:p w:rsidR="003F3558" w:rsidRPr="00133F4D" w:rsidRDefault="003F3558" w:rsidP="00133F4D">
      <w:pPr>
        <w:pStyle w:val="NoSpacing"/>
        <w:ind w:left="1134"/>
        <w:jc w:val="left"/>
        <w:rPr>
          <w:rFonts w:ascii="Arial" w:hAnsi="Arial" w:cs="Arial"/>
          <w:spacing w:val="6"/>
          <w:sz w:val="20"/>
          <w:szCs w:val="20"/>
          <w:lang w:val="en-US"/>
        </w:rPr>
      </w:pPr>
    </w:p>
    <w:p w:rsidR="00396CC6" w:rsidRPr="00133F4D" w:rsidRDefault="00396CC6" w:rsidP="00133F4D">
      <w:pPr>
        <w:pStyle w:val="NoSpacing"/>
        <w:jc w:val="left"/>
        <w:rPr>
          <w:rFonts w:ascii="Arial" w:hAnsi="Arial" w:cs="Arial"/>
          <w:spacing w:val="6"/>
          <w:sz w:val="20"/>
          <w:szCs w:val="20"/>
          <w:lang w:val="en-US" w:eastAsia="en-GB"/>
        </w:rPr>
      </w:pPr>
      <w:r w:rsidRPr="00133F4D">
        <w:rPr>
          <w:rFonts w:ascii="Arial" w:hAnsi="Arial" w:cs="Arial"/>
          <w:spacing w:val="6"/>
          <w:sz w:val="20"/>
          <w:szCs w:val="20"/>
          <w:lang w:val="en-US" w:eastAsia="en-GB"/>
        </w:rPr>
        <w:t>The AG further reported on the following:</w:t>
      </w:r>
    </w:p>
    <w:p w:rsidR="0069222E" w:rsidRPr="00133F4D" w:rsidRDefault="0069222E" w:rsidP="00133F4D">
      <w:pPr>
        <w:pStyle w:val="NoSpacing"/>
        <w:numPr>
          <w:ilvl w:val="0"/>
          <w:numId w:val="27"/>
        </w:numPr>
        <w:jc w:val="left"/>
        <w:rPr>
          <w:rFonts w:ascii="Arial" w:hAnsi="Arial" w:cs="Arial"/>
          <w:spacing w:val="6"/>
          <w:sz w:val="20"/>
          <w:szCs w:val="20"/>
          <w:lang w:val="en-US" w:eastAsia="en-GB"/>
        </w:rPr>
      </w:pPr>
      <w:r w:rsidRPr="00133F4D">
        <w:rPr>
          <w:rFonts w:ascii="Arial" w:hAnsi="Arial" w:cs="Arial"/>
          <w:i/>
          <w:spacing w:val="6"/>
          <w:sz w:val="20"/>
          <w:szCs w:val="20"/>
          <w:lang w:val="en-US"/>
        </w:rPr>
        <w:t>Financial statements</w:t>
      </w:r>
      <w:r w:rsidR="00396CC6" w:rsidRPr="00133F4D">
        <w:rPr>
          <w:rFonts w:ascii="Arial" w:hAnsi="Arial" w:cs="Arial"/>
          <w:i/>
          <w:spacing w:val="6"/>
          <w:sz w:val="20"/>
          <w:szCs w:val="20"/>
          <w:lang w:val="en-US"/>
        </w:rPr>
        <w:t xml:space="preserve">: </w:t>
      </w:r>
      <w:r w:rsidR="0081646E" w:rsidRPr="00133F4D">
        <w:rPr>
          <w:rFonts w:ascii="Arial" w:hAnsi="Arial" w:cs="Arial"/>
          <w:spacing w:val="6"/>
          <w:sz w:val="20"/>
          <w:szCs w:val="20"/>
          <w:lang w:val="en-US"/>
        </w:rPr>
        <w:t>Of the 28 auditees, 25 (or 90%) presented financially unqualified financial statements to the AG.</w:t>
      </w:r>
      <w:r w:rsidR="00275DBA" w:rsidRPr="00133F4D">
        <w:rPr>
          <w:rFonts w:ascii="Arial" w:hAnsi="Arial" w:cs="Arial"/>
          <w:spacing w:val="6"/>
          <w:sz w:val="20"/>
          <w:szCs w:val="20"/>
          <w:lang w:val="en-US"/>
        </w:rPr>
        <w:t xml:space="preserve"> </w:t>
      </w:r>
      <w:r w:rsidR="0036367E" w:rsidRPr="00133F4D">
        <w:rPr>
          <w:rFonts w:ascii="Arial" w:hAnsi="Arial" w:cs="Arial"/>
          <w:spacing w:val="6"/>
          <w:sz w:val="20"/>
          <w:szCs w:val="20"/>
          <w:lang w:val="en-US"/>
        </w:rPr>
        <w:t>The main qualification areas were Property, Plant and Equipment for (SAST) and Heritage Assets (Iziko Museums and NLSA).</w:t>
      </w:r>
    </w:p>
    <w:p w:rsidR="00591864" w:rsidRPr="00133F4D" w:rsidRDefault="0069222E" w:rsidP="00133F4D">
      <w:pPr>
        <w:pStyle w:val="NoSpacing"/>
        <w:numPr>
          <w:ilvl w:val="0"/>
          <w:numId w:val="27"/>
        </w:numPr>
        <w:jc w:val="left"/>
        <w:rPr>
          <w:rFonts w:ascii="Arial" w:hAnsi="Arial" w:cs="Arial"/>
          <w:strike/>
          <w:spacing w:val="6"/>
          <w:sz w:val="20"/>
          <w:szCs w:val="20"/>
          <w:lang w:val="en-US"/>
        </w:rPr>
      </w:pPr>
      <w:r w:rsidRPr="00133F4D">
        <w:rPr>
          <w:rFonts w:ascii="Arial" w:hAnsi="Arial" w:cs="Arial"/>
          <w:i/>
          <w:spacing w:val="6"/>
          <w:sz w:val="20"/>
          <w:szCs w:val="20"/>
          <w:lang w:val="en-US"/>
        </w:rPr>
        <w:t>Performance reports</w:t>
      </w:r>
      <w:r w:rsidR="00275DBA" w:rsidRPr="00133F4D">
        <w:rPr>
          <w:rFonts w:ascii="Arial" w:hAnsi="Arial" w:cs="Arial"/>
          <w:i/>
          <w:spacing w:val="6"/>
          <w:sz w:val="20"/>
          <w:szCs w:val="20"/>
          <w:lang w:val="en-US"/>
        </w:rPr>
        <w:t>:</w:t>
      </w:r>
      <w:r w:rsidR="00FF31F2" w:rsidRPr="00133F4D">
        <w:rPr>
          <w:rFonts w:ascii="Arial" w:hAnsi="Arial" w:cs="Arial"/>
          <w:spacing w:val="6"/>
          <w:sz w:val="20"/>
          <w:szCs w:val="20"/>
          <w:lang w:val="en-US"/>
        </w:rPr>
        <w:t xml:space="preserve"> </w:t>
      </w:r>
      <w:r w:rsidR="006E059D" w:rsidRPr="00133F4D">
        <w:rPr>
          <w:rFonts w:ascii="Arial" w:hAnsi="Arial" w:cs="Arial"/>
          <w:spacing w:val="6"/>
          <w:sz w:val="20"/>
          <w:szCs w:val="20"/>
          <w:lang w:val="en-US"/>
        </w:rPr>
        <w:t xml:space="preserve">A total of 24 auditees (or 86%) presented performance reports that were free from findings. </w:t>
      </w:r>
      <w:r w:rsidR="00A85DF7" w:rsidRPr="00133F4D">
        <w:rPr>
          <w:rFonts w:ascii="Arial" w:hAnsi="Arial" w:cs="Arial"/>
          <w:spacing w:val="6"/>
          <w:sz w:val="20"/>
          <w:szCs w:val="20"/>
          <w:lang w:val="en-US"/>
        </w:rPr>
        <w:t>The f</w:t>
      </w:r>
      <w:r w:rsidR="006E059D" w:rsidRPr="00133F4D">
        <w:rPr>
          <w:rFonts w:ascii="Arial" w:hAnsi="Arial" w:cs="Arial"/>
          <w:spacing w:val="6"/>
          <w:sz w:val="20"/>
          <w:szCs w:val="20"/>
          <w:lang w:val="en-US"/>
        </w:rPr>
        <w:t>our auditees</w:t>
      </w:r>
      <w:r w:rsidR="00A85DF7" w:rsidRPr="00133F4D">
        <w:rPr>
          <w:rFonts w:ascii="Arial" w:hAnsi="Arial" w:cs="Arial"/>
          <w:spacing w:val="6"/>
          <w:sz w:val="20"/>
          <w:szCs w:val="20"/>
          <w:lang w:val="en-US"/>
        </w:rPr>
        <w:t xml:space="preserve"> that represented performance reports with findings after adjustments were</w:t>
      </w:r>
      <w:r w:rsidR="006E059D" w:rsidRPr="00133F4D">
        <w:rPr>
          <w:rFonts w:ascii="Arial" w:hAnsi="Arial" w:cs="Arial"/>
          <w:spacing w:val="6"/>
          <w:sz w:val="20"/>
          <w:szCs w:val="20"/>
          <w:lang w:val="en-US"/>
        </w:rPr>
        <w:t xml:space="preserve"> namely Amazwi Museum; NFVF; Boxing SA; and </w:t>
      </w:r>
      <w:r w:rsidR="00A85DF7" w:rsidRPr="00133F4D">
        <w:rPr>
          <w:rFonts w:ascii="Arial" w:hAnsi="Arial" w:cs="Arial"/>
          <w:spacing w:val="6"/>
          <w:sz w:val="20"/>
          <w:szCs w:val="20"/>
          <w:lang w:val="en-US"/>
        </w:rPr>
        <w:t>RIM.</w:t>
      </w:r>
    </w:p>
    <w:p w:rsidR="0069222E" w:rsidRPr="00133F4D" w:rsidRDefault="0057526F" w:rsidP="00133F4D">
      <w:pPr>
        <w:pStyle w:val="NoSpacing"/>
        <w:numPr>
          <w:ilvl w:val="0"/>
          <w:numId w:val="27"/>
        </w:numPr>
        <w:jc w:val="left"/>
        <w:rPr>
          <w:rFonts w:ascii="Arial" w:hAnsi="Arial" w:cs="Arial"/>
          <w:spacing w:val="6"/>
          <w:sz w:val="20"/>
          <w:szCs w:val="20"/>
          <w:lang w:val="en-US"/>
        </w:rPr>
      </w:pPr>
      <w:r w:rsidRPr="00133F4D">
        <w:rPr>
          <w:rFonts w:ascii="Arial" w:hAnsi="Arial" w:cs="Arial"/>
          <w:i/>
          <w:spacing w:val="6"/>
          <w:sz w:val="20"/>
          <w:szCs w:val="20"/>
          <w:lang w:val="en-US"/>
        </w:rPr>
        <w:t xml:space="preserve">Compliance with </w:t>
      </w:r>
      <w:r w:rsidR="00C4479C" w:rsidRPr="00133F4D">
        <w:rPr>
          <w:rFonts w:ascii="Arial" w:hAnsi="Arial" w:cs="Arial"/>
          <w:i/>
          <w:spacing w:val="6"/>
          <w:sz w:val="20"/>
          <w:szCs w:val="20"/>
          <w:lang w:val="en-US"/>
        </w:rPr>
        <w:t xml:space="preserve">key </w:t>
      </w:r>
      <w:r w:rsidRPr="00133F4D">
        <w:rPr>
          <w:rFonts w:ascii="Arial" w:hAnsi="Arial" w:cs="Arial"/>
          <w:i/>
          <w:spacing w:val="6"/>
          <w:sz w:val="20"/>
          <w:szCs w:val="20"/>
          <w:lang w:val="en-US"/>
        </w:rPr>
        <w:t>legislation</w:t>
      </w:r>
      <w:r w:rsidRPr="00133F4D">
        <w:rPr>
          <w:rFonts w:ascii="Arial" w:hAnsi="Arial" w:cs="Arial"/>
          <w:spacing w:val="6"/>
          <w:sz w:val="20"/>
          <w:szCs w:val="20"/>
          <w:lang w:val="en-US"/>
        </w:rPr>
        <w:t xml:space="preserve">: </w:t>
      </w:r>
      <w:r w:rsidR="00C4479C" w:rsidRPr="00133F4D">
        <w:rPr>
          <w:rFonts w:ascii="Arial" w:hAnsi="Arial" w:cs="Arial"/>
          <w:spacing w:val="6"/>
          <w:sz w:val="20"/>
          <w:szCs w:val="20"/>
          <w:lang w:val="en-US"/>
        </w:rPr>
        <w:t xml:space="preserve">The AG flagged the downward movement for the portfolio as a matter of concern. </w:t>
      </w:r>
      <w:r w:rsidR="000860F8" w:rsidRPr="00133F4D">
        <w:rPr>
          <w:rFonts w:ascii="Arial" w:hAnsi="Arial" w:cs="Arial"/>
          <w:spacing w:val="6"/>
          <w:sz w:val="20"/>
          <w:szCs w:val="20"/>
          <w:lang w:val="en-US"/>
        </w:rPr>
        <w:t xml:space="preserve">The number of auditees that presented with material findings increased from eight in 2020/21 </w:t>
      </w:r>
      <w:r w:rsidR="008E1DD1" w:rsidRPr="00133F4D">
        <w:rPr>
          <w:rFonts w:ascii="Arial" w:hAnsi="Arial" w:cs="Arial"/>
          <w:spacing w:val="6"/>
          <w:sz w:val="20"/>
          <w:szCs w:val="20"/>
          <w:lang w:val="en-US"/>
        </w:rPr>
        <w:t xml:space="preserve">(26%) </w:t>
      </w:r>
      <w:r w:rsidR="000860F8" w:rsidRPr="00133F4D">
        <w:rPr>
          <w:rFonts w:ascii="Arial" w:hAnsi="Arial" w:cs="Arial"/>
          <w:spacing w:val="6"/>
          <w:sz w:val="20"/>
          <w:szCs w:val="20"/>
          <w:lang w:val="en-US"/>
        </w:rPr>
        <w:t xml:space="preserve">to 18 </w:t>
      </w:r>
      <w:r w:rsidR="00913FE0" w:rsidRPr="00133F4D">
        <w:rPr>
          <w:rFonts w:ascii="Arial" w:hAnsi="Arial" w:cs="Arial"/>
          <w:spacing w:val="6"/>
          <w:sz w:val="20"/>
          <w:szCs w:val="20"/>
          <w:lang w:val="en-US"/>
        </w:rPr>
        <w:t xml:space="preserve">(64%) </w:t>
      </w:r>
      <w:r w:rsidR="000860F8" w:rsidRPr="00133F4D">
        <w:rPr>
          <w:rFonts w:ascii="Arial" w:hAnsi="Arial" w:cs="Arial"/>
          <w:spacing w:val="6"/>
          <w:sz w:val="20"/>
          <w:szCs w:val="20"/>
          <w:lang w:val="en-US"/>
        </w:rPr>
        <w:t>in 2021/22</w:t>
      </w:r>
      <w:r w:rsidR="00A8041E" w:rsidRPr="00133F4D">
        <w:rPr>
          <w:rFonts w:ascii="Arial" w:hAnsi="Arial" w:cs="Arial"/>
          <w:spacing w:val="6"/>
          <w:sz w:val="20"/>
          <w:szCs w:val="20"/>
          <w:lang w:val="en-US"/>
        </w:rPr>
        <w:t xml:space="preserve">. </w:t>
      </w:r>
      <w:r w:rsidR="00CF7997" w:rsidRPr="00133F4D">
        <w:rPr>
          <w:rFonts w:ascii="Arial" w:hAnsi="Arial" w:cs="Arial"/>
          <w:spacing w:val="6"/>
          <w:sz w:val="20"/>
          <w:szCs w:val="20"/>
          <w:lang w:val="en-US"/>
        </w:rPr>
        <w:t>The most common are</w:t>
      </w:r>
      <w:r w:rsidR="00E702A8" w:rsidRPr="00133F4D">
        <w:rPr>
          <w:rFonts w:ascii="Arial" w:hAnsi="Arial" w:cs="Arial"/>
          <w:spacing w:val="6"/>
          <w:sz w:val="20"/>
          <w:szCs w:val="20"/>
          <w:lang w:val="en-US"/>
        </w:rPr>
        <w:t>as of non-compliance identified include procurement and contract management; quality of financial statements; prevention of irregular, unauthorised, and fru</w:t>
      </w:r>
      <w:r w:rsidR="00B71D26" w:rsidRPr="00133F4D">
        <w:rPr>
          <w:rFonts w:ascii="Arial" w:hAnsi="Arial" w:cs="Arial"/>
          <w:spacing w:val="6"/>
          <w:sz w:val="20"/>
          <w:szCs w:val="20"/>
          <w:lang w:val="en-US"/>
        </w:rPr>
        <w:t>itless and wasteful expenditure; and effecting consequence</w:t>
      </w:r>
      <w:r w:rsidR="006C68D0" w:rsidRPr="00133F4D">
        <w:rPr>
          <w:rFonts w:ascii="Arial" w:hAnsi="Arial" w:cs="Arial"/>
          <w:spacing w:val="6"/>
          <w:sz w:val="20"/>
          <w:szCs w:val="20"/>
          <w:lang w:val="en-US"/>
        </w:rPr>
        <w:t>s.</w:t>
      </w:r>
    </w:p>
    <w:p w:rsidR="00AC36FC" w:rsidRPr="00133F4D" w:rsidRDefault="00AC36FC" w:rsidP="00133F4D">
      <w:pPr>
        <w:pStyle w:val="NoSpacing"/>
        <w:jc w:val="left"/>
        <w:rPr>
          <w:rFonts w:ascii="Arial" w:hAnsi="Arial" w:cs="Arial"/>
          <w:spacing w:val="6"/>
          <w:sz w:val="20"/>
          <w:szCs w:val="20"/>
          <w:lang w:val="en-US"/>
        </w:rPr>
      </w:pPr>
    </w:p>
    <w:p w:rsidR="0076033F" w:rsidRPr="00133F4D" w:rsidRDefault="0076033F" w:rsidP="00133F4D">
      <w:pPr>
        <w:pStyle w:val="NoSpacing"/>
        <w:jc w:val="left"/>
        <w:rPr>
          <w:rFonts w:ascii="Arial" w:hAnsi="Arial" w:cs="Arial"/>
          <w:i/>
          <w:spacing w:val="6"/>
          <w:sz w:val="20"/>
          <w:szCs w:val="20"/>
          <w:lang w:val="en-US"/>
        </w:rPr>
      </w:pPr>
      <w:r w:rsidRPr="00133F4D">
        <w:rPr>
          <w:rFonts w:ascii="Arial" w:hAnsi="Arial" w:cs="Arial"/>
          <w:i/>
          <w:spacing w:val="6"/>
          <w:sz w:val="20"/>
          <w:szCs w:val="20"/>
          <w:lang w:val="en-US"/>
        </w:rPr>
        <w:t>Irregular, fruitless and wasteful expenditure</w:t>
      </w:r>
    </w:p>
    <w:p w:rsidR="00AC36FC" w:rsidRPr="00133F4D" w:rsidRDefault="00AC36FC" w:rsidP="00133F4D">
      <w:pPr>
        <w:pStyle w:val="NoSpacing"/>
        <w:jc w:val="left"/>
        <w:rPr>
          <w:rFonts w:ascii="Arial" w:hAnsi="Arial" w:cs="Arial"/>
          <w:spacing w:val="6"/>
          <w:sz w:val="20"/>
          <w:szCs w:val="20"/>
          <w:lang w:val="en-US"/>
        </w:rPr>
      </w:pPr>
      <w:r w:rsidRPr="00133F4D">
        <w:rPr>
          <w:rFonts w:ascii="Arial" w:hAnsi="Arial" w:cs="Arial"/>
          <w:spacing w:val="6"/>
          <w:sz w:val="20"/>
          <w:szCs w:val="20"/>
          <w:lang w:val="en-US"/>
        </w:rPr>
        <w:t>The following provides a broad overview of irregular, fruitless and wasteful expenditure incurred during the 2021/22 financial year across the portfolio.</w:t>
      </w:r>
    </w:p>
    <w:p w:rsidR="00964DA5" w:rsidRPr="00133F4D" w:rsidRDefault="00964DA5" w:rsidP="00133F4D">
      <w:pPr>
        <w:pStyle w:val="NoSpacing"/>
        <w:jc w:val="left"/>
        <w:rPr>
          <w:rFonts w:ascii="Arial" w:hAnsi="Arial" w:cs="Arial"/>
          <w:spacing w:val="6"/>
          <w:sz w:val="20"/>
          <w:szCs w:val="20"/>
          <w:lang w:val="en-US"/>
        </w:rPr>
      </w:pPr>
    </w:p>
    <w:p w:rsidR="00964DA5" w:rsidRPr="00133F4D" w:rsidRDefault="00964DA5" w:rsidP="00133F4D">
      <w:pPr>
        <w:pStyle w:val="NoSpacing"/>
        <w:jc w:val="left"/>
        <w:rPr>
          <w:rFonts w:ascii="Arial" w:hAnsi="Arial" w:cs="Arial"/>
          <w:spacing w:val="6"/>
          <w:sz w:val="20"/>
          <w:szCs w:val="20"/>
          <w:lang w:val="en-US"/>
        </w:rPr>
      </w:pPr>
      <w:r w:rsidRPr="00133F4D">
        <w:rPr>
          <w:rFonts w:ascii="Arial" w:hAnsi="Arial" w:cs="Arial"/>
          <w:spacing w:val="6"/>
          <w:sz w:val="20"/>
          <w:szCs w:val="20"/>
          <w:lang w:val="en-US"/>
        </w:rPr>
        <w:t>The total amount of irregular expenditure for the portfolio was R105.2 million, of which the Department contributed R59.7 million (56.7%)</w:t>
      </w:r>
      <w:r w:rsidR="00977AF3" w:rsidRPr="00133F4D">
        <w:rPr>
          <w:rFonts w:ascii="Arial" w:hAnsi="Arial" w:cs="Arial"/>
          <w:spacing w:val="6"/>
          <w:sz w:val="20"/>
          <w:szCs w:val="20"/>
          <w:lang w:val="en-US"/>
        </w:rPr>
        <w:t xml:space="preserve">. </w:t>
      </w:r>
      <w:r w:rsidR="00B270A5" w:rsidRPr="00133F4D">
        <w:rPr>
          <w:rFonts w:ascii="Arial" w:hAnsi="Arial" w:cs="Arial"/>
          <w:spacing w:val="6"/>
          <w:sz w:val="20"/>
          <w:szCs w:val="20"/>
          <w:lang w:val="en-US"/>
        </w:rPr>
        <w:t xml:space="preserve">This is a significant increase from 2020/21 when irregular expenditure amounted to R23.9 million. </w:t>
      </w:r>
      <w:r w:rsidR="00F35E8E" w:rsidRPr="00133F4D">
        <w:rPr>
          <w:rFonts w:ascii="Arial" w:hAnsi="Arial" w:cs="Arial"/>
          <w:spacing w:val="6"/>
          <w:sz w:val="20"/>
          <w:szCs w:val="20"/>
          <w:lang w:val="en-US"/>
        </w:rPr>
        <w:t>The top contributors in 2021/22, after the Department, were NAC</w:t>
      </w:r>
      <w:r w:rsidR="00D431A9" w:rsidRPr="00133F4D">
        <w:rPr>
          <w:rFonts w:ascii="Arial" w:hAnsi="Arial" w:cs="Arial"/>
          <w:spacing w:val="6"/>
          <w:sz w:val="20"/>
          <w:szCs w:val="20"/>
          <w:lang w:val="en-US"/>
        </w:rPr>
        <w:t xml:space="preserve"> (R20.9 million)</w:t>
      </w:r>
      <w:r w:rsidR="00F35E8E" w:rsidRPr="00133F4D">
        <w:rPr>
          <w:rFonts w:ascii="Arial" w:hAnsi="Arial" w:cs="Arial"/>
          <w:spacing w:val="6"/>
          <w:sz w:val="20"/>
          <w:szCs w:val="20"/>
          <w:lang w:val="en-US"/>
        </w:rPr>
        <w:t>; NHC</w:t>
      </w:r>
      <w:r w:rsidR="00E51E92" w:rsidRPr="00133F4D">
        <w:rPr>
          <w:rFonts w:ascii="Arial" w:hAnsi="Arial" w:cs="Arial"/>
          <w:spacing w:val="6"/>
          <w:sz w:val="20"/>
          <w:szCs w:val="20"/>
          <w:lang w:val="en-US"/>
        </w:rPr>
        <w:t xml:space="preserve"> (R4.5 million)</w:t>
      </w:r>
      <w:r w:rsidR="00F35E8E" w:rsidRPr="00133F4D">
        <w:rPr>
          <w:rFonts w:ascii="Arial" w:hAnsi="Arial" w:cs="Arial"/>
          <w:spacing w:val="6"/>
          <w:sz w:val="20"/>
          <w:szCs w:val="20"/>
          <w:lang w:val="en-US"/>
        </w:rPr>
        <w:t>; PanSALB</w:t>
      </w:r>
      <w:r w:rsidR="00E51E92" w:rsidRPr="00133F4D">
        <w:rPr>
          <w:rFonts w:ascii="Arial" w:hAnsi="Arial" w:cs="Arial"/>
          <w:spacing w:val="6"/>
          <w:sz w:val="20"/>
          <w:szCs w:val="20"/>
          <w:lang w:val="en-US"/>
        </w:rPr>
        <w:t xml:space="preserve"> (R3.7 million)</w:t>
      </w:r>
      <w:r w:rsidR="00F35E8E" w:rsidRPr="00133F4D">
        <w:rPr>
          <w:rFonts w:ascii="Arial" w:hAnsi="Arial" w:cs="Arial"/>
          <w:spacing w:val="6"/>
          <w:sz w:val="20"/>
          <w:szCs w:val="20"/>
          <w:lang w:val="en-US"/>
        </w:rPr>
        <w:t xml:space="preserve"> and </w:t>
      </w:r>
      <w:r w:rsidR="00F35E8E" w:rsidRPr="00133F4D">
        <w:rPr>
          <w:rFonts w:ascii="Arial" w:hAnsi="Arial" w:cs="Arial"/>
          <w:spacing w:val="6"/>
          <w:sz w:val="20"/>
          <w:szCs w:val="20"/>
          <w:lang w:val="en-US"/>
        </w:rPr>
        <w:lastRenderedPageBreak/>
        <w:t>Freedom Park</w:t>
      </w:r>
      <w:r w:rsidR="00E51E92" w:rsidRPr="00133F4D">
        <w:rPr>
          <w:rFonts w:ascii="Arial" w:hAnsi="Arial" w:cs="Arial"/>
          <w:spacing w:val="6"/>
          <w:sz w:val="20"/>
          <w:szCs w:val="20"/>
          <w:lang w:val="en-US"/>
        </w:rPr>
        <w:t xml:space="preserve"> (R2.9 million)</w:t>
      </w:r>
      <w:r w:rsidR="00F35E8E" w:rsidRPr="00133F4D">
        <w:rPr>
          <w:rFonts w:ascii="Arial" w:hAnsi="Arial" w:cs="Arial"/>
          <w:spacing w:val="6"/>
          <w:sz w:val="20"/>
          <w:szCs w:val="20"/>
          <w:lang w:val="en-US"/>
        </w:rPr>
        <w:t xml:space="preserve">. </w:t>
      </w:r>
      <w:r w:rsidR="006E36A0" w:rsidRPr="00133F4D">
        <w:rPr>
          <w:rFonts w:ascii="Arial" w:hAnsi="Arial" w:cs="Arial"/>
          <w:spacing w:val="6"/>
          <w:sz w:val="20"/>
          <w:szCs w:val="20"/>
          <w:lang w:val="en-US"/>
        </w:rPr>
        <w:t>The irregular expenditure incurred</w:t>
      </w:r>
      <w:r w:rsidR="00B270A5" w:rsidRPr="00133F4D">
        <w:rPr>
          <w:rFonts w:ascii="Arial" w:hAnsi="Arial" w:cs="Arial"/>
          <w:spacing w:val="6"/>
          <w:sz w:val="20"/>
          <w:szCs w:val="20"/>
          <w:lang w:val="en-US"/>
        </w:rPr>
        <w:t xml:space="preserve"> </w:t>
      </w:r>
      <w:r w:rsidR="006E36A0" w:rsidRPr="00133F4D">
        <w:rPr>
          <w:rFonts w:ascii="Arial" w:hAnsi="Arial" w:cs="Arial"/>
          <w:spacing w:val="6"/>
          <w:sz w:val="20"/>
          <w:szCs w:val="20"/>
          <w:lang w:val="en-US"/>
        </w:rPr>
        <w:t xml:space="preserve">was mainly due to non-compliance with SCM regulations for all other entities, expenditure exceeding budget for the NAC and non-compliance with the Division of Revenue Act (DORA) for the </w:t>
      </w:r>
      <w:r w:rsidR="00B83FA8" w:rsidRPr="00133F4D">
        <w:rPr>
          <w:rFonts w:ascii="Arial" w:hAnsi="Arial" w:cs="Arial"/>
          <w:spacing w:val="6"/>
          <w:sz w:val="20"/>
          <w:szCs w:val="20"/>
          <w:lang w:val="en-US"/>
        </w:rPr>
        <w:t>D</w:t>
      </w:r>
      <w:r w:rsidR="006E36A0" w:rsidRPr="00133F4D">
        <w:rPr>
          <w:rFonts w:ascii="Arial" w:hAnsi="Arial" w:cs="Arial"/>
          <w:spacing w:val="6"/>
          <w:sz w:val="20"/>
          <w:szCs w:val="20"/>
          <w:lang w:val="en-US"/>
        </w:rPr>
        <w:t>epartment.</w:t>
      </w:r>
    </w:p>
    <w:p w:rsidR="007349B1" w:rsidRPr="00133F4D" w:rsidRDefault="007349B1" w:rsidP="00133F4D">
      <w:pPr>
        <w:pStyle w:val="NoSpacing"/>
        <w:jc w:val="left"/>
        <w:rPr>
          <w:rFonts w:ascii="Arial" w:hAnsi="Arial" w:cs="Arial"/>
          <w:spacing w:val="6"/>
          <w:sz w:val="20"/>
          <w:szCs w:val="20"/>
          <w:lang w:val="en-US"/>
        </w:rPr>
      </w:pPr>
    </w:p>
    <w:p w:rsidR="005E68A0" w:rsidRPr="00133F4D" w:rsidRDefault="007349B1" w:rsidP="00133F4D">
      <w:pPr>
        <w:pStyle w:val="NoSpacing"/>
        <w:jc w:val="left"/>
        <w:rPr>
          <w:rFonts w:ascii="Arial" w:hAnsi="Arial" w:cs="Arial"/>
          <w:spacing w:val="6"/>
          <w:sz w:val="20"/>
          <w:szCs w:val="20"/>
          <w:lang w:val="en-US"/>
        </w:rPr>
      </w:pPr>
      <w:r w:rsidRPr="00133F4D">
        <w:rPr>
          <w:rFonts w:ascii="Arial" w:hAnsi="Arial" w:cs="Arial"/>
          <w:spacing w:val="6"/>
          <w:sz w:val="20"/>
          <w:szCs w:val="20"/>
          <w:lang w:val="en-US"/>
        </w:rPr>
        <w:t xml:space="preserve">The AG provided an overview of consequence management in relation to dealing with irregular expenditure and noted that the closing balance </w:t>
      </w:r>
      <w:r w:rsidR="0002777E" w:rsidRPr="00133F4D">
        <w:rPr>
          <w:rFonts w:ascii="Arial" w:hAnsi="Arial" w:cs="Arial"/>
          <w:spacing w:val="6"/>
          <w:sz w:val="20"/>
          <w:szCs w:val="20"/>
          <w:lang w:val="en-US"/>
        </w:rPr>
        <w:t>continues to increase. In 2018/19 the closing balance for irregular expenditure was R901 million</w:t>
      </w:r>
      <w:r w:rsidR="00FB7C3D" w:rsidRPr="00133F4D">
        <w:rPr>
          <w:rFonts w:ascii="Arial" w:hAnsi="Arial" w:cs="Arial"/>
          <w:spacing w:val="6"/>
          <w:sz w:val="20"/>
          <w:szCs w:val="20"/>
          <w:lang w:val="en-US"/>
        </w:rPr>
        <w:t xml:space="preserve"> compared to R1.2 billion </w:t>
      </w:r>
      <w:r w:rsidR="00EB4E71" w:rsidRPr="00133F4D">
        <w:rPr>
          <w:rFonts w:ascii="Arial" w:hAnsi="Arial" w:cs="Arial"/>
          <w:spacing w:val="6"/>
          <w:sz w:val="20"/>
          <w:szCs w:val="20"/>
          <w:lang w:val="en-US"/>
        </w:rPr>
        <w:t>in 2021/22. The AG cites DSAC</w:t>
      </w:r>
      <w:r w:rsidR="001634A7" w:rsidRPr="00133F4D">
        <w:rPr>
          <w:rFonts w:ascii="Arial" w:hAnsi="Arial" w:cs="Arial"/>
          <w:spacing w:val="6"/>
          <w:sz w:val="20"/>
          <w:szCs w:val="20"/>
          <w:lang w:val="en-US"/>
        </w:rPr>
        <w:t xml:space="preserve"> (R389 million)</w:t>
      </w:r>
      <w:r w:rsidR="00EB4E71" w:rsidRPr="00133F4D">
        <w:rPr>
          <w:rFonts w:ascii="Arial" w:hAnsi="Arial" w:cs="Arial"/>
          <w:spacing w:val="6"/>
          <w:sz w:val="20"/>
          <w:szCs w:val="20"/>
          <w:lang w:val="en-US"/>
        </w:rPr>
        <w:t>; SAST</w:t>
      </w:r>
      <w:r w:rsidR="001634A7" w:rsidRPr="00133F4D">
        <w:rPr>
          <w:rFonts w:ascii="Arial" w:hAnsi="Arial" w:cs="Arial"/>
          <w:spacing w:val="6"/>
          <w:sz w:val="20"/>
          <w:szCs w:val="20"/>
          <w:lang w:val="en-US"/>
        </w:rPr>
        <w:t xml:space="preserve"> (R175 million)</w:t>
      </w:r>
      <w:r w:rsidR="00EB4E71" w:rsidRPr="00133F4D">
        <w:rPr>
          <w:rFonts w:ascii="Arial" w:hAnsi="Arial" w:cs="Arial"/>
          <w:spacing w:val="6"/>
          <w:sz w:val="20"/>
          <w:szCs w:val="20"/>
          <w:lang w:val="en-US"/>
        </w:rPr>
        <w:t>; RIM</w:t>
      </w:r>
      <w:r w:rsidR="001634A7" w:rsidRPr="00133F4D">
        <w:rPr>
          <w:rFonts w:ascii="Arial" w:hAnsi="Arial" w:cs="Arial"/>
          <w:spacing w:val="6"/>
          <w:sz w:val="20"/>
          <w:szCs w:val="20"/>
          <w:lang w:val="en-US"/>
        </w:rPr>
        <w:t xml:space="preserve"> (R92 million)</w:t>
      </w:r>
      <w:r w:rsidR="00EB4E71" w:rsidRPr="00133F4D">
        <w:rPr>
          <w:rFonts w:ascii="Arial" w:hAnsi="Arial" w:cs="Arial"/>
          <w:spacing w:val="6"/>
          <w:sz w:val="20"/>
          <w:szCs w:val="20"/>
          <w:lang w:val="en-US"/>
        </w:rPr>
        <w:t>; PACOFS</w:t>
      </w:r>
      <w:r w:rsidR="001634A7" w:rsidRPr="00133F4D">
        <w:rPr>
          <w:rFonts w:ascii="Arial" w:hAnsi="Arial" w:cs="Arial"/>
          <w:spacing w:val="6"/>
          <w:sz w:val="20"/>
          <w:szCs w:val="20"/>
          <w:lang w:val="en-US"/>
        </w:rPr>
        <w:t xml:space="preserve"> (R72 million)</w:t>
      </w:r>
      <w:r w:rsidR="00EB4E71" w:rsidRPr="00133F4D">
        <w:rPr>
          <w:rFonts w:ascii="Arial" w:hAnsi="Arial" w:cs="Arial"/>
          <w:spacing w:val="6"/>
          <w:sz w:val="20"/>
          <w:szCs w:val="20"/>
          <w:lang w:val="en-US"/>
        </w:rPr>
        <w:t xml:space="preserve">; and NAC </w:t>
      </w:r>
      <w:r w:rsidR="001634A7" w:rsidRPr="00133F4D">
        <w:rPr>
          <w:rFonts w:ascii="Arial" w:hAnsi="Arial" w:cs="Arial"/>
          <w:spacing w:val="6"/>
          <w:sz w:val="20"/>
          <w:szCs w:val="20"/>
          <w:lang w:val="en-US"/>
        </w:rPr>
        <w:t xml:space="preserve">(R62 million) </w:t>
      </w:r>
      <w:r w:rsidR="00EB4E71" w:rsidRPr="00133F4D">
        <w:rPr>
          <w:rFonts w:ascii="Arial" w:hAnsi="Arial" w:cs="Arial"/>
          <w:spacing w:val="6"/>
          <w:sz w:val="20"/>
          <w:szCs w:val="20"/>
          <w:lang w:val="en-US"/>
        </w:rPr>
        <w:t>as the top five contributors to irregular expenditure not dealt with at the end of 2020/21</w:t>
      </w:r>
      <w:r w:rsidR="00DD09FD" w:rsidRPr="00133F4D">
        <w:rPr>
          <w:rFonts w:ascii="Arial" w:hAnsi="Arial" w:cs="Arial"/>
          <w:spacing w:val="6"/>
          <w:sz w:val="20"/>
          <w:szCs w:val="20"/>
          <w:lang w:val="en-US"/>
        </w:rPr>
        <w:t>. Collectively these auditees contributed R790 million (or 72%) of the closing balance of R1.1 billion for 2020/21.</w:t>
      </w:r>
      <w:r w:rsidR="00542C23" w:rsidRPr="00133F4D">
        <w:rPr>
          <w:rFonts w:ascii="Arial" w:hAnsi="Arial" w:cs="Arial"/>
          <w:spacing w:val="6"/>
          <w:sz w:val="20"/>
          <w:szCs w:val="20"/>
          <w:lang w:val="en-US"/>
        </w:rPr>
        <w:t xml:space="preserve"> The key reasons for the failure to deal with irregular expenditure include</w:t>
      </w:r>
      <w:r w:rsidR="005E68A0" w:rsidRPr="00133F4D">
        <w:rPr>
          <w:rFonts w:ascii="Arial" w:hAnsi="Arial" w:cs="Arial"/>
          <w:spacing w:val="6"/>
          <w:sz w:val="20"/>
          <w:szCs w:val="20"/>
          <w:lang w:val="en-US"/>
        </w:rPr>
        <w:t>:</w:t>
      </w:r>
    </w:p>
    <w:p w:rsidR="005E68A0" w:rsidRPr="00133F4D" w:rsidRDefault="00542C23" w:rsidP="00133F4D">
      <w:pPr>
        <w:pStyle w:val="NoSpacing"/>
        <w:numPr>
          <w:ilvl w:val="0"/>
          <w:numId w:val="28"/>
        </w:numPr>
        <w:ind w:left="851"/>
        <w:jc w:val="left"/>
        <w:rPr>
          <w:rFonts w:ascii="Arial" w:hAnsi="Arial" w:cs="Arial"/>
          <w:spacing w:val="6"/>
          <w:sz w:val="20"/>
          <w:szCs w:val="20"/>
          <w:lang w:val="en-US"/>
        </w:rPr>
      </w:pPr>
      <w:r w:rsidRPr="00133F4D">
        <w:rPr>
          <w:rFonts w:ascii="Arial" w:hAnsi="Arial" w:cs="Arial"/>
          <w:spacing w:val="6"/>
          <w:sz w:val="20"/>
          <w:szCs w:val="20"/>
          <w:lang w:val="en-US"/>
        </w:rPr>
        <w:t xml:space="preserve">ineffective consequence management processes as no investigations were conducted for SAST; RIM; NAC; and </w:t>
      </w:r>
      <w:r w:rsidR="005E68A0" w:rsidRPr="00133F4D">
        <w:rPr>
          <w:rFonts w:ascii="Arial" w:hAnsi="Arial" w:cs="Arial"/>
          <w:spacing w:val="6"/>
          <w:sz w:val="20"/>
          <w:szCs w:val="20"/>
          <w:lang w:val="en-US"/>
        </w:rPr>
        <w:t>PACOFS, and</w:t>
      </w:r>
    </w:p>
    <w:p w:rsidR="007349B1" w:rsidRPr="00133F4D" w:rsidRDefault="005E68A0" w:rsidP="00133F4D">
      <w:pPr>
        <w:pStyle w:val="NoSpacing"/>
        <w:numPr>
          <w:ilvl w:val="0"/>
          <w:numId w:val="28"/>
        </w:numPr>
        <w:ind w:left="851"/>
        <w:jc w:val="left"/>
        <w:rPr>
          <w:rFonts w:ascii="Arial" w:hAnsi="Arial" w:cs="Arial"/>
          <w:spacing w:val="6"/>
          <w:sz w:val="20"/>
          <w:szCs w:val="20"/>
          <w:lang w:val="en-US"/>
        </w:rPr>
      </w:pPr>
      <w:r w:rsidRPr="00133F4D">
        <w:rPr>
          <w:rFonts w:ascii="Arial" w:hAnsi="Arial" w:cs="Arial"/>
          <w:spacing w:val="6"/>
          <w:sz w:val="20"/>
          <w:szCs w:val="20"/>
          <w:lang w:val="en-US"/>
        </w:rPr>
        <w:t xml:space="preserve">R455 million (41%) has been investigated but other processes not finalised, R52 million (5%) for SAHRA is awaiting write off and R20 million is awaiting condonation. </w:t>
      </w:r>
    </w:p>
    <w:p w:rsidR="002753C7" w:rsidRPr="00133F4D" w:rsidRDefault="002753C7" w:rsidP="00133F4D">
      <w:pPr>
        <w:pStyle w:val="NoSpacing"/>
        <w:jc w:val="left"/>
        <w:rPr>
          <w:rFonts w:ascii="Arial" w:hAnsi="Arial" w:cs="Arial"/>
          <w:spacing w:val="6"/>
          <w:sz w:val="20"/>
          <w:szCs w:val="20"/>
          <w:lang w:val="en-US"/>
        </w:rPr>
      </w:pPr>
    </w:p>
    <w:p w:rsidR="006A569E" w:rsidRPr="00133F4D" w:rsidRDefault="00B270A5" w:rsidP="00133F4D">
      <w:pPr>
        <w:pStyle w:val="NoSpacing"/>
        <w:jc w:val="left"/>
        <w:rPr>
          <w:rFonts w:ascii="Arial" w:hAnsi="Arial" w:cs="Arial"/>
          <w:spacing w:val="6"/>
          <w:sz w:val="20"/>
          <w:szCs w:val="20"/>
          <w:lang w:val="en-US"/>
        </w:rPr>
      </w:pPr>
      <w:r w:rsidRPr="00133F4D">
        <w:rPr>
          <w:rFonts w:ascii="Arial" w:hAnsi="Arial" w:cs="Arial"/>
          <w:spacing w:val="6"/>
          <w:sz w:val="20"/>
          <w:szCs w:val="20"/>
          <w:lang w:val="en-US"/>
        </w:rPr>
        <w:t xml:space="preserve">Fruitless and wasteful expenditure </w:t>
      </w:r>
      <w:r w:rsidR="00A013B2" w:rsidRPr="00133F4D">
        <w:rPr>
          <w:rFonts w:ascii="Arial" w:hAnsi="Arial" w:cs="Arial"/>
          <w:spacing w:val="6"/>
          <w:sz w:val="20"/>
          <w:szCs w:val="20"/>
          <w:lang w:val="en-US"/>
        </w:rPr>
        <w:t xml:space="preserve">amounted to R5.1 million for the 2021/22 financial year. </w:t>
      </w:r>
      <w:r w:rsidR="00ED1836" w:rsidRPr="00133F4D">
        <w:rPr>
          <w:rFonts w:ascii="Arial" w:hAnsi="Arial" w:cs="Arial"/>
          <w:spacing w:val="6"/>
          <w:sz w:val="20"/>
          <w:szCs w:val="20"/>
          <w:lang w:val="en-US"/>
        </w:rPr>
        <w:t>Freedom Park (R689 889)</w:t>
      </w:r>
      <w:r w:rsidR="00D431A9" w:rsidRPr="00133F4D">
        <w:rPr>
          <w:rFonts w:ascii="Arial" w:hAnsi="Arial" w:cs="Arial"/>
          <w:spacing w:val="6"/>
          <w:sz w:val="20"/>
          <w:szCs w:val="20"/>
          <w:lang w:val="en-US"/>
        </w:rPr>
        <w:t>;</w:t>
      </w:r>
      <w:r w:rsidR="00ED1836" w:rsidRPr="00133F4D">
        <w:rPr>
          <w:rFonts w:ascii="Arial" w:hAnsi="Arial" w:cs="Arial"/>
          <w:spacing w:val="6"/>
          <w:sz w:val="20"/>
          <w:szCs w:val="20"/>
          <w:lang w:val="en-US"/>
        </w:rPr>
        <w:t xml:space="preserve"> Ditsong Museums (R862 698)</w:t>
      </w:r>
      <w:r w:rsidR="00D431A9" w:rsidRPr="00133F4D">
        <w:rPr>
          <w:rFonts w:ascii="Arial" w:hAnsi="Arial" w:cs="Arial"/>
          <w:spacing w:val="6"/>
          <w:sz w:val="20"/>
          <w:szCs w:val="20"/>
          <w:lang w:val="en-US"/>
        </w:rPr>
        <w:t>;</w:t>
      </w:r>
      <w:r w:rsidR="00ED1836" w:rsidRPr="00133F4D">
        <w:rPr>
          <w:rFonts w:ascii="Arial" w:hAnsi="Arial" w:cs="Arial"/>
          <w:spacing w:val="6"/>
          <w:sz w:val="20"/>
          <w:szCs w:val="20"/>
          <w:lang w:val="en-US"/>
        </w:rPr>
        <w:t xml:space="preserve"> SAST (R810 649)</w:t>
      </w:r>
      <w:r w:rsidR="00D431A9" w:rsidRPr="00133F4D">
        <w:rPr>
          <w:rFonts w:ascii="Arial" w:hAnsi="Arial" w:cs="Arial"/>
          <w:spacing w:val="6"/>
          <w:sz w:val="20"/>
          <w:szCs w:val="20"/>
          <w:lang w:val="en-US"/>
        </w:rPr>
        <w:t>;</w:t>
      </w:r>
      <w:r w:rsidR="00ED1836" w:rsidRPr="00133F4D">
        <w:rPr>
          <w:rFonts w:ascii="Arial" w:hAnsi="Arial" w:cs="Arial"/>
          <w:spacing w:val="6"/>
          <w:sz w:val="20"/>
          <w:szCs w:val="20"/>
          <w:lang w:val="en-US"/>
        </w:rPr>
        <w:t xml:space="preserve"> and NFVF (R2.1 million) incurred majority of the fruitless and wasteful expenditure. For Freedom Park, it was mainly because of a payment made for services not received while Ditsong</w:t>
      </w:r>
      <w:r w:rsidR="00312DBF" w:rsidRPr="00133F4D">
        <w:rPr>
          <w:rFonts w:ascii="Arial" w:hAnsi="Arial" w:cs="Arial"/>
          <w:spacing w:val="6"/>
          <w:sz w:val="20"/>
          <w:szCs w:val="20"/>
          <w:lang w:val="en-US"/>
        </w:rPr>
        <w:t xml:space="preserve"> Museums</w:t>
      </w:r>
      <w:r w:rsidR="00ED1836" w:rsidRPr="00133F4D">
        <w:rPr>
          <w:rFonts w:ascii="Arial" w:hAnsi="Arial" w:cs="Arial"/>
          <w:spacing w:val="6"/>
          <w:sz w:val="20"/>
          <w:szCs w:val="20"/>
          <w:lang w:val="en-US"/>
        </w:rPr>
        <w:t xml:space="preserve"> incurred penalties on late payments of invoices due to cash flow challenges faced by the entity. The South African State Theatre incurred interest and penalties charged by the City of Tshwane on amounts due. For the NFVF it was because of labour case settlement and legal fees for a former head of department.</w:t>
      </w:r>
    </w:p>
    <w:p w:rsidR="00AC36FC" w:rsidRPr="00133F4D" w:rsidRDefault="00AC36FC" w:rsidP="00133F4D">
      <w:pPr>
        <w:spacing w:after="0" w:line="240" w:lineRule="auto"/>
        <w:jc w:val="left"/>
        <w:rPr>
          <w:rFonts w:ascii="Arial" w:hAnsi="Arial" w:cs="Arial"/>
          <w:spacing w:val="6"/>
          <w:sz w:val="20"/>
          <w:szCs w:val="20"/>
        </w:rPr>
      </w:pPr>
    </w:p>
    <w:p w:rsidR="0069222E" w:rsidRPr="00133F4D" w:rsidRDefault="00EA1D35" w:rsidP="00133F4D">
      <w:pPr>
        <w:pStyle w:val="Heading2"/>
        <w:numPr>
          <w:ilvl w:val="2"/>
          <w:numId w:val="11"/>
        </w:numPr>
        <w:spacing w:line="240" w:lineRule="auto"/>
        <w:jc w:val="left"/>
        <w:rPr>
          <w:rFonts w:ascii="Arial" w:hAnsi="Arial" w:cs="Arial"/>
          <w:sz w:val="20"/>
          <w:szCs w:val="20"/>
        </w:rPr>
      </w:pPr>
      <w:bookmarkStart w:id="17" w:name="_Toc88519309"/>
      <w:r w:rsidRPr="00133F4D">
        <w:rPr>
          <w:rFonts w:ascii="Arial" w:hAnsi="Arial" w:cs="Arial"/>
          <w:sz w:val="20"/>
          <w:szCs w:val="20"/>
        </w:rPr>
        <w:t xml:space="preserve">DSAC </w:t>
      </w:r>
      <w:r w:rsidR="0069222E" w:rsidRPr="00133F4D">
        <w:rPr>
          <w:rFonts w:ascii="Arial" w:hAnsi="Arial" w:cs="Arial"/>
          <w:sz w:val="20"/>
          <w:szCs w:val="20"/>
        </w:rPr>
        <w:t>Human Resources</w:t>
      </w:r>
      <w:bookmarkEnd w:id="17"/>
      <w:r w:rsidRPr="00133F4D">
        <w:rPr>
          <w:rFonts w:ascii="Arial" w:hAnsi="Arial" w:cs="Arial"/>
          <w:sz w:val="20"/>
          <w:szCs w:val="20"/>
        </w:rPr>
        <w:t xml:space="preserve"> overview</w:t>
      </w:r>
    </w:p>
    <w:p w:rsidR="00875977" w:rsidRPr="00133F4D" w:rsidRDefault="008F3C2A" w:rsidP="00133F4D">
      <w:pPr>
        <w:spacing w:after="0" w:line="240" w:lineRule="auto"/>
        <w:jc w:val="left"/>
        <w:rPr>
          <w:rFonts w:ascii="Arial" w:hAnsi="Arial" w:cs="Arial"/>
          <w:spacing w:val="6"/>
          <w:sz w:val="20"/>
          <w:szCs w:val="20"/>
          <w:lang w:val="en-US"/>
        </w:rPr>
      </w:pPr>
      <w:r w:rsidRPr="00133F4D">
        <w:rPr>
          <w:rFonts w:ascii="Arial" w:hAnsi="Arial" w:cs="Arial"/>
          <w:spacing w:val="6"/>
          <w:sz w:val="20"/>
          <w:szCs w:val="20"/>
          <w:lang w:val="en-US"/>
        </w:rPr>
        <w:t xml:space="preserve">In its 2021/22 annual report, the </w:t>
      </w:r>
      <w:r w:rsidR="00875977" w:rsidRPr="00133F4D">
        <w:rPr>
          <w:rFonts w:ascii="Arial" w:hAnsi="Arial" w:cs="Arial"/>
          <w:spacing w:val="6"/>
          <w:sz w:val="20"/>
          <w:szCs w:val="20"/>
          <w:lang w:val="en-US"/>
        </w:rPr>
        <w:t>Department</w:t>
      </w:r>
      <w:r w:rsidR="00030FC6" w:rsidRPr="00133F4D">
        <w:rPr>
          <w:rFonts w:ascii="Arial" w:hAnsi="Arial" w:cs="Arial"/>
          <w:spacing w:val="6"/>
          <w:sz w:val="20"/>
          <w:szCs w:val="20"/>
          <w:lang w:val="en-US"/>
        </w:rPr>
        <w:t xml:space="preserve"> states that it</w:t>
      </w:r>
      <w:r w:rsidR="00875977" w:rsidRPr="00133F4D">
        <w:rPr>
          <w:rFonts w:ascii="Arial" w:hAnsi="Arial" w:cs="Arial"/>
          <w:spacing w:val="6"/>
          <w:sz w:val="20"/>
          <w:szCs w:val="20"/>
          <w:lang w:val="en-US"/>
        </w:rPr>
        <w:t xml:space="preserve"> has 670 posts on the approved establishment. The vacancy rate reflects funded and unfunded positions as captured and maintained in the Department’s establishment. The vacancy rate was 19.7% cent at the end of the financial year. The Department was not able to maintain a vacancy rate of less than 10%. Fifty-two positions were advertised across all branches of the Department between July 2021 and January 2022. Twenty-eight of these have been filled and the remainder are at different stages of the selection process. The Department, through its recruitment processes, promoted 13 employees but also lost 18 employees due to various types of terminations.</w:t>
      </w:r>
    </w:p>
    <w:p w:rsidR="00875977" w:rsidRPr="00133F4D" w:rsidRDefault="00875977" w:rsidP="00133F4D">
      <w:pPr>
        <w:spacing w:after="0" w:line="240" w:lineRule="auto"/>
        <w:jc w:val="left"/>
        <w:rPr>
          <w:rFonts w:ascii="Arial" w:hAnsi="Arial" w:cs="Arial"/>
          <w:spacing w:val="6"/>
          <w:sz w:val="20"/>
          <w:szCs w:val="20"/>
        </w:rPr>
      </w:pPr>
    </w:p>
    <w:p w:rsidR="00875977" w:rsidRPr="00133F4D" w:rsidRDefault="00875977" w:rsidP="00133F4D">
      <w:pPr>
        <w:spacing w:after="0" w:line="240" w:lineRule="auto"/>
        <w:jc w:val="left"/>
        <w:rPr>
          <w:rFonts w:ascii="Arial" w:hAnsi="Arial" w:cs="Arial"/>
          <w:spacing w:val="6"/>
          <w:sz w:val="20"/>
          <w:szCs w:val="20"/>
          <w:lang w:val="en-US"/>
        </w:rPr>
      </w:pPr>
      <w:r w:rsidRPr="00133F4D">
        <w:rPr>
          <w:rFonts w:ascii="Arial" w:hAnsi="Arial" w:cs="Arial"/>
          <w:spacing w:val="6"/>
          <w:sz w:val="20"/>
          <w:szCs w:val="20"/>
          <w:lang w:val="en-US"/>
        </w:rPr>
        <w:t xml:space="preserve">The Department did not achieve the set target of 50% for women appointed at senior management service (SMS level). The representation of women at SMS was 45.3% as at 31 March 2022. This is a regression from the last financial year when the female representation </w:t>
      </w:r>
      <w:r w:rsidR="00B84B3D" w:rsidRPr="00133F4D">
        <w:rPr>
          <w:rFonts w:ascii="Arial" w:hAnsi="Arial" w:cs="Arial"/>
          <w:spacing w:val="6"/>
          <w:sz w:val="20"/>
          <w:szCs w:val="20"/>
          <w:lang w:val="en-US"/>
        </w:rPr>
        <w:t xml:space="preserve">at this level </w:t>
      </w:r>
      <w:r w:rsidR="008506A6" w:rsidRPr="00133F4D">
        <w:rPr>
          <w:rFonts w:ascii="Arial" w:hAnsi="Arial" w:cs="Arial"/>
          <w:spacing w:val="6"/>
          <w:sz w:val="20"/>
          <w:szCs w:val="20"/>
          <w:lang w:val="en-US"/>
        </w:rPr>
        <w:t>was 48.4</w:t>
      </w:r>
      <w:r w:rsidRPr="00133F4D">
        <w:rPr>
          <w:rFonts w:ascii="Arial" w:hAnsi="Arial" w:cs="Arial"/>
          <w:spacing w:val="6"/>
          <w:sz w:val="20"/>
          <w:szCs w:val="20"/>
          <w:lang w:val="en-US"/>
        </w:rPr>
        <w:t>%.</w:t>
      </w:r>
    </w:p>
    <w:p w:rsidR="00875977" w:rsidRPr="00133F4D" w:rsidRDefault="00875977" w:rsidP="00133F4D">
      <w:pPr>
        <w:spacing w:after="0" w:line="240" w:lineRule="auto"/>
        <w:jc w:val="left"/>
        <w:rPr>
          <w:rFonts w:ascii="Arial" w:hAnsi="Arial" w:cs="Arial"/>
          <w:strike/>
          <w:spacing w:val="6"/>
          <w:sz w:val="20"/>
          <w:szCs w:val="20"/>
        </w:rPr>
      </w:pPr>
    </w:p>
    <w:p w:rsidR="00875977" w:rsidRPr="00133F4D" w:rsidRDefault="00875977" w:rsidP="00133F4D">
      <w:pPr>
        <w:spacing w:after="0" w:line="240" w:lineRule="auto"/>
        <w:jc w:val="left"/>
        <w:rPr>
          <w:rFonts w:ascii="Arial" w:hAnsi="Arial" w:cs="Arial"/>
          <w:spacing w:val="6"/>
          <w:sz w:val="20"/>
          <w:szCs w:val="20"/>
          <w:lang w:val="en-US"/>
        </w:rPr>
      </w:pPr>
      <w:r w:rsidRPr="00133F4D">
        <w:rPr>
          <w:rFonts w:ascii="Arial" w:hAnsi="Arial" w:cs="Arial"/>
          <w:spacing w:val="6"/>
          <w:sz w:val="20"/>
          <w:szCs w:val="20"/>
          <w:lang w:val="en-US"/>
        </w:rPr>
        <w:t>The submission rate of performance agreements for the 2021/22 financial year was 90 per cent for salary level 1-12 and 93.5 per cent for the SMS level. This improved to 97.4% and 96%, respectively. Two SMS members did not furnish justifiable reasons for not concluding the performance agreements at the end of May 2021 and were disqualified for the period under review. They thus forfeited all performance incentives due to them for the 2020/21 financial year as well as having disciplinary steps taken against them.</w:t>
      </w:r>
    </w:p>
    <w:p w:rsidR="00B42161" w:rsidRPr="00133F4D" w:rsidRDefault="00B42161" w:rsidP="00133F4D">
      <w:pPr>
        <w:pStyle w:val="ListParagraph"/>
        <w:spacing w:after="0" w:line="240" w:lineRule="auto"/>
        <w:ind w:left="0"/>
        <w:jc w:val="left"/>
        <w:rPr>
          <w:rFonts w:ascii="Arial" w:hAnsi="Arial" w:cs="Arial"/>
          <w:spacing w:val="6"/>
          <w:sz w:val="20"/>
          <w:szCs w:val="20"/>
        </w:rPr>
      </w:pPr>
    </w:p>
    <w:p w:rsidR="00B42161" w:rsidRPr="00133F4D" w:rsidRDefault="00B42161" w:rsidP="00133F4D">
      <w:pPr>
        <w:spacing w:after="0" w:line="240" w:lineRule="auto"/>
        <w:jc w:val="left"/>
        <w:rPr>
          <w:rFonts w:ascii="Arial" w:hAnsi="Arial" w:cs="Arial"/>
          <w:spacing w:val="6"/>
          <w:sz w:val="20"/>
          <w:szCs w:val="20"/>
          <w:lang w:val="en-US"/>
        </w:rPr>
      </w:pPr>
      <w:r w:rsidRPr="00133F4D">
        <w:rPr>
          <w:rFonts w:ascii="Arial" w:hAnsi="Arial" w:cs="Arial"/>
          <w:spacing w:val="6"/>
          <w:sz w:val="20"/>
          <w:szCs w:val="20"/>
          <w:lang w:val="en-US"/>
        </w:rPr>
        <w:t>The percentage of people with disabilities as at 31 March 2022 was 2.42%. This statistic has improved from 2.35% in the last financial year.</w:t>
      </w:r>
    </w:p>
    <w:p w:rsidR="00B42161" w:rsidRPr="00133F4D" w:rsidRDefault="00B42161" w:rsidP="00133F4D">
      <w:pPr>
        <w:spacing w:after="0" w:line="240" w:lineRule="auto"/>
        <w:jc w:val="left"/>
        <w:rPr>
          <w:rFonts w:ascii="Arial" w:hAnsi="Arial" w:cs="Arial"/>
          <w:spacing w:val="6"/>
          <w:sz w:val="20"/>
          <w:szCs w:val="20"/>
          <w:lang w:val="en-US"/>
        </w:rPr>
      </w:pPr>
    </w:p>
    <w:p w:rsidR="0069222E" w:rsidRPr="00133F4D" w:rsidRDefault="00875977" w:rsidP="00133F4D">
      <w:pPr>
        <w:spacing w:after="0" w:line="240" w:lineRule="auto"/>
        <w:jc w:val="left"/>
        <w:rPr>
          <w:rFonts w:ascii="Arial" w:hAnsi="Arial" w:cs="Arial"/>
          <w:spacing w:val="6"/>
          <w:sz w:val="20"/>
          <w:szCs w:val="20"/>
          <w:lang w:val="en-US"/>
        </w:rPr>
      </w:pPr>
      <w:r w:rsidRPr="00133F4D">
        <w:rPr>
          <w:rFonts w:ascii="Arial" w:hAnsi="Arial" w:cs="Arial"/>
          <w:spacing w:val="6"/>
          <w:sz w:val="20"/>
          <w:szCs w:val="20"/>
          <w:lang w:val="en-US"/>
        </w:rPr>
        <w:t>There was only one case of disciplinary action for the period under review. The disciplinary action instituted was for financial misconduct/irregular expenditure and resulted in a written warning. This is a reduction in the number of incidents compared to the 2020/21 financial year, when 11 incidents were reported.</w:t>
      </w:r>
    </w:p>
    <w:p w:rsidR="00875977" w:rsidRPr="00133F4D" w:rsidRDefault="00875977"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1"/>
          <w:numId w:val="11"/>
        </w:numPr>
        <w:spacing w:line="240" w:lineRule="auto"/>
        <w:jc w:val="left"/>
        <w:rPr>
          <w:rFonts w:ascii="Arial" w:hAnsi="Arial" w:cs="Arial"/>
          <w:sz w:val="20"/>
          <w:szCs w:val="20"/>
        </w:rPr>
      </w:pPr>
      <w:bookmarkStart w:id="18" w:name="_Toc88519310"/>
      <w:r w:rsidRPr="00133F4D">
        <w:rPr>
          <w:rFonts w:ascii="Arial" w:hAnsi="Arial" w:cs="Arial"/>
          <w:sz w:val="20"/>
          <w:szCs w:val="20"/>
        </w:rPr>
        <w:t>Non-financial performance</w:t>
      </w:r>
      <w:bookmarkEnd w:id="18"/>
    </w:p>
    <w:p w:rsidR="008A5831" w:rsidRPr="00133F4D" w:rsidRDefault="008A5831"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planned to implement and achieve 45 performance targets in the 2021/22 financial year. However, 34 out of 45 (76%) of the planned targets were achieved and 11 out of </w:t>
      </w:r>
      <w:r w:rsidRPr="00133F4D">
        <w:rPr>
          <w:rFonts w:ascii="Arial" w:hAnsi="Arial" w:cs="Arial"/>
          <w:spacing w:val="6"/>
          <w:sz w:val="20"/>
          <w:szCs w:val="20"/>
        </w:rPr>
        <w:lastRenderedPageBreak/>
        <w:t>45 (24%) were not achieved. This is a slight improvement from the 2020/21 financial year when the success rate for the implementation of targets was 74% (29 out of 39).</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2"/>
          <w:numId w:val="11"/>
        </w:numPr>
        <w:spacing w:line="240" w:lineRule="auto"/>
        <w:jc w:val="left"/>
        <w:rPr>
          <w:rFonts w:ascii="Arial" w:hAnsi="Arial" w:cs="Arial"/>
          <w:sz w:val="20"/>
          <w:szCs w:val="20"/>
        </w:rPr>
      </w:pPr>
      <w:bookmarkStart w:id="19" w:name="_Toc88519311"/>
      <w:r w:rsidRPr="00133F4D">
        <w:rPr>
          <w:rFonts w:ascii="Arial" w:hAnsi="Arial" w:cs="Arial"/>
          <w:sz w:val="20"/>
          <w:szCs w:val="20"/>
        </w:rPr>
        <w:t>Overview of overall programme performance</w:t>
      </w:r>
      <w:bookmarkEnd w:id="19"/>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Department’s Programmes, with their related achievement against the </w:t>
      </w:r>
      <w:r w:rsidR="00D6540F" w:rsidRPr="00133F4D">
        <w:rPr>
          <w:rFonts w:ascii="Arial" w:hAnsi="Arial" w:cs="Arial"/>
          <w:spacing w:val="6"/>
          <w:sz w:val="20"/>
          <w:szCs w:val="20"/>
        </w:rPr>
        <w:t>performance targets for the 2021</w:t>
      </w:r>
      <w:r w:rsidRPr="00133F4D">
        <w:rPr>
          <w:rFonts w:ascii="Arial" w:hAnsi="Arial" w:cs="Arial"/>
          <w:spacing w:val="6"/>
          <w:sz w:val="20"/>
          <w:szCs w:val="20"/>
        </w:rPr>
        <w:t>/2</w:t>
      </w:r>
      <w:r w:rsidR="00D6540F" w:rsidRPr="00133F4D">
        <w:rPr>
          <w:rFonts w:ascii="Arial" w:hAnsi="Arial" w:cs="Arial"/>
          <w:spacing w:val="6"/>
          <w:sz w:val="20"/>
          <w:szCs w:val="20"/>
        </w:rPr>
        <w:t>2</w:t>
      </w:r>
      <w:r w:rsidRPr="00133F4D">
        <w:rPr>
          <w:rFonts w:ascii="Arial" w:hAnsi="Arial" w:cs="Arial"/>
          <w:spacing w:val="6"/>
          <w:sz w:val="20"/>
          <w:szCs w:val="20"/>
        </w:rPr>
        <w:t xml:space="preserve"> fina</w:t>
      </w:r>
      <w:r w:rsidR="0040127D" w:rsidRPr="00133F4D">
        <w:rPr>
          <w:rFonts w:ascii="Arial" w:hAnsi="Arial" w:cs="Arial"/>
          <w:spacing w:val="6"/>
          <w:sz w:val="20"/>
          <w:szCs w:val="20"/>
        </w:rPr>
        <w:t>ncial year, are shown in Table 6</w:t>
      </w:r>
      <w:r w:rsidRPr="00133F4D">
        <w:rPr>
          <w:rFonts w:ascii="Arial" w:hAnsi="Arial" w:cs="Arial"/>
          <w:spacing w:val="6"/>
          <w:sz w:val="20"/>
          <w:szCs w:val="20"/>
        </w:rPr>
        <w:t>.</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Caption"/>
        <w:keepNext/>
        <w:spacing w:after="0"/>
        <w:jc w:val="left"/>
        <w:rPr>
          <w:rFonts w:ascii="Arial" w:hAnsi="Arial" w:cs="Arial"/>
          <w:b/>
          <w:i w:val="0"/>
          <w:color w:val="auto"/>
          <w:spacing w:val="6"/>
          <w:sz w:val="20"/>
          <w:szCs w:val="20"/>
        </w:rPr>
      </w:pPr>
      <w:r w:rsidRPr="00133F4D">
        <w:rPr>
          <w:rFonts w:ascii="Arial" w:hAnsi="Arial" w:cs="Arial"/>
          <w:b/>
          <w:i w:val="0"/>
          <w:color w:val="auto"/>
          <w:spacing w:val="6"/>
          <w:sz w:val="20"/>
          <w:szCs w:val="20"/>
        </w:rPr>
        <w:t xml:space="preserve">Table </w:t>
      </w:r>
      <w:r w:rsidR="00E922AD" w:rsidRPr="00133F4D">
        <w:rPr>
          <w:rFonts w:ascii="Arial" w:hAnsi="Arial" w:cs="Arial"/>
          <w:b/>
          <w:i w:val="0"/>
          <w:color w:val="auto"/>
          <w:spacing w:val="6"/>
          <w:sz w:val="20"/>
          <w:szCs w:val="20"/>
        </w:rPr>
        <w:fldChar w:fldCharType="begin"/>
      </w:r>
      <w:r w:rsidRPr="00133F4D">
        <w:rPr>
          <w:rFonts w:ascii="Arial" w:hAnsi="Arial" w:cs="Arial"/>
          <w:b/>
          <w:i w:val="0"/>
          <w:color w:val="auto"/>
          <w:spacing w:val="6"/>
          <w:sz w:val="20"/>
          <w:szCs w:val="20"/>
        </w:rPr>
        <w:instrText xml:space="preserve"> SEQ Table \* ARABIC </w:instrText>
      </w:r>
      <w:r w:rsidR="00E922AD" w:rsidRPr="00133F4D">
        <w:rPr>
          <w:rFonts w:ascii="Arial" w:hAnsi="Arial" w:cs="Arial"/>
          <w:b/>
          <w:i w:val="0"/>
          <w:color w:val="auto"/>
          <w:spacing w:val="6"/>
          <w:sz w:val="20"/>
          <w:szCs w:val="20"/>
        </w:rPr>
        <w:fldChar w:fldCharType="separate"/>
      </w:r>
      <w:r w:rsidR="00D81058" w:rsidRPr="00133F4D">
        <w:rPr>
          <w:rFonts w:ascii="Arial" w:hAnsi="Arial" w:cs="Arial"/>
          <w:b/>
          <w:i w:val="0"/>
          <w:noProof/>
          <w:color w:val="auto"/>
          <w:spacing w:val="6"/>
          <w:sz w:val="20"/>
          <w:szCs w:val="20"/>
        </w:rPr>
        <w:t>6</w:t>
      </w:r>
      <w:r w:rsidR="00E922AD" w:rsidRPr="00133F4D">
        <w:rPr>
          <w:rFonts w:ascii="Arial" w:hAnsi="Arial" w:cs="Arial"/>
          <w:b/>
          <w:i w:val="0"/>
          <w:color w:val="auto"/>
          <w:spacing w:val="6"/>
          <w:sz w:val="20"/>
          <w:szCs w:val="20"/>
        </w:rPr>
        <w:fldChar w:fldCharType="end"/>
      </w:r>
      <w:r w:rsidRPr="00133F4D">
        <w:rPr>
          <w:rFonts w:ascii="Arial" w:hAnsi="Arial" w:cs="Arial"/>
          <w:b/>
          <w:i w:val="0"/>
          <w:color w:val="auto"/>
          <w:spacing w:val="6"/>
          <w:sz w:val="20"/>
          <w:szCs w:val="20"/>
        </w:rPr>
        <w:t>: The Department’s pr</w:t>
      </w:r>
      <w:r w:rsidR="00B965CB" w:rsidRPr="00133F4D">
        <w:rPr>
          <w:rFonts w:ascii="Arial" w:hAnsi="Arial" w:cs="Arial"/>
          <w:b/>
          <w:i w:val="0"/>
          <w:color w:val="auto"/>
          <w:spacing w:val="6"/>
          <w:sz w:val="20"/>
          <w:szCs w:val="20"/>
        </w:rPr>
        <w:t>ogramme performance for the 2021/22</w:t>
      </w:r>
      <w:r w:rsidRPr="00133F4D">
        <w:rPr>
          <w:rFonts w:ascii="Arial" w:hAnsi="Arial" w:cs="Arial"/>
          <w:b/>
          <w:i w:val="0"/>
          <w:color w:val="auto"/>
          <w:spacing w:val="6"/>
          <w:sz w:val="20"/>
          <w:szCs w:val="20"/>
        </w:rPr>
        <w:t xml:space="preserve"> financial year</w:t>
      </w:r>
    </w:p>
    <w:tbl>
      <w:tblPr>
        <w:tblStyle w:val="TableGrid"/>
        <w:tblW w:w="0" w:type="auto"/>
        <w:tblLook w:val="04A0"/>
      </w:tblPr>
      <w:tblGrid>
        <w:gridCol w:w="3233"/>
        <w:gridCol w:w="1268"/>
        <w:gridCol w:w="1154"/>
        <w:gridCol w:w="1244"/>
        <w:gridCol w:w="1207"/>
        <w:gridCol w:w="1136"/>
      </w:tblGrid>
      <w:tr w:rsidR="0069222E" w:rsidRPr="00133F4D" w:rsidTr="008168FD">
        <w:trPr>
          <w:tblHeader/>
        </w:trPr>
        <w:tc>
          <w:tcPr>
            <w:tcW w:w="0" w:type="auto"/>
            <w:shd w:val="clear" w:color="auto" w:fill="C5E0B3" w:themeFill="accent6" w:themeFillTint="66"/>
            <w:vAlign w:val="center"/>
          </w:tcPr>
          <w:p w:rsidR="0069222E" w:rsidRPr="00133F4D" w:rsidRDefault="0069222E" w:rsidP="00133F4D">
            <w:pPr>
              <w:pStyle w:val="ListParagraph"/>
              <w:spacing w:line="240" w:lineRule="auto"/>
              <w:ind w:left="0"/>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Programme</w:t>
            </w:r>
          </w:p>
        </w:tc>
        <w:tc>
          <w:tcPr>
            <w:tcW w:w="0" w:type="auto"/>
            <w:shd w:val="clear" w:color="auto" w:fill="C5E0B3" w:themeFill="accent6" w:themeFillTint="66"/>
            <w:vAlign w:val="center"/>
          </w:tcPr>
          <w:p w:rsidR="0069222E" w:rsidRPr="00133F4D" w:rsidRDefault="0069222E" w:rsidP="00133F4D">
            <w:pPr>
              <w:pStyle w:val="ListParagraph"/>
              <w:tabs>
                <w:tab w:val="left" w:pos="2213"/>
              </w:tabs>
              <w:spacing w:line="240" w:lineRule="auto"/>
              <w:ind w:left="0"/>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APP Targets 2020/21</w:t>
            </w:r>
          </w:p>
        </w:tc>
        <w:tc>
          <w:tcPr>
            <w:tcW w:w="0" w:type="auto"/>
            <w:shd w:val="clear" w:color="auto" w:fill="C5E0B3" w:themeFill="accent6" w:themeFillTint="66"/>
            <w:vAlign w:val="center"/>
          </w:tcPr>
          <w:p w:rsidR="0069222E" w:rsidRPr="00133F4D" w:rsidRDefault="0069222E" w:rsidP="00133F4D">
            <w:pPr>
              <w:tabs>
                <w:tab w:val="left" w:pos="2213"/>
              </w:tabs>
              <w:spacing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Achieved</w:t>
            </w:r>
          </w:p>
        </w:tc>
        <w:tc>
          <w:tcPr>
            <w:tcW w:w="0" w:type="auto"/>
            <w:shd w:val="clear" w:color="auto" w:fill="C5E0B3" w:themeFill="accent6" w:themeFillTint="66"/>
            <w:vAlign w:val="center"/>
          </w:tcPr>
          <w:p w:rsidR="0069222E" w:rsidRPr="00133F4D" w:rsidRDefault="0069222E" w:rsidP="00133F4D">
            <w:pPr>
              <w:tabs>
                <w:tab w:val="left" w:pos="2213"/>
              </w:tabs>
              <w:spacing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Not Achieved</w:t>
            </w:r>
          </w:p>
        </w:tc>
        <w:tc>
          <w:tcPr>
            <w:tcW w:w="0" w:type="auto"/>
            <w:shd w:val="clear" w:color="auto" w:fill="C5E0B3" w:themeFill="accent6" w:themeFillTint="66"/>
            <w:vAlign w:val="center"/>
          </w:tcPr>
          <w:p w:rsidR="0069222E" w:rsidRPr="00133F4D" w:rsidRDefault="0069222E" w:rsidP="00133F4D">
            <w:pPr>
              <w:tabs>
                <w:tab w:val="left" w:pos="2213"/>
              </w:tabs>
              <w:spacing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 Achieved</w:t>
            </w:r>
          </w:p>
        </w:tc>
        <w:tc>
          <w:tcPr>
            <w:tcW w:w="0" w:type="auto"/>
            <w:shd w:val="clear" w:color="auto" w:fill="C5E0B3" w:themeFill="accent6" w:themeFillTint="66"/>
            <w:vAlign w:val="center"/>
          </w:tcPr>
          <w:p w:rsidR="0069222E" w:rsidRPr="00133F4D" w:rsidRDefault="0069222E" w:rsidP="00133F4D">
            <w:pPr>
              <w:tabs>
                <w:tab w:val="left" w:pos="2213"/>
              </w:tabs>
              <w:spacing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 Budget Spent</w:t>
            </w:r>
          </w:p>
        </w:tc>
      </w:tr>
      <w:tr w:rsidR="0069222E" w:rsidRPr="00133F4D" w:rsidTr="00E35668">
        <w:tc>
          <w:tcPr>
            <w:tcW w:w="0" w:type="auto"/>
          </w:tcPr>
          <w:p w:rsidR="0069222E" w:rsidRPr="00133F4D" w:rsidRDefault="0069222E" w:rsidP="00133F4D">
            <w:pPr>
              <w:pStyle w:val="ListParagraph"/>
              <w:spacing w:line="240" w:lineRule="auto"/>
              <w:ind w:left="0"/>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1: Administration</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5</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4</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1</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80%</w:t>
            </w:r>
          </w:p>
        </w:tc>
        <w:tc>
          <w:tcPr>
            <w:tcW w:w="0" w:type="auto"/>
          </w:tcPr>
          <w:p w:rsidR="0069222E" w:rsidRPr="00133F4D" w:rsidRDefault="00A10C2B"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92.4</w:t>
            </w:r>
            <w:r w:rsidR="00A1620E" w:rsidRPr="00133F4D">
              <w:rPr>
                <w:rFonts w:ascii="Arial" w:hAnsi="Arial" w:cs="Arial"/>
                <w:spacing w:val="6"/>
                <w:sz w:val="20"/>
                <w:szCs w:val="20"/>
              </w:rPr>
              <w:t>%</w:t>
            </w:r>
          </w:p>
        </w:tc>
      </w:tr>
      <w:tr w:rsidR="0069222E" w:rsidRPr="00133F4D" w:rsidTr="00E35668">
        <w:tc>
          <w:tcPr>
            <w:tcW w:w="0" w:type="auto"/>
          </w:tcPr>
          <w:p w:rsidR="0069222E" w:rsidRPr="00133F4D" w:rsidRDefault="0069222E" w:rsidP="00133F4D">
            <w:pPr>
              <w:pStyle w:val="ListParagraph"/>
              <w:spacing w:line="240" w:lineRule="auto"/>
              <w:ind w:left="0"/>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2: Recreation Development and Sport Promotion Recreation Development and Sport Promotion</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11</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7</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4</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64%</w:t>
            </w:r>
          </w:p>
        </w:tc>
        <w:tc>
          <w:tcPr>
            <w:tcW w:w="0" w:type="auto"/>
          </w:tcPr>
          <w:p w:rsidR="0069222E" w:rsidRPr="00133F4D" w:rsidRDefault="00A10C2B"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98.5</w:t>
            </w:r>
            <w:r w:rsidR="00A1620E" w:rsidRPr="00133F4D">
              <w:rPr>
                <w:rFonts w:ascii="Arial" w:hAnsi="Arial" w:cs="Arial"/>
                <w:spacing w:val="6"/>
                <w:sz w:val="20"/>
                <w:szCs w:val="20"/>
              </w:rPr>
              <w:t>%</w:t>
            </w:r>
          </w:p>
        </w:tc>
      </w:tr>
      <w:tr w:rsidR="0069222E" w:rsidRPr="00133F4D" w:rsidTr="00E35668">
        <w:tc>
          <w:tcPr>
            <w:tcW w:w="0" w:type="auto"/>
          </w:tcPr>
          <w:p w:rsidR="0069222E" w:rsidRPr="00133F4D" w:rsidRDefault="0069222E" w:rsidP="00133F4D">
            <w:pPr>
              <w:pStyle w:val="ListParagraph"/>
              <w:spacing w:line="240" w:lineRule="auto"/>
              <w:ind w:left="0"/>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3: Arts and Culture Promotion and Development</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18</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14</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4</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78%</w:t>
            </w:r>
          </w:p>
        </w:tc>
        <w:tc>
          <w:tcPr>
            <w:tcW w:w="0" w:type="auto"/>
          </w:tcPr>
          <w:p w:rsidR="0069222E" w:rsidRPr="00133F4D" w:rsidRDefault="00A10C2B"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97.6</w:t>
            </w:r>
            <w:r w:rsidR="00A1620E" w:rsidRPr="00133F4D">
              <w:rPr>
                <w:rFonts w:ascii="Arial" w:hAnsi="Arial" w:cs="Arial"/>
                <w:spacing w:val="6"/>
                <w:sz w:val="20"/>
                <w:szCs w:val="20"/>
              </w:rPr>
              <w:t>%</w:t>
            </w:r>
          </w:p>
        </w:tc>
      </w:tr>
      <w:tr w:rsidR="0069222E" w:rsidRPr="00133F4D" w:rsidTr="00E35668">
        <w:tc>
          <w:tcPr>
            <w:tcW w:w="0" w:type="auto"/>
          </w:tcPr>
          <w:p w:rsidR="0069222E" w:rsidRPr="00133F4D" w:rsidRDefault="0069222E" w:rsidP="00133F4D">
            <w:pPr>
              <w:pStyle w:val="ListParagraph"/>
              <w:spacing w:line="240" w:lineRule="auto"/>
              <w:ind w:left="0"/>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4: Heritage Promotion and Preservation</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11</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9</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2</w:t>
            </w:r>
          </w:p>
        </w:tc>
        <w:tc>
          <w:tcPr>
            <w:tcW w:w="0" w:type="auto"/>
          </w:tcPr>
          <w:p w:rsidR="0069222E" w:rsidRPr="00133F4D" w:rsidRDefault="00601013"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82%</w:t>
            </w:r>
          </w:p>
        </w:tc>
        <w:tc>
          <w:tcPr>
            <w:tcW w:w="0" w:type="auto"/>
          </w:tcPr>
          <w:p w:rsidR="0069222E" w:rsidRPr="00133F4D" w:rsidRDefault="00A10C2B"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99.5</w:t>
            </w:r>
            <w:r w:rsidR="00A1620E" w:rsidRPr="00133F4D">
              <w:rPr>
                <w:rFonts w:ascii="Arial" w:hAnsi="Arial" w:cs="Arial"/>
                <w:spacing w:val="6"/>
                <w:sz w:val="20"/>
                <w:szCs w:val="20"/>
              </w:rPr>
              <w:t>%</w:t>
            </w:r>
          </w:p>
        </w:tc>
      </w:tr>
      <w:tr w:rsidR="0069222E" w:rsidRPr="00133F4D" w:rsidTr="00E35668">
        <w:tc>
          <w:tcPr>
            <w:tcW w:w="0" w:type="auto"/>
          </w:tcPr>
          <w:p w:rsidR="0069222E" w:rsidRPr="00133F4D" w:rsidRDefault="0069222E" w:rsidP="00133F4D">
            <w:pPr>
              <w:pStyle w:val="ListParagraph"/>
              <w:spacing w:line="240" w:lineRule="auto"/>
              <w:ind w:left="0"/>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TOTAL</w:t>
            </w:r>
          </w:p>
        </w:tc>
        <w:tc>
          <w:tcPr>
            <w:tcW w:w="0" w:type="auto"/>
          </w:tcPr>
          <w:p w:rsidR="0069222E" w:rsidRPr="00133F4D" w:rsidRDefault="00E4532B" w:rsidP="00133F4D">
            <w:pPr>
              <w:pStyle w:val="ListParagraph"/>
              <w:spacing w:line="240" w:lineRule="auto"/>
              <w:ind w:left="0"/>
              <w:jc w:val="left"/>
              <w:rPr>
                <w:rFonts w:ascii="Arial" w:hAnsi="Arial" w:cs="Arial"/>
                <w:b/>
                <w:spacing w:val="6"/>
                <w:sz w:val="20"/>
                <w:szCs w:val="20"/>
              </w:rPr>
            </w:pPr>
            <w:r w:rsidRPr="00133F4D">
              <w:rPr>
                <w:rFonts w:ascii="Arial" w:hAnsi="Arial" w:cs="Arial"/>
                <w:b/>
                <w:spacing w:val="6"/>
                <w:sz w:val="20"/>
                <w:szCs w:val="20"/>
              </w:rPr>
              <w:t>45</w:t>
            </w:r>
          </w:p>
        </w:tc>
        <w:tc>
          <w:tcPr>
            <w:tcW w:w="0" w:type="auto"/>
          </w:tcPr>
          <w:p w:rsidR="0069222E" w:rsidRPr="00133F4D" w:rsidRDefault="00E4532B" w:rsidP="00133F4D">
            <w:pPr>
              <w:pStyle w:val="ListParagraph"/>
              <w:spacing w:line="240" w:lineRule="auto"/>
              <w:ind w:left="0"/>
              <w:jc w:val="left"/>
              <w:rPr>
                <w:rFonts w:ascii="Arial" w:hAnsi="Arial" w:cs="Arial"/>
                <w:b/>
                <w:spacing w:val="6"/>
                <w:sz w:val="20"/>
                <w:szCs w:val="20"/>
              </w:rPr>
            </w:pPr>
            <w:r w:rsidRPr="00133F4D">
              <w:rPr>
                <w:rFonts w:ascii="Arial" w:hAnsi="Arial" w:cs="Arial"/>
                <w:b/>
                <w:spacing w:val="6"/>
                <w:sz w:val="20"/>
                <w:szCs w:val="20"/>
              </w:rPr>
              <w:t>34</w:t>
            </w:r>
          </w:p>
        </w:tc>
        <w:tc>
          <w:tcPr>
            <w:tcW w:w="0" w:type="auto"/>
          </w:tcPr>
          <w:p w:rsidR="0069222E" w:rsidRPr="00133F4D" w:rsidRDefault="00E4532B" w:rsidP="00133F4D">
            <w:pPr>
              <w:pStyle w:val="ListParagraph"/>
              <w:spacing w:line="240" w:lineRule="auto"/>
              <w:ind w:left="0"/>
              <w:jc w:val="left"/>
              <w:rPr>
                <w:rFonts w:ascii="Arial" w:hAnsi="Arial" w:cs="Arial"/>
                <w:b/>
                <w:spacing w:val="6"/>
                <w:sz w:val="20"/>
                <w:szCs w:val="20"/>
              </w:rPr>
            </w:pPr>
            <w:r w:rsidRPr="00133F4D">
              <w:rPr>
                <w:rFonts w:ascii="Arial" w:hAnsi="Arial" w:cs="Arial"/>
                <w:b/>
                <w:spacing w:val="6"/>
                <w:sz w:val="20"/>
                <w:szCs w:val="20"/>
              </w:rPr>
              <w:t>11</w:t>
            </w:r>
          </w:p>
        </w:tc>
        <w:tc>
          <w:tcPr>
            <w:tcW w:w="0" w:type="auto"/>
          </w:tcPr>
          <w:p w:rsidR="0069222E" w:rsidRPr="00133F4D" w:rsidRDefault="00E4532B" w:rsidP="00133F4D">
            <w:pPr>
              <w:pStyle w:val="ListParagraph"/>
              <w:spacing w:line="240" w:lineRule="auto"/>
              <w:ind w:left="0"/>
              <w:jc w:val="left"/>
              <w:rPr>
                <w:rFonts w:ascii="Arial" w:hAnsi="Arial" w:cs="Arial"/>
                <w:b/>
                <w:spacing w:val="6"/>
                <w:sz w:val="20"/>
                <w:szCs w:val="20"/>
              </w:rPr>
            </w:pPr>
            <w:r w:rsidRPr="00133F4D">
              <w:rPr>
                <w:rFonts w:ascii="Arial" w:hAnsi="Arial" w:cs="Arial"/>
                <w:b/>
                <w:spacing w:val="6"/>
                <w:sz w:val="20"/>
                <w:szCs w:val="20"/>
              </w:rPr>
              <w:t>76%</w:t>
            </w:r>
          </w:p>
        </w:tc>
        <w:tc>
          <w:tcPr>
            <w:tcW w:w="0" w:type="auto"/>
          </w:tcPr>
          <w:p w:rsidR="0069222E" w:rsidRPr="00133F4D" w:rsidRDefault="00A1620E" w:rsidP="00133F4D">
            <w:pPr>
              <w:pStyle w:val="ListParagraph"/>
              <w:spacing w:line="240" w:lineRule="auto"/>
              <w:ind w:left="0"/>
              <w:jc w:val="left"/>
              <w:rPr>
                <w:rFonts w:ascii="Arial" w:hAnsi="Arial" w:cs="Arial"/>
                <w:b/>
                <w:spacing w:val="6"/>
                <w:sz w:val="20"/>
                <w:szCs w:val="20"/>
              </w:rPr>
            </w:pPr>
            <w:r w:rsidRPr="00133F4D">
              <w:rPr>
                <w:rFonts w:ascii="Arial" w:hAnsi="Arial" w:cs="Arial"/>
                <w:b/>
                <w:spacing w:val="6"/>
                <w:sz w:val="20"/>
                <w:szCs w:val="20"/>
              </w:rPr>
              <w:t>98.2%</w:t>
            </w:r>
          </w:p>
        </w:tc>
      </w:tr>
    </w:tbl>
    <w:p w:rsidR="0069222E" w:rsidRPr="00133F4D" w:rsidRDefault="0069222E" w:rsidP="00133F4D">
      <w:pPr>
        <w:spacing w:after="0" w:line="240" w:lineRule="auto"/>
        <w:jc w:val="left"/>
        <w:rPr>
          <w:rFonts w:ascii="Arial" w:hAnsi="Arial" w:cs="Arial"/>
          <w:spacing w:val="6"/>
          <w:sz w:val="20"/>
          <w:szCs w:val="20"/>
        </w:rPr>
      </w:pPr>
    </w:p>
    <w:p w:rsidR="00530DDE" w:rsidRPr="00133F4D" w:rsidRDefault="00530DD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1: Administration</w:t>
      </w:r>
    </w:p>
    <w:p w:rsidR="0069222E" w:rsidRPr="00133F4D" w:rsidRDefault="00751FBB"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Four</w:t>
      </w:r>
      <w:r w:rsidR="0069222E" w:rsidRPr="00133F4D">
        <w:rPr>
          <w:rFonts w:ascii="Arial" w:hAnsi="Arial" w:cs="Arial"/>
          <w:spacing w:val="6"/>
          <w:sz w:val="20"/>
          <w:szCs w:val="20"/>
        </w:rPr>
        <w:t xml:space="preserve"> out of five planned targets were</w:t>
      </w:r>
      <w:r w:rsidRPr="00133F4D">
        <w:rPr>
          <w:rFonts w:ascii="Arial" w:hAnsi="Arial" w:cs="Arial"/>
          <w:spacing w:val="6"/>
          <w:sz w:val="20"/>
          <w:szCs w:val="20"/>
        </w:rPr>
        <w:t xml:space="preserve"> achieved. The following target</w:t>
      </w:r>
      <w:r w:rsidR="0069222E" w:rsidRPr="00133F4D">
        <w:rPr>
          <w:rFonts w:ascii="Arial" w:hAnsi="Arial" w:cs="Arial"/>
          <w:spacing w:val="6"/>
          <w:sz w:val="20"/>
          <w:szCs w:val="20"/>
        </w:rPr>
        <w:t xml:space="preserve"> </w:t>
      </w:r>
      <w:r w:rsidRPr="00133F4D">
        <w:rPr>
          <w:rFonts w:ascii="Arial" w:hAnsi="Arial" w:cs="Arial"/>
          <w:spacing w:val="6"/>
          <w:sz w:val="20"/>
          <w:szCs w:val="20"/>
        </w:rPr>
        <w:t>was</w:t>
      </w:r>
      <w:r w:rsidR="0069222E" w:rsidRPr="00133F4D">
        <w:rPr>
          <w:rFonts w:ascii="Arial" w:hAnsi="Arial" w:cs="Arial"/>
          <w:spacing w:val="6"/>
          <w:sz w:val="20"/>
          <w:szCs w:val="20"/>
        </w:rPr>
        <w:t xml:space="preserve"> not achieved:</w:t>
      </w:r>
    </w:p>
    <w:p w:rsidR="00872B95" w:rsidRPr="00133F4D" w:rsidRDefault="0069222E" w:rsidP="00133F4D">
      <w:pPr>
        <w:numPr>
          <w:ilvl w:val="0"/>
          <w:numId w:val="3"/>
        </w:numPr>
        <w:spacing w:after="0" w:line="240" w:lineRule="auto"/>
        <w:jc w:val="left"/>
        <w:rPr>
          <w:rFonts w:ascii="Arial" w:hAnsi="Arial" w:cs="Arial"/>
          <w:spacing w:val="6"/>
          <w:sz w:val="20"/>
          <w:szCs w:val="20"/>
          <w:lang w:val="en-US"/>
        </w:rPr>
      </w:pPr>
      <w:r w:rsidRPr="00133F4D">
        <w:rPr>
          <w:rFonts w:ascii="Arial" w:hAnsi="Arial" w:cs="Arial"/>
          <w:spacing w:val="6"/>
          <w:sz w:val="20"/>
          <w:szCs w:val="20"/>
          <w:lang w:val="en-US"/>
        </w:rPr>
        <w:t>Number of services modernised (processes automated).</w:t>
      </w:r>
      <w:r w:rsidR="00872B95" w:rsidRPr="00133F4D">
        <w:rPr>
          <w:rFonts w:ascii="Arial" w:hAnsi="Arial" w:cs="Arial"/>
          <w:spacing w:val="6"/>
          <w:sz w:val="20"/>
          <w:szCs w:val="20"/>
          <w:lang w:val="en-US"/>
        </w:rPr>
        <w:t xml:space="preserve"> The Department failed to achieve the target which sought to modernise two services and achieved only 50%. The development of the South African Geographical Names System (SAGNS) was completed.</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Noteworthy </w:t>
      </w:r>
      <w:r w:rsidR="00016DCD" w:rsidRPr="00133F4D">
        <w:rPr>
          <w:rFonts w:ascii="Arial" w:hAnsi="Arial" w:cs="Arial"/>
          <w:spacing w:val="6"/>
          <w:sz w:val="20"/>
          <w:szCs w:val="20"/>
        </w:rPr>
        <w:t>achievements</w:t>
      </w:r>
      <w:r w:rsidRPr="00133F4D">
        <w:rPr>
          <w:rFonts w:ascii="Arial" w:hAnsi="Arial" w:cs="Arial"/>
          <w:spacing w:val="6"/>
          <w:sz w:val="20"/>
          <w:szCs w:val="20"/>
        </w:rPr>
        <w:t xml:space="preserve"> include:</w:t>
      </w:r>
    </w:p>
    <w:p w:rsidR="0069222E" w:rsidRPr="00133F4D" w:rsidRDefault="007E5C96" w:rsidP="00133F4D">
      <w:pPr>
        <w:pStyle w:val="ListParagraph"/>
        <w:numPr>
          <w:ilvl w:val="0"/>
          <w:numId w:val="5"/>
        </w:numPr>
        <w:spacing w:after="0" w:line="240" w:lineRule="auto"/>
        <w:jc w:val="left"/>
        <w:rPr>
          <w:rFonts w:ascii="Arial" w:hAnsi="Arial" w:cs="Arial"/>
          <w:spacing w:val="6"/>
          <w:sz w:val="20"/>
          <w:szCs w:val="20"/>
        </w:rPr>
      </w:pPr>
      <w:r w:rsidRPr="00133F4D">
        <w:rPr>
          <w:rFonts w:ascii="Arial" w:hAnsi="Arial" w:cs="Arial"/>
          <w:spacing w:val="6"/>
          <w:sz w:val="20"/>
          <w:szCs w:val="20"/>
        </w:rPr>
        <w:t>All boards/councils were fully constituted during the period under review.</w:t>
      </w:r>
    </w:p>
    <w:p w:rsidR="0069222E" w:rsidRPr="00133F4D" w:rsidRDefault="009F51E6" w:rsidP="00133F4D">
      <w:pPr>
        <w:pStyle w:val="ListParagraph"/>
        <w:numPr>
          <w:ilvl w:val="0"/>
          <w:numId w:val="5"/>
        </w:numPr>
        <w:spacing w:after="0" w:line="240" w:lineRule="auto"/>
        <w:jc w:val="left"/>
        <w:rPr>
          <w:rFonts w:ascii="Arial" w:hAnsi="Arial" w:cs="Arial"/>
          <w:spacing w:val="6"/>
          <w:sz w:val="20"/>
          <w:szCs w:val="20"/>
        </w:rPr>
      </w:pPr>
      <w:r w:rsidRPr="00133F4D">
        <w:rPr>
          <w:rFonts w:ascii="Arial" w:hAnsi="Arial" w:cs="Arial"/>
          <w:spacing w:val="6"/>
          <w:sz w:val="20"/>
          <w:szCs w:val="20"/>
        </w:rPr>
        <w:t>Nine SAC</w:t>
      </w:r>
      <w:r w:rsidR="0069222E" w:rsidRPr="00133F4D">
        <w:rPr>
          <w:rFonts w:ascii="Arial" w:hAnsi="Arial" w:cs="Arial"/>
          <w:spacing w:val="6"/>
          <w:sz w:val="20"/>
          <w:szCs w:val="20"/>
        </w:rPr>
        <w:t xml:space="preserve"> awareness campaigns conducted to pro</w:t>
      </w:r>
      <w:r w:rsidR="00C44741" w:rsidRPr="00133F4D">
        <w:rPr>
          <w:rFonts w:ascii="Arial" w:hAnsi="Arial" w:cs="Arial"/>
          <w:spacing w:val="6"/>
          <w:sz w:val="20"/>
          <w:szCs w:val="20"/>
        </w:rPr>
        <w:t>file the work of the Department, including Freedom Month, Africa Month, National Recreation Day, to name a few.</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2: Recreation Development and Sport Promotion Recreation Development and Sport Promotion</w:t>
      </w: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Out of the </w:t>
      </w:r>
      <w:r w:rsidR="000860B8" w:rsidRPr="00133F4D">
        <w:rPr>
          <w:rFonts w:ascii="Arial" w:hAnsi="Arial" w:cs="Arial"/>
          <w:spacing w:val="6"/>
          <w:sz w:val="20"/>
          <w:szCs w:val="20"/>
        </w:rPr>
        <w:t>eleven</w:t>
      </w:r>
      <w:r w:rsidRPr="00133F4D">
        <w:rPr>
          <w:rFonts w:ascii="Arial" w:hAnsi="Arial" w:cs="Arial"/>
          <w:spacing w:val="6"/>
          <w:sz w:val="20"/>
          <w:szCs w:val="20"/>
        </w:rPr>
        <w:t xml:space="preserve"> targets planned, </w:t>
      </w:r>
      <w:r w:rsidR="000860B8" w:rsidRPr="00133F4D">
        <w:rPr>
          <w:rFonts w:ascii="Arial" w:hAnsi="Arial" w:cs="Arial"/>
          <w:spacing w:val="6"/>
          <w:sz w:val="20"/>
          <w:szCs w:val="20"/>
        </w:rPr>
        <w:t>seven</w:t>
      </w:r>
      <w:r w:rsidRPr="00133F4D">
        <w:rPr>
          <w:rFonts w:ascii="Arial" w:hAnsi="Arial" w:cs="Arial"/>
          <w:spacing w:val="6"/>
          <w:sz w:val="20"/>
          <w:szCs w:val="20"/>
        </w:rPr>
        <w:t xml:space="preserve"> were achieved. The following were not achieved:</w:t>
      </w:r>
    </w:p>
    <w:p w:rsidR="00DA2CFD" w:rsidRPr="00133F4D" w:rsidRDefault="00DA2CFD" w:rsidP="00133F4D">
      <w:pPr>
        <w:pStyle w:val="NormalWeb"/>
        <w:numPr>
          <w:ilvl w:val="0"/>
          <w:numId w:val="9"/>
        </w:numPr>
        <w:spacing w:before="0" w:beforeAutospacing="0" w:after="0" w:afterAutospacing="0"/>
        <w:ind w:left="720"/>
        <w:rPr>
          <w:rFonts w:ascii="Arial" w:hAnsi="Arial" w:cs="Arial"/>
          <w:spacing w:val="6"/>
          <w:sz w:val="20"/>
          <w:szCs w:val="20"/>
        </w:rPr>
      </w:pPr>
      <w:r w:rsidRPr="00133F4D">
        <w:rPr>
          <w:rFonts w:ascii="Arial" w:hAnsi="Arial" w:cs="Arial"/>
          <w:spacing w:val="6"/>
          <w:sz w:val="20"/>
          <w:szCs w:val="20"/>
        </w:rPr>
        <w:t xml:space="preserve">Number of learners in the National School Sport Championship per year. </w:t>
      </w:r>
      <w:r w:rsidRPr="00133F4D">
        <w:rPr>
          <w:rFonts w:ascii="Arial" w:hAnsi="Arial" w:cs="Arial"/>
          <w:spacing w:val="6"/>
          <w:sz w:val="20"/>
          <w:szCs w:val="20"/>
          <w:lang w:val="en-GB"/>
        </w:rPr>
        <w:t>The lockdown restrictions led to the postponement of the scheduled Winter Championship in June 2021 and the Summer Championship in December 2021. Additionally, the Championships which were scheduled for 18 to 21 March, had to be cancelled due to the NT instruction note placing a moratorium on the procurement of goods and services above R30 000.</w:t>
      </w:r>
    </w:p>
    <w:p w:rsidR="00B87AE4" w:rsidRPr="00133F4D" w:rsidRDefault="00DA2CFD" w:rsidP="00133F4D">
      <w:pPr>
        <w:pStyle w:val="NormalWeb"/>
        <w:numPr>
          <w:ilvl w:val="0"/>
          <w:numId w:val="9"/>
        </w:numPr>
        <w:spacing w:before="0" w:beforeAutospacing="0" w:after="0" w:afterAutospacing="0"/>
        <w:ind w:left="720"/>
        <w:rPr>
          <w:rFonts w:ascii="Arial" w:hAnsi="Arial" w:cs="Arial"/>
          <w:spacing w:val="6"/>
          <w:sz w:val="20"/>
          <w:szCs w:val="20"/>
        </w:rPr>
      </w:pPr>
      <w:r w:rsidRPr="00133F4D">
        <w:rPr>
          <w:rFonts w:ascii="Arial" w:hAnsi="Arial" w:cs="Arial"/>
          <w:spacing w:val="6"/>
          <w:sz w:val="20"/>
          <w:szCs w:val="20"/>
        </w:rPr>
        <w:t>Percentage of national federations meeting 50% or more of all prescribed Transformation Charter targets.</w:t>
      </w:r>
      <w:r w:rsidR="00B87AE4" w:rsidRPr="00133F4D">
        <w:rPr>
          <w:rFonts w:ascii="Arial" w:hAnsi="Arial" w:cs="Arial"/>
          <w:spacing w:val="6"/>
          <w:sz w:val="20"/>
          <w:szCs w:val="20"/>
        </w:rPr>
        <w:t xml:space="preserve"> </w:t>
      </w:r>
      <w:r w:rsidR="00B87AE4" w:rsidRPr="00133F4D">
        <w:rPr>
          <w:rFonts w:ascii="Arial" w:hAnsi="Arial" w:cs="Arial"/>
          <w:spacing w:val="6"/>
          <w:sz w:val="20"/>
          <w:szCs w:val="20"/>
          <w:lang w:val="en-GB"/>
        </w:rPr>
        <w:t>In the year under review, the aim was to have 15 of the 19 national federations subscribe to the Transformation Charter targets. From these</w:t>
      </w:r>
      <w:r w:rsidR="00AD5799" w:rsidRPr="00133F4D">
        <w:rPr>
          <w:rFonts w:ascii="Arial" w:hAnsi="Arial" w:cs="Arial"/>
          <w:spacing w:val="6"/>
          <w:sz w:val="20"/>
          <w:szCs w:val="20"/>
          <w:lang w:val="en-GB"/>
        </w:rPr>
        <w:t xml:space="preserve"> 15 national federations, only five</w:t>
      </w:r>
      <w:r w:rsidR="00B87AE4" w:rsidRPr="00133F4D">
        <w:rPr>
          <w:rFonts w:ascii="Arial" w:hAnsi="Arial" w:cs="Arial"/>
          <w:spacing w:val="6"/>
          <w:sz w:val="20"/>
          <w:szCs w:val="20"/>
          <w:lang w:val="en-GB"/>
        </w:rPr>
        <w:t xml:space="preserve"> met the Transformation Charter targets, thus resulting in a deviation of 11 national federations that did not meet the set target.</w:t>
      </w:r>
    </w:p>
    <w:p w:rsidR="00DA2CFD" w:rsidRPr="00133F4D" w:rsidRDefault="00BE4E5C" w:rsidP="00133F4D">
      <w:pPr>
        <w:pStyle w:val="NormalWeb"/>
        <w:numPr>
          <w:ilvl w:val="0"/>
          <w:numId w:val="9"/>
        </w:numPr>
        <w:spacing w:before="0" w:beforeAutospacing="0" w:after="0" w:afterAutospacing="0"/>
        <w:ind w:left="720"/>
        <w:rPr>
          <w:rFonts w:ascii="Arial" w:hAnsi="Arial" w:cs="Arial"/>
          <w:spacing w:val="6"/>
          <w:sz w:val="20"/>
          <w:szCs w:val="20"/>
        </w:rPr>
      </w:pPr>
      <w:r w:rsidRPr="00133F4D">
        <w:rPr>
          <w:rFonts w:ascii="Arial" w:hAnsi="Arial" w:cs="Arial"/>
          <w:spacing w:val="6"/>
          <w:sz w:val="20"/>
          <w:szCs w:val="20"/>
        </w:rPr>
        <w:t xml:space="preserve">Number of community outdoor gyms and children’s play parks constructed. </w:t>
      </w:r>
      <w:r w:rsidR="00545137" w:rsidRPr="00133F4D">
        <w:rPr>
          <w:rFonts w:ascii="Arial" w:hAnsi="Arial" w:cs="Arial"/>
          <w:spacing w:val="6"/>
          <w:sz w:val="20"/>
          <w:szCs w:val="20"/>
        </w:rPr>
        <w:t>Protracted procurement processes resulted in a delay in the completion of all planned community outdoor gyms and children’s play parks. A response plan has been developed and the outstanding four constructions will be completed on/or before the second quarter of 2022/23.</w:t>
      </w:r>
    </w:p>
    <w:p w:rsidR="00545137" w:rsidRPr="00133F4D" w:rsidRDefault="00545137" w:rsidP="00133F4D">
      <w:pPr>
        <w:pStyle w:val="NormalWeb"/>
        <w:numPr>
          <w:ilvl w:val="0"/>
          <w:numId w:val="9"/>
        </w:numPr>
        <w:spacing w:before="0" w:beforeAutospacing="0" w:after="0" w:afterAutospacing="0"/>
        <w:ind w:left="720"/>
        <w:rPr>
          <w:rFonts w:ascii="Arial" w:hAnsi="Arial" w:cs="Arial"/>
          <w:spacing w:val="6"/>
          <w:sz w:val="20"/>
          <w:szCs w:val="20"/>
        </w:rPr>
      </w:pPr>
      <w:r w:rsidRPr="00133F4D">
        <w:rPr>
          <w:rFonts w:ascii="Arial" w:hAnsi="Arial" w:cs="Arial"/>
          <w:spacing w:val="6"/>
          <w:sz w:val="20"/>
          <w:szCs w:val="20"/>
        </w:rPr>
        <w:t>Number of heritage legacy facilities (including the Resistance and Liberation Heritage Route [RLHR] sites) developed and/or maintain to transform the national heritage landscape.</w:t>
      </w:r>
      <w:r w:rsidR="00690F1C" w:rsidRPr="00133F4D">
        <w:rPr>
          <w:rFonts w:ascii="Arial" w:hAnsi="Arial" w:cs="Arial"/>
          <w:spacing w:val="6"/>
          <w:sz w:val="20"/>
          <w:szCs w:val="20"/>
        </w:rPr>
        <w:t xml:space="preserve"> </w:t>
      </w:r>
      <w:r w:rsidR="00AD5799" w:rsidRPr="00133F4D">
        <w:rPr>
          <w:rFonts w:ascii="Arial" w:hAnsi="Arial" w:cs="Arial"/>
          <w:spacing w:val="6"/>
          <w:sz w:val="20"/>
          <w:szCs w:val="20"/>
        </w:rPr>
        <w:t>None of the three heritage legacy facilities were developed and/or maintained as planned.</w:t>
      </w:r>
      <w:r w:rsidR="005004E5" w:rsidRPr="00133F4D">
        <w:rPr>
          <w:rFonts w:ascii="Arial" w:hAnsi="Arial" w:cs="Arial"/>
          <w:spacing w:val="6"/>
          <w:sz w:val="20"/>
          <w:szCs w:val="20"/>
        </w:rPr>
        <w:t xml:space="preserve"> The eNyokeni Project experienced delays by the DPWI to advertise and appoint a service provider. For the Sarah Baartman Centre of </w:t>
      </w:r>
      <w:r w:rsidR="005004E5" w:rsidRPr="00133F4D">
        <w:rPr>
          <w:rFonts w:ascii="Arial" w:hAnsi="Arial" w:cs="Arial"/>
          <w:spacing w:val="6"/>
          <w:sz w:val="20"/>
          <w:szCs w:val="20"/>
        </w:rPr>
        <w:lastRenderedPageBreak/>
        <w:t xml:space="preserve">Remembrance project, the contractor abandoned the site in July 2021 due to a contractual dispute with the DPWI. </w:t>
      </w:r>
      <w:r w:rsidR="008F48D3" w:rsidRPr="00133F4D">
        <w:rPr>
          <w:rFonts w:ascii="Arial" w:hAnsi="Arial" w:cs="Arial"/>
          <w:spacing w:val="6"/>
          <w:sz w:val="20"/>
          <w:szCs w:val="20"/>
        </w:rPr>
        <w:t xml:space="preserve">In relation to the </w:t>
      </w:r>
      <w:r w:rsidR="005004E5" w:rsidRPr="00133F4D">
        <w:rPr>
          <w:rFonts w:ascii="Arial" w:hAnsi="Arial" w:cs="Arial"/>
          <w:spacing w:val="6"/>
          <w:sz w:val="20"/>
          <w:szCs w:val="20"/>
        </w:rPr>
        <w:t>Dr. John L Dube House</w:t>
      </w:r>
      <w:r w:rsidR="008F48D3" w:rsidRPr="00133F4D">
        <w:rPr>
          <w:rFonts w:ascii="Arial" w:hAnsi="Arial" w:cs="Arial"/>
          <w:spacing w:val="6"/>
          <w:sz w:val="20"/>
          <w:szCs w:val="20"/>
        </w:rPr>
        <w:t>,</w:t>
      </w:r>
      <w:r w:rsidR="005004E5" w:rsidRPr="00133F4D">
        <w:rPr>
          <w:rFonts w:ascii="Arial" w:hAnsi="Arial" w:cs="Arial"/>
          <w:spacing w:val="6"/>
          <w:sz w:val="20"/>
          <w:szCs w:val="20"/>
        </w:rPr>
        <w:t xml:space="preserve"> </w:t>
      </w:r>
      <w:r w:rsidR="008F48D3" w:rsidRPr="00133F4D">
        <w:rPr>
          <w:rFonts w:ascii="Arial" w:hAnsi="Arial" w:cs="Arial"/>
          <w:spacing w:val="6"/>
          <w:sz w:val="20"/>
          <w:szCs w:val="20"/>
        </w:rPr>
        <w:t xml:space="preserve">there were </w:t>
      </w:r>
      <w:r w:rsidR="005004E5" w:rsidRPr="00133F4D">
        <w:rPr>
          <w:rFonts w:ascii="Arial" w:hAnsi="Arial" w:cs="Arial"/>
          <w:spacing w:val="6"/>
          <w:sz w:val="20"/>
          <w:szCs w:val="20"/>
        </w:rPr>
        <w:t>contractual-related challenges between DSAC and implementing agent resulting in the payment for work done as well as work progress on site being delayed.</w:t>
      </w:r>
    </w:p>
    <w:p w:rsidR="0069222E" w:rsidRPr="00133F4D" w:rsidRDefault="0069222E" w:rsidP="00133F4D">
      <w:pPr>
        <w:spacing w:after="0" w:line="240" w:lineRule="auto"/>
        <w:jc w:val="left"/>
        <w:rPr>
          <w:rFonts w:ascii="Arial" w:eastAsia="Times New Roman" w:hAnsi="Arial" w:cs="Arial"/>
          <w:strike/>
          <w:spacing w:val="6"/>
          <w:sz w:val="20"/>
          <w:szCs w:val="20"/>
          <w:lang w:eastAsia="en-ZA"/>
        </w:rPr>
      </w:pPr>
    </w:p>
    <w:p w:rsidR="0069222E" w:rsidRPr="00133F4D" w:rsidRDefault="0069222E" w:rsidP="00133F4D">
      <w:pPr>
        <w:spacing w:after="0" w:line="240" w:lineRule="auto"/>
        <w:ind w:left="360"/>
        <w:jc w:val="left"/>
        <w:rPr>
          <w:rFonts w:ascii="Arial" w:eastAsia="Times New Roman" w:hAnsi="Arial" w:cs="Arial"/>
          <w:spacing w:val="6"/>
          <w:sz w:val="20"/>
          <w:szCs w:val="20"/>
          <w:lang w:eastAsia="en-ZA"/>
        </w:rPr>
      </w:pPr>
      <w:r w:rsidRPr="00133F4D">
        <w:rPr>
          <w:rFonts w:ascii="Arial" w:eastAsia="Times New Roman" w:hAnsi="Arial" w:cs="Arial"/>
          <w:spacing w:val="6"/>
          <w:sz w:val="20"/>
          <w:szCs w:val="20"/>
          <w:lang w:eastAsia="en-ZA"/>
        </w:rPr>
        <w:t>Selected achievements for this programme include:</w:t>
      </w:r>
    </w:p>
    <w:p w:rsidR="00FD3196" w:rsidRPr="00133F4D" w:rsidRDefault="00FD3196" w:rsidP="00133F4D">
      <w:pPr>
        <w:pStyle w:val="NormalWeb"/>
        <w:numPr>
          <w:ilvl w:val="0"/>
          <w:numId w:val="10"/>
        </w:numPr>
        <w:spacing w:before="0" w:beforeAutospacing="0" w:after="0" w:afterAutospacing="0"/>
        <w:ind w:left="720"/>
        <w:rPr>
          <w:rFonts w:ascii="Arial" w:hAnsi="Arial" w:cs="Arial"/>
          <w:spacing w:val="6"/>
          <w:sz w:val="20"/>
          <w:szCs w:val="20"/>
        </w:rPr>
      </w:pPr>
      <w:r w:rsidRPr="00133F4D">
        <w:rPr>
          <w:rFonts w:ascii="Arial" w:hAnsi="Arial" w:cs="Arial"/>
          <w:spacing w:val="6"/>
          <w:sz w:val="20"/>
          <w:szCs w:val="20"/>
        </w:rPr>
        <w:t>342 athletes were supported through the scientific support programme. This was an overachievement against the planned target of 80</w:t>
      </w:r>
      <w:r w:rsidR="00192BA7" w:rsidRPr="00133F4D">
        <w:rPr>
          <w:rFonts w:ascii="Arial" w:hAnsi="Arial" w:cs="Arial"/>
          <w:spacing w:val="6"/>
          <w:sz w:val="20"/>
          <w:szCs w:val="20"/>
        </w:rPr>
        <w:t xml:space="preserve"> as a result of ad-hoc requests </w:t>
      </w:r>
      <w:r w:rsidR="00192BA7" w:rsidRPr="00133F4D">
        <w:rPr>
          <w:rFonts w:ascii="Arial" w:hAnsi="Arial" w:cs="Arial"/>
          <w:spacing w:val="6"/>
          <w:sz w:val="20"/>
          <w:szCs w:val="20"/>
          <w:lang w:val="en-GB"/>
        </w:rPr>
        <w:t>requests and support were provided to Team SA</w:t>
      </w:r>
      <w:r w:rsidRPr="00133F4D">
        <w:rPr>
          <w:rFonts w:ascii="Arial" w:hAnsi="Arial" w:cs="Arial"/>
          <w:spacing w:val="6"/>
          <w:sz w:val="20"/>
          <w:szCs w:val="20"/>
        </w:rPr>
        <w:t>;</w:t>
      </w:r>
    </w:p>
    <w:p w:rsidR="00FD3196" w:rsidRPr="00133F4D" w:rsidRDefault="00FD3196" w:rsidP="00133F4D">
      <w:pPr>
        <w:pStyle w:val="NormalWeb"/>
        <w:numPr>
          <w:ilvl w:val="0"/>
          <w:numId w:val="10"/>
        </w:numPr>
        <w:spacing w:before="0" w:beforeAutospacing="0" w:after="0" w:afterAutospacing="0"/>
        <w:ind w:left="720"/>
        <w:rPr>
          <w:rFonts w:ascii="Arial" w:hAnsi="Arial" w:cs="Arial"/>
          <w:spacing w:val="6"/>
          <w:sz w:val="20"/>
          <w:szCs w:val="20"/>
        </w:rPr>
      </w:pPr>
      <w:r w:rsidRPr="00133F4D">
        <w:rPr>
          <w:rFonts w:ascii="Arial" w:hAnsi="Arial" w:cs="Arial"/>
          <w:spacing w:val="6"/>
          <w:sz w:val="20"/>
          <w:szCs w:val="20"/>
        </w:rPr>
        <w:t>8 859 athletes were supported by sport academies. An additional 5 159 athletes were supported due to increased requests for support, from the athletes to the provincial departments.</w:t>
      </w:r>
    </w:p>
    <w:p w:rsidR="00FD3196" w:rsidRPr="00133F4D" w:rsidRDefault="0029051D" w:rsidP="00133F4D">
      <w:pPr>
        <w:pStyle w:val="NormalWeb"/>
        <w:numPr>
          <w:ilvl w:val="0"/>
          <w:numId w:val="10"/>
        </w:numPr>
        <w:spacing w:before="0" w:beforeAutospacing="0" w:after="0" w:afterAutospacing="0"/>
        <w:ind w:left="720"/>
        <w:rPr>
          <w:rFonts w:ascii="Arial" w:hAnsi="Arial" w:cs="Arial"/>
          <w:spacing w:val="6"/>
          <w:sz w:val="20"/>
          <w:szCs w:val="20"/>
        </w:rPr>
      </w:pPr>
      <w:r w:rsidRPr="00133F4D">
        <w:rPr>
          <w:rFonts w:ascii="Arial" w:hAnsi="Arial" w:cs="Arial"/>
          <w:spacing w:val="6"/>
          <w:sz w:val="20"/>
          <w:szCs w:val="20"/>
        </w:rPr>
        <w:t>All eight planned sport and recreation promotion campaigns and events were implemented</w:t>
      </w:r>
      <w:r w:rsidR="004A1A96" w:rsidRPr="00133F4D">
        <w:rPr>
          <w:rFonts w:ascii="Arial" w:hAnsi="Arial" w:cs="Arial"/>
          <w:spacing w:val="6"/>
          <w:sz w:val="20"/>
          <w:szCs w:val="20"/>
        </w:rPr>
        <w:t xml:space="preserve"> including</w:t>
      </w:r>
      <w:r w:rsidR="002F13D3" w:rsidRPr="00133F4D">
        <w:rPr>
          <w:rFonts w:ascii="Arial" w:hAnsi="Arial" w:cs="Arial"/>
          <w:spacing w:val="6"/>
          <w:sz w:val="20"/>
          <w:szCs w:val="20"/>
        </w:rPr>
        <w:t>, among others,</w:t>
      </w:r>
      <w:r w:rsidR="004A1A96" w:rsidRPr="00133F4D">
        <w:rPr>
          <w:rFonts w:ascii="Arial" w:hAnsi="Arial" w:cs="Arial"/>
          <w:spacing w:val="6"/>
          <w:sz w:val="20"/>
          <w:szCs w:val="20"/>
        </w:rPr>
        <w:t xml:space="preserve"> Big Walk, Move for Health Day, and the Indigenous Games Festival.</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b/>
          <w:color w:val="000000"/>
          <w:spacing w:val="6"/>
          <w:sz w:val="20"/>
          <w:szCs w:val="20"/>
          <w:lang w:val="en-GB" w:eastAsia="en-GB"/>
        </w:rPr>
      </w:pPr>
      <w:r w:rsidRPr="00133F4D">
        <w:rPr>
          <w:rFonts w:ascii="Arial" w:hAnsi="Arial" w:cs="Arial"/>
          <w:b/>
          <w:spacing w:val="6"/>
          <w:sz w:val="20"/>
          <w:szCs w:val="20"/>
        </w:rPr>
        <w:t>Programme 3:</w:t>
      </w:r>
      <w:r w:rsidRPr="00133F4D">
        <w:rPr>
          <w:rFonts w:ascii="Arial" w:hAnsi="Arial" w:cs="Arial"/>
          <w:b/>
          <w:color w:val="000000"/>
          <w:spacing w:val="6"/>
          <w:sz w:val="20"/>
          <w:szCs w:val="20"/>
          <w:lang w:val="en-GB" w:eastAsia="en-GB"/>
        </w:rPr>
        <w:t xml:space="preserve"> Arts and Culture Promotion and Development</w:t>
      </w:r>
    </w:p>
    <w:p w:rsidR="0069222E" w:rsidRPr="00133F4D" w:rsidRDefault="00483CBE" w:rsidP="00133F4D">
      <w:pPr>
        <w:spacing w:after="0" w:line="240" w:lineRule="auto"/>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Four</w:t>
      </w:r>
      <w:r w:rsidR="0069222E" w:rsidRPr="00133F4D">
        <w:rPr>
          <w:rFonts w:ascii="Arial" w:hAnsi="Arial" w:cs="Arial"/>
          <w:color w:val="000000"/>
          <w:spacing w:val="6"/>
          <w:sz w:val="20"/>
          <w:szCs w:val="20"/>
          <w:lang w:val="en-GB" w:eastAsia="en-GB"/>
        </w:rPr>
        <w:t xml:space="preserve"> out of the </w:t>
      </w:r>
      <w:r w:rsidR="00E2773F" w:rsidRPr="00133F4D">
        <w:rPr>
          <w:rFonts w:ascii="Arial" w:hAnsi="Arial" w:cs="Arial"/>
          <w:color w:val="000000"/>
          <w:spacing w:val="6"/>
          <w:sz w:val="20"/>
          <w:szCs w:val="20"/>
          <w:lang w:val="en-GB" w:eastAsia="en-GB"/>
        </w:rPr>
        <w:t>eighteen</w:t>
      </w:r>
      <w:r w:rsidR="0069222E" w:rsidRPr="00133F4D">
        <w:rPr>
          <w:rFonts w:ascii="Arial" w:hAnsi="Arial" w:cs="Arial"/>
          <w:color w:val="000000"/>
          <w:spacing w:val="6"/>
          <w:sz w:val="20"/>
          <w:szCs w:val="20"/>
          <w:lang w:val="en-GB" w:eastAsia="en-GB"/>
        </w:rPr>
        <w:t xml:space="preserve"> planned targets were not achieved. These include:</w:t>
      </w:r>
    </w:p>
    <w:p w:rsidR="000E3234" w:rsidRPr="00133F4D" w:rsidRDefault="00AC6655" w:rsidP="00133F4D">
      <w:pPr>
        <w:pStyle w:val="NormalWeb"/>
        <w:numPr>
          <w:ilvl w:val="0"/>
          <w:numId w:val="4"/>
        </w:numPr>
        <w:spacing w:before="0" w:beforeAutospacing="0" w:after="0" w:afterAutospacing="0"/>
        <w:ind w:left="714" w:hanging="357"/>
        <w:rPr>
          <w:rFonts w:ascii="Arial" w:hAnsi="Arial" w:cs="Arial"/>
          <w:spacing w:val="6"/>
          <w:sz w:val="20"/>
          <w:szCs w:val="20"/>
        </w:rPr>
      </w:pPr>
      <w:r w:rsidRPr="00133F4D">
        <w:rPr>
          <w:rFonts w:ascii="Arial" w:hAnsi="Arial" w:cs="Arial"/>
          <w:spacing w:val="6"/>
          <w:sz w:val="20"/>
          <w:szCs w:val="20"/>
        </w:rPr>
        <w:t>Seven out of nine planned provincial community arts development programmes we</w:t>
      </w:r>
      <w:r w:rsidR="000E3234" w:rsidRPr="00133F4D">
        <w:rPr>
          <w:rFonts w:ascii="Arial" w:hAnsi="Arial" w:cs="Arial"/>
          <w:spacing w:val="6"/>
          <w:sz w:val="20"/>
          <w:szCs w:val="20"/>
        </w:rPr>
        <w:t xml:space="preserve">re implemented. </w:t>
      </w:r>
      <w:r w:rsidR="000E3234" w:rsidRPr="00133F4D">
        <w:rPr>
          <w:rFonts w:ascii="Arial" w:hAnsi="Arial" w:cs="Arial"/>
          <w:spacing w:val="6"/>
          <w:sz w:val="20"/>
          <w:szCs w:val="20"/>
          <w:lang w:val="en-GB"/>
        </w:rPr>
        <w:t xml:space="preserve">Inadequate corroborating evidence to support work executed in the reporting period, resulted in the indicator being declared as not achieved. </w:t>
      </w:r>
    </w:p>
    <w:p w:rsidR="002A49D1" w:rsidRPr="00133F4D" w:rsidRDefault="002A49D1" w:rsidP="00133F4D">
      <w:pPr>
        <w:pStyle w:val="NormalWeb"/>
        <w:numPr>
          <w:ilvl w:val="0"/>
          <w:numId w:val="4"/>
        </w:numPr>
        <w:spacing w:before="0" w:beforeAutospacing="0" w:after="0" w:afterAutospacing="0"/>
        <w:ind w:left="714" w:hanging="357"/>
        <w:rPr>
          <w:rFonts w:ascii="Arial" w:hAnsi="Arial" w:cs="Arial"/>
          <w:spacing w:val="6"/>
          <w:sz w:val="20"/>
          <w:szCs w:val="20"/>
        </w:rPr>
      </w:pPr>
      <w:r w:rsidRPr="00133F4D">
        <w:rPr>
          <w:rFonts w:ascii="Arial" w:hAnsi="Arial" w:cs="Arial"/>
          <w:spacing w:val="6"/>
          <w:sz w:val="20"/>
          <w:szCs w:val="20"/>
        </w:rPr>
        <w:t>While five planned Moral Regeneration Movement projects were implemented, the indicator was declared as not achieved because of inadequate corroborating evidence to support work executed in the reporting period.</w:t>
      </w:r>
    </w:p>
    <w:p w:rsidR="00E91EB9" w:rsidRPr="00133F4D" w:rsidRDefault="00E91EB9" w:rsidP="00133F4D">
      <w:pPr>
        <w:pStyle w:val="NormalWeb"/>
        <w:numPr>
          <w:ilvl w:val="0"/>
          <w:numId w:val="4"/>
        </w:numPr>
        <w:spacing w:before="0" w:beforeAutospacing="0" w:after="0" w:afterAutospacing="0"/>
        <w:rPr>
          <w:rFonts w:ascii="Arial" w:hAnsi="Arial" w:cs="Arial"/>
          <w:spacing w:val="6"/>
          <w:sz w:val="20"/>
          <w:szCs w:val="20"/>
        </w:rPr>
      </w:pPr>
      <w:r w:rsidRPr="00133F4D">
        <w:rPr>
          <w:rFonts w:ascii="Arial" w:hAnsi="Arial" w:cs="Arial"/>
          <w:spacing w:val="6"/>
          <w:sz w:val="20"/>
          <w:szCs w:val="20"/>
        </w:rPr>
        <w:t>The social compact for social cohesion and nation-building was not completed due to delays in the consultations</w:t>
      </w:r>
      <w:r w:rsidR="00171C3F" w:rsidRPr="00133F4D">
        <w:rPr>
          <w:rFonts w:ascii="Arial" w:hAnsi="Arial" w:cs="Arial"/>
          <w:spacing w:val="6"/>
          <w:sz w:val="20"/>
          <w:szCs w:val="20"/>
        </w:rPr>
        <w:t>.</w:t>
      </w:r>
    </w:p>
    <w:p w:rsidR="00A40799" w:rsidRPr="00133F4D" w:rsidRDefault="00A40799" w:rsidP="00133F4D">
      <w:pPr>
        <w:pStyle w:val="NormalWeb"/>
        <w:numPr>
          <w:ilvl w:val="0"/>
          <w:numId w:val="4"/>
        </w:numPr>
        <w:spacing w:before="0" w:beforeAutospacing="0" w:after="0" w:afterAutospacing="0"/>
        <w:rPr>
          <w:rFonts w:ascii="Arial" w:hAnsi="Arial" w:cs="Arial"/>
          <w:spacing w:val="6"/>
          <w:sz w:val="20"/>
          <w:szCs w:val="20"/>
        </w:rPr>
      </w:pPr>
      <w:r w:rsidRPr="00133F4D">
        <w:rPr>
          <w:rFonts w:ascii="Arial" w:hAnsi="Arial" w:cs="Arial"/>
          <w:spacing w:val="6"/>
          <w:sz w:val="20"/>
          <w:szCs w:val="20"/>
        </w:rPr>
        <w:t>Stemming from the incomplete nature of the social compact, the target of two monitoring reports on the implementation of a social compact could not proceed and were thus not achieved.</w:t>
      </w: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Some of the programme achievements </w:t>
      </w:r>
      <w:r w:rsidR="00BD29A8" w:rsidRPr="00133F4D">
        <w:rPr>
          <w:rFonts w:ascii="Arial" w:hAnsi="Arial" w:cs="Arial"/>
          <w:spacing w:val="6"/>
          <w:sz w:val="20"/>
          <w:szCs w:val="20"/>
        </w:rPr>
        <w:t>include:</w:t>
      </w:r>
    </w:p>
    <w:p w:rsidR="00BD29A8" w:rsidRPr="00133F4D" w:rsidRDefault="00BD29A8" w:rsidP="00133F4D">
      <w:pPr>
        <w:pStyle w:val="ListParagraph"/>
        <w:numPr>
          <w:ilvl w:val="0"/>
          <w:numId w:val="7"/>
        </w:num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12 local and </w:t>
      </w:r>
      <w:r w:rsidRPr="00133F4D">
        <w:rPr>
          <w:rFonts w:ascii="Arial" w:hAnsi="Arial" w:cs="Arial"/>
          <w:spacing w:val="6"/>
          <w:sz w:val="20"/>
          <w:szCs w:val="20"/>
          <w:lang w:val="en-GB"/>
        </w:rPr>
        <w:t>international market platforms were financially supported;</w:t>
      </w:r>
    </w:p>
    <w:p w:rsidR="00BD29A8" w:rsidRPr="00133F4D" w:rsidRDefault="00BD29A8" w:rsidP="00133F4D">
      <w:pPr>
        <w:pStyle w:val="ListParagraph"/>
        <w:numPr>
          <w:ilvl w:val="0"/>
          <w:numId w:val="7"/>
        </w:numPr>
        <w:spacing w:after="0" w:line="240" w:lineRule="auto"/>
        <w:jc w:val="left"/>
        <w:rPr>
          <w:rFonts w:ascii="Arial" w:hAnsi="Arial" w:cs="Arial"/>
          <w:spacing w:val="6"/>
          <w:sz w:val="20"/>
          <w:szCs w:val="20"/>
        </w:rPr>
      </w:pPr>
      <w:r w:rsidRPr="00133F4D">
        <w:rPr>
          <w:rFonts w:ascii="Arial" w:hAnsi="Arial" w:cs="Arial"/>
          <w:spacing w:val="6"/>
          <w:sz w:val="20"/>
          <w:szCs w:val="20"/>
          <w:lang w:val="en-GB"/>
        </w:rPr>
        <w:t xml:space="preserve">20 </w:t>
      </w:r>
      <w:r w:rsidRPr="00133F4D">
        <w:rPr>
          <w:rFonts w:ascii="Arial" w:hAnsi="Arial" w:cs="Arial"/>
          <w:spacing w:val="6"/>
          <w:sz w:val="20"/>
          <w:szCs w:val="20"/>
        </w:rPr>
        <w:t>community conversations/ dialogues were held to foster social interaction;</w:t>
      </w:r>
    </w:p>
    <w:p w:rsidR="00BD29A8" w:rsidRPr="00133F4D" w:rsidRDefault="00BD29A8" w:rsidP="00133F4D">
      <w:pPr>
        <w:pStyle w:val="ListParagraph"/>
        <w:numPr>
          <w:ilvl w:val="0"/>
          <w:numId w:val="7"/>
        </w:numPr>
        <w:spacing w:after="0" w:line="240" w:lineRule="auto"/>
        <w:jc w:val="left"/>
        <w:rPr>
          <w:rFonts w:ascii="Arial" w:hAnsi="Arial" w:cs="Arial"/>
          <w:spacing w:val="6"/>
          <w:sz w:val="20"/>
          <w:szCs w:val="20"/>
        </w:rPr>
      </w:pPr>
      <w:r w:rsidRPr="00133F4D">
        <w:rPr>
          <w:rFonts w:ascii="Arial" w:hAnsi="Arial" w:cs="Arial"/>
          <w:spacing w:val="6"/>
          <w:sz w:val="20"/>
          <w:szCs w:val="20"/>
          <w:lang w:val="en-GB"/>
        </w:rPr>
        <w:t>4 Y</w:t>
      </w:r>
      <w:r w:rsidRPr="00133F4D">
        <w:rPr>
          <w:rFonts w:ascii="Arial" w:hAnsi="Arial" w:cs="Arial"/>
          <w:spacing w:val="6"/>
          <w:sz w:val="20"/>
          <w:szCs w:val="20"/>
        </w:rPr>
        <w:t>outh - focused arts development programmes were implemented;</w:t>
      </w:r>
    </w:p>
    <w:p w:rsidR="00BD29A8" w:rsidRPr="00133F4D" w:rsidRDefault="00BD29A8" w:rsidP="00133F4D">
      <w:pPr>
        <w:pStyle w:val="ListParagraph"/>
        <w:numPr>
          <w:ilvl w:val="0"/>
          <w:numId w:val="7"/>
        </w:numPr>
        <w:spacing w:after="0" w:line="240" w:lineRule="auto"/>
        <w:jc w:val="left"/>
        <w:rPr>
          <w:rFonts w:ascii="Arial" w:hAnsi="Arial" w:cs="Arial"/>
          <w:spacing w:val="6"/>
          <w:sz w:val="20"/>
          <w:szCs w:val="20"/>
        </w:rPr>
      </w:pPr>
      <w:r w:rsidRPr="00133F4D">
        <w:rPr>
          <w:rFonts w:ascii="Arial" w:hAnsi="Arial" w:cs="Arial"/>
          <w:spacing w:val="6"/>
          <w:sz w:val="20"/>
          <w:szCs w:val="20"/>
        </w:rPr>
        <w:t>325 arts practitioners were placed in schools.</w:t>
      </w:r>
    </w:p>
    <w:p w:rsidR="00BD29A8" w:rsidRPr="00133F4D" w:rsidRDefault="00BD29A8" w:rsidP="00133F4D">
      <w:pPr>
        <w:pStyle w:val="ListParagraph"/>
        <w:numPr>
          <w:ilvl w:val="0"/>
          <w:numId w:val="7"/>
        </w:numPr>
        <w:spacing w:after="0" w:line="240" w:lineRule="auto"/>
        <w:jc w:val="left"/>
        <w:rPr>
          <w:rFonts w:ascii="Arial" w:hAnsi="Arial" w:cs="Arial"/>
          <w:spacing w:val="6"/>
          <w:sz w:val="20"/>
          <w:szCs w:val="20"/>
        </w:rPr>
      </w:pPr>
      <w:r w:rsidRPr="00133F4D">
        <w:rPr>
          <w:rFonts w:ascii="Arial" w:hAnsi="Arial" w:cs="Arial"/>
          <w:spacing w:val="6"/>
          <w:sz w:val="20"/>
          <w:szCs w:val="20"/>
        </w:rPr>
        <w:t>68 projects in the creative industry were supported through the MGE programme</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4: Heritage Promotion and Preservation</w:t>
      </w:r>
    </w:p>
    <w:p w:rsidR="002F78F8" w:rsidRPr="00133F4D" w:rsidRDefault="00525116"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w:t>
      </w:r>
      <w:r w:rsidR="008F7C99" w:rsidRPr="00133F4D">
        <w:rPr>
          <w:rFonts w:ascii="Arial" w:hAnsi="Arial" w:cs="Arial"/>
          <w:spacing w:val="6"/>
          <w:sz w:val="20"/>
          <w:szCs w:val="20"/>
        </w:rPr>
        <w:t>wo out of the eleven</w:t>
      </w:r>
      <w:r w:rsidR="0069222E" w:rsidRPr="00133F4D">
        <w:rPr>
          <w:rFonts w:ascii="Arial" w:hAnsi="Arial" w:cs="Arial"/>
          <w:spacing w:val="6"/>
          <w:sz w:val="20"/>
          <w:szCs w:val="20"/>
        </w:rPr>
        <w:t xml:space="preserve"> planned targets were </w:t>
      </w:r>
      <w:r w:rsidR="008F7C99" w:rsidRPr="00133F4D">
        <w:rPr>
          <w:rFonts w:ascii="Arial" w:hAnsi="Arial" w:cs="Arial"/>
          <w:spacing w:val="6"/>
          <w:sz w:val="20"/>
          <w:szCs w:val="20"/>
        </w:rPr>
        <w:t xml:space="preserve">not </w:t>
      </w:r>
      <w:r w:rsidR="0069222E" w:rsidRPr="00133F4D">
        <w:rPr>
          <w:rFonts w:ascii="Arial" w:hAnsi="Arial" w:cs="Arial"/>
          <w:spacing w:val="6"/>
          <w:sz w:val="20"/>
          <w:szCs w:val="20"/>
        </w:rPr>
        <w:t xml:space="preserve">achieved. </w:t>
      </w:r>
      <w:r w:rsidR="002F78F8" w:rsidRPr="00133F4D">
        <w:rPr>
          <w:rFonts w:ascii="Arial" w:hAnsi="Arial" w:cs="Arial"/>
          <w:spacing w:val="6"/>
          <w:sz w:val="20"/>
          <w:szCs w:val="20"/>
        </w:rPr>
        <w:t>These include:</w:t>
      </w:r>
    </w:p>
    <w:p w:rsidR="002F78F8" w:rsidRPr="00133F4D" w:rsidRDefault="002F78F8" w:rsidP="00133F4D">
      <w:pPr>
        <w:pStyle w:val="ListParagraph"/>
        <w:numPr>
          <w:ilvl w:val="0"/>
          <w:numId w:val="7"/>
        </w:numPr>
        <w:spacing w:after="0" w:line="240" w:lineRule="auto"/>
        <w:jc w:val="left"/>
        <w:rPr>
          <w:rFonts w:ascii="Arial" w:hAnsi="Arial" w:cs="Arial"/>
          <w:spacing w:val="6"/>
          <w:sz w:val="20"/>
          <w:szCs w:val="20"/>
        </w:rPr>
      </w:pPr>
      <w:r w:rsidRPr="00133F4D">
        <w:rPr>
          <w:rFonts w:ascii="Arial" w:hAnsi="Arial" w:cs="Arial"/>
          <w:spacing w:val="6"/>
          <w:sz w:val="20"/>
          <w:szCs w:val="20"/>
        </w:rPr>
        <w:t>An additional student was supported against the planned target of 65. However, due to incomplete or inadequate evidence to substantiate support to five students, the target was declared as not achieved.</w:t>
      </w:r>
    </w:p>
    <w:p w:rsidR="002F78F8" w:rsidRPr="00133F4D" w:rsidRDefault="002A5594" w:rsidP="00133F4D">
      <w:pPr>
        <w:pStyle w:val="ListParagraph"/>
        <w:numPr>
          <w:ilvl w:val="0"/>
          <w:numId w:val="7"/>
        </w:num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Only one of the three heritage legacy projects where exhibition content is developed was achieved, i.e. </w:t>
      </w:r>
      <w:r w:rsidRPr="00133F4D">
        <w:rPr>
          <w:rFonts w:ascii="Arial" w:hAnsi="Arial" w:cs="Arial"/>
          <w:spacing w:val="6"/>
          <w:sz w:val="20"/>
          <w:szCs w:val="20"/>
          <w:lang w:val="en-GB"/>
        </w:rPr>
        <w:t xml:space="preserve">Winnie Mandela </w:t>
      </w:r>
      <w:r w:rsidRPr="00133F4D">
        <w:rPr>
          <w:rFonts w:ascii="Arial" w:hAnsi="Arial" w:cs="Arial"/>
          <w:spacing w:val="6"/>
          <w:sz w:val="20"/>
          <w:szCs w:val="20"/>
          <w:lang w:val="en-US"/>
        </w:rPr>
        <w:t>(Brandfort) House Memorial</w:t>
      </w:r>
      <w:r w:rsidRPr="00133F4D">
        <w:rPr>
          <w:rFonts w:ascii="Arial" w:hAnsi="Arial" w:cs="Arial"/>
          <w:spacing w:val="6"/>
          <w:sz w:val="20"/>
          <w:szCs w:val="20"/>
        </w:rPr>
        <w:t>. In the other two projects, namely the Sarah Baartman Centre of Remembrance and OR Tambo Garden of Remembrance, there were delays in the implementation and/or inadequate evidence to support the work executed in the financial year.</w:t>
      </w:r>
    </w:p>
    <w:p w:rsidR="00C52931" w:rsidRPr="00133F4D" w:rsidRDefault="00C52931" w:rsidP="00133F4D">
      <w:pPr>
        <w:pStyle w:val="ListParagraph"/>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Selected highlights for this programme include:</w:t>
      </w:r>
    </w:p>
    <w:p w:rsidR="00E06B91" w:rsidRPr="00133F4D" w:rsidRDefault="00E06B91" w:rsidP="00133F4D">
      <w:pPr>
        <w:pStyle w:val="ListParagraph"/>
        <w:numPr>
          <w:ilvl w:val="0"/>
          <w:numId w:val="8"/>
        </w:numPr>
        <w:spacing w:after="0" w:line="240" w:lineRule="auto"/>
        <w:jc w:val="left"/>
        <w:rPr>
          <w:rFonts w:ascii="Arial" w:hAnsi="Arial" w:cs="Arial"/>
          <w:spacing w:val="6"/>
          <w:sz w:val="20"/>
          <w:szCs w:val="20"/>
        </w:rPr>
      </w:pPr>
      <w:r w:rsidRPr="00133F4D">
        <w:rPr>
          <w:rFonts w:ascii="Arial" w:hAnsi="Arial" w:cs="Arial"/>
          <w:spacing w:val="6"/>
          <w:sz w:val="20"/>
          <w:szCs w:val="20"/>
        </w:rPr>
        <w:t>The two draft policies that were planned for development in the 2021/22 financial year were completed. These are the Digitisation of the Arts, Culture and Heritage Sector Policy and the National Legacy Projects Policy</w:t>
      </w:r>
    </w:p>
    <w:p w:rsidR="00E06B91" w:rsidRPr="00133F4D" w:rsidRDefault="006F1BA3" w:rsidP="00133F4D">
      <w:pPr>
        <w:pStyle w:val="ListParagraph"/>
        <w:numPr>
          <w:ilvl w:val="0"/>
          <w:numId w:val="8"/>
        </w:numPr>
        <w:spacing w:after="0" w:line="240" w:lineRule="auto"/>
        <w:jc w:val="left"/>
        <w:rPr>
          <w:rFonts w:ascii="Arial" w:hAnsi="Arial" w:cs="Arial"/>
          <w:spacing w:val="6"/>
          <w:sz w:val="20"/>
          <w:szCs w:val="20"/>
        </w:rPr>
      </w:pPr>
      <w:r w:rsidRPr="00133F4D">
        <w:rPr>
          <w:rFonts w:ascii="Arial" w:hAnsi="Arial" w:cs="Arial"/>
          <w:spacing w:val="6"/>
          <w:sz w:val="20"/>
          <w:szCs w:val="20"/>
        </w:rPr>
        <w:t>The planned annual progress report on Resistance and Liberation Heritage Route sites was developed.</w:t>
      </w:r>
    </w:p>
    <w:p w:rsidR="00C52931" w:rsidRPr="00133F4D" w:rsidRDefault="006705ED" w:rsidP="00133F4D">
      <w:pPr>
        <w:pStyle w:val="ListParagraph"/>
        <w:numPr>
          <w:ilvl w:val="0"/>
          <w:numId w:val="8"/>
        </w:num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planned to financially support 26 newly built and /or modular libraries. </w:t>
      </w:r>
      <w:r w:rsidR="00C52931" w:rsidRPr="00133F4D">
        <w:rPr>
          <w:rFonts w:ascii="Arial" w:hAnsi="Arial" w:cs="Arial"/>
          <w:spacing w:val="6"/>
          <w:sz w:val="20"/>
          <w:szCs w:val="20"/>
        </w:rPr>
        <w:t>Due to funding sourced from the 2020/21 rollover funds an additional eight projects were supported.</w:t>
      </w:r>
    </w:p>
    <w:p w:rsidR="0069222E" w:rsidRPr="00133F4D" w:rsidRDefault="0069222E" w:rsidP="00133F4D">
      <w:pPr>
        <w:pStyle w:val="ListParagraph"/>
        <w:spacing w:after="0" w:line="240" w:lineRule="auto"/>
        <w:jc w:val="left"/>
        <w:rPr>
          <w:rFonts w:ascii="Arial" w:hAnsi="Arial" w:cs="Arial"/>
          <w:spacing w:val="6"/>
          <w:sz w:val="20"/>
          <w:szCs w:val="20"/>
        </w:rPr>
      </w:pPr>
    </w:p>
    <w:p w:rsidR="0069222E" w:rsidRPr="00133F4D" w:rsidRDefault="0069222E" w:rsidP="00133F4D">
      <w:pPr>
        <w:pStyle w:val="Heading1"/>
        <w:spacing w:before="0" w:line="240" w:lineRule="auto"/>
        <w:ind w:left="567" w:hanging="567"/>
        <w:jc w:val="left"/>
        <w:rPr>
          <w:rFonts w:ascii="Arial" w:hAnsi="Arial" w:cs="Arial"/>
          <w:spacing w:val="6"/>
          <w:sz w:val="20"/>
          <w:szCs w:val="20"/>
        </w:rPr>
      </w:pPr>
      <w:bookmarkStart w:id="20" w:name="_Toc88519312"/>
      <w:r w:rsidRPr="00133F4D">
        <w:rPr>
          <w:rFonts w:ascii="Arial" w:hAnsi="Arial" w:cs="Arial"/>
          <w:spacing w:val="6"/>
          <w:sz w:val="20"/>
          <w:szCs w:val="20"/>
        </w:rPr>
        <w:lastRenderedPageBreak/>
        <w:t>OVERVIEW AND ASSESSMENT OF THE FINANCIAL AND NON-FINANCIAL PERFORMANCE FOR THE PERIOD 1 APRIL TO 30 JUNE 202</w:t>
      </w:r>
      <w:bookmarkEnd w:id="20"/>
      <w:r w:rsidR="00FF31F2" w:rsidRPr="00133F4D">
        <w:rPr>
          <w:rFonts w:ascii="Arial" w:hAnsi="Arial" w:cs="Arial"/>
          <w:spacing w:val="6"/>
          <w:sz w:val="20"/>
          <w:szCs w:val="20"/>
        </w:rPr>
        <w:t>2</w:t>
      </w: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This section provides a comparison between the DSAC’s planned targets in its APP against its performance set out in its first </w:t>
      </w:r>
      <w:r w:rsidR="006339C0" w:rsidRPr="00133F4D">
        <w:rPr>
          <w:rFonts w:ascii="Arial" w:hAnsi="Arial" w:cs="Arial"/>
          <w:spacing w:val="6"/>
          <w:sz w:val="20"/>
          <w:szCs w:val="20"/>
        </w:rPr>
        <w:t>quarter report for the 2022/23</w:t>
      </w:r>
      <w:r w:rsidRPr="00133F4D">
        <w:rPr>
          <w:rFonts w:ascii="Arial" w:hAnsi="Arial" w:cs="Arial"/>
          <w:spacing w:val="6"/>
          <w:sz w:val="20"/>
          <w:szCs w:val="20"/>
        </w:rPr>
        <w:t xml:space="preserve"> financial year.</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4D07C6" w:rsidP="00133F4D">
      <w:pPr>
        <w:pStyle w:val="Heading2"/>
        <w:spacing w:line="240" w:lineRule="auto"/>
        <w:jc w:val="left"/>
        <w:rPr>
          <w:rFonts w:ascii="Arial" w:hAnsi="Arial" w:cs="Arial"/>
          <w:sz w:val="20"/>
          <w:szCs w:val="20"/>
        </w:rPr>
      </w:pPr>
      <w:bookmarkStart w:id="21" w:name="_Toc88519313"/>
      <w:r w:rsidRPr="00133F4D">
        <w:rPr>
          <w:rFonts w:ascii="Arial" w:hAnsi="Arial" w:cs="Arial"/>
          <w:sz w:val="20"/>
          <w:szCs w:val="20"/>
        </w:rPr>
        <w:t>5.1</w:t>
      </w:r>
      <w:r w:rsidR="00353039" w:rsidRPr="00133F4D">
        <w:rPr>
          <w:rFonts w:ascii="Arial" w:hAnsi="Arial" w:cs="Arial"/>
          <w:sz w:val="20"/>
          <w:szCs w:val="20"/>
        </w:rPr>
        <w:tab/>
      </w:r>
      <w:r w:rsidR="0069222E" w:rsidRPr="00133F4D">
        <w:rPr>
          <w:rFonts w:ascii="Arial" w:hAnsi="Arial" w:cs="Arial"/>
          <w:sz w:val="20"/>
          <w:szCs w:val="20"/>
        </w:rPr>
        <w:t>Financial performance</w:t>
      </w:r>
      <w:bookmarkEnd w:id="21"/>
    </w:p>
    <w:p w:rsidR="00F50246" w:rsidRPr="00133F4D" w:rsidRDefault="001228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appropriation for the 2022/23 financial year was R6.3 billion. As at the end of 30 June 2022, the Department's spending amounted to R1.02 billion or 16.2 per cent of its available budget. The actual expenditure was</w:t>
      </w:r>
      <w:r w:rsidR="00A31F9B" w:rsidRPr="00133F4D">
        <w:rPr>
          <w:rFonts w:ascii="Arial" w:hAnsi="Arial" w:cs="Arial"/>
          <w:spacing w:val="6"/>
          <w:sz w:val="20"/>
          <w:szCs w:val="20"/>
        </w:rPr>
        <w:t xml:space="preserve"> lower than projected spending by R414.2 million or 28.9 per cent against projections of R1.43 billion.</w:t>
      </w:r>
      <w:r w:rsidR="00F50246" w:rsidRPr="00133F4D">
        <w:rPr>
          <w:rFonts w:ascii="Arial" w:hAnsi="Arial" w:cs="Arial"/>
          <w:spacing w:val="6"/>
          <w:sz w:val="20"/>
          <w:szCs w:val="20"/>
        </w:rPr>
        <w:t xml:space="preserve"> The lower than projected spending was mainly on Transfers and Subsidies in Programme 2: Recreation Development and Sport Promotion and Programme 3: Arts and Culture Promotion and Development.</w:t>
      </w:r>
    </w:p>
    <w:p w:rsidR="0069222E" w:rsidRPr="00133F4D" w:rsidRDefault="0069222E" w:rsidP="00133F4D">
      <w:pPr>
        <w:pStyle w:val="Caption"/>
        <w:keepNext/>
        <w:spacing w:after="0"/>
        <w:jc w:val="left"/>
        <w:rPr>
          <w:rFonts w:ascii="Arial" w:hAnsi="Arial" w:cs="Arial"/>
          <w:b/>
          <w:i w:val="0"/>
          <w:color w:val="auto"/>
          <w:spacing w:val="6"/>
          <w:sz w:val="20"/>
          <w:szCs w:val="20"/>
        </w:rPr>
      </w:pPr>
      <w:r w:rsidRPr="00133F4D">
        <w:rPr>
          <w:rFonts w:ascii="Arial" w:hAnsi="Arial" w:cs="Arial"/>
          <w:b/>
          <w:i w:val="0"/>
          <w:color w:val="auto"/>
          <w:spacing w:val="6"/>
          <w:sz w:val="20"/>
          <w:szCs w:val="20"/>
        </w:rPr>
        <w:t xml:space="preserve">Table </w:t>
      </w:r>
      <w:r w:rsidR="00E922AD" w:rsidRPr="00133F4D">
        <w:rPr>
          <w:rFonts w:ascii="Arial" w:hAnsi="Arial" w:cs="Arial"/>
          <w:b/>
          <w:i w:val="0"/>
          <w:color w:val="auto"/>
          <w:spacing w:val="6"/>
          <w:sz w:val="20"/>
          <w:szCs w:val="20"/>
        </w:rPr>
        <w:fldChar w:fldCharType="begin"/>
      </w:r>
      <w:r w:rsidRPr="00133F4D">
        <w:rPr>
          <w:rFonts w:ascii="Arial" w:hAnsi="Arial" w:cs="Arial"/>
          <w:b/>
          <w:i w:val="0"/>
          <w:color w:val="auto"/>
          <w:spacing w:val="6"/>
          <w:sz w:val="20"/>
          <w:szCs w:val="20"/>
        </w:rPr>
        <w:instrText xml:space="preserve"> SEQ Table \* ARABIC </w:instrText>
      </w:r>
      <w:r w:rsidR="00E922AD" w:rsidRPr="00133F4D">
        <w:rPr>
          <w:rFonts w:ascii="Arial" w:hAnsi="Arial" w:cs="Arial"/>
          <w:b/>
          <w:i w:val="0"/>
          <w:color w:val="auto"/>
          <w:spacing w:val="6"/>
          <w:sz w:val="20"/>
          <w:szCs w:val="20"/>
        </w:rPr>
        <w:fldChar w:fldCharType="separate"/>
      </w:r>
      <w:r w:rsidR="00D81058" w:rsidRPr="00133F4D">
        <w:rPr>
          <w:rFonts w:ascii="Arial" w:hAnsi="Arial" w:cs="Arial"/>
          <w:b/>
          <w:i w:val="0"/>
          <w:noProof/>
          <w:color w:val="auto"/>
          <w:spacing w:val="6"/>
          <w:sz w:val="20"/>
          <w:szCs w:val="20"/>
        </w:rPr>
        <w:t>7</w:t>
      </w:r>
      <w:r w:rsidR="00E922AD" w:rsidRPr="00133F4D">
        <w:rPr>
          <w:rFonts w:ascii="Arial" w:hAnsi="Arial" w:cs="Arial"/>
          <w:b/>
          <w:i w:val="0"/>
          <w:color w:val="auto"/>
          <w:spacing w:val="6"/>
          <w:sz w:val="20"/>
          <w:szCs w:val="20"/>
        </w:rPr>
        <w:fldChar w:fldCharType="end"/>
      </w:r>
      <w:r w:rsidRPr="00133F4D">
        <w:rPr>
          <w:rFonts w:ascii="Arial" w:hAnsi="Arial" w:cs="Arial"/>
          <w:b/>
          <w:i w:val="0"/>
          <w:color w:val="auto"/>
          <w:spacing w:val="6"/>
          <w:sz w:val="20"/>
          <w:szCs w:val="20"/>
        </w:rPr>
        <w:t xml:space="preserve">: </w:t>
      </w:r>
      <w:r w:rsidR="00156ACE" w:rsidRPr="00133F4D">
        <w:rPr>
          <w:rFonts w:ascii="Arial" w:hAnsi="Arial" w:cs="Arial"/>
          <w:b/>
          <w:i w:val="0"/>
          <w:color w:val="auto"/>
          <w:spacing w:val="6"/>
          <w:sz w:val="20"/>
          <w:szCs w:val="20"/>
        </w:rPr>
        <w:t xml:space="preserve">2022/23 </w:t>
      </w:r>
      <w:r w:rsidRPr="00133F4D">
        <w:rPr>
          <w:rFonts w:ascii="Arial" w:hAnsi="Arial" w:cs="Arial"/>
          <w:b/>
          <w:i w:val="0"/>
          <w:color w:val="auto"/>
          <w:spacing w:val="6"/>
          <w:sz w:val="20"/>
          <w:szCs w:val="20"/>
        </w:rPr>
        <w:t>First Quarter Expenditure by Programme</w:t>
      </w:r>
    </w:p>
    <w:tbl>
      <w:tblPr>
        <w:tblStyle w:val="TableGrid1"/>
        <w:tblW w:w="0" w:type="auto"/>
        <w:jc w:val="center"/>
        <w:tblLook w:val="04A0"/>
      </w:tblPr>
      <w:tblGrid>
        <w:gridCol w:w="1926"/>
        <w:gridCol w:w="1234"/>
        <w:gridCol w:w="1568"/>
        <w:gridCol w:w="1532"/>
        <w:gridCol w:w="1719"/>
        <w:gridCol w:w="1263"/>
      </w:tblGrid>
      <w:tr w:rsidR="0069222E" w:rsidRPr="00133F4D" w:rsidTr="007476ED">
        <w:trPr>
          <w:trHeight w:val="431"/>
          <w:tblHeader/>
          <w:jc w:val="center"/>
        </w:trPr>
        <w:tc>
          <w:tcPr>
            <w:tcW w:w="0" w:type="auto"/>
            <w:vMerge w:val="restart"/>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Programme</w:t>
            </w:r>
          </w:p>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(R’000)</w:t>
            </w:r>
          </w:p>
        </w:tc>
        <w:tc>
          <w:tcPr>
            <w:tcW w:w="0" w:type="auto"/>
            <w:vMerge w:val="restart"/>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b/>
                <w:bCs/>
                <w:color w:val="000000"/>
                <w:spacing w:val="6"/>
                <w:sz w:val="20"/>
                <w:szCs w:val="20"/>
              </w:rPr>
              <w:t>Available budget</w:t>
            </w:r>
          </w:p>
        </w:tc>
        <w:tc>
          <w:tcPr>
            <w:tcW w:w="0" w:type="auto"/>
            <w:gridSpan w:val="3"/>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Year-to-date</w:t>
            </w:r>
          </w:p>
        </w:tc>
        <w:tc>
          <w:tcPr>
            <w:tcW w:w="0" w:type="auto"/>
            <w:vMerge w:val="restart"/>
            <w:tcBorders>
              <w:right w:val="single" w:sz="4" w:space="0" w:color="000000" w:themeColor="text1"/>
            </w:tcBorders>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 Budget Available</w:t>
            </w:r>
          </w:p>
        </w:tc>
      </w:tr>
      <w:tr w:rsidR="0069222E" w:rsidRPr="00133F4D" w:rsidTr="007476ED">
        <w:trPr>
          <w:trHeight w:val="789"/>
          <w:jc w:val="center"/>
        </w:trPr>
        <w:tc>
          <w:tcPr>
            <w:tcW w:w="0" w:type="auto"/>
            <w:vMerge/>
            <w:shd w:val="clear" w:color="auto" w:fill="D9D9D9" w:themeFill="background1" w:themeFillShade="D9"/>
            <w:vAlign w:val="bottom"/>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p>
        </w:tc>
        <w:tc>
          <w:tcPr>
            <w:tcW w:w="0" w:type="auto"/>
            <w:vMerge/>
            <w:shd w:val="clear" w:color="auto" w:fill="D9D9D9" w:themeFill="background1" w:themeFillShade="D9"/>
          </w:tcPr>
          <w:p w:rsidR="0069222E" w:rsidRPr="00133F4D" w:rsidRDefault="0069222E" w:rsidP="00133F4D">
            <w:pPr>
              <w:autoSpaceDE w:val="0"/>
              <w:autoSpaceDN w:val="0"/>
              <w:adjustRightInd w:val="0"/>
              <w:spacing w:line="240" w:lineRule="auto"/>
              <w:jc w:val="left"/>
              <w:rPr>
                <w:rFonts w:ascii="Arial" w:hAnsi="Arial" w:cs="Arial"/>
                <w:b/>
                <w:bCs/>
                <w:color w:val="000000"/>
                <w:spacing w:val="6"/>
                <w:sz w:val="20"/>
                <w:szCs w:val="20"/>
              </w:rPr>
            </w:pPr>
          </w:p>
        </w:tc>
        <w:tc>
          <w:tcPr>
            <w:tcW w:w="0" w:type="auto"/>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color w:val="000000"/>
                <w:spacing w:val="6"/>
                <w:sz w:val="20"/>
                <w:szCs w:val="20"/>
              </w:rPr>
              <w:t>Q1 Projected expenditure</w:t>
            </w:r>
          </w:p>
        </w:tc>
        <w:tc>
          <w:tcPr>
            <w:tcW w:w="0" w:type="auto"/>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Q1 Actual expenditure</w:t>
            </w:r>
          </w:p>
        </w:tc>
        <w:tc>
          <w:tcPr>
            <w:tcW w:w="0" w:type="auto"/>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 Variance from projected expenditure</w:t>
            </w:r>
          </w:p>
        </w:tc>
        <w:tc>
          <w:tcPr>
            <w:tcW w:w="0" w:type="auto"/>
            <w:vMerge/>
            <w:tcBorders>
              <w:right w:val="single" w:sz="4" w:space="0" w:color="000000" w:themeColor="text1"/>
            </w:tcBorders>
            <w:shd w:val="clear" w:color="auto" w:fill="C5E0B3" w:themeFill="accent6" w:themeFillTint="66"/>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p>
        </w:tc>
      </w:tr>
      <w:tr w:rsidR="0069222E" w:rsidRPr="00133F4D" w:rsidTr="00E35668">
        <w:trPr>
          <w:trHeight w:val="323"/>
          <w:jc w:val="center"/>
        </w:trPr>
        <w:tc>
          <w:tcPr>
            <w:tcW w:w="0" w:type="auto"/>
            <w:shd w:val="clear" w:color="auto" w:fill="auto"/>
          </w:tcPr>
          <w:p w:rsidR="0069222E" w:rsidRPr="00133F4D" w:rsidRDefault="0069222E"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1. Administration</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453.2</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121.0</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139.3</w:t>
            </w:r>
          </w:p>
        </w:tc>
        <w:tc>
          <w:tcPr>
            <w:tcW w:w="0" w:type="auto"/>
            <w:shd w:val="clear" w:color="auto" w:fill="auto"/>
          </w:tcPr>
          <w:p w:rsidR="0069222E" w:rsidRPr="00133F4D" w:rsidRDefault="006A2486"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-15.1%</w:t>
            </w:r>
          </w:p>
        </w:tc>
        <w:tc>
          <w:tcPr>
            <w:tcW w:w="0" w:type="auto"/>
            <w:tcBorders>
              <w:right w:val="single" w:sz="4" w:space="0" w:color="000000" w:themeColor="text1"/>
            </w:tcBorders>
            <w:shd w:val="clear" w:color="auto" w:fill="auto"/>
          </w:tcPr>
          <w:p w:rsidR="0069222E" w:rsidRPr="00133F4D" w:rsidRDefault="00DF0A4A"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69.3%</w:t>
            </w:r>
          </w:p>
        </w:tc>
      </w:tr>
      <w:tr w:rsidR="0069222E" w:rsidRPr="00133F4D" w:rsidTr="00E35668">
        <w:trPr>
          <w:trHeight w:val="789"/>
          <w:jc w:val="center"/>
        </w:trPr>
        <w:tc>
          <w:tcPr>
            <w:tcW w:w="0" w:type="auto"/>
            <w:shd w:val="clear" w:color="auto" w:fill="auto"/>
          </w:tcPr>
          <w:p w:rsidR="0069222E" w:rsidRPr="00133F4D" w:rsidRDefault="0069222E"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 xml:space="preserve">2. </w:t>
            </w:r>
            <w:r w:rsidRPr="00133F4D">
              <w:rPr>
                <w:rFonts w:ascii="Arial" w:hAnsi="Arial" w:cs="Arial"/>
                <w:spacing w:val="6"/>
                <w:sz w:val="20"/>
                <w:szCs w:val="20"/>
                <w:lang w:val="en-GB"/>
              </w:rPr>
              <w:t>Recreation Development and Sport Promotion</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1 462.8</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255.7</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62.6</w:t>
            </w:r>
          </w:p>
        </w:tc>
        <w:tc>
          <w:tcPr>
            <w:tcW w:w="0" w:type="auto"/>
            <w:shd w:val="clear" w:color="auto" w:fill="auto"/>
          </w:tcPr>
          <w:p w:rsidR="0069222E" w:rsidRPr="00133F4D" w:rsidRDefault="006A2486"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75.5%</w:t>
            </w:r>
          </w:p>
        </w:tc>
        <w:tc>
          <w:tcPr>
            <w:tcW w:w="0" w:type="auto"/>
            <w:tcBorders>
              <w:right w:val="single" w:sz="4" w:space="0" w:color="000000" w:themeColor="text1"/>
            </w:tcBorders>
            <w:shd w:val="clear" w:color="auto" w:fill="auto"/>
          </w:tcPr>
          <w:p w:rsidR="0069222E" w:rsidRPr="00133F4D" w:rsidRDefault="00DF0A4A"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95.7%</w:t>
            </w:r>
          </w:p>
        </w:tc>
      </w:tr>
      <w:tr w:rsidR="0069222E" w:rsidRPr="00133F4D" w:rsidTr="00E35668">
        <w:trPr>
          <w:trHeight w:val="789"/>
          <w:jc w:val="center"/>
        </w:trPr>
        <w:tc>
          <w:tcPr>
            <w:tcW w:w="0" w:type="auto"/>
            <w:shd w:val="clear" w:color="auto" w:fill="auto"/>
          </w:tcPr>
          <w:p w:rsidR="0069222E" w:rsidRPr="00133F4D" w:rsidRDefault="0069222E"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spacing w:val="6"/>
                <w:sz w:val="20"/>
                <w:szCs w:val="20"/>
                <w:lang w:val="en-GB"/>
              </w:rPr>
              <w:t>3. Arts and Culture Promotion and Development</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1 749.8</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514.8</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286.4</w:t>
            </w:r>
          </w:p>
        </w:tc>
        <w:tc>
          <w:tcPr>
            <w:tcW w:w="0" w:type="auto"/>
            <w:shd w:val="clear" w:color="auto" w:fill="auto"/>
          </w:tcPr>
          <w:p w:rsidR="0069222E" w:rsidRPr="00133F4D" w:rsidRDefault="006A2486"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44.4%</w:t>
            </w:r>
          </w:p>
        </w:tc>
        <w:tc>
          <w:tcPr>
            <w:tcW w:w="0" w:type="auto"/>
            <w:tcBorders>
              <w:right w:val="single" w:sz="4" w:space="0" w:color="000000" w:themeColor="text1"/>
            </w:tcBorders>
            <w:shd w:val="clear" w:color="auto" w:fill="auto"/>
          </w:tcPr>
          <w:p w:rsidR="0069222E" w:rsidRPr="00133F4D" w:rsidRDefault="00DF0A4A"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83.6%</w:t>
            </w:r>
          </w:p>
        </w:tc>
      </w:tr>
      <w:tr w:rsidR="0069222E" w:rsidRPr="00133F4D" w:rsidTr="00E35668">
        <w:trPr>
          <w:trHeight w:val="570"/>
          <w:jc w:val="center"/>
        </w:trPr>
        <w:tc>
          <w:tcPr>
            <w:tcW w:w="0" w:type="auto"/>
            <w:shd w:val="clear" w:color="auto" w:fill="auto"/>
          </w:tcPr>
          <w:p w:rsidR="0069222E" w:rsidRPr="00133F4D" w:rsidRDefault="0069222E" w:rsidP="00133F4D">
            <w:pPr>
              <w:autoSpaceDE w:val="0"/>
              <w:autoSpaceDN w:val="0"/>
              <w:adjustRightInd w:val="0"/>
              <w:spacing w:line="240" w:lineRule="auto"/>
              <w:jc w:val="left"/>
              <w:rPr>
                <w:rFonts w:ascii="Arial" w:hAnsi="Arial" w:cs="Arial"/>
                <w:spacing w:val="6"/>
                <w:sz w:val="20"/>
                <w:szCs w:val="20"/>
                <w:lang w:val="en-GB"/>
              </w:rPr>
            </w:pPr>
            <w:r w:rsidRPr="00133F4D">
              <w:rPr>
                <w:rFonts w:ascii="Arial" w:hAnsi="Arial" w:cs="Arial"/>
                <w:spacing w:val="6"/>
                <w:sz w:val="20"/>
                <w:szCs w:val="20"/>
                <w:lang w:val="en-GB"/>
              </w:rPr>
              <w:t>4. Heritage Promotion and Preservation</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2 629.3</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541.9</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530.9</w:t>
            </w:r>
          </w:p>
        </w:tc>
        <w:tc>
          <w:tcPr>
            <w:tcW w:w="0" w:type="auto"/>
            <w:shd w:val="clear" w:color="auto" w:fill="auto"/>
          </w:tcPr>
          <w:p w:rsidR="0069222E" w:rsidRPr="00133F4D" w:rsidRDefault="006A2486"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2.0%</w:t>
            </w:r>
          </w:p>
        </w:tc>
        <w:tc>
          <w:tcPr>
            <w:tcW w:w="0" w:type="auto"/>
            <w:tcBorders>
              <w:right w:val="single" w:sz="4" w:space="0" w:color="000000" w:themeColor="text1"/>
            </w:tcBorders>
            <w:shd w:val="clear" w:color="auto" w:fill="auto"/>
          </w:tcPr>
          <w:p w:rsidR="0069222E" w:rsidRPr="00133F4D" w:rsidRDefault="00DF0A4A"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79.8%</w:t>
            </w:r>
          </w:p>
        </w:tc>
      </w:tr>
      <w:tr w:rsidR="0069222E" w:rsidRPr="00133F4D" w:rsidTr="00E35668">
        <w:trPr>
          <w:trHeight w:val="319"/>
          <w:jc w:val="center"/>
        </w:trPr>
        <w:tc>
          <w:tcPr>
            <w:tcW w:w="0" w:type="auto"/>
            <w:shd w:val="clear" w:color="auto" w:fill="auto"/>
          </w:tcPr>
          <w:p w:rsidR="0069222E" w:rsidRPr="00133F4D" w:rsidRDefault="0069222E" w:rsidP="00133F4D">
            <w:pPr>
              <w:autoSpaceDE w:val="0"/>
              <w:autoSpaceDN w:val="0"/>
              <w:adjustRightInd w:val="0"/>
              <w:spacing w:line="240" w:lineRule="auto"/>
              <w:jc w:val="left"/>
              <w:rPr>
                <w:rFonts w:ascii="Arial" w:hAnsi="Arial" w:cs="Arial"/>
                <w:b/>
                <w:spacing w:val="6"/>
                <w:sz w:val="20"/>
                <w:szCs w:val="20"/>
                <w:lang w:val="en-GB"/>
              </w:rPr>
            </w:pPr>
            <w:r w:rsidRPr="00133F4D">
              <w:rPr>
                <w:rFonts w:ascii="Arial" w:hAnsi="Arial" w:cs="Arial"/>
                <w:b/>
                <w:spacing w:val="6"/>
                <w:sz w:val="20"/>
                <w:szCs w:val="20"/>
                <w:lang w:val="en-GB"/>
              </w:rPr>
              <w:t>Total</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6 295.1</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1 433.4</w:t>
            </w:r>
          </w:p>
        </w:tc>
        <w:tc>
          <w:tcPr>
            <w:tcW w:w="0" w:type="auto"/>
            <w:shd w:val="clear" w:color="auto" w:fill="auto"/>
          </w:tcPr>
          <w:p w:rsidR="0069222E" w:rsidRPr="00133F4D" w:rsidRDefault="004F22EB"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1 019.2</w:t>
            </w:r>
          </w:p>
        </w:tc>
        <w:tc>
          <w:tcPr>
            <w:tcW w:w="0" w:type="auto"/>
            <w:shd w:val="clear" w:color="auto" w:fill="auto"/>
          </w:tcPr>
          <w:p w:rsidR="0069222E" w:rsidRPr="00133F4D" w:rsidRDefault="006A2486"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28.9%</w:t>
            </w:r>
          </w:p>
        </w:tc>
        <w:tc>
          <w:tcPr>
            <w:tcW w:w="0" w:type="auto"/>
            <w:tcBorders>
              <w:right w:val="single" w:sz="4" w:space="0" w:color="000000" w:themeColor="text1"/>
            </w:tcBorders>
            <w:shd w:val="clear" w:color="auto" w:fill="auto"/>
          </w:tcPr>
          <w:p w:rsidR="0069222E" w:rsidRPr="00133F4D" w:rsidRDefault="00DF0A4A"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83.8%</w:t>
            </w:r>
          </w:p>
        </w:tc>
      </w:tr>
    </w:tbl>
    <w:p w:rsidR="0069222E" w:rsidRPr="00133F4D" w:rsidRDefault="00B66E50" w:rsidP="00133F4D">
      <w:pPr>
        <w:spacing w:after="0" w:line="240" w:lineRule="auto"/>
        <w:jc w:val="left"/>
        <w:rPr>
          <w:rFonts w:ascii="Arial" w:hAnsi="Arial" w:cs="Arial"/>
          <w:i/>
          <w:spacing w:val="6"/>
          <w:sz w:val="20"/>
          <w:szCs w:val="20"/>
        </w:rPr>
      </w:pPr>
      <w:r w:rsidRPr="00133F4D">
        <w:rPr>
          <w:rFonts w:ascii="Arial" w:hAnsi="Arial" w:cs="Arial"/>
          <w:i/>
          <w:spacing w:val="6"/>
          <w:sz w:val="20"/>
          <w:szCs w:val="20"/>
        </w:rPr>
        <w:t xml:space="preserve">Source: National Treasury (2022), </w:t>
      </w:r>
      <w:r w:rsidR="00800F06" w:rsidRPr="00133F4D">
        <w:rPr>
          <w:rFonts w:ascii="Arial" w:hAnsi="Arial" w:cs="Arial"/>
          <w:i/>
          <w:spacing w:val="6"/>
          <w:sz w:val="20"/>
          <w:szCs w:val="20"/>
        </w:rPr>
        <w:t>Report to the Standing Committee on Appropriations</w:t>
      </w:r>
    </w:p>
    <w:p w:rsidR="00B66E50" w:rsidRPr="00133F4D" w:rsidRDefault="00B66E50"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2"/>
          <w:numId w:val="14"/>
        </w:numPr>
        <w:spacing w:line="240" w:lineRule="auto"/>
        <w:jc w:val="left"/>
        <w:rPr>
          <w:rFonts w:ascii="Arial" w:hAnsi="Arial" w:cs="Arial"/>
          <w:sz w:val="20"/>
          <w:szCs w:val="20"/>
        </w:rPr>
      </w:pPr>
      <w:bookmarkStart w:id="22" w:name="_Toc88519314"/>
      <w:r w:rsidRPr="00133F4D">
        <w:rPr>
          <w:rFonts w:ascii="Arial" w:hAnsi="Arial" w:cs="Arial"/>
          <w:sz w:val="20"/>
          <w:szCs w:val="20"/>
        </w:rPr>
        <w:t>Expenditure analysis per programme</w:t>
      </w:r>
      <w:bookmarkEnd w:id="22"/>
    </w:p>
    <w:p w:rsidR="0069222E" w:rsidRPr="00133F4D" w:rsidRDefault="0069222E"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1: Administration</w:t>
      </w:r>
    </w:p>
    <w:p w:rsidR="0069222E" w:rsidRPr="00133F4D" w:rsidRDefault="00C21EC5"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Expenditure for this programme was higher than projected by R18.3 million or 15.1 per cent mainly on Goods and Services due to quarter 4 invoices from the previous financial which were paid in the current financial year. The invoices are in relation to the Department of Public Works and Infrastructure (DPWI) state-owned property for office accommodation.</w:t>
      </w:r>
    </w:p>
    <w:p w:rsidR="00C21EC5" w:rsidRPr="00133F4D" w:rsidRDefault="00C21EC5"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2: Recreation Development and Sport Promotion</w:t>
      </w:r>
    </w:p>
    <w:p w:rsidR="0069222E" w:rsidRPr="00133F4D" w:rsidRDefault="00FC6BE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Expenditure for this programme is lower than projected by R193.1 million or 75.5 per cent mainly on Goods and Services and Transfers and Subsidies. The low spending under Goods and Services on Contractors was due to delays in invoices from service providers in relation to the Move for Health Project. The lower than projected spending under Transfers and Subsidies was due to Quarter 1 transfers of the Mass Participation and Sport Development grant that could not be paid due to late finalisation of business plans by provinces.</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3: Arts and Culture Promotion and Development</w:t>
      </w:r>
    </w:p>
    <w:p w:rsidR="0069222E" w:rsidRPr="00133F4D" w:rsidRDefault="00C63A3D"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Expenditure in Quarter 1 for this programme is lower than projected by R228.4 million or 44.4 per cent mainly on Goods and Services and Transfers and Subsidies. The low spending under Goods and Services on contractors was due to late approvals for procurement exemptions from the Office of the Chief Procurement Officer (OCPO), National Treasury. The low spending on Transfers and Subsidies was due to Mzansi Golden Economy (MGE) transfers to entities for the Presidential Employment Initiative Phase 3, which could not be made because of delays by the Department and non</w:t>
      </w:r>
      <w:r w:rsidRPr="00133F4D">
        <w:rPr>
          <w:rFonts w:ascii="Times New Roman" w:hAnsi="Times New Roman" w:cs="Arial"/>
          <w:spacing w:val="6"/>
          <w:sz w:val="20"/>
          <w:szCs w:val="20"/>
        </w:rPr>
        <w:t>‐</w:t>
      </w:r>
      <w:r w:rsidRPr="00133F4D">
        <w:rPr>
          <w:rFonts w:ascii="Arial" w:hAnsi="Arial" w:cs="Arial"/>
          <w:spacing w:val="6"/>
          <w:sz w:val="20"/>
          <w:szCs w:val="20"/>
        </w:rPr>
        <w:t>compliance with the conditions set out in the 2022 allocation letter that states; “transfers can only be made to entities once the adjudication and approval process has been finalised.” In addition, fewer MGE beneficiaries submitted expenditure reports than the Department anticipated to facilitate the second tranche payments</w:t>
      </w:r>
    </w:p>
    <w:p w:rsidR="00C63A3D" w:rsidRPr="00133F4D" w:rsidRDefault="00C63A3D"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4: Heritage Promotion and Preservation</w:t>
      </w:r>
    </w:p>
    <w:p w:rsidR="0069222E" w:rsidRPr="00133F4D" w:rsidRDefault="00252E28"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Expenditure for this programme is lower than projected by R11.0 million or 2 per cent mainly on Compensation of Employees, Goods and Services and Transfers and Subsidies. The lower than projected spending under Compensation of Employees is mainly due to vacant posts at different levels due to internal promotions. The slow spending under Goods and Services on Contractors is due to the Monumental Flag Project, which was put on hold. Delays experienced in the finalisation of the service level agreement to appoint a service provider to review the International and National Archives Act, also contributed to the slow spending. The low spending in Transfers and Subsidies was due to the delays by the African World Heritage Fund in submitting the audit report to account for the 2021/22 transferred funds and the new 2022 proposal.</w:t>
      </w:r>
    </w:p>
    <w:p w:rsidR="00EE142C" w:rsidRPr="00133F4D" w:rsidRDefault="00EE142C"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2"/>
          <w:numId w:val="14"/>
        </w:numPr>
        <w:spacing w:line="240" w:lineRule="auto"/>
        <w:jc w:val="left"/>
        <w:rPr>
          <w:rFonts w:ascii="Arial" w:hAnsi="Arial" w:cs="Arial"/>
          <w:sz w:val="20"/>
          <w:szCs w:val="20"/>
        </w:rPr>
      </w:pPr>
      <w:bookmarkStart w:id="23" w:name="_Toc88519315"/>
      <w:r w:rsidRPr="00133F4D">
        <w:rPr>
          <w:rFonts w:ascii="Arial" w:hAnsi="Arial" w:cs="Arial"/>
          <w:sz w:val="20"/>
          <w:szCs w:val="20"/>
        </w:rPr>
        <w:t>Expenditure by economic classification</w:t>
      </w:r>
      <w:bookmarkEnd w:id="23"/>
    </w:p>
    <w:p w:rsidR="0069222E" w:rsidRPr="00133F4D" w:rsidRDefault="0069222E" w:rsidP="00133F4D">
      <w:pPr>
        <w:spacing w:after="0" w:line="240" w:lineRule="auto"/>
        <w:jc w:val="left"/>
        <w:rPr>
          <w:rFonts w:ascii="Arial" w:hAnsi="Arial" w:cs="Arial"/>
          <w:strike/>
          <w:spacing w:val="6"/>
          <w:sz w:val="20"/>
          <w:szCs w:val="20"/>
        </w:rPr>
      </w:pPr>
      <w:r w:rsidRPr="00133F4D">
        <w:rPr>
          <w:rFonts w:ascii="Arial" w:hAnsi="Arial" w:cs="Arial"/>
          <w:spacing w:val="6"/>
          <w:sz w:val="20"/>
          <w:szCs w:val="20"/>
        </w:rPr>
        <w:t>In terms of economic classification, the largest expenditure item in the first quarter was Transfers and Subsidies followed by Goods and Services and Compensation to Employees.</w:t>
      </w:r>
      <w:r w:rsidRPr="00133F4D">
        <w:rPr>
          <w:rFonts w:ascii="Arial" w:hAnsi="Arial" w:cs="Arial"/>
          <w:strike/>
          <w:spacing w:val="6"/>
          <w:sz w:val="20"/>
          <w:szCs w:val="20"/>
        </w:rPr>
        <w:t xml:space="preserve"> </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Caption"/>
        <w:keepNext/>
        <w:spacing w:after="0"/>
        <w:jc w:val="left"/>
        <w:rPr>
          <w:rFonts w:ascii="Arial" w:hAnsi="Arial" w:cs="Arial"/>
          <w:b/>
          <w:i w:val="0"/>
          <w:color w:val="auto"/>
          <w:spacing w:val="6"/>
          <w:sz w:val="20"/>
          <w:szCs w:val="20"/>
        </w:rPr>
      </w:pPr>
      <w:r w:rsidRPr="00133F4D">
        <w:rPr>
          <w:rFonts w:ascii="Arial" w:hAnsi="Arial" w:cs="Arial"/>
          <w:b/>
          <w:i w:val="0"/>
          <w:color w:val="auto"/>
          <w:spacing w:val="6"/>
          <w:sz w:val="20"/>
          <w:szCs w:val="20"/>
        </w:rPr>
        <w:t xml:space="preserve">Table </w:t>
      </w:r>
      <w:r w:rsidR="00E922AD" w:rsidRPr="00133F4D">
        <w:rPr>
          <w:rFonts w:ascii="Arial" w:hAnsi="Arial" w:cs="Arial"/>
          <w:b/>
          <w:i w:val="0"/>
          <w:color w:val="auto"/>
          <w:spacing w:val="6"/>
          <w:sz w:val="20"/>
          <w:szCs w:val="20"/>
        </w:rPr>
        <w:fldChar w:fldCharType="begin"/>
      </w:r>
      <w:r w:rsidRPr="00133F4D">
        <w:rPr>
          <w:rFonts w:ascii="Arial" w:hAnsi="Arial" w:cs="Arial"/>
          <w:b/>
          <w:i w:val="0"/>
          <w:color w:val="auto"/>
          <w:spacing w:val="6"/>
          <w:sz w:val="20"/>
          <w:szCs w:val="20"/>
        </w:rPr>
        <w:instrText xml:space="preserve"> SEQ Table \* ARABIC </w:instrText>
      </w:r>
      <w:r w:rsidR="00E922AD" w:rsidRPr="00133F4D">
        <w:rPr>
          <w:rFonts w:ascii="Arial" w:hAnsi="Arial" w:cs="Arial"/>
          <w:b/>
          <w:i w:val="0"/>
          <w:color w:val="auto"/>
          <w:spacing w:val="6"/>
          <w:sz w:val="20"/>
          <w:szCs w:val="20"/>
        </w:rPr>
        <w:fldChar w:fldCharType="separate"/>
      </w:r>
      <w:r w:rsidR="00D81058" w:rsidRPr="00133F4D">
        <w:rPr>
          <w:rFonts w:ascii="Arial" w:hAnsi="Arial" w:cs="Arial"/>
          <w:b/>
          <w:i w:val="0"/>
          <w:noProof/>
          <w:color w:val="auto"/>
          <w:spacing w:val="6"/>
          <w:sz w:val="20"/>
          <w:szCs w:val="20"/>
        </w:rPr>
        <w:t>8</w:t>
      </w:r>
      <w:r w:rsidR="00E922AD" w:rsidRPr="00133F4D">
        <w:rPr>
          <w:rFonts w:ascii="Arial" w:hAnsi="Arial" w:cs="Arial"/>
          <w:b/>
          <w:i w:val="0"/>
          <w:color w:val="auto"/>
          <w:spacing w:val="6"/>
          <w:sz w:val="20"/>
          <w:szCs w:val="20"/>
        </w:rPr>
        <w:fldChar w:fldCharType="end"/>
      </w:r>
      <w:r w:rsidRPr="00133F4D">
        <w:rPr>
          <w:rFonts w:ascii="Arial" w:hAnsi="Arial" w:cs="Arial"/>
          <w:b/>
          <w:i w:val="0"/>
          <w:color w:val="auto"/>
          <w:spacing w:val="6"/>
          <w:sz w:val="20"/>
          <w:szCs w:val="20"/>
        </w:rPr>
        <w:t>:</w:t>
      </w:r>
      <w:r w:rsidR="00156ACE" w:rsidRPr="00133F4D">
        <w:rPr>
          <w:rFonts w:ascii="Arial" w:hAnsi="Arial" w:cs="Arial"/>
          <w:b/>
          <w:i w:val="0"/>
          <w:color w:val="auto"/>
          <w:spacing w:val="6"/>
          <w:sz w:val="20"/>
          <w:szCs w:val="20"/>
        </w:rPr>
        <w:t xml:space="preserve"> 2022/23</w:t>
      </w:r>
      <w:r w:rsidRPr="00133F4D">
        <w:rPr>
          <w:rFonts w:ascii="Arial" w:hAnsi="Arial" w:cs="Arial"/>
          <w:spacing w:val="6"/>
          <w:sz w:val="20"/>
          <w:szCs w:val="20"/>
        </w:rPr>
        <w:t xml:space="preserve"> </w:t>
      </w:r>
      <w:r w:rsidRPr="00133F4D">
        <w:rPr>
          <w:rFonts w:ascii="Arial" w:hAnsi="Arial" w:cs="Arial"/>
          <w:b/>
          <w:i w:val="0"/>
          <w:color w:val="auto"/>
          <w:spacing w:val="6"/>
          <w:sz w:val="20"/>
          <w:szCs w:val="20"/>
        </w:rPr>
        <w:t>First Quarter Expenditure by Economic Classification</w:t>
      </w:r>
    </w:p>
    <w:tbl>
      <w:tblPr>
        <w:tblStyle w:val="TableGrid1"/>
        <w:tblW w:w="0" w:type="auto"/>
        <w:jc w:val="center"/>
        <w:tblLook w:val="04A0"/>
      </w:tblPr>
      <w:tblGrid>
        <w:gridCol w:w="1769"/>
        <w:gridCol w:w="1251"/>
        <w:gridCol w:w="1598"/>
        <w:gridCol w:w="1556"/>
        <w:gridCol w:w="1781"/>
        <w:gridCol w:w="1287"/>
      </w:tblGrid>
      <w:tr w:rsidR="0069222E" w:rsidRPr="00133F4D" w:rsidTr="00D83BE2">
        <w:trPr>
          <w:trHeight w:val="431"/>
          <w:jc w:val="center"/>
        </w:trPr>
        <w:tc>
          <w:tcPr>
            <w:tcW w:w="0" w:type="auto"/>
            <w:vMerge w:val="restart"/>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(R’000)</w:t>
            </w:r>
          </w:p>
        </w:tc>
        <w:tc>
          <w:tcPr>
            <w:tcW w:w="0" w:type="auto"/>
            <w:vMerge w:val="restart"/>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b/>
                <w:bCs/>
                <w:color w:val="000000"/>
                <w:spacing w:val="6"/>
                <w:sz w:val="20"/>
                <w:szCs w:val="20"/>
              </w:rPr>
              <w:t>Available budget</w:t>
            </w:r>
          </w:p>
        </w:tc>
        <w:tc>
          <w:tcPr>
            <w:tcW w:w="0" w:type="auto"/>
            <w:gridSpan w:val="3"/>
            <w:shd w:val="clear" w:color="auto" w:fill="C5E0B3" w:themeFill="accent6" w:themeFillTint="66"/>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Year-to-date</w:t>
            </w:r>
          </w:p>
        </w:tc>
        <w:tc>
          <w:tcPr>
            <w:tcW w:w="0" w:type="auto"/>
            <w:vMerge w:val="restart"/>
            <w:tcBorders>
              <w:right w:val="single" w:sz="4" w:space="0" w:color="000000" w:themeColor="text1"/>
            </w:tcBorders>
            <w:shd w:val="clear" w:color="auto" w:fill="C5E0B3" w:themeFill="accent6" w:themeFillTint="66"/>
            <w:vAlign w:val="center"/>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 Budget Available</w:t>
            </w:r>
          </w:p>
        </w:tc>
      </w:tr>
      <w:tr w:rsidR="0069222E" w:rsidRPr="00133F4D" w:rsidTr="00D83BE2">
        <w:trPr>
          <w:trHeight w:val="789"/>
          <w:jc w:val="center"/>
        </w:trPr>
        <w:tc>
          <w:tcPr>
            <w:tcW w:w="0" w:type="auto"/>
            <w:vMerge/>
            <w:shd w:val="clear" w:color="auto" w:fill="D9D9D9" w:themeFill="background1" w:themeFillShade="D9"/>
            <w:vAlign w:val="bottom"/>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p>
        </w:tc>
        <w:tc>
          <w:tcPr>
            <w:tcW w:w="0" w:type="auto"/>
            <w:vMerge/>
            <w:shd w:val="clear" w:color="auto" w:fill="D9D9D9" w:themeFill="background1" w:themeFillShade="D9"/>
          </w:tcPr>
          <w:p w:rsidR="0069222E" w:rsidRPr="00133F4D" w:rsidRDefault="0069222E" w:rsidP="00133F4D">
            <w:pPr>
              <w:autoSpaceDE w:val="0"/>
              <w:autoSpaceDN w:val="0"/>
              <w:adjustRightInd w:val="0"/>
              <w:spacing w:line="240" w:lineRule="auto"/>
              <w:jc w:val="left"/>
              <w:rPr>
                <w:rFonts w:ascii="Arial" w:hAnsi="Arial" w:cs="Arial"/>
                <w:b/>
                <w:bCs/>
                <w:color w:val="000000"/>
                <w:spacing w:val="6"/>
                <w:sz w:val="20"/>
                <w:szCs w:val="20"/>
              </w:rPr>
            </w:pPr>
          </w:p>
        </w:tc>
        <w:tc>
          <w:tcPr>
            <w:tcW w:w="0" w:type="auto"/>
            <w:shd w:val="clear" w:color="auto" w:fill="C5E0B3" w:themeFill="accent6" w:themeFillTint="66"/>
          </w:tcPr>
          <w:p w:rsidR="0069222E" w:rsidRPr="00133F4D" w:rsidRDefault="0069222E"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color w:val="000000"/>
                <w:spacing w:val="6"/>
                <w:sz w:val="20"/>
                <w:szCs w:val="20"/>
              </w:rPr>
              <w:t>Q1 Projected expenditure</w:t>
            </w:r>
          </w:p>
        </w:tc>
        <w:tc>
          <w:tcPr>
            <w:tcW w:w="0" w:type="auto"/>
            <w:shd w:val="clear" w:color="auto" w:fill="C5E0B3" w:themeFill="accent6" w:themeFillTint="66"/>
          </w:tcPr>
          <w:p w:rsidR="0069222E" w:rsidRPr="00133F4D" w:rsidRDefault="0069222E"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Q1 Actual expenditure</w:t>
            </w:r>
          </w:p>
        </w:tc>
        <w:tc>
          <w:tcPr>
            <w:tcW w:w="0" w:type="auto"/>
            <w:shd w:val="clear" w:color="auto" w:fill="C5E0B3" w:themeFill="accent6" w:themeFillTint="66"/>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 Variance from projected expenditure</w:t>
            </w:r>
          </w:p>
        </w:tc>
        <w:tc>
          <w:tcPr>
            <w:tcW w:w="0" w:type="auto"/>
            <w:vMerge/>
            <w:tcBorders>
              <w:right w:val="single" w:sz="4" w:space="0" w:color="000000" w:themeColor="text1"/>
            </w:tcBorders>
            <w:shd w:val="clear" w:color="auto" w:fill="D9D9D9" w:themeFill="background1" w:themeFillShade="D9"/>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p>
        </w:tc>
      </w:tr>
      <w:tr w:rsidR="0069222E" w:rsidRPr="00133F4D" w:rsidTr="00E35668">
        <w:trPr>
          <w:trHeight w:val="323"/>
          <w:jc w:val="center"/>
        </w:trPr>
        <w:tc>
          <w:tcPr>
            <w:tcW w:w="0" w:type="auto"/>
            <w:gridSpan w:val="6"/>
            <w:tcBorders>
              <w:right w:val="single" w:sz="4" w:space="0" w:color="000000" w:themeColor="text1"/>
            </w:tcBorders>
            <w:shd w:val="clear" w:color="auto" w:fill="auto"/>
          </w:tcPr>
          <w:p w:rsidR="0069222E" w:rsidRPr="00133F4D" w:rsidRDefault="0069222E"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b/>
                <w:bCs/>
                <w:color w:val="000000"/>
                <w:spacing w:val="6"/>
                <w:sz w:val="20"/>
                <w:szCs w:val="20"/>
              </w:rPr>
              <w:t>Economic Classification</w:t>
            </w:r>
          </w:p>
        </w:tc>
      </w:tr>
      <w:tr w:rsidR="0069222E" w:rsidRPr="00133F4D" w:rsidTr="00E35668">
        <w:trPr>
          <w:trHeight w:val="323"/>
          <w:jc w:val="center"/>
        </w:trPr>
        <w:tc>
          <w:tcPr>
            <w:tcW w:w="0" w:type="auto"/>
            <w:shd w:val="clear" w:color="auto" w:fill="auto"/>
            <w:vAlign w:val="center"/>
          </w:tcPr>
          <w:p w:rsidR="0069222E" w:rsidRPr="00133F4D" w:rsidRDefault="0069222E"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Current Payments</w:t>
            </w:r>
          </w:p>
        </w:tc>
        <w:tc>
          <w:tcPr>
            <w:tcW w:w="0" w:type="auto"/>
            <w:shd w:val="clear" w:color="auto" w:fill="auto"/>
            <w:vAlign w:val="center"/>
          </w:tcPr>
          <w:p w:rsidR="0069222E" w:rsidRPr="00133F4D" w:rsidRDefault="00A901AF"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1 008.7</w:t>
            </w:r>
          </w:p>
        </w:tc>
        <w:tc>
          <w:tcPr>
            <w:tcW w:w="0" w:type="auto"/>
            <w:shd w:val="clear" w:color="auto" w:fill="auto"/>
            <w:vAlign w:val="center"/>
          </w:tcPr>
          <w:p w:rsidR="0069222E" w:rsidRPr="00133F4D" w:rsidRDefault="00A901AF"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246.5</w:t>
            </w:r>
          </w:p>
        </w:tc>
        <w:tc>
          <w:tcPr>
            <w:tcW w:w="0" w:type="auto"/>
            <w:shd w:val="clear" w:color="auto" w:fill="auto"/>
            <w:vAlign w:val="center"/>
          </w:tcPr>
          <w:p w:rsidR="0069222E" w:rsidRPr="00133F4D" w:rsidRDefault="00A901AF"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221.3</w:t>
            </w:r>
          </w:p>
        </w:tc>
        <w:tc>
          <w:tcPr>
            <w:tcW w:w="0" w:type="auto"/>
            <w:shd w:val="clear" w:color="auto" w:fill="auto"/>
            <w:vAlign w:val="center"/>
          </w:tcPr>
          <w:p w:rsidR="0069222E" w:rsidRPr="00133F4D" w:rsidRDefault="00A901AF"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10.2%</w:t>
            </w:r>
          </w:p>
        </w:tc>
        <w:tc>
          <w:tcPr>
            <w:tcW w:w="0" w:type="auto"/>
            <w:tcBorders>
              <w:right w:val="single" w:sz="4" w:space="0" w:color="000000" w:themeColor="text1"/>
            </w:tcBorders>
            <w:shd w:val="clear" w:color="auto" w:fill="auto"/>
            <w:vAlign w:val="center"/>
          </w:tcPr>
          <w:p w:rsidR="0069222E" w:rsidRPr="00133F4D" w:rsidRDefault="00BB34EA"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78.1%</w:t>
            </w:r>
          </w:p>
        </w:tc>
      </w:tr>
      <w:tr w:rsidR="0069222E" w:rsidRPr="00133F4D" w:rsidTr="00E35668">
        <w:trPr>
          <w:trHeight w:val="579"/>
          <w:jc w:val="center"/>
        </w:trPr>
        <w:tc>
          <w:tcPr>
            <w:tcW w:w="0" w:type="auto"/>
            <w:shd w:val="clear" w:color="auto" w:fill="auto"/>
            <w:vAlign w:val="center"/>
          </w:tcPr>
          <w:p w:rsidR="0069222E" w:rsidRPr="00133F4D" w:rsidRDefault="0069222E"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Compensation of employees</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376.4</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93.9</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85.1</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9.4</w:t>
            </w:r>
            <w:r w:rsidR="008D3AA3" w:rsidRPr="00133F4D">
              <w:rPr>
                <w:rFonts w:ascii="Arial" w:hAnsi="Arial" w:cs="Arial"/>
                <w:color w:val="000000"/>
                <w:spacing w:val="6"/>
                <w:sz w:val="20"/>
                <w:szCs w:val="20"/>
              </w:rPr>
              <w:t>%</w:t>
            </w:r>
          </w:p>
        </w:tc>
        <w:tc>
          <w:tcPr>
            <w:tcW w:w="0" w:type="auto"/>
            <w:tcBorders>
              <w:right w:val="single" w:sz="4" w:space="0" w:color="000000" w:themeColor="text1"/>
            </w:tcBorders>
            <w:shd w:val="clear" w:color="auto" w:fill="auto"/>
            <w:vAlign w:val="center"/>
          </w:tcPr>
          <w:p w:rsidR="0069222E" w:rsidRPr="00133F4D" w:rsidRDefault="00BB34EA"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77.4%</w:t>
            </w:r>
          </w:p>
        </w:tc>
      </w:tr>
      <w:tr w:rsidR="0069222E" w:rsidRPr="00133F4D" w:rsidTr="00E35668">
        <w:trPr>
          <w:trHeight w:val="579"/>
          <w:jc w:val="center"/>
        </w:trPr>
        <w:tc>
          <w:tcPr>
            <w:tcW w:w="0" w:type="auto"/>
            <w:shd w:val="clear" w:color="auto" w:fill="auto"/>
            <w:vAlign w:val="center"/>
          </w:tcPr>
          <w:p w:rsidR="0069222E" w:rsidRPr="00133F4D" w:rsidRDefault="0069222E"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Goods and Services</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632.3</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152.6</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136.1</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10.8</w:t>
            </w:r>
            <w:r w:rsidR="008D3AA3" w:rsidRPr="00133F4D">
              <w:rPr>
                <w:rFonts w:ascii="Arial" w:hAnsi="Arial" w:cs="Arial"/>
                <w:color w:val="000000"/>
                <w:spacing w:val="6"/>
                <w:sz w:val="20"/>
                <w:szCs w:val="20"/>
              </w:rPr>
              <w:t>%</w:t>
            </w:r>
          </w:p>
        </w:tc>
        <w:tc>
          <w:tcPr>
            <w:tcW w:w="0" w:type="auto"/>
            <w:tcBorders>
              <w:right w:val="single" w:sz="4" w:space="0" w:color="000000" w:themeColor="text1"/>
            </w:tcBorders>
            <w:shd w:val="clear" w:color="auto" w:fill="auto"/>
            <w:vAlign w:val="center"/>
          </w:tcPr>
          <w:p w:rsidR="0069222E" w:rsidRPr="00133F4D" w:rsidRDefault="00BB34EA"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78.5%</w:t>
            </w:r>
          </w:p>
        </w:tc>
      </w:tr>
      <w:tr w:rsidR="0069222E" w:rsidRPr="00133F4D" w:rsidTr="00E35668">
        <w:trPr>
          <w:trHeight w:val="564"/>
          <w:jc w:val="center"/>
        </w:trPr>
        <w:tc>
          <w:tcPr>
            <w:tcW w:w="0" w:type="auto"/>
            <w:shd w:val="clear" w:color="auto" w:fill="auto"/>
            <w:vAlign w:val="center"/>
          </w:tcPr>
          <w:p w:rsidR="0069222E" w:rsidRPr="00133F4D" w:rsidRDefault="0069222E"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Interest and rent on land</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0.0</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0.0</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bCs/>
                <w:color w:val="000000"/>
                <w:spacing w:val="6"/>
                <w:sz w:val="20"/>
                <w:szCs w:val="20"/>
              </w:rPr>
            </w:pPr>
            <w:r w:rsidRPr="00133F4D">
              <w:rPr>
                <w:rFonts w:ascii="Arial" w:hAnsi="Arial" w:cs="Arial"/>
                <w:bCs/>
                <w:color w:val="000000"/>
                <w:spacing w:val="6"/>
                <w:sz w:val="20"/>
                <w:szCs w:val="20"/>
              </w:rPr>
              <w:t>0.0</w:t>
            </w:r>
          </w:p>
        </w:tc>
        <w:tc>
          <w:tcPr>
            <w:tcW w:w="0" w:type="auto"/>
            <w:shd w:val="clear" w:color="auto" w:fill="auto"/>
            <w:vAlign w:val="center"/>
          </w:tcPr>
          <w:p w:rsidR="0069222E" w:rsidRPr="00133F4D" w:rsidRDefault="00284345"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0.0</w:t>
            </w:r>
            <w:r w:rsidR="008D3AA3" w:rsidRPr="00133F4D">
              <w:rPr>
                <w:rFonts w:ascii="Arial" w:hAnsi="Arial" w:cs="Arial"/>
                <w:color w:val="000000"/>
                <w:spacing w:val="6"/>
                <w:sz w:val="20"/>
                <w:szCs w:val="20"/>
              </w:rPr>
              <w:t>%</w:t>
            </w:r>
          </w:p>
        </w:tc>
        <w:tc>
          <w:tcPr>
            <w:tcW w:w="0" w:type="auto"/>
            <w:tcBorders>
              <w:right w:val="single" w:sz="4" w:space="0" w:color="000000" w:themeColor="text1"/>
            </w:tcBorders>
            <w:shd w:val="clear" w:color="auto" w:fill="auto"/>
            <w:vAlign w:val="center"/>
          </w:tcPr>
          <w:p w:rsidR="0069222E" w:rsidRPr="00133F4D" w:rsidRDefault="00BB34EA" w:rsidP="00133F4D">
            <w:pPr>
              <w:autoSpaceDE w:val="0"/>
              <w:autoSpaceDN w:val="0"/>
              <w:adjustRightInd w:val="0"/>
              <w:spacing w:line="240" w:lineRule="auto"/>
              <w:jc w:val="left"/>
              <w:rPr>
                <w:rFonts w:ascii="Arial" w:hAnsi="Arial" w:cs="Arial"/>
                <w:color w:val="000000"/>
                <w:spacing w:val="6"/>
                <w:sz w:val="20"/>
                <w:szCs w:val="20"/>
              </w:rPr>
            </w:pPr>
            <w:r w:rsidRPr="00133F4D">
              <w:rPr>
                <w:rFonts w:ascii="Arial" w:hAnsi="Arial" w:cs="Arial"/>
                <w:color w:val="000000"/>
                <w:spacing w:val="6"/>
                <w:sz w:val="20"/>
                <w:szCs w:val="20"/>
              </w:rPr>
              <w:t>0.0%</w:t>
            </w:r>
          </w:p>
        </w:tc>
      </w:tr>
      <w:tr w:rsidR="0069222E" w:rsidRPr="00133F4D" w:rsidTr="00E35668">
        <w:trPr>
          <w:trHeight w:val="570"/>
          <w:jc w:val="center"/>
        </w:trPr>
        <w:tc>
          <w:tcPr>
            <w:tcW w:w="0" w:type="auto"/>
            <w:shd w:val="clear" w:color="auto" w:fill="auto"/>
            <w:vAlign w:val="center"/>
          </w:tcPr>
          <w:p w:rsidR="0069222E" w:rsidRPr="00133F4D" w:rsidRDefault="0069222E" w:rsidP="00133F4D">
            <w:pPr>
              <w:autoSpaceDE w:val="0"/>
              <w:autoSpaceDN w:val="0"/>
              <w:adjustRightInd w:val="0"/>
              <w:spacing w:line="240" w:lineRule="auto"/>
              <w:jc w:val="left"/>
              <w:rPr>
                <w:rFonts w:ascii="Arial" w:hAnsi="Arial" w:cs="Arial"/>
                <w:spacing w:val="6"/>
                <w:sz w:val="20"/>
                <w:szCs w:val="20"/>
                <w:lang w:val="en-GB"/>
              </w:rPr>
            </w:pPr>
            <w:r w:rsidRPr="00133F4D">
              <w:rPr>
                <w:rFonts w:ascii="Arial" w:hAnsi="Arial" w:cs="Arial"/>
                <w:b/>
                <w:color w:val="000000"/>
                <w:spacing w:val="6"/>
                <w:sz w:val="20"/>
                <w:szCs w:val="20"/>
              </w:rPr>
              <w:t>Transfers and subsidies</w:t>
            </w:r>
          </w:p>
        </w:tc>
        <w:tc>
          <w:tcPr>
            <w:tcW w:w="0" w:type="auto"/>
            <w:shd w:val="clear" w:color="auto" w:fill="auto"/>
            <w:vAlign w:val="center"/>
          </w:tcPr>
          <w:p w:rsidR="0069222E" w:rsidRPr="00133F4D" w:rsidRDefault="00216C70"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5 080.2</w:t>
            </w:r>
          </w:p>
        </w:tc>
        <w:tc>
          <w:tcPr>
            <w:tcW w:w="0" w:type="auto"/>
            <w:shd w:val="clear" w:color="auto" w:fill="auto"/>
            <w:vAlign w:val="center"/>
          </w:tcPr>
          <w:p w:rsidR="0069222E" w:rsidRPr="00133F4D" w:rsidRDefault="00216C70"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1 169.8</w:t>
            </w:r>
          </w:p>
        </w:tc>
        <w:tc>
          <w:tcPr>
            <w:tcW w:w="0" w:type="auto"/>
            <w:shd w:val="clear" w:color="auto" w:fill="auto"/>
            <w:vAlign w:val="center"/>
          </w:tcPr>
          <w:p w:rsidR="0069222E" w:rsidRPr="00133F4D" w:rsidRDefault="00216C70"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797.9</w:t>
            </w:r>
          </w:p>
        </w:tc>
        <w:tc>
          <w:tcPr>
            <w:tcW w:w="0" w:type="auto"/>
            <w:shd w:val="clear" w:color="auto" w:fill="auto"/>
            <w:vAlign w:val="center"/>
          </w:tcPr>
          <w:p w:rsidR="0069222E" w:rsidRPr="00133F4D" w:rsidRDefault="00216C70"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31.8%</w:t>
            </w:r>
          </w:p>
        </w:tc>
        <w:tc>
          <w:tcPr>
            <w:tcW w:w="0" w:type="auto"/>
            <w:tcBorders>
              <w:right w:val="single" w:sz="4" w:space="0" w:color="000000" w:themeColor="text1"/>
            </w:tcBorders>
            <w:shd w:val="clear" w:color="auto" w:fill="auto"/>
            <w:vAlign w:val="center"/>
          </w:tcPr>
          <w:p w:rsidR="0069222E" w:rsidRPr="00133F4D" w:rsidRDefault="00BB34EA"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84.3%</w:t>
            </w:r>
          </w:p>
        </w:tc>
      </w:tr>
      <w:tr w:rsidR="0069222E" w:rsidRPr="00133F4D" w:rsidTr="00E35668">
        <w:trPr>
          <w:trHeight w:val="570"/>
          <w:jc w:val="center"/>
        </w:trPr>
        <w:tc>
          <w:tcPr>
            <w:tcW w:w="0" w:type="auto"/>
            <w:shd w:val="clear" w:color="auto" w:fill="auto"/>
            <w:vAlign w:val="center"/>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Payments for capital assets</w:t>
            </w:r>
          </w:p>
        </w:tc>
        <w:tc>
          <w:tcPr>
            <w:tcW w:w="0" w:type="auto"/>
            <w:shd w:val="clear" w:color="auto" w:fill="auto"/>
            <w:vAlign w:val="center"/>
          </w:tcPr>
          <w:p w:rsidR="0069222E" w:rsidRPr="00133F4D" w:rsidRDefault="00216C70"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206.2</w:t>
            </w:r>
          </w:p>
        </w:tc>
        <w:tc>
          <w:tcPr>
            <w:tcW w:w="0" w:type="auto"/>
            <w:shd w:val="clear" w:color="auto" w:fill="auto"/>
            <w:vAlign w:val="center"/>
          </w:tcPr>
          <w:p w:rsidR="0069222E" w:rsidRPr="00133F4D" w:rsidRDefault="00100515"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17.2</w:t>
            </w:r>
          </w:p>
        </w:tc>
        <w:tc>
          <w:tcPr>
            <w:tcW w:w="0" w:type="auto"/>
            <w:shd w:val="clear" w:color="auto" w:fill="auto"/>
            <w:vAlign w:val="center"/>
          </w:tcPr>
          <w:p w:rsidR="0069222E" w:rsidRPr="00133F4D" w:rsidRDefault="00100515"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0.1</w:t>
            </w:r>
          </w:p>
        </w:tc>
        <w:tc>
          <w:tcPr>
            <w:tcW w:w="0" w:type="auto"/>
            <w:shd w:val="clear" w:color="auto" w:fill="auto"/>
            <w:vAlign w:val="center"/>
          </w:tcPr>
          <w:p w:rsidR="0069222E" w:rsidRPr="00133F4D" w:rsidRDefault="00100515"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99.7%</w:t>
            </w:r>
          </w:p>
        </w:tc>
        <w:tc>
          <w:tcPr>
            <w:tcW w:w="0" w:type="auto"/>
            <w:tcBorders>
              <w:right w:val="single" w:sz="4" w:space="0" w:color="000000" w:themeColor="text1"/>
            </w:tcBorders>
            <w:shd w:val="clear" w:color="auto" w:fill="auto"/>
            <w:vAlign w:val="center"/>
          </w:tcPr>
          <w:p w:rsidR="0069222E" w:rsidRPr="00133F4D" w:rsidRDefault="00BB34EA"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99.9%</w:t>
            </w:r>
          </w:p>
        </w:tc>
      </w:tr>
      <w:tr w:rsidR="0069222E" w:rsidRPr="00133F4D" w:rsidTr="00E35668">
        <w:trPr>
          <w:trHeight w:val="319"/>
          <w:jc w:val="center"/>
        </w:trPr>
        <w:tc>
          <w:tcPr>
            <w:tcW w:w="0" w:type="auto"/>
            <w:shd w:val="clear" w:color="auto" w:fill="auto"/>
            <w:vAlign w:val="center"/>
          </w:tcPr>
          <w:p w:rsidR="0069222E" w:rsidRPr="00133F4D" w:rsidRDefault="0069222E" w:rsidP="00133F4D">
            <w:pPr>
              <w:autoSpaceDE w:val="0"/>
              <w:autoSpaceDN w:val="0"/>
              <w:adjustRightInd w:val="0"/>
              <w:spacing w:line="240" w:lineRule="auto"/>
              <w:jc w:val="left"/>
              <w:rPr>
                <w:rFonts w:ascii="Arial" w:hAnsi="Arial" w:cs="Arial"/>
                <w:b/>
                <w:spacing w:val="6"/>
                <w:sz w:val="20"/>
                <w:szCs w:val="20"/>
                <w:lang w:val="en-GB"/>
              </w:rPr>
            </w:pPr>
            <w:r w:rsidRPr="00133F4D">
              <w:rPr>
                <w:rFonts w:ascii="Arial" w:hAnsi="Arial" w:cs="Arial"/>
                <w:b/>
                <w:color w:val="000000"/>
                <w:spacing w:val="6"/>
                <w:sz w:val="20"/>
                <w:szCs w:val="20"/>
              </w:rPr>
              <w:t>Payment of financial assets</w:t>
            </w:r>
          </w:p>
        </w:tc>
        <w:tc>
          <w:tcPr>
            <w:tcW w:w="0" w:type="auto"/>
            <w:shd w:val="clear" w:color="auto" w:fill="auto"/>
            <w:vAlign w:val="center"/>
          </w:tcPr>
          <w:p w:rsidR="0069222E" w:rsidRPr="00133F4D" w:rsidRDefault="00216C70"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0.0</w:t>
            </w:r>
          </w:p>
        </w:tc>
        <w:tc>
          <w:tcPr>
            <w:tcW w:w="0" w:type="auto"/>
            <w:shd w:val="clear" w:color="auto" w:fill="auto"/>
            <w:vAlign w:val="center"/>
          </w:tcPr>
          <w:p w:rsidR="0069222E" w:rsidRPr="00133F4D" w:rsidRDefault="00C422E8"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0.0</w:t>
            </w:r>
          </w:p>
        </w:tc>
        <w:tc>
          <w:tcPr>
            <w:tcW w:w="0" w:type="auto"/>
            <w:shd w:val="clear" w:color="auto" w:fill="auto"/>
            <w:vAlign w:val="center"/>
          </w:tcPr>
          <w:p w:rsidR="0069222E" w:rsidRPr="00133F4D" w:rsidRDefault="00C422E8"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0.0</w:t>
            </w:r>
          </w:p>
        </w:tc>
        <w:tc>
          <w:tcPr>
            <w:tcW w:w="0" w:type="auto"/>
            <w:shd w:val="clear" w:color="auto" w:fill="auto"/>
            <w:vAlign w:val="center"/>
          </w:tcPr>
          <w:p w:rsidR="0069222E" w:rsidRPr="00133F4D" w:rsidRDefault="00C422E8"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0.0%</w:t>
            </w:r>
          </w:p>
        </w:tc>
        <w:tc>
          <w:tcPr>
            <w:tcW w:w="0" w:type="auto"/>
            <w:tcBorders>
              <w:right w:val="single" w:sz="4" w:space="0" w:color="000000" w:themeColor="text1"/>
            </w:tcBorders>
            <w:shd w:val="clear" w:color="auto" w:fill="auto"/>
            <w:vAlign w:val="center"/>
          </w:tcPr>
          <w:p w:rsidR="0069222E" w:rsidRPr="00133F4D" w:rsidRDefault="00BB34EA"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0.0%</w:t>
            </w:r>
          </w:p>
        </w:tc>
      </w:tr>
      <w:tr w:rsidR="0069222E" w:rsidRPr="00133F4D" w:rsidTr="00E35668">
        <w:trPr>
          <w:trHeight w:val="319"/>
          <w:jc w:val="center"/>
        </w:trPr>
        <w:tc>
          <w:tcPr>
            <w:tcW w:w="0" w:type="auto"/>
            <w:shd w:val="clear" w:color="auto" w:fill="auto"/>
            <w:vAlign w:val="center"/>
          </w:tcPr>
          <w:p w:rsidR="0069222E" w:rsidRPr="00133F4D" w:rsidRDefault="0069222E"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Total</w:t>
            </w:r>
          </w:p>
        </w:tc>
        <w:tc>
          <w:tcPr>
            <w:tcW w:w="0" w:type="auto"/>
            <w:shd w:val="clear" w:color="auto" w:fill="auto"/>
            <w:vAlign w:val="center"/>
          </w:tcPr>
          <w:p w:rsidR="0069222E" w:rsidRPr="00133F4D" w:rsidRDefault="00216C70"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6 295.1</w:t>
            </w:r>
          </w:p>
        </w:tc>
        <w:tc>
          <w:tcPr>
            <w:tcW w:w="0" w:type="auto"/>
            <w:shd w:val="clear" w:color="auto" w:fill="auto"/>
            <w:vAlign w:val="center"/>
          </w:tcPr>
          <w:p w:rsidR="0069222E" w:rsidRPr="00133F4D" w:rsidRDefault="00455AA9"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1 433.4</w:t>
            </w:r>
          </w:p>
        </w:tc>
        <w:tc>
          <w:tcPr>
            <w:tcW w:w="0" w:type="auto"/>
            <w:shd w:val="clear" w:color="auto" w:fill="auto"/>
            <w:vAlign w:val="center"/>
          </w:tcPr>
          <w:p w:rsidR="0069222E" w:rsidRPr="00133F4D" w:rsidRDefault="00455AA9" w:rsidP="00133F4D">
            <w:pPr>
              <w:autoSpaceDE w:val="0"/>
              <w:autoSpaceDN w:val="0"/>
              <w:adjustRightInd w:val="0"/>
              <w:spacing w:line="240" w:lineRule="auto"/>
              <w:jc w:val="left"/>
              <w:rPr>
                <w:rFonts w:ascii="Arial" w:hAnsi="Arial" w:cs="Arial"/>
                <w:b/>
                <w:bCs/>
                <w:color w:val="000000"/>
                <w:spacing w:val="6"/>
                <w:sz w:val="20"/>
                <w:szCs w:val="20"/>
              </w:rPr>
            </w:pPr>
            <w:r w:rsidRPr="00133F4D">
              <w:rPr>
                <w:rFonts w:ascii="Arial" w:hAnsi="Arial" w:cs="Arial"/>
                <w:b/>
                <w:bCs/>
                <w:color w:val="000000"/>
                <w:spacing w:val="6"/>
                <w:sz w:val="20"/>
                <w:szCs w:val="20"/>
              </w:rPr>
              <w:t>1 019.2</w:t>
            </w:r>
          </w:p>
        </w:tc>
        <w:tc>
          <w:tcPr>
            <w:tcW w:w="0" w:type="auto"/>
            <w:shd w:val="clear" w:color="auto" w:fill="auto"/>
            <w:vAlign w:val="center"/>
          </w:tcPr>
          <w:p w:rsidR="0069222E" w:rsidRPr="00133F4D" w:rsidRDefault="00455AA9"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28.9%</w:t>
            </w:r>
          </w:p>
        </w:tc>
        <w:tc>
          <w:tcPr>
            <w:tcW w:w="0" w:type="auto"/>
            <w:tcBorders>
              <w:right w:val="single" w:sz="4" w:space="0" w:color="000000" w:themeColor="text1"/>
            </w:tcBorders>
            <w:shd w:val="clear" w:color="auto" w:fill="auto"/>
            <w:vAlign w:val="center"/>
          </w:tcPr>
          <w:p w:rsidR="0069222E" w:rsidRPr="00133F4D" w:rsidRDefault="00BB34EA" w:rsidP="00133F4D">
            <w:pPr>
              <w:autoSpaceDE w:val="0"/>
              <w:autoSpaceDN w:val="0"/>
              <w:adjustRightInd w:val="0"/>
              <w:spacing w:line="240" w:lineRule="auto"/>
              <w:jc w:val="left"/>
              <w:rPr>
                <w:rFonts w:ascii="Arial" w:hAnsi="Arial" w:cs="Arial"/>
                <w:b/>
                <w:color w:val="000000"/>
                <w:spacing w:val="6"/>
                <w:sz w:val="20"/>
                <w:szCs w:val="20"/>
              </w:rPr>
            </w:pPr>
            <w:r w:rsidRPr="00133F4D">
              <w:rPr>
                <w:rFonts w:ascii="Arial" w:hAnsi="Arial" w:cs="Arial"/>
                <w:b/>
                <w:color w:val="000000"/>
                <w:spacing w:val="6"/>
                <w:sz w:val="20"/>
                <w:szCs w:val="20"/>
              </w:rPr>
              <w:t>83.8</w:t>
            </w:r>
            <w:r w:rsidR="007438B1" w:rsidRPr="00133F4D">
              <w:rPr>
                <w:rFonts w:ascii="Arial" w:hAnsi="Arial" w:cs="Arial"/>
                <w:b/>
                <w:color w:val="000000"/>
                <w:spacing w:val="6"/>
                <w:sz w:val="20"/>
                <w:szCs w:val="20"/>
              </w:rPr>
              <w:t>%</w:t>
            </w:r>
          </w:p>
        </w:tc>
      </w:tr>
    </w:tbl>
    <w:p w:rsidR="000C060F" w:rsidRPr="00133F4D" w:rsidRDefault="000C060F" w:rsidP="00133F4D">
      <w:pPr>
        <w:spacing w:after="0" w:line="240" w:lineRule="auto"/>
        <w:jc w:val="left"/>
        <w:rPr>
          <w:rFonts w:ascii="Arial" w:hAnsi="Arial" w:cs="Arial"/>
          <w:i/>
          <w:spacing w:val="6"/>
          <w:sz w:val="20"/>
          <w:szCs w:val="20"/>
        </w:rPr>
      </w:pPr>
      <w:r w:rsidRPr="00133F4D">
        <w:rPr>
          <w:rFonts w:ascii="Arial" w:hAnsi="Arial" w:cs="Arial"/>
          <w:i/>
          <w:spacing w:val="6"/>
          <w:sz w:val="20"/>
          <w:szCs w:val="20"/>
        </w:rPr>
        <w:t xml:space="preserve">Source: </w:t>
      </w:r>
      <w:r w:rsidR="00353039" w:rsidRPr="00133F4D">
        <w:rPr>
          <w:rFonts w:ascii="Arial" w:hAnsi="Arial" w:cs="Arial"/>
          <w:i/>
          <w:spacing w:val="6"/>
          <w:sz w:val="20"/>
          <w:szCs w:val="20"/>
        </w:rPr>
        <w:t>National Treasury (2022), Report to the Standing Committee on Appropriations</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2"/>
          <w:numId w:val="14"/>
        </w:numPr>
        <w:spacing w:line="240" w:lineRule="auto"/>
        <w:jc w:val="left"/>
        <w:rPr>
          <w:rFonts w:ascii="Arial" w:hAnsi="Arial" w:cs="Arial"/>
          <w:sz w:val="20"/>
          <w:szCs w:val="20"/>
        </w:rPr>
      </w:pPr>
      <w:bookmarkStart w:id="24" w:name="_Toc88519316"/>
      <w:r w:rsidRPr="00133F4D">
        <w:rPr>
          <w:rFonts w:ascii="Arial" w:hAnsi="Arial" w:cs="Arial"/>
          <w:sz w:val="20"/>
          <w:szCs w:val="20"/>
        </w:rPr>
        <w:t>Virements</w:t>
      </w:r>
      <w:bookmarkEnd w:id="24"/>
    </w:p>
    <w:p w:rsidR="00F43A5E" w:rsidRPr="00133F4D" w:rsidRDefault="00F43A5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Department did not apply for virements.</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Heading2"/>
        <w:numPr>
          <w:ilvl w:val="1"/>
          <w:numId w:val="14"/>
        </w:numPr>
        <w:spacing w:line="240" w:lineRule="auto"/>
        <w:jc w:val="left"/>
        <w:rPr>
          <w:rFonts w:ascii="Arial" w:hAnsi="Arial" w:cs="Arial"/>
          <w:sz w:val="20"/>
          <w:szCs w:val="20"/>
        </w:rPr>
      </w:pPr>
      <w:bookmarkStart w:id="25" w:name="_Toc88519317"/>
      <w:r w:rsidRPr="00133F4D">
        <w:rPr>
          <w:rFonts w:ascii="Arial" w:hAnsi="Arial" w:cs="Arial"/>
          <w:sz w:val="20"/>
          <w:szCs w:val="20"/>
        </w:rPr>
        <w:t>Non-financial performance</w:t>
      </w:r>
      <w:bookmarkEnd w:id="25"/>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planned to implement 20 performance targets during the first quarter reporting period. </w:t>
      </w:r>
      <w:r w:rsidR="00677599" w:rsidRPr="00133F4D">
        <w:rPr>
          <w:rFonts w:ascii="Arial" w:hAnsi="Arial" w:cs="Arial"/>
          <w:spacing w:val="6"/>
          <w:sz w:val="20"/>
          <w:szCs w:val="20"/>
        </w:rPr>
        <w:t xml:space="preserve">All </w:t>
      </w:r>
      <w:r w:rsidRPr="00133F4D">
        <w:rPr>
          <w:rFonts w:ascii="Arial" w:hAnsi="Arial" w:cs="Arial"/>
          <w:spacing w:val="6"/>
          <w:sz w:val="20"/>
          <w:szCs w:val="20"/>
        </w:rPr>
        <w:t>planned targets were achieved.</w:t>
      </w:r>
    </w:p>
    <w:p w:rsidR="0069222E" w:rsidRPr="00133F4D" w:rsidRDefault="0069222E" w:rsidP="00133F4D">
      <w:pPr>
        <w:spacing w:after="0" w:line="240" w:lineRule="auto"/>
        <w:jc w:val="left"/>
        <w:rPr>
          <w:rFonts w:ascii="Arial" w:hAnsi="Arial" w:cs="Arial"/>
          <w:spacing w:val="6"/>
          <w:sz w:val="20"/>
          <w:szCs w:val="20"/>
        </w:rPr>
      </w:pPr>
    </w:p>
    <w:p w:rsidR="0069222E" w:rsidRPr="00133F4D" w:rsidRDefault="0069222E" w:rsidP="00133F4D">
      <w:pPr>
        <w:pStyle w:val="Caption"/>
        <w:keepNext/>
        <w:spacing w:after="0"/>
        <w:jc w:val="left"/>
        <w:rPr>
          <w:rFonts w:ascii="Arial" w:hAnsi="Arial" w:cs="Arial"/>
          <w:b/>
          <w:i w:val="0"/>
          <w:color w:val="auto"/>
          <w:spacing w:val="6"/>
          <w:sz w:val="20"/>
          <w:szCs w:val="20"/>
        </w:rPr>
      </w:pPr>
      <w:r w:rsidRPr="00133F4D">
        <w:rPr>
          <w:rFonts w:ascii="Arial" w:hAnsi="Arial" w:cs="Arial"/>
          <w:b/>
          <w:i w:val="0"/>
          <w:color w:val="auto"/>
          <w:spacing w:val="6"/>
          <w:sz w:val="20"/>
          <w:szCs w:val="20"/>
        </w:rPr>
        <w:t xml:space="preserve">Table </w:t>
      </w:r>
      <w:r w:rsidR="00E922AD" w:rsidRPr="00133F4D">
        <w:rPr>
          <w:rFonts w:ascii="Arial" w:hAnsi="Arial" w:cs="Arial"/>
          <w:b/>
          <w:i w:val="0"/>
          <w:color w:val="auto"/>
          <w:spacing w:val="6"/>
          <w:sz w:val="20"/>
          <w:szCs w:val="20"/>
        </w:rPr>
        <w:fldChar w:fldCharType="begin"/>
      </w:r>
      <w:r w:rsidRPr="00133F4D">
        <w:rPr>
          <w:rFonts w:ascii="Arial" w:hAnsi="Arial" w:cs="Arial"/>
          <w:b/>
          <w:i w:val="0"/>
          <w:color w:val="auto"/>
          <w:spacing w:val="6"/>
          <w:sz w:val="20"/>
          <w:szCs w:val="20"/>
        </w:rPr>
        <w:instrText xml:space="preserve"> SEQ Table \* ARABIC </w:instrText>
      </w:r>
      <w:r w:rsidR="00E922AD" w:rsidRPr="00133F4D">
        <w:rPr>
          <w:rFonts w:ascii="Arial" w:hAnsi="Arial" w:cs="Arial"/>
          <w:b/>
          <w:i w:val="0"/>
          <w:color w:val="auto"/>
          <w:spacing w:val="6"/>
          <w:sz w:val="20"/>
          <w:szCs w:val="20"/>
        </w:rPr>
        <w:fldChar w:fldCharType="separate"/>
      </w:r>
      <w:r w:rsidR="00D81058" w:rsidRPr="00133F4D">
        <w:rPr>
          <w:rFonts w:ascii="Arial" w:hAnsi="Arial" w:cs="Arial"/>
          <w:b/>
          <w:i w:val="0"/>
          <w:noProof/>
          <w:color w:val="auto"/>
          <w:spacing w:val="6"/>
          <w:sz w:val="20"/>
          <w:szCs w:val="20"/>
        </w:rPr>
        <w:t>9</w:t>
      </w:r>
      <w:r w:rsidR="00E922AD" w:rsidRPr="00133F4D">
        <w:rPr>
          <w:rFonts w:ascii="Arial" w:hAnsi="Arial" w:cs="Arial"/>
          <w:b/>
          <w:i w:val="0"/>
          <w:color w:val="auto"/>
          <w:spacing w:val="6"/>
          <w:sz w:val="20"/>
          <w:szCs w:val="20"/>
        </w:rPr>
        <w:fldChar w:fldCharType="end"/>
      </w:r>
      <w:r w:rsidRPr="00133F4D">
        <w:rPr>
          <w:rFonts w:ascii="Arial" w:hAnsi="Arial" w:cs="Arial"/>
          <w:b/>
          <w:i w:val="0"/>
          <w:color w:val="auto"/>
          <w:spacing w:val="6"/>
          <w:sz w:val="20"/>
          <w:szCs w:val="20"/>
        </w:rPr>
        <w:t xml:space="preserve">: </w:t>
      </w:r>
      <w:r w:rsidR="00156ACE" w:rsidRPr="00133F4D">
        <w:rPr>
          <w:rFonts w:ascii="Arial" w:hAnsi="Arial" w:cs="Arial"/>
          <w:b/>
          <w:i w:val="0"/>
          <w:color w:val="auto"/>
          <w:spacing w:val="6"/>
          <w:sz w:val="20"/>
          <w:szCs w:val="20"/>
        </w:rPr>
        <w:t xml:space="preserve">2022/23 </w:t>
      </w:r>
      <w:r w:rsidRPr="00133F4D">
        <w:rPr>
          <w:rFonts w:ascii="Arial" w:hAnsi="Arial" w:cs="Arial"/>
          <w:b/>
          <w:i w:val="0"/>
          <w:color w:val="auto"/>
          <w:spacing w:val="6"/>
          <w:sz w:val="20"/>
          <w:szCs w:val="20"/>
        </w:rPr>
        <w:t>First Quarter programme performance</w:t>
      </w:r>
    </w:p>
    <w:tbl>
      <w:tblPr>
        <w:tblStyle w:val="TableGrid"/>
        <w:tblW w:w="0" w:type="auto"/>
        <w:tblLook w:val="04A0"/>
      </w:tblPr>
      <w:tblGrid>
        <w:gridCol w:w="4135"/>
        <w:gridCol w:w="1424"/>
        <w:gridCol w:w="1154"/>
        <w:gridCol w:w="1293"/>
        <w:gridCol w:w="1236"/>
      </w:tblGrid>
      <w:tr w:rsidR="0069222E" w:rsidRPr="00133F4D" w:rsidTr="002A1249">
        <w:tc>
          <w:tcPr>
            <w:tcW w:w="0" w:type="auto"/>
            <w:shd w:val="clear" w:color="auto" w:fill="C5E0B3" w:themeFill="accent6" w:themeFillTint="66"/>
          </w:tcPr>
          <w:p w:rsidR="0069222E" w:rsidRPr="00133F4D" w:rsidRDefault="0069222E" w:rsidP="00133F4D">
            <w:pPr>
              <w:pStyle w:val="ListParagraph"/>
              <w:spacing w:line="240" w:lineRule="auto"/>
              <w:ind w:left="0"/>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Programme</w:t>
            </w:r>
          </w:p>
        </w:tc>
        <w:tc>
          <w:tcPr>
            <w:tcW w:w="0" w:type="auto"/>
            <w:shd w:val="clear" w:color="auto" w:fill="C5E0B3" w:themeFill="accent6" w:themeFillTint="66"/>
          </w:tcPr>
          <w:p w:rsidR="0069222E" w:rsidRPr="00133F4D" w:rsidRDefault="0069222E" w:rsidP="00133F4D">
            <w:pPr>
              <w:pStyle w:val="ListParagraph"/>
              <w:tabs>
                <w:tab w:val="left" w:pos="2213"/>
              </w:tabs>
              <w:spacing w:line="240" w:lineRule="auto"/>
              <w:ind w:left="0"/>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APP Targets 2021/22</w:t>
            </w:r>
          </w:p>
        </w:tc>
        <w:tc>
          <w:tcPr>
            <w:tcW w:w="0" w:type="auto"/>
            <w:shd w:val="clear" w:color="auto" w:fill="C5E0B3" w:themeFill="accent6" w:themeFillTint="66"/>
          </w:tcPr>
          <w:p w:rsidR="0069222E" w:rsidRPr="00133F4D" w:rsidRDefault="0069222E" w:rsidP="00133F4D">
            <w:pPr>
              <w:tabs>
                <w:tab w:val="left" w:pos="2213"/>
              </w:tabs>
              <w:spacing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Achieved</w:t>
            </w:r>
          </w:p>
        </w:tc>
        <w:tc>
          <w:tcPr>
            <w:tcW w:w="0" w:type="auto"/>
            <w:shd w:val="clear" w:color="auto" w:fill="C5E0B3" w:themeFill="accent6" w:themeFillTint="66"/>
          </w:tcPr>
          <w:p w:rsidR="0069222E" w:rsidRPr="00133F4D" w:rsidRDefault="0069222E" w:rsidP="00133F4D">
            <w:pPr>
              <w:tabs>
                <w:tab w:val="left" w:pos="2213"/>
              </w:tabs>
              <w:spacing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Not Achieved</w:t>
            </w:r>
          </w:p>
        </w:tc>
        <w:tc>
          <w:tcPr>
            <w:tcW w:w="0" w:type="auto"/>
            <w:shd w:val="clear" w:color="auto" w:fill="C5E0B3" w:themeFill="accent6" w:themeFillTint="66"/>
          </w:tcPr>
          <w:p w:rsidR="0069222E" w:rsidRPr="00133F4D" w:rsidRDefault="0069222E" w:rsidP="00133F4D">
            <w:pPr>
              <w:tabs>
                <w:tab w:val="left" w:pos="2213"/>
              </w:tabs>
              <w:spacing w:line="240" w:lineRule="auto"/>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 Achieved</w:t>
            </w:r>
          </w:p>
        </w:tc>
      </w:tr>
      <w:tr w:rsidR="0069222E" w:rsidRPr="00133F4D" w:rsidTr="00E35668">
        <w:tc>
          <w:tcPr>
            <w:tcW w:w="0" w:type="auto"/>
            <w:vAlign w:val="center"/>
          </w:tcPr>
          <w:p w:rsidR="0069222E" w:rsidRPr="00133F4D" w:rsidRDefault="0069222E" w:rsidP="00133F4D">
            <w:pPr>
              <w:pStyle w:val="ListParagraph"/>
              <w:spacing w:line="240" w:lineRule="auto"/>
              <w:ind w:left="0"/>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1: Administration</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3</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3</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0</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100%</w:t>
            </w:r>
          </w:p>
        </w:tc>
      </w:tr>
      <w:tr w:rsidR="0069222E" w:rsidRPr="00133F4D" w:rsidTr="00E35668">
        <w:tc>
          <w:tcPr>
            <w:tcW w:w="0" w:type="auto"/>
            <w:vAlign w:val="center"/>
          </w:tcPr>
          <w:p w:rsidR="0069222E" w:rsidRPr="00133F4D" w:rsidRDefault="0069222E" w:rsidP="00133F4D">
            <w:pPr>
              <w:pStyle w:val="ListParagraph"/>
              <w:spacing w:line="240" w:lineRule="auto"/>
              <w:ind w:left="0"/>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 xml:space="preserve">2: Recreation Development and Sport Promotion Recreation Development and </w:t>
            </w:r>
            <w:r w:rsidRPr="00133F4D">
              <w:rPr>
                <w:rFonts w:ascii="Arial" w:hAnsi="Arial" w:cs="Arial"/>
                <w:color w:val="000000"/>
                <w:spacing w:val="6"/>
                <w:sz w:val="20"/>
                <w:szCs w:val="20"/>
                <w:lang w:val="en-GB" w:eastAsia="en-GB"/>
              </w:rPr>
              <w:lastRenderedPageBreak/>
              <w:t>Sport Promotion</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lastRenderedPageBreak/>
              <w:t>5</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5</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0</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100%</w:t>
            </w:r>
          </w:p>
        </w:tc>
      </w:tr>
      <w:tr w:rsidR="0069222E" w:rsidRPr="00133F4D" w:rsidTr="00E35668">
        <w:tc>
          <w:tcPr>
            <w:tcW w:w="0" w:type="auto"/>
            <w:vAlign w:val="center"/>
          </w:tcPr>
          <w:p w:rsidR="0069222E" w:rsidRPr="00133F4D" w:rsidRDefault="0069222E" w:rsidP="00133F4D">
            <w:pPr>
              <w:pStyle w:val="ListParagraph"/>
              <w:spacing w:line="240" w:lineRule="auto"/>
              <w:ind w:left="0"/>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lastRenderedPageBreak/>
              <w:t>3: Arts and Culture Promotion and Development</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7</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7</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0</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100%</w:t>
            </w:r>
          </w:p>
        </w:tc>
      </w:tr>
      <w:tr w:rsidR="0069222E" w:rsidRPr="00133F4D" w:rsidTr="00E35668">
        <w:tc>
          <w:tcPr>
            <w:tcW w:w="0" w:type="auto"/>
            <w:vAlign w:val="center"/>
          </w:tcPr>
          <w:p w:rsidR="0069222E" w:rsidRPr="00133F4D" w:rsidRDefault="0069222E" w:rsidP="00133F4D">
            <w:pPr>
              <w:pStyle w:val="ListParagraph"/>
              <w:spacing w:line="240" w:lineRule="auto"/>
              <w:ind w:left="0"/>
              <w:jc w:val="left"/>
              <w:rPr>
                <w:rFonts w:ascii="Arial" w:hAnsi="Arial" w:cs="Arial"/>
                <w:color w:val="000000"/>
                <w:spacing w:val="6"/>
                <w:sz w:val="20"/>
                <w:szCs w:val="20"/>
                <w:lang w:val="en-GB" w:eastAsia="en-GB"/>
              </w:rPr>
            </w:pPr>
            <w:r w:rsidRPr="00133F4D">
              <w:rPr>
                <w:rFonts w:ascii="Arial" w:hAnsi="Arial" w:cs="Arial"/>
                <w:color w:val="000000"/>
                <w:spacing w:val="6"/>
                <w:sz w:val="20"/>
                <w:szCs w:val="20"/>
                <w:lang w:val="en-GB" w:eastAsia="en-GB"/>
              </w:rPr>
              <w:t>4: Heritage Promotion and Preservation</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5</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5</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0</w:t>
            </w:r>
          </w:p>
        </w:tc>
        <w:tc>
          <w:tcPr>
            <w:tcW w:w="0" w:type="auto"/>
            <w:vAlign w:val="center"/>
          </w:tcPr>
          <w:p w:rsidR="0069222E" w:rsidRPr="00133F4D" w:rsidRDefault="00553786" w:rsidP="00133F4D">
            <w:pPr>
              <w:pStyle w:val="ListParagraph"/>
              <w:spacing w:line="240" w:lineRule="auto"/>
              <w:ind w:left="0"/>
              <w:jc w:val="left"/>
              <w:rPr>
                <w:rFonts w:ascii="Arial" w:hAnsi="Arial" w:cs="Arial"/>
                <w:spacing w:val="6"/>
                <w:sz w:val="20"/>
                <w:szCs w:val="20"/>
              </w:rPr>
            </w:pPr>
            <w:r w:rsidRPr="00133F4D">
              <w:rPr>
                <w:rFonts w:ascii="Arial" w:hAnsi="Arial" w:cs="Arial"/>
                <w:spacing w:val="6"/>
                <w:sz w:val="20"/>
                <w:szCs w:val="20"/>
              </w:rPr>
              <w:t>100%</w:t>
            </w:r>
          </w:p>
        </w:tc>
      </w:tr>
      <w:tr w:rsidR="0069222E" w:rsidRPr="00133F4D" w:rsidTr="00E35668">
        <w:tc>
          <w:tcPr>
            <w:tcW w:w="0" w:type="auto"/>
            <w:vAlign w:val="center"/>
          </w:tcPr>
          <w:p w:rsidR="0069222E" w:rsidRPr="00133F4D" w:rsidRDefault="0069222E" w:rsidP="00133F4D">
            <w:pPr>
              <w:pStyle w:val="ListParagraph"/>
              <w:spacing w:line="240" w:lineRule="auto"/>
              <w:ind w:left="0"/>
              <w:jc w:val="left"/>
              <w:rPr>
                <w:rFonts w:ascii="Arial" w:hAnsi="Arial" w:cs="Arial"/>
                <w:b/>
                <w:color w:val="000000"/>
                <w:spacing w:val="6"/>
                <w:sz w:val="20"/>
                <w:szCs w:val="20"/>
                <w:lang w:val="en-GB" w:eastAsia="en-GB"/>
              </w:rPr>
            </w:pPr>
            <w:r w:rsidRPr="00133F4D">
              <w:rPr>
                <w:rFonts w:ascii="Arial" w:hAnsi="Arial" w:cs="Arial"/>
                <w:b/>
                <w:color w:val="000000"/>
                <w:spacing w:val="6"/>
                <w:sz w:val="20"/>
                <w:szCs w:val="20"/>
                <w:lang w:val="en-GB" w:eastAsia="en-GB"/>
              </w:rPr>
              <w:t>TOTAL</w:t>
            </w:r>
          </w:p>
        </w:tc>
        <w:tc>
          <w:tcPr>
            <w:tcW w:w="0" w:type="auto"/>
            <w:vAlign w:val="center"/>
          </w:tcPr>
          <w:p w:rsidR="0069222E" w:rsidRPr="00133F4D" w:rsidRDefault="00716E77" w:rsidP="00133F4D">
            <w:pPr>
              <w:pStyle w:val="ListParagraph"/>
              <w:spacing w:line="240" w:lineRule="auto"/>
              <w:ind w:left="0"/>
              <w:jc w:val="left"/>
              <w:rPr>
                <w:rFonts w:ascii="Arial" w:hAnsi="Arial" w:cs="Arial"/>
                <w:b/>
                <w:spacing w:val="6"/>
                <w:sz w:val="20"/>
                <w:szCs w:val="20"/>
              </w:rPr>
            </w:pPr>
            <w:r w:rsidRPr="00133F4D">
              <w:rPr>
                <w:rFonts w:ascii="Arial" w:hAnsi="Arial" w:cs="Arial"/>
                <w:b/>
                <w:spacing w:val="6"/>
                <w:sz w:val="20"/>
                <w:szCs w:val="20"/>
              </w:rPr>
              <w:t>20</w:t>
            </w:r>
          </w:p>
        </w:tc>
        <w:tc>
          <w:tcPr>
            <w:tcW w:w="0" w:type="auto"/>
            <w:vAlign w:val="center"/>
          </w:tcPr>
          <w:p w:rsidR="0069222E" w:rsidRPr="00133F4D" w:rsidRDefault="00716E77" w:rsidP="00133F4D">
            <w:pPr>
              <w:pStyle w:val="ListParagraph"/>
              <w:spacing w:line="240" w:lineRule="auto"/>
              <w:ind w:left="0"/>
              <w:jc w:val="left"/>
              <w:rPr>
                <w:rFonts w:ascii="Arial" w:hAnsi="Arial" w:cs="Arial"/>
                <w:b/>
                <w:spacing w:val="6"/>
                <w:sz w:val="20"/>
                <w:szCs w:val="20"/>
              </w:rPr>
            </w:pPr>
            <w:r w:rsidRPr="00133F4D">
              <w:rPr>
                <w:rFonts w:ascii="Arial" w:hAnsi="Arial" w:cs="Arial"/>
                <w:b/>
                <w:spacing w:val="6"/>
                <w:sz w:val="20"/>
                <w:szCs w:val="20"/>
              </w:rPr>
              <w:t>20</w:t>
            </w:r>
          </w:p>
        </w:tc>
        <w:tc>
          <w:tcPr>
            <w:tcW w:w="0" w:type="auto"/>
            <w:vAlign w:val="center"/>
          </w:tcPr>
          <w:p w:rsidR="0069222E" w:rsidRPr="00133F4D" w:rsidRDefault="00716E77" w:rsidP="00133F4D">
            <w:pPr>
              <w:pStyle w:val="ListParagraph"/>
              <w:spacing w:line="240" w:lineRule="auto"/>
              <w:ind w:left="0"/>
              <w:jc w:val="left"/>
              <w:rPr>
                <w:rFonts w:ascii="Arial" w:hAnsi="Arial" w:cs="Arial"/>
                <w:b/>
                <w:spacing w:val="6"/>
                <w:sz w:val="20"/>
                <w:szCs w:val="20"/>
              </w:rPr>
            </w:pPr>
            <w:r w:rsidRPr="00133F4D">
              <w:rPr>
                <w:rFonts w:ascii="Arial" w:hAnsi="Arial" w:cs="Arial"/>
                <w:b/>
                <w:spacing w:val="6"/>
                <w:sz w:val="20"/>
                <w:szCs w:val="20"/>
              </w:rPr>
              <w:t>0</w:t>
            </w:r>
          </w:p>
        </w:tc>
        <w:tc>
          <w:tcPr>
            <w:tcW w:w="0" w:type="auto"/>
            <w:vAlign w:val="center"/>
          </w:tcPr>
          <w:p w:rsidR="0069222E" w:rsidRPr="00133F4D" w:rsidRDefault="00716E77" w:rsidP="00133F4D">
            <w:pPr>
              <w:pStyle w:val="ListParagraph"/>
              <w:spacing w:line="240" w:lineRule="auto"/>
              <w:ind w:left="0"/>
              <w:jc w:val="left"/>
              <w:rPr>
                <w:rFonts w:ascii="Arial" w:hAnsi="Arial" w:cs="Arial"/>
                <w:b/>
                <w:spacing w:val="6"/>
                <w:sz w:val="20"/>
                <w:szCs w:val="20"/>
              </w:rPr>
            </w:pPr>
            <w:r w:rsidRPr="00133F4D">
              <w:rPr>
                <w:rFonts w:ascii="Arial" w:hAnsi="Arial" w:cs="Arial"/>
                <w:b/>
                <w:spacing w:val="6"/>
                <w:sz w:val="20"/>
                <w:szCs w:val="20"/>
              </w:rPr>
              <w:t>100%</w:t>
            </w:r>
          </w:p>
        </w:tc>
      </w:tr>
    </w:tbl>
    <w:p w:rsidR="0069222E" w:rsidRPr="00133F4D" w:rsidRDefault="00BE5680" w:rsidP="00133F4D">
      <w:pPr>
        <w:spacing w:after="0" w:line="240" w:lineRule="auto"/>
        <w:jc w:val="left"/>
        <w:rPr>
          <w:rFonts w:ascii="Arial" w:hAnsi="Arial" w:cs="Arial"/>
          <w:i/>
          <w:spacing w:val="6"/>
          <w:sz w:val="20"/>
          <w:szCs w:val="20"/>
        </w:rPr>
      </w:pPr>
      <w:r w:rsidRPr="00133F4D">
        <w:rPr>
          <w:rFonts w:ascii="Arial" w:hAnsi="Arial" w:cs="Arial"/>
          <w:i/>
          <w:spacing w:val="6"/>
          <w:sz w:val="20"/>
          <w:szCs w:val="20"/>
        </w:rPr>
        <w:t>Source: Department of Sport, Arts and Culture (2022). First Quarter Performance Report.</w:t>
      </w:r>
    </w:p>
    <w:p w:rsidR="006F0F12" w:rsidRPr="00133F4D" w:rsidRDefault="006F0F12" w:rsidP="00133F4D">
      <w:pPr>
        <w:spacing w:after="0" w:line="240" w:lineRule="auto"/>
        <w:jc w:val="left"/>
        <w:rPr>
          <w:rFonts w:ascii="Arial" w:hAnsi="Arial" w:cs="Arial"/>
          <w:spacing w:val="6"/>
          <w:sz w:val="20"/>
          <w:szCs w:val="20"/>
          <w:highlight w:val="yellow"/>
        </w:rPr>
      </w:pPr>
      <w:bookmarkStart w:id="26" w:name="_Toc88519318"/>
    </w:p>
    <w:p w:rsidR="00521A4E" w:rsidRPr="00133F4D" w:rsidRDefault="000F7367" w:rsidP="00133F4D">
      <w:pPr>
        <w:pStyle w:val="Heading1"/>
        <w:spacing w:before="0" w:line="240" w:lineRule="auto"/>
        <w:ind w:left="567" w:hanging="567"/>
        <w:jc w:val="left"/>
        <w:rPr>
          <w:rFonts w:ascii="Arial" w:hAnsi="Arial" w:cs="Arial"/>
          <w:spacing w:val="6"/>
          <w:sz w:val="20"/>
          <w:szCs w:val="20"/>
        </w:rPr>
      </w:pPr>
      <w:r w:rsidRPr="00133F4D">
        <w:rPr>
          <w:rFonts w:ascii="Arial" w:hAnsi="Arial" w:cs="Arial"/>
          <w:spacing w:val="6"/>
          <w:sz w:val="20"/>
          <w:szCs w:val="20"/>
        </w:rPr>
        <w:t>PUBLIC ENTITIES AND SPORT AND RECREATION BODIES OF THE DEPARTMENT OF SPORT, ARTS AND CULTURE</w:t>
      </w:r>
    </w:p>
    <w:p w:rsidR="005176D1" w:rsidRPr="00133F4D" w:rsidRDefault="00521A4E" w:rsidP="00133F4D">
      <w:pPr>
        <w:pStyle w:val="Heading2"/>
        <w:numPr>
          <w:ilvl w:val="1"/>
          <w:numId w:val="15"/>
        </w:numPr>
        <w:spacing w:line="240" w:lineRule="auto"/>
        <w:jc w:val="left"/>
        <w:rPr>
          <w:rFonts w:ascii="Arial" w:hAnsi="Arial" w:cs="Arial"/>
          <w:sz w:val="20"/>
          <w:szCs w:val="20"/>
        </w:rPr>
      </w:pPr>
      <w:r w:rsidRPr="00133F4D">
        <w:rPr>
          <w:rFonts w:ascii="Arial" w:hAnsi="Arial" w:cs="Arial"/>
          <w:sz w:val="20"/>
          <w:szCs w:val="20"/>
        </w:rPr>
        <w:t>South African Hockey Association</w:t>
      </w:r>
    </w:p>
    <w:p w:rsidR="00E062C6" w:rsidRPr="00133F4D" w:rsidRDefault="00655DE9"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South African Hockey Association (SAHA) </w:t>
      </w:r>
      <w:r w:rsidR="00EB455C" w:rsidRPr="00133F4D">
        <w:rPr>
          <w:rFonts w:ascii="Arial" w:hAnsi="Arial" w:cs="Arial"/>
          <w:spacing w:val="6"/>
          <w:sz w:val="20"/>
          <w:szCs w:val="20"/>
        </w:rPr>
        <w:t>is a national federation responsible for the implementation of sport programmes and projects.</w:t>
      </w:r>
    </w:p>
    <w:p w:rsidR="00914410" w:rsidRPr="00133F4D" w:rsidRDefault="00914410" w:rsidP="00133F4D">
      <w:pPr>
        <w:pStyle w:val="ListParagraph"/>
        <w:numPr>
          <w:ilvl w:val="2"/>
          <w:numId w:val="12"/>
        </w:numPr>
        <w:spacing w:after="0" w:line="240" w:lineRule="auto"/>
        <w:jc w:val="left"/>
        <w:rPr>
          <w:rFonts w:ascii="Arial" w:hAnsi="Arial" w:cs="Arial"/>
          <w:b/>
          <w:spacing w:val="6"/>
          <w:sz w:val="20"/>
          <w:szCs w:val="20"/>
        </w:rPr>
      </w:pPr>
      <w:r w:rsidRPr="00133F4D">
        <w:rPr>
          <w:rFonts w:ascii="Arial" w:hAnsi="Arial" w:cs="Arial"/>
          <w:b/>
          <w:spacing w:val="6"/>
          <w:sz w:val="20"/>
          <w:szCs w:val="20"/>
        </w:rPr>
        <w:t>Overview and assessment of SAHA’s 2021/22 service delivery performance</w:t>
      </w:r>
    </w:p>
    <w:p w:rsidR="00914410" w:rsidRPr="00133F4D" w:rsidRDefault="00BB2F3F"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SAHA’s achievements for the 2021/22 financial year include:</w:t>
      </w:r>
    </w:p>
    <w:p w:rsidR="00BB2F3F" w:rsidRPr="00133F4D" w:rsidRDefault="00BB2F3F" w:rsidP="00133F4D">
      <w:pPr>
        <w:pStyle w:val="ListParagraph"/>
        <w:numPr>
          <w:ilvl w:val="0"/>
          <w:numId w:val="35"/>
        </w:numPr>
        <w:spacing w:after="0" w:line="240" w:lineRule="auto"/>
        <w:jc w:val="left"/>
        <w:rPr>
          <w:rFonts w:ascii="Arial" w:hAnsi="Arial" w:cs="Arial"/>
          <w:spacing w:val="6"/>
          <w:sz w:val="20"/>
          <w:szCs w:val="20"/>
        </w:rPr>
      </w:pPr>
      <w:r w:rsidRPr="00133F4D">
        <w:rPr>
          <w:rFonts w:ascii="Arial" w:hAnsi="Arial" w:cs="Arial"/>
          <w:spacing w:val="6"/>
          <w:sz w:val="20"/>
          <w:szCs w:val="20"/>
        </w:rPr>
        <w:t>Establishment of FIH (International Hockey Federation) endorsed SAHA academy online</w:t>
      </w:r>
      <w:r w:rsidR="00AC5827" w:rsidRPr="00133F4D">
        <w:rPr>
          <w:rFonts w:ascii="Arial" w:hAnsi="Arial" w:cs="Arial"/>
          <w:spacing w:val="6"/>
          <w:sz w:val="20"/>
          <w:szCs w:val="20"/>
        </w:rPr>
        <w:t>.</w:t>
      </w:r>
    </w:p>
    <w:p w:rsidR="00BB2F3F" w:rsidRPr="00133F4D" w:rsidRDefault="00BB2F3F" w:rsidP="00133F4D">
      <w:pPr>
        <w:pStyle w:val="ListParagraph"/>
        <w:numPr>
          <w:ilvl w:val="0"/>
          <w:numId w:val="35"/>
        </w:numPr>
        <w:spacing w:after="0" w:line="240" w:lineRule="auto"/>
        <w:jc w:val="left"/>
        <w:rPr>
          <w:rFonts w:ascii="Arial" w:hAnsi="Arial" w:cs="Arial"/>
          <w:spacing w:val="6"/>
          <w:sz w:val="20"/>
          <w:szCs w:val="20"/>
        </w:rPr>
      </w:pPr>
      <w:r w:rsidRPr="00133F4D">
        <w:rPr>
          <w:rFonts w:ascii="Arial" w:hAnsi="Arial" w:cs="Arial"/>
          <w:spacing w:val="6"/>
          <w:sz w:val="20"/>
          <w:szCs w:val="20"/>
        </w:rPr>
        <w:t>Continued gro</w:t>
      </w:r>
      <w:r w:rsidR="00AC5827" w:rsidRPr="00133F4D">
        <w:rPr>
          <w:rFonts w:ascii="Arial" w:hAnsi="Arial" w:cs="Arial"/>
          <w:spacing w:val="6"/>
          <w:sz w:val="20"/>
          <w:szCs w:val="20"/>
        </w:rPr>
        <w:t xml:space="preserve">wth of modified hockey in over </w:t>
      </w:r>
      <w:r w:rsidRPr="00133F4D">
        <w:rPr>
          <w:rFonts w:ascii="Arial" w:hAnsi="Arial" w:cs="Arial"/>
          <w:spacing w:val="6"/>
          <w:sz w:val="20"/>
          <w:szCs w:val="20"/>
        </w:rPr>
        <w:t>30 districts</w:t>
      </w:r>
      <w:r w:rsidR="00AC5827" w:rsidRPr="00133F4D">
        <w:rPr>
          <w:rFonts w:ascii="Arial" w:hAnsi="Arial" w:cs="Arial"/>
          <w:spacing w:val="6"/>
          <w:sz w:val="20"/>
          <w:szCs w:val="20"/>
        </w:rPr>
        <w:t>.</w:t>
      </w:r>
    </w:p>
    <w:p w:rsidR="00BB2F3F" w:rsidRPr="00133F4D" w:rsidRDefault="00BB2F3F" w:rsidP="00133F4D">
      <w:pPr>
        <w:pStyle w:val="ListParagraph"/>
        <w:numPr>
          <w:ilvl w:val="0"/>
          <w:numId w:val="35"/>
        </w:numPr>
        <w:spacing w:after="0" w:line="240" w:lineRule="auto"/>
        <w:jc w:val="left"/>
        <w:rPr>
          <w:rFonts w:ascii="Arial" w:hAnsi="Arial" w:cs="Arial"/>
          <w:spacing w:val="6"/>
          <w:sz w:val="20"/>
          <w:szCs w:val="20"/>
        </w:rPr>
      </w:pPr>
      <w:r w:rsidRPr="00133F4D">
        <w:rPr>
          <w:rFonts w:ascii="Arial" w:hAnsi="Arial" w:cs="Arial"/>
          <w:spacing w:val="6"/>
          <w:sz w:val="20"/>
          <w:szCs w:val="20"/>
        </w:rPr>
        <w:t>Hosting of the 2021 Junior World Cup that took place in North West</w:t>
      </w:r>
      <w:r w:rsidR="00AC5827" w:rsidRPr="00133F4D">
        <w:rPr>
          <w:rFonts w:ascii="Arial" w:hAnsi="Arial" w:cs="Arial"/>
          <w:spacing w:val="6"/>
          <w:sz w:val="20"/>
          <w:szCs w:val="20"/>
        </w:rPr>
        <w:t>.</w:t>
      </w:r>
    </w:p>
    <w:p w:rsidR="00AC5827" w:rsidRPr="00133F4D" w:rsidRDefault="00AC5827" w:rsidP="00133F4D">
      <w:pPr>
        <w:spacing w:after="0" w:line="240" w:lineRule="auto"/>
        <w:jc w:val="left"/>
        <w:rPr>
          <w:rFonts w:ascii="Arial" w:hAnsi="Arial" w:cs="Arial"/>
          <w:spacing w:val="6"/>
          <w:sz w:val="20"/>
          <w:szCs w:val="20"/>
        </w:rPr>
      </w:pPr>
    </w:p>
    <w:p w:rsidR="009A15F1" w:rsidRPr="00133F4D" w:rsidRDefault="009A15F1"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South African Hockey participated in a host of international events including the </w:t>
      </w:r>
      <w:r w:rsidR="008F523F" w:rsidRPr="00133F4D">
        <w:rPr>
          <w:rFonts w:ascii="Arial" w:hAnsi="Arial" w:cs="Arial"/>
          <w:spacing w:val="6"/>
          <w:sz w:val="20"/>
          <w:szCs w:val="20"/>
        </w:rPr>
        <w:t xml:space="preserve">Tokyo </w:t>
      </w:r>
      <w:r w:rsidRPr="00133F4D">
        <w:rPr>
          <w:rFonts w:ascii="Arial" w:hAnsi="Arial" w:cs="Arial"/>
          <w:spacing w:val="6"/>
          <w:sz w:val="20"/>
          <w:szCs w:val="20"/>
        </w:rPr>
        <w:t>Olympic Games in Tokyo, Japan; the Africa Cup in Ghana</w:t>
      </w:r>
      <w:r w:rsidR="00495B74" w:rsidRPr="00133F4D">
        <w:rPr>
          <w:rFonts w:ascii="Arial" w:hAnsi="Arial" w:cs="Arial"/>
          <w:spacing w:val="6"/>
          <w:sz w:val="20"/>
          <w:szCs w:val="20"/>
        </w:rPr>
        <w:t>; and the World Cup in Argentina</w:t>
      </w:r>
      <w:r w:rsidR="008F523F" w:rsidRPr="00133F4D">
        <w:rPr>
          <w:rFonts w:ascii="Arial" w:hAnsi="Arial" w:cs="Arial"/>
          <w:spacing w:val="6"/>
          <w:sz w:val="20"/>
          <w:szCs w:val="20"/>
        </w:rPr>
        <w:t>.</w:t>
      </w:r>
      <w:r w:rsidR="00CA1B40" w:rsidRPr="00133F4D">
        <w:rPr>
          <w:rFonts w:ascii="Arial" w:hAnsi="Arial" w:cs="Arial"/>
          <w:spacing w:val="6"/>
          <w:sz w:val="20"/>
          <w:szCs w:val="20"/>
        </w:rPr>
        <w:t xml:space="preserve"> </w:t>
      </w:r>
      <w:r w:rsidR="008A6215" w:rsidRPr="00133F4D">
        <w:rPr>
          <w:rFonts w:ascii="Arial" w:hAnsi="Arial" w:cs="Arial"/>
          <w:spacing w:val="6"/>
          <w:sz w:val="20"/>
          <w:szCs w:val="20"/>
        </w:rPr>
        <w:t>In relation to the Eminent Persons Group (EPG) on Transformation in Sport and its objectives, the men’s and women’s national team demographics continue to grow. For the women’s team, the 2019 demographic representation was at 44%. This has progressed to 50%, despite the restrictions put in place during the series of COVID-19 lockdowns. Similarly, for the men’s team</w:t>
      </w:r>
      <w:r w:rsidR="00E6502E" w:rsidRPr="00133F4D">
        <w:rPr>
          <w:rFonts w:ascii="Arial" w:hAnsi="Arial" w:cs="Arial"/>
          <w:spacing w:val="6"/>
          <w:sz w:val="20"/>
          <w:szCs w:val="20"/>
        </w:rPr>
        <w:t>, the 2019 demographic representation was at 46 % compared to the 2022 target of 50% which is being achieved.</w:t>
      </w:r>
      <w:r w:rsidR="009F732B" w:rsidRPr="00133F4D">
        <w:rPr>
          <w:rFonts w:ascii="Arial" w:hAnsi="Arial" w:cs="Arial"/>
          <w:spacing w:val="6"/>
          <w:sz w:val="20"/>
          <w:szCs w:val="20"/>
        </w:rPr>
        <w:t xml:space="preserve"> </w:t>
      </w:r>
    </w:p>
    <w:p w:rsidR="009F732B" w:rsidRPr="00133F4D" w:rsidRDefault="009F732B" w:rsidP="00133F4D">
      <w:pPr>
        <w:spacing w:after="0" w:line="240" w:lineRule="auto"/>
        <w:jc w:val="left"/>
        <w:rPr>
          <w:rFonts w:ascii="Arial" w:hAnsi="Arial" w:cs="Arial"/>
          <w:spacing w:val="6"/>
          <w:sz w:val="20"/>
          <w:szCs w:val="20"/>
        </w:rPr>
      </w:pPr>
    </w:p>
    <w:p w:rsidR="00914410" w:rsidRPr="00133F4D" w:rsidRDefault="00914410" w:rsidP="00133F4D">
      <w:pPr>
        <w:pStyle w:val="ListParagraph"/>
        <w:numPr>
          <w:ilvl w:val="2"/>
          <w:numId w:val="12"/>
        </w:numPr>
        <w:spacing w:after="0" w:line="240" w:lineRule="auto"/>
        <w:jc w:val="left"/>
        <w:rPr>
          <w:rFonts w:ascii="Arial" w:hAnsi="Arial" w:cs="Arial"/>
          <w:b/>
          <w:spacing w:val="6"/>
          <w:sz w:val="20"/>
          <w:szCs w:val="20"/>
        </w:rPr>
      </w:pPr>
      <w:r w:rsidRPr="00133F4D">
        <w:rPr>
          <w:rFonts w:ascii="Arial" w:hAnsi="Arial" w:cs="Arial"/>
          <w:b/>
          <w:spacing w:val="6"/>
          <w:sz w:val="20"/>
          <w:szCs w:val="20"/>
        </w:rPr>
        <w:t>Overview and assessment of SAHA’s 2021/22 budget and expenditure</w:t>
      </w:r>
    </w:p>
    <w:p w:rsidR="00B8116F" w:rsidRPr="00133F4D" w:rsidRDefault="00914410"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For the 2021/22</w:t>
      </w:r>
      <w:r w:rsidR="0040709A" w:rsidRPr="00133F4D">
        <w:rPr>
          <w:rFonts w:ascii="Arial" w:hAnsi="Arial" w:cs="Arial"/>
          <w:spacing w:val="6"/>
          <w:sz w:val="20"/>
          <w:szCs w:val="20"/>
        </w:rPr>
        <w:t xml:space="preserve"> financial year, an amount of R4 million was transferred to SAHA</w:t>
      </w:r>
      <w:r w:rsidR="00C94440" w:rsidRPr="00133F4D">
        <w:rPr>
          <w:rFonts w:ascii="Arial" w:hAnsi="Arial" w:cs="Arial"/>
          <w:spacing w:val="6"/>
          <w:sz w:val="20"/>
          <w:szCs w:val="20"/>
        </w:rPr>
        <w:t xml:space="preserve"> and the </w:t>
      </w:r>
      <w:r w:rsidR="005A1B99" w:rsidRPr="00133F4D">
        <w:rPr>
          <w:rFonts w:ascii="Arial" w:hAnsi="Arial" w:cs="Arial"/>
          <w:spacing w:val="6"/>
          <w:sz w:val="20"/>
          <w:szCs w:val="20"/>
        </w:rPr>
        <w:t xml:space="preserve">full amount was utilised. </w:t>
      </w:r>
      <w:r w:rsidR="0040709A" w:rsidRPr="00133F4D">
        <w:rPr>
          <w:rFonts w:ascii="Arial" w:hAnsi="Arial" w:cs="Arial"/>
          <w:spacing w:val="6"/>
          <w:sz w:val="20"/>
          <w:szCs w:val="20"/>
        </w:rPr>
        <w:t xml:space="preserve">The support was earmarked for the following priority areas: modified </w:t>
      </w:r>
      <w:r w:rsidR="00BB2F3F" w:rsidRPr="00133F4D">
        <w:rPr>
          <w:rFonts w:ascii="Arial" w:hAnsi="Arial" w:cs="Arial"/>
          <w:spacing w:val="6"/>
          <w:sz w:val="20"/>
          <w:szCs w:val="20"/>
        </w:rPr>
        <w:t>schools’</w:t>
      </w:r>
      <w:r w:rsidR="0040709A" w:rsidRPr="00133F4D">
        <w:rPr>
          <w:rFonts w:ascii="Arial" w:hAnsi="Arial" w:cs="Arial"/>
          <w:spacing w:val="6"/>
          <w:sz w:val="20"/>
          <w:szCs w:val="20"/>
        </w:rPr>
        <w:t xml:space="preserve"> hockey; modified junior clubs; high performance under-21 team; Commonwealth Games preparation; and capacity building.</w:t>
      </w:r>
      <w:r w:rsidR="00941F25" w:rsidRPr="00133F4D">
        <w:rPr>
          <w:rFonts w:ascii="Arial" w:hAnsi="Arial" w:cs="Arial"/>
          <w:spacing w:val="6"/>
          <w:sz w:val="20"/>
          <w:szCs w:val="20"/>
        </w:rPr>
        <w:t xml:space="preserve"> At the time of the presentation to the Committee, </w:t>
      </w:r>
      <w:r w:rsidR="00F963E2" w:rsidRPr="00133F4D">
        <w:rPr>
          <w:rFonts w:ascii="Arial" w:hAnsi="Arial" w:cs="Arial"/>
          <w:spacing w:val="6"/>
          <w:sz w:val="20"/>
          <w:szCs w:val="20"/>
        </w:rPr>
        <w:t xml:space="preserve">SAHA had not yet adopted its annual financial statements and annual report as this is planned for the Annual General Meeting (AGM) in December 2022. </w:t>
      </w:r>
      <w:r w:rsidR="00C029CF" w:rsidRPr="00133F4D">
        <w:rPr>
          <w:rFonts w:ascii="Arial" w:hAnsi="Arial" w:cs="Arial"/>
          <w:spacing w:val="6"/>
          <w:sz w:val="20"/>
          <w:szCs w:val="20"/>
        </w:rPr>
        <w:t>The late scheduling of the AGM affects the DSAC transfer as the Department can only transfer funding once all compliance documents have been submitted.</w:t>
      </w:r>
    </w:p>
    <w:p w:rsidR="00B8116F" w:rsidRPr="00133F4D" w:rsidRDefault="00B8116F" w:rsidP="00133F4D">
      <w:pPr>
        <w:spacing w:after="0" w:line="240" w:lineRule="auto"/>
        <w:jc w:val="left"/>
        <w:rPr>
          <w:rFonts w:ascii="Arial" w:hAnsi="Arial" w:cs="Arial"/>
          <w:spacing w:val="6"/>
          <w:sz w:val="20"/>
          <w:szCs w:val="20"/>
        </w:rPr>
      </w:pPr>
    </w:p>
    <w:p w:rsidR="00914410" w:rsidRPr="00133F4D" w:rsidRDefault="00C029CF"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Nonetheless, a draft financial report presented to the Committee indicated that SAHA’s total revenue amounted to R14.1 million which, above the Government grants of R4.6 million, includes R2.5 million received through </w:t>
      </w:r>
      <w:r w:rsidR="00185D63" w:rsidRPr="00133F4D">
        <w:rPr>
          <w:rFonts w:ascii="Arial" w:hAnsi="Arial" w:cs="Arial"/>
          <w:spacing w:val="6"/>
          <w:sz w:val="20"/>
          <w:szCs w:val="20"/>
        </w:rPr>
        <w:t>affiliation</w:t>
      </w:r>
      <w:r w:rsidRPr="00133F4D">
        <w:rPr>
          <w:rFonts w:ascii="Arial" w:hAnsi="Arial" w:cs="Arial"/>
          <w:spacing w:val="6"/>
          <w:sz w:val="20"/>
          <w:szCs w:val="20"/>
        </w:rPr>
        <w:t xml:space="preserve"> fees; R2.1 million received through sponsorships; </w:t>
      </w:r>
      <w:r w:rsidR="00A24207" w:rsidRPr="00133F4D">
        <w:rPr>
          <w:rFonts w:ascii="Arial" w:hAnsi="Arial" w:cs="Arial"/>
          <w:spacing w:val="6"/>
          <w:sz w:val="20"/>
          <w:szCs w:val="20"/>
        </w:rPr>
        <w:t>and R2.4 million received via international events.</w:t>
      </w:r>
      <w:r w:rsidR="00185D63" w:rsidRPr="00133F4D">
        <w:rPr>
          <w:rFonts w:ascii="Arial" w:hAnsi="Arial" w:cs="Arial"/>
          <w:spacing w:val="6"/>
          <w:sz w:val="20"/>
          <w:szCs w:val="20"/>
        </w:rPr>
        <w:t xml:space="preserve"> </w:t>
      </w:r>
      <w:r w:rsidR="006459CE" w:rsidRPr="00133F4D">
        <w:rPr>
          <w:rFonts w:ascii="Arial" w:hAnsi="Arial" w:cs="Arial"/>
          <w:spacing w:val="6"/>
          <w:sz w:val="20"/>
          <w:szCs w:val="20"/>
        </w:rPr>
        <w:t>SAHA’s operating expenses amounted to R13.7 million in 2021/22, which includes R7.5 million spent on Events and Camps; R1.4 million on Administration and Management Fees; and R1.9 million on Support and Workshops.</w:t>
      </w:r>
    </w:p>
    <w:p w:rsidR="00546327" w:rsidRPr="00133F4D" w:rsidRDefault="00546327" w:rsidP="00133F4D">
      <w:pPr>
        <w:spacing w:after="0" w:line="240" w:lineRule="auto"/>
        <w:jc w:val="left"/>
        <w:rPr>
          <w:rFonts w:ascii="Arial" w:hAnsi="Arial" w:cs="Arial"/>
          <w:spacing w:val="6"/>
          <w:sz w:val="20"/>
          <w:szCs w:val="20"/>
        </w:rPr>
      </w:pPr>
    </w:p>
    <w:p w:rsidR="009573CE" w:rsidRPr="00133F4D" w:rsidRDefault="004809B1" w:rsidP="00133F4D">
      <w:pPr>
        <w:pStyle w:val="Heading2"/>
        <w:numPr>
          <w:ilvl w:val="1"/>
          <w:numId w:val="15"/>
        </w:numPr>
        <w:spacing w:line="240" w:lineRule="auto"/>
        <w:jc w:val="left"/>
        <w:rPr>
          <w:rFonts w:ascii="Arial" w:hAnsi="Arial" w:cs="Arial"/>
          <w:sz w:val="20"/>
          <w:szCs w:val="20"/>
        </w:rPr>
      </w:pPr>
      <w:r w:rsidRPr="00133F4D">
        <w:rPr>
          <w:rFonts w:ascii="Arial" w:hAnsi="Arial" w:cs="Arial"/>
          <w:sz w:val="20"/>
          <w:szCs w:val="20"/>
        </w:rPr>
        <w:t>Afrikaanse Taalmuseum en –Monument</w:t>
      </w:r>
    </w:p>
    <w:p w:rsidR="00F4706E" w:rsidRPr="00133F4D" w:rsidRDefault="00873084"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Afrikaanse Taalmuseum en -monument (ATM), also known as the Afrikaans Language Museum and Monument, is a schedule 3A public entity established in terms of the Cultural Institutions Act (No. 25 of 1999) as well as the National Heritage Resources Act (No. 25 of 1999) and receives annual operational transfers from DSAC. </w:t>
      </w:r>
      <w:r w:rsidR="00FB52A1" w:rsidRPr="00133F4D">
        <w:rPr>
          <w:rFonts w:ascii="Arial" w:hAnsi="Arial" w:cs="Arial"/>
          <w:spacing w:val="6"/>
          <w:sz w:val="20"/>
          <w:szCs w:val="20"/>
        </w:rPr>
        <w:t>The ATM is mandated to:</w:t>
      </w:r>
    </w:p>
    <w:p w:rsidR="00536262" w:rsidRPr="00133F4D" w:rsidRDefault="009B3D16" w:rsidP="00133F4D">
      <w:pPr>
        <w:numPr>
          <w:ilvl w:val="0"/>
          <w:numId w:val="31"/>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lang w:val="en-GB"/>
        </w:rPr>
        <w:t>m</w:t>
      </w:r>
      <w:r w:rsidR="00536262" w:rsidRPr="00133F4D">
        <w:rPr>
          <w:rFonts w:ascii="Arial" w:hAnsi="Arial" w:cs="Arial"/>
          <w:spacing w:val="6"/>
          <w:sz w:val="20"/>
          <w:szCs w:val="20"/>
          <w:lang w:val="en-GB"/>
        </w:rPr>
        <w:t>aintain the ATM’s cultural-historical buildings and heritage sites and the heritage of Afrikaans in such a manner that nation-building and social cohesion will be achieved;</w:t>
      </w:r>
    </w:p>
    <w:p w:rsidR="00536262" w:rsidRPr="00133F4D" w:rsidRDefault="00536262" w:rsidP="00133F4D">
      <w:pPr>
        <w:numPr>
          <w:ilvl w:val="0"/>
          <w:numId w:val="31"/>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lang w:val="en-GB"/>
        </w:rPr>
        <w:t>collect and conserve, conduct research on, and portray, through exhibitions, the origin, development, benefit and expansion of Afrikaans, with a special focus on inclusiveness to address historical imbalances; and</w:t>
      </w:r>
    </w:p>
    <w:p w:rsidR="00536262" w:rsidRPr="00133F4D" w:rsidRDefault="00536262" w:rsidP="00133F4D">
      <w:pPr>
        <w:numPr>
          <w:ilvl w:val="0"/>
          <w:numId w:val="31"/>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lang w:val="en-GB"/>
        </w:rPr>
        <w:t xml:space="preserve">promote and stimulate Afrikaans nationwide at all levels of society, especially in disadvantaged communities, by means of lectures and publications, educational programmes, guided tours and cultural activities. </w:t>
      </w:r>
    </w:p>
    <w:p w:rsidR="00FB52A1" w:rsidRPr="00133F4D" w:rsidRDefault="00FB52A1" w:rsidP="00133F4D">
      <w:pPr>
        <w:spacing w:after="0" w:line="240" w:lineRule="auto"/>
        <w:jc w:val="left"/>
        <w:rPr>
          <w:rFonts w:ascii="Arial" w:hAnsi="Arial" w:cs="Arial"/>
          <w:spacing w:val="6"/>
          <w:sz w:val="20"/>
          <w:szCs w:val="20"/>
        </w:rPr>
      </w:pPr>
    </w:p>
    <w:p w:rsidR="00F4706E" w:rsidRPr="00133F4D" w:rsidRDefault="00F4706E" w:rsidP="00133F4D">
      <w:pPr>
        <w:pStyle w:val="ListParagraph"/>
        <w:numPr>
          <w:ilvl w:val="2"/>
          <w:numId w:val="42"/>
        </w:numPr>
        <w:spacing w:after="0" w:line="240" w:lineRule="auto"/>
        <w:jc w:val="left"/>
        <w:rPr>
          <w:rFonts w:ascii="Arial" w:hAnsi="Arial" w:cs="Arial"/>
          <w:b/>
          <w:spacing w:val="6"/>
          <w:sz w:val="20"/>
          <w:szCs w:val="20"/>
        </w:rPr>
      </w:pPr>
      <w:r w:rsidRPr="00133F4D">
        <w:rPr>
          <w:rFonts w:ascii="Arial" w:hAnsi="Arial" w:cs="Arial"/>
          <w:b/>
          <w:spacing w:val="6"/>
          <w:sz w:val="20"/>
          <w:szCs w:val="20"/>
        </w:rPr>
        <w:lastRenderedPageBreak/>
        <w:t>Overview and assessment of the ATM’s 2021/22</w:t>
      </w:r>
      <w:r w:rsidR="00CD2A04" w:rsidRPr="00133F4D">
        <w:rPr>
          <w:rFonts w:ascii="Arial" w:hAnsi="Arial" w:cs="Arial"/>
          <w:b/>
          <w:spacing w:val="6"/>
          <w:sz w:val="20"/>
          <w:szCs w:val="20"/>
        </w:rPr>
        <w:t xml:space="preserve"> service delivery performance</w:t>
      </w:r>
    </w:p>
    <w:p w:rsidR="00896328" w:rsidRPr="00133F4D" w:rsidRDefault="00896328"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During the year under review, the ATM had three budget programmes, Administration; Business Ventures; and Public Engagement.</w:t>
      </w:r>
      <w:r w:rsidR="00C523A1" w:rsidRPr="00133F4D">
        <w:rPr>
          <w:rFonts w:ascii="Arial" w:hAnsi="Arial" w:cs="Arial"/>
          <w:spacing w:val="6"/>
          <w:sz w:val="20"/>
          <w:szCs w:val="20"/>
        </w:rPr>
        <w:t xml:space="preserve"> The entity achieved 89% against the 2021/22 annual performance plan targets.</w:t>
      </w:r>
    </w:p>
    <w:p w:rsidR="000A02E7" w:rsidRPr="00133F4D" w:rsidRDefault="000A02E7" w:rsidP="00133F4D">
      <w:pPr>
        <w:spacing w:after="0" w:line="240" w:lineRule="auto"/>
        <w:jc w:val="left"/>
        <w:rPr>
          <w:rFonts w:ascii="Arial" w:hAnsi="Arial" w:cs="Arial"/>
          <w:spacing w:val="6"/>
          <w:sz w:val="20"/>
          <w:szCs w:val="20"/>
        </w:rPr>
      </w:pPr>
    </w:p>
    <w:p w:rsidR="00763D88" w:rsidRPr="00133F4D" w:rsidRDefault="00763D88"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1: Administration</w:t>
      </w:r>
    </w:p>
    <w:p w:rsidR="00C6795F" w:rsidRPr="00133F4D" w:rsidRDefault="00C6795F"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Selected key achievements</w:t>
      </w:r>
    </w:p>
    <w:p w:rsidR="00246A73" w:rsidRPr="00133F4D" w:rsidRDefault="003E228C" w:rsidP="00133F4D">
      <w:pPr>
        <w:pStyle w:val="ListParagraph"/>
        <w:numPr>
          <w:ilvl w:val="0"/>
          <w:numId w:val="30"/>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rPr>
        <w:t>The entity exceeded its planned target of attracting 34 000 visitors by 2 586.</w:t>
      </w:r>
      <w:r w:rsidR="004D7C93" w:rsidRPr="00133F4D">
        <w:rPr>
          <w:rFonts w:ascii="Arial" w:hAnsi="Arial" w:cs="Arial"/>
          <w:spacing w:val="6"/>
          <w:sz w:val="20"/>
          <w:szCs w:val="20"/>
        </w:rPr>
        <w:t>While this number is not on par with the visitor numbers pre-COVID-19 (64 899 in 2019/20), it is an improvement from the 16 910 visitors to the ATM in 2020/21.</w:t>
      </w:r>
    </w:p>
    <w:p w:rsidR="000E0A3C" w:rsidRPr="00133F4D" w:rsidRDefault="000E0A3C" w:rsidP="00133F4D">
      <w:pPr>
        <w:pStyle w:val="ListParagraph"/>
        <w:numPr>
          <w:ilvl w:val="0"/>
          <w:numId w:val="30"/>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rPr>
        <w:t>A range of property management and capital works projects were completed, which relate to the upgrade and general improvement of the sites managed by the ATM.</w:t>
      </w:r>
    </w:p>
    <w:p w:rsidR="00763D88" w:rsidRPr="00133F4D" w:rsidRDefault="00763D88"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Targets not achieved</w:t>
      </w:r>
    </w:p>
    <w:p w:rsidR="007F3F09" w:rsidRPr="00133F4D" w:rsidRDefault="007F3F09" w:rsidP="00133F4D">
      <w:pPr>
        <w:pStyle w:val="ListParagraph"/>
        <w:numPr>
          <w:ilvl w:val="0"/>
          <w:numId w:val="30"/>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rPr>
        <w:t>The e</w:t>
      </w:r>
      <w:r w:rsidR="0069086C" w:rsidRPr="00133F4D">
        <w:rPr>
          <w:rFonts w:ascii="Arial" w:hAnsi="Arial" w:cs="Arial"/>
          <w:spacing w:val="6"/>
          <w:sz w:val="20"/>
          <w:szCs w:val="20"/>
        </w:rPr>
        <w:t>ntity planned to provide six</w:t>
      </w:r>
      <w:r w:rsidRPr="00133F4D">
        <w:rPr>
          <w:rFonts w:ascii="Arial" w:hAnsi="Arial" w:cs="Arial"/>
          <w:spacing w:val="6"/>
          <w:sz w:val="20"/>
          <w:szCs w:val="20"/>
        </w:rPr>
        <w:t xml:space="preserve"> training interventions for its staff</w:t>
      </w:r>
      <w:r w:rsidR="0069086C" w:rsidRPr="00133F4D">
        <w:rPr>
          <w:rFonts w:ascii="Arial" w:hAnsi="Arial" w:cs="Arial"/>
          <w:spacing w:val="6"/>
          <w:sz w:val="20"/>
          <w:szCs w:val="20"/>
        </w:rPr>
        <w:t xml:space="preserve">, but only implemented four </w:t>
      </w:r>
      <w:r w:rsidRPr="00133F4D">
        <w:rPr>
          <w:rFonts w:ascii="Arial" w:hAnsi="Arial" w:cs="Arial"/>
          <w:spacing w:val="6"/>
          <w:sz w:val="20"/>
          <w:szCs w:val="20"/>
        </w:rPr>
        <w:t>due to difficulties experienced in scheduling the training.</w:t>
      </w:r>
    </w:p>
    <w:p w:rsidR="003349BD" w:rsidRPr="00133F4D" w:rsidRDefault="007F3F09" w:rsidP="00133F4D">
      <w:pPr>
        <w:pStyle w:val="ListParagraph"/>
        <w:numPr>
          <w:ilvl w:val="0"/>
          <w:numId w:val="30"/>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rPr>
        <w:t>As it shifted its focus to the review of policies, the ATM failed to achieve the targ</w:t>
      </w:r>
      <w:r w:rsidR="0069086C" w:rsidRPr="00133F4D">
        <w:rPr>
          <w:rFonts w:ascii="Arial" w:hAnsi="Arial" w:cs="Arial"/>
          <w:spacing w:val="6"/>
          <w:sz w:val="20"/>
          <w:szCs w:val="20"/>
        </w:rPr>
        <w:t>et that sought to update one</w:t>
      </w:r>
      <w:r w:rsidRPr="00133F4D">
        <w:rPr>
          <w:rFonts w:ascii="Arial" w:hAnsi="Arial" w:cs="Arial"/>
          <w:spacing w:val="6"/>
          <w:sz w:val="20"/>
          <w:szCs w:val="20"/>
        </w:rPr>
        <w:t xml:space="preserve"> financial management system and procedures.</w:t>
      </w:r>
    </w:p>
    <w:p w:rsidR="003349BD" w:rsidRPr="00133F4D" w:rsidRDefault="003349B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2: Business Ventures</w:t>
      </w:r>
    </w:p>
    <w:p w:rsidR="00C6795F" w:rsidRPr="00133F4D" w:rsidRDefault="00C6795F"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Selected key achievements</w:t>
      </w:r>
    </w:p>
    <w:p w:rsidR="00F73FE6" w:rsidRPr="00133F4D" w:rsidRDefault="00F73FE6" w:rsidP="00133F4D">
      <w:pPr>
        <w:pStyle w:val="ListParagraph"/>
        <w:numPr>
          <w:ilvl w:val="0"/>
          <w:numId w:val="30"/>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rPr>
        <w:t>The ATM was able to host all its skills development course, such as photography and bookbinding, that it had planned for the financial year.</w:t>
      </w:r>
    </w:p>
    <w:p w:rsidR="00F73FE6" w:rsidRPr="00133F4D" w:rsidRDefault="00F73FE6" w:rsidP="00133F4D">
      <w:pPr>
        <w:pStyle w:val="ListParagraph"/>
        <w:numPr>
          <w:ilvl w:val="0"/>
          <w:numId w:val="30"/>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rPr>
        <w:t>The ATM offered various public programmes focused on adults and youths during the financial year.</w:t>
      </w:r>
    </w:p>
    <w:p w:rsidR="00F73FE6" w:rsidRPr="00133F4D" w:rsidRDefault="00F73FE6" w:rsidP="00133F4D">
      <w:pPr>
        <w:pStyle w:val="ListParagraph"/>
        <w:numPr>
          <w:ilvl w:val="0"/>
          <w:numId w:val="30"/>
        </w:numPr>
        <w:spacing w:after="0" w:line="240" w:lineRule="auto"/>
        <w:ind w:left="714" w:hanging="357"/>
        <w:jc w:val="left"/>
        <w:rPr>
          <w:rFonts w:ascii="Arial" w:hAnsi="Arial" w:cs="Arial"/>
          <w:spacing w:val="6"/>
          <w:sz w:val="20"/>
          <w:szCs w:val="20"/>
        </w:rPr>
      </w:pPr>
      <w:r w:rsidRPr="00133F4D">
        <w:rPr>
          <w:rFonts w:ascii="Arial" w:hAnsi="Arial" w:cs="Arial"/>
          <w:spacing w:val="6"/>
          <w:sz w:val="20"/>
          <w:szCs w:val="20"/>
        </w:rPr>
        <w:t>The ATM is digitising some of its collection, this project will be a long-term one with various phases and over succeeding financial years due to the complexity of digitising some of the rarer items.</w:t>
      </w:r>
    </w:p>
    <w:p w:rsidR="00100211" w:rsidRPr="00133F4D" w:rsidRDefault="00100211"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Targets not achieved</w:t>
      </w:r>
    </w:p>
    <w:p w:rsidR="00100211" w:rsidRPr="00133F4D" w:rsidRDefault="004D3B9C"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entity planned </w:t>
      </w:r>
      <w:r w:rsidR="00536262" w:rsidRPr="00133F4D">
        <w:rPr>
          <w:rFonts w:ascii="Arial" w:hAnsi="Arial" w:cs="Arial"/>
          <w:spacing w:val="6"/>
          <w:sz w:val="20"/>
          <w:szCs w:val="20"/>
        </w:rPr>
        <w:t>to have four</w:t>
      </w:r>
      <w:r w:rsidRPr="00133F4D">
        <w:rPr>
          <w:rFonts w:ascii="Arial" w:hAnsi="Arial" w:cs="Arial"/>
          <w:spacing w:val="6"/>
          <w:sz w:val="20"/>
          <w:szCs w:val="20"/>
        </w:rPr>
        <w:t xml:space="preserve"> active research projects during the financial year</w:t>
      </w:r>
      <w:r w:rsidR="00536262" w:rsidRPr="00133F4D">
        <w:rPr>
          <w:rFonts w:ascii="Arial" w:hAnsi="Arial" w:cs="Arial"/>
          <w:spacing w:val="6"/>
          <w:sz w:val="20"/>
          <w:szCs w:val="20"/>
        </w:rPr>
        <w:t>. However, it achieved three</w:t>
      </w:r>
      <w:r w:rsidRPr="00133F4D">
        <w:rPr>
          <w:rFonts w:ascii="Arial" w:hAnsi="Arial" w:cs="Arial"/>
          <w:spacing w:val="6"/>
          <w:sz w:val="20"/>
          <w:szCs w:val="20"/>
        </w:rPr>
        <w:t xml:space="preserve"> as some activities will only be completed in the current financial year.</w:t>
      </w:r>
    </w:p>
    <w:p w:rsidR="003161DE" w:rsidRPr="00133F4D" w:rsidRDefault="003161DE" w:rsidP="00133F4D">
      <w:pPr>
        <w:spacing w:after="0" w:line="240" w:lineRule="auto"/>
        <w:jc w:val="left"/>
        <w:rPr>
          <w:rFonts w:ascii="Arial" w:hAnsi="Arial" w:cs="Arial"/>
          <w:b/>
          <w:spacing w:val="6"/>
          <w:sz w:val="20"/>
          <w:szCs w:val="20"/>
        </w:rPr>
      </w:pPr>
    </w:p>
    <w:p w:rsidR="003349BD" w:rsidRPr="00133F4D" w:rsidRDefault="003349B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3: Public Engagement</w:t>
      </w:r>
    </w:p>
    <w:p w:rsidR="003161DE" w:rsidRPr="00133F4D" w:rsidRDefault="003161DE"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Selected key achievements</w:t>
      </w:r>
    </w:p>
    <w:p w:rsidR="003161DE" w:rsidRPr="00133F4D" w:rsidRDefault="001C3337" w:rsidP="00133F4D">
      <w:pPr>
        <w:pStyle w:val="ListParagraph"/>
        <w:numPr>
          <w:ilvl w:val="0"/>
          <w:numId w:val="32"/>
        </w:numPr>
        <w:spacing w:after="0" w:line="240" w:lineRule="auto"/>
        <w:jc w:val="left"/>
        <w:rPr>
          <w:rFonts w:ascii="Arial" w:hAnsi="Arial" w:cs="Arial"/>
          <w:spacing w:val="6"/>
          <w:sz w:val="20"/>
          <w:szCs w:val="20"/>
        </w:rPr>
      </w:pPr>
      <w:r w:rsidRPr="00133F4D">
        <w:rPr>
          <w:rFonts w:ascii="Arial" w:hAnsi="Arial" w:cs="Arial"/>
          <w:spacing w:val="6"/>
          <w:sz w:val="20"/>
          <w:szCs w:val="20"/>
        </w:rPr>
        <w:t>The ATM was able to host several temporary exhibitions as well as a new permanent exhibition.</w:t>
      </w:r>
    </w:p>
    <w:p w:rsidR="001C3337" w:rsidRPr="00133F4D" w:rsidRDefault="001C3337" w:rsidP="00133F4D">
      <w:pPr>
        <w:pStyle w:val="ListParagraph"/>
        <w:numPr>
          <w:ilvl w:val="0"/>
          <w:numId w:val="32"/>
        </w:numPr>
        <w:spacing w:after="0" w:line="240" w:lineRule="auto"/>
        <w:jc w:val="left"/>
        <w:rPr>
          <w:rFonts w:ascii="Arial" w:hAnsi="Arial" w:cs="Arial"/>
          <w:spacing w:val="6"/>
          <w:sz w:val="20"/>
          <w:szCs w:val="20"/>
        </w:rPr>
      </w:pPr>
      <w:r w:rsidRPr="00133F4D">
        <w:rPr>
          <w:rFonts w:ascii="Arial" w:hAnsi="Arial" w:cs="Arial"/>
          <w:spacing w:val="6"/>
          <w:sz w:val="20"/>
          <w:szCs w:val="20"/>
        </w:rPr>
        <w:t>Staff travelled to schools to present various educational programmes and in the last quarter of the financial year, the ATM was able to host its educational programmes on site.</w:t>
      </w:r>
    </w:p>
    <w:p w:rsidR="00100211" w:rsidRPr="00133F4D" w:rsidRDefault="00100211"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Targets not achieved</w:t>
      </w:r>
    </w:p>
    <w:p w:rsidR="00C523A1" w:rsidRPr="00133F4D" w:rsidRDefault="004D3B9C"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ATM through its language projects planned to establish two reading groups in 2021/22 due to challenges experienced in obtaining comparable quotes from suppliers for reading materials.</w:t>
      </w:r>
    </w:p>
    <w:p w:rsidR="00901C35" w:rsidRPr="00133F4D" w:rsidRDefault="00901C35" w:rsidP="00133F4D">
      <w:pPr>
        <w:spacing w:after="0" w:line="240" w:lineRule="auto"/>
        <w:jc w:val="left"/>
        <w:rPr>
          <w:rFonts w:ascii="Arial" w:hAnsi="Arial" w:cs="Arial"/>
          <w:b/>
          <w:spacing w:val="6"/>
          <w:sz w:val="20"/>
          <w:szCs w:val="20"/>
        </w:rPr>
      </w:pPr>
    </w:p>
    <w:p w:rsidR="00F4706E" w:rsidRPr="00133F4D" w:rsidRDefault="00F4706E" w:rsidP="00133F4D">
      <w:pPr>
        <w:pStyle w:val="ListParagraph"/>
        <w:numPr>
          <w:ilvl w:val="2"/>
          <w:numId w:val="42"/>
        </w:numPr>
        <w:spacing w:after="0" w:line="240" w:lineRule="auto"/>
        <w:jc w:val="left"/>
        <w:rPr>
          <w:rFonts w:ascii="Arial" w:hAnsi="Arial" w:cs="Arial"/>
          <w:b/>
          <w:spacing w:val="6"/>
          <w:sz w:val="20"/>
          <w:szCs w:val="20"/>
        </w:rPr>
      </w:pPr>
      <w:r w:rsidRPr="00133F4D">
        <w:rPr>
          <w:rFonts w:ascii="Arial" w:hAnsi="Arial" w:cs="Arial"/>
          <w:b/>
          <w:spacing w:val="6"/>
          <w:sz w:val="20"/>
          <w:szCs w:val="20"/>
        </w:rPr>
        <w:t xml:space="preserve">Overview and assessment of the </w:t>
      </w:r>
      <w:r w:rsidR="00F81708" w:rsidRPr="00133F4D">
        <w:rPr>
          <w:rFonts w:ascii="Arial" w:hAnsi="Arial" w:cs="Arial"/>
          <w:b/>
          <w:spacing w:val="6"/>
          <w:sz w:val="20"/>
          <w:szCs w:val="20"/>
        </w:rPr>
        <w:t>ATM’s</w:t>
      </w:r>
      <w:r w:rsidR="00E829FA" w:rsidRPr="00133F4D">
        <w:rPr>
          <w:rFonts w:ascii="Arial" w:hAnsi="Arial" w:cs="Arial"/>
          <w:b/>
          <w:spacing w:val="6"/>
          <w:sz w:val="20"/>
          <w:szCs w:val="20"/>
        </w:rPr>
        <w:t xml:space="preserve"> 2021/22</w:t>
      </w:r>
      <w:r w:rsidRPr="00133F4D">
        <w:rPr>
          <w:rFonts w:ascii="Arial" w:hAnsi="Arial" w:cs="Arial"/>
          <w:b/>
          <w:spacing w:val="6"/>
          <w:sz w:val="20"/>
          <w:szCs w:val="20"/>
        </w:rPr>
        <w:t xml:space="preserve"> budget and expenditure</w:t>
      </w:r>
    </w:p>
    <w:p w:rsidR="007F3854" w:rsidRPr="00133F4D" w:rsidRDefault="00682F55"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For the 2021/22 financial year, the entity had a total revenue of R16.5 million, of which R11.5 million was the operational grant transferred by the DSAC to the entity. This operational grant represents 69.7% of the total revenue. The ATM also received a transfer of R5.7 million for capital works for the 2021/22 financial year which for facilities management and the installation of a generator.</w:t>
      </w:r>
    </w:p>
    <w:p w:rsidR="00017A27" w:rsidRPr="00133F4D" w:rsidRDefault="00017A27" w:rsidP="00133F4D">
      <w:pPr>
        <w:spacing w:after="0" w:line="240" w:lineRule="auto"/>
        <w:jc w:val="left"/>
        <w:rPr>
          <w:rFonts w:ascii="Arial" w:hAnsi="Arial" w:cs="Arial"/>
          <w:spacing w:val="6"/>
          <w:sz w:val="20"/>
          <w:szCs w:val="20"/>
        </w:rPr>
      </w:pPr>
    </w:p>
    <w:p w:rsidR="00682F55" w:rsidRPr="00133F4D" w:rsidRDefault="007F3854"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S</w:t>
      </w:r>
      <w:r w:rsidR="000C599A" w:rsidRPr="00133F4D">
        <w:rPr>
          <w:rFonts w:ascii="Arial" w:hAnsi="Arial" w:cs="Arial"/>
          <w:spacing w:val="6"/>
          <w:sz w:val="20"/>
          <w:szCs w:val="20"/>
        </w:rPr>
        <w:t>pending on employee-related costs amounted to R6.2</w:t>
      </w:r>
      <w:r w:rsidR="002875F6" w:rsidRPr="00133F4D">
        <w:rPr>
          <w:rFonts w:ascii="Arial" w:hAnsi="Arial" w:cs="Arial"/>
          <w:spacing w:val="6"/>
          <w:sz w:val="20"/>
          <w:szCs w:val="20"/>
        </w:rPr>
        <w:t xml:space="preserve"> </w:t>
      </w:r>
      <w:r w:rsidR="000C599A" w:rsidRPr="00133F4D">
        <w:rPr>
          <w:rFonts w:ascii="Arial" w:hAnsi="Arial" w:cs="Arial"/>
          <w:spacing w:val="6"/>
          <w:sz w:val="20"/>
          <w:szCs w:val="20"/>
        </w:rPr>
        <w:t>million</w:t>
      </w:r>
      <w:r w:rsidRPr="00133F4D">
        <w:rPr>
          <w:rFonts w:ascii="Arial" w:hAnsi="Arial" w:cs="Arial"/>
          <w:spacing w:val="6"/>
          <w:sz w:val="20"/>
          <w:szCs w:val="20"/>
        </w:rPr>
        <w:t>. The entity’s total expenditure amounted to R14.4 million, representing 87.1% of the total revenue. The DSAC grant would thus have been insufficient to sufficiently cover the entity’s expenditure had it not managed to raise revenue by other means such as donations, ticket sales and fundraisers.</w:t>
      </w:r>
      <w:r w:rsidR="009810F8" w:rsidRPr="00133F4D">
        <w:rPr>
          <w:rFonts w:ascii="Arial" w:hAnsi="Arial" w:cs="Arial"/>
          <w:spacing w:val="6"/>
          <w:sz w:val="20"/>
          <w:szCs w:val="20"/>
        </w:rPr>
        <w:t xml:space="preserve"> At the end of the financial year, the entity’s operating surplus amounted to R2.1 million.</w:t>
      </w:r>
      <w:r w:rsidR="009A51EF" w:rsidRPr="00133F4D">
        <w:rPr>
          <w:rFonts w:ascii="Arial" w:hAnsi="Arial" w:cs="Arial"/>
          <w:spacing w:val="6"/>
          <w:sz w:val="20"/>
          <w:szCs w:val="20"/>
        </w:rPr>
        <w:t xml:space="preserve"> The entity’s total net assets amounted to R11.4 million.</w:t>
      </w:r>
    </w:p>
    <w:p w:rsidR="00F4706E" w:rsidRPr="00133F4D" w:rsidRDefault="00F4706E" w:rsidP="00133F4D">
      <w:pPr>
        <w:pStyle w:val="ListParagraph"/>
        <w:numPr>
          <w:ilvl w:val="2"/>
          <w:numId w:val="42"/>
        </w:numPr>
        <w:spacing w:after="0" w:line="240" w:lineRule="auto"/>
        <w:jc w:val="left"/>
        <w:rPr>
          <w:rFonts w:ascii="Arial" w:hAnsi="Arial" w:cs="Arial"/>
          <w:b/>
          <w:spacing w:val="6"/>
          <w:sz w:val="20"/>
          <w:szCs w:val="20"/>
        </w:rPr>
      </w:pPr>
      <w:r w:rsidRPr="00133F4D">
        <w:rPr>
          <w:rFonts w:ascii="Arial" w:hAnsi="Arial" w:cs="Arial"/>
          <w:b/>
          <w:spacing w:val="6"/>
          <w:sz w:val="20"/>
          <w:szCs w:val="20"/>
        </w:rPr>
        <w:t>Irregular and fruitless and wasteful expenditure</w:t>
      </w:r>
    </w:p>
    <w:p w:rsidR="005C3E83" w:rsidRPr="00133F4D" w:rsidRDefault="005C3E83"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entity had disclosed a cumulative irregular expenditure amounting to R9.6 million (note 31 of the financial statements), comprised of an opening balance</w:t>
      </w:r>
      <w:r w:rsidR="00F76926" w:rsidRPr="00133F4D">
        <w:rPr>
          <w:rFonts w:ascii="Arial" w:hAnsi="Arial" w:cs="Arial"/>
          <w:spacing w:val="6"/>
          <w:sz w:val="20"/>
          <w:szCs w:val="20"/>
        </w:rPr>
        <w:t xml:space="preserve"> of R9.7</w:t>
      </w:r>
      <w:r w:rsidRPr="00133F4D">
        <w:rPr>
          <w:rFonts w:ascii="Arial" w:hAnsi="Arial" w:cs="Arial"/>
          <w:spacing w:val="6"/>
          <w:sz w:val="20"/>
          <w:szCs w:val="20"/>
        </w:rPr>
        <w:t xml:space="preserve"> </w:t>
      </w:r>
      <w:r w:rsidR="00F76926" w:rsidRPr="00133F4D">
        <w:rPr>
          <w:rFonts w:ascii="Arial" w:hAnsi="Arial" w:cs="Arial"/>
          <w:spacing w:val="6"/>
          <w:sz w:val="20"/>
          <w:szCs w:val="20"/>
        </w:rPr>
        <w:t>million</w:t>
      </w:r>
      <w:r w:rsidR="003E28D8" w:rsidRPr="00133F4D">
        <w:rPr>
          <w:rFonts w:ascii="Arial" w:hAnsi="Arial" w:cs="Arial"/>
          <w:spacing w:val="6"/>
          <w:sz w:val="20"/>
          <w:szCs w:val="20"/>
        </w:rPr>
        <w:t xml:space="preserve"> from the prior year, </w:t>
      </w:r>
      <w:r w:rsidR="00997112" w:rsidRPr="00133F4D">
        <w:rPr>
          <w:rFonts w:ascii="Arial" w:hAnsi="Arial" w:cs="Arial"/>
          <w:spacing w:val="6"/>
          <w:sz w:val="20"/>
          <w:szCs w:val="20"/>
        </w:rPr>
        <w:t>R</w:t>
      </w:r>
      <w:r w:rsidR="003E28D8" w:rsidRPr="00133F4D">
        <w:rPr>
          <w:rFonts w:ascii="Arial" w:hAnsi="Arial" w:cs="Arial"/>
          <w:spacing w:val="6"/>
          <w:sz w:val="20"/>
          <w:szCs w:val="20"/>
        </w:rPr>
        <w:t>8 955</w:t>
      </w:r>
      <w:r w:rsidR="00997112" w:rsidRPr="00133F4D">
        <w:rPr>
          <w:rFonts w:ascii="Arial" w:hAnsi="Arial" w:cs="Arial"/>
          <w:spacing w:val="6"/>
          <w:sz w:val="20"/>
          <w:szCs w:val="20"/>
        </w:rPr>
        <w:t xml:space="preserve"> incurred during the 2021/22</w:t>
      </w:r>
      <w:r w:rsidRPr="00133F4D">
        <w:rPr>
          <w:rFonts w:ascii="Arial" w:hAnsi="Arial" w:cs="Arial"/>
          <w:spacing w:val="6"/>
          <w:sz w:val="20"/>
          <w:szCs w:val="20"/>
        </w:rPr>
        <w:t xml:space="preserve"> financial year</w:t>
      </w:r>
      <w:r w:rsidR="00997112" w:rsidRPr="00133F4D">
        <w:rPr>
          <w:rFonts w:ascii="Arial" w:hAnsi="Arial" w:cs="Arial"/>
          <w:spacing w:val="6"/>
          <w:sz w:val="20"/>
          <w:szCs w:val="20"/>
        </w:rPr>
        <w:t xml:space="preserve"> </w:t>
      </w:r>
      <w:r w:rsidR="003E28D8" w:rsidRPr="00133F4D">
        <w:rPr>
          <w:rFonts w:ascii="Arial" w:hAnsi="Arial" w:cs="Arial"/>
          <w:spacing w:val="6"/>
          <w:sz w:val="20"/>
          <w:szCs w:val="20"/>
        </w:rPr>
        <w:t>and R64 188 related to expenditure overstated expenditure in 2020/21.</w:t>
      </w:r>
      <w:r w:rsidRPr="00133F4D">
        <w:rPr>
          <w:rFonts w:ascii="Arial" w:hAnsi="Arial" w:cs="Arial"/>
          <w:spacing w:val="6"/>
          <w:sz w:val="20"/>
          <w:szCs w:val="20"/>
        </w:rPr>
        <w:t xml:space="preserve"> Irregular expenditure was due to:</w:t>
      </w:r>
    </w:p>
    <w:p w:rsidR="00A27237" w:rsidRPr="00133F4D" w:rsidRDefault="00A27237" w:rsidP="00133F4D">
      <w:pPr>
        <w:pStyle w:val="ListParagraph"/>
        <w:numPr>
          <w:ilvl w:val="0"/>
          <w:numId w:val="33"/>
        </w:numPr>
        <w:spacing w:after="0" w:line="240" w:lineRule="auto"/>
        <w:jc w:val="left"/>
        <w:rPr>
          <w:rFonts w:ascii="Arial" w:hAnsi="Arial" w:cs="Arial"/>
          <w:spacing w:val="6"/>
          <w:sz w:val="20"/>
          <w:szCs w:val="20"/>
        </w:rPr>
      </w:pPr>
      <w:r w:rsidRPr="00133F4D">
        <w:rPr>
          <w:rFonts w:ascii="Arial" w:hAnsi="Arial" w:cs="Arial"/>
          <w:spacing w:val="6"/>
          <w:sz w:val="20"/>
          <w:szCs w:val="20"/>
        </w:rPr>
        <w:lastRenderedPageBreak/>
        <w:t>Non-compliance with National Treasury Practice Note 8 of 2007/08 where at least three quotations were not obtained and the reasons for deviation was not justified/approved: R8 955.</w:t>
      </w:r>
    </w:p>
    <w:p w:rsidR="00A27237" w:rsidRPr="00133F4D" w:rsidRDefault="00A27237" w:rsidP="00133F4D">
      <w:pPr>
        <w:pStyle w:val="ListParagraph"/>
        <w:numPr>
          <w:ilvl w:val="0"/>
          <w:numId w:val="33"/>
        </w:numPr>
        <w:spacing w:after="0" w:line="240" w:lineRule="auto"/>
        <w:jc w:val="left"/>
        <w:rPr>
          <w:rFonts w:ascii="Arial" w:hAnsi="Arial" w:cs="Arial"/>
          <w:spacing w:val="6"/>
          <w:sz w:val="20"/>
          <w:szCs w:val="20"/>
        </w:rPr>
      </w:pPr>
      <w:r w:rsidRPr="00133F4D">
        <w:rPr>
          <w:rFonts w:ascii="Arial" w:hAnsi="Arial" w:cs="Arial"/>
          <w:spacing w:val="6"/>
          <w:sz w:val="20"/>
          <w:szCs w:val="20"/>
        </w:rPr>
        <w:t>The ATM was unable to obtain three quotations for certain expenditure due to a monopoly in a specific industry - the irregular expenditure is overstated by R64 118.</w:t>
      </w:r>
    </w:p>
    <w:p w:rsidR="00A27237" w:rsidRPr="00133F4D" w:rsidRDefault="00A27237" w:rsidP="00133F4D">
      <w:pPr>
        <w:spacing w:after="0" w:line="240" w:lineRule="auto"/>
        <w:jc w:val="left"/>
        <w:rPr>
          <w:rFonts w:ascii="Arial" w:hAnsi="Arial" w:cs="Arial"/>
          <w:spacing w:val="6"/>
          <w:sz w:val="20"/>
          <w:szCs w:val="20"/>
        </w:rPr>
      </w:pPr>
    </w:p>
    <w:p w:rsidR="00A27237" w:rsidRPr="00133F4D" w:rsidRDefault="00A27237"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entity did not incur any fruitless and wasteful expenditure, but the financial statements reflect an opening balance of R17 954.</w:t>
      </w:r>
    </w:p>
    <w:p w:rsidR="00A27237" w:rsidRPr="00133F4D" w:rsidRDefault="00A27237" w:rsidP="00133F4D">
      <w:pPr>
        <w:spacing w:after="0" w:line="240" w:lineRule="auto"/>
        <w:jc w:val="left"/>
        <w:rPr>
          <w:rFonts w:ascii="Arial" w:hAnsi="Arial" w:cs="Arial"/>
          <w:spacing w:val="6"/>
          <w:sz w:val="20"/>
          <w:szCs w:val="20"/>
        </w:rPr>
      </w:pPr>
    </w:p>
    <w:p w:rsidR="00F4706E" w:rsidRPr="00133F4D" w:rsidRDefault="00F4706E" w:rsidP="00133F4D">
      <w:pPr>
        <w:pStyle w:val="ListParagraph"/>
        <w:numPr>
          <w:ilvl w:val="2"/>
          <w:numId w:val="42"/>
        </w:numPr>
        <w:spacing w:after="0" w:line="240" w:lineRule="auto"/>
        <w:jc w:val="left"/>
        <w:rPr>
          <w:rFonts w:ascii="Arial" w:hAnsi="Arial" w:cs="Arial"/>
          <w:b/>
          <w:spacing w:val="6"/>
          <w:sz w:val="20"/>
          <w:szCs w:val="20"/>
        </w:rPr>
      </w:pPr>
      <w:r w:rsidRPr="00133F4D">
        <w:rPr>
          <w:rFonts w:ascii="Arial" w:hAnsi="Arial" w:cs="Arial"/>
          <w:b/>
          <w:spacing w:val="6"/>
          <w:sz w:val="20"/>
          <w:szCs w:val="20"/>
        </w:rPr>
        <w:t>2021/22 Audit outcomes</w:t>
      </w:r>
    </w:p>
    <w:p w:rsidR="00EA5860" w:rsidRPr="00133F4D" w:rsidRDefault="00EA5860"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ATM’s audit opinion remained unchanged at qualified for the 2019/20 and 2020/21 financial years. It improved to an unqualified with no findings (clean) audit opini</w:t>
      </w:r>
      <w:r w:rsidR="00000B00" w:rsidRPr="00133F4D">
        <w:rPr>
          <w:rFonts w:ascii="Arial" w:hAnsi="Arial" w:cs="Arial"/>
          <w:spacing w:val="6"/>
          <w:sz w:val="20"/>
          <w:szCs w:val="20"/>
        </w:rPr>
        <w:t>on for the period under review.</w:t>
      </w:r>
    </w:p>
    <w:p w:rsidR="00EA5860" w:rsidRPr="00133F4D" w:rsidRDefault="00EA5860" w:rsidP="00133F4D">
      <w:pPr>
        <w:spacing w:after="0" w:line="240" w:lineRule="auto"/>
        <w:jc w:val="left"/>
        <w:rPr>
          <w:rFonts w:ascii="Arial" w:hAnsi="Arial" w:cs="Arial"/>
          <w:spacing w:val="6"/>
          <w:sz w:val="20"/>
          <w:szCs w:val="20"/>
        </w:rPr>
      </w:pPr>
    </w:p>
    <w:p w:rsidR="009573CE" w:rsidRPr="00133F4D" w:rsidRDefault="007435C7" w:rsidP="00133F4D">
      <w:pPr>
        <w:pStyle w:val="Heading2"/>
        <w:numPr>
          <w:ilvl w:val="1"/>
          <w:numId w:val="15"/>
        </w:numPr>
        <w:spacing w:line="240" w:lineRule="auto"/>
        <w:jc w:val="left"/>
        <w:rPr>
          <w:rFonts w:ascii="Arial" w:hAnsi="Arial" w:cs="Arial"/>
          <w:sz w:val="20"/>
          <w:szCs w:val="20"/>
        </w:rPr>
      </w:pPr>
      <w:r w:rsidRPr="00133F4D">
        <w:rPr>
          <w:rFonts w:ascii="Arial" w:hAnsi="Arial" w:cs="Arial"/>
          <w:sz w:val="20"/>
          <w:szCs w:val="20"/>
        </w:rPr>
        <w:t>William Humphreys Art Gallery</w:t>
      </w:r>
    </w:p>
    <w:p w:rsidR="0083312B" w:rsidRPr="00133F4D" w:rsidRDefault="00927CFC"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William Humphreys Art Gallery (WHAG), opened in 1952 and situated in Kimberley’s Civic Centre, is the only national museum in the Northern Cape. WHAG is a schedule 3A public entity established in terms of the Cultural Institutions Act (No. 11 of 1998) and it reports to </w:t>
      </w:r>
      <w:r w:rsidR="00CB64AB" w:rsidRPr="00133F4D">
        <w:rPr>
          <w:rFonts w:ascii="Arial" w:hAnsi="Arial" w:cs="Arial"/>
          <w:spacing w:val="6"/>
          <w:sz w:val="20"/>
          <w:szCs w:val="20"/>
        </w:rPr>
        <w:t>DSAC</w:t>
      </w:r>
      <w:r w:rsidR="007D181C" w:rsidRPr="00133F4D">
        <w:rPr>
          <w:rFonts w:ascii="Arial" w:hAnsi="Arial" w:cs="Arial"/>
          <w:spacing w:val="6"/>
          <w:sz w:val="20"/>
          <w:szCs w:val="20"/>
        </w:rPr>
        <w:t>.</w:t>
      </w:r>
      <w:r w:rsidR="00583566" w:rsidRPr="00133F4D">
        <w:rPr>
          <w:rFonts w:ascii="Arial" w:hAnsi="Arial" w:cs="Arial"/>
          <w:spacing w:val="6"/>
          <w:sz w:val="20"/>
          <w:szCs w:val="20"/>
        </w:rPr>
        <w:t xml:space="preserve"> </w:t>
      </w:r>
      <w:r w:rsidR="0083312B" w:rsidRPr="00133F4D">
        <w:rPr>
          <w:rFonts w:ascii="Arial" w:hAnsi="Arial" w:cs="Arial"/>
          <w:spacing w:val="6"/>
          <w:sz w:val="20"/>
          <w:szCs w:val="20"/>
        </w:rPr>
        <w:t>The WHAG is mandated to “To collect, preserve, conserve and document, research as well as to exhibit works of art which represent the artistic heritage of all South Africans and utilises its assets for the edification, enrichment and enjoyment of the people”.</w:t>
      </w:r>
    </w:p>
    <w:p w:rsidR="00CA00BF" w:rsidRPr="00133F4D" w:rsidRDefault="00CA00BF" w:rsidP="00133F4D">
      <w:pPr>
        <w:spacing w:after="0" w:line="240" w:lineRule="auto"/>
        <w:jc w:val="left"/>
        <w:rPr>
          <w:rFonts w:ascii="Arial" w:hAnsi="Arial" w:cs="Arial"/>
          <w:spacing w:val="6"/>
          <w:sz w:val="20"/>
          <w:szCs w:val="20"/>
        </w:rPr>
      </w:pPr>
    </w:p>
    <w:p w:rsidR="00F81708" w:rsidRPr="00133F4D" w:rsidRDefault="00F81708" w:rsidP="00133F4D">
      <w:pPr>
        <w:pStyle w:val="ListParagraph"/>
        <w:numPr>
          <w:ilvl w:val="2"/>
          <w:numId w:val="43"/>
        </w:numPr>
        <w:spacing w:after="0" w:line="240" w:lineRule="auto"/>
        <w:jc w:val="left"/>
        <w:rPr>
          <w:rFonts w:ascii="Arial" w:hAnsi="Arial" w:cs="Arial"/>
          <w:b/>
          <w:spacing w:val="6"/>
          <w:sz w:val="20"/>
          <w:szCs w:val="20"/>
        </w:rPr>
      </w:pPr>
      <w:r w:rsidRPr="00133F4D">
        <w:rPr>
          <w:rFonts w:ascii="Arial" w:hAnsi="Arial" w:cs="Arial"/>
          <w:b/>
          <w:spacing w:val="6"/>
          <w:sz w:val="20"/>
          <w:szCs w:val="20"/>
        </w:rPr>
        <w:t>Overview and assessment of the WHAG’s 2021/</w:t>
      </w:r>
      <w:r w:rsidR="00A41C60" w:rsidRPr="00133F4D">
        <w:rPr>
          <w:rFonts w:ascii="Arial" w:hAnsi="Arial" w:cs="Arial"/>
          <w:b/>
          <w:spacing w:val="6"/>
          <w:sz w:val="20"/>
          <w:szCs w:val="20"/>
        </w:rPr>
        <w:t>22 service delivery performance</w:t>
      </w:r>
    </w:p>
    <w:p w:rsidR="00F67DA9" w:rsidRPr="00133F4D" w:rsidRDefault="00F67DA9"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During the year under review, the WHAG had three budget programmes, Administration; </w:t>
      </w:r>
      <w:r w:rsidR="008F5CC5" w:rsidRPr="00133F4D">
        <w:rPr>
          <w:rFonts w:ascii="Arial" w:hAnsi="Arial" w:cs="Arial"/>
          <w:spacing w:val="6"/>
          <w:sz w:val="20"/>
          <w:szCs w:val="20"/>
        </w:rPr>
        <w:t>Collection Management</w:t>
      </w:r>
      <w:r w:rsidRPr="00133F4D">
        <w:rPr>
          <w:rFonts w:ascii="Arial" w:hAnsi="Arial" w:cs="Arial"/>
          <w:spacing w:val="6"/>
          <w:sz w:val="20"/>
          <w:szCs w:val="20"/>
        </w:rPr>
        <w:t>; and Public Engagement. The entity achi</w:t>
      </w:r>
      <w:r w:rsidR="00BC7F92" w:rsidRPr="00133F4D">
        <w:rPr>
          <w:rFonts w:ascii="Arial" w:hAnsi="Arial" w:cs="Arial"/>
          <w:spacing w:val="6"/>
          <w:sz w:val="20"/>
          <w:szCs w:val="20"/>
        </w:rPr>
        <w:t xml:space="preserve">eved </w:t>
      </w:r>
      <w:r w:rsidR="00C92E17" w:rsidRPr="00133F4D">
        <w:rPr>
          <w:rFonts w:ascii="Arial" w:hAnsi="Arial" w:cs="Arial"/>
          <w:spacing w:val="6"/>
          <w:sz w:val="20"/>
          <w:szCs w:val="20"/>
        </w:rPr>
        <w:t>12 out of 13 planned targets (</w:t>
      </w:r>
      <w:r w:rsidR="00BC7F92" w:rsidRPr="00133F4D">
        <w:rPr>
          <w:rFonts w:ascii="Arial" w:hAnsi="Arial" w:cs="Arial"/>
          <w:spacing w:val="6"/>
          <w:sz w:val="20"/>
          <w:szCs w:val="20"/>
        </w:rPr>
        <w:t>92</w:t>
      </w:r>
      <w:r w:rsidRPr="00133F4D">
        <w:rPr>
          <w:rFonts w:ascii="Arial" w:hAnsi="Arial" w:cs="Arial"/>
          <w:spacing w:val="6"/>
          <w:sz w:val="20"/>
          <w:szCs w:val="20"/>
        </w:rPr>
        <w:t>%</w:t>
      </w:r>
      <w:r w:rsidR="00C92E17" w:rsidRPr="00133F4D">
        <w:rPr>
          <w:rFonts w:ascii="Arial" w:hAnsi="Arial" w:cs="Arial"/>
          <w:spacing w:val="6"/>
          <w:sz w:val="20"/>
          <w:szCs w:val="20"/>
        </w:rPr>
        <w:t>)</w:t>
      </w:r>
      <w:r w:rsidRPr="00133F4D">
        <w:rPr>
          <w:rFonts w:ascii="Arial" w:hAnsi="Arial" w:cs="Arial"/>
          <w:spacing w:val="6"/>
          <w:sz w:val="20"/>
          <w:szCs w:val="20"/>
        </w:rPr>
        <w:t xml:space="preserve"> against the 2021/22 annual performance plan targets.</w:t>
      </w:r>
    </w:p>
    <w:p w:rsidR="00AA24EE" w:rsidRPr="00133F4D" w:rsidRDefault="00AA24EE" w:rsidP="00133F4D">
      <w:pPr>
        <w:spacing w:after="0" w:line="240" w:lineRule="auto"/>
        <w:jc w:val="left"/>
        <w:rPr>
          <w:rFonts w:ascii="Arial" w:hAnsi="Arial" w:cs="Arial"/>
          <w:spacing w:val="6"/>
          <w:sz w:val="20"/>
          <w:szCs w:val="20"/>
        </w:rPr>
      </w:pPr>
    </w:p>
    <w:p w:rsidR="00BA5AFD" w:rsidRPr="00133F4D" w:rsidRDefault="00BA5AF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1: Administration</w:t>
      </w:r>
    </w:p>
    <w:p w:rsidR="00BA5AFD" w:rsidRPr="00133F4D" w:rsidRDefault="00BA5AF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Selected key achievements</w:t>
      </w:r>
    </w:p>
    <w:p w:rsidR="00A44CC8" w:rsidRPr="00133F4D" w:rsidRDefault="00A44CC8"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The entity planned to achieve an unqualified audit report for 2021/22. With improved administration the WHAG achieved a clean audit.</w:t>
      </w:r>
    </w:p>
    <w:p w:rsidR="001D521E" w:rsidRPr="00133F4D" w:rsidRDefault="00FB4CAF"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The capacity of the staff was enhanced through the provision of all four planned training interventions.</w:t>
      </w:r>
    </w:p>
    <w:p w:rsidR="00BA5AFD" w:rsidRPr="00133F4D" w:rsidRDefault="00BA5AF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Targets not achieved</w:t>
      </w:r>
    </w:p>
    <w:p w:rsidR="00BA5AFD" w:rsidRPr="00133F4D" w:rsidRDefault="00A44CC8"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None</w:t>
      </w:r>
    </w:p>
    <w:p w:rsidR="001D521E" w:rsidRPr="00133F4D" w:rsidRDefault="001D521E" w:rsidP="00133F4D">
      <w:pPr>
        <w:spacing w:after="0" w:line="240" w:lineRule="auto"/>
        <w:jc w:val="left"/>
        <w:rPr>
          <w:rFonts w:ascii="Arial" w:hAnsi="Arial" w:cs="Arial"/>
          <w:spacing w:val="6"/>
          <w:sz w:val="20"/>
          <w:szCs w:val="20"/>
        </w:rPr>
      </w:pPr>
    </w:p>
    <w:p w:rsidR="001D521E" w:rsidRPr="00133F4D" w:rsidRDefault="00BA5AF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2: Collection Management</w:t>
      </w:r>
    </w:p>
    <w:p w:rsidR="00BA5AFD" w:rsidRPr="00133F4D" w:rsidRDefault="00BA5AF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Selected key achievements</w:t>
      </w:r>
    </w:p>
    <w:p w:rsidR="00C92E17" w:rsidRPr="00133F4D" w:rsidRDefault="00B35A76"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target to acquire 16 artworks from previously disadvantaged emerging artists was exceeded by </w:t>
      </w:r>
      <w:r w:rsidR="00F87960" w:rsidRPr="00133F4D">
        <w:rPr>
          <w:rFonts w:ascii="Arial" w:hAnsi="Arial" w:cs="Arial"/>
          <w:spacing w:val="6"/>
          <w:sz w:val="20"/>
          <w:szCs w:val="20"/>
        </w:rPr>
        <w:t>seven due to works donated by the Artists for Human Rights Trust.</w:t>
      </w:r>
      <w:r w:rsidR="00AA416E" w:rsidRPr="00133F4D">
        <w:rPr>
          <w:rFonts w:ascii="Arial" w:hAnsi="Arial" w:cs="Arial"/>
          <w:spacing w:val="6"/>
          <w:sz w:val="20"/>
          <w:szCs w:val="20"/>
        </w:rPr>
        <w:t xml:space="preserve"> Similarly, the target of acquiring 24 artworks from previously disadvantaged established artists was also exceed. An additional 14 artworks came into the collection through donations from the abovementioned trust and through acquisition from the Dumisani Mabaso estate</w:t>
      </w:r>
      <w:r w:rsidR="00B41389" w:rsidRPr="00133F4D">
        <w:rPr>
          <w:rFonts w:ascii="Arial" w:hAnsi="Arial" w:cs="Arial"/>
          <w:spacing w:val="6"/>
          <w:sz w:val="20"/>
          <w:szCs w:val="20"/>
        </w:rPr>
        <w:t>.</w:t>
      </w:r>
    </w:p>
    <w:p w:rsidR="00AA416E" w:rsidRPr="00133F4D" w:rsidRDefault="00372ACB"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The number of artworks conserved amounted to 17, which exceeded the planned target of six.</w:t>
      </w:r>
    </w:p>
    <w:p w:rsidR="00BA5AFD" w:rsidRPr="00133F4D" w:rsidRDefault="00BA5AF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Targets not achieved</w:t>
      </w:r>
    </w:p>
    <w:p w:rsidR="00BA5AFD" w:rsidRPr="00133F4D" w:rsidRDefault="001D521E" w:rsidP="00133F4D">
      <w:pPr>
        <w:pStyle w:val="ListParagraph"/>
        <w:numPr>
          <w:ilvl w:val="0"/>
          <w:numId w:val="34"/>
        </w:numPr>
        <w:spacing w:after="0" w:line="240" w:lineRule="auto"/>
        <w:jc w:val="left"/>
        <w:rPr>
          <w:rFonts w:ascii="Arial" w:hAnsi="Arial" w:cs="Arial"/>
          <w:b/>
          <w:spacing w:val="6"/>
          <w:sz w:val="20"/>
          <w:szCs w:val="20"/>
        </w:rPr>
      </w:pPr>
      <w:r w:rsidRPr="00133F4D">
        <w:rPr>
          <w:rFonts w:ascii="Arial" w:hAnsi="Arial" w:cs="Arial"/>
          <w:spacing w:val="6"/>
          <w:sz w:val="20"/>
          <w:szCs w:val="20"/>
        </w:rPr>
        <w:t>The entity planned to digitise 24 artworks, however only achieved 21 due to the redirection of funds to the website that will house the digitised works.</w:t>
      </w:r>
    </w:p>
    <w:p w:rsidR="006D42F8" w:rsidRPr="00133F4D" w:rsidRDefault="006D42F8" w:rsidP="00133F4D">
      <w:pPr>
        <w:spacing w:after="0" w:line="240" w:lineRule="auto"/>
        <w:ind w:left="360"/>
        <w:jc w:val="left"/>
        <w:rPr>
          <w:rFonts w:ascii="Arial" w:hAnsi="Arial" w:cs="Arial"/>
          <w:b/>
          <w:spacing w:val="6"/>
          <w:sz w:val="20"/>
          <w:szCs w:val="20"/>
        </w:rPr>
      </w:pPr>
    </w:p>
    <w:p w:rsidR="00BA5AFD" w:rsidRPr="00133F4D" w:rsidRDefault="00BA5AF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Programme 3: Public Engagement</w:t>
      </w:r>
    </w:p>
    <w:p w:rsidR="00BA5AFD" w:rsidRPr="00133F4D" w:rsidRDefault="00BA5AF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Selected key achievements</w:t>
      </w:r>
    </w:p>
    <w:p w:rsidR="00605072" w:rsidRPr="00133F4D" w:rsidRDefault="00BE0D82"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The entity presented four temporary loan and six permanent exhibitions.</w:t>
      </w:r>
    </w:p>
    <w:p w:rsidR="00BE0D82" w:rsidRPr="00133F4D" w:rsidRDefault="00BE0D82"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The WHAG conducted four outreach and implemented three special community programmes</w:t>
      </w:r>
    </w:p>
    <w:p w:rsidR="0012115A" w:rsidRPr="00133F4D" w:rsidRDefault="0012115A"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reference library acquired four additional publications </w:t>
      </w:r>
      <w:r w:rsidR="00C550E2" w:rsidRPr="00133F4D">
        <w:rPr>
          <w:rFonts w:ascii="Arial" w:hAnsi="Arial" w:cs="Arial"/>
          <w:spacing w:val="6"/>
          <w:sz w:val="20"/>
          <w:szCs w:val="20"/>
        </w:rPr>
        <w:t xml:space="preserve">to the planned target of 40 due to donations </w:t>
      </w:r>
      <w:r w:rsidR="002F55F7" w:rsidRPr="00133F4D">
        <w:rPr>
          <w:rFonts w:ascii="Arial" w:hAnsi="Arial" w:cs="Arial"/>
          <w:spacing w:val="6"/>
          <w:sz w:val="20"/>
          <w:szCs w:val="20"/>
        </w:rPr>
        <w:t xml:space="preserve">of publications </w:t>
      </w:r>
      <w:r w:rsidR="00C550E2" w:rsidRPr="00133F4D">
        <w:rPr>
          <w:rFonts w:ascii="Arial" w:hAnsi="Arial" w:cs="Arial"/>
          <w:spacing w:val="6"/>
          <w:sz w:val="20"/>
          <w:szCs w:val="20"/>
        </w:rPr>
        <w:t>received.</w:t>
      </w:r>
    </w:p>
    <w:p w:rsidR="00BA5AFD" w:rsidRPr="00133F4D" w:rsidRDefault="00BA5AFD" w:rsidP="00133F4D">
      <w:pPr>
        <w:spacing w:after="0" w:line="240" w:lineRule="auto"/>
        <w:jc w:val="left"/>
        <w:rPr>
          <w:rFonts w:ascii="Arial" w:hAnsi="Arial" w:cs="Arial"/>
          <w:b/>
          <w:spacing w:val="6"/>
          <w:sz w:val="20"/>
          <w:szCs w:val="20"/>
        </w:rPr>
      </w:pPr>
      <w:r w:rsidRPr="00133F4D">
        <w:rPr>
          <w:rFonts w:ascii="Arial" w:hAnsi="Arial" w:cs="Arial"/>
          <w:b/>
          <w:spacing w:val="6"/>
          <w:sz w:val="20"/>
          <w:szCs w:val="20"/>
        </w:rPr>
        <w:t>Targets not achieved</w:t>
      </w:r>
    </w:p>
    <w:p w:rsidR="006D42F8" w:rsidRPr="00133F4D" w:rsidRDefault="006D42F8"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None</w:t>
      </w:r>
    </w:p>
    <w:p w:rsidR="00F67DA9" w:rsidRPr="00133F4D" w:rsidRDefault="00F67DA9" w:rsidP="00133F4D">
      <w:pPr>
        <w:spacing w:after="0" w:line="240" w:lineRule="auto"/>
        <w:jc w:val="left"/>
        <w:rPr>
          <w:rFonts w:ascii="Arial" w:hAnsi="Arial" w:cs="Arial"/>
          <w:spacing w:val="6"/>
          <w:sz w:val="20"/>
          <w:szCs w:val="20"/>
        </w:rPr>
      </w:pPr>
    </w:p>
    <w:p w:rsidR="00F81708" w:rsidRPr="00133F4D" w:rsidRDefault="00F81708" w:rsidP="00133F4D">
      <w:pPr>
        <w:pStyle w:val="ListParagraph"/>
        <w:numPr>
          <w:ilvl w:val="2"/>
          <w:numId w:val="43"/>
        </w:numPr>
        <w:spacing w:after="0" w:line="240" w:lineRule="auto"/>
        <w:jc w:val="left"/>
        <w:rPr>
          <w:rFonts w:ascii="Arial" w:hAnsi="Arial" w:cs="Arial"/>
          <w:b/>
          <w:spacing w:val="6"/>
          <w:sz w:val="20"/>
          <w:szCs w:val="20"/>
        </w:rPr>
      </w:pPr>
      <w:r w:rsidRPr="00133F4D">
        <w:rPr>
          <w:rFonts w:ascii="Arial" w:hAnsi="Arial" w:cs="Arial"/>
          <w:b/>
          <w:spacing w:val="6"/>
          <w:sz w:val="20"/>
          <w:szCs w:val="20"/>
        </w:rPr>
        <w:t>Overview and assessmen</w:t>
      </w:r>
      <w:r w:rsidR="004B197D" w:rsidRPr="00133F4D">
        <w:rPr>
          <w:rFonts w:ascii="Arial" w:hAnsi="Arial" w:cs="Arial"/>
          <w:b/>
          <w:spacing w:val="6"/>
          <w:sz w:val="20"/>
          <w:szCs w:val="20"/>
        </w:rPr>
        <w:t>t of the WHAG’s 2021/22</w:t>
      </w:r>
      <w:r w:rsidRPr="00133F4D">
        <w:rPr>
          <w:rFonts w:ascii="Arial" w:hAnsi="Arial" w:cs="Arial"/>
          <w:b/>
          <w:spacing w:val="6"/>
          <w:sz w:val="20"/>
          <w:szCs w:val="20"/>
        </w:rPr>
        <w:t xml:space="preserve"> budget and expenditure</w:t>
      </w:r>
    </w:p>
    <w:p w:rsidR="00375C06" w:rsidRPr="00133F4D" w:rsidRDefault="00375C06"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For the 2021/22 financial year, the entity had a total revenue of R13.9 million, of which R11.7 million was the operational grant transferred by the DSAC to the entity. This operational grant represents 84% of the total revenue. In the annual report, the entity notes that it is dependent on the grant allocation from DSAC as its ability to generate f</w:t>
      </w:r>
      <w:r w:rsidR="000B0DE5" w:rsidRPr="00133F4D">
        <w:rPr>
          <w:rFonts w:ascii="Arial" w:hAnsi="Arial" w:cs="Arial"/>
          <w:spacing w:val="6"/>
          <w:sz w:val="20"/>
          <w:szCs w:val="20"/>
        </w:rPr>
        <w:t>inancial resources are limited.</w:t>
      </w:r>
      <w:r w:rsidRPr="00133F4D">
        <w:rPr>
          <w:rFonts w:ascii="Arial" w:hAnsi="Arial" w:cs="Arial"/>
          <w:spacing w:val="6"/>
          <w:sz w:val="20"/>
          <w:szCs w:val="20"/>
        </w:rPr>
        <w:t xml:space="preserve"> The entity received no transfer for capital works in the</w:t>
      </w:r>
      <w:r w:rsidR="006C78D2" w:rsidRPr="00133F4D">
        <w:rPr>
          <w:rFonts w:ascii="Arial" w:hAnsi="Arial" w:cs="Arial"/>
          <w:spacing w:val="6"/>
          <w:sz w:val="20"/>
          <w:szCs w:val="20"/>
        </w:rPr>
        <w:t xml:space="preserve"> period under review. However, </w:t>
      </w:r>
      <w:r w:rsidRPr="00133F4D">
        <w:rPr>
          <w:rFonts w:ascii="Arial" w:hAnsi="Arial" w:cs="Arial"/>
          <w:spacing w:val="6"/>
          <w:sz w:val="20"/>
          <w:szCs w:val="20"/>
        </w:rPr>
        <w:t>funds totalling R24.5 million allocated by DSAC for capital works in 2019/2020 financial year were not utilised. The funds were allocated for the upgrade of the Heating, Ventilation, and Air Conditioning (HVAC) system but because of WHAG’s human resource constraint</w:t>
      </w:r>
      <w:r w:rsidR="006C78D2" w:rsidRPr="00133F4D">
        <w:rPr>
          <w:rFonts w:ascii="Arial" w:hAnsi="Arial" w:cs="Arial"/>
          <w:spacing w:val="6"/>
          <w:sz w:val="20"/>
          <w:szCs w:val="20"/>
        </w:rPr>
        <w:t>s, the funds were not utilised.</w:t>
      </w:r>
    </w:p>
    <w:p w:rsidR="00865FEF" w:rsidRPr="00133F4D" w:rsidRDefault="00865FEF" w:rsidP="00133F4D">
      <w:pPr>
        <w:spacing w:after="0" w:line="240" w:lineRule="auto"/>
        <w:jc w:val="left"/>
        <w:rPr>
          <w:rFonts w:ascii="Arial" w:hAnsi="Arial" w:cs="Arial"/>
          <w:spacing w:val="6"/>
          <w:sz w:val="20"/>
          <w:szCs w:val="20"/>
        </w:rPr>
      </w:pPr>
    </w:p>
    <w:p w:rsidR="004B197D" w:rsidRPr="00133F4D" w:rsidRDefault="00375C06"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entity’s total expenditure amounted to R13.7 million, representing 98.7% of the total revenue. The DSAC grant of R11.7 million, in the absence of other revenue sources own, would not have been sufficient to cover the entity’s expenses for the period under review.</w:t>
      </w:r>
      <w:r w:rsidR="00FD1E7E" w:rsidRPr="00133F4D">
        <w:rPr>
          <w:rFonts w:ascii="Arial" w:hAnsi="Arial" w:cs="Arial"/>
          <w:spacing w:val="6"/>
          <w:sz w:val="20"/>
          <w:szCs w:val="20"/>
        </w:rPr>
        <w:t xml:space="preserve"> Employee related costs amounted to R6.2 million</w:t>
      </w:r>
      <w:r w:rsidR="000B0DE5" w:rsidRPr="00133F4D">
        <w:rPr>
          <w:rFonts w:ascii="Arial" w:hAnsi="Arial" w:cs="Arial"/>
          <w:spacing w:val="6"/>
          <w:sz w:val="20"/>
          <w:szCs w:val="20"/>
        </w:rPr>
        <w:t xml:space="preserve"> and general expenses amounted to R6.0 million.</w:t>
      </w:r>
    </w:p>
    <w:p w:rsidR="00385967" w:rsidRPr="00133F4D" w:rsidRDefault="00385967"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At the end of the financial year, the entity’s operating surplus amounted to R182 000. The entity’s total net assets amounted to R173 330.</w:t>
      </w:r>
    </w:p>
    <w:p w:rsidR="00555928" w:rsidRPr="00133F4D" w:rsidRDefault="00555928" w:rsidP="00133F4D">
      <w:pPr>
        <w:spacing w:after="0" w:line="240" w:lineRule="auto"/>
        <w:jc w:val="left"/>
        <w:rPr>
          <w:rFonts w:ascii="Arial" w:hAnsi="Arial" w:cs="Arial"/>
          <w:spacing w:val="6"/>
          <w:sz w:val="20"/>
          <w:szCs w:val="20"/>
        </w:rPr>
      </w:pPr>
    </w:p>
    <w:p w:rsidR="00F81708" w:rsidRPr="00133F4D" w:rsidRDefault="00F81708" w:rsidP="00133F4D">
      <w:pPr>
        <w:pStyle w:val="ListParagraph"/>
        <w:numPr>
          <w:ilvl w:val="2"/>
          <w:numId w:val="43"/>
        </w:numPr>
        <w:spacing w:after="0" w:line="240" w:lineRule="auto"/>
        <w:jc w:val="left"/>
        <w:rPr>
          <w:rFonts w:ascii="Arial" w:hAnsi="Arial" w:cs="Arial"/>
          <w:b/>
          <w:spacing w:val="6"/>
          <w:sz w:val="20"/>
          <w:szCs w:val="20"/>
        </w:rPr>
      </w:pPr>
      <w:r w:rsidRPr="00133F4D">
        <w:rPr>
          <w:rFonts w:ascii="Arial" w:hAnsi="Arial" w:cs="Arial"/>
          <w:b/>
          <w:spacing w:val="6"/>
          <w:sz w:val="20"/>
          <w:szCs w:val="20"/>
        </w:rPr>
        <w:t>Irregular and fruitless and wasteful expenditure</w:t>
      </w:r>
    </w:p>
    <w:p w:rsidR="00D53BCE" w:rsidRPr="00133F4D" w:rsidRDefault="00D53BC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While no irregular expenditure was incurred in the 2021/22 financial year, the entity has a closing balance of R103 000 from a total of R1.1 million that was incurred in the previous reporting period. As per the annual report, this balance is currently under determination for possible referral to I</w:t>
      </w:r>
      <w:r w:rsidR="00917ABE" w:rsidRPr="00133F4D">
        <w:rPr>
          <w:rFonts w:ascii="Arial" w:hAnsi="Arial" w:cs="Arial"/>
          <w:spacing w:val="6"/>
          <w:sz w:val="20"/>
          <w:szCs w:val="20"/>
        </w:rPr>
        <w:t xml:space="preserve">nternal Audit for Investigation. </w:t>
      </w:r>
    </w:p>
    <w:p w:rsidR="00D217D5" w:rsidRPr="00133F4D" w:rsidRDefault="00D217D5"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entity also did not incur any fru</w:t>
      </w:r>
      <w:r w:rsidR="00B32607" w:rsidRPr="00133F4D">
        <w:rPr>
          <w:rFonts w:ascii="Arial" w:hAnsi="Arial" w:cs="Arial"/>
          <w:spacing w:val="6"/>
          <w:sz w:val="20"/>
          <w:szCs w:val="20"/>
        </w:rPr>
        <w:t xml:space="preserve">itless and wasteful expenditure and the opening balance of R20 000 at the beginning of the 2021/22 was approved and written off by the end of the reporting period, leaving the entity with a zero </w:t>
      </w:r>
      <w:r w:rsidR="00C42E99" w:rsidRPr="00133F4D">
        <w:rPr>
          <w:rFonts w:ascii="Arial" w:hAnsi="Arial" w:cs="Arial"/>
          <w:spacing w:val="6"/>
          <w:sz w:val="20"/>
          <w:szCs w:val="20"/>
        </w:rPr>
        <w:t xml:space="preserve">closing </w:t>
      </w:r>
      <w:r w:rsidR="00B32607" w:rsidRPr="00133F4D">
        <w:rPr>
          <w:rFonts w:ascii="Arial" w:hAnsi="Arial" w:cs="Arial"/>
          <w:spacing w:val="6"/>
          <w:sz w:val="20"/>
          <w:szCs w:val="20"/>
        </w:rPr>
        <w:t>balance.</w:t>
      </w:r>
    </w:p>
    <w:p w:rsidR="00EF438E" w:rsidRPr="00133F4D" w:rsidRDefault="00EF438E" w:rsidP="00133F4D">
      <w:pPr>
        <w:spacing w:after="0" w:line="240" w:lineRule="auto"/>
        <w:jc w:val="left"/>
        <w:rPr>
          <w:rFonts w:ascii="Arial" w:hAnsi="Arial" w:cs="Arial"/>
          <w:spacing w:val="6"/>
          <w:sz w:val="20"/>
          <w:szCs w:val="20"/>
        </w:rPr>
      </w:pPr>
    </w:p>
    <w:p w:rsidR="00F81708" w:rsidRPr="00133F4D" w:rsidRDefault="00F81708" w:rsidP="00133F4D">
      <w:pPr>
        <w:pStyle w:val="ListParagraph"/>
        <w:numPr>
          <w:ilvl w:val="2"/>
          <w:numId w:val="43"/>
        </w:numPr>
        <w:spacing w:after="0" w:line="240" w:lineRule="auto"/>
        <w:jc w:val="left"/>
        <w:rPr>
          <w:rFonts w:ascii="Arial" w:hAnsi="Arial" w:cs="Arial"/>
          <w:b/>
          <w:spacing w:val="6"/>
          <w:sz w:val="20"/>
          <w:szCs w:val="20"/>
        </w:rPr>
      </w:pPr>
      <w:r w:rsidRPr="00133F4D">
        <w:rPr>
          <w:rFonts w:ascii="Arial" w:hAnsi="Arial" w:cs="Arial"/>
          <w:b/>
          <w:spacing w:val="6"/>
          <w:sz w:val="20"/>
          <w:szCs w:val="20"/>
        </w:rPr>
        <w:t>2021/22 Audit outcomes</w:t>
      </w:r>
    </w:p>
    <w:p w:rsidR="00546DD5" w:rsidRPr="00133F4D" w:rsidRDefault="00546DD5"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WHAG’s audit opinion improved from unqualified with findings for the 2019/20 financial year to an unqualified with no findings (clean) audit opinion for following two financial years.</w:t>
      </w:r>
    </w:p>
    <w:p w:rsidR="009A53E8" w:rsidRPr="00133F4D" w:rsidRDefault="009A53E8"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AG did however note the following:</w:t>
      </w:r>
    </w:p>
    <w:p w:rsidR="009A53E8" w:rsidRPr="00133F4D" w:rsidRDefault="009A53E8"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Corresponding figures for 31 March 2021 were restated as a result of errors in the financial statements of the entity and for the year ended 31 March 2022.</w:t>
      </w:r>
    </w:p>
    <w:p w:rsidR="00212DA4" w:rsidRPr="00133F4D" w:rsidRDefault="008A2631" w:rsidP="00133F4D">
      <w:pPr>
        <w:pStyle w:val="ListParagraph"/>
        <w:numPr>
          <w:ilvl w:val="0"/>
          <w:numId w:val="34"/>
        </w:numPr>
        <w:spacing w:after="0" w:line="240" w:lineRule="auto"/>
        <w:jc w:val="left"/>
        <w:rPr>
          <w:rFonts w:ascii="Arial" w:hAnsi="Arial" w:cs="Arial"/>
          <w:spacing w:val="6"/>
          <w:sz w:val="20"/>
          <w:szCs w:val="20"/>
        </w:rPr>
      </w:pPr>
      <w:r w:rsidRPr="00133F4D">
        <w:rPr>
          <w:rFonts w:ascii="Arial" w:hAnsi="Arial" w:cs="Arial"/>
          <w:spacing w:val="6"/>
          <w:sz w:val="20"/>
          <w:szCs w:val="20"/>
        </w:rPr>
        <w:t>An uncertainty relating to the future outcome of exceptional litigation: the litigation involving the former director at the Commission for Conciliation, Mediation and Arbitration (CCMA) has been finalised in favour of the Gallery. The case has been referred to the Labour Court for review. The timing and amount of the contingent liability is uncertain and no reasonable estimate can be made at this point.</w:t>
      </w:r>
    </w:p>
    <w:p w:rsidR="009573CE" w:rsidRPr="00133F4D" w:rsidRDefault="009573CE" w:rsidP="00133F4D">
      <w:pPr>
        <w:spacing w:after="0" w:line="240" w:lineRule="auto"/>
        <w:jc w:val="left"/>
        <w:rPr>
          <w:rFonts w:ascii="Arial" w:hAnsi="Arial" w:cs="Arial"/>
          <w:spacing w:val="6"/>
          <w:sz w:val="20"/>
          <w:szCs w:val="20"/>
        </w:rPr>
      </w:pPr>
    </w:p>
    <w:p w:rsidR="003520AA" w:rsidRPr="00133F4D" w:rsidRDefault="003520AA" w:rsidP="00133F4D">
      <w:pPr>
        <w:pStyle w:val="Heading1"/>
        <w:spacing w:before="0" w:line="240" w:lineRule="auto"/>
        <w:ind w:left="567" w:hanging="567"/>
        <w:jc w:val="left"/>
        <w:rPr>
          <w:rFonts w:ascii="Arial" w:hAnsi="Arial" w:cs="Arial"/>
          <w:spacing w:val="6"/>
          <w:sz w:val="20"/>
          <w:szCs w:val="20"/>
        </w:rPr>
      </w:pPr>
      <w:bookmarkStart w:id="27" w:name="_Toc88519319"/>
      <w:bookmarkEnd w:id="26"/>
      <w:r w:rsidRPr="00133F4D">
        <w:rPr>
          <w:rFonts w:ascii="Arial" w:hAnsi="Arial" w:cs="Arial"/>
          <w:spacing w:val="6"/>
          <w:sz w:val="20"/>
          <w:szCs w:val="20"/>
        </w:rPr>
        <w:t>ISSUES RAISED DURING DELIBERATIONS</w:t>
      </w:r>
    </w:p>
    <w:p w:rsidR="00774E14" w:rsidRPr="00133F4D" w:rsidRDefault="003520AA"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following concerns were raised </w:t>
      </w:r>
      <w:r w:rsidR="00836FAE" w:rsidRPr="00133F4D">
        <w:rPr>
          <w:rFonts w:ascii="Arial" w:hAnsi="Arial" w:cs="Arial"/>
          <w:spacing w:val="6"/>
          <w:sz w:val="20"/>
          <w:szCs w:val="20"/>
        </w:rPr>
        <w:t xml:space="preserve">in relation to </w:t>
      </w:r>
      <w:r w:rsidRPr="00133F4D">
        <w:rPr>
          <w:rFonts w:ascii="Arial" w:hAnsi="Arial" w:cs="Arial"/>
          <w:spacing w:val="6"/>
          <w:sz w:val="20"/>
          <w:szCs w:val="20"/>
        </w:rPr>
        <w:t xml:space="preserve">the performance of the Department </w:t>
      </w:r>
      <w:r w:rsidR="00836FAE" w:rsidRPr="00133F4D">
        <w:rPr>
          <w:rFonts w:ascii="Arial" w:hAnsi="Arial" w:cs="Arial"/>
          <w:spacing w:val="6"/>
          <w:sz w:val="20"/>
          <w:szCs w:val="20"/>
        </w:rPr>
        <w:t xml:space="preserve">and its entities </w:t>
      </w:r>
      <w:r w:rsidRPr="00133F4D">
        <w:rPr>
          <w:rFonts w:ascii="Arial" w:hAnsi="Arial" w:cs="Arial"/>
          <w:spacing w:val="6"/>
          <w:sz w:val="20"/>
          <w:szCs w:val="20"/>
        </w:rPr>
        <w:t>during the Committee’s deliberations:</w:t>
      </w:r>
    </w:p>
    <w:p w:rsidR="00774E14" w:rsidRPr="00133F4D" w:rsidRDefault="00774E14" w:rsidP="00133F4D">
      <w:pPr>
        <w:spacing w:after="0" w:line="240" w:lineRule="auto"/>
        <w:jc w:val="left"/>
        <w:rPr>
          <w:rFonts w:ascii="Arial" w:hAnsi="Arial" w:cs="Arial"/>
          <w:spacing w:val="6"/>
          <w:sz w:val="20"/>
          <w:szCs w:val="20"/>
        </w:rPr>
      </w:pPr>
    </w:p>
    <w:p w:rsidR="00FA6825" w:rsidRPr="00133F4D" w:rsidRDefault="00FA6825" w:rsidP="00133F4D">
      <w:pPr>
        <w:pStyle w:val="Heading2"/>
        <w:numPr>
          <w:ilvl w:val="1"/>
          <w:numId w:val="44"/>
        </w:numPr>
        <w:spacing w:line="240" w:lineRule="auto"/>
        <w:jc w:val="left"/>
        <w:rPr>
          <w:rFonts w:ascii="Arial" w:hAnsi="Arial" w:cs="Arial"/>
          <w:sz w:val="20"/>
          <w:szCs w:val="20"/>
        </w:rPr>
      </w:pPr>
      <w:r w:rsidRPr="00133F4D">
        <w:rPr>
          <w:rFonts w:ascii="Arial" w:hAnsi="Arial" w:cs="Arial"/>
          <w:sz w:val="20"/>
          <w:szCs w:val="20"/>
        </w:rPr>
        <w:t>Leadership instability and vacancies</w:t>
      </w:r>
    </w:p>
    <w:p w:rsidR="00460873" w:rsidRPr="00133F4D" w:rsidRDefault="00F648CF"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Committee noted </w:t>
      </w:r>
      <w:r w:rsidR="007E3121" w:rsidRPr="00133F4D">
        <w:rPr>
          <w:rFonts w:ascii="Arial" w:hAnsi="Arial" w:cs="Arial"/>
          <w:spacing w:val="6"/>
          <w:sz w:val="20"/>
          <w:szCs w:val="20"/>
        </w:rPr>
        <w:t xml:space="preserve">with concern </w:t>
      </w:r>
      <w:r w:rsidRPr="00133F4D">
        <w:rPr>
          <w:rFonts w:ascii="Arial" w:hAnsi="Arial" w:cs="Arial"/>
          <w:spacing w:val="6"/>
          <w:sz w:val="20"/>
          <w:szCs w:val="20"/>
        </w:rPr>
        <w:t>that a number of entities are operating with vacant key positions which are occupied by officials that are acting in these positions</w:t>
      </w:r>
      <w:r w:rsidR="007E3121" w:rsidRPr="00133F4D">
        <w:rPr>
          <w:rFonts w:ascii="Arial" w:hAnsi="Arial" w:cs="Arial"/>
          <w:spacing w:val="6"/>
          <w:sz w:val="20"/>
          <w:szCs w:val="20"/>
        </w:rPr>
        <w:t>, e.g. the vacant CEO position at the National Arts Council.</w:t>
      </w:r>
      <w:r w:rsidR="00F84361" w:rsidRPr="00133F4D">
        <w:rPr>
          <w:rFonts w:ascii="Arial" w:hAnsi="Arial" w:cs="Arial"/>
          <w:spacing w:val="6"/>
          <w:sz w:val="20"/>
          <w:szCs w:val="20"/>
        </w:rPr>
        <w:t xml:space="preserve"> </w:t>
      </w:r>
      <w:r w:rsidR="00D54333" w:rsidRPr="00133F4D">
        <w:rPr>
          <w:rFonts w:ascii="Arial" w:hAnsi="Arial" w:cs="Arial"/>
          <w:spacing w:val="6"/>
          <w:sz w:val="20"/>
          <w:szCs w:val="20"/>
        </w:rPr>
        <w:t>Additionally, the contract for the Department’s Director-General has recently ended and the position is vacant as at the end of August 2022.</w:t>
      </w:r>
      <w:r w:rsidR="000C7413" w:rsidRPr="00133F4D">
        <w:rPr>
          <w:rFonts w:ascii="Arial" w:hAnsi="Arial" w:cs="Arial"/>
          <w:spacing w:val="6"/>
          <w:sz w:val="20"/>
          <w:szCs w:val="20"/>
        </w:rPr>
        <w:t xml:space="preserve"> The Department reported that the vacancy rate as at the end of the 2021/22 financial year</w:t>
      </w:r>
      <w:r w:rsidR="000C3384" w:rsidRPr="00133F4D">
        <w:rPr>
          <w:rFonts w:ascii="Arial" w:hAnsi="Arial" w:cs="Arial"/>
          <w:spacing w:val="6"/>
          <w:sz w:val="20"/>
          <w:szCs w:val="20"/>
        </w:rPr>
        <w:t xml:space="preserve"> was 19.7% and that it is finding it challenging to reduce this figure due to </w:t>
      </w:r>
      <w:r w:rsidR="003964BE" w:rsidRPr="00133F4D">
        <w:rPr>
          <w:rFonts w:ascii="Arial" w:hAnsi="Arial" w:cs="Arial"/>
          <w:spacing w:val="6"/>
          <w:sz w:val="20"/>
          <w:szCs w:val="20"/>
        </w:rPr>
        <w:t xml:space="preserve">the impact of COVID-19 on the recruitment process; the </w:t>
      </w:r>
      <w:r w:rsidR="004B549A" w:rsidRPr="00133F4D">
        <w:rPr>
          <w:rFonts w:ascii="Arial" w:hAnsi="Arial" w:cs="Arial"/>
          <w:spacing w:val="6"/>
          <w:sz w:val="20"/>
          <w:szCs w:val="20"/>
        </w:rPr>
        <w:t xml:space="preserve">changes in employments, </w:t>
      </w:r>
      <w:r w:rsidR="00CB5993" w:rsidRPr="00133F4D">
        <w:rPr>
          <w:rFonts w:ascii="Arial" w:hAnsi="Arial" w:cs="Arial"/>
          <w:spacing w:val="6"/>
          <w:sz w:val="20"/>
          <w:szCs w:val="20"/>
        </w:rPr>
        <w:t xml:space="preserve">and staff </w:t>
      </w:r>
      <w:r w:rsidR="003078DD" w:rsidRPr="00133F4D">
        <w:rPr>
          <w:rFonts w:ascii="Arial" w:hAnsi="Arial" w:cs="Arial"/>
          <w:spacing w:val="6"/>
          <w:sz w:val="20"/>
          <w:szCs w:val="20"/>
        </w:rPr>
        <w:t xml:space="preserve">who resign as a result of anxiety </w:t>
      </w:r>
      <w:r w:rsidR="00CB5993" w:rsidRPr="00133F4D">
        <w:rPr>
          <w:rFonts w:ascii="Arial" w:hAnsi="Arial" w:cs="Arial"/>
          <w:spacing w:val="6"/>
          <w:sz w:val="20"/>
          <w:szCs w:val="20"/>
        </w:rPr>
        <w:t>brought</w:t>
      </w:r>
      <w:r w:rsidR="003078DD" w:rsidRPr="00133F4D">
        <w:rPr>
          <w:rFonts w:ascii="Arial" w:hAnsi="Arial" w:cs="Arial"/>
          <w:spacing w:val="6"/>
          <w:sz w:val="20"/>
          <w:szCs w:val="20"/>
        </w:rPr>
        <w:t xml:space="preserve"> on</w:t>
      </w:r>
      <w:r w:rsidR="00CB5993" w:rsidRPr="00133F4D">
        <w:rPr>
          <w:rFonts w:ascii="Arial" w:hAnsi="Arial" w:cs="Arial"/>
          <w:spacing w:val="6"/>
          <w:sz w:val="20"/>
          <w:szCs w:val="20"/>
        </w:rPr>
        <w:t xml:space="preserve"> by a structure that has not yet been finalised.</w:t>
      </w:r>
    </w:p>
    <w:p w:rsidR="00460873" w:rsidRPr="00133F4D" w:rsidRDefault="00460873" w:rsidP="00133F4D">
      <w:pPr>
        <w:spacing w:after="0" w:line="240" w:lineRule="auto"/>
        <w:jc w:val="left"/>
        <w:rPr>
          <w:rFonts w:ascii="Arial" w:hAnsi="Arial" w:cs="Arial"/>
          <w:spacing w:val="6"/>
          <w:sz w:val="20"/>
          <w:szCs w:val="20"/>
        </w:rPr>
      </w:pPr>
    </w:p>
    <w:p w:rsidR="00460873" w:rsidRPr="00133F4D" w:rsidRDefault="002E6E47" w:rsidP="00133F4D">
      <w:pPr>
        <w:pStyle w:val="ListParagraph"/>
        <w:numPr>
          <w:ilvl w:val="1"/>
          <w:numId w:val="44"/>
        </w:numPr>
        <w:spacing w:after="0" w:line="240" w:lineRule="auto"/>
        <w:jc w:val="left"/>
        <w:rPr>
          <w:rFonts w:ascii="Arial" w:hAnsi="Arial" w:cs="Arial"/>
          <w:b/>
          <w:sz w:val="20"/>
          <w:szCs w:val="20"/>
        </w:rPr>
      </w:pPr>
      <w:r w:rsidRPr="00133F4D">
        <w:rPr>
          <w:rFonts w:ascii="Arial" w:hAnsi="Arial" w:cs="Arial"/>
          <w:b/>
          <w:sz w:val="20"/>
          <w:szCs w:val="20"/>
        </w:rPr>
        <w:t>Irregular expenditure</w:t>
      </w:r>
    </w:p>
    <w:p w:rsidR="00460873" w:rsidRPr="00133F4D" w:rsidRDefault="00460873"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Based on the briefing by the Office of the AG, the Committee is perturbed by the marked increase in irregular expenditure between 2020/21 and 2021/22. Additionally, the upward trend in the closing balance of </w:t>
      </w:r>
      <w:r w:rsidR="00AC2D4E" w:rsidRPr="00133F4D">
        <w:rPr>
          <w:rFonts w:ascii="Arial" w:hAnsi="Arial" w:cs="Arial"/>
          <w:spacing w:val="6"/>
          <w:sz w:val="20"/>
          <w:szCs w:val="20"/>
        </w:rPr>
        <w:t>irregular expenditure does not inspire confidence that this matter will be brought under control.</w:t>
      </w:r>
    </w:p>
    <w:p w:rsidR="00E974A8" w:rsidRPr="00133F4D" w:rsidRDefault="00E974A8" w:rsidP="00133F4D">
      <w:pPr>
        <w:spacing w:after="0" w:line="240" w:lineRule="auto"/>
        <w:jc w:val="left"/>
        <w:rPr>
          <w:rFonts w:ascii="Arial" w:hAnsi="Arial" w:cs="Arial"/>
          <w:sz w:val="20"/>
          <w:szCs w:val="20"/>
        </w:rPr>
      </w:pPr>
    </w:p>
    <w:p w:rsidR="00E974A8" w:rsidRPr="00133F4D" w:rsidRDefault="00E974A8"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lastRenderedPageBreak/>
        <w:t xml:space="preserve">Investigations and consequence </w:t>
      </w:r>
      <w:r w:rsidR="000C7413" w:rsidRPr="00133F4D">
        <w:rPr>
          <w:rFonts w:ascii="Arial" w:hAnsi="Arial" w:cs="Arial"/>
          <w:b/>
          <w:spacing w:val="6"/>
          <w:sz w:val="20"/>
          <w:szCs w:val="20"/>
        </w:rPr>
        <w:t>management</w:t>
      </w:r>
    </w:p>
    <w:p w:rsidR="00E974A8" w:rsidRPr="00133F4D" w:rsidRDefault="00325137" w:rsidP="00133F4D">
      <w:pPr>
        <w:spacing w:after="0" w:line="240" w:lineRule="auto"/>
        <w:jc w:val="left"/>
        <w:rPr>
          <w:rFonts w:ascii="Arial" w:hAnsi="Arial" w:cs="Arial"/>
          <w:sz w:val="20"/>
          <w:szCs w:val="20"/>
        </w:rPr>
      </w:pPr>
      <w:r w:rsidRPr="00133F4D">
        <w:rPr>
          <w:rFonts w:ascii="Arial" w:hAnsi="Arial" w:cs="Arial"/>
          <w:sz w:val="20"/>
          <w:szCs w:val="20"/>
        </w:rPr>
        <w:t xml:space="preserve">The Committee noted that a number of allegations across the entities were investigated and are at varying points of implementation of consequence management. </w:t>
      </w:r>
      <w:r w:rsidR="00A97D55" w:rsidRPr="00133F4D">
        <w:rPr>
          <w:rFonts w:ascii="Arial" w:hAnsi="Arial" w:cs="Arial"/>
          <w:sz w:val="20"/>
          <w:szCs w:val="20"/>
        </w:rPr>
        <w:t>The entities highlighted by the AG’s report to the Committee includes the National Heritage Council, Boxing South Africa, the Performing Arts Centre of the Free State, and the National Arts Council.</w:t>
      </w:r>
      <w:r w:rsidR="002D79C1" w:rsidRPr="00133F4D">
        <w:rPr>
          <w:rFonts w:ascii="Arial" w:hAnsi="Arial" w:cs="Arial"/>
          <w:sz w:val="20"/>
          <w:szCs w:val="20"/>
        </w:rPr>
        <w:t xml:space="preserve"> The Committee is concerned about the protracted nature of some of the investigations and the subsequent delays in </w:t>
      </w:r>
      <w:r w:rsidR="001879F8" w:rsidRPr="00133F4D">
        <w:rPr>
          <w:rFonts w:ascii="Arial" w:hAnsi="Arial" w:cs="Arial"/>
          <w:sz w:val="20"/>
          <w:szCs w:val="20"/>
        </w:rPr>
        <w:t>the implementation</w:t>
      </w:r>
      <w:r w:rsidR="002D79C1" w:rsidRPr="00133F4D">
        <w:rPr>
          <w:rFonts w:ascii="Arial" w:hAnsi="Arial" w:cs="Arial"/>
          <w:sz w:val="20"/>
          <w:szCs w:val="20"/>
        </w:rPr>
        <w:t xml:space="preserve"> consequence management.</w:t>
      </w:r>
    </w:p>
    <w:p w:rsidR="00325137" w:rsidRPr="00133F4D" w:rsidRDefault="00325137" w:rsidP="00133F4D">
      <w:pPr>
        <w:spacing w:after="0" w:line="240" w:lineRule="auto"/>
        <w:jc w:val="left"/>
        <w:rPr>
          <w:rFonts w:ascii="Arial" w:hAnsi="Arial" w:cs="Arial"/>
          <w:sz w:val="20"/>
          <w:szCs w:val="20"/>
        </w:rPr>
      </w:pPr>
    </w:p>
    <w:p w:rsidR="00460873" w:rsidRPr="00133F4D" w:rsidRDefault="00460873"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t>Implementation of Cultural Creative Industries Masterplan</w:t>
      </w:r>
    </w:p>
    <w:p w:rsidR="00E819AF" w:rsidRPr="00133F4D" w:rsidRDefault="002A3116"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Committee notes with appreciation</w:t>
      </w:r>
      <w:r w:rsidR="00D067DE" w:rsidRPr="00133F4D">
        <w:rPr>
          <w:rFonts w:ascii="Arial" w:hAnsi="Arial" w:cs="Arial"/>
          <w:spacing w:val="6"/>
          <w:sz w:val="20"/>
          <w:szCs w:val="20"/>
        </w:rPr>
        <w:t xml:space="preserve"> and welcomes</w:t>
      </w:r>
      <w:r w:rsidRPr="00133F4D">
        <w:rPr>
          <w:rFonts w:ascii="Arial" w:hAnsi="Arial" w:cs="Arial"/>
          <w:spacing w:val="6"/>
          <w:sz w:val="20"/>
          <w:szCs w:val="20"/>
        </w:rPr>
        <w:t xml:space="preserve"> the work of the Department together with other relevant Government department</w:t>
      </w:r>
      <w:r w:rsidR="009111D7" w:rsidRPr="00133F4D">
        <w:rPr>
          <w:rFonts w:ascii="Arial" w:hAnsi="Arial" w:cs="Arial"/>
          <w:spacing w:val="6"/>
          <w:sz w:val="20"/>
          <w:szCs w:val="20"/>
        </w:rPr>
        <w:t>s</w:t>
      </w:r>
      <w:r w:rsidRPr="00133F4D">
        <w:rPr>
          <w:rFonts w:ascii="Arial" w:hAnsi="Arial" w:cs="Arial"/>
          <w:spacing w:val="6"/>
          <w:sz w:val="20"/>
          <w:szCs w:val="20"/>
        </w:rPr>
        <w:t xml:space="preserve"> in </w:t>
      </w:r>
      <w:r w:rsidR="000E2120" w:rsidRPr="00133F4D">
        <w:rPr>
          <w:rFonts w:ascii="Arial" w:hAnsi="Arial" w:cs="Arial"/>
          <w:spacing w:val="6"/>
          <w:sz w:val="20"/>
          <w:szCs w:val="20"/>
        </w:rPr>
        <w:t>developing</w:t>
      </w:r>
      <w:r w:rsidRPr="00133F4D">
        <w:rPr>
          <w:rFonts w:ascii="Arial" w:hAnsi="Arial" w:cs="Arial"/>
          <w:spacing w:val="6"/>
          <w:sz w:val="20"/>
          <w:szCs w:val="20"/>
        </w:rPr>
        <w:t xml:space="preserve"> this masterplan</w:t>
      </w:r>
      <w:r w:rsidR="009258BF" w:rsidRPr="00133F4D">
        <w:rPr>
          <w:rFonts w:ascii="Arial" w:hAnsi="Arial" w:cs="Arial"/>
          <w:spacing w:val="6"/>
          <w:sz w:val="20"/>
          <w:szCs w:val="20"/>
        </w:rPr>
        <w:t>. The plan,</w:t>
      </w:r>
      <w:r w:rsidR="00E819AF" w:rsidRPr="00133F4D">
        <w:rPr>
          <w:rFonts w:ascii="Arial" w:hAnsi="Arial" w:cs="Arial"/>
          <w:spacing w:val="6"/>
          <w:sz w:val="20"/>
          <w:szCs w:val="20"/>
        </w:rPr>
        <w:t xml:space="preserve"> which has been approved by Cabinet and in the</w:t>
      </w:r>
      <w:r w:rsidR="00394F02" w:rsidRPr="00133F4D">
        <w:rPr>
          <w:rFonts w:ascii="Arial" w:hAnsi="Arial" w:cs="Arial"/>
          <w:spacing w:val="6"/>
          <w:sz w:val="20"/>
          <w:szCs w:val="20"/>
        </w:rPr>
        <w:t xml:space="preserve"> process of being implemented</w:t>
      </w:r>
      <w:r w:rsidR="009258BF" w:rsidRPr="00133F4D">
        <w:rPr>
          <w:rFonts w:ascii="Arial" w:hAnsi="Arial" w:cs="Arial"/>
          <w:spacing w:val="6"/>
          <w:sz w:val="20"/>
          <w:szCs w:val="20"/>
        </w:rPr>
        <w:t xml:space="preserve">, will </w:t>
      </w:r>
      <w:r w:rsidR="00394F02" w:rsidRPr="00133F4D">
        <w:rPr>
          <w:rFonts w:ascii="Arial" w:hAnsi="Arial" w:cs="Arial"/>
          <w:spacing w:val="6"/>
          <w:sz w:val="20"/>
          <w:szCs w:val="20"/>
        </w:rPr>
        <w:t>contribute to the creative industries’ recovery after the COVID</w:t>
      </w:r>
      <w:r w:rsidR="00E20D71" w:rsidRPr="00133F4D">
        <w:rPr>
          <w:rFonts w:ascii="Arial" w:hAnsi="Arial" w:cs="Arial"/>
          <w:spacing w:val="6"/>
          <w:sz w:val="20"/>
          <w:szCs w:val="20"/>
        </w:rPr>
        <w:t>-19 pandemic through defined goals to be attained by 2040.</w:t>
      </w:r>
      <w:r w:rsidR="00D869DB" w:rsidRPr="00133F4D">
        <w:rPr>
          <w:rFonts w:ascii="Arial" w:hAnsi="Arial" w:cs="Arial"/>
          <w:spacing w:val="6"/>
          <w:sz w:val="20"/>
          <w:szCs w:val="20"/>
        </w:rPr>
        <w:t xml:space="preserve"> This is another positive step in the direction of recognising the capacity of the cultural and creative sector to generate economic and social benefits for the country.</w:t>
      </w:r>
    </w:p>
    <w:p w:rsidR="002A3116" w:rsidRPr="00133F4D" w:rsidRDefault="002A3116" w:rsidP="00133F4D">
      <w:pPr>
        <w:spacing w:after="0" w:line="240" w:lineRule="auto"/>
        <w:jc w:val="left"/>
        <w:rPr>
          <w:rFonts w:ascii="Arial" w:hAnsi="Arial" w:cs="Arial"/>
          <w:spacing w:val="6"/>
          <w:sz w:val="20"/>
          <w:szCs w:val="20"/>
        </w:rPr>
      </w:pPr>
    </w:p>
    <w:p w:rsidR="00460873" w:rsidRPr="00133F4D" w:rsidRDefault="00460873"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t>Delays in the finalisation of heritage legacy projects</w:t>
      </w:r>
    </w:p>
    <w:p w:rsidR="0078757A" w:rsidRPr="00133F4D" w:rsidRDefault="0078757A"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Committee </w:t>
      </w:r>
      <w:r w:rsidR="00C27F01" w:rsidRPr="00133F4D">
        <w:rPr>
          <w:rFonts w:ascii="Arial" w:hAnsi="Arial" w:cs="Arial"/>
          <w:spacing w:val="6"/>
          <w:sz w:val="20"/>
          <w:szCs w:val="20"/>
        </w:rPr>
        <w:t>have once</w:t>
      </w:r>
      <w:r w:rsidRPr="00133F4D">
        <w:rPr>
          <w:rFonts w:ascii="Arial" w:hAnsi="Arial" w:cs="Arial"/>
          <w:spacing w:val="6"/>
          <w:sz w:val="20"/>
          <w:szCs w:val="20"/>
        </w:rPr>
        <w:t xml:space="preserve"> again expressed their concerns with the delays experienced in the implementation of the planned heritage legacy projects</w:t>
      </w:r>
      <w:r w:rsidR="005521A2" w:rsidRPr="00133F4D">
        <w:rPr>
          <w:rFonts w:ascii="Arial" w:hAnsi="Arial" w:cs="Arial"/>
          <w:spacing w:val="6"/>
          <w:sz w:val="20"/>
          <w:szCs w:val="20"/>
        </w:rPr>
        <w:t xml:space="preserve"> developed and/or maintained to</w:t>
      </w:r>
      <w:r w:rsidR="00C27F01" w:rsidRPr="00133F4D">
        <w:rPr>
          <w:rFonts w:ascii="Arial" w:hAnsi="Arial" w:cs="Arial"/>
          <w:spacing w:val="6"/>
          <w:sz w:val="20"/>
          <w:szCs w:val="20"/>
        </w:rPr>
        <w:t xml:space="preserve"> </w:t>
      </w:r>
      <w:r w:rsidR="005521A2" w:rsidRPr="00133F4D">
        <w:rPr>
          <w:rFonts w:ascii="Arial" w:hAnsi="Arial" w:cs="Arial"/>
          <w:spacing w:val="6"/>
          <w:sz w:val="20"/>
          <w:szCs w:val="20"/>
        </w:rPr>
        <w:t>transform the national heritage landscape</w:t>
      </w:r>
      <w:r w:rsidR="00C27F01" w:rsidRPr="00133F4D">
        <w:rPr>
          <w:rFonts w:ascii="Arial" w:hAnsi="Arial" w:cs="Arial"/>
          <w:spacing w:val="6"/>
          <w:sz w:val="20"/>
          <w:szCs w:val="20"/>
        </w:rPr>
        <w:t>. In the 2021/22 financial year, three projects, namely the Isibhubhu Cultural Arena (Enyokeni); the Sarah Baartman Centre of Remembrance; and Dr John L Dube House</w:t>
      </w:r>
      <w:r w:rsidRPr="00133F4D">
        <w:rPr>
          <w:rFonts w:ascii="Arial" w:hAnsi="Arial" w:cs="Arial"/>
          <w:spacing w:val="6"/>
          <w:sz w:val="20"/>
          <w:szCs w:val="20"/>
        </w:rPr>
        <w:t xml:space="preserve"> </w:t>
      </w:r>
      <w:r w:rsidR="00C27F01" w:rsidRPr="00133F4D">
        <w:rPr>
          <w:rFonts w:ascii="Arial" w:hAnsi="Arial" w:cs="Arial"/>
          <w:spacing w:val="6"/>
          <w:sz w:val="20"/>
          <w:szCs w:val="20"/>
        </w:rPr>
        <w:t xml:space="preserve">were yet again delayed due to </w:t>
      </w:r>
      <w:r w:rsidR="00A671C8" w:rsidRPr="00133F4D">
        <w:rPr>
          <w:rFonts w:ascii="Arial" w:hAnsi="Arial" w:cs="Arial"/>
          <w:spacing w:val="6"/>
          <w:sz w:val="20"/>
          <w:szCs w:val="20"/>
        </w:rPr>
        <w:t>various challenges.</w:t>
      </w:r>
      <w:r w:rsidR="00B87208" w:rsidRPr="00133F4D">
        <w:rPr>
          <w:rFonts w:ascii="Arial" w:hAnsi="Arial" w:cs="Arial"/>
          <w:spacing w:val="6"/>
          <w:sz w:val="20"/>
          <w:szCs w:val="20"/>
        </w:rPr>
        <w:t xml:space="preserve"> The Committee has continuously probed the Department to provide feedback</w:t>
      </w:r>
    </w:p>
    <w:p w:rsidR="00C27F01" w:rsidRPr="00133F4D" w:rsidRDefault="00C27F01" w:rsidP="00133F4D">
      <w:pPr>
        <w:spacing w:after="0" w:line="240" w:lineRule="auto"/>
        <w:jc w:val="left"/>
        <w:rPr>
          <w:rFonts w:ascii="Arial" w:hAnsi="Arial" w:cs="Arial"/>
          <w:spacing w:val="6"/>
          <w:sz w:val="20"/>
          <w:szCs w:val="20"/>
        </w:rPr>
      </w:pPr>
    </w:p>
    <w:p w:rsidR="00460873" w:rsidRPr="00133F4D" w:rsidRDefault="00460873"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t>Transformation in sports</w:t>
      </w:r>
    </w:p>
    <w:p w:rsidR="000C4EE5" w:rsidRPr="00133F4D" w:rsidRDefault="00D6476A"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Transformation in sport requires a multipronged approach that includes the promotion of minority sporting codes in township and rural schools; adequate financial support; and the provision suitable infrastructure. </w:t>
      </w:r>
      <w:r w:rsidR="000C4EE5" w:rsidRPr="00133F4D">
        <w:rPr>
          <w:rFonts w:ascii="Arial" w:hAnsi="Arial" w:cs="Arial"/>
          <w:spacing w:val="6"/>
          <w:sz w:val="20"/>
          <w:szCs w:val="20"/>
        </w:rPr>
        <w:t xml:space="preserve">The Committee </w:t>
      </w:r>
      <w:r w:rsidRPr="00133F4D">
        <w:rPr>
          <w:rFonts w:ascii="Arial" w:hAnsi="Arial" w:cs="Arial"/>
          <w:spacing w:val="6"/>
          <w:sz w:val="20"/>
          <w:szCs w:val="20"/>
        </w:rPr>
        <w:t xml:space="preserve">thus </w:t>
      </w:r>
      <w:r w:rsidR="000C4EE5" w:rsidRPr="00133F4D">
        <w:rPr>
          <w:rFonts w:ascii="Arial" w:hAnsi="Arial" w:cs="Arial"/>
          <w:spacing w:val="6"/>
          <w:sz w:val="20"/>
          <w:szCs w:val="20"/>
        </w:rPr>
        <w:t xml:space="preserve">notes the </w:t>
      </w:r>
      <w:r w:rsidR="00AE77EF" w:rsidRPr="00133F4D">
        <w:rPr>
          <w:rFonts w:ascii="Arial" w:hAnsi="Arial" w:cs="Arial"/>
          <w:spacing w:val="6"/>
          <w:sz w:val="20"/>
          <w:szCs w:val="20"/>
        </w:rPr>
        <w:t>achievements of grassroots level projects such as the</w:t>
      </w:r>
      <w:r w:rsidR="000C4EE5" w:rsidRPr="00133F4D">
        <w:rPr>
          <w:rFonts w:ascii="Arial" w:hAnsi="Arial" w:cs="Arial"/>
          <w:spacing w:val="6"/>
          <w:sz w:val="20"/>
          <w:szCs w:val="20"/>
        </w:rPr>
        <w:t xml:space="preserve"> Langa Hockey Club</w:t>
      </w:r>
      <w:r w:rsidR="0003331B" w:rsidRPr="00133F4D">
        <w:rPr>
          <w:rFonts w:ascii="Arial" w:hAnsi="Arial" w:cs="Arial"/>
          <w:spacing w:val="6"/>
          <w:sz w:val="20"/>
          <w:szCs w:val="20"/>
        </w:rPr>
        <w:t>.</w:t>
      </w:r>
      <w:r w:rsidR="00E56F61" w:rsidRPr="00133F4D">
        <w:rPr>
          <w:rFonts w:ascii="Arial" w:hAnsi="Arial" w:cs="Arial"/>
          <w:spacing w:val="6"/>
          <w:sz w:val="20"/>
          <w:szCs w:val="20"/>
        </w:rPr>
        <w:t xml:space="preserve"> It also expressed its concerns about the unequal distribution of allocations to national federations.</w:t>
      </w:r>
    </w:p>
    <w:p w:rsidR="000C4EE5" w:rsidRPr="00133F4D" w:rsidRDefault="000C4EE5" w:rsidP="00133F4D">
      <w:pPr>
        <w:spacing w:after="0" w:line="240" w:lineRule="auto"/>
        <w:jc w:val="left"/>
        <w:rPr>
          <w:rFonts w:ascii="Arial" w:hAnsi="Arial" w:cs="Arial"/>
          <w:b/>
          <w:spacing w:val="6"/>
          <w:sz w:val="20"/>
          <w:szCs w:val="20"/>
        </w:rPr>
      </w:pPr>
    </w:p>
    <w:p w:rsidR="00460873" w:rsidRPr="00133F4D" w:rsidRDefault="00460873"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t>Safeguarding in sports</w:t>
      </w:r>
    </w:p>
    <w:p w:rsidR="00090243" w:rsidRPr="00133F4D" w:rsidRDefault="00090243" w:rsidP="00133F4D">
      <w:pPr>
        <w:spacing w:after="0" w:line="240" w:lineRule="auto"/>
        <w:jc w:val="left"/>
        <w:rPr>
          <w:rFonts w:ascii="Arial" w:hAnsi="Arial" w:cs="Arial"/>
          <w:sz w:val="20"/>
          <w:szCs w:val="20"/>
        </w:rPr>
      </w:pPr>
      <w:r w:rsidRPr="00133F4D">
        <w:rPr>
          <w:rFonts w:ascii="Arial" w:hAnsi="Arial" w:cs="Arial"/>
          <w:sz w:val="20"/>
          <w:szCs w:val="20"/>
        </w:rPr>
        <w:t>The Committee notes the work done by national federations in the protection of athletes, particularly junior athletes. This work is of paramount importance.</w:t>
      </w:r>
    </w:p>
    <w:p w:rsidR="00882930" w:rsidRPr="00133F4D" w:rsidRDefault="00882930" w:rsidP="00133F4D">
      <w:pPr>
        <w:spacing w:after="0" w:line="240" w:lineRule="auto"/>
        <w:jc w:val="left"/>
        <w:rPr>
          <w:rFonts w:ascii="Arial" w:hAnsi="Arial" w:cs="Arial"/>
          <w:b/>
          <w:spacing w:val="6"/>
          <w:sz w:val="20"/>
          <w:szCs w:val="20"/>
        </w:rPr>
      </w:pPr>
    </w:p>
    <w:p w:rsidR="00460873" w:rsidRPr="00133F4D" w:rsidRDefault="00460873"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t>Public consultation on major projects</w:t>
      </w:r>
    </w:p>
    <w:p w:rsidR="007F6524" w:rsidRPr="00133F4D" w:rsidRDefault="007F6524"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Monumental Flag Project </w:t>
      </w:r>
      <w:r w:rsidR="0016385D" w:rsidRPr="00133F4D">
        <w:rPr>
          <w:rFonts w:ascii="Arial" w:hAnsi="Arial" w:cs="Arial"/>
          <w:spacing w:val="6"/>
          <w:sz w:val="20"/>
          <w:szCs w:val="20"/>
        </w:rPr>
        <w:t xml:space="preserve">raised much consternation in the public. As such the Committee engaged the Department and the AG on the matter. Additionally, </w:t>
      </w:r>
      <w:r w:rsidR="000A37F3" w:rsidRPr="00133F4D">
        <w:rPr>
          <w:rFonts w:ascii="Arial" w:hAnsi="Arial" w:cs="Arial"/>
          <w:spacing w:val="6"/>
          <w:sz w:val="20"/>
          <w:szCs w:val="20"/>
        </w:rPr>
        <w:t xml:space="preserve">the Committee processed </w:t>
      </w:r>
      <w:r w:rsidR="0016385D" w:rsidRPr="00133F4D">
        <w:rPr>
          <w:rFonts w:ascii="Arial" w:hAnsi="Arial" w:cs="Arial"/>
          <w:spacing w:val="6"/>
          <w:sz w:val="20"/>
          <w:szCs w:val="20"/>
        </w:rPr>
        <w:t xml:space="preserve">a Member’s petition </w:t>
      </w:r>
      <w:r w:rsidR="00B55349" w:rsidRPr="00133F4D">
        <w:rPr>
          <w:rFonts w:ascii="Arial" w:hAnsi="Arial" w:cs="Arial"/>
          <w:spacing w:val="6"/>
          <w:sz w:val="20"/>
          <w:szCs w:val="20"/>
        </w:rPr>
        <w:t xml:space="preserve">that </w:t>
      </w:r>
      <w:r w:rsidR="0016385D" w:rsidRPr="00133F4D">
        <w:rPr>
          <w:rFonts w:ascii="Arial" w:hAnsi="Arial" w:cs="Arial"/>
          <w:spacing w:val="6"/>
          <w:sz w:val="20"/>
          <w:szCs w:val="20"/>
        </w:rPr>
        <w:t>was tabled in Parliament to express the concerns of the costs associated with the implementation of the project. The C</w:t>
      </w:r>
      <w:r w:rsidR="00CF7175" w:rsidRPr="00133F4D">
        <w:rPr>
          <w:rFonts w:ascii="Arial" w:hAnsi="Arial" w:cs="Arial"/>
          <w:spacing w:val="6"/>
          <w:sz w:val="20"/>
          <w:szCs w:val="20"/>
        </w:rPr>
        <w:t>ommittee appreciates the efforts of the Department and Government to heed the public’s call to halt the project.</w:t>
      </w:r>
      <w:r w:rsidR="00DF3D1E" w:rsidRPr="00133F4D">
        <w:rPr>
          <w:rFonts w:ascii="Arial" w:hAnsi="Arial" w:cs="Arial"/>
          <w:spacing w:val="6"/>
          <w:sz w:val="20"/>
          <w:szCs w:val="20"/>
        </w:rPr>
        <w:t xml:space="preserve"> The Department has reported that the project has indeed been </w:t>
      </w:r>
      <w:r w:rsidR="00403CB9" w:rsidRPr="00133F4D">
        <w:rPr>
          <w:rFonts w:ascii="Arial" w:hAnsi="Arial" w:cs="Arial"/>
          <w:spacing w:val="6"/>
          <w:sz w:val="20"/>
          <w:szCs w:val="20"/>
        </w:rPr>
        <w:t>discontinued</w:t>
      </w:r>
      <w:r w:rsidR="00DF3D1E" w:rsidRPr="00133F4D">
        <w:rPr>
          <w:rFonts w:ascii="Arial" w:hAnsi="Arial" w:cs="Arial"/>
          <w:spacing w:val="6"/>
          <w:sz w:val="20"/>
          <w:szCs w:val="20"/>
        </w:rPr>
        <w:t>.</w:t>
      </w:r>
      <w:r w:rsidR="00060F33" w:rsidRPr="00133F4D">
        <w:rPr>
          <w:rFonts w:ascii="Arial" w:hAnsi="Arial" w:cs="Arial"/>
          <w:spacing w:val="6"/>
          <w:sz w:val="20"/>
          <w:szCs w:val="20"/>
        </w:rPr>
        <w:t xml:space="preserve"> The National Monumental Flag project </w:t>
      </w:r>
      <w:r w:rsidR="00120A0B" w:rsidRPr="00133F4D">
        <w:rPr>
          <w:rFonts w:ascii="Arial" w:hAnsi="Arial" w:cs="Arial"/>
          <w:spacing w:val="6"/>
          <w:sz w:val="20"/>
          <w:szCs w:val="20"/>
        </w:rPr>
        <w:t xml:space="preserve">has </w:t>
      </w:r>
      <w:r w:rsidR="00060F33" w:rsidRPr="00133F4D">
        <w:rPr>
          <w:rFonts w:ascii="Arial" w:hAnsi="Arial" w:cs="Arial"/>
          <w:spacing w:val="6"/>
          <w:sz w:val="20"/>
          <w:szCs w:val="20"/>
        </w:rPr>
        <w:t>highlighted the importance for the Department to embark on processes of public participation</w:t>
      </w:r>
      <w:r w:rsidR="00120A0B" w:rsidRPr="00133F4D">
        <w:rPr>
          <w:rFonts w:ascii="Arial" w:hAnsi="Arial" w:cs="Arial"/>
          <w:spacing w:val="6"/>
          <w:sz w:val="20"/>
          <w:szCs w:val="20"/>
        </w:rPr>
        <w:t xml:space="preserve"> before implementing major projects of national significance.</w:t>
      </w:r>
    </w:p>
    <w:p w:rsidR="007F6524" w:rsidRPr="00133F4D" w:rsidRDefault="007F6524" w:rsidP="00133F4D">
      <w:pPr>
        <w:spacing w:after="0" w:line="240" w:lineRule="auto"/>
        <w:jc w:val="left"/>
        <w:rPr>
          <w:rFonts w:ascii="Arial" w:hAnsi="Arial" w:cs="Arial"/>
          <w:spacing w:val="6"/>
          <w:sz w:val="20"/>
          <w:szCs w:val="20"/>
        </w:rPr>
      </w:pPr>
    </w:p>
    <w:p w:rsidR="00460873" w:rsidRPr="00133F4D" w:rsidRDefault="00090243"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t>Status of the implementation of the PESP funds</w:t>
      </w:r>
    </w:p>
    <w:p w:rsidR="008044F3" w:rsidRPr="00133F4D" w:rsidRDefault="008044F3"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Committee welcomes the introduction of the third phase of the PESP funding for arts, culture and heritage. This implementation of this phase is underway and paves the way for the sector to recover from the impact of COVID-19 pandemic. The Committee notes despite delays in the implementation of some projects by the end of the 2021/22 financial year, the Department had achieved in excess of 37 000 jobs and as such over-achieved on the target of 34 984 set by the Presidency.</w:t>
      </w:r>
    </w:p>
    <w:p w:rsidR="008044F3" w:rsidRPr="00133F4D" w:rsidRDefault="008044F3" w:rsidP="00133F4D">
      <w:pPr>
        <w:spacing w:after="0" w:line="240" w:lineRule="auto"/>
        <w:jc w:val="left"/>
        <w:rPr>
          <w:rFonts w:ascii="Arial" w:hAnsi="Arial" w:cs="Arial"/>
          <w:spacing w:val="6"/>
          <w:sz w:val="20"/>
          <w:szCs w:val="20"/>
        </w:rPr>
      </w:pPr>
    </w:p>
    <w:p w:rsidR="00090243" w:rsidRPr="00133F4D" w:rsidRDefault="00B87208"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t>Capacity within the Department infrastructure</w:t>
      </w:r>
    </w:p>
    <w:p w:rsidR="005D4E13" w:rsidRPr="00133F4D" w:rsidRDefault="00101AA3"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Committee appreciates the transparency demonstrated by the </w:t>
      </w:r>
      <w:r w:rsidR="005D4E13" w:rsidRPr="00133F4D">
        <w:rPr>
          <w:rFonts w:ascii="Arial" w:hAnsi="Arial" w:cs="Arial"/>
          <w:spacing w:val="6"/>
          <w:sz w:val="20"/>
          <w:szCs w:val="20"/>
        </w:rPr>
        <w:t xml:space="preserve">Department’s internal audit function </w:t>
      </w:r>
      <w:r w:rsidRPr="00133F4D">
        <w:rPr>
          <w:rFonts w:ascii="Arial" w:hAnsi="Arial" w:cs="Arial"/>
          <w:spacing w:val="6"/>
          <w:sz w:val="20"/>
          <w:szCs w:val="20"/>
        </w:rPr>
        <w:t>in flagging some areas for improvement. These include</w:t>
      </w:r>
      <w:r w:rsidR="00300164" w:rsidRPr="00133F4D">
        <w:rPr>
          <w:rFonts w:ascii="Arial" w:hAnsi="Arial" w:cs="Arial"/>
          <w:spacing w:val="6"/>
          <w:sz w:val="20"/>
          <w:szCs w:val="20"/>
        </w:rPr>
        <w:t>, amongst others,</w:t>
      </w:r>
      <w:r w:rsidRPr="00133F4D">
        <w:rPr>
          <w:rFonts w:ascii="Arial" w:hAnsi="Arial" w:cs="Arial"/>
          <w:spacing w:val="6"/>
          <w:sz w:val="20"/>
          <w:szCs w:val="20"/>
        </w:rPr>
        <w:t xml:space="preserve"> the lack of adequate infrastructure project management in the Department (coordination, monitoring, reporting, delayed implementation, and requisite skills); </w:t>
      </w:r>
      <w:r w:rsidR="00300164" w:rsidRPr="00133F4D">
        <w:rPr>
          <w:rFonts w:ascii="Arial" w:hAnsi="Arial" w:cs="Arial"/>
          <w:spacing w:val="6"/>
          <w:sz w:val="20"/>
          <w:szCs w:val="20"/>
        </w:rPr>
        <w:t>poor project management and monitoring of Memoranda of Agreements; delays in initiating forensic investigations</w:t>
      </w:r>
      <w:r w:rsidR="008B1729" w:rsidRPr="00133F4D">
        <w:rPr>
          <w:rFonts w:ascii="Arial" w:hAnsi="Arial" w:cs="Arial"/>
          <w:spacing w:val="6"/>
          <w:sz w:val="20"/>
          <w:szCs w:val="20"/>
        </w:rPr>
        <w:t>.</w:t>
      </w:r>
    </w:p>
    <w:p w:rsidR="008B1729" w:rsidRPr="00133F4D" w:rsidRDefault="008B1729" w:rsidP="00133F4D">
      <w:pPr>
        <w:spacing w:after="0" w:line="240" w:lineRule="auto"/>
        <w:jc w:val="left"/>
        <w:rPr>
          <w:rFonts w:ascii="Arial" w:hAnsi="Arial" w:cs="Arial"/>
          <w:spacing w:val="6"/>
          <w:sz w:val="20"/>
          <w:szCs w:val="20"/>
        </w:rPr>
      </w:pPr>
    </w:p>
    <w:p w:rsidR="00214383" w:rsidRPr="00133F4D" w:rsidRDefault="00214383"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lastRenderedPageBreak/>
        <w:t>Audit outcomes of the Sport, Arts and Culture portfolio</w:t>
      </w:r>
    </w:p>
    <w:p w:rsidR="00B3390E" w:rsidRPr="00133F4D" w:rsidRDefault="00214383"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Committee is pleased to see a slight improvement in the overall outcomes in the portfolio for the 2021/22 financial year. However, it is concerning that the audit outcomes for six entities have regressed, especially since all six entities had received clean audits in the prior year.</w:t>
      </w:r>
    </w:p>
    <w:p w:rsidR="00B3390E" w:rsidRPr="00133F4D" w:rsidRDefault="00B3390E" w:rsidP="00133F4D">
      <w:pPr>
        <w:pStyle w:val="ListParagraph"/>
        <w:numPr>
          <w:ilvl w:val="1"/>
          <w:numId w:val="44"/>
        </w:numPr>
        <w:spacing w:after="0" w:line="240" w:lineRule="auto"/>
        <w:jc w:val="left"/>
        <w:rPr>
          <w:rFonts w:ascii="Arial" w:hAnsi="Arial" w:cs="Arial"/>
          <w:b/>
          <w:spacing w:val="6"/>
          <w:sz w:val="20"/>
          <w:szCs w:val="20"/>
        </w:rPr>
      </w:pPr>
      <w:r w:rsidRPr="00133F4D">
        <w:rPr>
          <w:rFonts w:ascii="Arial" w:hAnsi="Arial" w:cs="Arial"/>
          <w:b/>
          <w:spacing w:val="6"/>
          <w:sz w:val="20"/>
          <w:szCs w:val="20"/>
        </w:rPr>
        <w:t xml:space="preserve">Underspending on the Department’s appropriated budget </w:t>
      </w:r>
    </w:p>
    <w:p w:rsidR="00B3390E" w:rsidRPr="00133F4D" w:rsidRDefault="00B3390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Committee notes that under</w:t>
      </w:r>
      <w:r w:rsidR="00A05CEB" w:rsidRPr="00133F4D">
        <w:rPr>
          <w:rFonts w:ascii="Arial" w:hAnsi="Arial" w:cs="Arial"/>
          <w:spacing w:val="6"/>
          <w:sz w:val="20"/>
          <w:szCs w:val="20"/>
        </w:rPr>
        <w:t>-expenditure</w:t>
      </w:r>
      <w:r w:rsidRPr="00133F4D">
        <w:rPr>
          <w:rFonts w:ascii="Arial" w:hAnsi="Arial" w:cs="Arial"/>
          <w:spacing w:val="6"/>
          <w:sz w:val="20"/>
          <w:szCs w:val="20"/>
        </w:rPr>
        <w:t xml:space="preserve"> against the final appropriation has improved from</w:t>
      </w:r>
      <w:r w:rsidR="003F6671" w:rsidRPr="00133F4D">
        <w:rPr>
          <w:rFonts w:ascii="Arial" w:hAnsi="Arial" w:cs="Arial"/>
          <w:spacing w:val="6"/>
          <w:sz w:val="20"/>
          <w:szCs w:val="20"/>
        </w:rPr>
        <w:t xml:space="preserve"> R135.2 million</w:t>
      </w:r>
      <w:r w:rsidRPr="00133F4D">
        <w:rPr>
          <w:rFonts w:ascii="Arial" w:hAnsi="Arial" w:cs="Arial"/>
          <w:spacing w:val="6"/>
          <w:sz w:val="20"/>
          <w:szCs w:val="20"/>
        </w:rPr>
        <w:t xml:space="preserve"> </w:t>
      </w:r>
      <w:r w:rsidR="003F6671" w:rsidRPr="00133F4D">
        <w:rPr>
          <w:rFonts w:ascii="Arial" w:hAnsi="Arial" w:cs="Arial"/>
          <w:spacing w:val="6"/>
          <w:sz w:val="20"/>
          <w:szCs w:val="20"/>
        </w:rPr>
        <w:t>(</w:t>
      </w:r>
      <w:r w:rsidRPr="00133F4D">
        <w:rPr>
          <w:rFonts w:ascii="Arial" w:hAnsi="Arial" w:cs="Arial"/>
          <w:spacing w:val="6"/>
          <w:sz w:val="20"/>
          <w:szCs w:val="20"/>
        </w:rPr>
        <w:t>2.5%</w:t>
      </w:r>
      <w:r w:rsidR="003F6671" w:rsidRPr="00133F4D">
        <w:rPr>
          <w:rFonts w:ascii="Arial" w:hAnsi="Arial" w:cs="Arial"/>
          <w:spacing w:val="6"/>
          <w:sz w:val="20"/>
          <w:szCs w:val="20"/>
        </w:rPr>
        <w:t>)</w:t>
      </w:r>
      <w:r w:rsidRPr="00133F4D">
        <w:rPr>
          <w:rFonts w:ascii="Arial" w:hAnsi="Arial" w:cs="Arial"/>
          <w:spacing w:val="6"/>
          <w:sz w:val="20"/>
          <w:szCs w:val="20"/>
        </w:rPr>
        <w:t xml:space="preserve"> in 2020/21 to </w:t>
      </w:r>
      <w:r w:rsidR="003F6671" w:rsidRPr="00133F4D">
        <w:rPr>
          <w:rFonts w:ascii="Arial" w:hAnsi="Arial" w:cs="Arial"/>
          <w:spacing w:val="6"/>
          <w:sz w:val="20"/>
          <w:szCs w:val="20"/>
        </w:rPr>
        <w:t>R103.5 million (</w:t>
      </w:r>
      <w:r w:rsidRPr="00133F4D">
        <w:rPr>
          <w:rFonts w:ascii="Arial" w:hAnsi="Arial" w:cs="Arial"/>
          <w:spacing w:val="6"/>
          <w:sz w:val="20"/>
          <w:szCs w:val="20"/>
        </w:rPr>
        <w:t>1.8%</w:t>
      </w:r>
      <w:r w:rsidR="003F6671" w:rsidRPr="00133F4D">
        <w:rPr>
          <w:rFonts w:ascii="Arial" w:hAnsi="Arial" w:cs="Arial"/>
          <w:spacing w:val="6"/>
          <w:sz w:val="20"/>
          <w:szCs w:val="20"/>
        </w:rPr>
        <w:t>)</w:t>
      </w:r>
      <w:r w:rsidRPr="00133F4D">
        <w:rPr>
          <w:rFonts w:ascii="Arial" w:hAnsi="Arial" w:cs="Arial"/>
          <w:spacing w:val="6"/>
          <w:sz w:val="20"/>
          <w:szCs w:val="20"/>
        </w:rPr>
        <w:t xml:space="preserve"> </w:t>
      </w:r>
      <w:r w:rsidR="003F6671" w:rsidRPr="00133F4D">
        <w:rPr>
          <w:rFonts w:ascii="Arial" w:hAnsi="Arial" w:cs="Arial"/>
          <w:spacing w:val="6"/>
          <w:sz w:val="20"/>
          <w:szCs w:val="20"/>
        </w:rPr>
        <w:t>in 2021/22.</w:t>
      </w:r>
      <w:r w:rsidR="00BC4F0B" w:rsidRPr="00133F4D">
        <w:rPr>
          <w:rFonts w:ascii="Arial" w:hAnsi="Arial" w:cs="Arial"/>
          <w:spacing w:val="6"/>
          <w:sz w:val="20"/>
          <w:szCs w:val="20"/>
        </w:rPr>
        <w:t xml:space="preserve"> The Department reported that underspending on Compensation of Employees accounted for R43.1 million of the total </w:t>
      </w:r>
      <w:r w:rsidR="001D6919" w:rsidRPr="00133F4D">
        <w:rPr>
          <w:rFonts w:ascii="Arial" w:hAnsi="Arial" w:cs="Arial"/>
          <w:spacing w:val="6"/>
          <w:sz w:val="20"/>
          <w:szCs w:val="20"/>
        </w:rPr>
        <w:t>unspent funds.</w:t>
      </w:r>
    </w:p>
    <w:p w:rsidR="001D6919" w:rsidRPr="00133F4D" w:rsidRDefault="001D6919" w:rsidP="00133F4D">
      <w:pPr>
        <w:spacing w:after="0" w:line="240" w:lineRule="auto"/>
        <w:jc w:val="left"/>
        <w:rPr>
          <w:rFonts w:ascii="Arial" w:hAnsi="Arial" w:cs="Arial"/>
          <w:spacing w:val="6"/>
          <w:sz w:val="20"/>
          <w:szCs w:val="20"/>
        </w:rPr>
      </w:pPr>
    </w:p>
    <w:bookmarkEnd w:id="27"/>
    <w:p w:rsidR="00A458CF" w:rsidRPr="00133F4D" w:rsidRDefault="00A458CF" w:rsidP="00133F4D">
      <w:pPr>
        <w:pStyle w:val="Heading1"/>
        <w:spacing w:before="0" w:line="240" w:lineRule="auto"/>
        <w:ind w:left="567" w:hanging="567"/>
        <w:jc w:val="left"/>
        <w:rPr>
          <w:rFonts w:ascii="Arial" w:hAnsi="Arial" w:cs="Arial"/>
          <w:spacing w:val="6"/>
          <w:sz w:val="20"/>
          <w:szCs w:val="20"/>
        </w:rPr>
      </w:pPr>
      <w:r w:rsidRPr="00133F4D">
        <w:rPr>
          <w:rFonts w:ascii="Arial" w:hAnsi="Arial" w:cs="Arial"/>
          <w:spacing w:val="6"/>
          <w:sz w:val="20"/>
          <w:szCs w:val="20"/>
        </w:rPr>
        <w:t>RECOMMENDATIONS</w:t>
      </w:r>
    </w:p>
    <w:p w:rsidR="007F73A4"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Committee, having</w:t>
      </w:r>
      <w:r w:rsidR="00A4581C" w:rsidRPr="00133F4D">
        <w:rPr>
          <w:rFonts w:ascii="Arial" w:hAnsi="Arial" w:cs="Arial"/>
          <w:spacing w:val="6"/>
          <w:sz w:val="20"/>
          <w:szCs w:val="20"/>
        </w:rPr>
        <w:t xml:space="preserve"> assessed the Annual Report 2021/22</w:t>
      </w:r>
      <w:r w:rsidRPr="00133F4D">
        <w:rPr>
          <w:rFonts w:ascii="Arial" w:hAnsi="Arial" w:cs="Arial"/>
          <w:spacing w:val="6"/>
          <w:sz w:val="20"/>
          <w:szCs w:val="20"/>
        </w:rPr>
        <w:t xml:space="preserve"> of the Department and entities,</w:t>
      </w:r>
      <w:r w:rsidR="00A458CF" w:rsidRPr="00133F4D">
        <w:rPr>
          <w:rFonts w:ascii="Arial" w:hAnsi="Arial" w:cs="Arial"/>
          <w:spacing w:val="6"/>
          <w:sz w:val="20"/>
          <w:szCs w:val="20"/>
        </w:rPr>
        <w:t xml:space="preserve"> as well as the performance report for the first quarter of 2022/23</w:t>
      </w:r>
      <w:r w:rsidRPr="00133F4D">
        <w:rPr>
          <w:rFonts w:ascii="Arial" w:hAnsi="Arial" w:cs="Arial"/>
          <w:spacing w:val="6"/>
          <w:sz w:val="20"/>
          <w:szCs w:val="20"/>
        </w:rPr>
        <w:t xml:space="preserve"> </w:t>
      </w:r>
      <w:r w:rsidR="00A458CF" w:rsidRPr="00133F4D">
        <w:rPr>
          <w:rFonts w:ascii="Arial" w:hAnsi="Arial" w:cs="Arial"/>
          <w:spacing w:val="6"/>
          <w:sz w:val="20"/>
          <w:szCs w:val="20"/>
        </w:rPr>
        <w:t xml:space="preserve">makes the following recommendations to the </w:t>
      </w:r>
      <w:r w:rsidRPr="00133F4D">
        <w:rPr>
          <w:rFonts w:ascii="Arial" w:hAnsi="Arial" w:cs="Arial"/>
          <w:spacing w:val="6"/>
          <w:sz w:val="20"/>
          <w:szCs w:val="20"/>
        </w:rPr>
        <w:t>Minister of Sport, Arts and Culture:</w:t>
      </w:r>
      <w:bookmarkStart w:id="28" w:name="_Toc88519332"/>
    </w:p>
    <w:p w:rsidR="007F73A4" w:rsidRPr="00133F4D" w:rsidRDefault="007F73A4" w:rsidP="00133F4D">
      <w:pPr>
        <w:spacing w:after="0" w:line="240" w:lineRule="auto"/>
        <w:jc w:val="left"/>
        <w:rPr>
          <w:rFonts w:ascii="Arial" w:hAnsi="Arial" w:cs="Arial"/>
          <w:spacing w:val="6"/>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spacing w:val="6"/>
          <w:sz w:val="20"/>
          <w:szCs w:val="20"/>
        </w:rPr>
      </w:pPr>
      <w:r w:rsidRPr="00133F4D">
        <w:rPr>
          <w:rFonts w:ascii="Arial" w:eastAsiaTheme="majorEastAsia" w:hAnsi="Arial" w:cs="Arial"/>
          <w:b/>
          <w:vanish/>
          <w:spacing w:val="6"/>
          <w:sz w:val="20"/>
          <w:szCs w:val="20"/>
        </w:rPr>
        <w:t xml:space="preserve">Leadership </w:t>
      </w:r>
      <w:r w:rsidR="008B1729" w:rsidRPr="00133F4D">
        <w:rPr>
          <w:rFonts w:ascii="Arial" w:eastAsiaTheme="majorEastAsia" w:hAnsi="Arial" w:cs="Arial"/>
          <w:b/>
          <w:vanish/>
          <w:spacing w:val="6"/>
          <w:sz w:val="20"/>
          <w:szCs w:val="20"/>
        </w:rPr>
        <w:t>instability and vacancies</w:t>
      </w:r>
    </w:p>
    <w:p w:rsidR="008B1729" w:rsidRPr="00133F4D" w:rsidRDefault="008B1729"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Department to provide the Committee with a comprehensive overview of vacancies in key leadership positions and the timeframes associated with the filling of these by the end of the fourth quarter of 2022/23.</w:t>
      </w:r>
    </w:p>
    <w:p w:rsidR="009178A6" w:rsidRPr="00133F4D" w:rsidRDefault="009178A6" w:rsidP="00133F4D">
      <w:pPr>
        <w:spacing w:after="0" w:line="240" w:lineRule="auto"/>
        <w:jc w:val="left"/>
        <w:rPr>
          <w:rFonts w:ascii="Arial" w:hAnsi="Arial" w:cs="Arial"/>
          <w:spacing w:val="6"/>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b/>
          <w:sz w:val="20"/>
          <w:szCs w:val="20"/>
        </w:rPr>
      </w:pPr>
      <w:r w:rsidRPr="00133F4D">
        <w:rPr>
          <w:rFonts w:ascii="Arial" w:hAnsi="Arial" w:cs="Arial"/>
          <w:b/>
          <w:sz w:val="20"/>
          <w:szCs w:val="20"/>
        </w:rPr>
        <w:t>Irregular expenditure</w:t>
      </w:r>
    </w:p>
    <w:p w:rsidR="009178A6" w:rsidRPr="00133F4D" w:rsidRDefault="009178A6"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should strengthen its oversight function over its entities to ensure that they have adequate measures in place to prevent irregular expenditure. </w:t>
      </w:r>
      <w:r w:rsidR="00576646" w:rsidRPr="00133F4D">
        <w:rPr>
          <w:rFonts w:ascii="Arial" w:hAnsi="Arial" w:cs="Arial"/>
          <w:spacing w:val="6"/>
          <w:sz w:val="20"/>
          <w:szCs w:val="20"/>
        </w:rPr>
        <w:t>The Committee therefore requests a comprehensive overview of the audit action plans for the portfolio by the end of the fourth quarter of 2022/23. This will assist the Committee in monitoring the progress on the implementation of these plans.</w:t>
      </w:r>
    </w:p>
    <w:p w:rsidR="00576646" w:rsidRPr="00133F4D" w:rsidRDefault="00576646" w:rsidP="00133F4D">
      <w:pPr>
        <w:spacing w:after="0" w:line="240" w:lineRule="auto"/>
        <w:jc w:val="left"/>
        <w:rPr>
          <w:rFonts w:ascii="Arial" w:hAnsi="Arial" w:cs="Arial"/>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Investigations and consequence management</w:t>
      </w:r>
    </w:p>
    <w:p w:rsidR="005A0516" w:rsidRPr="00133F4D" w:rsidRDefault="005A0516"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to ensure that </w:t>
      </w:r>
      <w:r w:rsidR="00624A5D" w:rsidRPr="00133F4D">
        <w:rPr>
          <w:rFonts w:ascii="Arial" w:hAnsi="Arial" w:cs="Arial"/>
          <w:spacing w:val="6"/>
          <w:sz w:val="20"/>
          <w:szCs w:val="20"/>
        </w:rPr>
        <w:t>outstanding investigations are concluded as speedily as possible and that any recommendations emanating from these</w:t>
      </w:r>
      <w:r w:rsidR="001A5806" w:rsidRPr="00133F4D">
        <w:rPr>
          <w:rFonts w:ascii="Arial" w:hAnsi="Arial" w:cs="Arial"/>
          <w:spacing w:val="6"/>
          <w:sz w:val="20"/>
          <w:szCs w:val="20"/>
        </w:rPr>
        <w:t xml:space="preserve"> </w:t>
      </w:r>
      <w:r w:rsidR="00FE09F0" w:rsidRPr="00133F4D">
        <w:rPr>
          <w:rFonts w:ascii="Arial" w:hAnsi="Arial" w:cs="Arial"/>
          <w:spacing w:val="6"/>
          <w:sz w:val="20"/>
          <w:szCs w:val="20"/>
        </w:rPr>
        <w:t>investigations are implemented.</w:t>
      </w:r>
      <w:r w:rsidR="00DD058E" w:rsidRPr="00133F4D">
        <w:rPr>
          <w:rFonts w:ascii="Arial" w:hAnsi="Arial" w:cs="Arial"/>
          <w:spacing w:val="6"/>
          <w:sz w:val="20"/>
          <w:szCs w:val="20"/>
        </w:rPr>
        <w:t xml:space="preserve"> Feedback on this matter is required within six months of the date of this report.</w:t>
      </w:r>
    </w:p>
    <w:p w:rsidR="001A5806" w:rsidRPr="00133F4D" w:rsidRDefault="001A5806" w:rsidP="00133F4D">
      <w:pPr>
        <w:spacing w:after="0" w:line="240" w:lineRule="auto"/>
        <w:jc w:val="left"/>
        <w:rPr>
          <w:rFonts w:ascii="Arial" w:hAnsi="Arial" w:cs="Arial"/>
          <w:spacing w:val="6"/>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Implementation of Cultural Creative Industries Masterplan</w:t>
      </w:r>
    </w:p>
    <w:p w:rsidR="00802F25" w:rsidRPr="00133F4D" w:rsidRDefault="00ED516A"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should </w:t>
      </w:r>
      <w:r w:rsidR="00BC4AE9" w:rsidRPr="00133F4D">
        <w:rPr>
          <w:rFonts w:ascii="Arial" w:hAnsi="Arial" w:cs="Arial"/>
          <w:spacing w:val="6"/>
          <w:sz w:val="20"/>
          <w:szCs w:val="20"/>
        </w:rPr>
        <w:t xml:space="preserve">brief the Committee on the </w:t>
      </w:r>
      <w:r w:rsidR="00267D13" w:rsidRPr="00133F4D">
        <w:rPr>
          <w:rFonts w:ascii="Arial" w:hAnsi="Arial" w:cs="Arial"/>
          <w:spacing w:val="6"/>
          <w:sz w:val="20"/>
          <w:szCs w:val="20"/>
        </w:rPr>
        <w:t>work done since the process of the implementation of the Masterplan has begun.</w:t>
      </w:r>
    </w:p>
    <w:p w:rsidR="00802F25" w:rsidRPr="00133F4D" w:rsidRDefault="00802F25" w:rsidP="00133F4D">
      <w:pPr>
        <w:spacing w:after="0" w:line="240" w:lineRule="auto"/>
        <w:jc w:val="left"/>
        <w:rPr>
          <w:rFonts w:ascii="Arial" w:hAnsi="Arial" w:cs="Arial"/>
          <w:spacing w:val="6"/>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Delays in the finalisation of heritage legacy projects</w:t>
      </w:r>
    </w:p>
    <w:p w:rsidR="00802F25" w:rsidRPr="00133F4D" w:rsidRDefault="00802F25"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While the Department has indicated measure</w:t>
      </w:r>
      <w:r w:rsidR="00CB1DEF" w:rsidRPr="00133F4D">
        <w:rPr>
          <w:rFonts w:ascii="Arial" w:hAnsi="Arial" w:cs="Arial"/>
          <w:spacing w:val="6"/>
          <w:sz w:val="20"/>
          <w:szCs w:val="20"/>
        </w:rPr>
        <w:t>s</w:t>
      </w:r>
      <w:r w:rsidRPr="00133F4D">
        <w:rPr>
          <w:rFonts w:ascii="Arial" w:hAnsi="Arial" w:cs="Arial"/>
          <w:spacing w:val="6"/>
          <w:sz w:val="20"/>
          <w:szCs w:val="20"/>
        </w:rPr>
        <w:t xml:space="preserve"> </w:t>
      </w:r>
      <w:r w:rsidR="00CB1DEF" w:rsidRPr="00133F4D">
        <w:rPr>
          <w:rFonts w:ascii="Arial" w:hAnsi="Arial" w:cs="Arial"/>
          <w:spacing w:val="6"/>
          <w:sz w:val="20"/>
          <w:szCs w:val="20"/>
        </w:rPr>
        <w:t>it</w:t>
      </w:r>
      <w:r w:rsidRPr="00133F4D">
        <w:rPr>
          <w:rFonts w:ascii="Arial" w:hAnsi="Arial" w:cs="Arial"/>
          <w:spacing w:val="6"/>
          <w:sz w:val="20"/>
          <w:szCs w:val="20"/>
        </w:rPr>
        <w:t xml:space="preserve"> has put in place to fast-track the delivery on these projects, the Committee expects quarterly reports on the projects that have been delayed and thus overdue.</w:t>
      </w:r>
    </w:p>
    <w:p w:rsidR="00802F25" w:rsidRPr="00133F4D" w:rsidRDefault="00802F25" w:rsidP="00133F4D">
      <w:pPr>
        <w:spacing w:after="0" w:line="240" w:lineRule="auto"/>
        <w:jc w:val="left"/>
        <w:rPr>
          <w:rFonts w:ascii="Arial" w:hAnsi="Arial" w:cs="Arial"/>
          <w:spacing w:val="6"/>
          <w:sz w:val="20"/>
          <w:szCs w:val="20"/>
        </w:rPr>
      </w:pPr>
    </w:p>
    <w:p w:rsidR="009F5E65" w:rsidRPr="00133F4D" w:rsidRDefault="009F5E65"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Transformation in sports</w:t>
      </w:r>
    </w:p>
    <w:p w:rsidR="00934004" w:rsidRPr="00133F4D" w:rsidRDefault="00934004"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in cooperation with national federations should </w:t>
      </w:r>
      <w:r w:rsidR="002C1993" w:rsidRPr="00133F4D">
        <w:rPr>
          <w:rFonts w:ascii="Arial" w:hAnsi="Arial" w:cs="Arial"/>
          <w:spacing w:val="6"/>
          <w:sz w:val="20"/>
          <w:szCs w:val="20"/>
        </w:rPr>
        <w:t>continue to work on ensuring</w:t>
      </w:r>
      <w:r w:rsidRPr="00133F4D">
        <w:rPr>
          <w:rFonts w:ascii="Arial" w:hAnsi="Arial" w:cs="Arial"/>
          <w:spacing w:val="6"/>
          <w:sz w:val="20"/>
          <w:szCs w:val="20"/>
        </w:rPr>
        <w:t xml:space="preserve"> that </w:t>
      </w:r>
      <w:r w:rsidR="002C1993" w:rsidRPr="00133F4D">
        <w:rPr>
          <w:rFonts w:ascii="Arial" w:hAnsi="Arial" w:cs="Arial"/>
          <w:spacing w:val="6"/>
          <w:sz w:val="20"/>
          <w:szCs w:val="20"/>
        </w:rPr>
        <w:t>township and rural schools are adequately supported to create conditions that will increase the uptake of minority sporting codes. Additionally, more effort should be placed on securing private sponsorship which will lead to improved transformation in sports. Lastly, successful projects such as the Langa Hockey Club, should be replicated nationally.</w:t>
      </w:r>
    </w:p>
    <w:p w:rsidR="002C1993" w:rsidRPr="00133F4D" w:rsidRDefault="002C1993" w:rsidP="00133F4D">
      <w:pPr>
        <w:spacing w:after="0" w:line="240" w:lineRule="auto"/>
        <w:jc w:val="left"/>
        <w:rPr>
          <w:rFonts w:ascii="Arial" w:hAnsi="Arial" w:cs="Arial"/>
          <w:spacing w:val="6"/>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Safeguarding in sports</w:t>
      </w:r>
    </w:p>
    <w:p w:rsidR="002C1993" w:rsidRPr="00133F4D" w:rsidRDefault="00D320E0"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should ensure that the draft safeguarding policy for SA Hockey Association is adopted at the end of 2022 for </w:t>
      </w:r>
      <w:r w:rsidR="00F34BB2" w:rsidRPr="00133F4D">
        <w:rPr>
          <w:rFonts w:ascii="Arial" w:hAnsi="Arial" w:cs="Arial"/>
          <w:spacing w:val="6"/>
          <w:sz w:val="20"/>
          <w:szCs w:val="20"/>
        </w:rPr>
        <w:t>implementation</w:t>
      </w:r>
      <w:r w:rsidRPr="00133F4D">
        <w:rPr>
          <w:rFonts w:ascii="Arial" w:hAnsi="Arial" w:cs="Arial"/>
          <w:spacing w:val="6"/>
          <w:sz w:val="20"/>
          <w:szCs w:val="20"/>
        </w:rPr>
        <w:t xml:space="preserve"> in 2023</w:t>
      </w:r>
      <w:r w:rsidR="00F34BB2" w:rsidRPr="00133F4D">
        <w:rPr>
          <w:rFonts w:ascii="Arial" w:hAnsi="Arial" w:cs="Arial"/>
          <w:spacing w:val="6"/>
          <w:sz w:val="20"/>
          <w:szCs w:val="20"/>
        </w:rPr>
        <w:t>.</w:t>
      </w:r>
    </w:p>
    <w:p w:rsidR="00D320E0" w:rsidRPr="00133F4D" w:rsidRDefault="00D320E0" w:rsidP="00133F4D">
      <w:pPr>
        <w:spacing w:after="0" w:line="240" w:lineRule="auto"/>
        <w:jc w:val="left"/>
        <w:rPr>
          <w:rFonts w:ascii="Arial" w:hAnsi="Arial" w:cs="Arial"/>
          <w:b/>
          <w:spacing w:val="6"/>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Public consultation on major projects</w:t>
      </w:r>
    </w:p>
    <w:p w:rsidR="00DF2CA9" w:rsidRPr="00133F4D" w:rsidRDefault="007E6C4C"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The Department should safeguard against failing to involve the public in major projects. Further, the Department </w:t>
      </w:r>
      <w:r w:rsidR="00421161" w:rsidRPr="00133F4D">
        <w:rPr>
          <w:rFonts w:ascii="Arial" w:hAnsi="Arial" w:cs="Arial"/>
          <w:spacing w:val="6"/>
          <w:sz w:val="20"/>
          <w:szCs w:val="20"/>
        </w:rPr>
        <w:t xml:space="preserve">should ensure that the appropriate administrative procedures </w:t>
      </w:r>
      <w:r w:rsidR="006E03BC" w:rsidRPr="00133F4D">
        <w:rPr>
          <w:rFonts w:ascii="Arial" w:hAnsi="Arial" w:cs="Arial"/>
          <w:spacing w:val="6"/>
          <w:sz w:val="20"/>
          <w:szCs w:val="20"/>
        </w:rPr>
        <w:t xml:space="preserve">it has undertaken </w:t>
      </w:r>
      <w:r w:rsidR="00421161" w:rsidRPr="00133F4D">
        <w:rPr>
          <w:rFonts w:ascii="Arial" w:hAnsi="Arial" w:cs="Arial"/>
          <w:spacing w:val="6"/>
          <w:sz w:val="20"/>
          <w:szCs w:val="20"/>
        </w:rPr>
        <w:t xml:space="preserve">to formalise </w:t>
      </w:r>
      <w:r w:rsidR="006E03BC" w:rsidRPr="00133F4D">
        <w:rPr>
          <w:rFonts w:ascii="Arial" w:hAnsi="Arial" w:cs="Arial"/>
          <w:spacing w:val="6"/>
          <w:sz w:val="20"/>
          <w:szCs w:val="20"/>
        </w:rPr>
        <w:t>the</w:t>
      </w:r>
      <w:r w:rsidR="00421161" w:rsidRPr="00133F4D">
        <w:rPr>
          <w:rFonts w:ascii="Arial" w:hAnsi="Arial" w:cs="Arial"/>
          <w:spacing w:val="6"/>
          <w:sz w:val="20"/>
          <w:szCs w:val="20"/>
        </w:rPr>
        <w:t xml:space="preserve"> decision</w:t>
      </w:r>
      <w:r w:rsidR="006E03BC" w:rsidRPr="00133F4D">
        <w:rPr>
          <w:rFonts w:ascii="Arial" w:hAnsi="Arial" w:cs="Arial"/>
          <w:spacing w:val="6"/>
          <w:sz w:val="20"/>
          <w:szCs w:val="20"/>
        </w:rPr>
        <w:t xml:space="preserve"> to discontinue the Monumental Flag Project is clearly reflected in its planning</w:t>
      </w:r>
      <w:r w:rsidR="00B93CB5" w:rsidRPr="00133F4D">
        <w:rPr>
          <w:rFonts w:ascii="Arial" w:hAnsi="Arial" w:cs="Arial"/>
          <w:spacing w:val="6"/>
          <w:sz w:val="20"/>
          <w:szCs w:val="20"/>
        </w:rPr>
        <w:t>.</w:t>
      </w:r>
    </w:p>
    <w:p w:rsidR="006E03BC" w:rsidRPr="00133F4D" w:rsidRDefault="006E03BC" w:rsidP="00133F4D">
      <w:pPr>
        <w:spacing w:after="0" w:line="240" w:lineRule="auto"/>
        <w:jc w:val="left"/>
        <w:rPr>
          <w:rFonts w:ascii="Arial" w:hAnsi="Arial" w:cs="Arial"/>
          <w:spacing w:val="6"/>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Status of the implementation of the PESP funds</w:t>
      </w:r>
    </w:p>
    <w:p w:rsidR="00CC103F" w:rsidRPr="00133F4D" w:rsidRDefault="00546EC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lastRenderedPageBreak/>
        <w:t>The Department, along with the entities responsible for implementing the third phase of the PESP should ensure that the funds are distributed timeously, fairly, and with minimal inconvenience to the beneficiaries.</w:t>
      </w:r>
    </w:p>
    <w:p w:rsidR="00546ECE" w:rsidRPr="00133F4D" w:rsidRDefault="00546ECE" w:rsidP="00133F4D">
      <w:pPr>
        <w:spacing w:after="0" w:line="240" w:lineRule="auto"/>
        <w:jc w:val="left"/>
        <w:rPr>
          <w:rFonts w:ascii="Arial" w:hAnsi="Arial" w:cs="Arial"/>
          <w:spacing w:val="6"/>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Capacity within the Department infrastructure</w:t>
      </w:r>
    </w:p>
    <w:p w:rsidR="00AB2617" w:rsidRPr="00133F4D" w:rsidRDefault="00AB2617"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 xml:space="preserve">By the end of the fourth quarter of 2022/23, the Department should provide the Committee with an update on measures it has implemented to address the areas that require improved as flagged by its internal audit </w:t>
      </w:r>
      <w:r w:rsidR="00A125E3" w:rsidRPr="00133F4D">
        <w:rPr>
          <w:rFonts w:ascii="Arial" w:hAnsi="Arial" w:cs="Arial"/>
          <w:spacing w:val="6"/>
          <w:sz w:val="20"/>
          <w:szCs w:val="20"/>
        </w:rPr>
        <w:t>function.</w:t>
      </w:r>
    </w:p>
    <w:p w:rsidR="00A125E3" w:rsidRPr="00133F4D" w:rsidRDefault="00A125E3" w:rsidP="00133F4D">
      <w:pPr>
        <w:spacing w:after="0" w:line="240" w:lineRule="auto"/>
        <w:jc w:val="left"/>
        <w:rPr>
          <w:rFonts w:ascii="Arial" w:hAnsi="Arial" w:cs="Arial"/>
          <w:spacing w:val="6"/>
          <w:sz w:val="20"/>
          <w:szCs w:val="20"/>
        </w:rPr>
      </w:pPr>
    </w:p>
    <w:p w:rsidR="007F73A4" w:rsidRPr="00133F4D" w:rsidRDefault="007F73A4"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Audit outcomes of the Sport, Arts and Culture portfolio</w:t>
      </w:r>
    </w:p>
    <w:p w:rsidR="00A125E3" w:rsidRPr="00133F4D" w:rsidRDefault="00A95033"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Department should continue to work alongside the entities that have regressed in the audit opinion to ensure audit action plans are implemented and that there is an improvement in their audit outcomes by the end of the 2022/23 financial year.</w:t>
      </w:r>
    </w:p>
    <w:p w:rsidR="00A95033" w:rsidRPr="00133F4D" w:rsidRDefault="00A95033" w:rsidP="00133F4D">
      <w:pPr>
        <w:spacing w:after="0" w:line="240" w:lineRule="auto"/>
        <w:jc w:val="left"/>
        <w:rPr>
          <w:rFonts w:ascii="Arial" w:hAnsi="Arial" w:cs="Arial"/>
          <w:spacing w:val="6"/>
          <w:sz w:val="20"/>
          <w:szCs w:val="20"/>
        </w:rPr>
      </w:pPr>
    </w:p>
    <w:p w:rsidR="00BB3215" w:rsidRPr="00133F4D" w:rsidRDefault="00BB3215" w:rsidP="00133F4D">
      <w:pPr>
        <w:pStyle w:val="ListParagraph"/>
        <w:numPr>
          <w:ilvl w:val="1"/>
          <w:numId w:val="46"/>
        </w:numPr>
        <w:spacing w:after="0" w:line="240" w:lineRule="auto"/>
        <w:jc w:val="left"/>
        <w:rPr>
          <w:rFonts w:ascii="Arial" w:hAnsi="Arial" w:cs="Arial"/>
          <w:b/>
          <w:spacing w:val="6"/>
          <w:sz w:val="20"/>
          <w:szCs w:val="20"/>
        </w:rPr>
      </w:pPr>
      <w:r w:rsidRPr="00133F4D">
        <w:rPr>
          <w:rFonts w:ascii="Arial" w:hAnsi="Arial" w:cs="Arial"/>
          <w:b/>
          <w:spacing w:val="6"/>
          <w:sz w:val="20"/>
          <w:szCs w:val="20"/>
        </w:rPr>
        <w:t xml:space="preserve">Underspending on the Department’s appropriated budget </w:t>
      </w:r>
    </w:p>
    <w:p w:rsidR="007F73A4" w:rsidRPr="00133F4D" w:rsidRDefault="00BB3215"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Linked to the high vacancy rate, the Department should expedite the review of the structure</w:t>
      </w:r>
      <w:r w:rsidR="007272F7" w:rsidRPr="00133F4D">
        <w:rPr>
          <w:rFonts w:ascii="Arial" w:hAnsi="Arial" w:cs="Arial"/>
          <w:spacing w:val="6"/>
          <w:sz w:val="20"/>
          <w:szCs w:val="20"/>
        </w:rPr>
        <w:t xml:space="preserve"> and fill prioritised posts to ensure that the Department is better able to deliver on its mandate.</w:t>
      </w:r>
      <w:r w:rsidR="00B66418" w:rsidRPr="00133F4D">
        <w:rPr>
          <w:rFonts w:ascii="Arial" w:hAnsi="Arial" w:cs="Arial"/>
          <w:spacing w:val="6"/>
          <w:sz w:val="20"/>
          <w:szCs w:val="20"/>
        </w:rPr>
        <w:t xml:space="preserve"> The Department should provide feedback to the Committee on progress made on reviewing the new structure by the end of the fourth quarter of 2022/23.</w:t>
      </w:r>
    </w:p>
    <w:bookmarkEnd w:id="28"/>
    <w:p w:rsidR="0069222E" w:rsidRPr="00133F4D" w:rsidRDefault="0069222E" w:rsidP="00133F4D">
      <w:pPr>
        <w:spacing w:after="0" w:line="240" w:lineRule="auto"/>
        <w:jc w:val="left"/>
        <w:rPr>
          <w:rFonts w:ascii="Arial" w:hAnsi="Arial" w:cs="Arial"/>
          <w:strike/>
          <w:spacing w:val="6"/>
          <w:sz w:val="20"/>
          <w:szCs w:val="20"/>
        </w:rPr>
      </w:pPr>
    </w:p>
    <w:p w:rsidR="002E4605" w:rsidRPr="00133F4D" w:rsidRDefault="002E4605" w:rsidP="00133F4D">
      <w:pPr>
        <w:pStyle w:val="Heading1"/>
        <w:spacing w:before="0" w:line="240" w:lineRule="auto"/>
        <w:ind w:left="567" w:hanging="567"/>
        <w:jc w:val="left"/>
        <w:rPr>
          <w:rFonts w:ascii="Arial" w:hAnsi="Arial" w:cs="Arial"/>
          <w:spacing w:val="6"/>
          <w:sz w:val="20"/>
          <w:szCs w:val="20"/>
        </w:rPr>
      </w:pPr>
      <w:bookmarkStart w:id="29" w:name="_Toc117192255"/>
      <w:bookmarkStart w:id="30" w:name="_Toc117192256"/>
      <w:bookmarkStart w:id="31" w:name="_Toc117192257"/>
      <w:bookmarkStart w:id="32" w:name="_Toc117192258"/>
      <w:bookmarkStart w:id="33" w:name="_Toc117192259"/>
      <w:bookmarkEnd w:id="29"/>
      <w:bookmarkEnd w:id="30"/>
      <w:bookmarkEnd w:id="31"/>
      <w:bookmarkEnd w:id="32"/>
      <w:bookmarkEnd w:id="33"/>
      <w:r w:rsidRPr="00133F4D">
        <w:rPr>
          <w:rFonts w:ascii="Arial" w:hAnsi="Arial" w:cs="Arial"/>
          <w:spacing w:val="6"/>
          <w:sz w:val="20"/>
          <w:szCs w:val="20"/>
        </w:rPr>
        <w:t>APPRECIATION</w:t>
      </w:r>
    </w:p>
    <w:p w:rsidR="000B4916" w:rsidRPr="00133F4D" w:rsidRDefault="000B4916"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The Chairperson wish</w:t>
      </w:r>
      <w:r w:rsidR="000B1995" w:rsidRPr="00133F4D">
        <w:rPr>
          <w:rFonts w:ascii="Arial" w:hAnsi="Arial" w:cs="Arial"/>
          <w:spacing w:val="6"/>
          <w:sz w:val="20"/>
          <w:szCs w:val="20"/>
        </w:rPr>
        <w:t>ed</w:t>
      </w:r>
      <w:r w:rsidRPr="00133F4D">
        <w:rPr>
          <w:rFonts w:ascii="Arial" w:hAnsi="Arial" w:cs="Arial"/>
          <w:spacing w:val="6"/>
          <w:sz w:val="20"/>
          <w:szCs w:val="20"/>
        </w:rPr>
        <w:t xml:space="preserve"> to acknowledge the Members of the Portfolio Committee of Sport, Arts and Culture for being resolute in the role they play in conducting oversight of the work of the Department </w:t>
      </w:r>
      <w:r w:rsidR="005E44C2" w:rsidRPr="00133F4D">
        <w:rPr>
          <w:rFonts w:ascii="Arial" w:hAnsi="Arial" w:cs="Arial"/>
          <w:spacing w:val="6"/>
          <w:sz w:val="20"/>
          <w:szCs w:val="20"/>
        </w:rPr>
        <w:t xml:space="preserve">and its entities and sporting federations. </w:t>
      </w:r>
      <w:r w:rsidR="0023614A" w:rsidRPr="00133F4D">
        <w:rPr>
          <w:rFonts w:ascii="Arial" w:hAnsi="Arial" w:cs="Arial"/>
          <w:spacing w:val="6"/>
          <w:sz w:val="20"/>
          <w:szCs w:val="20"/>
        </w:rPr>
        <w:t xml:space="preserve">The Committee </w:t>
      </w:r>
      <w:r w:rsidR="000B1995" w:rsidRPr="00133F4D">
        <w:rPr>
          <w:rFonts w:ascii="Arial" w:hAnsi="Arial" w:cs="Arial"/>
          <w:spacing w:val="6"/>
          <w:sz w:val="20"/>
          <w:szCs w:val="20"/>
        </w:rPr>
        <w:t>noted</w:t>
      </w:r>
      <w:r w:rsidR="0023614A" w:rsidRPr="00133F4D">
        <w:rPr>
          <w:rFonts w:ascii="Arial" w:hAnsi="Arial" w:cs="Arial"/>
          <w:spacing w:val="6"/>
          <w:sz w:val="20"/>
          <w:szCs w:val="20"/>
        </w:rPr>
        <w:t xml:space="preserve"> </w:t>
      </w:r>
      <w:r w:rsidR="000B1995" w:rsidRPr="00133F4D">
        <w:rPr>
          <w:rFonts w:ascii="Arial" w:hAnsi="Arial" w:cs="Arial"/>
          <w:spacing w:val="6"/>
          <w:sz w:val="20"/>
          <w:szCs w:val="20"/>
        </w:rPr>
        <w:t>and valued</w:t>
      </w:r>
      <w:r w:rsidR="00D358C7" w:rsidRPr="00133F4D">
        <w:rPr>
          <w:rFonts w:ascii="Arial" w:hAnsi="Arial" w:cs="Arial"/>
          <w:spacing w:val="6"/>
          <w:sz w:val="20"/>
          <w:szCs w:val="20"/>
        </w:rPr>
        <w:t xml:space="preserve"> </w:t>
      </w:r>
      <w:r w:rsidR="0023614A" w:rsidRPr="00133F4D">
        <w:rPr>
          <w:rFonts w:ascii="Arial" w:hAnsi="Arial" w:cs="Arial"/>
          <w:spacing w:val="6"/>
          <w:sz w:val="20"/>
          <w:szCs w:val="20"/>
        </w:rPr>
        <w:t xml:space="preserve">the </w:t>
      </w:r>
      <w:r w:rsidR="00D358C7" w:rsidRPr="00133F4D">
        <w:rPr>
          <w:rFonts w:ascii="Arial" w:hAnsi="Arial" w:cs="Arial"/>
          <w:spacing w:val="6"/>
          <w:sz w:val="20"/>
          <w:szCs w:val="20"/>
        </w:rPr>
        <w:t xml:space="preserve">cooperation and </w:t>
      </w:r>
      <w:r w:rsidR="0023614A" w:rsidRPr="00133F4D">
        <w:rPr>
          <w:rFonts w:ascii="Arial" w:hAnsi="Arial" w:cs="Arial"/>
          <w:spacing w:val="6"/>
          <w:sz w:val="20"/>
          <w:szCs w:val="20"/>
        </w:rPr>
        <w:t>contributions by the Department and its entities</w:t>
      </w:r>
      <w:r w:rsidR="00D358C7" w:rsidRPr="00133F4D">
        <w:rPr>
          <w:rFonts w:ascii="Arial" w:hAnsi="Arial" w:cs="Arial"/>
          <w:spacing w:val="6"/>
          <w:sz w:val="20"/>
          <w:szCs w:val="20"/>
        </w:rPr>
        <w:t xml:space="preserve"> </w:t>
      </w:r>
      <w:r w:rsidR="00291113" w:rsidRPr="00133F4D">
        <w:rPr>
          <w:rFonts w:ascii="Arial" w:hAnsi="Arial" w:cs="Arial"/>
          <w:spacing w:val="6"/>
          <w:sz w:val="20"/>
          <w:szCs w:val="20"/>
        </w:rPr>
        <w:t>during</w:t>
      </w:r>
      <w:r w:rsidR="00D358C7" w:rsidRPr="00133F4D">
        <w:rPr>
          <w:rFonts w:ascii="Arial" w:hAnsi="Arial" w:cs="Arial"/>
          <w:spacing w:val="6"/>
          <w:sz w:val="20"/>
          <w:szCs w:val="20"/>
        </w:rPr>
        <w:t xml:space="preserve"> this process</w:t>
      </w:r>
      <w:r w:rsidR="0023614A" w:rsidRPr="00133F4D">
        <w:rPr>
          <w:rFonts w:ascii="Arial" w:hAnsi="Arial" w:cs="Arial"/>
          <w:spacing w:val="6"/>
          <w:sz w:val="20"/>
          <w:szCs w:val="20"/>
        </w:rPr>
        <w:t xml:space="preserve">. </w:t>
      </w:r>
      <w:r w:rsidR="00F9205E" w:rsidRPr="00133F4D">
        <w:rPr>
          <w:rFonts w:ascii="Arial" w:hAnsi="Arial" w:cs="Arial"/>
          <w:spacing w:val="6"/>
          <w:sz w:val="20"/>
          <w:szCs w:val="20"/>
        </w:rPr>
        <w:t>T</w:t>
      </w:r>
      <w:r w:rsidR="005E44C2" w:rsidRPr="00133F4D">
        <w:rPr>
          <w:rFonts w:ascii="Arial" w:hAnsi="Arial" w:cs="Arial"/>
          <w:spacing w:val="6"/>
          <w:sz w:val="20"/>
          <w:szCs w:val="20"/>
        </w:rPr>
        <w:t xml:space="preserve">he </w:t>
      </w:r>
      <w:r w:rsidR="000B1995" w:rsidRPr="00133F4D">
        <w:rPr>
          <w:rFonts w:ascii="Arial" w:hAnsi="Arial" w:cs="Arial"/>
          <w:spacing w:val="6"/>
          <w:sz w:val="20"/>
          <w:szCs w:val="20"/>
        </w:rPr>
        <w:t xml:space="preserve">Committee also appreciates the support of </w:t>
      </w:r>
      <w:r w:rsidR="005E44C2" w:rsidRPr="00133F4D">
        <w:rPr>
          <w:rFonts w:ascii="Arial" w:hAnsi="Arial" w:cs="Arial"/>
          <w:spacing w:val="6"/>
          <w:sz w:val="20"/>
          <w:szCs w:val="20"/>
        </w:rPr>
        <w:t xml:space="preserve">staff of the Office of the Auditor-General of South Africa </w:t>
      </w:r>
      <w:r w:rsidR="00D358C7" w:rsidRPr="00133F4D">
        <w:rPr>
          <w:rFonts w:ascii="Arial" w:hAnsi="Arial" w:cs="Arial"/>
          <w:spacing w:val="6"/>
          <w:sz w:val="20"/>
          <w:szCs w:val="20"/>
        </w:rPr>
        <w:t xml:space="preserve">as well as </w:t>
      </w:r>
      <w:r w:rsidR="000B1995" w:rsidRPr="00133F4D">
        <w:rPr>
          <w:rFonts w:ascii="Arial" w:hAnsi="Arial" w:cs="Arial"/>
          <w:spacing w:val="6"/>
          <w:sz w:val="20"/>
          <w:szCs w:val="20"/>
        </w:rPr>
        <w:t>its</w:t>
      </w:r>
      <w:r w:rsidR="00D358C7" w:rsidRPr="00133F4D">
        <w:rPr>
          <w:rFonts w:ascii="Arial" w:hAnsi="Arial" w:cs="Arial"/>
          <w:spacing w:val="6"/>
          <w:sz w:val="20"/>
          <w:szCs w:val="20"/>
        </w:rPr>
        <w:t xml:space="preserve"> support staff </w:t>
      </w:r>
      <w:r w:rsidR="005E44C2" w:rsidRPr="00133F4D">
        <w:rPr>
          <w:rFonts w:ascii="Arial" w:hAnsi="Arial" w:cs="Arial"/>
          <w:spacing w:val="6"/>
          <w:sz w:val="20"/>
          <w:szCs w:val="20"/>
        </w:rPr>
        <w:t xml:space="preserve">for their </w:t>
      </w:r>
      <w:r w:rsidR="0071018D" w:rsidRPr="00133F4D">
        <w:rPr>
          <w:rFonts w:ascii="Arial" w:hAnsi="Arial" w:cs="Arial"/>
          <w:spacing w:val="6"/>
          <w:sz w:val="20"/>
          <w:szCs w:val="20"/>
        </w:rPr>
        <w:t>assistance in preparing</w:t>
      </w:r>
      <w:r w:rsidR="005E44C2" w:rsidRPr="00133F4D">
        <w:rPr>
          <w:rFonts w:ascii="Arial" w:hAnsi="Arial" w:cs="Arial"/>
          <w:spacing w:val="6"/>
          <w:sz w:val="20"/>
          <w:szCs w:val="20"/>
        </w:rPr>
        <w:t xml:space="preserve"> this report.</w:t>
      </w:r>
    </w:p>
    <w:p w:rsidR="000B4830" w:rsidRPr="00133F4D" w:rsidRDefault="000B4830" w:rsidP="00133F4D">
      <w:pPr>
        <w:spacing w:after="0" w:line="240" w:lineRule="auto"/>
        <w:jc w:val="left"/>
        <w:rPr>
          <w:rFonts w:ascii="Arial" w:hAnsi="Arial" w:cs="Arial"/>
          <w:spacing w:val="6"/>
          <w:sz w:val="20"/>
          <w:szCs w:val="20"/>
        </w:rPr>
      </w:pPr>
    </w:p>
    <w:p w:rsidR="0069222E" w:rsidRPr="00133F4D" w:rsidRDefault="0069222E" w:rsidP="00133F4D">
      <w:pPr>
        <w:spacing w:after="0" w:line="240" w:lineRule="auto"/>
        <w:jc w:val="left"/>
        <w:rPr>
          <w:rFonts w:ascii="Arial" w:hAnsi="Arial" w:cs="Arial"/>
          <w:spacing w:val="6"/>
          <w:sz w:val="20"/>
          <w:szCs w:val="20"/>
        </w:rPr>
      </w:pPr>
      <w:r w:rsidRPr="00133F4D">
        <w:rPr>
          <w:rFonts w:ascii="Arial" w:hAnsi="Arial" w:cs="Arial"/>
          <w:spacing w:val="6"/>
          <w:sz w:val="20"/>
          <w:szCs w:val="20"/>
        </w:rPr>
        <w:t>Report to be considered.</w:t>
      </w:r>
    </w:p>
    <w:p w:rsidR="00472B58" w:rsidRPr="00133F4D" w:rsidRDefault="00472B58" w:rsidP="00133F4D">
      <w:pPr>
        <w:spacing w:after="0" w:line="240" w:lineRule="auto"/>
        <w:jc w:val="left"/>
        <w:rPr>
          <w:rFonts w:ascii="Arial" w:hAnsi="Arial" w:cs="Arial"/>
          <w:spacing w:val="6"/>
          <w:sz w:val="20"/>
          <w:szCs w:val="20"/>
        </w:rPr>
      </w:pPr>
    </w:p>
    <w:sectPr w:rsidR="00472B58" w:rsidRPr="00133F4D" w:rsidSect="00E922AD">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5D" w:rsidRDefault="0068475D">
      <w:pPr>
        <w:spacing w:after="0" w:line="240" w:lineRule="auto"/>
      </w:pPr>
      <w:r>
        <w:separator/>
      </w:r>
    </w:p>
  </w:endnote>
  <w:endnote w:type="continuationSeparator" w:id="0">
    <w:p w:rsidR="0068475D" w:rsidRDefault="00684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473541"/>
      <w:docPartObj>
        <w:docPartGallery w:val="Page Numbers (Bottom of Page)"/>
        <w:docPartUnique/>
      </w:docPartObj>
    </w:sdtPr>
    <w:sdtEndPr>
      <w:rPr>
        <w:noProof/>
      </w:rPr>
    </w:sdtEndPr>
    <w:sdtContent>
      <w:p w:rsidR="0054303C" w:rsidRDefault="00E922AD">
        <w:pPr>
          <w:pStyle w:val="Footer"/>
          <w:jc w:val="right"/>
        </w:pPr>
        <w:r w:rsidRPr="00ED4105">
          <w:rPr>
            <w:rFonts w:ascii="Times New Roman" w:hAnsi="Times New Roman" w:cs="Times New Roman"/>
          </w:rPr>
          <w:fldChar w:fldCharType="begin"/>
        </w:r>
        <w:r w:rsidR="0054303C" w:rsidRPr="00ED4105">
          <w:rPr>
            <w:rFonts w:ascii="Times New Roman" w:hAnsi="Times New Roman" w:cs="Times New Roman"/>
          </w:rPr>
          <w:instrText xml:space="preserve"> PAGE   \* MERGEFORMAT </w:instrText>
        </w:r>
        <w:r w:rsidRPr="00ED4105">
          <w:rPr>
            <w:rFonts w:ascii="Times New Roman" w:hAnsi="Times New Roman" w:cs="Times New Roman"/>
          </w:rPr>
          <w:fldChar w:fldCharType="separate"/>
        </w:r>
        <w:r w:rsidR="00133F4D">
          <w:rPr>
            <w:rFonts w:ascii="Times New Roman" w:hAnsi="Times New Roman" w:cs="Times New Roman"/>
            <w:noProof/>
          </w:rPr>
          <w:t>1</w:t>
        </w:r>
        <w:r w:rsidRPr="00ED4105">
          <w:rPr>
            <w:rFonts w:ascii="Times New Roman" w:hAnsi="Times New Roman" w:cs="Times New Roman"/>
            <w:noProof/>
          </w:rPr>
          <w:fldChar w:fldCharType="end"/>
        </w:r>
      </w:p>
    </w:sdtContent>
  </w:sdt>
  <w:p w:rsidR="0054303C" w:rsidRDefault="00543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5D" w:rsidRDefault="0068475D">
      <w:pPr>
        <w:spacing w:after="0" w:line="240" w:lineRule="auto"/>
      </w:pPr>
      <w:r>
        <w:separator/>
      </w:r>
    </w:p>
  </w:footnote>
  <w:footnote w:type="continuationSeparator" w:id="0">
    <w:p w:rsidR="0068475D" w:rsidRDefault="00684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3C" w:rsidRDefault="00543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3C" w:rsidRDefault="005430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3C" w:rsidRDefault="00543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C80"/>
    <w:multiLevelType w:val="hybridMultilevel"/>
    <w:tmpl w:val="6AB04CF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C667F5"/>
    <w:multiLevelType w:val="multilevel"/>
    <w:tmpl w:val="FAB46B9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887A76"/>
    <w:multiLevelType w:val="hybridMultilevel"/>
    <w:tmpl w:val="C26E7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AC174B"/>
    <w:multiLevelType w:val="hybridMultilevel"/>
    <w:tmpl w:val="B0B804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E57402A"/>
    <w:multiLevelType w:val="multilevel"/>
    <w:tmpl w:val="B70821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35590"/>
    <w:multiLevelType w:val="hybridMultilevel"/>
    <w:tmpl w:val="7E422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0B15F2"/>
    <w:multiLevelType w:val="hybridMultilevel"/>
    <w:tmpl w:val="1F345E5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4DA34AF"/>
    <w:multiLevelType w:val="multilevel"/>
    <w:tmpl w:val="23FAB8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5B60D9"/>
    <w:multiLevelType w:val="hybridMultilevel"/>
    <w:tmpl w:val="92206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B65B7A"/>
    <w:multiLevelType w:val="multilevel"/>
    <w:tmpl w:val="3ACC07D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227FBD"/>
    <w:multiLevelType w:val="multilevel"/>
    <w:tmpl w:val="0756DB36"/>
    <w:numStyleLink w:val="Style2"/>
  </w:abstractNum>
  <w:abstractNum w:abstractNumId="11">
    <w:nsid w:val="23330463"/>
    <w:multiLevelType w:val="hybridMultilevel"/>
    <w:tmpl w:val="DBB42D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5EA3E83"/>
    <w:multiLevelType w:val="hybridMultilevel"/>
    <w:tmpl w:val="DF52EC5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712173F"/>
    <w:multiLevelType w:val="hybridMultilevel"/>
    <w:tmpl w:val="0A106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6B00FF"/>
    <w:multiLevelType w:val="multilevel"/>
    <w:tmpl w:val="E5A8DD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124A1F"/>
    <w:multiLevelType w:val="hybridMultilevel"/>
    <w:tmpl w:val="85CA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C2D68CC"/>
    <w:multiLevelType w:val="hybridMultilevel"/>
    <w:tmpl w:val="41A841C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nsid w:val="370276E5"/>
    <w:multiLevelType w:val="multilevel"/>
    <w:tmpl w:val="FE6401C8"/>
    <w:styleLink w:val="Style1"/>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DD09AD"/>
    <w:multiLevelType w:val="multilevel"/>
    <w:tmpl w:val="A278655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E5B61CF"/>
    <w:multiLevelType w:val="multilevel"/>
    <w:tmpl w:val="257696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4647480"/>
    <w:multiLevelType w:val="hybridMultilevel"/>
    <w:tmpl w:val="2676C5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AC35FA9"/>
    <w:multiLevelType w:val="multilevel"/>
    <w:tmpl w:val="9592B1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472362"/>
    <w:multiLevelType w:val="multilevel"/>
    <w:tmpl w:val="419A223A"/>
    <w:lvl w:ilvl="0">
      <w:start w:val="8"/>
      <w:numFmt w:val="decimal"/>
      <w:lvlText w:val="%1"/>
      <w:lvlJc w:val="left"/>
      <w:pPr>
        <w:ind w:left="360" w:hanging="360"/>
      </w:pPr>
      <w:rPr>
        <w:rFonts w:eastAsiaTheme="majorEastAsia" w:hint="default"/>
        <w:b/>
      </w:rPr>
    </w:lvl>
    <w:lvl w:ilvl="1">
      <w:start w:val="1"/>
      <w:numFmt w:val="decimal"/>
      <w:lvlText w:val="%1.%2"/>
      <w:lvlJc w:val="left"/>
      <w:pPr>
        <w:ind w:left="360" w:hanging="36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440" w:hanging="144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800" w:hanging="180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23">
    <w:nsid w:val="4C8545E2"/>
    <w:multiLevelType w:val="multilevel"/>
    <w:tmpl w:val="7F601904"/>
    <w:styleLink w:val="Style3"/>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D2C5239"/>
    <w:multiLevelType w:val="hybridMultilevel"/>
    <w:tmpl w:val="3A4CD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D767F71"/>
    <w:multiLevelType w:val="multilevel"/>
    <w:tmpl w:val="FAB46B9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4C569E"/>
    <w:multiLevelType w:val="hybridMultilevel"/>
    <w:tmpl w:val="51909C3C"/>
    <w:lvl w:ilvl="0" w:tplc="1C090001">
      <w:start w:val="1"/>
      <w:numFmt w:val="bullet"/>
      <w:lvlText w:val=""/>
      <w:lvlJc w:val="left"/>
      <w:pPr>
        <w:tabs>
          <w:tab w:val="num" w:pos="720"/>
        </w:tabs>
        <w:ind w:left="720" w:hanging="360"/>
      </w:pPr>
      <w:rPr>
        <w:rFonts w:ascii="Symbol" w:hAnsi="Symbol" w:hint="default"/>
      </w:rPr>
    </w:lvl>
    <w:lvl w:ilvl="1" w:tplc="7F5A0572" w:tentative="1">
      <w:start w:val="1"/>
      <w:numFmt w:val="bullet"/>
      <w:lvlText w:val="•"/>
      <w:lvlJc w:val="left"/>
      <w:pPr>
        <w:tabs>
          <w:tab w:val="num" w:pos="1440"/>
        </w:tabs>
        <w:ind w:left="1440" w:hanging="360"/>
      </w:pPr>
      <w:rPr>
        <w:rFonts w:ascii="Arial" w:hAnsi="Arial" w:hint="default"/>
      </w:rPr>
    </w:lvl>
    <w:lvl w:ilvl="2" w:tplc="4BE03C54" w:tentative="1">
      <w:start w:val="1"/>
      <w:numFmt w:val="bullet"/>
      <w:lvlText w:val="•"/>
      <w:lvlJc w:val="left"/>
      <w:pPr>
        <w:tabs>
          <w:tab w:val="num" w:pos="2160"/>
        </w:tabs>
        <w:ind w:left="2160" w:hanging="360"/>
      </w:pPr>
      <w:rPr>
        <w:rFonts w:ascii="Arial" w:hAnsi="Arial" w:hint="default"/>
      </w:rPr>
    </w:lvl>
    <w:lvl w:ilvl="3" w:tplc="E89C47AE" w:tentative="1">
      <w:start w:val="1"/>
      <w:numFmt w:val="bullet"/>
      <w:lvlText w:val="•"/>
      <w:lvlJc w:val="left"/>
      <w:pPr>
        <w:tabs>
          <w:tab w:val="num" w:pos="2880"/>
        </w:tabs>
        <w:ind w:left="2880" w:hanging="360"/>
      </w:pPr>
      <w:rPr>
        <w:rFonts w:ascii="Arial" w:hAnsi="Arial" w:hint="default"/>
      </w:rPr>
    </w:lvl>
    <w:lvl w:ilvl="4" w:tplc="50AC69D4" w:tentative="1">
      <w:start w:val="1"/>
      <w:numFmt w:val="bullet"/>
      <w:lvlText w:val="•"/>
      <w:lvlJc w:val="left"/>
      <w:pPr>
        <w:tabs>
          <w:tab w:val="num" w:pos="3600"/>
        </w:tabs>
        <w:ind w:left="3600" w:hanging="360"/>
      </w:pPr>
      <w:rPr>
        <w:rFonts w:ascii="Arial" w:hAnsi="Arial" w:hint="default"/>
      </w:rPr>
    </w:lvl>
    <w:lvl w:ilvl="5" w:tplc="6AF25FC6" w:tentative="1">
      <w:start w:val="1"/>
      <w:numFmt w:val="bullet"/>
      <w:lvlText w:val="•"/>
      <w:lvlJc w:val="left"/>
      <w:pPr>
        <w:tabs>
          <w:tab w:val="num" w:pos="4320"/>
        </w:tabs>
        <w:ind w:left="4320" w:hanging="360"/>
      </w:pPr>
      <w:rPr>
        <w:rFonts w:ascii="Arial" w:hAnsi="Arial" w:hint="default"/>
      </w:rPr>
    </w:lvl>
    <w:lvl w:ilvl="6" w:tplc="B4780636" w:tentative="1">
      <w:start w:val="1"/>
      <w:numFmt w:val="bullet"/>
      <w:lvlText w:val="•"/>
      <w:lvlJc w:val="left"/>
      <w:pPr>
        <w:tabs>
          <w:tab w:val="num" w:pos="5040"/>
        </w:tabs>
        <w:ind w:left="5040" w:hanging="360"/>
      </w:pPr>
      <w:rPr>
        <w:rFonts w:ascii="Arial" w:hAnsi="Arial" w:hint="default"/>
      </w:rPr>
    </w:lvl>
    <w:lvl w:ilvl="7" w:tplc="881890F2" w:tentative="1">
      <w:start w:val="1"/>
      <w:numFmt w:val="bullet"/>
      <w:lvlText w:val="•"/>
      <w:lvlJc w:val="left"/>
      <w:pPr>
        <w:tabs>
          <w:tab w:val="num" w:pos="5760"/>
        </w:tabs>
        <w:ind w:left="5760" w:hanging="360"/>
      </w:pPr>
      <w:rPr>
        <w:rFonts w:ascii="Arial" w:hAnsi="Arial" w:hint="default"/>
      </w:rPr>
    </w:lvl>
    <w:lvl w:ilvl="8" w:tplc="32427600" w:tentative="1">
      <w:start w:val="1"/>
      <w:numFmt w:val="bullet"/>
      <w:lvlText w:val="•"/>
      <w:lvlJc w:val="left"/>
      <w:pPr>
        <w:tabs>
          <w:tab w:val="num" w:pos="6480"/>
        </w:tabs>
        <w:ind w:left="6480" w:hanging="360"/>
      </w:pPr>
      <w:rPr>
        <w:rFonts w:ascii="Arial" w:hAnsi="Arial" w:hint="default"/>
      </w:rPr>
    </w:lvl>
  </w:abstractNum>
  <w:abstractNum w:abstractNumId="27">
    <w:nsid w:val="543A713B"/>
    <w:multiLevelType w:val="hybridMultilevel"/>
    <w:tmpl w:val="F560057E"/>
    <w:lvl w:ilvl="0" w:tplc="1C090001">
      <w:start w:val="1"/>
      <w:numFmt w:val="bullet"/>
      <w:lvlText w:val=""/>
      <w:lvlJc w:val="left"/>
      <w:pPr>
        <w:tabs>
          <w:tab w:val="num" w:pos="720"/>
        </w:tabs>
        <w:ind w:left="720" w:hanging="360"/>
      </w:pPr>
      <w:rPr>
        <w:rFonts w:ascii="Symbol" w:hAnsi="Symbol" w:hint="default"/>
      </w:rPr>
    </w:lvl>
    <w:lvl w:ilvl="1" w:tplc="9300F3DA" w:tentative="1">
      <w:start w:val="1"/>
      <w:numFmt w:val="decimal"/>
      <w:lvlText w:val="%2."/>
      <w:lvlJc w:val="left"/>
      <w:pPr>
        <w:tabs>
          <w:tab w:val="num" w:pos="1440"/>
        </w:tabs>
        <w:ind w:left="1440" w:hanging="360"/>
      </w:pPr>
    </w:lvl>
    <w:lvl w:ilvl="2" w:tplc="9E828A86" w:tentative="1">
      <w:start w:val="1"/>
      <w:numFmt w:val="decimal"/>
      <w:lvlText w:val="%3."/>
      <w:lvlJc w:val="left"/>
      <w:pPr>
        <w:tabs>
          <w:tab w:val="num" w:pos="2160"/>
        </w:tabs>
        <w:ind w:left="2160" w:hanging="360"/>
      </w:pPr>
    </w:lvl>
    <w:lvl w:ilvl="3" w:tplc="9BB8784C" w:tentative="1">
      <w:start w:val="1"/>
      <w:numFmt w:val="decimal"/>
      <w:lvlText w:val="%4."/>
      <w:lvlJc w:val="left"/>
      <w:pPr>
        <w:tabs>
          <w:tab w:val="num" w:pos="2880"/>
        </w:tabs>
        <w:ind w:left="2880" w:hanging="360"/>
      </w:pPr>
    </w:lvl>
    <w:lvl w:ilvl="4" w:tplc="6E5AE60C" w:tentative="1">
      <w:start w:val="1"/>
      <w:numFmt w:val="decimal"/>
      <w:lvlText w:val="%5."/>
      <w:lvlJc w:val="left"/>
      <w:pPr>
        <w:tabs>
          <w:tab w:val="num" w:pos="3600"/>
        </w:tabs>
        <w:ind w:left="3600" w:hanging="360"/>
      </w:pPr>
    </w:lvl>
    <w:lvl w:ilvl="5" w:tplc="D822224C" w:tentative="1">
      <w:start w:val="1"/>
      <w:numFmt w:val="decimal"/>
      <w:lvlText w:val="%6."/>
      <w:lvlJc w:val="left"/>
      <w:pPr>
        <w:tabs>
          <w:tab w:val="num" w:pos="4320"/>
        </w:tabs>
        <w:ind w:left="4320" w:hanging="360"/>
      </w:pPr>
    </w:lvl>
    <w:lvl w:ilvl="6" w:tplc="3816157A" w:tentative="1">
      <w:start w:val="1"/>
      <w:numFmt w:val="decimal"/>
      <w:lvlText w:val="%7."/>
      <w:lvlJc w:val="left"/>
      <w:pPr>
        <w:tabs>
          <w:tab w:val="num" w:pos="5040"/>
        </w:tabs>
        <w:ind w:left="5040" w:hanging="360"/>
      </w:pPr>
    </w:lvl>
    <w:lvl w:ilvl="7" w:tplc="3B80EBD2" w:tentative="1">
      <w:start w:val="1"/>
      <w:numFmt w:val="decimal"/>
      <w:lvlText w:val="%8."/>
      <w:lvlJc w:val="left"/>
      <w:pPr>
        <w:tabs>
          <w:tab w:val="num" w:pos="5760"/>
        </w:tabs>
        <w:ind w:left="5760" w:hanging="360"/>
      </w:pPr>
    </w:lvl>
    <w:lvl w:ilvl="8" w:tplc="876EEF76" w:tentative="1">
      <w:start w:val="1"/>
      <w:numFmt w:val="decimal"/>
      <w:lvlText w:val="%9."/>
      <w:lvlJc w:val="left"/>
      <w:pPr>
        <w:tabs>
          <w:tab w:val="num" w:pos="6480"/>
        </w:tabs>
        <w:ind w:left="6480" w:hanging="360"/>
      </w:pPr>
    </w:lvl>
  </w:abstractNum>
  <w:abstractNum w:abstractNumId="28">
    <w:nsid w:val="555A2471"/>
    <w:multiLevelType w:val="hybridMultilevel"/>
    <w:tmpl w:val="9D820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66F3446"/>
    <w:multiLevelType w:val="hybridMultilevel"/>
    <w:tmpl w:val="6366C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8754937"/>
    <w:multiLevelType w:val="multilevel"/>
    <w:tmpl w:val="FAB46B9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055DD9"/>
    <w:multiLevelType w:val="multilevel"/>
    <w:tmpl w:val="1E0638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650F3A"/>
    <w:multiLevelType w:val="multilevel"/>
    <w:tmpl w:val="FE6401C8"/>
    <w:numStyleLink w:val="Style1"/>
  </w:abstractNum>
  <w:abstractNum w:abstractNumId="33">
    <w:nsid w:val="5B0770E8"/>
    <w:multiLevelType w:val="multilevel"/>
    <w:tmpl w:val="0DD26F48"/>
    <w:lvl w:ilvl="0">
      <w:start w:val="1"/>
      <w:numFmt w:val="decimal"/>
      <w:pStyle w:val="Heading1"/>
      <w:lvlText w:val="%1."/>
      <w:lvlJc w:val="left"/>
      <w:pPr>
        <w:ind w:left="720" w:hanging="360"/>
      </w:p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6202F2"/>
    <w:multiLevelType w:val="hybridMultilevel"/>
    <w:tmpl w:val="FA8456F8"/>
    <w:lvl w:ilvl="0" w:tplc="FF2E41A0">
      <w:start w:val="1"/>
      <w:numFmt w:val="bullet"/>
      <w:lvlText w:val=""/>
      <w:lvlJc w:val="left"/>
      <w:pPr>
        <w:ind w:left="720" w:hanging="360"/>
      </w:pPr>
      <w:rPr>
        <w:rFonts w:ascii="Symbol" w:hAnsi="Symbol" w:hint="default"/>
        <w:strike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F56273C"/>
    <w:multiLevelType w:val="multilevel"/>
    <w:tmpl w:val="0756DB36"/>
    <w:styleLink w:val="Styl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FD52C28"/>
    <w:multiLevelType w:val="hybridMultilevel"/>
    <w:tmpl w:val="55867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58C029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2C375F"/>
    <w:multiLevelType w:val="multilevel"/>
    <w:tmpl w:val="0756D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FDD3151"/>
    <w:multiLevelType w:val="hybridMultilevel"/>
    <w:tmpl w:val="138C59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886B71"/>
    <w:multiLevelType w:val="hybridMultilevel"/>
    <w:tmpl w:val="3ED032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26C6F1F"/>
    <w:multiLevelType w:val="hybridMultilevel"/>
    <w:tmpl w:val="963CF7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nsid w:val="731A0F05"/>
    <w:multiLevelType w:val="multilevel"/>
    <w:tmpl w:val="DD966E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35B32EA"/>
    <w:multiLevelType w:val="hybridMultilevel"/>
    <w:tmpl w:val="5D0AB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60E3F1F"/>
    <w:multiLevelType w:val="hybridMultilevel"/>
    <w:tmpl w:val="A74C7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C161D0B"/>
    <w:multiLevelType w:val="multilevel"/>
    <w:tmpl w:val="E55E0DB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12"/>
  </w:num>
  <w:num w:numId="3">
    <w:abstractNumId w:val="27"/>
  </w:num>
  <w:num w:numId="4">
    <w:abstractNumId w:val="25"/>
  </w:num>
  <w:num w:numId="5">
    <w:abstractNumId w:val="11"/>
  </w:num>
  <w:num w:numId="6">
    <w:abstractNumId w:val="33"/>
  </w:num>
  <w:num w:numId="7">
    <w:abstractNumId w:val="1"/>
  </w:num>
  <w:num w:numId="8">
    <w:abstractNumId w:val="30"/>
  </w:num>
  <w:num w:numId="9">
    <w:abstractNumId w:val="6"/>
  </w:num>
  <w:num w:numId="10">
    <w:abstractNumId w:val="3"/>
  </w:num>
  <w:num w:numId="11">
    <w:abstractNumId w:val="14"/>
  </w:num>
  <w:num w:numId="12">
    <w:abstractNumId w:val="21"/>
  </w:num>
  <w:num w:numId="13">
    <w:abstractNumId w:val="7"/>
  </w:num>
  <w:num w:numId="14">
    <w:abstractNumId w:val="45"/>
  </w:num>
  <w:num w:numId="15">
    <w:abstractNumId w:val="4"/>
  </w:num>
  <w:num w:numId="16">
    <w:abstractNumId w:val="29"/>
  </w:num>
  <w:num w:numId="17">
    <w:abstractNumId w:val="2"/>
  </w:num>
  <w:num w:numId="18">
    <w:abstractNumId w:val="16"/>
  </w:num>
  <w:num w:numId="19">
    <w:abstractNumId w:val="15"/>
  </w:num>
  <w:num w:numId="20">
    <w:abstractNumId w:val="39"/>
  </w:num>
  <w:num w:numId="21">
    <w:abstractNumId w:val="5"/>
  </w:num>
  <w:num w:numId="22">
    <w:abstractNumId w:val="44"/>
  </w:num>
  <w:num w:numId="23">
    <w:abstractNumId w:val="28"/>
  </w:num>
  <w:num w:numId="24">
    <w:abstractNumId w:val="13"/>
  </w:num>
  <w:num w:numId="25">
    <w:abstractNumId w:val="41"/>
  </w:num>
  <w:num w:numId="26">
    <w:abstractNumId w:val="8"/>
  </w:num>
  <w:num w:numId="27">
    <w:abstractNumId w:val="34"/>
  </w:num>
  <w:num w:numId="28">
    <w:abstractNumId w:val="40"/>
  </w:num>
  <w:num w:numId="29">
    <w:abstractNumId w:val="37"/>
  </w:num>
  <w:num w:numId="30">
    <w:abstractNumId w:val="0"/>
  </w:num>
  <w:num w:numId="31">
    <w:abstractNumId w:val="26"/>
  </w:num>
  <w:num w:numId="32">
    <w:abstractNumId w:val="36"/>
  </w:num>
  <w:num w:numId="33">
    <w:abstractNumId w:val="20"/>
  </w:num>
  <w:num w:numId="34">
    <w:abstractNumId w:val="43"/>
  </w:num>
  <w:num w:numId="35">
    <w:abstractNumId w:val="24"/>
  </w:num>
  <w:num w:numId="36">
    <w:abstractNumId w:val="17"/>
  </w:num>
  <w:num w:numId="37">
    <w:abstractNumId w:val="31"/>
  </w:num>
  <w:num w:numId="38">
    <w:abstractNumId w:val="38"/>
  </w:num>
  <w:num w:numId="39">
    <w:abstractNumId w:val="35"/>
  </w:num>
  <w:num w:numId="40">
    <w:abstractNumId w:val="23"/>
  </w:num>
  <w:num w:numId="41">
    <w:abstractNumId w:val="10"/>
  </w:num>
  <w:num w:numId="42">
    <w:abstractNumId w:val="18"/>
  </w:num>
  <w:num w:numId="43">
    <w:abstractNumId w:val="9"/>
  </w:num>
  <w:num w:numId="44">
    <w:abstractNumId w:val="19"/>
  </w:num>
  <w:num w:numId="45">
    <w:abstractNumId w:val="32"/>
  </w:num>
  <w:num w:numId="46">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5122"/>
  </w:hdrShapeDefaults>
  <w:footnotePr>
    <w:footnote w:id="-1"/>
    <w:footnote w:id="0"/>
  </w:footnotePr>
  <w:endnotePr>
    <w:endnote w:id="-1"/>
    <w:endnote w:id="0"/>
  </w:endnotePr>
  <w:compat/>
  <w:rsids>
    <w:rsidRoot w:val="0069222E"/>
    <w:rsid w:val="00000B00"/>
    <w:rsid w:val="000024B8"/>
    <w:rsid w:val="00004A09"/>
    <w:rsid w:val="000076DC"/>
    <w:rsid w:val="00012E9A"/>
    <w:rsid w:val="00016DCD"/>
    <w:rsid w:val="00017237"/>
    <w:rsid w:val="00017A27"/>
    <w:rsid w:val="00021BEB"/>
    <w:rsid w:val="0002491F"/>
    <w:rsid w:val="0002777E"/>
    <w:rsid w:val="00030FC6"/>
    <w:rsid w:val="0003331B"/>
    <w:rsid w:val="00036842"/>
    <w:rsid w:val="00041FE1"/>
    <w:rsid w:val="00046814"/>
    <w:rsid w:val="000468BA"/>
    <w:rsid w:val="00060F33"/>
    <w:rsid w:val="00064528"/>
    <w:rsid w:val="00071053"/>
    <w:rsid w:val="000718DB"/>
    <w:rsid w:val="00072ABB"/>
    <w:rsid w:val="00076A2F"/>
    <w:rsid w:val="000826B1"/>
    <w:rsid w:val="000860B8"/>
    <w:rsid w:val="000860F8"/>
    <w:rsid w:val="00090243"/>
    <w:rsid w:val="000A02E7"/>
    <w:rsid w:val="000A37F3"/>
    <w:rsid w:val="000A639C"/>
    <w:rsid w:val="000A68FA"/>
    <w:rsid w:val="000A7555"/>
    <w:rsid w:val="000B0DE5"/>
    <w:rsid w:val="000B1995"/>
    <w:rsid w:val="000B420D"/>
    <w:rsid w:val="000B4830"/>
    <w:rsid w:val="000B4916"/>
    <w:rsid w:val="000C060F"/>
    <w:rsid w:val="000C3384"/>
    <w:rsid w:val="000C4EE5"/>
    <w:rsid w:val="000C599A"/>
    <w:rsid w:val="000C7413"/>
    <w:rsid w:val="000D3D07"/>
    <w:rsid w:val="000D663E"/>
    <w:rsid w:val="000E0A3C"/>
    <w:rsid w:val="000E2120"/>
    <w:rsid w:val="000E3234"/>
    <w:rsid w:val="000E4A35"/>
    <w:rsid w:val="000E7E50"/>
    <w:rsid w:val="000F7367"/>
    <w:rsid w:val="00100211"/>
    <w:rsid w:val="00100515"/>
    <w:rsid w:val="00101AA3"/>
    <w:rsid w:val="00103813"/>
    <w:rsid w:val="00105567"/>
    <w:rsid w:val="001147C7"/>
    <w:rsid w:val="0012045F"/>
    <w:rsid w:val="00120A0B"/>
    <w:rsid w:val="0012115A"/>
    <w:rsid w:val="0012274A"/>
    <w:rsid w:val="0012282E"/>
    <w:rsid w:val="001230C4"/>
    <w:rsid w:val="00123D45"/>
    <w:rsid w:val="00126E9E"/>
    <w:rsid w:val="00133F4D"/>
    <w:rsid w:val="0013447F"/>
    <w:rsid w:val="00140467"/>
    <w:rsid w:val="0014273B"/>
    <w:rsid w:val="00144E75"/>
    <w:rsid w:val="001535B7"/>
    <w:rsid w:val="00153A66"/>
    <w:rsid w:val="00154089"/>
    <w:rsid w:val="00156ACE"/>
    <w:rsid w:val="00157CA4"/>
    <w:rsid w:val="001634A7"/>
    <w:rsid w:val="0016385D"/>
    <w:rsid w:val="00171C3F"/>
    <w:rsid w:val="00173DE3"/>
    <w:rsid w:val="00180067"/>
    <w:rsid w:val="00181FB2"/>
    <w:rsid w:val="00185D63"/>
    <w:rsid w:val="001879F8"/>
    <w:rsid w:val="00192418"/>
    <w:rsid w:val="00192BA7"/>
    <w:rsid w:val="001A0659"/>
    <w:rsid w:val="001A22C9"/>
    <w:rsid w:val="001A2F16"/>
    <w:rsid w:val="001A5806"/>
    <w:rsid w:val="001B2957"/>
    <w:rsid w:val="001B5806"/>
    <w:rsid w:val="001B5FE7"/>
    <w:rsid w:val="001B697E"/>
    <w:rsid w:val="001C3337"/>
    <w:rsid w:val="001C6966"/>
    <w:rsid w:val="001D521E"/>
    <w:rsid w:val="001D6919"/>
    <w:rsid w:val="001E0DD8"/>
    <w:rsid w:val="001E5B3B"/>
    <w:rsid w:val="001E62EA"/>
    <w:rsid w:val="001E755D"/>
    <w:rsid w:val="001E777F"/>
    <w:rsid w:val="001F0DA2"/>
    <w:rsid w:val="001F3A86"/>
    <w:rsid w:val="002002CA"/>
    <w:rsid w:val="00212DA4"/>
    <w:rsid w:val="00214383"/>
    <w:rsid w:val="00215DAC"/>
    <w:rsid w:val="00216C70"/>
    <w:rsid w:val="00232E31"/>
    <w:rsid w:val="0023614A"/>
    <w:rsid w:val="002468FF"/>
    <w:rsid w:val="00246A73"/>
    <w:rsid w:val="00247E54"/>
    <w:rsid w:val="00252E28"/>
    <w:rsid w:val="002534A9"/>
    <w:rsid w:val="00253ED9"/>
    <w:rsid w:val="002608F1"/>
    <w:rsid w:val="0026258C"/>
    <w:rsid w:val="00266EAF"/>
    <w:rsid w:val="0026725D"/>
    <w:rsid w:val="00267D13"/>
    <w:rsid w:val="0027521F"/>
    <w:rsid w:val="002753C7"/>
    <w:rsid w:val="00275DBA"/>
    <w:rsid w:val="002803E8"/>
    <w:rsid w:val="00284345"/>
    <w:rsid w:val="0028630A"/>
    <w:rsid w:val="002865D8"/>
    <w:rsid w:val="002875F6"/>
    <w:rsid w:val="0029051D"/>
    <w:rsid w:val="00291113"/>
    <w:rsid w:val="00297ECD"/>
    <w:rsid w:val="002A1249"/>
    <w:rsid w:val="002A3116"/>
    <w:rsid w:val="002A49D1"/>
    <w:rsid w:val="002A5594"/>
    <w:rsid w:val="002C1993"/>
    <w:rsid w:val="002C1F69"/>
    <w:rsid w:val="002C28C8"/>
    <w:rsid w:val="002D053E"/>
    <w:rsid w:val="002D1F98"/>
    <w:rsid w:val="002D4A27"/>
    <w:rsid w:val="002D79C1"/>
    <w:rsid w:val="002E2B86"/>
    <w:rsid w:val="002E4605"/>
    <w:rsid w:val="002E6E47"/>
    <w:rsid w:val="002F13D3"/>
    <w:rsid w:val="002F4C8B"/>
    <w:rsid w:val="002F55F7"/>
    <w:rsid w:val="002F78F8"/>
    <w:rsid w:val="00300164"/>
    <w:rsid w:val="00301688"/>
    <w:rsid w:val="00304C27"/>
    <w:rsid w:val="003078DD"/>
    <w:rsid w:val="00312DBF"/>
    <w:rsid w:val="00313F08"/>
    <w:rsid w:val="00315048"/>
    <w:rsid w:val="0031505C"/>
    <w:rsid w:val="003161DE"/>
    <w:rsid w:val="00321B66"/>
    <w:rsid w:val="00325137"/>
    <w:rsid w:val="003349BD"/>
    <w:rsid w:val="003354E8"/>
    <w:rsid w:val="00336AE8"/>
    <w:rsid w:val="00340576"/>
    <w:rsid w:val="0034129F"/>
    <w:rsid w:val="00341E14"/>
    <w:rsid w:val="003514A5"/>
    <w:rsid w:val="003518EE"/>
    <w:rsid w:val="003520AA"/>
    <w:rsid w:val="00353039"/>
    <w:rsid w:val="00355A8F"/>
    <w:rsid w:val="00361963"/>
    <w:rsid w:val="0036367E"/>
    <w:rsid w:val="003671E5"/>
    <w:rsid w:val="00372ACB"/>
    <w:rsid w:val="00375C06"/>
    <w:rsid w:val="00385967"/>
    <w:rsid w:val="00394F02"/>
    <w:rsid w:val="003964BE"/>
    <w:rsid w:val="00396B7F"/>
    <w:rsid w:val="00396CC6"/>
    <w:rsid w:val="003A3B29"/>
    <w:rsid w:val="003A4A13"/>
    <w:rsid w:val="003C1CBD"/>
    <w:rsid w:val="003C63E7"/>
    <w:rsid w:val="003D49DA"/>
    <w:rsid w:val="003D6656"/>
    <w:rsid w:val="003D7952"/>
    <w:rsid w:val="003D7F30"/>
    <w:rsid w:val="003E1BE2"/>
    <w:rsid w:val="003E228C"/>
    <w:rsid w:val="003E28D8"/>
    <w:rsid w:val="003E29CB"/>
    <w:rsid w:val="003E3247"/>
    <w:rsid w:val="003E480E"/>
    <w:rsid w:val="003F298D"/>
    <w:rsid w:val="003F3194"/>
    <w:rsid w:val="003F3558"/>
    <w:rsid w:val="003F6671"/>
    <w:rsid w:val="0040127D"/>
    <w:rsid w:val="00403CB9"/>
    <w:rsid w:val="0040709A"/>
    <w:rsid w:val="00415004"/>
    <w:rsid w:val="004210D9"/>
    <w:rsid w:val="00421161"/>
    <w:rsid w:val="00424B69"/>
    <w:rsid w:val="00426494"/>
    <w:rsid w:val="00440450"/>
    <w:rsid w:val="00443954"/>
    <w:rsid w:val="004463DC"/>
    <w:rsid w:val="004472F1"/>
    <w:rsid w:val="00450EEA"/>
    <w:rsid w:val="0045293D"/>
    <w:rsid w:val="00452CC8"/>
    <w:rsid w:val="00455AA9"/>
    <w:rsid w:val="00460873"/>
    <w:rsid w:val="004728DF"/>
    <w:rsid w:val="00472B58"/>
    <w:rsid w:val="00472EBC"/>
    <w:rsid w:val="00473040"/>
    <w:rsid w:val="00477DCF"/>
    <w:rsid w:val="00477E6B"/>
    <w:rsid w:val="004809B1"/>
    <w:rsid w:val="004814B3"/>
    <w:rsid w:val="00481A90"/>
    <w:rsid w:val="0048390F"/>
    <w:rsid w:val="00483CBE"/>
    <w:rsid w:val="00486BB0"/>
    <w:rsid w:val="00495B74"/>
    <w:rsid w:val="004966D0"/>
    <w:rsid w:val="004A1A96"/>
    <w:rsid w:val="004B197D"/>
    <w:rsid w:val="004B33F6"/>
    <w:rsid w:val="004B549A"/>
    <w:rsid w:val="004C1A88"/>
    <w:rsid w:val="004C6AB8"/>
    <w:rsid w:val="004C7AAE"/>
    <w:rsid w:val="004D07C6"/>
    <w:rsid w:val="004D3B9C"/>
    <w:rsid w:val="004D6798"/>
    <w:rsid w:val="004D7C93"/>
    <w:rsid w:val="004E0741"/>
    <w:rsid w:val="004E3978"/>
    <w:rsid w:val="004F22EB"/>
    <w:rsid w:val="004F7C6A"/>
    <w:rsid w:val="005004E5"/>
    <w:rsid w:val="00501BF3"/>
    <w:rsid w:val="00506883"/>
    <w:rsid w:val="00510353"/>
    <w:rsid w:val="00510B3F"/>
    <w:rsid w:val="00514DC6"/>
    <w:rsid w:val="00515745"/>
    <w:rsid w:val="005176D1"/>
    <w:rsid w:val="00521A4E"/>
    <w:rsid w:val="00525116"/>
    <w:rsid w:val="00530116"/>
    <w:rsid w:val="00530DDE"/>
    <w:rsid w:val="00536262"/>
    <w:rsid w:val="00542C23"/>
    <w:rsid w:val="0054303C"/>
    <w:rsid w:val="0054323B"/>
    <w:rsid w:val="00545137"/>
    <w:rsid w:val="00546327"/>
    <w:rsid w:val="00546D17"/>
    <w:rsid w:val="00546DD5"/>
    <w:rsid w:val="00546ECE"/>
    <w:rsid w:val="005502F8"/>
    <w:rsid w:val="005521A2"/>
    <w:rsid w:val="00553786"/>
    <w:rsid w:val="0055432F"/>
    <w:rsid w:val="00555928"/>
    <w:rsid w:val="00555945"/>
    <w:rsid w:val="00563B6A"/>
    <w:rsid w:val="005707CE"/>
    <w:rsid w:val="0057526F"/>
    <w:rsid w:val="00576646"/>
    <w:rsid w:val="0058070C"/>
    <w:rsid w:val="00583566"/>
    <w:rsid w:val="00591864"/>
    <w:rsid w:val="00593448"/>
    <w:rsid w:val="005A0516"/>
    <w:rsid w:val="005A164B"/>
    <w:rsid w:val="005A1B99"/>
    <w:rsid w:val="005B24BC"/>
    <w:rsid w:val="005B3DC4"/>
    <w:rsid w:val="005B77A1"/>
    <w:rsid w:val="005C1D70"/>
    <w:rsid w:val="005C2573"/>
    <w:rsid w:val="005C3E83"/>
    <w:rsid w:val="005C40C6"/>
    <w:rsid w:val="005D2930"/>
    <w:rsid w:val="005D4E13"/>
    <w:rsid w:val="005E3351"/>
    <w:rsid w:val="005E3525"/>
    <w:rsid w:val="005E44C2"/>
    <w:rsid w:val="005E628B"/>
    <w:rsid w:val="005E68A0"/>
    <w:rsid w:val="005E7A26"/>
    <w:rsid w:val="005F082E"/>
    <w:rsid w:val="00601013"/>
    <w:rsid w:val="00605072"/>
    <w:rsid w:val="006138D1"/>
    <w:rsid w:val="00614C9D"/>
    <w:rsid w:val="006165A8"/>
    <w:rsid w:val="00624A5D"/>
    <w:rsid w:val="00625761"/>
    <w:rsid w:val="006262E9"/>
    <w:rsid w:val="006339C0"/>
    <w:rsid w:val="00640AF1"/>
    <w:rsid w:val="00642B69"/>
    <w:rsid w:val="00643843"/>
    <w:rsid w:val="0064439F"/>
    <w:rsid w:val="006459CE"/>
    <w:rsid w:val="006543A0"/>
    <w:rsid w:val="00655DE9"/>
    <w:rsid w:val="006601C9"/>
    <w:rsid w:val="00661266"/>
    <w:rsid w:val="00665028"/>
    <w:rsid w:val="006705ED"/>
    <w:rsid w:val="00672917"/>
    <w:rsid w:val="00672A8B"/>
    <w:rsid w:val="00676913"/>
    <w:rsid w:val="00677525"/>
    <w:rsid w:val="00677599"/>
    <w:rsid w:val="006808AE"/>
    <w:rsid w:val="00682F55"/>
    <w:rsid w:val="0068475D"/>
    <w:rsid w:val="00685106"/>
    <w:rsid w:val="00686718"/>
    <w:rsid w:val="0069086C"/>
    <w:rsid w:val="00690F1C"/>
    <w:rsid w:val="0069222E"/>
    <w:rsid w:val="006962A6"/>
    <w:rsid w:val="006A2486"/>
    <w:rsid w:val="006A4CB2"/>
    <w:rsid w:val="006A569E"/>
    <w:rsid w:val="006A5748"/>
    <w:rsid w:val="006C1A7B"/>
    <w:rsid w:val="006C6089"/>
    <w:rsid w:val="006C68D0"/>
    <w:rsid w:val="006C72AF"/>
    <w:rsid w:val="006C78D2"/>
    <w:rsid w:val="006D42F8"/>
    <w:rsid w:val="006D55B5"/>
    <w:rsid w:val="006D61B0"/>
    <w:rsid w:val="006E03BC"/>
    <w:rsid w:val="006E059D"/>
    <w:rsid w:val="006E36A0"/>
    <w:rsid w:val="006E5CB8"/>
    <w:rsid w:val="006E64FB"/>
    <w:rsid w:val="006F0F12"/>
    <w:rsid w:val="006F1BA3"/>
    <w:rsid w:val="006F307C"/>
    <w:rsid w:val="0070051A"/>
    <w:rsid w:val="007032EF"/>
    <w:rsid w:val="00707000"/>
    <w:rsid w:val="007078E5"/>
    <w:rsid w:val="00707912"/>
    <w:rsid w:val="0071018D"/>
    <w:rsid w:val="0071287D"/>
    <w:rsid w:val="007131BD"/>
    <w:rsid w:val="00716E77"/>
    <w:rsid w:val="00717340"/>
    <w:rsid w:val="00721EED"/>
    <w:rsid w:val="0072211B"/>
    <w:rsid w:val="00724D18"/>
    <w:rsid w:val="007272F7"/>
    <w:rsid w:val="00730034"/>
    <w:rsid w:val="00730896"/>
    <w:rsid w:val="0073123A"/>
    <w:rsid w:val="007349B1"/>
    <w:rsid w:val="00737630"/>
    <w:rsid w:val="0074319F"/>
    <w:rsid w:val="007435C7"/>
    <w:rsid w:val="007438B1"/>
    <w:rsid w:val="00744A0C"/>
    <w:rsid w:val="007476ED"/>
    <w:rsid w:val="00751FBB"/>
    <w:rsid w:val="00757CE1"/>
    <w:rsid w:val="0076033F"/>
    <w:rsid w:val="00762AD0"/>
    <w:rsid w:val="00763D88"/>
    <w:rsid w:val="007707D7"/>
    <w:rsid w:val="00771355"/>
    <w:rsid w:val="00774E14"/>
    <w:rsid w:val="00781F8C"/>
    <w:rsid w:val="0078757A"/>
    <w:rsid w:val="007A2BB8"/>
    <w:rsid w:val="007A2CA3"/>
    <w:rsid w:val="007A3280"/>
    <w:rsid w:val="007A5F9B"/>
    <w:rsid w:val="007B1ACF"/>
    <w:rsid w:val="007B2FE4"/>
    <w:rsid w:val="007B2FF5"/>
    <w:rsid w:val="007B5A5D"/>
    <w:rsid w:val="007B7741"/>
    <w:rsid w:val="007C10E4"/>
    <w:rsid w:val="007C5BC4"/>
    <w:rsid w:val="007C6AC3"/>
    <w:rsid w:val="007C7DE1"/>
    <w:rsid w:val="007D11D3"/>
    <w:rsid w:val="007D181C"/>
    <w:rsid w:val="007E00FC"/>
    <w:rsid w:val="007E3121"/>
    <w:rsid w:val="007E4B59"/>
    <w:rsid w:val="007E5C96"/>
    <w:rsid w:val="007E5CD5"/>
    <w:rsid w:val="007E60E1"/>
    <w:rsid w:val="007E63D8"/>
    <w:rsid w:val="007E6C4C"/>
    <w:rsid w:val="007F3854"/>
    <w:rsid w:val="007F3F09"/>
    <w:rsid w:val="007F426E"/>
    <w:rsid w:val="007F6524"/>
    <w:rsid w:val="007F73A4"/>
    <w:rsid w:val="00800F06"/>
    <w:rsid w:val="00802F25"/>
    <w:rsid w:val="00804158"/>
    <w:rsid w:val="00804477"/>
    <w:rsid w:val="008044F3"/>
    <w:rsid w:val="008055DD"/>
    <w:rsid w:val="0081044A"/>
    <w:rsid w:val="00812597"/>
    <w:rsid w:val="0081646E"/>
    <w:rsid w:val="008168FD"/>
    <w:rsid w:val="00823BA3"/>
    <w:rsid w:val="008254A1"/>
    <w:rsid w:val="00827C02"/>
    <w:rsid w:val="008319CD"/>
    <w:rsid w:val="00831DED"/>
    <w:rsid w:val="0083312B"/>
    <w:rsid w:val="0083388B"/>
    <w:rsid w:val="0083558A"/>
    <w:rsid w:val="008367EB"/>
    <w:rsid w:val="00836FAE"/>
    <w:rsid w:val="00847214"/>
    <w:rsid w:val="0085063B"/>
    <w:rsid w:val="008506A6"/>
    <w:rsid w:val="0085426B"/>
    <w:rsid w:val="00854AE0"/>
    <w:rsid w:val="0086032A"/>
    <w:rsid w:val="0086156D"/>
    <w:rsid w:val="00865FEF"/>
    <w:rsid w:val="00872B95"/>
    <w:rsid w:val="00873084"/>
    <w:rsid w:val="00875977"/>
    <w:rsid w:val="00881859"/>
    <w:rsid w:val="00882930"/>
    <w:rsid w:val="00883634"/>
    <w:rsid w:val="008908E9"/>
    <w:rsid w:val="00896328"/>
    <w:rsid w:val="008A01FB"/>
    <w:rsid w:val="008A2631"/>
    <w:rsid w:val="008A5831"/>
    <w:rsid w:val="008A6215"/>
    <w:rsid w:val="008B1729"/>
    <w:rsid w:val="008B2BB6"/>
    <w:rsid w:val="008B4497"/>
    <w:rsid w:val="008B6FA3"/>
    <w:rsid w:val="008C0C4C"/>
    <w:rsid w:val="008C1DD2"/>
    <w:rsid w:val="008D3AA3"/>
    <w:rsid w:val="008E1DD1"/>
    <w:rsid w:val="008E2230"/>
    <w:rsid w:val="008E38C5"/>
    <w:rsid w:val="008E418D"/>
    <w:rsid w:val="008E7C62"/>
    <w:rsid w:val="008F3C2A"/>
    <w:rsid w:val="008F48D3"/>
    <w:rsid w:val="008F523F"/>
    <w:rsid w:val="008F5CC5"/>
    <w:rsid w:val="008F7A06"/>
    <w:rsid w:val="008F7C99"/>
    <w:rsid w:val="00901C35"/>
    <w:rsid w:val="009049AE"/>
    <w:rsid w:val="009111D7"/>
    <w:rsid w:val="00913FE0"/>
    <w:rsid w:val="00914410"/>
    <w:rsid w:val="00915C31"/>
    <w:rsid w:val="009178A6"/>
    <w:rsid w:val="00917ABE"/>
    <w:rsid w:val="00922A4D"/>
    <w:rsid w:val="00923E3F"/>
    <w:rsid w:val="00925031"/>
    <w:rsid w:val="009258BF"/>
    <w:rsid w:val="00925DDD"/>
    <w:rsid w:val="00927CFC"/>
    <w:rsid w:val="00930459"/>
    <w:rsid w:val="009314DC"/>
    <w:rsid w:val="00934004"/>
    <w:rsid w:val="00934CB1"/>
    <w:rsid w:val="009355DF"/>
    <w:rsid w:val="00941F25"/>
    <w:rsid w:val="009441EF"/>
    <w:rsid w:val="009448F5"/>
    <w:rsid w:val="009470D9"/>
    <w:rsid w:val="009471F5"/>
    <w:rsid w:val="009502A0"/>
    <w:rsid w:val="0095655E"/>
    <w:rsid w:val="009573CE"/>
    <w:rsid w:val="0095741E"/>
    <w:rsid w:val="00964DA5"/>
    <w:rsid w:val="00971685"/>
    <w:rsid w:val="00974B79"/>
    <w:rsid w:val="009755EB"/>
    <w:rsid w:val="0097654B"/>
    <w:rsid w:val="00976ACE"/>
    <w:rsid w:val="00977AF3"/>
    <w:rsid w:val="009810F8"/>
    <w:rsid w:val="009846BA"/>
    <w:rsid w:val="00991107"/>
    <w:rsid w:val="00997112"/>
    <w:rsid w:val="009A15F1"/>
    <w:rsid w:val="009A1DA7"/>
    <w:rsid w:val="009A4A41"/>
    <w:rsid w:val="009A4FC5"/>
    <w:rsid w:val="009A51EF"/>
    <w:rsid w:val="009A53E8"/>
    <w:rsid w:val="009B2B96"/>
    <w:rsid w:val="009B3D16"/>
    <w:rsid w:val="009B43E0"/>
    <w:rsid w:val="009C5E9F"/>
    <w:rsid w:val="009C6A02"/>
    <w:rsid w:val="009C7BCC"/>
    <w:rsid w:val="009D0D83"/>
    <w:rsid w:val="009D2C4A"/>
    <w:rsid w:val="009E25CA"/>
    <w:rsid w:val="009E2BA4"/>
    <w:rsid w:val="009E6EF7"/>
    <w:rsid w:val="009F0251"/>
    <w:rsid w:val="009F51E6"/>
    <w:rsid w:val="009F5E65"/>
    <w:rsid w:val="009F63CF"/>
    <w:rsid w:val="009F732B"/>
    <w:rsid w:val="00A013B2"/>
    <w:rsid w:val="00A0220A"/>
    <w:rsid w:val="00A059C6"/>
    <w:rsid w:val="00A05CEB"/>
    <w:rsid w:val="00A10C2B"/>
    <w:rsid w:val="00A125E3"/>
    <w:rsid w:val="00A1620E"/>
    <w:rsid w:val="00A24207"/>
    <w:rsid w:val="00A263A9"/>
    <w:rsid w:val="00A27237"/>
    <w:rsid w:val="00A27C50"/>
    <w:rsid w:val="00A31F9B"/>
    <w:rsid w:val="00A3491E"/>
    <w:rsid w:val="00A40799"/>
    <w:rsid w:val="00A41C60"/>
    <w:rsid w:val="00A44CC8"/>
    <w:rsid w:val="00A4581C"/>
    <w:rsid w:val="00A458CF"/>
    <w:rsid w:val="00A459B8"/>
    <w:rsid w:val="00A517A4"/>
    <w:rsid w:val="00A52152"/>
    <w:rsid w:val="00A55005"/>
    <w:rsid w:val="00A614E0"/>
    <w:rsid w:val="00A671C8"/>
    <w:rsid w:val="00A67709"/>
    <w:rsid w:val="00A73685"/>
    <w:rsid w:val="00A74CE8"/>
    <w:rsid w:val="00A75D6A"/>
    <w:rsid w:val="00A8041E"/>
    <w:rsid w:val="00A80D0D"/>
    <w:rsid w:val="00A85473"/>
    <w:rsid w:val="00A857DB"/>
    <w:rsid w:val="00A85DF7"/>
    <w:rsid w:val="00A862DE"/>
    <w:rsid w:val="00A901AF"/>
    <w:rsid w:val="00A916CA"/>
    <w:rsid w:val="00A9249D"/>
    <w:rsid w:val="00A92E20"/>
    <w:rsid w:val="00A95033"/>
    <w:rsid w:val="00A95D46"/>
    <w:rsid w:val="00A96B16"/>
    <w:rsid w:val="00A97D55"/>
    <w:rsid w:val="00AA0746"/>
    <w:rsid w:val="00AA24EE"/>
    <w:rsid w:val="00AA416E"/>
    <w:rsid w:val="00AB2617"/>
    <w:rsid w:val="00AB3439"/>
    <w:rsid w:val="00AC2D4E"/>
    <w:rsid w:val="00AC36FC"/>
    <w:rsid w:val="00AC5827"/>
    <w:rsid w:val="00AC6655"/>
    <w:rsid w:val="00AC7081"/>
    <w:rsid w:val="00AD0431"/>
    <w:rsid w:val="00AD5799"/>
    <w:rsid w:val="00AE60DD"/>
    <w:rsid w:val="00AE6356"/>
    <w:rsid w:val="00AE77EF"/>
    <w:rsid w:val="00AF495A"/>
    <w:rsid w:val="00AF5AE1"/>
    <w:rsid w:val="00B017E7"/>
    <w:rsid w:val="00B030E9"/>
    <w:rsid w:val="00B0368B"/>
    <w:rsid w:val="00B07CB8"/>
    <w:rsid w:val="00B1094E"/>
    <w:rsid w:val="00B25A91"/>
    <w:rsid w:val="00B270A5"/>
    <w:rsid w:val="00B27C6F"/>
    <w:rsid w:val="00B32172"/>
    <w:rsid w:val="00B32607"/>
    <w:rsid w:val="00B3390E"/>
    <w:rsid w:val="00B35A76"/>
    <w:rsid w:val="00B41389"/>
    <w:rsid w:val="00B42161"/>
    <w:rsid w:val="00B5157F"/>
    <w:rsid w:val="00B52650"/>
    <w:rsid w:val="00B52A84"/>
    <w:rsid w:val="00B53435"/>
    <w:rsid w:val="00B55349"/>
    <w:rsid w:val="00B63134"/>
    <w:rsid w:val="00B66418"/>
    <w:rsid w:val="00B66E50"/>
    <w:rsid w:val="00B71D26"/>
    <w:rsid w:val="00B80029"/>
    <w:rsid w:val="00B8116F"/>
    <w:rsid w:val="00B83FA8"/>
    <w:rsid w:val="00B84B3D"/>
    <w:rsid w:val="00B84CB3"/>
    <w:rsid w:val="00B87208"/>
    <w:rsid w:val="00B87AE4"/>
    <w:rsid w:val="00B923FB"/>
    <w:rsid w:val="00B93CB5"/>
    <w:rsid w:val="00B940D5"/>
    <w:rsid w:val="00B94CB3"/>
    <w:rsid w:val="00B94E40"/>
    <w:rsid w:val="00B965CB"/>
    <w:rsid w:val="00BA2E77"/>
    <w:rsid w:val="00BA33B9"/>
    <w:rsid w:val="00BA5AFD"/>
    <w:rsid w:val="00BB2F3F"/>
    <w:rsid w:val="00BB3215"/>
    <w:rsid w:val="00BB34EA"/>
    <w:rsid w:val="00BC4AE9"/>
    <w:rsid w:val="00BC4F0B"/>
    <w:rsid w:val="00BC7F92"/>
    <w:rsid w:val="00BD29A8"/>
    <w:rsid w:val="00BD352F"/>
    <w:rsid w:val="00BE0D82"/>
    <w:rsid w:val="00BE136C"/>
    <w:rsid w:val="00BE4E5C"/>
    <w:rsid w:val="00BE5680"/>
    <w:rsid w:val="00BF16B2"/>
    <w:rsid w:val="00C029CF"/>
    <w:rsid w:val="00C05D64"/>
    <w:rsid w:val="00C152BC"/>
    <w:rsid w:val="00C21EC5"/>
    <w:rsid w:val="00C21F46"/>
    <w:rsid w:val="00C2297D"/>
    <w:rsid w:val="00C27F01"/>
    <w:rsid w:val="00C33DF3"/>
    <w:rsid w:val="00C33FFB"/>
    <w:rsid w:val="00C3752B"/>
    <w:rsid w:val="00C422E8"/>
    <w:rsid w:val="00C426F1"/>
    <w:rsid w:val="00C42E99"/>
    <w:rsid w:val="00C44741"/>
    <w:rsid w:val="00C4479C"/>
    <w:rsid w:val="00C4551A"/>
    <w:rsid w:val="00C45936"/>
    <w:rsid w:val="00C523A1"/>
    <w:rsid w:val="00C52886"/>
    <w:rsid w:val="00C52931"/>
    <w:rsid w:val="00C532D5"/>
    <w:rsid w:val="00C550E2"/>
    <w:rsid w:val="00C551AD"/>
    <w:rsid w:val="00C615F1"/>
    <w:rsid w:val="00C62DCD"/>
    <w:rsid w:val="00C63A3D"/>
    <w:rsid w:val="00C64F90"/>
    <w:rsid w:val="00C6575B"/>
    <w:rsid w:val="00C6795F"/>
    <w:rsid w:val="00C72E5E"/>
    <w:rsid w:val="00C72F39"/>
    <w:rsid w:val="00C77E4A"/>
    <w:rsid w:val="00C845FB"/>
    <w:rsid w:val="00C8754F"/>
    <w:rsid w:val="00C9131D"/>
    <w:rsid w:val="00C92E17"/>
    <w:rsid w:val="00C94440"/>
    <w:rsid w:val="00C95701"/>
    <w:rsid w:val="00C977B4"/>
    <w:rsid w:val="00CA00BF"/>
    <w:rsid w:val="00CA1904"/>
    <w:rsid w:val="00CA1B40"/>
    <w:rsid w:val="00CA65A1"/>
    <w:rsid w:val="00CA6BB8"/>
    <w:rsid w:val="00CB0CAB"/>
    <w:rsid w:val="00CB1DEF"/>
    <w:rsid w:val="00CB5993"/>
    <w:rsid w:val="00CB64AB"/>
    <w:rsid w:val="00CC103F"/>
    <w:rsid w:val="00CD05C2"/>
    <w:rsid w:val="00CD1C80"/>
    <w:rsid w:val="00CD2A04"/>
    <w:rsid w:val="00CF6923"/>
    <w:rsid w:val="00CF7175"/>
    <w:rsid w:val="00CF7997"/>
    <w:rsid w:val="00D00296"/>
    <w:rsid w:val="00D067DE"/>
    <w:rsid w:val="00D1096C"/>
    <w:rsid w:val="00D14BA2"/>
    <w:rsid w:val="00D217D5"/>
    <w:rsid w:val="00D320E0"/>
    <w:rsid w:val="00D33D7C"/>
    <w:rsid w:val="00D358C7"/>
    <w:rsid w:val="00D379F4"/>
    <w:rsid w:val="00D40AA4"/>
    <w:rsid w:val="00D416DD"/>
    <w:rsid w:val="00D41DA8"/>
    <w:rsid w:val="00D431A9"/>
    <w:rsid w:val="00D513C6"/>
    <w:rsid w:val="00D53BCE"/>
    <w:rsid w:val="00D54333"/>
    <w:rsid w:val="00D55F4A"/>
    <w:rsid w:val="00D56503"/>
    <w:rsid w:val="00D620C1"/>
    <w:rsid w:val="00D638A1"/>
    <w:rsid w:val="00D6476A"/>
    <w:rsid w:val="00D6540F"/>
    <w:rsid w:val="00D7796B"/>
    <w:rsid w:val="00D81058"/>
    <w:rsid w:val="00D82E26"/>
    <w:rsid w:val="00D83BE2"/>
    <w:rsid w:val="00D8501C"/>
    <w:rsid w:val="00D869DB"/>
    <w:rsid w:val="00D91456"/>
    <w:rsid w:val="00D92565"/>
    <w:rsid w:val="00D9356E"/>
    <w:rsid w:val="00D9539A"/>
    <w:rsid w:val="00D97691"/>
    <w:rsid w:val="00DA0947"/>
    <w:rsid w:val="00DA2CFD"/>
    <w:rsid w:val="00DA6D04"/>
    <w:rsid w:val="00DA746D"/>
    <w:rsid w:val="00DB0824"/>
    <w:rsid w:val="00DB4DC8"/>
    <w:rsid w:val="00DB65E9"/>
    <w:rsid w:val="00DD058E"/>
    <w:rsid w:val="00DD07FC"/>
    <w:rsid w:val="00DD09FD"/>
    <w:rsid w:val="00DD0F51"/>
    <w:rsid w:val="00DD75BA"/>
    <w:rsid w:val="00DE2047"/>
    <w:rsid w:val="00DE3977"/>
    <w:rsid w:val="00DF0A4A"/>
    <w:rsid w:val="00DF2CA9"/>
    <w:rsid w:val="00DF3D1E"/>
    <w:rsid w:val="00DF5B83"/>
    <w:rsid w:val="00DF6631"/>
    <w:rsid w:val="00E0167A"/>
    <w:rsid w:val="00E02A6A"/>
    <w:rsid w:val="00E05E3D"/>
    <w:rsid w:val="00E062C6"/>
    <w:rsid w:val="00E06B91"/>
    <w:rsid w:val="00E07156"/>
    <w:rsid w:val="00E10D32"/>
    <w:rsid w:val="00E11F8D"/>
    <w:rsid w:val="00E1527F"/>
    <w:rsid w:val="00E15994"/>
    <w:rsid w:val="00E20D71"/>
    <w:rsid w:val="00E2773F"/>
    <w:rsid w:val="00E27D21"/>
    <w:rsid w:val="00E304C9"/>
    <w:rsid w:val="00E3174F"/>
    <w:rsid w:val="00E328A7"/>
    <w:rsid w:val="00E34A3E"/>
    <w:rsid w:val="00E35668"/>
    <w:rsid w:val="00E4489B"/>
    <w:rsid w:val="00E4532B"/>
    <w:rsid w:val="00E51E92"/>
    <w:rsid w:val="00E54515"/>
    <w:rsid w:val="00E567DF"/>
    <w:rsid w:val="00E56F61"/>
    <w:rsid w:val="00E63466"/>
    <w:rsid w:val="00E63634"/>
    <w:rsid w:val="00E6502E"/>
    <w:rsid w:val="00E65F82"/>
    <w:rsid w:val="00E66055"/>
    <w:rsid w:val="00E702A8"/>
    <w:rsid w:val="00E70C15"/>
    <w:rsid w:val="00E74436"/>
    <w:rsid w:val="00E77216"/>
    <w:rsid w:val="00E819AF"/>
    <w:rsid w:val="00E829FA"/>
    <w:rsid w:val="00E82B15"/>
    <w:rsid w:val="00E837B1"/>
    <w:rsid w:val="00E83DE7"/>
    <w:rsid w:val="00E85EF7"/>
    <w:rsid w:val="00E90886"/>
    <w:rsid w:val="00E91EB9"/>
    <w:rsid w:val="00E92163"/>
    <w:rsid w:val="00E922AD"/>
    <w:rsid w:val="00E943C9"/>
    <w:rsid w:val="00E95D5A"/>
    <w:rsid w:val="00E95FBE"/>
    <w:rsid w:val="00E96038"/>
    <w:rsid w:val="00E964A7"/>
    <w:rsid w:val="00E974A8"/>
    <w:rsid w:val="00EA1D35"/>
    <w:rsid w:val="00EA414F"/>
    <w:rsid w:val="00EA5860"/>
    <w:rsid w:val="00EA624C"/>
    <w:rsid w:val="00EB1514"/>
    <w:rsid w:val="00EB4057"/>
    <w:rsid w:val="00EB455C"/>
    <w:rsid w:val="00EB4E71"/>
    <w:rsid w:val="00EB526E"/>
    <w:rsid w:val="00ED1836"/>
    <w:rsid w:val="00ED516A"/>
    <w:rsid w:val="00ED69DB"/>
    <w:rsid w:val="00EE142C"/>
    <w:rsid w:val="00EE460E"/>
    <w:rsid w:val="00EF438E"/>
    <w:rsid w:val="00EF69AD"/>
    <w:rsid w:val="00F05598"/>
    <w:rsid w:val="00F11031"/>
    <w:rsid w:val="00F156B9"/>
    <w:rsid w:val="00F17689"/>
    <w:rsid w:val="00F20C11"/>
    <w:rsid w:val="00F2314A"/>
    <w:rsid w:val="00F23321"/>
    <w:rsid w:val="00F24E15"/>
    <w:rsid w:val="00F25E43"/>
    <w:rsid w:val="00F27B49"/>
    <w:rsid w:val="00F30B4B"/>
    <w:rsid w:val="00F34BB2"/>
    <w:rsid w:val="00F35E8E"/>
    <w:rsid w:val="00F35F60"/>
    <w:rsid w:val="00F40631"/>
    <w:rsid w:val="00F41939"/>
    <w:rsid w:val="00F43A5E"/>
    <w:rsid w:val="00F4706E"/>
    <w:rsid w:val="00F50246"/>
    <w:rsid w:val="00F50B9E"/>
    <w:rsid w:val="00F54D4D"/>
    <w:rsid w:val="00F648CF"/>
    <w:rsid w:val="00F6548B"/>
    <w:rsid w:val="00F67DA9"/>
    <w:rsid w:val="00F73FE6"/>
    <w:rsid w:val="00F74C55"/>
    <w:rsid w:val="00F76926"/>
    <w:rsid w:val="00F77002"/>
    <w:rsid w:val="00F81708"/>
    <w:rsid w:val="00F82490"/>
    <w:rsid w:val="00F82B42"/>
    <w:rsid w:val="00F83C59"/>
    <w:rsid w:val="00F84361"/>
    <w:rsid w:val="00F84919"/>
    <w:rsid w:val="00F87960"/>
    <w:rsid w:val="00F90CAD"/>
    <w:rsid w:val="00F9205E"/>
    <w:rsid w:val="00F946B5"/>
    <w:rsid w:val="00F963E2"/>
    <w:rsid w:val="00FA2F32"/>
    <w:rsid w:val="00FA6825"/>
    <w:rsid w:val="00FB14AC"/>
    <w:rsid w:val="00FB236F"/>
    <w:rsid w:val="00FB383D"/>
    <w:rsid w:val="00FB4CAF"/>
    <w:rsid w:val="00FB52A1"/>
    <w:rsid w:val="00FB7C3D"/>
    <w:rsid w:val="00FC391D"/>
    <w:rsid w:val="00FC3D1B"/>
    <w:rsid w:val="00FC6BEE"/>
    <w:rsid w:val="00FD1E7E"/>
    <w:rsid w:val="00FD3196"/>
    <w:rsid w:val="00FD5D26"/>
    <w:rsid w:val="00FD782C"/>
    <w:rsid w:val="00FD7C9C"/>
    <w:rsid w:val="00FE09F0"/>
    <w:rsid w:val="00FE28EF"/>
    <w:rsid w:val="00FE35D2"/>
    <w:rsid w:val="00FE53B3"/>
    <w:rsid w:val="00FE6809"/>
    <w:rsid w:val="00FF1EC1"/>
    <w:rsid w:val="00FF31F2"/>
    <w:rsid w:val="00FF67E4"/>
    <w:rsid w:val="00FF7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8E"/>
    <w:pPr>
      <w:spacing w:line="360" w:lineRule="auto"/>
      <w:jc w:val="both"/>
    </w:pPr>
  </w:style>
  <w:style w:type="paragraph" w:styleId="Heading1">
    <w:name w:val="heading 1"/>
    <w:basedOn w:val="Normal"/>
    <w:next w:val="Normal"/>
    <w:link w:val="Heading1Char"/>
    <w:uiPriority w:val="9"/>
    <w:qFormat/>
    <w:rsid w:val="0069222E"/>
    <w:pPr>
      <w:keepNext/>
      <w:keepLines/>
      <w:numPr>
        <w:numId w:val="6"/>
      </w:numPr>
      <w:spacing w:before="240" w:after="0"/>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autoRedefine/>
    <w:uiPriority w:val="9"/>
    <w:unhideWhenUsed/>
    <w:qFormat/>
    <w:rsid w:val="00E82B15"/>
    <w:pPr>
      <w:keepNext/>
      <w:keepLines/>
      <w:spacing w:after="0"/>
      <w:outlineLvl w:val="1"/>
    </w:pPr>
    <w:rPr>
      <w:rFonts w:ascii="Times New Roman" w:eastAsiaTheme="majorEastAsia" w:hAnsi="Times New Roman" w:cs="Times New Roman"/>
      <w:b/>
      <w:spacing w:val="6"/>
      <w:sz w:val="24"/>
      <w:szCs w:val="24"/>
    </w:rPr>
  </w:style>
  <w:style w:type="paragraph" w:styleId="Heading3">
    <w:name w:val="heading 3"/>
    <w:basedOn w:val="Normal"/>
    <w:next w:val="Normal"/>
    <w:link w:val="Heading3Char"/>
    <w:uiPriority w:val="9"/>
    <w:unhideWhenUsed/>
    <w:qFormat/>
    <w:rsid w:val="006922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22E"/>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E82B15"/>
    <w:rPr>
      <w:rFonts w:ascii="Times New Roman" w:eastAsiaTheme="majorEastAsia" w:hAnsi="Times New Roman" w:cs="Times New Roman"/>
      <w:b/>
      <w:spacing w:val="6"/>
      <w:sz w:val="24"/>
      <w:szCs w:val="24"/>
    </w:rPr>
  </w:style>
  <w:style w:type="character" w:customStyle="1" w:styleId="Heading3Char">
    <w:name w:val="Heading 3 Char"/>
    <w:basedOn w:val="DefaultParagraphFont"/>
    <w:link w:val="Heading3"/>
    <w:uiPriority w:val="9"/>
    <w:rsid w:val="0069222E"/>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 1,Bullets,Table of contents numbered,footer text,Recommendation,List Paragraph1,Riana Table Bullets 1,Body text,Table bullet,Indent Paragraph,List[1:1],AR star bullet,Recommendatio"/>
    <w:basedOn w:val="Normal"/>
    <w:link w:val="ListParagraphChar"/>
    <w:uiPriority w:val="34"/>
    <w:qFormat/>
    <w:rsid w:val="0069222E"/>
    <w:pPr>
      <w:ind w:left="720"/>
      <w:contextualSpacing/>
    </w:pPr>
  </w:style>
  <w:style w:type="paragraph" w:styleId="Footer">
    <w:name w:val="footer"/>
    <w:basedOn w:val="Normal"/>
    <w:link w:val="FooterChar"/>
    <w:uiPriority w:val="99"/>
    <w:unhideWhenUsed/>
    <w:rsid w:val="00692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2E"/>
  </w:style>
  <w:style w:type="character" w:customStyle="1" w:styleId="ListParagraphChar">
    <w:name w:val="List Paragraph Char"/>
    <w:aliases w:val="List Paragraph 1 Char,Bullets Char,Table of contents numbered Char,footer text Char,Recommendation Char,List Paragraph1 Char,Riana Table Bullets 1 Char,Body text Char,Table bullet Char,Indent Paragraph Char,List[1:1] Char"/>
    <w:link w:val="ListParagraph"/>
    <w:uiPriority w:val="34"/>
    <w:locked/>
    <w:rsid w:val="0069222E"/>
  </w:style>
  <w:style w:type="paragraph" w:styleId="NormalWeb">
    <w:name w:val="Normal (Web)"/>
    <w:basedOn w:val="Normal"/>
    <w:link w:val="NormalWebChar"/>
    <w:uiPriority w:val="99"/>
    <w:unhideWhenUsed/>
    <w:rsid w:val="0069222E"/>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customStyle="1" w:styleId="NormalWebChar">
    <w:name w:val="Normal (Web) Char"/>
    <w:basedOn w:val="DefaultParagraphFont"/>
    <w:link w:val="NormalWeb"/>
    <w:uiPriority w:val="99"/>
    <w:locked/>
    <w:rsid w:val="0069222E"/>
    <w:rPr>
      <w:rFonts w:ascii="Times New Roman" w:eastAsia="Times New Roman" w:hAnsi="Times New Roman" w:cs="Times New Roman"/>
      <w:sz w:val="24"/>
      <w:szCs w:val="24"/>
      <w:lang w:eastAsia="en-ZA"/>
    </w:rPr>
  </w:style>
  <w:style w:type="paragraph" w:styleId="NoSpacing">
    <w:name w:val="No Spacing"/>
    <w:uiPriority w:val="1"/>
    <w:qFormat/>
    <w:rsid w:val="0069222E"/>
    <w:pPr>
      <w:spacing w:after="0" w:line="240" w:lineRule="auto"/>
      <w:jc w:val="both"/>
    </w:pPr>
  </w:style>
  <w:style w:type="table" w:styleId="TableGrid">
    <w:name w:val="Table Grid"/>
    <w:basedOn w:val="TableNormal"/>
    <w:uiPriority w:val="39"/>
    <w:rsid w:val="00692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2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2E"/>
  </w:style>
  <w:style w:type="paragraph" w:styleId="Caption">
    <w:name w:val="caption"/>
    <w:basedOn w:val="Normal"/>
    <w:next w:val="Normal"/>
    <w:uiPriority w:val="35"/>
    <w:unhideWhenUsed/>
    <w:qFormat/>
    <w:rsid w:val="0069222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9222E"/>
    <w:rPr>
      <w:sz w:val="16"/>
      <w:szCs w:val="16"/>
    </w:rPr>
  </w:style>
  <w:style w:type="paragraph" w:styleId="CommentText">
    <w:name w:val="annotation text"/>
    <w:basedOn w:val="Normal"/>
    <w:link w:val="CommentTextChar"/>
    <w:uiPriority w:val="99"/>
    <w:semiHidden/>
    <w:unhideWhenUsed/>
    <w:rsid w:val="0069222E"/>
    <w:pPr>
      <w:spacing w:line="240" w:lineRule="auto"/>
    </w:pPr>
    <w:rPr>
      <w:sz w:val="20"/>
      <w:szCs w:val="20"/>
    </w:rPr>
  </w:style>
  <w:style w:type="character" w:customStyle="1" w:styleId="CommentTextChar">
    <w:name w:val="Comment Text Char"/>
    <w:basedOn w:val="DefaultParagraphFont"/>
    <w:link w:val="CommentText"/>
    <w:uiPriority w:val="99"/>
    <w:semiHidden/>
    <w:rsid w:val="0069222E"/>
    <w:rPr>
      <w:sz w:val="20"/>
      <w:szCs w:val="20"/>
    </w:rPr>
  </w:style>
  <w:style w:type="paragraph" w:styleId="CommentSubject">
    <w:name w:val="annotation subject"/>
    <w:basedOn w:val="CommentText"/>
    <w:next w:val="CommentText"/>
    <w:link w:val="CommentSubjectChar"/>
    <w:uiPriority w:val="99"/>
    <w:semiHidden/>
    <w:unhideWhenUsed/>
    <w:rsid w:val="0069222E"/>
    <w:rPr>
      <w:b/>
      <w:bCs/>
    </w:rPr>
  </w:style>
  <w:style w:type="character" w:customStyle="1" w:styleId="CommentSubjectChar">
    <w:name w:val="Comment Subject Char"/>
    <w:basedOn w:val="CommentTextChar"/>
    <w:link w:val="CommentSubject"/>
    <w:uiPriority w:val="99"/>
    <w:semiHidden/>
    <w:rsid w:val="0069222E"/>
    <w:rPr>
      <w:b/>
      <w:bCs/>
      <w:sz w:val="20"/>
      <w:szCs w:val="20"/>
    </w:rPr>
  </w:style>
  <w:style w:type="paragraph" w:styleId="BalloonText">
    <w:name w:val="Balloon Text"/>
    <w:basedOn w:val="Normal"/>
    <w:link w:val="BalloonTextChar"/>
    <w:uiPriority w:val="99"/>
    <w:semiHidden/>
    <w:unhideWhenUsed/>
    <w:rsid w:val="0069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2E"/>
    <w:rPr>
      <w:rFonts w:ascii="Segoe UI" w:hAnsi="Segoe UI" w:cs="Segoe UI"/>
      <w:sz w:val="18"/>
      <w:szCs w:val="18"/>
    </w:rPr>
  </w:style>
  <w:style w:type="table" w:customStyle="1" w:styleId="TableGrid1">
    <w:name w:val="Table Grid1"/>
    <w:basedOn w:val="TableNormal"/>
    <w:next w:val="TableGrid"/>
    <w:uiPriority w:val="39"/>
    <w:rsid w:val="00692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9222E"/>
    <w:pPr>
      <w:autoSpaceDE w:val="0"/>
      <w:autoSpaceDN w:val="0"/>
      <w:adjustRightInd w:val="0"/>
      <w:spacing w:after="0" w:line="240" w:lineRule="auto"/>
    </w:pPr>
    <w:rPr>
      <w:rFonts w:ascii="Century Gothic" w:hAnsi="Century Gothic" w:cs="Century Gothic"/>
      <w:color w:val="000000"/>
      <w:sz w:val="24"/>
      <w:szCs w:val="24"/>
    </w:rPr>
  </w:style>
  <w:style w:type="paragraph" w:styleId="TOCHeading">
    <w:name w:val="TOC Heading"/>
    <w:basedOn w:val="Heading1"/>
    <w:next w:val="Normal"/>
    <w:uiPriority w:val="39"/>
    <w:unhideWhenUsed/>
    <w:qFormat/>
    <w:rsid w:val="0069222E"/>
    <w:pPr>
      <w:numPr>
        <w:numId w:val="0"/>
      </w:numPr>
      <w:spacing w:line="259" w:lineRule="auto"/>
      <w:jc w:val="left"/>
      <w:outlineLvl w:val="9"/>
    </w:pPr>
    <w:rPr>
      <w:rFonts w:asciiTheme="majorHAnsi" w:hAnsiTheme="majorHAnsi"/>
      <w:b w:val="0"/>
      <w:caps w:val="0"/>
      <w:color w:val="2E74B5" w:themeColor="accent1" w:themeShade="BF"/>
      <w:sz w:val="32"/>
      <w:lang w:val="en-US"/>
    </w:rPr>
  </w:style>
  <w:style w:type="paragraph" w:styleId="TOC1">
    <w:name w:val="toc 1"/>
    <w:basedOn w:val="Normal"/>
    <w:next w:val="Normal"/>
    <w:autoRedefine/>
    <w:uiPriority w:val="39"/>
    <w:unhideWhenUsed/>
    <w:rsid w:val="0069222E"/>
    <w:pPr>
      <w:spacing w:after="100"/>
    </w:pPr>
  </w:style>
  <w:style w:type="paragraph" w:styleId="TOC2">
    <w:name w:val="toc 2"/>
    <w:basedOn w:val="Normal"/>
    <w:next w:val="Normal"/>
    <w:autoRedefine/>
    <w:uiPriority w:val="39"/>
    <w:unhideWhenUsed/>
    <w:rsid w:val="0069222E"/>
    <w:pPr>
      <w:spacing w:after="100"/>
      <w:ind w:left="220"/>
    </w:pPr>
  </w:style>
  <w:style w:type="character" w:styleId="Hyperlink">
    <w:name w:val="Hyperlink"/>
    <w:basedOn w:val="DefaultParagraphFont"/>
    <w:uiPriority w:val="99"/>
    <w:unhideWhenUsed/>
    <w:rsid w:val="0069222E"/>
    <w:rPr>
      <w:color w:val="0563C1" w:themeColor="hyperlink"/>
      <w:u w:val="single"/>
    </w:rPr>
  </w:style>
  <w:style w:type="character" w:styleId="FollowedHyperlink">
    <w:name w:val="FollowedHyperlink"/>
    <w:basedOn w:val="DefaultParagraphFont"/>
    <w:uiPriority w:val="99"/>
    <w:semiHidden/>
    <w:unhideWhenUsed/>
    <w:rsid w:val="0069222E"/>
    <w:rPr>
      <w:color w:val="954F72" w:themeColor="followedHyperlink"/>
      <w:u w:val="single"/>
    </w:rPr>
  </w:style>
  <w:style w:type="paragraph" w:styleId="FootnoteText">
    <w:name w:val="footnote text"/>
    <w:basedOn w:val="Normal"/>
    <w:link w:val="FootnoteTextChar"/>
    <w:uiPriority w:val="99"/>
    <w:unhideWhenUsed/>
    <w:rsid w:val="00C6575B"/>
    <w:pPr>
      <w:spacing w:after="0" w:line="240" w:lineRule="auto"/>
    </w:pPr>
    <w:rPr>
      <w:sz w:val="20"/>
      <w:szCs w:val="20"/>
    </w:rPr>
  </w:style>
  <w:style w:type="character" w:customStyle="1" w:styleId="FootnoteTextChar">
    <w:name w:val="Footnote Text Char"/>
    <w:basedOn w:val="DefaultParagraphFont"/>
    <w:link w:val="FootnoteText"/>
    <w:uiPriority w:val="99"/>
    <w:rsid w:val="00C6575B"/>
    <w:rPr>
      <w:sz w:val="20"/>
      <w:szCs w:val="20"/>
    </w:rPr>
  </w:style>
  <w:style w:type="character" w:styleId="FootnoteReference">
    <w:name w:val="footnote reference"/>
    <w:basedOn w:val="DefaultParagraphFont"/>
    <w:uiPriority w:val="99"/>
    <w:unhideWhenUsed/>
    <w:rsid w:val="00C6575B"/>
    <w:rPr>
      <w:vertAlign w:val="superscript"/>
    </w:rPr>
  </w:style>
  <w:style w:type="table" w:customStyle="1" w:styleId="TableGrid2">
    <w:name w:val="Table Grid2"/>
    <w:basedOn w:val="TableNormal"/>
    <w:next w:val="TableGrid"/>
    <w:uiPriority w:val="39"/>
    <w:rsid w:val="0054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8A01FB"/>
    <w:pPr>
      <w:numPr>
        <w:numId w:val="36"/>
      </w:numPr>
    </w:pPr>
  </w:style>
  <w:style w:type="numbering" w:customStyle="1" w:styleId="Style2">
    <w:name w:val="Style2"/>
    <w:uiPriority w:val="99"/>
    <w:rsid w:val="007F426E"/>
    <w:pPr>
      <w:numPr>
        <w:numId w:val="39"/>
      </w:numPr>
    </w:pPr>
  </w:style>
  <w:style w:type="numbering" w:customStyle="1" w:styleId="Style3">
    <w:name w:val="Style3"/>
    <w:uiPriority w:val="99"/>
    <w:rsid w:val="0095741E"/>
    <w:pPr>
      <w:numPr>
        <w:numId w:val="40"/>
      </w:numPr>
    </w:pPr>
  </w:style>
</w:styles>
</file>

<file path=word/webSettings.xml><?xml version="1.0" encoding="utf-8"?>
<w:webSettings xmlns:r="http://schemas.openxmlformats.org/officeDocument/2006/relationships" xmlns:w="http://schemas.openxmlformats.org/wordprocessingml/2006/main">
  <w:divs>
    <w:div w:id="130944494">
      <w:bodyDiv w:val="1"/>
      <w:marLeft w:val="0"/>
      <w:marRight w:val="0"/>
      <w:marTop w:val="0"/>
      <w:marBottom w:val="0"/>
      <w:divBdr>
        <w:top w:val="none" w:sz="0" w:space="0" w:color="auto"/>
        <w:left w:val="none" w:sz="0" w:space="0" w:color="auto"/>
        <w:bottom w:val="none" w:sz="0" w:space="0" w:color="auto"/>
        <w:right w:val="none" w:sz="0" w:space="0" w:color="auto"/>
      </w:divBdr>
    </w:div>
    <w:div w:id="171997443">
      <w:bodyDiv w:val="1"/>
      <w:marLeft w:val="0"/>
      <w:marRight w:val="0"/>
      <w:marTop w:val="0"/>
      <w:marBottom w:val="0"/>
      <w:divBdr>
        <w:top w:val="none" w:sz="0" w:space="0" w:color="auto"/>
        <w:left w:val="none" w:sz="0" w:space="0" w:color="auto"/>
        <w:bottom w:val="none" w:sz="0" w:space="0" w:color="auto"/>
        <w:right w:val="none" w:sz="0" w:space="0" w:color="auto"/>
      </w:divBdr>
    </w:div>
    <w:div w:id="229577155">
      <w:bodyDiv w:val="1"/>
      <w:marLeft w:val="0"/>
      <w:marRight w:val="0"/>
      <w:marTop w:val="0"/>
      <w:marBottom w:val="0"/>
      <w:divBdr>
        <w:top w:val="none" w:sz="0" w:space="0" w:color="auto"/>
        <w:left w:val="none" w:sz="0" w:space="0" w:color="auto"/>
        <w:bottom w:val="none" w:sz="0" w:space="0" w:color="auto"/>
        <w:right w:val="none" w:sz="0" w:space="0" w:color="auto"/>
      </w:divBdr>
      <w:divsChild>
        <w:div w:id="1514220934">
          <w:marLeft w:val="720"/>
          <w:marRight w:val="0"/>
          <w:marTop w:val="0"/>
          <w:marBottom w:val="0"/>
          <w:divBdr>
            <w:top w:val="none" w:sz="0" w:space="0" w:color="auto"/>
            <w:left w:val="none" w:sz="0" w:space="0" w:color="auto"/>
            <w:bottom w:val="none" w:sz="0" w:space="0" w:color="auto"/>
            <w:right w:val="none" w:sz="0" w:space="0" w:color="auto"/>
          </w:divBdr>
        </w:div>
      </w:divsChild>
    </w:div>
    <w:div w:id="276716857">
      <w:bodyDiv w:val="1"/>
      <w:marLeft w:val="0"/>
      <w:marRight w:val="0"/>
      <w:marTop w:val="0"/>
      <w:marBottom w:val="0"/>
      <w:divBdr>
        <w:top w:val="none" w:sz="0" w:space="0" w:color="auto"/>
        <w:left w:val="none" w:sz="0" w:space="0" w:color="auto"/>
        <w:bottom w:val="none" w:sz="0" w:space="0" w:color="auto"/>
        <w:right w:val="none" w:sz="0" w:space="0" w:color="auto"/>
      </w:divBdr>
    </w:div>
    <w:div w:id="311756223">
      <w:bodyDiv w:val="1"/>
      <w:marLeft w:val="0"/>
      <w:marRight w:val="0"/>
      <w:marTop w:val="0"/>
      <w:marBottom w:val="0"/>
      <w:divBdr>
        <w:top w:val="none" w:sz="0" w:space="0" w:color="auto"/>
        <w:left w:val="none" w:sz="0" w:space="0" w:color="auto"/>
        <w:bottom w:val="none" w:sz="0" w:space="0" w:color="auto"/>
        <w:right w:val="none" w:sz="0" w:space="0" w:color="auto"/>
      </w:divBdr>
    </w:div>
    <w:div w:id="337079378">
      <w:bodyDiv w:val="1"/>
      <w:marLeft w:val="0"/>
      <w:marRight w:val="0"/>
      <w:marTop w:val="0"/>
      <w:marBottom w:val="0"/>
      <w:divBdr>
        <w:top w:val="none" w:sz="0" w:space="0" w:color="auto"/>
        <w:left w:val="none" w:sz="0" w:space="0" w:color="auto"/>
        <w:bottom w:val="none" w:sz="0" w:space="0" w:color="auto"/>
        <w:right w:val="none" w:sz="0" w:space="0" w:color="auto"/>
      </w:divBdr>
    </w:div>
    <w:div w:id="489323834">
      <w:bodyDiv w:val="1"/>
      <w:marLeft w:val="0"/>
      <w:marRight w:val="0"/>
      <w:marTop w:val="0"/>
      <w:marBottom w:val="0"/>
      <w:divBdr>
        <w:top w:val="none" w:sz="0" w:space="0" w:color="auto"/>
        <w:left w:val="none" w:sz="0" w:space="0" w:color="auto"/>
        <w:bottom w:val="none" w:sz="0" w:space="0" w:color="auto"/>
        <w:right w:val="none" w:sz="0" w:space="0" w:color="auto"/>
      </w:divBdr>
    </w:div>
    <w:div w:id="521433883">
      <w:bodyDiv w:val="1"/>
      <w:marLeft w:val="0"/>
      <w:marRight w:val="0"/>
      <w:marTop w:val="0"/>
      <w:marBottom w:val="0"/>
      <w:divBdr>
        <w:top w:val="none" w:sz="0" w:space="0" w:color="auto"/>
        <w:left w:val="none" w:sz="0" w:space="0" w:color="auto"/>
        <w:bottom w:val="none" w:sz="0" w:space="0" w:color="auto"/>
        <w:right w:val="none" w:sz="0" w:space="0" w:color="auto"/>
      </w:divBdr>
    </w:div>
    <w:div w:id="699161333">
      <w:bodyDiv w:val="1"/>
      <w:marLeft w:val="0"/>
      <w:marRight w:val="0"/>
      <w:marTop w:val="0"/>
      <w:marBottom w:val="0"/>
      <w:divBdr>
        <w:top w:val="none" w:sz="0" w:space="0" w:color="auto"/>
        <w:left w:val="none" w:sz="0" w:space="0" w:color="auto"/>
        <w:bottom w:val="none" w:sz="0" w:space="0" w:color="auto"/>
        <w:right w:val="none" w:sz="0" w:space="0" w:color="auto"/>
      </w:divBdr>
    </w:div>
    <w:div w:id="732586051">
      <w:bodyDiv w:val="1"/>
      <w:marLeft w:val="0"/>
      <w:marRight w:val="0"/>
      <w:marTop w:val="0"/>
      <w:marBottom w:val="0"/>
      <w:divBdr>
        <w:top w:val="none" w:sz="0" w:space="0" w:color="auto"/>
        <w:left w:val="none" w:sz="0" w:space="0" w:color="auto"/>
        <w:bottom w:val="none" w:sz="0" w:space="0" w:color="auto"/>
        <w:right w:val="none" w:sz="0" w:space="0" w:color="auto"/>
      </w:divBdr>
    </w:div>
    <w:div w:id="801339573">
      <w:bodyDiv w:val="1"/>
      <w:marLeft w:val="0"/>
      <w:marRight w:val="0"/>
      <w:marTop w:val="0"/>
      <w:marBottom w:val="0"/>
      <w:divBdr>
        <w:top w:val="none" w:sz="0" w:space="0" w:color="auto"/>
        <w:left w:val="none" w:sz="0" w:space="0" w:color="auto"/>
        <w:bottom w:val="none" w:sz="0" w:space="0" w:color="auto"/>
        <w:right w:val="none" w:sz="0" w:space="0" w:color="auto"/>
      </w:divBdr>
    </w:div>
    <w:div w:id="818494050">
      <w:bodyDiv w:val="1"/>
      <w:marLeft w:val="0"/>
      <w:marRight w:val="0"/>
      <w:marTop w:val="0"/>
      <w:marBottom w:val="0"/>
      <w:divBdr>
        <w:top w:val="none" w:sz="0" w:space="0" w:color="auto"/>
        <w:left w:val="none" w:sz="0" w:space="0" w:color="auto"/>
        <w:bottom w:val="none" w:sz="0" w:space="0" w:color="auto"/>
        <w:right w:val="none" w:sz="0" w:space="0" w:color="auto"/>
      </w:divBdr>
    </w:div>
    <w:div w:id="861480323">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965164168">
      <w:bodyDiv w:val="1"/>
      <w:marLeft w:val="0"/>
      <w:marRight w:val="0"/>
      <w:marTop w:val="0"/>
      <w:marBottom w:val="0"/>
      <w:divBdr>
        <w:top w:val="none" w:sz="0" w:space="0" w:color="auto"/>
        <w:left w:val="none" w:sz="0" w:space="0" w:color="auto"/>
        <w:bottom w:val="none" w:sz="0" w:space="0" w:color="auto"/>
        <w:right w:val="none" w:sz="0" w:space="0" w:color="auto"/>
      </w:divBdr>
    </w:div>
    <w:div w:id="1137142033">
      <w:bodyDiv w:val="1"/>
      <w:marLeft w:val="0"/>
      <w:marRight w:val="0"/>
      <w:marTop w:val="0"/>
      <w:marBottom w:val="0"/>
      <w:divBdr>
        <w:top w:val="none" w:sz="0" w:space="0" w:color="auto"/>
        <w:left w:val="none" w:sz="0" w:space="0" w:color="auto"/>
        <w:bottom w:val="none" w:sz="0" w:space="0" w:color="auto"/>
        <w:right w:val="none" w:sz="0" w:space="0" w:color="auto"/>
      </w:divBdr>
    </w:div>
    <w:div w:id="1146512314">
      <w:bodyDiv w:val="1"/>
      <w:marLeft w:val="0"/>
      <w:marRight w:val="0"/>
      <w:marTop w:val="0"/>
      <w:marBottom w:val="0"/>
      <w:divBdr>
        <w:top w:val="none" w:sz="0" w:space="0" w:color="auto"/>
        <w:left w:val="none" w:sz="0" w:space="0" w:color="auto"/>
        <w:bottom w:val="none" w:sz="0" w:space="0" w:color="auto"/>
        <w:right w:val="none" w:sz="0" w:space="0" w:color="auto"/>
      </w:divBdr>
    </w:div>
    <w:div w:id="1187794979">
      <w:bodyDiv w:val="1"/>
      <w:marLeft w:val="0"/>
      <w:marRight w:val="0"/>
      <w:marTop w:val="0"/>
      <w:marBottom w:val="0"/>
      <w:divBdr>
        <w:top w:val="none" w:sz="0" w:space="0" w:color="auto"/>
        <w:left w:val="none" w:sz="0" w:space="0" w:color="auto"/>
        <w:bottom w:val="none" w:sz="0" w:space="0" w:color="auto"/>
        <w:right w:val="none" w:sz="0" w:space="0" w:color="auto"/>
      </w:divBdr>
    </w:div>
    <w:div w:id="1206869199">
      <w:bodyDiv w:val="1"/>
      <w:marLeft w:val="0"/>
      <w:marRight w:val="0"/>
      <w:marTop w:val="0"/>
      <w:marBottom w:val="0"/>
      <w:divBdr>
        <w:top w:val="none" w:sz="0" w:space="0" w:color="auto"/>
        <w:left w:val="none" w:sz="0" w:space="0" w:color="auto"/>
        <w:bottom w:val="none" w:sz="0" w:space="0" w:color="auto"/>
        <w:right w:val="none" w:sz="0" w:space="0" w:color="auto"/>
      </w:divBdr>
    </w:div>
    <w:div w:id="1307398546">
      <w:bodyDiv w:val="1"/>
      <w:marLeft w:val="0"/>
      <w:marRight w:val="0"/>
      <w:marTop w:val="0"/>
      <w:marBottom w:val="0"/>
      <w:divBdr>
        <w:top w:val="none" w:sz="0" w:space="0" w:color="auto"/>
        <w:left w:val="none" w:sz="0" w:space="0" w:color="auto"/>
        <w:bottom w:val="none" w:sz="0" w:space="0" w:color="auto"/>
        <w:right w:val="none" w:sz="0" w:space="0" w:color="auto"/>
      </w:divBdr>
    </w:div>
    <w:div w:id="1381322608">
      <w:bodyDiv w:val="1"/>
      <w:marLeft w:val="0"/>
      <w:marRight w:val="0"/>
      <w:marTop w:val="0"/>
      <w:marBottom w:val="0"/>
      <w:divBdr>
        <w:top w:val="none" w:sz="0" w:space="0" w:color="auto"/>
        <w:left w:val="none" w:sz="0" w:space="0" w:color="auto"/>
        <w:bottom w:val="none" w:sz="0" w:space="0" w:color="auto"/>
        <w:right w:val="none" w:sz="0" w:space="0" w:color="auto"/>
      </w:divBdr>
      <w:divsChild>
        <w:div w:id="2027125581">
          <w:marLeft w:val="907"/>
          <w:marRight w:val="0"/>
          <w:marTop w:val="0"/>
          <w:marBottom w:val="320"/>
          <w:divBdr>
            <w:top w:val="none" w:sz="0" w:space="0" w:color="auto"/>
            <w:left w:val="none" w:sz="0" w:space="0" w:color="auto"/>
            <w:bottom w:val="none" w:sz="0" w:space="0" w:color="auto"/>
            <w:right w:val="none" w:sz="0" w:space="0" w:color="auto"/>
          </w:divBdr>
        </w:div>
        <w:div w:id="1059673526">
          <w:marLeft w:val="907"/>
          <w:marRight w:val="0"/>
          <w:marTop w:val="0"/>
          <w:marBottom w:val="320"/>
          <w:divBdr>
            <w:top w:val="none" w:sz="0" w:space="0" w:color="auto"/>
            <w:left w:val="none" w:sz="0" w:space="0" w:color="auto"/>
            <w:bottom w:val="none" w:sz="0" w:space="0" w:color="auto"/>
            <w:right w:val="none" w:sz="0" w:space="0" w:color="auto"/>
          </w:divBdr>
        </w:div>
        <w:div w:id="154535571">
          <w:marLeft w:val="907"/>
          <w:marRight w:val="0"/>
          <w:marTop w:val="0"/>
          <w:marBottom w:val="320"/>
          <w:divBdr>
            <w:top w:val="none" w:sz="0" w:space="0" w:color="auto"/>
            <w:left w:val="none" w:sz="0" w:space="0" w:color="auto"/>
            <w:bottom w:val="none" w:sz="0" w:space="0" w:color="auto"/>
            <w:right w:val="none" w:sz="0" w:space="0" w:color="auto"/>
          </w:divBdr>
        </w:div>
      </w:divsChild>
    </w:div>
    <w:div w:id="1401488609">
      <w:bodyDiv w:val="1"/>
      <w:marLeft w:val="0"/>
      <w:marRight w:val="0"/>
      <w:marTop w:val="0"/>
      <w:marBottom w:val="0"/>
      <w:divBdr>
        <w:top w:val="none" w:sz="0" w:space="0" w:color="auto"/>
        <w:left w:val="none" w:sz="0" w:space="0" w:color="auto"/>
        <w:bottom w:val="none" w:sz="0" w:space="0" w:color="auto"/>
        <w:right w:val="none" w:sz="0" w:space="0" w:color="auto"/>
      </w:divBdr>
      <w:divsChild>
        <w:div w:id="935401637">
          <w:marLeft w:val="446"/>
          <w:marRight w:val="0"/>
          <w:marTop w:val="0"/>
          <w:marBottom w:val="0"/>
          <w:divBdr>
            <w:top w:val="none" w:sz="0" w:space="0" w:color="auto"/>
            <w:left w:val="none" w:sz="0" w:space="0" w:color="auto"/>
            <w:bottom w:val="none" w:sz="0" w:space="0" w:color="auto"/>
            <w:right w:val="none" w:sz="0" w:space="0" w:color="auto"/>
          </w:divBdr>
        </w:div>
        <w:div w:id="309791742">
          <w:marLeft w:val="446"/>
          <w:marRight w:val="0"/>
          <w:marTop w:val="0"/>
          <w:marBottom w:val="0"/>
          <w:divBdr>
            <w:top w:val="none" w:sz="0" w:space="0" w:color="auto"/>
            <w:left w:val="none" w:sz="0" w:space="0" w:color="auto"/>
            <w:bottom w:val="none" w:sz="0" w:space="0" w:color="auto"/>
            <w:right w:val="none" w:sz="0" w:space="0" w:color="auto"/>
          </w:divBdr>
        </w:div>
        <w:div w:id="734820689">
          <w:marLeft w:val="446"/>
          <w:marRight w:val="0"/>
          <w:marTop w:val="0"/>
          <w:marBottom w:val="0"/>
          <w:divBdr>
            <w:top w:val="none" w:sz="0" w:space="0" w:color="auto"/>
            <w:left w:val="none" w:sz="0" w:space="0" w:color="auto"/>
            <w:bottom w:val="none" w:sz="0" w:space="0" w:color="auto"/>
            <w:right w:val="none" w:sz="0" w:space="0" w:color="auto"/>
          </w:divBdr>
        </w:div>
      </w:divsChild>
    </w:div>
    <w:div w:id="1406689278">
      <w:bodyDiv w:val="1"/>
      <w:marLeft w:val="0"/>
      <w:marRight w:val="0"/>
      <w:marTop w:val="0"/>
      <w:marBottom w:val="0"/>
      <w:divBdr>
        <w:top w:val="none" w:sz="0" w:space="0" w:color="auto"/>
        <w:left w:val="none" w:sz="0" w:space="0" w:color="auto"/>
        <w:bottom w:val="none" w:sz="0" w:space="0" w:color="auto"/>
        <w:right w:val="none" w:sz="0" w:space="0" w:color="auto"/>
      </w:divBdr>
    </w:div>
    <w:div w:id="1415281400">
      <w:bodyDiv w:val="1"/>
      <w:marLeft w:val="0"/>
      <w:marRight w:val="0"/>
      <w:marTop w:val="0"/>
      <w:marBottom w:val="0"/>
      <w:divBdr>
        <w:top w:val="none" w:sz="0" w:space="0" w:color="auto"/>
        <w:left w:val="none" w:sz="0" w:space="0" w:color="auto"/>
        <w:bottom w:val="none" w:sz="0" w:space="0" w:color="auto"/>
        <w:right w:val="none" w:sz="0" w:space="0" w:color="auto"/>
      </w:divBdr>
    </w:div>
    <w:div w:id="1424255293">
      <w:bodyDiv w:val="1"/>
      <w:marLeft w:val="0"/>
      <w:marRight w:val="0"/>
      <w:marTop w:val="0"/>
      <w:marBottom w:val="0"/>
      <w:divBdr>
        <w:top w:val="none" w:sz="0" w:space="0" w:color="auto"/>
        <w:left w:val="none" w:sz="0" w:space="0" w:color="auto"/>
        <w:bottom w:val="none" w:sz="0" w:space="0" w:color="auto"/>
        <w:right w:val="none" w:sz="0" w:space="0" w:color="auto"/>
      </w:divBdr>
    </w:div>
    <w:div w:id="1502356929">
      <w:bodyDiv w:val="1"/>
      <w:marLeft w:val="0"/>
      <w:marRight w:val="0"/>
      <w:marTop w:val="0"/>
      <w:marBottom w:val="0"/>
      <w:divBdr>
        <w:top w:val="none" w:sz="0" w:space="0" w:color="auto"/>
        <w:left w:val="none" w:sz="0" w:space="0" w:color="auto"/>
        <w:bottom w:val="none" w:sz="0" w:space="0" w:color="auto"/>
        <w:right w:val="none" w:sz="0" w:space="0" w:color="auto"/>
      </w:divBdr>
    </w:div>
    <w:div w:id="1502695797">
      <w:bodyDiv w:val="1"/>
      <w:marLeft w:val="0"/>
      <w:marRight w:val="0"/>
      <w:marTop w:val="0"/>
      <w:marBottom w:val="0"/>
      <w:divBdr>
        <w:top w:val="none" w:sz="0" w:space="0" w:color="auto"/>
        <w:left w:val="none" w:sz="0" w:space="0" w:color="auto"/>
        <w:bottom w:val="none" w:sz="0" w:space="0" w:color="auto"/>
        <w:right w:val="none" w:sz="0" w:space="0" w:color="auto"/>
      </w:divBdr>
    </w:div>
    <w:div w:id="1509369476">
      <w:bodyDiv w:val="1"/>
      <w:marLeft w:val="0"/>
      <w:marRight w:val="0"/>
      <w:marTop w:val="0"/>
      <w:marBottom w:val="0"/>
      <w:divBdr>
        <w:top w:val="none" w:sz="0" w:space="0" w:color="auto"/>
        <w:left w:val="none" w:sz="0" w:space="0" w:color="auto"/>
        <w:bottom w:val="none" w:sz="0" w:space="0" w:color="auto"/>
        <w:right w:val="none" w:sz="0" w:space="0" w:color="auto"/>
      </w:divBdr>
    </w:div>
    <w:div w:id="1546605008">
      <w:bodyDiv w:val="1"/>
      <w:marLeft w:val="0"/>
      <w:marRight w:val="0"/>
      <w:marTop w:val="0"/>
      <w:marBottom w:val="0"/>
      <w:divBdr>
        <w:top w:val="none" w:sz="0" w:space="0" w:color="auto"/>
        <w:left w:val="none" w:sz="0" w:space="0" w:color="auto"/>
        <w:bottom w:val="none" w:sz="0" w:space="0" w:color="auto"/>
        <w:right w:val="none" w:sz="0" w:space="0" w:color="auto"/>
      </w:divBdr>
      <w:divsChild>
        <w:div w:id="877670735">
          <w:marLeft w:val="1411"/>
          <w:marRight w:val="0"/>
          <w:marTop w:val="0"/>
          <w:marBottom w:val="0"/>
          <w:divBdr>
            <w:top w:val="none" w:sz="0" w:space="0" w:color="auto"/>
            <w:left w:val="none" w:sz="0" w:space="0" w:color="auto"/>
            <w:bottom w:val="none" w:sz="0" w:space="0" w:color="auto"/>
            <w:right w:val="none" w:sz="0" w:space="0" w:color="auto"/>
          </w:divBdr>
        </w:div>
        <w:div w:id="551186654">
          <w:marLeft w:val="1411"/>
          <w:marRight w:val="0"/>
          <w:marTop w:val="0"/>
          <w:marBottom w:val="0"/>
          <w:divBdr>
            <w:top w:val="none" w:sz="0" w:space="0" w:color="auto"/>
            <w:left w:val="none" w:sz="0" w:space="0" w:color="auto"/>
            <w:bottom w:val="none" w:sz="0" w:space="0" w:color="auto"/>
            <w:right w:val="none" w:sz="0" w:space="0" w:color="auto"/>
          </w:divBdr>
        </w:div>
        <w:div w:id="1001736099">
          <w:marLeft w:val="1411"/>
          <w:marRight w:val="0"/>
          <w:marTop w:val="0"/>
          <w:marBottom w:val="0"/>
          <w:divBdr>
            <w:top w:val="none" w:sz="0" w:space="0" w:color="auto"/>
            <w:left w:val="none" w:sz="0" w:space="0" w:color="auto"/>
            <w:bottom w:val="none" w:sz="0" w:space="0" w:color="auto"/>
            <w:right w:val="none" w:sz="0" w:space="0" w:color="auto"/>
          </w:divBdr>
        </w:div>
      </w:divsChild>
    </w:div>
    <w:div w:id="1728338923">
      <w:bodyDiv w:val="1"/>
      <w:marLeft w:val="0"/>
      <w:marRight w:val="0"/>
      <w:marTop w:val="0"/>
      <w:marBottom w:val="0"/>
      <w:divBdr>
        <w:top w:val="none" w:sz="0" w:space="0" w:color="auto"/>
        <w:left w:val="none" w:sz="0" w:space="0" w:color="auto"/>
        <w:bottom w:val="none" w:sz="0" w:space="0" w:color="auto"/>
        <w:right w:val="none" w:sz="0" w:space="0" w:color="auto"/>
      </w:divBdr>
    </w:div>
    <w:div w:id="1731490169">
      <w:bodyDiv w:val="1"/>
      <w:marLeft w:val="0"/>
      <w:marRight w:val="0"/>
      <w:marTop w:val="0"/>
      <w:marBottom w:val="0"/>
      <w:divBdr>
        <w:top w:val="none" w:sz="0" w:space="0" w:color="auto"/>
        <w:left w:val="none" w:sz="0" w:space="0" w:color="auto"/>
        <w:bottom w:val="none" w:sz="0" w:space="0" w:color="auto"/>
        <w:right w:val="none" w:sz="0" w:space="0" w:color="auto"/>
      </w:divBdr>
    </w:div>
    <w:div w:id="1783651790">
      <w:bodyDiv w:val="1"/>
      <w:marLeft w:val="0"/>
      <w:marRight w:val="0"/>
      <w:marTop w:val="0"/>
      <w:marBottom w:val="0"/>
      <w:divBdr>
        <w:top w:val="none" w:sz="0" w:space="0" w:color="auto"/>
        <w:left w:val="none" w:sz="0" w:space="0" w:color="auto"/>
        <w:bottom w:val="none" w:sz="0" w:space="0" w:color="auto"/>
        <w:right w:val="none" w:sz="0" w:space="0" w:color="auto"/>
      </w:divBdr>
    </w:div>
    <w:div w:id="1825656797">
      <w:bodyDiv w:val="1"/>
      <w:marLeft w:val="0"/>
      <w:marRight w:val="0"/>
      <w:marTop w:val="0"/>
      <w:marBottom w:val="0"/>
      <w:divBdr>
        <w:top w:val="none" w:sz="0" w:space="0" w:color="auto"/>
        <w:left w:val="none" w:sz="0" w:space="0" w:color="auto"/>
        <w:bottom w:val="none" w:sz="0" w:space="0" w:color="auto"/>
        <w:right w:val="none" w:sz="0" w:space="0" w:color="auto"/>
      </w:divBdr>
      <w:divsChild>
        <w:div w:id="1051491980">
          <w:marLeft w:val="720"/>
          <w:marRight w:val="0"/>
          <w:marTop w:val="0"/>
          <w:marBottom w:val="0"/>
          <w:divBdr>
            <w:top w:val="none" w:sz="0" w:space="0" w:color="auto"/>
            <w:left w:val="none" w:sz="0" w:space="0" w:color="auto"/>
            <w:bottom w:val="none" w:sz="0" w:space="0" w:color="auto"/>
            <w:right w:val="none" w:sz="0" w:space="0" w:color="auto"/>
          </w:divBdr>
        </w:div>
      </w:divsChild>
    </w:div>
    <w:div w:id="1835683081">
      <w:bodyDiv w:val="1"/>
      <w:marLeft w:val="0"/>
      <w:marRight w:val="0"/>
      <w:marTop w:val="0"/>
      <w:marBottom w:val="0"/>
      <w:divBdr>
        <w:top w:val="none" w:sz="0" w:space="0" w:color="auto"/>
        <w:left w:val="none" w:sz="0" w:space="0" w:color="auto"/>
        <w:bottom w:val="none" w:sz="0" w:space="0" w:color="auto"/>
        <w:right w:val="none" w:sz="0" w:space="0" w:color="auto"/>
      </w:divBdr>
    </w:div>
    <w:div w:id="1847402924">
      <w:bodyDiv w:val="1"/>
      <w:marLeft w:val="0"/>
      <w:marRight w:val="0"/>
      <w:marTop w:val="0"/>
      <w:marBottom w:val="0"/>
      <w:divBdr>
        <w:top w:val="none" w:sz="0" w:space="0" w:color="auto"/>
        <w:left w:val="none" w:sz="0" w:space="0" w:color="auto"/>
        <w:bottom w:val="none" w:sz="0" w:space="0" w:color="auto"/>
        <w:right w:val="none" w:sz="0" w:space="0" w:color="auto"/>
      </w:divBdr>
    </w:div>
    <w:div w:id="1866626580">
      <w:bodyDiv w:val="1"/>
      <w:marLeft w:val="0"/>
      <w:marRight w:val="0"/>
      <w:marTop w:val="0"/>
      <w:marBottom w:val="0"/>
      <w:divBdr>
        <w:top w:val="none" w:sz="0" w:space="0" w:color="auto"/>
        <w:left w:val="none" w:sz="0" w:space="0" w:color="auto"/>
        <w:bottom w:val="none" w:sz="0" w:space="0" w:color="auto"/>
        <w:right w:val="none" w:sz="0" w:space="0" w:color="auto"/>
      </w:divBdr>
    </w:div>
    <w:div w:id="1951744824">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3">
          <w:marLeft w:val="907"/>
          <w:marRight w:val="0"/>
          <w:marTop w:val="0"/>
          <w:marBottom w:val="320"/>
          <w:divBdr>
            <w:top w:val="none" w:sz="0" w:space="0" w:color="auto"/>
            <w:left w:val="none" w:sz="0" w:space="0" w:color="auto"/>
            <w:bottom w:val="none" w:sz="0" w:space="0" w:color="auto"/>
            <w:right w:val="none" w:sz="0" w:space="0" w:color="auto"/>
          </w:divBdr>
        </w:div>
        <w:div w:id="1928727297">
          <w:marLeft w:val="907"/>
          <w:marRight w:val="0"/>
          <w:marTop w:val="0"/>
          <w:marBottom w:val="320"/>
          <w:divBdr>
            <w:top w:val="none" w:sz="0" w:space="0" w:color="auto"/>
            <w:left w:val="none" w:sz="0" w:space="0" w:color="auto"/>
            <w:bottom w:val="none" w:sz="0" w:space="0" w:color="auto"/>
            <w:right w:val="none" w:sz="0" w:space="0" w:color="auto"/>
          </w:divBdr>
        </w:div>
        <w:div w:id="47343449">
          <w:marLeft w:val="907"/>
          <w:marRight w:val="0"/>
          <w:marTop w:val="0"/>
          <w:marBottom w:val="320"/>
          <w:divBdr>
            <w:top w:val="none" w:sz="0" w:space="0" w:color="auto"/>
            <w:left w:val="none" w:sz="0" w:space="0" w:color="auto"/>
            <w:bottom w:val="none" w:sz="0" w:space="0" w:color="auto"/>
            <w:right w:val="none" w:sz="0" w:space="0" w:color="auto"/>
          </w:divBdr>
        </w:div>
      </w:divsChild>
    </w:div>
    <w:div w:id="1961762041">
      <w:bodyDiv w:val="1"/>
      <w:marLeft w:val="0"/>
      <w:marRight w:val="0"/>
      <w:marTop w:val="0"/>
      <w:marBottom w:val="0"/>
      <w:divBdr>
        <w:top w:val="none" w:sz="0" w:space="0" w:color="auto"/>
        <w:left w:val="none" w:sz="0" w:space="0" w:color="auto"/>
        <w:bottom w:val="none" w:sz="0" w:space="0" w:color="auto"/>
        <w:right w:val="none" w:sz="0" w:space="0" w:color="auto"/>
      </w:divBdr>
    </w:div>
    <w:div w:id="1996372262">
      <w:bodyDiv w:val="1"/>
      <w:marLeft w:val="0"/>
      <w:marRight w:val="0"/>
      <w:marTop w:val="0"/>
      <w:marBottom w:val="0"/>
      <w:divBdr>
        <w:top w:val="none" w:sz="0" w:space="0" w:color="auto"/>
        <w:left w:val="none" w:sz="0" w:space="0" w:color="auto"/>
        <w:bottom w:val="none" w:sz="0" w:space="0" w:color="auto"/>
        <w:right w:val="none" w:sz="0" w:space="0" w:color="auto"/>
      </w:divBdr>
    </w:div>
    <w:div w:id="2083404150">
      <w:bodyDiv w:val="1"/>
      <w:marLeft w:val="0"/>
      <w:marRight w:val="0"/>
      <w:marTop w:val="0"/>
      <w:marBottom w:val="0"/>
      <w:divBdr>
        <w:top w:val="none" w:sz="0" w:space="0" w:color="auto"/>
        <w:left w:val="none" w:sz="0" w:space="0" w:color="auto"/>
        <w:bottom w:val="none" w:sz="0" w:space="0" w:color="auto"/>
        <w:right w:val="none" w:sz="0" w:space="0" w:color="auto"/>
      </w:divBdr>
    </w:div>
    <w:div w:id="21442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9872-3121-4E86-8180-FBD32A0D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12408</Words>
  <Characters>70730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Clayton</dc:creator>
  <cp:lastModifiedBy>User</cp:lastModifiedBy>
  <cp:revision>2</cp:revision>
  <cp:lastPrinted>2022-10-25T09:56:00Z</cp:lastPrinted>
  <dcterms:created xsi:type="dcterms:W3CDTF">2022-10-26T20:03:00Z</dcterms:created>
  <dcterms:modified xsi:type="dcterms:W3CDTF">2022-10-26T20:03:00Z</dcterms:modified>
</cp:coreProperties>
</file>